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D154F6" w14:textId="653E643C" w:rsidR="00423E65" w:rsidRPr="00B84046" w:rsidRDefault="00423E65" w:rsidP="005A073E">
      <w:pPr>
        <w:spacing w:line="276" w:lineRule="auto"/>
        <w:jc w:val="both"/>
        <w:rPr>
          <w:rFonts w:ascii="Maiandra GD" w:hAnsi="Maiandra GD"/>
          <w:sz w:val="24"/>
          <w:szCs w:val="24"/>
        </w:rPr>
      </w:pPr>
      <w:r w:rsidRPr="00B84046">
        <w:rPr>
          <w:noProof/>
          <w:sz w:val="24"/>
          <w:szCs w:val="24"/>
          <w:lang w:eastAsia="fr-FR"/>
        </w:rPr>
        <mc:AlternateContent>
          <mc:Choice Requires="wps">
            <w:drawing>
              <wp:anchor distT="0" distB="0" distL="114300" distR="114300" simplePos="0" relativeHeight="251659264" behindDoc="0" locked="0" layoutInCell="1" allowOverlap="1" wp14:anchorId="469B372D" wp14:editId="749532A2">
                <wp:simplePos x="0" y="0"/>
                <wp:positionH relativeFrom="column">
                  <wp:posOffset>-899795</wp:posOffset>
                </wp:positionH>
                <wp:positionV relativeFrom="paragraph">
                  <wp:posOffset>319405</wp:posOffset>
                </wp:positionV>
                <wp:extent cx="7650480" cy="2743200"/>
                <wp:effectExtent l="0" t="0" r="7620" b="12700"/>
                <wp:wrapNone/>
                <wp:docPr id="1" name="Rectangle 1"/>
                <wp:cNvGraphicFramePr/>
                <a:graphic xmlns:a="http://schemas.openxmlformats.org/drawingml/2006/main">
                  <a:graphicData uri="http://schemas.microsoft.com/office/word/2010/wordprocessingShape">
                    <wps:wsp>
                      <wps:cNvSpPr/>
                      <wps:spPr>
                        <a:xfrm>
                          <a:off x="0" y="0"/>
                          <a:ext cx="7650480" cy="2743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4AFFD0" w14:textId="5442FAA1" w:rsidR="00423E65" w:rsidRPr="004D4104" w:rsidRDefault="00423E65" w:rsidP="00423E65">
                            <w:pPr>
                              <w:jc w:val="center"/>
                              <w:rPr>
                                <w:sz w:val="66"/>
                                <w:szCs w:val="66"/>
                              </w:rPr>
                            </w:pPr>
                            <w:r w:rsidRPr="004D4104">
                              <w:rPr>
                                <w:sz w:val="66"/>
                                <w:szCs w:val="66"/>
                              </w:rPr>
                              <w:t xml:space="preserve">RAPPORT </w:t>
                            </w:r>
                            <w:r>
                              <w:rPr>
                                <w:sz w:val="66"/>
                                <w:szCs w:val="66"/>
                              </w:rPr>
                              <w:t xml:space="preserve">THEMATIQUE FOCUS CORRUPTION </w:t>
                            </w:r>
                            <w:r w:rsidRPr="004D4104">
                              <w:rPr>
                                <w:sz w:val="66"/>
                                <w:szCs w:val="66"/>
                              </w:rPr>
                              <w:t>SUR LA MISE EN ŒUVRE DU PACTE INTERNATIONAL RELATIF AUX DROIT</w:t>
                            </w:r>
                            <w:r>
                              <w:rPr>
                                <w:sz w:val="66"/>
                                <w:szCs w:val="66"/>
                              </w:rPr>
                              <w:t>S</w:t>
                            </w:r>
                            <w:r w:rsidRPr="004D4104">
                              <w:rPr>
                                <w:sz w:val="66"/>
                                <w:szCs w:val="66"/>
                              </w:rPr>
                              <w:t xml:space="preserve"> ECONOMIQUES SOCIAUX CULTUREL</w:t>
                            </w:r>
                            <w:r>
                              <w:rPr>
                                <w:sz w:val="66"/>
                                <w:szCs w:val="66"/>
                              </w:rPr>
                              <w:t>S</w:t>
                            </w:r>
                            <w:r w:rsidR="0019621E">
                              <w:rPr>
                                <w:sz w:val="66"/>
                                <w:szCs w:val="66"/>
                              </w:rPr>
                              <w:t xml:space="preserve"> AU BENIN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B372D" id="Rectangle 1" o:spid="_x0000_s1026" style="position:absolute;left:0;text-align:left;margin-left:-70.85pt;margin-top:25.15pt;width:602.4pt;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" fillcolor="#4472c4 [3204]" strokecolor="#1f3763 [1604]" strokeweight="1pt">
                <v:textbox>
                  <w:txbxContent>
                    <w:p w14:paraId="3B4AFFD0" w14:textId="5442FAA1" w:rsidR="00423E65" w:rsidRPr="004D4104" w:rsidRDefault="00423E65" w:rsidP="00423E65">
                      <w:pPr>
                        <w:jc w:val="center"/>
                        <w:rPr>
                          <w:sz w:val="66"/>
                          <w:szCs w:val="66"/>
                        </w:rPr>
                      </w:pPr>
                      <w:r w:rsidRPr="004D4104">
                        <w:rPr>
                          <w:sz w:val="66"/>
                          <w:szCs w:val="66"/>
                        </w:rPr>
                        <w:t xml:space="preserve">RAPPORT </w:t>
                      </w:r>
                      <w:r>
                        <w:rPr>
                          <w:sz w:val="66"/>
                          <w:szCs w:val="66"/>
                        </w:rPr>
                        <w:t xml:space="preserve">THEMATIQUE FOCUS CORRUPTION </w:t>
                      </w:r>
                      <w:r w:rsidRPr="004D4104">
                        <w:rPr>
                          <w:sz w:val="66"/>
                          <w:szCs w:val="66"/>
                        </w:rPr>
                        <w:t>SUR LA MISE EN ŒUVRE DU PACTE INTERNATIONAL RELATIF AUX DROIT</w:t>
                      </w:r>
                      <w:r>
                        <w:rPr>
                          <w:sz w:val="66"/>
                          <w:szCs w:val="66"/>
                        </w:rPr>
                        <w:t>S</w:t>
                      </w:r>
                      <w:r w:rsidRPr="004D4104">
                        <w:rPr>
                          <w:sz w:val="66"/>
                          <w:szCs w:val="66"/>
                        </w:rPr>
                        <w:t xml:space="preserve"> ECONOMIQUES SOCIAUX CULTUREL</w:t>
                      </w:r>
                      <w:r>
                        <w:rPr>
                          <w:sz w:val="66"/>
                          <w:szCs w:val="66"/>
                        </w:rPr>
                        <w:t>S</w:t>
                      </w:r>
                      <w:r w:rsidR="0019621E">
                        <w:rPr>
                          <w:sz w:val="66"/>
                          <w:szCs w:val="66"/>
                        </w:rPr>
                        <w:t xml:space="preserve"> AU BENIN</w:t>
                      </w:r>
                    </w:p>
                  </w:txbxContent>
                </v:textbox>
              </v:rect>
            </w:pict>
          </mc:Fallback>
        </mc:AlternateContent>
      </w:r>
    </w:p>
    <w:p w14:paraId="58B068D1" w14:textId="7E6E36EF" w:rsidR="00423E65" w:rsidRPr="00B84046" w:rsidRDefault="00423E65" w:rsidP="005A073E">
      <w:pPr>
        <w:spacing w:line="276" w:lineRule="auto"/>
        <w:jc w:val="both"/>
        <w:rPr>
          <w:rFonts w:ascii="Maiandra GD" w:hAnsi="Maiandra GD"/>
          <w:sz w:val="24"/>
          <w:szCs w:val="24"/>
        </w:rPr>
      </w:pPr>
    </w:p>
    <w:p w14:paraId="7FE457BE" w14:textId="77777777" w:rsidR="00423E65" w:rsidRPr="00B84046" w:rsidRDefault="00423E65" w:rsidP="005A073E">
      <w:pPr>
        <w:spacing w:line="276" w:lineRule="auto"/>
        <w:jc w:val="both"/>
        <w:rPr>
          <w:rFonts w:ascii="Maiandra GD" w:hAnsi="Maiandra GD"/>
          <w:sz w:val="24"/>
          <w:szCs w:val="24"/>
        </w:rPr>
      </w:pPr>
    </w:p>
    <w:p w14:paraId="07F085B6" w14:textId="77777777" w:rsidR="00423E65" w:rsidRPr="00B84046" w:rsidRDefault="00423E65" w:rsidP="005A073E">
      <w:pPr>
        <w:spacing w:line="276" w:lineRule="auto"/>
        <w:jc w:val="both"/>
        <w:rPr>
          <w:rFonts w:ascii="Maiandra GD" w:hAnsi="Maiandra GD"/>
          <w:sz w:val="24"/>
          <w:szCs w:val="24"/>
        </w:rPr>
      </w:pPr>
    </w:p>
    <w:p w14:paraId="73771A8E" w14:textId="77777777" w:rsidR="00423E65" w:rsidRPr="00B84046" w:rsidRDefault="00423E65" w:rsidP="005A073E">
      <w:pPr>
        <w:spacing w:line="276" w:lineRule="auto"/>
        <w:jc w:val="both"/>
        <w:rPr>
          <w:rFonts w:ascii="Maiandra GD" w:hAnsi="Maiandra GD"/>
          <w:sz w:val="24"/>
          <w:szCs w:val="24"/>
        </w:rPr>
      </w:pPr>
    </w:p>
    <w:p w14:paraId="0AA1C357" w14:textId="77777777" w:rsidR="00423E65" w:rsidRPr="00B84046" w:rsidRDefault="00423E65" w:rsidP="005A073E">
      <w:pPr>
        <w:spacing w:line="276" w:lineRule="auto"/>
        <w:jc w:val="both"/>
        <w:rPr>
          <w:rFonts w:ascii="Maiandra GD" w:hAnsi="Maiandra GD"/>
          <w:sz w:val="24"/>
          <w:szCs w:val="24"/>
        </w:rPr>
      </w:pPr>
    </w:p>
    <w:p w14:paraId="07AA643A" w14:textId="77777777" w:rsidR="00423E65" w:rsidRPr="00B84046" w:rsidRDefault="00423E65" w:rsidP="005A073E">
      <w:pPr>
        <w:spacing w:line="276" w:lineRule="auto"/>
        <w:jc w:val="both"/>
        <w:rPr>
          <w:rFonts w:ascii="Maiandra GD" w:hAnsi="Maiandra GD"/>
          <w:sz w:val="24"/>
          <w:szCs w:val="24"/>
        </w:rPr>
      </w:pPr>
    </w:p>
    <w:p w14:paraId="0DABC9E5" w14:textId="77777777" w:rsidR="00423E65" w:rsidRPr="00B84046" w:rsidRDefault="00423E65" w:rsidP="005A073E">
      <w:pPr>
        <w:spacing w:line="276" w:lineRule="auto"/>
        <w:jc w:val="both"/>
        <w:rPr>
          <w:rFonts w:ascii="Maiandra GD" w:hAnsi="Maiandra GD"/>
          <w:sz w:val="24"/>
          <w:szCs w:val="24"/>
        </w:rPr>
      </w:pPr>
    </w:p>
    <w:p w14:paraId="7B49C01A" w14:textId="77777777" w:rsidR="00423E65" w:rsidRPr="00B84046" w:rsidRDefault="00423E65" w:rsidP="005A073E">
      <w:pPr>
        <w:spacing w:line="276" w:lineRule="auto"/>
        <w:jc w:val="both"/>
        <w:rPr>
          <w:rFonts w:ascii="Maiandra GD" w:hAnsi="Maiandra GD"/>
          <w:sz w:val="24"/>
          <w:szCs w:val="24"/>
        </w:rPr>
      </w:pPr>
    </w:p>
    <w:p w14:paraId="7056756A" w14:textId="77777777" w:rsidR="00423E65" w:rsidRPr="00B84046" w:rsidRDefault="00423E65" w:rsidP="005A073E">
      <w:pPr>
        <w:spacing w:line="276" w:lineRule="auto"/>
        <w:jc w:val="both"/>
        <w:rPr>
          <w:rFonts w:ascii="Maiandra GD" w:hAnsi="Maiandra GD"/>
          <w:sz w:val="24"/>
          <w:szCs w:val="24"/>
        </w:rPr>
      </w:pPr>
    </w:p>
    <w:p w14:paraId="0E2514F2" w14:textId="77777777" w:rsidR="00423E65" w:rsidRPr="00B84046" w:rsidRDefault="00423E65" w:rsidP="005A073E">
      <w:pPr>
        <w:spacing w:line="276" w:lineRule="auto"/>
        <w:jc w:val="both"/>
        <w:rPr>
          <w:rFonts w:ascii="Maiandra GD" w:hAnsi="Maiandra GD"/>
          <w:sz w:val="24"/>
          <w:szCs w:val="24"/>
        </w:rPr>
      </w:pPr>
    </w:p>
    <w:p w14:paraId="2595F257" w14:textId="77777777" w:rsidR="00423E65" w:rsidRPr="00B84046" w:rsidRDefault="00423E65" w:rsidP="005A073E">
      <w:pPr>
        <w:spacing w:line="276" w:lineRule="auto"/>
        <w:jc w:val="both"/>
        <w:rPr>
          <w:rFonts w:ascii="Maiandra GD" w:hAnsi="Maiandra GD"/>
          <w:sz w:val="24"/>
          <w:szCs w:val="24"/>
        </w:rPr>
      </w:pPr>
    </w:p>
    <w:p w14:paraId="0DF5D31A" w14:textId="77777777" w:rsidR="00423E65" w:rsidRPr="00B84046" w:rsidRDefault="00423E65" w:rsidP="005A073E">
      <w:pPr>
        <w:spacing w:line="276" w:lineRule="auto"/>
        <w:jc w:val="both"/>
        <w:rPr>
          <w:rFonts w:ascii="Maiandra GD" w:hAnsi="Maiandra GD"/>
          <w:sz w:val="24"/>
          <w:szCs w:val="24"/>
        </w:rPr>
      </w:pPr>
    </w:p>
    <w:p w14:paraId="454C4105" w14:textId="5932CBDE" w:rsidR="00423E65" w:rsidRPr="00B84046" w:rsidRDefault="00423E65" w:rsidP="005A073E">
      <w:pPr>
        <w:spacing w:line="276" w:lineRule="auto"/>
        <w:jc w:val="both"/>
        <w:rPr>
          <w:rFonts w:ascii="Maiandra GD" w:hAnsi="Maiandra GD"/>
          <w:sz w:val="24"/>
          <w:szCs w:val="24"/>
        </w:rPr>
      </w:pPr>
    </w:p>
    <w:p w14:paraId="0CC3DD44" w14:textId="510C3678" w:rsidR="00423E65" w:rsidRPr="00B84046" w:rsidRDefault="00423E65" w:rsidP="005A073E">
      <w:pPr>
        <w:spacing w:line="276" w:lineRule="auto"/>
        <w:jc w:val="both"/>
        <w:rPr>
          <w:rFonts w:ascii="Maiandra GD" w:hAnsi="Maiandra GD"/>
          <w:sz w:val="24"/>
          <w:szCs w:val="24"/>
        </w:rPr>
      </w:pPr>
    </w:p>
    <w:p w14:paraId="5C927F58" w14:textId="7B2C466E" w:rsidR="00423E65" w:rsidRPr="00B84046" w:rsidRDefault="00423E65" w:rsidP="005A073E">
      <w:pPr>
        <w:spacing w:line="276" w:lineRule="auto"/>
        <w:jc w:val="both"/>
        <w:rPr>
          <w:rFonts w:ascii="Maiandra GD" w:hAnsi="Maiandra GD"/>
          <w:sz w:val="24"/>
          <w:szCs w:val="24"/>
        </w:rPr>
      </w:pPr>
    </w:p>
    <w:p w14:paraId="6C96E6A4" w14:textId="741B0501" w:rsidR="00423E65" w:rsidRPr="00B84046" w:rsidRDefault="00423E65" w:rsidP="005A073E">
      <w:pPr>
        <w:spacing w:line="276" w:lineRule="auto"/>
        <w:jc w:val="both"/>
        <w:rPr>
          <w:rFonts w:ascii="Maiandra GD" w:hAnsi="Maiandra GD"/>
          <w:sz w:val="24"/>
          <w:szCs w:val="24"/>
        </w:rPr>
      </w:pPr>
    </w:p>
    <w:p w14:paraId="4B9BF910" w14:textId="39AEC4D6" w:rsidR="00423E65" w:rsidRPr="00B84046" w:rsidRDefault="00423E65" w:rsidP="005A073E">
      <w:pPr>
        <w:spacing w:line="276" w:lineRule="auto"/>
        <w:jc w:val="both"/>
        <w:rPr>
          <w:rFonts w:ascii="Maiandra GD" w:hAnsi="Maiandra GD"/>
          <w:sz w:val="24"/>
          <w:szCs w:val="24"/>
        </w:rPr>
      </w:pPr>
    </w:p>
    <w:p w14:paraId="00C22069" w14:textId="77777777" w:rsidR="00423E65" w:rsidRPr="00B84046" w:rsidRDefault="00423E65" w:rsidP="005A073E">
      <w:pPr>
        <w:spacing w:line="276" w:lineRule="auto"/>
        <w:jc w:val="both"/>
        <w:rPr>
          <w:rFonts w:ascii="Maiandra GD" w:hAnsi="Maiandra GD"/>
          <w:sz w:val="24"/>
          <w:szCs w:val="24"/>
        </w:rPr>
      </w:pPr>
    </w:p>
    <w:p w14:paraId="2863744C" w14:textId="77777777" w:rsidR="00423E65" w:rsidRPr="00B84046" w:rsidRDefault="00423E65" w:rsidP="005A073E">
      <w:pPr>
        <w:spacing w:line="276" w:lineRule="auto"/>
        <w:jc w:val="both"/>
        <w:rPr>
          <w:rFonts w:ascii="Maiandra GD" w:hAnsi="Maiandra GD"/>
          <w:sz w:val="24"/>
          <w:szCs w:val="24"/>
        </w:rPr>
      </w:pPr>
    </w:p>
    <w:p w14:paraId="3ABCEA10" w14:textId="77777777" w:rsidR="00423E65" w:rsidRPr="00B84046" w:rsidRDefault="00423E65" w:rsidP="005A073E">
      <w:pPr>
        <w:spacing w:line="276" w:lineRule="auto"/>
        <w:jc w:val="both"/>
        <w:rPr>
          <w:rFonts w:ascii="Maiandra GD" w:hAnsi="Maiandra GD"/>
          <w:sz w:val="24"/>
          <w:szCs w:val="24"/>
        </w:rPr>
      </w:pPr>
    </w:p>
    <w:p w14:paraId="5E33EB74" w14:textId="77777777" w:rsidR="00423E65" w:rsidRPr="00B84046" w:rsidRDefault="00423E65" w:rsidP="005A073E">
      <w:pPr>
        <w:spacing w:line="276" w:lineRule="auto"/>
        <w:jc w:val="both"/>
        <w:rPr>
          <w:rFonts w:ascii="Maiandra GD" w:hAnsi="Maiandra GD"/>
          <w:sz w:val="24"/>
          <w:szCs w:val="24"/>
        </w:rPr>
      </w:pPr>
    </w:p>
    <w:p w14:paraId="14434910" w14:textId="32620761" w:rsidR="00423E65" w:rsidRPr="00B84046" w:rsidRDefault="00423E65" w:rsidP="005A073E">
      <w:pPr>
        <w:spacing w:line="276" w:lineRule="auto"/>
        <w:jc w:val="both"/>
        <w:rPr>
          <w:rFonts w:ascii="Maiandra GD" w:hAnsi="Maiandra GD"/>
          <w:sz w:val="24"/>
          <w:szCs w:val="24"/>
        </w:rPr>
      </w:pPr>
    </w:p>
    <w:p w14:paraId="75C1E6A8" w14:textId="2ABABF3E" w:rsidR="00423E65" w:rsidRPr="00B84046" w:rsidRDefault="00423E65" w:rsidP="005A073E">
      <w:pPr>
        <w:spacing w:line="276" w:lineRule="auto"/>
        <w:jc w:val="both"/>
        <w:rPr>
          <w:rFonts w:ascii="Maiandra GD" w:hAnsi="Maiandra GD"/>
          <w:sz w:val="24"/>
          <w:szCs w:val="24"/>
        </w:rPr>
      </w:pPr>
    </w:p>
    <w:p w14:paraId="594787A9" w14:textId="282C4BF1" w:rsidR="00423E65" w:rsidRPr="00B84046" w:rsidRDefault="00423E65" w:rsidP="005A073E">
      <w:pPr>
        <w:spacing w:line="276" w:lineRule="auto"/>
        <w:jc w:val="both"/>
        <w:rPr>
          <w:rFonts w:ascii="Maiandra GD" w:hAnsi="Maiandra GD"/>
          <w:sz w:val="24"/>
          <w:szCs w:val="24"/>
        </w:rPr>
      </w:pPr>
    </w:p>
    <w:p w14:paraId="466A2575" w14:textId="712BC93A" w:rsidR="00423E65" w:rsidRPr="00B84046" w:rsidRDefault="00423E65" w:rsidP="005A073E">
      <w:pPr>
        <w:spacing w:line="276" w:lineRule="auto"/>
        <w:jc w:val="both"/>
        <w:rPr>
          <w:rFonts w:ascii="Maiandra GD" w:hAnsi="Maiandra GD"/>
          <w:sz w:val="24"/>
          <w:szCs w:val="24"/>
        </w:rPr>
      </w:pPr>
    </w:p>
    <w:p w14:paraId="37D39A1A" w14:textId="4BCB9DCD" w:rsidR="00423E65" w:rsidRPr="00B84046" w:rsidRDefault="00423E65" w:rsidP="005A073E">
      <w:pPr>
        <w:spacing w:line="276" w:lineRule="auto"/>
        <w:jc w:val="both"/>
        <w:rPr>
          <w:rFonts w:ascii="Maiandra GD" w:hAnsi="Maiandra GD"/>
          <w:sz w:val="24"/>
          <w:szCs w:val="24"/>
        </w:rPr>
      </w:pPr>
    </w:p>
    <w:p w14:paraId="3CC96628" w14:textId="77777777" w:rsidR="00DA36AB" w:rsidRPr="003D3610" w:rsidRDefault="00DA36AB" w:rsidP="005A073E">
      <w:pPr>
        <w:spacing w:line="276" w:lineRule="auto"/>
        <w:jc w:val="both"/>
        <w:rPr>
          <w:rFonts w:ascii="Maiandra GD" w:hAnsi="Maiandra GD"/>
          <w:sz w:val="24"/>
          <w:szCs w:val="24"/>
        </w:rPr>
      </w:pPr>
    </w:p>
    <w:sdt>
      <w:sdtPr>
        <w:rPr>
          <w:rFonts w:asciiTheme="minorHAnsi" w:eastAsiaTheme="minorHAnsi" w:hAnsiTheme="minorHAnsi" w:cstheme="minorBidi"/>
          <w:b w:val="0"/>
          <w:bCs w:val="0"/>
          <w:color w:val="auto"/>
          <w:sz w:val="22"/>
          <w:szCs w:val="22"/>
          <w:lang w:val="fr-FR"/>
        </w:rPr>
        <w:id w:val="-1959100188"/>
        <w:docPartObj>
          <w:docPartGallery w:val="Table of Contents"/>
          <w:docPartUnique/>
        </w:docPartObj>
      </w:sdtPr>
      <w:sdtEndPr>
        <w:rPr>
          <w:noProof/>
        </w:rPr>
      </w:sdtEndPr>
      <w:sdtContent>
        <w:p w14:paraId="4BF9C41D" w14:textId="0DD5AD0A" w:rsidR="00E23FAF" w:rsidRDefault="00E23FAF">
          <w:pPr>
            <w:pStyle w:val="En-ttedetabledesmatires"/>
          </w:pPr>
          <w:r>
            <w:t>Table des matières</w:t>
          </w:r>
        </w:p>
        <w:p w14:paraId="3FE9B4AE" w14:textId="64BE2CEC" w:rsidR="00E23FAF" w:rsidRDefault="00E23FAF">
          <w:pPr>
            <w:pStyle w:val="TM1"/>
            <w:tabs>
              <w:tab w:val="right" w:leader="dot" w:pos="9062"/>
            </w:tabs>
            <w:rPr>
              <w:rFonts w:eastAsiaTheme="minorEastAsia"/>
              <w:b w:val="0"/>
              <w:bCs w:val="0"/>
              <w:i w:val="0"/>
              <w:iCs w:val="0"/>
              <w:noProof/>
              <w:lang w:val="en-US"/>
            </w:rPr>
          </w:pPr>
          <w:r>
            <w:rPr>
              <w:b w:val="0"/>
              <w:bCs w:val="0"/>
            </w:rPr>
            <w:fldChar w:fldCharType="begin"/>
          </w:r>
          <w:r>
            <w:instrText xml:space="preserve"> TOC \o "1-3" \h \z \u </w:instrText>
          </w:r>
          <w:r>
            <w:rPr>
              <w:b w:val="0"/>
              <w:bCs w:val="0"/>
            </w:rPr>
            <w:fldChar w:fldCharType="separate"/>
          </w:r>
          <w:hyperlink w:anchor="_Toc30690916" w:history="1">
            <w:r w:rsidRPr="00BD0F90">
              <w:rPr>
                <w:rStyle w:val="Lienhypertexte"/>
                <w:noProof/>
              </w:rPr>
              <w:t>Contexte général</w:t>
            </w:r>
            <w:r>
              <w:rPr>
                <w:noProof/>
                <w:webHidden/>
              </w:rPr>
              <w:tab/>
            </w:r>
            <w:r>
              <w:rPr>
                <w:noProof/>
                <w:webHidden/>
              </w:rPr>
              <w:fldChar w:fldCharType="begin"/>
            </w:r>
            <w:r>
              <w:rPr>
                <w:noProof/>
                <w:webHidden/>
              </w:rPr>
              <w:instrText xml:space="preserve"> PAGEREF _Toc30690916 \h </w:instrText>
            </w:r>
            <w:r>
              <w:rPr>
                <w:noProof/>
                <w:webHidden/>
              </w:rPr>
            </w:r>
            <w:r>
              <w:rPr>
                <w:noProof/>
                <w:webHidden/>
              </w:rPr>
              <w:fldChar w:fldCharType="separate"/>
            </w:r>
            <w:r>
              <w:rPr>
                <w:noProof/>
                <w:webHidden/>
              </w:rPr>
              <w:t>3</w:t>
            </w:r>
            <w:r>
              <w:rPr>
                <w:noProof/>
                <w:webHidden/>
              </w:rPr>
              <w:fldChar w:fldCharType="end"/>
            </w:r>
          </w:hyperlink>
        </w:p>
        <w:p w14:paraId="03C54C7C" w14:textId="16FEB9CB" w:rsidR="00E23FAF" w:rsidRDefault="00E23FAF">
          <w:pPr>
            <w:pStyle w:val="TM1"/>
            <w:tabs>
              <w:tab w:val="right" w:leader="dot" w:pos="9062"/>
            </w:tabs>
            <w:rPr>
              <w:rFonts w:eastAsiaTheme="minorEastAsia"/>
              <w:b w:val="0"/>
              <w:bCs w:val="0"/>
              <w:i w:val="0"/>
              <w:iCs w:val="0"/>
              <w:noProof/>
              <w:lang w:val="en-US"/>
            </w:rPr>
          </w:pPr>
          <w:hyperlink w:anchor="_Toc30690917" w:history="1">
            <w:r w:rsidRPr="00BD0F90">
              <w:rPr>
                <w:rStyle w:val="Lienhypertexte"/>
                <w:noProof/>
              </w:rPr>
              <w:t>Ont participé à ce rapport :</w:t>
            </w:r>
            <w:r>
              <w:rPr>
                <w:noProof/>
                <w:webHidden/>
              </w:rPr>
              <w:tab/>
            </w:r>
            <w:r>
              <w:rPr>
                <w:noProof/>
                <w:webHidden/>
              </w:rPr>
              <w:fldChar w:fldCharType="begin"/>
            </w:r>
            <w:r>
              <w:rPr>
                <w:noProof/>
                <w:webHidden/>
              </w:rPr>
              <w:instrText xml:space="preserve"> PAGEREF _Toc30690917 \h </w:instrText>
            </w:r>
            <w:r>
              <w:rPr>
                <w:noProof/>
                <w:webHidden/>
              </w:rPr>
            </w:r>
            <w:r>
              <w:rPr>
                <w:noProof/>
                <w:webHidden/>
              </w:rPr>
              <w:fldChar w:fldCharType="separate"/>
            </w:r>
            <w:r>
              <w:rPr>
                <w:noProof/>
                <w:webHidden/>
              </w:rPr>
              <w:t>4</w:t>
            </w:r>
            <w:r>
              <w:rPr>
                <w:noProof/>
                <w:webHidden/>
              </w:rPr>
              <w:fldChar w:fldCharType="end"/>
            </w:r>
          </w:hyperlink>
        </w:p>
        <w:p w14:paraId="4313D949" w14:textId="7C9C68CB" w:rsidR="00E23FAF" w:rsidRDefault="00E23FAF">
          <w:pPr>
            <w:pStyle w:val="TM1"/>
            <w:tabs>
              <w:tab w:val="right" w:leader="dot" w:pos="9062"/>
            </w:tabs>
            <w:rPr>
              <w:rFonts w:eastAsiaTheme="minorEastAsia"/>
              <w:b w:val="0"/>
              <w:bCs w:val="0"/>
              <w:i w:val="0"/>
              <w:iCs w:val="0"/>
              <w:noProof/>
              <w:lang w:val="en-US"/>
            </w:rPr>
          </w:pPr>
          <w:hyperlink w:anchor="_Toc30690918" w:history="1">
            <w:r w:rsidRPr="00BD0F90">
              <w:rPr>
                <w:rStyle w:val="Lienhypertexte"/>
                <w:noProof/>
              </w:rPr>
              <w:t>A propos du point 2 de la liste de questions :</w:t>
            </w:r>
            <w:r>
              <w:rPr>
                <w:noProof/>
                <w:webHidden/>
              </w:rPr>
              <w:tab/>
            </w:r>
            <w:r>
              <w:rPr>
                <w:noProof/>
                <w:webHidden/>
              </w:rPr>
              <w:fldChar w:fldCharType="begin"/>
            </w:r>
            <w:r>
              <w:rPr>
                <w:noProof/>
                <w:webHidden/>
              </w:rPr>
              <w:instrText xml:space="preserve"> PAGEREF _Toc30690918 \h </w:instrText>
            </w:r>
            <w:r>
              <w:rPr>
                <w:noProof/>
                <w:webHidden/>
              </w:rPr>
            </w:r>
            <w:r>
              <w:rPr>
                <w:noProof/>
                <w:webHidden/>
              </w:rPr>
              <w:fldChar w:fldCharType="separate"/>
            </w:r>
            <w:r>
              <w:rPr>
                <w:noProof/>
                <w:webHidden/>
              </w:rPr>
              <w:t>5</w:t>
            </w:r>
            <w:r>
              <w:rPr>
                <w:noProof/>
                <w:webHidden/>
              </w:rPr>
              <w:fldChar w:fldCharType="end"/>
            </w:r>
          </w:hyperlink>
        </w:p>
        <w:p w14:paraId="6B838DC0" w14:textId="4738EDB1" w:rsidR="00E23FAF" w:rsidRDefault="00E23FAF">
          <w:pPr>
            <w:pStyle w:val="TM1"/>
            <w:tabs>
              <w:tab w:val="right" w:leader="dot" w:pos="9062"/>
            </w:tabs>
            <w:rPr>
              <w:rFonts w:eastAsiaTheme="minorEastAsia"/>
              <w:b w:val="0"/>
              <w:bCs w:val="0"/>
              <w:i w:val="0"/>
              <w:iCs w:val="0"/>
              <w:noProof/>
              <w:lang w:val="en-US"/>
            </w:rPr>
          </w:pPr>
          <w:hyperlink w:anchor="_Toc30690919" w:history="1">
            <w:r w:rsidRPr="00BD0F90">
              <w:rPr>
                <w:rStyle w:val="Lienhypertexte"/>
                <w:noProof/>
              </w:rPr>
              <w:t>Relativement au point 6 de la liste de questions :</w:t>
            </w:r>
            <w:r>
              <w:rPr>
                <w:noProof/>
                <w:webHidden/>
              </w:rPr>
              <w:tab/>
            </w:r>
            <w:r>
              <w:rPr>
                <w:noProof/>
                <w:webHidden/>
              </w:rPr>
              <w:fldChar w:fldCharType="begin"/>
            </w:r>
            <w:r>
              <w:rPr>
                <w:noProof/>
                <w:webHidden/>
              </w:rPr>
              <w:instrText xml:space="preserve"> PAGEREF _Toc30690919 \h </w:instrText>
            </w:r>
            <w:r>
              <w:rPr>
                <w:noProof/>
                <w:webHidden/>
              </w:rPr>
            </w:r>
            <w:r>
              <w:rPr>
                <w:noProof/>
                <w:webHidden/>
              </w:rPr>
              <w:fldChar w:fldCharType="separate"/>
            </w:r>
            <w:r>
              <w:rPr>
                <w:noProof/>
                <w:webHidden/>
              </w:rPr>
              <w:t>7</w:t>
            </w:r>
            <w:r>
              <w:rPr>
                <w:noProof/>
                <w:webHidden/>
              </w:rPr>
              <w:fldChar w:fldCharType="end"/>
            </w:r>
          </w:hyperlink>
        </w:p>
        <w:p w14:paraId="30E1DC7D" w14:textId="36041BC4" w:rsidR="00E23FAF" w:rsidRDefault="00E23FAF">
          <w:pPr>
            <w:pStyle w:val="TM1"/>
            <w:tabs>
              <w:tab w:val="right" w:leader="dot" w:pos="9062"/>
            </w:tabs>
            <w:rPr>
              <w:rFonts w:eastAsiaTheme="minorEastAsia"/>
              <w:b w:val="0"/>
              <w:bCs w:val="0"/>
              <w:i w:val="0"/>
              <w:iCs w:val="0"/>
              <w:noProof/>
              <w:lang w:val="en-US"/>
            </w:rPr>
          </w:pPr>
          <w:hyperlink w:anchor="_Toc30690920" w:history="1">
            <w:r w:rsidRPr="00BD0F90">
              <w:rPr>
                <w:rStyle w:val="Lienhypertexte"/>
                <w:noProof/>
              </w:rPr>
              <w:t>Concernant le point 22 de la liste des questions :</w:t>
            </w:r>
            <w:r>
              <w:rPr>
                <w:noProof/>
                <w:webHidden/>
              </w:rPr>
              <w:tab/>
            </w:r>
            <w:r>
              <w:rPr>
                <w:noProof/>
                <w:webHidden/>
              </w:rPr>
              <w:fldChar w:fldCharType="begin"/>
            </w:r>
            <w:r>
              <w:rPr>
                <w:noProof/>
                <w:webHidden/>
              </w:rPr>
              <w:instrText xml:space="preserve"> PAGEREF _Toc30690920 \h </w:instrText>
            </w:r>
            <w:r>
              <w:rPr>
                <w:noProof/>
                <w:webHidden/>
              </w:rPr>
            </w:r>
            <w:r>
              <w:rPr>
                <w:noProof/>
                <w:webHidden/>
              </w:rPr>
              <w:fldChar w:fldCharType="separate"/>
            </w:r>
            <w:r>
              <w:rPr>
                <w:noProof/>
                <w:webHidden/>
              </w:rPr>
              <w:t>9</w:t>
            </w:r>
            <w:r>
              <w:rPr>
                <w:noProof/>
                <w:webHidden/>
              </w:rPr>
              <w:fldChar w:fldCharType="end"/>
            </w:r>
          </w:hyperlink>
        </w:p>
        <w:p w14:paraId="63D463E0" w14:textId="3C3D1FD0" w:rsidR="00E23FAF" w:rsidRDefault="00E23FAF">
          <w:pPr>
            <w:pStyle w:val="TM1"/>
            <w:tabs>
              <w:tab w:val="right" w:leader="dot" w:pos="9062"/>
            </w:tabs>
            <w:rPr>
              <w:rFonts w:eastAsiaTheme="minorEastAsia"/>
              <w:b w:val="0"/>
              <w:bCs w:val="0"/>
              <w:i w:val="0"/>
              <w:iCs w:val="0"/>
              <w:noProof/>
              <w:lang w:val="en-US"/>
            </w:rPr>
          </w:pPr>
          <w:hyperlink w:anchor="_Toc30690921" w:history="1">
            <w:r w:rsidRPr="00BD0F90">
              <w:rPr>
                <w:rStyle w:val="Lienhypertexte"/>
                <w:noProof/>
              </w:rPr>
              <w:t>Relativement au point 23 de la liste de questions :</w:t>
            </w:r>
            <w:r>
              <w:rPr>
                <w:noProof/>
                <w:webHidden/>
              </w:rPr>
              <w:tab/>
            </w:r>
            <w:r>
              <w:rPr>
                <w:noProof/>
                <w:webHidden/>
              </w:rPr>
              <w:fldChar w:fldCharType="begin"/>
            </w:r>
            <w:r>
              <w:rPr>
                <w:noProof/>
                <w:webHidden/>
              </w:rPr>
              <w:instrText xml:space="preserve"> PAGEREF _Toc30690921 \h </w:instrText>
            </w:r>
            <w:r>
              <w:rPr>
                <w:noProof/>
                <w:webHidden/>
              </w:rPr>
            </w:r>
            <w:r>
              <w:rPr>
                <w:noProof/>
                <w:webHidden/>
              </w:rPr>
              <w:fldChar w:fldCharType="separate"/>
            </w:r>
            <w:r>
              <w:rPr>
                <w:noProof/>
                <w:webHidden/>
              </w:rPr>
              <w:t>11</w:t>
            </w:r>
            <w:r>
              <w:rPr>
                <w:noProof/>
                <w:webHidden/>
              </w:rPr>
              <w:fldChar w:fldCharType="end"/>
            </w:r>
          </w:hyperlink>
        </w:p>
        <w:p w14:paraId="6608789E" w14:textId="41B8719B" w:rsidR="00E23FAF" w:rsidRDefault="00E23FAF">
          <w:pPr>
            <w:pStyle w:val="TM1"/>
            <w:tabs>
              <w:tab w:val="right" w:leader="dot" w:pos="9062"/>
            </w:tabs>
            <w:rPr>
              <w:rFonts w:eastAsiaTheme="minorEastAsia"/>
              <w:b w:val="0"/>
              <w:bCs w:val="0"/>
              <w:i w:val="0"/>
              <w:iCs w:val="0"/>
              <w:noProof/>
              <w:lang w:val="en-US"/>
            </w:rPr>
          </w:pPr>
          <w:hyperlink w:anchor="_Toc30690922" w:history="1">
            <w:r w:rsidRPr="00BD0F90">
              <w:rPr>
                <w:rStyle w:val="Lienhypertexte"/>
                <w:noProof/>
              </w:rPr>
              <w:t>Concernant le point 24 de la liste de questions :</w:t>
            </w:r>
            <w:r>
              <w:rPr>
                <w:noProof/>
                <w:webHidden/>
              </w:rPr>
              <w:tab/>
            </w:r>
            <w:r>
              <w:rPr>
                <w:noProof/>
                <w:webHidden/>
              </w:rPr>
              <w:fldChar w:fldCharType="begin"/>
            </w:r>
            <w:r>
              <w:rPr>
                <w:noProof/>
                <w:webHidden/>
              </w:rPr>
              <w:instrText xml:space="preserve"> PAGEREF _Toc30690922 \h </w:instrText>
            </w:r>
            <w:r>
              <w:rPr>
                <w:noProof/>
                <w:webHidden/>
              </w:rPr>
            </w:r>
            <w:r>
              <w:rPr>
                <w:noProof/>
                <w:webHidden/>
              </w:rPr>
              <w:fldChar w:fldCharType="separate"/>
            </w:r>
            <w:r>
              <w:rPr>
                <w:noProof/>
                <w:webHidden/>
              </w:rPr>
              <w:t>13</w:t>
            </w:r>
            <w:r>
              <w:rPr>
                <w:noProof/>
                <w:webHidden/>
              </w:rPr>
              <w:fldChar w:fldCharType="end"/>
            </w:r>
          </w:hyperlink>
        </w:p>
        <w:p w14:paraId="6E0822FB" w14:textId="68DA0DAE" w:rsidR="00E23FAF" w:rsidRDefault="00E23FAF">
          <w:pPr>
            <w:pStyle w:val="TM1"/>
            <w:tabs>
              <w:tab w:val="right" w:leader="dot" w:pos="9062"/>
            </w:tabs>
            <w:rPr>
              <w:rFonts w:eastAsiaTheme="minorEastAsia"/>
              <w:b w:val="0"/>
              <w:bCs w:val="0"/>
              <w:i w:val="0"/>
              <w:iCs w:val="0"/>
              <w:noProof/>
              <w:lang w:val="en-US"/>
            </w:rPr>
          </w:pPr>
          <w:hyperlink w:anchor="_Toc30690923" w:history="1">
            <w:r w:rsidRPr="00BD0F90">
              <w:rPr>
                <w:rStyle w:val="Lienhypertexte"/>
                <w:noProof/>
              </w:rPr>
              <w:t>A propos du point 25 de la liste de questions</w:t>
            </w:r>
            <w:r>
              <w:rPr>
                <w:noProof/>
                <w:webHidden/>
              </w:rPr>
              <w:tab/>
            </w:r>
            <w:r>
              <w:rPr>
                <w:noProof/>
                <w:webHidden/>
              </w:rPr>
              <w:fldChar w:fldCharType="begin"/>
            </w:r>
            <w:r>
              <w:rPr>
                <w:noProof/>
                <w:webHidden/>
              </w:rPr>
              <w:instrText xml:space="preserve"> PAGEREF _Toc30690923 \h </w:instrText>
            </w:r>
            <w:r>
              <w:rPr>
                <w:noProof/>
                <w:webHidden/>
              </w:rPr>
            </w:r>
            <w:r>
              <w:rPr>
                <w:noProof/>
                <w:webHidden/>
              </w:rPr>
              <w:fldChar w:fldCharType="separate"/>
            </w:r>
            <w:r>
              <w:rPr>
                <w:noProof/>
                <w:webHidden/>
              </w:rPr>
              <w:t>14</w:t>
            </w:r>
            <w:r>
              <w:rPr>
                <w:noProof/>
                <w:webHidden/>
              </w:rPr>
              <w:fldChar w:fldCharType="end"/>
            </w:r>
          </w:hyperlink>
        </w:p>
        <w:p w14:paraId="4932F25E" w14:textId="015E482B" w:rsidR="00E23FAF" w:rsidRDefault="00E23FAF">
          <w:pPr>
            <w:pStyle w:val="TM1"/>
            <w:tabs>
              <w:tab w:val="right" w:leader="dot" w:pos="9062"/>
            </w:tabs>
            <w:rPr>
              <w:rFonts w:eastAsiaTheme="minorEastAsia"/>
              <w:b w:val="0"/>
              <w:bCs w:val="0"/>
              <w:i w:val="0"/>
              <w:iCs w:val="0"/>
              <w:noProof/>
              <w:lang w:val="en-US"/>
            </w:rPr>
          </w:pPr>
          <w:hyperlink w:anchor="_Toc30690924" w:history="1">
            <w:r w:rsidRPr="00BD0F90">
              <w:rPr>
                <w:rStyle w:val="Lienhypertexte"/>
                <w:noProof/>
              </w:rPr>
              <w:t>Au sujet du point 30 de la liste de questions :</w:t>
            </w:r>
            <w:r>
              <w:rPr>
                <w:noProof/>
                <w:webHidden/>
              </w:rPr>
              <w:tab/>
            </w:r>
            <w:r>
              <w:rPr>
                <w:noProof/>
                <w:webHidden/>
              </w:rPr>
              <w:fldChar w:fldCharType="begin"/>
            </w:r>
            <w:r>
              <w:rPr>
                <w:noProof/>
                <w:webHidden/>
              </w:rPr>
              <w:instrText xml:space="preserve"> PAGEREF _Toc30690924 \h </w:instrText>
            </w:r>
            <w:r>
              <w:rPr>
                <w:noProof/>
                <w:webHidden/>
              </w:rPr>
            </w:r>
            <w:r>
              <w:rPr>
                <w:noProof/>
                <w:webHidden/>
              </w:rPr>
              <w:fldChar w:fldCharType="separate"/>
            </w:r>
            <w:r>
              <w:rPr>
                <w:noProof/>
                <w:webHidden/>
              </w:rPr>
              <w:t>16</w:t>
            </w:r>
            <w:r>
              <w:rPr>
                <w:noProof/>
                <w:webHidden/>
              </w:rPr>
              <w:fldChar w:fldCharType="end"/>
            </w:r>
          </w:hyperlink>
        </w:p>
        <w:p w14:paraId="4034FFA7" w14:textId="22F31F4B" w:rsidR="00E23FAF" w:rsidRDefault="00E23FAF">
          <w:r>
            <w:rPr>
              <w:b/>
              <w:bCs/>
              <w:noProof/>
            </w:rPr>
            <w:fldChar w:fldCharType="end"/>
          </w:r>
        </w:p>
      </w:sdtContent>
    </w:sdt>
    <w:p w14:paraId="72704C54" w14:textId="77777777" w:rsidR="00E23FAF" w:rsidRDefault="00E23FAF"/>
    <w:p w14:paraId="5FFF5B0C" w14:textId="77777777" w:rsidR="00E23FAF" w:rsidRDefault="00E23FAF"/>
    <w:p w14:paraId="0DDA743C" w14:textId="4C407618" w:rsidR="00E23FAF" w:rsidRDefault="00E23FAF">
      <w:pPr>
        <w:rPr>
          <w:rFonts w:ascii="Maiandra GD" w:hAnsi="Maiandra GD"/>
          <w:b/>
          <w:bCs/>
          <w:color w:val="002060"/>
          <w:sz w:val="24"/>
          <w:szCs w:val="24"/>
        </w:rPr>
      </w:pPr>
      <w:r>
        <w:br w:type="page"/>
      </w:r>
    </w:p>
    <w:p w14:paraId="182A0DB1" w14:textId="27DE150E" w:rsidR="001A587D" w:rsidRPr="00D02DA6" w:rsidRDefault="001A587D" w:rsidP="00A5335E">
      <w:pPr>
        <w:pStyle w:val="Titre1"/>
      </w:pPr>
      <w:bookmarkStart w:id="0" w:name="_Toc30690916"/>
      <w:r w:rsidRPr="00D02DA6">
        <w:lastRenderedPageBreak/>
        <w:t>Contexte général</w:t>
      </w:r>
      <w:bookmarkEnd w:id="0"/>
    </w:p>
    <w:p w14:paraId="211CE33B" w14:textId="0577982F" w:rsidR="00E20308" w:rsidRPr="00D02DA6" w:rsidRDefault="00E20308" w:rsidP="00E20308">
      <w:pPr>
        <w:pStyle w:val="Default"/>
        <w:spacing w:line="276" w:lineRule="auto"/>
        <w:jc w:val="both"/>
        <w:rPr>
          <w:rFonts w:ascii="Maiandra GD" w:hAnsi="Maiandra GD"/>
        </w:rPr>
      </w:pPr>
      <w:r w:rsidRPr="00D02DA6">
        <w:rPr>
          <w:rFonts w:ascii="Maiandra GD" w:hAnsi="Maiandra GD"/>
        </w:rPr>
        <w:t xml:space="preserve">Le présent rapport est soumis conformément à la pratique du </w:t>
      </w:r>
      <w:proofErr w:type="spellStart"/>
      <w:r w:rsidRPr="00D02DA6">
        <w:rPr>
          <w:rFonts w:ascii="Maiandra GD" w:hAnsi="Maiandra GD"/>
        </w:rPr>
        <w:t>reporting</w:t>
      </w:r>
      <w:proofErr w:type="spellEnd"/>
      <w:r w:rsidRPr="00D02DA6">
        <w:rPr>
          <w:rFonts w:ascii="Maiandra GD" w:hAnsi="Maiandra GD"/>
        </w:rPr>
        <w:t xml:space="preserve"> de la société civile devant les organes de traités de l’ONU. Il est l’œuvre d’organisations de la société civile de la République du Bénin œuvrant dans le domaine de la promotion et de la défense des droits humains ainsi que la lutte contre la corruption et l’impunité. Elaboré avec la participation desdites organisations, il </w:t>
      </w:r>
      <w:r w:rsidR="001E7551" w:rsidRPr="00D02DA6">
        <w:rPr>
          <w:rFonts w:ascii="Maiandra GD" w:hAnsi="Maiandra GD"/>
        </w:rPr>
        <w:t>met un focus</w:t>
      </w:r>
      <w:r w:rsidRPr="00D02DA6">
        <w:rPr>
          <w:rFonts w:ascii="Maiandra GD" w:hAnsi="Maiandra GD"/>
        </w:rPr>
        <w:t xml:space="preserve">, selon les informations à la disposition de la société civile, </w:t>
      </w:r>
      <w:r w:rsidR="001E7551" w:rsidRPr="00D02DA6">
        <w:rPr>
          <w:rFonts w:ascii="Maiandra GD" w:hAnsi="Maiandra GD"/>
        </w:rPr>
        <w:t xml:space="preserve">sur la corruption et les droits économiques, sociaux et culturels </w:t>
      </w:r>
      <w:r w:rsidRPr="00D02DA6">
        <w:rPr>
          <w:rFonts w:ascii="Maiandra GD" w:hAnsi="Maiandra GD"/>
        </w:rPr>
        <w:t>au Bénin.</w:t>
      </w:r>
    </w:p>
    <w:p w14:paraId="3F141779" w14:textId="75C46156" w:rsidR="00DA36AB" w:rsidRPr="00D02DA6" w:rsidRDefault="001F3CFA" w:rsidP="005A073E">
      <w:pPr>
        <w:spacing w:line="276" w:lineRule="auto"/>
        <w:jc w:val="both"/>
        <w:rPr>
          <w:rFonts w:ascii="Maiandra GD" w:hAnsi="Maiandra GD"/>
          <w:sz w:val="24"/>
          <w:szCs w:val="24"/>
        </w:rPr>
      </w:pPr>
      <w:r w:rsidRPr="00D02DA6">
        <w:rPr>
          <w:rFonts w:ascii="Maiandra GD" w:hAnsi="Maiandra GD"/>
          <w:sz w:val="24"/>
          <w:szCs w:val="24"/>
        </w:rPr>
        <w:t>Le Bénin a ratifié le Pacte International relatif aux Droits Economiques, Sociaux et Culturels le 12 mars 1992 et a subi son deuxième examen périodique sur l’app</w:t>
      </w:r>
      <w:r w:rsidR="00765097" w:rsidRPr="00D02DA6">
        <w:rPr>
          <w:rFonts w:ascii="Maiandra GD" w:hAnsi="Maiandra GD"/>
          <w:sz w:val="24"/>
          <w:szCs w:val="24"/>
        </w:rPr>
        <w:t>l</w:t>
      </w:r>
      <w:r w:rsidRPr="00D02DA6">
        <w:rPr>
          <w:rFonts w:ascii="Maiandra GD" w:hAnsi="Maiandra GD"/>
          <w:sz w:val="24"/>
          <w:szCs w:val="24"/>
        </w:rPr>
        <w:t>ication dudit Pacte aux 10</w:t>
      </w:r>
      <w:r w:rsidRPr="00D02DA6">
        <w:rPr>
          <w:rFonts w:ascii="Maiandra GD" w:hAnsi="Maiandra GD"/>
          <w:sz w:val="24"/>
          <w:szCs w:val="24"/>
          <w:vertAlign w:val="superscript"/>
        </w:rPr>
        <w:t>ième</w:t>
      </w:r>
      <w:r w:rsidRPr="00D02DA6">
        <w:rPr>
          <w:rFonts w:ascii="Maiandra GD" w:hAnsi="Maiandra GD"/>
          <w:sz w:val="24"/>
          <w:szCs w:val="24"/>
        </w:rPr>
        <w:t xml:space="preserve"> et 11</w:t>
      </w:r>
      <w:r w:rsidRPr="00D02DA6">
        <w:rPr>
          <w:rFonts w:ascii="Maiandra GD" w:hAnsi="Maiandra GD"/>
          <w:sz w:val="24"/>
          <w:szCs w:val="24"/>
          <w:vertAlign w:val="superscript"/>
        </w:rPr>
        <w:t>ième</w:t>
      </w:r>
      <w:r w:rsidRPr="00D02DA6">
        <w:rPr>
          <w:rFonts w:ascii="Maiandra GD" w:hAnsi="Maiandra GD"/>
          <w:sz w:val="24"/>
          <w:szCs w:val="24"/>
        </w:rPr>
        <w:t xml:space="preserve"> séances du Comité des Droits Economiques, Sociaux et Culturels tenues le 5 mai 2008. Au terme de cet examen, le Comité a adopté à sa 25</w:t>
      </w:r>
      <w:r w:rsidRPr="00D02DA6">
        <w:rPr>
          <w:rFonts w:ascii="Maiandra GD" w:hAnsi="Maiandra GD"/>
          <w:sz w:val="24"/>
          <w:szCs w:val="24"/>
          <w:vertAlign w:val="superscript"/>
        </w:rPr>
        <w:t>ième</w:t>
      </w:r>
      <w:r w:rsidRPr="00D02DA6">
        <w:rPr>
          <w:rFonts w:ascii="Maiandra GD" w:hAnsi="Maiandra GD"/>
          <w:sz w:val="24"/>
          <w:szCs w:val="24"/>
        </w:rPr>
        <w:t xml:space="preserve"> séance tenue le 16 mai 2008, des observations finales et dont le dernier paragraphe invitait le Bénin à présenter son troisième rapport périodique au plus tard le 30 juin 2010.</w:t>
      </w:r>
      <w:r w:rsidR="005E6D14" w:rsidRPr="00D02DA6">
        <w:rPr>
          <w:rFonts w:ascii="Maiandra GD" w:hAnsi="Maiandra GD"/>
          <w:sz w:val="24"/>
          <w:szCs w:val="24"/>
        </w:rPr>
        <w:t xml:space="preserve"> Considérant le retard accusé par l’Etat béninois dans la soumission du troisième rapport périodique, ledit rapport sera examiné en février 2020.</w:t>
      </w:r>
    </w:p>
    <w:p w14:paraId="1172D8AD" w14:textId="53A8F451" w:rsidR="00DA36AB" w:rsidRPr="00D02DA6" w:rsidRDefault="00765097" w:rsidP="005A073E">
      <w:pPr>
        <w:spacing w:line="276" w:lineRule="auto"/>
        <w:jc w:val="both"/>
        <w:rPr>
          <w:rFonts w:ascii="Maiandra GD" w:hAnsi="Maiandra GD"/>
          <w:sz w:val="24"/>
          <w:szCs w:val="24"/>
        </w:rPr>
      </w:pPr>
      <w:r w:rsidRPr="00D02DA6">
        <w:rPr>
          <w:rFonts w:ascii="Maiandra GD" w:hAnsi="Maiandra GD"/>
          <w:sz w:val="24"/>
          <w:szCs w:val="24"/>
        </w:rPr>
        <w:t>La corruption est l’un des principaux obstacles empêchant les individus de jouir pleinement de leurs droits, tels qu’ils sont inscrits dans les instruments des droits de l’homme de l’ONU. L’impact de la corruption sur la jouissance des droits de l’</w:t>
      </w:r>
      <w:r w:rsidR="005E6D14" w:rsidRPr="00D02DA6">
        <w:rPr>
          <w:rFonts w:ascii="Maiandra GD" w:hAnsi="Maiandra GD"/>
          <w:sz w:val="24"/>
          <w:szCs w:val="24"/>
        </w:rPr>
        <w:t>H</w:t>
      </w:r>
      <w:r w:rsidRPr="00D02DA6">
        <w:rPr>
          <w:rFonts w:ascii="Maiandra GD" w:hAnsi="Maiandra GD"/>
          <w:sz w:val="24"/>
          <w:szCs w:val="24"/>
        </w:rPr>
        <w:t>omme a depuis longtemps été reconnu : «la corruption conduit à la violation des droits de l’homme et entrave le respect effectif de ses obligations ».</w:t>
      </w:r>
    </w:p>
    <w:p w14:paraId="13B19F05" w14:textId="26D22D6C" w:rsidR="005E6D14" w:rsidRPr="00D02DA6" w:rsidRDefault="005E6D14" w:rsidP="005A073E">
      <w:pPr>
        <w:spacing w:line="276" w:lineRule="auto"/>
        <w:jc w:val="both"/>
        <w:rPr>
          <w:rFonts w:ascii="Maiandra GD" w:hAnsi="Maiandra GD"/>
          <w:sz w:val="24"/>
          <w:szCs w:val="24"/>
        </w:rPr>
      </w:pPr>
      <w:r w:rsidRPr="00D02DA6">
        <w:rPr>
          <w:rFonts w:ascii="Maiandra GD" w:hAnsi="Maiandra GD"/>
          <w:sz w:val="24"/>
          <w:szCs w:val="24"/>
        </w:rPr>
        <w:t>Depuis 2018, la manière dont les organes de traités ont abordé la question de la corruption dans leur travail s'est considérablement améliorée : la sensibilisation est accrue, la corruption est de plus en plus liée à d'autres violations des droits de l'homme et est mentionnée dans un plus grand nombre de pays. Toutefois, pour continuer à améliorer ce travail, les mécanismes des droits de l'homme des Nations Unies doivent recevoir des informations et des rapports sur le problème de la corruption. Mais pour la fourniture de telles informations et la rédaction de tels rapports, il importe d’assurer un renforcement de capacités des acteurs intervenant dans la matière.</w:t>
      </w:r>
    </w:p>
    <w:p w14:paraId="68255A6E" w14:textId="435ED64E" w:rsidR="00B5581A" w:rsidRPr="00D02DA6" w:rsidRDefault="00B5581A" w:rsidP="005A073E">
      <w:pPr>
        <w:spacing w:line="276" w:lineRule="auto"/>
        <w:jc w:val="both"/>
        <w:rPr>
          <w:rFonts w:ascii="Maiandra GD" w:hAnsi="Maiandra GD"/>
          <w:sz w:val="24"/>
          <w:szCs w:val="24"/>
        </w:rPr>
      </w:pPr>
      <w:r w:rsidRPr="00D02DA6">
        <w:rPr>
          <w:rFonts w:ascii="Maiandra GD" w:hAnsi="Maiandra GD"/>
          <w:sz w:val="24"/>
          <w:szCs w:val="24"/>
        </w:rPr>
        <w:t>C’est dans cet ordre d’idées que le CCPR-Centre a organisé une formation régionale le 10 décembre 2019 à Lomé au Togo. Le but de cette formation a été d’expliquer notamment comment mieux utiliser les mécanismes des droits de l'homme des Nations Unies pour rendre compte des problèmes de corruption, y compris des orientations et des recommandations pratiques pour intégrer efficacement les droits de l'homme dans la lutte contre la corruption.</w:t>
      </w:r>
      <w:r w:rsidR="00315BFA" w:rsidRPr="00D02DA6">
        <w:rPr>
          <w:rFonts w:ascii="Maiandra GD" w:hAnsi="Maiandra GD"/>
          <w:sz w:val="24"/>
          <w:szCs w:val="24"/>
        </w:rPr>
        <w:t xml:space="preserve"> Ladite formation a permis aussi de présenter un guide que le Centre a développé pour la communauté anti-corruption.</w:t>
      </w:r>
    </w:p>
    <w:p w14:paraId="285037C4" w14:textId="56778DC9" w:rsidR="00315BFA" w:rsidRPr="00D02DA6" w:rsidRDefault="00315BFA" w:rsidP="005A073E">
      <w:pPr>
        <w:spacing w:line="276" w:lineRule="auto"/>
        <w:jc w:val="both"/>
        <w:rPr>
          <w:rFonts w:ascii="Maiandra GD" w:hAnsi="Maiandra GD"/>
          <w:sz w:val="24"/>
          <w:szCs w:val="24"/>
        </w:rPr>
      </w:pPr>
      <w:r w:rsidRPr="00D02DA6">
        <w:rPr>
          <w:rFonts w:ascii="Maiandra GD" w:hAnsi="Maiandra GD"/>
          <w:sz w:val="24"/>
          <w:szCs w:val="24"/>
        </w:rPr>
        <w:t xml:space="preserve">Capitalisant tous ces éléments, les </w:t>
      </w:r>
      <w:r w:rsidR="00380424" w:rsidRPr="00D02DA6">
        <w:rPr>
          <w:rFonts w:ascii="Maiandra GD" w:hAnsi="Maiandra GD"/>
          <w:sz w:val="24"/>
          <w:szCs w:val="24"/>
        </w:rPr>
        <w:t>O</w:t>
      </w:r>
      <w:r w:rsidRPr="00D02DA6">
        <w:rPr>
          <w:rFonts w:ascii="Maiandra GD" w:hAnsi="Maiandra GD"/>
          <w:sz w:val="24"/>
          <w:szCs w:val="24"/>
        </w:rPr>
        <w:t>rganisations de la Société Civile</w:t>
      </w:r>
      <w:r w:rsidR="00380424" w:rsidRPr="00D02DA6">
        <w:rPr>
          <w:rFonts w:ascii="Maiandra GD" w:hAnsi="Maiandra GD"/>
          <w:sz w:val="24"/>
          <w:szCs w:val="24"/>
        </w:rPr>
        <w:t xml:space="preserve"> part</w:t>
      </w:r>
      <w:r w:rsidR="00DC5F63" w:rsidRPr="00D02DA6">
        <w:rPr>
          <w:rFonts w:ascii="Maiandra GD" w:hAnsi="Maiandra GD"/>
          <w:sz w:val="24"/>
          <w:szCs w:val="24"/>
        </w:rPr>
        <w:t xml:space="preserve">ies prenantes au Bénin ont élaboré en synergie d’actions, le présent rapport </w:t>
      </w:r>
      <w:r w:rsidR="00012323" w:rsidRPr="00D02DA6">
        <w:rPr>
          <w:rFonts w:ascii="Maiandra GD" w:hAnsi="Maiandra GD"/>
          <w:sz w:val="24"/>
          <w:szCs w:val="24"/>
        </w:rPr>
        <w:t>thématique dans</w:t>
      </w:r>
      <w:r w:rsidR="00DC5F63" w:rsidRPr="00D02DA6">
        <w:rPr>
          <w:rFonts w:ascii="Maiandra GD" w:hAnsi="Maiandra GD"/>
          <w:sz w:val="24"/>
          <w:szCs w:val="24"/>
        </w:rPr>
        <w:t xml:space="preserve"> le cadre du </w:t>
      </w:r>
      <w:bookmarkStart w:id="1" w:name="_GoBack"/>
      <w:bookmarkEnd w:id="1"/>
      <w:r w:rsidR="00DC5F63" w:rsidRPr="00D02DA6">
        <w:rPr>
          <w:rFonts w:ascii="Maiandra GD" w:hAnsi="Maiandra GD"/>
          <w:sz w:val="24"/>
          <w:szCs w:val="24"/>
        </w:rPr>
        <w:t>troisième passage de l’Etat béninois devant le Comité des Droits Economiques, Sociaux et Culturels.</w:t>
      </w:r>
    </w:p>
    <w:p w14:paraId="45FAE205" w14:textId="77777777" w:rsidR="005E6D14" w:rsidRPr="00D02DA6" w:rsidRDefault="005E6D14" w:rsidP="005A073E">
      <w:pPr>
        <w:spacing w:line="276" w:lineRule="auto"/>
        <w:jc w:val="both"/>
        <w:rPr>
          <w:rFonts w:ascii="Maiandra GD" w:hAnsi="Maiandra GD"/>
          <w:sz w:val="24"/>
          <w:szCs w:val="24"/>
        </w:rPr>
      </w:pPr>
    </w:p>
    <w:p w14:paraId="1FE2BDEA" w14:textId="00D5498A" w:rsidR="00423E65" w:rsidRPr="00D02DA6" w:rsidRDefault="005A073E" w:rsidP="00A5335E">
      <w:pPr>
        <w:pStyle w:val="Titre1"/>
      </w:pPr>
      <w:bookmarkStart w:id="2" w:name="_Toc30690917"/>
      <w:r w:rsidRPr="00D02DA6">
        <w:t>Ont participé à ce rapport :</w:t>
      </w:r>
      <w:bookmarkEnd w:id="2"/>
    </w:p>
    <w:p w14:paraId="706FB0F6" w14:textId="21FC5171" w:rsidR="005A073E" w:rsidRPr="00D02DA6" w:rsidRDefault="00E87412" w:rsidP="005A073E">
      <w:pPr>
        <w:spacing w:line="276" w:lineRule="auto"/>
        <w:jc w:val="both"/>
        <w:rPr>
          <w:rFonts w:ascii="Maiandra GD" w:hAnsi="Maiandra GD"/>
          <w:sz w:val="24"/>
          <w:szCs w:val="24"/>
        </w:rPr>
      </w:pPr>
      <w:r w:rsidRPr="00D02DA6">
        <w:rPr>
          <w:rFonts w:ascii="Maiandra GD" w:hAnsi="Maiandra GD"/>
          <w:sz w:val="24"/>
          <w:szCs w:val="24"/>
        </w:rPr>
        <w:t>Association de Lutte Contre le Racisme, l’Ethnocentrisme et le Régionalisme (ALCRER)</w:t>
      </w:r>
    </w:p>
    <w:p w14:paraId="6F7E4E0F" w14:textId="631A10E6" w:rsidR="005A073E" w:rsidRPr="00D02DA6" w:rsidRDefault="00E87412" w:rsidP="005A073E">
      <w:pPr>
        <w:spacing w:line="276" w:lineRule="auto"/>
        <w:jc w:val="both"/>
        <w:rPr>
          <w:rFonts w:ascii="Maiandra GD" w:hAnsi="Maiandra GD"/>
          <w:sz w:val="24"/>
          <w:szCs w:val="24"/>
        </w:rPr>
      </w:pPr>
      <w:r w:rsidRPr="00D02DA6">
        <w:rPr>
          <w:rFonts w:ascii="Maiandra GD" w:hAnsi="Maiandra GD"/>
          <w:sz w:val="24"/>
          <w:szCs w:val="24"/>
        </w:rPr>
        <w:t>Changement Social Bénin (CSB)</w:t>
      </w:r>
    </w:p>
    <w:p w14:paraId="7A0738FE" w14:textId="1E7C2EA7" w:rsidR="00E87412" w:rsidRPr="00D02DA6" w:rsidRDefault="00E87412" w:rsidP="005A073E">
      <w:pPr>
        <w:spacing w:line="276" w:lineRule="auto"/>
        <w:jc w:val="both"/>
        <w:rPr>
          <w:rFonts w:ascii="Maiandra GD" w:hAnsi="Maiandra GD"/>
          <w:sz w:val="24"/>
          <w:szCs w:val="24"/>
        </w:rPr>
      </w:pPr>
      <w:r w:rsidRPr="00D02DA6">
        <w:rPr>
          <w:rFonts w:ascii="Maiandra GD" w:hAnsi="Maiandra GD"/>
          <w:sz w:val="24"/>
          <w:szCs w:val="24"/>
        </w:rPr>
        <w:t>Enfants Solidaires d’Afrique et du Monde (ESAM)</w:t>
      </w:r>
      <w:r w:rsidR="00F34B0F" w:rsidRPr="00D02DA6">
        <w:rPr>
          <w:rFonts w:ascii="Maiandra GD" w:hAnsi="Maiandra GD"/>
          <w:sz w:val="24"/>
          <w:szCs w:val="24"/>
        </w:rPr>
        <w:t xml:space="preserve"> / Comité de Liaison Organisations Sociales de défense des droits de l’Enfant (CLOSE)</w:t>
      </w:r>
    </w:p>
    <w:p w14:paraId="34623CDB" w14:textId="07192BD1" w:rsidR="00E87412" w:rsidRPr="00D02DA6" w:rsidRDefault="00E87412" w:rsidP="005A073E">
      <w:pPr>
        <w:spacing w:line="276" w:lineRule="auto"/>
        <w:jc w:val="both"/>
        <w:rPr>
          <w:rFonts w:ascii="Maiandra GD" w:hAnsi="Maiandra GD"/>
          <w:sz w:val="24"/>
          <w:szCs w:val="24"/>
        </w:rPr>
      </w:pPr>
      <w:r w:rsidRPr="00D02DA6">
        <w:rPr>
          <w:rFonts w:ascii="Maiandra GD" w:hAnsi="Maiandra GD"/>
          <w:sz w:val="24"/>
          <w:szCs w:val="24"/>
        </w:rPr>
        <w:t>Franciscains International Bénin</w:t>
      </w:r>
      <w:r w:rsidR="00D02DA6">
        <w:rPr>
          <w:rFonts w:ascii="Maiandra GD" w:hAnsi="Maiandra GD"/>
          <w:sz w:val="24"/>
          <w:szCs w:val="24"/>
        </w:rPr>
        <w:t xml:space="preserve"> (FIB)</w:t>
      </w:r>
    </w:p>
    <w:p w14:paraId="2A10CFF0" w14:textId="13B5CF0C" w:rsidR="005A073E" w:rsidRPr="00D02DA6" w:rsidRDefault="00E87412" w:rsidP="005A073E">
      <w:pPr>
        <w:spacing w:line="276" w:lineRule="auto"/>
        <w:jc w:val="both"/>
        <w:rPr>
          <w:rFonts w:ascii="Maiandra GD" w:hAnsi="Maiandra GD"/>
          <w:sz w:val="24"/>
          <w:szCs w:val="24"/>
        </w:rPr>
      </w:pPr>
      <w:r w:rsidRPr="00D02DA6">
        <w:rPr>
          <w:rFonts w:ascii="Maiandra GD" w:hAnsi="Maiandra GD"/>
          <w:sz w:val="24"/>
          <w:szCs w:val="24"/>
        </w:rPr>
        <w:t>Front des Organisations Nationales contre la Corruption (FONAC)</w:t>
      </w:r>
    </w:p>
    <w:p w14:paraId="40D4B070" w14:textId="3B3260E1" w:rsidR="00E23FAF" w:rsidRDefault="00E87412" w:rsidP="005A073E">
      <w:pPr>
        <w:spacing w:line="276" w:lineRule="auto"/>
        <w:jc w:val="both"/>
        <w:rPr>
          <w:rFonts w:ascii="Maiandra GD" w:hAnsi="Maiandra GD"/>
          <w:sz w:val="24"/>
          <w:szCs w:val="24"/>
          <w:lang w:val="en-US"/>
        </w:rPr>
      </w:pPr>
      <w:r w:rsidRPr="00A5335E">
        <w:rPr>
          <w:rFonts w:ascii="Maiandra GD" w:hAnsi="Maiandra GD"/>
          <w:sz w:val="24"/>
          <w:szCs w:val="24"/>
          <w:lang w:val="en-US"/>
        </w:rPr>
        <w:t xml:space="preserve">Women </w:t>
      </w:r>
      <w:proofErr w:type="gramStart"/>
      <w:r w:rsidRPr="00A5335E">
        <w:rPr>
          <w:rFonts w:ascii="Maiandra GD" w:hAnsi="Maiandra GD"/>
          <w:sz w:val="24"/>
          <w:szCs w:val="24"/>
          <w:lang w:val="en-US"/>
        </w:rPr>
        <w:t>In</w:t>
      </w:r>
      <w:proofErr w:type="gramEnd"/>
      <w:r w:rsidRPr="00A5335E">
        <w:rPr>
          <w:rFonts w:ascii="Maiandra GD" w:hAnsi="Maiandra GD"/>
          <w:sz w:val="24"/>
          <w:szCs w:val="24"/>
          <w:lang w:val="en-US"/>
        </w:rPr>
        <w:t xml:space="preserve"> Law and Development in Africa – Bénin (WILDAF Bénin)</w:t>
      </w:r>
    </w:p>
    <w:p w14:paraId="16BB6BBC" w14:textId="3024D899" w:rsidR="00E23FAF" w:rsidRPr="00A5335E" w:rsidRDefault="00E23FAF" w:rsidP="00A5335E">
      <w:pPr>
        <w:spacing w:line="276" w:lineRule="auto"/>
        <w:ind w:firstLine="708"/>
        <w:jc w:val="both"/>
        <w:rPr>
          <w:rFonts w:ascii="Maiandra GD" w:hAnsi="Maiandra GD"/>
          <w:sz w:val="24"/>
          <w:szCs w:val="24"/>
          <w:lang w:val="fr-CH"/>
        </w:rPr>
      </w:pPr>
      <w:r w:rsidRPr="00A5335E">
        <w:rPr>
          <w:rFonts w:ascii="Maiandra GD" w:hAnsi="Maiandra GD"/>
          <w:sz w:val="24"/>
          <w:szCs w:val="24"/>
          <w:lang w:val="fr-CH"/>
        </w:rPr>
        <w:t>Avec le soutien du Centre pour les d</w:t>
      </w:r>
      <w:r>
        <w:rPr>
          <w:rFonts w:ascii="Maiandra GD" w:hAnsi="Maiandra GD"/>
          <w:sz w:val="24"/>
          <w:szCs w:val="24"/>
          <w:lang w:val="fr-CH"/>
        </w:rPr>
        <w:t>roits civils et politiques</w:t>
      </w:r>
    </w:p>
    <w:p w14:paraId="7C1B40CC" w14:textId="6E818216" w:rsidR="00E23FAF" w:rsidRPr="00A5335E" w:rsidRDefault="00E23FAF">
      <w:pPr>
        <w:rPr>
          <w:rFonts w:ascii="Maiandra GD" w:hAnsi="Maiandra GD"/>
          <w:sz w:val="24"/>
          <w:szCs w:val="24"/>
          <w:lang w:val="fr-CH"/>
        </w:rPr>
      </w:pPr>
      <w:r w:rsidRPr="00A5335E">
        <w:rPr>
          <w:rFonts w:ascii="Maiandra GD" w:hAnsi="Maiandra GD"/>
          <w:sz w:val="24"/>
          <w:szCs w:val="24"/>
          <w:lang w:val="fr-CH"/>
        </w:rPr>
        <w:br w:type="page"/>
      </w:r>
    </w:p>
    <w:p w14:paraId="4B136F73" w14:textId="08DCA8C5" w:rsidR="004D5F4B" w:rsidRPr="00D02DA6" w:rsidRDefault="004D5F4B" w:rsidP="00A5335E">
      <w:pPr>
        <w:pStyle w:val="Titre1"/>
      </w:pPr>
      <w:bookmarkStart w:id="3" w:name="_Toc30690918"/>
      <w:r w:rsidRPr="00D02DA6">
        <w:lastRenderedPageBreak/>
        <w:t xml:space="preserve">A propos du </w:t>
      </w:r>
      <w:r w:rsidRPr="00E23FAF">
        <w:t>point</w:t>
      </w:r>
      <w:r w:rsidRPr="00D02DA6">
        <w:t xml:space="preserve"> 2 de la liste de questions :</w:t>
      </w:r>
      <w:bookmarkEnd w:id="3"/>
    </w:p>
    <w:p w14:paraId="0D69B49D" w14:textId="5CE1B648" w:rsidR="004D668D" w:rsidRPr="007631C1" w:rsidRDefault="004D668D"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rPr>
      </w:pPr>
      <w:r w:rsidRPr="007631C1">
        <w:rPr>
          <w:rFonts w:ascii="Times New Roman" w:hAnsi="Times New Roman" w:cs="Times New Roman"/>
        </w:rPr>
        <w:t>2.</w:t>
      </w:r>
      <w:r w:rsidRPr="007631C1">
        <w:rPr>
          <w:rFonts w:ascii="Times New Roman" w:hAnsi="Times New Roman" w:cs="Times New Roman"/>
        </w:rPr>
        <w:tab/>
        <w:t>Veuillez fournir des informations sur les mesures adoptées par l’État partie pour garantir les ressources financières et humaines nécessaires à la Commission béninoise des droits de l’homme pour la mise en œuvre de son mandat de façon indépendante et conformément aux Principes concernant le statut des institutions nationales pour la promotion et la protection des droits de l’homme (Principes de Paris).</w:t>
      </w:r>
    </w:p>
    <w:p w14:paraId="50D8D691" w14:textId="197A0128" w:rsidR="004D668D" w:rsidRPr="00D02DA6" w:rsidRDefault="004D668D"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Dispositions de principe :</w:t>
      </w:r>
      <w:r w:rsidR="00CF0EB9" w:rsidRPr="00D02DA6">
        <w:rPr>
          <w:rFonts w:ascii="Maiandra GD" w:hAnsi="Maiandra GD"/>
          <w:color w:val="002060"/>
          <w:sz w:val="24"/>
          <w:szCs w:val="24"/>
        </w:rPr>
        <w:t xml:space="preserve"> </w:t>
      </w:r>
    </w:p>
    <w:p w14:paraId="78F381C8" w14:textId="10C73891" w:rsidR="009C6529" w:rsidRPr="00D02DA6" w:rsidRDefault="00487845" w:rsidP="005A073E">
      <w:pPr>
        <w:spacing w:line="276" w:lineRule="auto"/>
        <w:jc w:val="both"/>
        <w:rPr>
          <w:rFonts w:ascii="Maiandra GD" w:hAnsi="Maiandra GD"/>
          <w:color w:val="000000"/>
          <w:sz w:val="24"/>
          <w:szCs w:val="24"/>
        </w:rPr>
      </w:pPr>
      <w:r w:rsidRPr="00D02DA6">
        <w:rPr>
          <w:rFonts w:ascii="Maiandra GD" w:hAnsi="Maiandra GD"/>
          <w:sz w:val="24"/>
          <w:szCs w:val="24"/>
        </w:rPr>
        <w:t>L’Etat partie a installé officiellement le 3 janvier 2019 une nouvelle Commission Béninoise des Droits de l’Homme, qui s’est conformée à biens d’égards aux Principes de Paris</w:t>
      </w:r>
      <w:r w:rsidRPr="00D02DA6">
        <w:rPr>
          <w:rFonts w:ascii="Maiandra GD" w:hAnsi="Maiandra GD"/>
          <w:color w:val="000000"/>
          <w:sz w:val="24"/>
          <w:szCs w:val="24"/>
        </w:rPr>
        <w:t>, notamment en ce qui concerne le mode de désignation des commissaires, la configuration, le mode de financement, ainsi que les prérogatives. Après l’épineuse étape de désignation des représentants des différents acteurs, le processus s’est poursuivi avec la prise du décret de nomination des 11 Commissaires, le 28 novembre 2018, la prestation de serment des Commissaires le 28 décembre 2018 devant la Cour Constitutionnelle du Bénin et enfin l’installation de la Commission et l’élection des membres du bureau le 3 janvier 2019, nous pouvons dire que la Commission Béninoise des Droits de l’Homme est mise en place.</w:t>
      </w:r>
      <w:r w:rsidR="004D668D" w:rsidRPr="00D02DA6">
        <w:rPr>
          <w:rFonts w:ascii="Maiandra GD" w:hAnsi="Maiandra GD"/>
          <w:color w:val="000000"/>
          <w:sz w:val="24"/>
          <w:szCs w:val="24"/>
        </w:rPr>
        <w:t xml:space="preserve"> </w:t>
      </w:r>
    </w:p>
    <w:p w14:paraId="4B70FD8A" w14:textId="2F79FA2D" w:rsidR="004D668D" w:rsidRPr="00D02DA6" w:rsidRDefault="004D668D" w:rsidP="004D668D">
      <w:pPr>
        <w:pStyle w:val="Paragraphedeliste"/>
        <w:numPr>
          <w:ilvl w:val="0"/>
          <w:numId w:val="3"/>
        </w:numPr>
        <w:spacing w:line="276" w:lineRule="auto"/>
        <w:jc w:val="both"/>
        <w:rPr>
          <w:rFonts w:ascii="Maiandra GD" w:hAnsi="Maiandra GD"/>
          <w:color w:val="000000"/>
        </w:rPr>
      </w:pPr>
      <w:r w:rsidRPr="00D02DA6">
        <w:rPr>
          <w:rFonts w:ascii="Maiandra GD" w:hAnsi="Maiandra GD"/>
          <w:color w:val="000000"/>
        </w:rPr>
        <w:t>Aux termes de l’article 5 de la loi 2012-36 du 15 février 2013 portant création de la Commission Béninoise des Droits de l’Homme, « (…) Tout membre de la Commission doit remplir les conditions ci-après : (…) - ne pas appartenir à un organe dirigeant d’une formation politique (…) »</w:t>
      </w:r>
    </w:p>
    <w:p w14:paraId="2263A794" w14:textId="1A83852A" w:rsidR="00A048AA" w:rsidRPr="00D02DA6" w:rsidRDefault="00DD72F3" w:rsidP="00111DB6">
      <w:pPr>
        <w:pStyle w:val="Paragraphedeliste"/>
        <w:numPr>
          <w:ilvl w:val="0"/>
          <w:numId w:val="3"/>
        </w:numPr>
        <w:spacing w:line="276" w:lineRule="auto"/>
        <w:jc w:val="both"/>
        <w:rPr>
          <w:rFonts w:ascii="Maiandra GD" w:hAnsi="Maiandra GD"/>
          <w:color w:val="000000"/>
        </w:rPr>
      </w:pPr>
      <w:r w:rsidRPr="00D02DA6">
        <w:rPr>
          <w:rFonts w:ascii="Maiandra GD" w:hAnsi="Maiandra GD"/>
          <w:color w:val="000000"/>
        </w:rPr>
        <w:t>Aux termes de l’article 25 de la même loi, « Les ressources de la Commission sont constituées :  - d’une dotation initiale composée de fonds, d’immeubles, de mobiliers, de matériels mis à disposition par l’Etat (…) »</w:t>
      </w:r>
      <w:r w:rsidR="00A16F99" w:rsidRPr="00D02DA6">
        <w:rPr>
          <w:rFonts w:ascii="Maiandra GD" w:hAnsi="Maiandra GD"/>
          <w:color w:val="000000"/>
        </w:rPr>
        <w:t>. Ceci est rappelé par l’article 7 du décret 2014-315 du 6 mai 2014 portant modalités d’application de la loi 2012-36 du 15 février 2013.</w:t>
      </w:r>
    </w:p>
    <w:p w14:paraId="2587B086" w14:textId="0F57B9A8" w:rsidR="00A048AA" w:rsidRPr="00D02DA6" w:rsidRDefault="00A048AA"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Tendances lourdes :</w:t>
      </w:r>
    </w:p>
    <w:p w14:paraId="0C6E58C7" w14:textId="63911BA6" w:rsidR="00497F75" w:rsidRPr="00D02DA6" w:rsidRDefault="00A048AA" w:rsidP="005A073E">
      <w:pPr>
        <w:spacing w:line="276" w:lineRule="auto"/>
        <w:jc w:val="both"/>
        <w:rPr>
          <w:rFonts w:ascii="Maiandra GD" w:hAnsi="Maiandra GD"/>
          <w:color w:val="000000"/>
          <w:sz w:val="24"/>
          <w:szCs w:val="24"/>
        </w:rPr>
      </w:pPr>
      <w:r w:rsidRPr="00D02DA6">
        <w:rPr>
          <w:rFonts w:ascii="Maiandra GD" w:hAnsi="Maiandra GD"/>
          <w:color w:val="000000"/>
          <w:sz w:val="24"/>
          <w:szCs w:val="24"/>
        </w:rPr>
        <w:t>I</w:t>
      </w:r>
      <w:r w:rsidR="00487845" w:rsidRPr="00D02DA6">
        <w:rPr>
          <w:rFonts w:ascii="Maiandra GD" w:hAnsi="Maiandra GD"/>
          <w:color w:val="000000"/>
          <w:sz w:val="24"/>
          <w:szCs w:val="24"/>
        </w:rPr>
        <w:t xml:space="preserve">l faut observer que depuis son installation, la Commission Béninoise des Droits de l’Homme ne dispose pas encore d’un véritable siège si ce n’est une petite salle pouvant comporter en moyenne les </w:t>
      </w:r>
      <w:r w:rsidR="001E30B5">
        <w:rPr>
          <w:rFonts w:ascii="Maiandra GD" w:hAnsi="Maiandra GD"/>
          <w:color w:val="000000"/>
          <w:sz w:val="24"/>
          <w:szCs w:val="24"/>
        </w:rPr>
        <w:t>o</w:t>
      </w:r>
      <w:r w:rsidR="00487845" w:rsidRPr="00D02DA6">
        <w:rPr>
          <w:rFonts w:ascii="Maiandra GD" w:hAnsi="Maiandra GD"/>
          <w:color w:val="000000"/>
          <w:sz w:val="24"/>
          <w:szCs w:val="24"/>
        </w:rPr>
        <w:t xml:space="preserve">nze Commissaires. Pour sa première année de fonctionnement, aucune ressource matérielle n’a été mise à disposition de la Commission de la part du Gouvernement et il en est de même pour les ressources financières et le régime indemnitaire, tout ceci en violation flagrante des dispositions législatives et réglementaires. Au demeurant, après les élections de la huitième législature, la désignation des représentants </w:t>
      </w:r>
      <w:r w:rsidR="00826B88" w:rsidRPr="00D02DA6">
        <w:rPr>
          <w:rFonts w:ascii="Maiandra GD" w:hAnsi="Maiandra GD"/>
          <w:color w:val="000000"/>
          <w:sz w:val="24"/>
          <w:szCs w:val="24"/>
        </w:rPr>
        <w:t>du Parlement au sein de la Commission ne s’est pas faite conformément aux règles prescrites par la loi car d’une part, une ancienne Député</w:t>
      </w:r>
      <w:r w:rsidR="001E30B5">
        <w:rPr>
          <w:rFonts w:ascii="Maiandra GD" w:hAnsi="Maiandra GD"/>
          <w:color w:val="000000"/>
          <w:sz w:val="24"/>
          <w:szCs w:val="24"/>
        </w:rPr>
        <w:t>e</w:t>
      </w:r>
      <w:r w:rsidR="00826B88" w:rsidRPr="00D02DA6">
        <w:rPr>
          <w:rFonts w:ascii="Maiandra GD" w:hAnsi="Maiandra GD"/>
          <w:color w:val="000000"/>
          <w:sz w:val="24"/>
          <w:szCs w:val="24"/>
        </w:rPr>
        <w:t xml:space="preserve"> membre de la Commission qui a été réélue a été remplacée alors que le mandat de Commiss</w:t>
      </w:r>
      <w:r w:rsidR="001E30B5">
        <w:rPr>
          <w:rFonts w:ascii="Maiandra GD" w:hAnsi="Maiandra GD"/>
          <w:color w:val="000000"/>
          <w:sz w:val="24"/>
          <w:szCs w:val="24"/>
        </w:rPr>
        <w:t>aire</w:t>
      </w:r>
      <w:r w:rsidR="00826B88" w:rsidRPr="00D02DA6">
        <w:rPr>
          <w:rFonts w:ascii="Maiandra GD" w:hAnsi="Maiandra GD"/>
          <w:color w:val="000000"/>
          <w:sz w:val="24"/>
          <w:szCs w:val="24"/>
        </w:rPr>
        <w:t xml:space="preserve"> courait encore et d’autre part, les deux nouveaux Députés désignés </w:t>
      </w:r>
      <w:r w:rsidR="00826B88" w:rsidRPr="00D02DA6">
        <w:rPr>
          <w:rFonts w:ascii="Maiandra GD" w:hAnsi="Maiandra GD"/>
          <w:color w:val="000000"/>
          <w:sz w:val="24"/>
          <w:szCs w:val="24"/>
        </w:rPr>
        <w:lastRenderedPageBreak/>
        <w:t xml:space="preserve">pour siéger au sein de la Commission en tant que Représentants du Parlement figurent parmi les membres des organes </w:t>
      </w:r>
      <w:r w:rsidR="004C03AD">
        <w:rPr>
          <w:rFonts w:ascii="Maiandra GD" w:hAnsi="Maiandra GD"/>
          <w:color w:val="000000"/>
          <w:sz w:val="24"/>
          <w:szCs w:val="24"/>
        </w:rPr>
        <w:t>dirigeants</w:t>
      </w:r>
      <w:r w:rsidR="00826B88" w:rsidRPr="00D02DA6">
        <w:rPr>
          <w:rFonts w:ascii="Maiandra GD" w:hAnsi="Maiandra GD"/>
          <w:color w:val="000000"/>
          <w:sz w:val="24"/>
          <w:szCs w:val="24"/>
        </w:rPr>
        <w:t xml:space="preserve"> de leurs partis politiques. </w:t>
      </w:r>
    </w:p>
    <w:p w14:paraId="2BCD6432" w14:textId="69DC60C6" w:rsidR="00497F75" w:rsidRPr="00D02DA6" w:rsidRDefault="00497F75"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Observations :</w:t>
      </w:r>
    </w:p>
    <w:p w14:paraId="30C6CA3F" w14:textId="77A881FE" w:rsidR="00487845" w:rsidRPr="00D02DA6" w:rsidRDefault="00497F75" w:rsidP="005A073E">
      <w:pPr>
        <w:spacing w:line="276" w:lineRule="auto"/>
        <w:jc w:val="both"/>
        <w:rPr>
          <w:rFonts w:ascii="Maiandra GD" w:hAnsi="Maiandra GD"/>
          <w:color w:val="000000"/>
          <w:sz w:val="24"/>
          <w:szCs w:val="24"/>
        </w:rPr>
      </w:pPr>
      <w:r w:rsidRPr="00D02DA6">
        <w:rPr>
          <w:rFonts w:ascii="Maiandra GD" w:hAnsi="Maiandra GD"/>
          <w:color w:val="000000"/>
          <w:sz w:val="24"/>
          <w:szCs w:val="24"/>
        </w:rPr>
        <w:t>De tout ce qui précède, il ressort que les tendances lourdes renseignent d’un déphasage entre les dispositions de princip</w:t>
      </w:r>
      <w:r w:rsidR="005E226E" w:rsidRPr="00D02DA6">
        <w:rPr>
          <w:rFonts w:ascii="Maiandra GD" w:hAnsi="Maiandra GD"/>
          <w:color w:val="000000"/>
          <w:sz w:val="24"/>
          <w:szCs w:val="24"/>
        </w:rPr>
        <w:t>e</w:t>
      </w:r>
      <w:r w:rsidRPr="00D02DA6">
        <w:rPr>
          <w:rFonts w:ascii="Maiandra GD" w:hAnsi="Maiandra GD"/>
          <w:color w:val="000000"/>
          <w:sz w:val="24"/>
          <w:szCs w:val="24"/>
        </w:rPr>
        <w:t xml:space="preserve"> et la réalité constatée.</w:t>
      </w:r>
      <w:r w:rsidR="007144CE" w:rsidRPr="00D02DA6">
        <w:rPr>
          <w:rFonts w:ascii="Maiandra GD" w:hAnsi="Maiandra GD"/>
          <w:color w:val="000000"/>
          <w:sz w:val="24"/>
          <w:szCs w:val="24"/>
        </w:rPr>
        <w:t xml:space="preserve"> </w:t>
      </w:r>
      <w:r w:rsidRPr="00D02DA6">
        <w:rPr>
          <w:rFonts w:ascii="Maiandra GD" w:hAnsi="Maiandra GD"/>
          <w:color w:val="000000"/>
          <w:sz w:val="24"/>
          <w:szCs w:val="24"/>
        </w:rPr>
        <w:t xml:space="preserve">Ce qui traduit une </w:t>
      </w:r>
      <w:r w:rsidR="007144CE" w:rsidRPr="00D02DA6">
        <w:rPr>
          <w:rFonts w:ascii="Maiandra GD" w:hAnsi="Maiandra GD"/>
          <w:color w:val="000000"/>
          <w:sz w:val="24"/>
          <w:szCs w:val="24"/>
        </w:rPr>
        <w:t>contra</w:t>
      </w:r>
      <w:r w:rsidRPr="00D02DA6">
        <w:rPr>
          <w:rFonts w:ascii="Maiandra GD" w:hAnsi="Maiandra GD"/>
          <w:color w:val="000000"/>
          <w:sz w:val="24"/>
          <w:szCs w:val="24"/>
        </w:rPr>
        <w:t>riété</w:t>
      </w:r>
      <w:r w:rsidR="007144CE" w:rsidRPr="00D02DA6">
        <w:rPr>
          <w:rFonts w:ascii="Maiandra GD" w:hAnsi="Maiandra GD"/>
          <w:color w:val="000000"/>
          <w:sz w:val="24"/>
          <w:szCs w:val="24"/>
        </w:rPr>
        <w:t xml:space="preserve"> </w:t>
      </w:r>
      <w:r w:rsidRPr="00D02DA6">
        <w:rPr>
          <w:rFonts w:ascii="Maiandra GD" w:hAnsi="Maiandra GD"/>
          <w:color w:val="000000"/>
          <w:sz w:val="24"/>
          <w:szCs w:val="24"/>
        </w:rPr>
        <w:t>avec le</w:t>
      </w:r>
      <w:r w:rsidR="007144CE" w:rsidRPr="00D02DA6">
        <w:rPr>
          <w:rFonts w:ascii="Maiandra GD" w:hAnsi="Maiandra GD"/>
          <w:color w:val="000000"/>
          <w:sz w:val="24"/>
          <w:szCs w:val="24"/>
        </w:rPr>
        <w:t xml:space="preserve"> régime d’incompatibilité imposé par les dispositions législatives et </w:t>
      </w:r>
      <w:r w:rsidR="005B28FB" w:rsidRPr="00D02DA6">
        <w:rPr>
          <w:rFonts w:ascii="Maiandra GD" w:hAnsi="Maiandra GD"/>
          <w:color w:val="000000"/>
          <w:sz w:val="24"/>
          <w:szCs w:val="24"/>
        </w:rPr>
        <w:t>réglementaires</w:t>
      </w:r>
      <w:r w:rsidR="005B7944" w:rsidRPr="00D02DA6">
        <w:rPr>
          <w:rFonts w:ascii="Maiandra GD" w:hAnsi="Maiandra GD"/>
          <w:color w:val="000000"/>
          <w:sz w:val="24"/>
          <w:szCs w:val="24"/>
        </w:rPr>
        <w:t xml:space="preserve">. </w:t>
      </w:r>
    </w:p>
    <w:p w14:paraId="2F015B01" w14:textId="513C8018" w:rsidR="00581D3A" w:rsidRPr="00D02DA6" w:rsidRDefault="004D668D"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 xml:space="preserve">Suggestions de </w:t>
      </w:r>
      <w:r w:rsidR="00581D3A" w:rsidRPr="00D02DA6">
        <w:rPr>
          <w:rFonts w:ascii="Maiandra GD" w:hAnsi="Maiandra GD"/>
          <w:color w:val="002060"/>
          <w:sz w:val="24"/>
          <w:szCs w:val="24"/>
        </w:rPr>
        <w:t>Recommandations :</w:t>
      </w:r>
    </w:p>
    <w:p w14:paraId="798CE1CE" w14:textId="07F547D1" w:rsidR="00581D3A" w:rsidRPr="00D02DA6" w:rsidRDefault="001F3806" w:rsidP="00581D3A">
      <w:pPr>
        <w:pStyle w:val="Paragraphedeliste"/>
        <w:numPr>
          <w:ilvl w:val="0"/>
          <w:numId w:val="2"/>
        </w:numPr>
        <w:spacing w:line="276" w:lineRule="auto"/>
        <w:jc w:val="both"/>
        <w:rPr>
          <w:rFonts w:ascii="Maiandra GD" w:hAnsi="Maiandra GD"/>
          <w:color w:val="000000"/>
        </w:rPr>
      </w:pPr>
      <w:r w:rsidRPr="00D02DA6">
        <w:rPr>
          <w:rFonts w:ascii="Maiandra GD" w:hAnsi="Maiandra GD"/>
          <w:color w:val="000000"/>
        </w:rPr>
        <w:t xml:space="preserve">Désigner conformément aux dispositions législatives et </w:t>
      </w:r>
      <w:r w:rsidR="00D10EFE" w:rsidRPr="00D02DA6">
        <w:rPr>
          <w:rFonts w:ascii="Maiandra GD" w:hAnsi="Maiandra GD"/>
          <w:color w:val="000000"/>
        </w:rPr>
        <w:t>réglementaires</w:t>
      </w:r>
      <w:r w:rsidRPr="00D02DA6">
        <w:rPr>
          <w:rFonts w:ascii="Maiandra GD" w:hAnsi="Maiandra GD"/>
          <w:color w:val="000000"/>
        </w:rPr>
        <w:t xml:space="preserve"> les représentants du Parlement issus de la huitième législature</w:t>
      </w:r>
      <w:r w:rsidR="005E1EC1">
        <w:rPr>
          <w:rFonts w:ascii="Maiandra GD" w:hAnsi="Maiandra GD"/>
          <w:color w:val="000000"/>
        </w:rPr>
        <w:t xml:space="preserve"> devant siéger au sein de la Commission Béninoise des Droits de l’Homme</w:t>
      </w:r>
    </w:p>
    <w:p w14:paraId="44664BE9" w14:textId="28BBE87C" w:rsidR="00581D3A" w:rsidRPr="00D02DA6" w:rsidRDefault="001F3806" w:rsidP="00581D3A">
      <w:pPr>
        <w:pStyle w:val="Paragraphedeliste"/>
        <w:numPr>
          <w:ilvl w:val="0"/>
          <w:numId w:val="2"/>
        </w:numPr>
        <w:spacing w:line="276" w:lineRule="auto"/>
        <w:jc w:val="both"/>
        <w:rPr>
          <w:rFonts w:ascii="Maiandra GD" w:hAnsi="Maiandra GD"/>
          <w:color w:val="000000"/>
        </w:rPr>
      </w:pPr>
      <w:r w:rsidRPr="00D02DA6">
        <w:rPr>
          <w:rFonts w:ascii="Maiandra GD" w:hAnsi="Maiandra GD"/>
          <w:color w:val="000000"/>
        </w:rPr>
        <w:t>Améliorer le niveau d’allocation des ressources budgétaires et les rendre effectives pour un fonctionnement efficace de la Commission</w:t>
      </w:r>
    </w:p>
    <w:p w14:paraId="333034F2" w14:textId="6917B76F" w:rsidR="001163F2" w:rsidRPr="00D02DA6" w:rsidRDefault="001F3806" w:rsidP="005A073E">
      <w:pPr>
        <w:pStyle w:val="Paragraphedeliste"/>
        <w:numPr>
          <w:ilvl w:val="0"/>
          <w:numId w:val="2"/>
        </w:numPr>
        <w:spacing w:line="276" w:lineRule="auto"/>
        <w:jc w:val="both"/>
        <w:rPr>
          <w:rFonts w:ascii="Maiandra GD" w:hAnsi="Maiandra GD"/>
          <w:color w:val="000000"/>
        </w:rPr>
      </w:pPr>
      <w:r w:rsidRPr="00D02DA6">
        <w:rPr>
          <w:rFonts w:ascii="Maiandra GD" w:hAnsi="Maiandra GD"/>
          <w:color w:val="000000"/>
        </w:rPr>
        <w:t>Veiller à une coopération entre la Commission et les Institutions étatiques chargées de lutte contre la corruption</w:t>
      </w:r>
      <w:r w:rsidR="00F64493">
        <w:rPr>
          <w:rFonts w:ascii="Maiandra GD" w:hAnsi="Maiandra GD"/>
          <w:color w:val="000000"/>
        </w:rPr>
        <w:t xml:space="preserve"> pour une meilleure prise en charge du lien entre corruption et droits humains</w:t>
      </w:r>
    </w:p>
    <w:p w14:paraId="27A35027" w14:textId="77777777" w:rsidR="00A668A9" w:rsidRPr="00D02DA6" w:rsidRDefault="00A668A9" w:rsidP="005A073E">
      <w:pPr>
        <w:spacing w:line="276" w:lineRule="auto"/>
        <w:jc w:val="both"/>
        <w:rPr>
          <w:rFonts w:ascii="Maiandra GD" w:hAnsi="Maiandra GD"/>
          <w:b/>
          <w:bCs/>
          <w:color w:val="002060"/>
          <w:sz w:val="24"/>
          <w:szCs w:val="24"/>
        </w:rPr>
      </w:pPr>
    </w:p>
    <w:p w14:paraId="67F748D8" w14:textId="77777777" w:rsidR="00E23FAF" w:rsidRDefault="00E23FAF">
      <w:pPr>
        <w:rPr>
          <w:rFonts w:ascii="Maiandra GD" w:hAnsi="Maiandra GD"/>
          <w:b/>
          <w:bCs/>
          <w:color w:val="002060"/>
          <w:sz w:val="24"/>
          <w:szCs w:val="24"/>
        </w:rPr>
      </w:pPr>
      <w:r>
        <w:rPr>
          <w:rFonts w:ascii="Maiandra GD" w:hAnsi="Maiandra GD"/>
          <w:b/>
          <w:bCs/>
          <w:color w:val="002060"/>
          <w:sz w:val="24"/>
          <w:szCs w:val="24"/>
        </w:rPr>
        <w:br w:type="page"/>
      </w:r>
    </w:p>
    <w:p w14:paraId="7C9464B0" w14:textId="6254BD83" w:rsidR="008B45C2" w:rsidRPr="00D02DA6" w:rsidRDefault="008B45C2" w:rsidP="00A5335E">
      <w:pPr>
        <w:pStyle w:val="Titre1"/>
      </w:pPr>
      <w:bookmarkStart w:id="4" w:name="_Toc30690919"/>
      <w:r w:rsidRPr="00D02DA6">
        <w:lastRenderedPageBreak/>
        <w:t>Relativement au point 6 de la liste de questions :</w:t>
      </w:r>
      <w:bookmarkEnd w:id="4"/>
    </w:p>
    <w:p w14:paraId="65595047" w14:textId="77777777" w:rsidR="009D6360" w:rsidRPr="007631C1" w:rsidRDefault="009D6360"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7631C1">
        <w:rPr>
          <w:rFonts w:ascii="Times New Roman" w:hAnsi="Times New Roman" w:cs="Times New Roman"/>
          <w:sz w:val="24"/>
          <w:szCs w:val="24"/>
        </w:rPr>
        <w:t>6.</w:t>
      </w:r>
      <w:r w:rsidRPr="007631C1">
        <w:rPr>
          <w:rFonts w:ascii="Times New Roman" w:hAnsi="Times New Roman" w:cs="Times New Roman"/>
          <w:sz w:val="24"/>
          <w:szCs w:val="24"/>
        </w:rPr>
        <w:tab/>
        <w:t xml:space="preserve">Veuillez fournir des informations sur l’application du cadre juridique de lutte contre la corruption, notamment sur des cas de corruption et les poursuites engagées contre des hauts fonctionnaires, et sur l’impact des activités menées par l’Autorité nationale de lutte contre la corruption, mentionnée au paragraphe 6 du rapport de l’État partie. Veuillez fournir des informations sur les mesures adoptées pour encourager la transparence à cet égard. </w:t>
      </w:r>
    </w:p>
    <w:p w14:paraId="3492F8DA" w14:textId="0B7E410E" w:rsidR="009D6360" w:rsidRPr="00D02DA6" w:rsidRDefault="009D6360"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Dispositions de principes :</w:t>
      </w:r>
    </w:p>
    <w:p w14:paraId="72E751FE" w14:textId="77777777" w:rsidR="00945002" w:rsidRPr="00D02DA6" w:rsidRDefault="00953BF3" w:rsidP="005A073E">
      <w:pPr>
        <w:spacing w:line="276" w:lineRule="auto"/>
        <w:jc w:val="both"/>
        <w:rPr>
          <w:rFonts w:ascii="Maiandra GD" w:hAnsi="Maiandra GD"/>
          <w:sz w:val="24"/>
          <w:szCs w:val="24"/>
        </w:rPr>
      </w:pPr>
      <w:r w:rsidRPr="00D02DA6">
        <w:rPr>
          <w:rFonts w:ascii="Maiandra GD" w:hAnsi="Maiandra GD"/>
          <w:sz w:val="24"/>
          <w:szCs w:val="24"/>
        </w:rPr>
        <w:t>Le Bénin s’est doté</w:t>
      </w:r>
      <w:r w:rsidR="00945002" w:rsidRPr="00D02DA6">
        <w:rPr>
          <w:rFonts w:ascii="Maiandra GD" w:hAnsi="Maiandra GD"/>
          <w:sz w:val="24"/>
          <w:szCs w:val="24"/>
        </w:rPr>
        <w:t> :</w:t>
      </w:r>
      <w:r w:rsidRPr="00D02DA6">
        <w:rPr>
          <w:rFonts w:ascii="Maiandra GD" w:hAnsi="Maiandra GD"/>
          <w:sz w:val="24"/>
          <w:szCs w:val="24"/>
        </w:rPr>
        <w:t xml:space="preserve"> </w:t>
      </w:r>
    </w:p>
    <w:p w14:paraId="710CCCB6" w14:textId="07C28366" w:rsidR="00945002" w:rsidRPr="00D02DA6" w:rsidRDefault="00953BF3" w:rsidP="00945002">
      <w:pPr>
        <w:pStyle w:val="Paragraphedeliste"/>
        <w:numPr>
          <w:ilvl w:val="0"/>
          <w:numId w:val="2"/>
        </w:numPr>
        <w:spacing w:line="276" w:lineRule="auto"/>
        <w:jc w:val="both"/>
        <w:rPr>
          <w:rFonts w:ascii="Maiandra GD" w:hAnsi="Maiandra GD"/>
        </w:rPr>
      </w:pPr>
      <w:proofErr w:type="gramStart"/>
      <w:r w:rsidRPr="00D02DA6">
        <w:rPr>
          <w:rFonts w:ascii="Maiandra GD" w:hAnsi="Maiandra GD"/>
        </w:rPr>
        <w:t>de</w:t>
      </w:r>
      <w:proofErr w:type="gramEnd"/>
      <w:r w:rsidRPr="00D02DA6">
        <w:rPr>
          <w:rFonts w:ascii="Maiandra GD" w:hAnsi="Maiandra GD"/>
        </w:rPr>
        <w:t xml:space="preserve"> la loi N°2011-20 du 12 octobre 2011 portant lutte contre la corruption et infractions connexes en République du Bénin</w:t>
      </w:r>
      <w:r w:rsidR="00945002" w:rsidRPr="00D02DA6">
        <w:rPr>
          <w:rFonts w:ascii="Maiandra GD" w:hAnsi="Maiandra GD"/>
        </w:rPr>
        <w:t xml:space="preserve">, </w:t>
      </w:r>
    </w:p>
    <w:p w14:paraId="5A1A9450" w14:textId="05430BCA" w:rsidR="00945002" w:rsidRPr="00D02DA6" w:rsidRDefault="00945002" w:rsidP="00945002">
      <w:pPr>
        <w:pStyle w:val="Paragraphedeliste"/>
        <w:numPr>
          <w:ilvl w:val="0"/>
          <w:numId w:val="2"/>
        </w:numPr>
        <w:spacing w:line="276" w:lineRule="auto"/>
        <w:jc w:val="both"/>
        <w:rPr>
          <w:rFonts w:ascii="Maiandra GD" w:hAnsi="Maiandra GD"/>
        </w:rPr>
      </w:pPr>
      <w:proofErr w:type="gramStart"/>
      <w:r w:rsidRPr="00D02DA6">
        <w:rPr>
          <w:rFonts w:ascii="Maiandra GD" w:hAnsi="Maiandra GD"/>
        </w:rPr>
        <w:t>de</w:t>
      </w:r>
      <w:proofErr w:type="gramEnd"/>
      <w:r w:rsidRPr="00D02DA6">
        <w:rPr>
          <w:rFonts w:ascii="Maiandra GD" w:hAnsi="Maiandra GD"/>
        </w:rPr>
        <w:t xml:space="preserve"> la loi n° 2012-15 portant code de procédure pénale en </w:t>
      </w:r>
      <w:r w:rsidR="001D6421" w:rsidRPr="00D02DA6">
        <w:rPr>
          <w:rFonts w:ascii="Maiandra GD" w:hAnsi="Maiandra GD"/>
        </w:rPr>
        <w:t xml:space="preserve">2012 </w:t>
      </w:r>
      <w:r w:rsidRPr="00D02DA6">
        <w:rPr>
          <w:rFonts w:ascii="Maiandra GD" w:hAnsi="Maiandra GD"/>
        </w:rPr>
        <w:t xml:space="preserve"> qui dispose en son article</w:t>
      </w:r>
      <w:r w:rsidR="00953BF3" w:rsidRPr="00D02DA6">
        <w:rPr>
          <w:rFonts w:ascii="Maiandra GD" w:hAnsi="Maiandra GD"/>
        </w:rPr>
        <w:t xml:space="preserve"> </w:t>
      </w:r>
      <w:r w:rsidRPr="00D02DA6">
        <w:rPr>
          <w:rFonts w:ascii="Maiandra GD" w:hAnsi="Maiandra GD"/>
        </w:rPr>
        <w:t>2 « L’action civile en réparation du dommage causé par un crime, un délit ou une contravention appartient à tous ceux qui ont personnellement souffert du dommage directement causé par l’infraction. Toutefois, elle est exercée par : (…) - les associations régulièrement déclarées, ayant pour objet statutaire explicite, la défense des intérêts collectifs de certaines catégories de victimes. Elles peuvent, si elles ont été agréées à cette fin, exercer les droits reconnus à la partie civile relativement aux faits portant un préjudice direct ou indirect à leur intérêt collectif. »</w:t>
      </w:r>
    </w:p>
    <w:p w14:paraId="0A09E5BF" w14:textId="6CE55EA2" w:rsidR="00877BBD" w:rsidRPr="00D02DA6" w:rsidRDefault="001D6421" w:rsidP="00945002">
      <w:pPr>
        <w:pStyle w:val="Paragraphedeliste"/>
        <w:numPr>
          <w:ilvl w:val="0"/>
          <w:numId w:val="2"/>
        </w:numPr>
        <w:spacing w:line="276" w:lineRule="auto"/>
        <w:jc w:val="both"/>
        <w:rPr>
          <w:rFonts w:ascii="Maiandra GD" w:hAnsi="Maiandra GD"/>
        </w:rPr>
      </w:pPr>
      <w:proofErr w:type="gramStart"/>
      <w:r>
        <w:rPr>
          <w:rFonts w:ascii="Maiandra GD" w:hAnsi="Maiandra GD"/>
        </w:rPr>
        <w:t>d’u</w:t>
      </w:r>
      <w:r w:rsidRPr="00D02DA6">
        <w:rPr>
          <w:rFonts w:ascii="Maiandra GD" w:hAnsi="Maiandra GD"/>
        </w:rPr>
        <w:t>n</w:t>
      </w:r>
      <w:proofErr w:type="gramEnd"/>
      <w:r w:rsidRPr="00D02DA6">
        <w:rPr>
          <w:rFonts w:ascii="Maiandra GD" w:hAnsi="Maiandra GD"/>
        </w:rPr>
        <w:t xml:space="preserve"> </w:t>
      </w:r>
      <w:r w:rsidR="00877BBD" w:rsidRPr="00D02DA6">
        <w:rPr>
          <w:rFonts w:ascii="Maiandra GD" w:hAnsi="Maiandra GD"/>
        </w:rPr>
        <w:t xml:space="preserve">cadre réglementaire sur la protection des dénonciateurs, témoins, Experts </w:t>
      </w:r>
      <w:r w:rsidR="005D26C9" w:rsidRPr="00D02DA6">
        <w:rPr>
          <w:rFonts w:ascii="Maiandra GD" w:hAnsi="Maiandra GD"/>
        </w:rPr>
        <w:t>notamment le décret N°2013-122 du 06 mars 2013 portant Conditions de protection spéciale des dénonciateurs, des témoins, des Experts et victimes des actes de corruption</w:t>
      </w:r>
      <w:r w:rsidR="00AC63CC" w:rsidRPr="00D02DA6">
        <w:rPr>
          <w:rFonts w:ascii="Maiandra GD" w:hAnsi="Maiandra GD"/>
        </w:rPr>
        <w:t xml:space="preserve"> </w:t>
      </w:r>
    </w:p>
    <w:p w14:paraId="5A65BAAC" w14:textId="01EAF544" w:rsidR="00736CE4" w:rsidRPr="00D02DA6" w:rsidRDefault="00953BF3" w:rsidP="00111DB6">
      <w:pPr>
        <w:pStyle w:val="Paragraphedeliste"/>
        <w:numPr>
          <w:ilvl w:val="0"/>
          <w:numId w:val="2"/>
        </w:numPr>
        <w:spacing w:line="276" w:lineRule="auto"/>
        <w:jc w:val="both"/>
        <w:rPr>
          <w:rFonts w:ascii="Maiandra GD" w:hAnsi="Maiandra GD"/>
        </w:rPr>
      </w:pPr>
      <w:r w:rsidRPr="00D02DA6">
        <w:rPr>
          <w:rFonts w:ascii="Maiandra GD" w:hAnsi="Maiandra GD"/>
        </w:rPr>
        <w:t xml:space="preserve"> </w:t>
      </w:r>
      <w:proofErr w:type="gramStart"/>
      <w:r w:rsidRPr="00D02DA6">
        <w:rPr>
          <w:rFonts w:ascii="Maiandra GD" w:hAnsi="Maiandra GD"/>
        </w:rPr>
        <w:t>de</w:t>
      </w:r>
      <w:proofErr w:type="gramEnd"/>
      <w:r w:rsidRPr="00D02DA6">
        <w:rPr>
          <w:rFonts w:ascii="Maiandra GD" w:hAnsi="Maiandra GD"/>
        </w:rPr>
        <w:t xml:space="preserve"> la Cour de Répression des Infractions Economiques et du Terrorisme (CRIET) </w:t>
      </w:r>
      <w:r w:rsidR="001D6421">
        <w:rPr>
          <w:rFonts w:ascii="Maiandra GD" w:hAnsi="Maiandra GD"/>
        </w:rPr>
        <w:t>e</w:t>
      </w:r>
      <w:r w:rsidR="001D6421" w:rsidRPr="00D02DA6">
        <w:rPr>
          <w:rFonts w:ascii="Maiandra GD" w:hAnsi="Maiandra GD"/>
        </w:rPr>
        <w:t>n 2018</w:t>
      </w:r>
    </w:p>
    <w:p w14:paraId="74D6CEB9" w14:textId="7AC4EF04" w:rsidR="00945002" w:rsidRPr="00D02DA6" w:rsidRDefault="00953BF3" w:rsidP="00111DB6">
      <w:pPr>
        <w:pStyle w:val="Paragraphedeliste"/>
        <w:numPr>
          <w:ilvl w:val="0"/>
          <w:numId w:val="2"/>
        </w:numPr>
        <w:spacing w:line="276" w:lineRule="auto"/>
        <w:jc w:val="both"/>
        <w:rPr>
          <w:rFonts w:ascii="Maiandra GD" w:hAnsi="Maiandra GD"/>
        </w:rPr>
      </w:pPr>
      <w:r w:rsidRPr="00D02DA6">
        <w:rPr>
          <w:rFonts w:ascii="Maiandra GD" w:hAnsi="Maiandra GD"/>
        </w:rPr>
        <w:t xml:space="preserve"> </w:t>
      </w:r>
      <w:r w:rsidR="001D6421" w:rsidRPr="00D02DA6">
        <w:rPr>
          <w:rFonts w:ascii="Maiandra GD" w:hAnsi="Maiandra GD"/>
        </w:rPr>
        <w:t>D</w:t>
      </w:r>
      <w:r w:rsidR="001D6421">
        <w:rPr>
          <w:rFonts w:ascii="Maiandra GD" w:hAnsi="Maiandra GD"/>
        </w:rPr>
        <w:t>’</w:t>
      </w:r>
      <w:r w:rsidR="001D6421" w:rsidRPr="00D02DA6">
        <w:rPr>
          <w:rFonts w:ascii="Maiandra GD" w:hAnsi="Maiandra GD"/>
        </w:rPr>
        <w:t>u</w:t>
      </w:r>
      <w:r w:rsidR="001D6421">
        <w:rPr>
          <w:rFonts w:ascii="Maiandra GD" w:hAnsi="Maiandra GD"/>
        </w:rPr>
        <w:t>n nouveau</w:t>
      </w:r>
      <w:r w:rsidR="001D6421" w:rsidRPr="00D02DA6">
        <w:rPr>
          <w:rFonts w:ascii="Maiandra GD" w:hAnsi="Maiandra GD"/>
        </w:rPr>
        <w:t xml:space="preserve"> Code pénal </w:t>
      </w:r>
      <w:r w:rsidR="001D6421">
        <w:rPr>
          <w:rFonts w:ascii="Maiandra GD" w:hAnsi="Maiandra GD"/>
        </w:rPr>
        <w:t>l</w:t>
      </w:r>
      <w:r w:rsidR="001D6421" w:rsidRPr="00D02DA6">
        <w:rPr>
          <w:rFonts w:ascii="Maiandra GD" w:hAnsi="Maiandra GD"/>
        </w:rPr>
        <w:t xml:space="preserve">e </w:t>
      </w:r>
      <w:r w:rsidRPr="00D02DA6">
        <w:rPr>
          <w:rFonts w:ascii="Maiandra GD" w:hAnsi="Maiandra GD"/>
        </w:rPr>
        <w:t>28 décembre 2018</w:t>
      </w:r>
    </w:p>
    <w:p w14:paraId="4C3618C5" w14:textId="0C942E49" w:rsidR="00945002" w:rsidRPr="00D02DA6" w:rsidRDefault="00945002" w:rsidP="00945002">
      <w:pPr>
        <w:spacing w:line="276" w:lineRule="auto"/>
        <w:jc w:val="both"/>
        <w:rPr>
          <w:rFonts w:ascii="Maiandra GD" w:hAnsi="Maiandra GD"/>
          <w:color w:val="002060"/>
          <w:sz w:val="24"/>
          <w:szCs w:val="24"/>
        </w:rPr>
      </w:pPr>
      <w:r w:rsidRPr="00D02DA6">
        <w:rPr>
          <w:rFonts w:ascii="Maiandra GD" w:hAnsi="Maiandra GD"/>
          <w:color w:val="002060"/>
          <w:sz w:val="24"/>
          <w:szCs w:val="24"/>
        </w:rPr>
        <w:t>Tendances lourdes :</w:t>
      </w:r>
    </w:p>
    <w:p w14:paraId="4823822F" w14:textId="18749995" w:rsidR="00CC2B5F" w:rsidRPr="00D02DA6" w:rsidRDefault="00953BF3" w:rsidP="00945002">
      <w:pPr>
        <w:spacing w:line="276" w:lineRule="auto"/>
        <w:jc w:val="both"/>
        <w:rPr>
          <w:rFonts w:ascii="Maiandra GD" w:hAnsi="Maiandra GD"/>
          <w:sz w:val="24"/>
          <w:szCs w:val="24"/>
        </w:rPr>
      </w:pPr>
      <w:r w:rsidRPr="00D02DA6">
        <w:rPr>
          <w:rFonts w:ascii="Maiandra GD" w:hAnsi="Maiandra GD"/>
          <w:sz w:val="24"/>
          <w:szCs w:val="24"/>
        </w:rPr>
        <w:t xml:space="preserve">Pour lutter </w:t>
      </w:r>
      <w:r w:rsidR="00945002" w:rsidRPr="00D02DA6">
        <w:rPr>
          <w:rFonts w:ascii="Maiandra GD" w:hAnsi="Maiandra GD"/>
          <w:sz w:val="24"/>
          <w:szCs w:val="24"/>
        </w:rPr>
        <w:t xml:space="preserve">contre </w:t>
      </w:r>
      <w:r w:rsidRPr="00D02DA6">
        <w:rPr>
          <w:rFonts w:ascii="Maiandra GD" w:hAnsi="Maiandra GD"/>
          <w:sz w:val="24"/>
          <w:szCs w:val="24"/>
        </w:rPr>
        <w:t xml:space="preserve">la corruption, la dénonciation doit pouvoir se faire par tous moyens. Or, dans l’environnement béninois, il est recensé ces dernières années, des actes juridiques affaiblissant la protection des dénonciateurs, affectant ainsi la lutte pour </w:t>
      </w:r>
      <w:r w:rsidR="00945002" w:rsidRPr="00D02DA6">
        <w:rPr>
          <w:rFonts w:ascii="Maiandra GD" w:hAnsi="Maiandra GD"/>
          <w:sz w:val="24"/>
          <w:szCs w:val="24"/>
        </w:rPr>
        <w:t>l’inflexion</w:t>
      </w:r>
      <w:r w:rsidRPr="00D02DA6">
        <w:rPr>
          <w:rFonts w:ascii="Maiandra GD" w:hAnsi="Maiandra GD"/>
          <w:sz w:val="24"/>
          <w:szCs w:val="24"/>
        </w:rPr>
        <w:t xml:space="preserve"> de la corruption. </w:t>
      </w:r>
      <w:r w:rsidR="00CC2B5F" w:rsidRPr="00D02DA6">
        <w:rPr>
          <w:rFonts w:ascii="Maiandra GD" w:hAnsi="Maiandra GD"/>
          <w:sz w:val="24"/>
          <w:szCs w:val="24"/>
        </w:rPr>
        <w:t>Au nombre de ces actes, figurent :</w:t>
      </w:r>
    </w:p>
    <w:p w14:paraId="13EF968E" w14:textId="331BBE27" w:rsidR="00CC2B5F" w:rsidRPr="00A3123C" w:rsidRDefault="00CC2B5F" w:rsidP="00A3123C">
      <w:pPr>
        <w:pStyle w:val="Paragraphedeliste"/>
        <w:numPr>
          <w:ilvl w:val="0"/>
          <w:numId w:val="2"/>
        </w:numPr>
        <w:spacing w:line="276" w:lineRule="auto"/>
        <w:jc w:val="both"/>
        <w:rPr>
          <w:rFonts w:ascii="Maiandra GD" w:hAnsi="Maiandra GD"/>
        </w:rPr>
      </w:pPr>
      <w:r w:rsidRPr="00D02DA6">
        <w:rPr>
          <w:rFonts w:ascii="Maiandra GD" w:hAnsi="Maiandra GD"/>
        </w:rPr>
        <w:t>L’article 240 du nouveau code pénal</w:t>
      </w:r>
      <w:r w:rsidR="00371867">
        <w:rPr>
          <w:rFonts w:ascii="Maiandra GD" w:hAnsi="Maiandra GD"/>
        </w:rPr>
        <w:t xml:space="preserve"> relativement à l’interdiction des manifestations pacifiques</w:t>
      </w:r>
    </w:p>
    <w:p w14:paraId="3D7EAFCB" w14:textId="567ED498" w:rsidR="00CC2B5F" w:rsidRPr="00D02DA6" w:rsidRDefault="00CC2B5F" w:rsidP="00111DB6">
      <w:pPr>
        <w:pStyle w:val="Paragraphedeliste"/>
        <w:numPr>
          <w:ilvl w:val="0"/>
          <w:numId w:val="2"/>
        </w:numPr>
        <w:spacing w:line="276" w:lineRule="auto"/>
        <w:jc w:val="both"/>
        <w:rPr>
          <w:rFonts w:ascii="Maiandra GD" w:hAnsi="Maiandra GD"/>
        </w:rPr>
      </w:pPr>
      <w:r w:rsidRPr="00D02DA6">
        <w:rPr>
          <w:rFonts w:ascii="Maiandra GD" w:hAnsi="Maiandra GD"/>
        </w:rPr>
        <w:t>La loi sur le code du numérique</w:t>
      </w:r>
      <w:r w:rsidR="00465E5A" w:rsidRPr="00D02DA6">
        <w:rPr>
          <w:rFonts w:ascii="Maiandra GD" w:hAnsi="Maiandra GD"/>
        </w:rPr>
        <w:t xml:space="preserve"> notamment les articles 550 et suivants</w:t>
      </w:r>
      <w:r w:rsidR="00371867">
        <w:rPr>
          <w:rFonts w:ascii="Maiandra GD" w:hAnsi="Maiandra GD"/>
        </w:rPr>
        <w:t xml:space="preserve"> qui n</w:t>
      </w:r>
      <w:r w:rsidR="00A3123C">
        <w:rPr>
          <w:rFonts w:ascii="Maiandra GD" w:hAnsi="Maiandra GD"/>
        </w:rPr>
        <w:t>’encouragent pas la dénonciation via le numérique</w:t>
      </w:r>
    </w:p>
    <w:p w14:paraId="53493B32" w14:textId="721CB08C" w:rsidR="005D26C9" w:rsidRPr="00D02DA6" w:rsidRDefault="005D26C9" w:rsidP="00D02DA6">
      <w:pPr>
        <w:spacing w:line="276" w:lineRule="auto"/>
        <w:jc w:val="both"/>
        <w:rPr>
          <w:rFonts w:ascii="Maiandra GD" w:hAnsi="Maiandra GD"/>
          <w:sz w:val="24"/>
          <w:szCs w:val="24"/>
        </w:rPr>
      </w:pPr>
      <w:r w:rsidRPr="00D02DA6">
        <w:rPr>
          <w:rFonts w:ascii="Maiandra GD" w:hAnsi="Maiandra GD"/>
          <w:sz w:val="24"/>
          <w:szCs w:val="24"/>
        </w:rPr>
        <w:t xml:space="preserve">Par ailleurs, il faut noter la méconnaissance du cadre réglementaire de protection des dénonciateurs, témoins et </w:t>
      </w:r>
      <w:r w:rsidR="008C3D3A">
        <w:rPr>
          <w:rFonts w:ascii="Maiandra GD" w:hAnsi="Maiandra GD"/>
          <w:sz w:val="24"/>
          <w:szCs w:val="24"/>
        </w:rPr>
        <w:t>e</w:t>
      </w:r>
      <w:r w:rsidR="008C3D3A" w:rsidRPr="00D02DA6">
        <w:rPr>
          <w:rFonts w:ascii="Maiandra GD" w:hAnsi="Maiandra GD"/>
          <w:sz w:val="24"/>
          <w:szCs w:val="24"/>
        </w:rPr>
        <w:t xml:space="preserve">xperts </w:t>
      </w:r>
      <w:r w:rsidRPr="00D02DA6">
        <w:rPr>
          <w:rFonts w:ascii="Maiandra GD" w:hAnsi="Maiandra GD"/>
          <w:sz w:val="24"/>
          <w:szCs w:val="24"/>
        </w:rPr>
        <w:t>par les citoyens</w:t>
      </w:r>
      <w:r w:rsidR="008C3D3A">
        <w:rPr>
          <w:rFonts w:ascii="Maiandra GD" w:hAnsi="Maiandra GD"/>
          <w:sz w:val="24"/>
          <w:szCs w:val="24"/>
        </w:rPr>
        <w:t> ;</w:t>
      </w:r>
      <w:r w:rsidR="008C3D3A" w:rsidRPr="00D02DA6">
        <w:rPr>
          <w:rFonts w:ascii="Maiandra GD" w:hAnsi="Maiandra GD"/>
          <w:sz w:val="24"/>
          <w:szCs w:val="24"/>
        </w:rPr>
        <w:t xml:space="preserve"> </w:t>
      </w:r>
      <w:r w:rsidRPr="00D02DA6">
        <w:rPr>
          <w:rFonts w:ascii="Maiandra GD" w:hAnsi="Maiandra GD"/>
          <w:sz w:val="24"/>
          <w:szCs w:val="24"/>
        </w:rPr>
        <w:t xml:space="preserve">ce qui </w:t>
      </w:r>
      <w:r w:rsidR="008C3D3A" w:rsidRPr="00D02DA6">
        <w:rPr>
          <w:rFonts w:ascii="Maiandra GD" w:hAnsi="Maiandra GD"/>
          <w:sz w:val="24"/>
          <w:szCs w:val="24"/>
        </w:rPr>
        <w:t>entra</w:t>
      </w:r>
      <w:r w:rsidR="008C3D3A">
        <w:rPr>
          <w:rFonts w:ascii="Maiandra GD" w:hAnsi="Maiandra GD"/>
          <w:sz w:val="24"/>
          <w:szCs w:val="24"/>
        </w:rPr>
        <w:t>î</w:t>
      </w:r>
      <w:r w:rsidR="008C3D3A" w:rsidRPr="00D02DA6">
        <w:rPr>
          <w:rFonts w:ascii="Maiandra GD" w:hAnsi="Maiandra GD"/>
          <w:sz w:val="24"/>
          <w:szCs w:val="24"/>
        </w:rPr>
        <w:t xml:space="preserve">ne </w:t>
      </w:r>
      <w:r w:rsidRPr="00D02DA6">
        <w:rPr>
          <w:rFonts w:ascii="Maiandra GD" w:hAnsi="Maiandra GD"/>
          <w:sz w:val="24"/>
          <w:szCs w:val="24"/>
        </w:rPr>
        <w:t>la non mise en œuvre des mécanismes afférents audit cadre.</w:t>
      </w:r>
      <w:r w:rsidR="00D01A60" w:rsidRPr="00D02DA6">
        <w:rPr>
          <w:rFonts w:ascii="Maiandra GD" w:hAnsi="Maiandra GD"/>
          <w:sz w:val="24"/>
          <w:szCs w:val="24"/>
        </w:rPr>
        <w:t xml:space="preserve"> De plus, malgré la décision de la Cour </w:t>
      </w:r>
      <w:r w:rsidR="00D01A60" w:rsidRPr="00D02DA6">
        <w:rPr>
          <w:rFonts w:ascii="Maiandra GD" w:hAnsi="Maiandra GD"/>
          <w:sz w:val="24"/>
          <w:szCs w:val="24"/>
        </w:rPr>
        <w:lastRenderedPageBreak/>
        <w:t xml:space="preserve">constitutionnelle </w:t>
      </w:r>
      <w:r w:rsidR="00083E25">
        <w:rPr>
          <w:rFonts w:ascii="Maiandra GD" w:hAnsi="Maiandra GD"/>
          <w:sz w:val="24"/>
          <w:szCs w:val="24"/>
        </w:rPr>
        <w:t xml:space="preserve">déclarant </w:t>
      </w:r>
      <w:r w:rsidR="00D01A60" w:rsidRPr="00D02DA6">
        <w:rPr>
          <w:rFonts w:ascii="Maiandra GD" w:hAnsi="Maiandra GD"/>
          <w:sz w:val="24"/>
          <w:szCs w:val="24"/>
        </w:rPr>
        <w:t>l’article 12 de la loi portant création de la Cour de Répression des Infractions Economiques et du Terrorisme</w:t>
      </w:r>
      <w:r w:rsidR="00083E25" w:rsidRPr="00083E25">
        <w:rPr>
          <w:rFonts w:ascii="Maiandra GD" w:hAnsi="Maiandra GD"/>
          <w:sz w:val="24"/>
          <w:szCs w:val="24"/>
        </w:rPr>
        <w:t xml:space="preserve"> </w:t>
      </w:r>
      <w:r w:rsidR="00083E25">
        <w:rPr>
          <w:rFonts w:ascii="Maiandra GD" w:hAnsi="Maiandra GD"/>
          <w:sz w:val="24"/>
          <w:szCs w:val="24"/>
        </w:rPr>
        <w:t>contraire à la constitution</w:t>
      </w:r>
      <w:r w:rsidR="00D01A60" w:rsidRPr="00D02DA6">
        <w:rPr>
          <w:rFonts w:ascii="Maiandra GD" w:hAnsi="Maiandra GD"/>
          <w:sz w:val="24"/>
          <w:szCs w:val="24"/>
        </w:rPr>
        <w:t xml:space="preserve">, cette </w:t>
      </w:r>
      <w:r w:rsidR="00083E25">
        <w:rPr>
          <w:rFonts w:ascii="Maiandra GD" w:hAnsi="Maiandra GD"/>
          <w:sz w:val="24"/>
          <w:szCs w:val="24"/>
        </w:rPr>
        <w:t>cour</w:t>
      </w:r>
      <w:r w:rsidR="00083E25" w:rsidRPr="00D02DA6">
        <w:rPr>
          <w:rFonts w:ascii="Maiandra GD" w:hAnsi="Maiandra GD"/>
          <w:sz w:val="24"/>
          <w:szCs w:val="24"/>
        </w:rPr>
        <w:t xml:space="preserve"> </w:t>
      </w:r>
      <w:r w:rsidR="00D01A60" w:rsidRPr="00D02DA6">
        <w:rPr>
          <w:rFonts w:ascii="Maiandra GD" w:hAnsi="Maiandra GD"/>
          <w:sz w:val="24"/>
          <w:szCs w:val="24"/>
        </w:rPr>
        <w:t xml:space="preserve">a fonctionné sans </w:t>
      </w:r>
      <w:r w:rsidR="00083E25">
        <w:rPr>
          <w:rFonts w:ascii="Maiandra GD" w:hAnsi="Maiandra GD"/>
          <w:sz w:val="24"/>
          <w:szCs w:val="24"/>
        </w:rPr>
        <w:t xml:space="preserve">qu’aucune mesure de </w:t>
      </w:r>
      <w:r w:rsidR="00D01A60" w:rsidRPr="00D02DA6">
        <w:rPr>
          <w:rFonts w:ascii="Maiandra GD" w:hAnsi="Maiandra GD"/>
          <w:sz w:val="24"/>
          <w:szCs w:val="24"/>
        </w:rPr>
        <w:t>correction</w:t>
      </w:r>
      <w:r w:rsidR="00083E25">
        <w:rPr>
          <w:rFonts w:ascii="Maiandra GD" w:hAnsi="Maiandra GD"/>
          <w:sz w:val="24"/>
          <w:szCs w:val="24"/>
        </w:rPr>
        <w:t xml:space="preserve"> </w:t>
      </w:r>
      <w:r w:rsidR="003765F6">
        <w:rPr>
          <w:rFonts w:ascii="Maiandra GD" w:hAnsi="Maiandra GD"/>
          <w:sz w:val="24"/>
          <w:szCs w:val="24"/>
        </w:rPr>
        <w:t xml:space="preserve">de </w:t>
      </w:r>
      <w:r w:rsidR="00083E25">
        <w:rPr>
          <w:rFonts w:ascii="Maiandra GD" w:hAnsi="Maiandra GD"/>
          <w:sz w:val="24"/>
          <w:szCs w:val="24"/>
        </w:rPr>
        <w:t>ladite loi ne soit prise</w:t>
      </w:r>
      <w:r w:rsidR="00D01A60" w:rsidRPr="00D02DA6">
        <w:rPr>
          <w:rFonts w:ascii="Maiandra GD" w:hAnsi="Maiandra GD"/>
          <w:sz w:val="24"/>
          <w:szCs w:val="24"/>
        </w:rPr>
        <w:t>.</w:t>
      </w:r>
    </w:p>
    <w:p w14:paraId="3E763736" w14:textId="03D0508A" w:rsidR="00CC2B5F" w:rsidRPr="00D02DA6" w:rsidRDefault="00CC2B5F" w:rsidP="00945002">
      <w:pPr>
        <w:spacing w:line="276" w:lineRule="auto"/>
        <w:jc w:val="both"/>
        <w:rPr>
          <w:rFonts w:ascii="Maiandra GD" w:hAnsi="Maiandra GD"/>
          <w:color w:val="002060"/>
          <w:sz w:val="24"/>
          <w:szCs w:val="24"/>
        </w:rPr>
      </w:pPr>
      <w:r w:rsidRPr="003D3610">
        <w:rPr>
          <w:rFonts w:ascii="Maiandra GD" w:hAnsi="Maiandra GD"/>
          <w:color w:val="002060"/>
          <w:sz w:val="24"/>
          <w:szCs w:val="24"/>
        </w:rPr>
        <w:t>Observations :</w:t>
      </w:r>
    </w:p>
    <w:p w14:paraId="3B9F5509" w14:textId="15F0F3D7" w:rsidR="00CC2B5F" w:rsidRPr="00D02DA6" w:rsidRDefault="00953BF3" w:rsidP="00945002">
      <w:pPr>
        <w:spacing w:line="276" w:lineRule="auto"/>
        <w:jc w:val="both"/>
        <w:rPr>
          <w:rFonts w:ascii="Maiandra GD" w:hAnsi="Maiandra GD"/>
          <w:sz w:val="24"/>
          <w:szCs w:val="24"/>
        </w:rPr>
      </w:pPr>
      <w:r w:rsidRPr="00D02DA6">
        <w:rPr>
          <w:rFonts w:ascii="Maiandra GD" w:hAnsi="Maiandra GD"/>
          <w:sz w:val="24"/>
          <w:szCs w:val="24"/>
        </w:rPr>
        <w:t xml:space="preserve">Lorsque des libertés fondamentales telles que la liberté d’expression ou d’association et des droits fondamentaux comme le droit à l’éducation sont violés, cela laisse la voie libre à la corruption. Cette dernière sape le fonctionnement et la crédibilité des différentes institutions d’un Etat de droit : des élections jusqu’à la jurisprudence. Ainsi, l’article 240 du nouveau Code pénal </w:t>
      </w:r>
      <w:r w:rsidR="00CC2B5F" w:rsidRPr="00D02DA6">
        <w:rPr>
          <w:rFonts w:ascii="Maiandra GD" w:hAnsi="Maiandra GD"/>
          <w:sz w:val="24"/>
          <w:szCs w:val="24"/>
        </w:rPr>
        <w:t xml:space="preserve">par exemple, </w:t>
      </w:r>
      <w:r w:rsidRPr="00D02DA6">
        <w:rPr>
          <w:rFonts w:ascii="Maiandra GD" w:hAnsi="Maiandra GD"/>
          <w:sz w:val="24"/>
          <w:szCs w:val="24"/>
        </w:rPr>
        <w:t xml:space="preserve">pose les jalons d’une restriction abusive de la possibilité de dénonciation, toute chose pouvant encourager les actes de corruption et impactant négativement l’effectivité des droits humains. </w:t>
      </w:r>
      <w:r w:rsidR="001B38C6" w:rsidRPr="00D02DA6">
        <w:rPr>
          <w:rFonts w:ascii="Maiandra GD" w:hAnsi="Maiandra GD"/>
          <w:sz w:val="24"/>
          <w:szCs w:val="24"/>
        </w:rPr>
        <w:t xml:space="preserve">Cela revêt un effet dissuasif de toute initiative de dénonciation. </w:t>
      </w:r>
      <w:r w:rsidR="005D26C9" w:rsidRPr="00D02DA6">
        <w:rPr>
          <w:rFonts w:ascii="Maiandra GD" w:hAnsi="Maiandra GD"/>
          <w:sz w:val="24"/>
          <w:szCs w:val="24"/>
        </w:rPr>
        <w:t xml:space="preserve">Il faut noter que tout en saluant l’adoption du code pénal qui a entériné la plupart des infractions de lutte contre </w:t>
      </w:r>
      <w:proofErr w:type="gramStart"/>
      <w:r w:rsidR="005D26C9" w:rsidRPr="00D02DA6">
        <w:rPr>
          <w:rFonts w:ascii="Maiandra GD" w:hAnsi="Maiandra GD"/>
          <w:sz w:val="24"/>
          <w:szCs w:val="24"/>
        </w:rPr>
        <w:t>la corruption prévues</w:t>
      </w:r>
      <w:proofErr w:type="gramEnd"/>
      <w:r w:rsidR="005D26C9" w:rsidRPr="00D02DA6">
        <w:rPr>
          <w:rFonts w:ascii="Maiandra GD" w:hAnsi="Maiandra GD"/>
          <w:sz w:val="24"/>
          <w:szCs w:val="24"/>
        </w:rPr>
        <w:t xml:space="preserve"> dans la loi 2011-20 portant lutte contre la corruption et autres infractions connexes en République du Bénin, force est de constater qu’il a cependant réduit certaines peines applicables auxdites infractions. </w:t>
      </w:r>
      <w:r w:rsidR="00371867">
        <w:rPr>
          <w:rFonts w:ascii="Maiandra GD" w:hAnsi="Maiandra GD"/>
          <w:sz w:val="24"/>
          <w:szCs w:val="24"/>
        </w:rPr>
        <w:t>De même</w:t>
      </w:r>
      <w:r w:rsidRPr="00D02DA6">
        <w:rPr>
          <w:rFonts w:ascii="Maiandra GD" w:hAnsi="Maiandra GD"/>
          <w:sz w:val="24"/>
          <w:szCs w:val="24"/>
        </w:rPr>
        <w:t>, la Cour de Répression des Infractions Economiques et du Terrorisme (CRIET) a été très récemment remise en cause par une décision de la Cour Africaine des Droits de l’Homme et des Peuples</w:t>
      </w:r>
      <w:r w:rsidR="00635ABC" w:rsidRPr="00D02DA6">
        <w:rPr>
          <w:rFonts w:ascii="Maiandra GD" w:hAnsi="Maiandra GD"/>
          <w:sz w:val="24"/>
          <w:szCs w:val="24"/>
        </w:rPr>
        <w:t>.</w:t>
      </w:r>
      <w:r w:rsidR="00CC2B5F" w:rsidRPr="00D02DA6">
        <w:rPr>
          <w:rFonts w:ascii="Maiandra GD" w:hAnsi="Maiandra GD"/>
          <w:sz w:val="24"/>
          <w:szCs w:val="24"/>
        </w:rPr>
        <w:t xml:space="preserve"> </w:t>
      </w:r>
      <w:r w:rsidR="00CC2B5F" w:rsidRPr="003D3610">
        <w:rPr>
          <w:rFonts w:ascii="Maiandra GD" w:hAnsi="Maiandra GD"/>
          <w:sz w:val="24"/>
          <w:szCs w:val="24"/>
        </w:rPr>
        <w:t>Le Code du numérique, quant à lui, au regard de son application ces de</w:t>
      </w:r>
      <w:r w:rsidR="00CC2B5F" w:rsidRPr="00D02DA6">
        <w:rPr>
          <w:rFonts w:ascii="Maiandra GD" w:hAnsi="Maiandra GD"/>
          <w:sz w:val="24"/>
          <w:szCs w:val="24"/>
        </w:rPr>
        <w:t>rniers mois, est véritablement porteur d’effet dissuasif relativement à la dénonciation des actes de corruption par la voie du numérique.</w:t>
      </w:r>
      <w:r w:rsidR="00845BD9" w:rsidRPr="00D02DA6">
        <w:rPr>
          <w:rFonts w:ascii="Maiandra GD" w:hAnsi="Maiandra GD"/>
          <w:sz w:val="24"/>
          <w:szCs w:val="24"/>
        </w:rPr>
        <w:t xml:space="preserve"> Tout ceci est davantage corroboré par ces propos du Chef de l’Etat lors de son discours à la Nation en date du 2</w:t>
      </w:r>
      <w:r w:rsidR="00575D42" w:rsidRPr="00D02DA6">
        <w:rPr>
          <w:rFonts w:ascii="Maiandra GD" w:hAnsi="Maiandra GD"/>
          <w:sz w:val="24"/>
          <w:szCs w:val="24"/>
        </w:rPr>
        <w:t>0</w:t>
      </w:r>
      <w:r w:rsidR="00845BD9" w:rsidRPr="00D02DA6">
        <w:rPr>
          <w:rFonts w:ascii="Maiandra GD" w:hAnsi="Maiandra GD"/>
          <w:sz w:val="24"/>
          <w:szCs w:val="24"/>
        </w:rPr>
        <w:t xml:space="preserve"> mai 2019 « Chacun est libre de ses opinions mais responsable de ses actes ». Cela instaure véritablement un climat de dissuasion de tout acte de dénonciation.</w:t>
      </w:r>
    </w:p>
    <w:p w14:paraId="780B4678" w14:textId="3BD6B6B8" w:rsidR="007F6BCB" w:rsidRPr="00D02DA6" w:rsidRDefault="00CC2B5F"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 xml:space="preserve">Suggestions de </w:t>
      </w:r>
      <w:r w:rsidR="007F6BCB" w:rsidRPr="00D02DA6">
        <w:rPr>
          <w:rFonts w:ascii="Maiandra GD" w:hAnsi="Maiandra GD"/>
          <w:color w:val="002060"/>
          <w:sz w:val="24"/>
          <w:szCs w:val="24"/>
        </w:rPr>
        <w:t>Recommandations :</w:t>
      </w:r>
    </w:p>
    <w:p w14:paraId="281A1A9A" w14:textId="5D16C1A5" w:rsidR="007F6BCB" w:rsidRPr="00D02DA6" w:rsidRDefault="007F6BCB" w:rsidP="007F6BCB">
      <w:pPr>
        <w:pStyle w:val="Paragraphedeliste"/>
        <w:numPr>
          <w:ilvl w:val="0"/>
          <w:numId w:val="2"/>
        </w:numPr>
        <w:spacing w:line="276" w:lineRule="auto"/>
        <w:jc w:val="both"/>
        <w:rPr>
          <w:rFonts w:ascii="Maiandra GD" w:hAnsi="Maiandra GD"/>
        </w:rPr>
      </w:pPr>
      <w:r w:rsidRPr="00D02DA6">
        <w:rPr>
          <w:rFonts w:ascii="Maiandra GD" w:hAnsi="Maiandra GD"/>
        </w:rPr>
        <w:t>Supprimer du Code pénal, toutes les dispositions de restriction des dénonciations</w:t>
      </w:r>
    </w:p>
    <w:p w14:paraId="54001FB4" w14:textId="57C72ACA" w:rsidR="007F6BCB" w:rsidRPr="00D02DA6" w:rsidRDefault="007F6BCB" w:rsidP="007F6BCB">
      <w:pPr>
        <w:pStyle w:val="Paragraphedeliste"/>
        <w:numPr>
          <w:ilvl w:val="0"/>
          <w:numId w:val="2"/>
        </w:numPr>
        <w:spacing w:line="276" w:lineRule="auto"/>
        <w:jc w:val="both"/>
        <w:rPr>
          <w:rFonts w:ascii="Maiandra GD" w:hAnsi="Maiandra GD"/>
        </w:rPr>
      </w:pPr>
      <w:r w:rsidRPr="00D02DA6">
        <w:rPr>
          <w:rFonts w:ascii="Maiandra GD" w:hAnsi="Maiandra GD"/>
        </w:rPr>
        <w:t>Relire la loi sur la Cour de Répression des Infractions Economiques et du Terrorisme pour la conformer aux principes et droits ainsi que les orientations de la décision de la C</w:t>
      </w:r>
      <w:r w:rsidR="00C7710D" w:rsidRPr="00D02DA6">
        <w:rPr>
          <w:rFonts w:ascii="Maiandra GD" w:hAnsi="Maiandra GD"/>
        </w:rPr>
        <w:t xml:space="preserve">our </w:t>
      </w:r>
      <w:r w:rsidRPr="00D02DA6">
        <w:rPr>
          <w:rFonts w:ascii="Maiandra GD" w:hAnsi="Maiandra GD"/>
        </w:rPr>
        <w:t>Africaine des Droits de l’Homme et des Peuples</w:t>
      </w:r>
      <w:r w:rsidR="00C7710D" w:rsidRPr="00D02DA6">
        <w:rPr>
          <w:rFonts w:ascii="Maiandra GD" w:hAnsi="Maiandra GD"/>
        </w:rPr>
        <w:t xml:space="preserve"> et celle de la Cour constitutionnelle</w:t>
      </w:r>
      <w:r w:rsidR="00D01A60" w:rsidRPr="00D02DA6">
        <w:rPr>
          <w:rFonts w:ascii="Maiandra GD" w:hAnsi="Maiandra GD"/>
        </w:rPr>
        <w:t xml:space="preserve"> sur l’article</w:t>
      </w:r>
      <w:r w:rsidR="00083E25">
        <w:rPr>
          <w:rFonts w:ascii="Maiandra GD" w:hAnsi="Maiandra GD"/>
        </w:rPr>
        <w:t xml:space="preserve"> 12</w:t>
      </w:r>
      <w:r w:rsidR="00D01A60" w:rsidRPr="00D02DA6">
        <w:rPr>
          <w:rFonts w:ascii="Maiandra GD" w:hAnsi="Maiandra GD"/>
        </w:rPr>
        <w:t xml:space="preserve"> de la</w:t>
      </w:r>
      <w:r w:rsidR="00083E25">
        <w:rPr>
          <w:rFonts w:ascii="Maiandra GD" w:hAnsi="Maiandra GD"/>
        </w:rPr>
        <w:t>dite</w:t>
      </w:r>
      <w:r w:rsidR="00D01A60" w:rsidRPr="00D02DA6">
        <w:rPr>
          <w:rFonts w:ascii="Maiandra GD" w:hAnsi="Maiandra GD"/>
        </w:rPr>
        <w:t xml:space="preserve"> loi </w:t>
      </w:r>
    </w:p>
    <w:p w14:paraId="430D8A88" w14:textId="2B23403C" w:rsidR="00CC2B5F" w:rsidRPr="00D02DA6" w:rsidRDefault="00CC2B5F" w:rsidP="007F6BCB">
      <w:pPr>
        <w:pStyle w:val="Paragraphedeliste"/>
        <w:numPr>
          <w:ilvl w:val="0"/>
          <w:numId w:val="2"/>
        </w:numPr>
        <w:spacing w:line="276" w:lineRule="auto"/>
        <w:jc w:val="both"/>
        <w:rPr>
          <w:rFonts w:ascii="Maiandra GD" w:hAnsi="Maiandra GD"/>
        </w:rPr>
      </w:pPr>
      <w:r w:rsidRPr="00D02DA6">
        <w:rPr>
          <w:rFonts w:ascii="Maiandra GD" w:hAnsi="Maiandra GD"/>
        </w:rPr>
        <w:t>Rendre conforme</w:t>
      </w:r>
      <w:r w:rsidR="00B710BE">
        <w:rPr>
          <w:rFonts w:ascii="Maiandra GD" w:hAnsi="Maiandra GD"/>
        </w:rPr>
        <w:t>s</w:t>
      </w:r>
      <w:r w:rsidRPr="00D02DA6">
        <w:rPr>
          <w:rFonts w:ascii="Maiandra GD" w:hAnsi="Maiandra GD"/>
        </w:rPr>
        <w:t xml:space="preserve"> </w:t>
      </w:r>
      <w:r w:rsidR="00B710BE" w:rsidRPr="00D02DA6">
        <w:rPr>
          <w:rFonts w:ascii="Maiandra GD" w:hAnsi="Maiandra GD"/>
        </w:rPr>
        <w:t>l</w:t>
      </w:r>
      <w:r w:rsidR="00B710BE">
        <w:rPr>
          <w:rFonts w:ascii="Maiandra GD" w:hAnsi="Maiandra GD"/>
        </w:rPr>
        <w:t>es</w:t>
      </w:r>
      <w:r w:rsidR="00B710BE" w:rsidRPr="00D02DA6">
        <w:rPr>
          <w:rFonts w:ascii="Maiandra GD" w:hAnsi="Maiandra GD"/>
        </w:rPr>
        <w:t xml:space="preserve"> </w:t>
      </w:r>
      <w:r w:rsidRPr="00D02DA6">
        <w:rPr>
          <w:rFonts w:ascii="Maiandra GD" w:hAnsi="Maiandra GD"/>
        </w:rPr>
        <w:t>loi</w:t>
      </w:r>
      <w:r w:rsidR="00B710BE">
        <w:rPr>
          <w:rFonts w:ascii="Maiandra GD" w:hAnsi="Maiandra GD"/>
        </w:rPr>
        <w:t>s</w:t>
      </w:r>
      <w:r w:rsidRPr="00D02DA6">
        <w:rPr>
          <w:rFonts w:ascii="Maiandra GD" w:hAnsi="Maiandra GD"/>
        </w:rPr>
        <w:t xml:space="preserve"> sur le code du numérique et le recueil des renseignements </w:t>
      </w:r>
      <w:r w:rsidR="00B710BE">
        <w:rPr>
          <w:rFonts w:ascii="Maiandra GD" w:hAnsi="Maiandra GD"/>
        </w:rPr>
        <w:t>aux</w:t>
      </w:r>
      <w:r w:rsidRPr="00D02DA6">
        <w:rPr>
          <w:rFonts w:ascii="Maiandra GD" w:hAnsi="Maiandra GD"/>
        </w:rPr>
        <w:t xml:space="preserve"> engagements internationaux auxquels le Bénin est </w:t>
      </w:r>
      <w:proofErr w:type="gramStart"/>
      <w:r w:rsidRPr="00D02DA6">
        <w:rPr>
          <w:rFonts w:ascii="Maiandra GD" w:hAnsi="Maiandra GD"/>
        </w:rPr>
        <w:t>partie</w:t>
      </w:r>
      <w:proofErr w:type="gramEnd"/>
    </w:p>
    <w:p w14:paraId="68A8835B" w14:textId="77777777" w:rsidR="00593B2B" w:rsidRPr="00D02DA6" w:rsidRDefault="00593B2B" w:rsidP="00111DB6">
      <w:pPr>
        <w:spacing w:line="276" w:lineRule="auto"/>
        <w:jc w:val="both"/>
        <w:rPr>
          <w:rFonts w:ascii="Maiandra GD" w:hAnsi="Maiandra GD"/>
          <w:sz w:val="24"/>
          <w:szCs w:val="24"/>
        </w:rPr>
      </w:pPr>
    </w:p>
    <w:p w14:paraId="6DE0E8B2" w14:textId="53F4CAFC" w:rsidR="00B84046" w:rsidRPr="003D3610" w:rsidRDefault="00B84046" w:rsidP="005A073E">
      <w:pPr>
        <w:spacing w:line="276" w:lineRule="auto"/>
        <w:jc w:val="both"/>
        <w:rPr>
          <w:rFonts w:ascii="Maiandra GD" w:hAnsi="Maiandra GD"/>
          <w:sz w:val="24"/>
          <w:szCs w:val="24"/>
        </w:rPr>
      </w:pPr>
    </w:p>
    <w:p w14:paraId="711C017B" w14:textId="77777777" w:rsidR="0080731C" w:rsidRPr="00D02DA6" w:rsidRDefault="0080731C" w:rsidP="005A073E">
      <w:pPr>
        <w:spacing w:line="276" w:lineRule="auto"/>
        <w:jc w:val="both"/>
        <w:rPr>
          <w:rFonts w:ascii="Maiandra GD" w:hAnsi="Maiandra GD"/>
          <w:sz w:val="24"/>
          <w:szCs w:val="24"/>
        </w:rPr>
      </w:pPr>
    </w:p>
    <w:p w14:paraId="1A84641B" w14:textId="77777777" w:rsidR="00E23FAF" w:rsidRDefault="00E23FAF">
      <w:pPr>
        <w:rPr>
          <w:rFonts w:ascii="Maiandra GD" w:hAnsi="Maiandra GD"/>
          <w:b/>
          <w:color w:val="002060"/>
          <w:sz w:val="24"/>
          <w:szCs w:val="24"/>
        </w:rPr>
      </w:pPr>
      <w:r>
        <w:rPr>
          <w:rFonts w:ascii="Maiandra GD" w:hAnsi="Maiandra GD"/>
          <w:b/>
          <w:color w:val="002060"/>
          <w:sz w:val="24"/>
          <w:szCs w:val="24"/>
        </w:rPr>
        <w:br w:type="page"/>
      </w:r>
    </w:p>
    <w:p w14:paraId="3EE78A23" w14:textId="14B262C9" w:rsidR="001C7C6A" w:rsidRPr="00D02DA6" w:rsidRDefault="001C7C6A" w:rsidP="00A5335E">
      <w:pPr>
        <w:pStyle w:val="Titre1"/>
      </w:pPr>
      <w:bookmarkStart w:id="5" w:name="_Toc30690920"/>
      <w:r w:rsidRPr="00D02DA6">
        <w:lastRenderedPageBreak/>
        <w:t>Concernant le point 22 de la liste des questions :</w:t>
      </w:r>
      <w:bookmarkEnd w:id="5"/>
    </w:p>
    <w:p w14:paraId="52E0178F" w14:textId="01174385" w:rsidR="001C7C6A" w:rsidRPr="007631C1" w:rsidRDefault="001C7C6A"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7631C1">
        <w:rPr>
          <w:rFonts w:ascii="Times New Roman" w:hAnsi="Times New Roman" w:cs="Times New Roman"/>
          <w:sz w:val="24"/>
          <w:szCs w:val="24"/>
        </w:rPr>
        <w:t>22.</w:t>
      </w:r>
      <w:r w:rsidRPr="007631C1">
        <w:rPr>
          <w:rFonts w:ascii="Times New Roman" w:hAnsi="Times New Roman" w:cs="Times New Roman"/>
          <w:sz w:val="24"/>
          <w:szCs w:val="24"/>
        </w:rPr>
        <w:tab/>
        <w:t>Se référant aux informations présentées dans les paragraphes 53 à 57 du rapport de l’État partie, veuillez donner des informations actualisées sur les mesures adoptées par l’État partie pour garantir l’accès à l’eau potable, notamment dans les milieux ruraux, et à l’assainissement, en particulier dans les zones d’habitat informel et les zones rurales, ainsi que sur l’impact de ces mesures.</w:t>
      </w:r>
    </w:p>
    <w:p w14:paraId="377243F0" w14:textId="2981B242" w:rsidR="001C7C6A" w:rsidRPr="00D02DA6" w:rsidRDefault="001C7C6A" w:rsidP="005A073E">
      <w:pPr>
        <w:spacing w:line="276" w:lineRule="auto"/>
        <w:jc w:val="both"/>
        <w:rPr>
          <w:rFonts w:ascii="Maiandra GD" w:hAnsi="Maiandra GD"/>
          <w:bCs/>
          <w:color w:val="002060"/>
          <w:sz w:val="24"/>
          <w:szCs w:val="24"/>
        </w:rPr>
      </w:pPr>
      <w:r w:rsidRPr="003D3610">
        <w:rPr>
          <w:rFonts w:ascii="Maiandra GD" w:hAnsi="Maiandra GD"/>
          <w:bCs/>
          <w:color w:val="002060"/>
          <w:sz w:val="24"/>
          <w:szCs w:val="24"/>
        </w:rPr>
        <w:t>Dispositions d</w:t>
      </w:r>
      <w:r w:rsidRPr="00D02DA6">
        <w:rPr>
          <w:rFonts w:ascii="Maiandra GD" w:hAnsi="Maiandra GD"/>
          <w:bCs/>
          <w:color w:val="002060"/>
          <w:sz w:val="24"/>
          <w:szCs w:val="24"/>
        </w:rPr>
        <w:t>e principe :</w:t>
      </w:r>
    </w:p>
    <w:p w14:paraId="2ADE9165" w14:textId="56C37D1D" w:rsidR="00BE03B4" w:rsidRPr="00D02DA6" w:rsidRDefault="00BE03B4" w:rsidP="00111DB6">
      <w:pPr>
        <w:pStyle w:val="Paragraphedeliste"/>
        <w:numPr>
          <w:ilvl w:val="0"/>
          <w:numId w:val="1"/>
        </w:numPr>
        <w:spacing w:line="276" w:lineRule="auto"/>
        <w:jc w:val="both"/>
        <w:rPr>
          <w:rFonts w:ascii="Maiandra GD" w:hAnsi="Maiandra GD"/>
        </w:rPr>
      </w:pPr>
      <w:r w:rsidRPr="00D02DA6">
        <w:rPr>
          <w:rFonts w:ascii="Maiandra GD" w:hAnsi="Maiandra GD"/>
        </w:rPr>
        <w:t>Objectif de Développement Durable n°6 : Garantir l’accès de tous à des services d’alimentation en eau et d’assainissement gérés de façon durable</w:t>
      </w:r>
    </w:p>
    <w:p w14:paraId="6FA06172" w14:textId="60236754" w:rsidR="001C7C6A" w:rsidRPr="00D02DA6" w:rsidRDefault="00643379" w:rsidP="005A073E">
      <w:pPr>
        <w:spacing w:line="276" w:lineRule="auto"/>
        <w:jc w:val="both"/>
        <w:rPr>
          <w:rFonts w:ascii="Maiandra GD" w:hAnsi="Maiandra GD"/>
          <w:bCs/>
          <w:color w:val="002060"/>
          <w:sz w:val="24"/>
          <w:szCs w:val="24"/>
        </w:rPr>
      </w:pPr>
      <w:r w:rsidRPr="00D02DA6">
        <w:rPr>
          <w:rFonts w:ascii="Maiandra GD" w:hAnsi="Maiandra GD"/>
          <w:bCs/>
          <w:color w:val="002060"/>
          <w:sz w:val="24"/>
          <w:szCs w:val="24"/>
        </w:rPr>
        <w:t>Tendances lourdes :</w:t>
      </w:r>
    </w:p>
    <w:p w14:paraId="2C1D6CEF" w14:textId="40320E2C" w:rsidR="00643379" w:rsidRPr="00D02DA6" w:rsidRDefault="00643379" w:rsidP="005A073E">
      <w:pPr>
        <w:spacing w:line="276" w:lineRule="auto"/>
        <w:jc w:val="both"/>
        <w:rPr>
          <w:rFonts w:ascii="Maiandra GD" w:hAnsi="Maiandra GD"/>
          <w:bCs/>
          <w:color w:val="000000" w:themeColor="text1"/>
          <w:sz w:val="24"/>
          <w:szCs w:val="24"/>
        </w:rPr>
      </w:pPr>
      <w:r w:rsidRPr="00D02DA6">
        <w:rPr>
          <w:rFonts w:ascii="Maiandra GD" w:hAnsi="Maiandra GD"/>
          <w:bCs/>
          <w:color w:val="000000" w:themeColor="text1"/>
          <w:sz w:val="24"/>
          <w:szCs w:val="24"/>
        </w:rPr>
        <w:t xml:space="preserve">Au Bénin, la fourniture de l’eau potable est assurée </w:t>
      </w:r>
      <w:r w:rsidR="00F86502" w:rsidRPr="00D02DA6">
        <w:rPr>
          <w:rFonts w:ascii="Maiandra GD" w:hAnsi="Maiandra GD"/>
          <w:bCs/>
          <w:color w:val="000000" w:themeColor="text1"/>
          <w:sz w:val="24"/>
          <w:szCs w:val="24"/>
        </w:rPr>
        <w:t xml:space="preserve">tant </w:t>
      </w:r>
      <w:r w:rsidRPr="00D02DA6">
        <w:rPr>
          <w:rFonts w:ascii="Maiandra GD" w:hAnsi="Maiandra GD"/>
          <w:bCs/>
          <w:color w:val="000000" w:themeColor="text1"/>
          <w:sz w:val="24"/>
          <w:szCs w:val="24"/>
        </w:rPr>
        <w:t>par la Société Nationale des Eaux du Bénin (SONEB)</w:t>
      </w:r>
      <w:r w:rsidR="00F86502" w:rsidRPr="00D02DA6">
        <w:rPr>
          <w:rFonts w:ascii="Maiandra GD" w:hAnsi="Maiandra GD"/>
          <w:bCs/>
          <w:color w:val="000000" w:themeColor="text1"/>
          <w:sz w:val="24"/>
          <w:szCs w:val="24"/>
        </w:rPr>
        <w:t xml:space="preserve"> </w:t>
      </w:r>
      <w:r w:rsidR="00AC63CC" w:rsidRPr="00D02DA6">
        <w:rPr>
          <w:rFonts w:ascii="Maiandra GD" w:hAnsi="Maiandra GD"/>
          <w:bCs/>
          <w:color w:val="000000" w:themeColor="text1"/>
          <w:sz w:val="24"/>
          <w:szCs w:val="24"/>
        </w:rPr>
        <w:t xml:space="preserve">en milieu urbain </w:t>
      </w:r>
      <w:r w:rsidR="00F86502" w:rsidRPr="00D02DA6">
        <w:rPr>
          <w:rFonts w:ascii="Maiandra GD" w:hAnsi="Maiandra GD"/>
          <w:bCs/>
          <w:color w:val="000000" w:themeColor="text1"/>
          <w:sz w:val="24"/>
          <w:szCs w:val="24"/>
        </w:rPr>
        <w:t xml:space="preserve">que </w:t>
      </w:r>
      <w:r w:rsidR="00AC63CC" w:rsidRPr="00D02DA6">
        <w:rPr>
          <w:rFonts w:ascii="Maiandra GD" w:hAnsi="Maiandra GD"/>
          <w:bCs/>
          <w:color w:val="000000" w:themeColor="text1"/>
          <w:sz w:val="24"/>
          <w:szCs w:val="24"/>
        </w:rPr>
        <w:t>par</w:t>
      </w:r>
      <w:r w:rsidR="00F86502" w:rsidRPr="00D02DA6">
        <w:rPr>
          <w:rFonts w:ascii="Maiandra GD" w:hAnsi="Maiandra GD"/>
          <w:bCs/>
          <w:color w:val="000000" w:themeColor="text1"/>
          <w:sz w:val="24"/>
          <w:szCs w:val="24"/>
        </w:rPr>
        <w:t xml:space="preserve"> </w:t>
      </w:r>
      <w:r w:rsidR="00E802EA">
        <w:rPr>
          <w:rFonts w:ascii="Maiandra GD" w:hAnsi="Maiandra GD"/>
          <w:bCs/>
          <w:color w:val="000000" w:themeColor="text1"/>
          <w:sz w:val="24"/>
          <w:szCs w:val="24"/>
        </w:rPr>
        <w:t xml:space="preserve">les </w:t>
      </w:r>
      <w:r w:rsidR="00F86502" w:rsidRPr="00D02DA6">
        <w:rPr>
          <w:rFonts w:ascii="Maiandra GD" w:hAnsi="Maiandra GD"/>
          <w:bCs/>
          <w:color w:val="000000" w:themeColor="text1"/>
          <w:sz w:val="24"/>
          <w:szCs w:val="24"/>
        </w:rPr>
        <w:t>fermiers en milieu rural</w:t>
      </w:r>
      <w:r w:rsidR="00AC63CC" w:rsidRPr="00D02DA6">
        <w:rPr>
          <w:rFonts w:ascii="Maiandra GD" w:hAnsi="Maiandra GD"/>
          <w:bCs/>
          <w:color w:val="000000" w:themeColor="text1"/>
          <w:sz w:val="24"/>
          <w:szCs w:val="24"/>
        </w:rPr>
        <w:t xml:space="preserve"> à travers les dispositifs d’Adduction d’Eau Villageoise (AEV)</w:t>
      </w:r>
      <w:r w:rsidRPr="00D02DA6">
        <w:rPr>
          <w:rFonts w:ascii="Maiandra GD" w:hAnsi="Maiandra GD"/>
          <w:bCs/>
          <w:color w:val="000000" w:themeColor="text1"/>
          <w:sz w:val="24"/>
          <w:szCs w:val="24"/>
        </w:rPr>
        <w:t xml:space="preserve">. </w:t>
      </w:r>
      <w:r w:rsidR="008F48C3" w:rsidRPr="00D02DA6">
        <w:rPr>
          <w:rFonts w:ascii="Maiandra GD" w:hAnsi="Maiandra GD"/>
          <w:bCs/>
          <w:color w:val="000000" w:themeColor="text1"/>
          <w:sz w:val="24"/>
          <w:szCs w:val="24"/>
        </w:rPr>
        <w:t>Les acteurs de l’offre</w:t>
      </w:r>
      <w:r w:rsidR="00AC63CC" w:rsidRPr="00D02DA6">
        <w:rPr>
          <w:rFonts w:ascii="Maiandra GD" w:hAnsi="Maiandra GD"/>
          <w:bCs/>
          <w:color w:val="000000" w:themeColor="text1"/>
          <w:sz w:val="24"/>
          <w:szCs w:val="24"/>
        </w:rPr>
        <w:t xml:space="preserve"> que sont les agents de la SONEB et ceux en charge des AEV sont parfois auteurs d’actes de corruption, toute chose affectant la jouissance effective </w:t>
      </w:r>
      <w:r w:rsidR="005C1AB8" w:rsidRPr="00D02DA6">
        <w:rPr>
          <w:rFonts w:ascii="Maiandra GD" w:hAnsi="Maiandra GD"/>
          <w:bCs/>
          <w:color w:val="000000" w:themeColor="text1"/>
          <w:sz w:val="24"/>
          <w:szCs w:val="24"/>
        </w:rPr>
        <w:t>par la population de son droit fondamental à l’eau potable</w:t>
      </w:r>
      <w:r w:rsidRPr="00D02DA6">
        <w:rPr>
          <w:rFonts w:ascii="Maiandra GD" w:hAnsi="Maiandra GD"/>
          <w:bCs/>
          <w:color w:val="000000" w:themeColor="text1"/>
          <w:sz w:val="24"/>
          <w:szCs w:val="24"/>
        </w:rPr>
        <w:t xml:space="preserve">. Il </w:t>
      </w:r>
      <w:r w:rsidR="009D5F8A" w:rsidRPr="00D02DA6">
        <w:rPr>
          <w:rFonts w:ascii="Maiandra GD" w:hAnsi="Maiandra GD"/>
          <w:bCs/>
          <w:color w:val="000000" w:themeColor="text1"/>
          <w:sz w:val="24"/>
          <w:szCs w:val="24"/>
        </w:rPr>
        <w:t>faut remarquer l’inexistence d’un</w:t>
      </w:r>
      <w:r w:rsidRPr="00D02DA6">
        <w:rPr>
          <w:rFonts w:ascii="Maiandra GD" w:hAnsi="Maiandra GD"/>
          <w:bCs/>
          <w:color w:val="000000" w:themeColor="text1"/>
          <w:sz w:val="24"/>
          <w:szCs w:val="24"/>
        </w:rPr>
        <w:t xml:space="preserve"> mécanisme indépendant de contrôle de </w:t>
      </w:r>
      <w:r w:rsidR="008867FB">
        <w:rPr>
          <w:rFonts w:ascii="Maiandra GD" w:hAnsi="Maiandra GD"/>
          <w:bCs/>
          <w:color w:val="000000" w:themeColor="text1"/>
          <w:sz w:val="24"/>
          <w:szCs w:val="24"/>
        </w:rPr>
        <w:t xml:space="preserve">l’effectivité des prestations dues. </w:t>
      </w:r>
    </w:p>
    <w:p w14:paraId="221CF981" w14:textId="6B620588" w:rsidR="00643379" w:rsidRPr="00D02DA6" w:rsidRDefault="00643379" w:rsidP="005A073E">
      <w:pPr>
        <w:spacing w:line="276" w:lineRule="auto"/>
        <w:jc w:val="both"/>
        <w:rPr>
          <w:rFonts w:ascii="Maiandra GD" w:hAnsi="Maiandra GD"/>
          <w:bCs/>
          <w:color w:val="002060"/>
          <w:sz w:val="24"/>
          <w:szCs w:val="24"/>
        </w:rPr>
      </w:pPr>
      <w:r w:rsidRPr="00D02DA6">
        <w:rPr>
          <w:rFonts w:ascii="Maiandra GD" w:hAnsi="Maiandra GD"/>
          <w:bCs/>
          <w:color w:val="002060"/>
          <w:sz w:val="24"/>
          <w:szCs w:val="24"/>
        </w:rPr>
        <w:t>Observations :</w:t>
      </w:r>
    </w:p>
    <w:p w14:paraId="0376779B" w14:textId="630EB2BE" w:rsidR="003D3A14" w:rsidRPr="00D02DA6" w:rsidRDefault="00643379" w:rsidP="005A073E">
      <w:pPr>
        <w:spacing w:line="276" w:lineRule="auto"/>
        <w:jc w:val="both"/>
        <w:rPr>
          <w:rFonts w:ascii="Maiandra GD" w:hAnsi="Maiandra GD"/>
          <w:bCs/>
          <w:color w:val="000000" w:themeColor="text1"/>
          <w:sz w:val="24"/>
          <w:szCs w:val="24"/>
        </w:rPr>
      </w:pPr>
      <w:r w:rsidRPr="00D02DA6">
        <w:rPr>
          <w:rFonts w:ascii="Maiandra GD" w:hAnsi="Maiandra GD"/>
          <w:bCs/>
          <w:color w:val="000000" w:themeColor="text1"/>
          <w:sz w:val="24"/>
          <w:szCs w:val="24"/>
        </w:rPr>
        <w:t xml:space="preserve">Le droit à l’eau potable a été déclaré par l’Assemblée Générale des Nations Unies depuis le 28 juillet 2010 comme </w:t>
      </w:r>
      <w:r w:rsidR="00142BDF" w:rsidRPr="00D02DA6">
        <w:rPr>
          <w:rFonts w:ascii="Maiandra GD" w:hAnsi="Maiandra GD"/>
          <w:bCs/>
          <w:color w:val="000000" w:themeColor="text1"/>
          <w:sz w:val="24"/>
          <w:szCs w:val="24"/>
        </w:rPr>
        <w:t>un droit humain essentiel à la pleine jouissance de la vie et du droit à l’exercice de tous les droits humains.</w:t>
      </w:r>
      <w:r w:rsidR="00A20A02" w:rsidRPr="00D02DA6">
        <w:rPr>
          <w:rFonts w:ascii="Maiandra GD" w:hAnsi="Maiandra GD"/>
          <w:bCs/>
          <w:color w:val="000000" w:themeColor="text1"/>
          <w:sz w:val="24"/>
          <w:szCs w:val="24"/>
        </w:rPr>
        <w:t xml:space="preserve">  Pour un droit aussi fondamental pour la population, il est un préalable </w:t>
      </w:r>
      <w:r w:rsidR="00E67508" w:rsidRPr="00D02DA6">
        <w:rPr>
          <w:rFonts w:ascii="Maiandra GD" w:hAnsi="Maiandra GD"/>
          <w:bCs/>
          <w:color w:val="000000" w:themeColor="text1"/>
          <w:sz w:val="24"/>
          <w:szCs w:val="24"/>
        </w:rPr>
        <w:t>de la mise en place d’un mécanisme indépendant de contrôle de l’effectivité des prestations dues en la matière</w:t>
      </w:r>
      <w:r w:rsidR="003D3A14" w:rsidRPr="00D02DA6">
        <w:rPr>
          <w:rFonts w:ascii="Maiandra GD" w:hAnsi="Maiandra GD"/>
          <w:bCs/>
          <w:color w:val="000000" w:themeColor="text1"/>
          <w:sz w:val="24"/>
          <w:szCs w:val="24"/>
        </w:rPr>
        <w:t xml:space="preserve"> avec un dispositif de recours efficace et pour prémunir contre les actes de corruption</w:t>
      </w:r>
      <w:r w:rsidR="00E67508" w:rsidRPr="00D02DA6">
        <w:rPr>
          <w:rFonts w:ascii="Maiandra GD" w:hAnsi="Maiandra GD"/>
          <w:bCs/>
          <w:color w:val="000000" w:themeColor="text1"/>
          <w:sz w:val="24"/>
          <w:szCs w:val="24"/>
        </w:rPr>
        <w:t xml:space="preserve">. </w:t>
      </w:r>
    </w:p>
    <w:p w14:paraId="0EA2FEA9" w14:textId="1E0FD909" w:rsidR="008F31E3" w:rsidRPr="00D02DA6" w:rsidRDefault="008F31E3" w:rsidP="008F31E3">
      <w:pPr>
        <w:jc w:val="both"/>
        <w:rPr>
          <w:rFonts w:ascii="Maiandra GD" w:hAnsi="Maiandra GD"/>
          <w:sz w:val="24"/>
          <w:szCs w:val="24"/>
        </w:rPr>
      </w:pPr>
      <w:r w:rsidRPr="00D02DA6">
        <w:rPr>
          <w:rFonts w:ascii="Maiandra GD" w:hAnsi="Maiandra GD"/>
          <w:sz w:val="24"/>
          <w:szCs w:val="24"/>
        </w:rPr>
        <w:t>Les manifestations de la corruption en cette matière peuvent être décrites comme suit :</w:t>
      </w:r>
    </w:p>
    <w:p w14:paraId="1E104F92" w14:textId="17ABD035" w:rsidR="008F31E3" w:rsidRPr="00D02DA6" w:rsidRDefault="008F31E3" w:rsidP="008F31E3">
      <w:pPr>
        <w:pStyle w:val="Paragraphedeliste"/>
        <w:numPr>
          <w:ilvl w:val="0"/>
          <w:numId w:val="4"/>
        </w:numPr>
        <w:spacing w:after="120"/>
        <w:ind w:left="714" w:hanging="357"/>
        <w:contextualSpacing w:val="0"/>
        <w:jc w:val="both"/>
        <w:rPr>
          <w:rFonts w:ascii="Maiandra GD" w:hAnsi="Maiandra GD"/>
        </w:rPr>
      </w:pPr>
      <w:r w:rsidRPr="00D02DA6">
        <w:rPr>
          <w:rFonts w:ascii="Maiandra GD" w:hAnsi="Maiandra GD"/>
        </w:rPr>
        <w:t>Le service conditionné au paiement d’un pourboire, indiqué par 3 ménages sur 10 (33%)</w:t>
      </w:r>
      <w:r w:rsidRPr="00D02DA6">
        <w:rPr>
          <w:rFonts w:ascii="Maiandra GD" w:hAnsi="Maiandra GD"/>
          <w:b/>
        </w:rPr>
        <w:t> </w:t>
      </w:r>
      <w:r w:rsidRPr="00D02DA6">
        <w:rPr>
          <w:rFonts w:ascii="Maiandra GD" w:hAnsi="Maiandra GD"/>
        </w:rPr>
        <w:t>: Quelques usagers urbains/ périurbains, environ, sont contraints à payer de pourboire avant d’avoir accès aux services tels que le branchement au réseau, la souscription au programme de branchement promotionnel, la réparation des casses, la remise après suspension de la fourniture d’eau pour défaut de paiement de facture de consommation, etc</w:t>
      </w:r>
      <w:r w:rsidR="00347A57">
        <w:rPr>
          <w:rStyle w:val="Appelnotedebasdep"/>
          <w:rFonts w:ascii="Maiandra GD" w:hAnsi="Maiandra GD"/>
        </w:rPr>
        <w:footnoteReference w:id="1"/>
      </w:r>
      <w:r w:rsidRPr="00D02DA6">
        <w:rPr>
          <w:rFonts w:ascii="Maiandra GD" w:hAnsi="Maiandra GD"/>
        </w:rPr>
        <w:t>.</w:t>
      </w:r>
    </w:p>
    <w:p w14:paraId="72C95406" w14:textId="2286C559" w:rsidR="008F31E3" w:rsidRPr="00D02DA6" w:rsidRDefault="008F31E3" w:rsidP="008F31E3">
      <w:pPr>
        <w:pStyle w:val="Paragraphedeliste"/>
        <w:numPr>
          <w:ilvl w:val="0"/>
          <w:numId w:val="4"/>
        </w:numPr>
        <w:spacing w:after="120"/>
        <w:ind w:left="714" w:hanging="357"/>
        <w:contextualSpacing w:val="0"/>
        <w:jc w:val="both"/>
        <w:rPr>
          <w:rFonts w:ascii="Maiandra GD" w:hAnsi="Maiandra GD"/>
        </w:rPr>
      </w:pPr>
      <w:r w:rsidRPr="00D02DA6">
        <w:rPr>
          <w:rFonts w:ascii="Maiandra GD" w:hAnsi="Maiandra GD"/>
        </w:rPr>
        <w:t>La lenteur du traitement des requêtes (17%) crée une sorte de longue</w:t>
      </w:r>
      <w:r w:rsidR="00002E91" w:rsidRPr="00D02DA6">
        <w:rPr>
          <w:rFonts w:ascii="Maiandra GD" w:hAnsi="Maiandra GD"/>
        </w:rPr>
        <w:t xml:space="preserve"> </w:t>
      </w:r>
      <w:r w:rsidRPr="00D02DA6">
        <w:rPr>
          <w:rFonts w:ascii="Maiandra GD" w:hAnsi="Maiandra GD"/>
        </w:rPr>
        <w:t xml:space="preserve">file d’attente, conditionnant les usagers à corrompre les agents publics pour être satisfaits et surtout sécuriser la satisfaction. La non maitrise des délais de traitement des requêtes et surtout de satisfaction crée l’incertitude, facteur d’insécurité et donc de vulnérabilité des usagers. Le délai d’attente du </w:t>
      </w:r>
      <w:r w:rsidRPr="00D02DA6">
        <w:rPr>
          <w:rFonts w:ascii="Maiandra GD" w:hAnsi="Maiandra GD"/>
        </w:rPr>
        <w:lastRenderedPageBreak/>
        <w:t>raccordement n’est pas clairement défini et communiqué, offrant ainsi à certains agents des opportunités de spéculations diverses</w:t>
      </w:r>
      <w:r w:rsidR="00347A57">
        <w:rPr>
          <w:rStyle w:val="Appelnotedebasdep"/>
          <w:rFonts w:ascii="Maiandra GD" w:hAnsi="Maiandra GD"/>
        </w:rPr>
        <w:footnoteReference w:id="2"/>
      </w:r>
      <w:r w:rsidRPr="00D02DA6">
        <w:rPr>
          <w:rFonts w:ascii="Maiandra GD" w:hAnsi="Maiandra GD"/>
        </w:rPr>
        <w:t>.</w:t>
      </w:r>
    </w:p>
    <w:p w14:paraId="6B261E7E" w14:textId="023BC28D" w:rsidR="00737F39" w:rsidRDefault="00737F39" w:rsidP="00D02DA6">
      <w:pPr>
        <w:spacing w:line="276" w:lineRule="auto"/>
        <w:rPr>
          <w:rFonts w:ascii="Maiandra GD" w:hAnsi="Maiandra GD"/>
          <w:bCs/>
          <w:color w:val="000000" w:themeColor="text1"/>
          <w:sz w:val="24"/>
          <w:szCs w:val="24"/>
        </w:rPr>
      </w:pPr>
      <w:r>
        <w:rPr>
          <w:rFonts w:ascii="Maiandra GD" w:hAnsi="Maiandra GD"/>
          <w:bCs/>
          <w:color w:val="000000" w:themeColor="text1"/>
          <w:sz w:val="24"/>
          <w:szCs w:val="24"/>
        </w:rPr>
        <w:t>L’on remarque en milieu rural notamment, le non-respect de l’ordre d’arrivée pour être servi, la faveur de l’achat de l’eau à crédit.</w:t>
      </w:r>
    </w:p>
    <w:p w14:paraId="265876A7" w14:textId="7F11DBB1" w:rsidR="00002E91" w:rsidRPr="00D02DA6" w:rsidRDefault="00002E91" w:rsidP="00D02DA6">
      <w:pPr>
        <w:spacing w:line="276" w:lineRule="auto"/>
        <w:rPr>
          <w:rFonts w:ascii="Maiandra GD" w:hAnsi="Maiandra GD"/>
          <w:bCs/>
          <w:color w:val="000000" w:themeColor="text1"/>
          <w:sz w:val="24"/>
          <w:szCs w:val="24"/>
        </w:rPr>
      </w:pPr>
      <w:r w:rsidRPr="003D3610">
        <w:rPr>
          <w:rFonts w:ascii="Maiandra GD" w:hAnsi="Maiandra GD"/>
          <w:bCs/>
          <w:color w:val="000000" w:themeColor="text1"/>
          <w:sz w:val="24"/>
          <w:szCs w:val="24"/>
        </w:rPr>
        <w:t>E</w:t>
      </w:r>
      <w:r w:rsidRPr="00D02DA6">
        <w:rPr>
          <w:rFonts w:ascii="Maiandra GD" w:hAnsi="Maiandra GD"/>
          <w:bCs/>
          <w:color w:val="000000" w:themeColor="text1"/>
          <w:sz w:val="24"/>
          <w:szCs w:val="24"/>
        </w:rPr>
        <w:t xml:space="preserve">n général, il faut noter d’une part, des risques de corruption ou d’atteinte à l’intégrité sont présents dans toute la chaîne de délivrance des services publics d’eau et d’assainissement notamment dans les processus de planification ; de programmation ; de financement ; de passation des marchés publics ; de réalisation et de contrôle des travaux ; d’exploitation et de maintenance des ouvrages. </w:t>
      </w:r>
    </w:p>
    <w:p w14:paraId="4FF524F4" w14:textId="5B56923D" w:rsidR="008F48C3" w:rsidRPr="00D02DA6" w:rsidRDefault="00A27D86" w:rsidP="005A073E">
      <w:pPr>
        <w:spacing w:line="276" w:lineRule="auto"/>
        <w:jc w:val="both"/>
        <w:rPr>
          <w:rFonts w:ascii="Maiandra GD" w:hAnsi="Maiandra GD"/>
          <w:bCs/>
          <w:color w:val="000000" w:themeColor="text1"/>
          <w:sz w:val="24"/>
          <w:szCs w:val="24"/>
        </w:rPr>
      </w:pPr>
      <w:r w:rsidRPr="003D3610">
        <w:rPr>
          <w:rFonts w:ascii="Maiandra GD" w:hAnsi="Maiandra GD"/>
          <w:bCs/>
          <w:color w:val="000000" w:themeColor="text1"/>
          <w:sz w:val="24"/>
          <w:szCs w:val="24"/>
          <w:lang w:val="fr-CH"/>
        </w:rPr>
        <w:t>D’</w:t>
      </w:r>
      <w:r w:rsidRPr="00D02DA6">
        <w:rPr>
          <w:rFonts w:ascii="Maiandra GD" w:hAnsi="Maiandra GD"/>
          <w:bCs/>
          <w:color w:val="000000" w:themeColor="text1"/>
          <w:sz w:val="24"/>
          <w:szCs w:val="24"/>
          <w:lang w:val="fr-CH"/>
        </w:rPr>
        <w:t>autre part, il y a des r</w:t>
      </w:r>
      <w:r w:rsidR="00002E91" w:rsidRPr="00D02DA6">
        <w:rPr>
          <w:rFonts w:ascii="Maiandra GD" w:hAnsi="Maiandra GD"/>
          <w:bCs/>
          <w:color w:val="000000" w:themeColor="text1"/>
          <w:sz w:val="24"/>
          <w:szCs w:val="24"/>
          <w:lang w:val="fr-CH"/>
        </w:rPr>
        <w:t>isques éman</w:t>
      </w:r>
      <w:r w:rsidR="00F0267B" w:rsidRPr="00D02DA6">
        <w:rPr>
          <w:rFonts w:ascii="Maiandra GD" w:hAnsi="Maiandra GD"/>
          <w:bCs/>
          <w:color w:val="000000" w:themeColor="text1"/>
          <w:sz w:val="24"/>
          <w:szCs w:val="24"/>
          <w:lang w:val="fr-CH"/>
        </w:rPr>
        <w:t>a</w:t>
      </w:r>
      <w:r w:rsidR="00002E91" w:rsidRPr="00D02DA6">
        <w:rPr>
          <w:rFonts w:ascii="Maiandra GD" w:hAnsi="Maiandra GD"/>
          <w:bCs/>
          <w:color w:val="000000" w:themeColor="text1"/>
          <w:sz w:val="24"/>
          <w:szCs w:val="24"/>
          <w:lang w:val="fr-CH"/>
        </w:rPr>
        <w:t xml:space="preserve">nt </w:t>
      </w:r>
      <w:r w:rsidR="000D256B" w:rsidRPr="00D02DA6">
        <w:rPr>
          <w:rFonts w:ascii="Maiandra GD" w:hAnsi="Maiandra GD"/>
          <w:bCs/>
          <w:color w:val="000000" w:themeColor="text1"/>
          <w:sz w:val="24"/>
          <w:szCs w:val="24"/>
          <w:lang w:val="fr-CH"/>
        </w:rPr>
        <w:t>tant</w:t>
      </w:r>
      <w:r w:rsidR="00002E91" w:rsidRPr="00D02DA6">
        <w:rPr>
          <w:rFonts w:ascii="Maiandra GD" w:hAnsi="Maiandra GD"/>
          <w:bCs/>
          <w:color w:val="000000" w:themeColor="text1"/>
          <w:sz w:val="24"/>
          <w:szCs w:val="24"/>
          <w:lang w:val="fr-CH"/>
        </w:rPr>
        <w:t xml:space="preserve"> des limites des dispositifs normatifs mis en place pour gouverner le secteur </w:t>
      </w:r>
      <w:r w:rsidR="000D256B" w:rsidRPr="00D02DA6">
        <w:rPr>
          <w:rFonts w:ascii="Maiandra GD" w:hAnsi="Maiandra GD"/>
          <w:bCs/>
          <w:color w:val="000000" w:themeColor="text1"/>
          <w:sz w:val="24"/>
          <w:szCs w:val="24"/>
          <w:lang w:val="fr-CH"/>
        </w:rPr>
        <w:t>que</w:t>
      </w:r>
      <w:r w:rsidR="00002E91" w:rsidRPr="00D02DA6">
        <w:rPr>
          <w:rFonts w:ascii="Maiandra GD" w:hAnsi="Maiandra GD"/>
          <w:bCs/>
          <w:color w:val="000000" w:themeColor="text1"/>
          <w:sz w:val="24"/>
          <w:szCs w:val="24"/>
          <w:lang w:val="fr-CH"/>
        </w:rPr>
        <w:t xml:space="preserve"> des décalages entre ces dispositifs et les pratiques des acteurs, lesquels acteurs sont pluriels avec des logiques souvent divergentes voire conflictuelles</w:t>
      </w:r>
      <w:r w:rsidR="00B710BE">
        <w:rPr>
          <w:rFonts w:ascii="Maiandra GD" w:hAnsi="Maiandra GD"/>
          <w:bCs/>
          <w:color w:val="000000" w:themeColor="text1"/>
          <w:sz w:val="24"/>
          <w:szCs w:val="24"/>
          <w:lang w:val="fr-CH"/>
        </w:rPr>
        <w:t>.</w:t>
      </w:r>
    </w:p>
    <w:p w14:paraId="49DCF110" w14:textId="4FDA167C" w:rsidR="007C2B4A" w:rsidRPr="00D02DA6" w:rsidRDefault="007C2B4A" w:rsidP="005A073E">
      <w:pPr>
        <w:spacing w:line="276" w:lineRule="auto"/>
        <w:jc w:val="both"/>
        <w:rPr>
          <w:rFonts w:ascii="Maiandra GD" w:hAnsi="Maiandra GD"/>
          <w:bCs/>
          <w:color w:val="002060"/>
          <w:sz w:val="24"/>
          <w:szCs w:val="24"/>
        </w:rPr>
      </w:pPr>
      <w:r w:rsidRPr="00D02DA6">
        <w:rPr>
          <w:rFonts w:ascii="Maiandra GD" w:hAnsi="Maiandra GD"/>
          <w:bCs/>
          <w:color w:val="002060"/>
          <w:sz w:val="24"/>
          <w:szCs w:val="24"/>
        </w:rPr>
        <w:t>Suggestion</w:t>
      </w:r>
      <w:r w:rsidR="00FB1367" w:rsidRPr="00D02DA6">
        <w:rPr>
          <w:rFonts w:ascii="Maiandra GD" w:hAnsi="Maiandra GD"/>
          <w:bCs/>
          <w:color w:val="002060"/>
          <w:sz w:val="24"/>
          <w:szCs w:val="24"/>
        </w:rPr>
        <w:t>s</w:t>
      </w:r>
      <w:r w:rsidRPr="00D02DA6">
        <w:rPr>
          <w:rFonts w:ascii="Maiandra GD" w:hAnsi="Maiandra GD"/>
          <w:bCs/>
          <w:color w:val="002060"/>
          <w:sz w:val="24"/>
          <w:szCs w:val="24"/>
        </w:rPr>
        <w:t xml:space="preserve"> de recommandation</w:t>
      </w:r>
      <w:r w:rsidR="00FB1367" w:rsidRPr="00D02DA6">
        <w:rPr>
          <w:rFonts w:ascii="Maiandra GD" w:hAnsi="Maiandra GD"/>
          <w:bCs/>
          <w:color w:val="002060"/>
          <w:sz w:val="24"/>
          <w:szCs w:val="24"/>
        </w:rPr>
        <w:t>s</w:t>
      </w:r>
      <w:r w:rsidRPr="00D02DA6">
        <w:rPr>
          <w:rFonts w:ascii="Maiandra GD" w:hAnsi="Maiandra GD"/>
          <w:bCs/>
          <w:color w:val="002060"/>
          <w:sz w:val="24"/>
          <w:szCs w:val="24"/>
        </w:rPr>
        <w:t> :</w:t>
      </w:r>
    </w:p>
    <w:p w14:paraId="718C3904" w14:textId="5544E58E" w:rsidR="007C2B4A" w:rsidRPr="00D02DA6" w:rsidRDefault="007C2B4A" w:rsidP="007C2B4A">
      <w:pPr>
        <w:pStyle w:val="Paragraphedeliste"/>
        <w:numPr>
          <w:ilvl w:val="0"/>
          <w:numId w:val="1"/>
        </w:numPr>
        <w:spacing w:line="276" w:lineRule="auto"/>
        <w:jc w:val="both"/>
        <w:rPr>
          <w:rFonts w:ascii="Maiandra GD" w:hAnsi="Maiandra GD"/>
          <w:bCs/>
          <w:color w:val="000000" w:themeColor="text1"/>
        </w:rPr>
      </w:pPr>
      <w:r w:rsidRPr="00D02DA6">
        <w:rPr>
          <w:rFonts w:ascii="Maiandra GD" w:hAnsi="Maiandra GD"/>
          <w:bCs/>
          <w:color w:val="000000" w:themeColor="text1"/>
        </w:rPr>
        <w:t xml:space="preserve">Mettre en place et rendre fonctionnel un mécanisme multi-acteurs élargi à la population, indépendant de contrôle de </w:t>
      </w:r>
      <w:r w:rsidR="00A67DE0">
        <w:rPr>
          <w:rFonts w:ascii="Maiandra GD" w:hAnsi="Maiandra GD"/>
          <w:bCs/>
          <w:color w:val="000000" w:themeColor="text1"/>
        </w:rPr>
        <w:t>l’effectivité des prestations dues en matière d’accès à l’</w:t>
      </w:r>
      <w:proofErr w:type="spellStart"/>
      <w:r w:rsidR="00A67DE0">
        <w:rPr>
          <w:rFonts w:ascii="Maiandra GD" w:hAnsi="Maiandra GD"/>
          <w:bCs/>
          <w:color w:val="000000" w:themeColor="text1"/>
        </w:rPr>
        <w:t>e</w:t>
      </w:r>
      <w:r w:rsidR="00A67DE0">
        <w:rPr>
          <w:rFonts w:ascii="Maiandra GD" w:hAnsi="Maiandra GD"/>
          <w:bCs/>
          <w:color w:val="000000" w:themeColor="text1"/>
        </w:rPr>
        <w:tab/>
        <w:t>au</w:t>
      </w:r>
      <w:proofErr w:type="spellEnd"/>
      <w:r w:rsidR="00A67DE0">
        <w:rPr>
          <w:rFonts w:ascii="Maiandra GD" w:hAnsi="Maiandra GD"/>
          <w:bCs/>
          <w:color w:val="000000" w:themeColor="text1"/>
        </w:rPr>
        <w:t xml:space="preserve"> potable </w:t>
      </w:r>
    </w:p>
    <w:p w14:paraId="25471CEA" w14:textId="4EE24DD1" w:rsidR="002C4673" w:rsidRPr="00D02DA6" w:rsidRDefault="002C4673" w:rsidP="007C2B4A">
      <w:pPr>
        <w:pStyle w:val="Paragraphedeliste"/>
        <w:numPr>
          <w:ilvl w:val="0"/>
          <w:numId w:val="1"/>
        </w:numPr>
        <w:spacing w:line="276" w:lineRule="auto"/>
        <w:jc w:val="both"/>
        <w:rPr>
          <w:rFonts w:ascii="Maiandra GD" w:hAnsi="Maiandra GD"/>
          <w:bCs/>
          <w:color w:val="000000" w:themeColor="text1"/>
        </w:rPr>
      </w:pPr>
      <w:r w:rsidRPr="00D02DA6">
        <w:rPr>
          <w:rFonts w:ascii="Maiandra GD" w:hAnsi="Maiandra GD"/>
          <w:bCs/>
          <w:color w:val="000000" w:themeColor="text1"/>
        </w:rPr>
        <w:t>Organiser des séminaires biennaux de suivi et de reddition de compte des services publics d’Adduction d’Eau Potable</w:t>
      </w:r>
    </w:p>
    <w:p w14:paraId="67DE8EB1" w14:textId="4248A948" w:rsidR="001C7C6A" w:rsidRPr="009A7994" w:rsidRDefault="00D10EFE" w:rsidP="005A073E">
      <w:pPr>
        <w:pStyle w:val="Paragraphedeliste"/>
        <w:numPr>
          <w:ilvl w:val="0"/>
          <w:numId w:val="1"/>
        </w:numPr>
        <w:spacing w:line="276" w:lineRule="auto"/>
        <w:jc w:val="both"/>
        <w:rPr>
          <w:rFonts w:ascii="Maiandra GD" w:hAnsi="Maiandra GD"/>
          <w:bCs/>
          <w:color w:val="000000" w:themeColor="text1"/>
        </w:rPr>
      </w:pPr>
      <w:r>
        <w:rPr>
          <w:rFonts w:ascii="Maiandra GD" w:hAnsi="Maiandra GD"/>
          <w:bCs/>
          <w:color w:val="000000" w:themeColor="text1"/>
        </w:rPr>
        <w:t>Mettre en place des</w:t>
      </w:r>
      <w:r w:rsidR="002C4673" w:rsidRPr="00D02DA6">
        <w:rPr>
          <w:rFonts w:ascii="Maiandra GD" w:hAnsi="Maiandra GD"/>
          <w:bCs/>
          <w:color w:val="000000" w:themeColor="text1"/>
        </w:rPr>
        <w:t xml:space="preserve"> mécanismes simplifiés de gestion </w:t>
      </w:r>
      <w:r>
        <w:rPr>
          <w:rFonts w:ascii="Maiandra GD" w:hAnsi="Maiandra GD"/>
          <w:bCs/>
          <w:color w:val="000000" w:themeColor="text1"/>
        </w:rPr>
        <w:t xml:space="preserve">efficace </w:t>
      </w:r>
      <w:r w:rsidR="002C4673" w:rsidRPr="00D02DA6">
        <w:rPr>
          <w:rFonts w:ascii="Maiandra GD" w:hAnsi="Maiandra GD"/>
          <w:bCs/>
          <w:color w:val="000000" w:themeColor="text1"/>
        </w:rPr>
        <w:t>(enregistrement et traitement) de plaintes et de recours </w:t>
      </w:r>
    </w:p>
    <w:p w14:paraId="1ADA2BD6" w14:textId="77777777" w:rsidR="00E23FAF" w:rsidRDefault="00E23FAF">
      <w:pPr>
        <w:rPr>
          <w:rFonts w:ascii="Maiandra GD" w:hAnsi="Maiandra GD"/>
          <w:b/>
          <w:color w:val="002060"/>
          <w:sz w:val="24"/>
          <w:szCs w:val="24"/>
        </w:rPr>
      </w:pPr>
      <w:r>
        <w:rPr>
          <w:rFonts w:ascii="Maiandra GD" w:hAnsi="Maiandra GD"/>
          <w:b/>
          <w:color w:val="002060"/>
          <w:sz w:val="24"/>
          <w:szCs w:val="24"/>
        </w:rPr>
        <w:br w:type="page"/>
      </w:r>
    </w:p>
    <w:p w14:paraId="0457C58F" w14:textId="4F263377" w:rsidR="00FF13CB" w:rsidRPr="00D02DA6" w:rsidRDefault="00FF13CB" w:rsidP="00A5335E">
      <w:pPr>
        <w:pStyle w:val="Titre1"/>
      </w:pPr>
      <w:bookmarkStart w:id="6" w:name="_Toc30690921"/>
      <w:r w:rsidRPr="00D02DA6">
        <w:lastRenderedPageBreak/>
        <w:t xml:space="preserve">Relativement au </w:t>
      </w:r>
      <w:r w:rsidR="009179AB" w:rsidRPr="00D02DA6">
        <w:t xml:space="preserve">point 23 de la liste de questions </w:t>
      </w:r>
      <w:r w:rsidRPr="00D02DA6">
        <w:t>:</w:t>
      </w:r>
      <w:bookmarkEnd w:id="6"/>
    </w:p>
    <w:p w14:paraId="2737E4D2" w14:textId="77777777" w:rsidR="003F6920" w:rsidRPr="007631C1" w:rsidRDefault="003F6920"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7631C1">
        <w:rPr>
          <w:rFonts w:ascii="Times New Roman" w:hAnsi="Times New Roman" w:cs="Times New Roman"/>
          <w:sz w:val="24"/>
          <w:szCs w:val="24"/>
        </w:rPr>
        <w:t>23.</w:t>
      </w:r>
      <w:r w:rsidRPr="007631C1">
        <w:rPr>
          <w:rFonts w:ascii="Times New Roman" w:hAnsi="Times New Roman" w:cs="Times New Roman"/>
          <w:sz w:val="24"/>
          <w:szCs w:val="24"/>
        </w:rPr>
        <w:tab/>
        <w:t xml:space="preserve">Veuillez fournir des informations sur les mesures prises pour prévenir les effets négatifs sur la santé d’une mauvaise gestion des ordures ménagères et de l’utilisation abusive de pesticide, ainsi que sur l’impact de ces mesures. </w:t>
      </w:r>
    </w:p>
    <w:p w14:paraId="71EFF2EC" w14:textId="2E445BEE" w:rsidR="003F6920" w:rsidRPr="00D02DA6" w:rsidRDefault="003F6920"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Dispositions de principe :</w:t>
      </w:r>
    </w:p>
    <w:p w14:paraId="1364E5F0" w14:textId="5841A43D" w:rsidR="003F6920" w:rsidRPr="00D02DA6" w:rsidRDefault="003F6920" w:rsidP="003F6920">
      <w:pPr>
        <w:pStyle w:val="Paragraphedeliste"/>
        <w:numPr>
          <w:ilvl w:val="0"/>
          <w:numId w:val="1"/>
        </w:numPr>
        <w:spacing w:line="276" w:lineRule="auto"/>
        <w:jc w:val="both"/>
        <w:rPr>
          <w:rFonts w:ascii="Maiandra GD" w:hAnsi="Maiandra GD"/>
        </w:rPr>
      </w:pPr>
      <w:r w:rsidRPr="00D02DA6">
        <w:rPr>
          <w:rFonts w:ascii="Maiandra GD" w:hAnsi="Maiandra GD"/>
        </w:rPr>
        <w:t>Article 8 de la Constitution béninoise du 11 décembre 1990 « La personne humaine est sacrée et inviolable. L'Etat a l'obligation absolue de la respecter et de la protéger. Il lui garantit un plein épanouissement. A cet effet, il assure à ses citoyens l'égal accès à la santé, à l'éducation, à la culture, à l'information, à la formation professionnelle et à l'emploi. »</w:t>
      </w:r>
    </w:p>
    <w:p w14:paraId="7B5E1FE1" w14:textId="67CB6598" w:rsidR="00111DB6" w:rsidRPr="00D02DA6" w:rsidRDefault="005C2424" w:rsidP="00111DB6">
      <w:pPr>
        <w:pStyle w:val="Paragraphedeliste"/>
        <w:numPr>
          <w:ilvl w:val="0"/>
          <w:numId w:val="1"/>
        </w:numPr>
        <w:spacing w:line="276" w:lineRule="auto"/>
        <w:jc w:val="both"/>
        <w:rPr>
          <w:rFonts w:ascii="Maiandra GD" w:hAnsi="Maiandra GD"/>
        </w:rPr>
      </w:pPr>
      <w:r w:rsidRPr="00D02DA6">
        <w:rPr>
          <w:rFonts w:ascii="Maiandra GD" w:hAnsi="Maiandra GD"/>
        </w:rPr>
        <w:t xml:space="preserve">Article 12 du Pacte International relatif aux Droits Economiques, Sociaux et Culturels </w:t>
      </w:r>
    </w:p>
    <w:p w14:paraId="43B64ACD" w14:textId="2053898A" w:rsidR="000A3FC2" w:rsidRPr="002A4627" w:rsidRDefault="00434D30"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Tendances lourdes :</w:t>
      </w:r>
    </w:p>
    <w:p w14:paraId="721D7776" w14:textId="0260BC9B" w:rsidR="00434D30" w:rsidRPr="00D02DA6" w:rsidRDefault="00FF13CB" w:rsidP="005A073E">
      <w:pPr>
        <w:spacing w:line="276" w:lineRule="auto"/>
        <w:jc w:val="both"/>
        <w:rPr>
          <w:rFonts w:ascii="Maiandra GD" w:hAnsi="Maiandra GD"/>
          <w:sz w:val="24"/>
          <w:szCs w:val="24"/>
        </w:rPr>
      </w:pPr>
      <w:r w:rsidRPr="00D02DA6">
        <w:rPr>
          <w:rFonts w:ascii="Maiandra GD" w:hAnsi="Maiandra GD"/>
          <w:sz w:val="24"/>
          <w:szCs w:val="24"/>
        </w:rPr>
        <w:t>Le secteur de la gestion des ordures ménagères est confié à des structures privées par le biais d’un contrat de gestion entre lesdites structures et les collectivités territoriales. Ainsi, il s’agit d’un secteur fondamentalement géré au niveau décentralisé</w:t>
      </w:r>
      <w:r w:rsidR="00434D30" w:rsidRPr="00D02DA6">
        <w:rPr>
          <w:rFonts w:ascii="Maiandra GD" w:hAnsi="Maiandra GD"/>
          <w:sz w:val="24"/>
          <w:szCs w:val="24"/>
        </w:rPr>
        <w:t xml:space="preserve"> sans aucun mécanisme de reddition de comptes</w:t>
      </w:r>
      <w:r w:rsidR="00C817E4" w:rsidRPr="00D02DA6">
        <w:rPr>
          <w:rFonts w:ascii="Maiandra GD" w:hAnsi="Maiandra GD"/>
          <w:sz w:val="24"/>
          <w:szCs w:val="24"/>
        </w:rPr>
        <w:t xml:space="preserve"> par les structures privées de gestion desdites ordures</w:t>
      </w:r>
      <w:r w:rsidRPr="00D02DA6">
        <w:rPr>
          <w:rFonts w:ascii="Maiandra GD" w:hAnsi="Maiandra GD"/>
          <w:sz w:val="24"/>
          <w:szCs w:val="24"/>
        </w:rPr>
        <w:t xml:space="preserve">. </w:t>
      </w:r>
      <w:r w:rsidR="00B9709A" w:rsidRPr="00D02DA6">
        <w:rPr>
          <w:rFonts w:ascii="Maiandra GD" w:hAnsi="Maiandra GD"/>
          <w:sz w:val="24"/>
          <w:szCs w:val="24"/>
        </w:rPr>
        <w:t>Il est constaté l’usage des pesticides pour la culture du coton en même temps pour les cultures vivrières</w:t>
      </w:r>
      <w:r w:rsidR="0090437A" w:rsidRPr="00D02DA6">
        <w:rPr>
          <w:rFonts w:ascii="Maiandra GD" w:hAnsi="Maiandra GD"/>
          <w:sz w:val="24"/>
          <w:szCs w:val="24"/>
        </w:rPr>
        <w:t xml:space="preserve"> et un faible niveau d’aménagement des sites de réception des ordures en milieu urbain.</w:t>
      </w:r>
    </w:p>
    <w:p w14:paraId="785115DD" w14:textId="1310446B" w:rsidR="00434D30" w:rsidRPr="00D02DA6" w:rsidRDefault="00434D30"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Observations :</w:t>
      </w:r>
    </w:p>
    <w:p w14:paraId="028A62B7" w14:textId="278C7CBD" w:rsidR="00F5670F" w:rsidRPr="00D02DA6" w:rsidRDefault="00434D30" w:rsidP="005A073E">
      <w:pPr>
        <w:spacing w:line="276" w:lineRule="auto"/>
        <w:jc w:val="both"/>
        <w:rPr>
          <w:rFonts w:ascii="Maiandra GD" w:hAnsi="Maiandra GD"/>
          <w:sz w:val="24"/>
          <w:szCs w:val="24"/>
        </w:rPr>
      </w:pPr>
      <w:r w:rsidRPr="00D02DA6">
        <w:rPr>
          <w:rFonts w:ascii="Maiandra GD" w:hAnsi="Maiandra GD"/>
          <w:sz w:val="24"/>
          <w:szCs w:val="24"/>
        </w:rPr>
        <w:t>I</w:t>
      </w:r>
      <w:r w:rsidR="00FF13CB" w:rsidRPr="00D02DA6">
        <w:rPr>
          <w:rFonts w:ascii="Maiandra GD" w:hAnsi="Maiandra GD"/>
          <w:sz w:val="24"/>
          <w:szCs w:val="24"/>
        </w:rPr>
        <w:t xml:space="preserve">l faut noter l’inexistence d’un mécanisme de reddition de compte par les structures en contrat avec les collectivités territoriales sur </w:t>
      </w:r>
      <w:r w:rsidR="00081F77" w:rsidRPr="00D02DA6">
        <w:rPr>
          <w:rFonts w:ascii="Maiandra GD" w:hAnsi="Maiandra GD"/>
          <w:sz w:val="24"/>
          <w:szCs w:val="24"/>
        </w:rPr>
        <w:t xml:space="preserve">les sites de réception des ordures ménagères. </w:t>
      </w:r>
      <w:r w:rsidR="00F639C3" w:rsidRPr="00D02DA6">
        <w:rPr>
          <w:rFonts w:ascii="Maiandra GD" w:hAnsi="Maiandra GD"/>
          <w:sz w:val="24"/>
          <w:szCs w:val="24"/>
        </w:rPr>
        <w:t>Au demeurant, il est demeuré une pratique de non mise à disposition de l’opinion publique, des contrats de partenariat</w:t>
      </w:r>
      <w:r w:rsidR="003A52D1" w:rsidRPr="00D02DA6">
        <w:rPr>
          <w:rFonts w:ascii="Maiandra GD" w:hAnsi="Maiandra GD"/>
          <w:sz w:val="24"/>
          <w:szCs w:val="24"/>
        </w:rPr>
        <w:t xml:space="preserve"> public privé. </w:t>
      </w:r>
      <w:r w:rsidR="00081F77" w:rsidRPr="00D02DA6">
        <w:rPr>
          <w:rFonts w:ascii="Maiandra GD" w:hAnsi="Maiandra GD"/>
          <w:sz w:val="24"/>
          <w:szCs w:val="24"/>
        </w:rPr>
        <w:t xml:space="preserve">Toute chose qui entretient un terreau fertile à l’implantation de la corruption pour le déversement desdites ordures collectées. </w:t>
      </w:r>
      <w:r w:rsidR="00B710BE">
        <w:rPr>
          <w:rFonts w:ascii="Maiandra GD" w:hAnsi="Maiandra GD"/>
          <w:sz w:val="24"/>
          <w:szCs w:val="24"/>
        </w:rPr>
        <w:t>Cela</w:t>
      </w:r>
      <w:r w:rsidR="00B710BE" w:rsidRPr="00D02DA6">
        <w:rPr>
          <w:rFonts w:ascii="Maiandra GD" w:hAnsi="Maiandra GD"/>
          <w:sz w:val="24"/>
          <w:szCs w:val="24"/>
        </w:rPr>
        <w:t xml:space="preserve"> affect</w:t>
      </w:r>
      <w:r w:rsidR="00B710BE">
        <w:rPr>
          <w:rFonts w:ascii="Maiandra GD" w:hAnsi="Maiandra GD"/>
          <w:sz w:val="24"/>
          <w:szCs w:val="24"/>
        </w:rPr>
        <w:t>e</w:t>
      </w:r>
      <w:r w:rsidR="00B710BE" w:rsidRPr="00D02DA6">
        <w:rPr>
          <w:rFonts w:ascii="Maiandra GD" w:hAnsi="Maiandra GD"/>
          <w:sz w:val="24"/>
          <w:szCs w:val="24"/>
        </w:rPr>
        <w:t xml:space="preserve"> </w:t>
      </w:r>
      <w:r w:rsidR="00081F77" w:rsidRPr="00D02DA6">
        <w:rPr>
          <w:rFonts w:ascii="Maiandra GD" w:hAnsi="Maiandra GD"/>
          <w:sz w:val="24"/>
          <w:szCs w:val="24"/>
        </w:rPr>
        <w:t>ainsi le droit à la santé physique et mentale de la population de par les effets négatifs.</w:t>
      </w:r>
      <w:r w:rsidR="00D165F3" w:rsidRPr="00D02DA6">
        <w:rPr>
          <w:rFonts w:ascii="Maiandra GD" w:hAnsi="Maiandra GD"/>
          <w:sz w:val="24"/>
          <w:szCs w:val="24"/>
        </w:rPr>
        <w:t xml:space="preserve"> Sur un autre palier, il faut signaler que par défaut d’informations adéquates et ignorants des effets négatifs des pesticides sur la santé, les producteurs les emploient dans les cultures vivrières.</w:t>
      </w:r>
      <w:r w:rsidR="00BF3BCD" w:rsidRPr="00D02DA6">
        <w:rPr>
          <w:rFonts w:ascii="Maiandra GD" w:hAnsi="Maiandra GD"/>
          <w:sz w:val="24"/>
          <w:szCs w:val="24"/>
        </w:rPr>
        <w:t xml:space="preserve"> Toute chose </w:t>
      </w:r>
      <w:r w:rsidR="00B710BE">
        <w:rPr>
          <w:rFonts w:ascii="Maiandra GD" w:hAnsi="Maiandra GD"/>
          <w:sz w:val="24"/>
          <w:szCs w:val="24"/>
        </w:rPr>
        <w:t xml:space="preserve">qui </w:t>
      </w:r>
      <w:r w:rsidR="00B710BE" w:rsidRPr="00D02DA6">
        <w:rPr>
          <w:rFonts w:ascii="Maiandra GD" w:hAnsi="Maiandra GD"/>
          <w:sz w:val="24"/>
          <w:szCs w:val="24"/>
        </w:rPr>
        <w:t>concour</w:t>
      </w:r>
      <w:r w:rsidR="00B710BE">
        <w:rPr>
          <w:rFonts w:ascii="Maiandra GD" w:hAnsi="Maiandra GD"/>
          <w:sz w:val="24"/>
          <w:szCs w:val="24"/>
        </w:rPr>
        <w:t>e</w:t>
      </w:r>
      <w:r w:rsidR="00B710BE" w:rsidRPr="00D02DA6">
        <w:rPr>
          <w:rFonts w:ascii="Maiandra GD" w:hAnsi="Maiandra GD"/>
          <w:sz w:val="24"/>
          <w:szCs w:val="24"/>
        </w:rPr>
        <w:t xml:space="preserve"> </w:t>
      </w:r>
      <w:r w:rsidR="00BF3BCD" w:rsidRPr="00D02DA6">
        <w:rPr>
          <w:rFonts w:ascii="Maiandra GD" w:hAnsi="Maiandra GD"/>
          <w:sz w:val="24"/>
          <w:szCs w:val="24"/>
        </w:rPr>
        <w:t>à un risque élevé d’intoxication alimentaire.</w:t>
      </w:r>
    </w:p>
    <w:p w14:paraId="6B223305" w14:textId="1BB37027" w:rsidR="0081412B" w:rsidRPr="00D02DA6" w:rsidRDefault="00434D30"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Suggestion</w:t>
      </w:r>
      <w:r w:rsidR="002A4627">
        <w:rPr>
          <w:rFonts w:ascii="Maiandra GD" w:hAnsi="Maiandra GD"/>
          <w:color w:val="002060"/>
          <w:sz w:val="24"/>
          <w:szCs w:val="24"/>
        </w:rPr>
        <w:t>s</w:t>
      </w:r>
      <w:r w:rsidRPr="00D02DA6">
        <w:rPr>
          <w:rFonts w:ascii="Maiandra GD" w:hAnsi="Maiandra GD"/>
          <w:color w:val="002060"/>
          <w:sz w:val="24"/>
          <w:szCs w:val="24"/>
        </w:rPr>
        <w:t xml:space="preserve"> de </w:t>
      </w:r>
      <w:r w:rsidR="002A4627">
        <w:rPr>
          <w:rFonts w:ascii="Maiandra GD" w:hAnsi="Maiandra GD"/>
          <w:color w:val="002060"/>
          <w:sz w:val="24"/>
          <w:szCs w:val="24"/>
        </w:rPr>
        <w:t>r</w:t>
      </w:r>
      <w:r w:rsidR="0081412B" w:rsidRPr="00D02DA6">
        <w:rPr>
          <w:rFonts w:ascii="Maiandra GD" w:hAnsi="Maiandra GD"/>
          <w:color w:val="002060"/>
          <w:sz w:val="24"/>
          <w:szCs w:val="24"/>
        </w:rPr>
        <w:t>ecommandation</w:t>
      </w:r>
      <w:r w:rsidR="002A4627">
        <w:rPr>
          <w:rFonts w:ascii="Maiandra GD" w:hAnsi="Maiandra GD"/>
          <w:color w:val="002060"/>
          <w:sz w:val="24"/>
          <w:szCs w:val="24"/>
        </w:rPr>
        <w:t>s</w:t>
      </w:r>
      <w:r w:rsidR="0081412B" w:rsidRPr="00D02DA6">
        <w:rPr>
          <w:rFonts w:ascii="Maiandra GD" w:hAnsi="Maiandra GD"/>
          <w:color w:val="002060"/>
          <w:sz w:val="24"/>
          <w:szCs w:val="24"/>
        </w:rPr>
        <w:t> :</w:t>
      </w:r>
    </w:p>
    <w:p w14:paraId="42EB39EE" w14:textId="0A9368B9" w:rsidR="0081412B" w:rsidRPr="00D02DA6" w:rsidRDefault="0081412B" w:rsidP="0081412B">
      <w:pPr>
        <w:pStyle w:val="Paragraphedeliste"/>
        <w:numPr>
          <w:ilvl w:val="0"/>
          <w:numId w:val="1"/>
        </w:numPr>
        <w:spacing w:line="276" w:lineRule="auto"/>
        <w:jc w:val="both"/>
        <w:rPr>
          <w:rFonts w:ascii="Maiandra GD" w:hAnsi="Maiandra GD"/>
        </w:rPr>
      </w:pPr>
      <w:r w:rsidRPr="00D02DA6">
        <w:rPr>
          <w:rFonts w:ascii="Maiandra GD" w:hAnsi="Maiandra GD"/>
        </w:rPr>
        <w:t>Publier systématiquement dès signature tous les contrats de Partenariat Public-Privé et les rendre accessible à tout citoyen</w:t>
      </w:r>
      <w:r w:rsidR="00B710BE">
        <w:rPr>
          <w:rFonts w:ascii="Maiandra GD" w:hAnsi="Maiandra GD"/>
        </w:rPr>
        <w:t xml:space="preserve"> conformément à l’article 9 du décret portant code de transparence dans la gestion des finances publiques</w:t>
      </w:r>
    </w:p>
    <w:p w14:paraId="7CFBDEFF" w14:textId="51CC9D1F" w:rsidR="00A56226" w:rsidRPr="00D02DA6" w:rsidRDefault="00A56226" w:rsidP="0081412B">
      <w:pPr>
        <w:pStyle w:val="Paragraphedeliste"/>
        <w:numPr>
          <w:ilvl w:val="0"/>
          <w:numId w:val="1"/>
        </w:numPr>
        <w:spacing w:line="276" w:lineRule="auto"/>
        <w:jc w:val="both"/>
        <w:rPr>
          <w:rFonts w:ascii="Maiandra GD" w:hAnsi="Maiandra GD"/>
        </w:rPr>
      </w:pPr>
      <w:r w:rsidRPr="00D02DA6">
        <w:rPr>
          <w:rFonts w:ascii="Maiandra GD" w:hAnsi="Maiandra GD"/>
        </w:rPr>
        <w:t xml:space="preserve">Mettre en place </w:t>
      </w:r>
      <w:r w:rsidR="00784802" w:rsidRPr="00D02DA6">
        <w:rPr>
          <w:rFonts w:ascii="Maiandra GD" w:hAnsi="Maiandra GD"/>
        </w:rPr>
        <w:t xml:space="preserve">et rendre opérationnel </w:t>
      </w:r>
      <w:r w:rsidRPr="00D02DA6">
        <w:rPr>
          <w:rFonts w:ascii="Maiandra GD" w:hAnsi="Maiandra GD"/>
        </w:rPr>
        <w:t>un mécanisme indépendant multi-acteurs de reddition de compte</w:t>
      </w:r>
    </w:p>
    <w:p w14:paraId="31B483D5" w14:textId="0F8E049B" w:rsidR="000A3FC2" w:rsidRPr="00D02DA6" w:rsidRDefault="000A3FC2" w:rsidP="0081412B">
      <w:pPr>
        <w:pStyle w:val="Paragraphedeliste"/>
        <w:numPr>
          <w:ilvl w:val="0"/>
          <w:numId w:val="1"/>
        </w:numPr>
        <w:spacing w:line="276" w:lineRule="auto"/>
        <w:jc w:val="both"/>
        <w:rPr>
          <w:rFonts w:ascii="Maiandra GD" w:hAnsi="Maiandra GD"/>
        </w:rPr>
      </w:pPr>
      <w:r w:rsidRPr="00D02DA6">
        <w:rPr>
          <w:rFonts w:ascii="Maiandra GD" w:hAnsi="Maiandra GD"/>
        </w:rPr>
        <w:lastRenderedPageBreak/>
        <w:t xml:space="preserve">Sensibiliser </w:t>
      </w:r>
      <w:r w:rsidR="007631C1">
        <w:rPr>
          <w:rFonts w:ascii="Maiandra GD" w:hAnsi="Maiandra GD"/>
        </w:rPr>
        <w:t xml:space="preserve">davantage </w:t>
      </w:r>
      <w:r w:rsidRPr="00D02DA6">
        <w:rPr>
          <w:rFonts w:ascii="Maiandra GD" w:hAnsi="Maiandra GD"/>
        </w:rPr>
        <w:t xml:space="preserve">sur les effets négatifs de l’usage des pesticides dans les cultures </w:t>
      </w:r>
      <w:r w:rsidR="00BF3BCD" w:rsidRPr="00D02DA6">
        <w:rPr>
          <w:rFonts w:ascii="Maiandra GD" w:hAnsi="Maiandra GD"/>
        </w:rPr>
        <w:t>vivrières</w:t>
      </w:r>
    </w:p>
    <w:p w14:paraId="0C529FA4" w14:textId="6E67FB8A" w:rsidR="000A3FC2" w:rsidRPr="00D02DA6" w:rsidRDefault="00BF3BCD" w:rsidP="0081412B">
      <w:pPr>
        <w:pStyle w:val="Paragraphedeliste"/>
        <w:numPr>
          <w:ilvl w:val="0"/>
          <w:numId w:val="1"/>
        </w:numPr>
        <w:spacing w:line="276" w:lineRule="auto"/>
        <w:jc w:val="both"/>
        <w:rPr>
          <w:rFonts w:ascii="Maiandra GD" w:hAnsi="Maiandra GD"/>
        </w:rPr>
      </w:pPr>
      <w:r w:rsidRPr="00D02DA6">
        <w:rPr>
          <w:rFonts w:ascii="Maiandra GD" w:hAnsi="Maiandra GD"/>
        </w:rPr>
        <w:t>Prendre les mesures adéquates notamment la sensibilisation des producteurs sur le r</w:t>
      </w:r>
      <w:r w:rsidR="000A3FC2" w:rsidRPr="00D02DA6">
        <w:rPr>
          <w:rFonts w:ascii="Maiandra GD" w:hAnsi="Maiandra GD"/>
        </w:rPr>
        <w:t>isque élevé d’intoxication alimentaire au regard de l’extension de l’usage des pesticides aux productions vivrières</w:t>
      </w:r>
    </w:p>
    <w:p w14:paraId="525F36AA" w14:textId="77777777" w:rsidR="00D64CC2" w:rsidRPr="00D02DA6" w:rsidRDefault="00D64CC2" w:rsidP="00111DB6">
      <w:pPr>
        <w:spacing w:line="276" w:lineRule="auto"/>
        <w:ind w:left="360"/>
        <w:jc w:val="both"/>
        <w:rPr>
          <w:rFonts w:ascii="Maiandra GD" w:hAnsi="Maiandra GD"/>
          <w:sz w:val="24"/>
          <w:szCs w:val="24"/>
        </w:rPr>
      </w:pPr>
    </w:p>
    <w:p w14:paraId="5F19C20D" w14:textId="77777777" w:rsidR="00E23FAF" w:rsidRDefault="00E23FAF">
      <w:pPr>
        <w:rPr>
          <w:rFonts w:ascii="Maiandra GD" w:hAnsi="Maiandra GD"/>
          <w:b/>
          <w:bCs/>
          <w:color w:val="002060"/>
          <w:sz w:val="24"/>
          <w:szCs w:val="24"/>
        </w:rPr>
      </w:pPr>
      <w:r>
        <w:rPr>
          <w:rFonts w:ascii="Maiandra GD" w:hAnsi="Maiandra GD"/>
          <w:b/>
          <w:bCs/>
          <w:color w:val="002060"/>
          <w:sz w:val="24"/>
          <w:szCs w:val="24"/>
        </w:rPr>
        <w:br w:type="page"/>
      </w:r>
    </w:p>
    <w:p w14:paraId="6C1AFF2D" w14:textId="3ED07B5F" w:rsidR="00081F77" w:rsidRPr="00D02DA6" w:rsidRDefault="009179AB" w:rsidP="00A5335E">
      <w:pPr>
        <w:pStyle w:val="Titre1"/>
      </w:pPr>
      <w:bookmarkStart w:id="7" w:name="_Toc30690922"/>
      <w:r w:rsidRPr="003D3610">
        <w:lastRenderedPageBreak/>
        <w:t>Concernant le point 24 de la liste de questions</w:t>
      </w:r>
      <w:r w:rsidR="00B84046" w:rsidRPr="00D02DA6">
        <w:t> :</w:t>
      </w:r>
      <w:bookmarkEnd w:id="7"/>
      <w:r w:rsidR="00F12E69" w:rsidRPr="00D02DA6">
        <w:t xml:space="preserve"> </w:t>
      </w:r>
    </w:p>
    <w:p w14:paraId="6A8E25EA" w14:textId="285BE03A" w:rsidR="00D64CC2" w:rsidRPr="007631C1" w:rsidRDefault="00D64CC2"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7631C1">
        <w:rPr>
          <w:rFonts w:ascii="Times New Roman" w:hAnsi="Times New Roman" w:cs="Times New Roman"/>
          <w:sz w:val="24"/>
          <w:szCs w:val="24"/>
        </w:rPr>
        <w:t>24.</w:t>
      </w:r>
      <w:r w:rsidRPr="007631C1">
        <w:rPr>
          <w:rFonts w:ascii="Times New Roman" w:hAnsi="Times New Roman" w:cs="Times New Roman"/>
          <w:sz w:val="24"/>
          <w:szCs w:val="24"/>
        </w:rPr>
        <w:tab/>
        <w:t>Se référant au paragraphe 80 du rapport de l’État partie, et en tenant compte de l’article 12 du Pacte, veuillez indiquer dans quelle mesure l’État partie peut mettre en œuvre le plan de lutte antipaludique accéléré et mettre fin au paludisme, conformément à la cible no 3.3 des objectifs de développement durable.</w:t>
      </w:r>
    </w:p>
    <w:p w14:paraId="5267D586" w14:textId="17E62E87" w:rsidR="00D64CC2" w:rsidRPr="00D02DA6" w:rsidRDefault="00D64CC2"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Dispositions de principe :</w:t>
      </w:r>
    </w:p>
    <w:p w14:paraId="2687B2A0" w14:textId="082A6BE7" w:rsidR="00D64CC2" w:rsidRPr="00D02DA6" w:rsidRDefault="00D64CC2" w:rsidP="00D64CC2">
      <w:pPr>
        <w:pStyle w:val="Paragraphedeliste"/>
        <w:numPr>
          <w:ilvl w:val="0"/>
          <w:numId w:val="1"/>
        </w:numPr>
        <w:spacing w:line="276" w:lineRule="auto"/>
        <w:jc w:val="both"/>
        <w:rPr>
          <w:rFonts w:ascii="Maiandra GD" w:hAnsi="Maiandra GD"/>
        </w:rPr>
      </w:pPr>
      <w:r w:rsidRPr="00D02DA6">
        <w:rPr>
          <w:rFonts w:ascii="Maiandra GD" w:hAnsi="Maiandra GD"/>
        </w:rPr>
        <w:t>Article 8 de la Constitution béninoise du 11 décembre 1990 « La personne humaine est sacrée et inviolable. L'Etat a l'obligation absolue de la respecter et de la protéger. Il lui garantit un plein épanouissement. A cet effet, il assure à ses citoyens l'égal accès à la santé, à l'éducation, à la culture, à l'information, à la formation professionnelle et à l'emploi. »</w:t>
      </w:r>
    </w:p>
    <w:p w14:paraId="1949AA79" w14:textId="0D051BFB" w:rsidR="00111DB6" w:rsidRPr="00D02DA6" w:rsidRDefault="00CE4312" w:rsidP="005A073E">
      <w:pPr>
        <w:pStyle w:val="Paragraphedeliste"/>
        <w:numPr>
          <w:ilvl w:val="0"/>
          <w:numId w:val="1"/>
        </w:numPr>
        <w:spacing w:line="276" w:lineRule="auto"/>
        <w:jc w:val="both"/>
        <w:rPr>
          <w:rFonts w:ascii="Maiandra GD" w:hAnsi="Maiandra GD"/>
        </w:rPr>
      </w:pPr>
      <w:r w:rsidRPr="00D02DA6">
        <w:rPr>
          <w:rFonts w:ascii="Maiandra GD" w:hAnsi="Maiandra GD"/>
        </w:rPr>
        <w:t xml:space="preserve">Article 12 du Pacte International relatif aux Droits Economiques, Sociaux et Culturels  </w:t>
      </w:r>
    </w:p>
    <w:p w14:paraId="6CF288A8" w14:textId="0EE8EFF1" w:rsidR="00D64CC2" w:rsidRPr="00D02DA6" w:rsidRDefault="00D64CC2"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Tendances lourdes :</w:t>
      </w:r>
    </w:p>
    <w:p w14:paraId="1BF475C2" w14:textId="4158D87A" w:rsidR="00D64CC2" w:rsidRPr="00D02DA6" w:rsidRDefault="00B710BE" w:rsidP="005A073E">
      <w:pPr>
        <w:spacing w:line="276" w:lineRule="auto"/>
        <w:jc w:val="both"/>
        <w:rPr>
          <w:rFonts w:ascii="Maiandra GD" w:hAnsi="Maiandra GD"/>
          <w:sz w:val="24"/>
          <w:szCs w:val="24"/>
        </w:rPr>
      </w:pPr>
      <w:r>
        <w:rPr>
          <w:rFonts w:ascii="Maiandra GD" w:hAnsi="Maiandra GD"/>
          <w:sz w:val="24"/>
          <w:szCs w:val="24"/>
        </w:rPr>
        <w:t>Le pays ne dispose pas</w:t>
      </w:r>
      <w:r w:rsidR="00D64CC2" w:rsidRPr="00D02DA6">
        <w:rPr>
          <w:rFonts w:ascii="Maiandra GD" w:hAnsi="Maiandra GD"/>
          <w:sz w:val="24"/>
          <w:szCs w:val="24"/>
        </w:rPr>
        <w:t xml:space="preserve"> d’un </w:t>
      </w:r>
      <w:r>
        <w:rPr>
          <w:rFonts w:ascii="Maiandra GD" w:hAnsi="Maiandra GD"/>
          <w:sz w:val="24"/>
          <w:szCs w:val="24"/>
        </w:rPr>
        <w:t>mécanisme</w:t>
      </w:r>
      <w:r w:rsidRPr="00D02DA6">
        <w:rPr>
          <w:rFonts w:ascii="Maiandra GD" w:hAnsi="Maiandra GD"/>
          <w:sz w:val="24"/>
          <w:szCs w:val="24"/>
        </w:rPr>
        <w:t xml:space="preserve"> </w:t>
      </w:r>
      <w:r w:rsidR="00D64CC2" w:rsidRPr="00D02DA6">
        <w:rPr>
          <w:rFonts w:ascii="Maiandra GD" w:hAnsi="Maiandra GD"/>
          <w:sz w:val="24"/>
          <w:szCs w:val="24"/>
        </w:rPr>
        <w:t>informationnel adéquat et adapté à la population afin qu’elle ait accès au contenu et aux coûts réels des traitements.</w:t>
      </w:r>
    </w:p>
    <w:p w14:paraId="53E52709" w14:textId="02BAE38F" w:rsidR="00BC31BB" w:rsidRPr="00D02DA6" w:rsidRDefault="00BC31BB"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Observations :</w:t>
      </w:r>
    </w:p>
    <w:p w14:paraId="7072699E" w14:textId="674F52F3" w:rsidR="004B0C9F" w:rsidRPr="00D02DA6" w:rsidRDefault="00F639C3" w:rsidP="005A073E">
      <w:pPr>
        <w:spacing w:line="276" w:lineRule="auto"/>
        <w:jc w:val="both"/>
        <w:rPr>
          <w:rFonts w:ascii="Maiandra GD" w:hAnsi="Maiandra GD"/>
          <w:sz w:val="24"/>
          <w:szCs w:val="24"/>
        </w:rPr>
      </w:pPr>
      <w:r w:rsidRPr="00D02DA6">
        <w:rPr>
          <w:rFonts w:ascii="Maiandra GD" w:hAnsi="Maiandra GD"/>
          <w:sz w:val="24"/>
          <w:szCs w:val="24"/>
        </w:rPr>
        <w:t xml:space="preserve">La mise en œuvre effective du plan de lutte antipaludique accéléré appelle à un préalable inéluctable. Il s’agit de la disponibilité informationnelle sur ce plan afin d’une part, de permettre aux populations de s’informer des dispositions indispensables à prendre et d’autre part, d’éviter d’être victime de corruption dans les centres sanitaires pour les soins rendus gratuits ou subventionnés par l’Etat. Ce faisant, la population est </w:t>
      </w:r>
      <w:r w:rsidR="006D07E2" w:rsidRPr="00D02DA6">
        <w:rPr>
          <w:rFonts w:ascii="Maiandra GD" w:hAnsi="Maiandra GD"/>
          <w:sz w:val="24"/>
          <w:szCs w:val="24"/>
        </w:rPr>
        <w:t>encline</w:t>
      </w:r>
      <w:r w:rsidRPr="00D02DA6">
        <w:rPr>
          <w:rFonts w:ascii="Maiandra GD" w:hAnsi="Maiandra GD"/>
          <w:sz w:val="24"/>
          <w:szCs w:val="24"/>
        </w:rPr>
        <w:t xml:space="preserve"> à des actes de corruption sans pour autant en être consciente par défaut d’information adéquate.</w:t>
      </w:r>
    </w:p>
    <w:p w14:paraId="0E2D3294" w14:textId="571A965B" w:rsidR="00C14A0C" w:rsidRPr="00D02DA6" w:rsidRDefault="00F54BDF"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 xml:space="preserve">Suggestion de </w:t>
      </w:r>
      <w:r w:rsidR="007631C1">
        <w:rPr>
          <w:rFonts w:ascii="Maiandra GD" w:hAnsi="Maiandra GD"/>
          <w:color w:val="002060"/>
          <w:sz w:val="24"/>
          <w:szCs w:val="24"/>
        </w:rPr>
        <w:t>r</w:t>
      </w:r>
      <w:r w:rsidR="00C14A0C" w:rsidRPr="00D02DA6">
        <w:rPr>
          <w:rFonts w:ascii="Maiandra GD" w:hAnsi="Maiandra GD"/>
          <w:color w:val="002060"/>
          <w:sz w:val="24"/>
          <w:szCs w:val="24"/>
        </w:rPr>
        <w:t>ecommandation :</w:t>
      </w:r>
    </w:p>
    <w:p w14:paraId="0B6C96F9" w14:textId="7BFE6B15" w:rsidR="00A3123C" w:rsidRPr="00F00521" w:rsidRDefault="001A09D1" w:rsidP="005A073E">
      <w:pPr>
        <w:pStyle w:val="Paragraphedeliste"/>
        <w:numPr>
          <w:ilvl w:val="0"/>
          <w:numId w:val="1"/>
        </w:numPr>
        <w:spacing w:line="276" w:lineRule="auto"/>
        <w:jc w:val="both"/>
        <w:rPr>
          <w:rFonts w:ascii="Maiandra GD" w:hAnsi="Maiandra GD"/>
        </w:rPr>
      </w:pPr>
      <w:r w:rsidRPr="00D02DA6">
        <w:rPr>
          <w:rFonts w:ascii="Maiandra GD" w:hAnsi="Maiandra GD"/>
        </w:rPr>
        <w:t>Rendre accessible aux acteurs de la demande (utilisateur</w:t>
      </w:r>
      <w:r w:rsidR="002D263B" w:rsidRPr="00D02DA6">
        <w:rPr>
          <w:rFonts w:ascii="Maiandra GD" w:hAnsi="Maiandra GD"/>
        </w:rPr>
        <w:t>s</w:t>
      </w:r>
      <w:r w:rsidRPr="00D02DA6">
        <w:rPr>
          <w:rFonts w:ascii="Maiandra GD" w:hAnsi="Maiandra GD"/>
        </w:rPr>
        <w:t xml:space="preserve"> des services publics) la matrice des services disponibles avec les coûts y afférents par tous les moyens adaptés à </w:t>
      </w:r>
      <w:r w:rsidR="002D263B" w:rsidRPr="00D02DA6">
        <w:rPr>
          <w:rFonts w:ascii="Maiandra GD" w:hAnsi="Maiandra GD"/>
        </w:rPr>
        <w:t xml:space="preserve">la demande </w:t>
      </w:r>
      <w:r w:rsidR="00B710BE" w:rsidRPr="00D02DA6">
        <w:rPr>
          <w:rFonts w:ascii="Maiandra GD" w:hAnsi="Maiandra GD"/>
        </w:rPr>
        <w:t>accompagné</w:t>
      </w:r>
      <w:r w:rsidR="00B710BE">
        <w:rPr>
          <w:rFonts w:ascii="Maiandra GD" w:hAnsi="Maiandra GD"/>
        </w:rPr>
        <w:t>e</w:t>
      </w:r>
      <w:r w:rsidR="00B710BE" w:rsidRPr="00D02DA6">
        <w:rPr>
          <w:rFonts w:ascii="Maiandra GD" w:hAnsi="Maiandra GD"/>
        </w:rPr>
        <w:t xml:space="preserve"> d’un dispositif de recours efficace</w:t>
      </w:r>
    </w:p>
    <w:p w14:paraId="13CFBF5A" w14:textId="77777777" w:rsidR="00E23FAF" w:rsidRDefault="00E23FAF">
      <w:pPr>
        <w:rPr>
          <w:rFonts w:ascii="Maiandra GD" w:hAnsi="Maiandra GD"/>
          <w:b/>
          <w:bCs/>
          <w:color w:val="002060"/>
          <w:sz w:val="24"/>
          <w:szCs w:val="24"/>
        </w:rPr>
      </w:pPr>
      <w:r>
        <w:rPr>
          <w:rFonts w:ascii="Maiandra GD" w:hAnsi="Maiandra GD"/>
          <w:b/>
          <w:bCs/>
          <w:color w:val="002060"/>
          <w:sz w:val="24"/>
          <w:szCs w:val="24"/>
        </w:rPr>
        <w:br w:type="page"/>
      </w:r>
    </w:p>
    <w:p w14:paraId="461B6757" w14:textId="76799F84" w:rsidR="006D07E2" w:rsidRPr="00D02DA6" w:rsidRDefault="009179AB" w:rsidP="00A5335E">
      <w:pPr>
        <w:pStyle w:val="Titre1"/>
      </w:pPr>
      <w:bookmarkStart w:id="8" w:name="_Toc30690923"/>
      <w:r w:rsidRPr="00D02DA6">
        <w:lastRenderedPageBreak/>
        <w:t xml:space="preserve">A propos du point </w:t>
      </w:r>
      <w:r w:rsidR="006D07E2" w:rsidRPr="00D02DA6">
        <w:t>25</w:t>
      </w:r>
      <w:r w:rsidRPr="00D02DA6">
        <w:t xml:space="preserve"> de la liste de questions</w:t>
      </w:r>
      <w:bookmarkEnd w:id="8"/>
      <w:r w:rsidR="006D07E2" w:rsidRPr="00D02DA6">
        <w:tab/>
      </w:r>
    </w:p>
    <w:p w14:paraId="1978B8D7" w14:textId="77777777" w:rsidR="00472584" w:rsidRPr="00AF072C" w:rsidRDefault="00472584"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25.</w:t>
      </w:r>
      <w:r w:rsidRPr="00AF072C">
        <w:rPr>
          <w:rFonts w:ascii="Times New Roman" w:hAnsi="Times New Roman" w:cs="Times New Roman"/>
          <w:sz w:val="24"/>
          <w:szCs w:val="24"/>
        </w:rPr>
        <w:tab/>
        <w:t xml:space="preserve">Concernant l’accès aux soins et la fréquentation des services médicaux, veuillez donner des informations actualisées sur : </w:t>
      </w:r>
    </w:p>
    <w:p w14:paraId="4757D171" w14:textId="77777777" w:rsidR="00472584" w:rsidRPr="00AF072C" w:rsidRDefault="00472584"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a)</w:t>
      </w:r>
      <w:r w:rsidRPr="00AF072C">
        <w:rPr>
          <w:rFonts w:ascii="Times New Roman" w:hAnsi="Times New Roman" w:cs="Times New Roman"/>
          <w:sz w:val="24"/>
          <w:szCs w:val="24"/>
        </w:rPr>
        <w:tab/>
        <w:t xml:space="preserve">Les taux et les causes de mortalité maternelle et infantile, et l’impact des mesures adoptées par l’État partie pour y remédier, en particulier dans les zones rurales ; </w:t>
      </w:r>
    </w:p>
    <w:p w14:paraId="0F0AC4E1" w14:textId="77777777" w:rsidR="00472584" w:rsidRPr="00AF072C" w:rsidRDefault="00472584"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b)</w:t>
      </w:r>
      <w:r w:rsidRPr="00AF072C">
        <w:rPr>
          <w:rFonts w:ascii="Times New Roman" w:hAnsi="Times New Roman" w:cs="Times New Roman"/>
          <w:sz w:val="24"/>
          <w:szCs w:val="24"/>
        </w:rPr>
        <w:tab/>
        <w:t>Les efforts fournis par l’État partie pour assurer que les populations aient facilement accès aux services de santé, et indiquer les résultats en fournissant des données statistiques ventilées par région et par sexe, entre autres critères ;</w:t>
      </w:r>
    </w:p>
    <w:p w14:paraId="2B2FA3A3" w14:textId="77777777" w:rsidR="00472584" w:rsidRPr="00AF072C" w:rsidRDefault="00472584"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c)</w:t>
      </w:r>
      <w:r w:rsidRPr="00AF072C">
        <w:rPr>
          <w:rFonts w:ascii="Times New Roman" w:hAnsi="Times New Roman" w:cs="Times New Roman"/>
          <w:sz w:val="24"/>
          <w:szCs w:val="24"/>
        </w:rPr>
        <w:tab/>
        <w:t xml:space="preserve">Les mesures mises en place ou envisagées pour palier la baisse de fréquentation des services de santé, en particulier dans les départements du </w:t>
      </w:r>
      <w:proofErr w:type="spellStart"/>
      <w:r w:rsidRPr="00AF072C">
        <w:rPr>
          <w:rFonts w:ascii="Times New Roman" w:hAnsi="Times New Roman" w:cs="Times New Roman"/>
          <w:sz w:val="24"/>
          <w:szCs w:val="24"/>
        </w:rPr>
        <w:t>Couffo</w:t>
      </w:r>
      <w:proofErr w:type="spellEnd"/>
      <w:r w:rsidRPr="00AF072C">
        <w:rPr>
          <w:rFonts w:ascii="Times New Roman" w:hAnsi="Times New Roman" w:cs="Times New Roman"/>
          <w:sz w:val="24"/>
          <w:szCs w:val="24"/>
        </w:rPr>
        <w:t>, du Plateau et des Collines ;</w:t>
      </w:r>
    </w:p>
    <w:p w14:paraId="5DA56B05" w14:textId="77777777" w:rsidR="00472584" w:rsidRPr="00AF072C" w:rsidRDefault="00472584"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d)</w:t>
      </w:r>
      <w:r w:rsidRPr="00AF072C">
        <w:rPr>
          <w:rFonts w:ascii="Times New Roman" w:hAnsi="Times New Roman" w:cs="Times New Roman"/>
          <w:sz w:val="24"/>
          <w:szCs w:val="24"/>
        </w:rPr>
        <w:tab/>
        <w:t xml:space="preserve">La prévalence de personnes atteintes d’albinisme dans l’État partie, et sur les mesures d’assistance médicale spécifiques mises en place par l’État partie pour répondre à leurs besoins en matière de santé, en particulier pour la prévention du cancer de la peau, auquel ces personnes sont hautement vulnérables, et la sensibilisation de la population sur cette condition génétique que constitue l’albinisme afin de lutter contre les préjugés et les croyances qui y sont faussement associées ; </w:t>
      </w:r>
    </w:p>
    <w:p w14:paraId="2E07919C" w14:textId="77777777" w:rsidR="00472584" w:rsidRPr="00AF072C" w:rsidRDefault="00472584"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e)</w:t>
      </w:r>
      <w:r w:rsidRPr="00AF072C">
        <w:rPr>
          <w:rFonts w:ascii="Times New Roman" w:hAnsi="Times New Roman" w:cs="Times New Roman"/>
          <w:sz w:val="24"/>
          <w:szCs w:val="24"/>
        </w:rPr>
        <w:tab/>
        <w:t>Les mesures adoptées par l’État partie pour rendre publique l’information sur la politique publique en matière de drogues ainsi que sur les services de santé mis en place pour les personnes utilisatrices de drogues.</w:t>
      </w:r>
    </w:p>
    <w:p w14:paraId="7E374D78" w14:textId="7B2485FE" w:rsidR="00472584" w:rsidRPr="00D02DA6" w:rsidRDefault="00472584"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Dispositions de principe :</w:t>
      </w:r>
    </w:p>
    <w:p w14:paraId="43354D52" w14:textId="053D2423" w:rsidR="00476645" w:rsidRPr="00D02DA6" w:rsidRDefault="00476645" w:rsidP="005A073E">
      <w:pPr>
        <w:pStyle w:val="Paragraphedeliste"/>
        <w:numPr>
          <w:ilvl w:val="0"/>
          <w:numId w:val="1"/>
        </w:numPr>
        <w:spacing w:line="276" w:lineRule="auto"/>
        <w:jc w:val="both"/>
        <w:rPr>
          <w:rFonts w:ascii="Maiandra GD" w:hAnsi="Maiandra GD"/>
        </w:rPr>
      </w:pPr>
      <w:r w:rsidRPr="00D02DA6">
        <w:rPr>
          <w:rFonts w:ascii="Maiandra GD" w:hAnsi="Maiandra GD"/>
        </w:rPr>
        <w:t>Article 8 de la Constitution béninoise du 11 décembre 1990 « La personne humaine est sacrée et inviolable.   L'Etat a l'obligation absolue de la respecter et de la protéger. Il lui garantit un plein épanouissement. A cet effet, il assure à ses citoyens l'égal accès à la santé, à l'éducation, à la culture, à l'information, à la formation professionnelle et à l'emploi. »</w:t>
      </w:r>
    </w:p>
    <w:p w14:paraId="1FBACD45" w14:textId="000090D7" w:rsidR="00476645" w:rsidRPr="00D02DA6" w:rsidRDefault="00733E95" w:rsidP="009F276D">
      <w:pPr>
        <w:pStyle w:val="Paragraphedeliste"/>
        <w:numPr>
          <w:ilvl w:val="0"/>
          <w:numId w:val="1"/>
        </w:numPr>
        <w:spacing w:line="276" w:lineRule="auto"/>
        <w:jc w:val="both"/>
        <w:rPr>
          <w:rFonts w:ascii="Maiandra GD" w:hAnsi="Maiandra GD"/>
        </w:rPr>
      </w:pPr>
      <w:r w:rsidRPr="00D02DA6">
        <w:rPr>
          <w:rFonts w:ascii="Maiandra GD" w:hAnsi="Maiandra GD"/>
        </w:rPr>
        <w:t>Article 12 du Pacte International relatif aux Droits Economiques, Sociaux et Culturels </w:t>
      </w:r>
    </w:p>
    <w:p w14:paraId="6FF3F185" w14:textId="01DC64CC" w:rsidR="006D5A89" w:rsidRPr="00D02DA6" w:rsidRDefault="006D5A89"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Tendances lourdes :</w:t>
      </w:r>
    </w:p>
    <w:p w14:paraId="7F1387C0" w14:textId="23C3A671" w:rsidR="006D5A89" w:rsidRPr="00D02DA6" w:rsidRDefault="006D5A89" w:rsidP="005A073E">
      <w:pPr>
        <w:spacing w:line="276" w:lineRule="auto"/>
        <w:jc w:val="both"/>
        <w:rPr>
          <w:rFonts w:ascii="Maiandra GD" w:hAnsi="Maiandra GD"/>
          <w:color w:val="000000" w:themeColor="text1"/>
          <w:sz w:val="24"/>
          <w:szCs w:val="24"/>
        </w:rPr>
      </w:pPr>
      <w:r w:rsidRPr="00D02DA6">
        <w:rPr>
          <w:rFonts w:ascii="Maiandra GD" w:hAnsi="Maiandra GD"/>
          <w:color w:val="000000" w:themeColor="text1"/>
          <w:sz w:val="24"/>
          <w:szCs w:val="24"/>
        </w:rPr>
        <w:t>Inexistence d’un dispositif d’information adapté aux utilisateurs des services de santé sur la matrice des soins disponibles</w:t>
      </w:r>
      <w:r w:rsidR="006C4FEE" w:rsidRPr="00D02DA6">
        <w:rPr>
          <w:rFonts w:ascii="Maiandra GD" w:hAnsi="Maiandra GD"/>
          <w:color w:val="000000" w:themeColor="text1"/>
          <w:sz w:val="24"/>
          <w:szCs w:val="24"/>
        </w:rPr>
        <w:t xml:space="preserve"> avec les coûts y afférents</w:t>
      </w:r>
      <w:r w:rsidRPr="00D02DA6">
        <w:rPr>
          <w:rFonts w:ascii="Maiandra GD" w:hAnsi="Maiandra GD"/>
          <w:color w:val="000000" w:themeColor="text1"/>
          <w:sz w:val="24"/>
          <w:szCs w:val="24"/>
        </w:rPr>
        <w:t>.</w:t>
      </w:r>
    </w:p>
    <w:p w14:paraId="7965FCC8" w14:textId="05783773" w:rsidR="00A964CB" w:rsidRPr="00D02DA6" w:rsidRDefault="00A964CB"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Observations :</w:t>
      </w:r>
    </w:p>
    <w:p w14:paraId="24585245" w14:textId="7D9C89F8" w:rsidR="006D07E2" w:rsidRPr="003D3610" w:rsidRDefault="006D07E2" w:rsidP="005A073E">
      <w:pPr>
        <w:spacing w:line="276" w:lineRule="auto"/>
        <w:jc w:val="both"/>
        <w:rPr>
          <w:rFonts w:ascii="Maiandra GD" w:eastAsia="Times New Roman" w:hAnsi="Maiandra GD"/>
          <w:sz w:val="24"/>
          <w:szCs w:val="24"/>
        </w:rPr>
      </w:pPr>
      <w:r w:rsidRPr="00D02DA6">
        <w:rPr>
          <w:rFonts w:ascii="Maiandra GD" w:hAnsi="Maiandra GD"/>
          <w:sz w:val="24"/>
          <w:szCs w:val="24"/>
        </w:rPr>
        <w:t>Le Plan National de Développement Sanitaire, arrivé à échéance en 2018 a quand même permis à l’Etat de prendre certaines mesures d’ordres sanitaires non moins importantes en l’occurrence la lutte contre le paludisme, à travers la distribution de moustiquaires imprégnés à insecticide ou à longue durée d’action.</w:t>
      </w:r>
      <w:r w:rsidRPr="003D3610">
        <w:rPr>
          <w:rStyle w:val="Appelnotedebasdep"/>
          <w:rFonts w:ascii="Maiandra GD" w:hAnsi="Maiandra GD"/>
          <w:sz w:val="24"/>
          <w:szCs w:val="24"/>
        </w:rPr>
        <w:footnoteReference w:id="3"/>
      </w:r>
    </w:p>
    <w:p w14:paraId="6B58D67D" w14:textId="77777777" w:rsidR="006D07E2" w:rsidRPr="00D02DA6" w:rsidRDefault="006D07E2" w:rsidP="005A073E">
      <w:pPr>
        <w:spacing w:line="276" w:lineRule="auto"/>
        <w:jc w:val="both"/>
        <w:rPr>
          <w:rFonts w:ascii="Maiandra GD" w:eastAsia="Times New Roman" w:hAnsi="Maiandra GD"/>
          <w:sz w:val="24"/>
          <w:szCs w:val="24"/>
        </w:rPr>
      </w:pPr>
      <w:r w:rsidRPr="00D02DA6">
        <w:rPr>
          <w:rFonts w:ascii="Maiandra GD" w:eastAsia="Times New Roman" w:hAnsi="Maiandra GD"/>
          <w:sz w:val="24"/>
          <w:szCs w:val="24"/>
        </w:rPr>
        <w:lastRenderedPageBreak/>
        <w:t>Dans une perspective de mettre le numérique au service du développement sanitaire, l’Etat a adopté la stratégie Nationale en Cyber-Santé</w:t>
      </w:r>
      <w:r w:rsidRPr="003D3610">
        <w:rPr>
          <w:rFonts w:ascii="Maiandra GD" w:eastAsia="Times New Roman" w:hAnsi="Maiandra GD"/>
          <w:sz w:val="24"/>
          <w:szCs w:val="24"/>
          <w:vertAlign w:val="superscript"/>
        </w:rPr>
        <w:footnoteReference w:id="4"/>
      </w:r>
      <w:r w:rsidRPr="003D3610">
        <w:rPr>
          <w:rFonts w:ascii="Maiandra GD" w:eastAsia="Times New Roman" w:hAnsi="Maiandra GD"/>
          <w:sz w:val="24"/>
          <w:szCs w:val="24"/>
        </w:rPr>
        <w:t xml:space="preserve"> comportant 12 projets phares dont l’implémentation est vivement souhaitée.</w:t>
      </w:r>
    </w:p>
    <w:p w14:paraId="4A2966CE" w14:textId="77777777" w:rsidR="006D07E2" w:rsidRPr="00D02DA6" w:rsidRDefault="006D07E2" w:rsidP="005A073E">
      <w:pPr>
        <w:spacing w:line="276" w:lineRule="auto"/>
        <w:jc w:val="both"/>
        <w:rPr>
          <w:rFonts w:ascii="Maiandra GD" w:eastAsia="Times New Roman" w:hAnsi="Maiandra GD"/>
          <w:sz w:val="24"/>
          <w:szCs w:val="24"/>
        </w:rPr>
      </w:pPr>
      <w:r w:rsidRPr="00D02DA6">
        <w:rPr>
          <w:rFonts w:ascii="Maiandra GD" w:eastAsia="Times New Roman" w:hAnsi="Maiandra GD"/>
          <w:sz w:val="24"/>
          <w:szCs w:val="24"/>
        </w:rPr>
        <w:t>L’Etat partie face à la menace de la fièvre hémorragique à virus Lassa pris des dispositions en vue de traiter et d’informer la population sur les mesures à prendre pour éviter cette maladie.</w:t>
      </w:r>
    </w:p>
    <w:p w14:paraId="228617D8" w14:textId="32B0A3E4" w:rsidR="00C038A8" w:rsidRPr="00D02DA6" w:rsidRDefault="006D07E2" w:rsidP="003679FE">
      <w:pPr>
        <w:spacing w:line="276" w:lineRule="auto"/>
        <w:jc w:val="both"/>
        <w:rPr>
          <w:rFonts w:ascii="Maiandra GD" w:hAnsi="Maiandra GD"/>
          <w:color w:val="002060"/>
          <w:sz w:val="24"/>
          <w:szCs w:val="24"/>
        </w:rPr>
      </w:pPr>
      <w:r w:rsidRPr="00D02DA6">
        <w:rPr>
          <w:rFonts w:ascii="Maiandra GD" w:eastAsia="Times New Roman" w:hAnsi="Maiandra GD"/>
          <w:sz w:val="24"/>
          <w:szCs w:val="24"/>
        </w:rPr>
        <w:t>Plusieurs Rapports disponibles sur le site internet du ministère de la Santé de l’Etat partie informent sur les différents cas recensés les mesures prises les cas de décès… Cependant l’Etat partie manque de communication surtout en langues nationales sur les grilles tarifaires de prestations sur toute la pyramide sanitaire, partant des dispensaires aux hôpitaux de références. Ce qui favorise la création de faux frais et la faible fréquentation des formations sanitaires</w:t>
      </w:r>
      <w:r w:rsidR="00FC2A8A" w:rsidRPr="00D02DA6">
        <w:rPr>
          <w:rFonts w:ascii="Maiandra GD" w:eastAsia="Times New Roman" w:hAnsi="Maiandra GD"/>
          <w:sz w:val="24"/>
          <w:szCs w:val="24"/>
        </w:rPr>
        <w:t xml:space="preserve"> en milieu rural surtout</w:t>
      </w:r>
      <w:r w:rsidRPr="00D02DA6">
        <w:rPr>
          <w:rFonts w:ascii="Maiandra GD" w:eastAsia="Times New Roman" w:hAnsi="Maiandra GD"/>
          <w:sz w:val="24"/>
          <w:szCs w:val="24"/>
        </w:rPr>
        <w:t>.</w:t>
      </w:r>
      <w:r w:rsidRPr="00D02DA6">
        <w:rPr>
          <w:rFonts w:ascii="Maiandra GD" w:hAnsi="Maiandra GD"/>
          <w:sz w:val="24"/>
          <w:szCs w:val="24"/>
        </w:rPr>
        <w:t xml:space="preserve"> </w:t>
      </w:r>
      <w:r w:rsidRPr="00D02DA6">
        <w:rPr>
          <w:rFonts w:ascii="Maiandra GD" w:hAnsi="Maiandra GD"/>
          <w:color w:val="000000"/>
          <w:sz w:val="24"/>
          <w:szCs w:val="24"/>
        </w:rPr>
        <w:t>Il faut constater par exemple, que si 95 % des femmes de Cotonou ont reçu des soins prénatals, ce pourcentage n’est que de 79 % en milieu rural et la véritable cause de cet écart reste le manque d’information et de sensibilisation de la population surtout celle en milieu rural. De plus, tout ce constat capitalisé, renseigne du terreau fertile aux actes de corruption.</w:t>
      </w:r>
      <w:r w:rsidR="00E23FAF" w:rsidRPr="00D02DA6" w:rsidDel="00E23FAF">
        <w:rPr>
          <w:rFonts w:ascii="Maiandra GD" w:hAnsi="Maiandra GD"/>
          <w:color w:val="000000"/>
          <w:sz w:val="24"/>
          <w:szCs w:val="24"/>
        </w:rPr>
        <w:t xml:space="preserve"> </w:t>
      </w:r>
    </w:p>
    <w:p w14:paraId="027DC77E" w14:textId="47833173" w:rsidR="003679FE" w:rsidRPr="00D02DA6" w:rsidRDefault="00A964CB" w:rsidP="003679FE">
      <w:pPr>
        <w:spacing w:line="276" w:lineRule="auto"/>
        <w:jc w:val="both"/>
        <w:rPr>
          <w:rFonts w:ascii="Maiandra GD" w:hAnsi="Maiandra GD"/>
          <w:color w:val="002060"/>
          <w:sz w:val="24"/>
          <w:szCs w:val="24"/>
        </w:rPr>
      </w:pPr>
      <w:r w:rsidRPr="00D02DA6">
        <w:rPr>
          <w:rFonts w:ascii="Maiandra GD" w:hAnsi="Maiandra GD"/>
          <w:color w:val="002060"/>
          <w:sz w:val="24"/>
          <w:szCs w:val="24"/>
        </w:rPr>
        <w:t>Suggestion</w:t>
      </w:r>
      <w:r w:rsidR="00A9752D" w:rsidRPr="00D02DA6">
        <w:rPr>
          <w:rFonts w:ascii="Maiandra GD" w:hAnsi="Maiandra GD"/>
          <w:color w:val="002060"/>
          <w:sz w:val="24"/>
          <w:szCs w:val="24"/>
        </w:rPr>
        <w:t>s</w:t>
      </w:r>
      <w:r w:rsidRPr="00D02DA6">
        <w:rPr>
          <w:rFonts w:ascii="Maiandra GD" w:hAnsi="Maiandra GD"/>
          <w:color w:val="002060"/>
          <w:sz w:val="24"/>
          <w:szCs w:val="24"/>
        </w:rPr>
        <w:t xml:space="preserve"> de </w:t>
      </w:r>
      <w:r w:rsidR="003679FE" w:rsidRPr="00D02DA6">
        <w:rPr>
          <w:rFonts w:ascii="Maiandra GD" w:hAnsi="Maiandra GD"/>
          <w:color w:val="002060"/>
          <w:sz w:val="24"/>
          <w:szCs w:val="24"/>
        </w:rPr>
        <w:t>Recommandati</w:t>
      </w:r>
      <w:r w:rsidR="00A9752D" w:rsidRPr="00D02DA6">
        <w:rPr>
          <w:rFonts w:ascii="Maiandra GD" w:hAnsi="Maiandra GD"/>
          <w:color w:val="002060"/>
          <w:sz w:val="24"/>
          <w:szCs w:val="24"/>
        </w:rPr>
        <w:t>o</w:t>
      </w:r>
      <w:r w:rsidR="003679FE" w:rsidRPr="00D02DA6">
        <w:rPr>
          <w:rFonts w:ascii="Maiandra GD" w:hAnsi="Maiandra GD"/>
          <w:color w:val="002060"/>
          <w:sz w:val="24"/>
          <w:szCs w:val="24"/>
        </w:rPr>
        <w:t>n</w:t>
      </w:r>
      <w:r w:rsidR="00A9752D" w:rsidRPr="00D02DA6">
        <w:rPr>
          <w:rFonts w:ascii="Maiandra GD" w:hAnsi="Maiandra GD"/>
          <w:color w:val="002060"/>
          <w:sz w:val="24"/>
          <w:szCs w:val="24"/>
        </w:rPr>
        <w:t>s</w:t>
      </w:r>
      <w:r w:rsidR="003679FE" w:rsidRPr="00D02DA6">
        <w:rPr>
          <w:rFonts w:ascii="Maiandra GD" w:hAnsi="Maiandra GD"/>
          <w:color w:val="002060"/>
          <w:sz w:val="24"/>
          <w:szCs w:val="24"/>
        </w:rPr>
        <w:t> :</w:t>
      </w:r>
    </w:p>
    <w:p w14:paraId="2E5AE93E" w14:textId="779B6D30" w:rsidR="003679FE" w:rsidRPr="00D02DA6" w:rsidRDefault="003679FE" w:rsidP="003679FE">
      <w:pPr>
        <w:pStyle w:val="Paragraphedeliste"/>
        <w:numPr>
          <w:ilvl w:val="0"/>
          <w:numId w:val="1"/>
        </w:numPr>
        <w:spacing w:line="276" w:lineRule="auto"/>
        <w:jc w:val="both"/>
        <w:rPr>
          <w:rFonts w:ascii="Maiandra GD" w:hAnsi="Maiandra GD"/>
        </w:rPr>
      </w:pPr>
      <w:r w:rsidRPr="00D02DA6">
        <w:rPr>
          <w:rFonts w:ascii="Maiandra GD" w:hAnsi="Maiandra GD"/>
        </w:rPr>
        <w:t>Rendre accessible aux acteurs de la demande (utilisateur</w:t>
      </w:r>
      <w:r w:rsidR="00AB008F" w:rsidRPr="00D02DA6">
        <w:rPr>
          <w:rFonts w:ascii="Maiandra GD" w:hAnsi="Maiandra GD"/>
        </w:rPr>
        <w:t>s</w:t>
      </w:r>
      <w:r w:rsidRPr="00D02DA6">
        <w:rPr>
          <w:rFonts w:ascii="Maiandra GD" w:hAnsi="Maiandra GD"/>
        </w:rPr>
        <w:t xml:space="preserve"> des services</w:t>
      </w:r>
      <w:r w:rsidR="00AB008F" w:rsidRPr="00D02DA6">
        <w:rPr>
          <w:rFonts w:ascii="Maiandra GD" w:hAnsi="Maiandra GD"/>
        </w:rPr>
        <w:t xml:space="preserve"> de santé</w:t>
      </w:r>
      <w:r w:rsidRPr="00D02DA6">
        <w:rPr>
          <w:rFonts w:ascii="Maiandra GD" w:hAnsi="Maiandra GD"/>
        </w:rPr>
        <w:t xml:space="preserve">) la matrice des services disponibles avec les coûts y afférents par tous les moyens adaptés à </w:t>
      </w:r>
      <w:r w:rsidR="000A152D" w:rsidRPr="00D02DA6">
        <w:rPr>
          <w:rFonts w:ascii="Maiandra GD" w:hAnsi="Maiandra GD"/>
        </w:rPr>
        <w:t>la demande accompagné</w:t>
      </w:r>
      <w:r w:rsidR="00B710BE">
        <w:rPr>
          <w:rFonts w:ascii="Maiandra GD" w:hAnsi="Maiandra GD"/>
        </w:rPr>
        <w:t>e</w:t>
      </w:r>
      <w:r w:rsidR="000A152D" w:rsidRPr="00D02DA6">
        <w:rPr>
          <w:rFonts w:ascii="Maiandra GD" w:hAnsi="Maiandra GD"/>
        </w:rPr>
        <w:t xml:space="preserve"> d’un dispositif de recours efficace</w:t>
      </w:r>
    </w:p>
    <w:p w14:paraId="7FF47ADA" w14:textId="50FAA421" w:rsidR="009F6414" w:rsidRPr="00D02DA6" w:rsidRDefault="00027C32" w:rsidP="003679FE">
      <w:pPr>
        <w:pStyle w:val="Paragraphedeliste"/>
        <w:numPr>
          <w:ilvl w:val="0"/>
          <w:numId w:val="1"/>
        </w:numPr>
        <w:spacing w:line="276" w:lineRule="auto"/>
        <w:jc w:val="both"/>
        <w:rPr>
          <w:rFonts w:ascii="Maiandra GD" w:hAnsi="Maiandra GD"/>
        </w:rPr>
      </w:pPr>
      <w:r w:rsidRPr="00D02DA6">
        <w:rPr>
          <w:rFonts w:ascii="Maiandra GD" w:hAnsi="Maiandra GD"/>
        </w:rPr>
        <w:t xml:space="preserve">Renforcer la </w:t>
      </w:r>
      <w:r w:rsidR="009F6414" w:rsidRPr="00D02DA6">
        <w:rPr>
          <w:rFonts w:ascii="Maiandra GD" w:hAnsi="Maiandra GD"/>
        </w:rPr>
        <w:t>sensibilisation de la population dans les zones rurales</w:t>
      </w:r>
    </w:p>
    <w:p w14:paraId="75AD8158" w14:textId="77777777" w:rsidR="009179AB" w:rsidRPr="00D02DA6" w:rsidRDefault="009179AB" w:rsidP="005A073E">
      <w:pPr>
        <w:spacing w:line="276" w:lineRule="auto"/>
        <w:jc w:val="both"/>
        <w:rPr>
          <w:rFonts w:ascii="Maiandra GD" w:hAnsi="Maiandra GD"/>
          <w:color w:val="000000"/>
          <w:sz w:val="24"/>
          <w:szCs w:val="24"/>
        </w:rPr>
      </w:pPr>
    </w:p>
    <w:p w14:paraId="7D0079C9" w14:textId="10964019" w:rsidR="00E23FAF" w:rsidRDefault="00E23FAF">
      <w:pPr>
        <w:rPr>
          <w:rFonts w:ascii="Maiandra GD" w:hAnsi="Maiandra GD"/>
          <w:b/>
          <w:bCs/>
          <w:color w:val="002060"/>
          <w:sz w:val="24"/>
          <w:szCs w:val="24"/>
        </w:rPr>
      </w:pPr>
      <w:r>
        <w:rPr>
          <w:rFonts w:ascii="Maiandra GD" w:hAnsi="Maiandra GD"/>
          <w:b/>
          <w:bCs/>
          <w:color w:val="002060"/>
          <w:sz w:val="24"/>
          <w:szCs w:val="24"/>
        </w:rPr>
        <w:br w:type="page"/>
      </w:r>
    </w:p>
    <w:p w14:paraId="01255159" w14:textId="7E5BAAAE" w:rsidR="005A0E30" w:rsidRPr="00D02DA6" w:rsidRDefault="009179AB" w:rsidP="00A5335E">
      <w:pPr>
        <w:pStyle w:val="Titre1"/>
      </w:pPr>
      <w:bookmarkStart w:id="9" w:name="_Toc30690924"/>
      <w:r w:rsidRPr="00D02DA6">
        <w:lastRenderedPageBreak/>
        <w:t xml:space="preserve">Au sujet du </w:t>
      </w:r>
      <w:r w:rsidR="005A073E" w:rsidRPr="00D02DA6">
        <w:t>point 30 de la liste de questions :</w:t>
      </w:r>
      <w:bookmarkEnd w:id="9"/>
    </w:p>
    <w:p w14:paraId="6DED00F1" w14:textId="77777777" w:rsidR="00912F58" w:rsidRPr="00AF072C" w:rsidRDefault="00912F58" w:rsidP="00111DB6">
      <w:pPr>
        <w:pBdr>
          <w:top w:val="single" w:sz="4" w:space="1" w:color="auto"/>
          <w:left w:val="single" w:sz="4" w:space="4" w:color="auto"/>
          <w:bottom w:val="single" w:sz="4" w:space="1" w:color="auto"/>
          <w:right w:val="single" w:sz="4" w:space="4" w:color="auto"/>
        </w:pBdr>
        <w:spacing w:line="276" w:lineRule="auto"/>
        <w:jc w:val="both"/>
        <w:rPr>
          <w:rFonts w:ascii="Times New Roman" w:hAnsi="Times New Roman" w:cs="Times New Roman"/>
          <w:sz w:val="24"/>
          <w:szCs w:val="24"/>
        </w:rPr>
      </w:pPr>
      <w:r w:rsidRPr="00AF072C">
        <w:rPr>
          <w:rFonts w:ascii="Times New Roman" w:hAnsi="Times New Roman" w:cs="Times New Roman"/>
          <w:sz w:val="24"/>
          <w:szCs w:val="24"/>
        </w:rPr>
        <w:t>30.</w:t>
      </w:r>
      <w:r w:rsidRPr="00AF072C">
        <w:rPr>
          <w:rFonts w:ascii="Times New Roman" w:hAnsi="Times New Roman" w:cs="Times New Roman"/>
          <w:sz w:val="24"/>
          <w:szCs w:val="24"/>
        </w:rPr>
        <w:tab/>
        <w:t>Veuillez faciliter des informations sur les mesures adoptées pour garantir la gratuité de l’enseignement primaire dans la pratique, ainsi que sur l’impact de ces mesures, notamment pour remédier aux frais connexes, qui sont de fait pris en charge par les familles des enfants scolarisés. Veuillez donner des informations sur les mesures adoptées, y compris l’allocation des ressources, pour remédier au manque de salles de classes et de mobilier dans l’enseignement public et pour garantir des installations sanitaires dans tous les établissements scolaires.</w:t>
      </w:r>
    </w:p>
    <w:p w14:paraId="6D6FE4DE" w14:textId="1C5EB30D" w:rsidR="00912F58" w:rsidRPr="00D02DA6" w:rsidRDefault="00912F58" w:rsidP="005A073E">
      <w:pPr>
        <w:spacing w:line="276" w:lineRule="auto"/>
        <w:jc w:val="both"/>
        <w:rPr>
          <w:rFonts w:ascii="Maiandra GD" w:hAnsi="Maiandra GD"/>
          <w:color w:val="002060"/>
          <w:sz w:val="24"/>
          <w:szCs w:val="24"/>
        </w:rPr>
      </w:pPr>
      <w:r w:rsidRPr="003D3610">
        <w:rPr>
          <w:rFonts w:ascii="Maiandra GD" w:hAnsi="Maiandra GD"/>
          <w:color w:val="002060"/>
          <w:sz w:val="24"/>
          <w:szCs w:val="24"/>
        </w:rPr>
        <w:t>Dispositions de principe :</w:t>
      </w:r>
    </w:p>
    <w:p w14:paraId="13E98DAC" w14:textId="3A775BC8" w:rsidR="00D62B9A" w:rsidRPr="00D02DA6" w:rsidRDefault="00D62B9A" w:rsidP="00D62B9A">
      <w:pPr>
        <w:pStyle w:val="Paragraphedeliste"/>
        <w:numPr>
          <w:ilvl w:val="0"/>
          <w:numId w:val="1"/>
        </w:numPr>
        <w:spacing w:line="276" w:lineRule="auto"/>
        <w:jc w:val="both"/>
        <w:rPr>
          <w:rFonts w:ascii="Maiandra GD" w:hAnsi="Maiandra GD"/>
        </w:rPr>
      </w:pPr>
      <w:r w:rsidRPr="00D02DA6">
        <w:rPr>
          <w:rFonts w:ascii="Maiandra GD" w:hAnsi="Maiandra GD"/>
        </w:rPr>
        <w:t>Article 8 de la Constitution béninoise du 11 décembre 1990 « La personne humaine est sacrée et inviolable. L'Etat a l'obligation absolue de la respecter et de la protéger. Il lui garantit un plein épanouissement. A cet effet, il assure à ses citoyens l'égal accès à la santé, à l'éducation, à la culture, à l'information, à la formation professionnelle et à l'emploi. »</w:t>
      </w:r>
    </w:p>
    <w:p w14:paraId="30D7905A" w14:textId="77777777" w:rsidR="006D074C" w:rsidRPr="00D02DA6" w:rsidRDefault="00350FEA" w:rsidP="00C038A8">
      <w:pPr>
        <w:pStyle w:val="Paragraphedeliste"/>
        <w:numPr>
          <w:ilvl w:val="0"/>
          <w:numId w:val="1"/>
        </w:numPr>
        <w:spacing w:line="276" w:lineRule="auto"/>
        <w:jc w:val="both"/>
        <w:rPr>
          <w:rFonts w:ascii="Maiandra GD" w:hAnsi="Maiandra GD"/>
        </w:rPr>
      </w:pPr>
      <w:r w:rsidRPr="00D02DA6">
        <w:rPr>
          <w:rFonts w:ascii="Maiandra GD" w:hAnsi="Maiandra GD"/>
        </w:rPr>
        <w:t xml:space="preserve">Article 13 du Pacte International relatif </w:t>
      </w:r>
      <w:r w:rsidRPr="00D02DA6">
        <w:rPr>
          <w:rFonts w:ascii="Maiandra GD" w:hAnsi="Maiandra GD"/>
        </w:rPr>
        <w:tab/>
        <w:t>aux Droits Economiques, Sociaux et Culturels </w:t>
      </w:r>
    </w:p>
    <w:p w14:paraId="0862CF15" w14:textId="130B3E58" w:rsidR="00C10799" w:rsidRPr="00D02DA6" w:rsidRDefault="00C10799" w:rsidP="00C038A8">
      <w:pPr>
        <w:pStyle w:val="Paragraphedeliste"/>
        <w:numPr>
          <w:ilvl w:val="0"/>
          <w:numId w:val="1"/>
        </w:numPr>
        <w:spacing w:line="276" w:lineRule="auto"/>
        <w:jc w:val="both"/>
        <w:rPr>
          <w:rFonts w:ascii="Maiandra GD" w:hAnsi="Maiandra GD"/>
        </w:rPr>
      </w:pPr>
      <w:r w:rsidRPr="00D02DA6">
        <w:rPr>
          <w:rFonts w:ascii="Maiandra GD" w:hAnsi="Maiandra GD"/>
        </w:rPr>
        <w:t>Arrêté N°0548/MEMP/DC/SGM/DEP/SP du 26 mars 2018 portant Règlement Intérieur de</w:t>
      </w:r>
      <w:r w:rsidR="006D074C" w:rsidRPr="00D02DA6">
        <w:rPr>
          <w:rFonts w:ascii="Maiandra GD" w:hAnsi="Maiandra GD"/>
        </w:rPr>
        <w:t>s</w:t>
      </w:r>
      <w:r w:rsidRPr="00D02DA6">
        <w:rPr>
          <w:rFonts w:ascii="Maiandra GD" w:hAnsi="Maiandra GD"/>
        </w:rPr>
        <w:t xml:space="preserve"> Ecoles Primaires révisé</w:t>
      </w:r>
    </w:p>
    <w:p w14:paraId="1E792C34" w14:textId="19E0B874" w:rsidR="006B2B9B" w:rsidRPr="00D02DA6" w:rsidRDefault="006B2B9B"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Tendances lourdes :</w:t>
      </w:r>
    </w:p>
    <w:p w14:paraId="7F143565" w14:textId="1FBF3293" w:rsidR="00BF630F" w:rsidRPr="00D02DA6" w:rsidRDefault="006B2B9B" w:rsidP="005A073E">
      <w:pPr>
        <w:spacing w:line="276" w:lineRule="auto"/>
        <w:jc w:val="both"/>
        <w:rPr>
          <w:rFonts w:ascii="Maiandra GD" w:hAnsi="Maiandra GD"/>
          <w:sz w:val="24"/>
          <w:szCs w:val="24"/>
        </w:rPr>
      </w:pPr>
      <w:r w:rsidRPr="00D02DA6">
        <w:rPr>
          <w:rFonts w:ascii="Maiandra GD" w:hAnsi="Maiandra GD"/>
          <w:sz w:val="24"/>
          <w:szCs w:val="24"/>
        </w:rPr>
        <w:t>Certains préposés de l’offre (enseignants, chefs d’établissement) créent des faux frais aux apprenants, rendant ainsi ineffective la mesure de gratuit</w:t>
      </w:r>
      <w:r w:rsidR="00AC0562" w:rsidRPr="00D02DA6">
        <w:rPr>
          <w:rFonts w:ascii="Maiandra GD" w:hAnsi="Maiandra GD"/>
          <w:sz w:val="24"/>
          <w:szCs w:val="24"/>
        </w:rPr>
        <w:t>é</w:t>
      </w:r>
      <w:r w:rsidRPr="00D02DA6">
        <w:rPr>
          <w:rFonts w:ascii="Maiandra GD" w:hAnsi="Maiandra GD"/>
          <w:sz w:val="24"/>
          <w:szCs w:val="24"/>
        </w:rPr>
        <w:t xml:space="preserve"> instaurée dans l’enseignement primaire.</w:t>
      </w:r>
      <w:r w:rsidR="00AC0562" w:rsidRPr="00D02DA6">
        <w:rPr>
          <w:rFonts w:ascii="Maiandra GD" w:hAnsi="Maiandra GD"/>
          <w:sz w:val="24"/>
          <w:szCs w:val="24"/>
        </w:rPr>
        <w:t xml:space="preserve"> Il faut enregistrer aussi les cas de trafic de notes en milieu secondaire et supérieur notamment à travers la remise de sommes </w:t>
      </w:r>
      <w:r w:rsidR="00CE70FA" w:rsidRPr="00D02DA6">
        <w:rPr>
          <w:rFonts w:ascii="Maiandra GD" w:hAnsi="Maiandra GD"/>
          <w:sz w:val="24"/>
          <w:szCs w:val="24"/>
        </w:rPr>
        <w:t xml:space="preserve">d’argent </w:t>
      </w:r>
      <w:r w:rsidR="00AC0562" w:rsidRPr="00D02DA6">
        <w:rPr>
          <w:rFonts w:ascii="Maiandra GD" w:hAnsi="Maiandra GD"/>
          <w:sz w:val="24"/>
          <w:szCs w:val="24"/>
        </w:rPr>
        <w:t>et/ou faveurs sexuelles</w:t>
      </w:r>
    </w:p>
    <w:p w14:paraId="7D95911D" w14:textId="29A19531" w:rsidR="00912F58" w:rsidRPr="00D02DA6" w:rsidRDefault="00DB1C0A"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Observations :</w:t>
      </w:r>
    </w:p>
    <w:p w14:paraId="23550B3A" w14:textId="78AC1B05" w:rsidR="005A0E30" w:rsidRPr="00D02DA6" w:rsidRDefault="005A0E30" w:rsidP="005A073E">
      <w:pPr>
        <w:spacing w:line="276" w:lineRule="auto"/>
        <w:jc w:val="both"/>
        <w:rPr>
          <w:rFonts w:ascii="Maiandra GD" w:hAnsi="Maiandra GD"/>
          <w:sz w:val="24"/>
          <w:szCs w:val="24"/>
        </w:rPr>
      </w:pPr>
      <w:r w:rsidRPr="00D02DA6">
        <w:rPr>
          <w:rFonts w:ascii="Maiandra GD" w:hAnsi="Maiandra GD"/>
          <w:sz w:val="24"/>
          <w:szCs w:val="24"/>
        </w:rPr>
        <w:t>Au Bénin, le décret du 08 mars 2007 portant ‘’Diverses mesures visant à assurer la gratuité à l’enseignement et frais perceptibles’’, organise la mesure de gratuité prise par le gouvernement. De ce fait, la scolarisation des filles a connu de 2007 à 2017 de légères augmentations par année scolaire.</w:t>
      </w:r>
    </w:p>
    <w:p w14:paraId="2F5B2EE5" w14:textId="2FD479DF" w:rsidR="00C038A8" w:rsidRPr="00D02DA6" w:rsidRDefault="005A0E30" w:rsidP="005A073E">
      <w:pPr>
        <w:spacing w:line="276" w:lineRule="auto"/>
        <w:jc w:val="both"/>
        <w:rPr>
          <w:rFonts w:ascii="Maiandra GD" w:hAnsi="Maiandra GD"/>
          <w:color w:val="002060"/>
          <w:sz w:val="24"/>
          <w:szCs w:val="24"/>
        </w:rPr>
      </w:pPr>
      <w:r w:rsidRPr="00D02DA6">
        <w:rPr>
          <w:rFonts w:ascii="Maiandra GD" w:hAnsi="Maiandra GD"/>
          <w:sz w:val="24"/>
          <w:szCs w:val="24"/>
        </w:rPr>
        <w:t xml:space="preserve">Cependant, </w:t>
      </w:r>
      <w:r w:rsidR="00B81919" w:rsidRPr="00D02DA6">
        <w:rPr>
          <w:rFonts w:ascii="Maiandra GD" w:hAnsi="Maiandra GD"/>
          <w:sz w:val="24"/>
          <w:szCs w:val="24"/>
        </w:rPr>
        <w:t>il persiste la création et la perception de faux frais par certains responsables d’établissements</w:t>
      </w:r>
      <w:r w:rsidR="00C81011">
        <w:rPr>
          <w:rFonts w:ascii="Maiandra GD" w:hAnsi="Maiandra GD"/>
          <w:sz w:val="24"/>
          <w:szCs w:val="24"/>
        </w:rPr>
        <w:t xml:space="preserve"> de même que le trafic de notes</w:t>
      </w:r>
      <w:r w:rsidR="00B81919" w:rsidRPr="00D02DA6">
        <w:rPr>
          <w:rFonts w:ascii="Maiandra GD" w:hAnsi="Maiandra GD"/>
          <w:sz w:val="24"/>
          <w:szCs w:val="24"/>
        </w:rPr>
        <w:t xml:space="preserve">. </w:t>
      </w:r>
      <w:r w:rsidR="00FE344D" w:rsidRPr="00D02DA6">
        <w:rPr>
          <w:rFonts w:ascii="Maiandra GD" w:hAnsi="Maiandra GD"/>
          <w:sz w:val="24"/>
          <w:szCs w:val="24"/>
        </w:rPr>
        <w:t>Ces actes de corruption affectent ainsi négativement la jouissance du droit à l’éducation.</w:t>
      </w:r>
      <w:r w:rsidR="00E23FAF" w:rsidRPr="00D02DA6" w:rsidDel="00E23FAF">
        <w:rPr>
          <w:rFonts w:ascii="Maiandra GD" w:hAnsi="Maiandra GD"/>
          <w:sz w:val="24"/>
          <w:szCs w:val="24"/>
        </w:rPr>
        <w:t xml:space="preserve"> </w:t>
      </w:r>
    </w:p>
    <w:p w14:paraId="137F9902" w14:textId="5FE8988F" w:rsidR="003679FE" w:rsidRPr="00D02DA6" w:rsidRDefault="00B81919" w:rsidP="005A073E">
      <w:pPr>
        <w:spacing w:line="276" w:lineRule="auto"/>
        <w:jc w:val="both"/>
        <w:rPr>
          <w:rFonts w:ascii="Maiandra GD" w:hAnsi="Maiandra GD"/>
          <w:color w:val="002060"/>
          <w:sz w:val="24"/>
          <w:szCs w:val="24"/>
        </w:rPr>
      </w:pPr>
      <w:r w:rsidRPr="00D02DA6">
        <w:rPr>
          <w:rFonts w:ascii="Maiandra GD" w:hAnsi="Maiandra GD"/>
          <w:color w:val="002060"/>
          <w:sz w:val="24"/>
          <w:szCs w:val="24"/>
        </w:rPr>
        <w:t xml:space="preserve">Suggestions de </w:t>
      </w:r>
      <w:r w:rsidR="003679FE" w:rsidRPr="00D02DA6">
        <w:rPr>
          <w:rFonts w:ascii="Maiandra GD" w:hAnsi="Maiandra GD"/>
          <w:color w:val="002060"/>
          <w:sz w:val="24"/>
          <w:szCs w:val="24"/>
        </w:rPr>
        <w:t>Recommandation</w:t>
      </w:r>
      <w:r w:rsidR="00A3123C">
        <w:rPr>
          <w:rFonts w:ascii="Maiandra GD" w:hAnsi="Maiandra GD"/>
          <w:color w:val="002060"/>
          <w:sz w:val="24"/>
          <w:szCs w:val="24"/>
        </w:rPr>
        <w:t>s</w:t>
      </w:r>
      <w:r w:rsidR="003679FE" w:rsidRPr="00D02DA6">
        <w:rPr>
          <w:rFonts w:ascii="Maiandra GD" w:hAnsi="Maiandra GD"/>
          <w:color w:val="002060"/>
          <w:sz w:val="24"/>
          <w:szCs w:val="24"/>
        </w:rPr>
        <w:t> :</w:t>
      </w:r>
    </w:p>
    <w:p w14:paraId="1B7FAF26" w14:textId="51EA8D20" w:rsidR="003679FE" w:rsidRPr="00D02DA6" w:rsidRDefault="003679FE" w:rsidP="003679FE">
      <w:pPr>
        <w:pStyle w:val="Paragraphedeliste"/>
        <w:numPr>
          <w:ilvl w:val="0"/>
          <w:numId w:val="1"/>
        </w:numPr>
        <w:spacing w:line="276" w:lineRule="auto"/>
        <w:jc w:val="both"/>
        <w:rPr>
          <w:rFonts w:ascii="Maiandra GD" w:hAnsi="Maiandra GD"/>
        </w:rPr>
      </w:pPr>
      <w:r w:rsidRPr="00D02DA6">
        <w:rPr>
          <w:rFonts w:ascii="Maiandra GD" w:hAnsi="Maiandra GD"/>
        </w:rPr>
        <w:t>Accompagner la gratuité de l’enseignement avec la mise à disposition effective des ressources adéquates et à temps</w:t>
      </w:r>
    </w:p>
    <w:p w14:paraId="2E34D76C" w14:textId="57CB8304" w:rsidR="003E785E" w:rsidRPr="00D02DA6" w:rsidRDefault="003E785E" w:rsidP="003679FE">
      <w:pPr>
        <w:pStyle w:val="Paragraphedeliste"/>
        <w:numPr>
          <w:ilvl w:val="0"/>
          <w:numId w:val="1"/>
        </w:numPr>
        <w:spacing w:line="276" w:lineRule="auto"/>
        <w:jc w:val="both"/>
        <w:rPr>
          <w:rFonts w:ascii="Maiandra GD" w:hAnsi="Maiandra GD"/>
        </w:rPr>
      </w:pPr>
      <w:r w:rsidRPr="00D02DA6">
        <w:rPr>
          <w:rFonts w:ascii="Maiandra GD" w:hAnsi="Maiandra GD"/>
        </w:rPr>
        <w:t xml:space="preserve">Vulgariser l’arrêté N°0548/MEMP/DC/SGM/DEP/SP du 26 mars 2018 portant </w:t>
      </w:r>
      <w:r w:rsidR="00195CA2" w:rsidRPr="00D02DA6">
        <w:rPr>
          <w:rFonts w:ascii="Maiandra GD" w:hAnsi="Maiandra GD"/>
        </w:rPr>
        <w:t>Règlement</w:t>
      </w:r>
      <w:r w:rsidRPr="00D02DA6">
        <w:rPr>
          <w:rFonts w:ascii="Maiandra GD" w:hAnsi="Maiandra GD"/>
        </w:rPr>
        <w:t xml:space="preserve"> Intérieur de</w:t>
      </w:r>
      <w:r w:rsidR="00105BBB" w:rsidRPr="00D02DA6">
        <w:rPr>
          <w:rFonts w:ascii="Maiandra GD" w:hAnsi="Maiandra GD"/>
        </w:rPr>
        <w:t>s</w:t>
      </w:r>
      <w:r w:rsidRPr="00D02DA6">
        <w:rPr>
          <w:rFonts w:ascii="Maiandra GD" w:hAnsi="Maiandra GD"/>
        </w:rPr>
        <w:t xml:space="preserve"> Ecoles Primaires révisé</w:t>
      </w:r>
    </w:p>
    <w:p w14:paraId="1343F93B" w14:textId="20DBFD43" w:rsidR="003679FE" w:rsidRPr="00D02DA6" w:rsidRDefault="006730AD" w:rsidP="003679FE">
      <w:pPr>
        <w:pStyle w:val="Paragraphedeliste"/>
        <w:numPr>
          <w:ilvl w:val="0"/>
          <w:numId w:val="1"/>
        </w:numPr>
        <w:spacing w:line="276" w:lineRule="auto"/>
        <w:jc w:val="both"/>
        <w:rPr>
          <w:rFonts w:ascii="Maiandra GD" w:hAnsi="Maiandra GD"/>
        </w:rPr>
      </w:pPr>
      <w:r w:rsidRPr="00D02DA6">
        <w:rPr>
          <w:rFonts w:ascii="Maiandra GD" w:hAnsi="Maiandra GD"/>
        </w:rPr>
        <w:t>Sanctionner les auteurs de faux frais dans les écoles</w:t>
      </w:r>
      <w:r w:rsidR="00105BBB" w:rsidRPr="00D02DA6">
        <w:rPr>
          <w:rFonts w:ascii="Maiandra GD" w:hAnsi="Maiandra GD"/>
        </w:rPr>
        <w:t xml:space="preserve"> et de </w:t>
      </w:r>
      <w:r w:rsidR="00B43879" w:rsidRPr="00D02DA6">
        <w:rPr>
          <w:rFonts w:ascii="Maiandra GD" w:hAnsi="Maiandra GD"/>
        </w:rPr>
        <w:t>trafic</w:t>
      </w:r>
      <w:r w:rsidR="00105BBB" w:rsidRPr="00D02DA6">
        <w:rPr>
          <w:rFonts w:ascii="Maiandra GD" w:hAnsi="Maiandra GD"/>
        </w:rPr>
        <w:t xml:space="preserve"> de notes</w:t>
      </w:r>
    </w:p>
    <w:sectPr w:rsidR="003679FE" w:rsidRPr="00D02DA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77228" w14:textId="77777777" w:rsidR="00582A89" w:rsidRDefault="00582A89" w:rsidP="006D07E2">
      <w:pPr>
        <w:spacing w:after="0" w:line="240" w:lineRule="auto"/>
      </w:pPr>
      <w:r>
        <w:separator/>
      </w:r>
    </w:p>
  </w:endnote>
  <w:endnote w:type="continuationSeparator" w:id="0">
    <w:p w14:paraId="77E81F0E" w14:textId="77777777" w:rsidR="00582A89" w:rsidRDefault="00582A89" w:rsidP="006D0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aiandra GD">
    <w:altName w:val="Calibri"/>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1394904"/>
      <w:docPartObj>
        <w:docPartGallery w:val="Page Numbers (Bottom of Page)"/>
        <w:docPartUnique/>
      </w:docPartObj>
    </w:sdtPr>
    <w:sdtContent>
      <w:p w14:paraId="41E275B3" w14:textId="148D5575" w:rsidR="00A5335E" w:rsidRDefault="00A5335E">
        <w:pPr>
          <w:pStyle w:val="Pieddepage"/>
          <w:jc w:val="right"/>
        </w:pPr>
        <w:r>
          <w:fldChar w:fldCharType="begin"/>
        </w:r>
        <w:r>
          <w:instrText>PAGE   \* MERGEFORMAT</w:instrText>
        </w:r>
        <w:r>
          <w:fldChar w:fldCharType="separate"/>
        </w:r>
        <w:r>
          <w:t>2</w:t>
        </w:r>
        <w:r>
          <w:fldChar w:fldCharType="end"/>
        </w:r>
      </w:p>
    </w:sdtContent>
  </w:sdt>
  <w:p w14:paraId="724CD68B" w14:textId="77777777" w:rsidR="00A5335E" w:rsidRDefault="00A5335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02598" w14:textId="77777777" w:rsidR="00582A89" w:rsidRDefault="00582A89" w:rsidP="006D07E2">
      <w:pPr>
        <w:spacing w:after="0" w:line="240" w:lineRule="auto"/>
      </w:pPr>
      <w:r>
        <w:separator/>
      </w:r>
    </w:p>
  </w:footnote>
  <w:footnote w:type="continuationSeparator" w:id="0">
    <w:p w14:paraId="59999107" w14:textId="77777777" w:rsidR="00582A89" w:rsidRDefault="00582A89" w:rsidP="006D07E2">
      <w:pPr>
        <w:spacing w:after="0" w:line="240" w:lineRule="auto"/>
      </w:pPr>
      <w:r>
        <w:continuationSeparator/>
      </w:r>
    </w:p>
  </w:footnote>
  <w:footnote w:id="1">
    <w:p w14:paraId="355F38C7" w14:textId="4EC62503" w:rsidR="00347A57" w:rsidRDefault="00347A57">
      <w:pPr>
        <w:pStyle w:val="Notedebasdepage"/>
      </w:pPr>
      <w:r>
        <w:rPr>
          <w:rStyle w:val="Appelnotedebasdep"/>
        </w:rPr>
        <w:footnoteRef/>
      </w:r>
      <w:r>
        <w:t xml:space="preserve"> Cartographie des risques de déficit d’intégrité dans le secteur de l’eau au Bénin, Rapport provisoire, Tome 1, Novembre 2017, pp. 42</w:t>
      </w:r>
    </w:p>
  </w:footnote>
  <w:footnote w:id="2">
    <w:p w14:paraId="274DB855" w14:textId="2154BC76" w:rsidR="00347A57" w:rsidRDefault="00347A57">
      <w:pPr>
        <w:pStyle w:val="Notedebasdepage"/>
      </w:pPr>
      <w:r>
        <w:rPr>
          <w:rStyle w:val="Appelnotedebasdep"/>
        </w:rPr>
        <w:footnoteRef/>
      </w:r>
      <w:r>
        <w:t xml:space="preserve"> Ibid.</w:t>
      </w:r>
    </w:p>
  </w:footnote>
  <w:footnote w:id="3">
    <w:p w14:paraId="43D5A347" w14:textId="77777777" w:rsidR="006D07E2" w:rsidRPr="00FD4D3D" w:rsidRDefault="006D07E2" w:rsidP="006D07E2">
      <w:pPr>
        <w:pStyle w:val="Notedebasdepage"/>
        <w:rPr>
          <w:rFonts w:asciiTheme="minorHAnsi" w:hAnsiTheme="minorHAnsi"/>
        </w:rPr>
      </w:pPr>
      <w:r w:rsidRPr="00FD4D3D">
        <w:rPr>
          <w:rStyle w:val="Appelnotedebasdep"/>
          <w:rFonts w:asciiTheme="minorHAnsi" w:hAnsiTheme="minorHAnsi"/>
        </w:rPr>
        <w:footnoteRef/>
      </w:r>
      <w:r w:rsidRPr="00FD4D3D">
        <w:rPr>
          <w:rFonts w:asciiTheme="minorHAnsi" w:hAnsiTheme="minorHAnsi"/>
        </w:rPr>
        <w:t xml:space="preserve"> CF PNDS 2009-2018 et les différentes enquêtes EDS 2011-2012 ,2017-2018</w:t>
      </w:r>
    </w:p>
  </w:footnote>
  <w:footnote w:id="4">
    <w:p w14:paraId="75E5BEF8" w14:textId="27F2ABE8" w:rsidR="006D07E2" w:rsidRPr="00FD4D3D" w:rsidRDefault="006D07E2" w:rsidP="006D07E2">
      <w:pPr>
        <w:pStyle w:val="Notedebasdepage"/>
        <w:rPr>
          <w:rFonts w:asciiTheme="minorHAnsi" w:hAnsiTheme="minorHAnsi"/>
        </w:rPr>
      </w:pPr>
      <w:r w:rsidRPr="00FD4D3D">
        <w:rPr>
          <w:rStyle w:val="Appelnotedebasdep"/>
          <w:rFonts w:asciiTheme="minorHAnsi" w:hAnsiTheme="minorHAnsi"/>
        </w:rPr>
        <w:footnoteRef/>
      </w:r>
      <w:hyperlink r:id="rId1" w:history="1">
        <w:r w:rsidR="0001662F" w:rsidRPr="00916A48">
          <w:rPr>
            <w:rStyle w:val="Lienhypertexte"/>
            <w:rFonts w:asciiTheme="minorHAnsi" w:hAnsiTheme="minorHAnsi"/>
          </w:rPr>
          <w:t>http://www2.sante.gouv.bj/IMG/pdf/update_presentation_cybersante_benin_pour_le_ministre_de_la_sante.pdf</w:t>
        </w:r>
      </w:hyperlink>
    </w:p>
    <w:p w14:paraId="09DC2AAE" w14:textId="77777777" w:rsidR="006D07E2" w:rsidRPr="00FD4D3D" w:rsidRDefault="006D07E2" w:rsidP="006D07E2">
      <w:pPr>
        <w:pStyle w:val="Notedebasdepage"/>
        <w:rPr>
          <w:rFonts w:asciiTheme="minorHAnsi" w:hAnsiTheme="minorHAnsi"/>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0B7304"/>
    <w:multiLevelType w:val="hybridMultilevel"/>
    <w:tmpl w:val="2E802B16"/>
    <w:lvl w:ilvl="0" w:tplc="0074D9F6">
      <w:start w:val="2"/>
      <w:numFmt w:val="bullet"/>
      <w:lvlText w:val="-"/>
      <w:lvlJc w:val="left"/>
      <w:pPr>
        <w:ind w:left="720" w:hanging="360"/>
      </w:pPr>
      <w:rPr>
        <w:rFonts w:ascii="Maiandra GD" w:eastAsiaTheme="minorHAnsi" w:hAnsi="Maiandra G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CD258C1"/>
    <w:multiLevelType w:val="hybridMultilevel"/>
    <w:tmpl w:val="3A9259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3DC64BF"/>
    <w:multiLevelType w:val="hybridMultilevel"/>
    <w:tmpl w:val="3AEE2A18"/>
    <w:lvl w:ilvl="0" w:tplc="A35CB256">
      <w:numFmt w:val="bullet"/>
      <w:lvlText w:val="-"/>
      <w:lvlJc w:val="left"/>
      <w:pPr>
        <w:ind w:left="720" w:hanging="360"/>
      </w:pPr>
      <w:rPr>
        <w:rFonts w:ascii="Maiandra GD" w:eastAsiaTheme="minorHAnsi" w:hAnsi="Maiandra GD"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A3A260E"/>
    <w:multiLevelType w:val="hybridMultilevel"/>
    <w:tmpl w:val="397A5ED4"/>
    <w:lvl w:ilvl="0" w:tplc="7FBA670C">
      <w:start w:val="1"/>
      <w:numFmt w:val="bullet"/>
      <w:lvlText w:val="•"/>
      <w:lvlJc w:val="left"/>
      <w:pPr>
        <w:tabs>
          <w:tab w:val="num" w:pos="720"/>
        </w:tabs>
        <w:ind w:left="720" w:hanging="360"/>
      </w:pPr>
      <w:rPr>
        <w:rFonts w:ascii="Arial" w:hAnsi="Arial" w:hint="default"/>
      </w:rPr>
    </w:lvl>
    <w:lvl w:ilvl="1" w:tplc="C5029144" w:tentative="1">
      <w:start w:val="1"/>
      <w:numFmt w:val="bullet"/>
      <w:lvlText w:val="•"/>
      <w:lvlJc w:val="left"/>
      <w:pPr>
        <w:tabs>
          <w:tab w:val="num" w:pos="1440"/>
        </w:tabs>
        <w:ind w:left="1440" w:hanging="360"/>
      </w:pPr>
      <w:rPr>
        <w:rFonts w:ascii="Arial" w:hAnsi="Arial" w:hint="default"/>
      </w:rPr>
    </w:lvl>
    <w:lvl w:ilvl="2" w:tplc="802A4224" w:tentative="1">
      <w:start w:val="1"/>
      <w:numFmt w:val="bullet"/>
      <w:lvlText w:val="•"/>
      <w:lvlJc w:val="left"/>
      <w:pPr>
        <w:tabs>
          <w:tab w:val="num" w:pos="2160"/>
        </w:tabs>
        <w:ind w:left="2160" w:hanging="360"/>
      </w:pPr>
      <w:rPr>
        <w:rFonts w:ascii="Arial" w:hAnsi="Arial" w:hint="default"/>
      </w:rPr>
    </w:lvl>
    <w:lvl w:ilvl="3" w:tplc="B9A8D880" w:tentative="1">
      <w:start w:val="1"/>
      <w:numFmt w:val="bullet"/>
      <w:lvlText w:val="•"/>
      <w:lvlJc w:val="left"/>
      <w:pPr>
        <w:tabs>
          <w:tab w:val="num" w:pos="2880"/>
        </w:tabs>
        <w:ind w:left="2880" w:hanging="360"/>
      </w:pPr>
      <w:rPr>
        <w:rFonts w:ascii="Arial" w:hAnsi="Arial" w:hint="default"/>
      </w:rPr>
    </w:lvl>
    <w:lvl w:ilvl="4" w:tplc="3258D99A" w:tentative="1">
      <w:start w:val="1"/>
      <w:numFmt w:val="bullet"/>
      <w:lvlText w:val="•"/>
      <w:lvlJc w:val="left"/>
      <w:pPr>
        <w:tabs>
          <w:tab w:val="num" w:pos="3600"/>
        </w:tabs>
        <w:ind w:left="3600" w:hanging="360"/>
      </w:pPr>
      <w:rPr>
        <w:rFonts w:ascii="Arial" w:hAnsi="Arial" w:hint="default"/>
      </w:rPr>
    </w:lvl>
    <w:lvl w:ilvl="5" w:tplc="94CE4406" w:tentative="1">
      <w:start w:val="1"/>
      <w:numFmt w:val="bullet"/>
      <w:lvlText w:val="•"/>
      <w:lvlJc w:val="left"/>
      <w:pPr>
        <w:tabs>
          <w:tab w:val="num" w:pos="4320"/>
        </w:tabs>
        <w:ind w:left="4320" w:hanging="360"/>
      </w:pPr>
      <w:rPr>
        <w:rFonts w:ascii="Arial" w:hAnsi="Arial" w:hint="default"/>
      </w:rPr>
    </w:lvl>
    <w:lvl w:ilvl="6" w:tplc="EF1E0A84" w:tentative="1">
      <w:start w:val="1"/>
      <w:numFmt w:val="bullet"/>
      <w:lvlText w:val="•"/>
      <w:lvlJc w:val="left"/>
      <w:pPr>
        <w:tabs>
          <w:tab w:val="num" w:pos="5040"/>
        </w:tabs>
        <w:ind w:left="5040" w:hanging="360"/>
      </w:pPr>
      <w:rPr>
        <w:rFonts w:ascii="Arial" w:hAnsi="Arial" w:hint="default"/>
      </w:rPr>
    </w:lvl>
    <w:lvl w:ilvl="7" w:tplc="DD4A09A8" w:tentative="1">
      <w:start w:val="1"/>
      <w:numFmt w:val="bullet"/>
      <w:lvlText w:val="•"/>
      <w:lvlJc w:val="left"/>
      <w:pPr>
        <w:tabs>
          <w:tab w:val="num" w:pos="5760"/>
        </w:tabs>
        <w:ind w:left="5760" w:hanging="360"/>
      </w:pPr>
      <w:rPr>
        <w:rFonts w:ascii="Arial" w:hAnsi="Arial" w:hint="default"/>
      </w:rPr>
    </w:lvl>
    <w:lvl w:ilvl="8" w:tplc="EDE406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1B633BB"/>
    <w:multiLevelType w:val="hybridMultilevel"/>
    <w:tmpl w:val="51B60218"/>
    <w:lvl w:ilvl="0" w:tplc="061E1754">
      <w:start w:val="10"/>
      <w:numFmt w:val="bullet"/>
      <w:lvlText w:val="-"/>
      <w:lvlJc w:val="left"/>
      <w:pPr>
        <w:ind w:left="720" w:hanging="360"/>
      </w:pPr>
      <w:rPr>
        <w:rFonts w:ascii="Calibri" w:eastAsia="Times New Roman"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3CB"/>
    <w:rsid w:val="00002E91"/>
    <w:rsid w:val="00012323"/>
    <w:rsid w:val="0001662F"/>
    <w:rsid w:val="00027C32"/>
    <w:rsid w:val="00031D75"/>
    <w:rsid w:val="00056353"/>
    <w:rsid w:val="00081F77"/>
    <w:rsid w:val="00083E25"/>
    <w:rsid w:val="00092496"/>
    <w:rsid w:val="000A152D"/>
    <w:rsid w:val="000A3FC2"/>
    <w:rsid w:val="000A5DEC"/>
    <w:rsid w:val="000A7290"/>
    <w:rsid w:val="000C6744"/>
    <w:rsid w:val="000D256B"/>
    <w:rsid w:val="000E245D"/>
    <w:rsid w:val="00105BBB"/>
    <w:rsid w:val="00106CDD"/>
    <w:rsid w:val="00111DB6"/>
    <w:rsid w:val="001163F2"/>
    <w:rsid w:val="0012248D"/>
    <w:rsid w:val="00142BDF"/>
    <w:rsid w:val="0016041C"/>
    <w:rsid w:val="00195CA2"/>
    <w:rsid w:val="0019621E"/>
    <w:rsid w:val="001A09D1"/>
    <w:rsid w:val="001A587D"/>
    <w:rsid w:val="001B38C6"/>
    <w:rsid w:val="001C7C6A"/>
    <w:rsid w:val="001D6421"/>
    <w:rsid w:val="001E30B5"/>
    <w:rsid w:val="001E7551"/>
    <w:rsid w:val="001F3806"/>
    <w:rsid w:val="001F3CFA"/>
    <w:rsid w:val="001F63C3"/>
    <w:rsid w:val="001F7BB8"/>
    <w:rsid w:val="00237534"/>
    <w:rsid w:val="002A4627"/>
    <w:rsid w:val="002C4673"/>
    <w:rsid w:val="002D263B"/>
    <w:rsid w:val="002D5FF1"/>
    <w:rsid w:val="002F67D6"/>
    <w:rsid w:val="00315BFA"/>
    <w:rsid w:val="00347A57"/>
    <w:rsid w:val="00350FEA"/>
    <w:rsid w:val="003679FE"/>
    <w:rsid w:val="00371867"/>
    <w:rsid w:val="003765F6"/>
    <w:rsid w:val="00380424"/>
    <w:rsid w:val="003A52D1"/>
    <w:rsid w:val="003C12D4"/>
    <w:rsid w:val="003D3610"/>
    <w:rsid w:val="003D3A14"/>
    <w:rsid w:val="003E785E"/>
    <w:rsid w:val="003F1C9B"/>
    <w:rsid w:val="003F2DCC"/>
    <w:rsid w:val="003F6920"/>
    <w:rsid w:val="00423E65"/>
    <w:rsid w:val="00434D30"/>
    <w:rsid w:val="004534C8"/>
    <w:rsid w:val="00465E5A"/>
    <w:rsid w:val="00472584"/>
    <w:rsid w:val="00476645"/>
    <w:rsid w:val="00487845"/>
    <w:rsid w:val="00497F75"/>
    <w:rsid w:val="004B0C9F"/>
    <w:rsid w:val="004C03AD"/>
    <w:rsid w:val="004D5F4B"/>
    <w:rsid w:val="004D668D"/>
    <w:rsid w:val="004E5606"/>
    <w:rsid w:val="00517AEA"/>
    <w:rsid w:val="00530BCE"/>
    <w:rsid w:val="005458FF"/>
    <w:rsid w:val="00575D42"/>
    <w:rsid w:val="00581D3A"/>
    <w:rsid w:val="00582A89"/>
    <w:rsid w:val="00593B2B"/>
    <w:rsid w:val="005A073E"/>
    <w:rsid w:val="005A0E30"/>
    <w:rsid w:val="005B28FB"/>
    <w:rsid w:val="005B7944"/>
    <w:rsid w:val="005C1AB8"/>
    <w:rsid w:val="005C2424"/>
    <w:rsid w:val="005D17F8"/>
    <w:rsid w:val="005D26C9"/>
    <w:rsid w:val="005E1EC1"/>
    <w:rsid w:val="005E226E"/>
    <w:rsid w:val="005E4D78"/>
    <w:rsid w:val="005E6D14"/>
    <w:rsid w:val="005F7484"/>
    <w:rsid w:val="006149B5"/>
    <w:rsid w:val="006359EA"/>
    <w:rsid w:val="00635ABC"/>
    <w:rsid w:val="00642267"/>
    <w:rsid w:val="00643379"/>
    <w:rsid w:val="006602B9"/>
    <w:rsid w:val="006730AD"/>
    <w:rsid w:val="00685DD4"/>
    <w:rsid w:val="006957BA"/>
    <w:rsid w:val="006B2B9B"/>
    <w:rsid w:val="006B5F8A"/>
    <w:rsid w:val="006C4FEE"/>
    <w:rsid w:val="006D074C"/>
    <w:rsid w:val="006D07E2"/>
    <w:rsid w:val="006D3DE2"/>
    <w:rsid w:val="006D5A89"/>
    <w:rsid w:val="007144CE"/>
    <w:rsid w:val="00733E95"/>
    <w:rsid w:val="00736CE4"/>
    <w:rsid w:val="00737F39"/>
    <w:rsid w:val="007631C1"/>
    <w:rsid w:val="00765097"/>
    <w:rsid w:val="00784802"/>
    <w:rsid w:val="00786045"/>
    <w:rsid w:val="007A0175"/>
    <w:rsid w:val="007A0AB5"/>
    <w:rsid w:val="007C2B4A"/>
    <w:rsid w:val="007F6BCB"/>
    <w:rsid w:val="0080731C"/>
    <w:rsid w:val="0081412B"/>
    <w:rsid w:val="00826B88"/>
    <w:rsid w:val="00830E29"/>
    <w:rsid w:val="0084094F"/>
    <w:rsid w:val="00845BD9"/>
    <w:rsid w:val="0087081C"/>
    <w:rsid w:val="00877BBD"/>
    <w:rsid w:val="008867FB"/>
    <w:rsid w:val="008927CD"/>
    <w:rsid w:val="008B45C2"/>
    <w:rsid w:val="008C2E7B"/>
    <w:rsid w:val="008C3D3A"/>
    <w:rsid w:val="008F31E3"/>
    <w:rsid w:val="008F48C3"/>
    <w:rsid w:val="0090437A"/>
    <w:rsid w:val="00912F58"/>
    <w:rsid w:val="009179AB"/>
    <w:rsid w:val="00917E1F"/>
    <w:rsid w:val="009363AA"/>
    <w:rsid w:val="00945002"/>
    <w:rsid w:val="00953BF3"/>
    <w:rsid w:val="00970B33"/>
    <w:rsid w:val="009A7994"/>
    <w:rsid w:val="009B7636"/>
    <w:rsid w:val="009C6529"/>
    <w:rsid w:val="009D5F8A"/>
    <w:rsid w:val="009D6360"/>
    <w:rsid w:val="009E4D51"/>
    <w:rsid w:val="009F276D"/>
    <w:rsid w:val="009F6414"/>
    <w:rsid w:val="00A04266"/>
    <w:rsid w:val="00A048AA"/>
    <w:rsid w:val="00A14B10"/>
    <w:rsid w:val="00A16F99"/>
    <w:rsid w:val="00A20A02"/>
    <w:rsid w:val="00A27D86"/>
    <w:rsid w:val="00A3123C"/>
    <w:rsid w:val="00A5335E"/>
    <w:rsid w:val="00A56226"/>
    <w:rsid w:val="00A668A9"/>
    <w:rsid w:val="00A67DE0"/>
    <w:rsid w:val="00A76846"/>
    <w:rsid w:val="00A964CB"/>
    <w:rsid w:val="00A9752D"/>
    <w:rsid w:val="00AA3DC0"/>
    <w:rsid w:val="00AB008F"/>
    <w:rsid w:val="00AB1860"/>
    <w:rsid w:val="00AC0562"/>
    <w:rsid w:val="00AC63CC"/>
    <w:rsid w:val="00AF01A2"/>
    <w:rsid w:val="00AF071E"/>
    <w:rsid w:val="00AF072C"/>
    <w:rsid w:val="00B04EB4"/>
    <w:rsid w:val="00B43879"/>
    <w:rsid w:val="00B5581A"/>
    <w:rsid w:val="00B710BE"/>
    <w:rsid w:val="00B81919"/>
    <w:rsid w:val="00B84046"/>
    <w:rsid w:val="00B9709A"/>
    <w:rsid w:val="00BB54E0"/>
    <w:rsid w:val="00BC31BB"/>
    <w:rsid w:val="00BD75DA"/>
    <w:rsid w:val="00BE03B4"/>
    <w:rsid w:val="00BF3BCD"/>
    <w:rsid w:val="00BF630F"/>
    <w:rsid w:val="00C01926"/>
    <w:rsid w:val="00C038A8"/>
    <w:rsid w:val="00C10799"/>
    <w:rsid w:val="00C14A0C"/>
    <w:rsid w:val="00C23FBC"/>
    <w:rsid w:val="00C7710D"/>
    <w:rsid w:val="00C81011"/>
    <w:rsid w:val="00C817E4"/>
    <w:rsid w:val="00CC2B5F"/>
    <w:rsid w:val="00CE4312"/>
    <w:rsid w:val="00CE70FA"/>
    <w:rsid w:val="00CF0EB9"/>
    <w:rsid w:val="00D01A60"/>
    <w:rsid w:val="00D02DA6"/>
    <w:rsid w:val="00D056ED"/>
    <w:rsid w:val="00D10EFE"/>
    <w:rsid w:val="00D11C19"/>
    <w:rsid w:val="00D165F3"/>
    <w:rsid w:val="00D577D5"/>
    <w:rsid w:val="00D62B9A"/>
    <w:rsid w:val="00D64CC2"/>
    <w:rsid w:val="00DA36AB"/>
    <w:rsid w:val="00DB1C0A"/>
    <w:rsid w:val="00DC5F63"/>
    <w:rsid w:val="00DD72F3"/>
    <w:rsid w:val="00E01120"/>
    <w:rsid w:val="00E20308"/>
    <w:rsid w:val="00E23FAF"/>
    <w:rsid w:val="00E26675"/>
    <w:rsid w:val="00E47730"/>
    <w:rsid w:val="00E67508"/>
    <w:rsid w:val="00E802EA"/>
    <w:rsid w:val="00E87412"/>
    <w:rsid w:val="00F00521"/>
    <w:rsid w:val="00F0267B"/>
    <w:rsid w:val="00F11AA6"/>
    <w:rsid w:val="00F12E69"/>
    <w:rsid w:val="00F34B0F"/>
    <w:rsid w:val="00F45E7D"/>
    <w:rsid w:val="00F54BDF"/>
    <w:rsid w:val="00F5670F"/>
    <w:rsid w:val="00F639C3"/>
    <w:rsid w:val="00F64493"/>
    <w:rsid w:val="00F759FD"/>
    <w:rsid w:val="00F777EC"/>
    <w:rsid w:val="00F86502"/>
    <w:rsid w:val="00FB1367"/>
    <w:rsid w:val="00FC2A8A"/>
    <w:rsid w:val="00FC522A"/>
    <w:rsid w:val="00FE344D"/>
    <w:rsid w:val="00FF13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E0DE0"/>
  <w15:chartTrackingRefBased/>
  <w15:docId w15:val="{2519A5C4-7CA6-45B3-98D5-38854A5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E23FAF"/>
    <w:pPr>
      <w:spacing w:line="276" w:lineRule="auto"/>
      <w:jc w:val="both"/>
      <w:outlineLvl w:val="0"/>
    </w:pPr>
    <w:rPr>
      <w:rFonts w:ascii="Maiandra GD" w:hAnsi="Maiandra GD"/>
      <w:b/>
      <w:bCs/>
      <w:color w:val="002060"/>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081F77"/>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customStyle="1" w:styleId="SingleTxtGChar">
    <w:name w:val="_ Single Txt_G Char"/>
    <w:link w:val="SingleTxtG"/>
    <w:rsid w:val="00081F77"/>
    <w:rPr>
      <w:rFonts w:ascii="Times New Roman" w:hAnsi="Times New Roman" w:cs="Times New Roman"/>
      <w:sz w:val="20"/>
      <w:szCs w:val="20"/>
      <w:lang w:val="fr-CH"/>
    </w:rPr>
  </w:style>
  <w:style w:type="paragraph" w:styleId="Notedebasdepage">
    <w:name w:val="footnote text"/>
    <w:aliases w:val="FOOTNOTES,fn,single space,Footnote Text1,Fodnotetekst Tegn,footnote text Char,Fodnotetekst Tegn Char,single space Char,footnote text Char Char Char,Fodnotetekst Tegn Char1,single space Char1,footnote text Char Char1,f,Geneva 9,Texto"/>
    <w:basedOn w:val="Normal"/>
    <w:link w:val="NotedebasdepageCar"/>
    <w:semiHidden/>
    <w:unhideWhenUsed/>
    <w:qFormat/>
    <w:rsid w:val="006D07E2"/>
    <w:pPr>
      <w:spacing w:after="0" w:line="240" w:lineRule="auto"/>
    </w:pPr>
    <w:rPr>
      <w:rFonts w:ascii="Times New Roman" w:hAnsi="Times New Roman" w:cs="Times New Roman"/>
      <w:sz w:val="20"/>
      <w:szCs w:val="20"/>
    </w:rPr>
  </w:style>
  <w:style w:type="character" w:customStyle="1" w:styleId="NotedebasdepageCar">
    <w:name w:val="Note de bas de page Car"/>
    <w:aliases w:val="FOOTNOTES Car,fn Car,single space Car,Footnote Text1 Car,Fodnotetekst Tegn Car,footnote text Char Car,Fodnotetekst Tegn Char Car,single space Char Car,footnote text Char Char Char Car,Fodnotetekst Tegn Char1 Car,f Car,Texto Car"/>
    <w:basedOn w:val="Policepardfaut"/>
    <w:link w:val="Notedebasdepage"/>
    <w:semiHidden/>
    <w:rsid w:val="006D07E2"/>
    <w:rPr>
      <w:rFonts w:ascii="Times New Roman" w:hAnsi="Times New Roman" w:cs="Times New Roman"/>
      <w:sz w:val="20"/>
      <w:szCs w:val="20"/>
    </w:rPr>
  </w:style>
  <w:style w:type="character" w:styleId="Appelnotedebasdep">
    <w:name w:val="footnote reference"/>
    <w:aliases w:val="16 Point,Superscript 6 Point,ftref,Ref. de nota al pie.,Char Char,Carattere Char1,Carattere Char Char Carattere Carattere Char Char,Footnote text,Ref,note bp"/>
    <w:basedOn w:val="Policepardfaut"/>
    <w:link w:val="BVIfnrCarCarCarCarChar"/>
    <w:uiPriority w:val="99"/>
    <w:unhideWhenUsed/>
    <w:rsid w:val="006D07E2"/>
    <w:rPr>
      <w:vertAlign w:val="superscript"/>
    </w:rPr>
  </w:style>
  <w:style w:type="character" w:styleId="Lienhypertexte">
    <w:name w:val="Hyperlink"/>
    <w:basedOn w:val="Policepardfaut"/>
    <w:uiPriority w:val="99"/>
    <w:unhideWhenUsed/>
    <w:rsid w:val="006D07E2"/>
    <w:rPr>
      <w:color w:val="0563C1" w:themeColor="hyperlink"/>
      <w:u w:val="single"/>
    </w:rPr>
  </w:style>
  <w:style w:type="paragraph" w:customStyle="1" w:styleId="BVIfnrCarCarCarCarChar">
    <w:name w:val="BVI fnr Car Car Car Car Char"/>
    <w:basedOn w:val="Normal"/>
    <w:link w:val="Appelnotedebasdep"/>
    <w:uiPriority w:val="99"/>
    <w:rsid w:val="006D07E2"/>
    <w:pPr>
      <w:spacing w:line="240" w:lineRule="exact"/>
    </w:pPr>
    <w:rPr>
      <w:vertAlign w:val="superscript"/>
    </w:rPr>
  </w:style>
  <w:style w:type="paragraph" w:customStyle="1" w:styleId="H23G">
    <w:name w:val="_ H_2/3_G"/>
    <w:basedOn w:val="Normal"/>
    <w:next w:val="Normal"/>
    <w:link w:val="H23GChar"/>
    <w:qFormat/>
    <w:rsid w:val="007A0175"/>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lang w:val="fr-CH"/>
    </w:rPr>
  </w:style>
  <w:style w:type="character" w:customStyle="1" w:styleId="H23GChar">
    <w:name w:val="_ H_2/3_G Char"/>
    <w:link w:val="H23G"/>
    <w:locked/>
    <w:rsid w:val="007A0175"/>
    <w:rPr>
      <w:rFonts w:ascii="Times New Roman" w:hAnsi="Times New Roman" w:cs="Times New Roman"/>
      <w:b/>
      <w:sz w:val="20"/>
      <w:szCs w:val="20"/>
      <w:lang w:val="fr-CH"/>
    </w:rPr>
  </w:style>
  <w:style w:type="paragraph" w:styleId="Paragraphedeliste">
    <w:name w:val="List Paragraph"/>
    <w:aliases w:val="- List tir,liste 1,puce 1,Puces,Titre1,Paragraphe à Puce,Bullets,Paragraphe de liste1"/>
    <w:basedOn w:val="Normal"/>
    <w:link w:val="ParagraphedelisteCar"/>
    <w:uiPriority w:val="34"/>
    <w:qFormat/>
    <w:rsid w:val="007A0175"/>
    <w:pPr>
      <w:ind w:left="720"/>
      <w:contextualSpacing/>
    </w:pPr>
    <w:rPr>
      <w:rFonts w:ascii="Times New Roman" w:hAnsi="Times New Roman" w:cs="Times New Roman"/>
      <w:sz w:val="24"/>
      <w:szCs w:val="24"/>
    </w:rPr>
  </w:style>
  <w:style w:type="character" w:customStyle="1" w:styleId="Titre1Car">
    <w:name w:val="Titre 1 Car"/>
    <w:basedOn w:val="Policepardfaut"/>
    <w:link w:val="Titre1"/>
    <w:uiPriority w:val="9"/>
    <w:rsid w:val="00E23FAF"/>
    <w:rPr>
      <w:rFonts w:ascii="Maiandra GD" w:hAnsi="Maiandra GD"/>
      <w:b/>
      <w:bCs/>
      <w:color w:val="002060"/>
      <w:sz w:val="24"/>
      <w:szCs w:val="24"/>
    </w:rPr>
  </w:style>
  <w:style w:type="character" w:customStyle="1" w:styleId="Mentionnonrsolue1">
    <w:name w:val="Mention non résolue1"/>
    <w:basedOn w:val="Policepardfaut"/>
    <w:uiPriority w:val="99"/>
    <w:semiHidden/>
    <w:unhideWhenUsed/>
    <w:rsid w:val="005D17F8"/>
    <w:rPr>
      <w:color w:val="605E5C"/>
      <w:shd w:val="clear" w:color="auto" w:fill="E1DFDD"/>
    </w:rPr>
  </w:style>
  <w:style w:type="paragraph" w:styleId="Textedebulles">
    <w:name w:val="Balloon Text"/>
    <w:basedOn w:val="Normal"/>
    <w:link w:val="TextedebullesCar"/>
    <w:uiPriority w:val="99"/>
    <w:semiHidden/>
    <w:unhideWhenUsed/>
    <w:rsid w:val="006359EA"/>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6359EA"/>
    <w:rPr>
      <w:rFonts w:ascii="Times New Roman" w:hAnsi="Times New Roman" w:cs="Times New Roman"/>
      <w:sz w:val="18"/>
      <w:szCs w:val="18"/>
    </w:rPr>
  </w:style>
  <w:style w:type="character" w:styleId="Marquedecommentaire">
    <w:name w:val="annotation reference"/>
    <w:basedOn w:val="Policepardfaut"/>
    <w:uiPriority w:val="99"/>
    <w:semiHidden/>
    <w:unhideWhenUsed/>
    <w:rsid w:val="006B5F8A"/>
    <w:rPr>
      <w:sz w:val="16"/>
      <w:szCs w:val="16"/>
    </w:rPr>
  </w:style>
  <w:style w:type="paragraph" w:styleId="Commentaire">
    <w:name w:val="annotation text"/>
    <w:basedOn w:val="Normal"/>
    <w:link w:val="CommentaireCar"/>
    <w:uiPriority w:val="99"/>
    <w:semiHidden/>
    <w:unhideWhenUsed/>
    <w:rsid w:val="006B5F8A"/>
    <w:pPr>
      <w:spacing w:line="240" w:lineRule="auto"/>
    </w:pPr>
    <w:rPr>
      <w:sz w:val="20"/>
      <w:szCs w:val="20"/>
    </w:rPr>
  </w:style>
  <w:style w:type="character" w:customStyle="1" w:styleId="CommentaireCar">
    <w:name w:val="Commentaire Car"/>
    <w:basedOn w:val="Policepardfaut"/>
    <w:link w:val="Commentaire"/>
    <w:uiPriority w:val="99"/>
    <w:semiHidden/>
    <w:rsid w:val="006B5F8A"/>
    <w:rPr>
      <w:sz w:val="20"/>
      <w:szCs w:val="20"/>
    </w:rPr>
  </w:style>
  <w:style w:type="paragraph" w:styleId="Objetducommentaire">
    <w:name w:val="annotation subject"/>
    <w:basedOn w:val="Commentaire"/>
    <w:next w:val="Commentaire"/>
    <w:link w:val="ObjetducommentaireCar"/>
    <w:uiPriority w:val="99"/>
    <w:semiHidden/>
    <w:unhideWhenUsed/>
    <w:rsid w:val="006B5F8A"/>
    <w:rPr>
      <w:b/>
      <w:bCs/>
    </w:rPr>
  </w:style>
  <w:style w:type="character" w:customStyle="1" w:styleId="ObjetducommentaireCar">
    <w:name w:val="Objet du commentaire Car"/>
    <w:basedOn w:val="CommentaireCar"/>
    <w:link w:val="Objetducommentaire"/>
    <w:uiPriority w:val="99"/>
    <w:semiHidden/>
    <w:rsid w:val="006B5F8A"/>
    <w:rPr>
      <w:b/>
      <w:bCs/>
      <w:sz w:val="20"/>
      <w:szCs w:val="20"/>
    </w:rPr>
  </w:style>
  <w:style w:type="paragraph" w:customStyle="1" w:styleId="Default">
    <w:name w:val="Default"/>
    <w:rsid w:val="00E2030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aragraphedelisteCar">
    <w:name w:val="Paragraphe de liste Car"/>
    <w:aliases w:val="- List tir Car,liste 1 Car,puce 1 Car,Puces Car,Titre1 Car,Paragraphe à Puce Car,Bullets Car,Paragraphe de liste1 Car"/>
    <w:link w:val="Paragraphedeliste"/>
    <w:uiPriority w:val="34"/>
    <w:locked/>
    <w:rsid w:val="008F31E3"/>
    <w:rPr>
      <w:rFonts w:ascii="Times New Roman" w:hAnsi="Times New Roman" w:cs="Times New Roman"/>
      <w:sz w:val="24"/>
      <w:szCs w:val="24"/>
    </w:rPr>
  </w:style>
  <w:style w:type="paragraph" w:styleId="En-ttedetabledesmatires">
    <w:name w:val="TOC Heading"/>
    <w:basedOn w:val="Titre1"/>
    <w:next w:val="Normal"/>
    <w:uiPriority w:val="39"/>
    <w:unhideWhenUsed/>
    <w:qFormat/>
    <w:rsid w:val="00E23FAF"/>
    <w:pPr>
      <w:keepNext/>
      <w:keepLines/>
      <w:spacing w:before="480" w:after="0"/>
      <w:jc w:val="left"/>
      <w:outlineLvl w:val="9"/>
    </w:pPr>
    <w:rPr>
      <w:rFonts w:asciiTheme="majorHAnsi" w:eastAsiaTheme="majorEastAsia" w:hAnsiTheme="majorHAnsi" w:cstheme="majorBidi"/>
      <w:color w:val="2F5496" w:themeColor="accent1" w:themeShade="BF"/>
      <w:sz w:val="28"/>
      <w:szCs w:val="28"/>
      <w:lang w:val="en-US"/>
    </w:rPr>
  </w:style>
  <w:style w:type="paragraph" w:styleId="TM1">
    <w:name w:val="toc 1"/>
    <w:basedOn w:val="Normal"/>
    <w:next w:val="Normal"/>
    <w:autoRedefine/>
    <w:uiPriority w:val="39"/>
    <w:unhideWhenUsed/>
    <w:rsid w:val="00E23FAF"/>
    <w:pPr>
      <w:spacing w:before="120" w:after="0"/>
    </w:pPr>
    <w:rPr>
      <w:b/>
      <w:bCs/>
      <w:i/>
      <w:iCs/>
      <w:sz w:val="24"/>
      <w:szCs w:val="24"/>
    </w:rPr>
  </w:style>
  <w:style w:type="paragraph" w:styleId="TM2">
    <w:name w:val="toc 2"/>
    <w:basedOn w:val="Normal"/>
    <w:next w:val="Normal"/>
    <w:autoRedefine/>
    <w:uiPriority w:val="39"/>
    <w:semiHidden/>
    <w:unhideWhenUsed/>
    <w:rsid w:val="00E23FAF"/>
    <w:pPr>
      <w:spacing w:before="120" w:after="0"/>
      <w:ind w:left="220"/>
    </w:pPr>
    <w:rPr>
      <w:b/>
      <w:bCs/>
    </w:rPr>
  </w:style>
  <w:style w:type="paragraph" w:styleId="TM3">
    <w:name w:val="toc 3"/>
    <w:basedOn w:val="Normal"/>
    <w:next w:val="Normal"/>
    <w:autoRedefine/>
    <w:uiPriority w:val="39"/>
    <w:semiHidden/>
    <w:unhideWhenUsed/>
    <w:rsid w:val="00E23FAF"/>
    <w:pPr>
      <w:spacing w:after="0"/>
      <w:ind w:left="440"/>
    </w:pPr>
    <w:rPr>
      <w:sz w:val="20"/>
      <w:szCs w:val="20"/>
    </w:rPr>
  </w:style>
  <w:style w:type="paragraph" w:styleId="TM4">
    <w:name w:val="toc 4"/>
    <w:basedOn w:val="Normal"/>
    <w:next w:val="Normal"/>
    <w:autoRedefine/>
    <w:uiPriority w:val="39"/>
    <w:semiHidden/>
    <w:unhideWhenUsed/>
    <w:rsid w:val="00E23FAF"/>
    <w:pPr>
      <w:spacing w:after="0"/>
      <w:ind w:left="660"/>
    </w:pPr>
    <w:rPr>
      <w:sz w:val="20"/>
      <w:szCs w:val="20"/>
    </w:rPr>
  </w:style>
  <w:style w:type="paragraph" w:styleId="TM5">
    <w:name w:val="toc 5"/>
    <w:basedOn w:val="Normal"/>
    <w:next w:val="Normal"/>
    <w:autoRedefine/>
    <w:uiPriority w:val="39"/>
    <w:semiHidden/>
    <w:unhideWhenUsed/>
    <w:rsid w:val="00E23FAF"/>
    <w:pPr>
      <w:spacing w:after="0"/>
      <w:ind w:left="880"/>
    </w:pPr>
    <w:rPr>
      <w:sz w:val="20"/>
      <w:szCs w:val="20"/>
    </w:rPr>
  </w:style>
  <w:style w:type="paragraph" w:styleId="TM6">
    <w:name w:val="toc 6"/>
    <w:basedOn w:val="Normal"/>
    <w:next w:val="Normal"/>
    <w:autoRedefine/>
    <w:uiPriority w:val="39"/>
    <w:semiHidden/>
    <w:unhideWhenUsed/>
    <w:rsid w:val="00E23FAF"/>
    <w:pPr>
      <w:spacing w:after="0"/>
      <w:ind w:left="1100"/>
    </w:pPr>
    <w:rPr>
      <w:sz w:val="20"/>
      <w:szCs w:val="20"/>
    </w:rPr>
  </w:style>
  <w:style w:type="paragraph" w:styleId="TM7">
    <w:name w:val="toc 7"/>
    <w:basedOn w:val="Normal"/>
    <w:next w:val="Normal"/>
    <w:autoRedefine/>
    <w:uiPriority w:val="39"/>
    <w:semiHidden/>
    <w:unhideWhenUsed/>
    <w:rsid w:val="00E23FAF"/>
    <w:pPr>
      <w:spacing w:after="0"/>
      <w:ind w:left="1320"/>
    </w:pPr>
    <w:rPr>
      <w:sz w:val="20"/>
      <w:szCs w:val="20"/>
    </w:rPr>
  </w:style>
  <w:style w:type="paragraph" w:styleId="TM8">
    <w:name w:val="toc 8"/>
    <w:basedOn w:val="Normal"/>
    <w:next w:val="Normal"/>
    <w:autoRedefine/>
    <w:uiPriority w:val="39"/>
    <w:semiHidden/>
    <w:unhideWhenUsed/>
    <w:rsid w:val="00E23FAF"/>
    <w:pPr>
      <w:spacing w:after="0"/>
      <w:ind w:left="1540"/>
    </w:pPr>
    <w:rPr>
      <w:sz w:val="20"/>
      <w:szCs w:val="20"/>
    </w:rPr>
  </w:style>
  <w:style w:type="paragraph" w:styleId="TM9">
    <w:name w:val="toc 9"/>
    <w:basedOn w:val="Normal"/>
    <w:next w:val="Normal"/>
    <w:autoRedefine/>
    <w:uiPriority w:val="39"/>
    <w:semiHidden/>
    <w:unhideWhenUsed/>
    <w:rsid w:val="00E23FAF"/>
    <w:pPr>
      <w:spacing w:after="0"/>
      <w:ind w:left="1760"/>
    </w:pPr>
    <w:rPr>
      <w:sz w:val="20"/>
      <w:szCs w:val="20"/>
    </w:rPr>
  </w:style>
  <w:style w:type="paragraph" w:styleId="En-tte">
    <w:name w:val="header"/>
    <w:basedOn w:val="Normal"/>
    <w:link w:val="En-tteCar"/>
    <w:uiPriority w:val="99"/>
    <w:unhideWhenUsed/>
    <w:rsid w:val="00A5335E"/>
    <w:pPr>
      <w:tabs>
        <w:tab w:val="center" w:pos="4536"/>
        <w:tab w:val="right" w:pos="9072"/>
      </w:tabs>
      <w:spacing w:after="0" w:line="240" w:lineRule="auto"/>
    </w:pPr>
  </w:style>
  <w:style w:type="character" w:customStyle="1" w:styleId="En-tteCar">
    <w:name w:val="En-tête Car"/>
    <w:basedOn w:val="Policepardfaut"/>
    <w:link w:val="En-tte"/>
    <w:uiPriority w:val="99"/>
    <w:rsid w:val="00A5335E"/>
  </w:style>
  <w:style w:type="paragraph" w:styleId="Pieddepage">
    <w:name w:val="footer"/>
    <w:basedOn w:val="Normal"/>
    <w:link w:val="PieddepageCar"/>
    <w:uiPriority w:val="99"/>
    <w:unhideWhenUsed/>
    <w:rsid w:val="00A5335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53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3318378">
      <w:bodyDiv w:val="1"/>
      <w:marLeft w:val="0"/>
      <w:marRight w:val="0"/>
      <w:marTop w:val="0"/>
      <w:marBottom w:val="0"/>
      <w:divBdr>
        <w:top w:val="none" w:sz="0" w:space="0" w:color="auto"/>
        <w:left w:val="none" w:sz="0" w:space="0" w:color="auto"/>
        <w:bottom w:val="none" w:sz="0" w:space="0" w:color="auto"/>
        <w:right w:val="none" w:sz="0" w:space="0" w:color="auto"/>
      </w:divBdr>
      <w:divsChild>
        <w:div w:id="1897350257">
          <w:marLeft w:val="360"/>
          <w:marRight w:val="0"/>
          <w:marTop w:val="240"/>
          <w:marBottom w:val="120"/>
          <w:divBdr>
            <w:top w:val="none" w:sz="0" w:space="0" w:color="auto"/>
            <w:left w:val="none" w:sz="0" w:space="0" w:color="auto"/>
            <w:bottom w:val="none" w:sz="0" w:space="0" w:color="auto"/>
            <w:right w:val="none" w:sz="0" w:space="0" w:color="auto"/>
          </w:divBdr>
        </w:div>
        <w:div w:id="958755421">
          <w:marLeft w:val="360"/>
          <w:marRight w:val="0"/>
          <w:marTop w:val="240"/>
          <w:marBottom w:val="120"/>
          <w:divBdr>
            <w:top w:val="none" w:sz="0" w:space="0" w:color="auto"/>
            <w:left w:val="none" w:sz="0" w:space="0" w:color="auto"/>
            <w:bottom w:val="none" w:sz="0" w:space="0" w:color="auto"/>
            <w:right w:val="none" w:sz="0" w:space="0" w:color="auto"/>
          </w:divBdr>
        </w:div>
      </w:divsChild>
    </w:div>
    <w:div w:id="2126265121">
      <w:bodyDiv w:val="1"/>
      <w:marLeft w:val="0"/>
      <w:marRight w:val="0"/>
      <w:marTop w:val="0"/>
      <w:marBottom w:val="0"/>
      <w:divBdr>
        <w:top w:val="none" w:sz="0" w:space="0" w:color="auto"/>
        <w:left w:val="none" w:sz="0" w:space="0" w:color="auto"/>
        <w:bottom w:val="none" w:sz="0" w:space="0" w:color="auto"/>
        <w:right w:val="none" w:sz="0" w:space="0" w:color="auto"/>
      </w:divBdr>
      <w:divsChild>
        <w:div w:id="1828933109">
          <w:marLeft w:val="0"/>
          <w:marRight w:val="0"/>
          <w:marTop w:val="0"/>
          <w:marBottom w:val="0"/>
          <w:divBdr>
            <w:top w:val="none" w:sz="0" w:space="0" w:color="auto"/>
            <w:left w:val="none" w:sz="0" w:space="0" w:color="auto"/>
            <w:bottom w:val="none" w:sz="0" w:space="0" w:color="auto"/>
            <w:right w:val="none" w:sz="0" w:space="0" w:color="auto"/>
          </w:divBdr>
          <w:divsChild>
            <w:div w:id="1127504331">
              <w:marLeft w:val="0"/>
              <w:marRight w:val="0"/>
              <w:marTop w:val="0"/>
              <w:marBottom w:val="0"/>
              <w:divBdr>
                <w:top w:val="none" w:sz="0" w:space="0" w:color="auto"/>
                <w:left w:val="none" w:sz="0" w:space="23" w:color="F2F2F2"/>
                <w:bottom w:val="single" w:sz="6" w:space="0" w:color="F2F2F2"/>
                <w:right w:val="none" w:sz="0" w:space="23" w:color="F2F2F2"/>
              </w:divBdr>
              <w:divsChild>
                <w:div w:id="578247271">
                  <w:marLeft w:val="0"/>
                  <w:marRight w:val="0"/>
                  <w:marTop w:val="0"/>
                  <w:marBottom w:val="0"/>
                  <w:divBdr>
                    <w:top w:val="none" w:sz="0" w:space="0" w:color="auto"/>
                    <w:left w:val="none" w:sz="0" w:space="0" w:color="auto"/>
                    <w:bottom w:val="none" w:sz="0" w:space="0" w:color="auto"/>
                    <w:right w:val="none" w:sz="0" w:space="0" w:color="auto"/>
                  </w:divBdr>
                  <w:divsChild>
                    <w:div w:id="570387101">
                      <w:marLeft w:val="0"/>
                      <w:marRight w:val="0"/>
                      <w:marTop w:val="0"/>
                      <w:marBottom w:val="0"/>
                      <w:divBdr>
                        <w:top w:val="none" w:sz="0" w:space="0" w:color="auto"/>
                        <w:left w:val="none" w:sz="0" w:space="0" w:color="auto"/>
                        <w:bottom w:val="none" w:sz="0" w:space="0" w:color="auto"/>
                        <w:right w:val="none" w:sz="0" w:space="0" w:color="auto"/>
                      </w:divBdr>
                      <w:divsChild>
                        <w:div w:id="20381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sante.gouv.bj/IMG/pdf/update_presentation_cybersante_benin_pour_le_ministre_de_la_sante.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592F3B-31C1-4ECB-86F9-7B789F0E4364}">
  <ds:schemaRefs>
    <ds:schemaRef ds:uri="http://schemas.openxmlformats.org/officeDocument/2006/bibliography"/>
  </ds:schemaRefs>
</ds:datastoreItem>
</file>

<file path=customXml/itemProps2.xml><?xml version="1.0" encoding="utf-8"?>
<ds:datastoreItem xmlns:ds="http://schemas.openxmlformats.org/officeDocument/2006/customXml" ds:itemID="{DD2A408D-E8F9-4AC0-ABC3-00FD28FF6D2E}"/>
</file>

<file path=customXml/itemProps3.xml><?xml version="1.0" encoding="utf-8"?>
<ds:datastoreItem xmlns:ds="http://schemas.openxmlformats.org/officeDocument/2006/customXml" ds:itemID="{EF3FB965-6697-495D-84D4-7399FCD3F966}"/>
</file>

<file path=customXml/itemProps4.xml><?xml version="1.0" encoding="utf-8"?>
<ds:datastoreItem xmlns:ds="http://schemas.openxmlformats.org/officeDocument/2006/customXml" ds:itemID="{F16C20A7-48BB-43FF-B9CD-46203BB83B44}"/>
</file>

<file path=docProps/app.xml><?xml version="1.0" encoding="utf-8"?>
<Properties xmlns="http://schemas.openxmlformats.org/officeDocument/2006/extended-properties" xmlns:vt="http://schemas.openxmlformats.org/officeDocument/2006/docPropsVTypes">
  <Template>Normal.dotm</Template>
  <TotalTime>6</TotalTime>
  <Pages>16</Pages>
  <Words>4447</Words>
  <Characters>24464</Characters>
  <Application>Microsoft Office Word</Application>
  <DocSecurity>0</DocSecurity>
  <Lines>203</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HD</dc:creator>
  <cp:keywords/>
  <dc:description/>
  <cp:lastModifiedBy>HD</cp:lastModifiedBy>
  <cp:revision>3</cp:revision>
  <dcterms:created xsi:type="dcterms:W3CDTF">2020-01-23T15:59:00Z</dcterms:created>
  <dcterms:modified xsi:type="dcterms:W3CDTF">2020-01-23T16:30:00Z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