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6FCA1" w14:textId="77777777" w:rsidR="00247E7E" w:rsidRDefault="00247E7E" w:rsidP="00542CF4">
      <w:pPr>
        <w:tabs>
          <w:tab w:val="left" w:pos="851"/>
        </w:tabs>
        <w:spacing w:before="240" w:after="0" w:line="276" w:lineRule="auto"/>
        <w:jc w:val="center"/>
        <w:rPr>
          <w:rFonts w:ascii="Times New Roman" w:hAnsi="Times New Roman"/>
          <w:b/>
          <w:bCs/>
          <w:sz w:val="24"/>
          <w:szCs w:val="24"/>
        </w:rPr>
      </w:pPr>
      <w:r>
        <w:rPr>
          <w:rFonts w:ascii="Times New Roman" w:hAnsi="Times New Roman"/>
          <w:b/>
          <w:bCs/>
          <w:sz w:val="24"/>
          <w:szCs w:val="24"/>
        </w:rPr>
        <w:t>Defensoría del Pueblo de Ecuador</w:t>
      </w:r>
    </w:p>
    <w:p w14:paraId="78E69097"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4045E478"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545AB3EC"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36B546E4"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636D70B8"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788A1F27"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65DA12FA"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7A16EBBD" w14:textId="77777777" w:rsidR="00247E7E" w:rsidRDefault="00C22597" w:rsidP="00542CF4">
      <w:pPr>
        <w:tabs>
          <w:tab w:val="left" w:pos="851"/>
        </w:tabs>
        <w:spacing w:before="240" w:after="0" w:line="276" w:lineRule="auto"/>
        <w:jc w:val="center"/>
        <w:rPr>
          <w:rFonts w:ascii="Times New Roman" w:hAnsi="Times New Roman"/>
          <w:b/>
          <w:bCs/>
          <w:sz w:val="24"/>
          <w:szCs w:val="24"/>
        </w:rPr>
      </w:pPr>
      <w:r w:rsidRPr="152444DF">
        <w:rPr>
          <w:rFonts w:ascii="Times New Roman" w:hAnsi="Times New Roman"/>
          <w:b/>
          <w:bCs/>
          <w:sz w:val="24"/>
          <w:szCs w:val="24"/>
        </w:rPr>
        <w:t>Informe Alter</w:t>
      </w:r>
      <w:r w:rsidR="00552527" w:rsidRPr="152444DF">
        <w:rPr>
          <w:rFonts w:ascii="Times New Roman" w:hAnsi="Times New Roman"/>
          <w:b/>
          <w:bCs/>
          <w:sz w:val="24"/>
          <w:szCs w:val="24"/>
        </w:rPr>
        <w:t xml:space="preserve">nativo </w:t>
      </w:r>
      <w:r w:rsidR="005A3846" w:rsidRPr="152444DF">
        <w:rPr>
          <w:rFonts w:ascii="Times New Roman" w:hAnsi="Times New Roman"/>
          <w:b/>
          <w:bCs/>
          <w:sz w:val="24"/>
          <w:szCs w:val="24"/>
        </w:rPr>
        <w:t xml:space="preserve">para el Comité para la Eliminación de la Discriminación Racial (CERD) en su 114° sesión </w:t>
      </w:r>
    </w:p>
    <w:p w14:paraId="5C5EB994"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39024FC9"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28BBB6E0"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44637595"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36A2B689"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1B4184B5"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3B8CCC8D"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23900AED" w14:textId="77777777" w:rsidR="00247E7E" w:rsidRDefault="00247E7E" w:rsidP="00542CF4">
      <w:pPr>
        <w:tabs>
          <w:tab w:val="left" w:pos="851"/>
        </w:tabs>
        <w:spacing w:before="240" w:after="0" w:line="276" w:lineRule="auto"/>
        <w:jc w:val="center"/>
        <w:rPr>
          <w:rFonts w:ascii="Times New Roman" w:hAnsi="Times New Roman"/>
          <w:b/>
          <w:bCs/>
          <w:sz w:val="24"/>
          <w:szCs w:val="24"/>
        </w:rPr>
      </w:pPr>
    </w:p>
    <w:p w14:paraId="67FFE76F" w14:textId="77777777" w:rsidR="00247E7E" w:rsidRDefault="00D31F03" w:rsidP="00542CF4">
      <w:pPr>
        <w:tabs>
          <w:tab w:val="left" w:pos="851"/>
        </w:tabs>
        <w:spacing w:before="240" w:after="0" w:line="276" w:lineRule="auto"/>
        <w:jc w:val="center"/>
        <w:rPr>
          <w:rFonts w:ascii="Times New Roman" w:hAnsi="Times New Roman"/>
          <w:b/>
          <w:bCs/>
          <w:sz w:val="24"/>
          <w:szCs w:val="24"/>
        </w:rPr>
      </w:pPr>
      <w:r>
        <w:rPr>
          <w:rFonts w:ascii="Times New Roman" w:hAnsi="Times New Roman"/>
          <w:b/>
          <w:bCs/>
          <w:sz w:val="24"/>
          <w:szCs w:val="24"/>
        </w:rPr>
        <w:t>Octubre</w:t>
      </w:r>
      <w:r w:rsidR="00247E7E" w:rsidRPr="003F2FB8">
        <w:rPr>
          <w:rFonts w:ascii="Times New Roman" w:hAnsi="Times New Roman"/>
          <w:b/>
          <w:bCs/>
          <w:sz w:val="24"/>
          <w:szCs w:val="24"/>
        </w:rPr>
        <w:t>,</w:t>
      </w:r>
      <w:r w:rsidR="00247E7E">
        <w:rPr>
          <w:rFonts w:ascii="Times New Roman" w:hAnsi="Times New Roman"/>
          <w:b/>
          <w:bCs/>
          <w:sz w:val="24"/>
          <w:szCs w:val="24"/>
        </w:rPr>
        <w:t xml:space="preserve"> 202</w:t>
      </w:r>
      <w:r w:rsidR="005A3846">
        <w:rPr>
          <w:rFonts w:ascii="Times New Roman" w:hAnsi="Times New Roman"/>
          <w:b/>
          <w:bCs/>
          <w:sz w:val="24"/>
          <w:szCs w:val="24"/>
        </w:rPr>
        <w:t>4</w:t>
      </w:r>
    </w:p>
    <w:p w14:paraId="5F5E7626" w14:textId="77777777" w:rsidR="00C3740B" w:rsidRDefault="00C3740B" w:rsidP="0006700F">
      <w:pPr>
        <w:spacing w:after="0"/>
        <w:jc w:val="both"/>
        <w:rPr>
          <w:rFonts w:ascii="Times New Roman" w:hAnsi="Times New Roman"/>
          <w:sz w:val="24"/>
          <w:szCs w:val="24"/>
        </w:rPr>
      </w:pPr>
    </w:p>
    <w:p w14:paraId="45E76E10" w14:textId="77777777" w:rsidR="00CE0E19" w:rsidRDefault="00CE0E19" w:rsidP="0006700F">
      <w:pPr>
        <w:spacing w:after="0"/>
        <w:jc w:val="both"/>
        <w:rPr>
          <w:rFonts w:ascii="Times New Roman" w:hAnsi="Times New Roman"/>
          <w:sz w:val="24"/>
          <w:szCs w:val="24"/>
        </w:rPr>
      </w:pPr>
    </w:p>
    <w:p w14:paraId="5A7648FB" w14:textId="77777777" w:rsidR="005A3846" w:rsidRPr="0061583C" w:rsidRDefault="00CE0E19" w:rsidP="00856776">
      <w:pPr>
        <w:spacing w:after="0" w:line="240" w:lineRule="auto"/>
        <w:rPr>
          <w:rFonts w:ascii="Times New Roman" w:hAnsi="Times New Roman"/>
          <w:b/>
          <w:bCs/>
          <w:sz w:val="24"/>
          <w:szCs w:val="24"/>
        </w:rPr>
      </w:pPr>
      <w:r>
        <w:rPr>
          <w:rFonts w:ascii="Times New Roman" w:hAnsi="Times New Roman"/>
          <w:sz w:val="24"/>
          <w:szCs w:val="24"/>
        </w:rPr>
        <w:br w:type="page"/>
      </w:r>
      <w:r w:rsidR="005A3846" w:rsidRPr="301F4835">
        <w:rPr>
          <w:rFonts w:ascii="Times New Roman" w:hAnsi="Times New Roman"/>
          <w:sz w:val="24"/>
          <w:szCs w:val="24"/>
        </w:rPr>
        <w:lastRenderedPageBreak/>
        <w:t>César Marcel Córdova Valverde</w:t>
      </w:r>
    </w:p>
    <w:p w14:paraId="06DAB7FA" w14:textId="77777777" w:rsidR="005A3846" w:rsidRPr="0061583C" w:rsidRDefault="005A3846" w:rsidP="00856776">
      <w:pPr>
        <w:spacing w:after="0" w:line="240" w:lineRule="auto"/>
        <w:rPr>
          <w:rFonts w:ascii="Times New Roman" w:hAnsi="Times New Roman"/>
          <w:b/>
          <w:bCs/>
          <w:sz w:val="24"/>
          <w:szCs w:val="24"/>
        </w:rPr>
      </w:pPr>
      <w:r w:rsidRPr="301F4835">
        <w:rPr>
          <w:rFonts w:ascii="Times New Roman" w:hAnsi="Times New Roman"/>
          <w:b/>
          <w:bCs/>
          <w:sz w:val="24"/>
          <w:szCs w:val="24"/>
        </w:rPr>
        <w:t xml:space="preserve">Defensor del Pueblo de Ecuador encargado </w:t>
      </w:r>
    </w:p>
    <w:p w14:paraId="0FD0AFCA" w14:textId="77777777" w:rsidR="005A3846" w:rsidRDefault="005A3846" w:rsidP="00856776">
      <w:pPr>
        <w:spacing w:after="0" w:line="240" w:lineRule="auto"/>
        <w:rPr>
          <w:rFonts w:ascii="Times New Roman" w:hAnsi="Times New Roman"/>
          <w:bCs/>
          <w:sz w:val="24"/>
          <w:szCs w:val="24"/>
        </w:rPr>
      </w:pPr>
    </w:p>
    <w:p w14:paraId="53F4942D" w14:textId="77777777" w:rsidR="00856776" w:rsidRDefault="00856776" w:rsidP="00856776">
      <w:pPr>
        <w:spacing w:after="0" w:line="240" w:lineRule="auto"/>
        <w:rPr>
          <w:rFonts w:ascii="Times New Roman" w:hAnsi="Times New Roman"/>
          <w:bCs/>
          <w:sz w:val="24"/>
          <w:szCs w:val="24"/>
        </w:rPr>
      </w:pPr>
    </w:p>
    <w:p w14:paraId="68E55A3D" w14:textId="77777777" w:rsidR="005A3846" w:rsidRPr="0061583C" w:rsidRDefault="005A3846" w:rsidP="00856776">
      <w:pPr>
        <w:spacing w:after="0" w:line="240" w:lineRule="auto"/>
        <w:rPr>
          <w:rFonts w:ascii="Times New Roman" w:hAnsi="Times New Roman"/>
          <w:bCs/>
          <w:sz w:val="24"/>
          <w:szCs w:val="24"/>
        </w:rPr>
      </w:pPr>
      <w:r w:rsidRPr="0061583C">
        <w:rPr>
          <w:rFonts w:ascii="Times New Roman" w:hAnsi="Times New Roman"/>
          <w:bCs/>
          <w:sz w:val="24"/>
          <w:szCs w:val="24"/>
        </w:rPr>
        <w:t>Manuel Estuardo Solano Moreno</w:t>
      </w:r>
    </w:p>
    <w:p w14:paraId="41C3B279" w14:textId="77777777" w:rsidR="005A3846" w:rsidRPr="0061583C" w:rsidRDefault="005A3846" w:rsidP="00856776">
      <w:pPr>
        <w:spacing w:after="0" w:line="240" w:lineRule="auto"/>
        <w:rPr>
          <w:rFonts w:ascii="Times New Roman" w:hAnsi="Times New Roman"/>
          <w:b/>
          <w:bCs/>
          <w:sz w:val="24"/>
          <w:szCs w:val="24"/>
        </w:rPr>
      </w:pPr>
      <w:r w:rsidRPr="431E6DA9">
        <w:rPr>
          <w:rFonts w:ascii="Times New Roman" w:hAnsi="Times New Roman"/>
          <w:b/>
          <w:bCs/>
          <w:sz w:val="24"/>
          <w:szCs w:val="24"/>
        </w:rPr>
        <w:t xml:space="preserve">Secretario general Misional </w:t>
      </w:r>
    </w:p>
    <w:p w14:paraId="0BA29D68" w14:textId="77777777" w:rsidR="005A3846" w:rsidRDefault="005A3846" w:rsidP="00856776">
      <w:pPr>
        <w:spacing w:after="0" w:line="240" w:lineRule="auto"/>
        <w:rPr>
          <w:rFonts w:ascii="Times New Roman" w:hAnsi="Times New Roman"/>
          <w:bCs/>
          <w:sz w:val="24"/>
          <w:szCs w:val="24"/>
        </w:rPr>
      </w:pPr>
    </w:p>
    <w:p w14:paraId="787D6343" w14:textId="77777777" w:rsidR="00856776" w:rsidRDefault="00856776" w:rsidP="00856776">
      <w:pPr>
        <w:spacing w:after="0" w:line="240" w:lineRule="auto"/>
        <w:rPr>
          <w:rFonts w:ascii="Times New Roman" w:hAnsi="Times New Roman"/>
          <w:bCs/>
          <w:sz w:val="24"/>
          <w:szCs w:val="24"/>
        </w:rPr>
      </w:pPr>
    </w:p>
    <w:p w14:paraId="7D56024A" w14:textId="77777777" w:rsidR="005A3846" w:rsidRPr="00A8641A" w:rsidRDefault="005A3846" w:rsidP="00856776">
      <w:pPr>
        <w:spacing w:after="0" w:line="240" w:lineRule="auto"/>
        <w:rPr>
          <w:rFonts w:ascii="Times New Roman" w:hAnsi="Times New Roman"/>
          <w:bCs/>
          <w:sz w:val="24"/>
          <w:szCs w:val="24"/>
        </w:rPr>
      </w:pPr>
      <w:r w:rsidRPr="00A8641A">
        <w:rPr>
          <w:rFonts w:ascii="Times New Roman" w:hAnsi="Times New Roman"/>
          <w:bCs/>
          <w:sz w:val="24"/>
          <w:szCs w:val="24"/>
        </w:rPr>
        <w:t>Rodrigo Fernando Varela Torres</w:t>
      </w:r>
    </w:p>
    <w:p w14:paraId="67A2C1F3" w14:textId="77777777" w:rsidR="005A3846" w:rsidRPr="00A8641A" w:rsidRDefault="005A3846" w:rsidP="00856776">
      <w:pPr>
        <w:spacing w:after="0" w:line="240" w:lineRule="auto"/>
        <w:rPr>
          <w:rFonts w:ascii="Times New Roman" w:hAnsi="Times New Roman"/>
          <w:b/>
          <w:bCs/>
          <w:sz w:val="24"/>
          <w:szCs w:val="24"/>
        </w:rPr>
      </w:pPr>
      <w:r w:rsidRPr="00A8641A">
        <w:rPr>
          <w:rFonts w:ascii="Times New Roman" w:hAnsi="Times New Roman"/>
          <w:b/>
          <w:bCs/>
          <w:sz w:val="24"/>
          <w:szCs w:val="24"/>
        </w:rPr>
        <w:t>Coordinador General de Protección de Derechos Humanos y de la Naturaleza</w:t>
      </w:r>
    </w:p>
    <w:p w14:paraId="69F764DC" w14:textId="77777777" w:rsidR="005A3846" w:rsidRDefault="005A3846" w:rsidP="00856776">
      <w:pPr>
        <w:spacing w:after="0" w:line="240" w:lineRule="auto"/>
        <w:rPr>
          <w:rFonts w:ascii="Times New Roman" w:hAnsi="Times New Roman"/>
          <w:bCs/>
          <w:sz w:val="24"/>
          <w:szCs w:val="24"/>
        </w:rPr>
      </w:pPr>
    </w:p>
    <w:p w14:paraId="52E5471A" w14:textId="77777777" w:rsidR="00856776" w:rsidRDefault="007E1006" w:rsidP="00856776">
      <w:pPr>
        <w:spacing w:after="0" w:line="240" w:lineRule="auto"/>
        <w:rPr>
          <w:rFonts w:ascii="Times New Roman" w:hAnsi="Times New Roman"/>
          <w:bCs/>
          <w:sz w:val="24"/>
          <w:szCs w:val="24"/>
        </w:rPr>
      </w:pPr>
      <w:r w:rsidRPr="007E1006">
        <w:rPr>
          <w:rFonts w:ascii="Times New Roman" w:hAnsi="Times New Roman"/>
          <w:bCs/>
          <w:sz w:val="24"/>
          <w:szCs w:val="24"/>
        </w:rPr>
        <w:t>Elvis Fernando Paz Morales</w:t>
      </w:r>
    </w:p>
    <w:p w14:paraId="40E5A1F6" w14:textId="77777777" w:rsidR="007E1006" w:rsidRPr="00391A95" w:rsidRDefault="00391A95" w:rsidP="00856776">
      <w:pPr>
        <w:spacing w:after="0" w:line="240" w:lineRule="auto"/>
        <w:rPr>
          <w:rFonts w:ascii="Times New Roman" w:hAnsi="Times New Roman"/>
          <w:b/>
          <w:sz w:val="24"/>
          <w:szCs w:val="24"/>
        </w:rPr>
      </w:pPr>
      <w:r w:rsidRPr="00391A95">
        <w:rPr>
          <w:rFonts w:ascii="Times New Roman" w:hAnsi="Times New Roman"/>
          <w:b/>
          <w:sz w:val="24"/>
          <w:szCs w:val="24"/>
        </w:rPr>
        <w:t>Coordinador General de Prevención y Promoción de Derechos Humanos</w:t>
      </w:r>
    </w:p>
    <w:p w14:paraId="44833B53" w14:textId="77777777" w:rsidR="007E1006" w:rsidRDefault="007E1006" w:rsidP="00856776">
      <w:pPr>
        <w:spacing w:after="0" w:line="240" w:lineRule="auto"/>
        <w:rPr>
          <w:rFonts w:ascii="Times New Roman" w:hAnsi="Times New Roman"/>
          <w:bCs/>
          <w:sz w:val="24"/>
          <w:szCs w:val="24"/>
        </w:rPr>
      </w:pPr>
    </w:p>
    <w:p w14:paraId="7987BAA3" w14:textId="77777777" w:rsidR="005A3846" w:rsidRDefault="005A3846" w:rsidP="00856776">
      <w:pPr>
        <w:spacing w:after="0" w:line="240" w:lineRule="auto"/>
        <w:rPr>
          <w:rFonts w:ascii="Times New Roman" w:hAnsi="Times New Roman"/>
          <w:bCs/>
          <w:sz w:val="24"/>
          <w:szCs w:val="24"/>
        </w:rPr>
      </w:pPr>
      <w:r>
        <w:rPr>
          <w:rFonts w:ascii="Times New Roman" w:hAnsi="Times New Roman"/>
          <w:bCs/>
          <w:sz w:val="24"/>
          <w:szCs w:val="24"/>
        </w:rPr>
        <w:t xml:space="preserve">Galo Hernán Rodríguez Caicedo  </w:t>
      </w:r>
    </w:p>
    <w:p w14:paraId="670FF719" w14:textId="77777777" w:rsidR="005A3846" w:rsidRDefault="005A3846" w:rsidP="00856776">
      <w:pPr>
        <w:spacing w:after="0" w:line="240" w:lineRule="auto"/>
        <w:rPr>
          <w:rFonts w:ascii="Times New Roman" w:hAnsi="Times New Roman"/>
          <w:b/>
          <w:bCs/>
          <w:sz w:val="24"/>
          <w:szCs w:val="24"/>
        </w:rPr>
      </w:pPr>
      <w:r w:rsidRPr="0061583C">
        <w:rPr>
          <w:rFonts w:ascii="Times New Roman" w:hAnsi="Times New Roman"/>
          <w:b/>
          <w:bCs/>
          <w:sz w:val="24"/>
          <w:szCs w:val="24"/>
        </w:rPr>
        <w:t>Coordinador</w:t>
      </w:r>
      <w:r>
        <w:rPr>
          <w:rFonts w:ascii="Times New Roman" w:hAnsi="Times New Roman"/>
          <w:b/>
          <w:bCs/>
          <w:sz w:val="24"/>
          <w:szCs w:val="24"/>
        </w:rPr>
        <w:t>a</w:t>
      </w:r>
      <w:r w:rsidRPr="0061583C">
        <w:rPr>
          <w:rFonts w:ascii="Times New Roman" w:hAnsi="Times New Roman"/>
          <w:b/>
          <w:bCs/>
          <w:sz w:val="24"/>
          <w:szCs w:val="24"/>
        </w:rPr>
        <w:t xml:space="preserve"> General de Producción Especializada de Gestión del Conocimiento e Investigación</w:t>
      </w:r>
    </w:p>
    <w:p w14:paraId="6A876BE5" w14:textId="77777777" w:rsidR="005A3846" w:rsidRDefault="005A3846" w:rsidP="005A3846">
      <w:pPr>
        <w:spacing w:line="240" w:lineRule="auto"/>
        <w:rPr>
          <w:rFonts w:ascii="Times New Roman" w:hAnsi="Times New Roman"/>
          <w:b/>
          <w:bCs/>
          <w:sz w:val="24"/>
          <w:szCs w:val="24"/>
        </w:rPr>
      </w:pPr>
    </w:p>
    <w:p w14:paraId="68432D05" w14:textId="77777777" w:rsidR="005A3846" w:rsidRPr="00040F15" w:rsidRDefault="005A3846" w:rsidP="007E1006">
      <w:pPr>
        <w:spacing w:after="0" w:line="240" w:lineRule="auto"/>
        <w:rPr>
          <w:rFonts w:ascii="Times New Roman" w:hAnsi="Times New Roman"/>
          <w:b/>
          <w:sz w:val="24"/>
        </w:rPr>
      </w:pPr>
      <w:r w:rsidRPr="00040F15">
        <w:rPr>
          <w:rFonts w:ascii="Times New Roman" w:hAnsi="Times New Roman"/>
          <w:b/>
          <w:sz w:val="24"/>
        </w:rPr>
        <w:t>Revisión</w:t>
      </w:r>
    </w:p>
    <w:p w14:paraId="74230A2E" w14:textId="77777777" w:rsidR="005A3846" w:rsidRPr="007E1006" w:rsidRDefault="007E1006" w:rsidP="007E1006">
      <w:pPr>
        <w:spacing w:after="0" w:line="240" w:lineRule="auto"/>
        <w:rPr>
          <w:rFonts w:ascii="Times New Roman" w:hAnsi="Times New Roman"/>
          <w:bCs/>
          <w:sz w:val="24"/>
        </w:rPr>
      </w:pPr>
      <w:r w:rsidRPr="007E1006">
        <w:rPr>
          <w:rFonts w:ascii="Times New Roman" w:hAnsi="Times New Roman"/>
          <w:bCs/>
          <w:sz w:val="24"/>
        </w:rPr>
        <w:t>Ricardo Alonso Durán Jaramillo</w:t>
      </w:r>
    </w:p>
    <w:p w14:paraId="7F4A8017" w14:textId="77777777" w:rsidR="005A3846" w:rsidRPr="00040F15" w:rsidRDefault="005A3846" w:rsidP="007E1006">
      <w:pPr>
        <w:spacing w:after="0" w:line="240" w:lineRule="auto"/>
        <w:rPr>
          <w:rFonts w:ascii="Times New Roman" w:hAnsi="Times New Roman"/>
          <w:b/>
          <w:sz w:val="24"/>
        </w:rPr>
      </w:pPr>
      <w:r w:rsidRPr="00040F15">
        <w:rPr>
          <w:rFonts w:ascii="Times New Roman" w:hAnsi="Times New Roman"/>
          <w:b/>
          <w:sz w:val="24"/>
        </w:rPr>
        <w:t>Direc</w:t>
      </w:r>
      <w:r>
        <w:rPr>
          <w:rFonts w:ascii="Times New Roman" w:hAnsi="Times New Roman"/>
          <w:b/>
          <w:sz w:val="24"/>
        </w:rPr>
        <w:t xml:space="preserve">tor </w:t>
      </w:r>
      <w:r w:rsidRPr="00040F15">
        <w:rPr>
          <w:rFonts w:ascii="Times New Roman" w:hAnsi="Times New Roman"/>
          <w:b/>
          <w:sz w:val="24"/>
        </w:rPr>
        <w:t>Nacional de</w:t>
      </w:r>
      <w:r>
        <w:rPr>
          <w:rFonts w:ascii="Times New Roman" w:hAnsi="Times New Roman"/>
          <w:b/>
          <w:sz w:val="24"/>
        </w:rPr>
        <w:t xml:space="preserve"> Investigación de Derechos Humanos y de la Naturaleza</w:t>
      </w:r>
      <w:r w:rsidRPr="00040F15">
        <w:rPr>
          <w:rFonts w:ascii="Times New Roman" w:hAnsi="Times New Roman"/>
          <w:b/>
          <w:sz w:val="24"/>
        </w:rPr>
        <w:t xml:space="preserve"> </w:t>
      </w:r>
    </w:p>
    <w:p w14:paraId="6820FC72" w14:textId="77777777" w:rsidR="005A3846" w:rsidRDefault="005A3846" w:rsidP="005A3846">
      <w:pPr>
        <w:spacing w:line="240" w:lineRule="auto"/>
        <w:rPr>
          <w:rFonts w:ascii="Times New Roman" w:hAnsi="Times New Roman"/>
          <w:b/>
          <w:sz w:val="24"/>
        </w:rPr>
      </w:pPr>
    </w:p>
    <w:p w14:paraId="548198A0" w14:textId="77777777" w:rsidR="005A3846" w:rsidRDefault="005A3846" w:rsidP="005A3846">
      <w:pPr>
        <w:spacing w:line="240" w:lineRule="auto"/>
        <w:rPr>
          <w:rFonts w:ascii="Times New Roman" w:hAnsi="Times New Roman"/>
          <w:b/>
          <w:sz w:val="24"/>
        </w:rPr>
      </w:pPr>
      <w:r w:rsidRPr="00FE77C3">
        <w:rPr>
          <w:rFonts w:ascii="Times New Roman" w:hAnsi="Times New Roman"/>
          <w:b/>
          <w:sz w:val="24"/>
        </w:rPr>
        <w:t>El</w:t>
      </w:r>
      <w:r w:rsidRPr="00040F15">
        <w:rPr>
          <w:rFonts w:ascii="Times New Roman" w:hAnsi="Times New Roman"/>
          <w:b/>
          <w:sz w:val="24"/>
        </w:rPr>
        <w:t>aboración</w:t>
      </w:r>
    </w:p>
    <w:p w14:paraId="0AC90B98" w14:textId="77777777" w:rsidR="005A3846" w:rsidRPr="007E1006" w:rsidRDefault="005A3846" w:rsidP="00391A95">
      <w:pPr>
        <w:spacing w:after="0" w:line="240" w:lineRule="auto"/>
        <w:rPr>
          <w:rFonts w:ascii="Times New Roman" w:hAnsi="Times New Roman"/>
          <w:bCs/>
          <w:sz w:val="24"/>
        </w:rPr>
      </w:pPr>
      <w:r w:rsidRPr="007E1006">
        <w:rPr>
          <w:rFonts w:ascii="Times New Roman" w:hAnsi="Times New Roman"/>
          <w:bCs/>
          <w:sz w:val="24"/>
        </w:rPr>
        <w:t>Dirección Nacional del Mecanismo de Promoción y Protección de los Derechos de los Pueblos y Nacionalidades Indígenas, Afroecuatorianas y Montubias</w:t>
      </w:r>
    </w:p>
    <w:p w14:paraId="5DCE750C" w14:textId="77777777" w:rsidR="005A3846" w:rsidRPr="007E1006" w:rsidRDefault="005A3846" w:rsidP="00391A95">
      <w:pPr>
        <w:spacing w:after="0" w:line="240" w:lineRule="auto"/>
        <w:rPr>
          <w:rFonts w:ascii="Times New Roman" w:hAnsi="Times New Roman"/>
          <w:bCs/>
          <w:sz w:val="24"/>
        </w:rPr>
      </w:pPr>
      <w:r w:rsidRPr="007E1006">
        <w:rPr>
          <w:rFonts w:ascii="Times New Roman" w:hAnsi="Times New Roman"/>
          <w:bCs/>
          <w:sz w:val="24"/>
        </w:rPr>
        <w:t>Dirección Nacional del Mecanismo de Protección de los Derechos de las Personas Trabajadoras y Jubiladas</w:t>
      </w:r>
    </w:p>
    <w:p w14:paraId="546D3B5A" w14:textId="77777777" w:rsidR="005A3846" w:rsidRPr="007E1006" w:rsidRDefault="005A3846" w:rsidP="00391A95">
      <w:pPr>
        <w:spacing w:after="0" w:line="240" w:lineRule="auto"/>
        <w:rPr>
          <w:rFonts w:ascii="Times New Roman" w:hAnsi="Times New Roman"/>
          <w:bCs/>
          <w:sz w:val="24"/>
        </w:rPr>
      </w:pPr>
      <w:r w:rsidRPr="007E1006">
        <w:rPr>
          <w:rFonts w:ascii="Times New Roman" w:hAnsi="Times New Roman"/>
          <w:bCs/>
          <w:sz w:val="24"/>
        </w:rPr>
        <w:t>Dirección Nacional del Mecanismo de Prevención, Precaución, Protección, Promoción y Restauración de los Derechos de la Naturaleza</w:t>
      </w:r>
    </w:p>
    <w:p w14:paraId="7D8ADE68" w14:textId="77777777" w:rsidR="0006700F" w:rsidRPr="007E1006" w:rsidRDefault="0006700F" w:rsidP="00391A95">
      <w:pPr>
        <w:spacing w:after="0" w:line="240" w:lineRule="auto"/>
        <w:rPr>
          <w:rFonts w:ascii="Times New Roman" w:hAnsi="Times New Roman"/>
          <w:bCs/>
          <w:sz w:val="24"/>
        </w:rPr>
      </w:pPr>
      <w:r w:rsidRPr="007E1006">
        <w:rPr>
          <w:rFonts w:ascii="Times New Roman" w:hAnsi="Times New Roman"/>
          <w:bCs/>
          <w:sz w:val="24"/>
        </w:rPr>
        <w:t>Dirección Nacional de Análisis Normativo e Incidencia en Política Pública</w:t>
      </w:r>
    </w:p>
    <w:p w14:paraId="53833F81" w14:textId="77777777" w:rsidR="00C3740B" w:rsidRDefault="00C3740B" w:rsidP="00391A95">
      <w:pPr>
        <w:spacing w:after="0" w:line="240" w:lineRule="auto"/>
        <w:rPr>
          <w:rFonts w:ascii="Times New Roman" w:hAnsi="Times New Roman"/>
          <w:bCs/>
          <w:sz w:val="24"/>
        </w:rPr>
      </w:pPr>
      <w:r w:rsidRPr="007E1006">
        <w:rPr>
          <w:rFonts w:ascii="Times New Roman" w:hAnsi="Times New Roman"/>
          <w:bCs/>
          <w:sz w:val="24"/>
        </w:rPr>
        <w:t>Dirección Nacional del Mecanismo para la Promoción y Protección de las Personas en situación de Movilidad Humana</w:t>
      </w:r>
    </w:p>
    <w:p w14:paraId="6D281E4A" w14:textId="77777777" w:rsidR="00DB4CD0" w:rsidRPr="007E1006" w:rsidRDefault="00DB4CD0" w:rsidP="00391A95">
      <w:pPr>
        <w:spacing w:after="0" w:line="240" w:lineRule="auto"/>
        <w:rPr>
          <w:rFonts w:ascii="Times New Roman" w:hAnsi="Times New Roman"/>
          <w:bCs/>
          <w:sz w:val="24"/>
        </w:rPr>
      </w:pPr>
      <w:r w:rsidRPr="00DB4CD0">
        <w:rPr>
          <w:rFonts w:ascii="Times New Roman" w:hAnsi="Times New Roman"/>
          <w:bCs/>
          <w:sz w:val="24"/>
        </w:rPr>
        <w:t>Dirección Nacional del Mecanismo para la Prevención de la Violencia Contra la Mujer y Basada en Género</w:t>
      </w:r>
    </w:p>
    <w:p w14:paraId="371EE256" w14:textId="77777777" w:rsidR="0006700F" w:rsidRPr="007E1006" w:rsidRDefault="0006700F" w:rsidP="00391A95">
      <w:pPr>
        <w:spacing w:after="0" w:line="240" w:lineRule="auto"/>
        <w:rPr>
          <w:rFonts w:ascii="Times New Roman" w:hAnsi="Times New Roman"/>
          <w:bCs/>
          <w:sz w:val="24"/>
        </w:rPr>
      </w:pPr>
      <w:r w:rsidRPr="007E1006">
        <w:rPr>
          <w:rFonts w:ascii="Times New Roman" w:hAnsi="Times New Roman"/>
          <w:bCs/>
          <w:sz w:val="24"/>
        </w:rPr>
        <w:t xml:space="preserve">Dirección </w:t>
      </w:r>
      <w:r w:rsidR="00C3740B" w:rsidRPr="007E1006">
        <w:rPr>
          <w:rFonts w:ascii="Times New Roman" w:hAnsi="Times New Roman"/>
          <w:bCs/>
          <w:sz w:val="24"/>
        </w:rPr>
        <w:t>Nacional de Investigación en Derechos Humanos y de la Naturaleza</w:t>
      </w:r>
    </w:p>
    <w:p w14:paraId="36DDD4FC" w14:textId="77777777" w:rsidR="007E1006" w:rsidRDefault="007E1006" w:rsidP="00856776">
      <w:pPr>
        <w:spacing w:line="240" w:lineRule="auto"/>
        <w:rPr>
          <w:rFonts w:ascii="Times New Roman" w:hAnsi="Times New Roman"/>
          <w:b/>
          <w:bCs/>
        </w:rPr>
      </w:pPr>
    </w:p>
    <w:p w14:paraId="774095EB" w14:textId="77777777" w:rsidR="00123B50" w:rsidRDefault="00123B50" w:rsidP="00856776">
      <w:pPr>
        <w:spacing w:line="240" w:lineRule="auto"/>
        <w:rPr>
          <w:rFonts w:ascii="Times New Roman" w:hAnsi="Times New Roman"/>
          <w:b/>
          <w:bCs/>
        </w:rPr>
      </w:pPr>
    </w:p>
    <w:p w14:paraId="03C4586D" w14:textId="77777777" w:rsidR="00123B50" w:rsidRDefault="00123B50" w:rsidP="00856776">
      <w:pPr>
        <w:spacing w:line="240" w:lineRule="auto"/>
        <w:rPr>
          <w:rFonts w:ascii="Times New Roman" w:hAnsi="Times New Roman"/>
          <w:b/>
          <w:bCs/>
        </w:rPr>
      </w:pPr>
    </w:p>
    <w:p w14:paraId="1E811169" w14:textId="77777777" w:rsidR="00DB4CD0" w:rsidRPr="00F80CE8" w:rsidRDefault="00DB4CD0" w:rsidP="00856776">
      <w:pPr>
        <w:spacing w:line="240" w:lineRule="auto"/>
        <w:rPr>
          <w:rFonts w:ascii="Times New Roman" w:hAnsi="Times New Roman"/>
          <w:b/>
          <w:bCs/>
        </w:rPr>
      </w:pPr>
    </w:p>
    <w:p w14:paraId="5885AB61" w14:textId="77777777" w:rsidR="005A3846" w:rsidRPr="00391A95" w:rsidRDefault="005A3846" w:rsidP="005A3846">
      <w:pPr>
        <w:spacing w:after="0" w:line="240" w:lineRule="auto"/>
        <w:rPr>
          <w:rFonts w:ascii="Times New Roman" w:hAnsi="Times New Roman"/>
          <w:sz w:val="20"/>
          <w:szCs w:val="20"/>
        </w:rPr>
      </w:pPr>
      <w:r w:rsidRPr="00391A95">
        <w:rPr>
          <w:rFonts w:ascii="Times New Roman" w:hAnsi="Times New Roman"/>
          <w:sz w:val="20"/>
          <w:szCs w:val="20"/>
        </w:rPr>
        <w:t xml:space="preserve">Av. 12 de </w:t>
      </w:r>
      <w:proofErr w:type="gramStart"/>
      <w:r w:rsidRPr="00391A95">
        <w:rPr>
          <w:rFonts w:ascii="Times New Roman" w:hAnsi="Times New Roman"/>
          <w:sz w:val="20"/>
          <w:szCs w:val="20"/>
        </w:rPr>
        <w:t>Octubre</w:t>
      </w:r>
      <w:proofErr w:type="gramEnd"/>
      <w:r w:rsidRPr="00391A95">
        <w:rPr>
          <w:rFonts w:ascii="Times New Roman" w:hAnsi="Times New Roman"/>
          <w:sz w:val="20"/>
          <w:szCs w:val="20"/>
        </w:rPr>
        <w:t xml:space="preserve"> 16-114 y Pasaje Nicolás Jiménez </w:t>
      </w:r>
    </w:p>
    <w:p w14:paraId="1B0C97F5" w14:textId="77777777" w:rsidR="005A3846" w:rsidRPr="00391A95" w:rsidRDefault="005A3846" w:rsidP="005A3846">
      <w:pPr>
        <w:spacing w:after="0" w:line="240" w:lineRule="auto"/>
        <w:rPr>
          <w:rFonts w:ascii="Times New Roman" w:hAnsi="Times New Roman"/>
          <w:sz w:val="20"/>
          <w:szCs w:val="20"/>
        </w:rPr>
      </w:pPr>
      <w:r w:rsidRPr="00391A95">
        <w:rPr>
          <w:rFonts w:ascii="Times New Roman" w:hAnsi="Times New Roman"/>
          <w:sz w:val="20"/>
          <w:szCs w:val="20"/>
        </w:rPr>
        <w:t xml:space="preserve">Quito, Ecuador. </w:t>
      </w:r>
    </w:p>
    <w:p w14:paraId="4D2E652D" w14:textId="77777777" w:rsidR="005A3846" w:rsidRPr="00391A95" w:rsidRDefault="005A3846" w:rsidP="005A3846">
      <w:pPr>
        <w:spacing w:after="0" w:line="240" w:lineRule="auto"/>
        <w:rPr>
          <w:rFonts w:ascii="Times New Roman" w:hAnsi="Times New Roman"/>
          <w:sz w:val="20"/>
          <w:szCs w:val="20"/>
        </w:rPr>
      </w:pPr>
      <w:hyperlink>
        <w:r w:rsidRPr="00391A95">
          <w:rPr>
            <w:rFonts w:ascii="Times New Roman" w:hAnsi="Times New Roman"/>
            <w:sz w:val="20"/>
            <w:szCs w:val="20"/>
          </w:rPr>
          <w:t>www.dpe.gob.ec</w:t>
        </w:r>
      </w:hyperlink>
      <w:r w:rsidRPr="00391A95">
        <w:rPr>
          <w:rFonts w:ascii="Times New Roman" w:hAnsi="Times New Roman"/>
          <w:sz w:val="20"/>
          <w:szCs w:val="20"/>
        </w:rPr>
        <w:t xml:space="preserve"> </w:t>
      </w:r>
    </w:p>
    <w:p w14:paraId="07EC3AA8" w14:textId="77777777" w:rsidR="005A3846" w:rsidRPr="0061583C" w:rsidRDefault="005A3846" w:rsidP="005A3846">
      <w:pPr>
        <w:spacing w:line="240" w:lineRule="auto"/>
        <w:rPr>
          <w:rFonts w:ascii="Times New Roman" w:hAnsi="Times New Roman"/>
          <w:sz w:val="24"/>
        </w:rPr>
      </w:pPr>
      <w:hyperlink r:id="rId11">
        <w:r w:rsidRPr="00391A95">
          <w:rPr>
            <w:rFonts w:ascii="Times New Roman" w:hAnsi="Times New Roman"/>
            <w:sz w:val="20"/>
            <w:szCs w:val="20"/>
          </w:rPr>
          <w:t>publicaciones@dpe.gob.ec</w:t>
        </w:r>
      </w:hyperlink>
      <w:r w:rsidRPr="0061583C">
        <w:rPr>
          <w:rFonts w:ascii="Times New Roman" w:hAnsi="Times New Roman"/>
          <w:sz w:val="24"/>
        </w:rPr>
        <w:t xml:space="preserve"> </w:t>
      </w:r>
    </w:p>
    <w:p w14:paraId="0C92E134" w14:textId="77777777" w:rsidR="00AB5549" w:rsidRPr="00EC55FE" w:rsidRDefault="00AB5549" w:rsidP="00EC55FE">
      <w:pPr>
        <w:tabs>
          <w:tab w:val="left" w:pos="851"/>
        </w:tabs>
        <w:spacing w:before="240" w:after="0" w:line="240" w:lineRule="auto"/>
        <w:rPr>
          <w:rFonts w:ascii="Times New Roman" w:hAnsi="Times New Roman"/>
          <w:b/>
          <w:bCs/>
        </w:rPr>
      </w:pPr>
      <w:r w:rsidRPr="00EC55FE">
        <w:rPr>
          <w:rFonts w:ascii="Times New Roman" w:hAnsi="Times New Roman"/>
          <w:b/>
          <w:bCs/>
        </w:rPr>
        <w:lastRenderedPageBreak/>
        <w:t>Siglas</w:t>
      </w:r>
    </w:p>
    <w:p w14:paraId="79D634C5"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AN Asamblea Nacional</w:t>
      </w:r>
    </w:p>
    <w:p w14:paraId="29B36234"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CCE Corte Constitucional del Ecuador</w:t>
      </w:r>
    </w:p>
    <w:p w14:paraId="61CB2973"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CIDH Comisión Interamericana de Derechos Humanos</w:t>
      </w:r>
    </w:p>
    <w:p w14:paraId="4A020255"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CJ Consejo de la Judicatura</w:t>
      </w:r>
    </w:p>
    <w:p w14:paraId="4A2063C0"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CNIG Consejo Nacional para la Igualdad de Género</w:t>
      </w:r>
    </w:p>
    <w:p w14:paraId="579F93AA" w14:textId="77777777" w:rsidR="00AB5549" w:rsidRDefault="00AB5549" w:rsidP="00EC55FE">
      <w:pPr>
        <w:tabs>
          <w:tab w:val="left" w:pos="851"/>
        </w:tabs>
        <w:spacing w:before="240" w:after="0" w:line="240" w:lineRule="auto"/>
        <w:rPr>
          <w:rFonts w:ascii="Times New Roman" w:hAnsi="Times New Roman"/>
        </w:rPr>
      </w:pPr>
      <w:r w:rsidRPr="007E1006">
        <w:rPr>
          <w:rFonts w:ascii="Times New Roman" w:hAnsi="Times New Roman"/>
        </w:rPr>
        <w:t xml:space="preserve">COIP Código </w:t>
      </w:r>
      <w:r w:rsidR="00503C99" w:rsidRPr="007E1006">
        <w:rPr>
          <w:rFonts w:ascii="Times New Roman" w:hAnsi="Times New Roman"/>
        </w:rPr>
        <w:t xml:space="preserve">Orgánico </w:t>
      </w:r>
      <w:r w:rsidRPr="007E1006">
        <w:rPr>
          <w:rFonts w:ascii="Times New Roman" w:hAnsi="Times New Roman"/>
        </w:rPr>
        <w:t xml:space="preserve">Integral Penal </w:t>
      </w:r>
    </w:p>
    <w:p w14:paraId="1FF0D593" w14:textId="77777777" w:rsidR="00D635F4" w:rsidRPr="007E1006" w:rsidRDefault="00D635F4" w:rsidP="00EC55FE">
      <w:pPr>
        <w:tabs>
          <w:tab w:val="left" w:pos="851"/>
        </w:tabs>
        <w:spacing w:before="240" w:after="0" w:line="240" w:lineRule="auto"/>
        <w:rPr>
          <w:rFonts w:ascii="Times New Roman" w:hAnsi="Times New Roman"/>
        </w:rPr>
      </w:pPr>
      <w:r w:rsidRPr="00D635F4">
        <w:rPr>
          <w:rFonts w:ascii="Times New Roman" w:hAnsi="Times New Roman"/>
        </w:rPr>
        <w:t>CDN Comité sobre los Derechos del Niño</w:t>
      </w:r>
    </w:p>
    <w:p w14:paraId="753E22B2"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CRE Constitución de la República del Ecuador</w:t>
      </w:r>
    </w:p>
    <w:p w14:paraId="6BC5ECA4"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DP Defensoría Pública</w:t>
      </w:r>
    </w:p>
    <w:p w14:paraId="231431A9" w14:textId="77777777" w:rsidR="00AB5549" w:rsidRDefault="00AB5549" w:rsidP="00EC55FE">
      <w:pPr>
        <w:tabs>
          <w:tab w:val="left" w:pos="851"/>
        </w:tabs>
        <w:spacing w:before="240" w:after="0" w:line="240" w:lineRule="auto"/>
        <w:rPr>
          <w:rFonts w:ascii="Times New Roman" w:hAnsi="Times New Roman"/>
        </w:rPr>
      </w:pPr>
      <w:r w:rsidRPr="007E1006">
        <w:rPr>
          <w:rFonts w:ascii="Times New Roman" w:hAnsi="Times New Roman"/>
        </w:rPr>
        <w:t>DPE Defensoría del Pueblo de Ecuador</w:t>
      </w:r>
    </w:p>
    <w:p w14:paraId="12F1D576" w14:textId="647B1161" w:rsidR="002257E0" w:rsidRPr="007E1006" w:rsidRDefault="002257E0" w:rsidP="00EC55FE">
      <w:pPr>
        <w:tabs>
          <w:tab w:val="left" w:pos="851"/>
        </w:tabs>
        <w:spacing w:before="240" w:after="0" w:line="240" w:lineRule="auto"/>
        <w:rPr>
          <w:rFonts w:ascii="Times New Roman" w:hAnsi="Times New Roman"/>
        </w:rPr>
      </w:pPr>
      <w:r w:rsidRPr="00110B71">
        <w:rPr>
          <w:rFonts w:ascii="Times New Roman" w:hAnsi="Times New Roman"/>
          <w:lang w:val="es-EC"/>
        </w:rPr>
        <w:t>ENVIGMU</w:t>
      </w:r>
      <w:r w:rsidRPr="00110B71">
        <w:rPr>
          <w:rFonts w:ascii="Times New Roman" w:hAnsi="Times New Roman"/>
          <w:lang w:val="es-EC"/>
        </w:rPr>
        <w:t xml:space="preserve"> </w:t>
      </w:r>
      <w:r w:rsidRPr="00110B71">
        <w:rPr>
          <w:rFonts w:ascii="Times New Roman" w:hAnsi="Times New Roman"/>
          <w:lang w:val="es-EC"/>
        </w:rPr>
        <w:t>Encuesta Nacional sobre Relaciones Familiares y Violencia de Género contra las Mujeres</w:t>
      </w:r>
    </w:p>
    <w:p w14:paraId="58C1F164"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FGE</w:t>
      </w:r>
      <w:r w:rsidR="00F80CE8" w:rsidRPr="007E1006">
        <w:rPr>
          <w:rFonts w:ascii="Times New Roman" w:hAnsi="Times New Roman"/>
        </w:rPr>
        <w:t xml:space="preserve"> </w:t>
      </w:r>
      <w:proofErr w:type="gramStart"/>
      <w:r w:rsidRPr="007E1006">
        <w:rPr>
          <w:rFonts w:ascii="Times New Roman" w:hAnsi="Times New Roman"/>
        </w:rPr>
        <w:t>Fiscalía General</w:t>
      </w:r>
      <w:proofErr w:type="gramEnd"/>
      <w:r w:rsidRPr="007E1006">
        <w:rPr>
          <w:rFonts w:ascii="Times New Roman" w:hAnsi="Times New Roman"/>
        </w:rPr>
        <w:t xml:space="preserve"> del Estado </w:t>
      </w:r>
    </w:p>
    <w:p w14:paraId="235670BB" w14:textId="77777777" w:rsidR="00AB5549" w:rsidRDefault="00AB5549" w:rsidP="00EC55FE">
      <w:pPr>
        <w:tabs>
          <w:tab w:val="left" w:pos="851"/>
        </w:tabs>
        <w:spacing w:before="240" w:after="0" w:line="240" w:lineRule="auto"/>
        <w:rPr>
          <w:rFonts w:ascii="Times New Roman" w:hAnsi="Times New Roman"/>
        </w:rPr>
      </w:pPr>
      <w:r w:rsidRPr="007E1006">
        <w:rPr>
          <w:rFonts w:ascii="Times New Roman" w:hAnsi="Times New Roman"/>
        </w:rPr>
        <w:t>IESS Instituto Ecuatoriano de Seguridad Social</w:t>
      </w:r>
    </w:p>
    <w:p w14:paraId="569BE579" w14:textId="01E1CEF7" w:rsidR="002257E0" w:rsidRPr="007E1006" w:rsidRDefault="002257E0" w:rsidP="00EC55FE">
      <w:pPr>
        <w:tabs>
          <w:tab w:val="left" w:pos="851"/>
        </w:tabs>
        <w:spacing w:before="240" w:after="0" w:line="240" w:lineRule="auto"/>
        <w:rPr>
          <w:rFonts w:ascii="Times New Roman" w:hAnsi="Times New Roman"/>
        </w:rPr>
      </w:pPr>
      <w:r>
        <w:rPr>
          <w:rFonts w:ascii="Times New Roman" w:hAnsi="Times New Roman"/>
        </w:rPr>
        <w:t>ITT Ishpingo-</w:t>
      </w:r>
      <w:proofErr w:type="spellStart"/>
      <w:r>
        <w:rPr>
          <w:rFonts w:ascii="Times New Roman" w:hAnsi="Times New Roman"/>
        </w:rPr>
        <w:t>Tambococha</w:t>
      </w:r>
      <w:proofErr w:type="spellEnd"/>
      <w:r>
        <w:rPr>
          <w:rFonts w:ascii="Times New Roman" w:hAnsi="Times New Roman"/>
        </w:rPr>
        <w:t>-Tiputini</w:t>
      </w:r>
    </w:p>
    <w:p w14:paraId="462F82E3"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INDH Institución Nacional de Derechos Humanos</w:t>
      </w:r>
    </w:p>
    <w:p w14:paraId="27BD06D9"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INEC Instituto Nacional de Estadística y Censos</w:t>
      </w:r>
    </w:p>
    <w:p w14:paraId="19BC7825"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LGBTI Lesbianas, Gais, Bisexuales y Transgénero</w:t>
      </w:r>
    </w:p>
    <w:p w14:paraId="6E59D797" w14:textId="77777777" w:rsidR="00F45F42" w:rsidRDefault="00F45F42" w:rsidP="00EC55FE">
      <w:pPr>
        <w:tabs>
          <w:tab w:val="left" w:pos="851"/>
        </w:tabs>
        <w:spacing w:before="240" w:after="0" w:line="240" w:lineRule="auto"/>
        <w:rPr>
          <w:rFonts w:ascii="Times New Roman" w:hAnsi="Times New Roman"/>
        </w:rPr>
      </w:pPr>
      <w:r w:rsidRPr="00F45F42">
        <w:rPr>
          <w:rFonts w:ascii="Times New Roman" w:hAnsi="Times New Roman"/>
        </w:rPr>
        <w:t xml:space="preserve">LOCTPTIM Ley Orgánica Contra la Trata de Personas y Tráfico Ilícito de Migrantes </w:t>
      </w:r>
      <w:r w:rsidRPr="007E1006">
        <w:rPr>
          <w:rFonts w:ascii="Times New Roman" w:hAnsi="Times New Roman"/>
        </w:rPr>
        <w:t xml:space="preserve"> </w:t>
      </w:r>
    </w:p>
    <w:p w14:paraId="07B0A5E2"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LOGJCC Ley Orgánica de Garantías Jurisdiccionales y Control Constitucional</w:t>
      </w:r>
    </w:p>
    <w:p w14:paraId="1ED8837B"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 xml:space="preserve">LOIPEVCM Ley Orgánica Integral para Prevenir y Erradicar la Violencia Contra la Mujer </w:t>
      </w:r>
    </w:p>
    <w:p w14:paraId="7338B7E2"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LOMH Ley Orgánica de Movilidad Humana</w:t>
      </w:r>
    </w:p>
    <w:p w14:paraId="61F34DC3"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LORCOPIP Ley Orgánica Reformatoria al Código Orgánico Integral Penal</w:t>
      </w:r>
    </w:p>
    <w:p w14:paraId="4DFB2B00"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MCDS Ministerio Coordinador de Desarrollo Social</w:t>
      </w:r>
    </w:p>
    <w:p w14:paraId="37AD6DD3"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MF Ministerio de Finanzas</w:t>
      </w:r>
    </w:p>
    <w:p w14:paraId="135B14CB"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MG</w:t>
      </w:r>
      <w:r w:rsidR="009C6DBE" w:rsidRPr="007E1006">
        <w:rPr>
          <w:rFonts w:ascii="Times New Roman" w:hAnsi="Times New Roman"/>
        </w:rPr>
        <w:t xml:space="preserve"> </w:t>
      </w:r>
      <w:r w:rsidRPr="007E1006">
        <w:rPr>
          <w:rFonts w:ascii="Times New Roman" w:hAnsi="Times New Roman"/>
        </w:rPr>
        <w:t>Ministerio de Gobierno</w:t>
      </w:r>
    </w:p>
    <w:p w14:paraId="28395AC2"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lastRenderedPageBreak/>
        <w:t>MIES Ministerio de Inclusión, Económica y Social</w:t>
      </w:r>
    </w:p>
    <w:p w14:paraId="3B5B81FE"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 xml:space="preserve">MJDHC Ministerio de Justicia, Derechos Humanos y Cultos </w:t>
      </w:r>
    </w:p>
    <w:p w14:paraId="4096CBFC" w14:textId="77777777" w:rsidR="00AB5549" w:rsidRPr="007E1006" w:rsidRDefault="00AB5549" w:rsidP="00EC55FE">
      <w:pPr>
        <w:tabs>
          <w:tab w:val="left" w:pos="851"/>
        </w:tabs>
        <w:spacing w:before="240" w:after="0" w:line="240" w:lineRule="auto"/>
        <w:rPr>
          <w:rFonts w:ascii="Times New Roman" w:hAnsi="Times New Roman"/>
        </w:rPr>
      </w:pPr>
      <w:r w:rsidRPr="007E1006">
        <w:rPr>
          <w:rFonts w:ascii="Times New Roman" w:hAnsi="Times New Roman"/>
        </w:rPr>
        <w:t>MREMH</w:t>
      </w:r>
      <w:r w:rsidR="009C6DBE" w:rsidRPr="007E1006">
        <w:rPr>
          <w:rFonts w:ascii="Times New Roman" w:hAnsi="Times New Roman"/>
        </w:rPr>
        <w:t xml:space="preserve"> </w:t>
      </w:r>
      <w:r w:rsidRPr="007E1006">
        <w:rPr>
          <w:rFonts w:ascii="Times New Roman" w:hAnsi="Times New Roman"/>
        </w:rPr>
        <w:t>Ministerio de Relaciones Exteriores y Movilidad Humana</w:t>
      </w:r>
    </w:p>
    <w:p w14:paraId="741C4CCC" w14:textId="77777777" w:rsidR="00AB5549" w:rsidRDefault="00AB5549" w:rsidP="00EC55FE">
      <w:pPr>
        <w:tabs>
          <w:tab w:val="left" w:pos="851"/>
        </w:tabs>
        <w:spacing w:before="240" w:after="0" w:line="240" w:lineRule="auto"/>
        <w:rPr>
          <w:rFonts w:ascii="Times New Roman" w:hAnsi="Times New Roman"/>
        </w:rPr>
      </w:pPr>
      <w:r w:rsidRPr="00391A95">
        <w:rPr>
          <w:rFonts w:ascii="Times New Roman" w:hAnsi="Times New Roman"/>
        </w:rPr>
        <w:t xml:space="preserve">MSP Ministerio de Salud Pública </w:t>
      </w:r>
    </w:p>
    <w:p w14:paraId="7CBB2E88" w14:textId="77777777" w:rsidR="001F0A1E" w:rsidRPr="00391A95" w:rsidRDefault="001F0A1E" w:rsidP="001F0A1E">
      <w:pPr>
        <w:tabs>
          <w:tab w:val="left" w:pos="851"/>
        </w:tabs>
        <w:spacing w:before="240" w:after="0" w:line="240" w:lineRule="auto"/>
        <w:rPr>
          <w:rFonts w:ascii="Times New Roman" w:hAnsi="Times New Roman"/>
        </w:rPr>
      </w:pPr>
      <w:r w:rsidRPr="00391A95">
        <w:rPr>
          <w:rFonts w:ascii="Times New Roman" w:hAnsi="Times New Roman"/>
        </w:rPr>
        <w:t>MMDH Ministerio de la Mujer y Derechos Humanos</w:t>
      </w:r>
    </w:p>
    <w:p w14:paraId="33F5247F" w14:textId="77777777" w:rsidR="00AB5549" w:rsidRDefault="00AB5549" w:rsidP="00EC55FE">
      <w:pPr>
        <w:tabs>
          <w:tab w:val="left" w:pos="851"/>
        </w:tabs>
        <w:spacing w:before="240" w:after="0" w:line="240" w:lineRule="auto"/>
        <w:rPr>
          <w:rFonts w:ascii="Times New Roman" w:hAnsi="Times New Roman"/>
        </w:rPr>
      </w:pPr>
      <w:r w:rsidRPr="00391A95">
        <w:rPr>
          <w:rFonts w:ascii="Times New Roman" w:hAnsi="Times New Roman"/>
        </w:rPr>
        <w:t>ONU Organización de Naciones Unidas</w:t>
      </w:r>
    </w:p>
    <w:p w14:paraId="5E85F72C" w14:textId="77777777" w:rsidR="00A65D8E" w:rsidRPr="00391A95" w:rsidRDefault="00A65D8E" w:rsidP="00EC55FE">
      <w:pPr>
        <w:tabs>
          <w:tab w:val="left" w:pos="851"/>
        </w:tabs>
        <w:spacing w:before="240" w:after="0" w:line="240" w:lineRule="auto"/>
        <w:rPr>
          <w:rFonts w:ascii="Times New Roman" w:hAnsi="Times New Roman"/>
        </w:rPr>
      </w:pPr>
      <w:r w:rsidRPr="00A65D8E">
        <w:rPr>
          <w:rFonts w:ascii="Times New Roman" w:hAnsi="Times New Roman"/>
        </w:rPr>
        <w:t>UNAT</w:t>
      </w:r>
      <w:r>
        <w:rPr>
          <w:rFonts w:ascii="Times New Roman" w:hAnsi="Times New Roman"/>
        </w:rPr>
        <w:t xml:space="preserve"> U</w:t>
      </w:r>
      <w:r w:rsidRPr="00A65D8E">
        <w:rPr>
          <w:rFonts w:ascii="Times New Roman" w:hAnsi="Times New Roman"/>
        </w:rPr>
        <w:t xml:space="preserve">nidad nacional de investigación contra la trata de personas y tráfico ilícito de migrantes </w:t>
      </w:r>
    </w:p>
    <w:p w14:paraId="5468476C" w14:textId="77777777" w:rsidR="00AB5549" w:rsidRPr="00391A95" w:rsidRDefault="00AB5549" w:rsidP="00EC55FE">
      <w:pPr>
        <w:tabs>
          <w:tab w:val="left" w:pos="851"/>
        </w:tabs>
        <w:spacing w:before="240" w:after="0" w:line="240" w:lineRule="auto"/>
        <w:rPr>
          <w:rFonts w:ascii="Times New Roman" w:hAnsi="Times New Roman"/>
        </w:rPr>
      </w:pPr>
      <w:r w:rsidRPr="00391A95">
        <w:rPr>
          <w:rFonts w:ascii="Times New Roman" w:hAnsi="Times New Roman"/>
        </w:rPr>
        <w:t>PACTA Plan de Acción contra la Trata de Personas</w:t>
      </w:r>
    </w:p>
    <w:p w14:paraId="3F88DE6A" w14:textId="77777777" w:rsidR="00AB5549" w:rsidRPr="00391A95" w:rsidRDefault="00AB5549" w:rsidP="00EC55FE">
      <w:pPr>
        <w:tabs>
          <w:tab w:val="left" w:pos="851"/>
        </w:tabs>
        <w:spacing w:before="240" w:after="0" w:line="240" w:lineRule="auto"/>
        <w:rPr>
          <w:rFonts w:ascii="Times New Roman" w:hAnsi="Times New Roman"/>
        </w:rPr>
      </w:pPr>
      <w:r w:rsidRPr="00391A95">
        <w:rPr>
          <w:rFonts w:ascii="Times New Roman" w:hAnsi="Times New Roman"/>
        </w:rPr>
        <w:t>PND Plan Nacional de Desarrollo</w:t>
      </w:r>
    </w:p>
    <w:p w14:paraId="00C95CBB" w14:textId="77777777" w:rsidR="00AB5549" w:rsidRPr="00391A95" w:rsidRDefault="00AB5549" w:rsidP="00EC55FE">
      <w:pPr>
        <w:tabs>
          <w:tab w:val="left" w:pos="851"/>
        </w:tabs>
        <w:spacing w:before="240" w:after="0" w:line="240" w:lineRule="auto"/>
        <w:rPr>
          <w:rFonts w:ascii="Times New Roman" w:hAnsi="Times New Roman"/>
        </w:rPr>
      </w:pPr>
      <w:r w:rsidRPr="00391A95">
        <w:rPr>
          <w:rFonts w:ascii="Times New Roman" w:hAnsi="Times New Roman"/>
        </w:rPr>
        <w:t>PRE Presidencia de la República del Ecuador</w:t>
      </w:r>
    </w:p>
    <w:p w14:paraId="47F72BB4" w14:textId="77777777" w:rsidR="00AB5549" w:rsidRPr="00EC55FE" w:rsidRDefault="001F0A1E" w:rsidP="00EC55FE">
      <w:pPr>
        <w:tabs>
          <w:tab w:val="left" w:pos="851"/>
        </w:tabs>
        <w:spacing w:before="240" w:after="0" w:line="240" w:lineRule="auto"/>
        <w:rPr>
          <w:rFonts w:ascii="Times New Roman" w:hAnsi="Times New Roman"/>
          <w:b/>
          <w:bCs/>
        </w:rPr>
      </w:pPr>
      <w:r w:rsidRPr="001F0A1E">
        <w:rPr>
          <w:rFonts w:ascii="Times New Roman" w:hAnsi="Times New Roman"/>
        </w:rPr>
        <w:t>SAT Sistema de Alerta Temprana</w:t>
      </w:r>
      <w:r w:rsidRPr="003F2FB8">
        <w:rPr>
          <w:color w:val="000000"/>
        </w:rPr>
        <w:t xml:space="preserve"> </w:t>
      </w:r>
    </w:p>
    <w:p w14:paraId="705473F4" w14:textId="77777777" w:rsidR="00EC55FE" w:rsidRDefault="00EC55FE" w:rsidP="00EC55FE">
      <w:pPr>
        <w:tabs>
          <w:tab w:val="left" w:pos="851"/>
        </w:tabs>
        <w:spacing w:before="240" w:after="0" w:line="240" w:lineRule="auto"/>
        <w:rPr>
          <w:rFonts w:ascii="Times New Roman" w:hAnsi="Times New Roman"/>
          <w:b/>
          <w:bCs/>
        </w:rPr>
      </w:pPr>
    </w:p>
    <w:p w14:paraId="72F13B98" w14:textId="77777777" w:rsidR="00EC55FE" w:rsidRDefault="00EC55FE" w:rsidP="00EC55FE">
      <w:pPr>
        <w:tabs>
          <w:tab w:val="left" w:pos="851"/>
        </w:tabs>
        <w:spacing w:before="240" w:after="0" w:line="240" w:lineRule="auto"/>
        <w:rPr>
          <w:rFonts w:ascii="Times New Roman" w:hAnsi="Times New Roman"/>
          <w:b/>
          <w:bCs/>
        </w:rPr>
      </w:pPr>
    </w:p>
    <w:p w14:paraId="2B881C0C" w14:textId="77777777" w:rsidR="007E1006" w:rsidRDefault="007E1006" w:rsidP="00EC55FE">
      <w:pPr>
        <w:tabs>
          <w:tab w:val="left" w:pos="851"/>
        </w:tabs>
        <w:spacing w:before="240" w:after="0" w:line="240" w:lineRule="auto"/>
        <w:rPr>
          <w:rFonts w:ascii="Times New Roman" w:hAnsi="Times New Roman"/>
          <w:b/>
          <w:bCs/>
        </w:rPr>
      </w:pPr>
    </w:p>
    <w:p w14:paraId="1FA8CC82" w14:textId="77777777" w:rsidR="007E1006" w:rsidRDefault="007E1006" w:rsidP="00EC55FE">
      <w:pPr>
        <w:tabs>
          <w:tab w:val="left" w:pos="851"/>
        </w:tabs>
        <w:spacing w:before="240" w:after="0" w:line="240" w:lineRule="auto"/>
        <w:rPr>
          <w:rFonts w:ascii="Times New Roman" w:hAnsi="Times New Roman"/>
          <w:b/>
          <w:bCs/>
        </w:rPr>
      </w:pPr>
    </w:p>
    <w:p w14:paraId="29BA4A08" w14:textId="77777777" w:rsidR="007E1006" w:rsidRDefault="007E1006" w:rsidP="00EC55FE">
      <w:pPr>
        <w:tabs>
          <w:tab w:val="left" w:pos="851"/>
        </w:tabs>
        <w:spacing w:before="240" w:after="0" w:line="240" w:lineRule="auto"/>
        <w:rPr>
          <w:rFonts w:ascii="Times New Roman" w:hAnsi="Times New Roman"/>
          <w:b/>
          <w:bCs/>
        </w:rPr>
      </w:pPr>
    </w:p>
    <w:p w14:paraId="6AB6CE39" w14:textId="77777777" w:rsidR="007E1006" w:rsidRDefault="007E1006" w:rsidP="00EC55FE">
      <w:pPr>
        <w:tabs>
          <w:tab w:val="left" w:pos="851"/>
        </w:tabs>
        <w:spacing w:before="240" w:after="0" w:line="240" w:lineRule="auto"/>
        <w:rPr>
          <w:rFonts w:ascii="Times New Roman" w:hAnsi="Times New Roman"/>
          <w:b/>
          <w:bCs/>
        </w:rPr>
      </w:pPr>
    </w:p>
    <w:p w14:paraId="02125F31" w14:textId="77777777" w:rsidR="007E1006" w:rsidRDefault="007E1006" w:rsidP="00EC55FE">
      <w:pPr>
        <w:tabs>
          <w:tab w:val="left" w:pos="851"/>
        </w:tabs>
        <w:spacing w:before="240" w:after="0" w:line="240" w:lineRule="auto"/>
        <w:rPr>
          <w:rFonts w:ascii="Times New Roman" w:hAnsi="Times New Roman"/>
          <w:b/>
          <w:bCs/>
        </w:rPr>
      </w:pPr>
    </w:p>
    <w:p w14:paraId="15DA7F4B" w14:textId="77777777" w:rsidR="007E1006" w:rsidRDefault="007E1006" w:rsidP="00EC55FE">
      <w:pPr>
        <w:tabs>
          <w:tab w:val="left" w:pos="851"/>
        </w:tabs>
        <w:spacing w:before="240" w:after="0" w:line="240" w:lineRule="auto"/>
        <w:rPr>
          <w:rFonts w:ascii="Times New Roman" w:hAnsi="Times New Roman"/>
          <w:b/>
          <w:bCs/>
        </w:rPr>
      </w:pPr>
    </w:p>
    <w:p w14:paraId="7A522554" w14:textId="77777777" w:rsidR="007E1006" w:rsidRDefault="007E1006" w:rsidP="00EC55FE">
      <w:pPr>
        <w:tabs>
          <w:tab w:val="left" w:pos="851"/>
        </w:tabs>
        <w:spacing w:before="240" w:after="0" w:line="240" w:lineRule="auto"/>
        <w:rPr>
          <w:rFonts w:ascii="Times New Roman" w:hAnsi="Times New Roman"/>
          <w:b/>
          <w:bCs/>
        </w:rPr>
      </w:pPr>
    </w:p>
    <w:p w14:paraId="3C6F0A7E" w14:textId="77777777" w:rsidR="007E1006" w:rsidRDefault="007E1006" w:rsidP="00EC55FE">
      <w:pPr>
        <w:tabs>
          <w:tab w:val="left" w:pos="851"/>
        </w:tabs>
        <w:spacing w:before="240" w:after="0" w:line="240" w:lineRule="auto"/>
        <w:rPr>
          <w:rFonts w:ascii="Times New Roman" w:hAnsi="Times New Roman"/>
          <w:b/>
          <w:bCs/>
        </w:rPr>
      </w:pPr>
    </w:p>
    <w:p w14:paraId="0AF24ABC" w14:textId="77777777" w:rsidR="007E1006" w:rsidRDefault="007E1006" w:rsidP="00EC55FE">
      <w:pPr>
        <w:tabs>
          <w:tab w:val="left" w:pos="851"/>
        </w:tabs>
        <w:spacing w:before="240" w:after="0" w:line="240" w:lineRule="auto"/>
        <w:rPr>
          <w:rFonts w:ascii="Times New Roman" w:hAnsi="Times New Roman"/>
          <w:b/>
          <w:bCs/>
        </w:rPr>
      </w:pPr>
    </w:p>
    <w:p w14:paraId="0C29C24D" w14:textId="77777777" w:rsidR="007E1006" w:rsidRDefault="007E1006" w:rsidP="00EC55FE">
      <w:pPr>
        <w:tabs>
          <w:tab w:val="left" w:pos="851"/>
        </w:tabs>
        <w:spacing w:before="240" w:after="0" w:line="240" w:lineRule="auto"/>
        <w:rPr>
          <w:rFonts w:ascii="Times New Roman" w:hAnsi="Times New Roman"/>
          <w:b/>
          <w:bCs/>
        </w:rPr>
      </w:pPr>
    </w:p>
    <w:p w14:paraId="390FB9B2" w14:textId="77777777" w:rsidR="007E1006" w:rsidRDefault="007E1006" w:rsidP="00EC55FE">
      <w:pPr>
        <w:tabs>
          <w:tab w:val="left" w:pos="851"/>
        </w:tabs>
        <w:spacing w:before="240" w:after="0" w:line="240" w:lineRule="auto"/>
        <w:rPr>
          <w:rFonts w:ascii="Times New Roman" w:hAnsi="Times New Roman"/>
          <w:b/>
          <w:bCs/>
        </w:rPr>
      </w:pPr>
    </w:p>
    <w:p w14:paraId="2B53C492" w14:textId="77777777" w:rsidR="007E1006" w:rsidRDefault="007E1006" w:rsidP="00EC55FE">
      <w:pPr>
        <w:tabs>
          <w:tab w:val="left" w:pos="851"/>
        </w:tabs>
        <w:spacing w:before="240" w:after="0" w:line="240" w:lineRule="auto"/>
        <w:rPr>
          <w:rFonts w:ascii="Times New Roman" w:hAnsi="Times New Roman"/>
          <w:b/>
          <w:bCs/>
        </w:rPr>
      </w:pPr>
    </w:p>
    <w:p w14:paraId="3FB195A8" w14:textId="77777777" w:rsidR="00C02D19" w:rsidRDefault="00C02D19" w:rsidP="00EC55FE">
      <w:pPr>
        <w:tabs>
          <w:tab w:val="left" w:pos="851"/>
        </w:tabs>
        <w:spacing w:before="240" w:after="0" w:line="240" w:lineRule="auto"/>
        <w:rPr>
          <w:rFonts w:ascii="Times New Roman" w:hAnsi="Times New Roman"/>
          <w:b/>
          <w:bCs/>
        </w:rPr>
      </w:pPr>
    </w:p>
    <w:p w14:paraId="14840BBD" w14:textId="77777777" w:rsidR="002257E0" w:rsidRDefault="002257E0">
      <w:pPr>
        <w:spacing w:after="0" w:line="240" w:lineRule="auto"/>
        <w:rPr>
          <w:rFonts w:ascii="Times New Roman" w:hAnsi="Times New Roman"/>
          <w:b/>
          <w:bCs/>
        </w:rPr>
      </w:pPr>
      <w:r>
        <w:rPr>
          <w:rFonts w:ascii="Times New Roman" w:hAnsi="Times New Roman"/>
          <w:b/>
          <w:bCs/>
        </w:rPr>
        <w:br w:type="page"/>
      </w:r>
    </w:p>
    <w:p w14:paraId="1AC715AA" w14:textId="07745240" w:rsidR="00F1700D" w:rsidRPr="00EC55FE" w:rsidRDefault="00247E7E" w:rsidP="00F9152A">
      <w:pPr>
        <w:tabs>
          <w:tab w:val="left" w:pos="851"/>
        </w:tabs>
        <w:spacing w:after="0" w:line="240" w:lineRule="auto"/>
        <w:rPr>
          <w:rFonts w:ascii="Times New Roman" w:hAnsi="Times New Roman"/>
          <w:b/>
          <w:bCs/>
        </w:rPr>
      </w:pPr>
      <w:r w:rsidRPr="00EC55FE">
        <w:rPr>
          <w:rFonts w:ascii="Times New Roman" w:hAnsi="Times New Roman"/>
          <w:b/>
          <w:bCs/>
        </w:rPr>
        <w:lastRenderedPageBreak/>
        <w:t xml:space="preserve">Introducción </w:t>
      </w:r>
    </w:p>
    <w:p w14:paraId="6296E71C" w14:textId="77777777" w:rsidR="00C73C4F" w:rsidRDefault="00C73C4F" w:rsidP="00F9152A">
      <w:pPr>
        <w:tabs>
          <w:tab w:val="left" w:pos="851"/>
        </w:tabs>
        <w:spacing w:after="0" w:line="240" w:lineRule="auto"/>
        <w:jc w:val="both"/>
        <w:rPr>
          <w:rFonts w:ascii="Times New Roman" w:hAnsi="Times New Roman"/>
        </w:rPr>
      </w:pPr>
      <w:r>
        <w:rPr>
          <w:rFonts w:ascii="Times New Roman" w:hAnsi="Times New Roman"/>
        </w:rPr>
        <w:tab/>
      </w:r>
    </w:p>
    <w:p w14:paraId="522CFA88" w14:textId="77777777" w:rsidR="00324B3D" w:rsidRPr="00EC55FE" w:rsidRDefault="00FC10F9" w:rsidP="00F9152A">
      <w:pPr>
        <w:tabs>
          <w:tab w:val="left" w:pos="851"/>
        </w:tabs>
        <w:spacing w:after="0" w:line="240" w:lineRule="auto"/>
        <w:jc w:val="both"/>
        <w:rPr>
          <w:rFonts w:ascii="Times New Roman" w:hAnsi="Times New Roman"/>
        </w:rPr>
      </w:pPr>
      <w:r>
        <w:rPr>
          <w:rFonts w:ascii="Times New Roman" w:hAnsi="Times New Roman"/>
        </w:rPr>
        <w:tab/>
      </w:r>
      <w:r w:rsidR="00324B3D" w:rsidRPr="00EC55FE">
        <w:rPr>
          <w:rFonts w:ascii="Times New Roman" w:hAnsi="Times New Roman"/>
        </w:rPr>
        <w:t>La Defensoría del Pueblo de Ecuador (DPE) es la institución pública encargada de velar por la promoción, protección y tutela de los derechos de todas las personas en el territorio nacional de las ecuatorianas y los ecuatorianos en el exterior y de los derechos de la naturaleza, de acuerdo con la Ley Orgánica de la Defensoría del Pueblo, LODP, (2019, art. 2). Los fines de la DPE, de conformidad con la mencionada Ley, son: i) Ejercer la magistratura ética en derechos humanos y de la naturaleza; ii) Prevenir las vulneraciones de los derechos humanos y de la naturaleza; iii) Promover la difusión pública, la educación, la asesoría, la incidencia y el monitoreo de los derechos humanos y de la naturaleza; y, iv) Proteger y tutelar los derechos humanos y de la naturaleza (Ley Orgánica de la Defensoría del Pueblo, 2019, art. 3).</w:t>
      </w:r>
    </w:p>
    <w:p w14:paraId="229419AF" w14:textId="77777777" w:rsidR="00324B3D" w:rsidRPr="00EC55FE" w:rsidRDefault="00C73C4F" w:rsidP="00123B50">
      <w:pPr>
        <w:tabs>
          <w:tab w:val="left" w:pos="851"/>
        </w:tabs>
        <w:spacing w:before="240" w:after="0" w:line="240" w:lineRule="auto"/>
        <w:jc w:val="both"/>
        <w:rPr>
          <w:rFonts w:ascii="Times New Roman" w:hAnsi="Times New Roman"/>
        </w:rPr>
      </w:pPr>
      <w:r>
        <w:rPr>
          <w:rFonts w:ascii="Times New Roman" w:hAnsi="Times New Roman"/>
        </w:rPr>
        <w:tab/>
      </w:r>
      <w:r w:rsidR="00324B3D" w:rsidRPr="00EC55FE">
        <w:rPr>
          <w:rFonts w:ascii="Times New Roman" w:hAnsi="Times New Roman"/>
        </w:rPr>
        <w:t>Adicionalmente, para la aplicación de la Ley Orgánica de la Defensoría del Pueblo, se establecen los principios de independencia, autonomía, pluralismo, igualdad y no discriminación, plurinacionalidad, progresividad y no regresividad, interdependencia, informalidad, gratuidad y celeridad, y desconcentración (Ley Orgánica de la Defensoría del Pueblo, 2019, art. 4).</w:t>
      </w:r>
    </w:p>
    <w:p w14:paraId="26AA2618" w14:textId="77777777" w:rsidR="00391A95" w:rsidRDefault="00C73C4F" w:rsidP="00123B50">
      <w:pPr>
        <w:tabs>
          <w:tab w:val="left" w:pos="851"/>
        </w:tabs>
        <w:spacing w:before="240" w:after="0" w:line="240" w:lineRule="auto"/>
        <w:jc w:val="both"/>
        <w:rPr>
          <w:rFonts w:ascii="Times New Roman" w:hAnsi="Times New Roman"/>
        </w:rPr>
      </w:pPr>
      <w:r>
        <w:rPr>
          <w:rFonts w:ascii="Times New Roman" w:hAnsi="Times New Roman"/>
        </w:rPr>
        <w:tab/>
      </w:r>
      <w:r w:rsidR="00324B3D" w:rsidRPr="00EC55FE">
        <w:rPr>
          <w:rFonts w:ascii="Times New Roman" w:hAnsi="Times New Roman"/>
        </w:rPr>
        <w:t xml:space="preserve">En este sentido, y en el marco de sus atribuciones como Institución Nacional de Derechos Humano (INDH), la DPE presenta el </w:t>
      </w:r>
      <w:r w:rsidR="00856776" w:rsidRPr="00EC55FE">
        <w:rPr>
          <w:rFonts w:ascii="Times New Roman" w:hAnsi="Times New Roman"/>
        </w:rPr>
        <w:t>Informe Alternativo para el Comité para la Eliminación de la Discriminación Racial (CERD) en su 114° sesión</w:t>
      </w:r>
      <w:r w:rsidR="00391A95">
        <w:rPr>
          <w:rFonts w:ascii="Times New Roman" w:hAnsi="Times New Roman"/>
        </w:rPr>
        <w:t>.</w:t>
      </w:r>
    </w:p>
    <w:p w14:paraId="68842030" w14:textId="77777777" w:rsidR="00324B3D" w:rsidRPr="00EC55FE" w:rsidRDefault="00391A95" w:rsidP="00123B50">
      <w:pPr>
        <w:tabs>
          <w:tab w:val="left" w:pos="851"/>
        </w:tabs>
        <w:spacing w:before="240" w:after="0" w:line="240" w:lineRule="auto"/>
        <w:jc w:val="both"/>
        <w:rPr>
          <w:rFonts w:ascii="Times New Roman" w:hAnsi="Times New Roman"/>
        </w:rPr>
      </w:pPr>
      <w:r>
        <w:rPr>
          <w:rFonts w:ascii="Times New Roman" w:hAnsi="Times New Roman"/>
        </w:rPr>
        <w:tab/>
      </w:r>
      <w:r w:rsidR="00324B3D" w:rsidRPr="00EC55FE">
        <w:rPr>
          <w:rFonts w:ascii="Times New Roman" w:hAnsi="Times New Roman"/>
        </w:rPr>
        <w:t>Por tanto, los temas a tratar serán</w:t>
      </w:r>
      <w:r w:rsidR="00324B3D" w:rsidRPr="006C0661">
        <w:rPr>
          <w:rFonts w:ascii="Times New Roman" w:hAnsi="Times New Roman"/>
        </w:rPr>
        <w:t xml:space="preserve">: </w:t>
      </w:r>
      <w:r w:rsidR="00FD22C1" w:rsidRPr="006C0661">
        <w:rPr>
          <w:rFonts w:ascii="Times New Roman" w:hAnsi="Times New Roman"/>
        </w:rPr>
        <w:t>Medidas contra la discriminación estructural; Delito de odio y discriminación racial</w:t>
      </w:r>
      <w:r w:rsidR="003F2FB8" w:rsidRPr="006C0661">
        <w:rPr>
          <w:rFonts w:ascii="Times New Roman" w:hAnsi="Times New Roman"/>
        </w:rPr>
        <w:t>;</w:t>
      </w:r>
      <w:r w:rsidR="00FD22C1" w:rsidRPr="006C0661">
        <w:rPr>
          <w:rFonts w:ascii="Times New Roman" w:hAnsi="Times New Roman"/>
        </w:rPr>
        <w:t xml:space="preserve"> Impacto de los proyectos de explotación de recursos naturales; Consulta previa, libre e informada; Defensores de derechos humanos; Pueblo indígena awá; Medidas contra formas de discriminac</w:t>
      </w:r>
      <w:r w:rsidR="00FD22C1" w:rsidRPr="00FD22C1">
        <w:rPr>
          <w:rFonts w:ascii="Times New Roman" w:hAnsi="Times New Roman"/>
        </w:rPr>
        <w:t>ión múltiple</w:t>
      </w:r>
      <w:r w:rsidR="00FD22C1">
        <w:rPr>
          <w:rFonts w:ascii="Times New Roman" w:hAnsi="Times New Roman"/>
        </w:rPr>
        <w:t xml:space="preserve">; Movilidad Humana; Trata de personas; </w:t>
      </w:r>
      <w:r w:rsidR="00FD22C1" w:rsidRPr="00FD22C1">
        <w:rPr>
          <w:rFonts w:ascii="Times New Roman" w:hAnsi="Times New Roman"/>
        </w:rPr>
        <w:t>Ratificación de otros tratados</w:t>
      </w:r>
      <w:r w:rsidR="00324B3D" w:rsidRPr="00EC55FE">
        <w:rPr>
          <w:rFonts w:ascii="Times New Roman" w:hAnsi="Times New Roman"/>
        </w:rPr>
        <w:t>.</w:t>
      </w:r>
    </w:p>
    <w:p w14:paraId="2FD3B77E" w14:textId="77777777" w:rsidR="009A1EA7" w:rsidRDefault="009A1EA7" w:rsidP="00EC55FE">
      <w:pPr>
        <w:tabs>
          <w:tab w:val="left" w:pos="851"/>
        </w:tabs>
        <w:spacing w:before="240" w:after="0" w:line="240" w:lineRule="auto"/>
        <w:jc w:val="both"/>
        <w:rPr>
          <w:rFonts w:ascii="Times New Roman" w:hAnsi="Times New Roman"/>
        </w:rPr>
      </w:pPr>
    </w:p>
    <w:p w14:paraId="68331F62" w14:textId="77777777" w:rsidR="00EC55FE" w:rsidRDefault="00EC55FE" w:rsidP="00EC55FE">
      <w:pPr>
        <w:tabs>
          <w:tab w:val="left" w:pos="851"/>
        </w:tabs>
        <w:spacing w:before="240" w:after="0" w:line="240" w:lineRule="auto"/>
        <w:jc w:val="both"/>
        <w:rPr>
          <w:rFonts w:ascii="Times New Roman" w:hAnsi="Times New Roman"/>
        </w:rPr>
      </w:pPr>
    </w:p>
    <w:p w14:paraId="0C47DECD" w14:textId="77777777" w:rsidR="00391A95" w:rsidRDefault="00391A95" w:rsidP="00EC55FE">
      <w:pPr>
        <w:tabs>
          <w:tab w:val="left" w:pos="851"/>
        </w:tabs>
        <w:spacing w:before="240" w:after="0" w:line="240" w:lineRule="auto"/>
        <w:jc w:val="both"/>
        <w:rPr>
          <w:rFonts w:ascii="Times New Roman" w:hAnsi="Times New Roman"/>
        </w:rPr>
      </w:pPr>
    </w:p>
    <w:p w14:paraId="3C3B1D0A" w14:textId="77777777" w:rsidR="00105E5F" w:rsidRDefault="00105E5F" w:rsidP="00EC55FE">
      <w:pPr>
        <w:tabs>
          <w:tab w:val="left" w:pos="851"/>
        </w:tabs>
        <w:spacing w:before="240" w:after="0" w:line="240" w:lineRule="auto"/>
        <w:jc w:val="both"/>
        <w:rPr>
          <w:rFonts w:ascii="Times New Roman" w:hAnsi="Times New Roman"/>
        </w:rPr>
      </w:pPr>
    </w:p>
    <w:p w14:paraId="42D5D5CF" w14:textId="77777777" w:rsidR="00105E5F" w:rsidRDefault="00105E5F" w:rsidP="00EC55FE">
      <w:pPr>
        <w:tabs>
          <w:tab w:val="left" w:pos="851"/>
        </w:tabs>
        <w:spacing w:before="240" w:after="0" w:line="240" w:lineRule="auto"/>
        <w:jc w:val="both"/>
        <w:rPr>
          <w:rFonts w:ascii="Times New Roman" w:hAnsi="Times New Roman"/>
        </w:rPr>
      </w:pPr>
    </w:p>
    <w:p w14:paraId="2078437D" w14:textId="77777777" w:rsidR="00105E5F" w:rsidRDefault="00105E5F" w:rsidP="00EC55FE">
      <w:pPr>
        <w:tabs>
          <w:tab w:val="left" w:pos="851"/>
        </w:tabs>
        <w:spacing w:before="240" w:after="0" w:line="240" w:lineRule="auto"/>
        <w:jc w:val="both"/>
        <w:rPr>
          <w:rFonts w:ascii="Times New Roman" w:hAnsi="Times New Roman"/>
        </w:rPr>
      </w:pPr>
    </w:p>
    <w:p w14:paraId="40C1CB5B" w14:textId="77777777" w:rsidR="00105E5F" w:rsidRDefault="00105E5F" w:rsidP="00EC55FE">
      <w:pPr>
        <w:tabs>
          <w:tab w:val="left" w:pos="851"/>
        </w:tabs>
        <w:spacing w:before="240" w:after="0" w:line="240" w:lineRule="auto"/>
        <w:jc w:val="both"/>
        <w:rPr>
          <w:rFonts w:ascii="Times New Roman" w:hAnsi="Times New Roman"/>
        </w:rPr>
      </w:pPr>
    </w:p>
    <w:p w14:paraId="65A33DB2" w14:textId="77777777" w:rsidR="00EA26DF" w:rsidRDefault="00EA26DF" w:rsidP="00EC55FE">
      <w:pPr>
        <w:tabs>
          <w:tab w:val="left" w:pos="851"/>
        </w:tabs>
        <w:spacing w:before="240" w:after="0" w:line="240" w:lineRule="auto"/>
        <w:jc w:val="both"/>
        <w:rPr>
          <w:rFonts w:ascii="Times New Roman" w:hAnsi="Times New Roman"/>
        </w:rPr>
      </w:pPr>
    </w:p>
    <w:p w14:paraId="4282B51F" w14:textId="77777777" w:rsidR="00EA26DF" w:rsidRDefault="00EA26DF" w:rsidP="00EC55FE">
      <w:pPr>
        <w:tabs>
          <w:tab w:val="left" w:pos="851"/>
        </w:tabs>
        <w:spacing w:before="240" w:after="0" w:line="240" w:lineRule="auto"/>
        <w:jc w:val="both"/>
        <w:rPr>
          <w:rFonts w:ascii="Times New Roman" w:hAnsi="Times New Roman"/>
        </w:rPr>
      </w:pPr>
    </w:p>
    <w:p w14:paraId="001C7B84" w14:textId="77777777" w:rsidR="00F9152A" w:rsidRDefault="00F9152A" w:rsidP="00EC55FE">
      <w:pPr>
        <w:tabs>
          <w:tab w:val="left" w:pos="851"/>
        </w:tabs>
        <w:spacing w:before="240" w:after="0" w:line="240" w:lineRule="auto"/>
        <w:jc w:val="both"/>
        <w:rPr>
          <w:rFonts w:ascii="Times New Roman" w:hAnsi="Times New Roman"/>
        </w:rPr>
      </w:pPr>
    </w:p>
    <w:p w14:paraId="55481621" w14:textId="77777777" w:rsidR="00AA56AE" w:rsidRDefault="00AA56AE" w:rsidP="00EC55FE">
      <w:pPr>
        <w:tabs>
          <w:tab w:val="left" w:pos="851"/>
        </w:tabs>
        <w:spacing w:before="240" w:after="0" w:line="240" w:lineRule="auto"/>
        <w:jc w:val="both"/>
        <w:rPr>
          <w:rFonts w:ascii="Times New Roman" w:hAnsi="Times New Roman"/>
        </w:rPr>
      </w:pPr>
    </w:p>
    <w:p w14:paraId="2B6B4FD6" w14:textId="77777777" w:rsidR="00FD22C1" w:rsidRDefault="00FD22C1" w:rsidP="00EC55FE">
      <w:pPr>
        <w:tabs>
          <w:tab w:val="left" w:pos="851"/>
        </w:tabs>
        <w:spacing w:before="240" w:after="0" w:line="240" w:lineRule="auto"/>
        <w:jc w:val="both"/>
        <w:rPr>
          <w:rFonts w:ascii="Times New Roman" w:hAnsi="Times New Roman"/>
        </w:rPr>
      </w:pPr>
    </w:p>
    <w:p w14:paraId="4EE29BF5" w14:textId="77777777" w:rsidR="00FD22C1" w:rsidRDefault="00FD22C1" w:rsidP="00EC55FE">
      <w:pPr>
        <w:tabs>
          <w:tab w:val="left" w:pos="851"/>
        </w:tabs>
        <w:spacing w:before="240" w:after="0" w:line="240" w:lineRule="auto"/>
        <w:jc w:val="both"/>
        <w:rPr>
          <w:rFonts w:ascii="Times New Roman" w:hAnsi="Times New Roman"/>
        </w:rPr>
      </w:pPr>
    </w:p>
    <w:p w14:paraId="6685F053" w14:textId="77777777" w:rsidR="007434F1" w:rsidRPr="0029797A" w:rsidRDefault="0000007A" w:rsidP="0029797A">
      <w:pPr>
        <w:pStyle w:val="ListParagraph"/>
        <w:numPr>
          <w:ilvl w:val="0"/>
          <w:numId w:val="17"/>
        </w:numPr>
        <w:tabs>
          <w:tab w:val="left" w:pos="851"/>
        </w:tabs>
        <w:spacing w:before="240" w:after="0" w:line="240" w:lineRule="auto"/>
        <w:jc w:val="both"/>
        <w:rPr>
          <w:rFonts w:ascii="Times New Roman" w:hAnsi="Times New Roman"/>
          <w:b/>
        </w:rPr>
      </w:pPr>
      <w:r w:rsidRPr="0029797A">
        <w:rPr>
          <w:rFonts w:ascii="Times New Roman" w:hAnsi="Times New Roman"/>
          <w:b/>
        </w:rPr>
        <w:t xml:space="preserve">Medidas contra la discriminación estructural </w:t>
      </w:r>
    </w:p>
    <w:p w14:paraId="3B6196B1" w14:textId="77777777" w:rsidR="007E2AA5" w:rsidRPr="0029797A" w:rsidRDefault="007E2AA5" w:rsidP="0029797A">
      <w:pPr>
        <w:pStyle w:val="ListParagraph"/>
        <w:tabs>
          <w:tab w:val="left" w:pos="851"/>
        </w:tabs>
        <w:spacing w:before="240" w:after="0" w:line="240" w:lineRule="auto"/>
        <w:jc w:val="both"/>
        <w:rPr>
          <w:rFonts w:ascii="Times New Roman" w:hAnsi="Times New Roman"/>
          <w:b/>
        </w:rPr>
      </w:pPr>
    </w:p>
    <w:p w14:paraId="29DEC56A" w14:textId="77777777" w:rsidR="009D63B5" w:rsidRDefault="0000007A" w:rsidP="0029797A">
      <w:pPr>
        <w:pStyle w:val="ListParagraph"/>
        <w:tabs>
          <w:tab w:val="left" w:pos="851"/>
        </w:tabs>
        <w:spacing w:before="240" w:after="0" w:line="240" w:lineRule="auto"/>
        <w:jc w:val="both"/>
        <w:rPr>
          <w:rFonts w:ascii="Times New Roman" w:hAnsi="Times New Roman"/>
          <w:b/>
          <w:i/>
          <w:iCs/>
        </w:rPr>
      </w:pPr>
      <w:r w:rsidRPr="0029797A">
        <w:rPr>
          <w:rFonts w:ascii="Times New Roman" w:hAnsi="Times New Roman"/>
          <w:b/>
          <w:i/>
          <w:iCs/>
        </w:rPr>
        <w:t>Párrafo 9</w:t>
      </w:r>
    </w:p>
    <w:p w14:paraId="587103B1" w14:textId="77777777" w:rsidR="00EE5130" w:rsidRPr="0029797A" w:rsidRDefault="00EE5130" w:rsidP="0029797A">
      <w:pPr>
        <w:pStyle w:val="ListParagraph"/>
        <w:tabs>
          <w:tab w:val="left" w:pos="851"/>
        </w:tabs>
        <w:spacing w:before="240" w:after="0" w:line="240" w:lineRule="auto"/>
        <w:jc w:val="both"/>
        <w:rPr>
          <w:rFonts w:ascii="Times New Roman" w:hAnsi="Times New Roman"/>
          <w:b/>
          <w:i/>
          <w:iCs/>
        </w:rPr>
      </w:pPr>
    </w:p>
    <w:p w14:paraId="3E2C6015" w14:textId="7E1B3C8A" w:rsidR="004C5783" w:rsidRPr="004C5783" w:rsidRDefault="004C5783" w:rsidP="004C5783">
      <w:pPr>
        <w:pStyle w:val="NormalWeb"/>
        <w:spacing w:before="0" w:beforeAutospacing="0" w:after="0" w:afterAutospacing="0"/>
        <w:ind w:firstLine="708"/>
        <w:jc w:val="both"/>
        <w:rPr>
          <w:color w:val="000000"/>
          <w:sz w:val="22"/>
          <w:szCs w:val="22"/>
          <w:lang w:val="es-ES"/>
        </w:rPr>
      </w:pPr>
      <w:r w:rsidRPr="004C5783">
        <w:rPr>
          <w:color w:val="000000"/>
          <w:sz w:val="22"/>
          <w:szCs w:val="22"/>
        </w:rPr>
        <w:t xml:space="preserve">La población afrodescendiente e indígena en Ecuador ha enfrentado de manera histórica, diversas formas de discriminación, exclusión y violencia. Estas situaciones han obstaculizado el ejercicio pleno de sus derechos humanos y han perpetuado un ciclo de marginación. </w:t>
      </w:r>
      <w:r w:rsidRPr="004C5783">
        <w:rPr>
          <w:color w:val="000000"/>
          <w:sz w:val="22"/>
          <w:szCs w:val="22"/>
          <w:lang w:val="es-ES"/>
        </w:rPr>
        <w:t xml:space="preserve">El Estado ecuatoriano ha hecho avances importantes en la promoción de los derechos de los pueblos indígenas, afroecuatorianos y montubios, en cuanto a sensibilización y promoción del diálogo intercultural. </w:t>
      </w:r>
    </w:p>
    <w:p w14:paraId="476EE5B0" w14:textId="77777777" w:rsidR="004C5783" w:rsidRPr="004C5783" w:rsidRDefault="004C5783" w:rsidP="004C5783">
      <w:pPr>
        <w:pStyle w:val="NormalWeb"/>
        <w:spacing w:before="0" w:beforeAutospacing="0" w:after="0" w:afterAutospacing="0"/>
        <w:ind w:firstLine="708"/>
        <w:jc w:val="both"/>
        <w:rPr>
          <w:color w:val="000000"/>
          <w:sz w:val="22"/>
          <w:szCs w:val="22"/>
        </w:rPr>
      </w:pPr>
      <w:r w:rsidRPr="004C5783">
        <w:rPr>
          <w:color w:val="000000"/>
          <w:sz w:val="22"/>
          <w:szCs w:val="22"/>
        </w:rPr>
        <w:t>Además, ha adoptado diversos programas promovidos por el Ministerio de Cultura y Patrimonio que buscan fomentar el diálogo intercultural, incluyendo campañas de sensibilización como el "Día Internacional de la Eliminación de la Discriminación Racial", y otros eventos con el fin de concientizar  a la población sobre la diversidad cultural y los derechos humanos; así como la promoción de talleres, foros y actividades que fomenten el respeto por la diversidad cultural y los derechos de los pueblos indígenas y afroecuatorianos.</w:t>
      </w:r>
    </w:p>
    <w:p w14:paraId="046E6589" w14:textId="77777777" w:rsidR="004C5783" w:rsidRPr="004C5783" w:rsidRDefault="004C5783" w:rsidP="004C5783">
      <w:pPr>
        <w:pStyle w:val="NormalWeb"/>
        <w:spacing w:before="0" w:beforeAutospacing="0" w:after="0" w:afterAutospacing="0"/>
        <w:ind w:firstLine="708"/>
        <w:jc w:val="both"/>
        <w:rPr>
          <w:color w:val="000000"/>
          <w:sz w:val="22"/>
          <w:szCs w:val="22"/>
        </w:rPr>
      </w:pPr>
      <w:r w:rsidRPr="004C5783">
        <w:rPr>
          <w:color w:val="000000"/>
          <w:sz w:val="22"/>
          <w:szCs w:val="22"/>
        </w:rPr>
        <w:t xml:space="preserve">El desarrollo del Plan Nacional para el Buen Vivir 2017-2021, ha sido un marco importante para las políticas de inclusión social y el desarrollo sostenible, reconociendo la diversidad cultural del país; incluyendo políticas de acción afirmativa y programas específicos dirigidos a comunidades indígenas, afroecuatorianas y montubias. Sin embargo, ha mostrado debilidades en la asignación de recursos humanos y financieros adecuados. </w:t>
      </w:r>
    </w:p>
    <w:p w14:paraId="3B9359C6" w14:textId="441C7BCF" w:rsidR="004C5783" w:rsidRPr="004C5783" w:rsidRDefault="004C5783" w:rsidP="004C5783">
      <w:pPr>
        <w:pStyle w:val="NormalWeb"/>
        <w:spacing w:before="0" w:beforeAutospacing="0" w:after="0" w:afterAutospacing="0"/>
        <w:ind w:firstLine="708"/>
        <w:jc w:val="both"/>
        <w:rPr>
          <w:color w:val="000000"/>
          <w:sz w:val="22"/>
          <w:szCs w:val="22"/>
        </w:rPr>
      </w:pPr>
      <w:r w:rsidRPr="004C5783">
        <w:rPr>
          <w:color w:val="000000"/>
          <w:sz w:val="22"/>
          <w:szCs w:val="22"/>
        </w:rPr>
        <w:t>En este contexto, la Defensoría del Pueblo en su rol de promoción y protección de los derechos humanos, particularmente en la defensa de los derechos de los pueblos y nacionalidades indígenas, afroecuatorianos y montubios, ha evidenciado su preocupación por la efectividad de las políticas públicas existentes. Así mismo señala la necesidad de establecer mecanismos claros de seguimiento y evaluación que permitan medir el impacto de dichas políticas en las comunidades vulnerables. Para avanzar hacia una sociedad más inclusiva y equitativa, el Estado ecuatoriano debe reforzar su compromiso en la implementación de acciones concretas, tales como programas de acción afirmativa y espacios de participación efectiva, garantizando que las voces de los pueblos y nacionalidades sean escuchadas y respetadas en todos los niveles.</w:t>
      </w:r>
    </w:p>
    <w:p w14:paraId="1EE7DB4C" w14:textId="77777777" w:rsidR="004C5783" w:rsidRPr="004C5783" w:rsidRDefault="004C5783" w:rsidP="004C5783">
      <w:pPr>
        <w:pStyle w:val="NormalWeb"/>
        <w:spacing w:before="0" w:beforeAutospacing="0" w:after="0" w:afterAutospacing="0"/>
        <w:ind w:firstLine="708"/>
        <w:jc w:val="both"/>
        <w:rPr>
          <w:color w:val="000000"/>
          <w:sz w:val="22"/>
          <w:szCs w:val="22"/>
        </w:rPr>
      </w:pPr>
      <w:r w:rsidRPr="004C5783">
        <w:rPr>
          <w:color w:val="000000"/>
          <w:sz w:val="22"/>
          <w:szCs w:val="22"/>
        </w:rPr>
        <w:t xml:space="preserve">Es así como, la DPE ha implementado diversas acciones en promoción y protección de los derechos de los pueblos y nacionalidades. Entre las iniciativas destacadas se encuentran la etnoeducación afroecuatoriana y diálogos de saberes, como el organizado para conmemorar el Día Internacional de la Mujer Afrodescendiente en julio de 2022. Estos espacios de diálogo han permitido abordar los derechos humanos desde múltiples perspectivas en las regiones costa, sierra y Amazonía, fortaleciendo la participación de las comunidades. </w:t>
      </w:r>
    </w:p>
    <w:p w14:paraId="3FD4A855" w14:textId="77777777" w:rsidR="004C5783" w:rsidRPr="004C5783" w:rsidRDefault="004C5783" w:rsidP="004C5783">
      <w:pPr>
        <w:pStyle w:val="NormalWeb"/>
        <w:spacing w:before="0" w:beforeAutospacing="0" w:after="0" w:afterAutospacing="0"/>
        <w:ind w:firstLine="708"/>
        <w:jc w:val="both"/>
        <w:rPr>
          <w:color w:val="000000"/>
          <w:sz w:val="22"/>
          <w:szCs w:val="22"/>
        </w:rPr>
      </w:pPr>
      <w:r w:rsidRPr="004C5783">
        <w:rPr>
          <w:color w:val="000000"/>
          <w:sz w:val="22"/>
          <w:szCs w:val="22"/>
        </w:rPr>
        <w:t>Además, ha trabajado en conjunto con el Consejo Nacional para la Igualdad de Pueblos y Nacionalidades, Ministerio del Ambiente, Agua y Transición Ecológica, para proteger los derechos colectivos de comunidades ancestrales, como se evidencia en el caso de la Comunidad Indígena San Miguel del Morro a través de la investigación defensorial CASO-DPE-1701-170121-308-2022-000006.</w:t>
      </w:r>
    </w:p>
    <w:p w14:paraId="5C4AA7C8" w14:textId="77777777" w:rsidR="004C5783" w:rsidRPr="004C5783" w:rsidRDefault="004C5783" w:rsidP="004C5783">
      <w:pPr>
        <w:pStyle w:val="NormalWeb"/>
        <w:spacing w:before="0" w:beforeAutospacing="0" w:after="0" w:afterAutospacing="0"/>
        <w:ind w:firstLine="708"/>
        <w:jc w:val="both"/>
        <w:rPr>
          <w:color w:val="000000"/>
          <w:sz w:val="22"/>
          <w:szCs w:val="22"/>
        </w:rPr>
      </w:pPr>
      <w:r w:rsidRPr="004C5783">
        <w:rPr>
          <w:color w:val="000000"/>
          <w:sz w:val="22"/>
          <w:szCs w:val="22"/>
        </w:rPr>
        <w:t xml:space="preserve">Asimismo, la DPE ha intensificado sus esfuerzos en sensibilización contra la discriminación racial, promoviendo el entendimiento intercultural y la celebración de la diversidad. Durante 2022 y 2023, se llevaron a cabo los siguientes talleres, conversatorios y foros como fue el </w:t>
      </w:r>
      <w:r w:rsidRPr="004C5783">
        <w:rPr>
          <w:b/>
          <w:i/>
          <w:color w:val="000000"/>
          <w:sz w:val="22"/>
          <w:szCs w:val="22"/>
        </w:rPr>
        <w:t xml:space="preserve">Diálogo de Saberes con Lideresas, </w:t>
      </w:r>
      <w:r w:rsidRPr="004C5783">
        <w:rPr>
          <w:color w:val="000000"/>
          <w:sz w:val="22"/>
          <w:szCs w:val="22"/>
        </w:rPr>
        <w:t>por el día Internacional de la mujer afrodescendiente. Evento organizado por el Consejo Nacional para la Igualdad de Pueblos y Nacionalidades, que se llevó a cabo el 29 de julio de 2022 con la participación de la DPE en la ponencia y ceremonia sobre “Visión Externa de la participación de la Mujer Afroecuatoriana".</w:t>
      </w:r>
    </w:p>
    <w:p w14:paraId="37139ADE" w14:textId="77777777" w:rsidR="004C5783" w:rsidRPr="004C5783" w:rsidRDefault="004C5783" w:rsidP="004C5783">
      <w:pPr>
        <w:pStyle w:val="NormalWeb"/>
        <w:spacing w:before="0" w:beforeAutospacing="0" w:after="0" w:afterAutospacing="0"/>
        <w:ind w:firstLine="708"/>
        <w:jc w:val="both"/>
        <w:rPr>
          <w:color w:val="000000"/>
          <w:sz w:val="22"/>
          <w:szCs w:val="22"/>
        </w:rPr>
      </w:pPr>
      <w:r w:rsidRPr="004C5783">
        <w:rPr>
          <w:color w:val="000000"/>
          <w:sz w:val="22"/>
          <w:szCs w:val="22"/>
        </w:rPr>
        <w:lastRenderedPageBreak/>
        <w:t>De igual manera, se han realizado acciones conjuntas entre el Consejo Nacional para la Igualdad de Pueblos y Nacionalidades, el Ministerio del Ambiente, Agua y Transición Ecológica con la Defensoría del Pueblo para la tutela de los derechos colectivos de la Comunidad Ancestral Indígena San Miguel del Morro a través de la investigación defensorial CASO-DPE-1701-170121-308-2022-000006.</w:t>
      </w:r>
    </w:p>
    <w:p w14:paraId="0629101E" w14:textId="77777777" w:rsidR="004C5783" w:rsidRPr="004C5783" w:rsidRDefault="004C5783" w:rsidP="004C5783">
      <w:pPr>
        <w:pStyle w:val="NormalWeb"/>
        <w:spacing w:before="0" w:beforeAutospacing="0" w:after="0" w:afterAutospacing="0"/>
        <w:ind w:firstLine="708"/>
        <w:jc w:val="both"/>
        <w:rPr>
          <w:color w:val="000000"/>
          <w:sz w:val="22"/>
          <w:szCs w:val="22"/>
        </w:rPr>
      </w:pPr>
      <w:r w:rsidRPr="004C5783">
        <w:rPr>
          <w:color w:val="000000"/>
          <w:sz w:val="22"/>
          <w:szCs w:val="22"/>
        </w:rPr>
        <w:t>También se ha participado en la Comisión Especial de Estadística para Pueblos y Nacionalidades Indígenas, Afroecuatoriano y Montubio (CEE PIAM), para asegurar que las características y necesidades de estos pueblos sean adecuadamente representadas en el censo poblacional 2021-2022. Es así que su labor es fundamental no solo para la recolección de datos precisos, sino también para avanzar hacia una sociedad más justa.</w:t>
      </w:r>
    </w:p>
    <w:p w14:paraId="705BFDBA" w14:textId="77777777" w:rsidR="004C5783" w:rsidRPr="004C5783" w:rsidRDefault="004C5783" w:rsidP="004C5783">
      <w:pPr>
        <w:pStyle w:val="NormalWeb"/>
        <w:spacing w:before="0" w:beforeAutospacing="0" w:after="0" w:afterAutospacing="0"/>
        <w:ind w:firstLine="708"/>
        <w:jc w:val="both"/>
        <w:rPr>
          <w:color w:val="000000"/>
          <w:sz w:val="22"/>
          <w:szCs w:val="22"/>
        </w:rPr>
      </w:pPr>
      <w:r w:rsidRPr="004C5783">
        <w:rPr>
          <w:color w:val="000000"/>
          <w:sz w:val="22"/>
          <w:szCs w:val="22"/>
        </w:rPr>
        <w:t>En el 2023 se realizó reunión de trabajo con las organizaciones del Pueblo Afroecuatoriano, con el objetivo de conmemorar el día 21 de marzo, Día Internacional para la Eliminación de la Discriminación Racial y establecer una hoja de ruta enfocada a la ejecución de acciones para la prevención, protección y promoción de los derechos colectivos del Pueblo Afroecuatoriano.</w:t>
      </w:r>
    </w:p>
    <w:p w14:paraId="40B607DB" w14:textId="158CD183" w:rsidR="006F637F" w:rsidRPr="0029797A" w:rsidRDefault="00790BEF" w:rsidP="0029797A">
      <w:pPr>
        <w:pStyle w:val="ListParagraph"/>
        <w:numPr>
          <w:ilvl w:val="0"/>
          <w:numId w:val="17"/>
        </w:numPr>
        <w:tabs>
          <w:tab w:val="left" w:pos="851"/>
        </w:tabs>
        <w:spacing w:before="240" w:after="0" w:line="240" w:lineRule="auto"/>
        <w:jc w:val="both"/>
        <w:rPr>
          <w:rFonts w:ascii="Times New Roman" w:hAnsi="Times New Roman"/>
          <w:b/>
        </w:rPr>
      </w:pPr>
      <w:r w:rsidRPr="0029797A">
        <w:rPr>
          <w:rFonts w:ascii="Times New Roman" w:hAnsi="Times New Roman"/>
          <w:b/>
        </w:rPr>
        <w:t xml:space="preserve">Delito de odio y discriminación racial </w:t>
      </w:r>
      <w:r w:rsidR="003F2FB8" w:rsidRPr="0029797A">
        <w:rPr>
          <w:rFonts w:ascii="Times New Roman" w:hAnsi="Times New Roman"/>
          <w:b/>
        </w:rPr>
        <w:t xml:space="preserve"> </w:t>
      </w:r>
    </w:p>
    <w:p w14:paraId="22583427" w14:textId="77777777" w:rsidR="007E2AA5" w:rsidRPr="0029797A" w:rsidRDefault="007E2AA5" w:rsidP="0029797A">
      <w:pPr>
        <w:pStyle w:val="ListParagraph"/>
        <w:tabs>
          <w:tab w:val="left" w:pos="851"/>
        </w:tabs>
        <w:spacing w:before="240" w:after="0" w:line="240" w:lineRule="auto"/>
        <w:rPr>
          <w:rFonts w:ascii="Times New Roman" w:hAnsi="Times New Roman"/>
          <w:b/>
          <w:i/>
          <w:iCs/>
        </w:rPr>
      </w:pPr>
    </w:p>
    <w:p w14:paraId="2CD57C9C" w14:textId="77777777" w:rsidR="00F4698B" w:rsidRPr="0029797A" w:rsidRDefault="00F4698B" w:rsidP="0029797A">
      <w:pPr>
        <w:pStyle w:val="ListParagraph"/>
        <w:tabs>
          <w:tab w:val="left" w:pos="851"/>
        </w:tabs>
        <w:spacing w:before="240" w:after="0" w:line="240" w:lineRule="auto"/>
        <w:rPr>
          <w:rFonts w:ascii="Times New Roman" w:hAnsi="Times New Roman"/>
          <w:b/>
          <w:i/>
          <w:iCs/>
        </w:rPr>
      </w:pPr>
      <w:r w:rsidRPr="0029797A">
        <w:rPr>
          <w:rFonts w:ascii="Times New Roman" w:hAnsi="Times New Roman"/>
          <w:b/>
          <w:i/>
          <w:iCs/>
        </w:rPr>
        <w:t>Párrafo 10</w:t>
      </w:r>
    </w:p>
    <w:p w14:paraId="151A283E" w14:textId="77777777" w:rsidR="00F4698B" w:rsidRPr="0029797A" w:rsidRDefault="00F4698B" w:rsidP="0029797A">
      <w:pPr>
        <w:pStyle w:val="ListParagraph"/>
        <w:tabs>
          <w:tab w:val="left" w:pos="851"/>
        </w:tabs>
        <w:spacing w:before="240" w:after="0" w:line="240" w:lineRule="auto"/>
        <w:ind w:left="0"/>
        <w:rPr>
          <w:rFonts w:ascii="Times New Roman" w:hAnsi="Times New Roman"/>
          <w:b/>
        </w:rPr>
      </w:pPr>
    </w:p>
    <w:p w14:paraId="03F26251" w14:textId="77777777" w:rsidR="00A360C2" w:rsidRPr="00A360C2" w:rsidRDefault="00105E5F" w:rsidP="00A360C2">
      <w:pPr>
        <w:pStyle w:val="ListParagraph"/>
        <w:tabs>
          <w:tab w:val="left" w:pos="851"/>
        </w:tabs>
        <w:spacing w:after="0" w:line="240" w:lineRule="auto"/>
        <w:ind w:left="0"/>
        <w:jc w:val="both"/>
        <w:rPr>
          <w:rFonts w:ascii="Times New Roman" w:hAnsi="Times New Roman"/>
        </w:rPr>
      </w:pPr>
      <w:r>
        <w:rPr>
          <w:rFonts w:ascii="Times New Roman" w:hAnsi="Times New Roman"/>
          <w:b/>
        </w:rPr>
        <w:tab/>
      </w:r>
      <w:r w:rsidR="00A360C2" w:rsidRPr="00A360C2">
        <w:rPr>
          <w:rFonts w:ascii="Times New Roman" w:hAnsi="Times New Roman"/>
        </w:rPr>
        <w:t>Los delitos de odio de naturaleza racista son actos delictivos motivados por el prejuicio del racismo y se componen de elementos como el delito y el prejuicio, esto quiere decir que el hecho debe estar establecido como delito en la normativa vigente, además que el autor lo cometa de manera intencionada por un prejuicio como la etnia, color, religión o género de la víctima.</w:t>
      </w:r>
      <w:r w:rsidR="00A360C2" w:rsidRPr="00A360C2">
        <w:rPr>
          <w:rFonts w:ascii="Times New Roman" w:hAnsi="Times New Roman"/>
          <w:vertAlign w:val="superscript"/>
        </w:rPr>
        <w:footnoteReference w:id="2"/>
      </w:r>
    </w:p>
    <w:p w14:paraId="4D7C95C3" w14:textId="4D8855E9" w:rsidR="00A360C2" w:rsidRPr="00A360C2" w:rsidRDefault="00A360C2" w:rsidP="00D05D1F">
      <w:pPr>
        <w:pStyle w:val="ListParagraph"/>
        <w:tabs>
          <w:tab w:val="left" w:pos="851"/>
        </w:tabs>
        <w:spacing w:after="0" w:line="240" w:lineRule="auto"/>
        <w:ind w:left="0"/>
        <w:jc w:val="both"/>
        <w:rPr>
          <w:rFonts w:ascii="Times New Roman" w:hAnsi="Times New Roman"/>
        </w:rPr>
      </w:pPr>
      <w:r w:rsidRPr="00A360C2">
        <w:rPr>
          <w:rFonts w:ascii="Times New Roman" w:hAnsi="Times New Roman"/>
        </w:rPr>
        <w:tab/>
        <w:t xml:space="preserve">El delito de odio </w:t>
      </w:r>
      <w:r w:rsidR="00B357C7" w:rsidRPr="00A360C2">
        <w:rPr>
          <w:rFonts w:ascii="Times New Roman" w:hAnsi="Times New Roman"/>
        </w:rPr>
        <w:t>está</w:t>
      </w:r>
      <w:r w:rsidRPr="00A360C2">
        <w:rPr>
          <w:rFonts w:ascii="Times New Roman" w:hAnsi="Times New Roman"/>
        </w:rPr>
        <w:t xml:space="preserve"> tipificado en el Código Orgánico Integral Penal (COIP), sin embargo, es crucial que esta norma aborde nuevas formas de delitos, como el perfilamiento racial que es un problema estructural histórico que se manifiestan a través de prejuicios sociales, violencia policial, marginación social, que afecta a la población afrodescendiente en especial a los jóvenes quienes son considerados sospechosos por el hecho de ser afrodescendientes debido a acciones policiales deliberadas con sesgo racista, siendo objeto de atropellos por el hecho de utilizar el espacio público o la calle, afectando sus derechos</w:t>
      </w:r>
      <w:r w:rsidR="006312D9">
        <w:rPr>
          <w:rFonts w:ascii="Times New Roman" w:hAnsi="Times New Roman"/>
        </w:rPr>
        <w:t>,</w:t>
      </w:r>
      <w:r w:rsidRPr="00A360C2">
        <w:rPr>
          <w:rFonts w:ascii="Times New Roman" w:hAnsi="Times New Roman"/>
        </w:rPr>
        <w:t xml:space="preserve"> como es el caso de un grupo de 23 jóvenes afrodescendientes que fueron detenidos y apresados por la policía sin motivo justificado y acusados de actitud sospechosa, cuando descansaban y se recreaban en el parque La Carolina, en el norte de Quito entre otros casos que se encuentran analizados en el trámite defensorial No. 1701-170121-308-2024-000017. </w:t>
      </w:r>
    </w:p>
    <w:p w14:paraId="32EAB786" w14:textId="5CB4274B" w:rsidR="00A360C2" w:rsidRPr="00A360C2" w:rsidRDefault="00A360C2" w:rsidP="00D05D1F">
      <w:pPr>
        <w:pStyle w:val="ListParagraph"/>
        <w:tabs>
          <w:tab w:val="left" w:pos="851"/>
        </w:tabs>
        <w:spacing w:after="0" w:line="240" w:lineRule="auto"/>
        <w:ind w:left="0"/>
        <w:jc w:val="both"/>
        <w:rPr>
          <w:rFonts w:ascii="Times New Roman" w:hAnsi="Times New Roman"/>
        </w:rPr>
      </w:pPr>
      <w:r w:rsidRPr="00A360C2">
        <w:rPr>
          <w:rFonts w:ascii="Times New Roman" w:hAnsi="Times New Roman"/>
        </w:rPr>
        <w:tab/>
        <w:t xml:space="preserve">En este contexto, cabe informar que la Comisión Especializada Permanente de Justicia y Estructura del Estado solicitó a la </w:t>
      </w:r>
      <w:r w:rsidR="006312D9">
        <w:rPr>
          <w:rFonts w:ascii="Times New Roman" w:hAnsi="Times New Roman"/>
        </w:rPr>
        <w:t>DPE</w:t>
      </w:r>
      <w:r w:rsidRPr="00A360C2">
        <w:rPr>
          <w:rFonts w:ascii="Times New Roman" w:hAnsi="Times New Roman"/>
        </w:rPr>
        <w:t xml:space="preserve"> sus observaciones y aportes a las propuestas de reforma al Código Orgánico Integral Penal. El Proyecto compila más de 39 proyectos de ley que han sido presentados ante la Asamblea Nacional por diversos Asambleístas en los últimos períodos legislativos.</w:t>
      </w:r>
    </w:p>
    <w:p w14:paraId="23D5FBC0" w14:textId="717E72CF" w:rsidR="00A360C2" w:rsidRPr="00A360C2" w:rsidRDefault="00A360C2" w:rsidP="00D05D1F">
      <w:pPr>
        <w:pStyle w:val="ListParagraph"/>
        <w:tabs>
          <w:tab w:val="left" w:pos="851"/>
        </w:tabs>
        <w:spacing w:after="0" w:line="240" w:lineRule="auto"/>
        <w:ind w:left="0"/>
        <w:jc w:val="both"/>
        <w:rPr>
          <w:rFonts w:ascii="Times New Roman" w:hAnsi="Times New Roman"/>
        </w:rPr>
      </w:pPr>
      <w:r w:rsidRPr="00A360C2">
        <w:rPr>
          <w:rFonts w:ascii="Times New Roman" w:hAnsi="Times New Roman"/>
        </w:rPr>
        <w:tab/>
        <w:t>La Institución Nacional de Derechos Humanos (INDH), en cumplimiento de sus atribuciones de protección y prevención de la vulneración de los derechos humanos, compareció ante la Comisión de Justicia y Estructura del Estado de la Asamblea Nacional, el 5 de enero de 2024. Durante esta sesión, se presentaron observaciones al Proyecto de Ley Orgánica Reformatoria al Código Orgánico Integral Penal</w:t>
      </w:r>
      <w:r w:rsidR="00052E1A">
        <w:rPr>
          <w:rFonts w:ascii="Times New Roman" w:hAnsi="Times New Roman"/>
        </w:rPr>
        <w:t xml:space="preserve">; </w:t>
      </w:r>
      <w:r w:rsidRPr="00A360C2">
        <w:rPr>
          <w:rFonts w:ascii="Times New Roman" w:hAnsi="Times New Roman"/>
        </w:rPr>
        <w:t xml:space="preserve">en el que fue crucial presentar aportes y enfatizar la necesidad de incluir la tipificación del "Perfilamiento de Personas Bajo Categorías Sospechosas de Discriminación". Esta propuesta se fundamenta en un enfoque transversal de interculturalidad, </w:t>
      </w:r>
      <w:r w:rsidRPr="00A360C2">
        <w:rPr>
          <w:rFonts w:ascii="Times New Roman" w:hAnsi="Times New Roman"/>
        </w:rPr>
        <w:lastRenderedPageBreak/>
        <w:t>para garantizar que la tipificación del perfilamiento no se base en características o categorías que perpetúen la discriminación.</w:t>
      </w:r>
    </w:p>
    <w:p w14:paraId="0897CF42" w14:textId="77777777" w:rsidR="00A360C2" w:rsidRPr="00A360C2" w:rsidRDefault="00A360C2" w:rsidP="00D05D1F">
      <w:pPr>
        <w:pStyle w:val="ListParagraph"/>
        <w:tabs>
          <w:tab w:val="left" w:pos="851"/>
        </w:tabs>
        <w:spacing w:after="0" w:line="240" w:lineRule="auto"/>
        <w:ind w:left="0"/>
        <w:jc w:val="both"/>
        <w:rPr>
          <w:rFonts w:ascii="Times New Roman" w:hAnsi="Times New Roman"/>
        </w:rPr>
      </w:pPr>
      <w:r w:rsidRPr="00A360C2">
        <w:rPr>
          <w:rFonts w:ascii="Times New Roman" w:hAnsi="Times New Roman"/>
        </w:rPr>
        <w:tab/>
        <w:t>El perfilamiento racial se define como toda acción llevada a cabo por miembros de la Policía Nacional o por cualquier servidor público encargado de hacer cumplir la ley, que se dirija contra una persona o colectivo basándose en características fenotípicas, tales como la raza, origen étnico, apariencia, entre otros. Esta práctica es problemática porque intenta justificar intervenciones sin un sustento legítimo ni objetivo, lo que puede resultar en violaciones graves de derechos humanos.</w:t>
      </w:r>
    </w:p>
    <w:p w14:paraId="0E4EF202" w14:textId="77777777" w:rsidR="00A360C2" w:rsidRPr="00A360C2" w:rsidRDefault="00A360C2" w:rsidP="00D05D1F">
      <w:pPr>
        <w:pStyle w:val="ListParagraph"/>
        <w:tabs>
          <w:tab w:val="left" w:pos="851"/>
        </w:tabs>
        <w:spacing w:after="0" w:line="240" w:lineRule="auto"/>
        <w:ind w:left="0"/>
        <w:jc w:val="both"/>
        <w:rPr>
          <w:rFonts w:ascii="Times New Roman" w:hAnsi="Times New Roman"/>
        </w:rPr>
      </w:pPr>
      <w:r w:rsidRPr="00A360C2">
        <w:rPr>
          <w:rFonts w:ascii="Times New Roman" w:hAnsi="Times New Roman"/>
        </w:rPr>
        <w:tab/>
        <w:t>Incluir la tipificación en el Código Orgánico, es de vital importancia para combatir la discriminación racial y promover una cultura de respeto hacia la diversidad. Esta medida no solo contribuiría a una aplicación más justa de la ley, sino que también reforzaría el compromiso del Estado ecuatoriano con los principios de igualdad y no discriminación consagrados en la Constitución y en tratados internacionales de derechos humanos.</w:t>
      </w:r>
    </w:p>
    <w:p w14:paraId="71C983A9" w14:textId="77777777" w:rsidR="00A360C2" w:rsidRPr="00A360C2" w:rsidRDefault="00A360C2" w:rsidP="00D05D1F">
      <w:pPr>
        <w:pStyle w:val="ListParagraph"/>
        <w:tabs>
          <w:tab w:val="left" w:pos="851"/>
        </w:tabs>
        <w:spacing w:after="0" w:line="240" w:lineRule="auto"/>
        <w:ind w:left="0"/>
        <w:jc w:val="both"/>
        <w:rPr>
          <w:rFonts w:ascii="Times New Roman" w:hAnsi="Times New Roman"/>
          <w:lang w:val="es-EC"/>
        </w:rPr>
      </w:pPr>
      <w:r w:rsidRPr="00A360C2">
        <w:rPr>
          <w:rFonts w:ascii="Times New Roman" w:hAnsi="Times New Roman"/>
        </w:rPr>
        <w:tab/>
        <w:t xml:space="preserve">La DPE reitera su compromiso con la promoción de una sociedad inclusiva y respetuosa de los derechos de todos/as las personas en territorio ecuatoriano y hace un llamado a las autoridades competentes para considerar estas observaciones con urgencia </w:t>
      </w:r>
    </w:p>
    <w:p w14:paraId="4CFFFE7D" w14:textId="5ACCDCF5" w:rsidR="00F002FC" w:rsidRDefault="00F002FC" w:rsidP="00A360C2">
      <w:pPr>
        <w:pStyle w:val="ListParagraph"/>
        <w:tabs>
          <w:tab w:val="left" w:pos="851"/>
        </w:tabs>
        <w:spacing w:after="0" w:line="240" w:lineRule="auto"/>
        <w:ind w:left="0"/>
        <w:jc w:val="both"/>
        <w:rPr>
          <w:rFonts w:ascii="Times New Roman" w:hAnsi="Times New Roman"/>
        </w:rPr>
      </w:pPr>
      <w:r w:rsidRPr="00863001">
        <w:rPr>
          <w:rFonts w:ascii="Times New Roman" w:hAnsi="Times New Roman"/>
        </w:rPr>
        <w:t>.</w:t>
      </w:r>
    </w:p>
    <w:p w14:paraId="652D35C8" w14:textId="77777777" w:rsidR="00863001" w:rsidRPr="00863001" w:rsidRDefault="00863001" w:rsidP="00863001">
      <w:pPr>
        <w:pStyle w:val="ListParagraph"/>
        <w:tabs>
          <w:tab w:val="left" w:pos="851"/>
        </w:tabs>
        <w:spacing w:after="0"/>
        <w:ind w:left="0"/>
        <w:jc w:val="both"/>
        <w:rPr>
          <w:rFonts w:ascii="Times New Roman" w:hAnsi="Times New Roman"/>
        </w:rPr>
      </w:pPr>
    </w:p>
    <w:p w14:paraId="74CDA2FF" w14:textId="6B6D6D58" w:rsidR="002D6009" w:rsidRPr="0029797A" w:rsidRDefault="0000007A" w:rsidP="00D05D1F">
      <w:pPr>
        <w:pStyle w:val="ListParagraph"/>
        <w:numPr>
          <w:ilvl w:val="0"/>
          <w:numId w:val="17"/>
        </w:numPr>
        <w:tabs>
          <w:tab w:val="left" w:pos="851"/>
        </w:tabs>
        <w:spacing w:after="0" w:line="240" w:lineRule="auto"/>
        <w:jc w:val="both"/>
        <w:rPr>
          <w:rFonts w:ascii="Times New Roman" w:hAnsi="Times New Roman"/>
          <w:b/>
        </w:rPr>
      </w:pPr>
      <w:r w:rsidRPr="0029797A">
        <w:rPr>
          <w:rFonts w:ascii="Times New Roman" w:hAnsi="Times New Roman"/>
          <w:b/>
        </w:rPr>
        <w:t xml:space="preserve">Impacto de los proyectos de explotación de recursos naturales </w:t>
      </w:r>
    </w:p>
    <w:p w14:paraId="0FF3023B" w14:textId="77777777" w:rsidR="002D6009" w:rsidRPr="0029797A" w:rsidRDefault="002D6009" w:rsidP="0029797A">
      <w:pPr>
        <w:pStyle w:val="ListParagraph"/>
        <w:spacing w:line="240" w:lineRule="auto"/>
        <w:rPr>
          <w:rFonts w:ascii="Times New Roman" w:hAnsi="Times New Roman"/>
          <w:b/>
        </w:rPr>
      </w:pPr>
    </w:p>
    <w:p w14:paraId="78A952FE" w14:textId="77777777" w:rsidR="00F82800" w:rsidRDefault="00F82800" w:rsidP="0029797A">
      <w:pPr>
        <w:pStyle w:val="ListParagraph"/>
        <w:tabs>
          <w:tab w:val="left" w:pos="851"/>
        </w:tabs>
        <w:spacing w:before="240" w:after="0" w:line="240" w:lineRule="auto"/>
        <w:rPr>
          <w:rFonts w:ascii="Times New Roman" w:hAnsi="Times New Roman"/>
          <w:b/>
          <w:i/>
          <w:iCs/>
        </w:rPr>
      </w:pPr>
      <w:r w:rsidRPr="0029797A">
        <w:rPr>
          <w:rFonts w:ascii="Times New Roman" w:hAnsi="Times New Roman"/>
          <w:b/>
          <w:i/>
          <w:iCs/>
        </w:rPr>
        <w:t>Párr</w:t>
      </w:r>
      <w:r w:rsidR="002D6009" w:rsidRPr="0029797A">
        <w:rPr>
          <w:rFonts w:ascii="Times New Roman" w:hAnsi="Times New Roman"/>
          <w:b/>
          <w:i/>
          <w:iCs/>
        </w:rPr>
        <w:t>afo 16</w:t>
      </w:r>
    </w:p>
    <w:p w14:paraId="06D66BBB" w14:textId="77777777" w:rsidR="002029A1" w:rsidRPr="0029797A" w:rsidRDefault="002029A1" w:rsidP="0029797A">
      <w:pPr>
        <w:pStyle w:val="ListParagraph"/>
        <w:tabs>
          <w:tab w:val="left" w:pos="851"/>
        </w:tabs>
        <w:spacing w:before="240" w:after="0" w:line="240" w:lineRule="auto"/>
        <w:rPr>
          <w:rFonts w:ascii="Times New Roman" w:hAnsi="Times New Roman"/>
          <w:b/>
          <w:i/>
          <w:iCs/>
        </w:rPr>
      </w:pPr>
    </w:p>
    <w:p w14:paraId="12E1D802" w14:textId="77777777" w:rsidR="00636EA2" w:rsidRPr="0029797A" w:rsidRDefault="00636EA2" w:rsidP="002029A1">
      <w:pPr>
        <w:pStyle w:val="NormalWeb"/>
        <w:spacing w:before="0" w:beforeAutospacing="0" w:after="0" w:afterAutospacing="0"/>
        <w:ind w:firstLine="708"/>
        <w:jc w:val="both"/>
        <w:rPr>
          <w:color w:val="000000"/>
          <w:sz w:val="22"/>
          <w:szCs w:val="22"/>
        </w:rPr>
      </w:pPr>
      <w:r w:rsidRPr="0029797A">
        <w:rPr>
          <w:color w:val="000000"/>
          <w:sz w:val="22"/>
          <w:szCs w:val="22"/>
        </w:rPr>
        <w:t>La Defensoría del Pueblo del Ecuador (DPE) solicitó en 2011 la adopción de medidas cautelares para salvaguardar los derechos de la naturaleza y las comunidades afroecuatorianas de San Lorenzo y Eloy Alfaro, en la provincia de Esmeraldas, ante los devastadores efectos de la minería ilegal. Entre 2011 y 2019, se documentaron profundas afectaciones a la biodiversidad, entre ellas la pérdida de cobertura vegetal y la contaminación de cuerpos de agua, producto del uso de maquinaria pesada y sustancias químicas nocivas. La Pontificia Universidad Católica del Ecuador reportó la aparición de malformaciones en peces debido a la contaminación, lo que subraya cómo la actividad minera amenaza tanto los ecosistemas como los servicios ecosistémicos esenciales para la vida humana y la biodiversidad.</w:t>
      </w:r>
    </w:p>
    <w:p w14:paraId="7D287068" w14:textId="77777777" w:rsidR="00636EA2" w:rsidRPr="0029797A" w:rsidRDefault="00636EA2" w:rsidP="002029A1">
      <w:pPr>
        <w:pStyle w:val="NormalWeb"/>
        <w:spacing w:before="0" w:beforeAutospacing="0" w:after="0" w:afterAutospacing="0"/>
        <w:ind w:firstLine="708"/>
        <w:jc w:val="both"/>
        <w:rPr>
          <w:color w:val="000000"/>
          <w:sz w:val="22"/>
          <w:szCs w:val="22"/>
        </w:rPr>
      </w:pPr>
      <w:r w:rsidRPr="0029797A">
        <w:rPr>
          <w:color w:val="000000"/>
          <w:sz w:val="22"/>
          <w:szCs w:val="22"/>
        </w:rPr>
        <w:t>Las comunidades afroecuatorianas de la región han enfrentado consecuencias igualmente graves, que incluyen la pérdida de empleo, el deterioro de la salud, la fragmentación del tejido social, y el consumo de agua y alimentos contaminados. Adicionalmente, la presencia de grupos delictivos ha incrementado su vulnerabilidad, agravando aún más la situación de sus derechos humanos.</w:t>
      </w:r>
    </w:p>
    <w:p w14:paraId="136D4204" w14:textId="77777777" w:rsidR="00636EA2" w:rsidRPr="0029797A" w:rsidRDefault="00636EA2" w:rsidP="002029A1">
      <w:pPr>
        <w:pStyle w:val="NormalWeb"/>
        <w:spacing w:before="0" w:beforeAutospacing="0" w:after="0" w:afterAutospacing="0"/>
        <w:ind w:firstLine="708"/>
        <w:jc w:val="both"/>
        <w:rPr>
          <w:color w:val="000000"/>
          <w:sz w:val="22"/>
          <w:szCs w:val="22"/>
        </w:rPr>
      </w:pPr>
      <w:r w:rsidRPr="0029797A">
        <w:rPr>
          <w:color w:val="000000"/>
          <w:sz w:val="22"/>
          <w:szCs w:val="22"/>
        </w:rPr>
        <w:t>En lo que respecta al Parque Nacional Yasuní, la DPE recomendó en 2010 que no se explotara el bloque ITT, a fin de proteger el derecho a la autodeterminación de los pueblos indígenas y la integridad de la diversidad ecológica de la zona. Estas recomendaciones también buscaban garantizar el cumplimiento de las medidas cautelares dictadas por la Comisión Interamericana de Derechos Humanos (CIDH).</w:t>
      </w:r>
    </w:p>
    <w:p w14:paraId="618A4D39" w14:textId="77777777" w:rsidR="00636EA2" w:rsidRPr="0029797A" w:rsidRDefault="00636EA2" w:rsidP="002029A1">
      <w:pPr>
        <w:pStyle w:val="NormalWeb"/>
        <w:spacing w:before="0" w:beforeAutospacing="0" w:after="0" w:afterAutospacing="0"/>
        <w:ind w:firstLine="708"/>
        <w:jc w:val="both"/>
        <w:rPr>
          <w:color w:val="000000"/>
          <w:sz w:val="22"/>
          <w:szCs w:val="22"/>
        </w:rPr>
      </w:pPr>
      <w:r w:rsidRPr="0029797A">
        <w:rPr>
          <w:color w:val="000000"/>
          <w:sz w:val="22"/>
          <w:szCs w:val="22"/>
        </w:rPr>
        <w:t xml:space="preserve">No obstante, a pesar de dichas recomendaciones, el Estado permitió la explotación de hidrocarburos en el bloque ITT, lo que ha derivado en graves violaciones tanto a los derechos humanos como a los derechos ambientales. Sin embargo, tras la consulta popular de 2023, el Estado se ve ahora obligado a desmantelar la infraestructura en el bloque ITT. En respuesta a este mandato, el </w:t>
      </w:r>
      <w:r w:rsidR="00C02D19" w:rsidRPr="0029797A">
        <w:rPr>
          <w:color w:val="000000"/>
          <w:sz w:val="22"/>
          <w:szCs w:val="22"/>
        </w:rPr>
        <w:t>presidente</w:t>
      </w:r>
      <w:r w:rsidRPr="0029797A">
        <w:rPr>
          <w:color w:val="000000"/>
          <w:sz w:val="22"/>
          <w:szCs w:val="22"/>
        </w:rPr>
        <w:t xml:space="preserve"> de la República emitió el 8 de mayo de 2024 un decreto para la creación de un comité encargado del desmantelamiento, lo que marca un cambio significativo en la política estatal hacia la protección del Yasuní y sus comunidades indígenas.</w:t>
      </w:r>
    </w:p>
    <w:p w14:paraId="11C15F46" w14:textId="77777777" w:rsidR="00FB4535" w:rsidRPr="0029797A" w:rsidRDefault="00636EA2" w:rsidP="00CC0961">
      <w:pPr>
        <w:pStyle w:val="NormalWeb"/>
        <w:spacing w:before="0" w:beforeAutospacing="0" w:after="0" w:afterAutospacing="0"/>
        <w:ind w:firstLine="708"/>
        <w:jc w:val="both"/>
        <w:rPr>
          <w:color w:val="000000"/>
          <w:sz w:val="22"/>
          <w:szCs w:val="22"/>
        </w:rPr>
      </w:pPr>
      <w:r w:rsidRPr="0029797A">
        <w:rPr>
          <w:color w:val="000000"/>
          <w:sz w:val="22"/>
          <w:szCs w:val="22"/>
        </w:rPr>
        <w:t xml:space="preserve">Este giro representa un paso crucial hacia el respeto de los derechos de la naturaleza y de los pueblos indígenas, y plantea nuevas oportunidades para corregir los errores del pasado y </w:t>
      </w:r>
      <w:r w:rsidRPr="0029797A">
        <w:rPr>
          <w:color w:val="000000"/>
          <w:sz w:val="22"/>
          <w:szCs w:val="22"/>
        </w:rPr>
        <w:lastRenderedPageBreak/>
        <w:t>avanzar hacia un desarrollo sostenible y respetuoso con el medio ambiente y los derechos humanos.</w:t>
      </w:r>
    </w:p>
    <w:p w14:paraId="4270B28F" w14:textId="722F48BB" w:rsidR="00C554C1" w:rsidRDefault="00CC0961" w:rsidP="00CC0961">
      <w:pPr>
        <w:pStyle w:val="ListParagraph"/>
        <w:tabs>
          <w:tab w:val="left" w:pos="851"/>
        </w:tabs>
        <w:spacing w:before="240" w:line="240" w:lineRule="auto"/>
        <w:ind w:left="0"/>
        <w:jc w:val="both"/>
        <w:rPr>
          <w:rFonts w:ascii="Times New Roman" w:hAnsi="Times New Roman"/>
          <w:b/>
          <w:bCs/>
          <w:i/>
          <w:iCs/>
          <w:color w:val="000000"/>
          <w:lang w:val="es-EC"/>
        </w:rPr>
      </w:pPr>
      <w:r>
        <w:rPr>
          <w:rFonts w:ascii="Times New Roman" w:hAnsi="Times New Roman"/>
          <w:b/>
          <w:bCs/>
          <w:i/>
          <w:iCs/>
          <w:color w:val="000000"/>
          <w:lang w:val="es-EC"/>
        </w:rPr>
        <w:tab/>
      </w:r>
      <w:r w:rsidR="00C554C1" w:rsidRPr="0029797A">
        <w:rPr>
          <w:rFonts w:ascii="Times New Roman" w:hAnsi="Times New Roman"/>
          <w:b/>
          <w:bCs/>
          <w:i/>
          <w:iCs/>
          <w:color w:val="000000"/>
          <w:lang w:val="es-EC"/>
        </w:rPr>
        <w:t>Párrafo 17. Literal a)</w:t>
      </w:r>
    </w:p>
    <w:p w14:paraId="787EDF47" w14:textId="77777777" w:rsidR="00C8081B" w:rsidRPr="0029797A" w:rsidRDefault="00C554C1" w:rsidP="00CC0961">
      <w:pPr>
        <w:pStyle w:val="NormalWeb"/>
        <w:spacing w:before="0" w:beforeAutospacing="0" w:after="0" w:afterAutospacing="0"/>
        <w:jc w:val="both"/>
        <w:rPr>
          <w:color w:val="000000"/>
          <w:sz w:val="22"/>
          <w:szCs w:val="22"/>
        </w:rPr>
      </w:pPr>
      <w:r w:rsidRPr="0029797A">
        <w:rPr>
          <w:color w:val="000000"/>
          <w:sz w:val="22"/>
          <w:szCs w:val="22"/>
          <w:lang w:val="es-EC"/>
        </w:rPr>
        <w:tab/>
      </w:r>
      <w:r w:rsidR="00C8081B" w:rsidRPr="0029797A">
        <w:rPr>
          <w:color w:val="000000"/>
          <w:sz w:val="22"/>
          <w:szCs w:val="22"/>
        </w:rPr>
        <w:t>La intensificación de acciones de regulación y control sobre actividades relacionadas con la extracción ilegal de recursos naturales es una prioridad urgente. Para ello, es fundamental garantizar la asignación adecuada de recursos económicos, tecnológicos y de personal capacitado. No obstante, en los últimos años, las políticas de austeridad implementadas en el sector público han limitado la capacidad del Estado para cumplir eficazmente con su obligación de regular y supervisar estas actividades a nivel nacional.</w:t>
      </w:r>
    </w:p>
    <w:p w14:paraId="3648A400" w14:textId="77777777" w:rsidR="00C8081B" w:rsidRPr="0029797A" w:rsidRDefault="00C8081B" w:rsidP="002029A1">
      <w:pPr>
        <w:pStyle w:val="NormalWeb"/>
        <w:spacing w:before="0" w:beforeAutospacing="0" w:after="0" w:afterAutospacing="0"/>
        <w:ind w:firstLine="708"/>
        <w:jc w:val="both"/>
        <w:rPr>
          <w:color w:val="000000"/>
          <w:sz w:val="22"/>
          <w:szCs w:val="22"/>
        </w:rPr>
      </w:pPr>
      <w:r w:rsidRPr="0029797A">
        <w:rPr>
          <w:color w:val="000000"/>
          <w:sz w:val="22"/>
          <w:szCs w:val="22"/>
        </w:rPr>
        <w:t>Un aspecto clave que debe considerarse es la conflictividad socioambiental que surge de la intención y ejecución de actividades extractivas en áreas de influencia o territorios habitados por comunidades campesinas, indígenas y afroecuatorianas. La Defensoría del Pueblo ha documentado cómo estas actividades afectan gravemente los proyectos de vida de dichas comunidades. En respuesta, se han llevado a cabo investigaciones defensoriales, así como demandas de garantías jurisdiccionales y la presentación de amicus curiae en defensa de sus derechos.</w:t>
      </w:r>
    </w:p>
    <w:p w14:paraId="1BC85B8F" w14:textId="77777777" w:rsidR="00C8081B" w:rsidRPr="0029797A" w:rsidRDefault="00C8081B" w:rsidP="002029A1">
      <w:pPr>
        <w:pStyle w:val="NormalWeb"/>
        <w:spacing w:before="0" w:beforeAutospacing="0" w:after="0" w:afterAutospacing="0"/>
        <w:ind w:firstLine="708"/>
        <w:jc w:val="both"/>
        <w:rPr>
          <w:color w:val="000000"/>
          <w:sz w:val="22"/>
          <w:szCs w:val="22"/>
        </w:rPr>
      </w:pPr>
      <w:r w:rsidRPr="0029797A">
        <w:rPr>
          <w:color w:val="000000"/>
          <w:sz w:val="22"/>
          <w:szCs w:val="22"/>
        </w:rPr>
        <w:t xml:space="preserve">En cuanto al literal c), es importante recordar que los cuerpos de agua, tanto superficiales como subterráneos, son parte integral de la naturaleza y, como tales, son sujetos de derechos según el ordenamiento jurídico ecuatoriano. Ejemplos de esto son los ríos Vilcabamba, </w:t>
      </w:r>
      <w:proofErr w:type="spellStart"/>
      <w:r w:rsidRPr="0029797A">
        <w:rPr>
          <w:color w:val="000000"/>
          <w:sz w:val="22"/>
          <w:szCs w:val="22"/>
        </w:rPr>
        <w:t>Aquepi</w:t>
      </w:r>
      <w:proofErr w:type="spellEnd"/>
      <w:r w:rsidRPr="0029797A">
        <w:rPr>
          <w:color w:val="000000"/>
          <w:sz w:val="22"/>
          <w:szCs w:val="22"/>
        </w:rPr>
        <w:t xml:space="preserve">, </w:t>
      </w:r>
      <w:proofErr w:type="spellStart"/>
      <w:r w:rsidRPr="0029797A">
        <w:rPr>
          <w:color w:val="000000"/>
          <w:sz w:val="22"/>
          <w:szCs w:val="22"/>
        </w:rPr>
        <w:t>Alambí</w:t>
      </w:r>
      <w:proofErr w:type="spellEnd"/>
      <w:r w:rsidRPr="0029797A">
        <w:rPr>
          <w:color w:val="000000"/>
          <w:sz w:val="22"/>
          <w:szCs w:val="22"/>
        </w:rPr>
        <w:t xml:space="preserve"> y Machángara, los cuales han sido declarados titulares de derechos. Estos cuerpos de agua tienen derecho a la protección integral de su existencia, restauración y a todas las garantías establecidas por la Constitución de la República del Ecuador. La actividad minera, particularmente en su modalidad ilegal, representa una grave amenaza para estos ecosistemas acuáticos.</w:t>
      </w:r>
    </w:p>
    <w:p w14:paraId="706D4255" w14:textId="77777777" w:rsidR="00C8081B" w:rsidRPr="0029797A" w:rsidRDefault="00C8081B" w:rsidP="002029A1">
      <w:pPr>
        <w:pStyle w:val="NormalWeb"/>
        <w:spacing w:before="0" w:beforeAutospacing="0" w:after="0" w:afterAutospacing="0"/>
        <w:ind w:firstLine="708"/>
        <w:jc w:val="both"/>
        <w:rPr>
          <w:color w:val="000000"/>
          <w:sz w:val="22"/>
          <w:szCs w:val="22"/>
        </w:rPr>
      </w:pPr>
      <w:r w:rsidRPr="0029797A">
        <w:rPr>
          <w:color w:val="000000"/>
          <w:sz w:val="22"/>
          <w:szCs w:val="22"/>
        </w:rPr>
        <w:t>El agua, desde la cosmovisión de los pueblos indígenas y afroecuatorianos, tiene un valor no solo económico, sino también social, cultural y religioso. Es precisamente este profundo vínculo con la naturaleza lo que ha motivado una lucha legítima y sostenida por la conservación de los recursos hídricos. El impacto de la minería ilegal en los cuerpos de agua es innegable y afecta tanto a las personas que habitan en las zonas de influencia directa de la explotación minera como a aquellas que viven en áreas aguas abajo. Un claro ejemplo de esta problemática se observa en las comunidades de San Lorenzo y Eloy Alfaro, que dependen de ríos y esteros contaminados para su abastecimiento de agua.</w:t>
      </w:r>
    </w:p>
    <w:p w14:paraId="2A96985D" w14:textId="77777777" w:rsidR="00C8081B" w:rsidRPr="0029797A" w:rsidRDefault="00C8081B" w:rsidP="002029A1">
      <w:pPr>
        <w:pStyle w:val="NormalWeb"/>
        <w:spacing w:before="0" w:beforeAutospacing="0" w:after="0" w:afterAutospacing="0"/>
        <w:ind w:firstLine="708"/>
        <w:jc w:val="both"/>
        <w:rPr>
          <w:color w:val="000000"/>
          <w:sz w:val="22"/>
          <w:szCs w:val="22"/>
        </w:rPr>
      </w:pPr>
      <w:r w:rsidRPr="0029797A">
        <w:rPr>
          <w:color w:val="000000"/>
          <w:sz w:val="22"/>
          <w:szCs w:val="22"/>
        </w:rPr>
        <w:t>Esta situación, que se repite en diversas zonas afectadas por la minería ilegal, vulnera el derecho a la salud de las personas que utilizan agua contaminada no solo para el consumo humano, sino también para el riego de cultivos y otras actividades cotidianas. La protección de los cuerpos de agua es, por tanto, una cuestión vital que requiere una acción decidida por parte del Estado, no solo para salvaguardar el derecho a la naturaleza, sino también para garantizar los derechos humanos fundamentales de las comunidades que dependen de estos recursos.</w:t>
      </w:r>
    </w:p>
    <w:p w14:paraId="6E5FE766" w14:textId="77777777" w:rsidR="00C554C1" w:rsidRPr="0029797A" w:rsidRDefault="002920C5" w:rsidP="0029797A">
      <w:pPr>
        <w:tabs>
          <w:tab w:val="left" w:pos="851"/>
        </w:tabs>
        <w:spacing w:after="0" w:line="240" w:lineRule="auto"/>
        <w:jc w:val="both"/>
        <w:rPr>
          <w:rFonts w:ascii="Times New Roman" w:hAnsi="Times New Roman"/>
          <w:lang w:val="es-EC"/>
        </w:rPr>
      </w:pPr>
      <w:r w:rsidRPr="0029797A">
        <w:rPr>
          <w:rFonts w:ascii="Times New Roman" w:hAnsi="Times New Roman"/>
          <w:lang w:val="es-EC"/>
        </w:rPr>
        <w:t xml:space="preserve"> </w:t>
      </w:r>
    </w:p>
    <w:p w14:paraId="703D160F" w14:textId="77777777" w:rsidR="0098780E" w:rsidRPr="0029797A" w:rsidRDefault="0000007A" w:rsidP="00CC0961">
      <w:pPr>
        <w:numPr>
          <w:ilvl w:val="0"/>
          <w:numId w:val="17"/>
        </w:numPr>
        <w:tabs>
          <w:tab w:val="left" w:pos="851"/>
        </w:tabs>
        <w:spacing w:before="240" w:after="0" w:line="240" w:lineRule="auto"/>
        <w:jc w:val="both"/>
        <w:rPr>
          <w:rFonts w:ascii="Times New Roman" w:hAnsi="Times New Roman"/>
          <w:b/>
        </w:rPr>
      </w:pPr>
      <w:r w:rsidRPr="0029797A">
        <w:rPr>
          <w:rFonts w:ascii="Times New Roman" w:hAnsi="Times New Roman"/>
          <w:b/>
          <w:bCs/>
        </w:rPr>
        <w:t xml:space="preserve">Consulta previa, libre e informada </w:t>
      </w:r>
    </w:p>
    <w:p w14:paraId="72842DC4" w14:textId="77777777" w:rsidR="00F4698B" w:rsidRDefault="00F4698B" w:rsidP="00CC0961">
      <w:pPr>
        <w:tabs>
          <w:tab w:val="left" w:pos="851"/>
        </w:tabs>
        <w:spacing w:before="240" w:after="0" w:line="240" w:lineRule="auto"/>
        <w:ind w:left="720"/>
        <w:jc w:val="both"/>
        <w:rPr>
          <w:rFonts w:ascii="Times New Roman" w:hAnsi="Times New Roman"/>
          <w:b/>
          <w:i/>
          <w:iCs/>
        </w:rPr>
      </w:pPr>
      <w:r w:rsidRPr="0029797A">
        <w:rPr>
          <w:rFonts w:ascii="Times New Roman" w:hAnsi="Times New Roman"/>
          <w:b/>
          <w:i/>
          <w:iCs/>
        </w:rPr>
        <w:t>Párrafos 18 y 19</w:t>
      </w:r>
    </w:p>
    <w:p w14:paraId="75785E70" w14:textId="77777777" w:rsidR="00CC0961" w:rsidRDefault="00CC0961" w:rsidP="00CC0961">
      <w:pPr>
        <w:pStyle w:val="NormalWeb"/>
        <w:spacing w:before="0" w:beforeAutospacing="0" w:after="0" w:afterAutospacing="0"/>
        <w:ind w:firstLine="708"/>
        <w:jc w:val="both"/>
        <w:rPr>
          <w:color w:val="000000"/>
          <w:sz w:val="22"/>
          <w:szCs w:val="22"/>
        </w:rPr>
      </w:pPr>
    </w:p>
    <w:p w14:paraId="53DC9CD5" w14:textId="5DF0AF0D" w:rsidR="00F4698B" w:rsidRPr="0029797A" w:rsidRDefault="00F4698B" w:rsidP="00CC0961">
      <w:pPr>
        <w:pStyle w:val="NormalWeb"/>
        <w:spacing w:before="0" w:beforeAutospacing="0" w:after="0" w:afterAutospacing="0"/>
        <w:ind w:firstLine="708"/>
        <w:jc w:val="both"/>
        <w:rPr>
          <w:color w:val="000000"/>
          <w:sz w:val="22"/>
          <w:szCs w:val="22"/>
        </w:rPr>
      </w:pPr>
      <w:r w:rsidRPr="0029797A">
        <w:rPr>
          <w:color w:val="000000"/>
          <w:sz w:val="22"/>
          <w:szCs w:val="22"/>
        </w:rPr>
        <w:t xml:space="preserve">La Constitución de la República del Ecuador (2008) consagra el derecho de las comunidades indígenas a la consulta previa, libre e informada en relación con proyectos que puedan afectar sus territorios. El artículo 57 reconoce una serie de derechos colectivos, entre los cuales destaca el derecho a ser consultados sobre la explotación de recursos no renovables y a participar en los beneficios derivados de dichos proyectos. Asimismo, establece que, en caso de </w:t>
      </w:r>
      <w:r w:rsidRPr="0029797A">
        <w:rPr>
          <w:color w:val="000000"/>
          <w:sz w:val="22"/>
          <w:szCs w:val="22"/>
        </w:rPr>
        <w:lastRenderedPageBreak/>
        <w:t>no obtenerse el consentimiento de la comunidad, se deberá proceder de acuerdo con lo dispuesto por la ley.</w:t>
      </w:r>
    </w:p>
    <w:p w14:paraId="51796F1F" w14:textId="77777777" w:rsidR="00F4698B" w:rsidRPr="0029797A" w:rsidRDefault="00F4698B" w:rsidP="00864C7E">
      <w:pPr>
        <w:pStyle w:val="NormalWeb"/>
        <w:spacing w:before="0" w:beforeAutospacing="0" w:after="0" w:afterAutospacing="0"/>
        <w:ind w:firstLine="708"/>
        <w:jc w:val="both"/>
        <w:rPr>
          <w:color w:val="000000"/>
          <w:sz w:val="22"/>
          <w:szCs w:val="22"/>
        </w:rPr>
      </w:pPr>
      <w:r w:rsidRPr="0029797A">
        <w:rPr>
          <w:color w:val="000000"/>
          <w:sz w:val="22"/>
          <w:szCs w:val="22"/>
        </w:rPr>
        <w:t>A pesar de estos avances normativos, la implementación efectiva de estos derechos ha generado tensiones y conflictos. Las comunidades indígenas han enfrentado dificultades en su relación con el Estado, que está obligado a garantizar sus derechos. De manera preocupante, se ha observado un aumento en la criminalización de defensores de derechos humanos y líderes comunitarios, lo que evidencia la necesidad de fortalecer las garantías para el ejercicio de estos derechos.</w:t>
      </w:r>
    </w:p>
    <w:p w14:paraId="3AA8C6A3" w14:textId="77777777" w:rsidR="00F4698B" w:rsidRPr="0029797A" w:rsidRDefault="00F4698B" w:rsidP="00864C7E">
      <w:pPr>
        <w:pStyle w:val="NormalWeb"/>
        <w:spacing w:before="0" w:beforeAutospacing="0" w:after="0" w:afterAutospacing="0"/>
        <w:ind w:firstLine="708"/>
        <w:jc w:val="both"/>
        <w:rPr>
          <w:color w:val="000000"/>
          <w:sz w:val="22"/>
          <w:szCs w:val="22"/>
        </w:rPr>
      </w:pPr>
      <w:r w:rsidRPr="0029797A">
        <w:rPr>
          <w:color w:val="000000"/>
          <w:sz w:val="22"/>
          <w:szCs w:val="22"/>
        </w:rPr>
        <w:t>Este panorama subraya la urgencia de crear una ley específica que regule de manera clara y detallada el proceso de consulta previa, asegurando procedimientos que protejan efectivamente los derechos colectivos de las comunidades indígenas y fomenten su participación genuina en la toma de decisiones que las afectan.</w:t>
      </w:r>
    </w:p>
    <w:p w14:paraId="77D934E7" w14:textId="77777777" w:rsidR="00F4698B" w:rsidRPr="0029797A" w:rsidRDefault="00F4698B" w:rsidP="00864C7E">
      <w:pPr>
        <w:pStyle w:val="NormalWeb"/>
        <w:spacing w:before="0" w:beforeAutospacing="0" w:after="0" w:afterAutospacing="0"/>
        <w:ind w:firstLine="708"/>
        <w:jc w:val="both"/>
        <w:rPr>
          <w:color w:val="000000"/>
          <w:sz w:val="22"/>
          <w:szCs w:val="22"/>
        </w:rPr>
      </w:pPr>
      <w:r w:rsidRPr="0029797A">
        <w:rPr>
          <w:color w:val="000000"/>
          <w:sz w:val="22"/>
          <w:szCs w:val="22"/>
        </w:rPr>
        <w:t xml:space="preserve">En este contexto, el 28 de abril de 2022, la Asamblea Nacional, en colaboración con la Defensoría del Pueblo del Ecuador, presentó el Proyecto de Ley del Código Orgánico de Consulta Previa, Libre e Informada, Ambiental y Legislativa. Esta propuesta busca regular el procedimiento para la convocatoria, organización, desarrollo, cómputo y declaración de resultados de las consultas previas, al tiempo que promueve la participación ciudadana. </w:t>
      </w:r>
      <w:r w:rsidRPr="0029797A">
        <w:rPr>
          <w:sz w:val="22"/>
          <w:szCs w:val="22"/>
        </w:rPr>
        <w:t xml:space="preserve">Proyecto que actualmente se encuentra en </w:t>
      </w:r>
      <w:r w:rsidR="0098780E" w:rsidRPr="0029797A">
        <w:rPr>
          <w:sz w:val="22"/>
          <w:szCs w:val="22"/>
        </w:rPr>
        <w:t>trámite y</w:t>
      </w:r>
      <w:r w:rsidRPr="0029797A">
        <w:rPr>
          <w:sz w:val="22"/>
          <w:szCs w:val="22"/>
        </w:rPr>
        <w:t xml:space="preserve"> revisión para segundo debate en la Comisión de Garantías Constitucionales, Derechos Humanos, Derechos Colectivos y la Interculturalidad</w:t>
      </w:r>
      <w:r w:rsidRPr="0029797A">
        <w:rPr>
          <w:color w:val="FF0000"/>
          <w:sz w:val="22"/>
          <w:szCs w:val="22"/>
        </w:rPr>
        <w:t>.</w:t>
      </w:r>
    </w:p>
    <w:p w14:paraId="62CF6C04" w14:textId="77777777" w:rsidR="00F4698B" w:rsidRPr="0029797A" w:rsidRDefault="00F4698B" w:rsidP="00864C7E">
      <w:pPr>
        <w:pStyle w:val="NormalWeb"/>
        <w:spacing w:before="0" w:beforeAutospacing="0" w:after="0" w:afterAutospacing="0"/>
        <w:ind w:firstLine="708"/>
        <w:jc w:val="both"/>
        <w:rPr>
          <w:color w:val="000000"/>
          <w:sz w:val="22"/>
          <w:szCs w:val="22"/>
        </w:rPr>
      </w:pPr>
      <w:r w:rsidRPr="0029797A">
        <w:rPr>
          <w:color w:val="000000"/>
          <w:sz w:val="22"/>
          <w:szCs w:val="22"/>
        </w:rPr>
        <w:t>El objetivo principal de este proyecto es garantizar la participación directa y activa de la ciudadanía, así como de comunas, comunidades, pueblos y nacionalidades indígenas, afroecuatorianos y montubios, a través de un proceso inclusivo, transparente, adecuado y obligatorio. Este proceso debe asegurar el ejercicio efectivo de sus derechos y, cuando sea necesario, la obtención de su consentimiento para realizar actividades que puedan generar impactos ambientales, sociales, culturales o naturales. Asimismo, la ley pretende obtener el consentimiento de las comunidades frente a cualquier medida legislativa o administrativa que pudiera afectar sus derechos colectivos.</w:t>
      </w:r>
    </w:p>
    <w:p w14:paraId="4A6FB716" w14:textId="77777777" w:rsidR="00F4698B" w:rsidRPr="0029797A" w:rsidRDefault="00F4698B" w:rsidP="00864C7E">
      <w:pPr>
        <w:pStyle w:val="NormalWeb"/>
        <w:spacing w:before="0" w:beforeAutospacing="0" w:after="0" w:afterAutospacing="0"/>
        <w:ind w:firstLine="708"/>
        <w:jc w:val="both"/>
        <w:rPr>
          <w:color w:val="000000"/>
          <w:sz w:val="22"/>
          <w:szCs w:val="22"/>
        </w:rPr>
      </w:pPr>
      <w:r w:rsidRPr="0029797A">
        <w:rPr>
          <w:color w:val="000000"/>
          <w:sz w:val="22"/>
          <w:szCs w:val="22"/>
        </w:rPr>
        <w:t xml:space="preserve">En paralelo, la situación de las familias shuar en relación con el proyecto minero San Carlos </w:t>
      </w:r>
      <w:proofErr w:type="spellStart"/>
      <w:r w:rsidRPr="0029797A">
        <w:rPr>
          <w:color w:val="000000"/>
          <w:sz w:val="22"/>
          <w:szCs w:val="22"/>
        </w:rPr>
        <w:t>Panantza</w:t>
      </w:r>
      <w:proofErr w:type="spellEnd"/>
      <w:r w:rsidRPr="0029797A">
        <w:rPr>
          <w:color w:val="000000"/>
          <w:sz w:val="22"/>
          <w:szCs w:val="22"/>
        </w:rPr>
        <w:t xml:space="preserve"> ha suscitado denuncias sobre un presunto desplazamiento forzado de estas comunidades. Se ha señalado que las actividades mineras han afectado de manera significativa su territorio, poniendo en peligro sus medios de subsistencia y forzando a sus miembros a migrar.</w:t>
      </w:r>
    </w:p>
    <w:p w14:paraId="3ACF9478" w14:textId="77777777" w:rsidR="00F4698B" w:rsidRPr="0029797A" w:rsidRDefault="00F4698B" w:rsidP="00864C7E">
      <w:pPr>
        <w:pStyle w:val="NormalWeb"/>
        <w:spacing w:before="0" w:beforeAutospacing="0" w:after="0" w:afterAutospacing="0"/>
        <w:ind w:firstLine="708"/>
        <w:jc w:val="both"/>
        <w:rPr>
          <w:sz w:val="22"/>
          <w:szCs w:val="22"/>
        </w:rPr>
      </w:pPr>
      <w:r w:rsidRPr="0029797A">
        <w:rPr>
          <w:color w:val="000000"/>
          <w:sz w:val="22"/>
          <w:szCs w:val="22"/>
        </w:rPr>
        <w:t xml:space="preserve">Frente a esta problemática, la Defensoría del Pueblo hasta la fecha ha presentado seis informes de seguimiento del cumplimiento de la sentencia de la Corte </w:t>
      </w:r>
      <w:r w:rsidRPr="0029797A">
        <w:rPr>
          <w:sz w:val="22"/>
          <w:szCs w:val="22"/>
        </w:rPr>
        <w:t xml:space="preserve">Constitucional No. 1325-15-EP/22, </w:t>
      </w:r>
      <w:r w:rsidR="007E2AA5" w:rsidRPr="0029797A">
        <w:rPr>
          <w:sz w:val="22"/>
          <w:szCs w:val="22"/>
        </w:rPr>
        <w:t>misma</w:t>
      </w:r>
      <w:r w:rsidRPr="0029797A">
        <w:rPr>
          <w:sz w:val="22"/>
          <w:szCs w:val="22"/>
        </w:rPr>
        <w:t xml:space="preserve"> que resolvió declarar la vulneración del derecho colectivo a la consulta previa, libre e informada del pueblo indígena Shuar y delegó a la Defensoría del Pueblo para </w:t>
      </w:r>
      <w:r w:rsidR="007E2AA5" w:rsidRPr="0029797A">
        <w:rPr>
          <w:sz w:val="22"/>
          <w:szCs w:val="22"/>
        </w:rPr>
        <w:t>que realice</w:t>
      </w:r>
      <w:r w:rsidRPr="0029797A">
        <w:rPr>
          <w:sz w:val="22"/>
          <w:szCs w:val="22"/>
        </w:rPr>
        <w:t xml:space="preserve"> el seguimiento a la implementación del procedimiento de consulta previa ordenada. </w:t>
      </w:r>
    </w:p>
    <w:p w14:paraId="487F9264" w14:textId="77777777" w:rsidR="00F4698B" w:rsidRPr="0029797A" w:rsidRDefault="001F0A1E" w:rsidP="00864C7E">
      <w:pPr>
        <w:pStyle w:val="NormalWeb"/>
        <w:spacing w:before="0" w:beforeAutospacing="0" w:after="0" w:afterAutospacing="0"/>
        <w:ind w:firstLine="708"/>
        <w:jc w:val="both"/>
        <w:rPr>
          <w:sz w:val="22"/>
          <w:szCs w:val="22"/>
        </w:rPr>
      </w:pPr>
      <w:r w:rsidRPr="0029797A">
        <w:rPr>
          <w:sz w:val="22"/>
          <w:szCs w:val="22"/>
        </w:rPr>
        <w:t xml:space="preserve">Es por ello que, </w:t>
      </w:r>
      <w:r w:rsidR="00F4698B" w:rsidRPr="0029797A">
        <w:rPr>
          <w:sz w:val="22"/>
          <w:szCs w:val="22"/>
        </w:rPr>
        <w:t xml:space="preserve">mediante reuniones y solicitudes de información al Ministerio de Energía y Minas, </w:t>
      </w:r>
      <w:r w:rsidRPr="0029797A">
        <w:rPr>
          <w:sz w:val="22"/>
          <w:szCs w:val="22"/>
        </w:rPr>
        <w:t xml:space="preserve">se </w:t>
      </w:r>
      <w:r w:rsidR="00F4698B" w:rsidRPr="0029797A">
        <w:rPr>
          <w:sz w:val="22"/>
          <w:szCs w:val="22"/>
        </w:rPr>
        <w:t xml:space="preserve">elaboró la metodología, planificación y cronograma de actividades que se van a desarrollar para la realización del proceso de consulta previa, libre e informada, mismo que se encuentra en proceso de aprobación. </w:t>
      </w:r>
    </w:p>
    <w:p w14:paraId="611FD527" w14:textId="77777777" w:rsidR="00F4698B" w:rsidRPr="0029797A" w:rsidRDefault="00F4698B" w:rsidP="00864C7E">
      <w:pPr>
        <w:pStyle w:val="NormalWeb"/>
        <w:spacing w:before="0" w:beforeAutospacing="0" w:after="0" w:afterAutospacing="0"/>
        <w:ind w:firstLine="708"/>
        <w:jc w:val="both"/>
        <w:rPr>
          <w:sz w:val="22"/>
          <w:szCs w:val="22"/>
        </w:rPr>
      </w:pPr>
      <w:r w:rsidRPr="0029797A">
        <w:rPr>
          <w:sz w:val="22"/>
          <w:szCs w:val="22"/>
        </w:rPr>
        <w:t xml:space="preserve">En reunión mantenida entre la DPE y el Ministerio de Energía y Minas, </w:t>
      </w:r>
      <w:r w:rsidR="001F0A1E" w:rsidRPr="0029797A">
        <w:rPr>
          <w:sz w:val="22"/>
          <w:szCs w:val="22"/>
        </w:rPr>
        <w:t xml:space="preserve">en </w:t>
      </w:r>
      <w:r w:rsidRPr="0029797A">
        <w:rPr>
          <w:sz w:val="22"/>
          <w:szCs w:val="22"/>
        </w:rPr>
        <w:t>septiembre 2024, e</w:t>
      </w:r>
      <w:r w:rsidR="001F0A1E" w:rsidRPr="0029797A">
        <w:rPr>
          <w:sz w:val="22"/>
          <w:szCs w:val="22"/>
        </w:rPr>
        <w:t>l</w:t>
      </w:r>
      <w:r w:rsidRPr="0029797A">
        <w:rPr>
          <w:sz w:val="22"/>
          <w:szCs w:val="22"/>
        </w:rPr>
        <w:t xml:space="preserve"> ministerio informó que</w:t>
      </w:r>
      <w:r w:rsidR="00216117" w:rsidRPr="0029797A">
        <w:rPr>
          <w:sz w:val="22"/>
          <w:szCs w:val="22"/>
        </w:rPr>
        <w:t>,</w:t>
      </w:r>
      <w:r w:rsidRPr="0029797A">
        <w:rPr>
          <w:sz w:val="22"/>
          <w:szCs w:val="22"/>
        </w:rPr>
        <w:t xml:space="preserve"> para iniciar las acciones del proceso de implementación de consulta previa, libre e informada, a las comunidades afectadas por el Proyecto Minero </w:t>
      </w:r>
      <w:proofErr w:type="spellStart"/>
      <w:r w:rsidRPr="0029797A">
        <w:rPr>
          <w:sz w:val="22"/>
          <w:szCs w:val="22"/>
        </w:rPr>
        <w:t>Panantza</w:t>
      </w:r>
      <w:proofErr w:type="spellEnd"/>
      <w:r w:rsidRPr="0029797A">
        <w:rPr>
          <w:sz w:val="22"/>
          <w:szCs w:val="22"/>
        </w:rPr>
        <w:t xml:space="preserve"> San Carlos, es necesario contar con la asignación del presupuesto económico, mismo que ha sido debidamente solicitado al Ministerio de Finanzas. Asimismo, </w:t>
      </w:r>
      <w:r w:rsidR="001F0A1E" w:rsidRPr="0029797A">
        <w:rPr>
          <w:sz w:val="22"/>
          <w:szCs w:val="22"/>
        </w:rPr>
        <w:t xml:space="preserve">se </w:t>
      </w:r>
      <w:r w:rsidRPr="0029797A">
        <w:rPr>
          <w:sz w:val="22"/>
          <w:szCs w:val="22"/>
        </w:rPr>
        <w:t>indic</w:t>
      </w:r>
      <w:r w:rsidR="001F0A1E" w:rsidRPr="0029797A">
        <w:rPr>
          <w:sz w:val="22"/>
          <w:szCs w:val="22"/>
        </w:rPr>
        <w:t>ó</w:t>
      </w:r>
      <w:r w:rsidRPr="0029797A">
        <w:rPr>
          <w:sz w:val="22"/>
          <w:szCs w:val="22"/>
        </w:rPr>
        <w:t xml:space="preserve"> que el Ministerio de Ambiente, Agua y Transición Ecológica se encuentra realizando el estudio de impacto ambiental. </w:t>
      </w:r>
    </w:p>
    <w:p w14:paraId="1D41164E" w14:textId="77777777" w:rsidR="00F4698B" w:rsidRDefault="00F4698B" w:rsidP="009704F9">
      <w:pPr>
        <w:pStyle w:val="NormalWeb"/>
        <w:spacing w:before="0" w:beforeAutospacing="0" w:after="0" w:afterAutospacing="0"/>
        <w:ind w:firstLine="708"/>
        <w:jc w:val="both"/>
        <w:rPr>
          <w:color w:val="000000"/>
          <w:sz w:val="22"/>
          <w:szCs w:val="22"/>
        </w:rPr>
      </w:pPr>
      <w:r w:rsidRPr="0029797A">
        <w:rPr>
          <w:color w:val="000000"/>
          <w:sz w:val="22"/>
          <w:szCs w:val="22"/>
        </w:rPr>
        <w:t xml:space="preserve">Este seguimiento </w:t>
      </w:r>
      <w:r w:rsidR="001F0A1E" w:rsidRPr="0029797A">
        <w:rPr>
          <w:color w:val="000000"/>
          <w:sz w:val="22"/>
          <w:szCs w:val="22"/>
        </w:rPr>
        <w:t>es transcendental</w:t>
      </w:r>
      <w:r w:rsidRPr="0029797A">
        <w:rPr>
          <w:color w:val="000000"/>
          <w:sz w:val="22"/>
          <w:szCs w:val="22"/>
        </w:rPr>
        <w:t xml:space="preserve"> para asegurar que se respeten los derechos de las comunidades afectadas y se tomen las medidas necesarias para mitigar el impacto del proyecto minero en las familias shuar.</w:t>
      </w:r>
      <w:r w:rsidR="001F0A1E" w:rsidRPr="0029797A">
        <w:rPr>
          <w:color w:val="000000"/>
          <w:sz w:val="22"/>
          <w:szCs w:val="22"/>
        </w:rPr>
        <w:t xml:space="preserve"> Y </w:t>
      </w:r>
      <w:r w:rsidRPr="0029797A">
        <w:rPr>
          <w:color w:val="000000"/>
          <w:sz w:val="22"/>
          <w:szCs w:val="22"/>
        </w:rPr>
        <w:t xml:space="preserve">garantizar que se ejecuten las decisiones judiciales y se protejan los derechos colectivos de los pueblos indígenas, en consonancia con el marco normativo vigente </w:t>
      </w:r>
      <w:r w:rsidRPr="0029797A">
        <w:rPr>
          <w:color w:val="000000"/>
          <w:sz w:val="22"/>
          <w:szCs w:val="22"/>
        </w:rPr>
        <w:lastRenderedPageBreak/>
        <w:t xml:space="preserve">en materia de consulta y participación. Esto no solo fortalece el respeto a los derechos de las comunidades, sino que también refuerza el papel del Estado como garante de la justicia y la equidad en los territorios indígenas. </w:t>
      </w:r>
    </w:p>
    <w:p w14:paraId="65017FB5" w14:textId="77777777" w:rsidR="006C5F6A" w:rsidRPr="0029797A" w:rsidRDefault="0000007A" w:rsidP="009704F9">
      <w:pPr>
        <w:pStyle w:val="ListParagraph"/>
        <w:numPr>
          <w:ilvl w:val="0"/>
          <w:numId w:val="17"/>
        </w:numPr>
        <w:tabs>
          <w:tab w:val="left" w:pos="851"/>
        </w:tabs>
        <w:spacing w:before="240" w:after="0" w:line="240" w:lineRule="auto"/>
        <w:rPr>
          <w:rFonts w:ascii="Times New Roman" w:hAnsi="Times New Roman"/>
          <w:b/>
        </w:rPr>
      </w:pPr>
      <w:r w:rsidRPr="0029797A">
        <w:rPr>
          <w:rFonts w:ascii="Times New Roman" w:hAnsi="Times New Roman"/>
          <w:b/>
        </w:rPr>
        <w:t xml:space="preserve">Defensores de derechos humanos </w:t>
      </w:r>
      <w:r w:rsidR="00F73730" w:rsidRPr="0029797A">
        <w:rPr>
          <w:rFonts w:ascii="Times New Roman" w:hAnsi="Times New Roman"/>
          <w:b/>
        </w:rPr>
        <w:t xml:space="preserve"> </w:t>
      </w:r>
    </w:p>
    <w:p w14:paraId="058D26A3" w14:textId="77777777" w:rsidR="006C5F6A" w:rsidRPr="0029797A" w:rsidRDefault="006C5F6A" w:rsidP="0029797A">
      <w:pPr>
        <w:pStyle w:val="ListParagraph"/>
        <w:tabs>
          <w:tab w:val="left" w:pos="851"/>
        </w:tabs>
        <w:spacing w:before="240" w:after="0" w:line="240" w:lineRule="auto"/>
        <w:ind w:left="0"/>
        <w:rPr>
          <w:rFonts w:ascii="Times New Roman" w:hAnsi="Times New Roman"/>
          <w:b/>
        </w:rPr>
      </w:pPr>
    </w:p>
    <w:p w14:paraId="130FF390" w14:textId="77777777" w:rsidR="00F73730" w:rsidRDefault="00F73730" w:rsidP="0029797A">
      <w:pPr>
        <w:pStyle w:val="ListParagraph"/>
        <w:tabs>
          <w:tab w:val="left" w:pos="851"/>
        </w:tabs>
        <w:spacing w:before="240" w:after="0" w:line="240" w:lineRule="auto"/>
        <w:ind w:left="0"/>
        <w:rPr>
          <w:rFonts w:ascii="Times New Roman" w:hAnsi="Times New Roman"/>
          <w:b/>
          <w:i/>
          <w:iCs/>
        </w:rPr>
      </w:pPr>
      <w:r w:rsidRPr="0029797A">
        <w:rPr>
          <w:rFonts w:ascii="Times New Roman" w:hAnsi="Times New Roman"/>
          <w:b/>
          <w:i/>
          <w:iCs/>
        </w:rPr>
        <w:t>Párr</w:t>
      </w:r>
      <w:r w:rsidR="006C5F6A" w:rsidRPr="0029797A">
        <w:rPr>
          <w:rFonts w:ascii="Times New Roman" w:hAnsi="Times New Roman"/>
          <w:b/>
          <w:i/>
          <w:iCs/>
        </w:rPr>
        <w:t>afos 20 y 21</w:t>
      </w:r>
    </w:p>
    <w:p w14:paraId="4C698BE2" w14:textId="77777777" w:rsidR="00E93070" w:rsidRPr="0029797A" w:rsidRDefault="00E93070" w:rsidP="0029797A">
      <w:pPr>
        <w:pStyle w:val="ListParagraph"/>
        <w:tabs>
          <w:tab w:val="left" w:pos="851"/>
        </w:tabs>
        <w:spacing w:before="240" w:after="0" w:line="240" w:lineRule="auto"/>
        <w:ind w:left="0"/>
        <w:rPr>
          <w:rFonts w:ascii="Times New Roman" w:hAnsi="Times New Roman"/>
          <w:b/>
          <w:i/>
          <w:iCs/>
        </w:rPr>
      </w:pPr>
    </w:p>
    <w:p w14:paraId="65FFA590" w14:textId="77777777" w:rsidR="00E1046A" w:rsidRPr="0029797A" w:rsidRDefault="00641090" w:rsidP="00E93070">
      <w:pPr>
        <w:pStyle w:val="NormalWeb"/>
        <w:spacing w:before="0" w:beforeAutospacing="0" w:after="0" w:afterAutospacing="0"/>
        <w:jc w:val="both"/>
        <w:rPr>
          <w:color w:val="000000"/>
          <w:sz w:val="22"/>
          <w:szCs w:val="22"/>
        </w:rPr>
      </w:pPr>
      <w:r w:rsidRPr="0029797A">
        <w:rPr>
          <w:rStyle w:val="m7eme"/>
          <w:sz w:val="22"/>
          <w:szCs w:val="22"/>
        </w:rPr>
        <w:tab/>
      </w:r>
      <w:r w:rsidR="00E1046A" w:rsidRPr="0029797A">
        <w:rPr>
          <w:color w:val="000000"/>
          <w:sz w:val="22"/>
          <w:szCs w:val="22"/>
        </w:rPr>
        <w:t>La Ley Orgánica de la Defensoría del Pueblo del Ecuador (LODPE) define a las personas defensoras de los derechos humanos y de la naturaleza como aquellos individuos o colectivos que ejercen su derecho a promover, proteger y procurar la realización efectiva de los derechos humanos y de la naturaleza. Asimismo, esta normativa establece la obligación del Estado de garantizar la protección y seguridad de quienes defienden estos derechos, reconociendo su papel esencial en la promoción de la justicia y la equidad.</w:t>
      </w:r>
    </w:p>
    <w:p w14:paraId="1B7F85BE" w14:textId="77777777" w:rsidR="00E1046A" w:rsidRPr="0029797A" w:rsidRDefault="00E1046A" w:rsidP="00E93070">
      <w:pPr>
        <w:pStyle w:val="NormalWeb"/>
        <w:spacing w:before="0" w:beforeAutospacing="0" w:after="0" w:afterAutospacing="0"/>
        <w:ind w:firstLine="708"/>
        <w:jc w:val="both"/>
        <w:rPr>
          <w:color w:val="000000"/>
          <w:sz w:val="22"/>
          <w:szCs w:val="22"/>
        </w:rPr>
      </w:pPr>
      <w:r w:rsidRPr="0029797A">
        <w:rPr>
          <w:color w:val="000000"/>
          <w:sz w:val="22"/>
          <w:szCs w:val="22"/>
        </w:rPr>
        <w:t>En cumplimiento de sus competencias, la Defensoría del Pueblo del Ecuador (DPE) emitió la Resolución No. 077-DPE-CGAJ-2019, que establece "La normativa para la Promoción y Protección de los Derechos de las personas Defensoras de Derechos Humanos y de la Naturaleza". Este instrumento identifica las acciones y omisiones que pueden limitar o vulnerar la labor de las personas defensoras, ya sea de forma individual o colectiva, y subraya la importancia de su protección en el contexto ecuatoriano.</w:t>
      </w:r>
    </w:p>
    <w:p w14:paraId="063A8A3E" w14:textId="6F5CC9CD" w:rsidR="00E1046A" w:rsidRPr="0029797A" w:rsidRDefault="00E1046A" w:rsidP="00E93070">
      <w:pPr>
        <w:pStyle w:val="NormalWeb"/>
        <w:spacing w:before="0" w:beforeAutospacing="0" w:after="0" w:afterAutospacing="0"/>
        <w:ind w:firstLine="708"/>
        <w:jc w:val="both"/>
        <w:rPr>
          <w:color w:val="000000"/>
          <w:sz w:val="22"/>
          <w:szCs w:val="22"/>
        </w:rPr>
      </w:pPr>
      <w:r w:rsidRPr="61B3D1EC">
        <w:rPr>
          <w:color w:val="000000" w:themeColor="text1"/>
          <w:sz w:val="22"/>
          <w:szCs w:val="22"/>
        </w:rPr>
        <w:t>Uno de los principales desafíos que enfrenta Ecuador en relación con la protección de las personas defensoras es la falta de creación de entornos seguros y propicios para el ejercicio de sus derechos. Frecuentemente, dichos entornos se tornan adversos y conflictivos debido a la convergencia de intereses económicos y políticos que exacerban su vulnerabilidad. Entre los obstáculos más graves se encuentran la ausencia de un marco normativo robusto para su protección efectiva, la criminalización de su labor, la estigmatización y discriminación, así como la insuficiencia de recursos y apoyo institucional.</w:t>
      </w:r>
    </w:p>
    <w:p w14:paraId="0ED61331" w14:textId="77777777" w:rsidR="00E1046A" w:rsidRPr="0029797A" w:rsidRDefault="00E1046A" w:rsidP="00E93070">
      <w:pPr>
        <w:pStyle w:val="NormalWeb"/>
        <w:spacing w:before="0" w:beforeAutospacing="0" w:after="0" w:afterAutospacing="0"/>
        <w:ind w:firstLine="708"/>
        <w:jc w:val="both"/>
        <w:rPr>
          <w:color w:val="000000"/>
          <w:sz w:val="22"/>
          <w:szCs w:val="22"/>
        </w:rPr>
      </w:pPr>
      <w:r w:rsidRPr="0029797A">
        <w:rPr>
          <w:color w:val="000000"/>
          <w:sz w:val="22"/>
          <w:szCs w:val="22"/>
        </w:rPr>
        <w:t>Es imprescindible la implementación de acciones integrales y coordinadas que cuenten con la participación activa de todos los actores y sectores involucrados. La protección de las personas defensoras de derechos humanos es una responsabilidad colectiva que requiere el compromiso firme del Estado y de la sociedad en su conjunto.</w:t>
      </w:r>
    </w:p>
    <w:p w14:paraId="45AAE7C9" w14:textId="77777777" w:rsidR="00E1046A" w:rsidRPr="0029797A" w:rsidRDefault="00E1046A" w:rsidP="00E93070">
      <w:pPr>
        <w:pStyle w:val="NormalWeb"/>
        <w:spacing w:before="0" w:beforeAutospacing="0" w:after="0" w:afterAutospacing="0"/>
        <w:ind w:firstLine="708"/>
        <w:jc w:val="both"/>
        <w:rPr>
          <w:color w:val="000000"/>
          <w:sz w:val="22"/>
          <w:szCs w:val="22"/>
        </w:rPr>
      </w:pPr>
      <w:r w:rsidRPr="0029797A">
        <w:rPr>
          <w:color w:val="000000"/>
          <w:sz w:val="22"/>
          <w:szCs w:val="22"/>
        </w:rPr>
        <w:t xml:space="preserve">La DPE desempeña un papel central en la mesa interinstitucional que trabaja en la construcción de una Política Integral para la Promoción y Protección de los Derechos de las personas Defensoras de Derechos Humanos y de la Naturaleza. Esta mesa está conformada por diversas entidades, entre ellas el Ministerio de la Mujer y Derechos Humanos (MMDH), la </w:t>
      </w:r>
      <w:r w:rsidR="00C02D19" w:rsidRPr="0029797A">
        <w:rPr>
          <w:color w:val="000000"/>
          <w:sz w:val="22"/>
          <w:szCs w:val="22"/>
        </w:rPr>
        <w:t>fiscalía general</w:t>
      </w:r>
      <w:r w:rsidRPr="0029797A">
        <w:rPr>
          <w:color w:val="000000"/>
          <w:sz w:val="22"/>
          <w:szCs w:val="22"/>
        </w:rPr>
        <w:t xml:space="preserve"> del Estado (FGE), el Consejo de la Judicatura (CJ), el Ministerio del Interior, los Consejos Nacionales de Igualdad, la Defensoría Pública (DP) y el Consejo de Comunicación. El objetivo de esta mesa, coliderada por la DPE y el MMDH, es desarrollar una política integral que proteja de manera efectiva a quienes defienden los derechos humanos y la naturaleza.</w:t>
      </w:r>
    </w:p>
    <w:p w14:paraId="488AF192" w14:textId="77777777" w:rsidR="00E1046A" w:rsidRPr="0029797A" w:rsidRDefault="00E1046A" w:rsidP="00E93070">
      <w:pPr>
        <w:pStyle w:val="NormalWeb"/>
        <w:spacing w:before="0" w:beforeAutospacing="0" w:after="0" w:afterAutospacing="0"/>
        <w:ind w:firstLine="708"/>
        <w:jc w:val="both"/>
        <w:rPr>
          <w:color w:val="000000"/>
          <w:sz w:val="22"/>
          <w:szCs w:val="22"/>
        </w:rPr>
      </w:pPr>
      <w:r w:rsidRPr="0029797A">
        <w:rPr>
          <w:color w:val="000000"/>
          <w:sz w:val="22"/>
          <w:szCs w:val="22"/>
        </w:rPr>
        <w:t>Como parte de este esfuerzo, la mesa interinstitucional ha elaborado un documento teórico-conceptual como base para la construcción de dicha política, y está recolectando datos cualitativos a nivel nacional mediante entrevistas y encuestas. La DPE, en colaboración con el MMDH, ha diseñado una metodología específica para diagnosticar la situación actual de los defensores de derechos humanos en el país, garantizando así que cualquier intervención futura esté basada en evidencia y responda a las necesidades reales de estos actores.</w:t>
      </w:r>
    </w:p>
    <w:p w14:paraId="156248EE" w14:textId="77777777" w:rsidR="00E1046A" w:rsidRPr="0029797A" w:rsidRDefault="00E1046A" w:rsidP="00E93070">
      <w:pPr>
        <w:pStyle w:val="NormalWeb"/>
        <w:spacing w:before="0" w:beforeAutospacing="0" w:after="0" w:afterAutospacing="0"/>
        <w:ind w:firstLine="708"/>
        <w:jc w:val="both"/>
        <w:rPr>
          <w:color w:val="000000"/>
          <w:sz w:val="22"/>
          <w:szCs w:val="22"/>
        </w:rPr>
      </w:pPr>
      <w:r w:rsidRPr="0029797A">
        <w:rPr>
          <w:color w:val="000000"/>
          <w:sz w:val="22"/>
          <w:szCs w:val="22"/>
        </w:rPr>
        <w:t xml:space="preserve">Además, en colaboración con organizaciones como la Pastoral Social Cáritas Ecuador y FIAN Ecuador, se presentó el proyecto "Herramientas prácticas para la protección de defensores/as de derechos humanos, campesinos, indígenas y de la naturaleza". Este proyecto, que comenzará su implementación el 1 de abril de 2024 y se extenderá por 36 meses, tiene como objetivo identificar las necesidades de los defensores, ofrecerles formación en seguridad y </w:t>
      </w:r>
      <w:r w:rsidRPr="0029797A">
        <w:rPr>
          <w:color w:val="000000"/>
          <w:sz w:val="22"/>
          <w:szCs w:val="22"/>
        </w:rPr>
        <w:lastRenderedPageBreak/>
        <w:t>autoprotección, y contribuir a la creación de políticas públicas que refuercen la protección de estos colectivos.</w:t>
      </w:r>
    </w:p>
    <w:p w14:paraId="76949299" w14:textId="77777777" w:rsidR="00E1046A" w:rsidRDefault="00E1046A" w:rsidP="00E93070">
      <w:pPr>
        <w:pStyle w:val="NormalWeb"/>
        <w:spacing w:before="0" w:beforeAutospacing="0" w:after="0" w:afterAutospacing="0"/>
        <w:ind w:firstLine="708"/>
        <w:jc w:val="both"/>
        <w:rPr>
          <w:color w:val="000000"/>
          <w:sz w:val="22"/>
          <w:szCs w:val="22"/>
        </w:rPr>
      </w:pPr>
      <w:r w:rsidRPr="0029797A">
        <w:rPr>
          <w:color w:val="000000"/>
          <w:sz w:val="22"/>
          <w:szCs w:val="22"/>
        </w:rPr>
        <w:t>De igual forma, este proyecto busca incidir en la formulación de políticas públicas orientadas a la protección y reparación integral de las personas defensoras de derechos humanos, particularmente aquellas pertenecientes a comunidades campesinas, indígenas y que luchan por la protección de la naturaleza. A través de un enfoque inclusivo y participativo, se espera que estas políticas contribuyan a prevenir violaciones de derechos y asegurar la justicia y reparación en casos de afectaciones.</w:t>
      </w:r>
    </w:p>
    <w:p w14:paraId="5E35706E" w14:textId="77777777" w:rsidR="00E93070" w:rsidRPr="0029797A" w:rsidRDefault="00E93070" w:rsidP="00E93070">
      <w:pPr>
        <w:pStyle w:val="NormalWeb"/>
        <w:spacing w:before="0" w:beforeAutospacing="0" w:after="0" w:afterAutospacing="0"/>
        <w:ind w:firstLine="708"/>
        <w:jc w:val="both"/>
        <w:rPr>
          <w:color w:val="000000"/>
          <w:sz w:val="22"/>
          <w:szCs w:val="22"/>
        </w:rPr>
      </w:pPr>
    </w:p>
    <w:p w14:paraId="3CC8E401" w14:textId="77777777" w:rsidR="00DB7B3C" w:rsidRPr="0029797A" w:rsidRDefault="0000007A" w:rsidP="0029797A">
      <w:pPr>
        <w:pStyle w:val="ListParagraph"/>
        <w:numPr>
          <w:ilvl w:val="0"/>
          <w:numId w:val="17"/>
        </w:numPr>
        <w:tabs>
          <w:tab w:val="left" w:pos="851"/>
        </w:tabs>
        <w:spacing w:before="240" w:after="0" w:line="240" w:lineRule="auto"/>
        <w:jc w:val="both"/>
        <w:rPr>
          <w:rFonts w:ascii="Times New Roman" w:hAnsi="Times New Roman"/>
          <w:b/>
        </w:rPr>
      </w:pPr>
      <w:r w:rsidRPr="0029797A">
        <w:rPr>
          <w:rFonts w:ascii="Times New Roman" w:hAnsi="Times New Roman"/>
          <w:b/>
        </w:rPr>
        <w:t xml:space="preserve">Pueblo indígena awá </w:t>
      </w:r>
    </w:p>
    <w:p w14:paraId="01DFCDEA" w14:textId="77777777" w:rsidR="00DB7B3C" w:rsidRPr="0029797A" w:rsidRDefault="00DB7B3C" w:rsidP="0029797A">
      <w:pPr>
        <w:pStyle w:val="ListParagraph"/>
        <w:tabs>
          <w:tab w:val="left" w:pos="851"/>
        </w:tabs>
        <w:spacing w:before="240" w:after="0" w:line="240" w:lineRule="auto"/>
        <w:ind w:left="360"/>
        <w:jc w:val="both"/>
        <w:rPr>
          <w:rFonts w:ascii="Times New Roman" w:hAnsi="Times New Roman"/>
          <w:b/>
          <w:highlight w:val="yellow"/>
        </w:rPr>
      </w:pPr>
    </w:p>
    <w:p w14:paraId="01EB2B6E" w14:textId="77777777" w:rsidR="00FB699F" w:rsidRPr="0029797A" w:rsidRDefault="00FB699F" w:rsidP="0029797A">
      <w:pPr>
        <w:pStyle w:val="ListParagraph"/>
        <w:tabs>
          <w:tab w:val="left" w:pos="851"/>
        </w:tabs>
        <w:spacing w:before="240" w:after="0" w:line="240" w:lineRule="auto"/>
        <w:ind w:left="360"/>
        <w:jc w:val="both"/>
        <w:rPr>
          <w:rFonts w:ascii="Times New Roman" w:hAnsi="Times New Roman"/>
          <w:b/>
          <w:i/>
          <w:iCs/>
        </w:rPr>
      </w:pPr>
      <w:r w:rsidRPr="0029797A">
        <w:rPr>
          <w:rFonts w:ascii="Times New Roman" w:hAnsi="Times New Roman"/>
          <w:b/>
          <w:i/>
          <w:iCs/>
        </w:rPr>
        <w:t>Párr</w:t>
      </w:r>
      <w:r w:rsidR="00DB7B3C" w:rsidRPr="0029797A">
        <w:rPr>
          <w:rFonts w:ascii="Times New Roman" w:hAnsi="Times New Roman"/>
          <w:b/>
          <w:i/>
          <w:iCs/>
        </w:rPr>
        <w:t>afos 22</w:t>
      </w:r>
      <w:r w:rsidR="00C86302" w:rsidRPr="0029797A">
        <w:rPr>
          <w:rFonts w:ascii="Times New Roman" w:hAnsi="Times New Roman"/>
          <w:b/>
          <w:i/>
          <w:iCs/>
        </w:rPr>
        <w:t xml:space="preserve"> </w:t>
      </w:r>
      <w:r w:rsidR="00DB7B3C" w:rsidRPr="0029797A">
        <w:rPr>
          <w:rFonts w:ascii="Times New Roman" w:hAnsi="Times New Roman"/>
          <w:b/>
          <w:i/>
          <w:iCs/>
        </w:rPr>
        <w:t>y 23</w:t>
      </w:r>
    </w:p>
    <w:p w14:paraId="6C9D92DA" w14:textId="77777777" w:rsidR="00E93070" w:rsidRDefault="007434F1" w:rsidP="008B7A3F">
      <w:pPr>
        <w:pStyle w:val="NormalWeb"/>
        <w:spacing w:before="0" w:beforeAutospacing="0" w:after="0" w:afterAutospacing="0"/>
        <w:jc w:val="both"/>
        <w:rPr>
          <w:sz w:val="22"/>
          <w:szCs w:val="22"/>
          <w:lang w:val="es-EC"/>
        </w:rPr>
      </w:pPr>
      <w:r w:rsidRPr="0029797A">
        <w:rPr>
          <w:sz w:val="22"/>
          <w:szCs w:val="22"/>
          <w:lang w:val="es-EC"/>
        </w:rPr>
        <w:tab/>
      </w:r>
    </w:p>
    <w:p w14:paraId="35EDCEE4" w14:textId="0802C072" w:rsidR="00E1046A" w:rsidRPr="0029797A" w:rsidRDefault="00E1046A" w:rsidP="00E93070">
      <w:pPr>
        <w:pStyle w:val="NormalWeb"/>
        <w:spacing w:before="0" w:beforeAutospacing="0" w:after="0" w:afterAutospacing="0"/>
        <w:ind w:firstLine="708"/>
        <w:jc w:val="both"/>
        <w:rPr>
          <w:color w:val="000000"/>
          <w:sz w:val="22"/>
          <w:szCs w:val="22"/>
        </w:rPr>
      </w:pPr>
      <w:r w:rsidRPr="0029797A">
        <w:rPr>
          <w:color w:val="000000"/>
          <w:sz w:val="22"/>
          <w:szCs w:val="22"/>
        </w:rPr>
        <w:t>La Defensoría del Pueblo del Ecuador (DPE) tiene como uno de sus objetivos principales la prevención de vulneraciones a los derechos humanos y de la naturaleza, conforme a lo estipulado en la Ley Orgánica de la Defensoría del Pueblo (2019, artículo 3, literal b). Entre sus competencias, se destaca la facultad de emitir alertas tempranas ante situaciones de riesgo (Ibidem, artículo 6, literal g). La implementación de estrategias preventivas es fundamental para mitigar los factores que generan violaciones a los derechos humanos y de la naturaleza. En este sentido, la DPE ha desarrollado el Sistema de Alerta Temprana (SAT) con el fin de fortalecer su capacidad preventiva.</w:t>
      </w:r>
    </w:p>
    <w:p w14:paraId="7F26C694" w14:textId="77777777" w:rsidR="00E1046A" w:rsidRPr="0029797A" w:rsidRDefault="00E1046A" w:rsidP="008B7A3F">
      <w:pPr>
        <w:pStyle w:val="NormalWeb"/>
        <w:spacing w:before="0" w:beforeAutospacing="0" w:after="0" w:afterAutospacing="0"/>
        <w:ind w:firstLine="708"/>
        <w:jc w:val="both"/>
        <w:rPr>
          <w:color w:val="000000"/>
          <w:sz w:val="22"/>
          <w:szCs w:val="22"/>
        </w:rPr>
      </w:pPr>
      <w:r w:rsidRPr="0029797A">
        <w:rPr>
          <w:color w:val="000000"/>
          <w:sz w:val="22"/>
          <w:szCs w:val="22"/>
        </w:rPr>
        <w:t>En este contexto, el SAT de la DPE, en colaboración con el SAT de la Defensoría del Pueblo de Colombia, emitió en marzo de 2023 la primera alerta temprana binacional sobre la situación de los derechos humanos del pueblo Awá. Esta alerta se originó debido a la crítica situación que atraviesa esta comunidad, especialmente en la zona fronteriza de ambos países, donde el crimen organizado y el conflicto armado no internacional, que se ha extendido de Colombia a Ecuador, han generado riesgos significativos. Estos riesgos están relacionados con actividades ilícitas como el narcotráfico, la minería ilegal, el tráfico de armas y el reclutamiento forzado, entre otras.</w:t>
      </w:r>
    </w:p>
    <w:p w14:paraId="0D9D1873" w14:textId="77777777" w:rsidR="00E1046A" w:rsidRPr="0029797A" w:rsidRDefault="00E1046A" w:rsidP="008B7A3F">
      <w:pPr>
        <w:pStyle w:val="NormalWeb"/>
        <w:spacing w:before="0" w:beforeAutospacing="0" w:after="0" w:afterAutospacing="0"/>
        <w:ind w:firstLine="708"/>
        <w:jc w:val="both"/>
        <w:rPr>
          <w:color w:val="000000"/>
          <w:sz w:val="22"/>
          <w:szCs w:val="22"/>
        </w:rPr>
      </w:pPr>
      <w:r w:rsidRPr="0029797A">
        <w:rPr>
          <w:color w:val="000000"/>
          <w:sz w:val="22"/>
          <w:szCs w:val="22"/>
        </w:rPr>
        <w:t>A continuación, se presenta una sistematización de la situación de derechos humanos descrita en la Alerta Temprana Binacional Colombia-Ecuador No. 001-23, la cual recoge información recopilada por ambas defensorías en relación con los riesgos que enfrenta la población Awá asentada en la frontera entre Ecuador y Colombia.</w:t>
      </w:r>
    </w:p>
    <w:p w14:paraId="5EBFB0D8" w14:textId="77777777" w:rsidR="00105E5F" w:rsidRPr="00105E5F" w:rsidRDefault="00105E5F" w:rsidP="008B7A3F">
      <w:pPr>
        <w:pStyle w:val="Heading3"/>
        <w:spacing w:before="0" w:after="0" w:line="240" w:lineRule="auto"/>
        <w:jc w:val="both"/>
        <w:rPr>
          <w:rFonts w:ascii="Times New Roman" w:hAnsi="Times New Roman"/>
          <w:b w:val="0"/>
          <w:bCs w:val="0"/>
          <w:color w:val="000000"/>
          <w:sz w:val="22"/>
          <w:szCs w:val="22"/>
          <w:lang w:val="es-CO" w:eastAsia="es-MX"/>
        </w:rPr>
      </w:pPr>
      <w:r w:rsidRPr="00105E5F">
        <w:rPr>
          <w:rFonts w:ascii="Times New Roman" w:hAnsi="Times New Roman"/>
          <w:b w:val="0"/>
          <w:bCs w:val="0"/>
          <w:color w:val="000000"/>
          <w:sz w:val="22"/>
          <w:szCs w:val="22"/>
          <w:lang w:val="es-CO" w:eastAsia="es-MX"/>
        </w:rPr>
        <w:t xml:space="preserve">La </w:t>
      </w:r>
      <w:r w:rsidR="00E1046A" w:rsidRPr="00105E5F">
        <w:rPr>
          <w:rFonts w:ascii="Times New Roman" w:hAnsi="Times New Roman"/>
          <w:b w:val="0"/>
          <w:bCs w:val="0"/>
          <w:color w:val="000000"/>
          <w:sz w:val="22"/>
          <w:szCs w:val="22"/>
          <w:lang w:val="es-CO" w:eastAsia="es-MX"/>
        </w:rPr>
        <w:t>Población Awá en Ecuador</w:t>
      </w:r>
      <w:r>
        <w:rPr>
          <w:rFonts w:ascii="Times New Roman" w:hAnsi="Times New Roman"/>
          <w:b w:val="0"/>
          <w:bCs w:val="0"/>
          <w:color w:val="000000"/>
          <w:sz w:val="22"/>
          <w:szCs w:val="22"/>
          <w:lang w:val="es-CO" w:eastAsia="es-MX"/>
        </w:rPr>
        <w:t>:</w:t>
      </w:r>
    </w:p>
    <w:p w14:paraId="7AF029BA" w14:textId="77777777" w:rsidR="00E1046A" w:rsidRPr="00105E5F" w:rsidRDefault="00E1046A" w:rsidP="008B7A3F">
      <w:pPr>
        <w:pStyle w:val="Heading3"/>
        <w:spacing w:before="0" w:after="0" w:line="240" w:lineRule="auto"/>
        <w:ind w:firstLine="708"/>
        <w:jc w:val="both"/>
        <w:rPr>
          <w:rFonts w:ascii="Times New Roman" w:hAnsi="Times New Roman"/>
          <w:b w:val="0"/>
          <w:bCs w:val="0"/>
          <w:color w:val="000000"/>
          <w:sz w:val="22"/>
          <w:szCs w:val="22"/>
          <w:lang w:val="es-CO" w:eastAsia="es-MX"/>
        </w:rPr>
      </w:pPr>
      <w:r w:rsidRPr="00105E5F">
        <w:rPr>
          <w:rFonts w:ascii="Times New Roman" w:hAnsi="Times New Roman"/>
          <w:b w:val="0"/>
          <w:bCs w:val="0"/>
          <w:color w:val="000000"/>
          <w:sz w:val="22"/>
          <w:szCs w:val="22"/>
          <w:lang w:val="es-CO" w:eastAsia="es-MX"/>
        </w:rPr>
        <w:t>El territorio del pueblo Awá abarca aproximadamente 610.000 hectáreas, de las cuales 480.000 están en Colombia y 116.640 en Ecuador. En Colombia, la población Awá se concentra principalmente en los departamentos de Nariño (87,6%) y Putumayo (11,6%). En Ecuador, la nacionalidad Awá está distribuida en las provincias de Carchi (55,2%), Esmeraldas (22,4%), Imbabura (10,1%) y Sucumbíos (12,4%), con un total de 5.524 personas (DPE-DPC, 2023).</w:t>
      </w:r>
    </w:p>
    <w:p w14:paraId="6A7DCDE9" w14:textId="77777777" w:rsidR="00E1046A" w:rsidRPr="00105E5F" w:rsidRDefault="00E1046A" w:rsidP="008B7A3F">
      <w:pPr>
        <w:pStyle w:val="Heading3"/>
        <w:spacing w:before="0" w:after="0" w:line="240" w:lineRule="auto"/>
        <w:jc w:val="both"/>
        <w:rPr>
          <w:rFonts w:ascii="Times New Roman" w:hAnsi="Times New Roman"/>
          <w:b w:val="0"/>
          <w:bCs w:val="0"/>
          <w:color w:val="000000"/>
          <w:sz w:val="22"/>
          <w:szCs w:val="22"/>
          <w:lang w:val="es-CO" w:eastAsia="es-MX"/>
        </w:rPr>
      </w:pPr>
      <w:r w:rsidRPr="00105E5F">
        <w:rPr>
          <w:rFonts w:ascii="Times New Roman" w:hAnsi="Times New Roman"/>
          <w:b w:val="0"/>
          <w:bCs w:val="0"/>
          <w:color w:val="000000"/>
          <w:sz w:val="22"/>
          <w:szCs w:val="22"/>
          <w:lang w:val="es-CO" w:eastAsia="es-MX"/>
        </w:rPr>
        <w:t>Condiciones de vida de la población Awá</w:t>
      </w:r>
      <w:r w:rsidR="00105E5F">
        <w:rPr>
          <w:rFonts w:ascii="Times New Roman" w:hAnsi="Times New Roman"/>
          <w:b w:val="0"/>
          <w:bCs w:val="0"/>
          <w:color w:val="000000"/>
          <w:sz w:val="22"/>
          <w:szCs w:val="22"/>
          <w:lang w:val="es-CO" w:eastAsia="es-MX"/>
        </w:rPr>
        <w:t>:</w:t>
      </w:r>
    </w:p>
    <w:p w14:paraId="775161E5" w14:textId="77777777" w:rsidR="00E1046A" w:rsidRPr="0029797A" w:rsidRDefault="00E1046A" w:rsidP="008B7A3F">
      <w:pPr>
        <w:pStyle w:val="NormalWeb"/>
        <w:spacing w:before="0" w:beforeAutospacing="0" w:after="0" w:afterAutospacing="0"/>
        <w:ind w:firstLine="708"/>
        <w:jc w:val="both"/>
        <w:rPr>
          <w:color w:val="000000"/>
          <w:sz w:val="22"/>
          <w:szCs w:val="22"/>
        </w:rPr>
      </w:pPr>
      <w:r w:rsidRPr="0029797A">
        <w:rPr>
          <w:color w:val="000000"/>
          <w:sz w:val="22"/>
          <w:szCs w:val="22"/>
        </w:rPr>
        <w:t>Las comunidades Awá en la frontera norte de Ecuador viven en condiciones sumamente precarias, caracterizadas por la falta de acceso a servicios básicos como agua potable, alcantarillado y telecomunicaciones, especialmente en áreas rurales cercanas a Colombia. Estas zonas presentan índices de pobreza por necesidades básicas insatisfechas que superan la media nacional, y la falta de infraestructura vial limita su acceso a mercados y servicios esenciales.</w:t>
      </w:r>
    </w:p>
    <w:p w14:paraId="082590DF" w14:textId="77777777" w:rsidR="00E1046A" w:rsidRPr="0029797A" w:rsidRDefault="00E1046A" w:rsidP="008B7A3F">
      <w:pPr>
        <w:pStyle w:val="NormalWeb"/>
        <w:spacing w:before="0" w:beforeAutospacing="0" w:after="0" w:afterAutospacing="0"/>
        <w:ind w:firstLine="708"/>
        <w:jc w:val="both"/>
        <w:rPr>
          <w:color w:val="000000"/>
          <w:sz w:val="22"/>
          <w:szCs w:val="22"/>
        </w:rPr>
      </w:pPr>
      <w:r w:rsidRPr="0029797A">
        <w:rPr>
          <w:color w:val="000000"/>
          <w:sz w:val="22"/>
          <w:szCs w:val="22"/>
        </w:rPr>
        <w:t xml:space="preserve">En cuanto a la salud, las comunidades rurales dependen de subcentros de atención médica que carecen de equipamiento, medicamentos y personal capacitado, lo que reduce la cobertura de salud y aumenta su vulnerabilidad ante enfermedades. En el ámbito educativo, la infraestructura es limitada, y las comunidades más alejadas no cuentan con centros educativos interculturales, lo </w:t>
      </w:r>
      <w:r w:rsidRPr="0029797A">
        <w:rPr>
          <w:color w:val="000000"/>
          <w:sz w:val="22"/>
          <w:szCs w:val="22"/>
        </w:rPr>
        <w:lastRenderedPageBreak/>
        <w:t>que obliga a los estudiantes a desplazarse largas distancias para recibir clases, lo que aumenta la deserción escolar.</w:t>
      </w:r>
    </w:p>
    <w:p w14:paraId="24336619" w14:textId="77777777" w:rsidR="00E1046A" w:rsidRPr="00105E5F" w:rsidRDefault="00E1046A" w:rsidP="008B7A3F">
      <w:pPr>
        <w:pStyle w:val="Heading3"/>
        <w:spacing w:before="0" w:after="0" w:line="240" w:lineRule="auto"/>
        <w:jc w:val="both"/>
        <w:rPr>
          <w:rFonts w:ascii="Times New Roman" w:hAnsi="Times New Roman"/>
          <w:b w:val="0"/>
          <w:bCs w:val="0"/>
          <w:color w:val="000000"/>
          <w:sz w:val="22"/>
          <w:szCs w:val="22"/>
        </w:rPr>
      </w:pPr>
      <w:r w:rsidRPr="00105E5F">
        <w:rPr>
          <w:rFonts w:ascii="Times New Roman" w:hAnsi="Times New Roman"/>
          <w:b w:val="0"/>
          <w:bCs w:val="0"/>
          <w:color w:val="000000"/>
          <w:sz w:val="22"/>
          <w:szCs w:val="22"/>
        </w:rPr>
        <w:t>Contexto de la zona fronteriza</w:t>
      </w:r>
      <w:r w:rsidR="00105E5F">
        <w:rPr>
          <w:rFonts w:ascii="Times New Roman" w:hAnsi="Times New Roman"/>
          <w:b w:val="0"/>
          <w:bCs w:val="0"/>
          <w:color w:val="000000"/>
          <w:sz w:val="22"/>
          <w:szCs w:val="22"/>
        </w:rPr>
        <w:t>:</w:t>
      </w:r>
    </w:p>
    <w:p w14:paraId="62E09191" w14:textId="77777777" w:rsidR="00E1046A" w:rsidRPr="0029797A" w:rsidRDefault="00E1046A" w:rsidP="008B7A3F">
      <w:pPr>
        <w:pStyle w:val="NormalWeb"/>
        <w:spacing w:before="0" w:beforeAutospacing="0" w:after="0" w:afterAutospacing="0"/>
        <w:ind w:firstLine="708"/>
        <w:jc w:val="both"/>
        <w:rPr>
          <w:color w:val="000000"/>
          <w:sz w:val="22"/>
          <w:szCs w:val="22"/>
        </w:rPr>
      </w:pPr>
      <w:r w:rsidRPr="0029797A">
        <w:rPr>
          <w:color w:val="000000"/>
          <w:sz w:val="22"/>
          <w:szCs w:val="22"/>
        </w:rPr>
        <w:t>La alerta binacional también resalta la grave situación humanitaria en la zona transfronteriza, marcada por la presencia de grupos armados ilegales que ejercen presión sobre las comunidades indígenas, especialmente los Awá. Estos grupos generan desplazamientos forzados y promueven actividades ilícitas, aprovechando la ubicación estratégica de los territorios Awá en una frontera porosa con escasa presencia estatal.</w:t>
      </w:r>
    </w:p>
    <w:p w14:paraId="5C3D4243" w14:textId="77777777" w:rsidR="00E1046A" w:rsidRPr="0029797A" w:rsidRDefault="00E1046A" w:rsidP="008B7A3F">
      <w:pPr>
        <w:pStyle w:val="NormalWeb"/>
        <w:spacing w:before="0" w:beforeAutospacing="0" w:after="0" w:afterAutospacing="0"/>
        <w:ind w:firstLine="708"/>
        <w:jc w:val="both"/>
        <w:rPr>
          <w:color w:val="000000"/>
          <w:sz w:val="22"/>
          <w:szCs w:val="22"/>
        </w:rPr>
      </w:pPr>
      <w:r w:rsidRPr="0029797A">
        <w:rPr>
          <w:color w:val="000000"/>
          <w:sz w:val="22"/>
          <w:szCs w:val="22"/>
        </w:rPr>
        <w:t>Según la Oficina de Naciones Unidas contra la Droga y el Delito (UNODC), las provincias fronterizas de Ecuador son áreas clave para el crimen organizado, facilitando el almacenamiento de drogas y el tráfico de armas. Esta situación convierte a las comunidades Awá en rutas vulnerables para el narcotráfico y otras actividades ilegales, lo que agrava su exposición a la violencia y la inseguridad.</w:t>
      </w:r>
    </w:p>
    <w:p w14:paraId="3523F555" w14:textId="77777777" w:rsidR="00E1046A" w:rsidRPr="00105E5F" w:rsidRDefault="00E1046A" w:rsidP="008B7A3F">
      <w:pPr>
        <w:pStyle w:val="Heading3"/>
        <w:spacing w:before="0" w:after="0" w:line="240" w:lineRule="auto"/>
        <w:jc w:val="both"/>
        <w:rPr>
          <w:rFonts w:ascii="Times New Roman" w:hAnsi="Times New Roman"/>
          <w:b w:val="0"/>
          <w:bCs w:val="0"/>
          <w:color w:val="000000"/>
          <w:sz w:val="22"/>
          <w:szCs w:val="22"/>
        </w:rPr>
      </w:pPr>
      <w:r w:rsidRPr="00105E5F">
        <w:rPr>
          <w:rFonts w:ascii="Times New Roman" w:hAnsi="Times New Roman"/>
          <w:b w:val="0"/>
          <w:bCs w:val="0"/>
          <w:color w:val="000000"/>
          <w:sz w:val="22"/>
          <w:szCs w:val="22"/>
        </w:rPr>
        <w:t>Amenazas a los derechos humanos de la población Awá</w:t>
      </w:r>
      <w:r w:rsidR="00105E5F">
        <w:rPr>
          <w:rFonts w:ascii="Times New Roman" w:hAnsi="Times New Roman"/>
          <w:b w:val="0"/>
          <w:bCs w:val="0"/>
          <w:color w:val="000000"/>
          <w:sz w:val="22"/>
          <w:szCs w:val="22"/>
        </w:rPr>
        <w:t>:</w:t>
      </w:r>
    </w:p>
    <w:p w14:paraId="3F87946C" w14:textId="77777777" w:rsidR="00E1046A" w:rsidRPr="0029797A" w:rsidRDefault="00E1046A" w:rsidP="008B7A3F">
      <w:pPr>
        <w:pStyle w:val="NormalWeb"/>
        <w:spacing w:before="0" w:beforeAutospacing="0" w:after="0" w:afterAutospacing="0"/>
        <w:ind w:firstLine="708"/>
        <w:jc w:val="both"/>
        <w:rPr>
          <w:color w:val="000000"/>
          <w:sz w:val="22"/>
          <w:szCs w:val="22"/>
        </w:rPr>
      </w:pPr>
      <w:r w:rsidRPr="0029797A">
        <w:rPr>
          <w:color w:val="000000"/>
          <w:sz w:val="22"/>
          <w:szCs w:val="22"/>
        </w:rPr>
        <w:t>La alerta binacional destaca las graves violaciones a los derechos humanos que sufre la población Awá en la frontera norte de Ecuador, exacerbadas por el conflicto armado colombiano. La expansión de cultivos de hoja de coca en Colombia, especialmente en áreas protegidas y territorios indígenas, ha aumentado la violencia en la región. La falta de implementación efectiva del Acuerdo de Paz entre las FARC y el Estado colombiano ha permitido que estructuras criminales tomen control de estos territorios, intensificando el conflicto por el control de la economía ilícita.</w:t>
      </w:r>
    </w:p>
    <w:p w14:paraId="4F55C535" w14:textId="77777777" w:rsidR="00E1046A" w:rsidRPr="0029797A" w:rsidRDefault="00E1046A" w:rsidP="008B7A3F">
      <w:pPr>
        <w:pStyle w:val="NormalWeb"/>
        <w:spacing w:before="0" w:beforeAutospacing="0" w:after="0" w:afterAutospacing="0"/>
        <w:ind w:firstLine="708"/>
        <w:jc w:val="both"/>
        <w:rPr>
          <w:color w:val="000000"/>
          <w:sz w:val="22"/>
          <w:szCs w:val="22"/>
        </w:rPr>
      </w:pPr>
      <w:r w:rsidRPr="0029797A">
        <w:rPr>
          <w:color w:val="000000"/>
          <w:sz w:val="22"/>
          <w:szCs w:val="22"/>
        </w:rPr>
        <w:t>Las comunidades Awá enfrentan condiciones de vida extremadamente precarias, con acceso limitado a servicios básicos, educación y atención médica. Además, la deserción escolar y el reclutamiento forzado de jóvenes por parte de grupos armados aumentan su vulnerabilidad. Esta situación demanda acciones urgentes para proteger y promover los derechos civiles y políticos de las comunidades indígenas transfronterizas.</w:t>
      </w:r>
    </w:p>
    <w:p w14:paraId="287B5128" w14:textId="77777777" w:rsidR="00E1046A" w:rsidRPr="00105E5F" w:rsidRDefault="00E1046A" w:rsidP="008B7A3F">
      <w:pPr>
        <w:pStyle w:val="Heading3"/>
        <w:spacing w:before="0" w:after="0" w:line="240" w:lineRule="auto"/>
        <w:jc w:val="both"/>
        <w:rPr>
          <w:rFonts w:ascii="Times New Roman" w:hAnsi="Times New Roman"/>
          <w:b w:val="0"/>
          <w:bCs w:val="0"/>
          <w:color w:val="000000"/>
          <w:sz w:val="22"/>
          <w:szCs w:val="22"/>
        </w:rPr>
      </w:pPr>
      <w:r w:rsidRPr="00105E5F">
        <w:rPr>
          <w:rFonts w:ascii="Times New Roman" w:hAnsi="Times New Roman"/>
          <w:b w:val="0"/>
          <w:bCs w:val="0"/>
          <w:color w:val="000000"/>
          <w:sz w:val="22"/>
          <w:szCs w:val="22"/>
        </w:rPr>
        <w:t>Acciones estatales</w:t>
      </w:r>
      <w:r w:rsidR="00105E5F" w:rsidRPr="00105E5F">
        <w:rPr>
          <w:rFonts w:ascii="Times New Roman" w:hAnsi="Times New Roman"/>
          <w:b w:val="0"/>
          <w:bCs w:val="0"/>
          <w:color w:val="000000"/>
          <w:sz w:val="22"/>
          <w:szCs w:val="22"/>
        </w:rPr>
        <w:t>:</w:t>
      </w:r>
    </w:p>
    <w:p w14:paraId="1DE52946" w14:textId="77777777" w:rsidR="00E1046A" w:rsidRPr="0029797A" w:rsidRDefault="00E1046A" w:rsidP="008B7A3F">
      <w:pPr>
        <w:pStyle w:val="NormalWeb"/>
        <w:spacing w:before="0" w:beforeAutospacing="0" w:after="0" w:afterAutospacing="0"/>
        <w:ind w:firstLine="360"/>
        <w:jc w:val="both"/>
        <w:rPr>
          <w:color w:val="000000"/>
          <w:sz w:val="22"/>
          <w:szCs w:val="22"/>
        </w:rPr>
      </w:pPr>
      <w:r w:rsidRPr="0029797A">
        <w:rPr>
          <w:color w:val="000000"/>
          <w:sz w:val="22"/>
          <w:szCs w:val="22"/>
        </w:rPr>
        <w:t>El Ministerio de la Mujer y Derechos Humanos, como ente rector de la política pública en derechos humanos, tiene la responsabilidad de articular las respuestas del Estado ante las alertas tempranas emitidas por la DPE. Sin embargo, hasta la fecha, no se ha informado sobre las acciones tomadas por el Estado ecuatoriano en respuesta a la alerta binacional de abril de 2023. Esta falta de respuesta es preocupante, dada la creciente inseguridad en la zona fronteriza y la falta de acceso de las comunidades Awá a servicios públicos básicos.</w:t>
      </w:r>
    </w:p>
    <w:p w14:paraId="47DE380D" w14:textId="77777777" w:rsidR="00E93070" w:rsidRPr="0029797A" w:rsidRDefault="00E93070" w:rsidP="008B7A3F">
      <w:pPr>
        <w:pStyle w:val="NormalWeb"/>
        <w:spacing w:before="0" w:beforeAutospacing="0" w:after="0" w:afterAutospacing="0"/>
        <w:ind w:firstLine="360"/>
        <w:jc w:val="both"/>
        <w:rPr>
          <w:color w:val="000000"/>
          <w:sz w:val="22"/>
          <w:szCs w:val="22"/>
        </w:rPr>
      </w:pPr>
    </w:p>
    <w:p w14:paraId="26CB0A78" w14:textId="77777777" w:rsidR="004A2552" w:rsidRPr="004A2552" w:rsidRDefault="0000007A" w:rsidP="00A656CC">
      <w:pPr>
        <w:numPr>
          <w:ilvl w:val="0"/>
          <w:numId w:val="17"/>
        </w:numPr>
        <w:tabs>
          <w:tab w:val="left" w:pos="851"/>
        </w:tabs>
        <w:spacing w:before="240" w:after="0" w:line="240" w:lineRule="auto"/>
        <w:rPr>
          <w:rFonts w:ascii="Times New Roman" w:hAnsi="Times New Roman"/>
          <w:b/>
          <w:i/>
          <w:iCs/>
        </w:rPr>
      </w:pPr>
      <w:r w:rsidRPr="004A2552">
        <w:rPr>
          <w:rFonts w:ascii="Times New Roman" w:hAnsi="Times New Roman"/>
          <w:b/>
        </w:rPr>
        <w:t>Medidas contra formas de discriminación múltiple</w:t>
      </w:r>
      <w:r w:rsidR="00AF3333" w:rsidRPr="004A2552">
        <w:rPr>
          <w:rFonts w:ascii="Times New Roman" w:hAnsi="Times New Roman"/>
          <w:b/>
        </w:rPr>
        <w:t xml:space="preserve"> </w:t>
      </w:r>
    </w:p>
    <w:p w14:paraId="7933C862" w14:textId="77777777" w:rsidR="00B01715" w:rsidRDefault="00B01715" w:rsidP="00B01715">
      <w:pPr>
        <w:tabs>
          <w:tab w:val="left" w:pos="851"/>
        </w:tabs>
        <w:spacing w:after="0" w:line="240" w:lineRule="auto"/>
        <w:ind w:left="720"/>
        <w:rPr>
          <w:rFonts w:ascii="Times New Roman" w:hAnsi="Times New Roman"/>
          <w:b/>
          <w:i/>
          <w:iCs/>
        </w:rPr>
      </w:pPr>
    </w:p>
    <w:p w14:paraId="565D5291" w14:textId="102BBE64" w:rsidR="00E46571" w:rsidRDefault="00AF3333" w:rsidP="00B01715">
      <w:pPr>
        <w:tabs>
          <w:tab w:val="left" w:pos="851"/>
        </w:tabs>
        <w:spacing w:after="0" w:line="240" w:lineRule="auto"/>
        <w:ind w:left="720"/>
        <w:rPr>
          <w:rFonts w:ascii="Times New Roman" w:hAnsi="Times New Roman"/>
          <w:b/>
          <w:i/>
          <w:iCs/>
        </w:rPr>
      </w:pPr>
      <w:r w:rsidRPr="004A2552">
        <w:rPr>
          <w:rFonts w:ascii="Times New Roman" w:hAnsi="Times New Roman"/>
          <w:b/>
          <w:i/>
          <w:iCs/>
        </w:rPr>
        <w:t>Párr</w:t>
      </w:r>
      <w:r w:rsidR="00C02D19" w:rsidRPr="004A2552">
        <w:rPr>
          <w:rFonts w:ascii="Times New Roman" w:hAnsi="Times New Roman"/>
          <w:b/>
          <w:i/>
          <w:iCs/>
        </w:rPr>
        <w:t>afo</w:t>
      </w:r>
      <w:r w:rsidRPr="004A2552">
        <w:rPr>
          <w:rFonts w:ascii="Times New Roman" w:hAnsi="Times New Roman"/>
          <w:b/>
          <w:i/>
          <w:iCs/>
        </w:rPr>
        <w:t xml:space="preserve"> </w:t>
      </w:r>
      <w:r w:rsidR="00A42ECA" w:rsidRPr="004A2552">
        <w:rPr>
          <w:rFonts w:ascii="Times New Roman" w:hAnsi="Times New Roman"/>
          <w:b/>
          <w:i/>
          <w:iCs/>
        </w:rPr>
        <w:t>24</w:t>
      </w:r>
    </w:p>
    <w:p w14:paraId="4E593736" w14:textId="77777777" w:rsidR="008B7A3F" w:rsidRPr="004A2552" w:rsidRDefault="008B7A3F" w:rsidP="00B01715">
      <w:pPr>
        <w:tabs>
          <w:tab w:val="left" w:pos="851"/>
        </w:tabs>
        <w:spacing w:after="0" w:line="240" w:lineRule="auto"/>
        <w:ind w:left="720"/>
        <w:rPr>
          <w:rFonts w:ascii="Times New Roman" w:hAnsi="Times New Roman"/>
          <w:b/>
          <w:i/>
          <w:iCs/>
        </w:rPr>
      </w:pPr>
    </w:p>
    <w:p w14:paraId="55356EA0" w14:textId="77777777" w:rsidR="00487E5B" w:rsidRPr="00110B71" w:rsidRDefault="00487E5B" w:rsidP="00B01715">
      <w:pPr>
        <w:spacing w:after="0" w:line="240" w:lineRule="auto"/>
        <w:ind w:firstLine="709"/>
        <w:jc w:val="both"/>
        <w:rPr>
          <w:rFonts w:ascii="Times New Roman" w:hAnsi="Times New Roman"/>
        </w:rPr>
      </w:pPr>
      <w:r w:rsidRPr="00110B71">
        <w:rPr>
          <w:rFonts w:ascii="Times New Roman" w:hAnsi="Times New Roman"/>
        </w:rPr>
        <w:t>La DPE, está comprometida con la promoción y protección de los derechos humanos, especialmente en el contexto de la discriminación racial y de género.</w:t>
      </w:r>
      <w:r w:rsidR="00E46571" w:rsidRPr="00110B71">
        <w:rPr>
          <w:rFonts w:ascii="Times New Roman" w:hAnsi="Times New Roman"/>
        </w:rPr>
        <w:t xml:space="preserve"> </w:t>
      </w:r>
    </w:p>
    <w:p w14:paraId="7DE1C3D1" w14:textId="77777777" w:rsidR="00487E5B" w:rsidRPr="00110B71" w:rsidRDefault="00487E5B" w:rsidP="00110B71">
      <w:pPr>
        <w:spacing w:after="0" w:line="240" w:lineRule="auto"/>
        <w:ind w:firstLine="709"/>
        <w:jc w:val="both"/>
        <w:rPr>
          <w:rFonts w:ascii="Times New Roman" w:hAnsi="Times New Roman"/>
          <w:lang w:val="es-EC"/>
        </w:rPr>
      </w:pPr>
      <w:r w:rsidRPr="00110B71">
        <w:rPr>
          <w:rFonts w:ascii="Times New Roman" w:hAnsi="Times New Roman"/>
          <w:lang w:val="es-EC"/>
        </w:rPr>
        <w:t>La Encuesta Nacional sobre Relaciones Familiares y Violencia de Género contra las Mujeres (ENVIGMU) 2019 revela datos alarmantes sobre la prevalencia de la violencia en diferentes contextos sociales y geográficos. Se observa que la violencia total en los últimos 12 meses es más común en áreas urbanas, y las mujeres afrodescendientes son las más afectadas, con un 40,8% de ellas reportando haber sufrido violencia en ese periodo. Además, las mujeres jóvenes de 18 a 29 años son particularmente vulnerables a estas situaciones de violencia.</w:t>
      </w:r>
    </w:p>
    <w:p w14:paraId="59222501" w14:textId="77777777" w:rsidR="00487E5B" w:rsidRPr="00110B71" w:rsidRDefault="00487E5B" w:rsidP="00110B71">
      <w:pPr>
        <w:spacing w:after="0" w:line="240" w:lineRule="auto"/>
        <w:ind w:firstLine="709"/>
        <w:jc w:val="both"/>
        <w:rPr>
          <w:rFonts w:ascii="Times New Roman" w:hAnsi="Times New Roman"/>
          <w:lang w:val="es-EC"/>
        </w:rPr>
      </w:pPr>
      <w:r w:rsidRPr="00110B71">
        <w:rPr>
          <w:rFonts w:ascii="Times New Roman" w:hAnsi="Times New Roman"/>
          <w:lang w:val="es-EC"/>
        </w:rPr>
        <w:t xml:space="preserve">A lo largo de la vida, un impactante 71,8% de las mujeres afrodescendientes ha experimentado alguna forma de violencia. Esta cifra es aún más elevada entre las mujeres separadas, que alcanzan un 76,8%. Estos datos evidencian que la violencia de género contra las </w:t>
      </w:r>
      <w:r w:rsidRPr="00110B71">
        <w:rPr>
          <w:rFonts w:ascii="Times New Roman" w:hAnsi="Times New Roman"/>
          <w:lang w:val="es-EC"/>
        </w:rPr>
        <w:lastRenderedPageBreak/>
        <w:t>mujeres afrodescendientes no solo es un problema de violencia, sino también una manifestación de discriminación racial que agrava su situación social y económica.</w:t>
      </w:r>
    </w:p>
    <w:p w14:paraId="0DF28FC7" w14:textId="1042E6D1" w:rsidR="00487E5B" w:rsidRPr="00110B71" w:rsidRDefault="00487E5B" w:rsidP="00110B71">
      <w:pPr>
        <w:spacing w:after="0" w:line="240" w:lineRule="auto"/>
        <w:ind w:firstLine="709"/>
        <w:jc w:val="both"/>
        <w:rPr>
          <w:rFonts w:ascii="Times New Roman" w:hAnsi="Times New Roman"/>
          <w:lang w:val="es-EC"/>
        </w:rPr>
      </w:pPr>
      <w:r w:rsidRPr="00110B71">
        <w:rPr>
          <w:rFonts w:ascii="Times New Roman" w:hAnsi="Times New Roman"/>
          <w:lang w:val="es-EC"/>
        </w:rPr>
        <w:t>Los estereotipos de género d</w:t>
      </w:r>
      <w:proofErr w:type="spellStart"/>
      <w:r w:rsidR="2947D53D" w:rsidRPr="00110B71">
        <w:rPr>
          <w:rFonts w:ascii="Times New Roman" w:hAnsi="Times New Roman"/>
        </w:rPr>
        <w:t>esempeñan</w:t>
      </w:r>
      <w:proofErr w:type="spellEnd"/>
      <w:r w:rsidRPr="00110B71">
        <w:rPr>
          <w:rFonts w:ascii="Times New Roman" w:hAnsi="Times New Roman"/>
        </w:rPr>
        <w:t xml:space="preserve"> un rol fundamental</w:t>
      </w:r>
      <w:r w:rsidRPr="00110B71">
        <w:rPr>
          <w:rFonts w:ascii="Times New Roman" w:hAnsi="Times New Roman"/>
          <w:lang w:val="es-EC"/>
        </w:rPr>
        <w:t xml:space="preserve"> en la normalización de la violencia en estas comunidades, perpetuando condiciones desfavorables para las mujeres afrodescendientes. Es fundamental que las políticas públicas no solo reconozcan esta realidad, sino que también aborden las intersecciones entre género y raza</w:t>
      </w:r>
      <w:r w:rsidR="006A0E66" w:rsidRPr="00110B71">
        <w:rPr>
          <w:rFonts w:ascii="Times New Roman" w:hAnsi="Times New Roman"/>
          <w:lang w:val="es-EC"/>
        </w:rPr>
        <w:t>.</w:t>
      </w:r>
    </w:p>
    <w:p w14:paraId="2D8274CD" w14:textId="77777777" w:rsidR="00487E5B" w:rsidRPr="00110B71" w:rsidRDefault="00487E5B" w:rsidP="00110B71">
      <w:pPr>
        <w:spacing w:after="0" w:line="240" w:lineRule="auto"/>
        <w:ind w:firstLine="709"/>
        <w:jc w:val="both"/>
        <w:rPr>
          <w:rFonts w:ascii="Times New Roman" w:hAnsi="Times New Roman"/>
          <w:lang w:val="es-EC"/>
        </w:rPr>
      </w:pPr>
      <w:r w:rsidRPr="00110B71">
        <w:rPr>
          <w:rFonts w:ascii="Times New Roman" w:hAnsi="Times New Roman"/>
          <w:lang w:val="es-EC"/>
        </w:rPr>
        <w:t xml:space="preserve">Con la próxima ejecución de la segunda ENVIGMU, es </w:t>
      </w:r>
      <w:r w:rsidR="00FC10F9" w:rsidRPr="00110B71">
        <w:rPr>
          <w:rFonts w:ascii="Times New Roman" w:hAnsi="Times New Roman"/>
          <w:lang w:val="es-EC"/>
        </w:rPr>
        <w:t>imperioso</w:t>
      </w:r>
      <w:r w:rsidRPr="00110B71">
        <w:rPr>
          <w:rFonts w:ascii="Times New Roman" w:hAnsi="Times New Roman"/>
          <w:lang w:val="es-EC"/>
        </w:rPr>
        <w:t xml:space="preserve"> que el Instituto Nacional de Estadística y Censos (INEC) amplíe la recolección de datos sobre violencia </w:t>
      </w:r>
      <w:proofErr w:type="spellStart"/>
      <w:r w:rsidRPr="00110B71">
        <w:rPr>
          <w:rFonts w:ascii="Times New Roman" w:hAnsi="Times New Roman"/>
          <w:lang w:val="es-EC"/>
        </w:rPr>
        <w:t>ginecobstétrica</w:t>
      </w:r>
      <w:proofErr w:type="spellEnd"/>
      <w:r w:rsidRPr="00110B71">
        <w:rPr>
          <w:rFonts w:ascii="Times New Roman" w:hAnsi="Times New Roman"/>
          <w:lang w:val="es-EC"/>
        </w:rPr>
        <w:t>, desagregando la información por condición étnica. Esto permitirá una evaluación más precisa del acceso a servicios de salud sexual y reproductiva, interrupción del embarazo en casos de violación y métodos de reproducción humana asistida.</w:t>
      </w:r>
    </w:p>
    <w:p w14:paraId="00C79619" w14:textId="77777777" w:rsidR="00487E5B" w:rsidRPr="00110B71" w:rsidRDefault="00487E5B" w:rsidP="00110B71">
      <w:pPr>
        <w:spacing w:after="0" w:line="240" w:lineRule="auto"/>
        <w:ind w:firstLine="709"/>
        <w:jc w:val="both"/>
        <w:rPr>
          <w:rFonts w:ascii="Times New Roman" w:hAnsi="Times New Roman"/>
          <w:lang w:val="es-EC"/>
        </w:rPr>
      </w:pPr>
      <w:r w:rsidRPr="00110B71">
        <w:rPr>
          <w:rFonts w:ascii="Times New Roman" w:hAnsi="Times New Roman"/>
          <w:lang w:val="es-EC"/>
        </w:rPr>
        <w:t xml:space="preserve">Para abordar efectivamente esta problemática, se recomienda la implementación de programas de concientización y educación que desafíen los estereotipos de género y racial, promoviendo una cultura de respeto e igualdad. Además, el Estado </w:t>
      </w:r>
      <w:r w:rsidR="006E6661" w:rsidRPr="00110B71">
        <w:rPr>
          <w:rFonts w:ascii="Times New Roman" w:hAnsi="Times New Roman"/>
          <w:lang w:val="es-EC"/>
        </w:rPr>
        <w:t xml:space="preserve">debe </w:t>
      </w:r>
      <w:r w:rsidRPr="00110B71">
        <w:rPr>
          <w:rFonts w:ascii="Times New Roman" w:hAnsi="Times New Roman"/>
          <w:lang w:val="es-EC"/>
        </w:rPr>
        <w:t>adopt</w:t>
      </w:r>
      <w:r w:rsidR="006E6661" w:rsidRPr="00110B71">
        <w:rPr>
          <w:rFonts w:ascii="Times New Roman" w:hAnsi="Times New Roman"/>
          <w:lang w:val="es-EC"/>
        </w:rPr>
        <w:t>ar</w:t>
      </w:r>
      <w:r w:rsidRPr="00110B71">
        <w:rPr>
          <w:rFonts w:ascii="Times New Roman" w:hAnsi="Times New Roman"/>
          <w:lang w:val="es-EC"/>
        </w:rPr>
        <w:t xml:space="preserve"> políticas públicas con una perspectiva de género y racial, asegurando que se tomen en cuenta las necesidades específicas de las mujeres afrodescendientes y otros grupos vulnerables.</w:t>
      </w:r>
    </w:p>
    <w:p w14:paraId="03D5E459" w14:textId="77777777" w:rsidR="00487E5B" w:rsidRDefault="00487E5B" w:rsidP="00110B71">
      <w:pPr>
        <w:spacing w:after="0" w:line="240" w:lineRule="auto"/>
        <w:ind w:firstLine="709"/>
        <w:jc w:val="both"/>
        <w:rPr>
          <w:rFonts w:ascii="Times New Roman" w:hAnsi="Times New Roman"/>
          <w:lang w:val="es-EC"/>
        </w:rPr>
      </w:pPr>
      <w:r w:rsidRPr="00110B71">
        <w:rPr>
          <w:rFonts w:ascii="Times New Roman" w:hAnsi="Times New Roman"/>
          <w:lang w:val="es-EC"/>
        </w:rPr>
        <w:t>En conclusión, la violencia contra las mujeres afrodescendientes en Ecuador es una expresión clara de discriminación que requiere</w:t>
      </w:r>
      <w:r w:rsidR="006E6661" w:rsidRPr="00110B71">
        <w:rPr>
          <w:rFonts w:ascii="Times New Roman" w:hAnsi="Times New Roman"/>
          <w:lang w:val="es-EC"/>
        </w:rPr>
        <w:t xml:space="preserve"> de </w:t>
      </w:r>
      <w:r w:rsidRPr="00110B71">
        <w:rPr>
          <w:rFonts w:ascii="Times New Roman" w:hAnsi="Times New Roman"/>
          <w:lang w:val="es-EC"/>
        </w:rPr>
        <w:t>atención. La integración de enfoques interseccionales en las políticas y programas es vital para avanzar hacia una sociedad más justa e inclusiva, donde tod</w:t>
      </w:r>
      <w:r w:rsidR="006E6661" w:rsidRPr="00110B71">
        <w:rPr>
          <w:rFonts w:ascii="Times New Roman" w:hAnsi="Times New Roman"/>
          <w:lang w:val="es-EC"/>
        </w:rPr>
        <w:t>a</w:t>
      </w:r>
      <w:r w:rsidRPr="00110B71">
        <w:rPr>
          <w:rFonts w:ascii="Times New Roman" w:hAnsi="Times New Roman"/>
          <w:lang w:val="es-EC"/>
        </w:rPr>
        <w:t>s l</w:t>
      </w:r>
      <w:r w:rsidR="006E6661" w:rsidRPr="00110B71">
        <w:rPr>
          <w:rFonts w:ascii="Times New Roman" w:hAnsi="Times New Roman"/>
          <w:lang w:val="es-EC"/>
        </w:rPr>
        <w:t>a</w:t>
      </w:r>
      <w:r w:rsidRPr="00110B71">
        <w:rPr>
          <w:rFonts w:ascii="Times New Roman" w:hAnsi="Times New Roman"/>
          <w:lang w:val="es-EC"/>
        </w:rPr>
        <w:t xml:space="preserve">s </w:t>
      </w:r>
      <w:r w:rsidR="006E6661" w:rsidRPr="00110B71">
        <w:rPr>
          <w:rFonts w:ascii="Times New Roman" w:hAnsi="Times New Roman"/>
          <w:lang w:val="es-EC"/>
        </w:rPr>
        <w:t>personas</w:t>
      </w:r>
      <w:r w:rsidRPr="00110B71">
        <w:rPr>
          <w:rFonts w:ascii="Times New Roman" w:hAnsi="Times New Roman"/>
          <w:lang w:val="es-EC"/>
        </w:rPr>
        <w:t xml:space="preserve"> tengan la oportunidad de vivir sin miedo a la violencia y la discriminación.</w:t>
      </w:r>
    </w:p>
    <w:p w14:paraId="184420C8" w14:textId="77777777" w:rsidR="00312A5A" w:rsidRPr="00312A5A" w:rsidRDefault="00312A5A" w:rsidP="00312A5A">
      <w:pPr>
        <w:spacing w:after="0" w:line="240" w:lineRule="auto"/>
        <w:ind w:firstLine="709"/>
        <w:jc w:val="both"/>
        <w:rPr>
          <w:rFonts w:ascii="Times New Roman" w:hAnsi="Times New Roman"/>
          <w:lang w:val="es-EC"/>
        </w:rPr>
      </w:pPr>
      <w:r w:rsidRPr="00312A5A">
        <w:rPr>
          <w:rFonts w:ascii="Times New Roman" w:hAnsi="Times New Roman"/>
          <w:lang w:val="es-EC"/>
        </w:rPr>
        <w:t xml:space="preserve">En el año de 2020, mediante Resolución No. 009, se expidió el Estatuto Orgánico de Procesos de la Defensoría del Pueblo que creó el Mecanismo para la Prevención de la Violencia contra la Mujer y basada en género, que tiene como misión: </w:t>
      </w:r>
    </w:p>
    <w:p w14:paraId="08AA5F78" w14:textId="77777777" w:rsidR="00312A5A" w:rsidRPr="00312A5A" w:rsidRDefault="00312A5A" w:rsidP="00312A5A">
      <w:pPr>
        <w:spacing w:after="0" w:line="240" w:lineRule="auto"/>
        <w:ind w:firstLine="709"/>
        <w:jc w:val="both"/>
        <w:rPr>
          <w:rFonts w:ascii="Times New Roman" w:hAnsi="Times New Roman"/>
          <w:lang w:val="es-EC"/>
        </w:rPr>
      </w:pPr>
      <w:r w:rsidRPr="00312A5A">
        <w:rPr>
          <w:rFonts w:ascii="Times New Roman" w:hAnsi="Times New Roman"/>
          <w:lang w:val="es-EC"/>
        </w:rPr>
        <w:t>“</w:t>
      </w:r>
      <w:r w:rsidRPr="00312A5A">
        <w:rPr>
          <w:rFonts w:ascii="Times New Roman" w:hAnsi="Times New Roman"/>
          <w:i/>
          <w:iCs/>
          <w:lang w:val="es-EC"/>
        </w:rPr>
        <w:t>velar por el reconocimiento de las mujeres y de las personas pertenecientes a otras diversidades sexo genéricas como sujetos de derechos mediante el diseño de estrategias para la implementación de acciones de prevención y protección que promuevan el cambio de estereotipos, prejuicios y estigmas para aportar a la construcción de una vida libre de violencia”.</w:t>
      </w:r>
    </w:p>
    <w:p w14:paraId="0B1D24A9" w14:textId="77777777" w:rsidR="00312A5A" w:rsidRPr="00312A5A" w:rsidRDefault="00312A5A" w:rsidP="00312A5A">
      <w:pPr>
        <w:spacing w:after="0"/>
        <w:jc w:val="both"/>
        <w:rPr>
          <w:rFonts w:ascii="Times New Roman" w:hAnsi="Times New Roman"/>
          <w:i/>
          <w:iCs/>
          <w:lang w:val="es-EC"/>
        </w:rPr>
      </w:pPr>
      <w:r w:rsidRPr="00312A5A">
        <w:rPr>
          <w:rFonts w:ascii="Times New Roman" w:hAnsi="Times New Roman"/>
          <w:i/>
          <w:iCs/>
          <w:lang w:val="es-EC"/>
        </w:rPr>
        <w:t xml:space="preserve">Con la finalidad de dar cumplimiento al artículo 37 de la Ley para Prevenir y Erradicar la Violencia contra las Mujeres expedida en el año de 2019 la Defensoría del Pueblo del Ecuador, en cumplimiento de la normativa expuesta durante el periodo de pandemia diseñó e implementó un aplicativo digital – </w:t>
      </w:r>
      <w:proofErr w:type="spellStart"/>
      <w:r w:rsidRPr="00312A5A">
        <w:rPr>
          <w:rFonts w:ascii="Times New Roman" w:hAnsi="Times New Roman"/>
          <w:i/>
          <w:iCs/>
          <w:lang w:val="es-EC"/>
        </w:rPr>
        <w:t>MAPs</w:t>
      </w:r>
      <w:proofErr w:type="spellEnd"/>
      <w:r w:rsidRPr="00312A5A">
        <w:rPr>
          <w:rFonts w:ascii="Times New Roman" w:hAnsi="Times New Roman"/>
          <w:i/>
          <w:iCs/>
          <w:lang w:val="es-EC"/>
        </w:rPr>
        <w:t>.</w:t>
      </w:r>
    </w:p>
    <w:p w14:paraId="7814255B" w14:textId="77777777" w:rsidR="00312A5A" w:rsidRPr="00312A5A" w:rsidRDefault="00312A5A" w:rsidP="00312A5A">
      <w:pPr>
        <w:spacing w:after="0" w:line="240" w:lineRule="auto"/>
        <w:ind w:firstLine="709"/>
        <w:jc w:val="both"/>
        <w:rPr>
          <w:rFonts w:ascii="Times New Roman" w:hAnsi="Times New Roman"/>
          <w:lang w:val="es-EC"/>
        </w:rPr>
      </w:pPr>
      <w:r w:rsidRPr="00312A5A">
        <w:rPr>
          <w:rFonts w:ascii="Times New Roman" w:hAnsi="Times New Roman"/>
          <w:i/>
          <w:iCs/>
          <w:lang w:val="es-EC"/>
        </w:rPr>
        <w:t>Este instrumento digital facilita el registro sistemático y ordenado en el levantamiento y seguimiento de las Medidas Administrativas de Protección (</w:t>
      </w:r>
      <w:proofErr w:type="spellStart"/>
      <w:r w:rsidRPr="00312A5A">
        <w:rPr>
          <w:rFonts w:ascii="Times New Roman" w:hAnsi="Times New Roman"/>
          <w:i/>
          <w:iCs/>
          <w:lang w:val="es-EC"/>
        </w:rPr>
        <w:t>MAPs</w:t>
      </w:r>
      <w:proofErr w:type="spellEnd"/>
      <w:r w:rsidRPr="00312A5A">
        <w:rPr>
          <w:rFonts w:ascii="Times New Roman" w:hAnsi="Times New Roman"/>
          <w:i/>
          <w:iCs/>
          <w:lang w:val="es-EC"/>
        </w:rPr>
        <w:t xml:space="preserve">), dictaminadas en la </w:t>
      </w:r>
      <w:proofErr w:type="gramStart"/>
      <w:r w:rsidRPr="00312A5A">
        <w:rPr>
          <w:rFonts w:ascii="Times New Roman" w:hAnsi="Times New Roman"/>
          <w:i/>
          <w:iCs/>
          <w:lang w:val="es-EC"/>
        </w:rPr>
        <w:t>LOIPEVCM .</w:t>
      </w:r>
      <w:proofErr w:type="gramEnd"/>
      <w:r w:rsidRPr="00312A5A">
        <w:rPr>
          <w:rFonts w:ascii="Times New Roman" w:hAnsi="Times New Roman"/>
          <w:i/>
          <w:iCs/>
          <w:lang w:val="es-EC"/>
        </w:rPr>
        <w:t xml:space="preserve"> Esta información más allá de ser una fuente confiable sobre las medidas de protección, busca aportar a los diferentes actores para caminar hacia una cultura que permita erradicar la violencia de género contra las mujeres.</w:t>
      </w:r>
      <w:r w:rsidRPr="00312A5A">
        <w:rPr>
          <w:rFonts w:ascii="Times New Roman" w:hAnsi="Times New Roman"/>
          <w:lang w:val="es-EC"/>
        </w:rPr>
        <w:t xml:space="preserve"> y la discriminación.</w:t>
      </w:r>
    </w:p>
    <w:p w14:paraId="37EA1C94" w14:textId="23E0596C" w:rsidR="00312A5A" w:rsidRDefault="00312A5A" w:rsidP="00312A5A">
      <w:pPr>
        <w:spacing w:after="0"/>
        <w:jc w:val="both"/>
        <w:rPr>
          <w:rFonts w:ascii="Times New Roman" w:hAnsi="Times New Roman"/>
          <w:lang w:val="es-EC"/>
        </w:rPr>
      </w:pPr>
      <w:r w:rsidRPr="00312A5A">
        <w:rPr>
          <w:rFonts w:ascii="Times New Roman" w:hAnsi="Times New Roman"/>
          <w:lang w:val="es-EC"/>
        </w:rPr>
        <w:t>En relación al objeto del presente informe la referida herramienta informática reporta los siguientes datos estadísticas en relación a la condición etaria de mujeres en el periodo comprendido entre los años 2022 a 2023</w:t>
      </w:r>
      <w:r>
        <w:rPr>
          <w:rFonts w:ascii="Times New Roman" w:hAnsi="Times New Roman"/>
          <w:lang w:val="es-EC"/>
        </w:rPr>
        <w:t>.</w:t>
      </w:r>
    </w:p>
    <w:p w14:paraId="75B348C1" w14:textId="77777777" w:rsidR="00312A5A" w:rsidRPr="00312A5A" w:rsidRDefault="00312A5A" w:rsidP="00312A5A">
      <w:pPr>
        <w:spacing w:after="0"/>
        <w:jc w:val="both"/>
        <w:rPr>
          <w:rFonts w:ascii="Times New Roman" w:hAnsi="Times New Roman"/>
          <w:b/>
          <w:bCs/>
          <w:lang w:val="es-EC"/>
        </w:rPr>
      </w:pPr>
    </w:p>
    <w:tbl>
      <w:tblPr>
        <w:tblW w:w="3943" w:type="dxa"/>
        <w:jc w:val="center"/>
        <w:tblLook w:val="04A0" w:firstRow="1" w:lastRow="0" w:firstColumn="1" w:lastColumn="0" w:noHBand="0" w:noVBand="1"/>
      </w:tblPr>
      <w:tblGrid>
        <w:gridCol w:w="2471"/>
        <w:gridCol w:w="1472"/>
      </w:tblGrid>
      <w:tr w:rsidR="00312A5A" w14:paraId="20EEAECC" w14:textId="77777777" w:rsidTr="002257E0">
        <w:trPr>
          <w:trHeight w:val="382"/>
          <w:tblHeader/>
          <w:jc w:val="center"/>
        </w:trPr>
        <w:tc>
          <w:tcPr>
            <w:tcW w:w="2471" w:type="dxa"/>
            <w:tcBorders>
              <w:top w:val="single" w:sz="4" w:space="0" w:color="auto"/>
              <w:left w:val="single" w:sz="4" w:space="0" w:color="auto"/>
              <w:bottom w:val="single" w:sz="4" w:space="0" w:color="auto"/>
              <w:right w:val="single" w:sz="4" w:space="0" w:color="auto"/>
            </w:tcBorders>
            <w:shd w:val="clear" w:color="auto" w:fill="5B9BD5"/>
            <w:noWrap/>
            <w:vAlign w:val="center"/>
            <w:hideMark/>
          </w:tcPr>
          <w:p w14:paraId="1525C0B6" w14:textId="77777777" w:rsidR="00312A5A" w:rsidRDefault="00312A5A" w:rsidP="002257E0">
            <w:pPr>
              <w:spacing w:after="0" w:line="240" w:lineRule="auto"/>
              <w:jc w:val="center"/>
              <w:rPr>
                <w:rFonts w:eastAsia="Times New Roman" w:cs="Calibri"/>
                <w:b/>
                <w:bCs/>
                <w:color w:val="FFFFFF"/>
                <w:lang w:val="en-US"/>
              </w:rPr>
            </w:pPr>
            <w:r>
              <w:rPr>
                <w:rFonts w:eastAsia="Times New Roman" w:cs="Calibri"/>
                <w:b/>
                <w:bCs/>
                <w:color w:val="FFFFFF"/>
              </w:rPr>
              <w:t>ETNIA</w:t>
            </w:r>
          </w:p>
        </w:tc>
        <w:tc>
          <w:tcPr>
            <w:tcW w:w="1472" w:type="dxa"/>
            <w:tcBorders>
              <w:top w:val="single" w:sz="4" w:space="0" w:color="auto"/>
              <w:left w:val="single" w:sz="4" w:space="0" w:color="auto"/>
              <w:bottom w:val="single" w:sz="4" w:space="0" w:color="auto"/>
              <w:right w:val="single" w:sz="4" w:space="0" w:color="auto"/>
            </w:tcBorders>
            <w:shd w:val="clear" w:color="auto" w:fill="5B9BD5"/>
            <w:noWrap/>
            <w:vAlign w:val="center"/>
            <w:hideMark/>
          </w:tcPr>
          <w:p w14:paraId="645EB911" w14:textId="77777777" w:rsidR="00312A5A" w:rsidRDefault="00312A5A" w:rsidP="002257E0">
            <w:pPr>
              <w:spacing w:after="0" w:line="240" w:lineRule="auto"/>
              <w:jc w:val="center"/>
              <w:rPr>
                <w:rFonts w:eastAsia="Times New Roman" w:cs="Calibri"/>
                <w:b/>
                <w:bCs/>
                <w:color w:val="FFFFFF"/>
              </w:rPr>
            </w:pPr>
            <w:r>
              <w:rPr>
                <w:rFonts w:eastAsia="Times New Roman" w:cs="Calibri"/>
                <w:b/>
                <w:bCs/>
                <w:color w:val="FFFFFF"/>
              </w:rPr>
              <w:t>NÚMERO</w:t>
            </w:r>
          </w:p>
        </w:tc>
      </w:tr>
      <w:tr w:rsidR="00312A5A" w14:paraId="3EF01849" w14:textId="77777777" w:rsidTr="002257E0">
        <w:trPr>
          <w:trHeight w:val="346"/>
          <w:jc w:val="center"/>
        </w:trPr>
        <w:tc>
          <w:tcPr>
            <w:tcW w:w="2471"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7FB497FB" w14:textId="77777777" w:rsidR="00312A5A" w:rsidRDefault="00312A5A" w:rsidP="00B77B3F">
            <w:pPr>
              <w:spacing w:after="0" w:line="240" w:lineRule="auto"/>
              <w:rPr>
                <w:rFonts w:eastAsia="Times New Roman" w:cs="Calibri"/>
                <w:color w:val="000000"/>
              </w:rPr>
            </w:pPr>
            <w:r>
              <w:rPr>
                <w:rFonts w:eastAsia="Times New Roman" w:cs="Calibri"/>
                <w:color w:val="000000"/>
              </w:rPr>
              <w:t>Mestiza</w:t>
            </w:r>
          </w:p>
        </w:tc>
        <w:tc>
          <w:tcPr>
            <w:tcW w:w="1472"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4E376A26" w14:textId="77777777" w:rsidR="00312A5A" w:rsidRDefault="00312A5A" w:rsidP="00B77B3F">
            <w:pPr>
              <w:spacing w:after="0" w:line="240" w:lineRule="auto"/>
              <w:jc w:val="right"/>
              <w:rPr>
                <w:rFonts w:eastAsia="Times New Roman" w:cs="Calibri"/>
                <w:color w:val="000000"/>
              </w:rPr>
            </w:pPr>
            <w:r>
              <w:rPr>
                <w:rFonts w:eastAsia="Times New Roman" w:cs="Calibri"/>
                <w:color w:val="000000"/>
              </w:rPr>
              <w:t>18884</w:t>
            </w:r>
          </w:p>
        </w:tc>
      </w:tr>
      <w:tr w:rsidR="00312A5A" w14:paraId="6AD9E49D" w14:textId="77777777" w:rsidTr="002257E0">
        <w:trPr>
          <w:trHeight w:val="346"/>
          <w:jc w:val="center"/>
        </w:trPr>
        <w:tc>
          <w:tcPr>
            <w:tcW w:w="2471" w:type="dxa"/>
            <w:tcBorders>
              <w:top w:val="single" w:sz="4" w:space="0" w:color="auto"/>
              <w:left w:val="single" w:sz="4" w:space="0" w:color="auto"/>
              <w:bottom w:val="single" w:sz="4" w:space="0" w:color="auto"/>
              <w:right w:val="single" w:sz="4" w:space="0" w:color="auto"/>
            </w:tcBorders>
            <w:noWrap/>
            <w:vAlign w:val="center"/>
            <w:hideMark/>
          </w:tcPr>
          <w:p w14:paraId="1BE07240" w14:textId="77777777" w:rsidR="00312A5A" w:rsidRDefault="00312A5A" w:rsidP="00B77B3F">
            <w:pPr>
              <w:spacing w:after="0" w:line="240" w:lineRule="auto"/>
              <w:rPr>
                <w:rFonts w:eastAsia="Times New Roman" w:cs="Calibri"/>
                <w:color w:val="000000"/>
              </w:rPr>
            </w:pPr>
            <w:proofErr w:type="spellStart"/>
            <w:r>
              <w:rPr>
                <w:rFonts w:eastAsia="Times New Roman" w:cs="Calibri"/>
                <w:color w:val="000000"/>
              </w:rPr>
              <w:t>SinDefinir</w:t>
            </w:r>
            <w:proofErr w:type="spellEnd"/>
          </w:p>
        </w:tc>
        <w:tc>
          <w:tcPr>
            <w:tcW w:w="1472" w:type="dxa"/>
            <w:tcBorders>
              <w:top w:val="single" w:sz="4" w:space="0" w:color="auto"/>
              <w:left w:val="single" w:sz="4" w:space="0" w:color="auto"/>
              <w:bottom w:val="single" w:sz="4" w:space="0" w:color="auto"/>
              <w:right w:val="single" w:sz="4" w:space="0" w:color="auto"/>
            </w:tcBorders>
            <w:noWrap/>
            <w:vAlign w:val="center"/>
            <w:hideMark/>
          </w:tcPr>
          <w:p w14:paraId="0C8BD0E7" w14:textId="77777777" w:rsidR="00312A5A" w:rsidRDefault="00312A5A" w:rsidP="00B77B3F">
            <w:pPr>
              <w:spacing w:after="0" w:line="240" w:lineRule="auto"/>
              <w:jc w:val="right"/>
              <w:rPr>
                <w:rFonts w:eastAsia="Times New Roman" w:cs="Calibri"/>
                <w:color w:val="000000"/>
              </w:rPr>
            </w:pPr>
            <w:r>
              <w:rPr>
                <w:rFonts w:eastAsia="Times New Roman" w:cs="Calibri"/>
                <w:color w:val="000000"/>
              </w:rPr>
              <w:t>3247</w:t>
            </w:r>
          </w:p>
        </w:tc>
      </w:tr>
      <w:tr w:rsidR="00312A5A" w14:paraId="3498E32A" w14:textId="77777777" w:rsidTr="002257E0">
        <w:trPr>
          <w:trHeight w:val="355"/>
          <w:jc w:val="center"/>
        </w:trPr>
        <w:tc>
          <w:tcPr>
            <w:tcW w:w="2471"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44244BCD" w14:textId="77777777" w:rsidR="00312A5A" w:rsidRDefault="00312A5A" w:rsidP="00B77B3F">
            <w:pPr>
              <w:spacing w:after="0" w:line="240" w:lineRule="auto"/>
              <w:rPr>
                <w:rFonts w:eastAsia="Times New Roman" w:cs="Calibri"/>
                <w:color w:val="000000"/>
              </w:rPr>
            </w:pPr>
            <w:r>
              <w:rPr>
                <w:rFonts w:eastAsia="Times New Roman" w:cs="Calibri"/>
                <w:color w:val="000000"/>
              </w:rPr>
              <w:t>Indígena</w:t>
            </w:r>
          </w:p>
        </w:tc>
        <w:tc>
          <w:tcPr>
            <w:tcW w:w="1472"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3F7CDF8C" w14:textId="77777777" w:rsidR="00312A5A" w:rsidRDefault="00312A5A" w:rsidP="00B77B3F">
            <w:pPr>
              <w:spacing w:after="0" w:line="240" w:lineRule="auto"/>
              <w:jc w:val="right"/>
              <w:rPr>
                <w:rFonts w:eastAsia="Times New Roman" w:cs="Calibri"/>
                <w:color w:val="000000"/>
              </w:rPr>
            </w:pPr>
            <w:r>
              <w:rPr>
                <w:rFonts w:eastAsia="Times New Roman" w:cs="Calibri"/>
                <w:color w:val="000000"/>
              </w:rPr>
              <w:t>884</w:t>
            </w:r>
          </w:p>
        </w:tc>
      </w:tr>
      <w:tr w:rsidR="002257E0" w14:paraId="1236D526" w14:textId="77777777" w:rsidTr="002257E0">
        <w:trPr>
          <w:trHeight w:val="355"/>
          <w:jc w:val="center"/>
        </w:trPr>
        <w:tc>
          <w:tcPr>
            <w:tcW w:w="24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A2F66B" w14:textId="45AB01B1" w:rsidR="002257E0" w:rsidRDefault="002257E0" w:rsidP="00B77B3F">
            <w:pPr>
              <w:spacing w:after="0" w:line="240" w:lineRule="auto"/>
              <w:rPr>
                <w:rFonts w:eastAsia="Times New Roman" w:cs="Calibri"/>
                <w:color w:val="000000"/>
              </w:rPr>
            </w:pPr>
            <w:r>
              <w:rPr>
                <w:rFonts w:eastAsia="Times New Roman" w:cs="Calibri"/>
                <w:color w:val="000000"/>
              </w:rPr>
              <w:t>Blanca</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D42FB4" w14:textId="27E765A4" w:rsidR="002257E0" w:rsidRDefault="002257E0" w:rsidP="00B77B3F">
            <w:pPr>
              <w:spacing w:after="0" w:line="240" w:lineRule="auto"/>
              <w:jc w:val="right"/>
              <w:rPr>
                <w:rFonts w:eastAsia="Times New Roman" w:cs="Calibri"/>
                <w:color w:val="000000"/>
              </w:rPr>
            </w:pPr>
            <w:r>
              <w:rPr>
                <w:rFonts w:eastAsia="Times New Roman" w:cs="Calibri"/>
                <w:color w:val="000000"/>
              </w:rPr>
              <w:t>200</w:t>
            </w:r>
          </w:p>
        </w:tc>
      </w:tr>
      <w:tr w:rsidR="00312A5A" w14:paraId="4167605C" w14:textId="77777777" w:rsidTr="002257E0">
        <w:trPr>
          <w:trHeight w:val="256"/>
          <w:jc w:val="center"/>
        </w:trPr>
        <w:tc>
          <w:tcPr>
            <w:tcW w:w="2471"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1DE6244B" w14:textId="77777777" w:rsidR="00312A5A" w:rsidRDefault="00312A5A" w:rsidP="00B77B3F">
            <w:pPr>
              <w:spacing w:after="0" w:line="240" w:lineRule="auto"/>
              <w:rPr>
                <w:rFonts w:eastAsia="Times New Roman" w:cs="Calibri"/>
                <w:color w:val="000000"/>
              </w:rPr>
            </w:pPr>
            <w:r>
              <w:rPr>
                <w:rFonts w:eastAsia="Times New Roman" w:cs="Calibri"/>
                <w:color w:val="000000"/>
              </w:rPr>
              <w:t>Otro</w:t>
            </w:r>
          </w:p>
        </w:tc>
        <w:tc>
          <w:tcPr>
            <w:tcW w:w="1472"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210B1668" w14:textId="77777777" w:rsidR="00312A5A" w:rsidRDefault="00312A5A" w:rsidP="00B77B3F">
            <w:pPr>
              <w:spacing w:after="0" w:line="240" w:lineRule="auto"/>
              <w:jc w:val="right"/>
              <w:rPr>
                <w:rFonts w:eastAsia="Times New Roman" w:cs="Calibri"/>
                <w:color w:val="000000"/>
              </w:rPr>
            </w:pPr>
            <w:r>
              <w:rPr>
                <w:rFonts w:eastAsia="Times New Roman" w:cs="Calibri"/>
                <w:color w:val="000000"/>
              </w:rPr>
              <w:t>194</w:t>
            </w:r>
          </w:p>
        </w:tc>
      </w:tr>
      <w:tr w:rsidR="00312A5A" w14:paraId="712023D0" w14:textId="77777777" w:rsidTr="002257E0">
        <w:trPr>
          <w:trHeight w:val="256"/>
          <w:jc w:val="center"/>
        </w:trPr>
        <w:tc>
          <w:tcPr>
            <w:tcW w:w="2471" w:type="dxa"/>
            <w:tcBorders>
              <w:top w:val="single" w:sz="4" w:space="0" w:color="auto"/>
              <w:left w:val="single" w:sz="4" w:space="0" w:color="auto"/>
              <w:bottom w:val="single" w:sz="4" w:space="0" w:color="auto"/>
              <w:right w:val="single" w:sz="4" w:space="0" w:color="auto"/>
            </w:tcBorders>
            <w:noWrap/>
            <w:vAlign w:val="center"/>
            <w:hideMark/>
          </w:tcPr>
          <w:p w14:paraId="35E87553" w14:textId="77777777" w:rsidR="00312A5A" w:rsidRDefault="00312A5A" w:rsidP="00B77B3F">
            <w:pPr>
              <w:spacing w:after="0" w:line="240" w:lineRule="auto"/>
              <w:rPr>
                <w:rFonts w:eastAsia="Times New Roman" w:cs="Calibri"/>
                <w:color w:val="000000"/>
              </w:rPr>
            </w:pPr>
            <w:r>
              <w:rPr>
                <w:rFonts w:eastAsia="Times New Roman" w:cs="Calibri"/>
                <w:color w:val="000000"/>
              </w:rPr>
              <w:lastRenderedPageBreak/>
              <w:t>Afrodescendiente</w:t>
            </w:r>
          </w:p>
        </w:tc>
        <w:tc>
          <w:tcPr>
            <w:tcW w:w="1472" w:type="dxa"/>
            <w:tcBorders>
              <w:top w:val="single" w:sz="4" w:space="0" w:color="auto"/>
              <w:left w:val="single" w:sz="4" w:space="0" w:color="auto"/>
              <w:bottom w:val="single" w:sz="4" w:space="0" w:color="auto"/>
              <w:right w:val="single" w:sz="4" w:space="0" w:color="auto"/>
            </w:tcBorders>
            <w:noWrap/>
            <w:vAlign w:val="center"/>
            <w:hideMark/>
          </w:tcPr>
          <w:p w14:paraId="31E9CB11" w14:textId="77777777" w:rsidR="00312A5A" w:rsidRDefault="00312A5A" w:rsidP="00B77B3F">
            <w:pPr>
              <w:spacing w:after="0" w:line="240" w:lineRule="auto"/>
              <w:jc w:val="right"/>
              <w:rPr>
                <w:rFonts w:eastAsia="Times New Roman" w:cs="Calibri"/>
                <w:color w:val="000000"/>
              </w:rPr>
            </w:pPr>
            <w:r>
              <w:rPr>
                <w:rFonts w:eastAsia="Times New Roman" w:cs="Calibri"/>
                <w:color w:val="000000"/>
              </w:rPr>
              <w:t>128</w:t>
            </w:r>
          </w:p>
        </w:tc>
      </w:tr>
      <w:tr w:rsidR="00312A5A" w14:paraId="2645D141" w14:textId="77777777" w:rsidTr="002257E0">
        <w:trPr>
          <w:trHeight w:val="256"/>
          <w:jc w:val="center"/>
        </w:trPr>
        <w:tc>
          <w:tcPr>
            <w:tcW w:w="2471"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790ADE31" w14:textId="77777777" w:rsidR="00312A5A" w:rsidRDefault="00312A5A" w:rsidP="00B77B3F">
            <w:pPr>
              <w:spacing w:after="0" w:line="240" w:lineRule="auto"/>
              <w:rPr>
                <w:rFonts w:eastAsia="Times New Roman" w:cs="Calibri"/>
                <w:color w:val="000000"/>
              </w:rPr>
            </w:pPr>
            <w:r>
              <w:rPr>
                <w:rFonts w:eastAsia="Times New Roman" w:cs="Calibri"/>
                <w:color w:val="000000"/>
              </w:rPr>
              <w:t>Montubia</w:t>
            </w:r>
          </w:p>
        </w:tc>
        <w:tc>
          <w:tcPr>
            <w:tcW w:w="1472"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30FAF2EA" w14:textId="77777777" w:rsidR="00312A5A" w:rsidRDefault="00312A5A" w:rsidP="00B77B3F">
            <w:pPr>
              <w:spacing w:after="0" w:line="240" w:lineRule="auto"/>
              <w:jc w:val="right"/>
              <w:rPr>
                <w:rFonts w:eastAsia="Times New Roman" w:cs="Calibri"/>
                <w:color w:val="000000"/>
              </w:rPr>
            </w:pPr>
            <w:r>
              <w:rPr>
                <w:rFonts w:eastAsia="Times New Roman" w:cs="Calibri"/>
                <w:color w:val="000000"/>
              </w:rPr>
              <w:t>100</w:t>
            </w:r>
          </w:p>
        </w:tc>
      </w:tr>
    </w:tbl>
    <w:p w14:paraId="4F9407E5" w14:textId="77777777" w:rsidR="00312A5A" w:rsidRDefault="00312A5A" w:rsidP="00110B71">
      <w:pPr>
        <w:spacing w:after="0" w:line="240" w:lineRule="auto"/>
        <w:ind w:firstLine="709"/>
        <w:jc w:val="both"/>
        <w:rPr>
          <w:rFonts w:ascii="Times New Roman" w:hAnsi="Times New Roman"/>
          <w:lang w:val="es-EC"/>
        </w:rPr>
      </w:pPr>
    </w:p>
    <w:p w14:paraId="7B9AA42F" w14:textId="77777777" w:rsidR="00312A5A" w:rsidRDefault="00312A5A" w:rsidP="00110B71">
      <w:pPr>
        <w:spacing w:after="0" w:line="240" w:lineRule="auto"/>
        <w:ind w:firstLine="709"/>
        <w:jc w:val="both"/>
        <w:rPr>
          <w:rFonts w:ascii="Times New Roman" w:hAnsi="Times New Roman"/>
          <w:lang w:val="es-EC"/>
        </w:rPr>
      </w:pPr>
    </w:p>
    <w:p w14:paraId="01E7CCAC" w14:textId="4BD68B5A" w:rsidR="0008383F" w:rsidRDefault="0008383F" w:rsidP="0008383F">
      <w:pPr>
        <w:rPr>
          <w:rFonts w:ascii="Times New Roman" w:hAnsi="Times New Roman"/>
          <w:b/>
          <w:bCs/>
          <w:lang w:val="es-EC"/>
        </w:rPr>
      </w:pPr>
      <w:r w:rsidRPr="0008383F">
        <w:rPr>
          <w:rFonts w:ascii="Times New Roman" w:hAnsi="Times New Roman"/>
          <w:b/>
          <w:bCs/>
          <w:lang w:val="es-EC"/>
        </w:rPr>
        <w:t xml:space="preserve">GRÁFICO: </w:t>
      </w:r>
    </w:p>
    <w:p w14:paraId="7D0A8959" w14:textId="00ACDCCE" w:rsidR="00312A5A" w:rsidRPr="002257E0" w:rsidRDefault="0008383F" w:rsidP="002257E0">
      <w:pPr>
        <w:jc w:val="center"/>
        <w:rPr>
          <w:rFonts w:ascii="Times New Roman" w:hAnsi="Times New Roman"/>
          <w:b/>
          <w:bCs/>
          <w:lang w:val="es-EC"/>
        </w:rPr>
      </w:pPr>
      <w:r>
        <w:rPr>
          <w:noProof/>
        </w:rPr>
        <w:drawing>
          <wp:inline distT="0" distB="0" distL="0" distR="0" wp14:anchorId="774F9422" wp14:editId="6C366937">
            <wp:extent cx="4925012" cy="2988366"/>
            <wp:effectExtent l="0" t="0" r="9525" b="2540"/>
            <wp:docPr id="707232153" name="Imagen 707232153" descr="Interfaz de usuario gráfica, Gráfic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Interfaz de usuario gráfica, Gráfico, Aplicación&#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l="10304" t="36388" b="6293"/>
                    <a:stretch>
                      <a:fillRect/>
                    </a:stretch>
                  </pic:blipFill>
                  <pic:spPr bwMode="auto">
                    <a:xfrm>
                      <a:off x="0" y="0"/>
                      <a:ext cx="4955772" cy="3007030"/>
                    </a:xfrm>
                    <a:prstGeom prst="rect">
                      <a:avLst/>
                    </a:prstGeom>
                    <a:noFill/>
                    <a:ln>
                      <a:noFill/>
                    </a:ln>
                  </pic:spPr>
                </pic:pic>
              </a:graphicData>
            </a:graphic>
          </wp:inline>
        </w:drawing>
      </w:r>
    </w:p>
    <w:p w14:paraId="0F237785" w14:textId="77777777" w:rsidR="002257E0" w:rsidRDefault="002257E0" w:rsidP="00C5266E">
      <w:pPr>
        <w:spacing w:after="0" w:line="240" w:lineRule="auto"/>
        <w:ind w:firstLine="709"/>
        <w:jc w:val="both"/>
        <w:rPr>
          <w:rFonts w:ascii="Times New Roman" w:hAnsi="Times New Roman"/>
          <w:lang w:val="es-EC"/>
        </w:rPr>
      </w:pPr>
    </w:p>
    <w:p w14:paraId="6267D08F" w14:textId="7E6F4E80" w:rsidR="0008383F" w:rsidRPr="00487E5B" w:rsidRDefault="0008383F" w:rsidP="00C5266E">
      <w:pPr>
        <w:spacing w:after="0" w:line="240" w:lineRule="auto"/>
        <w:ind w:firstLine="709"/>
        <w:jc w:val="both"/>
        <w:rPr>
          <w:rFonts w:ascii="Times New Roman" w:hAnsi="Times New Roman"/>
          <w:lang w:val="es-EC"/>
        </w:rPr>
      </w:pPr>
      <w:r>
        <w:rPr>
          <w:rFonts w:ascii="Times New Roman" w:hAnsi="Times New Roman"/>
          <w:lang w:val="es-EC"/>
        </w:rPr>
        <w:t xml:space="preserve">De lo anteriormente señalado el grupo de </w:t>
      </w:r>
      <w:r w:rsidR="00C5266E">
        <w:rPr>
          <w:rFonts w:ascii="Times New Roman" w:hAnsi="Times New Roman"/>
          <w:lang w:val="es-EC"/>
        </w:rPr>
        <w:t>mujeres indígenas</w:t>
      </w:r>
      <w:r>
        <w:rPr>
          <w:rFonts w:ascii="Times New Roman" w:hAnsi="Times New Roman"/>
          <w:lang w:val="es-EC"/>
        </w:rPr>
        <w:t xml:space="preserve"> representan el 3.74 % del universo de medidas otorgadas situación que resulta alarmante considerando que la población indígena en el Ecuador abarca el 7.7%; siendo este segmento étnico de la población con una mayoría femenina; ya que del total de población indígena se reconoce un 51.4</w:t>
      </w:r>
      <w:proofErr w:type="gramStart"/>
      <w:r>
        <w:rPr>
          <w:rFonts w:ascii="Times New Roman" w:hAnsi="Times New Roman"/>
          <w:lang w:val="es-EC"/>
        </w:rPr>
        <w:t>%  a</w:t>
      </w:r>
      <w:proofErr w:type="gramEnd"/>
      <w:r>
        <w:rPr>
          <w:rFonts w:ascii="Times New Roman" w:hAnsi="Times New Roman"/>
          <w:lang w:val="es-EC"/>
        </w:rPr>
        <w:t xml:space="preserve"> mujeres conforme se desprende del Censo de Población y Vivienda del 2022.   </w:t>
      </w:r>
    </w:p>
    <w:p w14:paraId="3FA5E4B4" w14:textId="77777777" w:rsidR="000E26ED" w:rsidRPr="00110B71" w:rsidRDefault="006E6661" w:rsidP="00C5266E">
      <w:pPr>
        <w:spacing w:after="0" w:line="240" w:lineRule="auto"/>
        <w:ind w:firstLine="709"/>
        <w:jc w:val="both"/>
        <w:rPr>
          <w:rFonts w:ascii="Times New Roman" w:hAnsi="Times New Roman"/>
        </w:rPr>
      </w:pPr>
      <w:r w:rsidRPr="00110B71">
        <w:rPr>
          <w:rFonts w:ascii="Times New Roman" w:hAnsi="Times New Roman"/>
        </w:rPr>
        <w:t xml:space="preserve">Por otro lado, </w:t>
      </w:r>
      <w:r w:rsidR="000E26ED" w:rsidRPr="00110B71">
        <w:rPr>
          <w:rFonts w:ascii="Times New Roman" w:hAnsi="Times New Roman"/>
        </w:rPr>
        <w:t>el estudio realizado por la Agencia de la ONU para los Refugiados (ACNUR) y HIAS en 2023 revela una alarmante realidad para las mujeres en movilidad humana en Ecuador. Según el informe, un 93% de estas mujeres ha experimentado violencia de género durante su desplazamiento, lo que indica un contexto crítico en el que la seguridad y el bienestar de este grupo vulnerable están seriamente comprometidos. De este porcentaje, el 42% ha afirmado haber sufrido violencia sexual, un hecho que resalta la urgencia de abordar no solo la violencia en su forma general, sino también las manifestaciones más severas de abuso que enfrentan estas mujeres.</w:t>
      </w:r>
    </w:p>
    <w:p w14:paraId="5A439F78" w14:textId="77777777" w:rsidR="000E26ED" w:rsidRPr="00110B71" w:rsidRDefault="000E26ED" w:rsidP="00C5266E">
      <w:pPr>
        <w:spacing w:after="0" w:line="240" w:lineRule="auto"/>
        <w:ind w:firstLine="709"/>
        <w:jc w:val="both"/>
        <w:rPr>
          <w:rFonts w:ascii="Times New Roman" w:hAnsi="Times New Roman"/>
        </w:rPr>
      </w:pPr>
      <w:r w:rsidRPr="00110B71">
        <w:rPr>
          <w:rFonts w:ascii="Times New Roman" w:hAnsi="Times New Roman"/>
        </w:rPr>
        <w:t>La situación se complica aún más con el número de femicidios reportados entre las mujeres migrantes. La respuesta de las instituciones del Estado ha sido inadecuada, lo que refleja una falta de protección efectiva para las víctimas. Esta deficiencia en la atención institucional se traduce en un entorno donde las mujeres migrantes son frecuentemente culpabilizadas por las violencias que sufren. Este fenómeno, agravado por la naturalización de la violencia y el miedo a las represalias institucionales, impide que muchas víctimas busquen la ayuda que necesitan.</w:t>
      </w:r>
    </w:p>
    <w:p w14:paraId="6F49A385" w14:textId="77777777" w:rsidR="000E26ED" w:rsidRPr="00110B71" w:rsidRDefault="000E26ED" w:rsidP="00C5266E">
      <w:pPr>
        <w:spacing w:after="0" w:line="240" w:lineRule="auto"/>
        <w:ind w:firstLine="709"/>
        <w:jc w:val="both"/>
        <w:rPr>
          <w:rFonts w:ascii="Times New Roman" w:hAnsi="Times New Roman"/>
        </w:rPr>
      </w:pPr>
      <w:r w:rsidRPr="00110B71">
        <w:rPr>
          <w:rFonts w:ascii="Times New Roman" w:hAnsi="Times New Roman"/>
        </w:rPr>
        <w:t>Además, las mujeres en movilidad humana enfrentan una carga de responsabilidades significativa. Su papel en el envío de remesas a sus familias y en el cuidado de sus hijos las convierte en eslabones clave en las cadenas globales de cuidado. Sin embargo, esta presión limita su capacidad para atender sus propias necesidades, lo que es un factor adicional de vulnerabilidad.</w:t>
      </w:r>
    </w:p>
    <w:p w14:paraId="771318DA" w14:textId="77777777" w:rsidR="000E26ED" w:rsidRDefault="000E26ED" w:rsidP="00C5266E">
      <w:pPr>
        <w:spacing w:after="0" w:line="240" w:lineRule="auto"/>
        <w:ind w:firstLine="709"/>
        <w:jc w:val="both"/>
        <w:rPr>
          <w:rFonts w:ascii="Times New Roman" w:hAnsi="Times New Roman"/>
        </w:rPr>
      </w:pPr>
      <w:r w:rsidRPr="00110B71">
        <w:rPr>
          <w:rFonts w:ascii="Times New Roman" w:hAnsi="Times New Roman"/>
        </w:rPr>
        <w:lastRenderedPageBreak/>
        <w:t>Para abordar la situación de violencia de género que enfrentan las mujeres en movilidad humana, es fundamental que se establezcan protocolos de atención adecuados y sensibles al género, que incluyan la capacitación del personal de las instituciones encargadas de la protección de los derechos de las mujeres migrantes. Esto contribuirá</w:t>
      </w:r>
      <w:r w:rsidRPr="000E26ED">
        <w:rPr>
          <w:rFonts w:ascii="Times New Roman" w:hAnsi="Times New Roman"/>
        </w:rPr>
        <w:t xml:space="preserve"> a garantizar que las víctimas reciban la atención y el apoyo que necesitan sin ser culpabilizadas.</w:t>
      </w:r>
    </w:p>
    <w:p w14:paraId="32AD66FF" w14:textId="77777777" w:rsidR="00A42ECA" w:rsidRPr="0029797A" w:rsidRDefault="0000007A" w:rsidP="152444DF">
      <w:pPr>
        <w:pStyle w:val="ListParagraph"/>
        <w:numPr>
          <w:ilvl w:val="0"/>
          <w:numId w:val="17"/>
        </w:numPr>
        <w:tabs>
          <w:tab w:val="left" w:pos="851"/>
        </w:tabs>
        <w:spacing w:before="240" w:after="0" w:line="240" w:lineRule="auto"/>
        <w:rPr>
          <w:rFonts w:ascii="Times New Roman" w:hAnsi="Times New Roman"/>
          <w:b/>
          <w:bCs/>
        </w:rPr>
      </w:pPr>
      <w:r w:rsidRPr="152444DF">
        <w:rPr>
          <w:rFonts w:ascii="Times New Roman" w:hAnsi="Times New Roman"/>
          <w:b/>
          <w:bCs/>
        </w:rPr>
        <w:t>Movilidad humana</w:t>
      </w:r>
      <w:r w:rsidR="00AF3333" w:rsidRPr="152444DF">
        <w:rPr>
          <w:rFonts w:ascii="Times New Roman" w:hAnsi="Times New Roman"/>
          <w:b/>
          <w:bCs/>
        </w:rPr>
        <w:t xml:space="preserve"> </w:t>
      </w:r>
    </w:p>
    <w:p w14:paraId="41550B98" w14:textId="77777777" w:rsidR="00A42ECA" w:rsidRPr="0029797A" w:rsidRDefault="00A42ECA" w:rsidP="0029797A">
      <w:pPr>
        <w:pStyle w:val="ListParagraph"/>
        <w:tabs>
          <w:tab w:val="left" w:pos="851"/>
        </w:tabs>
        <w:spacing w:before="240" w:after="0" w:line="240" w:lineRule="auto"/>
        <w:ind w:left="360"/>
        <w:rPr>
          <w:rFonts w:ascii="Times New Roman" w:hAnsi="Times New Roman"/>
          <w:b/>
        </w:rPr>
      </w:pPr>
    </w:p>
    <w:p w14:paraId="76AAA094" w14:textId="77777777" w:rsidR="00E46571" w:rsidRDefault="00E46571" w:rsidP="0029797A">
      <w:pPr>
        <w:pStyle w:val="ListParagraph"/>
        <w:tabs>
          <w:tab w:val="left" w:pos="851"/>
        </w:tabs>
        <w:spacing w:before="240" w:after="0" w:line="240" w:lineRule="auto"/>
        <w:ind w:left="360"/>
        <w:rPr>
          <w:rFonts w:ascii="Times New Roman" w:hAnsi="Times New Roman"/>
          <w:b/>
          <w:i/>
          <w:iCs/>
        </w:rPr>
      </w:pPr>
      <w:r w:rsidRPr="0029797A">
        <w:rPr>
          <w:rFonts w:ascii="Times New Roman" w:hAnsi="Times New Roman"/>
          <w:b/>
          <w:i/>
          <w:iCs/>
        </w:rPr>
        <w:t>Pár</w:t>
      </w:r>
      <w:r w:rsidR="00AF3333" w:rsidRPr="0029797A">
        <w:rPr>
          <w:rFonts w:ascii="Times New Roman" w:hAnsi="Times New Roman"/>
          <w:b/>
          <w:i/>
          <w:iCs/>
        </w:rPr>
        <w:t>r</w:t>
      </w:r>
      <w:r w:rsidR="00C02D19" w:rsidRPr="0029797A">
        <w:rPr>
          <w:rFonts w:ascii="Times New Roman" w:hAnsi="Times New Roman"/>
          <w:b/>
          <w:i/>
          <w:iCs/>
        </w:rPr>
        <w:t>afo</w:t>
      </w:r>
      <w:r w:rsidR="00AF3333" w:rsidRPr="0029797A">
        <w:rPr>
          <w:rFonts w:ascii="Times New Roman" w:hAnsi="Times New Roman"/>
          <w:b/>
          <w:i/>
          <w:iCs/>
        </w:rPr>
        <w:t xml:space="preserve"> </w:t>
      </w:r>
      <w:r w:rsidR="00A42ECA" w:rsidRPr="0029797A">
        <w:rPr>
          <w:rFonts w:ascii="Times New Roman" w:hAnsi="Times New Roman"/>
          <w:b/>
          <w:i/>
          <w:iCs/>
        </w:rPr>
        <w:t xml:space="preserve">32 </w:t>
      </w:r>
    </w:p>
    <w:p w14:paraId="013C6B76" w14:textId="77777777" w:rsidR="00110B71" w:rsidRPr="0029797A" w:rsidRDefault="00110B71" w:rsidP="0029797A">
      <w:pPr>
        <w:pStyle w:val="ListParagraph"/>
        <w:tabs>
          <w:tab w:val="left" w:pos="851"/>
        </w:tabs>
        <w:spacing w:before="240" w:after="0" w:line="240" w:lineRule="auto"/>
        <w:ind w:left="360"/>
        <w:rPr>
          <w:rFonts w:ascii="Times New Roman" w:hAnsi="Times New Roman"/>
          <w:b/>
          <w:i/>
          <w:iCs/>
        </w:rPr>
      </w:pPr>
    </w:p>
    <w:p w14:paraId="0ADF5038" w14:textId="77777777" w:rsidR="00F4698B" w:rsidRPr="00236738" w:rsidRDefault="00A42ECA" w:rsidP="00110B71">
      <w:pPr>
        <w:pStyle w:val="NormalWeb"/>
        <w:spacing w:before="0" w:beforeAutospacing="0" w:after="0" w:afterAutospacing="0"/>
        <w:jc w:val="both"/>
        <w:rPr>
          <w:color w:val="000000"/>
          <w:sz w:val="22"/>
          <w:szCs w:val="22"/>
        </w:rPr>
      </w:pPr>
      <w:r w:rsidRPr="0029797A">
        <w:rPr>
          <w:sz w:val="22"/>
          <w:szCs w:val="22"/>
          <w:lang w:val="es-EC"/>
        </w:rPr>
        <w:tab/>
      </w:r>
      <w:r w:rsidR="00F4698B" w:rsidRPr="00236738">
        <w:rPr>
          <w:color w:val="000000"/>
          <w:sz w:val="22"/>
          <w:szCs w:val="22"/>
        </w:rPr>
        <w:t>El</w:t>
      </w:r>
      <w:r w:rsidR="00F4698B" w:rsidRPr="00236738">
        <w:rPr>
          <w:rStyle w:val="apple-converted-space"/>
          <w:color w:val="000000"/>
          <w:sz w:val="22"/>
          <w:szCs w:val="22"/>
        </w:rPr>
        <w:t> </w:t>
      </w:r>
      <w:r w:rsidR="00F4698B" w:rsidRPr="00236738">
        <w:rPr>
          <w:rStyle w:val="Strong"/>
          <w:b w:val="0"/>
          <w:bCs w:val="0"/>
          <w:color w:val="000000"/>
          <w:sz w:val="22"/>
          <w:szCs w:val="22"/>
        </w:rPr>
        <w:t>Decreto Ejecutivo No. 826</w:t>
      </w:r>
      <w:r w:rsidR="00F4698B" w:rsidRPr="00236738">
        <w:rPr>
          <w:color w:val="000000"/>
          <w:sz w:val="22"/>
          <w:szCs w:val="22"/>
        </w:rPr>
        <w:t>, emitido el 26 de julio de 2019 y publicado en el Registro Oficial No. 5, implementó una amnistía migratoria dirigida a ciudadanos venezolanos que no hubieran infringido las leyes ecuatorianas, independientemente de su situación migratoria —regular o irregular. Este proceso de regularización, que otorgaba una visa de residencia temporal de excepción por razones humanitarias, fue complementado por el</w:t>
      </w:r>
      <w:r w:rsidR="00F4698B" w:rsidRPr="00236738">
        <w:rPr>
          <w:rStyle w:val="apple-converted-space"/>
          <w:color w:val="000000"/>
          <w:sz w:val="22"/>
          <w:szCs w:val="22"/>
        </w:rPr>
        <w:t> </w:t>
      </w:r>
      <w:r w:rsidR="00F4698B" w:rsidRPr="00236738">
        <w:rPr>
          <w:rStyle w:val="Strong"/>
          <w:b w:val="0"/>
          <w:bCs w:val="0"/>
          <w:color w:val="000000"/>
          <w:sz w:val="22"/>
          <w:szCs w:val="22"/>
        </w:rPr>
        <w:t>Acuerdo Ministerial No. 103</w:t>
      </w:r>
      <w:r w:rsidR="00F4698B" w:rsidRPr="00236738">
        <w:rPr>
          <w:color w:val="000000"/>
          <w:sz w:val="22"/>
          <w:szCs w:val="22"/>
        </w:rPr>
        <w:t>, emitido el mismo día, que instruía a las oficinas consulares en Caracas, Bogotá y Lima a emitir dichas visas. Posteriormente, el</w:t>
      </w:r>
      <w:r w:rsidR="00F4698B" w:rsidRPr="00236738">
        <w:rPr>
          <w:rStyle w:val="apple-converted-space"/>
          <w:color w:val="000000"/>
          <w:sz w:val="22"/>
          <w:szCs w:val="22"/>
        </w:rPr>
        <w:t> </w:t>
      </w:r>
      <w:r w:rsidR="00F4698B" w:rsidRPr="00236738">
        <w:rPr>
          <w:rStyle w:val="Strong"/>
          <w:b w:val="0"/>
          <w:bCs w:val="0"/>
          <w:color w:val="000000"/>
          <w:sz w:val="22"/>
          <w:szCs w:val="22"/>
        </w:rPr>
        <w:t>Decreto Ejecutivo No. 1020</w:t>
      </w:r>
      <w:r w:rsidR="00F4698B" w:rsidRPr="00236738">
        <w:rPr>
          <w:rStyle w:val="apple-converted-space"/>
          <w:color w:val="000000"/>
          <w:sz w:val="22"/>
          <w:szCs w:val="22"/>
        </w:rPr>
        <w:t> </w:t>
      </w:r>
      <w:r w:rsidR="00F4698B" w:rsidRPr="00236738">
        <w:rPr>
          <w:color w:val="000000"/>
          <w:sz w:val="22"/>
          <w:szCs w:val="22"/>
        </w:rPr>
        <w:t>de marzo de 2020 extendió este proceso debido a la emergencia sanitaria ocasionada por la pandemia de COVID-19.</w:t>
      </w:r>
    </w:p>
    <w:p w14:paraId="7E2AD80E" w14:textId="77777777" w:rsidR="00110B71" w:rsidRDefault="00F4698B" w:rsidP="00110B71">
      <w:pPr>
        <w:pStyle w:val="NormalWeb"/>
        <w:spacing w:before="0" w:beforeAutospacing="0" w:after="0" w:afterAutospacing="0"/>
        <w:ind w:firstLine="708"/>
        <w:jc w:val="both"/>
        <w:rPr>
          <w:color w:val="000000"/>
          <w:sz w:val="22"/>
          <w:szCs w:val="22"/>
        </w:rPr>
      </w:pPr>
      <w:r w:rsidRPr="00236738">
        <w:rPr>
          <w:color w:val="000000"/>
          <w:sz w:val="22"/>
          <w:szCs w:val="22"/>
        </w:rPr>
        <w:t>El</w:t>
      </w:r>
      <w:r w:rsidRPr="00236738">
        <w:rPr>
          <w:rStyle w:val="apple-converted-space"/>
          <w:color w:val="000000"/>
          <w:sz w:val="22"/>
          <w:szCs w:val="22"/>
        </w:rPr>
        <w:t> </w:t>
      </w:r>
      <w:r w:rsidRPr="00236738">
        <w:rPr>
          <w:rStyle w:val="Strong"/>
          <w:b w:val="0"/>
          <w:bCs w:val="0"/>
          <w:color w:val="000000"/>
          <w:sz w:val="22"/>
          <w:szCs w:val="22"/>
        </w:rPr>
        <w:t>Decreto Ejecutivo No. 436</w:t>
      </w:r>
      <w:r w:rsidRPr="00236738">
        <w:rPr>
          <w:color w:val="000000"/>
          <w:sz w:val="22"/>
          <w:szCs w:val="22"/>
        </w:rPr>
        <w:t>, del 15 de junio de 2022, introdujo una nueva amnistía migratoria, otorgando una</w:t>
      </w:r>
      <w:r w:rsidRPr="00236738">
        <w:rPr>
          <w:rStyle w:val="apple-converted-space"/>
          <w:color w:val="000000"/>
          <w:sz w:val="22"/>
          <w:szCs w:val="22"/>
        </w:rPr>
        <w:t> </w:t>
      </w:r>
      <w:r w:rsidRPr="00236738">
        <w:rPr>
          <w:rStyle w:val="Strong"/>
          <w:b w:val="0"/>
          <w:color w:val="000000"/>
          <w:sz w:val="22"/>
          <w:szCs w:val="22"/>
        </w:rPr>
        <w:t>V</w:t>
      </w:r>
      <w:r w:rsidRPr="00236738">
        <w:rPr>
          <w:rStyle w:val="Strong"/>
          <w:b w:val="0"/>
          <w:bCs w:val="0"/>
          <w:color w:val="000000"/>
          <w:sz w:val="22"/>
          <w:szCs w:val="22"/>
        </w:rPr>
        <w:t>isa de Residencia Temporal de Excepción (VIRTE)</w:t>
      </w:r>
      <w:r w:rsidRPr="00236738">
        <w:rPr>
          <w:rStyle w:val="apple-converted-space"/>
          <w:color w:val="000000"/>
          <w:sz w:val="22"/>
          <w:szCs w:val="22"/>
        </w:rPr>
        <w:t> </w:t>
      </w:r>
      <w:r w:rsidRPr="00236738">
        <w:rPr>
          <w:color w:val="000000"/>
          <w:sz w:val="22"/>
          <w:szCs w:val="22"/>
        </w:rPr>
        <w:t>a ciudadanos venezolanos y sus familias. No obstante, el</w:t>
      </w:r>
      <w:r w:rsidRPr="00236738">
        <w:rPr>
          <w:rStyle w:val="apple-converted-space"/>
          <w:color w:val="000000"/>
          <w:sz w:val="22"/>
          <w:szCs w:val="22"/>
        </w:rPr>
        <w:t> </w:t>
      </w:r>
      <w:r w:rsidRPr="00236738">
        <w:rPr>
          <w:rStyle w:val="Strong"/>
          <w:b w:val="0"/>
          <w:bCs w:val="0"/>
          <w:color w:val="000000"/>
          <w:sz w:val="22"/>
          <w:szCs w:val="22"/>
        </w:rPr>
        <w:t>Acuerdo Ministerial No. 0000066</w:t>
      </w:r>
      <w:r w:rsidRPr="00236738">
        <w:rPr>
          <w:color w:val="000000"/>
          <w:sz w:val="22"/>
          <w:szCs w:val="22"/>
        </w:rPr>
        <w:t>, emitido el 13 de julio de 2022, suspendió la emisión y renovación de la</w:t>
      </w:r>
      <w:r w:rsidRPr="00236738">
        <w:rPr>
          <w:rStyle w:val="apple-converted-space"/>
          <w:color w:val="000000"/>
          <w:sz w:val="22"/>
          <w:szCs w:val="22"/>
        </w:rPr>
        <w:t> </w:t>
      </w:r>
      <w:r w:rsidRPr="00236738">
        <w:rPr>
          <w:rStyle w:val="Strong"/>
          <w:b w:val="0"/>
          <w:bCs w:val="0"/>
          <w:color w:val="000000"/>
          <w:sz w:val="22"/>
          <w:szCs w:val="22"/>
        </w:rPr>
        <w:t>Visa Humanitaria (VERHU)</w:t>
      </w:r>
      <w:r w:rsidRPr="00236738">
        <w:rPr>
          <w:rStyle w:val="apple-converted-space"/>
          <w:color w:val="000000"/>
          <w:sz w:val="22"/>
          <w:szCs w:val="22"/>
        </w:rPr>
        <w:t> </w:t>
      </w:r>
      <w:r w:rsidRPr="00236738">
        <w:rPr>
          <w:color w:val="000000"/>
          <w:sz w:val="22"/>
          <w:szCs w:val="22"/>
        </w:rPr>
        <w:t>en las mismas oficinas consulares. Recientemente, el</w:t>
      </w:r>
      <w:r w:rsidRPr="00236738">
        <w:rPr>
          <w:rStyle w:val="apple-converted-space"/>
          <w:color w:val="000000"/>
          <w:sz w:val="22"/>
          <w:szCs w:val="22"/>
        </w:rPr>
        <w:t> </w:t>
      </w:r>
      <w:r w:rsidRPr="00236738">
        <w:rPr>
          <w:rStyle w:val="Strong"/>
          <w:b w:val="0"/>
          <w:bCs w:val="0"/>
          <w:color w:val="000000"/>
          <w:sz w:val="22"/>
          <w:szCs w:val="22"/>
        </w:rPr>
        <w:t>Decreto Ejecutivo No. 370</w:t>
      </w:r>
      <w:r w:rsidRPr="00236738">
        <w:rPr>
          <w:color w:val="000000"/>
          <w:sz w:val="22"/>
          <w:szCs w:val="22"/>
        </w:rPr>
        <w:t>, publicado el 27 de agosto de 2024, creó un proceso extraordinario de regularización para ciudadanos venezolanos con certificados de permanencia migratoria caducados que no habían obtenido visas en procesos anteriores.</w:t>
      </w:r>
    </w:p>
    <w:p w14:paraId="3F449FE9" w14:textId="6AD1655F" w:rsidR="00F30E41" w:rsidRPr="00236738" w:rsidRDefault="00F30E41" w:rsidP="00110B71">
      <w:pPr>
        <w:pStyle w:val="NormalWeb"/>
        <w:spacing w:before="0" w:beforeAutospacing="0" w:after="0" w:afterAutospacing="0"/>
        <w:ind w:firstLine="708"/>
        <w:jc w:val="both"/>
        <w:rPr>
          <w:color w:val="000000"/>
          <w:sz w:val="22"/>
          <w:szCs w:val="22"/>
        </w:rPr>
      </w:pPr>
      <w:r w:rsidRPr="00236738">
        <w:rPr>
          <w:color w:val="000000"/>
          <w:sz w:val="22"/>
          <w:szCs w:val="22"/>
        </w:rPr>
        <w:t xml:space="preserve">Las principales nacionalidades que se beneficiaron del proceso extraordinario de regularización migratoria </w:t>
      </w:r>
      <w:r w:rsidR="00E30F27" w:rsidRPr="00236738">
        <w:rPr>
          <w:color w:val="000000"/>
          <w:sz w:val="22"/>
          <w:szCs w:val="22"/>
        </w:rPr>
        <w:t xml:space="preserve">VIRTE en su primera fase </w:t>
      </w:r>
      <w:r w:rsidRPr="00236738">
        <w:rPr>
          <w:color w:val="000000"/>
          <w:sz w:val="22"/>
          <w:szCs w:val="22"/>
        </w:rPr>
        <w:t>son los siguientes:</w:t>
      </w:r>
    </w:p>
    <w:p w14:paraId="6335E04D" w14:textId="77777777" w:rsidR="00E30F27" w:rsidRPr="00236738" w:rsidRDefault="00E30F27" w:rsidP="0029797A">
      <w:pPr>
        <w:pStyle w:val="NormalWeb"/>
        <w:ind w:firstLine="708"/>
        <w:jc w:val="both"/>
        <w:rPr>
          <w:color w:val="000000"/>
          <w:sz w:val="22"/>
          <w:szCs w:val="22"/>
        </w:rPr>
      </w:pPr>
      <w:r w:rsidRPr="00236738">
        <w:rPr>
          <w:noProof/>
          <w:color w:val="000000"/>
          <w:sz w:val="22"/>
          <w:szCs w:val="22"/>
          <w:lang w:val="es-MX"/>
        </w:rPr>
        <w:drawing>
          <wp:inline distT="0" distB="0" distL="0" distR="0" wp14:anchorId="3D97A93B" wp14:editId="024250B9">
            <wp:extent cx="4389120" cy="17373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9120" cy="1737360"/>
                    </a:xfrm>
                    <a:prstGeom prst="rect">
                      <a:avLst/>
                    </a:prstGeom>
                    <a:noFill/>
                    <a:ln>
                      <a:noFill/>
                    </a:ln>
                  </pic:spPr>
                </pic:pic>
              </a:graphicData>
            </a:graphic>
          </wp:inline>
        </w:drawing>
      </w:r>
    </w:p>
    <w:p w14:paraId="6E2BB033" w14:textId="77777777" w:rsidR="007A477E" w:rsidRDefault="00E30F27" w:rsidP="00E51191">
      <w:pPr>
        <w:pStyle w:val="NormalWeb"/>
        <w:spacing w:before="0" w:beforeAutospacing="0" w:after="0" w:afterAutospacing="0"/>
        <w:ind w:firstLine="708"/>
        <w:jc w:val="both"/>
        <w:rPr>
          <w:color w:val="000000"/>
          <w:sz w:val="22"/>
          <w:szCs w:val="22"/>
        </w:rPr>
      </w:pPr>
      <w:r w:rsidRPr="00236738">
        <w:rPr>
          <w:noProof/>
          <w:color w:val="000000"/>
          <w:sz w:val="22"/>
          <w:szCs w:val="22"/>
          <w:lang w:val="es-MX"/>
        </w:rPr>
        <w:t>Según el Decreto Ejecutivo 370 de 23 de agosto de 2024 establece únicamente para personas venezolanas, hasta la presente se han presentado 3964 solicitudes VIRTE en segunda fase.</w:t>
      </w:r>
      <w:r w:rsidR="00F30E41" w:rsidRPr="00236738">
        <w:rPr>
          <w:color w:val="000000"/>
          <w:sz w:val="22"/>
          <w:szCs w:val="22"/>
        </w:rPr>
        <w:t xml:space="preserve"> </w:t>
      </w:r>
    </w:p>
    <w:p w14:paraId="2C04252F" w14:textId="31CF0626" w:rsidR="00F4698B" w:rsidRPr="00236738" w:rsidRDefault="00F4698B" w:rsidP="00E51191">
      <w:pPr>
        <w:pStyle w:val="NormalWeb"/>
        <w:spacing w:before="0" w:beforeAutospacing="0" w:after="0" w:afterAutospacing="0"/>
        <w:ind w:firstLine="708"/>
        <w:jc w:val="both"/>
        <w:rPr>
          <w:color w:val="000000"/>
          <w:sz w:val="22"/>
          <w:szCs w:val="22"/>
        </w:rPr>
      </w:pPr>
      <w:r w:rsidRPr="00236738">
        <w:rPr>
          <w:color w:val="000000"/>
          <w:sz w:val="22"/>
          <w:szCs w:val="22"/>
        </w:rPr>
        <w:t>De acuerdo con el informe</w:t>
      </w:r>
      <w:r w:rsidRPr="00236738">
        <w:rPr>
          <w:rStyle w:val="apple-converted-space"/>
          <w:color w:val="000000"/>
          <w:sz w:val="22"/>
          <w:szCs w:val="22"/>
        </w:rPr>
        <w:t> </w:t>
      </w:r>
      <w:r w:rsidRPr="00236738">
        <w:rPr>
          <w:rStyle w:val="Emphasis"/>
          <w:color w:val="000000"/>
          <w:sz w:val="22"/>
          <w:szCs w:val="22"/>
        </w:rPr>
        <w:t>“Explorando los horizontes de la Movilidad Humana”</w:t>
      </w:r>
      <w:r w:rsidR="009B0E16" w:rsidRPr="00236738">
        <w:rPr>
          <w:rStyle w:val="FootnoteReference"/>
          <w:color w:val="000000"/>
          <w:sz w:val="22"/>
          <w:szCs w:val="22"/>
        </w:rPr>
        <w:t xml:space="preserve"> </w:t>
      </w:r>
      <w:r w:rsidRPr="00236738">
        <w:rPr>
          <w:color w:val="000000"/>
          <w:sz w:val="22"/>
          <w:szCs w:val="22"/>
        </w:rPr>
        <w:t>hasta septiembre de 2023, el</w:t>
      </w:r>
      <w:r w:rsidRPr="00236738">
        <w:rPr>
          <w:rStyle w:val="apple-converted-space"/>
          <w:color w:val="000000"/>
          <w:sz w:val="22"/>
          <w:szCs w:val="22"/>
        </w:rPr>
        <w:t> </w:t>
      </w:r>
      <w:r w:rsidRPr="00236738">
        <w:rPr>
          <w:rStyle w:val="Strong"/>
          <w:b w:val="0"/>
          <w:bCs w:val="0"/>
          <w:color w:val="000000"/>
          <w:sz w:val="22"/>
          <w:szCs w:val="22"/>
        </w:rPr>
        <w:t>Ministerio de Relaciones Exteriores y Movilidad Humana (MREMH)</w:t>
      </w:r>
      <w:r w:rsidRPr="00236738">
        <w:rPr>
          <w:rStyle w:val="apple-converted-space"/>
          <w:color w:val="000000"/>
          <w:sz w:val="22"/>
          <w:szCs w:val="22"/>
        </w:rPr>
        <w:t> </w:t>
      </w:r>
      <w:r w:rsidRPr="00236738">
        <w:rPr>
          <w:color w:val="000000"/>
          <w:sz w:val="22"/>
          <w:szCs w:val="22"/>
        </w:rPr>
        <w:t xml:space="preserve">registró 201.712 migrantes venezolanos, de los cuales 116.791 presentaron solicitudes de visa, resultando en 81.397 visas otorgadas, dejando a 120.315 personas sin regularización. Para abril de 2024, de las 140.258 solicitudes presentadas, 138.309 obtuvieron visas, mientras que 1.949 no fueron procesadas, lo que evidencia una significativa cifra de migrantes aún sin </w:t>
      </w:r>
      <w:r w:rsidRPr="00236738">
        <w:rPr>
          <w:color w:val="000000"/>
          <w:sz w:val="22"/>
          <w:szCs w:val="22"/>
        </w:rPr>
        <w:lastRenderedPageBreak/>
        <w:t>regularización. En el ámbito educativo, el</w:t>
      </w:r>
      <w:r w:rsidRPr="00236738">
        <w:rPr>
          <w:rStyle w:val="apple-converted-space"/>
          <w:color w:val="000000"/>
          <w:sz w:val="22"/>
          <w:szCs w:val="22"/>
        </w:rPr>
        <w:t> </w:t>
      </w:r>
      <w:r w:rsidRPr="00236738">
        <w:rPr>
          <w:rStyle w:val="Strong"/>
          <w:b w:val="0"/>
          <w:bCs w:val="0"/>
          <w:color w:val="000000"/>
          <w:sz w:val="22"/>
          <w:szCs w:val="22"/>
        </w:rPr>
        <w:t>Ministerio de Educación</w:t>
      </w:r>
      <w:r w:rsidRPr="00236738">
        <w:rPr>
          <w:rStyle w:val="apple-converted-space"/>
          <w:color w:val="000000"/>
          <w:sz w:val="22"/>
          <w:szCs w:val="22"/>
        </w:rPr>
        <w:t> </w:t>
      </w:r>
      <w:r w:rsidRPr="00236738">
        <w:rPr>
          <w:color w:val="000000"/>
          <w:sz w:val="22"/>
          <w:szCs w:val="22"/>
        </w:rPr>
        <w:t>implementó planes para abordar la discriminación y el acoso escolar, destacándose el</w:t>
      </w:r>
      <w:r w:rsidRPr="00236738">
        <w:rPr>
          <w:rStyle w:val="apple-converted-space"/>
          <w:color w:val="000000"/>
          <w:sz w:val="22"/>
          <w:szCs w:val="22"/>
        </w:rPr>
        <w:t> </w:t>
      </w:r>
      <w:r w:rsidRPr="00236738">
        <w:rPr>
          <w:rStyle w:val="Strong"/>
          <w:b w:val="0"/>
          <w:color w:val="000000"/>
          <w:sz w:val="22"/>
          <w:szCs w:val="22"/>
        </w:rPr>
        <w:t>P</w:t>
      </w:r>
      <w:r w:rsidRPr="00236738">
        <w:rPr>
          <w:rStyle w:val="Strong"/>
          <w:b w:val="0"/>
          <w:bCs w:val="0"/>
          <w:color w:val="000000"/>
          <w:sz w:val="22"/>
          <w:szCs w:val="22"/>
        </w:rPr>
        <w:t>lan Nacional de Prevención de Riesgos Psicosociales</w:t>
      </w:r>
      <w:r w:rsidRPr="00236738">
        <w:rPr>
          <w:color w:val="000000"/>
          <w:sz w:val="22"/>
          <w:szCs w:val="22"/>
        </w:rPr>
        <w:t>, que se centra en combatir diversas formas de violencia en entornos educativos.</w:t>
      </w:r>
    </w:p>
    <w:p w14:paraId="7E8B77B7" w14:textId="31E1F488" w:rsidR="00E30F27" w:rsidRPr="00236738" w:rsidRDefault="00E30F27" w:rsidP="00E51191">
      <w:pPr>
        <w:autoSpaceDE w:val="0"/>
        <w:autoSpaceDN w:val="0"/>
        <w:adjustRightInd w:val="0"/>
        <w:spacing w:after="0" w:line="240" w:lineRule="auto"/>
        <w:ind w:firstLine="709"/>
        <w:jc w:val="both"/>
        <w:rPr>
          <w:rFonts w:ascii="Times New Roman" w:hAnsi="Times New Roman"/>
          <w:color w:val="000000"/>
          <w:lang w:val="es-CO" w:eastAsia="es-MX"/>
        </w:rPr>
      </w:pPr>
      <w:r w:rsidRPr="00236738">
        <w:rPr>
          <w:rFonts w:ascii="Times New Roman" w:eastAsia="Times New Roman" w:hAnsi="Times New Roman"/>
          <w:color w:val="000000"/>
          <w:lang w:val="es-CO" w:eastAsia="es-MX"/>
        </w:rPr>
        <w:t xml:space="preserve">Según las cifras del Ministerio de Relaciones Exteriores (MRE), sobre los alcances del proceso de regularización migratorio, se evidencia que existieron hasta el mes de septiembre del 2023 (Reportería de Información del Proceso de Regularización, 2023), 201.712 personas migrantes registradas, de esas 443 son niños/as no acompañados; así mismo, se indica que existieron 116.791 solicitudes de visa y se otorgaron 81.397 visas, es decir 35.394 personas solicitantes en ese mes no obtuvieron la visa. En conclusión, con los mismos números del MRE para 2023, de las personas registradas solo 81.397 accedieron a la solicitud de visa y fueron aceptadas, es decir 120.315 de las personas con registro migratorio no accedieron por diversas </w:t>
      </w:r>
      <w:r w:rsidRPr="00236738">
        <w:rPr>
          <w:rFonts w:ascii="Times New Roman" w:hAnsi="Times New Roman"/>
          <w:color w:val="000000"/>
          <w:lang w:val="es-CO" w:eastAsia="es-MX"/>
        </w:rPr>
        <w:t>razones a la obtención de la visa VIRTE hasta el mes de septiembre del año 2023.</w:t>
      </w:r>
    </w:p>
    <w:p w14:paraId="5E348895" w14:textId="302B738C" w:rsidR="009C68B3" w:rsidRPr="00236738" w:rsidRDefault="009C68B3" w:rsidP="00E51191">
      <w:pPr>
        <w:autoSpaceDE w:val="0"/>
        <w:autoSpaceDN w:val="0"/>
        <w:adjustRightInd w:val="0"/>
        <w:spacing w:after="0" w:line="240" w:lineRule="auto"/>
        <w:ind w:firstLine="708"/>
        <w:jc w:val="both"/>
        <w:rPr>
          <w:rFonts w:ascii="Times New Roman" w:hAnsi="Times New Roman"/>
          <w:color w:val="000000"/>
          <w:lang w:val="es-CO" w:eastAsia="es-MX"/>
        </w:rPr>
      </w:pPr>
      <w:r w:rsidRPr="00236738">
        <w:rPr>
          <w:rFonts w:ascii="Times New Roman" w:hAnsi="Times New Roman"/>
          <w:color w:val="000000"/>
          <w:lang w:val="es-CO" w:eastAsia="es-MX"/>
        </w:rPr>
        <w:t>En relación a los niños y niñas separados o no acompañados, sobre todo</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de zonas rurales o no cercanas a los cantones parroquiales, se identifica que el</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MIES no logró aplicar el protocolo</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para la regularización a todos/as las NNAA en</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esas zonas. Hubo demoras importantes en la elaboración de los informes, lo cual</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implicó que adolescentes que estaban por cumplir la mayoría de edad, no lograran</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regularizarse a través del protocolo, cumplieron 18 años sin ser atendidos con</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celeridad por la entidad competente y no accedieron a la visa VIRTE. Además, los</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niños/as no acompañados se encuentran en un estado de indefensión en términos</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de que la falta de presencia del MIES implica una ausencia de representante estatal</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que tutele y proteja sus derechos de manera integral.</w:t>
      </w:r>
    </w:p>
    <w:p w14:paraId="16F4F425" w14:textId="008A16B5" w:rsidR="009C68B3" w:rsidRPr="00236738" w:rsidRDefault="009C68B3" w:rsidP="00E51191">
      <w:pPr>
        <w:autoSpaceDE w:val="0"/>
        <w:autoSpaceDN w:val="0"/>
        <w:adjustRightInd w:val="0"/>
        <w:spacing w:after="0" w:line="240" w:lineRule="auto"/>
        <w:ind w:firstLine="708"/>
        <w:jc w:val="both"/>
        <w:rPr>
          <w:rFonts w:ascii="Times New Roman" w:hAnsi="Times New Roman"/>
          <w:color w:val="000000"/>
          <w:lang w:val="es-CO" w:eastAsia="es-MX"/>
        </w:rPr>
      </w:pPr>
      <w:r w:rsidRPr="00236738">
        <w:rPr>
          <w:rFonts w:ascii="Times New Roman" w:hAnsi="Times New Roman"/>
          <w:color w:val="000000"/>
          <w:lang w:val="es-CO" w:eastAsia="es-MX"/>
        </w:rPr>
        <w:t>Con respecto a esa alerta, se comprobó que existieron situaciones ante el</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Consulado de Venezuela que no pudieron ser resueltas, lo que impidió o dilató</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la regularización migratoria de niños/as y adolescentes; esa documentación no</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fue remitida incluso a pesar de la existencia de solicitudes urgentes de las JPD o</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de Organismos de Cooperación Internacional que acompañaban estos procesos.</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El requerimiento de cierta documentación por parte del MRE como: partida de</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nacimiento; cédula de identidad para niños/as no acompañados o separados;</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certificados; un poder especial de los padres a las personas cuidadoras; otorgamiento</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de autorización de salida del país, entre otras, generó una gran dificultad en el</w:t>
      </w:r>
      <w:r w:rsidR="00AC55EE" w:rsidRPr="00236738">
        <w:rPr>
          <w:rFonts w:ascii="Times New Roman" w:hAnsi="Times New Roman"/>
          <w:color w:val="000000"/>
          <w:lang w:val="es-CO" w:eastAsia="es-MX"/>
        </w:rPr>
        <w:t xml:space="preserve"> </w:t>
      </w:r>
      <w:r w:rsidRPr="00236738">
        <w:rPr>
          <w:rFonts w:ascii="Times New Roman" w:hAnsi="Times New Roman"/>
          <w:color w:val="000000"/>
          <w:lang w:val="es-CO" w:eastAsia="es-MX"/>
        </w:rPr>
        <w:t>acceso a la visa.</w:t>
      </w:r>
    </w:p>
    <w:p w14:paraId="276F46A7" w14:textId="06AB89CA" w:rsidR="00E30F27" w:rsidRPr="00236738" w:rsidRDefault="00E30F27" w:rsidP="00E51191">
      <w:pPr>
        <w:autoSpaceDE w:val="0"/>
        <w:autoSpaceDN w:val="0"/>
        <w:adjustRightInd w:val="0"/>
        <w:spacing w:after="0" w:line="240" w:lineRule="auto"/>
        <w:ind w:firstLine="709"/>
        <w:jc w:val="both"/>
        <w:rPr>
          <w:color w:val="000000"/>
        </w:rPr>
      </w:pPr>
      <w:r w:rsidRPr="00236738">
        <w:rPr>
          <w:rFonts w:ascii="Times New Roman" w:hAnsi="Times New Roman"/>
          <w:color w:val="000000"/>
          <w:lang w:val="es-CO" w:eastAsia="es-MX"/>
        </w:rPr>
        <w:t>Considerando que el proceso de regularización con el visado VIRTE es un proceso extraordinario que buscó mitigar la calidad de irregular de las personas no nacionales que se encontraban en el país que según el GTRM rondan en</w:t>
      </w:r>
      <w:r w:rsidR="009C68B3" w:rsidRPr="00236738">
        <w:rPr>
          <w:rFonts w:ascii="Times New Roman" w:hAnsi="Times New Roman"/>
          <w:color w:val="000000"/>
          <w:lang w:val="es-CO" w:eastAsia="es-MX"/>
        </w:rPr>
        <w:t xml:space="preserve"> las 450.000 personas se busca la inclusión en la comunidad de acogida para que a posteriori se pueda optar por otros visados de carácter regulares conforme la ley de la materia.</w:t>
      </w:r>
      <w:r w:rsidRPr="00236738">
        <w:rPr>
          <w:rFonts w:ascii="Times New Roman" w:hAnsi="Times New Roman"/>
          <w:color w:val="000000"/>
          <w:lang w:val="es-CO" w:eastAsia="es-MX"/>
        </w:rPr>
        <w:t xml:space="preserve"> </w:t>
      </w:r>
    </w:p>
    <w:p w14:paraId="3613516B" w14:textId="77777777" w:rsidR="00F4698B" w:rsidRPr="00236738" w:rsidRDefault="00F4698B" w:rsidP="00E51191">
      <w:pPr>
        <w:spacing w:after="0" w:line="240" w:lineRule="auto"/>
        <w:ind w:firstLine="708"/>
        <w:jc w:val="both"/>
        <w:rPr>
          <w:rFonts w:ascii="Times New Roman" w:eastAsia="Times New Roman" w:hAnsi="Times New Roman"/>
          <w:color w:val="000000"/>
          <w:lang w:val="es-CO" w:eastAsia="es-MX"/>
        </w:rPr>
      </w:pPr>
      <w:r w:rsidRPr="00236738">
        <w:rPr>
          <w:rFonts w:ascii="Times New Roman" w:eastAsia="Times New Roman" w:hAnsi="Times New Roman"/>
          <w:color w:val="000000"/>
          <w:lang w:val="es-CO" w:eastAsia="es-MX"/>
        </w:rPr>
        <w:t xml:space="preserve">Por otra parte, el Ecuador en los últimos años se ha convertido en un territorio receptor de un importante número de personas en situación de movilidad humana, sobre todo de nacionalidad venezolana. Siendo la comunidad colombiana, la principal nacionalidad en situación de refugio en el país. </w:t>
      </w:r>
    </w:p>
    <w:p w14:paraId="1E274B71" w14:textId="77777777" w:rsidR="00F4698B" w:rsidRPr="00236738" w:rsidRDefault="00F4698B" w:rsidP="00E51191">
      <w:pPr>
        <w:spacing w:after="0" w:line="240" w:lineRule="auto"/>
        <w:ind w:firstLine="708"/>
        <w:jc w:val="both"/>
        <w:rPr>
          <w:rFonts w:ascii="Times New Roman" w:eastAsia="Times New Roman" w:hAnsi="Times New Roman"/>
          <w:color w:val="000000"/>
          <w:lang w:val="es-CO" w:eastAsia="es-MX"/>
        </w:rPr>
      </w:pPr>
      <w:r w:rsidRPr="00236738">
        <w:rPr>
          <w:rFonts w:ascii="Times New Roman" w:eastAsia="Times New Roman" w:hAnsi="Times New Roman"/>
          <w:color w:val="000000"/>
          <w:lang w:val="es-CO" w:eastAsia="es-MX"/>
        </w:rPr>
        <w:t>Datos</w:t>
      </w:r>
      <w:r w:rsidR="00E0679C" w:rsidRPr="00236738">
        <w:rPr>
          <w:rFonts w:ascii="Times New Roman" w:eastAsia="Times New Roman" w:hAnsi="Times New Roman"/>
          <w:color w:val="000000"/>
          <w:lang w:val="es-CO" w:eastAsia="es-MX"/>
        </w:rPr>
        <w:t xml:space="preserve"> </w:t>
      </w:r>
      <w:r w:rsidRPr="00236738">
        <w:rPr>
          <w:rFonts w:ascii="Times New Roman" w:eastAsia="Times New Roman" w:hAnsi="Times New Roman"/>
          <w:color w:val="000000"/>
          <w:lang w:val="es-CO" w:eastAsia="es-MX"/>
        </w:rPr>
        <w:t xml:space="preserve">Emigrantes: Año 2022: 99.361 personas. Año 2023: 121.335 personas. Año 2024 (enero – julio): 99.753 personas. (Fuente Ministerio del Interior). </w:t>
      </w:r>
    </w:p>
    <w:p w14:paraId="6485F229" w14:textId="77777777" w:rsidR="00F4698B" w:rsidRPr="00236738" w:rsidRDefault="00F4698B" w:rsidP="00E51191">
      <w:pPr>
        <w:spacing w:after="0" w:line="240" w:lineRule="auto"/>
        <w:ind w:firstLine="708"/>
        <w:jc w:val="both"/>
        <w:rPr>
          <w:rFonts w:ascii="Times New Roman" w:eastAsia="Times New Roman" w:hAnsi="Times New Roman"/>
          <w:color w:val="000000"/>
          <w:lang w:val="es-CO" w:eastAsia="es-MX"/>
        </w:rPr>
      </w:pPr>
      <w:r w:rsidRPr="00236738">
        <w:rPr>
          <w:rFonts w:ascii="Times New Roman" w:eastAsia="Times New Roman" w:hAnsi="Times New Roman"/>
          <w:color w:val="000000"/>
          <w:lang w:val="es-CO" w:eastAsia="es-MX"/>
        </w:rPr>
        <w:t xml:space="preserve">Inmigrantes: Según el Censo de Población y Vivienda de 2023, determinó que 425.045 extranjeros viven en Ecuador y de ellos más de la mitad son de origen venezolano. (Fuente Instituto Nacional de Estadística y Censos, INEC). </w:t>
      </w:r>
    </w:p>
    <w:p w14:paraId="5B5AFAD3" w14:textId="55B399C6" w:rsidR="009C68B3" w:rsidRPr="00236738" w:rsidRDefault="009C68B3" w:rsidP="00AC55EE">
      <w:pPr>
        <w:spacing w:before="240" w:after="240" w:line="240" w:lineRule="auto"/>
        <w:jc w:val="center"/>
        <w:rPr>
          <w:rFonts w:ascii="Times New Roman" w:eastAsia="Times New Roman" w:hAnsi="Times New Roman"/>
          <w:color w:val="000000"/>
          <w:lang w:val="es-CO" w:eastAsia="es-MX"/>
        </w:rPr>
      </w:pPr>
      <w:r w:rsidRPr="00236738">
        <w:rPr>
          <w:rFonts w:ascii="Times New Roman" w:eastAsia="Times New Roman" w:hAnsi="Times New Roman"/>
          <w:noProof/>
          <w:color w:val="000000"/>
          <w:lang w:val="es-MX" w:eastAsia="es-MX"/>
        </w:rPr>
        <w:lastRenderedPageBreak/>
        <w:drawing>
          <wp:inline distT="0" distB="0" distL="0" distR="0" wp14:anchorId="661F367D" wp14:editId="567A5963">
            <wp:extent cx="1905000" cy="21812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2181225"/>
                    </a:xfrm>
                    <a:prstGeom prst="rect">
                      <a:avLst/>
                    </a:prstGeom>
                    <a:noFill/>
                    <a:ln>
                      <a:noFill/>
                    </a:ln>
                  </pic:spPr>
                </pic:pic>
              </a:graphicData>
            </a:graphic>
          </wp:inline>
        </w:drawing>
      </w:r>
    </w:p>
    <w:p w14:paraId="01A7ED02" w14:textId="77777777" w:rsidR="00F4698B" w:rsidRPr="009E73AA" w:rsidRDefault="00F4698B" w:rsidP="009E73AA">
      <w:pPr>
        <w:spacing w:before="240" w:after="240" w:line="240" w:lineRule="auto"/>
        <w:ind w:firstLine="708"/>
        <w:jc w:val="both"/>
        <w:rPr>
          <w:rFonts w:ascii="Times New Roman" w:eastAsia="Times New Roman" w:hAnsi="Times New Roman"/>
          <w:color w:val="000000"/>
          <w:lang w:val="es-CO" w:eastAsia="es-MX"/>
        </w:rPr>
      </w:pPr>
      <w:r w:rsidRPr="009E73AA">
        <w:rPr>
          <w:rFonts w:ascii="Times New Roman" w:eastAsia="Times New Roman" w:hAnsi="Times New Roman"/>
          <w:color w:val="000000"/>
          <w:lang w:val="es-CO" w:eastAsia="es-MX"/>
        </w:rPr>
        <w:t xml:space="preserve">Refugiados: Actualmente, hay 75.638 refugiados reconocidos y 9.368 solicitantes de asilo en Ecuador. (Fuente HIAS) </w:t>
      </w:r>
    </w:p>
    <w:p w14:paraId="325D9479" w14:textId="54D6DA9B" w:rsidR="009C68B3" w:rsidRPr="00236738" w:rsidRDefault="009C68B3" w:rsidP="00AC55EE">
      <w:pPr>
        <w:spacing w:before="240" w:after="240" w:line="240" w:lineRule="auto"/>
        <w:jc w:val="center"/>
        <w:rPr>
          <w:rFonts w:ascii="Times New Roman" w:eastAsia="Times New Roman" w:hAnsi="Times New Roman"/>
          <w:color w:val="000000"/>
          <w:lang w:val="es-CO" w:eastAsia="es-MX"/>
        </w:rPr>
      </w:pPr>
      <w:r w:rsidRPr="00236738">
        <w:rPr>
          <w:rFonts w:ascii="Times New Roman" w:eastAsia="Times New Roman" w:hAnsi="Times New Roman"/>
          <w:noProof/>
          <w:color w:val="000000"/>
          <w:lang w:val="es-MX" w:eastAsia="es-MX"/>
        </w:rPr>
        <w:drawing>
          <wp:inline distT="0" distB="0" distL="0" distR="0" wp14:anchorId="3CD7A10D" wp14:editId="7302FDFD">
            <wp:extent cx="2362200" cy="11525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62200" cy="1152525"/>
                    </a:xfrm>
                    <a:prstGeom prst="rect">
                      <a:avLst/>
                    </a:prstGeom>
                    <a:noFill/>
                    <a:ln>
                      <a:noFill/>
                    </a:ln>
                  </pic:spPr>
                </pic:pic>
              </a:graphicData>
            </a:graphic>
          </wp:inline>
        </w:drawing>
      </w:r>
    </w:p>
    <w:p w14:paraId="2B8A38A0" w14:textId="77777777" w:rsidR="000A6AEC" w:rsidRDefault="00AC55EE" w:rsidP="000A6AEC">
      <w:pPr>
        <w:spacing w:after="0" w:line="240" w:lineRule="auto"/>
        <w:ind w:firstLine="708"/>
        <w:jc w:val="both"/>
        <w:rPr>
          <w:rFonts w:ascii="Times New Roman" w:eastAsia="Times New Roman" w:hAnsi="Times New Roman"/>
          <w:color w:val="000000"/>
          <w:lang w:val="es-CO" w:eastAsia="es-MX"/>
        </w:rPr>
      </w:pPr>
      <w:r w:rsidRPr="00236738">
        <w:rPr>
          <w:rFonts w:ascii="Times New Roman" w:eastAsia="Times New Roman" w:hAnsi="Times New Roman"/>
          <w:color w:val="000000"/>
          <w:lang w:val="es-CO" w:eastAsia="es-MX"/>
        </w:rPr>
        <w:t>Del 1 de enero de 1978 al 31 de agosto de 2024.</w:t>
      </w:r>
    </w:p>
    <w:p w14:paraId="262F45BF" w14:textId="039CA59D" w:rsidR="00AC55EE" w:rsidRPr="00236738" w:rsidRDefault="00AC55EE" w:rsidP="000A6AEC">
      <w:pPr>
        <w:spacing w:after="0" w:line="240" w:lineRule="auto"/>
        <w:ind w:left="708"/>
        <w:jc w:val="both"/>
        <w:rPr>
          <w:rFonts w:ascii="Times New Roman" w:eastAsia="Times New Roman" w:hAnsi="Times New Roman"/>
          <w:color w:val="000000"/>
          <w:lang w:val="es-CO" w:eastAsia="es-MX"/>
        </w:rPr>
      </w:pPr>
      <w:r w:rsidRPr="00236738">
        <w:rPr>
          <w:rFonts w:ascii="Times New Roman" w:eastAsia="Times New Roman" w:hAnsi="Times New Roman"/>
          <w:color w:val="000000"/>
          <w:lang w:val="es-CO" w:eastAsia="es-MX"/>
        </w:rPr>
        <w:t>Fuente: Base de datos Dirección de Protección Internacional Progres</w:t>
      </w:r>
    </w:p>
    <w:p w14:paraId="548FACDD" w14:textId="26047E49" w:rsidR="009C68B3" w:rsidRPr="00236738" w:rsidRDefault="009C68B3" w:rsidP="00AC55EE">
      <w:pPr>
        <w:spacing w:before="240" w:after="240" w:line="240" w:lineRule="auto"/>
        <w:jc w:val="center"/>
        <w:rPr>
          <w:rFonts w:ascii="Times New Roman" w:eastAsia="Times New Roman" w:hAnsi="Times New Roman"/>
          <w:color w:val="000000"/>
          <w:lang w:val="es-CO" w:eastAsia="es-MX"/>
        </w:rPr>
      </w:pPr>
      <w:r w:rsidRPr="00236738">
        <w:rPr>
          <w:rFonts w:ascii="Times New Roman" w:eastAsia="Times New Roman" w:hAnsi="Times New Roman"/>
          <w:noProof/>
          <w:color w:val="000000"/>
          <w:lang w:val="es-MX" w:eastAsia="es-MX"/>
        </w:rPr>
        <w:drawing>
          <wp:inline distT="0" distB="0" distL="0" distR="0" wp14:anchorId="274EB87E" wp14:editId="2E076731">
            <wp:extent cx="2263762" cy="2604977"/>
            <wp:effectExtent l="0" t="0" r="3810" b="508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66701" cy="2608359"/>
                    </a:xfrm>
                    <a:prstGeom prst="rect">
                      <a:avLst/>
                    </a:prstGeom>
                    <a:noFill/>
                    <a:ln>
                      <a:noFill/>
                    </a:ln>
                  </pic:spPr>
                </pic:pic>
              </a:graphicData>
            </a:graphic>
          </wp:inline>
        </w:drawing>
      </w:r>
    </w:p>
    <w:p w14:paraId="223C1E99" w14:textId="77777777" w:rsidR="00F4698B" w:rsidRPr="00236738" w:rsidRDefault="00F4698B" w:rsidP="009E73AA">
      <w:pPr>
        <w:pStyle w:val="NormalWeb"/>
        <w:spacing w:before="0" w:beforeAutospacing="0" w:after="0" w:afterAutospacing="0"/>
        <w:ind w:firstLine="708"/>
        <w:jc w:val="both"/>
        <w:rPr>
          <w:color w:val="000000"/>
          <w:sz w:val="22"/>
          <w:szCs w:val="22"/>
        </w:rPr>
      </w:pPr>
      <w:r w:rsidRPr="00236738">
        <w:rPr>
          <w:color w:val="000000"/>
          <w:sz w:val="22"/>
          <w:szCs w:val="22"/>
        </w:rPr>
        <w:t>Asimismo, el</w:t>
      </w:r>
      <w:r w:rsidRPr="00236738">
        <w:rPr>
          <w:rStyle w:val="apple-converted-space"/>
          <w:color w:val="000000"/>
          <w:sz w:val="22"/>
          <w:szCs w:val="22"/>
        </w:rPr>
        <w:t> </w:t>
      </w:r>
      <w:r w:rsidRPr="00236738">
        <w:rPr>
          <w:rStyle w:val="Strong"/>
          <w:b w:val="0"/>
          <w:bCs w:val="0"/>
          <w:color w:val="000000"/>
          <w:sz w:val="22"/>
          <w:szCs w:val="22"/>
        </w:rPr>
        <w:t>Ministerio de Educación</w:t>
      </w:r>
      <w:r w:rsidRPr="00236738">
        <w:rPr>
          <w:rStyle w:val="apple-converted-space"/>
          <w:color w:val="000000"/>
          <w:sz w:val="22"/>
          <w:szCs w:val="22"/>
        </w:rPr>
        <w:t> </w:t>
      </w:r>
      <w:r w:rsidRPr="00236738">
        <w:rPr>
          <w:color w:val="000000"/>
          <w:sz w:val="22"/>
          <w:szCs w:val="22"/>
        </w:rPr>
        <w:t>ha desarrollado protocolos para atender casos de violencia y vulneración de derechos en el contexto educativo, con el objetivo de garantizar un entorno inclusivo y libre de discriminación para todos los estudiantes, sin importar su nacionalidad o estatus migratorio.</w:t>
      </w:r>
    </w:p>
    <w:p w14:paraId="7EBEB72D" w14:textId="77777777" w:rsidR="00AC55EE" w:rsidRPr="00236738" w:rsidRDefault="00AC55EE" w:rsidP="009E73AA">
      <w:pPr>
        <w:spacing w:after="0"/>
        <w:ind w:firstLine="709"/>
        <w:jc w:val="both"/>
        <w:rPr>
          <w:rFonts w:ascii="Times New Roman" w:eastAsia="Times New Roman" w:hAnsi="Times New Roman"/>
          <w:color w:val="000000"/>
          <w:lang w:val="es-CO" w:eastAsia="es-MX"/>
        </w:rPr>
      </w:pPr>
      <w:r w:rsidRPr="00236738">
        <w:rPr>
          <w:rFonts w:ascii="Times New Roman" w:eastAsia="Times New Roman" w:hAnsi="Times New Roman"/>
          <w:color w:val="000000"/>
          <w:lang w:val="es-CO" w:eastAsia="es-MX"/>
        </w:rPr>
        <w:lastRenderedPageBreak/>
        <w:t xml:space="preserve">Con relación a la discriminación y acoso escolar de niños y niñas en las escuelas con base a su nacionalidad o su condición de refugio el Ministerio de Educación a través de la Dirección de Educación, Democracia y del Buen Vivir señala que: para los casos de vulneración de derechos cuenta con instrumentos de actuación que permite dar atención a niños, niñas y adolescentes sin ningún tipo de discriminación sea esta por nacionalidad, etnia, sexo, orientación sexual, identidad, género y edad, como es, el Plan Nacional de Prevención de Riesgos Psicosociales que prioriza el abordaje de la violencia física, psicológica y sexual, acoso escolar, embarazo en niñas y adolescentes, suicidio e intentos autolíticos, uso y consumo de drogas, trabajo Infantil y desapariciones.  Este plan se implementa a través de un proyecto de inversión denominado “Prevención y abordaje de Riesgos Psicosociales en el entorno educativo” con su metodología del baúl de prevención y protección. </w:t>
      </w:r>
    </w:p>
    <w:p w14:paraId="75862431" w14:textId="32F0679F" w:rsidR="00AC55EE" w:rsidRPr="00236738" w:rsidRDefault="00AC55EE" w:rsidP="009E73AA">
      <w:pPr>
        <w:spacing w:after="0"/>
        <w:ind w:firstLine="709"/>
        <w:jc w:val="both"/>
        <w:textAlignment w:val="baseline"/>
        <w:rPr>
          <w:rFonts w:ascii="Times New Roman" w:eastAsia="Times New Roman" w:hAnsi="Times New Roman"/>
          <w:color w:val="000000"/>
          <w:lang w:val="es-CO" w:eastAsia="es-MX"/>
        </w:rPr>
      </w:pPr>
      <w:r w:rsidRPr="00236738">
        <w:rPr>
          <w:rFonts w:ascii="Times New Roman" w:eastAsia="Times New Roman" w:hAnsi="Times New Roman"/>
          <w:color w:val="000000"/>
          <w:lang w:val="es-CO" w:eastAsia="es-MX"/>
        </w:rPr>
        <w:t xml:space="preserve">Por tanto, para la atención de casos de vulneración de derechos cuenta con el Plan Nacional para la Erradicación de la Violencia en el contexto educativo, adicional a ello, por medio </w:t>
      </w:r>
      <w:r w:rsidR="00110B71" w:rsidRPr="00236738">
        <w:rPr>
          <w:rFonts w:ascii="Times New Roman" w:eastAsia="Times New Roman" w:hAnsi="Times New Roman"/>
          <w:color w:val="000000"/>
          <w:lang w:val="es-CO" w:eastAsia="es-MX"/>
        </w:rPr>
        <w:t>del Acuerdo</w:t>
      </w:r>
      <w:r w:rsidRPr="00236738">
        <w:rPr>
          <w:rFonts w:ascii="Times New Roman" w:eastAsia="Times New Roman" w:hAnsi="Times New Roman"/>
          <w:color w:val="000000"/>
          <w:lang w:val="es-CO" w:eastAsia="es-MX"/>
        </w:rPr>
        <w:t xml:space="preserve"> Ministerial Nro. MINEDU-MINEDUC-2020-00001-A de 10 de enero de 2020, se promulgó el instrumento “Protocolos y Rutas de Actuación frente a situaciones de violencia detectada o cometida dentro del sistema educativo (Tercera Edición)”. </w:t>
      </w:r>
    </w:p>
    <w:p w14:paraId="776EA840" w14:textId="77777777" w:rsidR="00F4698B" w:rsidRPr="00236738" w:rsidRDefault="00F4698B" w:rsidP="009E73AA">
      <w:pPr>
        <w:pStyle w:val="NormalWeb"/>
        <w:spacing w:before="0" w:beforeAutospacing="0" w:after="0" w:afterAutospacing="0"/>
        <w:ind w:firstLine="708"/>
        <w:jc w:val="both"/>
        <w:rPr>
          <w:color w:val="000000"/>
          <w:sz w:val="22"/>
          <w:szCs w:val="22"/>
        </w:rPr>
      </w:pPr>
      <w:r w:rsidRPr="00236738">
        <w:rPr>
          <w:color w:val="000000"/>
          <w:sz w:val="22"/>
          <w:szCs w:val="22"/>
        </w:rPr>
        <w:t>En el ámbito laboral, el</w:t>
      </w:r>
      <w:r w:rsidRPr="00236738">
        <w:rPr>
          <w:rStyle w:val="apple-converted-space"/>
          <w:color w:val="000000"/>
          <w:sz w:val="22"/>
          <w:szCs w:val="22"/>
        </w:rPr>
        <w:t> </w:t>
      </w:r>
      <w:r w:rsidRPr="00236738">
        <w:rPr>
          <w:rStyle w:val="Strong"/>
          <w:b w:val="0"/>
          <w:bCs w:val="0"/>
          <w:color w:val="000000"/>
          <w:sz w:val="22"/>
          <w:szCs w:val="22"/>
        </w:rPr>
        <w:t>Ministerio del Trabajo</w:t>
      </w:r>
      <w:r w:rsidRPr="00236738">
        <w:rPr>
          <w:rStyle w:val="apple-converted-space"/>
          <w:color w:val="000000"/>
          <w:sz w:val="22"/>
          <w:szCs w:val="22"/>
        </w:rPr>
        <w:t> </w:t>
      </w:r>
      <w:r w:rsidRPr="00236738">
        <w:rPr>
          <w:color w:val="000000"/>
          <w:sz w:val="22"/>
          <w:szCs w:val="22"/>
        </w:rPr>
        <w:t>informó que entre el 1 de enero y el 1 de julio de 2024 no se registraron denuncias por discriminación o discursos de odio contra trabajadores venezolanos. Sin embargo, se observa que las mujeres migrantes, al tener un menor acceso al refugio, son quienes enfrentan más barreras para ingresar al mercado laboral, dedicándose mayormente a labores domésticas.</w:t>
      </w:r>
    </w:p>
    <w:p w14:paraId="1FBC4A2D" w14:textId="77777777" w:rsidR="00F43415" w:rsidRPr="00236738" w:rsidRDefault="00F43415" w:rsidP="009E73AA">
      <w:pPr>
        <w:shd w:val="clear" w:color="auto" w:fill="FFFFFF"/>
        <w:spacing w:after="0" w:line="240" w:lineRule="auto"/>
        <w:ind w:firstLine="709"/>
        <w:jc w:val="both"/>
        <w:textAlignment w:val="baseline"/>
        <w:rPr>
          <w:rFonts w:ascii="Times New Roman" w:eastAsia="Times New Roman" w:hAnsi="Times New Roman"/>
          <w:color w:val="000000"/>
          <w:lang w:val="es-CO" w:eastAsia="es-MX"/>
        </w:rPr>
      </w:pPr>
      <w:r w:rsidRPr="00236738">
        <w:rPr>
          <w:rFonts w:ascii="Times New Roman" w:eastAsia="Times New Roman" w:hAnsi="Times New Roman"/>
          <w:color w:val="000000"/>
          <w:lang w:val="es-CO" w:eastAsia="es-MX"/>
        </w:rPr>
        <w:t>En la actualidad, de las personas migrantes encuestadas que residen en el Ecuador, aproximadamente el 26 por ciento se dedica al comercio informal (en el caso de la población de acogida, el 17 por ciento se dedica a esta actividad), destacando los migrantes de 38 a 52 años (38 por ciento), mientras que aproximadamente el 17 por ciento tiene un negocio propio o particular (23 por ciento en el caso de las personas ecuatorianas). En cambio, el 18 por ciento está buscando trabajo, sobre todo las personas de 53 años en adelante (26 por ciento).</w:t>
      </w:r>
    </w:p>
    <w:p w14:paraId="157656AC" w14:textId="44C5019C" w:rsidR="00F43415" w:rsidRPr="00236738" w:rsidRDefault="00F43415" w:rsidP="009E73AA">
      <w:pPr>
        <w:shd w:val="clear" w:color="auto" w:fill="FFFFFF"/>
        <w:spacing w:after="0" w:line="240" w:lineRule="auto"/>
        <w:ind w:firstLine="709"/>
        <w:jc w:val="both"/>
        <w:textAlignment w:val="baseline"/>
        <w:rPr>
          <w:rFonts w:ascii="Times New Roman" w:eastAsia="Times New Roman" w:hAnsi="Times New Roman"/>
          <w:color w:val="000000"/>
          <w:lang w:val="es-CO" w:eastAsia="es-MX"/>
        </w:rPr>
      </w:pPr>
      <w:r w:rsidRPr="00236738">
        <w:rPr>
          <w:rFonts w:ascii="Times New Roman" w:eastAsia="Times New Roman" w:hAnsi="Times New Roman"/>
          <w:color w:val="000000"/>
          <w:lang w:val="es-CO" w:eastAsia="es-MX"/>
        </w:rPr>
        <w:t>El 64 por ciento de las personas migrantes señala que desarrolla una actividad, ocupación o trabajo similar a la que desarrollaba en su país de origen. Estos resultados suelen ser más altos para los hombres (66 por ciento frente a 61 por ciento de las mujeres), así como para las personas que se encuentran con un estatus migratorio regular (64 por ciento frente a 62 por ciento). Con respecto al acceso al empleo formal, el 12 por ciento cuenta con un contrato formal (este número es más elevado entre aquellas personas que cuentan con un estatus migratorio regular, 14 por ciento). El 61.6 por ciento afirma que se le ha pagado menos en su trabajo, frente a sus contrapartes ecuatorianas, por hacer el mismo trabajo (</w:t>
      </w:r>
      <w:proofErr w:type="spellStart"/>
      <w:r w:rsidRPr="00236738">
        <w:rPr>
          <w:rFonts w:ascii="Times New Roman" w:eastAsia="Times New Roman" w:hAnsi="Times New Roman"/>
          <w:color w:val="000000"/>
          <w:lang w:val="es-CO" w:eastAsia="es-MX"/>
        </w:rPr>
        <w:t>Latinobarómetro</w:t>
      </w:r>
      <w:proofErr w:type="spellEnd"/>
      <w:r w:rsidRPr="00236738">
        <w:rPr>
          <w:rFonts w:ascii="Times New Roman" w:eastAsia="Times New Roman" w:hAnsi="Times New Roman"/>
          <w:color w:val="000000"/>
          <w:lang w:val="es-CO" w:eastAsia="es-MX"/>
        </w:rPr>
        <w:t>, BID, 2023).</w:t>
      </w:r>
    </w:p>
    <w:p w14:paraId="525FBD8B" w14:textId="77777777" w:rsidR="00894A97" w:rsidRPr="00236738" w:rsidRDefault="00894A97" w:rsidP="009E73AA">
      <w:pPr>
        <w:spacing w:after="0" w:line="240" w:lineRule="auto"/>
        <w:ind w:firstLine="709"/>
        <w:jc w:val="both"/>
        <w:rPr>
          <w:rFonts w:ascii="Times New Roman" w:eastAsia="Times New Roman" w:hAnsi="Times New Roman"/>
          <w:color w:val="000000"/>
          <w:lang w:val="es-CO" w:eastAsia="es-MX"/>
        </w:rPr>
      </w:pPr>
      <w:r w:rsidRPr="00236738">
        <w:rPr>
          <w:rFonts w:ascii="Times New Roman" w:eastAsia="Times New Roman" w:hAnsi="Times New Roman"/>
          <w:color w:val="000000"/>
          <w:lang w:val="es-CO" w:eastAsia="es-MX"/>
        </w:rPr>
        <w:t>El Ecuador atraviesa por varios años una profunda crisis social y económica, que con la pandemia de COVID - 19 se máximo la crisis social y de seguridad que han tenido que enfrentar tanto nacionales como no nacionales, sumada a la falta de atención estatal, por lo que se ha generado índices de pobreza extrema superiores al 25 % a nivel nacional y más del 61 % de la población no cubre la canasta básica según datos del INEC de 2023, sumado a más de un 50 % de personas en empleo informal, con lo que se evidencia que la desigualdad, golpea a todos los habitantes del Ecuador.</w:t>
      </w:r>
    </w:p>
    <w:p w14:paraId="6B398E54" w14:textId="77777777" w:rsidR="00F4698B" w:rsidRPr="00236738" w:rsidRDefault="00F4698B" w:rsidP="009E73AA">
      <w:pPr>
        <w:pStyle w:val="NormalWeb"/>
        <w:spacing w:before="0" w:beforeAutospacing="0" w:after="0" w:afterAutospacing="0"/>
        <w:ind w:firstLine="708"/>
        <w:jc w:val="both"/>
        <w:rPr>
          <w:color w:val="000000"/>
          <w:sz w:val="22"/>
          <w:szCs w:val="22"/>
        </w:rPr>
      </w:pPr>
      <w:r w:rsidRPr="00236738">
        <w:rPr>
          <w:color w:val="000000"/>
          <w:sz w:val="22"/>
          <w:szCs w:val="22"/>
        </w:rPr>
        <w:t>La</w:t>
      </w:r>
      <w:r w:rsidRPr="00236738">
        <w:rPr>
          <w:rStyle w:val="apple-converted-space"/>
          <w:color w:val="000000"/>
          <w:sz w:val="22"/>
          <w:szCs w:val="22"/>
        </w:rPr>
        <w:t> </w:t>
      </w:r>
      <w:r w:rsidRPr="00236738">
        <w:rPr>
          <w:rStyle w:val="Strong"/>
          <w:b w:val="0"/>
          <w:bCs w:val="0"/>
          <w:color w:val="000000"/>
          <w:sz w:val="22"/>
          <w:szCs w:val="22"/>
        </w:rPr>
        <w:t>Ley Orgánica de Movilidad Humana</w:t>
      </w:r>
      <w:r w:rsidRPr="00236738">
        <w:rPr>
          <w:rStyle w:val="apple-converted-space"/>
          <w:color w:val="000000"/>
          <w:sz w:val="22"/>
          <w:szCs w:val="22"/>
        </w:rPr>
        <w:t> </w:t>
      </w:r>
      <w:r w:rsidRPr="00236738">
        <w:rPr>
          <w:color w:val="000000"/>
          <w:sz w:val="22"/>
          <w:szCs w:val="22"/>
        </w:rPr>
        <w:t>establece el marco normativo para el reconocimiento y el procedimiento aplicable a las personas apátridas. Este marco fue actualizado en el</w:t>
      </w:r>
      <w:r w:rsidRPr="00236738">
        <w:rPr>
          <w:rStyle w:val="apple-converted-space"/>
          <w:color w:val="000000"/>
          <w:sz w:val="22"/>
          <w:szCs w:val="22"/>
        </w:rPr>
        <w:t> </w:t>
      </w:r>
      <w:r w:rsidRPr="00236738">
        <w:rPr>
          <w:rStyle w:val="Strong"/>
          <w:b w:val="0"/>
          <w:bCs w:val="0"/>
          <w:color w:val="000000"/>
          <w:sz w:val="22"/>
          <w:szCs w:val="22"/>
        </w:rPr>
        <w:t>Reglamento publicado el 28 de marzo de 2023</w:t>
      </w:r>
      <w:r w:rsidRPr="00236738">
        <w:rPr>
          <w:color w:val="000000"/>
          <w:sz w:val="22"/>
          <w:szCs w:val="22"/>
        </w:rPr>
        <w:t>, que detalla el proceso de recepción y determinación de solicitudes de apatridia. Desde 2017 hasta septiembre de 2024, Ecuador ha recibido 12 solicitudes de apatridia, de las cuales 4 han sido reconocidas.</w:t>
      </w:r>
    </w:p>
    <w:p w14:paraId="1A16247A" w14:textId="77777777" w:rsidR="00F4698B" w:rsidRPr="00236738" w:rsidRDefault="00F4698B" w:rsidP="009E73AA">
      <w:pPr>
        <w:pStyle w:val="NormalWeb"/>
        <w:spacing w:before="0" w:beforeAutospacing="0" w:after="0" w:afterAutospacing="0"/>
        <w:ind w:firstLine="708"/>
        <w:jc w:val="both"/>
        <w:rPr>
          <w:color w:val="000000"/>
          <w:sz w:val="22"/>
          <w:szCs w:val="22"/>
        </w:rPr>
      </w:pPr>
      <w:r w:rsidRPr="00236738">
        <w:rPr>
          <w:color w:val="000000" w:themeColor="text1"/>
          <w:sz w:val="22"/>
          <w:szCs w:val="22"/>
        </w:rPr>
        <w:t>Por otro lado, la</w:t>
      </w:r>
      <w:r w:rsidRPr="00236738">
        <w:rPr>
          <w:rStyle w:val="apple-converted-space"/>
          <w:color w:val="000000" w:themeColor="text1"/>
          <w:sz w:val="22"/>
          <w:szCs w:val="22"/>
        </w:rPr>
        <w:t> </w:t>
      </w:r>
      <w:r w:rsidR="00FC10F9" w:rsidRPr="00236738">
        <w:rPr>
          <w:rStyle w:val="Strong"/>
          <w:b w:val="0"/>
          <w:color w:val="000000" w:themeColor="text1"/>
          <w:sz w:val="22"/>
          <w:szCs w:val="22"/>
        </w:rPr>
        <w:t>fiscalía general</w:t>
      </w:r>
      <w:r w:rsidRPr="00236738">
        <w:rPr>
          <w:rStyle w:val="Strong"/>
          <w:b w:val="0"/>
          <w:color w:val="000000" w:themeColor="text1"/>
          <w:sz w:val="22"/>
          <w:szCs w:val="22"/>
        </w:rPr>
        <w:t xml:space="preserve"> del Estado</w:t>
      </w:r>
      <w:r w:rsidRPr="00236738">
        <w:rPr>
          <w:rStyle w:val="apple-converted-space"/>
          <w:color w:val="000000" w:themeColor="text1"/>
          <w:sz w:val="22"/>
          <w:szCs w:val="22"/>
        </w:rPr>
        <w:t> </w:t>
      </w:r>
      <w:r w:rsidRPr="00236738">
        <w:rPr>
          <w:color w:val="000000" w:themeColor="text1"/>
          <w:sz w:val="22"/>
          <w:szCs w:val="22"/>
        </w:rPr>
        <w:t>reportó 56 casos de actos de odio y discriminación contra migrantes en el período 2021-2023, registrados en el</w:t>
      </w:r>
      <w:r w:rsidRPr="00236738">
        <w:rPr>
          <w:rStyle w:val="apple-converted-space"/>
          <w:color w:val="000000" w:themeColor="text1"/>
          <w:sz w:val="22"/>
          <w:szCs w:val="22"/>
        </w:rPr>
        <w:t> </w:t>
      </w:r>
      <w:r w:rsidRPr="00236738">
        <w:rPr>
          <w:rStyle w:val="Strong"/>
          <w:b w:val="0"/>
          <w:color w:val="000000" w:themeColor="text1"/>
          <w:sz w:val="22"/>
          <w:szCs w:val="22"/>
        </w:rPr>
        <w:t>Sistema</w:t>
      </w:r>
      <w:r w:rsidRPr="00236738">
        <w:rPr>
          <w:rStyle w:val="Strong"/>
          <w:color w:val="000000" w:themeColor="text1"/>
          <w:sz w:val="22"/>
          <w:szCs w:val="22"/>
        </w:rPr>
        <w:t xml:space="preserve"> </w:t>
      </w:r>
      <w:r w:rsidRPr="00236738">
        <w:rPr>
          <w:rStyle w:val="Strong"/>
          <w:b w:val="0"/>
          <w:color w:val="000000" w:themeColor="text1"/>
          <w:sz w:val="22"/>
          <w:szCs w:val="22"/>
        </w:rPr>
        <w:t xml:space="preserve">Integrado de </w:t>
      </w:r>
      <w:r w:rsidRPr="00236738">
        <w:rPr>
          <w:rStyle w:val="Strong"/>
          <w:b w:val="0"/>
          <w:color w:val="000000" w:themeColor="text1"/>
          <w:sz w:val="22"/>
          <w:szCs w:val="22"/>
        </w:rPr>
        <w:lastRenderedPageBreak/>
        <w:t>Actuaciones Fiscales (SIAF)</w:t>
      </w:r>
      <w:r w:rsidRPr="00236738">
        <w:rPr>
          <w:b/>
          <w:color w:val="000000" w:themeColor="text1"/>
          <w:sz w:val="22"/>
          <w:szCs w:val="22"/>
        </w:rPr>
        <w:t>,</w:t>
      </w:r>
      <w:r w:rsidRPr="00236738">
        <w:rPr>
          <w:color w:val="000000" w:themeColor="text1"/>
          <w:sz w:val="22"/>
          <w:szCs w:val="22"/>
        </w:rPr>
        <w:t xml:space="preserve"> lo que refleja la situación de vulnerabilidad a la que está expuesta esta población. Entre 2021 y mayo de 2024, la</w:t>
      </w:r>
      <w:r w:rsidRPr="00236738">
        <w:rPr>
          <w:rStyle w:val="apple-converted-space"/>
          <w:color w:val="000000" w:themeColor="text1"/>
          <w:sz w:val="22"/>
          <w:szCs w:val="22"/>
        </w:rPr>
        <w:t> </w:t>
      </w:r>
      <w:r w:rsidRPr="00236738">
        <w:rPr>
          <w:rStyle w:val="Strong"/>
          <w:b w:val="0"/>
          <w:color w:val="000000" w:themeColor="text1"/>
          <w:sz w:val="22"/>
          <w:szCs w:val="22"/>
        </w:rPr>
        <w:t>Fundación Diálogo Diverso</w:t>
      </w:r>
      <w:r w:rsidRPr="00236738">
        <w:rPr>
          <w:rStyle w:val="apple-converted-space"/>
          <w:color w:val="000000" w:themeColor="text1"/>
          <w:sz w:val="22"/>
          <w:szCs w:val="22"/>
        </w:rPr>
        <w:t> </w:t>
      </w:r>
      <w:r w:rsidRPr="00236738">
        <w:rPr>
          <w:color w:val="000000" w:themeColor="text1"/>
          <w:sz w:val="22"/>
          <w:szCs w:val="22"/>
        </w:rPr>
        <w:t>no identificó casos específicos de delitos o discursos de odio hacia migrantes, pero reportó 2.231 casos de violencia, de los cuales 239 estuvieron relacionados con xenofobia, LGBTI fobia, aporofobia y otras formas de discriminación, concentrándose principalmente en Quito, provincia de Pichincha.</w:t>
      </w:r>
    </w:p>
    <w:p w14:paraId="2AE53FEF" w14:textId="77777777" w:rsidR="00D839AF" w:rsidRPr="00236738" w:rsidRDefault="00F4698B" w:rsidP="009E73AA">
      <w:pPr>
        <w:pStyle w:val="NormalWeb"/>
        <w:spacing w:before="0" w:beforeAutospacing="0" w:after="0" w:afterAutospacing="0"/>
        <w:ind w:firstLine="360"/>
        <w:jc w:val="both"/>
        <w:rPr>
          <w:color w:val="000000" w:themeColor="text1"/>
          <w:sz w:val="22"/>
          <w:szCs w:val="22"/>
        </w:rPr>
      </w:pPr>
      <w:r w:rsidRPr="00236738">
        <w:rPr>
          <w:color w:val="000000" w:themeColor="text1"/>
          <w:sz w:val="22"/>
          <w:szCs w:val="22"/>
        </w:rPr>
        <w:t>La organización</w:t>
      </w:r>
      <w:r w:rsidRPr="00236738">
        <w:rPr>
          <w:rStyle w:val="apple-converted-space"/>
          <w:color w:val="000000" w:themeColor="text1"/>
          <w:sz w:val="22"/>
          <w:szCs w:val="22"/>
        </w:rPr>
        <w:t> </w:t>
      </w:r>
      <w:proofErr w:type="spellStart"/>
      <w:r w:rsidRPr="00236738">
        <w:rPr>
          <w:rStyle w:val="Strong"/>
          <w:b w:val="0"/>
          <w:color w:val="000000" w:themeColor="text1"/>
          <w:sz w:val="22"/>
          <w:szCs w:val="22"/>
        </w:rPr>
        <w:t>Comitato</w:t>
      </w:r>
      <w:proofErr w:type="spellEnd"/>
      <w:r w:rsidRPr="00236738">
        <w:rPr>
          <w:rStyle w:val="Strong"/>
          <w:b w:val="0"/>
          <w:color w:val="000000" w:themeColor="text1"/>
          <w:sz w:val="22"/>
          <w:szCs w:val="22"/>
        </w:rPr>
        <w:t xml:space="preserve"> </w:t>
      </w:r>
      <w:proofErr w:type="spellStart"/>
      <w:r w:rsidRPr="00236738">
        <w:rPr>
          <w:rStyle w:val="Strong"/>
          <w:b w:val="0"/>
          <w:color w:val="000000" w:themeColor="text1"/>
          <w:sz w:val="22"/>
          <w:szCs w:val="22"/>
        </w:rPr>
        <w:t>Internazionale</w:t>
      </w:r>
      <w:proofErr w:type="spellEnd"/>
      <w:r w:rsidRPr="00236738">
        <w:rPr>
          <w:rStyle w:val="Strong"/>
          <w:b w:val="0"/>
          <w:color w:val="000000" w:themeColor="text1"/>
          <w:sz w:val="22"/>
          <w:szCs w:val="22"/>
        </w:rPr>
        <w:t xml:space="preserve"> Per Lo </w:t>
      </w:r>
      <w:proofErr w:type="spellStart"/>
      <w:r w:rsidRPr="00236738">
        <w:rPr>
          <w:rStyle w:val="Strong"/>
          <w:b w:val="0"/>
          <w:color w:val="000000" w:themeColor="text1"/>
          <w:sz w:val="22"/>
          <w:szCs w:val="22"/>
        </w:rPr>
        <w:t>Sviluppo</w:t>
      </w:r>
      <w:proofErr w:type="spellEnd"/>
      <w:r w:rsidRPr="00236738">
        <w:rPr>
          <w:rStyle w:val="Strong"/>
          <w:b w:val="0"/>
          <w:color w:val="000000" w:themeColor="text1"/>
          <w:sz w:val="22"/>
          <w:szCs w:val="22"/>
        </w:rPr>
        <w:t xml:space="preserve"> Dei </w:t>
      </w:r>
      <w:proofErr w:type="spellStart"/>
      <w:r w:rsidRPr="00236738">
        <w:rPr>
          <w:rStyle w:val="Strong"/>
          <w:b w:val="0"/>
          <w:color w:val="000000" w:themeColor="text1"/>
          <w:sz w:val="22"/>
          <w:szCs w:val="22"/>
        </w:rPr>
        <w:t>Popoli</w:t>
      </w:r>
      <w:proofErr w:type="spellEnd"/>
      <w:r w:rsidRPr="00236738">
        <w:rPr>
          <w:rStyle w:val="Strong"/>
          <w:b w:val="0"/>
          <w:color w:val="000000" w:themeColor="text1"/>
          <w:sz w:val="22"/>
          <w:szCs w:val="22"/>
        </w:rPr>
        <w:t xml:space="preserve"> (CISP)</w:t>
      </w:r>
      <w:r w:rsidRPr="00236738">
        <w:rPr>
          <w:rStyle w:val="apple-converted-space"/>
          <w:color w:val="000000" w:themeColor="text1"/>
          <w:sz w:val="22"/>
          <w:szCs w:val="22"/>
        </w:rPr>
        <w:t> </w:t>
      </w:r>
      <w:r w:rsidRPr="00236738">
        <w:rPr>
          <w:color w:val="000000" w:themeColor="text1"/>
          <w:sz w:val="22"/>
          <w:szCs w:val="22"/>
        </w:rPr>
        <w:t>informó que entre febrero y diciembre de 2023 brindó atención a 1.045 personas en las provincias de Pichincha, Sucumbíos, Orellana y El Oro, de las cuales 198 reportaron haber sido víctimas de xenofobia, aunque solo 31 presentaron denuncias formales. Entre enero y abril de 2024, CISP atendió a 166 personas en las mismas provincias, de las cuales 18 reportaron haber sufrido xenofobia, con una única denuncia registrada. Estos datos evidencian una preocupante tendencia de subregistro y la falta de acción ante casos de xenofobia y violencia en el contexto migratorio en Ecuador.</w:t>
      </w:r>
    </w:p>
    <w:p w14:paraId="5E822ED1" w14:textId="25C9CAFA" w:rsidR="00F4698B" w:rsidRPr="0029797A" w:rsidRDefault="00D839AF" w:rsidP="009E73AA">
      <w:pPr>
        <w:pStyle w:val="NormalWeb"/>
        <w:spacing w:before="0" w:beforeAutospacing="0" w:after="0" w:afterAutospacing="0"/>
        <w:ind w:firstLine="360"/>
        <w:jc w:val="both"/>
        <w:rPr>
          <w:color w:val="000000"/>
          <w:sz w:val="22"/>
          <w:szCs w:val="22"/>
        </w:rPr>
      </w:pPr>
      <w:r w:rsidRPr="00236738">
        <w:rPr>
          <w:color w:val="000000" w:themeColor="text1"/>
          <w:sz w:val="22"/>
          <w:szCs w:val="22"/>
        </w:rPr>
        <w:t>Podría señalarse que las personas migrantes en el país no presentan su denuncia formal debido a temores con respecto a las posibles consecuencias que conlleva un proceso judicial, por ejemplo: la revictimización, la criminalización, la falta de respetar el debido proceso, la xenofobia y la probable impunidad en las resoluciones de los procesos, así como la falta de confianza en el sistema judicial ecuatoriano.</w:t>
      </w:r>
    </w:p>
    <w:p w14:paraId="434AE13E" w14:textId="77777777" w:rsidR="00916B3C" w:rsidRPr="0029797A" w:rsidRDefault="00FE0EA5" w:rsidP="0029797A">
      <w:pPr>
        <w:pStyle w:val="NormalWeb"/>
        <w:jc w:val="both"/>
        <w:rPr>
          <w:b/>
          <w:i/>
          <w:iCs/>
          <w:sz w:val="22"/>
          <w:szCs w:val="22"/>
        </w:rPr>
      </w:pPr>
      <w:r w:rsidRPr="0029797A">
        <w:rPr>
          <w:b/>
          <w:i/>
          <w:iCs/>
        </w:rPr>
        <w:t>Párrafo</w:t>
      </w:r>
      <w:r w:rsidR="00916B3C" w:rsidRPr="0029797A">
        <w:rPr>
          <w:b/>
          <w:i/>
          <w:iCs/>
          <w:sz w:val="22"/>
          <w:szCs w:val="22"/>
        </w:rPr>
        <w:t xml:space="preserve"> 33</w:t>
      </w:r>
    </w:p>
    <w:p w14:paraId="2AAFCEC8" w14:textId="513DAF9E" w:rsidR="00916B3C" w:rsidRPr="00DB5E49" w:rsidRDefault="00916B3C" w:rsidP="009E73AA">
      <w:pPr>
        <w:pStyle w:val="NormalWeb"/>
        <w:spacing w:before="0" w:beforeAutospacing="0" w:after="0" w:afterAutospacing="0"/>
        <w:ind w:firstLine="708"/>
        <w:jc w:val="both"/>
        <w:rPr>
          <w:color w:val="000000" w:themeColor="text1"/>
          <w:sz w:val="22"/>
          <w:szCs w:val="22"/>
        </w:rPr>
      </w:pPr>
      <w:r w:rsidRPr="4D9851CF">
        <w:rPr>
          <w:color w:val="000000" w:themeColor="text1"/>
          <w:sz w:val="22"/>
          <w:szCs w:val="22"/>
        </w:rPr>
        <w:t>Desde 2022, diversas organizaciones de la sociedad civil y entidades estatales, incluyendo la</w:t>
      </w:r>
      <w:r w:rsidRPr="0029797A">
        <w:rPr>
          <w:sz w:val="22"/>
          <w:szCs w:val="22"/>
        </w:rPr>
        <w:t> Defensoría del Pueblo de Ecuador</w:t>
      </w:r>
      <w:r w:rsidRPr="4D9851CF">
        <w:rPr>
          <w:color w:val="000000" w:themeColor="text1"/>
          <w:sz w:val="22"/>
          <w:szCs w:val="22"/>
        </w:rPr>
        <w:t>, han trabajado en la</w:t>
      </w:r>
      <w:r w:rsidRPr="0029797A">
        <w:rPr>
          <w:sz w:val="22"/>
          <w:szCs w:val="22"/>
        </w:rPr>
        <w:t> Mesa de Incidencia en Política Pública en Movilidad Humana </w:t>
      </w:r>
      <w:r w:rsidRPr="4D9851CF">
        <w:rPr>
          <w:color w:val="000000" w:themeColor="text1"/>
          <w:sz w:val="22"/>
          <w:szCs w:val="22"/>
        </w:rPr>
        <w:t>para proponer reformas a la</w:t>
      </w:r>
      <w:r w:rsidRPr="0029797A">
        <w:rPr>
          <w:sz w:val="22"/>
          <w:szCs w:val="22"/>
        </w:rPr>
        <w:t> Ley Orgánica de Movilidad Humana</w:t>
      </w:r>
      <w:r w:rsidRPr="4D9851CF">
        <w:rPr>
          <w:color w:val="000000" w:themeColor="text1"/>
          <w:sz w:val="22"/>
          <w:szCs w:val="22"/>
        </w:rPr>
        <w:t>, con el objetivo de garantizar la plena participación e integración de las personas migrantes en Ecuador. En este marco, la</w:t>
      </w:r>
      <w:r w:rsidRPr="0029797A">
        <w:rPr>
          <w:sz w:val="22"/>
          <w:szCs w:val="22"/>
        </w:rPr>
        <w:t> Agenda Nacional para la Igualdad de Movilidad Humana (ANIMHU) 2021-2025 </w:t>
      </w:r>
      <w:r w:rsidRPr="00DB5E49">
        <w:rPr>
          <w:color w:val="000000" w:themeColor="text1"/>
          <w:sz w:val="22"/>
          <w:szCs w:val="22"/>
        </w:rPr>
        <w:t>fue formulada para garantizar el acceso a derechos y reducir las brechas de desigualdad.</w:t>
      </w:r>
    </w:p>
    <w:p w14:paraId="37E11D94" w14:textId="6A9B558B" w:rsidR="00565F38" w:rsidRPr="00DB5E49" w:rsidRDefault="00565F38" w:rsidP="009E73AA">
      <w:pPr>
        <w:pStyle w:val="NormalWeb"/>
        <w:spacing w:before="0" w:beforeAutospacing="0" w:after="0" w:afterAutospacing="0"/>
        <w:ind w:firstLine="708"/>
        <w:jc w:val="both"/>
        <w:rPr>
          <w:color w:val="000000"/>
          <w:sz w:val="22"/>
          <w:szCs w:val="22"/>
        </w:rPr>
      </w:pPr>
      <w:r w:rsidRPr="00DB5E49">
        <w:rPr>
          <w:color w:val="000000" w:themeColor="text1"/>
          <w:sz w:val="22"/>
          <w:szCs w:val="22"/>
        </w:rPr>
        <w:t xml:space="preserve">En la actualidad la INDH conjuntamente con la </w:t>
      </w:r>
      <w:r w:rsidRPr="00DB5E49">
        <w:rPr>
          <w:sz w:val="22"/>
          <w:szCs w:val="22"/>
        </w:rPr>
        <w:t>Mesa de Incidencia en Política Pública en Movilidad Humana</w:t>
      </w:r>
      <w:r w:rsidRPr="00DB5E49">
        <w:rPr>
          <w:color w:val="000000" w:themeColor="text1"/>
          <w:sz w:val="22"/>
          <w:szCs w:val="22"/>
        </w:rPr>
        <w:t xml:space="preserve"> se encuentra elaborando una propuesta de reforma a la Ley Orgánica de Movilidad Humana que toca tres aspectos fundamentales: personas inmigrantes, refugio y personas ecuatorianas retornadas y en el exterior.</w:t>
      </w:r>
    </w:p>
    <w:p w14:paraId="359C9E88" w14:textId="5385F5A5" w:rsidR="00916B3C" w:rsidRPr="00DB5E49" w:rsidRDefault="00916B3C" w:rsidP="009E73AA">
      <w:pPr>
        <w:pStyle w:val="NormalWeb"/>
        <w:spacing w:before="0" w:beforeAutospacing="0" w:after="0" w:afterAutospacing="0"/>
        <w:ind w:firstLine="708"/>
        <w:jc w:val="both"/>
        <w:rPr>
          <w:color w:val="000000"/>
          <w:sz w:val="22"/>
          <w:szCs w:val="22"/>
        </w:rPr>
      </w:pPr>
      <w:r w:rsidRPr="00DB5E49">
        <w:rPr>
          <w:color w:val="000000"/>
          <w:sz w:val="22"/>
          <w:szCs w:val="22"/>
        </w:rPr>
        <w:t>En mayo de 2023, la</w:t>
      </w:r>
      <w:r w:rsidRPr="00DB5E49">
        <w:rPr>
          <w:rStyle w:val="apple-converted-space"/>
          <w:color w:val="000000"/>
          <w:sz w:val="22"/>
          <w:szCs w:val="22"/>
        </w:rPr>
        <w:t> </w:t>
      </w:r>
      <w:r w:rsidRPr="00DB5E49">
        <w:rPr>
          <w:rStyle w:val="Strong"/>
          <w:b w:val="0"/>
          <w:bCs w:val="0"/>
          <w:color w:val="000000"/>
          <w:sz w:val="22"/>
          <w:szCs w:val="22"/>
        </w:rPr>
        <w:t>Secretaría Técnica del Consejo Nacional para la Igualdad de Movilidad Humana (CNIMH</w:t>
      </w:r>
      <w:r w:rsidRPr="00DB5E49">
        <w:rPr>
          <w:rStyle w:val="Strong"/>
          <w:color w:val="000000"/>
          <w:sz w:val="22"/>
          <w:szCs w:val="22"/>
        </w:rPr>
        <w:t>)</w:t>
      </w:r>
      <w:r w:rsidR="00220D23" w:rsidRPr="00DB5E49">
        <w:rPr>
          <w:rStyle w:val="Strong"/>
          <w:color w:val="000000"/>
          <w:sz w:val="22"/>
          <w:szCs w:val="22"/>
        </w:rPr>
        <w:t xml:space="preserve"> </w:t>
      </w:r>
      <w:r w:rsidRPr="00DB5E49">
        <w:rPr>
          <w:color w:val="000000"/>
          <w:sz w:val="22"/>
          <w:szCs w:val="22"/>
        </w:rPr>
        <w:t>inició talleres de socialización de políticas públicas y desarrolló un modelo de ordenanza para promover la inclusión económica de los migrantes. Además, se realizaron capacitaciones en colaboración con universidades y entidades locales, orientadas a fortalecer el conocimiento sobre derechos migratorios.</w:t>
      </w:r>
    </w:p>
    <w:p w14:paraId="3378FAB7" w14:textId="77777777" w:rsidR="003622CA" w:rsidRPr="00DB5E49" w:rsidRDefault="003622CA" w:rsidP="009E73AA">
      <w:pPr>
        <w:pStyle w:val="Default"/>
        <w:ind w:firstLine="709"/>
        <w:jc w:val="both"/>
        <w:rPr>
          <w:rFonts w:eastAsia="Times New Roman"/>
          <w:sz w:val="22"/>
          <w:szCs w:val="22"/>
          <w:lang w:val="es-CO" w:eastAsia="es-MX"/>
        </w:rPr>
      </w:pPr>
      <w:r w:rsidRPr="00DB5E49">
        <w:rPr>
          <w:rFonts w:eastAsia="Times New Roman"/>
          <w:sz w:val="22"/>
          <w:szCs w:val="22"/>
          <w:lang w:val="es-CO" w:eastAsia="es-MX"/>
        </w:rPr>
        <w:t>A la vez que, se informa que la Secretaría Técnica del CNIMH en mayo de 2023, inició con la fase de transversalización realizando talleres de socialización de la política pública con las entidades responsables de la implementación tanto en el nivel central como descentralizado; y, en el marco de sus competencias de brindar asesoría y asistencia técnica, comunica que desarrolló un modelo de ordenanza para la promoción y protección de las personas en movilidad humana, recogiendo acciones afirmativas para la inclusión económica de las personas en movilidad humana y otorgamiento de incentivos para que la empresa privada contrate a personas en situación de movilidad humana.</w:t>
      </w:r>
    </w:p>
    <w:p w14:paraId="30A4B661" w14:textId="77777777" w:rsidR="003622CA" w:rsidRPr="00DB5E49" w:rsidRDefault="003622CA" w:rsidP="009E73AA">
      <w:pPr>
        <w:pStyle w:val="Default"/>
        <w:ind w:firstLine="709"/>
        <w:jc w:val="both"/>
        <w:rPr>
          <w:rFonts w:eastAsia="Times New Roman"/>
          <w:sz w:val="22"/>
          <w:szCs w:val="22"/>
          <w:lang w:val="es-CO" w:eastAsia="es-MX"/>
        </w:rPr>
      </w:pPr>
      <w:r w:rsidRPr="00DB5E49">
        <w:rPr>
          <w:rFonts w:eastAsia="Times New Roman"/>
          <w:sz w:val="22"/>
          <w:szCs w:val="22"/>
          <w:lang w:val="es-CO" w:eastAsia="es-MX"/>
        </w:rPr>
        <w:t xml:space="preserve">De igual manera, señala que: se han ejecutado talleres en coordinación con la academia, esto es, con la Universidad Nacional de Loja (UNL) para fortalecer conocimientos y comprensión de la garantía de derechos de las personas en movilidad humana, con la Universidad Técnica Particular de Loja (UTPL) realizó la jornada de ¨Comunicación, derechos y movilidad humana¨; con la Universidad Técnica del Norte en Ibarra llevando a cabo una jornada de sensibilización sobre movilidad humana y derechos, con la Universidad San Gregorio en Portoviejo, el </w:t>
      </w:r>
      <w:r w:rsidRPr="00DB5E49">
        <w:rPr>
          <w:rFonts w:eastAsia="Times New Roman"/>
          <w:sz w:val="22"/>
          <w:szCs w:val="22"/>
          <w:lang w:val="es-CO" w:eastAsia="es-MX"/>
        </w:rPr>
        <w:lastRenderedPageBreak/>
        <w:t>laboratorio radial (radio abierta y movilidad humana); con la Prefectura de Imbabura, microcuentos y podcast de estudiantes educación general básica; con comunicadores públicos en Quito, Ibarra y Tulcán, sensibilización en desarrollo de contenidos y redacción de la noticia con el apoyo de Ecuavisa y televisión DW; con la Universidad Politécnica Salesiana los temas de movilidad humana, trata y tráfico ilícito de migrantes, en la experiencia radial para la construcción de contenido.</w:t>
      </w:r>
    </w:p>
    <w:p w14:paraId="1A5A2E75" w14:textId="77777777" w:rsidR="003622CA" w:rsidRPr="00DB5E49" w:rsidRDefault="003622CA" w:rsidP="009E73AA">
      <w:pPr>
        <w:pStyle w:val="Default"/>
        <w:ind w:firstLine="709"/>
        <w:jc w:val="both"/>
        <w:rPr>
          <w:rFonts w:eastAsia="Times New Roman"/>
          <w:sz w:val="22"/>
          <w:szCs w:val="22"/>
          <w:lang w:val="es-CO" w:eastAsia="es-MX"/>
        </w:rPr>
      </w:pPr>
      <w:r w:rsidRPr="00DB5E49">
        <w:rPr>
          <w:rFonts w:eastAsia="Times New Roman"/>
          <w:sz w:val="22"/>
          <w:szCs w:val="22"/>
          <w:lang w:val="es-CO" w:eastAsia="es-MX"/>
        </w:rPr>
        <w:t>En el desarrollo de procesos de participación y la asistencia técnica a nivel cantonal, indica que: el CNIMH cuenta con 13 insumos técnicos y metodológicos para el fortalecimiento de los procesos de participación de las personas en situación de movilidad humana, los mismos que se utilizan por el equipo técnico como parte de la asistencia a los Consejos Cantonales de Protección de Derechos.</w:t>
      </w:r>
    </w:p>
    <w:p w14:paraId="547A9302" w14:textId="77777777" w:rsidR="008972DE" w:rsidRPr="0029797A" w:rsidRDefault="00916B3C" w:rsidP="009E73AA">
      <w:pPr>
        <w:pStyle w:val="NormalWeb"/>
        <w:spacing w:before="0" w:beforeAutospacing="0" w:after="0" w:afterAutospacing="0"/>
        <w:ind w:firstLine="708"/>
        <w:jc w:val="both"/>
        <w:rPr>
          <w:color w:val="000000"/>
          <w:sz w:val="22"/>
          <w:szCs w:val="22"/>
        </w:rPr>
      </w:pPr>
      <w:r w:rsidRPr="00DB5E49">
        <w:rPr>
          <w:color w:val="000000" w:themeColor="text1"/>
          <w:sz w:val="22"/>
          <w:szCs w:val="22"/>
        </w:rPr>
        <w:t>El informe</w:t>
      </w:r>
      <w:r w:rsidRPr="00DB5E49">
        <w:rPr>
          <w:rStyle w:val="apple-converted-space"/>
          <w:color w:val="000000" w:themeColor="text1"/>
          <w:sz w:val="22"/>
          <w:szCs w:val="22"/>
        </w:rPr>
        <w:t> </w:t>
      </w:r>
      <w:r w:rsidRPr="00DB5E49">
        <w:rPr>
          <w:rStyle w:val="Emphasis"/>
          <w:color w:val="000000" w:themeColor="text1"/>
          <w:sz w:val="22"/>
          <w:szCs w:val="22"/>
        </w:rPr>
        <w:t>“Explorando</w:t>
      </w:r>
      <w:r w:rsidRPr="152444DF">
        <w:rPr>
          <w:rStyle w:val="Emphasis"/>
          <w:color w:val="000000" w:themeColor="text1"/>
          <w:sz w:val="22"/>
          <w:szCs w:val="22"/>
        </w:rPr>
        <w:t xml:space="preserve"> los horizontes de la Movilidad Humana”</w:t>
      </w:r>
      <w:r w:rsidRPr="152444DF">
        <w:rPr>
          <w:rStyle w:val="apple-converted-space"/>
          <w:color w:val="000000" w:themeColor="text1"/>
          <w:sz w:val="22"/>
          <w:szCs w:val="22"/>
        </w:rPr>
        <w:t> </w:t>
      </w:r>
      <w:r w:rsidRPr="152444DF">
        <w:rPr>
          <w:color w:val="000000" w:themeColor="text1"/>
          <w:sz w:val="22"/>
          <w:szCs w:val="22"/>
        </w:rPr>
        <w:t>resalta los desafíos que enfrentan los migrantes, como la discriminación, la xenofobia y la violencia de género, en ciudades como Ibarra y Huaquillas. Entre las recomendaciones se encuentran el fortalecimiento de los mecanismos de protección para las víctimas de violencia, el acceso equitativo a la regularización migratoria y la lucha contra la xenofobia mediante campañas de sensibilización. Dado el aumento de la violencia y la inseguridad en el país, es urgente implementar políticas públicas que protejan a los desplazados, con especial atención a los grupos vulnerables, como niños, mujeres embarazadas y adultos mayores.</w:t>
      </w:r>
    </w:p>
    <w:p w14:paraId="7D669821" w14:textId="77777777" w:rsidR="00687227" w:rsidRPr="0029797A" w:rsidRDefault="00687227" w:rsidP="0029797A">
      <w:pPr>
        <w:pStyle w:val="ListParagraph"/>
        <w:tabs>
          <w:tab w:val="left" w:pos="851"/>
        </w:tabs>
        <w:spacing w:before="240" w:after="0" w:line="240" w:lineRule="auto"/>
        <w:ind w:left="0"/>
        <w:rPr>
          <w:rFonts w:ascii="Times New Roman" w:hAnsi="Times New Roman"/>
          <w:b/>
        </w:rPr>
      </w:pPr>
    </w:p>
    <w:p w14:paraId="63E7131C" w14:textId="77777777" w:rsidR="00FD22C1" w:rsidRPr="0029797A" w:rsidRDefault="00AA282F" w:rsidP="0029797A">
      <w:pPr>
        <w:pStyle w:val="ListParagraph"/>
        <w:numPr>
          <w:ilvl w:val="0"/>
          <w:numId w:val="17"/>
        </w:numPr>
        <w:tabs>
          <w:tab w:val="left" w:pos="851"/>
        </w:tabs>
        <w:spacing w:before="240" w:after="0" w:line="240" w:lineRule="auto"/>
        <w:jc w:val="both"/>
        <w:rPr>
          <w:rFonts w:ascii="Times New Roman" w:hAnsi="Times New Roman"/>
          <w:b/>
        </w:rPr>
      </w:pPr>
      <w:r w:rsidRPr="0029797A">
        <w:rPr>
          <w:rFonts w:ascii="Times New Roman" w:hAnsi="Times New Roman"/>
          <w:b/>
        </w:rPr>
        <w:t>Trata de personas</w:t>
      </w:r>
    </w:p>
    <w:p w14:paraId="32D51362" w14:textId="77777777" w:rsidR="00FD22C1" w:rsidRPr="0029797A" w:rsidRDefault="00FD22C1" w:rsidP="0029797A">
      <w:pPr>
        <w:pStyle w:val="ListParagraph"/>
        <w:tabs>
          <w:tab w:val="left" w:pos="851"/>
        </w:tabs>
        <w:spacing w:before="240" w:after="0" w:line="240" w:lineRule="auto"/>
        <w:ind w:left="360"/>
        <w:jc w:val="both"/>
        <w:rPr>
          <w:rFonts w:ascii="Times New Roman" w:hAnsi="Times New Roman"/>
          <w:b/>
        </w:rPr>
      </w:pPr>
    </w:p>
    <w:p w14:paraId="335553E5" w14:textId="77777777" w:rsidR="005D2634" w:rsidRPr="0029797A" w:rsidRDefault="00C56966" w:rsidP="0029797A">
      <w:pPr>
        <w:pStyle w:val="ListParagraph"/>
        <w:tabs>
          <w:tab w:val="left" w:pos="851"/>
        </w:tabs>
        <w:spacing w:before="240" w:after="0" w:line="240" w:lineRule="auto"/>
        <w:ind w:left="360"/>
        <w:jc w:val="both"/>
        <w:rPr>
          <w:rFonts w:ascii="Times New Roman" w:hAnsi="Times New Roman"/>
          <w:b/>
          <w:i/>
          <w:iCs/>
        </w:rPr>
      </w:pPr>
      <w:r w:rsidRPr="0029797A">
        <w:rPr>
          <w:rFonts w:ascii="Times New Roman" w:hAnsi="Times New Roman"/>
          <w:b/>
          <w:i/>
          <w:iCs/>
        </w:rPr>
        <w:t>Párr</w:t>
      </w:r>
      <w:r w:rsidR="00C02D19" w:rsidRPr="0029797A">
        <w:rPr>
          <w:rFonts w:ascii="Times New Roman" w:hAnsi="Times New Roman"/>
          <w:b/>
          <w:i/>
          <w:iCs/>
        </w:rPr>
        <w:t>afo</w:t>
      </w:r>
      <w:r w:rsidR="00FD22C1" w:rsidRPr="0029797A">
        <w:rPr>
          <w:rFonts w:ascii="Times New Roman" w:hAnsi="Times New Roman"/>
          <w:b/>
          <w:i/>
          <w:iCs/>
        </w:rPr>
        <w:t xml:space="preserve"> 34 y 35</w:t>
      </w:r>
    </w:p>
    <w:p w14:paraId="15A3C065" w14:textId="77777777" w:rsidR="00B558A8" w:rsidRDefault="00B558A8" w:rsidP="009E73AA">
      <w:pPr>
        <w:pStyle w:val="NormalWeb"/>
        <w:spacing w:before="0" w:beforeAutospacing="0" w:after="0" w:afterAutospacing="0"/>
        <w:ind w:firstLine="708"/>
        <w:jc w:val="both"/>
        <w:rPr>
          <w:color w:val="000000"/>
          <w:sz w:val="22"/>
          <w:szCs w:val="22"/>
        </w:rPr>
      </w:pPr>
    </w:p>
    <w:p w14:paraId="1B40F949" w14:textId="77777777" w:rsidR="00E1532A" w:rsidRDefault="00B558A8" w:rsidP="00E1532A">
      <w:pPr>
        <w:pStyle w:val="NormalWeb"/>
        <w:spacing w:before="0" w:beforeAutospacing="0" w:after="0" w:afterAutospacing="0"/>
        <w:ind w:firstLine="708"/>
        <w:jc w:val="both"/>
        <w:rPr>
          <w:color w:val="000000"/>
          <w:sz w:val="22"/>
          <w:szCs w:val="22"/>
          <w:lang w:val="es-ES"/>
        </w:rPr>
      </w:pPr>
      <w:r w:rsidRPr="00B558A8">
        <w:rPr>
          <w:color w:val="000000"/>
          <w:sz w:val="22"/>
          <w:szCs w:val="22"/>
          <w:lang w:val="es-ES"/>
        </w:rPr>
        <w:t>La Defensoría del Pueblo (DPE) solicitó información a diversas instituciones del Estado ecuatoriano para evaluar la garantía de los derechos de las víctimas de trata de personas y los desafíos pendientes en esta área. En su respuesta, el Consejo de la Judicatura destacó su participación en el Comité Interinstitucional de Coordinación para la Prevención de la Trata de Personas y Tráfico Ilícito de Migrantes, establecido por la Ley Orgánica Contra la Trata de Personas. Este Comité trabaja mediante mesas técnicas en prevención, protección y judicialización, y desde 2021 ha realizado reuniones para fortalecer la cooperación en seguridad y justicia, junto con el apoyo de la Oficina de las Naciones Unidas contra la Droga y el Delito (UNODC). Además, el Consejo ha trabajado con la Red Iberoamericana de Fiscales Especializados y el sistema judicial de Perú, acordando protocolos y rutas de atención para mejorar la respuesta judicial ante la trata de personas.</w:t>
      </w:r>
    </w:p>
    <w:p w14:paraId="41871DBA" w14:textId="3F041907" w:rsidR="00E1532A" w:rsidRPr="00E1532A" w:rsidRDefault="00E1532A" w:rsidP="00E1532A">
      <w:pPr>
        <w:pStyle w:val="NormalWeb"/>
        <w:spacing w:before="0" w:beforeAutospacing="0" w:after="0" w:afterAutospacing="0"/>
        <w:ind w:firstLine="708"/>
        <w:jc w:val="both"/>
        <w:rPr>
          <w:color w:val="000000"/>
          <w:sz w:val="22"/>
          <w:szCs w:val="22"/>
          <w:lang w:val="es-ES"/>
        </w:rPr>
      </w:pPr>
      <w:r w:rsidRPr="00E1532A">
        <w:rPr>
          <w:color w:val="000000"/>
          <w:sz w:val="22"/>
          <w:szCs w:val="22"/>
          <w:lang w:val="es-ES"/>
        </w:rPr>
        <w:t>La colaboración con Perú incluye reuniones binacionales y compromisos establecidos en las Declaraciones de Tumbes y Arenillas, así como el desarrollo de un Equipo Binacional de Respuesta Inmediata para mejorar la cooperación judicial en ambos países. La Defensoría valora positivamente estas iniciativas, aunque sugiere aumentar la frecuencia de estos encuentros y buscar apoyo financiero de organismos internacionales para fortalecer capacidades en derechos humanos y lucha contra la trata.</w:t>
      </w:r>
    </w:p>
    <w:p w14:paraId="778C4A0D" w14:textId="77777777" w:rsidR="00E1532A" w:rsidRPr="00E1532A" w:rsidRDefault="00E1532A" w:rsidP="00E1532A">
      <w:pPr>
        <w:pStyle w:val="NormalWeb"/>
        <w:spacing w:before="0" w:beforeAutospacing="0" w:after="0" w:afterAutospacing="0"/>
        <w:ind w:firstLine="708"/>
        <w:jc w:val="both"/>
        <w:rPr>
          <w:color w:val="000000"/>
          <w:sz w:val="22"/>
          <w:szCs w:val="22"/>
          <w:lang w:val="es-ES"/>
        </w:rPr>
      </w:pPr>
      <w:r w:rsidRPr="00E1532A">
        <w:rPr>
          <w:color w:val="000000"/>
          <w:sz w:val="22"/>
          <w:szCs w:val="22"/>
          <w:lang w:val="es-ES"/>
        </w:rPr>
        <w:t>En el ámbito de derechos de la infancia, el Consejo de la Judicatura implementó en 2018 un Protocolo de Protección para las Víctimas Menores de Edad en el proceso judicial, actualizado en 2023 para asegurar que sus testimonios se recojan sin revictimización. Además, se han capacitado a 250 funcionarios en entrevistas forenses especializadas y a 278 en técnicas que evitan la revictimización. En coordinación con el Ministerio de Educación, se desarrolló un protocolo específico para casos de violencia sexual en entornos educativos, garantizando el derecho de los niños a ser escuchados y protegidos, conforme a estándares internacionales.</w:t>
      </w:r>
    </w:p>
    <w:p w14:paraId="3FFEE4EB" w14:textId="77777777" w:rsidR="0059740D" w:rsidRDefault="004801A1" w:rsidP="009E73AA">
      <w:pPr>
        <w:pStyle w:val="NormalWeb"/>
        <w:spacing w:before="0" w:beforeAutospacing="0" w:after="0" w:afterAutospacing="0"/>
        <w:ind w:firstLine="708"/>
        <w:jc w:val="both"/>
        <w:rPr>
          <w:color w:val="000000"/>
          <w:sz w:val="22"/>
          <w:szCs w:val="22"/>
          <w:lang w:val="es-ES"/>
        </w:rPr>
      </w:pPr>
      <w:r w:rsidRPr="004801A1">
        <w:rPr>
          <w:color w:val="000000"/>
          <w:sz w:val="22"/>
          <w:szCs w:val="22"/>
          <w:lang w:val="es-ES"/>
        </w:rPr>
        <w:lastRenderedPageBreak/>
        <w:t>El Consejo también ha aprobado protocolos para la atención de víctimas de violencia de género y delitos contra la integridad sexual, incluyendo femicidios, estableciendo lineamientos para una atención uniforme. La DPE considera evaluar la implementación de estos protocolos para asegurar que los procesos sean estandarizados y efectivos en todo el país, evitando que se vulnere o revictimice a las víctimas y respetando sus derechos humanos. La Función Judicial, a través de la Corte Nacional, cortes provinciales y tribunales, utiliza el Sistema Automático de Trámite Judicial Ecuatoriano (SATJE) para gestionar la información de las causas y garantizar la administración de justicia en Ecuador.</w:t>
      </w:r>
    </w:p>
    <w:p w14:paraId="69F620CD" w14:textId="77777777" w:rsidR="00273DCC" w:rsidRDefault="00273DCC" w:rsidP="009E73AA">
      <w:pPr>
        <w:pStyle w:val="NormalWeb"/>
        <w:spacing w:before="0" w:beforeAutospacing="0" w:after="0" w:afterAutospacing="0"/>
        <w:ind w:firstLine="708"/>
        <w:jc w:val="both"/>
        <w:rPr>
          <w:color w:val="000000"/>
          <w:sz w:val="22"/>
          <w:szCs w:val="22"/>
        </w:rPr>
      </w:pPr>
      <w:r w:rsidRPr="0029797A">
        <w:rPr>
          <w:color w:val="000000"/>
          <w:sz w:val="22"/>
          <w:szCs w:val="22"/>
        </w:rPr>
        <w:t>El Estado ecuatoriano, mediante la Función Judicial, establece el proceso judicial para aplicar justicia, con órganos como la Corte Nacional, Cortes Provinciales y tribunales. La información sobre causas se gestiona en el Sistema Automático de Trámite Judicial Ecuatoriano (SATJE).</w:t>
      </w:r>
    </w:p>
    <w:p w14:paraId="2796B551" w14:textId="77777777" w:rsidR="002257E0" w:rsidRPr="0029797A" w:rsidRDefault="002257E0" w:rsidP="009E73AA">
      <w:pPr>
        <w:pStyle w:val="NormalWeb"/>
        <w:spacing w:before="0" w:beforeAutospacing="0" w:after="0" w:afterAutospacing="0"/>
        <w:ind w:firstLine="708"/>
        <w:jc w:val="both"/>
        <w:rPr>
          <w:color w:val="000000"/>
          <w:sz w:val="22"/>
          <w:szCs w:val="22"/>
        </w:rPr>
      </w:pPr>
    </w:p>
    <w:p w14:paraId="22554C9D" w14:textId="77777777" w:rsidR="00616465" w:rsidRPr="00FE0EA5" w:rsidRDefault="00616465" w:rsidP="006871AB">
      <w:pPr>
        <w:autoSpaceDE w:val="0"/>
        <w:autoSpaceDN w:val="0"/>
        <w:adjustRightInd w:val="0"/>
        <w:spacing w:after="0"/>
        <w:jc w:val="center"/>
        <w:rPr>
          <w:rFonts w:ascii="Times New Roman" w:eastAsia="Times New Roman" w:hAnsi="Times New Roman"/>
          <w:color w:val="000000"/>
          <w:sz w:val="20"/>
          <w:szCs w:val="20"/>
          <w:lang w:val="es-CO" w:eastAsia="es-MX"/>
        </w:rPr>
      </w:pPr>
      <w:r w:rsidRPr="00FE0EA5">
        <w:rPr>
          <w:rFonts w:ascii="Times New Roman" w:eastAsia="Times New Roman" w:hAnsi="Times New Roman"/>
          <w:color w:val="000000"/>
          <w:sz w:val="20"/>
          <w:szCs w:val="20"/>
          <w:lang w:val="es-CO" w:eastAsia="es-MX"/>
        </w:rPr>
        <w:t>Tabla No.1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7"/>
        <w:gridCol w:w="831"/>
        <w:gridCol w:w="729"/>
        <w:gridCol w:w="708"/>
        <w:gridCol w:w="851"/>
        <w:gridCol w:w="1134"/>
      </w:tblGrid>
      <w:tr w:rsidR="00616465" w:rsidRPr="00616465" w14:paraId="5B4425FF" w14:textId="77777777" w:rsidTr="006871AB">
        <w:trPr>
          <w:trHeight w:val="91"/>
          <w:jc w:val="center"/>
        </w:trPr>
        <w:tc>
          <w:tcPr>
            <w:tcW w:w="1237" w:type="dxa"/>
            <w:vAlign w:val="center"/>
          </w:tcPr>
          <w:p w14:paraId="3D68EB57"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Año</w:t>
            </w:r>
          </w:p>
        </w:tc>
        <w:tc>
          <w:tcPr>
            <w:tcW w:w="831" w:type="dxa"/>
            <w:vAlign w:val="center"/>
          </w:tcPr>
          <w:p w14:paraId="7D194D4E"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2021</w:t>
            </w:r>
          </w:p>
        </w:tc>
        <w:tc>
          <w:tcPr>
            <w:tcW w:w="729" w:type="dxa"/>
            <w:vAlign w:val="center"/>
          </w:tcPr>
          <w:p w14:paraId="4EB7AE55"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2022</w:t>
            </w:r>
          </w:p>
        </w:tc>
        <w:tc>
          <w:tcPr>
            <w:tcW w:w="708" w:type="dxa"/>
            <w:vAlign w:val="center"/>
          </w:tcPr>
          <w:p w14:paraId="77A7DC9A"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2023</w:t>
            </w:r>
          </w:p>
        </w:tc>
        <w:tc>
          <w:tcPr>
            <w:tcW w:w="851" w:type="dxa"/>
            <w:vAlign w:val="center"/>
          </w:tcPr>
          <w:p w14:paraId="7DC6E518"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2024</w:t>
            </w:r>
          </w:p>
        </w:tc>
        <w:tc>
          <w:tcPr>
            <w:tcW w:w="1134" w:type="dxa"/>
            <w:vAlign w:val="center"/>
          </w:tcPr>
          <w:p w14:paraId="524FD250"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Total</w:t>
            </w:r>
          </w:p>
        </w:tc>
      </w:tr>
      <w:tr w:rsidR="00616465" w:rsidRPr="00616465" w14:paraId="3F581820" w14:textId="77777777" w:rsidTr="006871AB">
        <w:trPr>
          <w:trHeight w:val="91"/>
          <w:jc w:val="center"/>
        </w:trPr>
        <w:tc>
          <w:tcPr>
            <w:tcW w:w="1237" w:type="dxa"/>
            <w:vAlign w:val="center"/>
          </w:tcPr>
          <w:p w14:paraId="607286CB"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No. de causas</w:t>
            </w:r>
          </w:p>
        </w:tc>
        <w:tc>
          <w:tcPr>
            <w:tcW w:w="831" w:type="dxa"/>
            <w:vAlign w:val="center"/>
          </w:tcPr>
          <w:p w14:paraId="24AA0DD0"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13</w:t>
            </w:r>
          </w:p>
        </w:tc>
        <w:tc>
          <w:tcPr>
            <w:tcW w:w="729" w:type="dxa"/>
            <w:vAlign w:val="center"/>
          </w:tcPr>
          <w:p w14:paraId="2AE0A5E7"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20</w:t>
            </w:r>
          </w:p>
        </w:tc>
        <w:tc>
          <w:tcPr>
            <w:tcW w:w="708" w:type="dxa"/>
            <w:vAlign w:val="center"/>
          </w:tcPr>
          <w:p w14:paraId="07495162"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9</w:t>
            </w:r>
          </w:p>
        </w:tc>
        <w:tc>
          <w:tcPr>
            <w:tcW w:w="851" w:type="dxa"/>
            <w:vAlign w:val="center"/>
          </w:tcPr>
          <w:p w14:paraId="22C3D480"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4</w:t>
            </w:r>
          </w:p>
        </w:tc>
        <w:tc>
          <w:tcPr>
            <w:tcW w:w="1134" w:type="dxa"/>
            <w:vAlign w:val="center"/>
          </w:tcPr>
          <w:p w14:paraId="4DBBF94F" w14:textId="77777777" w:rsidR="00616465" w:rsidRPr="00616465" w:rsidRDefault="00616465" w:rsidP="006871AB">
            <w:pPr>
              <w:autoSpaceDE w:val="0"/>
              <w:autoSpaceDN w:val="0"/>
              <w:adjustRightInd w:val="0"/>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46</w:t>
            </w:r>
          </w:p>
        </w:tc>
      </w:tr>
    </w:tbl>
    <w:p w14:paraId="31A267F5" w14:textId="0CEF2384" w:rsidR="00616465" w:rsidRPr="00FE0EA5" w:rsidRDefault="003C7C2F" w:rsidP="00616465">
      <w:pPr>
        <w:autoSpaceDE w:val="0"/>
        <w:autoSpaceDN w:val="0"/>
        <w:adjustRightInd w:val="0"/>
        <w:jc w:val="both"/>
        <w:rPr>
          <w:rFonts w:ascii="Times New Roman" w:eastAsia="Times New Roman" w:hAnsi="Times New Roman"/>
          <w:color w:val="000000"/>
          <w:sz w:val="20"/>
          <w:szCs w:val="20"/>
          <w:lang w:val="es-CO" w:eastAsia="es-MX"/>
        </w:rPr>
      </w:pPr>
      <w:r>
        <w:rPr>
          <w:rFonts w:ascii="Times New Roman" w:eastAsia="Times New Roman" w:hAnsi="Times New Roman"/>
          <w:color w:val="000000"/>
          <w:lang w:val="es-CO" w:eastAsia="es-MX"/>
        </w:rPr>
        <w:t xml:space="preserve">      </w:t>
      </w:r>
      <w:r w:rsidR="009E73AA">
        <w:rPr>
          <w:rFonts w:ascii="Times New Roman" w:eastAsia="Times New Roman" w:hAnsi="Times New Roman"/>
          <w:color w:val="000000"/>
          <w:lang w:val="es-CO" w:eastAsia="es-MX"/>
        </w:rPr>
        <w:tab/>
      </w:r>
      <w:r w:rsidR="009E73AA">
        <w:rPr>
          <w:rFonts w:ascii="Times New Roman" w:eastAsia="Times New Roman" w:hAnsi="Times New Roman"/>
          <w:color w:val="000000"/>
          <w:lang w:val="es-CO" w:eastAsia="es-MX"/>
        </w:rPr>
        <w:tab/>
      </w:r>
      <w:r w:rsidR="00616465" w:rsidRPr="00FE0EA5">
        <w:rPr>
          <w:rFonts w:ascii="Times New Roman" w:eastAsia="Times New Roman" w:hAnsi="Times New Roman"/>
          <w:color w:val="000000"/>
          <w:sz w:val="20"/>
          <w:szCs w:val="20"/>
          <w:lang w:val="es-CO" w:eastAsia="es-MX"/>
        </w:rPr>
        <w:t>Fuente: Sistema Automático de Trámite Judicial Ecuatoriano, SATJE.</w:t>
      </w:r>
    </w:p>
    <w:p w14:paraId="3E7ADDCC" w14:textId="77777777" w:rsidR="00616465" w:rsidRPr="00616465" w:rsidRDefault="00616465" w:rsidP="004425F9">
      <w:pPr>
        <w:autoSpaceDE w:val="0"/>
        <w:autoSpaceDN w:val="0"/>
        <w:adjustRightInd w:val="0"/>
        <w:spacing w:after="0" w:line="240" w:lineRule="auto"/>
        <w:ind w:firstLine="709"/>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El Sistema Automático de Trámite Judicial Ecuatoriano, SATJE, indica que, desde enero del 2021, hasta la presente fecha se judicializaron 46 procesos por delitos tipificados en el Código Integral Penal (COIP) por trata de personas (art.91).</w:t>
      </w:r>
    </w:p>
    <w:p w14:paraId="0A9BB301" w14:textId="77777777" w:rsidR="00616465" w:rsidRDefault="00616465" w:rsidP="004425F9">
      <w:pPr>
        <w:autoSpaceDE w:val="0"/>
        <w:autoSpaceDN w:val="0"/>
        <w:adjustRightInd w:val="0"/>
        <w:spacing w:after="0" w:line="240" w:lineRule="auto"/>
        <w:ind w:firstLine="709"/>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Estos son los estados procesales de las causas resueltas y en trámite, clasificadas por el titular del ejercicio de la acción pública como trata de personas:</w:t>
      </w:r>
    </w:p>
    <w:p w14:paraId="6C4E336A" w14:textId="77777777" w:rsidR="002257E0" w:rsidRPr="00616465" w:rsidRDefault="002257E0" w:rsidP="004425F9">
      <w:pPr>
        <w:autoSpaceDE w:val="0"/>
        <w:autoSpaceDN w:val="0"/>
        <w:adjustRightInd w:val="0"/>
        <w:spacing w:after="0" w:line="240" w:lineRule="auto"/>
        <w:ind w:firstLine="709"/>
        <w:jc w:val="both"/>
        <w:rPr>
          <w:rFonts w:ascii="Times New Roman" w:eastAsia="Times New Roman" w:hAnsi="Times New Roman"/>
          <w:color w:val="000000"/>
          <w:lang w:val="es-CO" w:eastAsia="es-MX"/>
        </w:rPr>
      </w:pPr>
    </w:p>
    <w:p w14:paraId="122EE351" w14:textId="77777777" w:rsidR="00616465" w:rsidRPr="00FE0EA5" w:rsidRDefault="00616465" w:rsidP="006871AB">
      <w:pPr>
        <w:autoSpaceDE w:val="0"/>
        <w:autoSpaceDN w:val="0"/>
        <w:adjustRightInd w:val="0"/>
        <w:jc w:val="center"/>
        <w:rPr>
          <w:rFonts w:ascii="Times New Roman" w:eastAsia="Times New Roman" w:hAnsi="Times New Roman"/>
          <w:color w:val="000000"/>
          <w:sz w:val="20"/>
          <w:szCs w:val="20"/>
          <w:lang w:val="es-CO" w:eastAsia="es-MX"/>
        </w:rPr>
      </w:pPr>
      <w:r w:rsidRPr="00FE0EA5">
        <w:rPr>
          <w:rFonts w:ascii="Times New Roman" w:eastAsia="Times New Roman" w:hAnsi="Times New Roman"/>
          <w:color w:val="000000"/>
          <w:sz w:val="20"/>
          <w:szCs w:val="20"/>
          <w:lang w:val="es-CO" w:eastAsia="es-MX"/>
        </w:rPr>
        <w:t>Tabla No.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1"/>
        <w:gridCol w:w="850"/>
        <w:gridCol w:w="709"/>
        <w:gridCol w:w="740"/>
        <w:gridCol w:w="955"/>
        <w:gridCol w:w="955"/>
      </w:tblGrid>
      <w:tr w:rsidR="00616465" w:rsidRPr="00616465" w14:paraId="56B04281" w14:textId="77777777" w:rsidTr="006871AB">
        <w:trPr>
          <w:trHeight w:val="91"/>
          <w:jc w:val="center"/>
        </w:trPr>
        <w:tc>
          <w:tcPr>
            <w:tcW w:w="1521" w:type="dxa"/>
            <w:vAlign w:val="center"/>
          </w:tcPr>
          <w:p w14:paraId="2BD34583" w14:textId="0F1754BC"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Estado de las causas</w:t>
            </w:r>
          </w:p>
        </w:tc>
        <w:tc>
          <w:tcPr>
            <w:tcW w:w="850" w:type="dxa"/>
            <w:vAlign w:val="center"/>
          </w:tcPr>
          <w:p w14:paraId="631E7713" w14:textId="0D1A6114"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2021</w:t>
            </w:r>
          </w:p>
        </w:tc>
        <w:tc>
          <w:tcPr>
            <w:tcW w:w="709" w:type="dxa"/>
            <w:vAlign w:val="center"/>
          </w:tcPr>
          <w:p w14:paraId="22CAEE7E" w14:textId="480AF942"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2022</w:t>
            </w:r>
          </w:p>
        </w:tc>
        <w:tc>
          <w:tcPr>
            <w:tcW w:w="740" w:type="dxa"/>
            <w:vAlign w:val="center"/>
          </w:tcPr>
          <w:p w14:paraId="5E2C2267" w14:textId="68092D45"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2023</w:t>
            </w:r>
          </w:p>
        </w:tc>
        <w:tc>
          <w:tcPr>
            <w:tcW w:w="955" w:type="dxa"/>
            <w:vAlign w:val="center"/>
          </w:tcPr>
          <w:p w14:paraId="5E309FF5" w14:textId="431A972B"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2024</w:t>
            </w:r>
          </w:p>
        </w:tc>
        <w:tc>
          <w:tcPr>
            <w:tcW w:w="955" w:type="dxa"/>
            <w:vAlign w:val="center"/>
          </w:tcPr>
          <w:p w14:paraId="0A757258" w14:textId="6E26240F"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Total</w:t>
            </w:r>
          </w:p>
        </w:tc>
      </w:tr>
      <w:tr w:rsidR="00616465" w:rsidRPr="00616465" w14:paraId="0A5C16FD" w14:textId="77777777" w:rsidTr="006871AB">
        <w:trPr>
          <w:trHeight w:val="91"/>
          <w:jc w:val="center"/>
        </w:trPr>
        <w:tc>
          <w:tcPr>
            <w:tcW w:w="1521" w:type="dxa"/>
            <w:vAlign w:val="center"/>
          </w:tcPr>
          <w:p w14:paraId="42F432F8" w14:textId="77777777" w:rsidR="00616465" w:rsidRPr="00616465" w:rsidRDefault="00616465" w:rsidP="002257E0">
            <w:pPr>
              <w:autoSpaceDE w:val="0"/>
              <w:autoSpaceDN w:val="0"/>
              <w:adjustRightInd w:val="0"/>
              <w:spacing w:after="0" w:line="240" w:lineRule="auto"/>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TRÁMITE </w:t>
            </w:r>
          </w:p>
        </w:tc>
        <w:tc>
          <w:tcPr>
            <w:tcW w:w="850" w:type="dxa"/>
            <w:vAlign w:val="center"/>
          </w:tcPr>
          <w:p w14:paraId="2D542159" w14:textId="484252AD"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1</w:t>
            </w:r>
          </w:p>
        </w:tc>
        <w:tc>
          <w:tcPr>
            <w:tcW w:w="709" w:type="dxa"/>
            <w:vAlign w:val="center"/>
          </w:tcPr>
          <w:p w14:paraId="0F90113A" w14:textId="336AA12C"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7</w:t>
            </w:r>
          </w:p>
        </w:tc>
        <w:tc>
          <w:tcPr>
            <w:tcW w:w="740" w:type="dxa"/>
            <w:vAlign w:val="center"/>
          </w:tcPr>
          <w:p w14:paraId="24F192E6" w14:textId="1CB5E529"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4</w:t>
            </w:r>
          </w:p>
        </w:tc>
        <w:tc>
          <w:tcPr>
            <w:tcW w:w="955" w:type="dxa"/>
            <w:vAlign w:val="center"/>
          </w:tcPr>
          <w:p w14:paraId="629D3734" w14:textId="09251703"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w:t>
            </w:r>
          </w:p>
        </w:tc>
        <w:tc>
          <w:tcPr>
            <w:tcW w:w="955" w:type="dxa"/>
            <w:vAlign w:val="center"/>
          </w:tcPr>
          <w:p w14:paraId="445BA1D4" w14:textId="6EF07BA5"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14</w:t>
            </w:r>
          </w:p>
        </w:tc>
      </w:tr>
      <w:tr w:rsidR="00616465" w:rsidRPr="00616465" w14:paraId="119C235F" w14:textId="77777777" w:rsidTr="006871AB">
        <w:trPr>
          <w:trHeight w:val="91"/>
          <w:jc w:val="center"/>
        </w:trPr>
        <w:tc>
          <w:tcPr>
            <w:tcW w:w="1521" w:type="dxa"/>
            <w:vAlign w:val="center"/>
          </w:tcPr>
          <w:p w14:paraId="09EA9AA4" w14:textId="77777777" w:rsidR="00616465" w:rsidRPr="00616465" w:rsidRDefault="00616465" w:rsidP="002257E0">
            <w:pPr>
              <w:autoSpaceDE w:val="0"/>
              <w:autoSpaceDN w:val="0"/>
              <w:adjustRightInd w:val="0"/>
              <w:spacing w:after="0" w:line="240" w:lineRule="auto"/>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RESUELTA </w:t>
            </w:r>
          </w:p>
        </w:tc>
        <w:tc>
          <w:tcPr>
            <w:tcW w:w="850" w:type="dxa"/>
            <w:vAlign w:val="center"/>
          </w:tcPr>
          <w:p w14:paraId="083B37EF" w14:textId="1AC45391"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12</w:t>
            </w:r>
          </w:p>
        </w:tc>
        <w:tc>
          <w:tcPr>
            <w:tcW w:w="709" w:type="dxa"/>
            <w:vAlign w:val="center"/>
          </w:tcPr>
          <w:p w14:paraId="62DD81B2" w14:textId="78C6A76E"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13</w:t>
            </w:r>
          </w:p>
        </w:tc>
        <w:tc>
          <w:tcPr>
            <w:tcW w:w="740" w:type="dxa"/>
            <w:vAlign w:val="center"/>
          </w:tcPr>
          <w:p w14:paraId="66C57A81" w14:textId="78122B48"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5</w:t>
            </w:r>
          </w:p>
        </w:tc>
        <w:tc>
          <w:tcPr>
            <w:tcW w:w="955" w:type="dxa"/>
            <w:vAlign w:val="center"/>
          </w:tcPr>
          <w:p w14:paraId="40F995D5" w14:textId="6C1360F7"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w:t>
            </w:r>
          </w:p>
        </w:tc>
        <w:tc>
          <w:tcPr>
            <w:tcW w:w="955" w:type="dxa"/>
            <w:vAlign w:val="center"/>
          </w:tcPr>
          <w:p w14:paraId="41F5E698" w14:textId="3E7BCEA7"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32</w:t>
            </w:r>
          </w:p>
        </w:tc>
      </w:tr>
      <w:tr w:rsidR="00616465" w:rsidRPr="00616465" w14:paraId="2F384AA2" w14:textId="77777777" w:rsidTr="006871AB">
        <w:trPr>
          <w:trHeight w:val="91"/>
          <w:jc w:val="center"/>
        </w:trPr>
        <w:tc>
          <w:tcPr>
            <w:tcW w:w="1521" w:type="dxa"/>
            <w:vAlign w:val="center"/>
          </w:tcPr>
          <w:p w14:paraId="2E05B84C" w14:textId="77777777" w:rsidR="00616465" w:rsidRPr="00616465" w:rsidRDefault="00616465" w:rsidP="002257E0">
            <w:pPr>
              <w:autoSpaceDE w:val="0"/>
              <w:autoSpaceDN w:val="0"/>
              <w:adjustRightInd w:val="0"/>
              <w:spacing w:after="0" w:line="240" w:lineRule="auto"/>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Total </w:t>
            </w:r>
          </w:p>
        </w:tc>
        <w:tc>
          <w:tcPr>
            <w:tcW w:w="850" w:type="dxa"/>
            <w:vAlign w:val="center"/>
          </w:tcPr>
          <w:p w14:paraId="2C7C0BB6" w14:textId="2EB3BE4D"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13</w:t>
            </w:r>
          </w:p>
        </w:tc>
        <w:tc>
          <w:tcPr>
            <w:tcW w:w="709" w:type="dxa"/>
            <w:vAlign w:val="center"/>
          </w:tcPr>
          <w:p w14:paraId="2DD9FF43" w14:textId="40985D73"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20</w:t>
            </w:r>
          </w:p>
        </w:tc>
        <w:tc>
          <w:tcPr>
            <w:tcW w:w="740" w:type="dxa"/>
            <w:vAlign w:val="center"/>
          </w:tcPr>
          <w:p w14:paraId="1F228562" w14:textId="3045D793"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9</w:t>
            </w:r>
          </w:p>
        </w:tc>
        <w:tc>
          <w:tcPr>
            <w:tcW w:w="955" w:type="dxa"/>
            <w:vAlign w:val="center"/>
          </w:tcPr>
          <w:p w14:paraId="0A63C47D" w14:textId="026BF13B"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4</w:t>
            </w:r>
          </w:p>
        </w:tc>
        <w:tc>
          <w:tcPr>
            <w:tcW w:w="955" w:type="dxa"/>
            <w:vAlign w:val="center"/>
          </w:tcPr>
          <w:p w14:paraId="3075B89E" w14:textId="02121B36" w:rsidR="00616465" w:rsidRPr="00616465"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46</w:t>
            </w:r>
          </w:p>
        </w:tc>
      </w:tr>
    </w:tbl>
    <w:p w14:paraId="1D93FC66" w14:textId="77777777" w:rsid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p>
    <w:p w14:paraId="51469CD6" w14:textId="77777777" w:rsidR="00616465" w:rsidRPr="00616465" w:rsidRDefault="00616465" w:rsidP="00FC10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El Sistema Automático de Trámite Judicial Ecuatoriano, SATJE, indica que, desde enero del 2021, hasta la presente fecha, sobre los estados procesales de casos tipificados como trata de personas artículo 91, del total de 46 causas; 14 se encuentran en trámite, mientras que 32 se encuentran resueltas.</w:t>
      </w:r>
    </w:p>
    <w:p w14:paraId="1CFB9809" w14:textId="77777777" w:rsidR="00616465" w:rsidRPr="00616465" w:rsidRDefault="00616465" w:rsidP="0029797A">
      <w:pPr>
        <w:autoSpaceDE w:val="0"/>
        <w:autoSpaceDN w:val="0"/>
        <w:adjustRightInd w:val="0"/>
        <w:spacing w:line="240" w:lineRule="auto"/>
        <w:ind w:firstLine="708"/>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Entre las formas de terminación de las causas resueltas, en términos procesales, se identifican las siguientes: </w:t>
      </w:r>
    </w:p>
    <w:p w14:paraId="7B044006" w14:textId="77777777" w:rsidR="00616465" w:rsidRPr="00616465" w:rsidRDefault="00616465" w:rsidP="0029797A">
      <w:pPr>
        <w:pStyle w:val="ListParagraph"/>
        <w:numPr>
          <w:ilvl w:val="0"/>
          <w:numId w:val="39"/>
        </w:numPr>
        <w:autoSpaceDE w:val="0"/>
        <w:autoSpaceDN w:val="0"/>
        <w:adjustRightInd w:val="0"/>
        <w:spacing w:after="2" w:line="240" w:lineRule="auto"/>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Por sentencia, cuando los casos han llegado al fin de proceso de judicialización.</w:t>
      </w:r>
    </w:p>
    <w:p w14:paraId="6D190D34" w14:textId="77777777" w:rsidR="00616465" w:rsidRPr="00616465" w:rsidRDefault="00616465" w:rsidP="0029797A">
      <w:pPr>
        <w:pStyle w:val="ListParagraph"/>
        <w:numPr>
          <w:ilvl w:val="0"/>
          <w:numId w:val="39"/>
        </w:numPr>
        <w:autoSpaceDE w:val="0"/>
        <w:autoSpaceDN w:val="0"/>
        <w:adjustRightInd w:val="0"/>
        <w:spacing w:after="2" w:line="240" w:lineRule="auto"/>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Por archivo de la investigación previa cuando los casos no superaron esta fase y por ello no se judicializaron, manteniéndose en investigación a cargo de las fiscalías respectivas.</w:t>
      </w:r>
    </w:p>
    <w:p w14:paraId="751C7ACD" w14:textId="77777777" w:rsidR="00616465" w:rsidRPr="00616465" w:rsidRDefault="00616465" w:rsidP="0029797A">
      <w:pPr>
        <w:pStyle w:val="ListParagraph"/>
        <w:numPr>
          <w:ilvl w:val="0"/>
          <w:numId w:val="39"/>
        </w:numPr>
        <w:autoSpaceDE w:val="0"/>
        <w:autoSpaceDN w:val="0"/>
        <w:adjustRightInd w:val="0"/>
        <w:spacing w:after="2" w:line="240" w:lineRule="auto"/>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Por extinción del ejercicio de la acción penal cuando por el tiempo transcurrido la acción ha prescrito o por muerte del victimario. </w:t>
      </w:r>
    </w:p>
    <w:p w14:paraId="609FEE80" w14:textId="77777777" w:rsidR="00616465" w:rsidRPr="00616465" w:rsidRDefault="00616465" w:rsidP="004425F9">
      <w:pPr>
        <w:pStyle w:val="ListParagraph"/>
        <w:numPr>
          <w:ilvl w:val="0"/>
          <w:numId w:val="39"/>
        </w:numPr>
        <w:autoSpaceDE w:val="0"/>
        <w:autoSpaceDN w:val="0"/>
        <w:adjustRightInd w:val="0"/>
        <w:spacing w:after="0" w:line="240" w:lineRule="auto"/>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Por sobreseimiento, cuando habiéndose formulado cargos en la etapa preparatoria de juicio se resuelve por autoridad judicial desestimar por falta de elementos para continuar el proceso penal. </w:t>
      </w:r>
    </w:p>
    <w:p w14:paraId="38EFC4DF" w14:textId="77777777" w:rsidR="004425F9" w:rsidRDefault="004425F9"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p>
    <w:p w14:paraId="3C0900B0" w14:textId="0FF8054B" w:rsidR="00616465" w:rsidRDefault="00616465"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lastRenderedPageBreak/>
        <w:t>Las causas resueltas ya sean por: archivo de la causa, sentencia condenatoria, sentencia ratificatoria de inocencia o sobreseimiento, comprendidas en el periodo del año 2021 hasta la actualidad son:</w:t>
      </w:r>
    </w:p>
    <w:p w14:paraId="077B7259" w14:textId="77777777" w:rsidR="004425F9" w:rsidRPr="00616465" w:rsidRDefault="004425F9"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5"/>
        <w:gridCol w:w="810"/>
        <w:gridCol w:w="810"/>
        <w:gridCol w:w="810"/>
        <w:gridCol w:w="810"/>
        <w:gridCol w:w="1220"/>
      </w:tblGrid>
      <w:tr w:rsidR="003C7C2F" w:rsidRPr="00A71598" w14:paraId="427B56A7" w14:textId="77777777" w:rsidTr="00A7678E">
        <w:trPr>
          <w:trHeight w:val="219"/>
          <w:jc w:val="center"/>
        </w:trPr>
        <w:tc>
          <w:tcPr>
            <w:tcW w:w="4045" w:type="dxa"/>
            <w:shd w:val="clear" w:color="auto" w:fill="auto"/>
            <w:vAlign w:val="center"/>
          </w:tcPr>
          <w:p w14:paraId="406C36C8" w14:textId="77777777" w:rsidR="00616465" w:rsidRPr="00A71598" w:rsidRDefault="00616465" w:rsidP="002257E0">
            <w:pPr>
              <w:autoSpaceDE w:val="0"/>
              <w:autoSpaceDN w:val="0"/>
              <w:adjustRightInd w:val="0"/>
              <w:spacing w:after="0" w:line="240" w:lineRule="auto"/>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Estado de las causas</w:t>
            </w:r>
          </w:p>
        </w:tc>
        <w:tc>
          <w:tcPr>
            <w:tcW w:w="810" w:type="dxa"/>
            <w:shd w:val="clear" w:color="auto" w:fill="auto"/>
            <w:vAlign w:val="center"/>
          </w:tcPr>
          <w:p w14:paraId="127E5E24"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2021</w:t>
            </w:r>
          </w:p>
        </w:tc>
        <w:tc>
          <w:tcPr>
            <w:tcW w:w="810" w:type="dxa"/>
            <w:shd w:val="clear" w:color="auto" w:fill="auto"/>
            <w:vAlign w:val="center"/>
          </w:tcPr>
          <w:p w14:paraId="14EE497F"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2022</w:t>
            </w:r>
          </w:p>
        </w:tc>
        <w:tc>
          <w:tcPr>
            <w:tcW w:w="810" w:type="dxa"/>
            <w:shd w:val="clear" w:color="auto" w:fill="auto"/>
            <w:vAlign w:val="center"/>
          </w:tcPr>
          <w:p w14:paraId="14864C61"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2023</w:t>
            </w:r>
          </w:p>
        </w:tc>
        <w:tc>
          <w:tcPr>
            <w:tcW w:w="810" w:type="dxa"/>
            <w:shd w:val="clear" w:color="auto" w:fill="auto"/>
            <w:vAlign w:val="center"/>
          </w:tcPr>
          <w:p w14:paraId="7F2CE466"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2024</w:t>
            </w:r>
          </w:p>
        </w:tc>
        <w:tc>
          <w:tcPr>
            <w:tcW w:w="1220" w:type="dxa"/>
            <w:shd w:val="clear" w:color="auto" w:fill="auto"/>
            <w:vAlign w:val="center"/>
          </w:tcPr>
          <w:p w14:paraId="784321F9"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Total</w:t>
            </w:r>
          </w:p>
        </w:tc>
      </w:tr>
      <w:tr w:rsidR="003C7C2F" w:rsidRPr="00A71598" w14:paraId="5101CA4C" w14:textId="77777777" w:rsidTr="00A7678E">
        <w:trPr>
          <w:trHeight w:val="228"/>
          <w:jc w:val="center"/>
        </w:trPr>
        <w:tc>
          <w:tcPr>
            <w:tcW w:w="4045" w:type="dxa"/>
            <w:shd w:val="clear" w:color="auto" w:fill="auto"/>
            <w:vAlign w:val="center"/>
          </w:tcPr>
          <w:p w14:paraId="10B80EA0" w14:textId="77777777" w:rsidR="00616465" w:rsidRPr="00A71598" w:rsidRDefault="00616465" w:rsidP="002257E0">
            <w:pPr>
              <w:autoSpaceDE w:val="0"/>
              <w:autoSpaceDN w:val="0"/>
              <w:adjustRightInd w:val="0"/>
              <w:spacing w:after="0" w:line="240" w:lineRule="auto"/>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Investigación previa</w:t>
            </w:r>
          </w:p>
        </w:tc>
        <w:tc>
          <w:tcPr>
            <w:tcW w:w="810" w:type="dxa"/>
            <w:shd w:val="clear" w:color="auto" w:fill="auto"/>
            <w:vAlign w:val="center"/>
          </w:tcPr>
          <w:p w14:paraId="0015CE52"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1</w:t>
            </w:r>
          </w:p>
        </w:tc>
        <w:tc>
          <w:tcPr>
            <w:tcW w:w="810" w:type="dxa"/>
            <w:shd w:val="clear" w:color="auto" w:fill="auto"/>
            <w:vAlign w:val="center"/>
          </w:tcPr>
          <w:p w14:paraId="5F98CA1F"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810" w:type="dxa"/>
            <w:shd w:val="clear" w:color="auto" w:fill="auto"/>
            <w:vAlign w:val="center"/>
          </w:tcPr>
          <w:p w14:paraId="038EF928"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810" w:type="dxa"/>
            <w:shd w:val="clear" w:color="auto" w:fill="auto"/>
            <w:vAlign w:val="center"/>
          </w:tcPr>
          <w:p w14:paraId="1EF9383E"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1</w:t>
            </w:r>
          </w:p>
        </w:tc>
        <w:tc>
          <w:tcPr>
            <w:tcW w:w="1220" w:type="dxa"/>
            <w:shd w:val="clear" w:color="auto" w:fill="auto"/>
            <w:vAlign w:val="center"/>
          </w:tcPr>
          <w:p w14:paraId="59EF6BA7"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2</w:t>
            </w:r>
          </w:p>
        </w:tc>
      </w:tr>
      <w:tr w:rsidR="003C7C2F" w:rsidRPr="00A71598" w14:paraId="54FF45FF" w14:textId="77777777" w:rsidTr="00A7678E">
        <w:trPr>
          <w:trHeight w:val="219"/>
          <w:jc w:val="center"/>
        </w:trPr>
        <w:tc>
          <w:tcPr>
            <w:tcW w:w="4045" w:type="dxa"/>
            <w:shd w:val="clear" w:color="auto" w:fill="auto"/>
            <w:vAlign w:val="center"/>
          </w:tcPr>
          <w:p w14:paraId="4CBA9D46" w14:textId="77777777" w:rsidR="00616465" w:rsidRPr="00A71598" w:rsidRDefault="00616465" w:rsidP="002257E0">
            <w:pPr>
              <w:autoSpaceDE w:val="0"/>
              <w:autoSpaceDN w:val="0"/>
              <w:adjustRightInd w:val="0"/>
              <w:spacing w:after="0" w:line="240" w:lineRule="auto"/>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Instrucción fiscal</w:t>
            </w:r>
          </w:p>
        </w:tc>
        <w:tc>
          <w:tcPr>
            <w:tcW w:w="810" w:type="dxa"/>
            <w:shd w:val="clear" w:color="auto" w:fill="auto"/>
            <w:vAlign w:val="center"/>
          </w:tcPr>
          <w:p w14:paraId="2E307433"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810" w:type="dxa"/>
            <w:shd w:val="clear" w:color="auto" w:fill="auto"/>
            <w:vAlign w:val="center"/>
          </w:tcPr>
          <w:p w14:paraId="13E6A657"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6</w:t>
            </w:r>
          </w:p>
        </w:tc>
        <w:tc>
          <w:tcPr>
            <w:tcW w:w="810" w:type="dxa"/>
            <w:shd w:val="clear" w:color="auto" w:fill="auto"/>
            <w:vAlign w:val="center"/>
          </w:tcPr>
          <w:p w14:paraId="12881AF8"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1</w:t>
            </w:r>
          </w:p>
        </w:tc>
        <w:tc>
          <w:tcPr>
            <w:tcW w:w="810" w:type="dxa"/>
            <w:shd w:val="clear" w:color="auto" w:fill="auto"/>
            <w:vAlign w:val="center"/>
          </w:tcPr>
          <w:p w14:paraId="0A7F5AE3"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1220" w:type="dxa"/>
            <w:shd w:val="clear" w:color="auto" w:fill="auto"/>
            <w:vAlign w:val="center"/>
          </w:tcPr>
          <w:p w14:paraId="52CE722F"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7</w:t>
            </w:r>
          </w:p>
        </w:tc>
      </w:tr>
      <w:tr w:rsidR="003C7C2F" w:rsidRPr="00A71598" w14:paraId="26F55AB3" w14:textId="77777777" w:rsidTr="00A7678E">
        <w:trPr>
          <w:trHeight w:val="369"/>
          <w:jc w:val="center"/>
        </w:trPr>
        <w:tc>
          <w:tcPr>
            <w:tcW w:w="4045" w:type="dxa"/>
            <w:shd w:val="clear" w:color="auto" w:fill="auto"/>
            <w:vAlign w:val="center"/>
          </w:tcPr>
          <w:p w14:paraId="602D2811" w14:textId="77777777" w:rsidR="00616465" w:rsidRPr="00A71598" w:rsidRDefault="00616465" w:rsidP="002257E0">
            <w:pPr>
              <w:autoSpaceDE w:val="0"/>
              <w:autoSpaceDN w:val="0"/>
              <w:adjustRightInd w:val="0"/>
              <w:spacing w:after="0" w:line="240" w:lineRule="auto"/>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Evaluación y preparatoria de juicio</w:t>
            </w:r>
          </w:p>
        </w:tc>
        <w:tc>
          <w:tcPr>
            <w:tcW w:w="810" w:type="dxa"/>
            <w:shd w:val="clear" w:color="auto" w:fill="auto"/>
            <w:vAlign w:val="center"/>
          </w:tcPr>
          <w:p w14:paraId="3F670B9D"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810" w:type="dxa"/>
            <w:shd w:val="clear" w:color="auto" w:fill="auto"/>
            <w:vAlign w:val="center"/>
          </w:tcPr>
          <w:p w14:paraId="6F354E0A"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810" w:type="dxa"/>
            <w:shd w:val="clear" w:color="auto" w:fill="auto"/>
            <w:vAlign w:val="center"/>
          </w:tcPr>
          <w:p w14:paraId="6AFFC4D3"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2</w:t>
            </w:r>
          </w:p>
        </w:tc>
        <w:tc>
          <w:tcPr>
            <w:tcW w:w="810" w:type="dxa"/>
            <w:shd w:val="clear" w:color="auto" w:fill="auto"/>
            <w:vAlign w:val="center"/>
          </w:tcPr>
          <w:p w14:paraId="712EC1C5"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1</w:t>
            </w:r>
          </w:p>
        </w:tc>
        <w:tc>
          <w:tcPr>
            <w:tcW w:w="1220" w:type="dxa"/>
            <w:shd w:val="clear" w:color="auto" w:fill="auto"/>
            <w:vAlign w:val="center"/>
          </w:tcPr>
          <w:p w14:paraId="29CC8ACB"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3</w:t>
            </w:r>
          </w:p>
        </w:tc>
      </w:tr>
      <w:tr w:rsidR="003C7C2F" w:rsidRPr="00A71598" w14:paraId="2CF2E460" w14:textId="77777777" w:rsidTr="00A7678E">
        <w:trPr>
          <w:trHeight w:val="228"/>
          <w:jc w:val="center"/>
        </w:trPr>
        <w:tc>
          <w:tcPr>
            <w:tcW w:w="4045" w:type="dxa"/>
            <w:shd w:val="clear" w:color="auto" w:fill="auto"/>
            <w:vAlign w:val="center"/>
          </w:tcPr>
          <w:p w14:paraId="2DA54D69" w14:textId="77777777" w:rsidR="00616465" w:rsidRPr="00A71598" w:rsidRDefault="00616465" w:rsidP="002257E0">
            <w:pPr>
              <w:autoSpaceDE w:val="0"/>
              <w:autoSpaceDN w:val="0"/>
              <w:adjustRightInd w:val="0"/>
              <w:spacing w:after="0" w:line="240" w:lineRule="auto"/>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Juicio</w:t>
            </w:r>
          </w:p>
        </w:tc>
        <w:tc>
          <w:tcPr>
            <w:tcW w:w="810" w:type="dxa"/>
            <w:shd w:val="clear" w:color="auto" w:fill="auto"/>
            <w:vAlign w:val="center"/>
          </w:tcPr>
          <w:p w14:paraId="39977A74"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810" w:type="dxa"/>
            <w:shd w:val="clear" w:color="auto" w:fill="auto"/>
            <w:vAlign w:val="center"/>
          </w:tcPr>
          <w:p w14:paraId="03418EA8"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1</w:t>
            </w:r>
          </w:p>
        </w:tc>
        <w:tc>
          <w:tcPr>
            <w:tcW w:w="810" w:type="dxa"/>
            <w:shd w:val="clear" w:color="auto" w:fill="auto"/>
            <w:vAlign w:val="center"/>
          </w:tcPr>
          <w:p w14:paraId="050A86B2"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1</w:t>
            </w:r>
          </w:p>
        </w:tc>
        <w:tc>
          <w:tcPr>
            <w:tcW w:w="810" w:type="dxa"/>
            <w:shd w:val="clear" w:color="auto" w:fill="auto"/>
            <w:vAlign w:val="center"/>
          </w:tcPr>
          <w:p w14:paraId="7FDE0EF6"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1220" w:type="dxa"/>
            <w:shd w:val="clear" w:color="auto" w:fill="auto"/>
            <w:vAlign w:val="center"/>
          </w:tcPr>
          <w:p w14:paraId="04F10253"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color w:val="000000"/>
                <w:lang w:val="es-CO" w:eastAsia="es-MX"/>
              </w:rPr>
            </w:pPr>
            <w:r w:rsidRPr="00A71598">
              <w:rPr>
                <w:rFonts w:ascii="Times New Roman" w:eastAsia="Times New Roman" w:hAnsi="Times New Roman"/>
                <w:color w:val="000000"/>
                <w:lang w:val="es-CO" w:eastAsia="es-MX"/>
              </w:rPr>
              <w:t>2</w:t>
            </w:r>
          </w:p>
        </w:tc>
      </w:tr>
      <w:tr w:rsidR="003C7C2F" w:rsidRPr="00A71598" w14:paraId="7FE78CEE" w14:textId="77777777" w:rsidTr="00A7678E">
        <w:trPr>
          <w:trHeight w:val="219"/>
          <w:jc w:val="center"/>
        </w:trPr>
        <w:tc>
          <w:tcPr>
            <w:tcW w:w="4045" w:type="dxa"/>
            <w:shd w:val="clear" w:color="auto" w:fill="auto"/>
            <w:vAlign w:val="center"/>
          </w:tcPr>
          <w:p w14:paraId="7D2FEF84" w14:textId="77777777" w:rsidR="00616465" w:rsidRPr="00A71598" w:rsidRDefault="00616465" w:rsidP="002257E0">
            <w:pPr>
              <w:autoSpaceDE w:val="0"/>
              <w:autoSpaceDN w:val="0"/>
              <w:adjustRightInd w:val="0"/>
              <w:spacing w:after="0" w:line="240" w:lineRule="auto"/>
              <w:rPr>
                <w:rFonts w:ascii="Times New Roman" w:eastAsia="Times New Roman" w:hAnsi="Times New Roman"/>
                <w:b/>
                <w:bCs/>
                <w:color w:val="000000"/>
                <w:lang w:val="es-CO" w:eastAsia="es-MX"/>
              </w:rPr>
            </w:pPr>
            <w:r w:rsidRPr="00A71598">
              <w:rPr>
                <w:rFonts w:ascii="Times New Roman" w:eastAsia="Times New Roman" w:hAnsi="Times New Roman"/>
                <w:b/>
                <w:bCs/>
                <w:color w:val="000000"/>
                <w:lang w:val="es-CO" w:eastAsia="es-MX"/>
              </w:rPr>
              <w:t>Total</w:t>
            </w:r>
          </w:p>
        </w:tc>
        <w:tc>
          <w:tcPr>
            <w:tcW w:w="810" w:type="dxa"/>
            <w:shd w:val="clear" w:color="auto" w:fill="auto"/>
            <w:vAlign w:val="center"/>
          </w:tcPr>
          <w:p w14:paraId="3304A772"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A71598">
              <w:rPr>
                <w:rFonts w:ascii="Times New Roman" w:eastAsia="Times New Roman" w:hAnsi="Times New Roman"/>
                <w:b/>
                <w:bCs/>
                <w:color w:val="000000"/>
                <w:lang w:val="es-CO" w:eastAsia="es-MX"/>
              </w:rPr>
              <w:t>1</w:t>
            </w:r>
          </w:p>
        </w:tc>
        <w:tc>
          <w:tcPr>
            <w:tcW w:w="810" w:type="dxa"/>
            <w:shd w:val="clear" w:color="auto" w:fill="auto"/>
            <w:vAlign w:val="center"/>
          </w:tcPr>
          <w:p w14:paraId="54988A11"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A71598">
              <w:rPr>
                <w:rFonts w:ascii="Times New Roman" w:eastAsia="Times New Roman" w:hAnsi="Times New Roman"/>
                <w:b/>
                <w:bCs/>
                <w:color w:val="000000"/>
                <w:lang w:val="es-CO" w:eastAsia="es-MX"/>
              </w:rPr>
              <w:t>7</w:t>
            </w:r>
          </w:p>
        </w:tc>
        <w:tc>
          <w:tcPr>
            <w:tcW w:w="810" w:type="dxa"/>
            <w:shd w:val="clear" w:color="auto" w:fill="auto"/>
            <w:vAlign w:val="center"/>
          </w:tcPr>
          <w:p w14:paraId="7AF59D37"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A71598">
              <w:rPr>
                <w:rFonts w:ascii="Times New Roman" w:eastAsia="Times New Roman" w:hAnsi="Times New Roman"/>
                <w:b/>
                <w:bCs/>
                <w:color w:val="000000"/>
                <w:lang w:val="es-CO" w:eastAsia="es-MX"/>
              </w:rPr>
              <w:t>4</w:t>
            </w:r>
          </w:p>
        </w:tc>
        <w:tc>
          <w:tcPr>
            <w:tcW w:w="810" w:type="dxa"/>
            <w:shd w:val="clear" w:color="auto" w:fill="auto"/>
            <w:vAlign w:val="center"/>
          </w:tcPr>
          <w:p w14:paraId="3B9D4E87"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A71598">
              <w:rPr>
                <w:rFonts w:ascii="Times New Roman" w:eastAsia="Times New Roman" w:hAnsi="Times New Roman"/>
                <w:b/>
                <w:bCs/>
                <w:color w:val="000000"/>
                <w:lang w:val="es-CO" w:eastAsia="es-MX"/>
              </w:rPr>
              <w:t>2</w:t>
            </w:r>
          </w:p>
        </w:tc>
        <w:tc>
          <w:tcPr>
            <w:tcW w:w="1220" w:type="dxa"/>
            <w:shd w:val="clear" w:color="auto" w:fill="auto"/>
            <w:vAlign w:val="center"/>
          </w:tcPr>
          <w:p w14:paraId="1CDA5B26" w14:textId="77777777" w:rsidR="00616465" w:rsidRPr="00A71598" w:rsidRDefault="00616465" w:rsidP="002257E0">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A71598">
              <w:rPr>
                <w:rFonts w:ascii="Times New Roman" w:eastAsia="Times New Roman" w:hAnsi="Times New Roman"/>
                <w:b/>
                <w:bCs/>
                <w:color w:val="000000"/>
                <w:lang w:val="es-CO" w:eastAsia="es-MX"/>
              </w:rPr>
              <w:t>14</w:t>
            </w:r>
          </w:p>
        </w:tc>
      </w:tr>
    </w:tbl>
    <w:p w14:paraId="71167547" w14:textId="77777777" w:rsidR="00616465" w:rsidRPr="00FE0EA5" w:rsidRDefault="00616465" w:rsidP="002257E0">
      <w:pPr>
        <w:autoSpaceDE w:val="0"/>
        <w:autoSpaceDN w:val="0"/>
        <w:adjustRightInd w:val="0"/>
        <w:jc w:val="center"/>
        <w:rPr>
          <w:rFonts w:ascii="Times New Roman" w:eastAsia="Times New Roman" w:hAnsi="Times New Roman"/>
          <w:color w:val="000000"/>
          <w:sz w:val="20"/>
          <w:szCs w:val="20"/>
          <w:lang w:val="es-CO" w:eastAsia="es-MX"/>
        </w:rPr>
      </w:pPr>
      <w:r w:rsidRPr="00FE0EA5">
        <w:rPr>
          <w:rFonts w:ascii="Times New Roman" w:eastAsia="Times New Roman" w:hAnsi="Times New Roman"/>
          <w:color w:val="000000"/>
          <w:sz w:val="20"/>
          <w:szCs w:val="20"/>
          <w:lang w:val="es-CO" w:eastAsia="es-MX"/>
        </w:rPr>
        <w:t>Fuente: Sistema Automático de Trámite Judicial Ecuatoriano, SATJE.</w:t>
      </w:r>
    </w:p>
    <w:p w14:paraId="059E1783" w14:textId="77777777" w:rsidR="00616465" w:rsidRPr="00616465" w:rsidRDefault="00616465" w:rsidP="004425F9">
      <w:pPr>
        <w:autoSpaceDE w:val="0"/>
        <w:autoSpaceDN w:val="0"/>
        <w:adjustRightInd w:val="0"/>
        <w:spacing w:after="0" w:line="240" w:lineRule="auto"/>
        <w:ind w:firstLine="709"/>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El Sistema Automático de Trámite Judicial Ecuatoriano, SATJE, indica que, desde enero del 2021, hasta la presente fecha, de las causas en trámite sobre el delito de trata de personas 2 se encuentran en investigación previa, 7 en instrucción fiscal, 3 en </w:t>
      </w:r>
      <w:proofErr w:type="spellStart"/>
      <w:r w:rsidRPr="00616465">
        <w:rPr>
          <w:rFonts w:ascii="Times New Roman" w:eastAsia="Times New Roman" w:hAnsi="Times New Roman"/>
          <w:color w:val="000000"/>
          <w:lang w:val="es-CO" w:eastAsia="es-MX"/>
        </w:rPr>
        <w:t>evaluatoria</w:t>
      </w:r>
      <w:proofErr w:type="spellEnd"/>
      <w:r w:rsidRPr="00616465">
        <w:rPr>
          <w:rFonts w:ascii="Times New Roman" w:eastAsia="Times New Roman" w:hAnsi="Times New Roman"/>
          <w:color w:val="000000"/>
          <w:lang w:val="es-CO" w:eastAsia="es-MX"/>
        </w:rPr>
        <w:t xml:space="preserve"> y preparatoria de juicio y 2 en juicio, dando un total de 14 causas en trámite.</w:t>
      </w:r>
    </w:p>
    <w:p w14:paraId="1CF8B3AA" w14:textId="77777777" w:rsidR="00616465" w:rsidRPr="00616465" w:rsidRDefault="00616465" w:rsidP="004425F9">
      <w:pPr>
        <w:autoSpaceDE w:val="0"/>
        <w:autoSpaceDN w:val="0"/>
        <w:adjustRightInd w:val="0"/>
        <w:spacing w:after="0" w:line="240" w:lineRule="auto"/>
        <w:ind w:firstLine="709"/>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El Sistema Automático de Trámite Judicial Ecuatoriano, SATJE, indica que, desde enero del 2021, hasta la presente fecha, de las causas resueltas sobre el delito de trata de personas 15 son archivo de la causa, 7 sentencias condenatorias, 5 sentencias ratificatorias de inocencia y 5 sobreseimientos, dando un total de 32 causas resueltas.</w:t>
      </w:r>
    </w:p>
    <w:p w14:paraId="0C1147A5" w14:textId="77777777" w:rsidR="00616465" w:rsidRDefault="00616465" w:rsidP="004425F9">
      <w:pPr>
        <w:autoSpaceDE w:val="0"/>
        <w:autoSpaceDN w:val="0"/>
        <w:adjustRightInd w:val="0"/>
        <w:spacing w:after="0" w:line="240" w:lineRule="auto"/>
        <w:ind w:firstLine="709"/>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Las causas en trámite de los procesos en relación a los estados de las causas como: investigación previa, instrucción fiscal, evaluación y preparatoria de juicio y juicio se detallan a continuación:</w:t>
      </w:r>
    </w:p>
    <w:p w14:paraId="738C107D" w14:textId="77777777" w:rsidR="004425F9" w:rsidRPr="00616465" w:rsidRDefault="004425F9" w:rsidP="004425F9">
      <w:pPr>
        <w:autoSpaceDE w:val="0"/>
        <w:autoSpaceDN w:val="0"/>
        <w:adjustRightInd w:val="0"/>
        <w:spacing w:after="0" w:line="240" w:lineRule="auto"/>
        <w:ind w:firstLine="709"/>
        <w:jc w:val="both"/>
        <w:rPr>
          <w:rFonts w:ascii="Times New Roman" w:eastAsia="Times New Roman" w:hAnsi="Times New Roman"/>
          <w:color w:val="000000"/>
          <w:lang w:val="es-CO" w:eastAsia="es-MX"/>
        </w:rPr>
      </w:pPr>
    </w:p>
    <w:tbl>
      <w:tblPr>
        <w:tblW w:w="8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2"/>
        <w:gridCol w:w="1115"/>
        <w:gridCol w:w="1106"/>
        <w:gridCol w:w="845"/>
        <w:gridCol w:w="736"/>
        <w:gridCol w:w="1351"/>
      </w:tblGrid>
      <w:tr w:rsidR="003C7C2F" w:rsidRPr="006871AB" w14:paraId="5153ED69" w14:textId="77777777" w:rsidTr="006871AB">
        <w:trPr>
          <w:trHeight w:val="174"/>
          <w:jc w:val="center"/>
        </w:trPr>
        <w:tc>
          <w:tcPr>
            <w:tcW w:w="3342" w:type="dxa"/>
            <w:shd w:val="clear" w:color="auto" w:fill="auto"/>
            <w:vAlign w:val="center"/>
          </w:tcPr>
          <w:p w14:paraId="0DF631FA" w14:textId="77777777" w:rsidR="00616465" w:rsidRPr="006871AB" w:rsidRDefault="00616465" w:rsidP="00A7678E">
            <w:pPr>
              <w:autoSpaceDE w:val="0"/>
              <w:autoSpaceDN w:val="0"/>
              <w:adjustRightInd w:val="0"/>
              <w:spacing w:after="0" w:line="240" w:lineRule="auto"/>
              <w:jc w:val="both"/>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Estado de la causa</w:t>
            </w:r>
          </w:p>
        </w:tc>
        <w:tc>
          <w:tcPr>
            <w:tcW w:w="1115" w:type="dxa"/>
            <w:shd w:val="clear" w:color="auto" w:fill="auto"/>
            <w:vAlign w:val="center"/>
          </w:tcPr>
          <w:p w14:paraId="38E7FDAA"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2021</w:t>
            </w:r>
          </w:p>
        </w:tc>
        <w:tc>
          <w:tcPr>
            <w:tcW w:w="1106" w:type="dxa"/>
            <w:shd w:val="clear" w:color="auto" w:fill="auto"/>
            <w:vAlign w:val="center"/>
          </w:tcPr>
          <w:p w14:paraId="36FB454A"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2022</w:t>
            </w:r>
          </w:p>
        </w:tc>
        <w:tc>
          <w:tcPr>
            <w:tcW w:w="845" w:type="dxa"/>
            <w:shd w:val="clear" w:color="auto" w:fill="auto"/>
            <w:vAlign w:val="center"/>
          </w:tcPr>
          <w:p w14:paraId="609DFC40"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2023</w:t>
            </w:r>
          </w:p>
        </w:tc>
        <w:tc>
          <w:tcPr>
            <w:tcW w:w="736" w:type="dxa"/>
            <w:shd w:val="clear" w:color="auto" w:fill="auto"/>
            <w:vAlign w:val="center"/>
          </w:tcPr>
          <w:p w14:paraId="27E31152"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2024</w:t>
            </w:r>
          </w:p>
        </w:tc>
        <w:tc>
          <w:tcPr>
            <w:tcW w:w="1351" w:type="dxa"/>
            <w:shd w:val="clear" w:color="auto" w:fill="auto"/>
            <w:vAlign w:val="center"/>
          </w:tcPr>
          <w:p w14:paraId="4D1C4A1C"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6871AB">
              <w:rPr>
                <w:rFonts w:ascii="Times New Roman" w:eastAsia="Times New Roman" w:hAnsi="Times New Roman"/>
                <w:b/>
                <w:bCs/>
                <w:color w:val="000000"/>
                <w:lang w:val="es-CO" w:eastAsia="es-MX"/>
              </w:rPr>
              <w:t>Total</w:t>
            </w:r>
          </w:p>
        </w:tc>
      </w:tr>
      <w:tr w:rsidR="003C7C2F" w:rsidRPr="006871AB" w14:paraId="10483945" w14:textId="77777777" w:rsidTr="006871AB">
        <w:trPr>
          <w:trHeight w:val="180"/>
          <w:jc w:val="center"/>
        </w:trPr>
        <w:tc>
          <w:tcPr>
            <w:tcW w:w="3342" w:type="dxa"/>
            <w:shd w:val="clear" w:color="auto" w:fill="auto"/>
            <w:vAlign w:val="center"/>
          </w:tcPr>
          <w:p w14:paraId="1BC7BBCC" w14:textId="77777777" w:rsidR="00616465" w:rsidRPr="006871AB" w:rsidRDefault="00616465" w:rsidP="00A7678E">
            <w:pPr>
              <w:autoSpaceDE w:val="0"/>
              <w:autoSpaceDN w:val="0"/>
              <w:adjustRightInd w:val="0"/>
              <w:spacing w:after="0" w:line="240" w:lineRule="auto"/>
              <w:jc w:val="both"/>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Archivo de la causa</w:t>
            </w:r>
          </w:p>
        </w:tc>
        <w:tc>
          <w:tcPr>
            <w:tcW w:w="1115" w:type="dxa"/>
            <w:shd w:val="clear" w:color="auto" w:fill="auto"/>
            <w:vAlign w:val="center"/>
          </w:tcPr>
          <w:p w14:paraId="587C551A"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5</w:t>
            </w:r>
          </w:p>
        </w:tc>
        <w:tc>
          <w:tcPr>
            <w:tcW w:w="1106" w:type="dxa"/>
            <w:shd w:val="clear" w:color="auto" w:fill="auto"/>
            <w:vAlign w:val="center"/>
          </w:tcPr>
          <w:p w14:paraId="34D9B80A"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5</w:t>
            </w:r>
          </w:p>
        </w:tc>
        <w:tc>
          <w:tcPr>
            <w:tcW w:w="845" w:type="dxa"/>
            <w:shd w:val="clear" w:color="auto" w:fill="auto"/>
            <w:vAlign w:val="center"/>
          </w:tcPr>
          <w:p w14:paraId="1F761933"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4</w:t>
            </w:r>
          </w:p>
        </w:tc>
        <w:tc>
          <w:tcPr>
            <w:tcW w:w="736" w:type="dxa"/>
            <w:shd w:val="clear" w:color="auto" w:fill="auto"/>
            <w:vAlign w:val="center"/>
          </w:tcPr>
          <w:p w14:paraId="10B16A89"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1</w:t>
            </w:r>
          </w:p>
        </w:tc>
        <w:tc>
          <w:tcPr>
            <w:tcW w:w="1351" w:type="dxa"/>
            <w:shd w:val="clear" w:color="auto" w:fill="auto"/>
            <w:vAlign w:val="center"/>
          </w:tcPr>
          <w:p w14:paraId="0150B54F"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6871AB">
              <w:rPr>
                <w:rFonts w:ascii="Times New Roman" w:eastAsia="Times New Roman" w:hAnsi="Times New Roman"/>
                <w:b/>
                <w:bCs/>
                <w:color w:val="000000"/>
                <w:lang w:val="es-CO" w:eastAsia="es-MX"/>
              </w:rPr>
              <w:t>15</w:t>
            </w:r>
          </w:p>
        </w:tc>
      </w:tr>
      <w:tr w:rsidR="003C7C2F" w:rsidRPr="006871AB" w14:paraId="5B60795D" w14:textId="77777777" w:rsidTr="006871AB">
        <w:trPr>
          <w:trHeight w:val="174"/>
          <w:jc w:val="center"/>
        </w:trPr>
        <w:tc>
          <w:tcPr>
            <w:tcW w:w="3342" w:type="dxa"/>
            <w:shd w:val="clear" w:color="auto" w:fill="auto"/>
            <w:vAlign w:val="center"/>
          </w:tcPr>
          <w:p w14:paraId="3DC9CDEE" w14:textId="77777777" w:rsidR="00616465" w:rsidRPr="006871AB" w:rsidRDefault="00616465" w:rsidP="00A7678E">
            <w:pPr>
              <w:autoSpaceDE w:val="0"/>
              <w:autoSpaceDN w:val="0"/>
              <w:adjustRightInd w:val="0"/>
              <w:spacing w:after="0" w:line="240" w:lineRule="auto"/>
              <w:jc w:val="both"/>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Sentencia condenatoria</w:t>
            </w:r>
          </w:p>
        </w:tc>
        <w:tc>
          <w:tcPr>
            <w:tcW w:w="1115" w:type="dxa"/>
            <w:shd w:val="clear" w:color="auto" w:fill="auto"/>
            <w:vAlign w:val="center"/>
          </w:tcPr>
          <w:p w14:paraId="01EDFBD8"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2</w:t>
            </w:r>
          </w:p>
        </w:tc>
        <w:tc>
          <w:tcPr>
            <w:tcW w:w="1106" w:type="dxa"/>
            <w:shd w:val="clear" w:color="auto" w:fill="auto"/>
            <w:vAlign w:val="center"/>
          </w:tcPr>
          <w:p w14:paraId="21E33722"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4</w:t>
            </w:r>
          </w:p>
        </w:tc>
        <w:tc>
          <w:tcPr>
            <w:tcW w:w="845" w:type="dxa"/>
            <w:shd w:val="clear" w:color="auto" w:fill="auto"/>
            <w:vAlign w:val="center"/>
          </w:tcPr>
          <w:p w14:paraId="24C6C688"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1</w:t>
            </w:r>
          </w:p>
        </w:tc>
        <w:tc>
          <w:tcPr>
            <w:tcW w:w="736" w:type="dxa"/>
            <w:shd w:val="clear" w:color="auto" w:fill="auto"/>
            <w:vAlign w:val="center"/>
          </w:tcPr>
          <w:p w14:paraId="78BB1C34"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1351" w:type="dxa"/>
            <w:shd w:val="clear" w:color="auto" w:fill="auto"/>
            <w:vAlign w:val="center"/>
          </w:tcPr>
          <w:p w14:paraId="3D35FE10"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6871AB">
              <w:rPr>
                <w:rFonts w:ascii="Times New Roman" w:eastAsia="Times New Roman" w:hAnsi="Times New Roman"/>
                <w:b/>
                <w:bCs/>
                <w:color w:val="000000"/>
                <w:lang w:val="es-CO" w:eastAsia="es-MX"/>
              </w:rPr>
              <w:t>7</w:t>
            </w:r>
          </w:p>
        </w:tc>
      </w:tr>
      <w:tr w:rsidR="003C7C2F" w:rsidRPr="006871AB" w14:paraId="1E8EF138" w14:textId="77777777" w:rsidTr="006871AB">
        <w:trPr>
          <w:trHeight w:val="180"/>
          <w:jc w:val="center"/>
        </w:trPr>
        <w:tc>
          <w:tcPr>
            <w:tcW w:w="3342" w:type="dxa"/>
            <w:shd w:val="clear" w:color="auto" w:fill="auto"/>
            <w:vAlign w:val="center"/>
          </w:tcPr>
          <w:p w14:paraId="1F1CBE8D" w14:textId="77777777" w:rsidR="00616465" w:rsidRPr="006871AB" w:rsidRDefault="00616465" w:rsidP="00A7678E">
            <w:pPr>
              <w:autoSpaceDE w:val="0"/>
              <w:autoSpaceDN w:val="0"/>
              <w:adjustRightInd w:val="0"/>
              <w:spacing w:after="0" w:line="240" w:lineRule="auto"/>
              <w:jc w:val="both"/>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Sentencia ratificatoria de inocencia</w:t>
            </w:r>
          </w:p>
        </w:tc>
        <w:tc>
          <w:tcPr>
            <w:tcW w:w="1115" w:type="dxa"/>
            <w:shd w:val="clear" w:color="auto" w:fill="auto"/>
            <w:vAlign w:val="center"/>
          </w:tcPr>
          <w:p w14:paraId="2CC6F1ED"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3</w:t>
            </w:r>
          </w:p>
        </w:tc>
        <w:tc>
          <w:tcPr>
            <w:tcW w:w="1106" w:type="dxa"/>
            <w:shd w:val="clear" w:color="auto" w:fill="auto"/>
            <w:vAlign w:val="center"/>
          </w:tcPr>
          <w:p w14:paraId="673BEE9B"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2</w:t>
            </w:r>
          </w:p>
        </w:tc>
        <w:tc>
          <w:tcPr>
            <w:tcW w:w="845" w:type="dxa"/>
            <w:shd w:val="clear" w:color="auto" w:fill="auto"/>
            <w:vAlign w:val="center"/>
          </w:tcPr>
          <w:p w14:paraId="013DA487"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736" w:type="dxa"/>
            <w:shd w:val="clear" w:color="auto" w:fill="auto"/>
            <w:vAlign w:val="center"/>
          </w:tcPr>
          <w:p w14:paraId="34DD77F4"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1351" w:type="dxa"/>
            <w:shd w:val="clear" w:color="auto" w:fill="auto"/>
            <w:vAlign w:val="center"/>
          </w:tcPr>
          <w:p w14:paraId="2F4FAC3A"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6871AB">
              <w:rPr>
                <w:rFonts w:ascii="Times New Roman" w:eastAsia="Times New Roman" w:hAnsi="Times New Roman"/>
                <w:b/>
                <w:bCs/>
                <w:color w:val="000000"/>
                <w:lang w:val="es-CO" w:eastAsia="es-MX"/>
              </w:rPr>
              <w:t>5</w:t>
            </w:r>
          </w:p>
        </w:tc>
      </w:tr>
      <w:tr w:rsidR="003C7C2F" w:rsidRPr="006871AB" w14:paraId="28B0542B" w14:textId="77777777" w:rsidTr="006871AB">
        <w:trPr>
          <w:trHeight w:val="174"/>
          <w:jc w:val="center"/>
        </w:trPr>
        <w:tc>
          <w:tcPr>
            <w:tcW w:w="3342" w:type="dxa"/>
            <w:shd w:val="clear" w:color="auto" w:fill="auto"/>
            <w:vAlign w:val="center"/>
          </w:tcPr>
          <w:p w14:paraId="6CC8BFC1" w14:textId="77777777" w:rsidR="00616465" w:rsidRPr="006871AB" w:rsidRDefault="00616465" w:rsidP="00A7678E">
            <w:pPr>
              <w:autoSpaceDE w:val="0"/>
              <w:autoSpaceDN w:val="0"/>
              <w:adjustRightInd w:val="0"/>
              <w:spacing w:after="0" w:line="240" w:lineRule="auto"/>
              <w:jc w:val="both"/>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Sobreseimiento</w:t>
            </w:r>
          </w:p>
        </w:tc>
        <w:tc>
          <w:tcPr>
            <w:tcW w:w="1115" w:type="dxa"/>
            <w:shd w:val="clear" w:color="auto" w:fill="auto"/>
            <w:vAlign w:val="center"/>
          </w:tcPr>
          <w:p w14:paraId="6C713F77"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2</w:t>
            </w:r>
          </w:p>
        </w:tc>
        <w:tc>
          <w:tcPr>
            <w:tcW w:w="1106" w:type="dxa"/>
            <w:shd w:val="clear" w:color="auto" w:fill="auto"/>
            <w:vAlign w:val="center"/>
          </w:tcPr>
          <w:p w14:paraId="4F9CB37D"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2</w:t>
            </w:r>
          </w:p>
        </w:tc>
        <w:tc>
          <w:tcPr>
            <w:tcW w:w="845" w:type="dxa"/>
            <w:shd w:val="clear" w:color="auto" w:fill="auto"/>
            <w:vAlign w:val="center"/>
          </w:tcPr>
          <w:p w14:paraId="499E949B"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p>
        </w:tc>
        <w:tc>
          <w:tcPr>
            <w:tcW w:w="736" w:type="dxa"/>
            <w:shd w:val="clear" w:color="auto" w:fill="auto"/>
            <w:vAlign w:val="center"/>
          </w:tcPr>
          <w:p w14:paraId="63B7E21C"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1</w:t>
            </w:r>
          </w:p>
        </w:tc>
        <w:tc>
          <w:tcPr>
            <w:tcW w:w="1351" w:type="dxa"/>
            <w:shd w:val="clear" w:color="auto" w:fill="auto"/>
            <w:vAlign w:val="center"/>
          </w:tcPr>
          <w:p w14:paraId="206A4A47"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6871AB">
              <w:rPr>
                <w:rFonts w:ascii="Times New Roman" w:eastAsia="Times New Roman" w:hAnsi="Times New Roman"/>
                <w:b/>
                <w:bCs/>
                <w:color w:val="000000"/>
                <w:lang w:val="es-CO" w:eastAsia="es-MX"/>
              </w:rPr>
              <w:t>5</w:t>
            </w:r>
          </w:p>
        </w:tc>
      </w:tr>
      <w:tr w:rsidR="003C7C2F" w:rsidRPr="006871AB" w14:paraId="048CAA77" w14:textId="77777777" w:rsidTr="006871AB">
        <w:trPr>
          <w:trHeight w:val="174"/>
          <w:jc w:val="center"/>
        </w:trPr>
        <w:tc>
          <w:tcPr>
            <w:tcW w:w="3342" w:type="dxa"/>
            <w:shd w:val="clear" w:color="auto" w:fill="auto"/>
            <w:vAlign w:val="center"/>
          </w:tcPr>
          <w:p w14:paraId="0F99CF50" w14:textId="77777777" w:rsidR="00616465" w:rsidRPr="006871AB" w:rsidRDefault="00616465" w:rsidP="00A7678E">
            <w:pPr>
              <w:autoSpaceDE w:val="0"/>
              <w:autoSpaceDN w:val="0"/>
              <w:adjustRightInd w:val="0"/>
              <w:spacing w:after="0" w:line="240" w:lineRule="auto"/>
              <w:jc w:val="both"/>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Total</w:t>
            </w:r>
          </w:p>
        </w:tc>
        <w:tc>
          <w:tcPr>
            <w:tcW w:w="1115" w:type="dxa"/>
            <w:shd w:val="clear" w:color="auto" w:fill="auto"/>
            <w:vAlign w:val="center"/>
          </w:tcPr>
          <w:p w14:paraId="1AB2F3CD"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12</w:t>
            </w:r>
          </w:p>
        </w:tc>
        <w:tc>
          <w:tcPr>
            <w:tcW w:w="1106" w:type="dxa"/>
            <w:shd w:val="clear" w:color="auto" w:fill="auto"/>
            <w:vAlign w:val="center"/>
          </w:tcPr>
          <w:p w14:paraId="5E3FBABD"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13</w:t>
            </w:r>
          </w:p>
        </w:tc>
        <w:tc>
          <w:tcPr>
            <w:tcW w:w="845" w:type="dxa"/>
            <w:shd w:val="clear" w:color="auto" w:fill="auto"/>
            <w:vAlign w:val="center"/>
          </w:tcPr>
          <w:p w14:paraId="4DEBD880"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5</w:t>
            </w:r>
          </w:p>
        </w:tc>
        <w:tc>
          <w:tcPr>
            <w:tcW w:w="736" w:type="dxa"/>
            <w:shd w:val="clear" w:color="auto" w:fill="auto"/>
            <w:vAlign w:val="center"/>
          </w:tcPr>
          <w:p w14:paraId="6BDD794B"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color w:val="000000"/>
                <w:lang w:val="es-CO" w:eastAsia="es-MX"/>
              </w:rPr>
            </w:pPr>
            <w:r w:rsidRPr="006871AB">
              <w:rPr>
                <w:rFonts w:ascii="Times New Roman" w:eastAsia="Times New Roman" w:hAnsi="Times New Roman"/>
                <w:color w:val="000000"/>
                <w:lang w:val="es-CO" w:eastAsia="es-MX"/>
              </w:rPr>
              <w:t>2</w:t>
            </w:r>
          </w:p>
        </w:tc>
        <w:tc>
          <w:tcPr>
            <w:tcW w:w="1351" w:type="dxa"/>
            <w:shd w:val="clear" w:color="auto" w:fill="auto"/>
            <w:vAlign w:val="center"/>
          </w:tcPr>
          <w:p w14:paraId="2A832770" w14:textId="77777777" w:rsidR="00616465" w:rsidRPr="006871AB" w:rsidRDefault="00616465" w:rsidP="00A7678E">
            <w:pPr>
              <w:autoSpaceDE w:val="0"/>
              <w:autoSpaceDN w:val="0"/>
              <w:adjustRightInd w:val="0"/>
              <w:spacing w:after="0" w:line="240" w:lineRule="auto"/>
              <w:jc w:val="center"/>
              <w:rPr>
                <w:rFonts w:ascii="Times New Roman" w:eastAsia="Times New Roman" w:hAnsi="Times New Roman"/>
                <w:b/>
                <w:bCs/>
                <w:color w:val="000000"/>
                <w:lang w:val="es-CO" w:eastAsia="es-MX"/>
              </w:rPr>
            </w:pPr>
            <w:r w:rsidRPr="006871AB">
              <w:rPr>
                <w:rFonts w:ascii="Times New Roman" w:eastAsia="Times New Roman" w:hAnsi="Times New Roman"/>
                <w:b/>
                <w:bCs/>
                <w:color w:val="000000"/>
                <w:lang w:val="es-CO" w:eastAsia="es-MX"/>
              </w:rPr>
              <w:t>32</w:t>
            </w:r>
          </w:p>
        </w:tc>
      </w:tr>
    </w:tbl>
    <w:p w14:paraId="706D8A23" w14:textId="77777777" w:rsidR="00B26973" w:rsidRDefault="00B26973" w:rsidP="00B26973">
      <w:pPr>
        <w:autoSpaceDE w:val="0"/>
        <w:autoSpaceDN w:val="0"/>
        <w:adjustRightInd w:val="0"/>
        <w:spacing w:after="0" w:line="240" w:lineRule="auto"/>
        <w:ind w:firstLine="709"/>
        <w:jc w:val="both"/>
        <w:rPr>
          <w:rFonts w:ascii="Times New Roman" w:eastAsia="Times New Roman" w:hAnsi="Times New Roman"/>
          <w:color w:val="000000"/>
          <w:lang w:val="es-CO" w:eastAsia="es-MX"/>
        </w:rPr>
      </w:pPr>
    </w:p>
    <w:p w14:paraId="3E1E020A" w14:textId="7EE9F51E" w:rsidR="00616465" w:rsidRDefault="00616465" w:rsidP="00B26973">
      <w:pPr>
        <w:autoSpaceDE w:val="0"/>
        <w:autoSpaceDN w:val="0"/>
        <w:adjustRightInd w:val="0"/>
        <w:spacing w:after="0" w:line="240" w:lineRule="auto"/>
        <w:ind w:firstLine="709"/>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Las medidas de reparación sobre los delitos de trata de personas de acuerdo a: indemnización restitución, garantía de no repetición y satisfacción simbólica, es la siguiente:</w:t>
      </w:r>
    </w:p>
    <w:p w14:paraId="1A4E0527" w14:textId="77777777" w:rsidR="002257E0" w:rsidRPr="00616465" w:rsidRDefault="002257E0" w:rsidP="00B26973">
      <w:pPr>
        <w:autoSpaceDE w:val="0"/>
        <w:autoSpaceDN w:val="0"/>
        <w:adjustRightInd w:val="0"/>
        <w:spacing w:after="0" w:line="240" w:lineRule="auto"/>
        <w:ind w:firstLine="709"/>
        <w:jc w:val="both"/>
        <w:rPr>
          <w:rFonts w:ascii="Times New Roman" w:eastAsia="Times New Roman" w:hAnsi="Times New Roman"/>
          <w:color w:val="000000"/>
          <w:lang w:val="es-CO" w:eastAsia="es-MX"/>
        </w:rPr>
      </w:pPr>
    </w:p>
    <w:p w14:paraId="7C4FB238" w14:textId="77777777" w:rsidR="00616465" w:rsidRPr="00FE0EA5" w:rsidRDefault="00616465" w:rsidP="006871AB">
      <w:pPr>
        <w:autoSpaceDE w:val="0"/>
        <w:autoSpaceDN w:val="0"/>
        <w:adjustRightInd w:val="0"/>
        <w:jc w:val="center"/>
        <w:rPr>
          <w:rFonts w:ascii="Times New Roman" w:eastAsia="Times New Roman" w:hAnsi="Times New Roman"/>
          <w:color w:val="000000"/>
          <w:sz w:val="20"/>
          <w:szCs w:val="20"/>
          <w:lang w:val="es-CO" w:eastAsia="es-MX"/>
        </w:rPr>
      </w:pPr>
      <w:r w:rsidRPr="00FE0EA5">
        <w:rPr>
          <w:rFonts w:ascii="Times New Roman" w:eastAsia="Times New Roman" w:hAnsi="Times New Roman"/>
          <w:color w:val="000000"/>
          <w:sz w:val="20"/>
          <w:szCs w:val="20"/>
          <w:lang w:val="es-CO" w:eastAsia="es-MX"/>
        </w:rPr>
        <w:t>Tabla No.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5"/>
        <w:gridCol w:w="847"/>
      </w:tblGrid>
      <w:tr w:rsidR="00616465" w:rsidRPr="00616465" w14:paraId="56C75235" w14:textId="77777777" w:rsidTr="006871AB">
        <w:trPr>
          <w:trHeight w:val="91"/>
          <w:jc w:val="center"/>
        </w:trPr>
        <w:tc>
          <w:tcPr>
            <w:tcW w:w="2655" w:type="dxa"/>
            <w:vAlign w:val="center"/>
          </w:tcPr>
          <w:p w14:paraId="18750EC6"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Medida de reparación </w:t>
            </w:r>
          </w:p>
        </w:tc>
        <w:tc>
          <w:tcPr>
            <w:tcW w:w="847" w:type="dxa"/>
            <w:vAlign w:val="center"/>
          </w:tcPr>
          <w:p w14:paraId="5DC4824B"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No. </w:t>
            </w:r>
          </w:p>
        </w:tc>
      </w:tr>
      <w:tr w:rsidR="00616465" w:rsidRPr="00616465" w14:paraId="4E05B412" w14:textId="77777777" w:rsidTr="006871AB">
        <w:trPr>
          <w:trHeight w:val="91"/>
          <w:jc w:val="center"/>
        </w:trPr>
        <w:tc>
          <w:tcPr>
            <w:tcW w:w="2655" w:type="dxa"/>
            <w:vAlign w:val="center"/>
          </w:tcPr>
          <w:p w14:paraId="37A9A8BA"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Indemnización </w:t>
            </w:r>
          </w:p>
        </w:tc>
        <w:tc>
          <w:tcPr>
            <w:tcW w:w="847" w:type="dxa"/>
            <w:vAlign w:val="center"/>
          </w:tcPr>
          <w:p w14:paraId="02BAA983"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40 </w:t>
            </w:r>
          </w:p>
        </w:tc>
      </w:tr>
      <w:tr w:rsidR="00616465" w:rsidRPr="00616465" w14:paraId="79438E01" w14:textId="77777777" w:rsidTr="006871AB">
        <w:trPr>
          <w:trHeight w:val="91"/>
          <w:jc w:val="center"/>
        </w:trPr>
        <w:tc>
          <w:tcPr>
            <w:tcW w:w="2655" w:type="dxa"/>
            <w:vAlign w:val="center"/>
          </w:tcPr>
          <w:p w14:paraId="4BD9FA32"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Restitución </w:t>
            </w:r>
          </w:p>
        </w:tc>
        <w:tc>
          <w:tcPr>
            <w:tcW w:w="847" w:type="dxa"/>
            <w:vAlign w:val="center"/>
          </w:tcPr>
          <w:p w14:paraId="046030FA"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2 </w:t>
            </w:r>
          </w:p>
        </w:tc>
      </w:tr>
      <w:tr w:rsidR="00616465" w:rsidRPr="00616465" w14:paraId="24D0FD93" w14:textId="77777777" w:rsidTr="006871AB">
        <w:trPr>
          <w:trHeight w:val="91"/>
          <w:jc w:val="center"/>
        </w:trPr>
        <w:tc>
          <w:tcPr>
            <w:tcW w:w="2655" w:type="dxa"/>
            <w:vAlign w:val="center"/>
          </w:tcPr>
          <w:p w14:paraId="2FABBC7E"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Garantía de no repetición </w:t>
            </w:r>
          </w:p>
        </w:tc>
        <w:tc>
          <w:tcPr>
            <w:tcW w:w="847" w:type="dxa"/>
            <w:vAlign w:val="center"/>
          </w:tcPr>
          <w:p w14:paraId="6A6AF8A0"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10 </w:t>
            </w:r>
          </w:p>
        </w:tc>
      </w:tr>
      <w:tr w:rsidR="00616465" w:rsidRPr="00616465" w14:paraId="5E3D6F13" w14:textId="77777777" w:rsidTr="006871AB">
        <w:trPr>
          <w:trHeight w:val="91"/>
          <w:jc w:val="center"/>
        </w:trPr>
        <w:tc>
          <w:tcPr>
            <w:tcW w:w="2655" w:type="dxa"/>
            <w:vAlign w:val="center"/>
          </w:tcPr>
          <w:p w14:paraId="009CB604"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Satisfacción simbólica </w:t>
            </w:r>
          </w:p>
        </w:tc>
        <w:tc>
          <w:tcPr>
            <w:tcW w:w="847" w:type="dxa"/>
            <w:vAlign w:val="center"/>
          </w:tcPr>
          <w:p w14:paraId="16FF611E"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 </w:t>
            </w:r>
          </w:p>
        </w:tc>
      </w:tr>
      <w:tr w:rsidR="00616465" w:rsidRPr="00616465" w14:paraId="0A8935F3" w14:textId="77777777" w:rsidTr="006871AB">
        <w:trPr>
          <w:trHeight w:val="91"/>
          <w:jc w:val="center"/>
        </w:trPr>
        <w:tc>
          <w:tcPr>
            <w:tcW w:w="2655" w:type="dxa"/>
            <w:vAlign w:val="center"/>
          </w:tcPr>
          <w:p w14:paraId="75DB1390"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Total </w:t>
            </w:r>
          </w:p>
        </w:tc>
        <w:tc>
          <w:tcPr>
            <w:tcW w:w="847" w:type="dxa"/>
            <w:vAlign w:val="center"/>
          </w:tcPr>
          <w:p w14:paraId="708A73CB" w14:textId="77777777" w:rsidR="00616465" w:rsidRPr="00616465" w:rsidRDefault="00616465" w:rsidP="00616465">
            <w:pPr>
              <w:autoSpaceDE w:val="0"/>
              <w:autoSpaceDN w:val="0"/>
              <w:adjustRightInd w:val="0"/>
              <w:spacing w:after="0"/>
              <w:jc w:val="both"/>
              <w:rPr>
                <w:rFonts w:ascii="Times New Roman" w:eastAsia="Times New Roman" w:hAnsi="Times New Roman"/>
                <w:color w:val="000000"/>
                <w:lang w:val="es-CO" w:eastAsia="es-MX"/>
              </w:rPr>
            </w:pPr>
            <w:r w:rsidRPr="00616465">
              <w:rPr>
                <w:rFonts w:ascii="Times New Roman" w:eastAsia="Times New Roman" w:hAnsi="Times New Roman"/>
                <w:color w:val="000000"/>
                <w:lang w:val="es-CO" w:eastAsia="es-MX"/>
              </w:rPr>
              <w:t xml:space="preserve">52 </w:t>
            </w:r>
          </w:p>
        </w:tc>
      </w:tr>
    </w:tbl>
    <w:p w14:paraId="4CE760DA" w14:textId="77777777" w:rsidR="00616465" w:rsidRPr="00FE0EA5" w:rsidRDefault="00616465" w:rsidP="00EB5227">
      <w:pPr>
        <w:autoSpaceDE w:val="0"/>
        <w:autoSpaceDN w:val="0"/>
        <w:adjustRightInd w:val="0"/>
        <w:jc w:val="center"/>
        <w:rPr>
          <w:rFonts w:ascii="Times New Roman" w:eastAsia="Times New Roman" w:hAnsi="Times New Roman"/>
          <w:color w:val="000000"/>
          <w:sz w:val="20"/>
          <w:szCs w:val="20"/>
          <w:lang w:val="es-CO" w:eastAsia="es-MX"/>
        </w:rPr>
      </w:pPr>
      <w:r w:rsidRPr="00FE0EA5">
        <w:rPr>
          <w:rFonts w:ascii="Times New Roman" w:eastAsia="Times New Roman" w:hAnsi="Times New Roman"/>
          <w:color w:val="000000"/>
          <w:sz w:val="20"/>
          <w:szCs w:val="20"/>
          <w:lang w:val="es-CO" w:eastAsia="es-MX"/>
        </w:rPr>
        <w:t>Fuente: Sistema Automático de Trámite Judicial Ecuatoriano, SATJE.</w:t>
      </w:r>
    </w:p>
    <w:p w14:paraId="0F25045A" w14:textId="37CA94A5" w:rsidR="00616465" w:rsidRPr="00616465" w:rsidRDefault="0034311A" w:rsidP="004425F9">
      <w:pPr>
        <w:autoSpaceDE w:val="0"/>
        <w:autoSpaceDN w:val="0"/>
        <w:adjustRightInd w:val="0"/>
        <w:spacing w:after="0" w:line="240" w:lineRule="auto"/>
        <w:ind w:firstLine="708"/>
        <w:jc w:val="both"/>
        <w:rPr>
          <w:rFonts w:ascii="Times New Roman" w:eastAsia="Times New Roman" w:hAnsi="Times New Roman"/>
          <w:color w:val="000000"/>
          <w:lang w:val="es-EC" w:eastAsia="es-MX"/>
        </w:rPr>
      </w:pPr>
      <w:r w:rsidRPr="0034311A">
        <w:rPr>
          <w:rFonts w:ascii="Times New Roman" w:eastAsia="Times New Roman" w:hAnsi="Times New Roman"/>
          <w:color w:val="000000"/>
          <w:lang w:eastAsia="es-MX"/>
        </w:rPr>
        <w:t xml:space="preserve">La Defensoría del Pueblo del Ecuador (DPE) expresa su preocupación frente a los datos del Sistema Automático de Trámite Judicial Ecuatoriano (SATJE), que indica que entre 2021 y 2024 se dictaron solo 52 medidas de reparación, 40 de indemnización, 2 de restitución y 10 de no repetición en favor de las víctimas de trata de personas. De 360 denuncias de posibles delitos de trata, solo 46 fueron judicializadas (12,77%), de las cuales apenas el 8,88% obtuvo una resolución </w:t>
      </w:r>
      <w:r w:rsidRPr="0034311A">
        <w:rPr>
          <w:rFonts w:ascii="Times New Roman" w:eastAsia="Times New Roman" w:hAnsi="Times New Roman"/>
          <w:color w:val="000000"/>
          <w:lang w:eastAsia="es-MX"/>
        </w:rPr>
        <w:lastRenderedPageBreak/>
        <w:t>favorable. Estas cifras reflejan una preocupante falta de justicia que puede derivar en impunidad, permitiendo la continuidad de estos delitos y vulnerando los derechos de las personas afectadas.</w:t>
      </w:r>
    </w:p>
    <w:p w14:paraId="4C81BB0F" w14:textId="64BD89EE" w:rsidR="00A65D8E" w:rsidRPr="00FE0EA5" w:rsidRDefault="00CF5532"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CF5532">
        <w:rPr>
          <w:rFonts w:ascii="Times New Roman" w:eastAsia="Times New Roman" w:hAnsi="Times New Roman"/>
          <w:color w:val="000000"/>
          <w:lang w:eastAsia="es-MX"/>
        </w:rPr>
        <w:t>El Ministerio del Interior (MDI), encargado de la política pública contra la trata de personas y tráfico ilícito de migrantes, lidera un Comité Interinstitucional conformado por 13 instituciones. Este Comité trabaja en prevención, protección de víctimas, investigación de casos y gobernanza. Desde 2021, se ha capacitado a más de 11,000 personas y se ha fortalecido la Unidad Nacional de Investigación contra la Trata de Personas (UNAT), capacitando a 49 policías en técnicas de investigación especializada. Sin embargo, persisten limitaciones en la protección y cobertura de víctimas, especialmente en áreas rurales</w:t>
      </w:r>
      <w:r w:rsidR="005E1EAF" w:rsidRPr="00FE0EA5">
        <w:rPr>
          <w:rFonts w:ascii="Times New Roman" w:eastAsia="Times New Roman" w:hAnsi="Times New Roman"/>
          <w:color w:val="000000"/>
          <w:lang w:val="es-CO" w:eastAsia="es-MX"/>
        </w:rPr>
        <w:t>.</w:t>
      </w:r>
    </w:p>
    <w:p w14:paraId="0FD2AC08" w14:textId="77777777" w:rsidR="00B34E12" w:rsidRDefault="00B34E12" w:rsidP="004425F9">
      <w:pPr>
        <w:autoSpaceDE w:val="0"/>
        <w:autoSpaceDN w:val="0"/>
        <w:adjustRightInd w:val="0"/>
        <w:spacing w:after="0" w:line="240" w:lineRule="auto"/>
        <w:ind w:firstLine="708"/>
        <w:jc w:val="both"/>
        <w:rPr>
          <w:rFonts w:ascii="Times New Roman" w:eastAsia="Times New Roman" w:hAnsi="Times New Roman"/>
          <w:color w:val="000000"/>
          <w:lang w:val="es-EC" w:eastAsia="es-MX"/>
        </w:rPr>
      </w:pPr>
      <w:r w:rsidRPr="00B34E12">
        <w:rPr>
          <w:rFonts w:ascii="Times New Roman" w:eastAsia="Times New Roman" w:hAnsi="Times New Roman"/>
          <w:color w:val="000000"/>
          <w:lang w:eastAsia="es-MX"/>
        </w:rPr>
        <w:t>En cuanto a asistencia, la Dirección Contra la Trata del MDI reportó atención a 52 víctimas en 2021, 49 en 2022, 78 en 2023, y 43 hasta junio de 2024. Los servicios incluyen atención legal y psicosocial, alojamiento y acceso a educación y empleo. El MDI dispone de tres casas de acogida para víctimas de explotación sexual, pero aún no hay centros especializados para explotación laboral, lo que obliga a encontrar alternativas de refugio seguro para los sobrevivientes.</w:t>
      </w:r>
      <w:r w:rsidRPr="00B34E12">
        <w:rPr>
          <w:rFonts w:ascii="Times New Roman" w:eastAsia="Times New Roman" w:hAnsi="Times New Roman"/>
          <w:color w:val="000000"/>
          <w:lang w:val="es-EC" w:eastAsia="es-MX"/>
        </w:rPr>
        <w:t xml:space="preserve"> </w:t>
      </w:r>
    </w:p>
    <w:p w14:paraId="469EB15E" w14:textId="77777777" w:rsidR="00E35447" w:rsidRDefault="003C7C2F"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3C7C2F">
        <w:rPr>
          <w:rFonts w:ascii="Times New Roman" w:eastAsia="Times New Roman" w:hAnsi="Times New Roman"/>
          <w:color w:val="000000"/>
          <w:lang w:eastAsia="es-MX"/>
        </w:rPr>
        <w:t>En el ámbito de investigación, la Dirección Contra la Trata de Personas y Tráfico Ilícito de Migrantes del MDI ha destacado las acciones de la Unidad Nacional contra la Trata de Personas y Tráfico Ilícito de Migrantes (UNAT). Esta unidad especializada trabaja en conjunto con el Ministerio del Interior para combatir y prevenir estos delitos. Actualmente, cuenta con un equipo de 55 servidores policiales distribuidos a nivel nacional, con un enfoque en Quito, Guayaquil, Cuenca y Machala.</w:t>
      </w:r>
      <w:r w:rsidR="00446541">
        <w:rPr>
          <w:rFonts w:ascii="Times New Roman" w:eastAsia="Times New Roman" w:hAnsi="Times New Roman"/>
          <w:color w:val="000000"/>
          <w:lang w:eastAsia="es-MX"/>
        </w:rPr>
        <w:t xml:space="preserve"> </w:t>
      </w:r>
      <w:r w:rsidR="00446541" w:rsidRPr="00C232C3">
        <w:rPr>
          <w:rFonts w:ascii="Times New Roman" w:eastAsia="Times New Roman" w:hAnsi="Times New Roman"/>
          <w:color w:val="000000"/>
          <w:lang w:val="es-CO" w:eastAsia="es-MX"/>
        </w:rPr>
        <w:t>solamente se tiene desconcentración del equipo de servidores policiales en esas ciudades. No se ha tomado en cuenta que en Manabí registra uno de los números más altos de noticias del delito de trata de personas (40 noticias) superando las noticias de Azuay (16), Guayas (38) y El Oro (23). De igual forma, tampoco se han tomado en cuenta con Santo Domingo de los Tsáchilas tiene también 23 noticias del delito</w:t>
      </w:r>
      <w:r w:rsidR="00446541">
        <w:rPr>
          <w:rFonts w:ascii="Times New Roman" w:eastAsia="Times New Roman" w:hAnsi="Times New Roman"/>
          <w:color w:val="000000"/>
          <w:lang w:val="es-CO" w:eastAsia="es-MX"/>
        </w:rPr>
        <w:t>.</w:t>
      </w:r>
    </w:p>
    <w:p w14:paraId="710C76CF" w14:textId="1964AF1D" w:rsidR="00C232C3" w:rsidRPr="00C232C3" w:rsidRDefault="00C232C3"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C232C3">
        <w:rPr>
          <w:rFonts w:ascii="Times New Roman" w:eastAsia="Times New Roman" w:hAnsi="Times New Roman"/>
          <w:color w:val="000000"/>
          <w:lang w:val="es-CO" w:eastAsia="es-MX"/>
        </w:rPr>
        <w:t xml:space="preserve">A pesar de que las noticias del delito de trata de personas no se limitan exclusivamente a Quito, Guayaquil, Cuenca y Machala, solamente se tiene desconcentración del equipo de servidores policiales en esas ciudades. No se ha tomado en cuenta que en Manabí registra uno de los números más altos de noticias del delito de trata de personas (40 noticias) superando las noticias de Azuay (16), Guayas (38) y El Oro (23). De igual forma, tampoco se han tomado en cuenta con Santo Domingo de los Tsáchilas tiene también 23 noticias del delito. </w:t>
      </w:r>
    </w:p>
    <w:p w14:paraId="7F913CAF" w14:textId="6AB699AB" w:rsidR="00C232C3" w:rsidRPr="00C232C3" w:rsidRDefault="00C232C3"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C232C3">
        <w:rPr>
          <w:rFonts w:ascii="Times New Roman" w:eastAsia="Times New Roman" w:hAnsi="Times New Roman"/>
          <w:color w:val="000000"/>
          <w:lang w:val="es-CO" w:eastAsia="es-MX"/>
        </w:rPr>
        <w:t>Asimismo</w:t>
      </w:r>
      <w:r w:rsidR="004A75B3">
        <w:rPr>
          <w:rFonts w:ascii="Times New Roman" w:eastAsia="Times New Roman" w:hAnsi="Times New Roman"/>
          <w:color w:val="000000"/>
          <w:lang w:val="es-CO" w:eastAsia="es-MX"/>
        </w:rPr>
        <w:t xml:space="preserve">, se </w:t>
      </w:r>
      <w:r w:rsidR="003C7C2F">
        <w:rPr>
          <w:rFonts w:ascii="Times New Roman" w:eastAsia="Times New Roman" w:hAnsi="Times New Roman"/>
          <w:color w:val="000000"/>
          <w:lang w:val="es-CO" w:eastAsia="es-MX"/>
        </w:rPr>
        <w:t xml:space="preserve">ha </w:t>
      </w:r>
      <w:r w:rsidRPr="00C232C3">
        <w:rPr>
          <w:rFonts w:ascii="Times New Roman" w:eastAsia="Times New Roman" w:hAnsi="Times New Roman"/>
          <w:color w:val="000000"/>
          <w:lang w:val="es-CO" w:eastAsia="es-MX"/>
        </w:rPr>
        <w:t>ejecuta</w:t>
      </w:r>
      <w:r w:rsidR="003C7C2F">
        <w:rPr>
          <w:rFonts w:ascii="Times New Roman" w:eastAsia="Times New Roman" w:hAnsi="Times New Roman"/>
          <w:color w:val="000000"/>
          <w:lang w:val="es-CO" w:eastAsia="es-MX"/>
        </w:rPr>
        <w:t>do</w:t>
      </w:r>
      <w:r w:rsidRPr="00C232C3">
        <w:rPr>
          <w:rFonts w:ascii="Times New Roman" w:eastAsia="Times New Roman" w:hAnsi="Times New Roman"/>
          <w:color w:val="000000"/>
          <w:lang w:val="es-CO" w:eastAsia="es-MX"/>
        </w:rPr>
        <w:t xml:space="preserve"> 45 operativos interinstitucionales dirigidos a Agencias de Viaje que ofertan servicios a destinos consideradas de posible migración riesgosa</w:t>
      </w:r>
      <w:r w:rsidR="004A75B3">
        <w:rPr>
          <w:rFonts w:ascii="Times New Roman" w:eastAsia="Times New Roman" w:hAnsi="Times New Roman"/>
          <w:color w:val="000000"/>
          <w:lang w:val="es-CO" w:eastAsia="es-MX"/>
        </w:rPr>
        <w:t>.</w:t>
      </w:r>
      <w:r w:rsidRPr="00C232C3">
        <w:rPr>
          <w:rFonts w:ascii="Times New Roman" w:eastAsia="Times New Roman" w:hAnsi="Times New Roman"/>
          <w:color w:val="000000"/>
          <w:lang w:val="es-CO" w:eastAsia="es-MX"/>
        </w:rPr>
        <w:t xml:space="preserve"> Si bien el número de operativos efectuados es positivo, estos aún son insuficientes para capacitar y sensibilizar a todas las personas que prestan sus servicios en agencias de viaje que ofertan sus servicios para viajes a destinos de posible migración riesgosa. </w:t>
      </w:r>
    </w:p>
    <w:p w14:paraId="01D214B1" w14:textId="77777777" w:rsidR="00C232C3" w:rsidRPr="00C232C3" w:rsidRDefault="00C232C3"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C232C3">
        <w:rPr>
          <w:rFonts w:ascii="Times New Roman" w:eastAsia="Times New Roman" w:hAnsi="Times New Roman"/>
          <w:color w:val="000000"/>
          <w:lang w:val="es-CO" w:eastAsia="es-MX"/>
        </w:rPr>
        <w:t xml:space="preserve">Se suscribió un acuerdo entre la Fiscalía y el Ministerio del Interior para el envío mensual de casos judicializados relacionados con delitos de trata de personas y tráfico ilícito de migrantes. Este intercambio de información permitirá mejorar las estadísticas y facilitar una toma de decisiones más informada en la formulación de políticas públicas. </w:t>
      </w:r>
    </w:p>
    <w:p w14:paraId="77AF13B2" w14:textId="48432FCB" w:rsidR="00C232C3" w:rsidRPr="00C232C3" w:rsidRDefault="00C232C3"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C232C3">
        <w:rPr>
          <w:rFonts w:ascii="Times New Roman" w:eastAsia="Times New Roman" w:hAnsi="Times New Roman"/>
          <w:color w:val="000000"/>
          <w:lang w:val="es-CO" w:eastAsia="es-MX"/>
        </w:rPr>
        <w:t>En el Eje de gobernanza, la Dirección Contra la trata de Personas y Tráfico Ilícito de Migrantes del MDI indicó que se han realizado acciones</w:t>
      </w:r>
      <w:r w:rsidR="00B04840">
        <w:rPr>
          <w:rFonts w:ascii="Times New Roman" w:eastAsia="Times New Roman" w:hAnsi="Times New Roman"/>
          <w:color w:val="000000"/>
          <w:lang w:val="es-CO" w:eastAsia="es-MX"/>
        </w:rPr>
        <w:t xml:space="preserve"> </w:t>
      </w:r>
      <w:r w:rsidR="005D4899">
        <w:rPr>
          <w:rFonts w:ascii="Times New Roman" w:eastAsia="Times New Roman" w:hAnsi="Times New Roman"/>
          <w:color w:val="000000"/>
          <w:lang w:val="es-CO" w:eastAsia="es-MX"/>
        </w:rPr>
        <w:t>para el</w:t>
      </w:r>
      <w:r w:rsidR="00B04840">
        <w:rPr>
          <w:rFonts w:ascii="Times New Roman" w:eastAsia="Times New Roman" w:hAnsi="Times New Roman"/>
          <w:color w:val="000000"/>
          <w:lang w:val="es-CO" w:eastAsia="es-MX"/>
        </w:rPr>
        <w:t xml:space="preserve"> </w:t>
      </w:r>
      <w:r w:rsidR="005D4899">
        <w:rPr>
          <w:rFonts w:ascii="Times New Roman" w:eastAsia="Times New Roman" w:hAnsi="Times New Roman"/>
          <w:color w:val="000000"/>
          <w:lang w:val="es-CO" w:eastAsia="es-MX"/>
        </w:rPr>
        <w:t>f</w:t>
      </w:r>
      <w:r w:rsidRPr="00C232C3">
        <w:rPr>
          <w:rFonts w:ascii="Times New Roman" w:eastAsia="Times New Roman" w:hAnsi="Times New Roman"/>
          <w:color w:val="000000"/>
          <w:lang w:val="es-CO" w:eastAsia="es-MX"/>
        </w:rPr>
        <w:t xml:space="preserve">ortalecimiento del Sistema de Registro de Casos de Trata de Personas y Tráfico Ilícito de Migrantes (REGISTRATT), </w:t>
      </w:r>
      <w:r w:rsidR="005D4899">
        <w:rPr>
          <w:rFonts w:ascii="Times New Roman" w:eastAsia="Times New Roman" w:hAnsi="Times New Roman"/>
          <w:color w:val="000000"/>
          <w:lang w:val="es-CO" w:eastAsia="es-MX"/>
        </w:rPr>
        <w:t>a</w:t>
      </w:r>
      <w:r w:rsidRPr="00C232C3">
        <w:rPr>
          <w:rFonts w:ascii="Times New Roman" w:eastAsia="Times New Roman" w:hAnsi="Times New Roman"/>
          <w:color w:val="000000"/>
          <w:lang w:val="es-CO" w:eastAsia="es-MX"/>
        </w:rPr>
        <w:t>probación de acceso público al Sistema de Seguimiento, Monitoreo y Evaluación de las Políticas Públicas (SISEGETT)</w:t>
      </w:r>
      <w:r w:rsidR="00805EC2">
        <w:rPr>
          <w:rFonts w:ascii="Times New Roman" w:eastAsia="Times New Roman" w:hAnsi="Times New Roman"/>
          <w:color w:val="000000"/>
          <w:lang w:val="es-CO" w:eastAsia="es-MX"/>
        </w:rPr>
        <w:t>.</w:t>
      </w:r>
      <w:r w:rsidR="00805EC2">
        <w:rPr>
          <w:rStyle w:val="FootnoteReference"/>
          <w:rFonts w:ascii="Times New Roman" w:eastAsia="Times New Roman" w:hAnsi="Times New Roman"/>
          <w:color w:val="000000"/>
          <w:lang w:val="es-CO" w:eastAsia="es-MX"/>
        </w:rPr>
        <w:footnoteReference w:id="3"/>
      </w:r>
      <w:r w:rsidRPr="00C232C3">
        <w:rPr>
          <w:rFonts w:ascii="Times New Roman" w:eastAsia="Times New Roman" w:hAnsi="Times New Roman"/>
          <w:color w:val="000000"/>
          <w:lang w:val="es-CO" w:eastAsia="es-MX"/>
        </w:rPr>
        <w:t xml:space="preserve"> </w:t>
      </w:r>
    </w:p>
    <w:p w14:paraId="7FA4DE8E" w14:textId="244850D5" w:rsidR="006D5FEC" w:rsidRDefault="006D5FEC"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6D5FEC">
        <w:rPr>
          <w:rFonts w:ascii="Times New Roman" w:eastAsia="Times New Roman" w:hAnsi="Times New Roman"/>
          <w:color w:val="000000"/>
          <w:lang w:eastAsia="es-MX"/>
        </w:rPr>
        <w:t xml:space="preserve">La DPE resalta como positiva la creación de una estrategia de prevención de la trata con fines de explotación laboral para la localidad de Cotacachi, la cual busca educar y empoderar a </w:t>
      </w:r>
      <w:r w:rsidRPr="006D5FEC">
        <w:rPr>
          <w:rFonts w:ascii="Times New Roman" w:eastAsia="Times New Roman" w:hAnsi="Times New Roman"/>
          <w:color w:val="000000"/>
          <w:lang w:eastAsia="es-MX"/>
        </w:rPr>
        <w:lastRenderedPageBreak/>
        <w:t>las comunidades indígenas vulnerables. No obstante, esta estrategia debe replicarse en otras provincias, como Pichincha, Manabí, Guayas y El Oro, donde los índices de noticias del delito también son altos.</w:t>
      </w:r>
    </w:p>
    <w:p w14:paraId="47542E63" w14:textId="4EF9B0AA" w:rsidR="00C232C3" w:rsidRPr="00C232C3" w:rsidRDefault="00ED101C" w:rsidP="004425F9">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Pr>
          <w:rFonts w:ascii="Times New Roman" w:eastAsia="Times New Roman" w:hAnsi="Times New Roman"/>
          <w:color w:val="000000"/>
          <w:lang w:eastAsia="es-MX"/>
        </w:rPr>
        <w:t>Así también,</w:t>
      </w:r>
      <w:r w:rsidRPr="00ED101C">
        <w:rPr>
          <w:rFonts w:ascii="Times New Roman" w:eastAsia="Times New Roman" w:hAnsi="Times New Roman"/>
          <w:color w:val="000000"/>
          <w:lang w:eastAsia="es-MX"/>
        </w:rPr>
        <w:t xml:space="preserve"> el MDI y el sistema REGISTRATT han identificado 300 víctimas de trata entre 2021 y 2024, a quienes se ha brindado protección. Sin embargo, la DPE destaca la necesidad de empoderar a las víctimas para que denuncien y se les ofrezca un entorno seguro, previniendo la impunidad de los tratantes y garantizando la protección y sanción de estos delitos conforme a los derechos humanos.</w:t>
      </w:r>
      <w:r w:rsidR="00C232C3" w:rsidRPr="00C232C3">
        <w:rPr>
          <w:rFonts w:ascii="Times New Roman" w:eastAsia="Times New Roman" w:hAnsi="Times New Roman"/>
          <w:color w:val="000000"/>
          <w:lang w:val="es-CO" w:eastAsia="es-MX"/>
        </w:rPr>
        <w:t xml:space="preserve"> </w:t>
      </w:r>
    </w:p>
    <w:p w14:paraId="088A69CA" w14:textId="18A11FF7" w:rsidR="00FE0EA5" w:rsidRDefault="00C232C3" w:rsidP="002257E0">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C232C3">
        <w:rPr>
          <w:rFonts w:ascii="Times New Roman" w:eastAsia="Times New Roman" w:hAnsi="Times New Roman"/>
          <w:color w:val="000000"/>
          <w:lang w:val="es-CO" w:eastAsia="es-MX"/>
        </w:rPr>
        <w:t>Para no permitir la impunidad de las personas que ejercen delitos de trata de personas, es necesario empoderar a las víctimas de trata de personas y brindarles espacios seguros y de protección para que denuncien a las personas que están ejerciendo estas acciones contrarias a los derechos humanos y para que los servidores de las diferentes instituciones del Estado puedan realizar las atribuciones y responsabilidades que son de su competencia para tutelar y proteger a las víctimas y para sancionar a las personas que ejercen estos delitos. No pueden quedar estos delitos en la impunidad y no se puede permitir a los delincuentes actuar desde la impunidad y que sigan engañando a más personas inocentes para la trata de personas.</w:t>
      </w:r>
    </w:p>
    <w:p w14:paraId="604D9F9B" w14:textId="77777777" w:rsidR="00A7678E" w:rsidRPr="00C232C3" w:rsidRDefault="00A7678E" w:rsidP="00A7678E">
      <w:pPr>
        <w:autoSpaceDE w:val="0"/>
        <w:autoSpaceDN w:val="0"/>
        <w:adjustRightInd w:val="0"/>
        <w:spacing w:after="0" w:line="240" w:lineRule="auto"/>
        <w:ind w:firstLine="708"/>
        <w:jc w:val="both"/>
        <w:rPr>
          <w:rFonts w:ascii="Times New Roman" w:eastAsia="Times New Roman" w:hAnsi="Times New Roman"/>
          <w:color w:val="000000"/>
          <w:lang w:val="es-CO" w:eastAsia="es-MX"/>
        </w:rPr>
      </w:pPr>
    </w:p>
    <w:p w14:paraId="4109189D" w14:textId="77777777" w:rsidR="00491F7D" w:rsidRDefault="00AA282F" w:rsidP="00A7678E">
      <w:pPr>
        <w:numPr>
          <w:ilvl w:val="0"/>
          <w:numId w:val="17"/>
        </w:numPr>
        <w:tabs>
          <w:tab w:val="left" w:pos="851"/>
        </w:tabs>
        <w:spacing w:after="0" w:line="240" w:lineRule="auto"/>
        <w:jc w:val="both"/>
        <w:rPr>
          <w:rFonts w:ascii="Times New Roman" w:hAnsi="Times New Roman"/>
          <w:b/>
          <w:bCs/>
        </w:rPr>
      </w:pPr>
      <w:r w:rsidRPr="006C0661">
        <w:rPr>
          <w:rFonts w:ascii="Times New Roman" w:hAnsi="Times New Roman"/>
          <w:b/>
          <w:bCs/>
          <w:sz w:val="24"/>
          <w:szCs w:val="24"/>
        </w:rPr>
        <w:t>Ratificación de otros tratado</w:t>
      </w:r>
      <w:r w:rsidRPr="006C0661">
        <w:rPr>
          <w:rFonts w:ascii="Times New Roman" w:hAnsi="Times New Roman"/>
          <w:b/>
          <w:bCs/>
        </w:rPr>
        <w:t>s</w:t>
      </w:r>
    </w:p>
    <w:p w14:paraId="2833830F" w14:textId="77777777" w:rsidR="00276137" w:rsidRDefault="00276137" w:rsidP="00A7678E">
      <w:pPr>
        <w:autoSpaceDE w:val="0"/>
        <w:autoSpaceDN w:val="0"/>
        <w:adjustRightInd w:val="0"/>
        <w:spacing w:after="0" w:line="240" w:lineRule="auto"/>
        <w:ind w:firstLine="708"/>
        <w:jc w:val="both"/>
        <w:rPr>
          <w:rFonts w:ascii="Times New Roman" w:eastAsia="Times New Roman" w:hAnsi="Times New Roman"/>
          <w:color w:val="000000"/>
          <w:lang w:val="es-CO" w:eastAsia="es-MX"/>
        </w:rPr>
      </w:pPr>
    </w:p>
    <w:p w14:paraId="15021BA6" w14:textId="55AEA66D" w:rsidR="005E1EAF" w:rsidRPr="00FE0EA5" w:rsidRDefault="005E1EAF" w:rsidP="00A7678E">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FE0EA5">
        <w:rPr>
          <w:rFonts w:ascii="Times New Roman" w:eastAsia="Times New Roman" w:hAnsi="Times New Roman"/>
          <w:color w:val="000000"/>
          <w:lang w:val="es-CO" w:eastAsia="es-MX"/>
        </w:rPr>
        <w:t>En mayo de 2018, Ecuador suscribió el Protocolo Facultativo de la Convención sobre los Derechos del Niño relativo a un procedimiento de comunicaciones. Este instrumento permite a niñas, niños y adolescentes presentar denuncias directamente ante el Comité de los Derechos del Niño de la ONU por violaciones a sus derechos, una vez agotados los recursos judiciales nacionales o en caso de que estos se prolonguen de manera injustificada.</w:t>
      </w:r>
    </w:p>
    <w:p w14:paraId="0CEB7644" w14:textId="77777777" w:rsidR="005E1EAF" w:rsidRPr="00FE0EA5" w:rsidRDefault="005E1EAF" w:rsidP="00276137">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FE0EA5">
        <w:rPr>
          <w:rFonts w:ascii="Times New Roman" w:eastAsia="Times New Roman" w:hAnsi="Times New Roman"/>
          <w:color w:val="000000"/>
          <w:lang w:val="es-CO" w:eastAsia="es-MX"/>
        </w:rPr>
        <w:t>La ratificación de este protocolo reviste una importancia fundamental, ya que equipara la capacidad</w:t>
      </w:r>
      <w:r w:rsidR="00FE0EA5" w:rsidRPr="00FE0EA5">
        <w:rPr>
          <w:rFonts w:ascii="Times New Roman" w:eastAsia="Times New Roman" w:hAnsi="Times New Roman"/>
          <w:color w:val="000000"/>
          <w:lang w:val="es-CO" w:eastAsia="es-MX"/>
        </w:rPr>
        <w:t xml:space="preserve"> </w:t>
      </w:r>
      <w:r w:rsidRPr="00FE0EA5">
        <w:rPr>
          <w:rFonts w:ascii="Times New Roman" w:eastAsia="Times New Roman" w:hAnsi="Times New Roman"/>
          <w:color w:val="000000"/>
          <w:lang w:val="es-CO" w:eastAsia="es-MX"/>
        </w:rPr>
        <w:t>de los menores de edad con la de los adultos para exigir la protección de sus derechos a nivel internacional. En este sentido, Ecuador reconoce el derecho de los niños a ser escuchados en decisiones que impacten sus vidas, sin importar su edad. Este reconocimiento se refleja en disposiciones concretas del marco normativo nacional: a partir de los 12 años, los menores asumen responsabilidad penal; a los 15, pueden firmar contratos de trabajo; y a los 16, ejercer su derecho al voto.</w:t>
      </w:r>
    </w:p>
    <w:p w14:paraId="4024C2B4" w14:textId="77777777" w:rsidR="005E1EAF" w:rsidRDefault="005E1EAF" w:rsidP="00276137">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FE0EA5">
        <w:rPr>
          <w:rFonts w:ascii="Times New Roman" w:eastAsia="Times New Roman" w:hAnsi="Times New Roman"/>
          <w:color w:val="000000"/>
          <w:lang w:val="es-CO" w:eastAsia="es-MX"/>
        </w:rPr>
        <w:t>Ecuador ya ha ratificado los dos primeros protocolos facultativos de la Convención, que protegen a los niños en situaciones de conflicto armado y contra la explotación sexual. Esto refuerza la necesidad urgente de ratificar el presente protocolo para garantizar una protección integral y coherente de los derechos de la infancia en el país.</w:t>
      </w:r>
    </w:p>
    <w:p w14:paraId="5D4E4F7A" w14:textId="77777777" w:rsidR="008972DE" w:rsidRPr="006C0661" w:rsidRDefault="00AA282F" w:rsidP="00276137">
      <w:pPr>
        <w:pStyle w:val="ListParagraph"/>
        <w:numPr>
          <w:ilvl w:val="0"/>
          <w:numId w:val="17"/>
        </w:numPr>
        <w:tabs>
          <w:tab w:val="left" w:pos="851"/>
        </w:tabs>
        <w:spacing w:before="240" w:after="0" w:line="240" w:lineRule="auto"/>
        <w:jc w:val="both"/>
        <w:rPr>
          <w:rFonts w:ascii="Times New Roman" w:hAnsi="Times New Roman"/>
          <w:sz w:val="24"/>
          <w:szCs w:val="24"/>
        </w:rPr>
      </w:pPr>
      <w:r w:rsidRPr="006C0661">
        <w:rPr>
          <w:rFonts w:ascii="Times New Roman" w:hAnsi="Times New Roman"/>
          <w:b/>
          <w:sz w:val="24"/>
          <w:szCs w:val="24"/>
        </w:rPr>
        <w:t>Decenio Internacional de los Afrodescendientes</w:t>
      </w:r>
    </w:p>
    <w:p w14:paraId="204BDE3A" w14:textId="77777777" w:rsidR="006C0661" w:rsidRDefault="006C0661" w:rsidP="00276137">
      <w:pPr>
        <w:pStyle w:val="ListParagraph"/>
        <w:tabs>
          <w:tab w:val="left" w:pos="851"/>
        </w:tabs>
        <w:spacing w:before="240" w:after="0" w:line="240" w:lineRule="auto"/>
        <w:jc w:val="both"/>
        <w:rPr>
          <w:rFonts w:ascii="Times New Roman" w:hAnsi="Times New Roman"/>
        </w:rPr>
      </w:pPr>
    </w:p>
    <w:p w14:paraId="3DFACC0C" w14:textId="77777777" w:rsidR="00CD15A2" w:rsidRPr="00CD15A2" w:rsidRDefault="00CD15A2" w:rsidP="00CD15A2">
      <w:pPr>
        <w:autoSpaceDE w:val="0"/>
        <w:autoSpaceDN w:val="0"/>
        <w:adjustRightInd w:val="0"/>
        <w:spacing w:after="0" w:line="240" w:lineRule="auto"/>
        <w:ind w:firstLine="708"/>
        <w:jc w:val="both"/>
        <w:rPr>
          <w:rFonts w:ascii="Times New Roman" w:eastAsia="Times New Roman" w:hAnsi="Times New Roman"/>
          <w:color w:val="000000"/>
          <w:lang w:val="es-EC" w:eastAsia="es-MX"/>
        </w:rPr>
      </w:pPr>
      <w:r w:rsidRPr="00CD15A2">
        <w:rPr>
          <w:rFonts w:ascii="Times New Roman" w:eastAsia="Times New Roman" w:hAnsi="Times New Roman"/>
          <w:color w:val="000000"/>
          <w:lang w:val="es-EC" w:eastAsia="es-MX"/>
        </w:rPr>
        <w:t xml:space="preserve">La Asamblea General de la ONU proclamó el </w:t>
      </w:r>
      <w:r w:rsidRPr="00CD15A2">
        <w:rPr>
          <w:rFonts w:ascii="Times New Roman" w:eastAsia="Times New Roman" w:hAnsi="Times New Roman"/>
          <w:i/>
          <w:iCs/>
          <w:color w:val="000000"/>
          <w:lang w:val="es-EC" w:eastAsia="es-MX"/>
        </w:rPr>
        <w:t>Decenio Internacional de los Afrodescendientes</w:t>
      </w:r>
      <w:r w:rsidRPr="00CD15A2">
        <w:rPr>
          <w:rFonts w:ascii="Times New Roman" w:eastAsia="Times New Roman" w:hAnsi="Times New Roman"/>
          <w:color w:val="000000"/>
          <w:lang w:val="es-EC" w:eastAsia="es-MX"/>
        </w:rPr>
        <w:t xml:space="preserve"> (2014-2024) a través de la Resolución 68/237, con el fin de promover el respeto y el disfrute pleno de los derechos de las personas afrodescendientes. Esta iniciativa busca garantizar el acceso igualitario a derechos económicos, sociales, culturales, civiles y políticos, asegurando su participación justa en la sociedad. Ecuador adoptó esta iniciativa mediante el Decreto Ejecutivo </w:t>
      </w:r>
      <w:proofErr w:type="spellStart"/>
      <w:r w:rsidRPr="00CD15A2">
        <w:rPr>
          <w:rFonts w:ascii="Times New Roman" w:eastAsia="Times New Roman" w:hAnsi="Times New Roman"/>
          <w:color w:val="000000"/>
          <w:lang w:val="es-EC" w:eastAsia="es-MX"/>
        </w:rPr>
        <w:t>N°</w:t>
      </w:r>
      <w:proofErr w:type="spellEnd"/>
      <w:r w:rsidRPr="00CD15A2">
        <w:rPr>
          <w:rFonts w:ascii="Times New Roman" w:eastAsia="Times New Roman" w:hAnsi="Times New Roman"/>
          <w:color w:val="000000"/>
          <w:lang w:val="es-EC" w:eastAsia="es-MX"/>
        </w:rPr>
        <w:t xml:space="preserve"> 915 en 2016.</w:t>
      </w:r>
    </w:p>
    <w:p w14:paraId="5972AE23" w14:textId="77777777" w:rsidR="00CD15A2" w:rsidRPr="00CD15A2" w:rsidRDefault="00CD15A2" w:rsidP="00CD15A2">
      <w:pPr>
        <w:autoSpaceDE w:val="0"/>
        <w:autoSpaceDN w:val="0"/>
        <w:adjustRightInd w:val="0"/>
        <w:spacing w:after="0" w:line="240" w:lineRule="auto"/>
        <w:ind w:firstLine="708"/>
        <w:jc w:val="both"/>
        <w:rPr>
          <w:rFonts w:ascii="Times New Roman" w:eastAsia="Times New Roman" w:hAnsi="Times New Roman"/>
          <w:color w:val="000000"/>
          <w:lang w:val="es-EC" w:eastAsia="es-MX"/>
        </w:rPr>
      </w:pPr>
      <w:r w:rsidRPr="00CD15A2">
        <w:rPr>
          <w:rFonts w:ascii="Times New Roman" w:eastAsia="Times New Roman" w:hAnsi="Times New Roman"/>
          <w:color w:val="000000"/>
          <w:lang w:val="es-EC" w:eastAsia="es-MX"/>
        </w:rPr>
        <w:t xml:space="preserve">La Defensoría del Pueblo del Ecuador (DPE) emitió en respuesta la Resolución No. 073-DDDPE-2018, con base en una solicitud de la Comisión Nacional de Organizaciones Afroecuatorianas. Esta resolución aborda los problemas críticos que enfrenta la población afroecuatoriana, como el despojo de tierras, desplazamientos forzados, discriminación, criminalización y violencia. Para dar seguimiento, la DPE abrió el expediente </w:t>
      </w:r>
      <w:r w:rsidRPr="00CD15A2">
        <w:rPr>
          <w:rFonts w:ascii="Times New Roman" w:eastAsia="Times New Roman" w:hAnsi="Times New Roman"/>
          <w:i/>
          <w:iCs/>
          <w:color w:val="000000"/>
          <w:lang w:val="es-EC" w:eastAsia="es-MX"/>
        </w:rPr>
        <w:t>CASO-DPE-1701-</w:t>
      </w:r>
      <w:r w:rsidRPr="00CD15A2">
        <w:rPr>
          <w:rFonts w:ascii="Times New Roman" w:eastAsia="Times New Roman" w:hAnsi="Times New Roman"/>
          <w:i/>
          <w:iCs/>
          <w:color w:val="000000"/>
          <w:lang w:val="es-EC" w:eastAsia="es-MX"/>
        </w:rPr>
        <w:lastRenderedPageBreak/>
        <w:t>170121-308-2021-000002</w:t>
      </w:r>
      <w:r w:rsidRPr="00CD15A2">
        <w:rPr>
          <w:rFonts w:ascii="Times New Roman" w:eastAsia="Times New Roman" w:hAnsi="Times New Roman"/>
          <w:color w:val="000000"/>
          <w:lang w:val="es-EC" w:eastAsia="es-MX"/>
        </w:rPr>
        <w:t xml:space="preserve"> y estableció líneas de acción en conformidad con los estándares internacionales de derechos humanos.</w:t>
      </w:r>
    </w:p>
    <w:p w14:paraId="1F8F4ACF" w14:textId="77777777" w:rsidR="00CD15A2" w:rsidRPr="00CD15A2" w:rsidRDefault="00CD15A2" w:rsidP="00CD15A2">
      <w:pPr>
        <w:autoSpaceDE w:val="0"/>
        <w:autoSpaceDN w:val="0"/>
        <w:adjustRightInd w:val="0"/>
        <w:spacing w:after="0" w:line="240" w:lineRule="auto"/>
        <w:ind w:firstLine="708"/>
        <w:jc w:val="both"/>
        <w:rPr>
          <w:rFonts w:ascii="Times New Roman" w:eastAsia="Times New Roman" w:hAnsi="Times New Roman"/>
          <w:color w:val="000000"/>
          <w:lang w:val="es-EC" w:eastAsia="es-MX"/>
        </w:rPr>
      </w:pPr>
      <w:r w:rsidRPr="00CD15A2">
        <w:rPr>
          <w:rFonts w:ascii="Times New Roman" w:eastAsia="Times New Roman" w:hAnsi="Times New Roman"/>
          <w:color w:val="000000"/>
          <w:lang w:val="es-EC" w:eastAsia="es-MX"/>
        </w:rPr>
        <w:t>En el marco del Decenio, Ecuador ha estructurado su agenda en tres ejes: políticas afirmativas, promoción de la cultura afroecuatoriana y comunicación. Organismos como el Ministerio de Inclusión Económica y Social y la Asamblea Nacional son responsables de implementar estas políticas. No obstante, la DPE manifiesta preocupación por la falta de alineación entre estas acciones y los principios del Programa de la ONU, que promueven la igualdad, la educación inclusiva y la participación equitativa. La carencia de un informe acorde a las directrices internacionales ha limitado avances en políticas efectivas.</w:t>
      </w:r>
    </w:p>
    <w:p w14:paraId="5735B5B9" w14:textId="3AF3B05E" w:rsidR="00CD15A2" w:rsidRPr="00CD15A2" w:rsidRDefault="00CD15A2" w:rsidP="00CD15A2">
      <w:pPr>
        <w:autoSpaceDE w:val="0"/>
        <w:autoSpaceDN w:val="0"/>
        <w:adjustRightInd w:val="0"/>
        <w:spacing w:after="0" w:line="240" w:lineRule="auto"/>
        <w:ind w:firstLine="708"/>
        <w:jc w:val="both"/>
        <w:rPr>
          <w:rFonts w:ascii="Times New Roman" w:eastAsia="Times New Roman" w:hAnsi="Times New Roman"/>
          <w:color w:val="000000"/>
          <w:lang w:val="es-EC" w:eastAsia="es-MX"/>
        </w:rPr>
      </w:pPr>
      <w:r w:rsidRPr="00CD15A2">
        <w:rPr>
          <w:rFonts w:ascii="Times New Roman" w:eastAsia="Times New Roman" w:hAnsi="Times New Roman"/>
          <w:color w:val="000000"/>
          <w:lang w:val="es-EC" w:eastAsia="es-MX"/>
        </w:rPr>
        <w:t xml:space="preserve">Además, el último censo </w:t>
      </w:r>
      <w:r w:rsidRPr="000306B7">
        <w:rPr>
          <w:rFonts w:ascii="Times New Roman" w:eastAsia="Times New Roman" w:hAnsi="Times New Roman"/>
          <w:color w:val="000000"/>
          <w:lang w:val="es-CO" w:eastAsia="es-MX"/>
        </w:rPr>
        <w:t>VII</w:t>
      </w:r>
      <w:r w:rsidR="00F23ECB">
        <w:rPr>
          <w:rFonts w:ascii="Times New Roman" w:eastAsia="Times New Roman" w:hAnsi="Times New Roman"/>
          <w:color w:val="000000"/>
          <w:lang w:val="es-CO" w:eastAsia="es-MX"/>
        </w:rPr>
        <w:t>I de población y VII de vivienda</w:t>
      </w:r>
      <w:r w:rsidRPr="00CD15A2">
        <w:rPr>
          <w:rFonts w:ascii="Times New Roman" w:eastAsia="Times New Roman" w:hAnsi="Times New Roman"/>
          <w:color w:val="000000"/>
          <w:lang w:val="es-EC" w:eastAsia="es-MX"/>
        </w:rPr>
        <w:t xml:space="preserve"> mostró una disminución significativa de la población afroecuatoriana en comparación con 2010, lo cual fue catalogado como “etnocidio estadístico” y afecta el derecho de autodefinición e identidad colectiva de esta comunidad. Aunque se han reportado 4 políticas públicas, 9 programas y 35 proyectos para promover sus derechos, la falta de datos desglosados por edad y género dificulta evaluar su impacto.</w:t>
      </w:r>
    </w:p>
    <w:p w14:paraId="428961D5" w14:textId="77777777" w:rsidR="00CD15A2" w:rsidRPr="00CD15A2" w:rsidRDefault="00CD15A2" w:rsidP="00CD15A2">
      <w:pPr>
        <w:autoSpaceDE w:val="0"/>
        <w:autoSpaceDN w:val="0"/>
        <w:adjustRightInd w:val="0"/>
        <w:spacing w:after="0" w:line="240" w:lineRule="auto"/>
        <w:ind w:firstLine="708"/>
        <w:jc w:val="both"/>
        <w:rPr>
          <w:rFonts w:ascii="Times New Roman" w:eastAsia="Times New Roman" w:hAnsi="Times New Roman"/>
          <w:color w:val="000000"/>
          <w:lang w:val="es-EC" w:eastAsia="es-MX"/>
        </w:rPr>
      </w:pPr>
      <w:r w:rsidRPr="00CD15A2">
        <w:rPr>
          <w:rFonts w:ascii="Times New Roman" w:eastAsia="Times New Roman" w:hAnsi="Times New Roman"/>
          <w:color w:val="000000"/>
          <w:lang w:val="es-EC" w:eastAsia="es-MX"/>
        </w:rPr>
        <w:t>La DPE reitera su compromiso en defensa de los derechos afrodescendientes y exhorta al Estado ecuatoriano a adoptar acciones concretas alineadas a los principios de la ONU, promoviendo así una transformación efectiva en el reconocimiento y la inclusión de la población afroecuatoriana en Ecuador.</w:t>
      </w:r>
    </w:p>
    <w:p w14:paraId="0787FBF1" w14:textId="10879F66" w:rsidR="000306B7" w:rsidRPr="000306B7" w:rsidRDefault="000306B7" w:rsidP="00276137">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0306B7">
        <w:rPr>
          <w:rFonts w:ascii="Times New Roman" w:eastAsia="Times New Roman" w:hAnsi="Times New Roman"/>
          <w:color w:val="000000"/>
          <w:lang w:val="es-CO" w:eastAsia="es-MX"/>
        </w:rPr>
        <w:t>.</w:t>
      </w:r>
    </w:p>
    <w:p w14:paraId="6C5AFF32" w14:textId="77777777" w:rsidR="00F23ECB" w:rsidRDefault="00F23ECB" w:rsidP="006C0661">
      <w:pPr>
        <w:tabs>
          <w:tab w:val="left" w:pos="851"/>
        </w:tabs>
        <w:spacing w:before="240" w:after="0" w:line="276" w:lineRule="auto"/>
        <w:jc w:val="both"/>
        <w:rPr>
          <w:rFonts w:ascii="Times New Roman" w:hAnsi="Times New Roman"/>
          <w:b/>
          <w:bCs/>
          <w:sz w:val="24"/>
          <w:szCs w:val="24"/>
        </w:rPr>
      </w:pPr>
    </w:p>
    <w:p w14:paraId="7DD9519F" w14:textId="77777777" w:rsidR="00F23ECB" w:rsidRDefault="00F23ECB" w:rsidP="006C0661">
      <w:pPr>
        <w:tabs>
          <w:tab w:val="left" w:pos="851"/>
        </w:tabs>
        <w:spacing w:before="240" w:after="0" w:line="276" w:lineRule="auto"/>
        <w:jc w:val="both"/>
        <w:rPr>
          <w:rFonts w:ascii="Times New Roman" w:hAnsi="Times New Roman"/>
          <w:b/>
          <w:bCs/>
          <w:sz w:val="24"/>
          <w:szCs w:val="24"/>
        </w:rPr>
      </w:pPr>
    </w:p>
    <w:p w14:paraId="1C2A2E4F" w14:textId="77777777" w:rsidR="00F23ECB" w:rsidRDefault="00F23ECB" w:rsidP="006C0661">
      <w:pPr>
        <w:tabs>
          <w:tab w:val="left" w:pos="851"/>
        </w:tabs>
        <w:spacing w:before="240" w:after="0" w:line="276" w:lineRule="auto"/>
        <w:jc w:val="both"/>
        <w:rPr>
          <w:rFonts w:ascii="Times New Roman" w:hAnsi="Times New Roman"/>
          <w:b/>
          <w:bCs/>
          <w:sz w:val="24"/>
          <w:szCs w:val="24"/>
        </w:rPr>
      </w:pPr>
    </w:p>
    <w:p w14:paraId="2F1FBB63" w14:textId="77777777" w:rsidR="00F23ECB" w:rsidRDefault="00F23ECB" w:rsidP="006C0661">
      <w:pPr>
        <w:tabs>
          <w:tab w:val="left" w:pos="851"/>
        </w:tabs>
        <w:spacing w:before="240" w:after="0" w:line="276" w:lineRule="auto"/>
        <w:jc w:val="both"/>
        <w:rPr>
          <w:rFonts w:ascii="Times New Roman" w:hAnsi="Times New Roman"/>
          <w:b/>
          <w:bCs/>
          <w:sz w:val="24"/>
          <w:szCs w:val="24"/>
        </w:rPr>
      </w:pPr>
    </w:p>
    <w:p w14:paraId="7DF72700" w14:textId="77777777" w:rsidR="00F23ECB" w:rsidRDefault="00F23ECB" w:rsidP="006C0661">
      <w:pPr>
        <w:tabs>
          <w:tab w:val="left" w:pos="851"/>
        </w:tabs>
        <w:spacing w:before="240" w:after="0" w:line="276" w:lineRule="auto"/>
        <w:jc w:val="both"/>
        <w:rPr>
          <w:rFonts w:ascii="Times New Roman" w:hAnsi="Times New Roman"/>
          <w:b/>
          <w:bCs/>
          <w:sz w:val="24"/>
          <w:szCs w:val="24"/>
        </w:rPr>
      </w:pPr>
    </w:p>
    <w:p w14:paraId="1F64F472" w14:textId="77777777" w:rsidR="00E35447" w:rsidRDefault="00E35447" w:rsidP="006C0661">
      <w:pPr>
        <w:tabs>
          <w:tab w:val="left" w:pos="851"/>
        </w:tabs>
        <w:spacing w:before="240" w:after="0" w:line="276" w:lineRule="auto"/>
        <w:jc w:val="both"/>
        <w:rPr>
          <w:rFonts w:ascii="Times New Roman" w:hAnsi="Times New Roman"/>
          <w:b/>
          <w:bCs/>
          <w:sz w:val="24"/>
          <w:szCs w:val="24"/>
        </w:rPr>
      </w:pPr>
    </w:p>
    <w:p w14:paraId="1B9C728E" w14:textId="77777777" w:rsidR="00E35447" w:rsidRDefault="00E35447" w:rsidP="006C0661">
      <w:pPr>
        <w:tabs>
          <w:tab w:val="left" w:pos="851"/>
        </w:tabs>
        <w:spacing w:before="240" w:after="0" w:line="276" w:lineRule="auto"/>
        <w:jc w:val="both"/>
        <w:rPr>
          <w:rFonts w:ascii="Times New Roman" w:hAnsi="Times New Roman"/>
          <w:b/>
          <w:bCs/>
          <w:sz w:val="24"/>
          <w:szCs w:val="24"/>
        </w:rPr>
      </w:pPr>
    </w:p>
    <w:p w14:paraId="3DEDE562" w14:textId="77777777" w:rsidR="00E35447" w:rsidRDefault="00E35447" w:rsidP="006C0661">
      <w:pPr>
        <w:tabs>
          <w:tab w:val="left" w:pos="851"/>
        </w:tabs>
        <w:spacing w:before="240" w:after="0" w:line="276" w:lineRule="auto"/>
        <w:jc w:val="both"/>
        <w:rPr>
          <w:rFonts w:ascii="Times New Roman" w:hAnsi="Times New Roman"/>
          <w:b/>
          <w:bCs/>
          <w:sz w:val="24"/>
          <w:szCs w:val="24"/>
        </w:rPr>
      </w:pPr>
    </w:p>
    <w:p w14:paraId="23EA39C8" w14:textId="061F3313" w:rsidR="00A7678E" w:rsidRDefault="00A7678E">
      <w:pPr>
        <w:spacing w:after="0" w:line="240" w:lineRule="auto"/>
        <w:rPr>
          <w:rFonts w:ascii="Times New Roman" w:hAnsi="Times New Roman"/>
          <w:b/>
          <w:bCs/>
          <w:sz w:val="24"/>
          <w:szCs w:val="24"/>
        </w:rPr>
      </w:pPr>
      <w:r>
        <w:rPr>
          <w:rFonts w:ascii="Times New Roman" w:hAnsi="Times New Roman"/>
          <w:b/>
          <w:bCs/>
          <w:sz w:val="24"/>
          <w:szCs w:val="24"/>
        </w:rPr>
        <w:br w:type="page"/>
      </w:r>
    </w:p>
    <w:p w14:paraId="262F9BC6" w14:textId="6F6482B4" w:rsidR="00D803B5" w:rsidRPr="009B0E16" w:rsidRDefault="009B0E16" w:rsidP="006C0661">
      <w:pPr>
        <w:tabs>
          <w:tab w:val="left" w:pos="851"/>
        </w:tabs>
        <w:spacing w:before="240" w:after="0" w:line="276" w:lineRule="auto"/>
        <w:jc w:val="both"/>
        <w:rPr>
          <w:rFonts w:ascii="Times New Roman" w:hAnsi="Times New Roman"/>
          <w:b/>
          <w:bCs/>
          <w:sz w:val="24"/>
          <w:szCs w:val="24"/>
        </w:rPr>
      </w:pPr>
      <w:r w:rsidRPr="009B0E16">
        <w:rPr>
          <w:rFonts w:ascii="Times New Roman" w:hAnsi="Times New Roman"/>
          <w:b/>
          <w:bCs/>
          <w:sz w:val="24"/>
          <w:szCs w:val="24"/>
        </w:rPr>
        <w:lastRenderedPageBreak/>
        <w:t xml:space="preserve">Referencias </w:t>
      </w:r>
    </w:p>
    <w:p w14:paraId="0B77CFFA" w14:textId="77777777" w:rsidR="00EE713F" w:rsidRDefault="00EE713F" w:rsidP="009B0E16">
      <w:pPr>
        <w:tabs>
          <w:tab w:val="left" w:pos="851"/>
        </w:tabs>
        <w:spacing w:after="0" w:line="240" w:lineRule="auto"/>
        <w:ind w:left="567" w:hanging="567"/>
        <w:jc w:val="both"/>
        <w:rPr>
          <w:rFonts w:ascii="Times New Roman" w:hAnsi="Times New Roman"/>
          <w:sz w:val="24"/>
          <w:szCs w:val="24"/>
        </w:rPr>
      </w:pPr>
    </w:p>
    <w:p w14:paraId="0E726385" w14:textId="77777777" w:rsidR="000306B7" w:rsidRPr="000306B7" w:rsidRDefault="000306B7" w:rsidP="000306B7">
      <w:pPr>
        <w:pStyle w:val="Pa137"/>
        <w:spacing w:before="40" w:after="40"/>
        <w:ind w:hanging="680"/>
        <w:jc w:val="both"/>
        <w:rPr>
          <w:rFonts w:ascii="Times New Roman" w:hAnsi="Times New Roman"/>
          <w:color w:val="000000"/>
          <w:sz w:val="22"/>
          <w:szCs w:val="22"/>
          <w:lang w:val="es-ES"/>
        </w:rPr>
      </w:pPr>
      <w:r w:rsidRPr="000306B7">
        <w:rPr>
          <w:rFonts w:ascii="Times New Roman" w:hAnsi="Times New Roman"/>
          <w:color w:val="000000"/>
          <w:sz w:val="22"/>
          <w:szCs w:val="22"/>
        </w:rPr>
        <w:t>ACNUR</w:t>
      </w:r>
      <w:r w:rsidRPr="000306B7">
        <w:rPr>
          <w:rFonts w:ascii="Times New Roman" w:hAnsi="Times New Roman"/>
          <w:i/>
          <w:iCs/>
          <w:color w:val="000000"/>
          <w:sz w:val="22"/>
          <w:szCs w:val="22"/>
        </w:rPr>
        <w:t xml:space="preserve">. </w:t>
      </w:r>
      <w:r w:rsidRPr="000306B7">
        <w:rPr>
          <w:rFonts w:ascii="Times New Roman" w:hAnsi="Times New Roman"/>
          <w:color w:val="000000"/>
          <w:sz w:val="22"/>
          <w:szCs w:val="22"/>
        </w:rPr>
        <w:t xml:space="preserve">Agencia de la ONU para los Refugiados. (14 de marzo de 2023). </w:t>
      </w:r>
      <w:r w:rsidRPr="000306B7">
        <w:rPr>
          <w:rFonts w:ascii="Times New Roman" w:hAnsi="Times New Roman"/>
          <w:i/>
          <w:iCs/>
          <w:color w:val="000000"/>
          <w:sz w:val="22"/>
          <w:szCs w:val="22"/>
        </w:rPr>
        <w:t xml:space="preserve">93 por ciento en movilidad humana en Ecuador sufrieron violencia de género durante su desplazamiento. </w:t>
      </w:r>
      <w:r w:rsidRPr="000306B7">
        <w:rPr>
          <w:rFonts w:ascii="Times New Roman" w:hAnsi="Times New Roman"/>
          <w:color w:val="000000"/>
          <w:sz w:val="22"/>
          <w:szCs w:val="22"/>
          <w:lang w:val="es-ES"/>
        </w:rPr>
        <w:t>https://www.acnur.org/noticias/comunicados-de-prensa/93-por-ciento-de-las-mujeres-en-movilidad-humana-en-ecuador#:~:text=Comunicados%20de%20prensa-,93%20por%20ciento%20de%20las%20mujeres%20en%20movilidad%20humana%20en,referencial%20de%20ACNUR%20y%20HIAS.</w:t>
      </w:r>
    </w:p>
    <w:p w14:paraId="5560938C" w14:textId="77777777" w:rsidR="00EE713F" w:rsidRPr="00D349E1" w:rsidRDefault="00A910E4" w:rsidP="00EE713F">
      <w:pPr>
        <w:pStyle w:val="Pa139"/>
        <w:spacing w:before="120" w:after="40"/>
        <w:ind w:hanging="680"/>
        <w:jc w:val="both"/>
        <w:rPr>
          <w:rFonts w:ascii="Times New Roman" w:hAnsi="Times New Roman"/>
          <w:color w:val="000000"/>
          <w:sz w:val="22"/>
          <w:szCs w:val="22"/>
        </w:rPr>
      </w:pPr>
      <w:r w:rsidRPr="00D349E1">
        <w:rPr>
          <w:rFonts w:ascii="Times New Roman" w:hAnsi="Times New Roman"/>
          <w:i/>
          <w:iCs/>
          <w:color w:val="000000"/>
          <w:sz w:val="22"/>
          <w:szCs w:val="22"/>
        </w:rPr>
        <w:t>Constitución de la República del Ecuador</w:t>
      </w:r>
      <w:r w:rsidRPr="00D349E1">
        <w:rPr>
          <w:rFonts w:ascii="Times New Roman" w:hAnsi="Times New Roman"/>
          <w:color w:val="000000"/>
          <w:sz w:val="22"/>
          <w:szCs w:val="22"/>
        </w:rPr>
        <w:t>. (20 de octubre de 2008). Registro Oficial n.° 449.</w:t>
      </w:r>
    </w:p>
    <w:p w14:paraId="75093E78" w14:textId="77777777" w:rsidR="00EE713F" w:rsidRPr="00D349E1" w:rsidRDefault="00EE713F" w:rsidP="00EE713F">
      <w:pPr>
        <w:pStyle w:val="Pa139"/>
        <w:spacing w:before="120" w:after="40"/>
        <w:ind w:hanging="680"/>
        <w:jc w:val="both"/>
        <w:rPr>
          <w:rStyle w:val="Hyperlink"/>
          <w:rFonts w:ascii="Times New Roman" w:hAnsi="Times New Roman"/>
          <w:color w:val="auto"/>
          <w:sz w:val="22"/>
          <w:szCs w:val="22"/>
          <w:u w:val="none"/>
        </w:rPr>
      </w:pPr>
      <w:r w:rsidRPr="00D349E1">
        <w:rPr>
          <w:rFonts w:ascii="Times New Roman" w:hAnsi="Times New Roman"/>
          <w:sz w:val="22"/>
          <w:szCs w:val="22"/>
        </w:rPr>
        <w:t>Campos, S.</w:t>
      </w:r>
      <w:r w:rsidRPr="00D349E1">
        <w:rPr>
          <w:rFonts w:ascii="Times New Roman" w:hAnsi="Times New Roman"/>
          <w:i/>
          <w:iCs/>
          <w:sz w:val="22"/>
          <w:szCs w:val="22"/>
        </w:rPr>
        <w:t xml:space="preserve"> </w:t>
      </w:r>
      <w:r w:rsidRPr="00D349E1">
        <w:rPr>
          <w:rFonts w:ascii="Times New Roman" w:hAnsi="Times New Roman"/>
          <w:sz w:val="22"/>
          <w:szCs w:val="22"/>
        </w:rPr>
        <w:t xml:space="preserve">[Shirley]. (2009). La Convención sobre los Derechos del Niño: el cambio de paradigma y el acceso a la justicia. </w:t>
      </w:r>
      <w:r w:rsidRPr="00D349E1">
        <w:rPr>
          <w:rFonts w:ascii="Times New Roman" w:hAnsi="Times New Roman"/>
          <w:i/>
          <w:iCs/>
          <w:sz w:val="22"/>
          <w:szCs w:val="22"/>
        </w:rPr>
        <w:t xml:space="preserve">Revista IIDH, </w:t>
      </w:r>
      <w:r w:rsidRPr="00D349E1">
        <w:rPr>
          <w:rFonts w:ascii="Times New Roman" w:hAnsi="Times New Roman"/>
          <w:sz w:val="22"/>
          <w:szCs w:val="22"/>
        </w:rPr>
        <w:t xml:space="preserve">50, 351-377. </w:t>
      </w:r>
      <w:hyperlink r:id="rId17" w:history="1">
        <w:r w:rsidRPr="00D349E1">
          <w:rPr>
            <w:rStyle w:val="Hyperlink"/>
            <w:rFonts w:ascii="Times New Roman" w:hAnsi="Times New Roman"/>
            <w:color w:val="auto"/>
            <w:sz w:val="22"/>
            <w:szCs w:val="22"/>
            <w:u w:val="none"/>
          </w:rPr>
          <w:t>https://biblioteca.corteidh.or.cr/tablas/r25553.pdf</w:t>
        </w:r>
      </w:hyperlink>
    </w:p>
    <w:p w14:paraId="7EAE6EE9" w14:textId="77777777" w:rsidR="00EE713F" w:rsidRPr="00D349E1" w:rsidRDefault="00EE713F" w:rsidP="00EE713F">
      <w:pPr>
        <w:pStyle w:val="Pa139"/>
        <w:spacing w:before="120" w:after="40"/>
        <w:ind w:hanging="680"/>
        <w:jc w:val="both"/>
        <w:rPr>
          <w:rFonts w:ascii="Times New Roman" w:hAnsi="Times New Roman"/>
          <w:sz w:val="22"/>
          <w:szCs w:val="22"/>
        </w:rPr>
      </w:pPr>
      <w:r w:rsidRPr="00D349E1">
        <w:rPr>
          <w:rFonts w:ascii="Times New Roman" w:hAnsi="Times New Roman"/>
          <w:sz w:val="22"/>
          <w:szCs w:val="22"/>
        </w:rPr>
        <w:t xml:space="preserve">Comité de los Derechos del Niño. (CDN). (2005). </w:t>
      </w:r>
      <w:r w:rsidRPr="00D349E1">
        <w:rPr>
          <w:rFonts w:ascii="Times New Roman" w:hAnsi="Times New Roman"/>
          <w:i/>
          <w:iCs/>
          <w:sz w:val="22"/>
          <w:szCs w:val="22"/>
        </w:rPr>
        <w:t xml:space="preserve">Observación General No. 7: Realización de los derechos del niño en la primera infancia. </w:t>
      </w:r>
      <w:hyperlink r:id="rId18" w:history="1">
        <w:r w:rsidRPr="00D349E1">
          <w:rPr>
            <w:rStyle w:val="Hyperlink"/>
            <w:rFonts w:ascii="Times New Roman" w:hAnsi="Times New Roman"/>
            <w:color w:val="auto"/>
            <w:sz w:val="22"/>
            <w:szCs w:val="22"/>
            <w:u w:val="none"/>
          </w:rPr>
          <w:t>https://www.acnur.org/fileadmin/Documentos/BDL/2010/8019.pdf</w:t>
        </w:r>
      </w:hyperlink>
    </w:p>
    <w:p w14:paraId="04E1E173" w14:textId="77777777" w:rsidR="00EE713F" w:rsidRPr="00D349E1" w:rsidRDefault="00EE713F" w:rsidP="00EE713F">
      <w:pPr>
        <w:pStyle w:val="Pa139"/>
        <w:spacing w:before="120" w:after="40"/>
        <w:ind w:hanging="680"/>
        <w:jc w:val="both"/>
        <w:rPr>
          <w:rStyle w:val="Hyperlink"/>
          <w:rFonts w:ascii="Times New Roman" w:hAnsi="Times New Roman"/>
          <w:color w:val="auto"/>
          <w:sz w:val="22"/>
          <w:szCs w:val="22"/>
          <w:u w:val="none"/>
        </w:rPr>
      </w:pPr>
      <w:r w:rsidRPr="00D349E1">
        <w:rPr>
          <w:rFonts w:ascii="Times New Roman" w:hAnsi="Times New Roman"/>
          <w:sz w:val="22"/>
          <w:szCs w:val="22"/>
        </w:rPr>
        <w:t xml:space="preserve">Comité de los Derechos del Niño. (2009). (CDN) </w:t>
      </w:r>
      <w:r w:rsidRPr="00D349E1">
        <w:rPr>
          <w:rFonts w:ascii="Times New Roman" w:hAnsi="Times New Roman"/>
          <w:i/>
          <w:iCs/>
          <w:sz w:val="22"/>
          <w:szCs w:val="22"/>
        </w:rPr>
        <w:t xml:space="preserve">Observación General No. 12: El derecho del niño a ser escuchado. </w:t>
      </w:r>
      <w:hyperlink r:id="rId19" w:history="1">
        <w:r w:rsidRPr="00D349E1">
          <w:rPr>
            <w:rStyle w:val="Hyperlink"/>
            <w:rFonts w:ascii="Times New Roman" w:hAnsi="Times New Roman"/>
            <w:color w:val="auto"/>
            <w:sz w:val="22"/>
            <w:szCs w:val="22"/>
            <w:u w:val="none"/>
          </w:rPr>
          <w:t>https://www.acnur.org/fileadmin/Documentos/BDL/2011/7532.pdf</w:t>
        </w:r>
      </w:hyperlink>
    </w:p>
    <w:p w14:paraId="6892B58B" w14:textId="77777777" w:rsidR="00C4191B" w:rsidRPr="00D349E1" w:rsidRDefault="00EE713F" w:rsidP="00C4191B">
      <w:pPr>
        <w:pStyle w:val="Pa139"/>
        <w:spacing w:before="120" w:after="40"/>
        <w:ind w:hanging="680"/>
        <w:jc w:val="both"/>
        <w:rPr>
          <w:rStyle w:val="Hyperlink"/>
          <w:rFonts w:ascii="Times New Roman" w:hAnsi="Times New Roman"/>
          <w:color w:val="auto"/>
          <w:sz w:val="22"/>
          <w:szCs w:val="22"/>
          <w:u w:val="none"/>
        </w:rPr>
      </w:pPr>
      <w:r w:rsidRPr="00D349E1">
        <w:rPr>
          <w:rFonts w:ascii="Times New Roman" w:hAnsi="Times New Roman"/>
          <w:sz w:val="22"/>
          <w:szCs w:val="22"/>
        </w:rPr>
        <w:t xml:space="preserve">Corte Interamericana de Derechos Humanos. (Corte IDH). (2006).  </w:t>
      </w:r>
      <w:r w:rsidRPr="00D349E1">
        <w:rPr>
          <w:rFonts w:ascii="Times New Roman" w:hAnsi="Times New Roman"/>
          <w:i/>
          <w:iCs/>
          <w:sz w:val="22"/>
          <w:szCs w:val="22"/>
        </w:rPr>
        <w:t xml:space="preserve">Sentencia del Caso Comunidad Indígena </w:t>
      </w:r>
      <w:proofErr w:type="spellStart"/>
      <w:r w:rsidRPr="00D349E1">
        <w:rPr>
          <w:rFonts w:ascii="Times New Roman" w:hAnsi="Times New Roman"/>
          <w:i/>
          <w:iCs/>
          <w:sz w:val="22"/>
          <w:szCs w:val="22"/>
        </w:rPr>
        <w:t>Sawhoyamaxa</w:t>
      </w:r>
      <w:proofErr w:type="spellEnd"/>
      <w:r w:rsidRPr="00D349E1">
        <w:rPr>
          <w:rFonts w:ascii="Times New Roman" w:hAnsi="Times New Roman"/>
          <w:i/>
          <w:iCs/>
          <w:sz w:val="22"/>
          <w:szCs w:val="22"/>
        </w:rPr>
        <w:t xml:space="preserve"> Vs. Paraguay de 29 de marzo de 2006.</w:t>
      </w:r>
      <w:r w:rsidRPr="00D349E1">
        <w:rPr>
          <w:rFonts w:ascii="Times New Roman" w:hAnsi="Times New Roman"/>
          <w:sz w:val="22"/>
          <w:szCs w:val="22"/>
        </w:rPr>
        <w:t xml:space="preserve"> </w:t>
      </w:r>
      <w:hyperlink r:id="rId20" w:history="1">
        <w:r w:rsidRPr="00D349E1">
          <w:rPr>
            <w:rStyle w:val="Hyperlink"/>
            <w:rFonts w:ascii="Times New Roman" w:hAnsi="Times New Roman"/>
            <w:color w:val="auto"/>
            <w:sz w:val="22"/>
            <w:szCs w:val="22"/>
            <w:u w:val="none"/>
          </w:rPr>
          <w:t>https://www.corteidh.or.cr/docs/casos/articulos/seriec_146_esp2.pdf</w:t>
        </w:r>
      </w:hyperlink>
    </w:p>
    <w:p w14:paraId="5F4B7B3F" w14:textId="77777777" w:rsidR="00C4191B" w:rsidRPr="00D349E1" w:rsidRDefault="00C4191B" w:rsidP="00C4191B">
      <w:pPr>
        <w:pStyle w:val="Pa132"/>
        <w:spacing w:before="120" w:after="40"/>
        <w:ind w:hanging="680"/>
        <w:rPr>
          <w:rFonts w:ascii="Times New Roman" w:hAnsi="Times New Roman"/>
          <w:color w:val="000000"/>
          <w:sz w:val="22"/>
          <w:szCs w:val="22"/>
        </w:rPr>
      </w:pPr>
      <w:r w:rsidRPr="00D349E1">
        <w:rPr>
          <w:rFonts w:ascii="Times New Roman" w:hAnsi="Times New Roman"/>
          <w:color w:val="000000"/>
          <w:sz w:val="22"/>
          <w:szCs w:val="22"/>
        </w:rPr>
        <w:t xml:space="preserve">Defensoría del Pueblo de Ecuador. Defensoría del Pueblo de Colombia. (2023). </w:t>
      </w:r>
      <w:r w:rsidRPr="00D349E1">
        <w:rPr>
          <w:rFonts w:ascii="Times New Roman" w:hAnsi="Times New Roman"/>
          <w:i/>
          <w:iCs/>
          <w:color w:val="000000"/>
          <w:sz w:val="22"/>
          <w:szCs w:val="22"/>
        </w:rPr>
        <w:t xml:space="preserve">Documento </w:t>
      </w:r>
      <w:r w:rsidRPr="00D349E1">
        <w:rPr>
          <w:rFonts w:ascii="Times New Roman" w:hAnsi="Times New Roman"/>
          <w:i/>
          <w:iCs/>
          <w:sz w:val="22"/>
          <w:szCs w:val="22"/>
        </w:rPr>
        <w:t>Alerta temprana binacional No. 001-2023</w:t>
      </w:r>
      <w:r w:rsidRPr="00D349E1">
        <w:rPr>
          <w:rFonts w:ascii="Times New Roman" w:hAnsi="Times New Roman"/>
          <w:color w:val="000000"/>
          <w:sz w:val="22"/>
          <w:szCs w:val="22"/>
        </w:rPr>
        <w:t xml:space="preserve">. </w:t>
      </w:r>
    </w:p>
    <w:p w14:paraId="6DC41359" w14:textId="77777777" w:rsidR="00A910E4" w:rsidRPr="00D349E1" w:rsidRDefault="00A910E4" w:rsidP="00A910E4">
      <w:pPr>
        <w:pStyle w:val="Pa137"/>
        <w:spacing w:before="40" w:after="40"/>
        <w:ind w:hanging="680"/>
        <w:jc w:val="both"/>
        <w:rPr>
          <w:rFonts w:ascii="Times New Roman" w:hAnsi="Times New Roman"/>
          <w:color w:val="000000"/>
          <w:sz w:val="22"/>
          <w:szCs w:val="22"/>
        </w:rPr>
      </w:pPr>
      <w:r w:rsidRPr="00D349E1">
        <w:rPr>
          <w:rStyle w:val="A6"/>
          <w:rFonts w:ascii="Times New Roman" w:hAnsi="Times New Roman" w:cs="Times New Roman"/>
        </w:rPr>
        <w:t xml:space="preserve">Defensoría del Pueblo de Ecuador. (2024). </w:t>
      </w:r>
      <w:r w:rsidRPr="00D349E1">
        <w:rPr>
          <w:rStyle w:val="A6"/>
          <w:rFonts w:ascii="Times New Roman" w:hAnsi="Times New Roman" w:cs="Times New Roman"/>
          <w:i/>
          <w:iCs/>
        </w:rPr>
        <w:t xml:space="preserve">Soporte </w:t>
      </w:r>
      <w:r w:rsidRPr="00D349E1">
        <w:rPr>
          <w:rFonts w:ascii="Times New Roman" w:hAnsi="Times New Roman"/>
          <w:sz w:val="22"/>
          <w:szCs w:val="22"/>
        </w:rPr>
        <w:t>Explorando los horizontes de la Movilidad Humana: Situación Humanitaria y Derechos Humanos en Ecuador</w:t>
      </w:r>
      <w:r w:rsidRPr="00D349E1">
        <w:rPr>
          <w:rStyle w:val="A6"/>
          <w:rFonts w:ascii="Times New Roman" w:hAnsi="Times New Roman" w:cs="Times New Roman"/>
        </w:rPr>
        <w:t xml:space="preserve">. Autoedición. </w:t>
      </w:r>
      <w:r w:rsidRPr="00D349E1">
        <w:rPr>
          <w:rFonts w:ascii="Times New Roman" w:hAnsi="Times New Roman"/>
          <w:color w:val="000000"/>
          <w:sz w:val="22"/>
          <w:szCs w:val="22"/>
          <w:lang w:val="es-ES"/>
        </w:rPr>
        <w:t>https://repositorio.dpe.gob.ec/handle/39000/3580</w:t>
      </w:r>
      <w:r w:rsidRPr="00D349E1">
        <w:rPr>
          <w:rStyle w:val="A6"/>
          <w:rFonts w:ascii="Times New Roman" w:hAnsi="Times New Roman" w:cs="Times New Roman"/>
        </w:rPr>
        <w:t xml:space="preserve">. </w:t>
      </w:r>
    </w:p>
    <w:p w14:paraId="16273A04" w14:textId="77777777" w:rsidR="00B579D5" w:rsidRPr="00D349E1" w:rsidRDefault="009B0E16" w:rsidP="00C4191B">
      <w:pPr>
        <w:pStyle w:val="Pa129"/>
        <w:spacing w:before="120" w:after="120"/>
        <w:ind w:hanging="680"/>
        <w:jc w:val="both"/>
        <w:rPr>
          <w:rFonts w:ascii="Times New Roman" w:hAnsi="Times New Roman"/>
          <w:i/>
          <w:iCs/>
          <w:color w:val="000000"/>
          <w:sz w:val="22"/>
          <w:szCs w:val="22"/>
        </w:rPr>
      </w:pPr>
      <w:r w:rsidRPr="00D349E1">
        <w:rPr>
          <w:rFonts w:ascii="Times New Roman" w:hAnsi="Times New Roman"/>
          <w:i/>
          <w:iCs/>
          <w:color w:val="000000"/>
          <w:sz w:val="22"/>
          <w:szCs w:val="22"/>
        </w:rPr>
        <w:t xml:space="preserve">Decreto Ejecutivo n.º </w:t>
      </w:r>
      <w:r w:rsidR="00B579D5" w:rsidRPr="00D349E1">
        <w:rPr>
          <w:rFonts w:ascii="Times New Roman" w:hAnsi="Times New Roman"/>
          <w:i/>
          <w:iCs/>
          <w:color w:val="000000"/>
          <w:sz w:val="22"/>
          <w:szCs w:val="22"/>
        </w:rPr>
        <w:t>826</w:t>
      </w:r>
      <w:r w:rsidRPr="00D349E1">
        <w:rPr>
          <w:rFonts w:ascii="Times New Roman" w:hAnsi="Times New Roman"/>
          <w:i/>
          <w:iCs/>
          <w:color w:val="000000"/>
          <w:sz w:val="22"/>
          <w:szCs w:val="22"/>
        </w:rPr>
        <w:t xml:space="preserve">. </w:t>
      </w:r>
      <w:r w:rsidR="00B579D5" w:rsidRPr="00D349E1">
        <w:rPr>
          <w:rFonts w:ascii="Times New Roman" w:hAnsi="Times New Roman"/>
          <w:color w:val="000000"/>
          <w:sz w:val="22"/>
          <w:szCs w:val="22"/>
        </w:rPr>
        <w:t>Amnistía migratoria para todas las personas de nacionalidad venezolana que no hubiesen violado las leyes de la República del Ecuador</w:t>
      </w:r>
      <w:r w:rsidRPr="00D349E1">
        <w:rPr>
          <w:rFonts w:ascii="Times New Roman" w:hAnsi="Times New Roman"/>
          <w:color w:val="000000"/>
          <w:sz w:val="22"/>
          <w:szCs w:val="22"/>
        </w:rPr>
        <w:t>.</w:t>
      </w:r>
      <w:r w:rsidRPr="00D349E1">
        <w:rPr>
          <w:rFonts w:ascii="Times New Roman" w:hAnsi="Times New Roman"/>
          <w:i/>
          <w:iCs/>
          <w:color w:val="000000"/>
          <w:sz w:val="22"/>
          <w:szCs w:val="22"/>
        </w:rPr>
        <w:t xml:space="preserve"> (</w:t>
      </w:r>
      <w:r w:rsidR="00B579D5" w:rsidRPr="00D349E1">
        <w:rPr>
          <w:rFonts w:ascii="Times New Roman" w:hAnsi="Times New Roman"/>
          <w:i/>
          <w:iCs/>
          <w:color w:val="000000"/>
          <w:sz w:val="22"/>
          <w:szCs w:val="22"/>
        </w:rPr>
        <w:t>26 de julio</w:t>
      </w:r>
      <w:r w:rsidRPr="00D349E1">
        <w:rPr>
          <w:rFonts w:ascii="Times New Roman" w:hAnsi="Times New Roman"/>
          <w:i/>
          <w:iCs/>
          <w:color w:val="000000"/>
          <w:sz w:val="22"/>
          <w:szCs w:val="22"/>
        </w:rPr>
        <w:t xml:space="preserve"> de 2019).  Registro Oficial n.º 5</w:t>
      </w:r>
      <w:r w:rsidR="00B579D5" w:rsidRPr="00D349E1">
        <w:rPr>
          <w:rFonts w:ascii="Times New Roman" w:hAnsi="Times New Roman"/>
          <w:i/>
          <w:iCs/>
          <w:color w:val="000000"/>
          <w:sz w:val="22"/>
          <w:szCs w:val="22"/>
        </w:rPr>
        <w:t>.</w:t>
      </w:r>
    </w:p>
    <w:p w14:paraId="79E96884" w14:textId="77777777" w:rsidR="00B579D5" w:rsidRPr="00D349E1" w:rsidRDefault="00B579D5" w:rsidP="00C4191B">
      <w:pPr>
        <w:pStyle w:val="Pa129"/>
        <w:spacing w:before="120" w:after="120"/>
        <w:ind w:hanging="680"/>
        <w:jc w:val="both"/>
        <w:rPr>
          <w:rFonts w:ascii="Times New Roman" w:hAnsi="Times New Roman"/>
          <w:i/>
          <w:iCs/>
          <w:color w:val="000000"/>
          <w:sz w:val="22"/>
          <w:szCs w:val="22"/>
        </w:rPr>
      </w:pPr>
      <w:r w:rsidRPr="00D349E1">
        <w:rPr>
          <w:rFonts w:ascii="Times New Roman" w:hAnsi="Times New Roman"/>
          <w:i/>
          <w:iCs/>
          <w:color w:val="000000"/>
          <w:sz w:val="22"/>
          <w:szCs w:val="22"/>
        </w:rPr>
        <w:t>Decreto Ejecutivo n.º 436</w:t>
      </w:r>
      <w:r w:rsidRPr="00D349E1">
        <w:rPr>
          <w:rFonts w:ascii="Times New Roman" w:hAnsi="Times New Roman"/>
          <w:color w:val="000000"/>
          <w:sz w:val="22"/>
          <w:szCs w:val="22"/>
        </w:rPr>
        <w:t>. Concede amnistía migratoria y proceso de regularización extraordinario a personas de nacionalidad venezolana y su grupo familiar otorgándoles una Visa de residencia temporal de excepción para personas venezolanas denominada VIRTE. (15 de junio de 2022).  Registro Oficial n.º 436.</w:t>
      </w:r>
    </w:p>
    <w:p w14:paraId="0A5B9195" w14:textId="77777777" w:rsidR="00B579D5" w:rsidRDefault="00B579D5" w:rsidP="00C4191B">
      <w:pPr>
        <w:pStyle w:val="Pa129"/>
        <w:spacing w:before="120" w:after="120"/>
        <w:ind w:hanging="680"/>
        <w:jc w:val="both"/>
        <w:rPr>
          <w:rFonts w:ascii="Times New Roman" w:hAnsi="Times New Roman"/>
          <w:color w:val="000000"/>
          <w:sz w:val="22"/>
          <w:szCs w:val="22"/>
        </w:rPr>
      </w:pPr>
      <w:r w:rsidRPr="00D349E1">
        <w:rPr>
          <w:rFonts w:ascii="Times New Roman" w:hAnsi="Times New Roman"/>
          <w:i/>
          <w:iCs/>
          <w:color w:val="000000"/>
          <w:sz w:val="22"/>
          <w:szCs w:val="22"/>
        </w:rPr>
        <w:t xml:space="preserve">Decreto Ejecutivo n.º 370. </w:t>
      </w:r>
      <w:r w:rsidRPr="00D349E1">
        <w:rPr>
          <w:rFonts w:ascii="Times New Roman" w:hAnsi="Times New Roman"/>
          <w:color w:val="000000"/>
          <w:sz w:val="22"/>
          <w:szCs w:val="22"/>
        </w:rPr>
        <w:t>Concede</w:t>
      </w:r>
      <w:r w:rsidR="00A910E4" w:rsidRPr="00D349E1">
        <w:rPr>
          <w:rFonts w:ascii="Times New Roman" w:hAnsi="Times New Roman"/>
          <w:color w:val="000000"/>
          <w:sz w:val="22"/>
          <w:szCs w:val="22"/>
        </w:rPr>
        <w:t>r amnistía migratoria y un proceso extraordinario de regularización para personas de nacionalidad venezolana en situación de movilidad humana y su grupo familiar que cuenten con el certificado de registro de permanencia migratoria caducado y no hayan obtenido un visado dentro de los anteriores procesos de regularizaciones VIRTE II</w:t>
      </w:r>
      <w:r w:rsidRPr="00D349E1">
        <w:rPr>
          <w:rFonts w:ascii="Times New Roman" w:hAnsi="Times New Roman"/>
          <w:color w:val="000000"/>
          <w:sz w:val="22"/>
          <w:szCs w:val="22"/>
        </w:rPr>
        <w:t>. (</w:t>
      </w:r>
      <w:r w:rsidR="00A910E4" w:rsidRPr="00D349E1">
        <w:rPr>
          <w:rFonts w:ascii="Times New Roman" w:hAnsi="Times New Roman"/>
          <w:color w:val="000000"/>
          <w:sz w:val="22"/>
          <w:szCs w:val="22"/>
        </w:rPr>
        <w:t>23</w:t>
      </w:r>
      <w:r w:rsidRPr="00D349E1">
        <w:rPr>
          <w:rFonts w:ascii="Times New Roman" w:hAnsi="Times New Roman"/>
          <w:color w:val="000000"/>
          <w:sz w:val="22"/>
          <w:szCs w:val="22"/>
        </w:rPr>
        <w:t xml:space="preserve"> de </w:t>
      </w:r>
      <w:r w:rsidR="00A910E4" w:rsidRPr="00D349E1">
        <w:rPr>
          <w:rFonts w:ascii="Times New Roman" w:hAnsi="Times New Roman"/>
          <w:color w:val="000000"/>
          <w:sz w:val="22"/>
          <w:szCs w:val="22"/>
        </w:rPr>
        <w:t xml:space="preserve">agosto </w:t>
      </w:r>
      <w:r w:rsidRPr="00D349E1">
        <w:rPr>
          <w:rFonts w:ascii="Times New Roman" w:hAnsi="Times New Roman"/>
          <w:color w:val="000000"/>
          <w:sz w:val="22"/>
          <w:szCs w:val="22"/>
        </w:rPr>
        <w:t>de 202</w:t>
      </w:r>
      <w:r w:rsidR="00A910E4" w:rsidRPr="00D349E1">
        <w:rPr>
          <w:rFonts w:ascii="Times New Roman" w:hAnsi="Times New Roman"/>
          <w:color w:val="000000"/>
          <w:sz w:val="22"/>
          <w:szCs w:val="22"/>
        </w:rPr>
        <w:t>4</w:t>
      </w:r>
      <w:r w:rsidRPr="00D349E1">
        <w:rPr>
          <w:rFonts w:ascii="Times New Roman" w:hAnsi="Times New Roman"/>
          <w:color w:val="000000"/>
          <w:sz w:val="22"/>
          <w:szCs w:val="22"/>
        </w:rPr>
        <w:t>).  Registro Oficial n.º 6</w:t>
      </w:r>
      <w:r w:rsidR="00A910E4" w:rsidRPr="00D349E1">
        <w:rPr>
          <w:rFonts w:ascii="Times New Roman" w:hAnsi="Times New Roman"/>
          <w:color w:val="000000"/>
          <w:sz w:val="22"/>
          <w:szCs w:val="22"/>
        </w:rPr>
        <w:t>30</w:t>
      </w:r>
      <w:r w:rsidRPr="00D349E1">
        <w:rPr>
          <w:rFonts w:ascii="Times New Roman" w:hAnsi="Times New Roman"/>
          <w:color w:val="000000"/>
          <w:sz w:val="22"/>
          <w:szCs w:val="22"/>
        </w:rPr>
        <w:t>.</w:t>
      </w:r>
    </w:p>
    <w:p w14:paraId="76CCEA4E" w14:textId="31C3D084" w:rsidR="00DA52D5" w:rsidRPr="00E35447" w:rsidRDefault="00DA52D5" w:rsidP="00E35447">
      <w:pPr>
        <w:pStyle w:val="Pa129"/>
        <w:spacing w:before="120" w:after="120"/>
        <w:ind w:hanging="680"/>
        <w:jc w:val="both"/>
        <w:rPr>
          <w:rFonts w:ascii="Times New Roman" w:hAnsi="Times New Roman"/>
          <w:i/>
          <w:iCs/>
          <w:color w:val="000000"/>
          <w:sz w:val="22"/>
          <w:szCs w:val="22"/>
        </w:rPr>
      </w:pPr>
      <w:r w:rsidRPr="00E35447">
        <w:rPr>
          <w:rFonts w:ascii="Times New Roman" w:hAnsi="Times New Roman"/>
          <w:i/>
          <w:iCs/>
          <w:color w:val="000000"/>
          <w:sz w:val="22"/>
          <w:szCs w:val="22"/>
        </w:rPr>
        <w:t xml:space="preserve">Estudio de percepción pública y la convivencia en movilidad humana en Ecuador, </w:t>
      </w:r>
      <w:r w:rsidR="002103F3" w:rsidRPr="00E35447">
        <w:rPr>
          <w:rFonts w:ascii="Times New Roman" w:hAnsi="Times New Roman"/>
          <w:i/>
          <w:iCs/>
          <w:color w:val="000000"/>
          <w:sz w:val="22"/>
          <w:szCs w:val="22"/>
        </w:rPr>
        <w:t>2023.</w:t>
      </w:r>
      <w:r w:rsidR="0031022A" w:rsidRPr="00E35447">
        <w:rPr>
          <w:rFonts w:ascii="Times New Roman" w:hAnsi="Times New Roman"/>
          <w:i/>
          <w:iCs/>
          <w:color w:val="000000"/>
          <w:sz w:val="22"/>
          <w:szCs w:val="22"/>
        </w:rPr>
        <w:t xml:space="preserve"> http://www.derechosmovilidadhumana.gob.ec/wp-content/uploads/2023/06/Estudio-percepcion-sobre-ejercicio-derechos-acceso-a-servicios-convivencia-movilidad-humana.pdf</w:t>
      </w:r>
      <w:r w:rsidRPr="00E35447">
        <w:rPr>
          <w:rFonts w:ascii="Times New Roman" w:hAnsi="Times New Roman"/>
          <w:i/>
          <w:iCs/>
          <w:color w:val="000000"/>
          <w:sz w:val="22"/>
          <w:szCs w:val="22"/>
        </w:rPr>
        <w:t xml:space="preserve"> </w:t>
      </w:r>
    </w:p>
    <w:p w14:paraId="75ECBDE5" w14:textId="77777777" w:rsidR="00467395" w:rsidRDefault="00467395" w:rsidP="00467395">
      <w:pPr>
        <w:pStyle w:val="Pa137"/>
        <w:spacing w:before="40" w:after="40"/>
        <w:ind w:hanging="680"/>
        <w:rPr>
          <w:rFonts w:cs="Source Sans Pro"/>
          <w:color w:val="000000"/>
          <w:sz w:val="22"/>
          <w:szCs w:val="22"/>
        </w:rPr>
      </w:pPr>
      <w:r>
        <w:rPr>
          <w:rStyle w:val="A6"/>
        </w:rPr>
        <w:t xml:space="preserve">Instituto Nacional de Estadísticas y Censos. </w:t>
      </w:r>
      <w:r w:rsidRPr="00FC10F9">
        <w:rPr>
          <w:rStyle w:val="A6"/>
          <w:i/>
          <w:iCs/>
        </w:rPr>
        <w:t>Encuesta nacional sobre relaciones familiares y violencia de género contra las mujeres</w:t>
      </w:r>
      <w:r w:rsidRPr="00FC10F9">
        <w:rPr>
          <w:rFonts w:ascii="Times New Roman" w:hAnsi="Times New Roman"/>
          <w:i/>
          <w:iCs/>
        </w:rPr>
        <w:t xml:space="preserve"> (</w:t>
      </w:r>
      <w:r w:rsidRPr="00FC10F9">
        <w:rPr>
          <w:rStyle w:val="A6"/>
          <w:i/>
          <w:iCs/>
        </w:rPr>
        <w:t>ENVIGMU</w:t>
      </w:r>
      <w:r w:rsidRPr="00467395">
        <w:rPr>
          <w:rStyle w:val="A6"/>
        </w:rPr>
        <w:t>)</w:t>
      </w:r>
      <w:r>
        <w:rPr>
          <w:rStyle w:val="A6"/>
        </w:rPr>
        <w:t xml:space="preserve">. (2019). </w:t>
      </w:r>
      <w:r w:rsidR="00FC10F9" w:rsidRPr="00FC10F9">
        <w:rPr>
          <w:rStyle w:val="A6"/>
        </w:rPr>
        <w:t>https://www.ecuadorencifras.gob.ec/documentos/web-inec/Estadisticas_Sociales/Violencia_de_genero_2019/Boletin_Tecnico_ENVIGMU.pdf</w:t>
      </w:r>
      <w:r w:rsidR="00FC10F9">
        <w:rPr>
          <w:rStyle w:val="A6"/>
        </w:rPr>
        <w:t>.</w:t>
      </w:r>
    </w:p>
    <w:p w14:paraId="163DDFF2" w14:textId="77777777" w:rsidR="00B579D5" w:rsidRPr="00D349E1" w:rsidRDefault="00B579D5" w:rsidP="00B579D5">
      <w:pPr>
        <w:pStyle w:val="Pa139"/>
        <w:spacing w:before="120" w:after="40"/>
        <w:ind w:hanging="680"/>
        <w:jc w:val="both"/>
        <w:rPr>
          <w:rFonts w:ascii="Times New Roman" w:hAnsi="Times New Roman"/>
          <w:color w:val="000000"/>
          <w:sz w:val="22"/>
          <w:szCs w:val="22"/>
        </w:rPr>
      </w:pPr>
      <w:r w:rsidRPr="00D349E1">
        <w:rPr>
          <w:rFonts w:ascii="Times New Roman" w:hAnsi="Times New Roman"/>
          <w:i/>
          <w:iCs/>
          <w:color w:val="000000"/>
          <w:sz w:val="22"/>
          <w:szCs w:val="22"/>
        </w:rPr>
        <w:lastRenderedPageBreak/>
        <w:t>Resolución n.° 0000066.</w:t>
      </w:r>
      <w:r w:rsidRPr="00D349E1">
        <w:rPr>
          <w:rFonts w:ascii="Times New Roman" w:hAnsi="Times New Roman"/>
          <w:color w:val="000000"/>
          <w:sz w:val="22"/>
          <w:szCs w:val="22"/>
        </w:rPr>
        <w:t xml:space="preserve"> S</w:t>
      </w:r>
      <w:r w:rsidRPr="00D349E1">
        <w:rPr>
          <w:rFonts w:ascii="Times New Roman" w:hAnsi="Times New Roman"/>
          <w:sz w:val="22"/>
          <w:szCs w:val="22"/>
        </w:rPr>
        <w:t>uspender la emisión y renovación de la Visa de residencia temporal de excepción por razones humanitarias, VERHU en los Consulados del Ecuador en las ciudades de Bogotá, Caracas y Lima</w:t>
      </w:r>
      <w:r w:rsidR="009B0E16" w:rsidRPr="00D349E1">
        <w:rPr>
          <w:rFonts w:ascii="Times New Roman" w:hAnsi="Times New Roman"/>
          <w:i/>
          <w:iCs/>
          <w:color w:val="000000"/>
          <w:sz w:val="22"/>
          <w:szCs w:val="22"/>
        </w:rPr>
        <w:t xml:space="preserve">. </w:t>
      </w:r>
      <w:r w:rsidRPr="00D349E1">
        <w:rPr>
          <w:rFonts w:ascii="Times New Roman" w:hAnsi="Times New Roman"/>
          <w:color w:val="000000"/>
          <w:sz w:val="22"/>
          <w:szCs w:val="22"/>
        </w:rPr>
        <w:t xml:space="preserve">(13 de julio de 2022). Registro Oficial, Edición Especial n.º 130. </w:t>
      </w:r>
    </w:p>
    <w:p w14:paraId="5EC5142A" w14:textId="77777777" w:rsidR="009B0E16" w:rsidRPr="00D349E1" w:rsidRDefault="00A910E4" w:rsidP="00B579D5">
      <w:pPr>
        <w:pStyle w:val="Pa137"/>
        <w:spacing w:before="40" w:after="40"/>
        <w:ind w:hanging="680"/>
        <w:jc w:val="both"/>
        <w:rPr>
          <w:rFonts w:ascii="Times New Roman" w:hAnsi="Times New Roman"/>
          <w:sz w:val="22"/>
          <w:szCs w:val="22"/>
        </w:rPr>
      </w:pPr>
      <w:r w:rsidRPr="00D349E1">
        <w:rPr>
          <w:rFonts w:ascii="Times New Roman" w:hAnsi="Times New Roman"/>
          <w:i/>
          <w:iCs/>
          <w:sz w:val="22"/>
          <w:szCs w:val="22"/>
          <w:lang w:val="es-ES"/>
        </w:rPr>
        <w:t xml:space="preserve">Ley Orgánica de la Defensoría del Pueblo. </w:t>
      </w:r>
      <w:r w:rsidRPr="00D349E1">
        <w:rPr>
          <w:rFonts w:ascii="Times New Roman" w:hAnsi="Times New Roman"/>
          <w:sz w:val="22"/>
          <w:szCs w:val="22"/>
          <w:lang w:val="es-ES"/>
        </w:rPr>
        <w:t>(06 de mayo de 2019). Registro Oficial n.° 481.</w:t>
      </w:r>
    </w:p>
    <w:p w14:paraId="49A37383" w14:textId="77777777" w:rsidR="000306B7" w:rsidRPr="000306B7" w:rsidRDefault="000306B7" w:rsidP="000306B7">
      <w:pPr>
        <w:pStyle w:val="Pa137"/>
        <w:spacing w:before="40" w:after="40"/>
        <w:ind w:hanging="680"/>
        <w:jc w:val="both"/>
        <w:rPr>
          <w:rFonts w:ascii="Times New Roman" w:hAnsi="Times New Roman"/>
          <w:sz w:val="22"/>
          <w:szCs w:val="22"/>
        </w:rPr>
      </w:pPr>
      <w:r w:rsidRPr="000306B7">
        <w:rPr>
          <w:rFonts w:ascii="Times New Roman" w:hAnsi="Times New Roman"/>
          <w:color w:val="000000"/>
          <w:sz w:val="22"/>
          <w:szCs w:val="22"/>
        </w:rPr>
        <w:t>OIM. O</w:t>
      </w:r>
      <w:r>
        <w:rPr>
          <w:rFonts w:ascii="Times New Roman" w:hAnsi="Times New Roman"/>
          <w:color w:val="000000"/>
          <w:sz w:val="22"/>
          <w:szCs w:val="22"/>
        </w:rPr>
        <w:t>NU</w:t>
      </w:r>
      <w:r w:rsidRPr="000306B7">
        <w:rPr>
          <w:rFonts w:ascii="Times New Roman" w:hAnsi="Times New Roman"/>
          <w:color w:val="000000"/>
          <w:sz w:val="22"/>
          <w:szCs w:val="22"/>
        </w:rPr>
        <w:t xml:space="preserve"> Migración Ecuador. </w:t>
      </w:r>
      <w:r w:rsidRPr="000306B7">
        <w:rPr>
          <w:rFonts w:ascii="Times New Roman" w:hAnsi="Times New Roman"/>
          <w:i/>
          <w:iCs/>
          <w:color w:val="000000"/>
          <w:sz w:val="22"/>
          <w:szCs w:val="22"/>
        </w:rPr>
        <w:t>Análisis del flujo migratorio de población ecuatoriana hacia el extranjero.</w:t>
      </w:r>
      <w:r w:rsidRPr="000306B7">
        <w:rPr>
          <w:rFonts w:ascii="Times New Roman" w:hAnsi="Times New Roman"/>
          <w:color w:val="000000"/>
          <w:sz w:val="22"/>
          <w:szCs w:val="22"/>
        </w:rPr>
        <w:t xml:space="preserve"> </w:t>
      </w:r>
      <w:r w:rsidRPr="000306B7">
        <w:rPr>
          <w:rFonts w:ascii="Times New Roman" w:hAnsi="Times New Roman"/>
          <w:color w:val="000000"/>
          <w:sz w:val="22"/>
          <w:szCs w:val="22"/>
          <w:lang w:val="es-ES"/>
        </w:rPr>
        <w:t>https://ecuador.iom.int/sites/g/files/tmzbdl776/files/documents/2024-08/flujo-migratorio-de-poblacion-ecuatoriana_0.pdf</w:t>
      </w:r>
    </w:p>
    <w:p w14:paraId="1E9343C8" w14:textId="77777777" w:rsidR="007A5AD9" w:rsidRDefault="007A5AD9" w:rsidP="000306B7">
      <w:pPr>
        <w:tabs>
          <w:tab w:val="left" w:pos="851"/>
        </w:tabs>
        <w:spacing w:before="240" w:after="0" w:line="276" w:lineRule="auto"/>
        <w:ind w:left="567" w:hanging="567"/>
        <w:jc w:val="both"/>
        <w:rPr>
          <w:rFonts w:ascii="Times New Roman" w:hAnsi="Times New Roman"/>
          <w:sz w:val="24"/>
          <w:szCs w:val="24"/>
        </w:rPr>
      </w:pPr>
    </w:p>
    <w:p w14:paraId="129C054F" w14:textId="77777777" w:rsidR="00467395" w:rsidRDefault="00467395" w:rsidP="000306B7">
      <w:pPr>
        <w:tabs>
          <w:tab w:val="left" w:pos="851"/>
        </w:tabs>
        <w:spacing w:before="240" w:after="0" w:line="276" w:lineRule="auto"/>
        <w:ind w:left="567" w:hanging="567"/>
        <w:jc w:val="both"/>
        <w:rPr>
          <w:rFonts w:ascii="Times New Roman" w:hAnsi="Times New Roman"/>
          <w:sz w:val="24"/>
          <w:szCs w:val="24"/>
        </w:rPr>
      </w:pPr>
    </w:p>
    <w:p w14:paraId="06845D47" w14:textId="77777777" w:rsidR="00467395" w:rsidRDefault="00467395" w:rsidP="000306B7">
      <w:pPr>
        <w:tabs>
          <w:tab w:val="left" w:pos="851"/>
        </w:tabs>
        <w:spacing w:before="240" w:after="0" w:line="276" w:lineRule="auto"/>
        <w:ind w:left="567" w:hanging="567"/>
        <w:jc w:val="both"/>
        <w:rPr>
          <w:rFonts w:ascii="Times New Roman" w:hAnsi="Times New Roman"/>
          <w:sz w:val="24"/>
          <w:szCs w:val="24"/>
        </w:rPr>
      </w:pPr>
    </w:p>
    <w:sectPr w:rsidR="00467395">
      <w:head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402ED" w14:textId="77777777" w:rsidR="00672EE7" w:rsidRDefault="00672EE7" w:rsidP="00C22597">
      <w:pPr>
        <w:spacing w:after="0" w:line="240" w:lineRule="auto"/>
      </w:pPr>
      <w:r>
        <w:separator/>
      </w:r>
    </w:p>
  </w:endnote>
  <w:endnote w:type="continuationSeparator" w:id="0">
    <w:p w14:paraId="1571CEE9" w14:textId="77777777" w:rsidR="00672EE7" w:rsidRDefault="00672EE7" w:rsidP="00C22597">
      <w:pPr>
        <w:spacing w:after="0" w:line="240" w:lineRule="auto"/>
      </w:pPr>
      <w:r>
        <w:continuationSeparator/>
      </w:r>
    </w:p>
  </w:endnote>
  <w:endnote w:type="continuationNotice" w:id="1">
    <w:p w14:paraId="1DA0F423" w14:textId="77777777" w:rsidR="00672EE7" w:rsidRDefault="00672E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jaVu Sans">
    <w:altName w:val="Arial"/>
    <w:charset w:val="00"/>
    <w:family w:val="swiss"/>
    <w:pitch w:val="variable"/>
    <w:sig w:usb0="E7002EFF" w:usb1="D200F5FF" w:usb2="0A246029" w:usb3="00000000" w:csb0="000001FF" w:csb1="00000000"/>
  </w:font>
  <w:font w:name="Lohit Hindi">
    <w:altName w:val="Times New Roman"/>
    <w:panose1 w:val="00000000000000000000"/>
    <w:charset w:val="00"/>
    <w:family w:val="roman"/>
    <w:notTrueType/>
    <w:pitch w:val="default"/>
  </w:font>
  <w:font w:name="Source Sans Pro">
    <w:altName w:val="Cambria Math"/>
    <w:charset w:val="00"/>
    <w:family w:val="swiss"/>
    <w:pitch w:val="variable"/>
    <w:sig w:usb0="600002F7" w:usb1="02000001" w:usb2="00000000" w:usb3="00000000" w:csb0="0000019F"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1D0231" w14:textId="77777777" w:rsidR="00672EE7" w:rsidRDefault="00672EE7" w:rsidP="00C22597">
      <w:pPr>
        <w:spacing w:after="0" w:line="240" w:lineRule="auto"/>
      </w:pPr>
      <w:r>
        <w:separator/>
      </w:r>
    </w:p>
  </w:footnote>
  <w:footnote w:type="continuationSeparator" w:id="0">
    <w:p w14:paraId="0E7598A1" w14:textId="77777777" w:rsidR="00672EE7" w:rsidRDefault="00672EE7" w:rsidP="00C22597">
      <w:pPr>
        <w:spacing w:after="0" w:line="240" w:lineRule="auto"/>
      </w:pPr>
      <w:r>
        <w:continuationSeparator/>
      </w:r>
    </w:p>
  </w:footnote>
  <w:footnote w:type="continuationNotice" w:id="1">
    <w:p w14:paraId="054AF38F" w14:textId="77777777" w:rsidR="00672EE7" w:rsidRDefault="00672EE7">
      <w:pPr>
        <w:spacing w:after="0" w:line="240" w:lineRule="auto"/>
      </w:pPr>
    </w:p>
  </w:footnote>
  <w:footnote w:id="2">
    <w:p w14:paraId="5195BD94" w14:textId="77777777" w:rsidR="00A360C2" w:rsidRDefault="00A360C2" w:rsidP="00A360C2">
      <w:pPr>
        <w:pStyle w:val="FootnoteText"/>
        <w:rPr>
          <w:lang w:val="es-ES"/>
        </w:rPr>
      </w:pPr>
      <w:r>
        <w:rPr>
          <w:rStyle w:val="FootnoteReference"/>
        </w:rPr>
        <w:footnoteRef/>
      </w:r>
      <w:r>
        <w:t xml:space="preserve"> </w:t>
      </w:r>
      <w:r w:rsidRPr="002257E0">
        <w:rPr>
          <w:rFonts w:ascii="Times New Roman" w:hAnsi="Times New Roman"/>
          <w:sz w:val="18"/>
          <w:szCs w:val="18"/>
        </w:rPr>
        <w:t>Los delitos de odio motivados por el racismo y la xenofobia,2018</w:t>
      </w:r>
    </w:p>
  </w:footnote>
  <w:footnote w:id="3">
    <w:p w14:paraId="0FDA418F" w14:textId="77777777" w:rsidR="00805EC2" w:rsidRPr="00C232C3" w:rsidRDefault="00805EC2" w:rsidP="00805EC2">
      <w:pPr>
        <w:autoSpaceDE w:val="0"/>
        <w:autoSpaceDN w:val="0"/>
        <w:adjustRightInd w:val="0"/>
        <w:spacing w:after="0" w:line="240" w:lineRule="auto"/>
        <w:ind w:firstLine="708"/>
        <w:jc w:val="both"/>
        <w:rPr>
          <w:rFonts w:ascii="Times New Roman" w:eastAsia="Times New Roman" w:hAnsi="Times New Roman"/>
          <w:color w:val="000000"/>
          <w:lang w:val="es-CO" w:eastAsia="es-MX"/>
        </w:rPr>
      </w:pPr>
      <w:r w:rsidRPr="002257E0">
        <w:rPr>
          <w:rStyle w:val="FootnoteReference"/>
          <w:sz w:val="18"/>
          <w:szCs w:val="18"/>
        </w:rPr>
        <w:footnoteRef/>
      </w:r>
      <w:r w:rsidRPr="002257E0">
        <w:rPr>
          <w:sz w:val="18"/>
          <w:szCs w:val="18"/>
        </w:rPr>
        <w:t xml:space="preserve"> </w:t>
      </w:r>
      <w:r w:rsidRPr="002257E0">
        <w:rPr>
          <w:rFonts w:ascii="Times New Roman" w:eastAsia="Times New Roman" w:hAnsi="Times New Roman"/>
          <w:color w:val="000000"/>
          <w:sz w:val="18"/>
          <w:szCs w:val="18"/>
          <w:lang w:val="es-CO" w:eastAsia="es-MX"/>
        </w:rPr>
        <w:t xml:space="preserve">http://trataytrafico.gob.ec/politicaTrata http://trataytrafico.gob.ec/politicaTrafico </w:t>
      </w:r>
    </w:p>
    <w:p w14:paraId="4F092F36" w14:textId="4311D162" w:rsidR="00805EC2" w:rsidRPr="00805EC2" w:rsidRDefault="00805EC2">
      <w:pPr>
        <w:pStyle w:val="FootnoteText"/>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736"/>
      <w:gridCol w:w="5768"/>
    </w:tblGrid>
    <w:tr w:rsidR="00F30E41" w14:paraId="50BDE5FA" w14:textId="77777777" w:rsidTr="00737486">
      <w:trPr>
        <w:trHeight w:val="841"/>
      </w:trPr>
      <w:tc>
        <w:tcPr>
          <w:tcW w:w="2736" w:type="dxa"/>
          <w:shd w:val="clear" w:color="auto" w:fill="auto"/>
        </w:tcPr>
        <w:p w14:paraId="0E6746A5" w14:textId="01892934" w:rsidR="00F30E41" w:rsidRDefault="00F30E41" w:rsidP="00CE0E19">
          <w:pPr>
            <w:pStyle w:val="Header"/>
          </w:pPr>
          <w:r w:rsidRPr="00737486">
            <w:rPr>
              <w:rFonts w:ascii="Garamond" w:hAnsi="Garamond"/>
              <w:noProof/>
              <w:lang w:val="es-MX" w:eastAsia="es-MX"/>
            </w:rPr>
            <w:drawing>
              <wp:inline distT="0" distB="0" distL="0" distR="0" wp14:anchorId="5D5C26DD" wp14:editId="2956C9D1">
                <wp:extent cx="1600200" cy="7715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71525"/>
                        </a:xfrm>
                        <a:prstGeom prst="rect">
                          <a:avLst/>
                        </a:prstGeom>
                        <a:noFill/>
                        <a:ln>
                          <a:noFill/>
                        </a:ln>
                      </pic:spPr>
                    </pic:pic>
                  </a:graphicData>
                </a:graphic>
              </wp:inline>
            </w:drawing>
          </w:r>
        </w:p>
      </w:tc>
      <w:tc>
        <w:tcPr>
          <w:tcW w:w="5984" w:type="dxa"/>
          <w:shd w:val="clear" w:color="auto" w:fill="auto"/>
          <w:vAlign w:val="center"/>
        </w:tcPr>
        <w:p w14:paraId="2B0DF006" w14:textId="77777777" w:rsidR="00F30E41" w:rsidRPr="006C0661" w:rsidRDefault="00F30E41" w:rsidP="00E01F71">
          <w:pPr>
            <w:pStyle w:val="Header"/>
            <w:jc w:val="right"/>
            <w:rPr>
              <w:rFonts w:ascii="Times New Roman" w:hAnsi="Times New Roman"/>
              <w:sz w:val="18"/>
              <w:szCs w:val="18"/>
            </w:rPr>
          </w:pPr>
          <w:r>
            <w:rPr>
              <w:rFonts w:ascii="Times New Roman" w:hAnsi="Times New Roman"/>
              <w:sz w:val="18"/>
              <w:szCs w:val="18"/>
            </w:rPr>
            <w:t xml:space="preserve">                                                 </w:t>
          </w:r>
          <w:r w:rsidRPr="006C0661">
            <w:rPr>
              <w:rFonts w:ascii="Times New Roman" w:hAnsi="Times New Roman"/>
              <w:sz w:val="18"/>
              <w:szCs w:val="18"/>
            </w:rPr>
            <w:t>Comité para la Eliminación de la Discriminación Racial (CERD) en su 114° sesión</w:t>
          </w:r>
        </w:p>
      </w:tc>
    </w:tr>
  </w:tbl>
  <w:p w14:paraId="202C92D2" w14:textId="760AD326" w:rsidR="00F30E41" w:rsidRDefault="00F30E41" w:rsidP="009C6D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A0F7206"/>
    <w:multiLevelType w:val="hybridMultilevel"/>
    <w:tmpl w:val="DF2903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9024D6"/>
    <w:multiLevelType w:val="hybridMultilevel"/>
    <w:tmpl w:val="CAAA5D4A"/>
    <w:lvl w:ilvl="0" w:tplc="2850CB5A">
      <w:start w:val="2"/>
      <w:numFmt w:val="bullet"/>
      <w:lvlText w:val="-"/>
      <w:lvlJc w:val="left"/>
      <w:pPr>
        <w:ind w:left="720" w:hanging="360"/>
      </w:pPr>
      <w:rPr>
        <w:rFonts w:ascii="Arial" w:eastAsia="Calibri" w:hAnsi="Arial" w:cs="Arial" w:hint="default"/>
        <w:b w:val="0"/>
      </w:rPr>
    </w:lvl>
    <w:lvl w:ilvl="1" w:tplc="2850CB5A">
      <w:start w:val="2"/>
      <w:numFmt w:val="bullet"/>
      <w:lvlText w:val="-"/>
      <w:lvlJc w:val="left"/>
      <w:pPr>
        <w:ind w:left="1440" w:hanging="360"/>
      </w:pPr>
      <w:rPr>
        <w:rFonts w:ascii="Arial" w:eastAsia="Calibri" w:hAnsi="Arial" w:cs="Arial" w:hint="default"/>
        <w:b w:val="0"/>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15:restartNumberingAfterBreak="0">
    <w:nsid w:val="07EA5765"/>
    <w:multiLevelType w:val="hybridMultilevel"/>
    <w:tmpl w:val="1616D124"/>
    <w:lvl w:ilvl="0" w:tplc="0C0A000F">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A03E88"/>
    <w:multiLevelType w:val="hybridMultilevel"/>
    <w:tmpl w:val="5890137E"/>
    <w:lvl w:ilvl="0" w:tplc="300A000F">
      <w:start w:val="1"/>
      <w:numFmt w:val="decimal"/>
      <w:lvlText w:val="%1."/>
      <w:lvlJc w:val="left"/>
      <w:pPr>
        <w:ind w:left="1428" w:hanging="360"/>
      </w:pPr>
    </w:lvl>
    <w:lvl w:ilvl="1" w:tplc="300A0019" w:tentative="1">
      <w:start w:val="1"/>
      <w:numFmt w:val="lowerLetter"/>
      <w:lvlText w:val="%2."/>
      <w:lvlJc w:val="left"/>
      <w:pPr>
        <w:ind w:left="2148" w:hanging="360"/>
      </w:pPr>
    </w:lvl>
    <w:lvl w:ilvl="2" w:tplc="300A001B" w:tentative="1">
      <w:start w:val="1"/>
      <w:numFmt w:val="lowerRoman"/>
      <w:lvlText w:val="%3."/>
      <w:lvlJc w:val="right"/>
      <w:pPr>
        <w:ind w:left="2868" w:hanging="180"/>
      </w:pPr>
    </w:lvl>
    <w:lvl w:ilvl="3" w:tplc="300A000F" w:tentative="1">
      <w:start w:val="1"/>
      <w:numFmt w:val="decimal"/>
      <w:lvlText w:val="%4."/>
      <w:lvlJc w:val="left"/>
      <w:pPr>
        <w:ind w:left="3588" w:hanging="360"/>
      </w:pPr>
    </w:lvl>
    <w:lvl w:ilvl="4" w:tplc="300A0019" w:tentative="1">
      <w:start w:val="1"/>
      <w:numFmt w:val="lowerLetter"/>
      <w:lvlText w:val="%5."/>
      <w:lvlJc w:val="left"/>
      <w:pPr>
        <w:ind w:left="4308" w:hanging="360"/>
      </w:pPr>
    </w:lvl>
    <w:lvl w:ilvl="5" w:tplc="300A001B" w:tentative="1">
      <w:start w:val="1"/>
      <w:numFmt w:val="lowerRoman"/>
      <w:lvlText w:val="%6."/>
      <w:lvlJc w:val="right"/>
      <w:pPr>
        <w:ind w:left="5028" w:hanging="180"/>
      </w:pPr>
    </w:lvl>
    <w:lvl w:ilvl="6" w:tplc="300A000F" w:tentative="1">
      <w:start w:val="1"/>
      <w:numFmt w:val="decimal"/>
      <w:lvlText w:val="%7."/>
      <w:lvlJc w:val="left"/>
      <w:pPr>
        <w:ind w:left="5748" w:hanging="360"/>
      </w:pPr>
    </w:lvl>
    <w:lvl w:ilvl="7" w:tplc="300A0019" w:tentative="1">
      <w:start w:val="1"/>
      <w:numFmt w:val="lowerLetter"/>
      <w:lvlText w:val="%8."/>
      <w:lvlJc w:val="left"/>
      <w:pPr>
        <w:ind w:left="6468" w:hanging="360"/>
      </w:pPr>
    </w:lvl>
    <w:lvl w:ilvl="8" w:tplc="300A001B" w:tentative="1">
      <w:start w:val="1"/>
      <w:numFmt w:val="lowerRoman"/>
      <w:lvlText w:val="%9."/>
      <w:lvlJc w:val="right"/>
      <w:pPr>
        <w:ind w:left="7188" w:hanging="180"/>
      </w:pPr>
    </w:lvl>
  </w:abstractNum>
  <w:abstractNum w:abstractNumId="4" w15:restartNumberingAfterBreak="0">
    <w:nsid w:val="132F15E7"/>
    <w:multiLevelType w:val="hybridMultilevel"/>
    <w:tmpl w:val="FAB47172"/>
    <w:lvl w:ilvl="0" w:tplc="300A000F">
      <w:start w:val="1"/>
      <w:numFmt w:val="decimal"/>
      <w:lvlText w:val="%1."/>
      <w:lvlJc w:val="left"/>
      <w:pPr>
        <w:ind w:left="1776" w:hanging="360"/>
      </w:pPr>
      <w:rPr>
        <w:rFonts w:hint="default"/>
      </w:rPr>
    </w:lvl>
    <w:lvl w:ilvl="1" w:tplc="300A0003" w:tentative="1">
      <w:start w:val="1"/>
      <w:numFmt w:val="bullet"/>
      <w:lvlText w:val="o"/>
      <w:lvlJc w:val="left"/>
      <w:pPr>
        <w:ind w:left="2496" w:hanging="360"/>
      </w:pPr>
      <w:rPr>
        <w:rFonts w:ascii="Courier New" w:hAnsi="Courier New" w:cs="Courier New" w:hint="default"/>
      </w:rPr>
    </w:lvl>
    <w:lvl w:ilvl="2" w:tplc="300A0005" w:tentative="1">
      <w:start w:val="1"/>
      <w:numFmt w:val="bullet"/>
      <w:lvlText w:val=""/>
      <w:lvlJc w:val="left"/>
      <w:pPr>
        <w:ind w:left="3216" w:hanging="360"/>
      </w:pPr>
      <w:rPr>
        <w:rFonts w:ascii="Wingdings" w:hAnsi="Wingdings" w:hint="default"/>
      </w:rPr>
    </w:lvl>
    <w:lvl w:ilvl="3" w:tplc="300A0001" w:tentative="1">
      <w:start w:val="1"/>
      <w:numFmt w:val="bullet"/>
      <w:lvlText w:val=""/>
      <w:lvlJc w:val="left"/>
      <w:pPr>
        <w:ind w:left="3936" w:hanging="360"/>
      </w:pPr>
      <w:rPr>
        <w:rFonts w:ascii="Symbol" w:hAnsi="Symbol" w:hint="default"/>
      </w:rPr>
    </w:lvl>
    <w:lvl w:ilvl="4" w:tplc="300A0003" w:tentative="1">
      <w:start w:val="1"/>
      <w:numFmt w:val="bullet"/>
      <w:lvlText w:val="o"/>
      <w:lvlJc w:val="left"/>
      <w:pPr>
        <w:ind w:left="4656" w:hanging="360"/>
      </w:pPr>
      <w:rPr>
        <w:rFonts w:ascii="Courier New" w:hAnsi="Courier New" w:cs="Courier New" w:hint="default"/>
      </w:rPr>
    </w:lvl>
    <w:lvl w:ilvl="5" w:tplc="300A0005" w:tentative="1">
      <w:start w:val="1"/>
      <w:numFmt w:val="bullet"/>
      <w:lvlText w:val=""/>
      <w:lvlJc w:val="left"/>
      <w:pPr>
        <w:ind w:left="5376" w:hanging="360"/>
      </w:pPr>
      <w:rPr>
        <w:rFonts w:ascii="Wingdings" w:hAnsi="Wingdings" w:hint="default"/>
      </w:rPr>
    </w:lvl>
    <w:lvl w:ilvl="6" w:tplc="300A0001" w:tentative="1">
      <w:start w:val="1"/>
      <w:numFmt w:val="bullet"/>
      <w:lvlText w:val=""/>
      <w:lvlJc w:val="left"/>
      <w:pPr>
        <w:ind w:left="6096" w:hanging="360"/>
      </w:pPr>
      <w:rPr>
        <w:rFonts w:ascii="Symbol" w:hAnsi="Symbol" w:hint="default"/>
      </w:rPr>
    </w:lvl>
    <w:lvl w:ilvl="7" w:tplc="300A0003" w:tentative="1">
      <w:start w:val="1"/>
      <w:numFmt w:val="bullet"/>
      <w:lvlText w:val="o"/>
      <w:lvlJc w:val="left"/>
      <w:pPr>
        <w:ind w:left="6816" w:hanging="360"/>
      </w:pPr>
      <w:rPr>
        <w:rFonts w:ascii="Courier New" w:hAnsi="Courier New" w:cs="Courier New" w:hint="default"/>
      </w:rPr>
    </w:lvl>
    <w:lvl w:ilvl="8" w:tplc="300A0005" w:tentative="1">
      <w:start w:val="1"/>
      <w:numFmt w:val="bullet"/>
      <w:lvlText w:val=""/>
      <w:lvlJc w:val="left"/>
      <w:pPr>
        <w:ind w:left="7536" w:hanging="360"/>
      </w:pPr>
      <w:rPr>
        <w:rFonts w:ascii="Wingdings" w:hAnsi="Wingdings" w:hint="default"/>
      </w:rPr>
    </w:lvl>
  </w:abstractNum>
  <w:abstractNum w:abstractNumId="5" w15:restartNumberingAfterBreak="0">
    <w:nsid w:val="13DF1792"/>
    <w:multiLevelType w:val="hybridMultilevel"/>
    <w:tmpl w:val="F538E6E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 w15:restartNumberingAfterBreak="0">
    <w:nsid w:val="1B791F40"/>
    <w:multiLevelType w:val="hybridMultilevel"/>
    <w:tmpl w:val="37844F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E62695"/>
    <w:multiLevelType w:val="hybridMultilevel"/>
    <w:tmpl w:val="A7CA6C08"/>
    <w:lvl w:ilvl="0" w:tplc="C7F24C88">
      <w:numFmt w:val="bullet"/>
      <w:pStyle w:val="Redaccin"/>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FC1E16"/>
    <w:multiLevelType w:val="hybridMultilevel"/>
    <w:tmpl w:val="EF345886"/>
    <w:lvl w:ilvl="0" w:tplc="300A0001">
      <w:start w:val="1"/>
      <w:numFmt w:val="bullet"/>
      <w:lvlText w:val=""/>
      <w:lvlJc w:val="left"/>
      <w:pPr>
        <w:ind w:left="1428" w:hanging="360"/>
      </w:pPr>
      <w:rPr>
        <w:rFonts w:ascii="Symbol" w:hAnsi="Symbol" w:hint="default"/>
      </w:rPr>
    </w:lvl>
    <w:lvl w:ilvl="1" w:tplc="300A0019" w:tentative="1">
      <w:start w:val="1"/>
      <w:numFmt w:val="lowerLetter"/>
      <w:lvlText w:val="%2."/>
      <w:lvlJc w:val="left"/>
      <w:pPr>
        <w:ind w:left="2148" w:hanging="360"/>
      </w:pPr>
    </w:lvl>
    <w:lvl w:ilvl="2" w:tplc="300A001B" w:tentative="1">
      <w:start w:val="1"/>
      <w:numFmt w:val="lowerRoman"/>
      <w:lvlText w:val="%3."/>
      <w:lvlJc w:val="right"/>
      <w:pPr>
        <w:ind w:left="2868" w:hanging="180"/>
      </w:pPr>
    </w:lvl>
    <w:lvl w:ilvl="3" w:tplc="300A000F" w:tentative="1">
      <w:start w:val="1"/>
      <w:numFmt w:val="decimal"/>
      <w:lvlText w:val="%4."/>
      <w:lvlJc w:val="left"/>
      <w:pPr>
        <w:ind w:left="3588" w:hanging="360"/>
      </w:pPr>
    </w:lvl>
    <w:lvl w:ilvl="4" w:tplc="300A0019" w:tentative="1">
      <w:start w:val="1"/>
      <w:numFmt w:val="lowerLetter"/>
      <w:lvlText w:val="%5."/>
      <w:lvlJc w:val="left"/>
      <w:pPr>
        <w:ind w:left="4308" w:hanging="360"/>
      </w:pPr>
    </w:lvl>
    <w:lvl w:ilvl="5" w:tplc="300A001B" w:tentative="1">
      <w:start w:val="1"/>
      <w:numFmt w:val="lowerRoman"/>
      <w:lvlText w:val="%6."/>
      <w:lvlJc w:val="right"/>
      <w:pPr>
        <w:ind w:left="5028" w:hanging="180"/>
      </w:pPr>
    </w:lvl>
    <w:lvl w:ilvl="6" w:tplc="300A000F" w:tentative="1">
      <w:start w:val="1"/>
      <w:numFmt w:val="decimal"/>
      <w:lvlText w:val="%7."/>
      <w:lvlJc w:val="left"/>
      <w:pPr>
        <w:ind w:left="5748" w:hanging="360"/>
      </w:pPr>
    </w:lvl>
    <w:lvl w:ilvl="7" w:tplc="300A0019" w:tentative="1">
      <w:start w:val="1"/>
      <w:numFmt w:val="lowerLetter"/>
      <w:lvlText w:val="%8."/>
      <w:lvlJc w:val="left"/>
      <w:pPr>
        <w:ind w:left="6468" w:hanging="360"/>
      </w:pPr>
    </w:lvl>
    <w:lvl w:ilvl="8" w:tplc="300A001B" w:tentative="1">
      <w:start w:val="1"/>
      <w:numFmt w:val="lowerRoman"/>
      <w:lvlText w:val="%9."/>
      <w:lvlJc w:val="right"/>
      <w:pPr>
        <w:ind w:left="7188" w:hanging="180"/>
      </w:pPr>
    </w:lvl>
  </w:abstractNum>
  <w:abstractNum w:abstractNumId="9" w15:restartNumberingAfterBreak="0">
    <w:nsid w:val="29BF4278"/>
    <w:multiLevelType w:val="hybridMultilevel"/>
    <w:tmpl w:val="73DAE41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AE2BC6"/>
    <w:multiLevelType w:val="hybridMultilevel"/>
    <w:tmpl w:val="30E88D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026541D"/>
    <w:multiLevelType w:val="hybridMultilevel"/>
    <w:tmpl w:val="56A0B17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 w15:restartNumberingAfterBreak="0">
    <w:nsid w:val="30FF6960"/>
    <w:multiLevelType w:val="multilevel"/>
    <w:tmpl w:val="9F808C6E"/>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45A2A21"/>
    <w:multiLevelType w:val="hybridMultilevel"/>
    <w:tmpl w:val="FD02C9C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346F342A"/>
    <w:multiLevelType w:val="hybridMultilevel"/>
    <w:tmpl w:val="E08E50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8D3750"/>
    <w:multiLevelType w:val="multilevel"/>
    <w:tmpl w:val="A80C44E8"/>
    <w:lvl w:ilvl="0">
      <w:start w:val="1"/>
      <w:numFmt w:val="decimal"/>
      <w:pStyle w:val="Heading1"/>
      <w:lvlText w:val="%1."/>
      <w:lvlJc w:val="left"/>
      <w:pPr>
        <w:ind w:left="1091" w:hanging="720"/>
      </w:pPr>
      <w:rPr>
        <w:rFonts w:hint="default"/>
      </w:rPr>
    </w:lvl>
    <w:lvl w:ilvl="1">
      <w:start w:val="1"/>
      <w:numFmt w:val="decimal"/>
      <w:pStyle w:val="Subtitle"/>
      <w:isLgl/>
      <w:lvlText w:val="%1.%2."/>
      <w:lvlJc w:val="left"/>
      <w:pPr>
        <w:ind w:left="761" w:hanging="390"/>
      </w:pPr>
      <w:rPr>
        <w:rFonts w:hint="default"/>
      </w:rPr>
    </w:lvl>
    <w:lvl w:ilvl="2">
      <w:start w:val="1"/>
      <w:numFmt w:val="decimal"/>
      <w:pStyle w:val="Heading2"/>
      <w:isLgl/>
      <w:lvlText w:val="%1.%2.%3."/>
      <w:lvlJc w:val="left"/>
      <w:pPr>
        <w:ind w:left="1091" w:hanging="720"/>
      </w:pPr>
      <w:rPr>
        <w:rFonts w:hint="default"/>
      </w:rPr>
    </w:lvl>
    <w:lvl w:ilvl="3">
      <w:start w:val="1"/>
      <w:numFmt w:val="decimal"/>
      <w:isLgl/>
      <w:lvlText w:val="%1.%2.%3.%4."/>
      <w:lvlJc w:val="left"/>
      <w:pPr>
        <w:ind w:left="1091" w:hanging="720"/>
      </w:pPr>
      <w:rPr>
        <w:rFonts w:hint="default"/>
      </w:rPr>
    </w:lvl>
    <w:lvl w:ilvl="4">
      <w:start w:val="1"/>
      <w:numFmt w:val="decimal"/>
      <w:isLgl/>
      <w:lvlText w:val="%1.%2.%3.%4.%5."/>
      <w:lvlJc w:val="left"/>
      <w:pPr>
        <w:ind w:left="1451" w:hanging="1080"/>
      </w:pPr>
      <w:rPr>
        <w:rFonts w:hint="default"/>
      </w:rPr>
    </w:lvl>
    <w:lvl w:ilvl="5">
      <w:start w:val="1"/>
      <w:numFmt w:val="decimal"/>
      <w:isLgl/>
      <w:lvlText w:val="%1.%2.%3.%4.%5.%6."/>
      <w:lvlJc w:val="left"/>
      <w:pPr>
        <w:ind w:left="1451" w:hanging="1080"/>
      </w:pPr>
      <w:rPr>
        <w:rFonts w:hint="default"/>
      </w:rPr>
    </w:lvl>
    <w:lvl w:ilvl="6">
      <w:start w:val="1"/>
      <w:numFmt w:val="decimal"/>
      <w:isLgl/>
      <w:lvlText w:val="%1.%2.%3.%4.%5.%6.%7."/>
      <w:lvlJc w:val="left"/>
      <w:pPr>
        <w:ind w:left="1811" w:hanging="1440"/>
      </w:pPr>
      <w:rPr>
        <w:rFonts w:hint="default"/>
      </w:rPr>
    </w:lvl>
    <w:lvl w:ilvl="7">
      <w:start w:val="1"/>
      <w:numFmt w:val="decimal"/>
      <w:isLgl/>
      <w:lvlText w:val="%1.%2.%3.%4.%5.%6.%7.%8."/>
      <w:lvlJc w:val="left"/>
      <w:pPr>
        <w:ind w:left="1811" w:hanging="1440"/>
      </w:pPr>
      <w:rPr>
        <w:rFonts w:hint="default"/>
      </w:rPr>
    </w:lvl>
    <w:lvl w:ilvl="8">
      <w:start w:val="1"/>
      <w:numFmt w:val="decimal"/>
      <w:isLgl/>
      <w:lvlText w:val="%1.%2.%3.%4.%5.%6.%7.%8.%9."/>
      <w:lvlJc w:val="left"/>
      <w:pPr>
        <w:ind w:left="2171" w:hanging="1800"/>
      </w:pPr>
      <w:rPr>
        <w:rFonts w:hint="default"/>
      </w:rPr>
    </w:lvl>
  </w:abstractNum>
  <w:abstractNum w:abstractNumId="16" w15:restartNumberingAfterBreak="0">
    <w:nsid w:val="3A592120"/>
    <w:multiLevelType w:val="hybridMultilevel"/>
    <w:tmpl w:val="E8FE14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B131120"/>
    <w:multiLevelType w:val="hybridMultilevel"/>
    <w:tmpl w:val="344C9542"/>
    <w:lvl w:ilvl="0" w:tplc="A8FA04E4">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203B9"/>
    <w:multiLevelType w:val="hybridMultilevel"/>
    <w:tmpl w:val="DB722B50"/>
    <w:lvl w:ilvl="0" w:tplc="A8FA04E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5B37D2"/>
    <w:multiLevelType w:val="hybridMultilevel"/>
    <w:tmpl w:val="603C438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15:restartNumberingAfterBreak="0">
    <w:nsid w:val="3C845072"/>
    <w:multiLevelType w:val="hybridMultilevel"/>
    <w:tmpl w:val="DE08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CA7BE8"/>
    <w:multiLevelType w:val="hybridMultilevel"/>
    <w:tmpl w:val="711CA86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2" w15:restartNumberingAfterBreak="0">
    <w:nsid w:val="414523F1"/>
    <w:multiLevelType w:val="hybridMultilevel"/>
    <w:tmpl w:val="FD322F9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15:restartNumberingAfterBreak="0">
    <w:nsid w:val="444846D1"/>
    <w:multiLevelType w:val="hybridMultilevel"/>
    <w:tmpl w:val="E3E69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53E2B69"/>
    <w:multiLevelType w:val="hybridMultilevel"/>
    <w:tmpl w:val="15608214"/>
    <w:lvl w:ilvl="0" w:tplc="A8FA04E4">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A97346D"/>
    <w:multiLevelType w:val="hybridMultilevel"/>
    <w:tmpl w:val="F6388BAA"/>
    <w:lvl w:ilvl="0" w:tplc="0DCA7856">
      <w:start w:val="9"/>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C231379"/>
    <w:multiLevelType w:val="hybridMultilevel"/>
    <w:tmpl w:val="92460D8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7" w15:restartNumberingAfterBreak="0">
    <w:nsid w:val="4ED7608B"/>
    <w:multiLevelType w:val="hybridMultilevel"/>
    <w:tmpl w:val="E4120A7A"/>
    <w:lvl w:ilvl="0" w:tplc="300A000F">
      <w:start w:val="1"/>
      <w:numFmt w:val="decimal"/>
      <w:lvlText w:val="%1."/>
      <w:lvlJc w:val="left"/>
      <w:pPr>
        <w:ind w:left="1068" w:hanging="360"/>
      </w:pPr>
      <w:rPr>
        <w:rFonts w:hint="default"/>
      </w:rPr>
    </w:lvl>
    <w:lvl w:ilvl="1" w:tplc="300A0019" w:tentative="1">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28" w15:restartNumberingAfterBreak="0">
    <w:nsid w:val="513C309E"/>
    <w:multiLevelType w:val="hybridMultilevel"/>
    <w:tmpl w:val="B6F8B6D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9" w15:restartNumberingAfterBreak="0">
    <w:nsid w:val="572D1DE8"/>
    <w:multiLevelType w:val="hybridMultilevel"/>
    <w:tmpl w:val="62A60DCE"/>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0" w15:restartNumberingAfterBreak="0">
    <w:nsid w:val="5AA244F1"/>
    <w:multiLevelType w:val="hybridMultilevel"/>
    <w:tmpl w:val="18D652C4"/>
    <w:lvl w:ilvl="0" w:tplc="2850CB5A">
      <w:start w:val="2"/>
      <w:numFmt w:val="bullet"/>
      <w:lvlText w:val="-"/>
      <w:lvlJc w:val="left"/>
      <w:pPr>
        <w:ind w:left="720" w:hanging="360"/>
      </w:pPr>
      <w:rPr>
        <w:rFonts w:ascii="Arial" w:eastAsia="Calibri" w:hAnsi="Arial" w:cs="Arial" w:hint="default"/>
        <w:b w:val="0"/>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1" w15:restartNumberingAfterBreak="0">
    <w:nsid w:val="5DEE4AAD"/>
    <w:multiLevelType w:val="multilevel"/>
    <w:tmpl w:val="3776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B579DE"/>
    <w:multiLevelType w:val="hybridMultilevel"/>
    <w:tmpl w:val="129EA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2C623BA"/>
    <w:multiLevelType w:val="hybridMultilevel"/>
    <w:tmpl w:val="B78C162A"/>
    <w:lvl w:ilvl="0" w:tplc="A8FA04E4">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B96999"/>
    <w:multiLevelType w:val="hybridMultilevel"/>
    <w:tmpl w:val="B8FAEB1E"/>
    <w:lvl w:ilvl="0" w:tplc="3B3A857E">
      <w:start w:val="9"/>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EB76D9"/>
    <w:multiLevelType w:val="hybridMultilevel"/>
    <w:tmpl w:val="4448D190"/>
    <w:lvl w:ilvl="0" w:tplc="FFFFFFFF">
      <w:start w:val="1"/>
      <w:numFmt w:val="decimal"/>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DC61A7"/>
    <w:multiLevelType w:val="hybridMultilevel"/>
    <w:tmpl w:val="18E0BDA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7" w15:restartNumberingAfterBreak="0">
    <w:nsid w:val="6ACA07FC"/>
    <w:multiLevelType w:val="hybridMultilevel"/>
    <w:tmpl w:val="29143F1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8" w15:restartNumberingAfterBreak="0">
    <w:nsid w:val="6AF16AED"/>
    <w:multiLevelType w:val="hybridMultilevel"/>
    <w:tmpl w:val="96FE0AF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9" w15:restartNumberingAfterBreak="0">
    <w:nsid w:val="6CA67890"/>
    <w:multiLevelType w:val="hybridMultilevel"/>
    <w:tmpl w:val="EB20E692"/>
    <w:lvl w:ilvl="0" w:tplc="2850CB5A">
      <w:start w:val="2"/>
      <w:numFmt w:val="bullet"/>
      <w:lvlText w:val="-"/>
      <w:lvlJc w:val="left"/>
      <w:pPr>
        <w:ind w:left="720" w:hanging="360"/>
      </w:pPr>
      <w:rPr>
        <w:rFonts w:ascii="Arial" w:eastAsia="Calibri"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D3A0842"/>
    <w:multiLevelType w:val="hybridMultilevel"/>
    <w:tmpl w:val="1A02476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1" w15:restartNumberingAfterBreak="0">
    <w:nsid w:val="6D3C638C"/>
    <w:multiLevelType w:val="hybridMultilevel"/>
    <w:tmpl w:val="9C9CA8FE"/>
    <w:lvl w:ilvl="0" w:tplc="300A0001">
      <w:start w:val="1"/>
      <w:numFmt w:val="bullet"/>
      <w:lvlText w:val=""/>
      <w:lvlJc w:val="left"/>
      <w:pPr>
        <w:ind w:left="1440" w:hanging="360"/>
      </w:pPr>
      <w:rPr>
        <w:rFonts w:ascii="Symbol" w:hAnsi="Symbol"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42" w15:restartNumberingAfterBreak="0">
    <w:nsid w:val="72382613"/>
    <w:multiLevelType w:val="hybridMultilevel"/>
    <w:tmpl w:val="8838528C"/>
    <w:lvl w:ilvl="0" w:tplc="2850CB5A">
      <w:start w:val="2"/>
      <w:numFmt w:val="bullet"/>
      <w:lvlText w:val="-"/>
      <w:lvlJc w:val="left"/>
      <w:pPr>
        <w:ind w:left="720" w:hanging="360"/>
      </w:pPr>
      <w:rPr>
        <w:rFonts w:ascii="Arial" w:eastAsia="Calibri" w:hAnsi="Arial" w:cs="Arial" w:hint="default"/>
        <w:b w:val="0"/>
      </w:rPr>
    </w:lvl>
    <w:lvl w:ilvl="1" w:tplc="5BF41330">
      <w:numFmt w:val="bullet"/>
      <w:lvlText w:val="–"/>
      <w:lvlJc w:val="left"/>
      <w:pPr>
        <w:ind w:left="1440" w:hanging="360"/>
      </w:pPr>
      <w:rPr>
        <w:rFonts w:ascii="Times New Roman" w:eastAsia="Calibri"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FD7EFF"/>
    <w:multiLevelType w:val="hybridMultilevel"/>
    <w:tmpl w:val="B42ED4E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4" w15:restartNumberingAfterBreak="0">
    <w:nsid w:val="75C441EF"/>
    <w:multiLevelType w:val="hybridMultilevel"/>
    <w:tmpl w:val="592EA72C"/>
    <w:lvl w:ilvl="0" w:tplc="2850CB5A">
      <w:start w:val="2"/>
      <w:numFmt w:val="bullet"/>
      <w:lvlText w:val="-"/>
      <w:lvlJc w:val="left"/>
      <w:pPr>
        <w:ind w:left="1080" w:hanging="360"/>
      </w:pPr>
      <w:rPr>
        <w:rFonts w:ascii="Arial" w:eastAsia="Calibri" w:hAnsi="Arial" w:cs="Arial" w:hint="default"/>
        <w:b w:val="0"/>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45" w15:restartNumberingAfterBreak="0">
    <w:nsid w:val="7BE01DA3"/>
    <w:multiLevelType w:val="hybridMultilevel"/>
    <w:tmpl w:val="8074821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6" w15:restartNumberingAfterBreak="0">
    <w:nsid w:val="7C6629C9"/>
    <w:multiLevelType w:val="hybridMultilevel"/>
    <w:tmpl w:val="6BE6DC3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7" w15:restartNumberingAfterBreak="0">
    <w:nsid w:val="7F6B06DD"/>
    <w:multiLevelType w:val="hybridMultilevel"/>
    <w:tmpl w:val="1598B392"/>
    <w:lvl w:ilvl="0" w:tplc="567A0624">
      <w:start w:val="1"/>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842012180">
    <w:abstractNumId w:val="6"/>
  </w:num>
  <w:num w:numId="2" w16cid:durableId="1705862467">
    <w:abstractNumId w:val="0"/>
  </w:num>
  <w:num w:numId="3" w16cid:durableId="1584680419">
    <w:abstractNumId w:val="26"/>
  </w:num>
  <w:num w:numId="4" w16cid:durableId="953832453">
    <w:abstractNumId w:val="14"/>
  </w:num>
  <w:num w:numId="5" w16cid:durableId="579826181">
    <w:abstractNumId w:val="18"/>
  </w:num>
  <w:num w:numId="6" w16cid:durableId="2058163397">
    <w:abstractNumId w:val="47"/>
  </w:num>
  <w:num w:numId="7" w16cid:durableId="658966401">
    <w:abstractNumId w:val="41"/>
  </w:num>
  <w:num w:numId="8" w16cid:durableId="1116294969">
    <w:abstractNumId w:val="29"/>
  </w:num>
  <w:num w:numId="9" w16cid:durableId="280765166">
    <w:abstractNumId w:val="40"/>
  </w:num>
  <w:num w:numId="10" w16cid:durableId="739910702">
    <w:abstractNumId w:val="15"/>
  </w:num>
  <w:num w:numId="11" w16cid:durableId="1704089971">
    <w:abstractNumId w:val="7"/>
  </w:num>
  <w:num w:numId="12" w16cid:durableId="1778865717">
    <w:abstractNumId w:val="32"/>
  </w:num>
  <w:num w:numId="13" w16cid:durableId="1460416836">
    <w:abstractNumId w:val="20"/>
  </w:num>
  <w:num w:numId="14" w16cid:durableId="1819224003">
    <w:abstractNumId w:val="10"/>
  </w:num>
  <w:num w:numId="15" w16cid:durableId="1979914986">
    <w:abstractNumId w:val="23"/>
  </w:num>
  <w:num w:numId="16" w16cid:durableId="86074203">
    <w:abstractNumId w:val="9"/>
  </w:num>
  <w:num w:numId="17" w16cid:durableId="1777208464">
    <w:abstractNumId w:val="12"/>
  </w:num>
  <w:num w:numId="18" w16cid:durableId="420416320">
    <w:abstractNumId w:val="2"/>
  </w:num>
  <w:num w:numId="19" w16cid:durableId="272632042">
    <w:abstractNumId w:val="16"/>
  </w:num>
  <w:num w:numId="20" w16cid:durableId="1563560978">
    <w:abstractNumId w:val="24"/>
  </w:num>
  <w:num w:numId="21" w16cid:durableId="122502488">
    <w:abstractNumId w:val="33"/>
  </w:num>
  <w:num w:numId="22" w16cid:durableId="1015889991">
    <w:abstractNumId w:val="17"/>
  </w:num>
  <w:num w:numId="23" w16cid:durableId="205678771">
    <w:abstractNumId w:val="39"/>
  </w:num>
  <w:num w:numId="24" w16cid:durableId="388921282">
    <w:abstractNumId w:val="42"/>
  </w:num>
  <w:num w:numId="25" w16cid:durableId="1729299064">
    <w:abstractNumId w:val="30"/>
  </w:num>
  <w:num w:numId="26" w16cid:durableId="680938210">
    <w:abstractNumId w:val="1"/>
  </w:num>
  <w:num w:numId="27" w16cid:durableId="304313569">
    <w:abstractNumId w:val="44"/>
  </w:num>
  <w:num w:numId="28" w16cid:durableId="1452092317">
    <w:abstractNumId w:val="34"/>
  </w:num>
  <w:num w:numId="29" w16cid:durableId="1866870817">
    <w:abstractNumId w:val="25"/>
  </w:num>
  <w:num w:numId="30" w16cid:durableId="1910920906">
    <w:abstractNumId w:val="11"/>
  </w:num>
  <w:num w:numId="31" w16cid:durableId="1888294755">
    <w:abstractNumId w:val="21"/>
  </w:num>
  <w:num w:numId="32" w16cid:durableId="624239423">
    <w:abstractNumId w:val="5"/>
  </w:num>
  <w:num w:numId="33" w16cid:durableId="465202052">
    <w:abstractNumId w:val="37"/>
  </w:num>
  <w:num w:numId="34" w16cid:durableId="1580752890">
    <w:abstractNumId w:val="27"/>
  </w:num>
  <w:num w:numId="35" w16cid:durableId="465857631">
    <w:abstractNumId w:val="13"/>
  </w:num>
  <w:num w:numId="36" w16cid:durableId="156650440">
    <w:abstractNumId w:val="4"/>
  </w:num>
  <w:num w:numId="37" w16cid:durableId="1086726546">
    <w:abstractNumId w:val="31"/>
  </w:num>
  <w:num w:numId="38" w16cid:durableId="1768773240">
    <w:abstractNumId w:val="35"/>
  </w:num>
  <w:num w:numId="39" w16cid:durableId="1443915098">
    <w:abstractNumId w:val="45"/>
  </w:num>
  <w:num w:numId="40" w16cid:durableId="2117366160">
    <w:abstractNumId w:val="36"/>
  </w:num>
  <w:num w:numId="41" w16cid:durableId="1528905088">
    <w:abstractNumId w:val="43"/>
  </w:num>
  <w:num w:numId="42" w16cid:durableId="1246844217">
    <w:abstractNumId w:val="38"/>
  </w:num>
  <w:num w:numId="43" w16cid:durableId="484518016">
    <w:abstractNumId w:val="3"/>
  </w:num>
  <w:num w:numId="44" w16cid:durableId="943881484">
    <w:abstractNumId w:val="8"/>
  </w:num>
  <w:num w:numId="45" w16cid:durableId="569583642">
    <w:abstractNumId w:val="19"/>
  </w:num>
  <w:num w:numId="46" w16cid:durableId="583683553">
    <w:abstractNumId w:val="22"/>
  </w:num>
  <w:num w:numId="47" w16cid:durableId="1748305838">
    <w:abstractNumId w:val="46"/>
  </w:num>
  <w:num w:numId="48" w16cid:durableId="1940420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E93"/>
    <w:rsid w:val="0000007A"/>
    <w:rsid w:val="00003A98"/>
    <w:rsid w:val="00004CFC"/>
    <w:rsid w:val="00006064"/>
    <w:rsid w:val="0001341A"/>
    <w:rsid w:val="00021247"/>
    <w:rsid w:val="000306B7"/>
    <w:rsid w:val="000329AA"/>
    <w:rsid w:val="000467C3"/>
    <w:rsid w:val="00052E1A"/>
    <w:rsid w:val="000554F4"/>
    <w:rsid w:val="00061584"/>
    <w:rsid w:val="0006376C"/>
    <w:rsid w:val="0006700F"/>
    <w:rsid w:val="0007148A"/>
    <w:rsid w:val="00072855"/>
    <w:rsid w:val="00074883"/>
    <w:rsid w:val="000761F5"/>
    <w:rsid w:val="0008383F"/>
    <w:rsid w:val="00085839"/>
    <w:rsid w:val="000A4512"/>
    <w:rsid w:val="000A52D1"/>
    <w:rsid w:val="000A6AEC"/>
    <w:rsid w:val="000B22FA"/>
    <w:rsid w:val="000B6A92"/>
    <w:rsid w:val="000C47A6"/>
    <w:rsid w:val="000C763B"/>
    <w:rsid w:val="000D3E9A"/>
    <w:rsid w:val="000E1381"/>
    <w:rsid w:val="000E26ED"/>
    <w:rsid w:val="000F35F7"/>
    <w:rsid w:val="00105E5F"/>
    <w:rsid w:val="00107F52"/>
    <w:rsid w:val="00110B71"/>
    <w:rsid w:val="00113AD9"/>
    <w:rsid w:val="0012285A"/>
    <w:rsid w:val="0012334A"/>
    <w:rsid w:val="00123B50"/>
    <w:rsid w:val="001255C5"/>
    <w:rsid w:val="001348D5"/>
    <w:rsid w:val="0013524A"/>
    <w:rsid w:val="00137912"/>
    <w:rsid w:val="001428B3"/>
    <w:rsid w:val="00146ACB"/>
    <w:rsid w:val="001477C6"/>
    <w:rsid w:val="001510D8"/>
    <w:rsid w:val="001539EC"/>
    <w:rsid w:val="00157B9C"/>
    <w:rsid w:val="00165C66"/>
    <w:rsid w:val="00166FAC"/>
    <w:rsid w:val="001747F9"/>
    <w:rsid w:val="001759F4"/>
    <w:rsid w:val="00185A94"/>
    <w:rsid w:val="001939A1"/>
    <w:rsid w:val="001A02AA"/>
    <w:rsid w:val="001B26F8"/>
    <w:rsid w:val="001B79BC"/>
    <w:rsid w:val="001C6BF6"/>
    <w:rsid w:val="001E4B25"/>
    <w:rsid w:val="001F0A1E"/>
    <w:rsid w:val="001F1DF7"/>
    <w:rsid w:val="001F2D97"/>
    <w:rsid w:val="001F40F9"/>
    <w:rsid w:val="001F6893"/>
    <w:rsid w:val="001F6DF7"/>
    <w:rsid w:val="002029A1"/>
    <w:rsid w:val="002037A5"/>
    <w:rsid w:val="00206D1C"/>
    <w:rsid w:val="002103F3"/>
    <w:rsid w:val="00210A92"/>
    <w:rsid w:val="00216101"/>
    <w:rsid w:val="00216117"/>
    <w:rsid w:val="00220D23"/>
    <w:rsid w:val="0022385C"/>
    <w:rsid w:val="002257E0"/>
    <w:rsid w:val="00236738"/>
    <w:rsid w:val="00240683"/>
    <w:rsid w:val="0024208D"/>
    <w:rsid w:val="00247E7E"/>
    <w:rsid w:val="00253489"/>
    <w:rsid w:val="00254C88"/>
    <w:rsid w:val="002724E3"/>
    <w:rsid w:val="00273B89"/>
    <w:rsid w:val="00273DCC"/>
    <w:rsid w:val="00275195"/>
    <w:rsid w:val="00276137"/>
    <w:rsid w:val="0028109A"/>
    <w:rsid w:val="00281CDC"/>
    <w:rsid w:val="00286634"/>
    <w:rsid w:val="002920C5"/>
    <w:rsid w:val="0029711A"/>
    <w:rsid w:val="0029797A"/>
    <w:rsid w:val="002A28B1"/>
    <w:rsid w:val="002B0B9C"/>
    <w:rsid w:val="002B4FDC"/>
    <w:rsid w:val="002B53EA"/>
    <w:rsid w:val="002D3F46"/>
    <w:rsid w:val="002D4551"/>
    <w:rsid w:val="002D6009"/>
    <w:rsid w:val="002E5C30"/>
    <w:rsid w:val="002F7453"/>
    <w:rsid w:val="002F7FE7"/>
    <w:rsid w:val="0031022A"/>
    <w:rsid w:val="00312A5A"/>
    <w:rsid w:val="003216ED"/>
    <w:rsid w:val="00324A92"/>
    <w:rsid w:val="00324B3D"/>
    <w:rsid w:val="003319B0"/>
    <w:rsid w:val="00334457"/>
    <w:rsid w:val="00341BA5"/>
    <w:rsid w:val="0034311A"/>
    <w:rsid w:val="00343128"/>
    <w:rsid w:val="0035484B"/>
    <w:rsid w:val="00354952"/>
    <w:rsid w:val="003552CE"/>
    <w:rsid w:val="00357E10"/>
    <w:rsid w:val="003622CA"/>
    <w:rsid w:val="00363D45"/>
    <w:rsid w:val="0036418B"/>
    <w:rsid w:val="00366707"/>
    <w:rsid w:val="00366F5C"/>
    <w:rsid w:val="003736DA"/>
    <w:rsid w:val="00374054"/>
    <w:rsid w:val="003769C8"/>
    <w:rsid w:val="00377BFD"/>
    <w:rsid w:val="00390CA6"/>
    <w:rsid w:val="00391A95"/>
    <w:rsid w:val="003A0BB9"/>
    <w:rsid w:val="003A4CCC"/>
    <w:rsid w:val="003A7F07"/>
    <w:rsid w:val="003B0A56"/>
    <w:rsid w:val="003B2AD9"/>
    <w:rsid w:val="003B797C"/>
    <w:rsid w:val="003C3248"/>
    <w:rsid w:val="003C48B1"/>
    <w:rsid w:val="003C5F4E"/>
    <w:rsid w:val="003C7C2F"/>
    <w:rsid w:val="003D2E67"/>
    <w:rsid w:val="003D6693"/>
    <w:rsid w:val="003E3032"/>
    <w:rsid w:val="003F2FB8"/>
    <w:rsid w:val="003F5DF2"/>
    <w:rsid w:val="00400652"/>
    <w:rsid w:val="00401ED1"/>
    <w:rsid w:val="004035AB"/>
    <w:rsid w:val="00422DF6"/>
    <w:rsid w:val="004231EC"/>
    <w:rsid w:val="00437A1C"/>
    <w:rsid w:val="00437E32"/>
    <w:rsid w:val="004425F9"/>
    <w:rsid w:val="00446541"/>
    <w:rsid w:val="00454290"/>
    <w:rsid w:val="00463F66"/>
    <w:rsid w:val="0046684E"/>
    <w:rsid w:val="00467395"/>
    <w:rsid w:val="004717E0"/>
    <w:rsid w:val="00471A3B"/>
    <w:rsid w:val="00472E46"/>
    <w:rsid w:val="004801A1"/>
    <w:rsid w:val="00487E5B"/>
    <w:rsid w:val="00491579"/>
    <w:rsid w:val="00491D68"/>
    <w:rsid w:val="00491F7D"/>
    <w:rsid w:val="004A2552"/>
    <w:rsid w:val="004A3E3C"/>
    <w:rsid w:val="004A453A"/>
    <w:rsid w:val="004A75B3"/>
    <w:rsid w:val="004B4251"/>
    <w:rsid w:val="004B588D"/>
    <w:rsid w:val="004B7145"/>
    <w:rsid w:val="004B726E"/>
    <w:rsid w:val="004C5783"/>
    <w:rsid w:val="004D23C0"/>
    <w:rsid w:val="004D5E98"/>
    <w:rsid w:val="004E42EB"/>
    <w:rsid w:val="004E4C4A"/>
    <w:rsid w:val="004F3B97"/>
    <w:rsid w:val="00500C7F"/>
    <w:rsid w:val="00503C99"/>
    <w:rsid w:val="00505C78"/>
    <w:rsid w:val="0051032E"/>
    <w:rsid w:val="0051766C"/>
    <w:rsid w:val="00521BF8"/>
    <w:rsid w:val="00534790"/>
    <w:rsid w:val="00537109"/>
    <w:rsid w:val="005420C0"/>
    <w:rsid w:val="00542CF4"/>
    <w:rsid w:val="00545C6F"/>
    <w:rsid w:val="00551ADF"/>
    <w:rsid w:val="00552527"/>
    <w:rsid w:val="0055687E"/>
    <w:rsid w:val="00556CCE"/>
    <w:rsid w:val="0056317E"/>
    <w:rsid w:val="00565F38"/>
    <w:rsid w:val="00567D81"/>
    <w:rsid w:val="00571934"/>
    <w:rsid w:val="0058557A"/>
    <w:rsid w:val="0059740D"/>
    <w:rsid w:val="005A00B4"/>
    <w:rsid w:val="005A3846"/>
    <w:rsid w:val="005B5378"/>
    <w:rsid w:val="005C69E4"/>
    <w:rsid w:val="005D2634"/>
    <w:rsid w:val="005D4899"/>
    <w:rsid w:val="005D60FE"/>
    <w:rsid w:val="005E1EAF"/>
    <w:rsid w:val="005E2D7E"/>
    <w:rsid w:val="005E7613"/>
    <w:rsid w:val="005F5BF0"/>
    <w:rsid w:val="0060118E"/>
    <w:rsid w:val="0061003D"/>
    <w:rsid w:val="00610D31"/>
    <w:rsid w:val="006114BE"/>
    <w:rsid w:val="0061220F"/>
    <w:rsid w:val="00612451"/>
    <w:rsid w:val="00616465"/>
    <w:rsid w:val="006203A1"/>
    <w:rsid w:val="00627ABA"/>
    <w:rsid w:val="006312D9"/>
    <w:rsid w:val="00636EA2"/>
    <w:rsid w:val="00640948"/>
    <w:rsid w:val="00641090"/>
    <w:rsid w:val="00646071"/>
    <w:rsid w:val="00654020"/>
    <w:rsid w:val="00662D95"/>
    <w:rsid w:val="00667653"/>
    <w:rsid w:val="00671EFE"/>
    <w:rsid w:val="00672EE7"/>
    <w:rsid w:val="00680695"/>
    <w:rsid w:val="0068232E"/>
    <w:rsid w:val="006871AB"/>
    <w:rsid w:val="00687227"/>
    <w:rsid w:val="006879E8"/>
    <w:rsid w:val="006A0E66"/>
    <w:rsid w:val="006C0661"/>
    <w:rsid w:val="006C066E"/>
    <w:rsid w:val="006C450E"/>
    <w:rsid w:val="006C5F6A"/>
    <w:rsid w:val="006D2A16"/>
    <w:rsid w:val="006D3623"/>
    <w:rsid w:val="006D5888"/>
    <w:rsid w:val="006D5FEC"/>
    <w:rsid w:val="006D713F"/>
    <w:rsid w:val="006E619E"/>
    <w:rsid w:val="006E6661"/>
    <w:rsid w:val="006F34CE"/>
    <w:rsid w:val="006F395F"/>
    <w:rsid w:val="006F3D06"/>
    <w:rsid w:val="006F4E93"/>
    <w:rsid w:val="006F637F"/>
    <w:rsid w:val="00711BD7"/>
    <w:rsid w:val="007127A6"/>
    <w:rsid w:val="00712D62"/>
    <w:rsid w:val="00725823"/>
    <w:rsid w:val="007341B2"/>
    <w:rsid w:val="00737486"/>
    <w:rsid w:val="00741601"/>
    <w:rsid w:val="007434F1"/>
    <w:rsid w:val="00744CCF"/>
    <w:rsid w:val="00761A40"/>
    <w:rsid w:val="00770622"/>
    <w:rsid w:val="0077697B"/>
    <w:rsid w:val="0077723D"/>
    <w:rsid w:val="0078246B"/>
    <w:rsid w:val="00790814"/>
    <w:rsid w:val="00790BEF"/>
    <w:rsid w:val="0079369C"/>
    <w:rsid w:val="0079626A"/>
    <w:rsid w:val="007971FE"/>
    <w:rsid w:val="007A177C"/>
    <w:rsid w:val="007A4480"/>
    <w:rsid w:val="007A477E"/>
    <w:rsid w:val="007A5AD9"/>
    <w:rsid w:val="007D0960"/>
    <w:rsid w:val="007D5FF5"/>
    <w:rsid w:val="007E0193"/>
    <w:rsid w:val="007E1006"/>
    <w:rsid w:val="007E2AA5"/>
    <w:rsid w:val="007F78AF"/>
    <w:rsid w:val="00805EC2"/>
    <w:rsid w:val="008140B3"/>
    <w:rsid w:val="00825B84"/>
    <w:rsid w:val="00827FFA"/>
    <w:rsid w:val="008301FE"/>
    <w:rsid w:val="00832E93"/>
    <w:rsid w:val="00843459"/>
    <w:rsid w:val="00847D3D"/>
    <w:rsid w:val="00850C72"/>
    <w:rsid w:val="00852B88"/>
    <w:rsid w:val="008536E7"/>
    <w:rsid w:val="00856776"/>
    <w:rsid w:val="008577A5"/>
    <w:rsid w:val="00860ED8"/>
    <w:rsid w:val="00863001"/>
    <w:rsid w:val="00864C7E"/>
    <w:rsid w:val="0087107F"/>
    <w:rsid w:val="00872A17"/>
    <w:rsid w:val="0087563E"/>
    <w:rsid w:val="00882024"/>
    <w:rsid w:val="00883226"/>
    <w:rsid w:val="008863DE"/>
    <w:rsid w:val="008908BC"/>
    <w:rsid w:val="00894A97"/>
    <w:rsid w:val="0089519E"/>
    <w:rsid w:val="008972DE"/>
    <w:rsid w:val="008A1E51"/>
    <w:rsid w:val="008A4244"/>
    <w:rsid w:val="008B2733"/>
    <w:rsid w:val="008B4309"/>
    <w:rsid w:val="008B7A3F"/>
    <w:rsid w:val="008C13AD"/>
    <w:rsid w:val="008C5819"/>
    <w:rsid w:val="008D2CDA"/>
    <w:rsid w:val="008E44C1"/>
    <w:rsid w:val="008E79EB"/>
    <w:rsid w:val="008F2F38"/>
    <w:rsid w:val="008F6469"/>
    <w:rsid w:val="008F7988"/>
    <w:rsid w:val="009003FF"/>
    <w:rsid w:val="009071F4"/>
    <w:rsid w:val="00907E90"/>
    <w:rsid w:val="00916B3C"/>
    <w:rsid w:val="00921FDD"/>
    <w:rsid w:val="00926EBC"/>
    <w:rsid w:val="00934E70"/>
    <w:rsid w:val="00935A92"/>
    <w:rsid w:val="0093757A"/>
    <w:rsid w:val="00951629"/>
    <w:rsid w:val="00951E2B"/>
    <w:rsid w:val="00961C3A"/>
    <w:rsid w:val="00962935"/>
    <w:rsid w:val="009645D3"/>
    <w:rsid w:val="00964841"/>
    <w:rsid w:val="009704F9"/>
    <w:rsid w:val="00976B16"/>
    <w:rsid w:val="00976F58"/>
    <w:rsid w:val="00977FD6"/>
    <w:rsid w:val="00980122"/>
    <w:rsid w:val="00980217"/>
    <w:rsid w:val="00982746"/>
    <w:rsid w:val="00983844"/>
    <w:rsid w:val="00986C63"/>
    <w:rsid w:val="0098780E"/>
    <w:rsid w:val="009A1A9C"/>
    <w:rsid w:val="009A1EA7"/>
    <w:rsid w:val="009A21BE"/>
    <w:rsid w:val="009B0E16"/>
    <w:rsid w:val="009B7556"/>
    <w:rsid w:val="009C1C52"/>
    <w:rsid w:val="009C68B3"/>
    <w:rsid w:val="009C6DBE"/>
    <w:rsid w:val="009C73B0"/>
    <w:rsid w:val="009D622C"/>
    <w:rsid w:val="009D63B5"/>
    <w:rsid w:val="009D7CE4"/>
    <w:rsid w:val="009E73AA"/>
    <w:rsid w:val="00A00BF4"/>
    <w:rsid w:val="00A0300E"/>
    <w:rsid w:val="00A11F25"/>
    <w:rsid w:val="00A2748A"/>
    <w:rsid w:val="00A360C2"/>
    <w:rsid w:val="00A37F66"/>
    <w:rsid w:val="00A40FC6"/>
    <w:rsid w:val="00A42ECA"/>
    <w:rsid w:val="00A43491"/>
    <w:rsid w:val="00A4362B"/>
    <w:rsid w:val="00A458B1"/>
    <w:rsid w:val="00A51DB1"/>
    <w:rsid w:val="00A53E05"/>
    <w:rsid w:val="00A5610A"/>
    <w:rsid w:val="00A6324A"/>
    <w:rsid w:val="00A656CC"/>
    <w:rsid w:val="00A65D8E"/>
    <w:rsid w:val="00A66724"/>
    <w:rsid w:val="00A71598"/>
    <w:rsid w:val="00A72AEE"/>
    <w:rsid w:val="00A7678E"/>
    <w:rsid w:val="00A81C57"/>
    <w:rsid w:val="00A82ADC"/>
    <w:rsid w:val="00A90784"/>
    <w:rsid w:val="00A910E4"/>
    <w:rsid w:val="00A93236"/>
    <w:rsid w:val="00A949A7"/>
    <w:rsid w:val="00A95483"/>
    <w:rsid w:val="00A968C6"/>
    <w:rsid w:val="00A96D98"/>
    <w:rsid w:val="00AA282F"/>
    <w:rsid w:val="00AA56AE"/>
    <w:rsid w:val="00AB0FEA"/>
    <w:rsid w:val="00AB24DE"/>
    <w:rsid w:val="00AB5549"/>
    <w:rsid w:val="00AB70F5"/>
    <w:rsid w:val="00AC55EE"/>
    <w:rsid w:val="00AD524F"/>
    <w:rsid w:val="00AE3904"/>
    <w:rsid w:val="00AE48B9"/>
    <w:rsid w:val="00AF3333"/>
    <w:rsid w:val="00AF61C8"/>
    <w:rsid w:val="00B01715"/>
    <w:rsid w:val="00B04840"/>
    <w:rsid w:val="00B04FAA"/>
    <w:rsid w:val="00B1341D"/>
    <w:rsid w:val="00B237F3"/>
    <w:rsid w:val="00B26973"/>
    <w:rsid w:val="00B33869"/>
    <w:rsid w:val="00B34E12"/>
    <w:rsid w:val="00B357C7"/>
    <w:rsid w:val="00B41EA2"/>
    <w:rsid w:val="00B4664A"/>
    <w:rsid w:val="00B558A8"/>
    <w:rsid w:val="00B575BD"/>
    <w:rsid w:val="00B579D5"/>
    <w:rsid w:val="00B651EB"/>
    <w:rsid w:val="00B70690"/>
    <w:rsid w:val="00B70C98"/>
    <w:rsid w:val="00B724C7"/>
    <w:rsid w:val="00B75A6E"/>
    <w:rsid w:val="00B75AA1"/>
    <w:rsid w:val="00B762A6"/>
    <w:rsid w:val="00B76916"/>
    <w:rsid w:val="00B82241"/>
    <w:rsid w:val="00B8490B"/>
    <w:rsid w:val="00B85BD8"/>
    <w:rsid w:val="00BA0B04"/>
    <w:rsid w:val="00BA3A2C"/>
    <w:rsid w:val="00BA49EC"/>
    <w:rsid w:val="00BD199D"/>
    <w:rsid w:val="00BD285A"/>
    <w:rsid w:val="00BD6AEC"/>
    <w:rsid w:val="00BE1342"/>
    <w:rsid w:val="00BE70C1"/>
    <w:rsid w:val="00BF3016"/>
    <w:rsid w:val="00BF52AB"/>
    <w:rsid w:val="00BF65A1"/>
    <w:rsid w:val="00C00C35"/>
    <w:rsid w:val="00C018FD"/>
    <w:rsid w:val="00C02D19"/>
    <w:rsid w:val="00C15ECC"/>
    <w:rsid w:val="00C17F63"/>
    <w:rsid w:val="00C22597"/>
    <w:rsid w:val="00C232C3"/>
    <w:rsid w:val="00C3740B"/>
    <w:rsid w:val="00C37653"/>
    <w:rsid w:val="00C40969"/>
    <w:rsid w:val="00C4191B"/>
    <w:rsid w:val="00C42091"/>
    <w:rsid w:val="00C46BD7"/>
    <w:rsid w:val="00C5266E"/>
    <w:rsid w:val="00C554C1"/>
    <w:rsid w:val="00C56966"/>
    <w:rsid w:val="00C61D40"/>
    <w:rsid w:val="00C63272"/>
    <w:rsid w:val="00C65A8F"/>
    <w:rsid w:val="00C714E3"/>
    <w:rsid w:val="00C73C4F"/>
    <w:rsid w:val="00C75FE2"/>
    <w:rsid w:val="00C8033A"/>
    <w:rsid w:val="00C8081B"/>
    <w:rsid w:val="00C810DC"/>
    <w:rsid w:val="00C8187B"/>
    <w:rsid w:val="00C86302"/>
    <w:rsid w:val="00C87D4C"/>
    <w:rsid w:val="00C916D6"/>
    <w:rsid w:val="00C94FE8"/>
    <w:rsid w:val="00CB21AD"/>
    <w:rsid w:val="00CB2F7F"/>
    <w:rsid w:val="00CC0961"/>
    <w:rsid w:val="00CC1356"/>
    <w:rsid w:val="00CC25D4"/>
    <w:rsid w:val="00CC2C30"/>
    <w:rsid w:val="00CD0359"/>
    <w:rsid w:val="00CD15A2"/>
    <w:rsid w:val="00CD52B3"/>
    <w:rsid w:val="00CD53EE"/>
    <w:rsid w:val="00CE00EF"/>
    <w:rsid w:val="00CE0E19"/>
    <w:rsid w:val="00CE1017"/>
    <w:rsid w:val="00CF0CD4"/>
    <w:rsid w:val="00CF1C4A"/>
    <w:rsid w:val="00CF4E8E"/>
    <w:rsid w:val="00CF5532"/>
    <w:rsid w:val="00D007A1"/>
    <w:rsid w:val="00D05D1F"/>
    <w:rsid w:val="00D126C4"/>
    <w:rsid w:val="00D17AD2"/>
    <w:rsid w:val="00D20F63"/>
    <w:rsid w:val="00D22546"/>
    <w:rsid w:val="00D24DF8"/>
    <w:rsid w:val="00D31F03"/>
    <w:rsid w:val="00D33CE4"/>
    <w:rsid w:val="00D349E1"/>
    <w:rsid w:val="00D36360"/>
    <w:rsid w:val="00D37319"/>
    <w:rsid w:val="00D41A4F"/>
    <w:rsid w:val="00D426C4"/>
    <w:rsid w:val="00D46F7C"/>
    <w:rsid w:val="00D61DBE"/>
    <w:rsid w:val="00D635F4"/>
    <w:rsid w:val="00D803B5"/>
    <w:rsid w:val="00D839AF"/>
    <w:rsid w:val="00D87EB0"/>
    <w:rsid w:val="00D904EF"/>
    <w:rsid w:val="00DA52D5"/>
    <w:rsid w:val="00DB2097"/>
    <w:rsid w:val="00DB4CD0"/>
    <w:rsid w:val="00DB5E49"/>
    <w:rsid w:val="00DB7037"/>
    <w:rsid w:val="00DB7B3C"/>
    <w:rsid w:val="00DC719A"/>
    <w:rsid w:val="00DD4EF4"/>
    <w:rsid w:val="00DD76FD"/>
    <w:rsid w:val="00DE53AE"/>
    <w:rsid w:val="00DE6EE6"/>
    <w:rsid w:val="00DF2684"/>
    <w:rsid w:val="00DF4A2B"/>
    <w:rsid w:val="00E002E7"/>
    <w:rsid w:val="00E01F71"/>
    <w:rsid w:val="00E0294D"/>
    <w:rsid w:val="00E063ED"/>
    <w:rsid w:val="00E064A4"/>
    <w:rsid w:val="00E0679C"/>
    <w:rsid w:val="00E06D25"/>
    <w:rsid w:val="00E06E74"/>
    <w:rsid w:val="00E07269"/>
    <w:rsid w:val="00E1046A"/>
    <w:rsid w:val="00E11DD6"/>
    <w:rsid w:val="00E12799"/>
    <w:rsid w:val="00E147AF"/>
    <w:rsid w:val="00E1532A"/>
    <w:rsid w:val="00E17AF6"/>
    <w:rsid w:val="00E208FB"/>
    <w:rsid w:val="00E20C91"/>
    <w:rsid w:val="00E22D0D"/>
    <w:rsid w:val="00E24FF3"/>
    <w:rsid w:val="00E30F27"/>
    <w:rsid w:val="00E32BBA"/>
    <w:rsid w:val="00E35447"/>
    <w:rsid w:val="00E406D9"/>
    <w:rsid w:val="00E44787"/>
    <w:rsid w:val="00E454AE"/>
    <w:rsid w:val="00E46571"/>
    <w:rsid w:val="00E51191"/>
    <w:rsid w:val="00E57CED"/>
    <w:rsid w:val="00E60C0A"/>
    <w:rsid w:val="00E65CC7"/>
    <w:rsid w:val="00E7448A"/>
    <w:rsid w:val="00E81A75"/>
    <w:rsid w:val="00E93070"/>
    <w:rsid w:val="00EA26DF"/>
    <w:rsid w:val="00EA551B"/>
    <w:rsid w:val="00EB0400"/>
    <w:rsid w:val="00EB1F49"/>
    <w:rsid w:val="00EB2704"/>
    <w:rsid w:val="00EB33AE"/>
    <w:rsid w:val="00EB5227"/>
    <w:rsid w:val="00EB6451"/>
    <w:rsid w:val="00EC469F"/>
    <w:rsid w:val="00EC55FE"/>
    <w:rsid w:val="00EC5BF2"/>
    <w:rsid w:val="00EC6C74"/>
    <w:rsid w:val="00EC7207"/>
    <w:rsid w:val="00ED101C"/>
    <w:rsid w:val="00ED102C"/>
    <w:rsid w:val="00ED188E"/>
    <w:rsid w:val="00EE0414"/>
    <w:rsid w:val="00EE06E5"/>
    <w:rsid w:val="00EE267C"/>
    <w:rsid w:val="00EE5130"/>
    <w:rsid w:val="00EE713F"/>
    <w:rsid w:val="00EF329A"/>
    <w:rsid w:val="00F002FC"/>
    <w:rsid w:val="00F03624"/>
    <w:rsid w:val="00F06739"/>
    <w:rsid w:val="00F1700D"/>
    <w:rsid w:val="00F211A6"/>
    <w:rsid w:val="00F23ECB"/>
    <w:rsid w:val="00F30E41"/>
    <w:rsid w:val="00F31076"/>
    <w:rsid w:val="00F40957"/>
    <w:rsid w:val="00F41953"/>
    <w:rsid w:val="00F41C9E"/>
    <w:rsid w:val="00F42FFE"/>
    <w:rsid w:val="00F43415"/>
    <w:rsid w:val="00F45F42"/>
    <w:rsid w:val="00F4698B"/>
    <w:rsid w:val="00F535A2"/>
    <w:rsid w:val="00F57089"/>
    <w:rsid w:val="00F57D58"/>
    <w:rsid w:val="00F60C25"/>
    <w:rsid w:val="00F73730"/>
    <w:rsid w:val="00F80CE8"/>
    <w:rsid w:val="00F81FBA"/>
    <w:rsid w:val="00F82800"/>
    <w:rsid w:val="00F84FEC"/>
    <w:rsid w:val="00F85AD7"/>
    <w:rsid w:val="00F90E25"/>
    <w:rsid w:val="00F9152A"/>
    <w:rsid w:val="00F9720F"/>
    <w:rsid w:val="00F97EDC"/>
    <w:rsid w:val="00FA397D"/>
    <w:rsid w:val="00FA3AE1"/>
    <w:rsid w:val="00FA5CAD"/>
    <w:rsid w:val="00FA6C5B"/>
    <w:rsid w:val="00FB0EFA"/>
    <w:rsid w:val="00FB28B5"/>
    <w:rsid w:val="00FB4535"/>
    <w:rsid w:val="00FB699F"/>
    <w:rsid w:val="00FB7EE8"/>
    <w:rsid w:val="00FC10F9"/>
    <w:rsid w:val="00FD22C1"/>
    <w:rsid w:val="00FD2B72"/>
    <w:rsid w:val="00FE0EA5"/>
    <w:rsid w:val="00FE6DB6"/>
    <w:rsid w:val="00FF2848"/>
    <w:rsid w:val="152444DF"/>
    <w:rsid w:val="2947D53D"/>
    <w:rsid w:val="299450AB"/>
    <w:rsid w:val="33351DA4"/>
    <w:rsid w:val="4CB344A2"/>
    <w:rsid w:val="4D9851CF"/>
    <w:rsid w:val="61B3D1EC"/>
    <w:rsid w:val="68AF71FC"/>
    <w:rsid w:val="6C319764"/>
    <w:rsid w:val="7CF85044"/>
  </w:rsids>
  <m:mathPr>
    <m:mathFont m:val="Cambria Math"/>
    <m:brkBin m:val="before"/>
    <m:brkBinSub m:val="--"/>
    <m:smallFrac m:val="0"/>
    <m:dispDef/>
    <m:lMargin m:val="0"/>
    <m:rMargin m:val="0"/>
    <m:defJc m:val="centerGroup"/>
    <m:wrapIndent m:val="1440"/>
    <m:intLim m:val="subSup"/>
    <m:naryLim m:val="undOvr"/>
  </m:mathPr>
  <w:themeFontLang w:val="es-419"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A8939"/>
  <w15:chartTrackingRefBased/>
  <w15:docId w15:val="{F7C7CE39-F2FD-4DE0-B8BB-D3DEB4E72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ES" w:eastAsia="en-US"/>
    </w:rPr>
  </w:style>
  <w:style w:type="paragraph" w:styleId="Heading1">
    <w:name w:val="heading 1"/>
    <w:basedOn w:val="Normal"/>
    <w:next w:val="Normal"/>
    <w:link w:val="Heading1Char"/>
    <w:uiPriority w:val="9"/>
    <w:qFormat/>
    <w:rsid w:val="00926EBC"/>
    <w:pPr>
      <w:keepNext/>
      <w:keepLines/>
      <w:numPr>
        <w:numId w:val="10"/>
      </w:numPr>
      <w:spacing w:before="120" w:after="120" w:line="360" w:lineRule="auto"/>
      <w:ind w:left="426" w:hanging="437"/>
      <w:outlineLvl w:val="0"/>
    </w:pPr>
    <w:rPr>
      <w:rFonts w:ascii="Times New Roman" w:eastAsia="Times New Roman" w:hAnsi="Times New Roman"/>
      <w:b/>
      <w:sz w:val="24"/>
      <w:szCs w:val="32"/>
    </w:rPr>
  </w:style>
  <w:style w:type="paragraph" w:styleId="Heading2">
    <w:name w:val="heading 2"/>
    <w:basedOn w:val="Subtitle"/>
    <w:next w:val="Normal"/>
    <w:link w:val="Heading2Char"/>
    <w:uiPriority w:val="9"/>
    <w:unhideWhenUsed/>
    <w:qFormat/>
    <w:rsid w:val="00926EBC"/>
    <w:pPr>
      <w:numPr>
        <w:ilvl w:val="2"/>
      </w:numPr>
      <w:outlineLvl w:val="1"/>
    </w:pPr>
  </w:style>
  <w:style w:type="paragraph" w:styleId="Heading3">
    <w:name w:val="heading 3"/>
    <w:basedOn w:val="Normal"/>
    <w:next w:val="Normal"/>
    <w:link w:val="Heading3Char"/>
    <w:uiPriority w:val="9"/>
    <w:unhideWhenUsed/>
    <w:qFormat/>
    <w:rsid w:val="00E1046A"/>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003A98"/>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0C2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F60C25"/>
    <w:rPr>
      <w:rFonts w:ascii="Segoe UI" w:hAnsi="Segoe UI" w:cs="Segoe UI"/>
      <w:sz w:val="18"/>
      <w:szCs w:val="18"/>
    </w:rPr>
  </w:style>
  <w:style w:type="paragraph" w:styleId="ListParagraph">
    <w:name w:val="List Paragraph"/>
    <w:basedOn w:val="Normal"/>
    <w:link w:val="ListParagraphChar"/>
    <w:uiPriority w:val="34"/>
    <w:qFormat/>
    <w:rsid w:val="0056317E"/>
    <w:pPr>
      <w:ind w:left="720"/>
      <w:contextualSpacing/>
    </w:pPr>
  </w:style>
  <w:style w:type="table" w:styleId="TableGrid">
    <w:name w:val="Table Grid"/>
    <w:basedOn w:val="TableNormal"/>
    <w:uiPriority w:val="59"/>
    <w:qFormat/>
    <w:rsid w:val="00A932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2597"/>
    <w:pPr>
      <w:tabs>
        <w:tab w:val="center" w:pos="4252"/>
        <w:tab w:val="right" w:pos="8504"/>
      </w:tabs>
    </w:pPr>
  </w:style>
  <w:style w:type="character" w:customStyle="1" w:styleId="HeaderChar">
    <w:name w:val="Header Char"/>
    <w:link w:val="Header"/>
    <w:uiPriority w:val="99"/>
    <w:rsid w:val="00C22597"/>
    <w:rPr>
      <w:sz w:val="22"/>
      <w:szCs w:val="22"/>
      <w:lang w:eastAsia="en-US"/>
    </w:rPr>
  </w:style>
  <w:style w:type="paragraph" w:styleId="Footer">
    <w:name w:val="footer"/>
    <w:basedOn w:val="Normal"/>
    <w:link w:val="FooterChar"/>
    <w:uiPriority w:val="99"/>
    <w:unhideWhenUsed/>
    <w:rsid w:val="00C22597"/>
    <w:pPr>
      <w:tabs>
        <w:tab w:val="center" w:pos="4252"/>
        <w:tab w:val="right" w:pos="8504"/>
      </w:tabs>
    </w:pPr>
  </w:style>
  <w:style w:type="character" w:customStyle="1" w:styleId="FooterChar">
    <w:name w:val="Footer Char"/>
    <w:link w:val="Footer"/>
    <w:uiPriority w:val="99"/>
    <w:rsid w:val="00C22597"/>
    <w:rPr>
      <w:sz w:val="22"/>
      <w:szCs w:val="22"/>
      <w:lang w:eastAsia="en-US"/>
    </w:rPr>
  </w:style>
  <w:style w:type="paragraph" w:customStyle="1" w:styleId="Default">
    <w:name w:val="Default"/>
    <w:rsid w:val="006C450E"/>
    <w:pPr>
      <w:autoSpaceDE w:val="0"/>
      <w:autoSpaceDN w:val="0"/>
      <w:adjustRightInd w:val="0"/>
    </w:pPr>
    <w:rPr>
      <w:rFonts w:ascii="Times New Roman" w:hAnsi="Times New Roman"/>
      <w:color w:val="000000"/>
      <w:sz w:val="24"/>
      <w:szCs w:val="24"/>
      <w:lang w:val="es-ES" w:eastAsia="es-ES"/>
    </w:rPr>
  </w:style>
  <w:style w:type="character" w:styleId="CommentReference">
    <w:name w:val="annotation reference"/>
    <w:uiPriority w:val="99"/>
    <w:semiHidden/>
    <w:unhideWhenUsed/>
    <w:rsid w:val="00A0300E"/>
    <w:rPr>
      <w:sz w:val="16"/>
      <w:szCs w:val="16"/>
    </w:rPr>
  </w:style>
  <w:style w:type="paragraph" w:styleId="CommentText">
    <w:name w:val="annotation text"/>
    <w:basedOn w:val="Normal"/>
    <w:link w:val="CommentTextChar"/>
    <w:uiPriority w:val="99"/>
    <w:unhideWhenUsed/>
    <w:rsid w:val="00A0300E"/>
    <w:rPr>
      <w:sz w:val="20"/>
      <w:szCs w:val="20"/>
    </w:rPr>
  </w:style>
  <w:style w:type="character" w:customStyle="1" w:styleId="CommentTextChar">
    <w:name w:val="Comment Text Char"/>
    <w:link w:val="CommentText"/>
    <w:uiPriority w:val="99"/>
    <w:rsid w:val="00A0300E"/>
    <w:rPr>
      <w:lang w:val="es-ES" w:eastAsia="en-US"/>
    </w:rPr>
  </w:style>
  <w:style w:type="paragraph" w:styleId="CommentSubject">
    <w:name w:val="annotation subject"/>
    <w:basedOn w:val="CommentText"/>
    <w:next w:val="CommentText"/>
    <w:link w:val="CommentSubjectChar"/>
    <w:uiPriority w:val="99"/>
    <w:semiHidden/>
    <w:unhideWhenUsed/>
    <w:rsid w:val="00A0300E"/>
    <w:rPr>
      <w:b/>
      <w:bCs/>
    </w:rPr>
  </w:style>
  <w:style w:type="character" w:customStyle="1" w:styleId="CommentSubjectChar">
    <w:name w:val="Comment Subject Char"/>
    <w:link w:val="CommentSubject"/>
    <w:uiPriority w:val="99"/>
    <w:semiHidden/>
    <w:rsid w:val="00A0300E"/>
    <w:rPr>
      <w:b/>
      <w:bCs/>
      <w:lang w:val="es-ES" w:eastAsia="en-US"/>
    </w:rPr>
  </w:style>
  <w:style w:type="paragraph" w:styleId="FootnoteText">
    <w:name w:val="footnote text"/>
    <w:aliases w:val="FOOTNOTES,fn,fn Car,ACMA Footnote Text,footnote text,C26 Footnote body,Footnote Text Char Char Char Char Char,Footnote Text Char Char Char Char,Footnote reference,FA Fu,Footnote Text Char Char Char Car,ft,Footnote Text Char1,single space"/>
    <w:basedOn w:val="Normal"/>
    <w:link w:val="FootnoteTextChar"/>
    <w:uiPriority w:val="99"/>
    <w:unhideWhenUsed/>
    <w:qFormat/>
    <w:rsid w:val="00B85BD8"/>
    <w:rPr>
      <w:sz w:val="20"/>
      <w:szCs w:val="20"/>
      <w:lang w:val="es-EC"/>
    </w:rPr>
  </w:style>
  <w:style w:type="character" w:customStyle="1" w:styleId="FootnoteTextChar">
    <w:name w:val="Footnote Text Char"/>
    <w:aliases w:val="FOOTNOTES Char,fn Char,fn Car Char,ACMA Footnote Text Char,footnote text Char,C26 Footnote body Char,Footnote Text Char Char Char Char Char Char,Footnote Text Char Char Char Char Char1,Footnote reference Char,FA Fu Char,ft Char"/>
    <w:link w:val="FootnoteText"/>
    <w:uiPriority w:val="99"/>
    <w:rsid w:val="00B85BD8"/>
    <w:rPr>
      <w:lang w:val="es-EC" w:eastAsia="en-US"/>
    </w:rPr>
  </w:style>
  <w:style w:type="character" w:styleId="FootnoteReference">
    <w:name w:val="footnote reference"/>
    <w:aliases w:val="BVI fnr,(Ref. de nota al pie),Appel note de bas de page,Ref,de nota al pie,Ref. de nota al pi,Footnotes refss,Texto de nota al pie,4_G,4_G Char Char Char Char Car,ftref Char Char Char Char Car,-E Fußnotenzeichen Char Char Char Char C"/>
    <w:link w:val="4GCharCharCharChar"/>
    <w:uiPriority w:val="99"/>
    <w:unhideWhenUsed/>
    <w:qFormat/>
    <w:rsid w:val="00B85BD8"/>
    <w:rPr>
      <w:vertAlign w:val="superscript"/>
    </w:rPr>
  </w:style>
  <w:style w:type="paragraph" w:customStyle="1" w:styleId="4GCharCharCharChar">
    <w:name w:val="4_G Char Char Char Char"/>
    <w:aliases w:val="ftref Char Char Char Char,-E Fußnotenzeichen Char Char Char Char,16 Point Char Char Char Char,Superscript 6 Point Char Char Char Char,Carattere Char1 Char Char Char Char"/>
    <w:basedOn w:val="Normal"/>
    <w:link w:val="FootnoteReference"/>
    <w:uiPriority w:val="99"/>
    <w:rsid w:val="00B85BD8"/>
    <w:pPr>
      <w:spacing w:line="240" w:lineRule="exact"/>
    </w:pPr>
    <w:rPr>
      <w:sz w:val="20"/>
      <w:szCs w:val="20"/>
      <w:vertAlign w:val="superscript"/>
      <w:lang w:eastAsia="es-ES"/>
    </w:rPr>
  </w:style>
  <w:style w:type="character" w:styleId="Hyperlink">
    <w:name w:val="Hyperlink"/>
    <w:uiPriority w:val="99"/>
    <w:unhideWhenUsed/>
    <w:rsid w:val="003A0BB9"/>
    <w:rPr>
      <w:color w:val="0000FF"/>
      <w:u w:val="single"/>
    </w:rPr>
  </w:style>
  <w:style w:type="paragraph" w:styleId="BodyText">
    <w:name w:val="Body Text"/>
    <w:basedOn w:val="Normal"/>
    <w:link w:val="BodyTextChar"/>
    <w:uiPriority w:val="99"/>
    <w:unhideWhenUsed/>
    <w:rsid w:val="00687227"/>
    <w:pPr>
      <w:spacing w:after="120"/>
    </w:pPr>
    <w:rPr>
      <w:lang w:val="es-EC"/>
    </w:rPr>
  </w:style>
  <w:style w:type="character" w:customStyle="1" w:styleId="BodyTextChar">
    <w:name w:val="Body Text Char"/>
    <w:link w:val="BodyText"/>
    <w:uiPriority w:val="99"/>
    <w:rsid w:val="00687227"/>
    <w:rPr>
      <w:sz w:val="22"/>
      <w:szCs w:val="22"/>
      <w:lang w:val="es-EC" w:eastAsia="en-US"/>
    </w:rPr>
  </w:style>
  <w:style w:type="character" w:customStyle="1" w:styleId="Heading1Char">
    <w:name w:val="Heading 1 Char"/>
    <w:link w:val="Heading1"/>
    <w:uiPriority w:val="9"/>
    <w:rsid w:val="00926EBC"/>
    <w:rPr>
      <w:rFonts w:ascii="Times New Roman" w:eastAsia="Times New Roman" w:hAnsi="Times New Roman"/>
      <w:b/>
      <w:sz w:val="24"/>
      <w:szCs w:val="32"/>
      <w:lang w:eastAsia="en-US"/>
    </w:rPr>
  </w:style>
  <w:style w:type="character" w:customStyle="1" w:styleId="Heading2Char">
    <w:name w:val="Heading 2 Char"/>
    <w:link w:val="Heading2"/>
    <w:uiPriority w:val="9"/>
    <w:rsid w:val="00926EBC"/>
    <w:rPr>
      <w:rFonts w:ascii="Times New Roman" w:eastAsia="Times New Roman" w:hAnsi="Times New Roman"/>
      <w:b/>
      <w:sz w:val="24"/>
      <w:szCs w:val="32"/>
      <w:lang w:eastAsia="en-US"/>
    </w:rPr>
  </w:style>
  <w:style w:type="paragraph" w:styleId="Subtitle">
    <w:name w:val="Subtitle"/>
    <w:basedOn w:val="Heading1"/>
    <w:next w:val="Normal"/>
    <w:link w:val="SubtitleChar"/>
    <w:uiPriority w:val="11"/>
    <w:qFormat/>
    <w:rsid w:val="00926EBC"/>
    <w:pPr>
      <w:numPr>
        <w:ilvl w:val="1"/>
      </w:numPr>
      <w:jc w:val="both"/>
    </w:pPr>
  </w:style>
  <w:style w:type="character" w:customStyle="1" w:styleId="SubtitleChar">
    <w:name w:val="Subtitle Char"/>
    <w:link w:val="Subtitle"/>
    <w:uiPriority w:val="11"/>
    <w:rsid w:val="00926EBC"/>
    <w:rPr>
      <w:rFonts w:ascii="Times New Roman" w:eastAsia="Times New Roman" w:hAnsi="Times New Roman"/>
      <w:b/>
      <w:sz w:val="24"/>
      <w:szCs w:val="32"/>
      <w:lang w:eastAsia="en-US"/>
    </w:rPr>
  </w:style>
  <w:style w:type="paragraph" w:customStyle="1" w:styleId="Redaccin">
    <w:name w:val="Redacción"/>
    <w:basedOn w:val="ListParagraph"/>
    <w:link w:val="RedaccinCar"/>
    <w:qFormat/>
    <w:rsid w:val="00926EBC"/>
    <w:pPr>
      <w:numPr>
        <w:numId w:val="11"/>
      </w:numPr>
      <w:spacing w:before="120" w:after="120" w:line="276" w:lineRule="auto"/>
      <w:jc w:val="both"/>
    </w:pPr>
    <w:rPr>
      <w:rFonts w:ascii="Times New Roman" w:hAnsi="Times New Roman"/>
      <w:sz w:val="24"/>
      <w:szCs w:val="24"/>
    </w:rPr>
  </w:style>
  <w:style w:type="character" w:customStyle="1" w:styleId="RedaccinCar">
    <w:name w:val="Redacción Car"/>
    <w:link w:val="Redaccin"/>
    <w:rsid w:val="00926EBC"/>
    <w:rPr>
      <w:rFonts w:ascii="Times New Roman" w:hAnsi="Times New Roman"/>
      <w:sz w:val="24"/>
      <w:szCs w:val="24"/>
      <w:lang w:eastAsia="en-US"/>
    </w:rPr>
  </w:style>
  <w:style w:type="character" w:customStyle="1" w:styleId="highlight">
    <w:name w:val="highlight"/>
    <w:rsid w:val="00926EBC"/>
  </w:style>
  <w:style w:type="paragraph" w:customStyle="1" w:styleId="Introduccin">
    <w:name w:val="Introducción"/>
    <w:basedOn w:val="Normal"/>
    <w:link w:val="IntroduccinCar"/>
    <w:qFormat/>
    <w:rsid w:val="00926EBC"/>
    <w:pPr>
      <w:widowControl w:val="0"/>
      <w:suppressAutoHyphens/>
      <w:spacing w:before="120" w:after="120" w:line="276" w:lineRule="auto"/>
      <w:ind w:firstLine="708"/>
      <w:jc w:val="both"/>
    </w:pPr>
    <w:rPr>
      <w:rFonts w:ascii="Times New Roman" w:eastAsia="DejaVu Sans" w:hAnsi="Times New Roman" w:cs="Lohit Hindi"/>
      <w:sz w:val="24"/>
      <w:szCs w:val="24"/>
      <w:lang w:val="es-VE" w:eastAsia="es-EC"/>
    </w:rPr>
  </w:style>
  <w:style w:type="character" w:customStyle="1" w:styleId="IntroduccinCar">
    <w:name w:val="Introducción Car"/>
    <w:link w:val="Introduccin"/>
    <w:rsid w:val="00926EBC"/>
    <w:rPr>
      <w:rFonts w:ascii="Times New Roman" w:eastAsia="DejaVu Sans" w:hAnsi="Times New Roman" w:cs="Lohit Hindi"/>
      <w:sz w:val="24"/>
      <w:szCs w:val="24"/>
      <w:lang w:val="es-VE" w:eastAsia="es-EC"/>
    </w:rPr>
  </w:style>
  <w:style w:type="paragraph" w:customStyle="1" w:styleId="Tabla">
    <w:name w:val="Tabla"/>
    <w:basedOn w:val="Normal"/>
    <w:link w:val="TablaCar"/>
    <w:qFormat/>
    <w:rsid w:val="00926EBC"/>
    <w:pPr>
      <w:spacing w:after="0" w:line="240" w:lineRule="auto"/>
    </w:pPr>
    <w:rPr>
      <w:rFonts w:ascii="Times New Roman" w:hAnsi="Times New Roman"/>
      <w:sz w:val="24"/>
      <w:szCs w:val="24"/>
    </w:rPr>
  </w:style>
  <w:style w:type="paragraph" w:customStyle="1" w:styleId="ttulotabla">
    <w:name w:val="título tabla"/>
    <w:basedOn w:val="Normal"/>
    <w:link w:val="ttulotablaCar"/>
    <w:qFormat/>
    <w:rsid w:val="00926EBC"/>
    <w:rPr>
      <w:rFonts w:ascii="Times New Roman" w:hAnsi="Times New Roman"/>
      <w:i/>
      <w:sz w:val="24"/>
      <w:szCs w:val="24"/>
    </w:rPr>
  </w:style>
  <w:style w:type="character" w:customStyle="1" w:styleId="TablaCar">
    <w:name w:val="Tabla Car"/>
    <w:link w:val="Tabla"/>
    <w:rsid w:val="00926EBC"/>
    <w:rPr>
      <w:rFonts w:ascii="Times New Roman" w:hAnsi="Times New Roman"/>
      <w:sz w:val="24"/>
      <w:szCs w:val="24"/>
      <w:lang w:eastAsia="en-US"/>
    </w:rPr>
  </w:style>
  <w:style w:type="character" w:customStyle="1" w:styleId="ttulotablaCar">
    <w:name w:val="título tabla Car"/>
    <w:link w:val="ttulotabla"/>
    <w:rsid w:val="00926EBC"/>
    <w:rPr>
      <w:rFonts w:ascii="Times New Roman" w:hAnsi="Times New Roman"/>
      <w:i/>
      <w:sz w:val="24"/>
      <w:szCs w:val="24"/>
      <w:lang w:eastAsia="en-US"/>
    </w:rPr>
  </w:style>
  <w:style w:type="character" w:customStyle="1" w:styleId="ListParagraphChar">
    <w:name w:val="List Paragraph Char"/>
    <w:link w:val="ListParagraph"/>
    <w:uiPriority w:val="34"/>
    <w:rsid w:val="00926EBC"/>
    <w:rPr>
      <w:sz w:val="22"/>
      <w:szCs w:val="22"/>
      <w:lang w:eastAsia="en-US"/>
    </w:rPr>
  </w:style>
  <w:style w:type="table" w:customStyle="1" w:styleId="Tabladecuadrcula4-nfasis51">
    <w:name w:val="Tabla de cuadrícula 4 - Énfasis 51"/>
    <w:basedOn w:val="TableNormal"/>
    <w:uiPriority w:val="49"/>
    <w:rsid w:val="00926EBC"/>
    <w:rPr>
      <w:sz w:val="22"/>
      <w:szCs w:val="22"/>
      <w:lang w:val="es-EC"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HTMLPreformatted">
    <w:name w:val="HTML Preformatted"/>
    <w:basedOn w:val="Normal"/>
    <w:link w:val="HTMLPreformattedChar"/>
    <w:uiPriority w:val="99"/>
    <w:unhideWhenUsed/>
    <w:rsid w:val="00926E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C" w:eastAsia="es-EC"/>
    </w:rPr>
  </w:style>
  <w:style w:type="character" w:customStyle="1" w:styleId="HTMLPreformattedChar">
    <w:name w:val="HTML Preformatted Char"/>
    <w:link w:val="HTMLPreformatted"/>
    <w:uiPriority w:val="99"/>
    <w:rsid w:val="00926EBC"/>
    <w:rPr>
      <w:rFonts w:ascii="Courier New" w:eastAsia="Times New Roman" w:hAnsi="Courier New" w:cs="Courier New"/>
      <w:lang w:val="es-EC" w:eastAsia="es-EC"/>
    </w:rPr>
  </w:style>
  <w:style w:type="character" w:customStyle="1" w:styleId="object">
    <w:name w:val="object"/>
    <w:rsid w:val="00926EBC"/>
  </w:style>
  <w:style w:type="paragraph" w:customStyle="1" w:styleId="Citas">
    <w:name w:val="Citas"/>
    <w:basedOn w:val="Redaccin"/>
    <w:link w:val="CitasCar"/>
    <w:qFormat/>
    <w:rsid w:val="00926EBC"/>
    <w:pPr>
      <w:numPr>
        <w:numId w:val="0"/>
      </w:numPr>
      <w:spacing w:line="240" w:lineRule="auto"/>
      <w:ind w:left="709"/>
    </w:pPr>
  </w:style>
  <w:style w:type="character" w:customStyle="1" w:styleId="CitasCar">
    <w:name w:val="Citas Car"/>
    <w:link w:val="Citas"/>
    <w:rsid w:val="00926EBC"/>
    <w:rPr>
      <w:rFonts w:ascii="Times New Roman" w:hAnsi="Times New Roman"/>
      <w:sz w:val="24"/>
      <w:szCs w:val="24"/>
      <w:lang w:eastAsia="en-US"/>
    </w:rPr>
  </w:style>
  <w:style w:type="character" w:styleId="FollowedHyperlink">
    <w:name w:val="FollowedHyperlink"/>
    <w:uiPriority w:val="99"/>
    <w:semiHidden/>
    <w:unhideWhenUsed/>
    <w:rsid w:val="00FA6C5B"/>
    <w:rPr>
      <w:color w:val="954F72"/>
      <w:u w:val="single"/>
    </w:rPr>
  </w:style>
  <w:style w:type="paragraph" w:styleId="Bibliography">
    <w:name w:val="Bibliography"/>
    <w:basedOn w:val="Normal"/>
    <w:next w:val="Normal"/>
    <w:uiPriority w:val="37"/>
    <w:semiHidden/>
    <w:unhideWhenUsed/>
    <w:rsid w:val="00E063ED"/>
  </w:style>
  <w:style w:type="character" w:customStyle="1" w:styleId="m7eme">
    <w:name w:val="m7eme"/>
    <w:basedOn w:val="DefaultParagraphFont"/>
    <w:rsid w:val="006C5F6A"/>
  </w:style>
  <w:style w:type="paragraph" w:customStyle="1" w:styleId="Char2">
    <w:name w:val="Char2"/>
    <w:basedOn w:val="Normal"/>
    <w:uiPriority w:val="99"/>
    <w:rsid w:val="00E44787"/>
    <w:pPr>
      <w:spacing w:line="240" w:lineRule="exact"/>
      <w:jc w:val="both"/>
    </w:pPr>
    <w:rPr>
      <w:sz w:val="20"/>
      <w:szCs w:val="20"/>
      <w:vertAlign w:val="superscript"/>
      <w:lang w:val="es-EC" w:eastAsia="es-EC"/>
    </w:rPr>
  </w:style>
  <w:style w:type="character" w:customStyle="1" w:styleId="Mencinsinresolver1">
    <w:name w:val="Mención sin resolver1"/>
    <w:uiPriority w:val="99"/>
    <w:semiHidden/>
    <w:unhideWhenUsed/>
    <w:rsid w:val="00E44787"/>
    <w:rPr>
      <w:color w:val="605E5C"/>
      <w:shd w:val="clear" w:color="auto" w:fill="E1DFDD"/>
    </w:rPr>
  </w:style>
  <w:style w:type="character" w:customStyle="1" w:styleId="Heading4Char">
    <w:name w:val="Heading 4 Char"/>
    <w:link w:val="Heading4"/>
    <w:uiPriority w:val="9"/>
    <w:semiHidden/>
    <w:rsid w:val="00003A98"/>
    <w:rPr>
      <w:rFonts w:ascii="Calibri" w:eastAsia="Times New Roman" w:hAnsi="Calibri" w:cs="Times New Roman"/>
      <w:b/>
      <w:bCs/>
      <w:sz w:val="28"/>
      <w:szCs w:val="28"/>
      <w:lang w:val="es-ES" w:eastAsia="en-US"/>
    </w:rPr>
  </w:style>
  <w:style w:type="paragraph" w:styleId="NormalWeb">
    <w:name w:val="Normal (Web)"/>
    <w:basedOn w:val="Normal"/>
    <w:uiPriority w:val="99"/>
    <w:unhideWhenUsed/>
    <w:rsid w:val="00636EA2"/>
    <w:pPr>
      <w:spacing w:before="100" w:beforeAutospacing="1" w:after="100" w:afterAutospacing="1" w:line="240" w:lineRule="auto"/>
    </w:pPr>
    <w:rPr>
      <w:rFonts w:ascii="Times New Roman" w:eastAsia="Times New Roman" w:hAnsi="Times New Roman"/>
      <w:sz w:val="24"/>
      <w:szCs w:val="24"/>
      <w:lang w:val="es-CO" w:eastAsia="es-MX"/>
    </w:rPr>
  </w:style>
  <w:style w:type="character" w:customStyle="1" w:styleId="Heading3Char">
    <w:name w:val="Heading 3 Char"/>
    <w:link w:val="Heading3"/>
    <w:uiPriority w:val="9"/>
    <w:rsid w:val="00E1046A"/>
    <w:rPr>
      <w:rFonts w:ascii="Calibri Light" w:eastAsia="Times New Roman" w:hAnsi="Calibri Light" w:cs="Times New Roman"/>
      <w:b/>
      <w:bCs/>
      <w:sz w:val="26"/>
      <w:szCs w:val="26"/>
      <w:lang w:val="es-ES" w:eastAsia="en-US"/>
    </w:rPr>
  </w:style>
  <w:style w:type="character" w:customStyle="1" w:styleId="apple-converted-space">
    <w:name w:val="apple-converted-space"/>
    <w:basedOn w:val="DefaultParagraphFont"/>
    <w:rsid w:val="00916B3C"/>
  </w:style>
  <w:style w:type="character" w:styleId="Strong">
    <w:name w:val="Strong"/>
    <w:uiPriority w:val="22"/>
    <w:qFormat/>
    <w:rsid w:val="00916B3C"/>
    <w:rPr>
      <w:b/>
      <w:bCs/>
    </w:rPr>
  </w:style>
  <w:style w:type="character" w:styleId="Emphasis">
    <w:name w:val="Emphasis"/>
    <w:uiPriority w:val="20"/>
    <w:qFormat/>
    <w:rsid w:val="00916B3C"/>
    <w:rPr>
      <w:i/>
      <w:iCs/>
    </w:rPr>
  </w:style>
  <w:style w:type="paragraph" w:customStyle="1" w:styleId="Pa129">
    <w:name w:val="Pa129"/>
    <w:basedOn w:val="Default"/>
    <w:next w:val="Default"/>
    <w:uiPriority w:val="99"/>
    <w:rsid w:val="009B0E16"/>
    <w:pPr>
      <w:spacing w:line="241" w:lineRule="atLeast"/>
    </w:pPr>
    <w:rPr>
      <w:rFonts w:ascii="Source Sans Pro" w:hAnsi="Source Sans Pro"/>
      <w:color w:val="auto"/>
      <w:lang w:val="es-EC" w:eastAsia="es-EC"/>
    </w:rPr>
  </w:style>
  <w:style w:type="paragraph" w:customStyle="1" w:styleId="Pa137">
    <w:name w:val="Pa137"/>
    <w:basedOn w:val="Default"/>
    <w:next w:val="Default"/>
    <w:uiPriority w:val="99"/>
    <w:rsid w:val="009B0E16"/>
    <w:pPr>
      <w:spacing w:line="241" w:lineRule="atLeast"/>
    </w:pPr>
    <w:rPr>
      <w:rFonts w:ascii="Source Sans Pro" w:hAnsi="Source Sans Pro"/>
      <w:color w:val="auto"/>
      <w:lang w:val="es-EC" w:eastAsia="es-EC"/>
    </w:rPr>
  </w:style>
  <w:style w:type="paragraph" w:customStyle="1" w:styleId="Pa139">
    <w:name w:val="Pa139"/>
    <w:basedOn w:val="Default"/>
    <w:next w:val="Default"/>
    <w:uiPriority w:val="99"/>
    <w:rsid w:val="00B579D5"/>
    <w:pPr>
      <w:spacing w:line="241" w:lineRule="atLeast"/>
    </w:pPr>
    <w:rPr>
      <w:rFonts w:ascii="Source Sans Pro" w:hAnsi="Source Sans Pro"/>
      <w:color w:val="auto"/>
      <w:lang w:val="es-EC" w:eastAsia="es-EC"/>
    </w:rPr>
  </w:style>
  <w:style w:type="character" w:customStyle="1" w:styleId="A6">
    <w:name w:val="A6"/>
    <w:uiPriority w:val="99"/>
    <w:rsid w:val="00A910E4"/>
    <w:rPr>
      <w:rFonts w:cs="Source Sans Pro"/>
      <w:color w:val="000000"/>
      <w:sz w:val="22"/>
      <w:szCs w:val="22"/>
    </w:rPr>
  </w:style>
  <w:style w:type="paragraph" w:customStyle="1" w:styleId="Pa132">
    <w:name w:val="Pa132"/>
    <w:basedOn w:val="Default"/>
    <w:next w:val="Default"/>
    <w:uiPriority w:val="99"/>
    <w:rsid w:val="00C4191B"/>
    <w:pPr>
      <w:spacing w:line="241" w:lineRule="atLeast"/>
    </w:pPr>
    <w:rPr>
      <w:rFonts w:ascii="Source Sans Pro" w:hAnsi="Source Sans Pro"/>
      <w:color w:val="auto"/>
      <w:lang w:val="es-EC" w:eastAsia="es-EC"/>
    </w:rPr>
  </w:style>
  <w:style w:type="paragraph" w:styleId="Revision">
    <w:name w:val="Revision"/>
    <w:hidden/>
    <w:uiPriority w:val="99"/>
    <w:semiHidden/>
    <w:rsid w:val="00006064"/>
    <w:rPr>
      <w:sz w:val="22"/>
      <w:szCs w:val="22"/>
      <w:lang w:val="es-ES" w:eastAsia="en-US"/>
    </w:rPr>
  </w:style>
  <w:style w:type="paragraph" w:styleId="EndnoteText">
    <w:name w:val="endnote text"/>
    <w:basedOn w:val="Normal"/>
    <w:link w:val="EndnoteTextChar"/>
    <w:uiPriority w:val="99"/>
    <w:semiHidden/>
    <w:unhideWhenUsed/>
    <w:rsid w:val="005D489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D4899"/>
    <w:rPr>
      <w:lang w:val="es-ES" w:eastAsia="en-US"/>
    </w:rPr>
  </w:style>
  <w:style w:type="character" w:styleId="EndnoteReference">
    <w:name w:val="endnote reference"/>
    <w:basedOn w:val="DefaultParagraphFont"/>
    <w:uiPriority w:val="99"/>
    <w:semiHidden/>
    <w:unhideWhenUsed/>
    <w:rsid w:val="005D48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71398">
      <w:bodyDiv w:val="1"/>
      <w:marLeft w:val="0"/>
      <w:marRight w:val="0"/>
      <w:marTop w:val="0"/>
      <w:marBottom w:val="0"/>
      <w:divBdr>
        <w:top w:val="none" w:sz="0" w:space="0" w:color="auto"/>
        <w:left w:val="none" w:sz="0" w:space="0" w:color="auto"/>
        <w:bottom w:val="none" w:sz="0" w:space="0" w:color="auto"/>
        <w:right w:val="none" w:sz="0" w:space="0" w:color="auto"/>
      </w:divBdr>
    </w:div>
    <w:div w:id="45758058">
      <w:bodyDiv w:val="1"/>
      <w:marLeft w:val="0"/>
      <w:marRight w:val="0"/>
      <w:marTop w:val="0"/>
      <w:marBottom w:val="0"/>
      <w:divBdr>
        <w:top w:val="none" w:sz="0" w:space="0" w:color="auto"/>
        <w:left w:val="none" w:sz="0" w:space="0" w:color="auto"/>
        <w:bottom w:val="none" w:sz="0" w:space="0" w:color="auto"/>
        <w:right w:val="none" w:sz="0" w:space="0" w:color="auto"/>
      </w:divBdr>
    </w:div>
    <w:div w:id="88702591">
      <w:bodyDiv w:val="1"/>
      <w:marLeft w:val="0"/>
      <w:marRight w:val="0"/>
      <w:marTop w:val="0"/>
      <w:marBottom w:val="0"/>
      <w:divBdr>
        <w:top w:val="none" w:sz="0" w:space="0" w:color="auto"/>
        <w:left w:val="none" w:sz="0" w:space="0" w:color="auto"/>
        <w:bottom w:val="none" w:sz="0" w:space="0" w:color="auto"/>
        <w:right w:val="none" w:sz="0" w:space="0" w:color="auto"/>
      </w:divBdr>
    </w:div>
    <w:div w:id="91049874">
      <w:bodyDiv w:val="1"/>
      <w:marLeft w:val="0"/>
      <w:marRight w:val="0"/>
      <w:marTop w:val="0"/>
      <w:marBottom w:val="0"/>
      <w:divBdr>
        <w:top w:val="none" w:sz="0" w:space="0" w:color="auto"/>
        <w:left w:val="none" w:sz="0" w:space="0" w:color="auto"/>
        <w:bottom w:val="none" w:sz="0" w:space="0" w:color="auto"/>
        <w:right w:val="none" w:sz="0" w:space="0" w:color="auto"/>
      </w:divBdr>
    </w:div>
    <w:div w:id="135102381">
      <w:bodyDiv w:val="1"/>
      <w:marLeft w:val="0"/>
      <w:marRight w:val="0"/>
      <w:marTop w:val="0"/>
      <w:marBottom w:val="0"/>
      <w:divBdr>
        <w:top w:val="none" w:sz="0" w:space="0" w:color="auto"/>
        <w:left w:val="none" w:sz="0" w:space="0" w:color="auto"/>
        <w:bottom w:val="none" w:sz="0" w:space="0" w:color="auto"/>
        <w:right w:val="none" w:sz="0" w:space="0" w:color="auto"/>
      </w:divBdr>
      <w:divsChild>
        <w:div w:id="1480421822">
          <w:marLeft w:val="0"/>
          <w:marRight w:val="0"/>
          <w:marTop w:val="0"/>
          <w:marBottom w:val="160"/>
          <w:divBdr>
            <w:top w:val="none" w:sz="0" w:space="0" w:color="auto"/>
            <w:left w:val="none" w:sz="0" w:space="0" w:color="auto"/>
            <w:bottom w:val="none" w:sz="0" w:space="0" w:color="auto"/>
            <w:right w:val="none" w:sz="0" w:space="0" w:color="auto"/>
          </w:divBdr>
        </w:div>
        <w:div w:id="503982430">
          <w:marLeft w:val="0"/>
          <w:marRight w:val="0"/>
          <w:marTop w:val="0"/>
          <w:marBottom w:val="160"/>
          <w:divBdr>
            <w:top w:val="none" w:sz="0" w:space="0" w:color="auto"/>
            <w:left w:val="none" w:sz="0" w:space="0" w:color="auto"/>
            <w:bottom w:val="none" w:sz="0" w:space="0" w:color="auto"/>
            <w:right w:val="none" w:sz="0" w:space="0" w:color="auto"/>
          </w:divBdr>
        </w:div>
      </w:divsChild>
    </w:div>
    <w:div w:id="171455120">
      <w:bodyDiv w:val="1"/>
      <w:marLeft w:val="0"/>
      <w:marRight w:val="0"/>
      <w:marTop w:val="0"/>
      <w:marBottom w:val="0"/>
      <w:divBdr>
        <w:top w:val="none" w:sz="0" w:space="0" w:color="auto"/>
        <w:left w:val="none" w:sz="0" w:space="0" w:color="auto"/>
        <w:bottom w:val="none" w:sz="0" w:space="0" w:color="auto"/>
        <w:right w:val="none" w:sz="0" w:space="0" w:color="auto"/>
      </w:divBdr>
    </w:div>
    <w:div w:id="195968976">
      <w:bodyDiv w:val="1"/>
      <w:marLeft w:val="0"/>
      <w:marRight w:val="0"/>
      <w:marTop w:val="0"/>
      <w:marBottom w:val="0"/>
      <w:divBdr>
        <w:top w:val="none" w:sz="0" w:space="0" w:color="auto"/>
        <w:left w:val="none" w:sz="0" w:space="0" w:color="auto"/>
        <w:bottom w:val="none" w:sz="0" w:space="0" w:color="auto"/>
        <w:right w:val="none" w:sz="0" w:space="0" w:color="auto"/>
      </w:divBdr>
    </w:div>
    <w:div w:id="258607341">
      <w:bodyDiv w:val="1"/>
      <w:marLeft w:val="0"/>
      <w:marRight w:val="0"/>
      <w:marTop w:val="0"/>
      <w:marBottom w:val="0"/>
      <w:divBdr>
        <w:top w:val="none" w:sz="0" w:space="0" w:color="auto"/>
        <w:left w:val="none" w:sz="0" w:space="0" w:color="auto"/>
        <w:bottom w:val="none" w:sz="0" w:space="0" w:color="auto"/>
        <w:right w:val="none" w:sz="0" w:space="0" w:color="auto"/>
      </w:divBdr>
    </w:div>
    <w:div w:id="282813249">
      <w:bodyDiv w:val="1"/>
      <w:marLeft w:val="0"/>
      <w:marRight w:val="0"/>
      <w:marTop w:val="0"/>
      <w:marBottom w:val="0"/>
      <w:divBdr>
        <w:top w:val="none" w:sz="0" w:space="0" w:color="auto"/>
        <w:left w:val="none" w:sz="0" w:space="0" w:color="auto"/>
        <w:bottom w:val="none" w:sz="0" w:space="0" w:color="auto"/>
        <w:right w:val="none" w:sz="0" w:space="0" w:color="auto"/>
      </w:divBdr>
    </w:div>
    <w:div w:id="390424150">
      <w:bodyDiv w:val="1"/>
      <w:marLeft w:val="0"/>
      <w:marRight w:val="0"/>
      <w:marTop w:val="0"/>
      <w:marBottom w:val="0"/>
      <w:divBdr>
        <w:top w:val="none" w:sz="0" w:space="0" w:color="auto"/>
        <w:left w:val="none" w:sz="0" w:space="0" w:color="auto"/>
        <w:bottom w:val="none" w:sz="0" w:space="0" w:color="auto"/>
        <w:right w:val="none" w:sz="0" w:space="0" w:color="auto"/>
      </w:divBdr>
    </w:div>
    <w:div w:id="414480853">
      <w:bodyDiv w:val="1"/>
      <w:marLeft w:val="0"/>
      <w:marRight w:val="0"/>
      <w:marTop w:val="0"/>
      <w:marBottom w:val="0"/>
      <w:divBdr>
        <w:top w:val="none" w:sz="0" w:space="0" w:color="auto"/>
        <w:left w:val="none" w:sz="0" w:space="0" w:color="auto"/>
        <w:bottom w:val="none" w:sz="0" w:space="0" w:color="auto"/>
        <w:right w:val="none" w:sz="0" w:space="0" w:color="auto"/>
      </w:divBdr>
    </w:div>
    <w:div w:id="424423124">
      <w:bodyDiv w:val="1"/>
      <w:marLeft w:val="0"/>
      <w:marRight w:val="0"/>
      <w:marTop w:val="0"/>
      <w:marBottom w:val="0"/>
      <w:divBdr>
        <w:top w:val="none" w:sz="0" w:space="0" w:color="auto"/>
        <w:left w:val="none" w:sz="0" w:space="0" w:color="auto"/>
        <w:bottom w:val="none" w:sz="0" w:space="0" w:color="auto"/>
        <w:right w:val="none" w:sz="0" w:space="0" w:color="auto"/>
      </w:divBdr>
    </w:div>
    <w:div w:id="468941099">
      <w:bodyDiv w:val="1"/>
      <w:marLeft w:val="0"/>
      <w:marRight w:val="0"/>
      <w:marTop w:val="0"/>
      <w:marBottom w:val="0"/>
      <w:divBdr>
        <w:top w:val="none" w:sz="0" w:space="0" w:color="auto"/>
        <w:left w:val="none" w:sz="0" w:space="0" w:color="auto"/>
        <w:bottom w:val="none" w:sz="0" w:space="0" w:color="auto"/>
        <w:right w:val="none" w:sz="0" w:space="0" w:color="auto"/>
      </w:divBdr>
    </w:div>
    <w:div w:id="469520010">
      <w:bodyDiv w:val="1"/>
      <w:marLeft w:val="0"/>
      <w:marRight w:val="0"/>
      <w:marTop w:val="0"/>
      <w:marBottom w:val="0"/>
      <w:divBdr>
        <w:top w:val="none" w:sz="0" w:space="0" w:color="auto"/>
        <w:left w:val="none" w:sz="0" w:space="0" w:color="auto"/>
        <w:bottom w:val="none" w:sz="0" w:space="0" w:color="auto"/>
        <w:right w:val="none" w:sz="0" w:space="0" w:color="auto"/>
      </w:divBdr>
      <w:divsChild>
        <w:div w:id="129400721">
          <w:marLeft w:val="0"/>
          <w:marRight w:val="0"/>
          <w:marTop w:val="0"/>
          <w:marBottom w:val="0"/>
          <w:divBdr>
            <w:top w:val="none" w:sz="0" w:space="0" w:color="auto"/>
            <w:left w:val="none" w:sz="0" w:space="0" w:color="auto"/>
            <w:bottom w:val="none" w:sz="0" w:space="0" w:color="auto"/>
            <w:right w:val="none" w:sz="0" w:space="0" w:color="auto"/>
          </w:divBdr>
          <w:divsChild>
            <w:div w:id="1948661193">
              <w:marLeft w:val="0"/>
              <w:marRight w:val="0"/>
              <w:marTop w:val="0"/>
              <w:marBottom w:val="0"/>
              <w:divBdr>
                <w:top w:val="none" w:sz="0" w:space="0" w:color="auto"/>
                <w:left w:val="none" w:sz="0" w:space="0" w:color="auto"/>
                <w:bottom w:val="none" w:sz="0" w:space="0" w:color="auto"/>
                <w:right w:val="none" w:sz="0" w:space="0" w:color="auto"/>
              </w:divBdr>
              <w:divsChild>
                <w:div w:id="1393041837">
                  <w:marLeft w:val="0"/>
                  <w:marRight w:val="0"/>
                  <w:marTop w:val="0"/>
                  <w:marBottom w:val="0"/>
                  <w:divBdr>
                    <w:top w:val="none" w:sz="0" w:space="0" w:color="auto"/>
                    <w:left w:val="none" w:sz="0" w:space="0" w:color="auto"/>
                    <w:bottom w:val="none" w:sz="0" w:space="0" w:color="auto"/>
                    <w:right w:val="none" w:sz="0" w:space="0" w:color="auto"/>
                  </w:divBdr>
                  <w:divsChild>
                    <w:div w:id="117657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400578">
      <w:bodyDiv w:val="1"/>
      <w:marLeft w:val="0"/>
      <w:marRight w:val="0"/>
      <w:marTop w:val="0"/>
      <w:marBottom w:val="0"/>
      <w:divBdr>
        <w:top w:val="none" w:sz="0" w:space="0" w:color="auto"/>
        <w:left w:val="none" w:sz="0" w:space="0" w:color="auto"/>
        <w:bottom w:val="none" w:sz="0" w:space="0" w:color="auto"/>
        <w:right w:val="none" w:sz="0" w:space="0" w:color="auto"/>
      </w:divBdr>
    </w:div>
    <w:div w:id="496311535">
      <w:bodyDiv w:val="1"/>
      <w:marLeft w:val="0"/>
      <w:marRight w:val="0"/>
      <w:marTop w:val="0"/>
      <w:marBottom w:val="0"/>
      <w:divBdr>
        <w:top w:val="none" w:sz="0" w:space="0" w:color="auto"/>
        <w:left w:val="none" w:sz="0" w:space="0" w:color="auto"/>
        <w:bottom w:val="none" w:sz="0" w:space="0" w:color="auto"/>
        <w:right w:val="none" w:sz="0" w:space="0" w:color="auto"/>
      </w:divBdr>
    </w:div>
    <w:div w:id="509762469">
      <w:bodyDiv w:val="1"/>
      <w:marLeft w:val="0"/>
      <w:marRight w:val="0"/>
      <w:marTop w:val="0"/>
      <w:marBottom w:val="0"/>
      <w:divBdr>
        <w:top w:val="none" w:sz="0" w:space="0" w:color="auto"/>
        <w:left w:val="none" w:sz="0" w:space="0" w:color="auto"/>
        <w:bottom w:val="none" w:sz="0" w:space="0" w:color="auto"/>
        <w:right w:val="none" w:sz="0" w:space="0" w:color="auto"/>
      </w:divBdr>
    </w:div>
    <w:div w:id="530266739">
      <w:bodyDiv w:val="1"/>
      <w:marLeft w:val="0"/>
      <w:marRight w:val="0"/>
      <w:marTop w:val="0"/>
      <w:marBottom w:val="0"/>
      <w:divBdr>
        <w:top w:val="none" w:sz="0" w:space="0" w:color="auto"/>
        <w:left w:val="none" w:sz="0" w:space="0" w:color="auto"/>
        <w:bottom w:val="none" w:sz="0" w:space="0" w:color="auto"/>
        <w:right w:val="none" w:sz="0" w:space="0" w:color="auto"/>
      </w:divBdr>
    </w:div>
    <w:div w:id="732243146">
      <w:bodyDiv w:val="1"/>
      <w:marLeft w:val="0"/>
      <w:marRight w:val="0"/>
      <w:marTop w:val="0"/>
      <w:marBottom w:val="0"/>
      <w:divBdr>
        <w:top w:val="none" w:sz="0" w:space="0" w:color="auto"/>
        <w:left w:val="none" w:sz="0" w:space="0" w:color="auto"/>
        <w:bottom w:val="none" w:sz="0" w:space="0" w:color="auto"/>
        <w:right w:val="none" w:sz="0" w:space="0" w:color="auto"/>
      </w:divBdr>
    </w:div>
    <w:div w:id="734426175">
      <w:bodyDiv w:val="1"/>
      <w:marLeft w:val="0"/>
      <w:marRight w:val="0"/>
      <w:marTop w:val="0"/>
      <w:marBottom w:val="0"/>
      <w:divBdr>
        <w:top w:val="none" w:sz="0" w:space="0" w:color="auto"/>
        <w:left w:val="none" w:sz="0" w:space="0" w:color="auto"/>
        <w:bottom w:val="none" w:sz="0" w:space="0" w:color="auto"/>
        <w:right w:val="none" w:sz="0" w:space="0" w:color="auto"/>
      </w:divBdr>
    </w:div>
    <w:div w:id="767232958">
      <w:bodyDiv w:val="1"/>
      <w:marLeft w:val="0"/>
      <w:marRight w:val="0"/>
      <w:marTop w:val="0"/>
      <w:marBottom w:val="0"/>
      <w:divBdr>
        <w:top w:val="none" w:sz="0" w:space="0" w:color="auto"/>
        <w:left w:val="none" w:sz="0" w:space="0" w:color="auto"/>
        <w:bottom w:val="none" w:sz="0" w:space="0" w:color="auto"/>
        <w:right w:val="none" w:sz="0" w:space="0" w:color="auto"/>
      </w:divBdr>
    </w:div>
    <w:div w:id="857812592">
      <w:bodyDiv w:val="1"/>
      <w:marLeft w:val="0"/>
      <w:marRight w:val="0"/>
      <w:marTop w:val="0"/>
      <w:marBottom w:val="0"/>
      <w:divBdr>
        <w:top w:val="none" w:sz="0" w:space="0" w:color="auto"/>
        <w:left w:val="none" w:sz="0" w:space="0" w:color="auto"/>
        <w:bottom w:val="none" w:sz="0" w:space="0" w:color="auto"/>
        <w:right w:val="none" w:sz="0" w:space="0" w:color="auto"/>
      </w:divBdr>
    </w:div>
    <w:div w:id="925116672">
      <w:bodyDiv w:val="1"/>
      <w:marLeft w:val="0"/>
      <w:marRight w:val="0"/>
      <w:marTop w:val="0"/>
      <w:marBottom w:val="0"/>
      <w:divBdr>
        <w:top w:val="none" w:sz="0" w:space="0" w:color="auto"/>
        <w:left w:val="none" w:sz="0" w:space="0" w:color="auto"/>
        <w:bottom w:val="none" w:sz="0" w:space="0" w:color="auto"/>
        <w:right w:val="none" w:sz="0" w:space="0" w:color="auto"/>
      </w:divBdr>
    </w:div>
    <w:div w:id="949167088">
      <w:bodyDiv w:val="1"/>
      <w:marLeft w:val="0"/>
      <w:marRight w:val="0"/>
      <w:marTop w:val="0"/>
      <w:marBottom w:val="0"/>
      <w:divBdr>
        <w:top w:val="none" w:sz="0" w:space="0" w:color="auto"/>
        <w:left w:val="none" w:sz="0" w:space="0" w:color="auto"/>
        <w:bottom w:val="none" w:sz="0" w:space="0" w:color="auto"/>
        <w:right w:val="none" w:sz="0" w:space="0" w:color="auto"/>
      </w:divBdr>
    </w:div>
    <w:div w:id="962930293">
      <w:bodyDiv w:val="1"/>
      <w:marLeft w:val="0"/>
      <w:marRight w:val="0"/>
      <w:marTop w:val="0"/>
      <w:marBottom w:val="0"/>
      <w:divBdr>
        <w:top w:val="none" w:sz="0" w:space="0" w:color="auto"/>
        <w:left w:val="none" w:sz="0" w:space="0" w:color="auto"/>
        <w:bottom w:val="none" w:sz="0" w:space="0" w:color="auto"/>
        <w:right w:val="none" w:sz="0" w:space="0" w:color="auto"/>
      </w:divBdr>
    </w:div>
    <w:div w:id="1013339418">
      <w:bodyDiv w:val="1"/>
      <w:marLeft w:val="0"/>
      <w:marRight w:val="0"/>
      <w:marTop w:val="0"/>
      <w:marBottom w:val="0"/>
      <w:divBdr>
        <w:top w:val="none" w:sz="0" w:space="0" w:color="auto"/>
        <w:left w:val="none" w:sz="0" w:space="0" w:color="auto"/>
        <w:bottom w:val="none" w:sz="0" w:space="0" w:color="auto"/>
        <w:right w:val="none" w:sz="0" w:space="0" w:color="auto"/>
      </w:divBdr>
    </w:div>
    <w:div w:id="1040856484">
      <w:bodyDiv w:val="1"/>
      <w:marLeft w:val="0"/>
      <w:marRight w:val="0"/>
      <w:marTop w:val="0"/>
      <w:marBottom w:val="0"/>
      <w:divBdr>
        <w:top w:val="none" w:sz="0" w:space="0" w:color="auto"/>
        <w:left w:val="none" w:sz="0" w:space="0" w:color="auto"/>
        <w:bottom w:val="none" w:sz="0" w:space="0" w:color="auto"/>
        <w:right w:val="none" w:sz="0" w:space="0" w:color="auto"/>
      </w:divBdr>
    </w:div>
    <w:div w:id="1046220720">
      <w:bodyDiv w:val="1"/>
      <w:marLeft w:val="0"/>
      <w:marRight w:val="0"/>
      <w:marTop w:val="0"/>
      <w:marBottom w:val="0"/>
      <w:divBdr>
        <w:top w:val="none" w:sz="0" w:space="0" w:color="auto"/>
        <w:left w:val="none" w:sz="0" w:space="0" w:color="auto"/>
        <w:bottom w:val="none" w:sz="0" w:space="0" w:color="auto"/>
        <w:right w:val="none" w:sz="0" w:space="0" w:color="auto"/>
      </w:divBdr>
    </w:div>
    <w:div w:id="1159077115">
      <w:bodyDiv w:val="1"/>
      <w:marLeft w:val="0"/>
      <w:marRight w:val="0"/>
      <w:marTop w:val="0"/>
      <w:marBottom w:val="0"/>
      <w:divBdr>
        <w:top w:val="none" w:sz="0" w:space="0" w:color="auto"/>
        <w:left w:val="none" w:sz="0" w:space="0" w:color="auto"/>
        <w:bottom w:val="none" w:sz="0" w:space="0" w:color="auto"/>
        <w:right w:val="none" w:sz="0" w:space="0" w:color="auto"/>
      </w:divBdr>
    </w:div>
    <w:div w:id="1183469306">
      <w:bodyDiv w:val="1"/>
      <w:marLeft w:val="0"/>
      <w:marRight w:val="0"/>
      <w:marTop w:val="0"/>
      <w:marBottom w:val="0"/>
      <w:divBdr>
        <w:top w:val="none" w:sz="0" w:space="0" w:color="auto"/>
        <w:left w:val="none" w:sz="0" w:space="0" w:color="auto"/>
        <w:bottom w:val="none" w:sz="0" w:space="0" w:color="auto"/>
        <w:right w:val="none" w:sz="0" w:space="0" w:color="auto"/>
      </w:divBdr>
      <w:divsChild>
        <w:div w:id="1234509781">
          <w:marLeft w:val="0"/>
          <w:marRight w:val="0"/>
          <w:marTop w:val="0"/>
          <w:marBottom w:val="0"/>
          <w:divBdr>
            <w:top w:val="none" w:sz="0" w:space="0" w:color="auto"/>
            <w:left w:val="none" w:sz="0" w:space="0" w:color="auto"/>
            <w:bottom w:val="none" w:sz="0" w:space="0" w:color="auto"/>
            <w:right w:val="none" w:sz="0" w:space="0" w:color="auto"/>
          </w:divBdr>
          <w:divsChild>
            <w:div w:id="1549492126">
              <w:marLeft w:val="0"/>
              <w:marRight w:val="0"/>
              <w:marTop w:val="0"/>
              <w:marBottom w:val="0"/>
              <w:divBdr>
                <w:top w:val="none" w:sz="0" w:space="0" w:color="auto"/>
                <w:left w:val="none" w:sz="0" w:space="0" w:color="auto"/>
                <w:bottom w:val="none" w:sz="0" w:space="0" w:color="auto"/>
                <w:right w:val="none" w:sz="0" w:space="0" w:color="auto"/>
              </w:divBdr>
              <w:divsChild>
                <w:div w:id="298997929">
                  <w:marLeft w:val="0"/>
                  <w:marRight w:val="0"/>
                  <w:marTop w:val="0"/>
                  <w:marBottom w:val="0"/>
                  <w:divBdr>
                    <w:top w:val="none" w:sz="0" w:space="0" w:color="auto"/>
                    <w:left w:val="none" w:sz="0" w:space="0" w:color="auto"/>
                    <w:bottom w:val="none" w:sz="0" w:space="0" w:color="auto"/>
                    <w:right w:val="none" w:sz="0" w:space="0" w:color="auto"/>
                  </w:divBdr>
                  <w:divsChild>
                    <w:div w:id="204663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053299">
      <w:bodyDiv w:val="1"/>
      <w:marLeft w:val="0"/>
      <w:marRight w:val="0"/>
      <w:marTop w:val="0"/>
      <w:marBottom w:val="0"/>
      <w:divBdr>
        <w:top w:val="none" w:sz="0" w:space="0" w:color="auto"/>
        <w:left w:val="none" w:sz="0" w:space="0" w:color="auto"/>
        <w:bottom w:val="none" w:sz="0" w:space="0" w:color="auto"/>
        <w:right w:val="none" w:sz="0" w:space="0" w:color="auto"/>
      </w:divBdr>
    </w:div>
    <w:div w:id="1345327847">
      <w:bodyDiv w:val="1"/>
      <w:marLeft w:val="0"/>
      <w:marRight w:val="0"/>
      <w:marTop w:val="0"/>
      <w:marBottom w:val="0"/>
      <w:divBdr>
        <w:top w:val="none" w:sz="0" w:space="0" w:color="auto"/>
        <w:left w:val="none" w:sz="0" w:space="0" w:color="auto"/>
        <w:bottom w:val="none" w:sz="0" w:space="0" w:color="auto"/>
        <w:right w:val="none" w:sz="0" w:space="0" w:color="auto"/>
      </w:divBdr>
    </w:div>
    <w:div w:id="1368334475">
      <w:bodyDiv w:val="1"/>
      <w:marLeft w:val="0"/>
      <w:marRight w:val="0"/>
      <w:marTop w:val="0"/>
      <w:marBottom w:val="0"/>
      <w:divBdr>
        <w:top w:val="none" w:sz="0" w:space="0" w:color="auto"/>
        <w:left w:val="none" w:sz="0" w:space="0" w:color="auto"/>
        <w:bottom w:val="none" w:sz="0" w:space="0" w:color="auto"/>
        <w:right w:val="none" w:sz="0" w:space="0" w:color="auto"/>
      </w:divBdr>
    </w:div>
    <w:div w:id="1397817571">
      <w:bodyDiv w:val="1"/>
      <w:marLeft w:val="0"/>
      <w:marRight w:val="0"/>
      <w:marTop w:val="0"/>
      <w:marBottom w:val="0"/>
      <w:divBdr>
        <w:top w:val="none" w:sz="0" w:space="0" w:color="auto"/>
        <w:left w:val="none" w:sz="0" w:space="0" w:color="auto"/>
        <w:bottom w:val="none" w:sz="0" w:space="0" w:color="auto"/>
        <w:right w:val="none" w:sz="0" w:space="0" w:color="auto"/>
      </w:divBdr>
    </w:div>
    <w:div w:id="1402143820">
      <w:bodyDiv w:val="1"/>
      <w:marLeft w:val="0"/>
      <w:marRight w:val="0"/>
      <w:marTop w:val="0"/>
      <w:marBottom w:val="0"/>
      <w:divBdr>
        <w:top w:val="none" w:sz="0" w:space="0" w:color="auto"/>
        <w:left w:val="none" w:sz="0" w:space="0" w:color="auto"/>
        <w:bottom w:val="none" w:sz="0" w:space="0" w:color="auto"/>
        <w:right w:val="none" w:sz="0" w:space="0" w:color="auto"/>
      </w:divBdr>
      <w:divsChild>
        <w:div w:id="934706674">
          <w:marLeft w:val="0"/>
          <w:marRight w:val="0"/>
          <w:marTop w:val="0"/>
          <w:marBottom w:val="0"/>
          <w:divBdr>
            <w:top w:val="none" w:sz="0" w:space="0" w:color="auto"/>
            <w:left w:val="none" w:sz="0" w:space="0" w:color="auto"/>
            <w:bottom w:val="none" w:sz="0" w:space="0" w:color="auto"/>
            <w:right w:val="none" w:sz="0" w:space="0" w:color="auto"/>
          </w:divBdr>
          <w:divsChild>
            <w:div w:id="1320429178">
              <w:marLeft w:val="0"/>
              <w:marRight w:val="0"/>
              <w:marTop w:val="0"/>
              <w:marBottom w:val="0"/>
              <w:divBdr>
                <w:top w:val="none" w:sz="0" w:space="0" w:color="auto"/>
                <w:left w:val="none" w:sz="0" w:space="0" w:color="auto"/>
                <w:bottom w:val="none" w:sz="0" w:space="0" w:color="auto"/>
                <w:right w:val="none" w:sz="0" w:space="0" w:color="auto"/>
              </w:divBdr>
              <w:divsChild>
                <w:div w:id="1836649908">
                  <w:marLeft w:val="0"/>
                  <w:marRight w:val="0"/>
                  <w:marTop w:val="0"/>
                  <w:marBottom w:val="0"/>
                  <w:divBdr>
                    <w:top w:val="none" w:sz="0" w:space="0" w:color="auto"/>
                    <w:left w:val="none" w:sz="0" w:space="0" w:color="auto"/>
                    <w:bottom w:val="none" w:sz="0" w:space="0" w:color="auto"/>
                    <w:right w:val="none" w:sz="0" w:space="0" w:color="auto"/>
                  </w:divBdr>
                  <w:divsChild>
                    <w:div w:id="125582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908830">
      <w:bodyDiv w:val="1"/>
      <w:marLeft w:val="0"/>
      <w:marRight w:val="0"/>
      <w:marTop w:val="0"/>
      <w:marBottom w:val="0"/>
      <w:divBdr>
        <w:top w:val="none" w:sz="0" w:space="0" w:color="auto"/>
        <w:left w:val="none" w:sz="0" w:space="0" w:color="auto"/>
        <w:bottom w:val="none" w:sz="0" w:space="0" w:color="auto"/>
        <w:right w:val="none" w:sz="0" w:space="0" w:color="auto"/>
      </w:divBdr>
    </w:div>
    <w:div w:id="1508640429">
      <w:bodyDiv w:val="1"/>
      <w:marLeft w:val="0"/>
      <w:marRight w:val="0"/>
      <w:marTop w:val="0"/>
      <w:marBottom w:val="0"/>
      <w:divBdr>
        <w:top w:val="none" w:sz="0" w:space="0" w:color="auto"/>
        <w:left w:val="none" w:sz="0" w:space="0" w:color="auto"/>
        <w:bottom w:val="none" w:sz="0" w:space="0" w:color="auto"/>
        <w:right w:val="none" w:sz="0" w:space="0" w:color="auto"/>
      </w:divBdr>
    </w:div>
    <w:div w:id="1520966691">
      <w:bodyDiv w:val="1"/>
      <w:marLeft w:val="0"/>
      <w:marRight w:val="0"/>
      <w:marTop w:val="0"/>
      <w:marBottom w:val="0"/>
      <w:divBdr>
        <w:top w:val="none" w:sz="0" w:space="0" w:color="auto"/>
        <w:left w:val="none" w:sz="0" w:space="0" w:color="auto"/>
        <w:bottom w:val="none" w:sz="0" w:space="0" w:color="auto"/>
        <w:right w:val="none" w:sz="0" w:space="0" w:color="auto"/>
      </w:divBdr>
      <w:divsChild>
        <w:div w:id="215552080">
          <w:marLeft w:val="0"/>
          <w:marRight w:val="0"/>
          <w:marTop w:val="0"/>
          <w:marBottom w:val="0"/>
          <w:divBdr>
            <w:top w:val="none" w:sz="0" w:space="0" w:color="auto"/>
            <w:left w:val="none" w:sz="0" w:space="0" w:color="auto"/>
            <w:bottom w:val="none" w:sz="0" w:space="0" w:color="auto"/>
            <w:right w:val="none" w:sz="0" w:space="0" w:color="auto"/>
          </w:divBdr>
          <w:divsChild>
            <w:div w:id="1460605603">
              <w:marLeft w:val="0"/>
              <w:marRight w:val="0"/>
              <w:marTop w:val="0"/>
              <w:marBottom w:val="0"/>
              <w:divBdr>
                <w:top w:val="none" w:sz="0" w:space="0" w:color="auto"/>
                <w:left w:val="none" w:sz="0" w:space="0" w:color="auto"/>
                <w:bottom w:val="none" w:sz="0" w:space="0" w:color="auto"/>
                <w:right w:val="none" w:sz="0" w:space="0" w:color="auto"/>
              </w:divBdr>
              <w:divsChild>
                <w:div w:id="1954441606">
                  <w:marLeft w:val="0"/>
                  <w:marRight w:val="0"/>
                  <w:marTop w:val="0"/>
                  <w:marBottom w:val="0"/>
                  <w:divBdr>
                    <w:top w:val="none" w:sz="0" w:space="0" w:color="auto"/>
                    <w:left w:val="none" w:sz="0" w:space="0" w:color="auto"/>
                    <w:bottom w:val="none" w:sz="0" w:space="0" w:color="auto"/>
                    <w:right w:val="none" w:sz="0" w:space="0" w:color="auto"/>
                  </w:divBdr>
                  <w:divsChild>
                    <w:div w:id="12485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721788">
      <w:bodyDiv w:val="1"/>
      <w:marLeft w:val="0"/>
      <w:marRight w:val="0"/>
      <w:marTop w:val="0"/>
      <w:marBottom w:val="0"/>
      <w:divBdr>
        <w:top w:val="none" w:sz="0" w:space="0" w:color="auto"/>
        <w:left w:val="none" w:sz="0" w:space="0" w:color="auto"/>
        <w:bottom w:val="none" w:sz="0" w:space="0" w:color="auto"/>
        <w:right w:val="none" w:sz="0" w:space="0" w:color="auto"/>
      </w:divBdr>
    </w:div>
    <w:div w:id="1612784033">
      <w:bodyDiv w:val="1"/>
      <w:marLeft w:val="0"/>
      <w:marRight w:val="0"/>
      <w:marTop w:val="0"/>
      <w:marBottom w:val="0"/>
      <w:divBdr>
        <w:top w:val="none" w:sz="0" w:space="0" w:color="auto"/>
        <w:left w:val="none" w:sz="0" w:space="0" w:color="auto"/>
        <w:bottom w:val="none" w:sz="0" w:space="0" w:color="auto"/>
        <w:right w:val="none" w:sz="0" w:space="0" w:color="auto"/>
      </w:divBdr>
    </w:div>
    <w:div w:id="1780369614">
      <w:bodyDiv w:val="1"/>
      <w:marLeft w:val="0"/>
      <w:marRight w:val="0"/>
      <w:marTop w:val="0"/>
      <w:marBottom w:val="0"/>
      <w:divBdr>
        <w:top w:val="none" w:sz="0" w:space="0" w:color="auto"/>
        <w:left w:val="none" w:sz="0" w:space="0" w:color="auto"/>
        <w:bottom w:val="none" w:sz="0" w:space="0" w:color="auto"/>
        <w:right w:val="none" w:sz="0" w:space="0" w:color="auto"/>
      </w:divBdr>
      <w:divsChild>
        <w:div w:id="1890678064">
          <w:marLeft w:val="0"/>
          <w:marRight w:val="0"/>
          <w:marTop w:val="0"/>
          <w:marBottom w:val="0"/>
          <w:divBdr>
            <w:top w:val="none" w:sz="0" w:space="0" w:color="auto"/>
            <w:left w:val="none" w:sz="0" w:space="0" w:color="auto"/>
            <w:bottom w:val="none" w:sz="0" w:space="0" w:color="auto"/>
            <w:right w:val="none" w:sz="0" w:space="0" w:color="auto"/>
          </w:divBdr>
          <w:divsChild>
            <w:div w:id="1810895496">
              <w:marLeft w:val="0"/>
              <w:marRight w:val="0"/>
              <w:marTop w:val="0"/>
              <w:marBottom w:val="0"/>
              <w:divBdr>
                <w:top w:val="none" w:sz="0" w:space="0" w:color="auto"/>
                <w:left w:val="none" w:sz="0" w:space="0" w:color="auto"/>
                <w:bottom w:val="none" w:sz="0" w:space="0" w:color="auto"/>
                <w:right w:val="none" w:sz="0" w:space="0" w:color="auto"/>
              </w:divBdr>
              <w:divsChild>
                <w:div w:id="171798679">
                  <w:marLeft w:val="0"/>
                  <w:marRight w:val="0"/>
                  <w:marTop w:val="0"/>
                  <w:marBottom w:val="0"/>
                  <w:divBdr>
                    <w:top w:val="none" w:sz="0" w:space="0" w:color="auto"/>
                    <w:left w:val="none" w:sz="0" w:space="0" w:color="auto"/>
                    <w:bottom w:val="none" w:sz="0" w:space="0" w:color="auto"/>
                    <w:right w:val="none" w:sz="0" w:space="0" w:color="auto"/>
                  </w:divBdr>
                  <w:divsChild>
                    <w:div w:id="155015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197316">
      <w:bodyDiv w:val="1"/>
      <w:marLeft w:val="0"/>
      <w:marRight w:val="0"/>
      <w:marTop w:val="0"/>
      <w:marBottom w:val="0"/>
      <w:divBdr>
        <w:top w:val="none" w:sz="0" w:space="0" w:color="auto"/>
        <w:left w:val="none" w:sz="0" w:space="0" w:color="auto"/>
        <w:bottom w:val="none" w:sz="0" w:space="0" w:color="auto"/>
        <w:right w:val="none" w:sz="0" w:space="0" w:color="auto"/>
      </w:divBdr>
    </w:div>
    <w:div w:id="1853110028">
      <w:bodyDiv w:val="1"/>
      <w:marLeft w:val="0"/>
      <w:marRight w:val="0"/>
      <w:marTop w:val="0"/>
      <w:marBottom w:val="0"/>
      <w:divBdr>
        <w:top w:val="none" w:sz="0" w:space="0" w:color="auto"/>
        <w:left w:val="none" w:sz="0" w:space="0" w:color="auto"/>
        <w:bottom w:val="none" w:sz="0" w:space="0" w:color="auto"/>
        <w:right w:val="none" w:sz="0" w:space="0" w:color="auto"/>
      </w:divBdr>
    </w:div>
    <w:div w:id="1902397964">
      <w:bodyDiv w:val="1"/>
      <w:marLeft w:val="0"/>
      <w:marRight w:val="0"/>
      <w:marTop w:val="0"/>
      <w:marBottom w:val="0"/>
      <w:divBdr>
        <w:top w:val="none" w:sz="0" w:space="0" w:color="auto"/>
        <w:left w:val="none" w:sz="0" w:space="0" w:color="auto"/>
        <w:bottom w:val="none" w:sz="0" w:space="0" w:color="auto"/>
        <w:right w:val="none" w:sz="0" w:space="0" w:color="auto"/>
      </w:divBdr>
    </w:div>
    <w:div w:id="1908148529">
      <w:bodyDiv w:val="1"/>
      <w:marLeft w:val="0"/>
      <w:marRight w:val="0"/>
      <w:marTop w:val="0"/>
      <w:marBottom w:val="0"/>
      <w:divBdr>
        <w:top w:val="none" w:sz="0" w:space="0" w:color="auto"/>
        <w:left w:val="none" w:sz="0" w:space="0" w:color="auto"/>
        <w:bottom w:val="none" w:sz="0" w:space="0" w:color="auto"/>
        <w:right w:val="none" w:sz="0" w:space="0" w:color="auto"/>
      </w:divBdr>
    </w:div>
    <w:div w:id="1935815914">
      <w:bodyDiv w:val="1"/>
      <w:marLeft w:val="0"/>
      <w:marRight w:val="0"/>
      <w:marTop w:val="0"/>
      <w:marBottom w:val="0"/>
      <w:divBdr>
        <w:top w:val="none" w:sz="0" w:space="0" w:color="auto"/>
        <w:left w:val="none" w:sz="0" w:space="0" w:color="auto"/>
        <w:bottom w:val="none" w:sz="0" w:space="0" w:color="auto"/>
        <w:right w:val="none" w:sz="0" w:space="0" w:color="auto"/>
      </w:divBdr>
    </w:div>
    <w:div w:id="2000033460">
      <w:bodyDiv w:val="1"/>
      <w:marLeft w:val="0"/>
      <w:marRight w:val="0"/>
      <w:marTop w:val="0"/>
      <w:marBottom w:val="0"/>
      <w:divBdr>
        <w:top w:val="none" w:sz="0" w:space="0" w:color="auto"/>
        <w:left w:val="none" w:sz="0" w:space="0" w:color="auto"/>
        <w:bottom w:val="none" w:sz="0" w:space="0" w:color="auto"/>
        <w:right w:val="none" w:sz="0" w:space="0" w:color="auto"/>
      </w:divBdr>
    </w:div>
    <w:div w:id="2044165011">
      <w:bodyDiv w:val="1"/>
      <w:marLeft w:val="0"/>
      <w:marRight w:val="0"/>
      <w:marTop w:val="0"/>
      <w:marBottom w:val="0"/>
      <w:divBdr>
        <w:top w:val="none" w:sz="0" w:space="0" w:color="auto"/>
        <w:left w:val="none" w:sz="0" w:space="0" w:color="auto"/>
        <w:bottom w:val="none" w:sz="0" w:space="0" w:color="auto"/>
        <w:right w:val="none" w:sz="0" w:space="0" w:color="auto"/>
      </w:divBdr>
    </w:div>
    <w:div w:id="2091001823">
      <w:bodyDiv w:val="1"/>
      <w:marLeft w:val="0"/>
      <w:marRight w:val="0"/>
      <w:marTop w:val="0"/>
      <w:marBottom w:val="0"/>
      <w:divBdr>
        <w:top w:val="none" w:sz="0" w:space="0" w:color="auto"/>
        <w:left w:val="none" w:sz="0" w:space="0" w:color="auto"/>
        <w:bottom w:val="none" w:sz="0" w:space="0" w:color="auto"/>
        <w:right w:val="none" w:sz="0" w:space="0" w:color="auto"/>
      </w:divBdr>
    </w:div>
    <w:div w:id="2107261655">
      <w:bodyDiv w:val="1"/>
      <w:marLeft w:val="0"/>
      <w:marRight w:val="0"/>
      <w:marTop w:val="0"/>
      <w:marBottom w:val="0"/>
      <w:divBdr>
        <w:top w:val="none" w:sz="0" w:space="0" w:color="auto"/>
        <w:left w:val="none" w:sz="0" w:space="0" w:color="auto"/>
        <w:bottom w:val="none" w:sz="0" w:space="0" w:color="auto"/>
        <w:right w:val="none" w:sz="0" w:space="0" w:color="auto"/>
      </w:divBdr>
    </w:div>
    <w:div w:id="2128967977">
      <w:bodyDiv w:val="1"/>
      <w:marLeft w:val="0"/>
      <w:marRight w:val="0"/>
      <w:marTop w:val="0"/>
      <w:marBottom w:val="0"/>
      <w:divBdr>
        <w:top w:val="none" w:sz="0" w:space="0" w:color="auto"/>
        <w:left w:val="none" w:sz="0" w:space="0" w:color="auto"/>
        <w:bottom w:val="none" w:sz="0" w:space="0" w:color="auto"/>
        <w:right w:val="none" w:sz="0" w:space="0" w:color="auto"/>
      </w:divBdr>
    </w:div>
    <w:div w:id="214153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about:blan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about:blan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2024-10-28T09:36:25+00:00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B25A18-A635-4537-94E2-0024F9D780D4}"/>
</file>

<file path=customXml/itemProps2.xml><?xml version="1.0" encoding="utf-8"?>
<ds:datastoreItem xmlns:ds="http://schemas.openxmlformats.org/officeDocument/2006/customXml" ds:itemID="{ABF98C19-652A-4052-A1E7-2005F18CCC56}">
  <ds:schemaRefs>
    <ds:schemaRef ds:uri="http://schemas.openxmlformats.org/officeDocument/2006/bibliography"/>
  </ds:schemaRefs>
</ds:datastoreItem>
</file>

<file path=customXml/itemProps3.xml><?xml version="1.0" encoding="utf-8"?>
<ds:datastoreItem xmlns:ds="http://schemas.openxmlformats.org/officeDocument/2006/customXml" ds:itemID="{9A3C1CD4-6443-4E80-89FB-A7B8CFC49C88}">
  <ds:schemaRefs>
    <ds:schemaRef ds:uri="http://schemas.microsoft.com/office/2006/metadata/properties"/>
    <ds:schemaRef ds:uri="http://schemas.microsoft.com/office/infopath/2007/PartnerControls"/>
    <ds:schemaRef ds:uri="107f4d2e-5f77-4d30-9eb8-600fa2895c1b"/>
    <ds:schemaRef ds:uri="cbc0d5cb-ec6d-4d3e-8ed2-fa5ac389b4b3"/>
  </ds:schemaRefs>
</ds:datastoreItem>
</file>

<file path=customXml/itemProps4.xml><?xml version="1.0" encoding="utf-8"?>
<ds:datastoreItem xmlns:ds="http://schemas.openxmlformats.org/officeDocument/2006/customXml" ds:itemID="{3E1C8239-1E5F-407E-950D-CE8DCB19C4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11666</Words>
  <Characters>66500</Characters>
  <Application>Microsoft Office Word</Application>
  <DocSecurity>0</DocSecurity>
  <Lines>554</Lines>
  <Paragraphs>156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Santiago Rivadeneira Revelo</dc:creator>
  <cp:keywords/>
  <dc:description/>
  <cp:lastModifiedBy>Gina Barrera</cp:lastModifiedBy>
  <cp:revision>2</cp:revision>
  <cp:lastPrinted>2020-09-15T22:33:00Z</cp:lastPrinted>
  <dcterms:created xsi:type="dcterms:W3CDTF">2024-10-25T23:03:00Z</dcterms:created>
  <dcterms:modified xsi:type="dcterms:W3CDTF">2024-10-25T23:03:00Z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_activity">
    <vt:lpwstr/>
  </property>
  <property fmtid="{D5CDD505-2E9C-101B-9397-08002B2CF9AE}" pid="4" name="MediaServiceImageTags">
    <vt:lpwstr/>
  </property>
</Properties>
</file>