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721EA5F0" w:rsidR="00525B41" w:rsidRDefault="00525B41" w:rsidP="00435CD8">
      <w:pPr>
        <w:spacing w:line="360" w:lineRule="auto"/>
        <w:jc w:val="center"/>
        <w:rPr>
          <w:sz w:val="28"/>
          <w:szCs w:val="28"/>
        </w:rPr>
      </w:pPr>
      <w:r>
        <w:rPr>
          <w:sz w:val="28"/>
          <w:szCs w:val="28"/>
        </w:rPr>
        <w:t>8</w:t>
      </w:r>
      <w:r w:rsidR="00F3525C">
        <w:rPr>
          <w:sz w:val="28"/>
          <w:szCs w:val="28"/>
        </w:rPr>
        <w:t>7</w:t>
      </w:r>
      <w:r w:rsidR="006922F4">
        <w:rPr>
          <w:sz w:val="28"/>
          <w:szCs w:val="28"/>
        </w:rPr>
        <w:t>th</w:t>
      </w:r>
      <w:r>
        <w:rPr>
          <w:sz w:val="28"/>
          <w:szCs w:val="28"/>
        </w:rPr>
        <w:t xml:space="preserve"> session</w:t>
      </w:r>
    </w:p>
    <w:p w14:paraId="62E9B576" w14:textId="4B89AF96" w:rsidR="00525B41" w:rsidRPr="001B6288" w:rsidRDefault="00525B41" w:rsidP="00435CD8">
      <w:pPr>
        <w:spacing w:line="360" w:lineRule="auto"/>
        <w:jc w:val="center"/>
        <w:rPr>
          <w:sz w:val="28"/>
          <w:szCs w:val="28"/>
        </w:rPr>
      </w:pPr>
      <w:r>
        <w:rPr>
          <w:sz w:val="28"/>
          <w:szCs w:val="28"/>
        </w:rPr>
        <w:t xml:space="preserve">Geneva, </w:t>
      </w:r>
      <w:r w:rsidR="00F3525C">
        <w:rPr>
          <w:sz w:val="28"/>
          <w:szCs w:val="28"/>
        </w:rPr>
        <w:t>2</w:t>
      </w:r>
      <w:r w:rsidR="00C37F86">
        <w:rPr>
          <w:sz w:val="28"/>
          <w:szCs w:val="28"/>
        </w:rPr>
        <w:t>9</w:t>
      </w:r>
      <w:r w:rsidR="00834040">
        <w:rPr>
          <w:sz w:val="28"/>
          <w:szCs w:val="28"/>
        </w:rPr>
        <w:t xml:space="preserve"> </w:t>
      </w:r>
      <w:r w:rsidR="00F3525C">
        <w:rPr>
          <w:sz w:val="28"/>
          <w:szCs w:val="28"/>
        </w:rPr>
        <w:t xml:space="preserve">January </w:t>
      </w:r>
      <w:r w:rsidR="00834040">
        <w:rPr>
          <w:sz w:val="28"/>
          <w:szCs w:val="28"/>
        </w:rPr>
        <w:t xml:space="preserve">to </w:t>
      </w:r>
      <w:r w:rsidR="00F3525C">
        <w:rPr>
          <w:sz w:val="28"/>
          <w:szCs w:val="28"/>
        </w:rPr>
        <w:t xml:space="preserve">16 February </w:t>
      </w:r>
      <w:r>
        <w:rPr>
          <w:sz w:val="28"/>
          <w:szCs w:val="28"/>
        </w:rPr>
        <w:t>202</w:t>
      </w:r>
      <w:r w:rsidR="00F3525C">
        <w:rPr>
          <w:sz w:val="28"/>
          <w:szCs w:val="28"/>
        </w:rPr>
        <w:t>4</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4F8B6F95" w:rsidR="00435CD8" w:rsidRPr="001B6288" w:rsidRDefault="00435CD8" w:rsidP="00435CD8">
      <w:pPr>
        <w:ind w:left="360"/>
        <w:jc w:val="center"/>
        <w:rPr>
          <w:sz w:val="28"/>
          <w:szCs w:val="28"/>
          <w:lang w:val="en-US"/>
        </w:rPr>
      </w:pPr>
      <w:r w:rsidRPr="001B6288">
        <w:rPr>
          <w:sz w:val="28"/>
          <w:szCs w:val="28"/>
          <w:lang w:val="en-US"/>
        </w:rPr>
        <w:t xml:space="preserve">Mr. </w:t>
      </w:r>
      <w:r w:rsidR="00A167E1">
        <w:rPr>
          <w:sz w:val="28"/>
          <w:szCs w:val="28"/>
          <w:lang w:val="en-US"/>
        </w:rPr>
        <w:t>An</w:t>
      </w:r>
      <w:r w:rsidR="00B3389B">
        <w:rPr>
          <w:sz w:val="28"/>
          <w:szCs w:val="28"/>
          <w:lang w:val="en-US"/>
        </w:rPr>
        <w:t>d</w:t>
      </w:r>
      <w:r w:rsidR="00A167E1">
        <w:rPr>
          <w:sz w:val="28"/>
          <w:szCs w:val="28"/>
          <w:lang w:val="en-US"/>
        </w:rPr>
        <w:t>rea Ori</w:t>
      </w:r>
    </w:p>
    <w:p w14:paraId="1A17B982" w14:textId="2304AA09" w:rsidR="00A447B3"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04FBDE1C" w14:textId="2722E5BC" w:rsidR="00A167E1" w:rsidRPr="001B6288" w:rsidRDefault="00A167E1" w:rsidP="00A447B3">
      <w:pPr>
        <w:ind w:left="360"/>
        <w:jc w:val="center"/>
        <w:rPr>
          <w:sz w:val="28"/>
          <w:szCs w:val="28"/>
          <w:lang w:val="en-US"/>
        </w:rPr>
      </w:pPr>
      <w:r>
        <w:rPr>
          <w:sz w:val="28"/>
          <w:szCs w:val="28"/>
          <w:lang w:val="en-US"/>
        </w:rPr>
        <w:t>Groups in Focus Section</w:t>
      </w:r>
    </w:p>
    <w:p w14:paraId="512E5041" w14:textId="36DECFE2" w:rsidR="00286592" w:rsidRDefault="00EB7155" w:rsidP="00A447B3">
      <w:pPr>
        <w:ind w:left="360"/>
        <w:jc w:val="center"/>
        <w:rPr>
          <w:sz w:val="28"/>
          <w:szCs w:val="28"/>
          <w:lang w:val="en-US"/>
        </w:rPr>
      </w:pPr>
      <w:r>
        <w:rPr>
          <w:sz w:val="28"/>
          <w:szCs w:val="28"/>
          <w:lang w:val="en-US"/>
        </w:rPr>
        <w:t>Human Rights Treaties Branch</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4DF10FE4" w:rsidR="00435CD8" w:rsidRDefault="00F3525C"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2</w:t>
      </w:r>
      <w:r w:rsidR="00C37F86">
        <w:rPr>
          <w:rFonts w:eastAsia="Calibri"/>
          <w:sz w:val="28"/>
          <w:szCs w:val="28"/>
          <w:lang w:val="en-US" w:eastAsia="en-US"/>
        </w:rPr>
        <w:t xml:space="preserve">9 </w:t>
      </w:r>
      <w:r>
        <w:rPr>
          <w:rFonts w:eastAsia="Calibri"/>
          <w:sz w:val="28"/>
          <w:szCs w:val="28"/>
          <w:lang w:val="en-US" w:eastAsia="en-US"/>
        </w:rPr>
        <w:t xml:space="preserve">January </w:t>
      </w:r>
      <w:r w:rsidR="00435CD8" w:rsidRPr="001B6288">
        <w:rPr>
          <w:rFonts w:eastAsia="Calibri"/>
          <w:sz w:val="28"/>
          <w:szCs w:val="28"/>
          <w:lang w:val="en-US" w:eastAsia="en-US"/>
        </w:rPr>
        <w:t>202</w:t>
      </w:r>
      <w:r>
        <w:rPr>
          <w:rFonts w:eastAsia="Calibri"/>
          <w:sz w:val="28"/>
          <w:szCs w:val="28"/>
          <w:lang w:val="en-US" w:eastAsia="en-US"/>
        </w:rPr>
        <w:t>4</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0AE8DD6A"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86592">
        <w:rPr>
          <w:b/>
          <w:sz w:val="28"/>
          <w:szCs w:val="28"/>
        </w:rPr>
        <w:t>y-</w:t>
      </w:r>
      <w:r w:rsidR="00F3525C">
        <w:rPr>
          <w:b/>
          <w:sz w:val="28"/>
          <w:szCs w:val="28"/>
        </w:rPr>
        <w:t>seventh</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r w:rsidR="00F3525C">
        <w:rPr>
          <w:sz w:val="28"/>
          <w:szCs w:val="28"/>
        </w:rPr>
        <w:t xml:space="preserve"> I wish you all the best for a healthy, productive and hopefully more peaceful new year.</w:t>
      </w:r>
    </w:p>
    <w:p w14:paraId="5F1A6CD5" w14:textId="058C8CA1" w:rsidR="00C00D1E" w:rsidRDefault="00C00D1E" w:rsidP="006922F4">
      <w:pPr>
        <w:ind w:firstLine="720"/>
        <w:jc w:val="both"/>
        <w:rPr>
          <w:sz w:val="28"/>
          <w:szCs w:val="28"/>
        </w:rPr>
      </w:pPr>
    </w:p>
    <w:p w14:paraId="7BFBBB80" w14:textId="77777777" w:rsidR="00C00D1E" w:rsidRDefault="00C00D1E" w:rsidP="006922F4">
      <w:pPr>
        <w:ind w:firstLine="720"/>
        <w:jc w:val="both"/>
        <w:rPr>
          <w:sz w:val="28"/>
          <w:szCs w:val="28"/>
        </w:rPr>
      </w:pPr>
    </w:p>
    <w:p w14:paraId="3F031401" w14:textId="77777777" w:rsidR="00C00D1E" w:rsidRPr="004215A1" w:rsidRDefault="00C00D1E" w:rsidP="00C00D1E">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62144760" w14:textId="742333F1" w:rsidR="00C00D1E" w:rsidRDefault="00C00D1E" w:rsidP="00C00D1E">
      <w:pPr>
        <w:jc w:val="both"/>
        <w:rPr>
          <w:sz w:val="28"/>
          <w:szCs w:val="28"/>
        </w:rPr>
      </w:pPr>
      <w:r w:rsidRPr="007A1CBF">
        <w:rPr>
          <w:b/>
          <w:sz w:val="28"/>
          <w:szCs w:val="28"/>
          <w:shd w:val="clear" w:color="auto" w:fill="FFFFFF"/>
        </w:rPr>
        <w:t>Distinguished members,</w:t>
      </w:r>
    </w:p>
    <w:p w14:paraId="6B8914D1" w14:textId="77777777" w:rsidR="00C37F86" w:rsidRPr="00F3525C" w:rsidRDefault="00C37F86" w:rsidP="00F3525C">
      <w:pPr>
        <w:autoSpaceDE w:val="0"/>
        <w:autoSpaceDN w:val="0"/>
        <w:adjustRightInd w:val="0"/>
        <w:jc w:val="both"/>
        <w:rPr>
          <w:b/>
          <w:sz w:val="28"/>
          <w:szCs w:val="28"/>
          <w:shd w:val="clear" w:color="auto" w:fill="FFFFFF"/>
        </w:rPr>
      </w:pPr>
    </w:p>
    <w:p w14:paraId="1F9F8217" w14:textId="1E1C173C" w:rsidR="00F3525C" w:rsidRPr="00F3525C" w:rsidRDefault="00F3525C" w:rsidP="00F3525C">
      <w:pPr>
        <w:ind w:firstLine="567"/>
        <w:jc w:val="both"/>
        <w:rPr>
          <w:sz w:val="28"/>
          <w:szCs w:val="28"/>
        </w:rPr>
      </w:pPr>
      <w:r w:rsidRPr="00F3525C">
        <w:rPr>
          <w:iCs/>
          <w:sz w:val="28"/>
          <w:szCs w:val="28"/>
        </w:rPr>
        <w:t>We just commemorate</w:t>
      </w:r>
      <w:r>
        <w:rPr>
          <w:iCs/>
          <w:sz w:val="28"/>
          <w:szCs w:val="28"/>
        </w:rPr>
        <w:t>d</w:t>
      </w:r>
      <w:r w:rsidRPr="00F3525C">
        <w:rPr>
          <w:iCs/>
          <w:sz w:val="28"/>
          <w:szCs w:val="28"/>
        </w:rPr>
        <w:t xml:space="preserve"> the </w:t>
      </w:r>
      <w:r w:rsidRPr="00F3525C">
        <w:rPr>
          <w:b/>
          <w:bCs/>
          <w:iCs/>
          <w:sz w:val="28"/>
          <w:szCs w:val="28"/>
        </w:rPr>
        <w:t>seventy-fifth anniversary</w:t>
      </w:r>
      <w:r w:rsidRPr="00F3525C">
        <w:rPr>
          <w:iCs/>
          <w:sz w:val="28"/>
          <w:szCs w:val="28"/>
        </w:rPr>
        <w:t xml:space="preserve"> of the Universal Declaration of Human Rights. </w:t>
      </w:r>
      <w:r>
        <w:rPr>
          <w:iCs/>
          <w:sz w:val="28"/>
          <w:szCs w:val="28"/>
        </w:rPr>
        <w:t xml:space="preserve">At the same time, we continue to witness a backlash on women’s rights across the globe. In this regard, I wish to echo the High Commissioner’s appeal during the High-Level Event marking the </w:t>
      </w:r>
      <w:r w:rsidRPr="00F3525C">
        <w:rPr>
          <w:sz w:val="28"/>
          <w:szCs w:val="28"/>
        </w:rPr>
        <w:t>75</w:t>
      </w:r>
      <w:r w:rsidRPr="00F3525C">
        <w:rPr>
          <w:sz w:val="28"/>
          <w:szCs w:val="28"/>
          <w:vertAlign w:val="superscript"/>
        </w:rPr>
        <w:t>th</w:t>
      </w:r>
      <w:r w:rsidRPr="00F3525C">
        <w:rPr>
          <w:sz w:val="28"/>
          <w:szCs w:val="28"/>
        </w:rPr>
        <w:t xml:space="preserve"> anniversary of the Universal Declaration</w:t>
      </w:r>
      <w:r w:rsidRPr="00F3525C">
        <w:rPr>
          <w:b/>
          <w:bCs/>
          <w:sz w:val="28"/>
          <w:szCs w:val="28"/>
        </w:rPr>
        <w:t xml:space="preserve"> “to rekindle the spirit, impulse and vitality that led to the Universal Declaration” and “strive [together] for solutions to the most pressing challenges of our time”.</w:t>
      </w:r>
      <w:r w:rsidRPr="00F3525C">
        <w:rPr>
          <w:sz w:val="28"/>
          <w:szCs w:val="28"/>
        </w:rPr>
        <w:t xml:space="preserve"> </w:t>
      </w:r>
    </w:p>
    <w:p w14:paraId="454E6693" w14:textId="77777777" w:rsidR="00F3525C" w:rsidRPr="00F3525C" w:rsidRDefault="00F3525C" w:rsidP="00F3525C">
      <w:pPr>
        <w:jc w:val="both"/>
        <w:rPr>
          <w:sz w:val="28"/>
          <w:szCs w:val="28"/>
        </w:rPr>
      </w:pPr>
    </w:p>
    <w:p w14:paraId="5B8C5343" w14:textId="6C7DFDAE" w:rsidR="001C5A03" w:rsidRDefault="00F3525C" w:rsidP="001C5A03">
      <w:pPr>
        <w:ind w:firstLine="720"/>
        <w:jc w:val="both"/>
        <w:rPr>
          <w:sz w:val="28"/>
          <w:szCs w:val="28"/>
        </w:rPr>
      </w:pPr>
      <w:r>
        <w:rPr>
          <w:rFonts w:eastAsia="Times New Roman"/>
          <w:sz w:val="28"/>
          <w:szCs w:val="28"/>
        </w:rPr>
        <w:t>Women’s rights w</w:t>
      </w:r>
      <w:r w:rsidR="001C5A03">
        <w:rPr>
          <w:rFonts w:eastAsia="Times New Roman"/>
          <w:sz w:val="28"/>
          <w:szCs w:val="28"/>
        </w:rPr>
        <w:t>ere</w:t>
      </w:r>
      <w:r w:rsidRPr="00F3525C">
        <w:rPr>
          <w:rFonts w:eastAsia="Times New Roman"/>
          <w:sz w:val="28"/>
          <w:szCs w:val="28"/>
        </w:rPr>
        <w:t xml:space="preserve"> a strong element of </w:t>
      </w:r>
      <w:r>
        <w:rPr>
          <w:rFonts w:eastAsia="Times New Roman"/>
          <w:sz w:val="28"/>
          <w:szCs w:val="28"/>
        </w:rPr>
        <w:t>last year’s</w:t>
      </w:r>
      <w:r w:rsidRPr="00F3525C">
        <w:rPr>
          <w:rFonts w:eastAsia="Times New Roman"/>
          <w:sz w:val="28"/>
          <w:szCs w:val="28"/>
        </w:rPr>
        <w:t xml:space="preserve"> </w:t>
      </w:r>
      <w:r w:rsidRPr="00F3525C">
        <w:rPr>
          <w:rFonts w:eastAsia="Times New Roman"/>
          <w:b/>
          <w:bCs/>
          <w:sz w:val="28"/>
          <w:szCs w:val="28"/>
        </w:rPr>
        <w:t>Human Rights 75 Initiative</w:t>
      </w:r>
      <w:r w:rsidRPr="00F3525C">
        <w:rPr>
          <w:rFonts w:eastAsia="Times New Roman"/>
          <w:sz w:val="28"/>
          <w:szCs w:val="28"/>
        </w:rPr>
        <w:t xml:space="preserve">, with </w:t>
      </w:r>
      <w:r>
        <w:rPr>
          <w:rFonts w:eastAsia="Times New Roman"/>
          <w:sz w:val="28"/>
          <w:szCs w:val="28"/>
        </w:rPr>
        <w:t xml:space="preserve">the monthly </w:t>
      </w:r>
      <w:r w:rsidR="001C5A03">
        <w:rPr>
          <w:rFonts w:eastAsia="Times New Roman"/>
          <w:sz w:val="28"/>
          <w:szCs w:val="28"/>
        </w:rPr>
        <w:t xml:space="preserve">thematic </w:t>
      </w:r>
      <w:r>
        <w:rPr>
          <w:rFonts w:eastAsia="Times New Roman"/>
          <w:sz w:val="28"/>
          <w:szCs w:val="28"/>
        </w:rPr>
        <w:t xml:space="preserve">spotlight of February focusing </w:t>
      </w:r>
      <w:r w:rsidR="001C5A03">
        <w:rPr>
          <w:rFonts w:eastAsia="Times New Roman"/>
          <w:sz w:val="28"/>
          <w:szCs w:val="28"/>
        </w:rPr>
        <w:t xml:space="preserve">on “Care and support systems”, which for too long have relied on women’s and girls’ unpaid or low-paid work to provide care to sustain families, communities and societies; and the monthly spotlight of June highlighting the need to bolster “Women’s participation in public and political life”. The latter featured, among others, the joint event </w:t>
      </w:r>
      <w:r w:rsidR="001C5A03">
        <w:rPr>
          <w:sz w:val="28"/>
          <w:szCs w:val="28"/>
        </w:rPr>
        <w:t>of the Office of the High Commissioner for Human Rights and the Inter-Parliamentary Union, held on 22 June 2023, on “Parliaments and women’s rights: Implementing the CEDAW Convention, realizing the Universal Declaration of Human Rights for all”, in which Nicole Ameline participated, and included the launch of the second revised edition of the CEDAW Handbook for Parliamentarians, in four languages</w:t>
      </w:r>
      <w:r w:rsidR="00560EE9">
        <w:rPr>
          <w:sz w:val="28"/>
          <w:szCs w:val="28"/>
        </w:rPr>
        <w:t>, jointly published by the IPU and OHCHR</w:t>
      </w:r>
      <w:r w:rsidR="001C5A03">
        <w:rPr>
          <w:sz w:val="28"/>
          <w:szCs w:val="28"/>
        </w:rPr>
        <w:t>.</w:t>
      </w:r>
    </w:p>
    <w:p w14:paraId="3879EC74" w14:textId="3870FBE0" w:rsidR="00560EE9" w:rsidRDefault="00560EE9" w:rsidP="001C5A03">
      <w:pPr>
        <w:ind w:firstLine="720"/>
        <w:jc w:val="both"/>
        <w:rPr>
          <w:sz w:val="28"/>
          <w:szCs w:val="28"/>
        </w:rPr>
      </w:pPr>
    </w:p>
    <w:p w14:paraId="555E8824" w14:textId="57F5EC7C" w:rsidR="007D4477" w:rsidRDefault="00D35508" w:rsidP="001C5A03">
      <w:pPr>
        <w:ind w:firstLine="720"/>
        <w:jc w:val="both"/>
        <w:rPr>
          <w:rFonts w:cstheme="minorHAnsi"/>
          <w:sz w:val="28"/>
          <w:szCs w:val="28"/>
        </w:rPr>
      </w:pPr>
      <w:r>
        <w:rPr>
          <w:rFonts w:cstheme="minorHAnsi"/>
          <w:sz w:val="28"/>
          <w:szCs w:val="28"/>
        </w:rPr>
        <w:t xml:space="preserve">The </w:t>
      </w:r>
      <w:r w:rsidRPr="00F0339E">
        <w:rPr>
          <w:rFonts w:cstheme="minorHAnsi"/>
          <w:b/>
          <w:bCs/>
          <w:sz w:val="28"/>
          <w:szCs w:val="28"/>
        </w:rPr>
        <w:t>Human Rights 75 High-Level Event</w:t>
      </w:r>
      <w:r>
        <w:rPr>
          <w:rFonts w:cstheme="minorHAnsi"/>
          <w:sz w:val="28"/>
          <w:szCs w:val="28"/>
        </w:rPr>
        <w:t xml:space="preserve"> was convened by OHCHR on 11 and 12 December and co-hosted by the Government of Switzerland. </w:t>
      </w:r>
      <w:r w:rsidR="00A90C53">
        <w:rPr>
          <w:rFonts w:cstheme="minorHAnsi"/>
          <w:sz w:val="28"/>
          <w:szCs w:val="28"/>
        </w:rPr>
        <w:t>During these two days, Heads of State and Government, Parliamentarians, cities of local governments, United Nations agencies, civil society organizations, human rights defenders, academics, experts, young people and artists participated in panels on the future of human rights and peace and security, digital technologies, development and the economy, and the environment and climate, among other</w:t>
      </w:r>
      <w:r w:rsidR="000B6CD0">
        <w:rPr>
          <w:rFonts w:cstheme="minorHAnsi"/>
          <w:sz w:val="28"/>
          <w:szCs w:val="28"/>
        </w:rPr>
        <w:t xml:space="preserve"> events</w:t>
      </w:r>
      <w:r w:rsidR="00A90C53">
        <w:rPr>
          <w:rFonts w:cstheme="minorHAnsi"/>
          <w:sz w:val="28"/>
          <w:szCs w:val="28"/>
        </w:rPr>
        <w:t xml:space="preserve">. Your colleague Nahla Haidar participated in the panel on the future of human rights and the environment and climate. In addition, speakers shared </w:t>
      </w:r>
      <w:r w:rsidR="00A90C53">
        <w:rPr>
          <w:rFonts w:cstheme="minorHAnsi"/>
          <w:sz w:val="28"/>
          <w:szCs w:val="28"/>
        </w:rPr>
        <w:lastRenderedPageBreak/>
        <w:t>human rights stories showcasing the power of the Universal declaration to uphold people’s rights.</w:t>
      </w:r>
    </w:p>
    <w:p w14:paraId="709F6BCA" w14:textId="77777777" w:rsidR="007D4477" w:rsidRDefault="007D4477" w:rsidP="001C5A03">
      <w:pPr>
        <w:ind w:firstLine="720"/>
        <w:jc w:val="both"/>
        <w:rPr>
          <w:rFonts w:cstheme="minorHAnsi"/>
          <w:sz w:val="28"/>
          <w:szCs w:val="28"/>
        </w:rPr>
      </w:pPr>
    </w:p>
    <w:p w14:paraId="617BA321" w14:textId="7B307A89" w:rsidR="00560EE9" w:rsidRDefault="00A90C53" w:rsidP="001C5A03">
      <w:pPr>
        <w:ind w:firstLine="720"/>
        <w:jc w:val="both"/>
        <w:rPr>
          <w:rFonts w:cstheme="minorHAnsi"/>
          <w:sz w:val="28"/>
          <w:szCs w:val="28"/>
        </w:rPr>
      </w:pPr>
      <w:r>
        <w:rPr>
          <w:rFonts w:cstheme="minorHAnsi"/>
          <w:sz w:val="28"/>
          <w:szCs w:val="28"/>
        </w:rPr>
        <w:t xml:space="preserve">We also witnessed the birth and growth of </w:t>
      </w:r>
      <w:r w:rsidR="007D4477">
        <w:rPr>
          <w:rFonts w:cstheme="minorHAnsi"/>
          <w:sz w:val="28"/>
          <w:szCs w:val="28"/>
        </w:rPr>
        <w:t>our</w:t>
      </w:r>
      <w:r>
        <w:rPr>
          <w:rFonts w:cstheme="minorHAnsi"/>
          <w:sz w:val="28"/>
          <w:szCs w:val="28"/>
        </w:rPr>
        <w:t xml:space="preserve"> </w:t>
      </w:r>
      <w:r w:rsidRPr="00F0339E">
        <w:rPr>
          <w:rFonts w:cstheme="minorHAnsi"/>
          <w:b/>
          <w:bCs/>
          <w:sz w:val="28"/>
          <w:szCs w:val="28"/>
        </w:rPr>
        <w:t>pledging tree</w:t>
      </w:r>
      <w:r w:rsidR="00D1045C">
        <w:rPr>
          <w:rFonts w:cstheme="minorHAnsi"/>
          <w:sz w:val="28"/>
          <w:szCs w:val="28"/>
        </w:rPr>
        <w:t>, a live embodiment of all the pledges</w:t>
      </w:r>
      <w:r w:rsidR="000B6CD0">
        <w:rPr>
          <w:rFonts w:cstheme="minorHAnsi"/>
          <w:sz w:val="28"/>
          <w:szCs w:val="28"/>
        </w:rPr>
        <w:t xml:space="preserve"> received from </w:t>
      </w:r>
      <w:r w:rsidR="00D1045C">
        <w:rPr>
          <w:rFonts w:cstheme="minorHAnsi"/>
          <w:sz w:val="28"/>
          <w:szCs w:val="28"/>
        </w:rPr>
        <w:t>Member States</w:t>
      </w:r>
      <w:r w:rsidR="000B6CD0">
        <w:rPr>
          <w:rFonts w:cstheme="minorHAnsi"/>
          <w:sz w:val="28"/>
          <w:szCs w:val="28"/>
        </w:rPr>
        <w:t xml:space="preserve"> announcing tangible commitments to advance human rights protection at the national, regional or global levels</w:t>
      </w:r>
      <w:r w:rsidR="007D4477">
        <w:rPr>
          <w:rFonts w:cstheme="minorHAnsi"/>
          <w:sz w:val="28"/>
          <w:szCs w:val="28"/>
        </w:rPr>
        <w:t xml:space="preserve">. With 56 pledges, women’s rights and gender equality received the largest share of the 157 pledges </w:t>
      </w:r>
      <w:r w:rsidR="00F0339E">
        <w:rPr>
          <w:rFonts w:cstheme="minorHAnsi"/>
          <w:sz w:val="28"/>
          <w:szCs w:val="28"/>
        </w:rPr>
        <w:t xml:space="preserve">made </w:t>
      </w:r>
      <w:r w:rsidR="007D4477">
        <w:rPr>
          <w:rFonts w:cstheme="minorHAnsi"/>
          <w:sz w:val="28"/>
          <w:szCs w:val="28"/>
        </w:rPr>
        <w:t>by States. These pledges ranged from general measures to eliminate all forms of gender-based violence and discrimination against women, to increasing women’s participation in the labour market and leadership roles, introducing quotas for women in parliament, strengthening feminist foreign policies, increasing donor funding on gender quality</w:t>
      </w:r>
      <w:r w:rsidR="00D1045C">
        <w:rPr>
          <w:rFonts w:cstheme="minorHAnsi"/>
          <w:sz w:val="28"/>
          <w:szCs w:val="28"/>
        </w:rPr>
        <w:t>,</w:t>
      </w:r>
      <w:r w:rsidR="007D4477">
        <w:rPr>
          <w:rFonts w:cstheme="minorHAnsi"/>
          <w:sz w:val="28"/>
          <w:szCs w:val="28"/>
        </w:rPr>
        <w:t xml:space="preserve"> </w:t>
      </w:r>
      <w:r w:rsidR="00D1045C">
        <w:rPr>
          <w:rFonts w:cstheme="minorHAnsi"/>
          <w:sz w:val="28"/>
          <w:szCs w:val="28"/>
        </w:rPr>
        <w:t>and addressing inequalities and discrimination in the context of broader gender identity perspectives. Pledges were also made by UN entities and IGOs, NHRIs, CSOs, businesses and other actors.</w:t>
      </w:r>
    </w:p>
    <w:p w14:paraId="46879C84" w14:textId="77777777" w:rsidR="001C5A03" w:rsidRDefault="001C5A03" w:rsidP="00F3525C">
      <w:pPr>
        <w:ind w:firstLine="720"/>
        <w:jc w:val="both"/>
        <w:rPr>
          <w:rFonts w:eastAsia="Times New Roman"/>
          <w:sz w:val="28"/>
          <w:szCs w:val="28"/>
        </w:rPr>
      </w:pPr>
    </w:p>
    <w:p w14:paraId="7C28D4A3" w14:textId="73C3DC15" w:rsidR="001C5A03" w:rsidRDefault="000B6CD0" w:rsidP="00F3525C">
      <w:pPr>
        <w:ind w:firstLine="720"/>
        <w:jc w:val="both"/>
        <w:rPr>
          <w:rFonts w:eastAsia="Times New Roman"/>
          <w:sz w:val="28"/>
          <w:szCs w:val="28"/>
        </w:rPr>
      </w:pPr>
      <w:r>
        <w:rPr>
          <w:rFonts w:eastAsia="Times New Roman"/>
          <w:sz w:val="28"/>
          <w:szCs w:val="28"/>
        </w:rPr>
        <w:t xml:space="preserve">Your </w:t>
      </w:r>
      <w:proofErr w:type="gramStart"/>
      <w:r>
        <w:rPr>
          <w:rFonts w:eastAsia="Times New Roman"/>
          <w:sz w:val="28"/>
          <w:szCs w:val="28"/>
        </w:rPr>
        <w:t>Committee</w:t>
      </w:r>
      <w:proofErr w:type="gramEnd"/>
      <w:r>
        <w:rPr>
          <w:rFonts w:eastAsia="Times New Roman"/>
          <w:sz w:val="28"/>
          <w:szCs w:val="28"/>
        </w:rPr>
        <w:t xml:space="preserve"> can help translating these pledges into concrete action, though your constructive dialogues with States parties, but also through the guidance you will provide in your General Recommendation No. 40 on the equal and inclusive representation of women in decision-making systems, currently under preparation, towards reaching parity between women and men by 2030. </w:t>
      </w:r>
      <w:r w:rsidR="00F0339E">
        <w:rPr>
          <w:rFonts w:eastAsia="Times New Roman"/>
          <w:sz w:val="28"/>
          <w:szCs w:val="28"/>
        </w:rPr>
        <w:t xml:space="preserve">To reach this goal, it is also crucial for women’s rights to figure prominently in the work leading to the </w:t>
      </w:r>
      <w:r w:rsidR="00F0339E" w:rsidRPr="00F0339E">
        <w:rPr>
          <w:rFonts w:eastAsia="Times New Roman"/>
          <w:b/>
          <w:bCs/>
          <w:sz w:val="28"/>
          <w:szCs w:val="28"/>
        </w:rPr>
        <w:t>Summit for the Future</w:t>
      </w:r>
      <w:r w:rsidR="00F0339E">
        <w:rPr>
          <w:rFonts w:eastAsia="Times New Roman"/>
          <w:sz w:val="28"/>
          <w:szCs w:val="28"/>
        </w:rPr>
        <w:t xml:space="preserve"> and the resulting Pact for the Future.</w:t>
      </w:r>
    </w:p>
    <w:p w14:paraId="525928E9" w14:textId="7641BD2B" w:rsidR="001C5A03" w:rsidRDefault="001C5A03" w:rsidP="00F3525C">
      <w:pPr>
        <w:ind w:firstLine="720"/>
        <w:jc w:val="both"/>
        <w:rPr>
          <w:rFonts w:eastAsia="Times New Roman"/>
          <w:sz w:val="28"/>
          <w:szCs w:val="28"/>
        </w:rPr>
      </w:pPr>
    </w:p>
    <w:p w14:paraId="53031427" w14:textId="77777777" w:rsidR="00F0339E" w:rsidRDefault="00F0339E" w:rsidP="00F3525C">
      <w:pPr>
        <w:ind w:firstLine="720"/>
        <w:jc w:val="both"/>
        <w:rPr>
          <w:rFonts w:eastAsia="Times New Roman"/>
          <w:sz w:val="28"/>
          <w:szCs w:val="28"/>
        </w:rPr>
      </w:pPr>
    </w:p>
    <w:p w14:paraId="53CB6539" w14:textId="300E33E7" w:rsidR="008517C9" w:rsidRPr="004215A1" w:rsidRDefault="008517C9" w:rsidP="004E0BEB">
      <w:pPr>
        <w:autoSpaceDE w:val="0"/>
        <w:autoSpaceDN w:val="0"/>
        <w:adjustRightInd w:val="0"/>
        <w:jc w:val="both"/>
        <w:rPr>
          <w:b/>
          <w:sz w:val="28"/>
          <w:szCs w:val="28"/>
          <w:shd w:val="clear" w:color="auto" w:fill="FFFFFF"/>
        </w:rPr>
      </w:pPr>
      <w:r w:rsidRPr="004215A1">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5A31C0DC" w14:textId="086CF77F" w:rsidR="00BC2F0B" w:rsidRDefault="007A1CBF" w:rsidP="00790C7F">
      <w:pPr>
        <w:ind w:firstLine="720"/>
        <w:contextualSpacing/>
        <w:jc w:val="both"/>
        <w:rPr>
          <w:sz w:val="28"/>
          <w:szCs w:val="28"/>
        </w:rPr>
      </w:pPr>
      <w:r w:rsidRPr="004030A1">
        <w:rPr>
          <w:sz w:val="28"/>
          <w:szCs w:val="28"/>
        </w:rPr>
        <w:t xml:space="preserve">The Office of the High </w:t>
      </w:r>
      <w:r w:rsidRPr="00790C7F">
        <w:rPr>
          <w:sz w:val="28"/>
          <w:szCs w:val="28"/>
        </w:rPr>
        <w:t xml:space="preserve">Commissioner </w:t>
      </w:r>
      <w:r w:rsidRPr="00790C7F">
        <w:rPr>
          <w:iCs/>
          <w:sz w:val="28"/>
          <w:szCs w:val="28"/>
        </w:rPr>
        <w:t xml:space="preserve">continues </w:t>
      </w:r>
      <w:r w:rsidR="004030A1" w:rsidRPr="00790C7F">
        <w:rPr>
          <w:sz w:val="28"/>
          <w:szCs w:val="28"/>
        </w:rPr>
        <w:t xml:space="preserve">to support the </w:t>
      </w:r>
      <w:r w:rsidR="004030A1" w:rsidRPr="00FA7865">
        <w:rPr>
          <w:sz w:val="28"/>
          <w:szCs w:val="28"/>
        </w:rPr>
        <w:t>strengthening of the treaty bodies</w:t>
      </w:r>
      <w:r w:rsidR="00790C7F" w:rsidRPr="00790C7F">
        <w:rPr>
          <w:sz w:val="28"/>
          <w:szCs w:val="28"/>
        </w:rPr>
        <w:t xml:space="preserve">. </w:t>
      </w:r>
      <w:r w:rsidR="00E7746F">
        <w:rPr>
          <w:sz w:val="28"/>
          <w:szCs w:val="28"/>
        </w:rPr>
        <w:t xml:space="preserve">An integral part of </w:t>
      </w:r>
      <w:r w:rsidR="00BC2F0B">
        <w:rPr>
          <w:sz w:val="28"/>
          <w:szCs w:val="28"/>
        </w:rPr>
        <w:t>the progress made last year</w:t>
      </w:r>
      <w:r w:rsidR="00E7746F">
        <w:rPr>
          <w:sz w:val="28"/>
          <w:szCs w:val="28"/>
        </w:rPr>
        <w:t xml:space="preserve"> </w:t>
      </w:r>
      <w:r w:rsidR="00BC2F0B">
        <w:rPr>
          <w:sz w:val="28"/>
          <w:szCs w:val="28"/>
        </w:rPr>
        <w:t>were</w:t>
      </w:r>
      <w:r w:rsidR="00E7746F">
        <w:rPr>
          <w:sz w:val="28"/>
          <w:szCs w:val="28"/>
        </w:rPr>
        <w:t xml:space="preserve"> the publication of the OHCHR Working Paper </w:t>
      </w:r>
      <w:r w:rsidR="00BC2F0B">
        <w:rPr>
          <w:sz w:val="28"/>
          <w:szCs w:val="28"/>
        </w:rPr>
        <w:t>in May 2023, the conclusions of the 35</w:t>
      </w:r>
      <w:r w:rsidR="00BC2F0B" w:rsidRPr="00BC2F0B">
        <w:rPr>
          <w:sz w:val="28"/>
          <w:szCs w:val="28"/>
          <w:vertAlign w:val="superscript"/>
        </w:rPr>
        <w:t>th</w:t>
      </w:r>
      <w:r w:rsidR="00BC2F0B">
        <w:rPr>
          <w:sz w:val="28"/>
          <w:szCs w:val="28"/>
        </w:rPr>
        <w:t xml:space="preserve"> annual meeting of Chairpersons of the human rights treaty bodies in June, and the </w:t>
      </w:r>
      <w:r w:rsidR="00BC2F0B" w:rsidRPr="00FA7865">
        <w:rPr>
          <w:b/>
          <w:bCs/>
          <w:sz w:val="28"/>
          <w:szCs w:val="28"/>
        </w:rPr>
        <w:t xml:space="preserve">informal briefing </w:t>
      </w:r>
      <w:r w:rsidR="00BF0C3E" w:rsidRPr="00FA7865">
        <w:rPr>
          <w:b/>
          <w:bCs/>
          <w:sz w:val="28"/>
          <w:szCs w:val="28"/>
        </w:rPr>
        <w:t>on the treaty body strengthening process</w:t>
      </w:r>
      <w:r w:rsidR="00BF0C3E" w:rsidRPr="00FA7865">
        <w:rPr>
          <w:sz w:val="28"/>
          <w:szCs w:val="28"/>
        </w:rPr>
        <w:t xml:space="preserve"> </w:t>
      </w:r>
      <w:r w:rsidR="00BC2F0B">
        <w:rPr>
          <w:sz w:val="28"/>
          <w:szCs w:val="28"/>
        </w:rPr>
        <w:t xml:space="preserve">convened by the High Commissioner in November, attended by 118 States in Geneva and </w:t>
      </w:r>
      <w:r w:rsidR="00BC2F0B" w:rsidRPr="00BF0C3E">
        <w:rPr>
          <w:sz w:val="28"/>
          <w:szCs w:val="28"/>
        </w:rPr>
        <w:t xml:space="preserve">New York as well as by a considerable number of treaty body experts. </w:t>
      </w:r>
      <w:r w:rsidR="00BF0C3E" w:rsidRPr="00BF0C3E">
        <w:rPr>
          <w:sz w:val="28"/>
          <w:szCs w:val="28"/>
        </w:rPr>
        <w:t xml:space="preserve">The views expressed by States during the informal briefing indicated broad </w:t>
      </w:r>
      <w:r w:rsidR="00A35DC1">
        <w:rPr>
          <w:sz w:val="28"/>
          <w:szCs w:val="28"/>
        </w:rPr>
        <w:t>support for</w:t>
      </w:r>
      <w:r w:rsidR="00BF0C3E" w:rsidRPr="00BF0C3E">
        <w:rPr>
          <w:sz w:val="28"/>
          <w:szCs w:val="28"/>
        </w:rPr>
        <w:t xml:space="preserve"> a predictable </w:t>
      </w:r>
      <w:r w:rsidR="00BF0C3E">
        <w:rPr>
          <w:sz w:val="28"/>
          <w:szCs w:val="28"/>
        </w:rPr>
        <w:t xml:space="preserve">calendar </w:t>
      </w:r>
      <w:r w:rsidR="00BF0C3E" w:rsidRPr="00BF0C3E">
        <w:rPr>
          <w:sz w:val="28"/>
          <w:szCs w:val="28"/>
        </w:rPr>
        <w:t>of State party reviews, the harmonization of working methods and the increased use of digital tools</w:t>
      </w:r>
      <w:r w:rsidR="00A35DC1">
        <w:rPr>
          <w:sz w:val="28"/>
          <w:szCs w:val="28"/>
        </w:rPr>
        <w:t>, to</w:t>
      </w:r>
      <w:r w:rsidR="00BF0C3E" w:rsidRPr="00BF0C3E">
        <w:rPr>
          <w:sz w:val="28"/>
          <w:szCs w:val="28"/>
        </w:rPr>
        <w:t xml:space="preserve"> be implemented based on the OHCHR Working Paper. </w:t>
      </w:r>
      <w:r w:rsidR="00BC2F0B" w:rsidRPr="00BF0C3E">
        <w:rPr>
          <w:sz w:val="28"/>
          <w:szCs w:val="28"/>
        </w:rPr>
        <w:t xml:space="preserve">The subsequent </w:t>
      </w:r>
      <w:r w:rsidR="00BC2F0B">
        <w:rPr>
          <w:sz w:val="28"/>
          <w:szCs w:val="28"/>
        </w:rPr>
        <w:t>discussions among treaty body Chairs in December on the margins of the High-Level Event commemorating the 75</w:t>
      </w:r>
      <w:r w:rsidR="00BC2F0B" w:rsidRPr="00BC2F0B">
        <w:rPr>
          <w:sz w:val="28"/>
          <w:szCs w:val="28"/>
          <w:vertAlign w:val="superscript"/>
        </w:rPr>
        <w:t>th</w:t>
      </w:r>
      <w:r w:rsidR="00BC2F0B">
        <w:rPr>
          <w:sz w:val="28"/>
          <w:szCs w:val="28"/>
        </w:rPr>
        <w:t xml:space="preserve"> anniversary of the Universal Declaration of Human Rights and our outreach to civil society further set the stage for 2024.</w:t>
      </w:r>
    </w:p>
    <w:p w14:paraId="17172FD0" w14:textId="77777777" w:rsidR="00BC2F0B" w:rsidRDefault="00BC2F0B" w:rsidP="00790C7F">
      <w:pPr>
        <w:ind w:firstLine="720"/>
        <w:contextualSpacing/>
        <w:jc w:val="both"/>
        <w:rPr>
          <w:sz w:val="28"/>
          <w:szCs w:val="28"/>
        </w:rPr>
      </w:pPr>
    </w:p>
    <w:p w14:paraId="793DB4EC" w14:textId="3AEF241A" w:rsidR="00790C7F" w:rsidRPr="00FA7865" w:rsidRDefault="00BC2F0B" w:rsidP="00790C7F">
      <w:pPr>
        <w:ind w:firstLine="720"/>
        <w:contextualSpacing/>
        <w:jc w:val="both"/>
        <w:rPr>
          <w:b/>
          <w:bCs/>
          <w:sz w:val="28"/>
          <w:szCs w:val="28"/>
        </w:rPr>
      </w:pPr>
      <w:r>
        <w:rPr>
          <w:sz w:val="28"/>
          <w:szCs w:val="28"/>
        </w:rPr>
        <w:lastRenderedPageBreak/>
        <w:t xml:space="preserve">Yet, </w:t>
      </w:r>
      <w:r w:rsidR="00BF0C3E">
        <w:rPr>
          <w:sz w:val="28"/>
          <w:szCs w:val="28"/>
        </w:rPr>
        <w:t xml:space="preserve">the </w:t>
      </w:r>
      <w:r w:rsidR="00BF0C3E" w:rsidRPr="00FA7865">
        <w:rPr>
          <w:b/>
          <w:bCs/>
          <w:sz w:val="28"/>
          <w:szCs w:val="28"/>
        </w:rPr>
        <w:t>budgetary constraints</w:t>
      </w:r>
      <w:r w:rsidR="00BF0C3E">
        <w:rPr>
          <w:sz w:val="28"/>
          <w:szCs w:val="28"/>
        </w:rPr>
        <w:t xml:space="preserve"> coupled with a </w:t>
      </w:r>
      <w:r w:rsidR="00BF0C3E" w:rsidRPr="00FA7865">
        <w:rPr>
          <w:sz w:val="28"/>
          <w:szCs w:val="28"/>
        </w:rPr>
        <w:t>prolonged liquidity crisis</w:t>
      </w:r>
      <w:r w:rsidR="00BF0C3E">
        <w:rPr>
          <w:sz w:val="28"/>
          <w:szCs w:val="28"/>
        </w:rPr>
        <w:t xml:space="preserve"> that we are facing will have an adverse impact on the proper functioning of the treaty body system and risks </w:t>
      </w:r>
      <w:r w:rsidR="00BF0C3E" w:rsidRPr="00FA7865">
        <w:rPr>
          <w:b/>
          <w:bCs/>
          <w:sz w:val="28"/>
          <w:szCs w:val="28"/>
        </w:rPr>
        <w:t>further increasing the backlog</w:t>
      </w:r>
      <w:r w:rsidR="00BF0C3E">
        <w:rPr>
          <w:sz w:val="28"/>
          <w:szCs w:val="28"/>
        </w:rPr>
        <w:t xml:space="preserve"> of the treaty bodies with 364 State party reports pending review as of 30 November 2023, 1,971 registered individual communications awaiting examination, 255 unregistered communications pending pre-screening analysis, and 957 open urgent actions. The </w:t>
      </w:r>
      <w:r w:rsidR="003D1D88">
        <w:rPr>
          <w:sz w:val="28"/>
          <w:szCs w:val="28"/>
        </w:rPr>
        <w:t xml:space="preserve">urgency for States to provide the essential resources needed to overcome these challenges was underscored by </w:t>
      </w:r>
      <w:r w:rsidR="00BF0C3E">
        <w:rPr>
          <w:sz w:val="28"/>
          <w:szCs w:val="28"/>
        </w:rPr>
        <w:t>High Commissioner</w:t>
      </w:r>
      <w:r w:rsidR="003D1D88">
        <w:rPr>
          <w:sz w:val="28"/>
          <w:szCs w:val="28"/>
        </w:rPr>
        <w:t xml:space="preserve"> at the informal briefing in November, when he stressed that </w:t>
      </w:r>
      <w:r w:rsidR="003D1D88" w:rsidRPr="00FA7865">
        <w:rPr>
          <w:b/>
          <w:bCs/>
          <w:sz w:val="28"/>
          <w:szCs w:val="28"/>
        </w:rPr>
        <w:t>the Office has reached a point where it has to align its deliverables with existing capacity.</w:t>
      </w:r>
    </w:p>
    <w:p w14:paraId="662F8219" w14:textId="0348D815" w:rsidR="003D1D88" w:rsidRDefault="003D1D88" w:rsidP="00790C7F">
      <w:pPr>
        <w:ind w:firstLine="720"/>
        <w:contextualSpacing/>
        <w:jc w:val="both"/>
        <w:rPr>
          <w:sz w:val="28"/>
          <w:szCs w:val="28"/>
        </w:rPr>
      </w:pPr>
    </w:p>
    <w:p w14:paraId="1C9660EB" w14:textId="575F74BD" w:rsidR="00237100" w:rsidRPr="0008472B" w:rsidRDefault="003D1D88" w:rsidP="00237100">
      <w:pPr>
        <w:ind w:firstLine="720"/>
        <w:contextualSpacing/>
        <w:jc w:val="both"/>
        <w:rPr>
          <w:sz w:val="28"/>
          <w:szCs w:val="28"/>
        </w:rPr>
      </w:pPr>
      <w:r>
        <w:rPr>
          <w:sz w:val="28"/>
          <w:szCs w:val="28"/>
        </w:rPr>
        <w:t>Looking ahead to 2024, our shared strategic goal is to mobilize support from States for the strengthening and further harmonization of the work of the treaty bodies based on the Chairs</w:t>
      </w:r>
      <w:r w:rsidR="00A35DC1">
        <w:rPr>
          <w:sz w:val="28"/>
          <w:szCs w:val="28"/>
        </w:rPr>
        <w:t>’</w:t>
      </w:r>
      <w:r>
        <w:rPr>
          <w:sz w:val="28"/>
          <w:szCs w:val="28"/>
        </w:rPr>
        <w:t xml:space="preserve"> conclusions and the Working Paper prepared by OHCHR. Decisions taken by States this year on the main pillars of the treaty body strengthening process (</w:t>
      </w:r>
      <w:r w:rsidRPr="00BF0C3E">
        <w:rPr>
          <w:sz w:val="28"/>
          <w:szCs w:val="28"/>
        </w:rPr>
        <w:t xml:space="preserve">a predictable </w:t>
      </w:r>
      <w:r>
        <w:rPr>
          <w:sz w:val="28"/>
          <w:szCs w:val="28"/>
        </w:rPr>
        <w:t xml:space="preserve">calendar </w:t>
      </w:r>
      <w:r w:rsidRPr="00BF0C3E">
        <w:rPr>
          <w:sz w:val="28"/>
          <w:szCs w:val="28"/>
        </w:rPr>
        <w:t>of State party reviews, the harmonization of working methods and the increased use of digital tools</w:t>
      </w:r>
      <w:r>
        <w:rPr>
          <w:sz w:val="28"/>
          <w:szCs w:val="28"/>
        </w:rPr>
        <w:t xml:space="preserve">), in particular on the issues </w:t>
      </w:r>
      <w:r w:rsidRPr="00FA7865">
        <w:rPr>
          <w:b/>
          <w:bCs/>
          <w:sz w:val="28"/>
          <w:szCs w:val="28"/>
        </w:rPr>
        <w:t>requiring</w:t>
      </w:r>
      <w:r>
        <w:rPr>
          <w:sz w:val="28"/>
          <w:szCs w:val="28"/>
        </w:rPr>
        <w:t xml:space="preserve"> </w:t>
      </w:r>
      <w:r w:rsidRPr="00FA7865">
        <w:rPr>
          <w:b/>
          <w:bCs/>
          <w:sz w:val="28"/>
          <w:szCs w:val="28"/>
        </w:rPr>
        <w:t>additional financial and human resources</w:t>
      </w:r>
      <w:r w:rsidR="00237100">
        <w:rPr>
          <w:sz w:val="28"/>
          <w:szCs w:val="28"/>
        </w:rPr>
        <w:t>, will determine the future trajectory of the treaty body system. This process will culminate in the adoption of the biannual resolution of the General Assembly in December 2024, hopefully with a robust budget.</w:t>
      </w:r>
    </w:p>
    <w:p w14:paraId="63617BD3" w14:textId="5CCB3587" w:rsidR="0008472B" w:rsidRPr="0008472B" w:rsidRDefault="0008472B" w:rsidP="0008472B">
      <w:pPr>
        <w:ind w:firstLine="720"/>
        <w:contextualSpacing/>
        <w:jc w:val="both"/>
        <w:rPr>
          <w:sz w:val="28"/>
          <w:szCs w:val="28"/>
        </w:rPr>
      </w:pPr>
    </w:p>
    <w:p w14:paraId="2148DEF7" w14:textId="77777777" w:rsidR="0008472B" w:rsidRPr="0008472B" w:rsidRDefault="0008472B" w:rsidP="00790C7F">
      <w:pPr>
        <w:ind w:firstLine="720"/>
        <w:contextualSpacing/>
        <w:jc w:val="both"/>
        <w:rPr>
          <w:sz w:val="28"/>
          <w:szCs w:val="28"/>
        </w:rPr>
      </w:pPr>
    </w:p>
    <w:p w14:paraId="36F86380" w14:textId="77777777" w:rsidR="00F63989" w:rsidRPr="00263A8B" w:rsidRDefault="00F63989" w:rsidP="004E0BEB">
      <w:pPr>
        <w:autoSpaceDE w:val="0"/>
        <w:autoSpaceDN w:val="0"/>
        <w:adjustRightInd w:val="0"/>
        <w:jc w:val="both"/>
        <w:rPr>
          <w:b/>
          <w:sz w:val="28"/>
          <w:szCs w:val="28"/>
        </w:rPr>
      </w:pPr>
      <w:r w:rsidRPr="0008472B">
        <w:rPr>
          <w:b/>
          <w:sz w:val="28"/>
          <w:szCs w:val="28"/>
        </w:rPr>
        <w:t>Mada</w:t>
      </w:r>
      <w:r w:rsidRPr="00263A8B">
        <w:rPr>
          <w:b/>
          <w:sz w:val="28"/>
          <w:szCs w:val="28"/>
        </w:rPr>
        <w:t>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390EA4B5" w14:textId="713468C5" w:rsidR="007D3E79" w:rsidRDefault="007D3E79" w:rsidP="004E0BEB">
      <w:pPr>
        <w:autoSpaceDE w:val="0"/>
        <w:autoSpaceDN w:val="0"/>
        <w:adjustRightInd w:val="0"/>
        <w:ind w:firstLine="567"/>
        <w:jc w:val="both"/>
      </w:pPr>
      <w:r w:rsidRPr="007D3E79">
        <w:rPr>
          <w:iCs/>
          <w:sz w:val="28"/>
          <w:szCs w:val="28"/>
        </w:rPr>
        <w:t xml:space="preserve">I wish to inform you that </w:t>
      </w:r>
      <w:r>
        <w:rPr>
          <w:iCs/>
          <w:sz w:val="28"/>
          <w:szCs w:val="28"/>
        </w:rPr>
        <w:t>e</w:t>
      </w:r>
      <w:r w:rsidRPr="007D3E79">
        <w:rPr>
          <w:iCs/>
          <w:sz w:val="28"/>
          <w:szCs w:val="28"/>
        </w:rPr>
        <w:t>ffect</w:t>
      </w:r>
      <w:r>
        <w:rPr>
          <w:iCs/>
          <w:sz w:val="28"/>
          <w:szCs w:val="28"/>
        </w:rPr>
        <w:t xml:space="preserve">ive from </w:t>
      </w:r>
      <w:r w:rsidRPr="00205F53">
        <w:rPr>
          <w:sz w:val="28"/>
          <w:szCs w:val="28"/>
        </w:rPr>
        <w:t xml:space="preserve">22 January 2024, the United Nations Office at Geneva has </w:t>
      </w:r>
      <w:r w:rsidRPr="00205F53">
        <w:rPr>
          <w:b/>
          <w:bCs/>
          <w:sz w:val="28"/>
          <w:szCs w:val="28"/>
        </w:rPr>
        <w:t xml:space="preserve">ceased </w:t>
      </w:r>
      <w:r w:rsidRPr="00205F53">
        <w:rPr>
          <w:b/>
          <w:bCs/>
          <w:sz w:val="28"/>
          <w:szCs w:val="28"/>
          <w:lang w:val="en-US"/>
        </w:rPr>
        <w:t>servicing all hybrid or virtual meetings</w:t>
      </w:r>
      <w:r w:rsidRPr="00205F53">
        <w:rPr>
          <w:sz w:val="28"/>
          <w:szCs w:val="28"/>
          <w:lang w:val="en-US"/>
        </w:rPr>
        <w:t xml:space="preserve"> on any platform, system, or tool</w:t>
      </w:r>
      <w:r>
        <w:rPr>
          <w:sz w:val="28"/>
          <w:szCs w:val="28"/>
          <w:lang w:val="en-US"/>
        </w:rPr>
        <w:t>.</w:t>
      </w:r>
      <w:r w:rsidRPr="00205F53">
        <w:rPr>
          <w:sz w:val="28"/>
          <w:szCs w:val="28"/>
          <w:lang w:val="en-US"/>
        </w:rPr>
        <w:t xml:space="preserve"> </w:t>
      </w:r>
      <w:r w:rsidRPr="00205F53">
        <w:rPr>
          <w:sz w:val="28"/>
          <w:szCs w:val="28"/>
        </w:rPr>
        <w:t>This affects all meetings taking place at UNOG, including those of the treaty bodies, the Human Rights Council and the U</w:t>
      </w:r>
      <w:r>
        <w:rPr>
          <w:sz w:val="28"/>
          <w:szCs w:val="28"/>
        </w:rPr>
        <w:t>niversal Periodic Review</w:t>
      </w:r>
      <w:r w:rsidRPr="00205F53">
        <w:rPr>
          <w:sz w:val="28"/>
          <w:szCs w:val="28"/>
        </w:rPr>
        <w:t>.</w:t>
      </w:r>
      <w:r w:rsidRPr="007D3E79">
        <w:rPr>
          <w:iCs/>
          <w:sz w:val="28"/>
          <w:szCs w:val="28"/>
        </w:rPr>
        <w:t xml:space="preserve"> An exception exists for </w:t>
      </w:r>
      <w:r w:rsidR="00E82789">
        <w:rPr>
          <w:iCs/>
          <w:sz w:val="28"/>
          <w:szCs w:val="28"/>
        </w:rPr>
        <w:t>mandated hybrid</w:t>
      </w:r>
      <w:r w:rsidRPr="00205F53">
        <w:rPr>
          <w:sz w:val="28"/>
          <w:szCs w:val="28"/>
        </w:rPr>
        <w:t xml:space="preserve"> </w:t>
      </w:r>
      <w:r w:rsidR="00E82789">
        <w:rPr>
          <w:sz w:val="28"/>
          <w:szCs w:val="28"/>
        </w:rPr>
        <w:t xml:space="preserve">meetings, such as the official </w:t>
      </w:r>
      <w:r w:rsidRPr="00205F53">
        <w:rPr>
          <w:sz w:val="28"/>
          <w:szCs w:val="28"/>
        </w:rPr>
        <w:t xml:space="preserve">dialogues with State party delegations </w:t>
      </w:r>
      <w:r w:rsidR="00E82789">
        <w:rPr>
          <w:sz w:val="28"/>
          <w:szCs w:val="28"/>
        </w:rPr>
        <w:t xml:space="preserve">which may continue to be held virtually </w:t>
      </w:r>
      <w:r w:rsidRPr="00205F53">
        <w:rPr>
          <w:sz w:val="28"/>
          <w:szCs w:val="28"/>
        </w:rPr>
        <w:t xml:space="preserve">with full services as </w:t>
      </w:r>
      <w:r w:rsidR="001F68CB">
        <w:rPr>
          <w:sz w:val="28"/>
          <w:szCs w:val="28"/>
        </w:rPr>
        <w:t xml:space="preserve">mandated by </w:t>
      </w:r>
      <w:r w:rsidRPr="00205F53">
        <w:rPr>
          <w:sz w:val="28"/>
          <w:szCs w:val="28"/>
        </w:rPr>
        <w:t>General Assembly resolution 68/268</w:t>
      </w:r>
      <w:r w:rsidR="001F68CB">
        <w:rPr>
          <w:sz w:val="28"/>
          <w:szCs w:val="28"/>
        </w:rPr>
        <w:t xml:space="preserve"> (A/RES/68/268, at p</w:t>
      </w:r>
      <w:r w:rsidRPr="00205F53">
        <w:rPr>
          <w:sz w:val="28"/>
          <w:szCs w:val="28"/>
        </w:rPr>
        <w:t>ara</w:t>
      </w:r>
      <w:r w:rsidR="001F68CB">
        <w:rPr>
          <w:sz w:val="28"/>
          <w:szCs w:val="28"/>
        </w:rPr>
        <w:t>.</w:t>
      </w:r>
      <w:r w:rsidRPr="00205F53">
        <w:rPr>
          <w:sz w:val="28"/>
          <w:szCs w:val="28"/>
        </w:rPr>
        <w:t xml:space="preserve"> 23</w:t>
      </w:r>
      <w:r w:rsidR="001F68CB">
        <w:rPr>
          <w:sz w:val="28"/>
          <w:szCs w:val="28"/>
        </w:rPr>
        <w:t>)</w:t>
      </w:r>
      <w:r w:rsidRPr="00205F53">
        <w:rPr>
          <w:sz w:val="28"/>
          <w:szCs w:val="28"/>
        </w:rPr>
        <w:t>.</w:t>
      </w:r>
      <w:r w:rsidR="00E82789">
        <w:rPr>
          <w:sz w:val="28"/>
          <w:szCs w:val="28"/>
        </w:rPr>
        <w:t xml:space="preserve"> No other treaty body meetings will henceforth be serviced in hybrid mode.</w:t>
      </w:r>
    </w:p>
    <w:p w14:paraId="3A3F0AAD" w14:textId="77777777" w:rsidR="007D3E79" w:rsidRDefault="007D3E79" w:rsidP="004E0BEB">
      <w:pPr>
        <w:autoSpaceDE w:val="0"/>
        <w:autoSpaceDN w:val="0"/>
        <w:adjustRightInd w:val="0"/>
        <w:ind w:firstLine="567"/>
        <w:jc w:val="both"/>
      </w:pPr>
    </w:p>
    <w:p w14:paraId="4C26206D" w14:textId="040E59F2" w:rsidR="007D3E79" w:rsidRDefault="007D3E79" w:rsidP="004E0BEB">
      <w:pPr>
        <w:autoSpaceDE w:val="0"/>
        <w:autoSpaceDN w:val="0"/>
        <w:adjustRightInd w:val="0"/>
        <w:ind w:firstLine="567"/>
        <w:jc w:val="both"/>
        <w:rPr>
          <w:iCs/>
          <w:sz w:val="28"/>
          <w:szCs w:val="28"/>
        </w:rPr>
      </w:pPr>
      <w:r>
        <w:rPr>
          <w:iCs/>
          <w:sz w:val="28"/>
          <w:szCs w:val="28"/>
        </w:rPr>
        <w:t xml:space="preserve">As </w:t>
      </w:r>
      <w:r w:rsidRPr="007D3E79">
        <w:rPr>
          <w:iCs/>
          <w:sz w:val="28"/>
          <w:szCs w:val="28"/>
        </w:rPr>
        <w:t xml:space="preserve">explained by UNOG, </w:t>
      </w:r>
      <w:r w:rsidRPr="00205F53">
        <w:rPr>
          <w:sz w:val="28"/>
          <w:szCs w:val="28"/>
          <w:lang w:val="en-US"/>
        </w:rPr>
        <w:t>UN conference services, mandates and rules of procedure are built on the premise of in-person attendance. Hybrid and virtual services</w:t>
      </w:r>
      <w:r w:rsidR="00E82789">
        <w:rPr>
          <w:sz w:val="28"/>
          <w:szCs w:val="28"/>
          <w:lang w:val="en-US"/>
        </w:rPr>
        <w:t xml:space="preserve"> were</w:t>
      </w:r>
      <w:r w:rsidRPr="00205F53">
        <w:rPr>
          <w:sz w:val="28"/>
          <w:szCs w:val="28"/>
          <w:lang w:val="en-US"/>
        </w:rPr>
        <w:t xml:space="preserve"> exceptionally resorted to as a temporary business continuity measure in response to the COVID-19 environment</w:t>
      </w:r>
      <w:r w:rsidR="00E82789">
        <w:rPr>
          <w:sz w:val="28"/>
          <w:szCs w:val="28"/>
          <w:lang w:val="en-US"/>
        </w:rPr>
        <w:t xml:space="preserve">. </w:t>
      </w:r>
      <w:r w:rsidR="001B7E92">
        <w:rPr>
          <w:sz w:val="28"/>
          <w:szCs w:val="28"/>
          <w:lang w:val="en-US"/>
        </w:rPr>
        <w:t>With</w:t>
      </w:r>
      <w:r w:rsidR="00E82789">
        <w:rPr>
          <w:sz w:val="28"/>
          <w:szCs w:val="28"/>
          <w:lang w:val="en-US"/>
        </w:rPr>
        <w:t xml:space="preserve"> the </w:t>
      </w:r>
      <w:r w:rsidR="00E82789" w:rsidRPr="00205F53">
        <w:rPr>
          <w:b/>
          <w:bCs/>
          <w:sz w:val="28"/>
          <w:szCs w:val="28"/>
          <w:lang w:val="en-US"/>
        </w:rPr>
        <w:t>business continuity plan no longer in effect</w:t>
      </w:r>
      <w:r w:rsidR="001F68CB">
        <w:rPr>
          <w:sz w:val="28"/>
          <w:szCs w:val="28"/>
          <w:lang w:val="en-US"/>
        </w:rPr>
        <w:t>,</w:t>
      </w:r>
      <w:r w:rsidR="00E82789">
        <w:rPr>
          <w:sz w:val="28"/>
          <w:szCs w:val="28"/>
          <w:lang w:val="en-US"/>
        </w:rPr>
        <w:t xml:space="preserve"> hybrid meetings</w:t>
      </w:r>
      <w:r>
        <w:rPr>
          <w:sz w:val="28"/>
          <w:szCs w:val="28"/>
          <w:lang w:val="en-US"/>
        </w:rPr>
        <w:t xml:space="preserve"> have now been discontinued.</w:t>
      </w:r>
      <w:r w:rsidR="00E82789">
        <w:rPr>
          <w:sz w:val="28"/>
          <w:szCs w:val="28"/>
          <w:lang w:val="en-US"/>
        </w:rPr>
        <w:t xml:space="preserve"> We realize how disruptive the sudden announcement has been for your work, which we deeply regret, and would like to thank you for your understanding.</w:t>
      </w:r>
    </w:p>
    <w:p w14:paraId="30BE94D7" w14:textId="77777777" w:rsidR="007D3E79" w:rsidRDefault="007D3E79" w:rsidP="004E0BEB">
      <w:pPr>
        <w:autoSpaceDE w:val="0"/>
        <w:autoSpaceDN w:val="0"/>
        <w:adjustRightInd w:val="0"/>
        <w:ind w:firstLine="567"/>
        <w:jc w:val="both"/>
        <w:rPr>
          <w:iCs/>
          <w:sz w:val="28"/>
          <w:szCs w:val="28"/>
        </w:rPr>
      </w:pPr>
    </w:p>
    <w:p w14:paraId="3DFB633B" w14:textId="278EEA48" w:rsidR="00F63989" w:rsidRPr="00994430" w:rsidRDefault="004030A1" w:rsidP="004E0BEB">
      <w:pPr>
        <w:autoSpaceDE w:val="0"/>
        <w:autoSpaceDN w:val="0"/>
        <w:adjustRightInd w:val="0"/>
        <w:ind w:firstLine="567"/>
        <w:jc w:val="both"/>
        <w:rPr>
          <w:iCs/>
          <w:sz w:val="28"/>
          <w:szCs w:val="28"/>
        </w:rPr>
      </w:pPr>
      <w:r>
        <w:rPr>
          <w:iCs/>
          <w:sz w:val="28"/>
          <w:szCs w:val="28"/>
        </w:rPr>
        <w:lastRenderedPageBreak/>
        <w:t xml:space="preserve">I am aware that you have a heavy programme ahead of you for the next three weeks, including notably constructive dialogues with </w:t>
      </w:r>
      <w:r w:rsidR="00237100">
        <w:rPr>
          <w:iCs/>
          <w:sz w:val="28"/>
          <w:szCs w:val="28"/>
        </w:rPr>
        <w:t xml:space="preserve">eight </w:t>
      </w:r>
      <w:r>
        <w:rPr>
          <w:iCs/>
          <w:sz w:val="28"/>
          <w:szCs w:val="28"/>
        </w:rPr>
        <w:t>States parties</w:t>
      </w:r>
      <w:r w:rsidR="00237100">
        <w:rPr>
          <w:iCs/>
          <w:sz w:val="28"/>
          <w:szCs w:val="28"/>
        </w:rPr>
        <w:t xml:space="preserve"> and the adoption of an inquiry report</w:t>
      </w:r>
      <w:r>
        <w:rPr>
          <w:iCs/>
          <w:sz w:val="28"/>
          <w:szCs w:val="28"/>
        </w:rPr>
        <w:t>. I</w:t>
      </w:r>
      <w:r w:rsidR="00B54D50">
        <w:rPr>
          <w:iCs/>
          <w:sz w:val="28"/>
          <w:szCs w:val="28"/>
        </w:rPr>
        <w:t xml:space="preserve"> therefore</w:t>
      </w:r>
      <w:r w:rsidR="003D42FE">
        <w:rPr>
          <w:iCs/>
          <w:sz w:val="28"/>
          <w:szCs w:val="28"/>
        </w:rPr>
        <w:t xml:space="preserve"> conclude by wishing </w:t>
      </w:r>
      <w:r>
        <w:rPr>
          <w:iCs/>
          <w:sz w:val="28"/>
          <w:szCs w:val="28"/>
        </w:rPr>
        <w:t>you a successful and productive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444052A8" w:rsidR="00510E15" w:rsidRPr="00994430" w:rsidRDefault="005C6ECF" w:rsidP="006643A8">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205F53"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228826"/>
      <w:docPartObj>
        <w:docPartGallery w:val="Page Numbers (Bottom of Page)"/>
        <w:docPartUnique/>
      </w:docPartObj>
    </w:sdtPr>
    <w:sdtEndPr>
      <w:rPr>
        <w:noProof/>
      </w:rPr>
    </w:sdtEndPr>
    <w:sdtContent>
      <w:p w14:paraId="272EF6E0" w14:textId="3F6BDEA5" w:rsidR="003D3E0C"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205F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C207" w14:textId="77777777" w:rsidR="003D3E0C" w:rsidRDefault="00205F53"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7885"/>
    <w:multiLevelType w:val="hybridMultilevel"/>
    <w:tmpl w:val="24A66FF4"/>
    <w:lvl w:ilvl="0" w:tplc="60C4C72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6A353B"/>
    <w:multiLevelType w:val="hybridMultilevel"/>
    <w:tmpl w:val="EC704A2C"/>
    <w:lvl w:ilvl="0" w:tplc="6F96547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224994">
    <w:abstractNumId w:val="2"/>
  </w:num>
  <w:num w:numId="2" w16cid:durableId="1977908586">
    <w:abstractNumId w:val="1"/>
  </w:num>
  <w:num w:numId="3" w16cid:durableId="1200782317">
    <w:abstractNumId w:val="0"/>
  </w:num>
  <w:num w:numId="4" w16cid:durableId="1567838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206FA"/>
    <w:rsid w:val="0002277B"/>
    <w:rsid w:val="00030193"/>
    <w:rsid w:val="00047857"/>
    <w:rsid w:val="000671A0"/>
    <w:rsid w:val="0007097C"/>
    <w:rsid w:val="000811F9"/>
    <w:rsid w:val="0008377E"/>
    <w:rsid w:val="0008472B"/>
    <w:rsid w:val="000A3453"/>
    <w:rsid w:val="000A6589"/>
    <w:rsid w:val="000A6C84"/>
    <w:rsid w:val="000B6CD0"/>
    <w:rsid w:val="000B6E3D"/>
    <w:rsid w:val="000D6733"/>
    <w:rsid w:val="000D74B5"/>
    <w:rsid w:val="000E6355"/>
    <w:rsid w:val="000F2452"/>
    <w:rsid w:val="000F539E"/>
    <w:rsid w:val="000F73E5"/>
    <w:rsid w:val="000F7B89"/>
    <w:rsid w:val="001035F3"/>
    <w:rsid w:val="00104143"/>
    <w:rsid w:val="001075BF"/>
    <w:rsid w:val="00120EB7"/>
    <w:rsid w:val="0013648A"/>
    <w:rsid w:val="00141154"/>
    <w:rsid w:val="00165D1A"/>
    <w:rsid w:val="0017206C"/>
    <w:rsid w:val="00187DB3"/>
    <w:rsid w:val="001A60C2"/>
    <w:rsid w:val="001B0C7C"/>
    <w:rsid w:val="001B3B54"/>
    <w:rsid w:val="001B6288"/>
    <w:rsid w:val="001B6608"/>
    <w:rsid w:val="001B7E92"/>
    <w:rsid w:val="001C490B"/>
    <w:rsid w:val="001C5A03"/>
    <w:rsid w:val="001E7FF4"/>
    <w:rsid w:val="001F68CB"/>
    <w:rsid w:val="00205F53"/>
    <w:rsid w:val="00231E83"/>
    <w:rsid w:val="00237100"/>
    <w:rsid w:val="00242454"/>
    <w:rsid w:val="00252500"/>
    <w:rsid w:val="00263A8B"/>
    <w:rsid w:val="00276D9C"/>
    <w:rsid w:val="00282141"/>
    <w:rsid w:val="00286392"/>
    <w:rsid w:val="00286592"/>
    <w:rsid w:val="00297C12"/>
    <w:rsid w:val="002B3B22"/>
    <w:rsid w:val="002B5221"/>
    <w:rsid w:val="002B779E"/>
    <w:rsid w:val="002C7E77"/>
    <w:rsid w:val="002E4197"/>
    <w:rsid w:val="002E4769"/>
    <w:rsid w:val="0030385E"/>
    <w:rsid w:val="0031692B"/>
    <w:rsid w:val="00324877"/>
    <w:rsid w:val="00340467"/>
    <w:rsid w:val="00340AAE"/>
    <w:rsid w:val="00354540"/>
    <w:rsid w:val="003570B1"/>
    <w:rsid w:val="003957D8"/>
    <w:rsid w:val="003A61F2"/>
    <w:rsid w:val="003B1D39"/>
    <w:rsid w:val="003B644B"/>
    <w:rsid w:val="003C52FF"/>
    <w:rsid w:val="003D1D88"/>
    <w:rsid w:val="003D42FE"/>
    <w:rsid w:val="003E6850"/>
    <w:rsid w:val="003E77A1"/>
    <w:rsid w:val="003F3EA4"/>
    <w:rsid w:val="003F43B3"/>
    <w:rsid w:val="004030A1"/>
    <w:rsid w:val="004215A1"/>
    <w:rsid w:val="00435CD8"/>
    <w:rsid w:val="00464502"/>
    <w:rsid w:val="0046489A"/>
    <w:rsid w:val="00470B69"/>
    <w:rsid w:val="00472FDB"/>
    <w:rsid w:val="00495C75"/>
    <w:rsid w:val="004B5DE2"/>
    <w:rsid w:val="004B6F1F"/>
    <w:rsid w:val="004D5B47"/>
    <w:rsid w:val="004E0BEB"/>
    <w:rsid w:val="004E1E68"/>
    <w:rsid w:val="00507049"/>
    <w:rsid w:val="00510E15"/>
    <w:rsid w:val="00520419"/>
    <w:rsid w:val="0052373E"/>
    <w:rsid w:val="00525B41"/>
    <w:rsid w:val="005409AD"/>
    <w:rsid w:val="00541580"/>
    <w:rsid w:val="00560EE9"/>
    <w:rsid w:val="005621DA"/>
    <w:rsid w:val="00566CFD"/>
    <w:rsid w:val="00583D4B"/>
    <w:rsid w:val="00593509"/>
    <w:rsid w:val="005B47AB"/>
    <w:rsid w:val="005C6ECF"/>
    <w:rsid w:val="005D15EF"/>
    <w:rsid w:val="005D338F"/>
    <w:rsid w:val="005E207E"/>
    <w:rsid w:val="005E4ECD"/>
    <w:rsid w:val="006067F4"/>
    <w:rsid w:val="00606D45"/>
    <w:rsid w:val="00614681"/>
    <w:rsid w:val="00634B01"/>
    <w:rsid w:val="00637F11"/>
    <w:rsid w:val="00640B4F"/>
    <w:rsid w:val="00640BE1"/>
    <w:rsid w:val="006516B2"/>
    <w:rsid w:val="00654D8B"/>
    <w:rsid w:val="006643A8"/>
    <w:rsid w:val="00671AB6"/>
    <w:rsid w:val="00683FFD"/>
    <w:rsid w:val="006846BA"/>
    <w:rsid w:val="006871CE"/>
    <w:rsid w:val="0069195E"/>
    <w:rsid w:val="006922F4"/>
    <w:rsid w:val="00695108"/>
    <w:rsid w:val="006956D1"/>
    <w:rsid w:val="00696CDE"/>
    <w:rsid w:val="006A729C"/>
    <w:rsid w:val="006C32DE"/>
    <w:rsid w:val="00703BBD"/>
    <w:rsid w:val="007054FF"/>
    <w:rsid w:val="00711B70"/>
    <w:rsid w:val="00712CC8"/>
    <w:rsid w:val="00736475"/>
    <w:rsid w:val="00740E7B"/>
    <w:rsid w:val="00746CD6"/>
    <w:rsid w:val="00756D23"/>
    <w:rsid w:val="00760D1B"/>
    <w:rsid w:val="00762A56"/>
    <w:rsid w:val="00780DE9"/>
    <w:rsid w:val="0078223D"/>
    <w:rsid w:val="00790C7F"/>
    <w:rsid w:val="007A1CBF"/>
    <w:rsid w:val="007B311B"/>
    <w:rsid w:val="007C0566"/>
    <w:rsid w:val="007D0D89"/>
    <w:rsid w:val="007D30E3"/>
    <w:rsid w:val="007D3E79"/>
    <w:rsid w:val="007D4477"/>
    <w:rsid w:val="007D5249"/>
    <w:rsid w:val="007E1147"/>
    <w:rsid w:val="007F5F53"/>
    <w:rsid w:val="007F68A1"/>
    <w:rsid w:val="00812D5E"/>
    <w:rsid w:val="0083160B"/>
    <w:rsid w:val="00834040"/>
    <w:rsid w:val="00842430"/>
    <w:rsid w:val="008517C9"/>
    <w:rsid w:val="008540E8"/>
    <w:rsid w:val="00855CBE"/>
    <w:rsid w:val="00872A58"/>
    <w:rsid w:val="00873D4E"/>
    <w:rsid w:val="00874954"/>
    <w:rsid w:val="00885129"/>
    <w:rsid w:val="00886370"/>
    <w:rsid w:val="00896C02"/>
    <w:rsid w:val="008D3274"/>
    <w:rsid w:val="008D493F"/>
    <w:rsid w:val="009119B1"/>
    <w:rsid w:val="00914C14"/>
    <w:rsid w:val="009271BE"/>
    <w:rsid w:val="0094265E"/>
    <w:rsid w:val="00950FCE"/>
    <w:rsid w:val="00960EB2"/>
    <w:rsid w:val="00972230"/>
    <w:rsid w:val="00982936"/>
    <w:rsid w:val="00982D48"/>
    <w:rsid w:val="00992B88"/>
    <w:rsid w:val="00994430"/>
    <w:rsid w:val="009A65D7"/>
    <w:rsid w:val="009B546D"/>
    <w:rsid w:val="009C22E9"/>
    <w:rsid w:val="009E4CA1"/>
    <w:rsid w:val="00A07408"/>
    <w:rsid w:val="00A167E1"/>
    <w:rsid w:val="00A35DC1"/>
    <w:rsid w:val="00A412FC"/>
    <w:rsid w:val="00A447B3"/>
    <w:rsid w:val="00A90C53"/>
    <w:rsid w:val="00A911F9"/>
    <w:rsid w:val="00A9443B"/>
    <w:rsid w:val="00AA0D85"/>
    <w:rsid w:val="00AA6E5A"/>
    <w:rsid w:val="00AC1053"/>
    <w:rsid w:val="00AD18BE"/>
    <w:rsid w:val="00AD47F0"/>
    <w:rsid w:val="00AE5866"/>
    <w:rsid w:val="00AE5BC4"/>
    <w:rsid w:val="00AF0BF0"/>
    <w:rsid w:val="00AF0D95"/>
    <w:rsid w:val="00AF2E13"/>
    <w:rsid w:val="00B05E5D"/>
    <w:rsid w:val="00B10A22"/>
    <w:rsid w:val="00B141D5"/>
    <w:rsid w:val="00B16308"/>
    <w:rsid w:val="00B17C1F"/>
    <w:rsid w:val="00B269AF"/>
    <w:rsid w:val="00B332B8"/>
    <w:rsid w:val="00B3389B"/>
    <w:rsid w:val="00B40628"/>
    <w:rsid w:val="00B45EE3"/>
    <w:rsid w:val="00B54D50"/>
    <w:rsid w:val="00B57E8D"/>
    <w:rsid w:val="00B665BE"/>
    <w:rsid w:val="00B670EA"/>
    <w:rsid w:val="00B92A7E"/>
    <w:rsid w:val="00B96177"/>
    <w:rsid w:val="00BA0EE4"/>
    <w:rsid w:val="00BB21F4"/>
    <w:rsid w:val="00BB3B64"/>
    <w:rsid w:val="00BC0462"/>
    <w:rsid w:val="00BC1C1D"/>
    <w:rsid w:val="00BC2F0B"/>
    <w:rsid w:val="00BD3DEE"/>
    <w:rsid w:val="00BE6218"/>
    <w:rsid w:val="00BF0C3E"/>
    <w:rsid w:val="00BF18CA"/>
    <w:rsid w:val="00BF4236"/>
    <w:rsid w:val="00C00D1E"/>
    <w:rsid w:val="00C11B4A"/>
    <w:rsid w:val="00C128FF"/>
    <w:rsid w:val="00C15C70"/>
    <w:rsid w:val="00C208B0"/>
    <w:rsid w:val="00C37F86"/>
    <w:rsid w:val="00C507AF"/>
    <w:rsid w:val="00C56E18"/>
    <w:rsid w:val="00C6616C"/>
    <w:rsid w:val="00C87D8C"/>
    <w:rsid w:val="00C90458"/>
    <w:rsid w:val="00CA3876"/>
    <w:rsid w:val="00CB5262"/>
    <w:rsid w:val="00CE0E28"/>
    <w:rsid w:val="00CE514B"/>
    <w:rsid w:val="00CF2D1D"/>
    <w:rsid w:val="00CF35CA"/>
    <w:rsid w:val="00D04139"/>
    <w:rsid w:val="00D05924"/>
    <w:rsid w:val="00D078C3"/>
    <w:rsid w:val="00D1045C"/>
    <w:rsid w:val="00D10B5E"/>
    <w:rsid w:val="00D26297"/>
    <w:rsid w:val="00D35508"/>
    <w:rsid w:val="00D36F0A"/>
    <w:rsid w:val="00D44A5D"/>
    <w:rsid w:val="00D46788"/>
    <w:rsid w:val="00D52EA2"/>
    <w:rsid w:val="00D71FC5"/>
    <w:rsid w:val="00D95F3F"/>
    <w:rsid w:val="00D97C87"/>
    <w:rsid w:val="00DA0241"/>
    <w:rsid w:val="00DD3597"/>
    <w:rsid w:val="00DF1E62"/>
    <w:rsid w:val="00E125F4"/>
    <w:rsid w:val="00E21C79"/>
    <w:rsid w:val="00E339BE"/>
    <w:rsid w:val="00E366F0"/>
    <w:rsid w:val="00E36F45"/>
    <w:rsid w:val="00E40007"/>
    <w:rsid w:val="00E5233E"/>
    <w:rsid w:val="00E5329B"/>
    <w:rsid w:val="00E55D07"/>
    <w:rsid w:val="00E7746F"/>
    <w:rsid w:val="00E82789"/>
    <w:rsid w:val="00EB7155"/>
    <w:rsid w:val="00ED08CC"/>
    <w:rsid w:val="00ED6E23"/>
    <w:rsid w:val="00ED6F32"/>
    <w:rsid w:val="00EE23CF"/>
    <w:rsid w:val="00EF2EF0"/>
    <w:rsid w:val="00F0339E"/>
    <w:rsid w:val="00F11811"/>
    <w:rsid w:val="00F17BF3"/>
    <w:rsid w:val="00F223F7"/>
    <w:rsid w:val="00F2713B"/>
    <w:rsid w:val="00F31048"/>
    <w:rsid w:val="00F3525C"/>
    <w:rsid w:val="00F453E9"/>
    <w:rsid w:val="00F63989"/>
    <w:rsid w:val="00F64AAB"/>
    <w:rsid w:val="00F70235"/>
    <w:rsid w:val="00F77FAD"/>
    <w:rsid w:val="00F90B4A"/>
    <w:rsid w:val="00F9466A"/>
    <w:rsid w:val="00FA360E"/>
    <w:rsid w:val="00FA448A"/>
    <w:rsid w:val="00FA7865"/>
    <w:rsid w:val="00FB482F"/>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 w:type="paragraph" w:styleId="Revision">
    <w:name w:val="Revision"/>
    <w:hidden/>
    <w:uiPriority w:val="99"/>
    <w:semiHidden/>
    <w:rsid w:val="000F539E"/>
    <w:pPr>
      <w:spacing w:after="0" w:line="240" w:lineRule="auto"/>
    </w:pPr>
    <w:rPr>
      <w:rFonts w:ascii="Times New Roman" w:eastAsia="SimSun" w:hAnsi="Times New Roman" w:cs="Times New Roman"/>
      <w:sz w:val="20"/>
      <w:szCs w:val="20"/>
      <w:lang w:eastAsia="fr-CH"/>
    </w:rPr>
  </w:style>
  <w:style w:type="character" w:styleId="Hyperlink">
    <w:name w:val="Hyperlink"/>
    <w:rsid w:val="00790C7F"/>
    <w:rPr>
      <w:u w:val="single"/>
    </w:rPr>
  </w:style>
  <w:style w:type="character" w:customStyle="1" w:styleId="cf01">
    <w:name w:val="cf01"/>
    <w:basedOn w:val="DefaultParagraphFont"/>
    <w:rsid w:val="00F3525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215">
      <w:bodyDiv w:val="1"/>
      <w:marLeft w:val="0"/>
      <w:marRight w:val="0"/>
      <w:marTop w:val="0"/>
      <w:marBottom w:val="0"/>
      <w:divBdr>
        <w:top w:val="none" w:sz="0" w:space="0" w:color="auto"/>
        <w:left w:val="none" w:sz="0" w:space="0" w:color="auto"/>
        <w:bottom w:val="none" w:sz="0" w:space="0" w:color="auto"/>
        <w:right w:val="none" w:sz="0" w:space="0" w:color="auto"/>
      </w:divBdr>
    </w:div>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156308194">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088845493">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2804236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42361595">
      <w:bodyDiv w:val="1"/>
      <w:marLeft w:val="0"/>
      <w:marRight w:val="0"/>
      <w:marTop w:val="0"/>
      <w:marBottom w:val="0"/>
      <w:divBdr>
        <w:top w:val="none" w:sz="0" w:space="0" w:color="auto"/>
        <w:left w:val="none" w:sz="0" w:space="0" w:color="auto"/>
        <w:bottom w:val="none" w:sz="0" w:space="0" w:color="auto"/>
        <w:right w:val="none" w:sz="0" w:space="0" w:color="auto"/>
      </w:divBdr>
    </w:div>
    <w:div w:id="1818298825">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1972242682">
      <w:bodyDiv w:val="1"/>
      <w:marLeft w:val="0"/>
      <w:marRight w:val="0"/>
      <w:marTop w:val="0"/>
      <w:marBottom w:val="0"/>
      <w:divBdr>
        <w:top w:val="none" w:sz="0" w:space="0" w:color="auto"/>
        <w:left w:val="none" w:sz="0" w:space="0" w:color="auto"/>
        <w:bottom w:val="none" w:sz="0" w:space="0" w:color="auto"/>
        <w:right w:val="none" w:sz="0" w:space="0" w:color="auto"/>
      </w:divBdr>
    </w:div>
    <w:div w:id="2040929391">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1302</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2024-01-23T14:03:00Z</cp:lastPrinted>
  <dcterms:created xsi:type="dcterms:W3CDTF">2024-01-26T08:00:00Z</dcterms:created>
  <dcterms:modified xsi:type="dcterms:W3CDTF">2024-01-26T08:00:00Z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87a4f59983337f22af4853afc0c54c02ba551acfe53729d8503778a1745cf3dc</vt:lpwstr>
  </property>
</Properties>
</file>