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3376DE" w14:textId="77777777" w:rsidR="00D35E43" w:rsidRDefault="00D35E43">
      <w:pPr>
        <w:pStyle w:val="CuerpoA"/>
        <w:jc w:val="both"/>
        <w:rPr>
          <w:rStyle w:val="Ninguno"/>
          <w:rFonts w:ascii="Arial" w:hAnsi="Arial"/>
          <w:sz w:val="24"/>
          <w:szCs w:val="24"/>
        </w:rPr>
      </w:pPr>
    </w:p>
    <w:p w14:paraId="5664052E" w14:textId="77777777" w:rsidR="00D35E43" w:rsidRPr="00B754D8" w:rsidRDefault="00CD7861">
      <w:pPr>
        <w:pStyle w:val="CuerpoA"/>
        <w:jc w:val="center"/>
        <w:rPr>
          <w:rStyle w:val="Ninguno"/>
          <w:rFonts w:ascii="Arial" w:hAnsi="Arial"/>
          <w:b/>
          <w:bCs/>
          <w:sz w:val="24"/>
          <w:szCs w:val="24"/>
        </w:rPr>
      </w:pPr>
      <w:r w:rsidRPr="00B754D8">
        <w:rPr>
          <w:rStyle w:val="Ninguno"/>
          <w:rFonts w:ascii="Arial" w:hAnsi="Arial"/>
          <w:b/>
          <w:bCs/>
          <w:noProof/>
          <w:sz w:val="24"/>
          <w:szCs w:val="24"/>
          <w:lang w:val="es-MX"/>
        </w:rPr>
        <w:drawing>
          <wp:inline distT="0" distB="0" distL="0" distR="0" wp14:anchorId="4118C0FD" wp14:editId="6DB07B21">
            <wp:extent cx="1475244" cy="1638300"/>
            <wp:effectExtent l="0" t="0" r="0" b="0"/>
            <wp:docPr id="1073741825" name="officeArt object" descr="Picture 2"/>
            <wp:cNvGraphicFramePr/>
            <a:graphic xmlns:a="http://schemas.openxmlformats.org/drawingml/2006/main">
              <a:graphicData uri="http://schemas.openxmlformats.org/drawingml/2006/picture">
                <pic:pic xmlns:pic="http://schemas.openxmlformats.org/drawingml/2006/picture">
                  <pic:nvPicPr>
                    <pic:cNvPr id="1073741825" name="Picture 2" descr="Picture 2"/>
                    <pic:cNvPicPr>
                      <a:picLocks noChangeAspect="1"/>
                    </pic:cNvPicPr>
                  </pic:nvPicPr>
                  <pic:blipFill>
                    <a:blip r:embed="rId8">
                      <a:extLst/>
                    </a:blip>
                    <a:stretch>
                      <a:fillRect/>
                    </a:stretch>
                  </pic:blipFill>
                  <pic:spPr>
                    <a:xfrm>
                      <a:off x="0" y="0"/>
                      <a:ext cx="1475244" cy="1638300"/>
                    </a:xfrm>
                    <a:prstGeom prst="rect">
                      <a:avLst/>
                    </a:prstGeom>
                    <a:ln w="12700" cap="flat">
                      <a:noFill/>
                      <a:miter lim="400000"/>
                    </a:ln>
                    <a:effectLst/>
                  </pic:spPr>
                </pic:pic>
              </a:graphicData>
            </a:graphic>
          </wp:inline>
        </w:drawing>
      </w:r>
    </w:p>
    <w:p w14:paraId="56278A14" w14:textId="77777777" w:rsidR="00D35E43" w:rsidRPr="00B754D8" w:rsidRDefault="00D35E43">
      <w:pPr>
        <w:pStyle w:val="CuerpoA"/>
        <w:jc w:val="center"/>
        <w:rPr>
          <w:rStyle w:val="Ninguno"/>
          <w:rFonts w:ascii="Arial" w:hAnsi="Arial"/>
          <w:b/>
          <w:bCs/>
          <w:sz w:val="24"/>
          <w:szCs w:val="24"/>
        </w:rPr>
      </w:pPr>
    </w:p>
    <w:p w14:paraId="45E90F56" w14:textId="77777777" w:rsidR="00D35E43" w:rsidRPr="00B754D8" w:rsidRDefault="00D35E43">
      <w:pPr>
        <w:pStyle w:val="CuerpoA"/>
        <w:jc w:val="center"/>
        <w:rPr>
          <w:rStyle w:val="Ninguno"/>
          <w:rFonts w:ascii="Arial" w:hAnsi="Arial"/>
          <w:b/>
          <w:bCs/>
          <w:sz w:val="24"/>
          <w:szCs w:val="24"/>
        </w:rPr>
      </w:pPr>
    </w:p>
    <w:p w14:paraId="18FE2991" w14:textId="77777777" w:rsidR="00D35E43" w:rsidRPr="00B754D8" w:rsidRDefault="00D35E43">
      <w:pPr>
        <w:pStyle w:val="CuerpoA"/>
        <w:jc w:val="center"/>
        <w:rPr>
          <w:rStyle w:val="Ninguno"/>
          <w:rFonts w:ascii="Arial" w:hAnsi="Arial"/>
          <w:b/>
          <w:bCs/>
          <w:sz w:val="24"/>
          <w:szCs w:val="24"/>
        </w:rPr>
      </w:pPr>
    </w:p>
    <w:p w14:paraId="698D528D" w14:textId="77777777" w:rsidR="00D35E43" w:rsidRPr="00B754D8" w:rsidRDefault="00D35E43">
      <w:pPr>
        <w:pStyle w:val="CuerpoA"/>
        <w:jc w:val="center"/>
        <w:rPr>
          <w:rStyle w:val="Ninguno"/>
          <w:rFonts w:ascii="Arial" w:hAnsi="Arial"/>
          <w:b/>
          <w:bCs/>
          <w:sz w:val="24"/>
          <w:szCs w:val="24"/>
        </w:rPr>
      </w:pPr>
    </w:p>
    <w:p w14:paraId="6DA4D1DF" w14:textId="77777777" w:rsidR="00D35E43" w:rsidRPr="00B754D8" w:rsidRDefault="00CD7861">
      <w:pPr>
        <w:pStyle w:val="CuerpoA"/>
        <w:jc w:val="center"/>
        <w:rPr>
          <w:rStyle w:val="Ninguno"/>
          <w:rFonts w:ascii="Arial" w:eastAsia="Arial" w:hAnsi="Arial" w:cs="Arial"/>
          <w:b/>
          <w:bCs/>
          <w:sz w:val="32"/>
          <w:szCs w:val="32"/>
        </w:rPr>
      </w:pPr>
      <w:r w:rsidRPr="00B754D8">
        <w:rPr>
          <w:rStyle w:val="Ninguno"/>
          <w:rFonts w:ascii="Arial" w:hAnsi="Arial"/>
          <w:b/>
          <w:bCs/>
          <w:sz w:val="32"/>
          <w:szCs w:val="32"/>
        </w:rPr>
        <w:t>INFORME DE LA COMISIÓ</w:t>
      </w:r>
      <w:r w:rsidRPr="00B754D8">
        <w:rPr>
          <w:rStyle w:val="Ninguno"/>
          <w:rFonts w:ascii="Arial" w:hAnsi="Arial"/>
          <w:b/>
          <w:bCs/>
          <w:sz w:val="32"/>
          <w:szCs w:val="32"/>
          <w:lang w:val="de-DE"/>
        </w:rPr>
        <w:t>N NACIONAL DE LOS DERECHOS HUMANOS DE M</w:t>
      </w:r>
      <w:r w:rsidRPr="00B754D8">
        <w:rPr>
          <w:rStyle w:val="Ninguno"/>
          <w:rFonts w:ascii="Arial" w:hAnsi="Arial"/>
          <w:b/>
          <w:bCs/>
          <w:sz w:val="32"/>
          <w:szCs w:val="32"/>
        </w:rPr>
        <w:t>É</w:t>
      </w:r>
      <w:r w:rsidRPr="00B754D8">
        <w:rPr>
          <w:rStyle w:val="Ninguno"/>
          <w:rFonts w:ascii="Arial" w:hAnsi="Arial"/>
          <w:b/>
          <w:bCs/>
          <w:sz w:val="32"/>
          <w:szCs w:val="32"/>
          <w:lang w:val="de-DE"/>
        </w:rPr>
        <w:t>XICO (CNDH) CON MOTIVO DE LA REVISI</w:t>
      </w:r>
      <w:r w:rsidRPr="00B754D8">
        <w:rPr>
          <w:rStyle w:val="Ninguno"/>
          <w:rFonts w:ascii="Arial" w:hAnsi="Arial"/>
          <w:b/>
          <w:bCs/>
          <w:sz w:val="32"/>
          <w:szCs w:val="32"/>
        </w:rPr>
        <w:t>ÓN DEL SEXTO INFORME PERIÓDICO DE MÉ</w:t>
      </w:r>
      <w:r w:rsidRPr="00B754D8">
        <w:rPr>
          <w:rStyle w:val="Ninguno"/>
          <w:rFonts w:ascii="Arial" w:hAnsi="Arial"/>
          <w:b/>
          <w:bCs/>
          <w:sz w:val="32"/>
          <w:szCs w:val="32"/>
          <w:lang w:val="de-DE"/>
        </w:rPr>
        <w:t>XICO ANTE EL COMIT</w:t>
      </w:r>
      <w:r w:rsidRPr="00B754D8">
        <w:rPr>
          <w:rStyle w:val="Ninguno"/>
          <w:rFonts w:ascii="Arial" w:hAnsi="Arial"/>
          <w:b/>
          <w:bCs/>
          <w:sz w:val="32"/>
          <w:szCs w:val="32"/>
        </w:rPr>
        <w:t xml:space="preserve">É </w:t>
      </w:r>
      <w:r w:rsidRPr="00B754D8">
        <w:rPr>
          <w:rStyle w:val="Ninguno"/>
          <w:rFonts w:ascii="Arial" w:hAnsi="Arial"/>
          <w:b/>
          <w:bCs/>
          <w:sz w:val="32"/>
          <w:szCs w:val="32"/>
          <w:lang w:val="de-DE"/>
        </w:rPr>
        <w:t>DE DERECHOS HUMANOS DE LA ORGANIZACI</w:t>
      </w:r>
      <w:r w:rsidRPr="00B754D8">
        <w:rPr>
          <w:rStyle w:val="Ninguno"/>
          <w:rFonts w:ascii="Arial" w:hAnsi="Arial"/>
          <w:b/>
          <w:bCs/>
          <w:sz w:val="32"/>
          <w:szCs w:val="32"/>
        </w:rPr>
        <w:t>Ó</w:t>
      </w:r>
      <w:r w:rsidRPr="00B754D8">
        <w:rPr>
          <w:rStyle w:val="Ninguno"/>
          <w:rFonts w:ascii="Arial" w:hAnsi="Arial"/>
          <w:b/>
          <w:bCs/>
          <w:sz w:val="32"/>
          <w:szCs w:val="32"/>
          <w:lang w:val="de-DE"/>
        </w:rPr>
        <w:t>N DE LAS NACIONES UNIDAS.</w:t>
      </w:r>
    </w:p>
    <w:p w14:paraId="6714525E" w14:textId="77777777" w:rsidR="00D35E43" w:rsidRPr="00B754D8" w:rsidRDefault="00D35E43">
      <w:pPr>
        <w:pStyle w:val="CuerpoA"/>
        <w:jc w:val="right"/>
        <w:rPr>
          <w:rStyle w:val="Ninguno"/>
          <w:rFonts w:ascii="Arial" w:eastAsia="Arial" w:hAnsi="Arial" w:cs="Arial"/>
          <w:b/>
          <w:bCs/>
          <w:sz w:val="24"/>
          <w:szCs w:val="24"/>
        </w:rPr>
      </w:pPr>
    </w:p>
    <w:p w14:paraId="11A8D1D1" w14:textId="77777777" w:rsidR="00D35E43" w:rsidRPr="00B754D8" w:rsidRDefault="00D35E43">
      <w:pPr>
        <w:pStyle w:val="CuerpoA"/>
        <w:jc w:val="right"/>
        <w:rPr>
          <w:rStyle w:val="Ninguno"/>
          <w:rFonts w:ascii="Arial" w:eastAsia="Arial" w:hAnsi="Arial" w:cs="Arial"/>
          <w:b/>
          <w:bCs/>
          <w:sz w:val="24"/>
          <w:szCs w:val="24"/>
        </w:rPr>
      </w:pPr>
    </w:p>
    <w:p w14:paraId="14860776" w14:textId="77777777" w:rsidR="00D35E43" w:rsidRPr="00B754D8" w:rsidRDefault="00D35E43">
      <w:pPr>
        <w:pStyle w:val="CuerpoA"/>
        <w:jc w:val="right"/>
        <w:rPr>
          <w:rStyle w:val="Ninguno"/>
          <w:rFonts w:ascii="Arial" w:eastAsia="Arial" w:hAnsi="Arial" w:cs="Arial"/>
          <w:b/>
          <w:bCs/>
          <w:sz w:val="24"/>
          <w:szCs w:val="24"/>
        </w:rPr>
      </w:pPr>
    </w:p>
    <w:p w14:paraId="74D8E6BF" w14:textId="77777777" w:rsidR="00D35E43" w:rsidRPr="00B754D8" w:rsidRDefault="00D35E43">
      <w:pPr>
        <w:pStyle w:val="CuerpoA"/>
        <w:jc w:val="right"/>
        <w:rPr>
          <w:rStyle w:val="Ninguno"/>
          <w:rFonts w:ascii="Arial" w:eastAsia="Arial" w:hAnsi="Arial" w:cs="Arial"/>
          <w:b/>
          <w:bCs/>
          <w:sz w:val="24"/>
          <w:szCs w:val="24"/>
        </w:rPr>
      </w:pPr>
    </w:p>
    <w:p w14:paraId="40192606" w14:textId="77777777" w:rsidR="00D35E43" w:rsidRPr="00B754D8" w:rsidRDefault="00D35E43">
      <w:pPr>
        <w:pStyle w:val="CuerpoA"/>
        <w:jc w:val="right"/>
        <w:rPr>
          <w:rStyle w:val="Ninguno"/>
          <w:rFonts w:ascii="Arial" w:eastAsia="Arial" w:hAnsi="Arial" w:cs="Arial"/>
          <w:b/>
          <w:bCs/>
          <w:sz w:val="24"/>
          <w:szCs w:val="24"/>
        </w:rPr>
      </w:pPr>
    </w:p>
    <w:p w14:paraId="1FD478BE" w14:textId="77777777" w:rsidR="00D35E43" w:rsidRPr="00B754D8" w:rsidRDefault="00D35E43">
      <w:pPr>
        <w:pStyle w:val="CuerpoA"/>
        <w:jc w:val="right"/>
        <w:rPr>
          <w:rStyle w:val="Ninguno"/>
          <w:rFonts w:ascii="Arial" w:eastAsia="Arial" w:hAnsi="Arial" w:cs="Arial"/>
          <w:b/>
          <w:bCs/>
          <w:sz w:val="24"/>
          <w:szCs w:val="24"/>
        </w:rPr>
      </w:pPr>
    </w:p>
    <w:p w14:paraId="3528CC38" w14:textId="77777777" w:rsidR="00D35E43" w:rsidRPr="00B754D8" w:rsidRDefault="00D35E43">
      <w:pPr>
        <w:pStyle w:val="CuerpoA"/>
        <w:jc w:val="right"/>
        <w:rPr>
          <w:rStyle w:val="Ninguno"/>
          <w:rFonts w:ascii="Arial" w:eastAsia="Arial" w:hAnsi="Arial" w:cs="Arial"/>
          <w:b/>
          <w:bCs/>
          <w:sz w:val="24"/>
          <w:szCs w:val="24"/>
        </w:rPr>
      </w:pPr>
    </w:p>
    <w:p w14:paraId="792F46D9" w14:textId="77777777" w:rsidR="00D35E43" w:rsidRPr="00B754D8" w:rsidRDefault="00D35E43">
      <w:pPr>
        <w:pStyle w:val="CuerpoA"/>
        <w:jc w:val="right"/>
        <w:rPr>
          <w:rStyle w:val="Ninguno"/>
          <w:rFonts w:ascii="Arial" w:eastAsia="Arial" w:hAnsi="Arial" w:cs="Arial"/>
          <w:b/>
          <w:bCs/>
          <w:sz w:val="24"/>
          <w:szCs w:val="24"/>
        </w:rPr>
      </w:pPr>
    </w:p>
    <w:p w14:paraId="25BDF01D" w14:textId="77777777" w:rsidR="00D35E43" w:rsidRPr="00B754D8" w:rsidRDefault="00D35E43">
      <w:pPr>
        <w:pStyle w:val="CuerpoA"/>
        <w:jc w:val="right"/>
        <w:rPr>
          <w:rStyle w:val="Ninguno"/>
          <w:rFonts w:ascii="Arial" w:eastAsia="Arial" w:hAnsi="Arial" w:cs="Arial"/>
          <w:b/>
          <w:bCs/>
          <w:sz w:val="24"/>
          <w:szCs w:val="24"/>
        </w:rPr>
      </w:pPr>
    </w:p>
    <w:p w14:paraId="02B156FD" w14:textId="77777777" w:rsidR="00D35E43" w:rsidRPr="00B754D8" w:rsidRDefault="00D35E43">
      <w:pPr>
        <w:pStyle w:val="CuerpoA"/>
        <w:jc w:val="right"/>
        <w:rPr>
          <w:rStyle w:val="Ninguno"/>
          <w:rFonts w:ascii="Arial" w:eastAsia="Arial" w:hAnsi="Arial" w:cs="Arial"/>
          <w:b/>
          <w:bCs/>
          <w:sz w:val="24"/>
          <w:szCs w:val="24"/>
        </w:rPr>
      </w:pPr>
    </w:p>
    <w:p w14:paraId="6862E234" w14:textId="77777777" w:rsidR="00D35E43" w:rsidRPr="00B754D8" w:rsidRDefault="00D35E43">
      <w:pPr>
        <w:pStyle w:val="CuerpoA"/>
        <w:jc w:val="right"/>
        <w:rPr>
          <w:rStyle w:val="Ninguno"/>
          <w:rFonts w:ascii="Arial" w:eastAsia="Arial" w:hAnsi="Arial" w:cs="Arial"/>
          <w:b/>
          <w:bCs/>
          <w:sz w:val="24"/>
          <w:szCs w:val="24"/>
        </w:rPr>
      </w:pPr>
    </w:p>
    <w:p w14:paraId="348CCADF" w14:textId="77777777" w:rsidR="00D35E43" w:rsidRPr="00B754D8" w:rsidRDefault="00CD7861">
      <w:pPr>
        <w:pStyle w:val="CuerpoA"/>
        <w:jc w:val="right"/>
        <w:rPr>
          <w:rStyle w:val="Ninguno"/>
          <w:rFonts w:ascii="Arial" w:eastAsia="Arial" w:hAnsi="Arial" w:cs="Arial"/>
          <w:b/>
          <w:bCs/>
          <w:sz w:val="32"/>
          <w:szCs w:val="32"/>
          <w:lang w:val="pt-PT"/>
        </w:rPr>
      </w:pPr>
      <w:r w:rsidRPr="00B754D8">
        <w:rPr>
          <w:rStyle w:val="Ninguno"/>
          <w:rFonts w:ascii="Arial" w:hAnsi="Arial"/>
          <w:b/>
          <w:bCs/>
          <w:sz w:val="32"/>
          <w:szCs w:val="32"/>
          <w:lang w:val="pt-PT"/>
        </w:rPr>
        <w:t>Septiembre de 2019</w:t>
      </w:r>
    </w:p>
    <w:p w14:paraId="184F9FA9" w14:textId="77777777" w:rsidR="00D35E43" w:rsidRPr="00B754D8" w:rsidRDefault="00CD7861">
      <w:pPr>
        <w:pStyle w:val="CuerpoA"/>
        <w:spacing w:line="240" w:lineRule="auto"/>
        <w:jc w:val="center"/>
        <w:rPr>
          <w:rStyle w:val="Ninguno"/>
          <w:rFonts w:ascii="Arial" w:eastAsia="Arial" w:hAnsi="Arial" w:cs="Arial"/>
          <w:b/>
          <w:bCs/>
        </w:rPr>
      </w:pPr>
      <w:r w:rsidRPr="00B754D8">
        <w:rPr>
          <w:rStyle w:val="Ninguno"/>
          <w:rFonts w:ascii="Arial" w:hAnsi="Arial"/>
          <w:b/>
          <w:bCs/>
        </w:rPr>
        <w:lastRenderedPageBreak/>
        <w:t>ÍNDICE</w:t>
      </w:r>
    </w:p>
    <w:p w14:paraId="41ACD748" w14:textId="77777777" w:rsidR="00D35E43" w:rsidRPr="00B754D8" w:rsidRDefault="00CD7861">
      <w:pPr>
        <w:pStyle w:val="CuerpoA"/>
        <w:spacing w:line="240" w:lineRule="auto"/>
        <w:jc w:val="both"/>
        <w:rPr>
          <w:rStyle w:val="Ninguno"/>
          <w:rFonts w:ascii="Arial" w:eastAsia="Arial" w:hAnsi="Arial" w:cs="Arial"/>
        </w:rPr>
      </w:pPr>
      <w:r w:rsidRPr="00B754D8">
        <w:rPr>
          <w:rStyle w:val="Ninguno"/>
          <w:rFonts w:ascii="Arial" w:hAnsi="Arial"/>
          <w:b/>
          <w:bCs/>
        </w:rPr>
        <w:t>Introducción</w:t>
      </w:r>
    </w:p>
    <w:p w14:paraId="1ECBCA89" w14:textId="77777777" w:rsidR="00D35E43" w:rsidRPr="00B754D8" w:rsidRDefault="00CD7861">
      <w:pPr>
        <w:pStyle w:val="CuerpoA"/>
        <w:numPr>
          <w:ilvl w:val="0"/>
          <w:numId w:val="2"/>
        </w:numPr>
        <w:spacing w:line="240" w:lineRule="auto"/>
        <w:jc w:val="both"/>
        <w:rPr>
          <w:rFonts w:ascii="Arial" w:hAnsi="Arial"/>
          <w:b/>
          <w:bCs/>
        </w:rPr>
      </w:pPr>
      <w:r w:rsidRPr="00B754D8">
        <w:rPr>
          <w:rStyle w:val="Ninguno"/>
          <w:rFonts w:ascii="Arial" w:hAnsi="Arial"/>
          <w:b/>
          <w:bCs/>
        </w:rPr>
        <w:t>Marco constitucional y jurídico de aplicación del Pacto Internacional de Derechos Civiles y Políticos</w:t>
      </w:r>
    </w:p>
    <w:p w14:paraId="0B25BA65" w14:textId="77777777" w:rsidR="00D35E43" w:rsidRPr="00B754D8" w:rsidRDefault="00CD7861">
      <w:pPr>
        <w:pStyle w:val="CuerpoA"/>
        <w:numPr>
          <w:ilvl w:val="0"/>
          <w:numId w:val="4"/>
        </w:numPr>
        <w:spacing w:line="240" w:lineRule="auto"/>
        <w:jc w:val="both"/>
        <w:rPr>
          <w:rFonts w:ascii="Arial" w:hAnsi="Arial"/>
        </w:rPr>
      </w:pPr>
      <w:r w:rsidRPr="00B754D8">
        <w:rPr>
          <w:rStyle w:val="Ninguno"/>
          <w:rFonts w:ascii="Arial" w:hAnsi="Arial"/>
        </w:rPr>
        <w:t>Impacto de la Reforma Constitucional de 2011 y efectos de la sentencia de la Suprema Corte de Justicia en la contradicción de tesis 293/2011.</w:t>
      </w:r>
    </w:p>
    <w:p w14:paraId="416C7940" w14:textId="77777777" w:rsidR="00D35E43" w:rsidRPr="00B754D8" w:rsidRDefault="00CD7861">
      <w:pPr>
        <w:pStyle w:val="CuerpoA"/>
        <w:numPr>
          <w:ilvl w:val="0"/>
          <w:numId w:val="6"/>
        </w:numPr>
        <w:spacing w:line="240" w:lineRule="auto"/>
        <w:jc w:val="both"/>
        <w:rPr>
          <w:rFonts w:ascii="Arial" w:hAnsi="Arial"/>
        </w:rPr>
      </w:pPr>
      <w:r w:rsidRPr="00B754D8">
        <w:rPr>
          <w:rStyle w:val="Ninguno"/>
          <w:rFonts w:ascii="Arial" w:hAnsi="Arial"/>
        </w:rPr>
        <w:t xml:space="preserve">Contexto </w:t>
      </w:r>
    </w:p>
    <w:p w14:paraId="79746DCE" w14:textId="77777777" w:rsidR="00D35E43" w:rsidRPr="00B754D8" w:rsidRDefault="00CD7861">
      <w:pPr>
        <w:pStyle w:val="CuerpoA"/>
        <w:numPr>
          <w:ilvl w:val="0"/>
          <w:numId w:val="6"/>
        </w:numPr>
        <w:spacing w:line="240" w:lineRule="auto"/>
        <w:jc w:val="both"/>
        <w:rPr>
          <w:rFonts w:ascii="Arial" w:hAnsi="Arial"/>
        </w:rPr>
      </w:pPr>
      <w:r w:rsidRPr="00B754D8">
        <w:rPr>
          <w:rStyle w:val="Ninguno"/>
          <w:rFonts w:ascii="Arial" w:hAnsi="Arial"/>
        </w:rPr>
        <w:t>Acciones de la CNDH</w:t>
      </w:r>
    </w:p>
    <w:p w14:paraId="02A564B6" w14:textId="77777777" w:rsidR="00D35E43" w:rsidRPr="00B754D8" w:rsidRDefault="00CD7861">
      <w:pPr>
        <w:pStyle w:val="CuerpoA"/>
        <w:numPr>
          <w:ilvl w:val="0"/>
          <w:numId w:val="6"/>
        </w:numPr>
        <w:spacing w:line="240" w:lineRule="auto"/>
        <w:jc w:val="both"/>
        <w:rPr>
          <w:rFonts w:ascii="Arial" w:hAnsi="Arial"/>
        </w:rPr>
      </w:pPr>
      <w:r w:rsidRPr="00B754D8">
        <w:rPr>
          <w:rStyle w:val="Ninguno"/>
          <w:rFonts w:ascii="Arial" w:hAnsi="Arial"/>
        </w:rPr>
        <w:t>Retos para el Estado Mexicano</w:t>
      </w:r>
    </w:p>
    <w:p w14:paraId="1E154AC0" w14:textId="77777777" w:rsidR="00D35E43" w:rsidRPr="00B754D8" w:rsidRDefault="00CD7861">
      <w:pPr>
        <w:pStyle w:val="CuerpoA"/>
        <w:numPr>
          <w:ilvl w:val="0"/>
          <w:numId w:val="7"/>
        </w:numPr>
        <w:spacing w:line="240" w:lineRule="auto"/>
        <w:jc w:val="both"/>
        <w:rPr>
          <w:rFonts w:ascii="Arial" w:hAnsi="Arial"/>
        </w:rPr>
      </w:pPr>
      <w:r w:rsidRPr="00B754D8">
        <w:rPr>
          <w:rStyle w:val="Ninguno"/>
          <w:rFonts w:ascii="Arial" w:hAnsi="Arial"/>
        </w:rPr>
        <w:t>Ley General de Víctimas</w:t>
      </w:r>
    </w:p>
    <w:p w14:paraId="31E156CF" w14:textId="77777777" w:rsidR="00D35E43" w:rsidRPr="00B754D8" w:rsidRDefault="00CD7861">
      <w:pPr>
        <w:pStyle w:val="CuerpoA"/>
        <w:numPr>
          <w:ilvl w:val="0"/>
          <w:numId w:val="9"/>
        </w:numPr>
        <w:spacing w:line="240" w:lineRule="auto"/>
        <w:jc w:val="both"/>
        <w:rPr>
          <w:rFonts w:ascii="Arial" w:hAnsi="Arial"/>
        </w:rPr>
      </w:pPr>
      <w:r w:rsidRPr="00B754D8">
        <w:rPr>
          <w:rStyle w:val="Ninguno"/>
          <w:rFonts w:ascii="Arial" w:hAnsi="Arial"/>
        </w:rPr>
        <w:t xml:space="preserve">Contexto </w:t>
      </w:r>
    </w:p>
    <w:p w14:paraId="2CCC1060" w14:textId="77777777" w:rsidR="00D35E43" w:rsidRPr="00B754D8" w:rsidRDefault="00CD7861">
      <w:pPr>
        <w:pStyle w:val="CuerpoA"/>
        <w:numPr>
          <w:ilvl w:val="0"/>
          <w:numId w:val="9"/>
        </w:numPr>
        <w:spacing w:line="240" w:lineRule="auto"/>
        <w:jc w:val="both"/>
        <w:rPr>
          <w:rFonts w:ascii="Arial" w:hAnsi="Arial"/>
        </w:rPr>
      </w:pPr>
      <w:r w:rsidRPr="00B754D8">
        <w:rPr>
          <w:rStyle w:val="Ninguno"/>
          <w:rFonts w:ascii="Arial" w:hAnsi="Arial"/>
        </w:rPr>
        <w:t>Acciones de la CNDH</w:t>
      </w:r>
    </w:p>
    <w:p w14:paraId="2B9D102A" w14:textId="77777777" w:rsidR="00D35E43" w:rsidRPr="00B754D8" w:rsidRDefault="00CD7861">
      <w:pPr>
        <w:pStyle w:val="CuerpoA"/>
        <w:numPr>
          <w:ilvl w:val="0"/>
          <w:numId w:val="9"/>
        </w:numPr>
        <w:spacing w:line="240" w:lineRule="auto"/>
        <w:jc w:val="both"/>
        <w:rPr>
          <w:rFonts w:ascii="Arial" w:hAnsi="Arial"/>
        </w:rPr>
      </w:pPr>
      <w:r w:rsidRPr="00B754D8">
        <w:rPr>
          <w:rStyle w:val="Ninguno"/>
          <w:rFonts w:ascii="Arial" w:hAnsi="Arial"/>
        </w:rPr>
        <w:t>Retos para el Estado Mexicano</w:t>
      </w:r>
    </w:p>
    <w:p w14:paraId="4381D434" w14:textId="77777777" w:rsidR="00D35E43" w:rsidRPr="00B754D8" w:rsidRDefault="00CD7861">
      <w:pPr>
        <w:pStyle w:val="CuerpoA"/>
        <w:numPr>
          <w:ilvl w:val="0"/>
          <w:numId w:val="10"/>
        </w:numPr>
        <w:spacing w:line="240" w:lineRule="auto"/>
        <w:jc w:val="both"/>
        <w:rPr>
          <w:rFonts w:ascii="Arial" w:hAnsi="Arial"/>
          <w:b/>
          <w:bCs/>
        </w:rPr>
      </w:pPr>
      <w:r w:rsidRPr="00B754D8">
        <w:rPr>
          <w:rStyle w:val="Ninguno"/>
          <w:rFonts w:ascii="Arial" w:hAnsi="Arial"/>
          <w:b/>
          <w:bCs/>
        </w:rPr>
        <w:t>Igualdad y no discriminación (artículos 2, 3, 25 y 26)</w:t>
      </w:r>
    </w:p>
    <w:p w14:paraId="66B6AA87" w14:textId="77777777" w:rsidR="00D35E43" w:rsidRPr="00B754D8" w:rsidRDefault="00CD7861">
      <w:pPr>
        <w:pStyle w:val="CuerpoA"/>
        <w:numPr>
          <w:ilvl w:val="0"/>
          <w:numId w:val="12"/>
        </w:numPr>
        <w:spacing w:line="240" w:lineRule="auto"/>
        <w:jc w:val="both"/>
        <w:rPr>
          <w:rFonts w:ascii="Arial" w:hAnsi="Arial"/>
        </w:rPr>
      </w:pPr>
      <w:r w:rsidRPr="00B754D8">
        <w:rPr>
          <w:rStyle w:val="Ninguno"/>
          <w:rFonts w:ascii="Arial" w:hAnsi="Arial"/>
        </w:rPr>
        <w:t>Igualdad entre mujeres y hombres</w:t>
      </w:r>
    </w:p>
    <w:p w14:paraId="08B8DC81" w14:textId="77777777" w:rsidR="00D35E43" w:rsidRPr="00B754D8" w:rsidRDefault="00CD7861">
      <w:pPr>
        <w:pStyle w:val="CuerpoA"/>
        <w:numPr>
          <w:ilvl w:val="0"/>
          <w:numId w:val="14"/>
        </w:numPr>
        <w:spacing w:line="240" w:lineRule="auto"/>
        <w:jc w:val="both"/>
        <w:rPr>
          <w:rFonts w:ascii="Arial" w:hAnsi="Arial"/>
        </w:rPr>
      </w:pPr>
      <w:r w:rsidRPr="00B754D8">
        <w:rPr>
          <w:rStyle w:val="Ninguno"/>
          <w:rFonts w:ascii="Arial" w:hAnsi="Arial"/>
        </w:rPr>
        <w:t xml:space="preserve">Contexto </w:t>
      </w:r>
    </w:p>
    <w:p w14:paraId="36F00413" w14:textId="77777777" w:rsidR="00D35E43" w:rsidRPr="00B754D8" w:rsidRDefault="00CD7861">
      <w:pPr>
        <w:pStyle w:val="CuerpoA"/>
        <w:numPr>
          <w:ilvl w:val="0"/>
          <w:numId w:val="14"/>
        </w:numPr>
        <w:spacing w:line="240" w:lineRule="auto"/>
        <w:jc w:val="both"/>
        <w:rPr>
          <w:rFonts w:ascii="Arial" w:hAnsi="Arial"/>
        </w:rPr>
      </w:pPr>
      <w:r w:rsidRPr="00B754D8">
        <w:rPr>
          <w:rStyle w:val="Ninguno"/>
          <w:rFonts w:ascii="Arial" w:hAnsi="Arial"/>
        </w:rPr>
        <w:t>Acciones de la CNDH</w:t>
      </w:r>
    </w:p>
    <w:p w14:paraId="30D9241F" w14:textId="77777777" w:rsidR="00D35E43" w:rsidRPr="00B754D8" w:rsidRDefault="00CD7861">
      <w:pPr>
        <w:pStyle w:val="CuerpoA"/>
        <w:numPr>
          <w:ilvl w:val="0"/>
          <w:numId w:val="14"/>
        </w:numPr>
        <w:spacing w:line="240" w:lineRule="auto"/>
        <w:jc w:val="both"/>
        <w:rPr>
          <w:rFonts w:ascii="Arial" w:hAnsi="Arial"/>
        </w:rPr>
      </w:pPr>
      <w:r w:rsidRPr="00B754D8">
        <w:rPr>
          <w:rStyle w:val="Ninguno"/>
          <w:rFonts w:ascii="Arial" w:hAnsi="Arial"/>
        </w:rPr>
        <w:t>Retos para el Estado Mexicano</w:t>
      </w:r>
    </w:p>
    <w:p w14:paraId="154B7D3A" w14:textId="77777777" w:rsidR="00D35E43" w:rsidRPr="00B754D8" w:rsidRDefault="00CD7861">
      <w:pPr>
        <w:pStyle w:val="CuerpoA"/>
        <w:spacing w:line="240" w:lineRule="auto"/>
        <w:ind w:left="708"/>
        <w:jc w:val="both"/>
        <w:rPr>
          <w:rStyle w:val="Ninguno"/>
          <w:rFonts w:ascii="Arial" w:eastAsia="Arial" w:hAnsi="Arial" w:cs="Arial"/>
        </w:rPr>
      </w:pPr>
      <w:r w:rsidRPr="00B754D8">
        <w:rPr>
          <w:rStyle w:val="Ninguno"/>
          <w:rFonts w:ascii="Arial" w:hAnsi="Arial"/>
        </w:rPr>
        <w:t>B: Violencia y discriminación por motivos de orientación sexual o identidad de género</w:t>
      </w:r>
    </w:p>
    <w:p w14:paraId="0C0FC3E2" w14:textId="77777777" w:rsidR="00D35E43" w:rsidRPr="00B754D8" w:rsidRDefault="00CD7861">
      <w:pPr>
        <w:pStyle w:val="CuerpoA"/>
        <w:numPr>
          <w:ilvl w:val="0"/>
          <w:numId w:val="16"/>
        </w:numPr>
        <w:spacing w:line="240" w:lineRule="auto"/>
        <w:jc w:val="both"/>
        <w:rPr>
          <w:rFonts w:ascii="Arial" w:hAnsi="Arial"/>
        </w:rPr>
      </w:pPr>
      <w:r w:rsidRPr="00B754D8">
        <w:rPr>
          <w:rStyle w:val="Ninguno"/>
          <w:rFonts w:ascii="Arial" w:hAnsi="Arial"/>
        </w:rPr>
        <w:t xml:space="preserve">Contexto </w:t>
      </w:r>
    </w:p>
    <w:p w14:paraId="53DA7637" w14:textId="77777777" w:rsidR="00D35E43" w:rsidRPr="00B754D8" w:rsidRDefault="00CD7861">
      <w:pPr>
        <w:pStyle w:val="CuerpoA"/>
        <w:numPr>
          <w:ilvl w:val="0"/>
          <w:numId w:val="16"/>
        </w:numPr>
        <w:spacing w:line="240" w:lineRule="auto"/>
        <w:jc w:val="both"/>
        <w:rPr>
          <w:rFonts w:ascii="Arial" w:hAnsi="Arial"/>
        </w:rPr>
      </w:pPr>
      <w:r w:rsidRPr="00B754D8">
        <w:rPr>
          <w:rStyle w:val="Ninguno"/>
          <w:rFonts w:ascii="Arial" w:hAnsi="Arial"/>
        </w:rPr>
        <w:t>Acciones de la CNDH</w:t>
      </w:r>
    </w:p>
    <w:p w14:paraId="7EF5EFE6" w14:textId="77777777" w:rsidR="00D35E43" w:rsidRPr="00B754D8" w:rsidRDefault="00CD7861">
      <w:pPr>
        <w:pStyle w:val="CuerpoA"/>
        <w:numPr>
          <w:ilvl w:val="0"/>
          <w:numId w:val="16"/>
        </w:numPr>
        <w:spacing w:line="240" w:lineRule="auto"/>
        <w:jc w:val="both"/>
        <w:rPr>
          <w:rFonts w:ascii="Arial" w:hAnsi="Arial"/>
        </w:rPr>
      </w:pPr>
      <w:r w:rsidRPr="00B754D8">
        <w:rPr>
          <w:rStyle w:val="Ninguno"/>
          <w:rFonts w:ascii="Arial" w:hAnsi="Arial"/>
        </w:rPr>
        <w:t>Retos para el Estado Mexicano</w:t>
      </w:r>
    </w:p>
    <w:p w14:paraId="3C01352E" w14:textId="77777777" w:rsidR="00D35E43" w:rsidRPr="00B754D8" w:rsidRDefault="00CD7861">
      <w:pPr>
        <w:pStyle w:val="CuerpoA"/>
        <w:numPr>
          <w:ilvl w:val="0"/>
          <w:numId w:val="17"/>
        </w:numPr>
        <w:spacing w:line="240" w:lineRule="auto"/>
        <w:jc w:val="both"/>
        <w:rPr>
          <w:rFonts w:ascii="Arial" w:hAnsi="Arial"/>
        </w:rPr>
      </w:pPr>
      <w:r w:rsidRPr="00B754D8">
        <w:rPr>
          <w:rStyle w:val="Ninguno"/>
          <w:rFonts w:ascii="Arial" w:hAnsi="Arial"/>
        </w:rPr>
        <w:t xml:space="preserve">Violencia contra la mujer  </w:t>
      </w:r>
    </w:p>
    <w:p w14:paraId="1561EB79" w14:textId="77777777" w:rsidR="00D35E43" w:rsidRPr="00B754D8" w:rsidRDefault="00CD7861">
      <w:pPr>
        <w:pStyle w:val="CuerpoA"/>
        <w:numPr>
          <w:ilvl w:val="0"/>
          <w:numId w:val="19"/>
        </w:numPr>
        <w:spacing w:line="240" w:lineRule="auto"/>
        <w:jc w:val="both"/>
        <w:rPr>
          <w:rFonts w:ascii="Arial" w:hAnsi="Arial"/>
        </w:rPr>
      </w:pPr>
      <w:r w:rsidRPr="00B754D8">
        <w:rPr>
          <w:rStyle w:val="Ninguno"/>
          <w:rFonts w:ascii="Arial" w:hAnsi="Arial"/>
        </w:rPr>
        <w:t xml:space="preserve">Contexto </w:t>
      </w:r>
    </w:p>
    <w:p w14:paraId="6893388D" w14:textId="77777777" w:rsidR="00D35E43" w:rsidRPr="00B754D8" w:rsidRDefault="00CD7861">
      <w:pPr>
        <w:pStyle w:val="CuerpoA"/>
        <w:numPr>
          <w:ilvl w:val="0"/>
          <w:numId w:val="19"/>
        </w:numPr>
        <w:spacing w:line="240" w:lineRule="auto"/>
        <w:jc w:val="both"/>
        <w:rPr>
          <w:rFonts w:ascii="Arial" w:hAnsi="Arial"/>
        </w:rPr>
      </w:pPr>
      <w:r w:rsidRPr="00B754D8">
        <w:rPr>
          <w:rStyle w:val="Ninguno"/>
          <w:rFonts w:ascii="Arial" w:hAnsi="Arial"/>
        </w:rPr>
        <w:t>Acciones de la CNDH</w:t>
      </w:r>
    </w:p>
    <w:p w14:paraId="72ED70E1" w14:textId="77777777" w:rsidR="00D35E43" w:rsidRPr="00B754D8" w:rsidRDefault="00CD7861">
      <w:pPr>
        <w:pStyle w:val="CuerpoA"/>
        <w:numPr>
          <w:ilvl w:val="0"/>
          <w:numId w:val="19"/>
        </w:numPr>
        <w:spacing w:line="240" w:lineRule="auto"/>
        <w:jc w:val="both"/>
        <w:rPr>
          <w:rFonts w:ascii="Arial" w:hAnsi="Arial"/>
        </w:rPr>
      </w:pPr>
      <w:r w:rsidRPr="00B754D8">
        <w:rPr>
          <w:rStyle w:val="Ninguno"/>
          <w:rFonts w:ascii="Arial" w:hAnsi="Arial"/>
        </w:rPr>
        <w:t>Retos para el Estado Mexicano</w:t>
      </w:r>
    </w:p>
    <w:p w14:paraId="1A106B04" w14:textId="77777777" w:rsidR="00D35E43" w:rsidRPr="00B754D8" w:rsidRDefault="00CD7861">
      <w:pPr>
        <w:pStyle w:val="CuerpoA"/>
        <w:numPr>
          <w:ilvl w:val="0"/>
          <w:numId w:val="20"/>
        </w:numPr>
        <w:spacing w:line="240" w:lineRule="auto"/>
        <w:jc w:val="both"/>
        <w:rPr>
          <w:rFonts w:ascii="Arial" w:hAnsi="Arial"/>
          <w:b/>
          <w:bCs/>
        </w:rPr>
      </w:pPr>
      <w:r w:rsidRPr="00B754D8">
        <w:rPr>
          <w:rStyle w:val="Ninguno"/>
          <w:rFonts w:ascii="Arial" w:hAnsi="Arial"/>
          <w:b/>
          <w:bCs/>
        </w:rPr>
        <w:t>Estados de excepción (artículo 4).</w:t>
      </w:r>
    </w:p>
    <w:p w14:paraId="02E634ED" w14:textId="77777777" w:rsidR="00D35E43" w:rsidRPr="00B754D8" w:rsidRDefault="00CD7861">
      <w:pPr>
        <w:pStyle w:val="CuerpoA"/>
        <w:numPr>
          <w:ilvl w:val="0"/>
          <w:numId w:val="22"/>
        </w:numPr>
        <w:spacing w:line="240" w:lineRule="auto"/>
        <w:jc w:val="both"/>
        <w:rPr>
          <w:rFonts w:ascii="Arial" w:hAnsi="Arial"/>
        </w:rPr>
      </w:pPr>
      <w:r w:rsidRPr="00B754D8">
        <w:rPr>
          <w:rStyle w:val="Ninguno"/>
          <w:rFonts w:ascii="Arial" w:hAnsi="Arial"/>
        </w:rPr>
        <w:t>Guardia Nacional</w:t>
      </w:r>
    </w:p>
    <w:p w14:paraId="54890B9D" w14:textId="77777777" w:rsidR="00D35E43" w:rsidRPr="00B754D8" w:rsidRDefault="00CD7861">
      <w:pPr>
        <w:pStyle w:val="CuerpoA"/>
        <w:numPr>
          <w:ilvl w:val="0"/>
          <w:numId w:val="24"/>
        </w:numPr>
        <w:spacing w:line="240" w:lineRule="auto"/>
        <w:jc w:val="both"/>
        <w:rPr>
          <w:rFonts w:ascii="Arial" w:hAnsi="Arial"/>
        </w:rPr>
      </w:pPr>
      <w:r w:rsidRPr="00B754D8">
        <w:rPr>
          <w:rStyle w:val="Ninguno"/>
          <w:rFonts w:ascii="Arial" w:hAnsi="Arial"/>
        </w:rPr>
        <w:t xml:space="preserve">Contexto </w:t>
      </w:r>
    </w:p>
    <w:p w14:paraId="288F63A0" w14:textId="77777777" w:rsidR="00D35E43" w:rsidRPr="00B754D8" w:rsidRDefault="00CD7861">
      <w:pPr>
        <w:pStyle w:val="CuerpoA"/>
        <w:numPr>
          <w:ilvl w:val="0"/>
          <w:numId w:val="24"/>
        </w:numPr>
        <w:spacing w:line="240" w:lineRule="auto"/>
        <w:jc w:val="both"/>
        <w:rPr>
          <w:rFonts w:ascii="Arial" w:hAnsi="Arial"/>
        </w:rPr>
      </w:pPr>
      <w:r w:rsidRPr="00B754D8">
        <w:rPr>
          <w:rStyle w:val="Ninguno"/>
          <w:rFonts w:ascii="Arial" w:hAnsi="Arial"/>
        </w:rPr>
        <w:t>Acciones de la CNDH</w:t>
      </w:r>
    </w:p>
    <w:p w14:paraId="1FEDB696" w14:textId="77777777" w:rsidR="00D35E43" w:rsidRPr="00B754D8" w:rsidRDefault="00CD7861">
      <w:pPr>
        <w:pStyle w:val="CuerpoA"/>
        <w:numPr>
          <w:ilvl w:val="0"/>
          <w:numId w:val="24"/>
        </w:numPr>
        <w:spacing w:line="240" w:lineRule="auto"/>
        <w:jc w:val="both"/>
        <w:rPr>
          <w:rFonts w:ascii="Arial" w:hAnsi="Arial"/>
        </w:rPr>
      </w:pPr>
      <w:r w:rsidRPr="00B754D8">
        <w:rPr>
          <w:rStyle w:val="Ninguno"/>
          <w:rFonts w:ascii="Arial" w:hAnsi="Arial"/>
        </w:rPr>
        <w:t>Retos para el Estado Mexicano</w:t>
      </w:r>
    </w:p>
    <w:p w14:paraId="7D825A93" w14:textId="77777777" w:rsidR="00D35E43" w:rsidRPr="00B754D8" w:rsidRDefault="00CD7861">
      <w:pPr>
        <w:pStyle w:val="CuerpoA"/>
        <w:numPr>
          <w:ilvl w:val="0"/>
          <w:numId w:val="25"/>
        </w:numPr>
        <w:spacing w:line="240" w:lineRule="auto"/>
        <w:jc w:val="both"/>
        <w:rPr>
          <w:rFonts w:ascii="Arial" w:hAnsi="Arial"/>
          <w:b/>
          <w:bCs/>
        </w:rPr>
      </w:pPr>
      <w:r w:rsidRPr="00B754D8">
        <w:rPr>
          <w:rStyle w:val="Ninguno"/>
          <w:rFonts w:ascii="Arial" w:hAnsi="Arial"/>
          <w:b/>
          <w:bCs/>
        </w:rPr>
        <w:lastRenderedPageBreak/>
        <w:t>Derecho a la vida; prohibición de la tortura y los tratos o penas crueles, inhumanos o degradantes; derecho a la libertad y a la seguridad personales (artículos 2, 6, 7 y 9)</w:t>
      </w:r>
    </w:p>
    <w:p w14:paraId="0CD9C18D" w14:textId="77777777" w:rsidR="00D35E43" w:rsidRPr="00B754D8" w:rsidRDefault="00CD7861">
      <w:pPr>
        <w:pStyle w:val="CuerpoA"/>
        <w:numPr>
          <w:ilvl w:val="0"/>
          <w:numId w:val="27"/>
        </w:numPr>
        <w:spacing w:line="240" w:lineRule="auto"/>
        <w:jc w:val="both"/>
        <w:rPr>
          <w:rFonts w:ascii="Arial" w:hAnsi="Arial"/>
        </w:rPr>
      </w:pPr>
      <w:r w:rsidRPr="00B754D8">
        <w:rPr>
          <w:rStyle w:val="Ninguno"/>
          <w:rFonts w:ascii="Arial" w:hAnsi="Arial"/>
        </w:rPr>
        <w:t>Violencia sexual y obstétrica</w:t>
      </w:r>
    </w:p>
    <w:p w14:paraId="18E2F359" w14:textId="77777777" w:rsidR="00D35E43" w:rsidRPr="00B754D8" w:rsidRDefault="00CD7861">
      <w:pPr>
        <w:pStyle w:val="CuerpoA"/>
        <w:numPr>
          <w:ilvl w:val="0"/>
          <w:numId w:val="29"/>
        </w:numPr>
        <w:spacing w:line="240" w:lineRule="auto"/>
        <w:jc w:val="both"/>
        <w:rPr>
          <w:rFonts w:ascii="Arial" w:hAnsi="Arial"/>
        </w:rPr>
      </w:pPr>
      <w:r w:rsidRPr="00B754D8">
        <w:rPr>
          <w:rStyle w:val="Ninguno"/>
          <w:rFonts w:ascii="Arial" w:hAnsi="Arial"/>
        </w:rPr>
        <w:t xml:space="preserve">Contexto </w:t>
      </w:r>
    </w:p>
    <w:p w14:paraId="559E6EDA" w14:textId="77777777" w:rsidR="00D35E43" w:rsidRPr="00B754D8" w:rsidRDefault="00CD7861">
      <w:pPr>
        <w:pStyle w:val="CuerpoA"/>
        <w:numPr>
          <w:ilvl w:val="0"/>
          <w:numId w:val="29"/>
        </w:numPr>
        <w:spacing w:line="240" w:lineRule="auto"/>
        <w:jc w:val="both"/>
        <w:rPr>
          <w:rFonts w:ascii="Arial" w:hAnsi="Arial"/>
        </w:rPr>
      </w:pPr>
      <w:r w:rsidRPr="00B754D8">
        <w:rPr>
          <w:rStyle w:val="Ninguno"/>
          <w:rFonts w:ascii="Arial" w:hAnsi="Arial"/>
        </w:rPr>
        <w:t>Acciones de la CNDH</w:t>
      </w:r>
    </w:p>
    <w:p w14:paraId="3A0F9303" w14:textId="77777777" w:rsidR="00D35E43" w:rsidRPr="00B754D8" w:rsidRDefault="00CD7861">
      <w:pPr>
        <w:pStyle w:val="CuerpoA"/>
        <w:numPr>
          <w:ilvl w:val="0"/>
          <w:numId w:val="29"/>
        </w:numPr>
        <w:spacing w:line="240" w:lineRule="auto"/>
        <w:jc w:val="both"/>
        <w:rPr>
          <w:rFonts w:ascii="Arial" w:hAnsi="Arial"/>
        </w:rPr>
      </w:pPr>
      <w:r w:rsidRPr="00B754D8">
        <w:rPr>
          <w:rStyle w:val="Ninguno"/>
          <w:rFonts w:ascii="Arial" w:hAnsi="Arial"/>
        </w:rPr>
        <w:t>Retos para el Estado Mexicano</w:t>
      </w:r>
    </w:p>
    <w:p w14:paraId="0287B090" w14:textId="77777777" w:rsidR="00D35E43" w:rsidRPr="00B754D8" w:rsidRDefault="00CD7861">
      <w:pPr>
        <w:pStyle w:val="Prrafodelista"/>
        <w:numPr>
          <w:ilvl w:val="0"/>
          <w:numId w:val="30"/>
        </w:numPr>
        <w:spacing w:line="240" w:lineRule="auto"/>
        <w:rPr>
          <w:rFonts w:ascii="Arial" w:hAnsi="Arial"/>
        </w:rPr>
      </w:pPr>
      <w:r w:rsidRPr="00B754D8">
        <w:rPr>
          <w:rStyle w:val="Ninguno"/>
          <w:rFonts w:ascii="Arial" w:hAnsi="Arial"/>
        </w:rPr>
        <w:t>Abusos y violaciones de derechos humanos cometidos por miembros de las fuerzas armadas o de seguridad</w:t>
      </w:r>
    </w:p>
    <w:p w14:paraId="2A8D28F4" w14:textId="77777777" w:rsidR="00D35E43" w:rsidRPr="00B754D8" w:rsidRDefault="00CD7861">
      <w:pPr>
        <w:pStyle w:val="Prrafodelista"/>
        <w:numPr>
          <w:ilvl w:val="0"/>
          <w:numId w:val="32"/>
        </w:numPr>
        <w:spacing w:line="240" w:lineRule="auto"/>
        <w:rPr>
          <w:rFonts w:ascii="Arial" w:hAnsi="Arial"/>
        </w:rPr>
      </w:pPr>
      <w:r w:rsidRPr="00B754D8">
        <w:rPr>
          <w:rStyle w:val="Ninguno"/>
          <w:rFonts w:ascii="Arial" w:hAnsi="Arial"/>
        </w:rPr>
        <w:t xml:space="preserve">Contexto </w:t>
      </w:r>
    </w:p>
    <w:p w14:paraId="0468EBAB" w14:textId="77777777" w:rsidR="00D35E43" w:rsidRPr="00B754D8" w:rsidRDefault="00CD7861">
      <w:pPr>
        <w:pStyle w:val="Prrafodelista"/>
        <w:numPr>
          <w:ilvl w:val="0"/>
          <w:numId w:val="32"/>
        </w:numPr>
        <w:spacing w:line="240" w:lineRule="auto"/>
        <w:rPr>
          <w:rFonts w:ascii="Arial" w:hAnsi="Arial"/>
        </w:rPr>
      </w:pPr>
      <w:r w:rsidRPr="00B754D8">
        <w:rPr>
          <w:rStyle w:val="Ninguno"/>
          <w:rFonts w:ascii="Arial" w:hAnsi="Arial"/>
        </w:rPr>
        <w:t>Acciones de la CNDH</w:t>
      </w:r>
    </w:p>
    <w:p w14:paraId="4825AD20" w14:textId="77777777" w:rsidR="00D35E43" w:rsidRPr="00B754D8" w:rsidRDefault="00CD7861">
      <w:pPr>
        <w:pStyle w:val="Prrafodelista"/>
        <w:numPr>
          <w:ilvl w:val="0"/>
          <w:numId w:val="32"/>
        </w:numPr>
        <w:spacing w:line="240" w:lineRule="auto"/>
        <w:rPr>
          <w:rFonts w:ascii="Arial" w:hAnsi="Arial"/>
        </w:rPr>
      </w:pPr>
      <w:r w:rsidRPr="00B754D8">
        <w:rPr>
          <w:rStyle w:val="Ninguno"/>
          <w:rFonts w:ascii="Arial" w:hAnsi="Arial"/>
        </w:rPr>
        <w:t>Retos para el Estado Mexicano</w:t>
      </w:r>
    </w:p>
    <w:p w14:paraId="686F92B1" w14:textId="77777777" w:rsidR="00D35E43" w:rsidRPr="00B754D8" w:rsidRDefault="00CD7861">
      <w:pPr>
        <w:pStyle w:val="Prrafodelista"/>
        <w:numPr>
          <w:ilvl w:val="0"/>
          <w:numId w:val="33"/>
        </w:numPr>
        <w:spacing w:line="240" w:lineRule="auto"/>
        <w:rPr>
          <w:rFonts w:ascii="Arial" w:hAnsi="Arial"/>
        </w:rPr>
      </w:pPr>
      <w:r w:rsidRPr="00B754D8">
        <w:rPr>
          <w:rStyle w:val="Ninguno"/>
          <w:rFonts w:ascii="Arial" w:hAnsi="Arial"/>
        </w:rPr>
        <w:t>Violaciones Graves a Derechos Humanos – Caso Iguala (Estudiantes de Ayotzinapa)</w:t>
      </w:r>
    </w:p>
    <w:p w14:paraId="1B5B89FD" w14:textId="77777777" w:rsidR="00D35E43" w:rsidRPr="00B754D8" w:rsidRDefault="00CD7861">
      <w:pPr>
        <w:pStyle w:val="Prrafodelista"/>
        <w:numPr>
          <w:ilvl w:val="0"/>
          <w:numId w:val="35"/>
        </w:numPr>
        <w:spacing w:line="240" w:lineRule="auto"/>
        <w:rPr>
          <w:rFonts w:ascii="Arial" w:hAnsi="Arial"/>
        </w:rPr>
      </w:pPr>
      <w:r w:rsidRPr="00B754D8">
        <w:rPr>
          <w:rStyle w:val="Ninguno"/>
          <w:rFonts w:ascii="Arial" w:hAnsi="Arial"/>
        </w:rPr>
        <w:t xml:space="preserve">Contexto </w:t>
      </w:r>
    </w:p>
    <w:p w14:paraId="21C961CA" w14:textId="77777777" w:rsidR="00D35E43" w:rsidRPr="00B754D8" w:rsidRDefault="00CD7861">
      <w:pPr>
        <w:pStyle w:val="Prrafodelista"/>
        <w:numPr>
          <w:ilvl w:val="0"/>
          <w:numId w:val="35"/>
        </w:numPr>
        <w:spacing w:line="240" w:lineRule="auto"/>
        <w:rPr>
          <w:rFonts w:ascii="Arial" w:hAnsi="Arial"/>
        </w:rPr>
      </w:pPr>
      <w:r w:rsidRPr="00B754D8">
        <w:rPr>
          <w:rStyle w:val="Ninguno"/>
          <w:rFonts w:ascii="Arial" w:hAnsi="Arial"/>
        </w:rPr>
        <w:t>Acciones de la CNDH</w:t>
      </w:r>
    </w:p>
    <w:p w14:paraId="45B942AC" w14:textId="77777777" w:rsidR="00D35E43" w:rsidRPr="00B754D8" w:rsidRDefault="00CD7861">
      <w:pPr>
        <w:pStyle w:val="Prrafodelista"/>
        <w:numPr>
          <w:ilvl w:val="0"/>
          <w:numId w:val="35"/>
        </w:numPr>
        <w:spacing w:line="240" w:lineRule="auto"/>
        <w:rPr>
          <w:rFonts w:ascii="Arial" w:hAnsi="Arial"/>
        </w:rPr>
      </w:pPr>
      <w:r w:rsidRPr="00B754D8">
        <w:rPr>
          <w:rStyle w:val="Ninguno"/>
          <w:rFonts w:ascii="Arial" w:hAnsi="Arial"/>
        </w:rPr>
        <w:t>Retos para el Estado Mexicano</w:t>
      </w:r>
    </w:p>
    <w:p w14:paraId="6F3F947A" w14:textId="77777777" w:rsidR="00D35E43" w:rsidRPr="00B754D8" w:rsidRDefault="00CD7861">
      <w:pPr>
        <w:pStyle w:val="Prrafodelista"/>
        <w:numPr>
          <w:ilvl w:val="0"/>
          <w:numId w:val="36"/>
        </w:numPr>
        <w:spacing w:line="240" w:lineRule="auto"/>
        <w:rPr>
          <w:rFonts w:ascii="Arial" w:hAnsi="Arial"/>
        </w:rPr>
      </w:pPr>
      <w:r w:rsidRPr="00B754D8">
        <w:rPr>
          <w:rStyle w:val="Ninguno"/>
          <w:rFonts w:ascii="Arial" w:hAnsi="Arial"/>
        </w:rPr>
        <w:t xml:space="preserve">Desapariciones Forzadas </w:t>
      </w:r>
    </w:p>
    <w:p w14:paraId="752FFDE9" w14:textId="77777777" w:rsidR="00D35E43" w:rsidRPr="00B754D8" w:rsidRDefault="00CD7861">
      <w:pPr>
        <w:pStyle w:val="Prrafodelista"/>
        <w:numPr>
          <w:ilvl w:val="0"/>
          <w:numId w:val="38"/>
        </w:numPr>
        <w:spacing w:line="240" w:lineRule="auto"/>
        <w:rPr>
          <w:rFonts w:ascii="Arial" w:hAnsi="Arial"/>
        </w:rPr>
      </w:pPr>
      <w:r w:rsidRPr="00B754D8">
        <w:rPr>
          <w:rStyle w:val="Ninguno"/>
          <w:rFonts w:ascii="Arial" w:hAnsi="Arial"/>
        </w:rPr>
        <w:t xml:space="preserve">Contexto </w:t>
      </w:r>
    </w:p>
    <w:p w14:paraId="4D2CBB92" w14:textId="77777777" w:rsidR="00D35E43" w:rsidRPr="00B754D8" w:rsidRDefault="00CD7861">
      <w:pPr>
        <w:pStyle w:val="Prrafodelista"/>
        <w:numPr>
          <w:ilvl w:val="0"/>
          <w:numId w:val="38"/>
        </w:numPr>
        <w:spacing w:line="240" w:lineRule="auto"/>
        <w:rPr>
          <w:rFonts w:ascii="Arial" w:hAnsi="Arial"/>
        </w:rPr>
      </w:pPr>
      <w:r w:rsidRPr="00B754D8">
        <w:rPr>
          <w:rStyle w:val="Ninguno"/>
          <w:rFonts w:ascii="Arial" w:hAnsi="Arial"/>
        </w:rPr>
        <w:t>Acciones de la CNDH</w:t>
      </w:r>
    </w:p>
    <w:p w14:paraId="4824A77B" w14:textId="77777777" w:rsidR="00D35E43" w:rsidRPr="00B754D8" w:rsidRDefault="00CD7861">
      <w:pPr>
        <w:pStyle w:val="Prrafodelista"/>
        <w:numPr>
          <w:ilvl w:val="0"/>
          <w:numId w:val="38"/>
        </w:numPr>
        <w:spacing w:line="240" w:lineRule="auto"/>
        <w:rPr>
          <w:rFonts w:ascii="Arial" w:hAnsi="Arial"/>
        </w:rPr>
      </w:pPr>
      <w:r w:rsidRPr="00B754D8">
        <w:rPr>
          <w:rStyle w:val="Ninguno"/>
          <w:rFonts w:ascii="Arial" w:hAnsi="Arial"/>
        </w:rPr>
        <w:t>Caso de Christian Téllez Padilla</w:t>
      </w:r>
    </w:p>
    <w:p w14:paraId="4139F28C" w14:textId="77777777" w:rsidR="00D35E43" w:rsidRPr="00B754D8" w:rsidRDefault="00CD7861">
      <w:pPr>
        <w:pStyle w:val="Prrafodelista"/>
        <w:numPr>
          <w:ilvl w:val="0"/>
          <w:numId w:val="38"/>
        </w:numPr>
        <w:spacing w:line="240" w:lineRule="auto"/>
        <w:rPr>
          <w:rFonts w:ascii="Arial" w:hAnsi="Arial"/>
        </w:rPr>
      </w:pPr>
      <w:r w:rsidRPr="00B754D8">
        <w:rPr>
          <w:rStyle w:val="Ninguno"/>
          <w:rFonts w:ascii="Arial" w:hAnsi="Arial"/>
        </w:rPr>
        <w:t>Retos para el Estado Mexicano</w:t>
      </w:r>
    </w:p>
    <w:p w14:paraId="671ACF08" w14:textId="77777777" w:rsidR="00D35E43" w:rsidRPr="00B754D8" w:rsidRDefault="00CD7861">
      <w:pPr>
        <w:pStyle w:val="Prrafodelista"/>
        <w:numPr>
          <w:ilvl w:val="0"/>
          <w:numId w:val="39"/>
        </w:numPr>
        <w:spacing w:line="240" w:lineRule="auto"/>
        <w:rPr>
          <w:rFonts w:ascii="Arial" w:hAnsi="Arial"/>
        </w:rPr>
      </w:pPr>
      <w:r w:rsidRPr="00B754D8">
        <w:rPr>
          <w:rStyle w:val="Ninguno"/>
          <w:rFonts w:ascii="Arial" w:hAnsi="Arial"/>
        </w:rPr>
        <w:t>Tortura</w:t>
      </w:r>
    </w:p>
    <w:p w14:paraId="0A854E82" w14:textId="77777777" w:rsidR="00D35E43" w:rsidRPr="00B754D8" w:rsidRDefault="00CD7861">
      <w:pPr>
        <w:pStyle w:val="Prrafodelista"/>
        <w:numPr>
          <w:ilvl w:val="0"/>
          <w:numId w:val="41"/>
        </w:numPr>
        <w:spacing w:line="240" w:lineRule="auto"/>
        <w:rPr>
          <w:rFonts w:ascii="Arial" w:hAnsi="Arial"/>
        </w:rPr>
      </w:pPr>
      <w:r w:rsidRPr="00B754D8">
        <w:rPr>
          <w:rStyle w:val="Ninguno"/>
          <w:rFonts w:ascii="Arial" w:hAnsi="Arial"/>
        </w:rPr>
        <w:t xml:space="preserve">Contexto </w:t>
      </w:r>
    </w:p>
    <w:p w14:paraId="37219A95" w14:textId="77777777" w:rsidR="00D35E43" w:rsidRPr="00B754D8" w:rsidRDefault="00CD7861">
      <w:pPr>
        <w:pStyle w:val="Prrafodelista"/>
        <w:numPr>
          <w:ilvl w:val="0"/>
          <w:numId w:val="41"/>
        </w:numPr>
        <w:spacing w:line="240" w:lineRule="auto"/>
        <w:rPr>
          <w:rFonts w:ascii="Arial" w:hAnsi="Arial"/>
        </w:rPr>
      </w:pPr>
      <w:r w:rsidRPr="00B754D8">
        <w:rPr>
          <w:rStyle w:val="Ninguno"/>
          <w:rFonts w:ascii="Arial" w:hAnsi="Arial"/>
        </w:rPr>
        <w:t>Acciones de la CNDH</w:t>
      </w:r>
    </w:p>
    <w:p w14:paraId="1F34194D" w14:textId="77777777" w:rsidR="00D35E43" w:rsidRPr="00B754D8" w:rsidRDefault="00CD7861">
      <w:pPr>
        <w:pStyle w:val="Prrafodelista"/>
        <w:numPr>
          <w:ilvl w:val="0"/>
          <w:numId w:val="41"/>
        </w:numPr>
        <w:spacing w:line="240" w:lineRule="auto"/>
        <w:rPr>
          <w:rFonts w:ascii="Arial" w:hAnsi="Arial"/>
        </w:rPr>
      </w:pPr>
      <w:r w:rsidRPr="00B754D8">
        <w:rPr>
          <w:rStyle w:val="Ninguno"/>
          <w:rFonts w:ascii="Arial" w:hAnsi="Arial"/>
        </w:rPr>
        <w:t>Retos para el Estado Mexicano</w:t>
      </w:r>
    </w:p>
    <w:p w14:paraId="2CBB6A47" w14:textId="77777777" w:rsidR="00D35E43" w:rsidRPr="00B754D8" w:rsidRDefault="00CD7861">
      <w:pPr>
        <w:pStyle w:val="Prrafodelista"/>
        <w:numPr>
          <w:ilvl w:val="0"/>
          <w:numId w:val="42"/>
        </w:numPr>
        <w:spacing w:line="240" w:lineRule="auto"/>
        <w:rPr>
          <w:rFonts w:ascii="Arial" w:hAnsi="Arial"/>
        </w:rPr>
      </w:pPr>
      <w:r w:rsidRPr="00B754D8">
        <w:rPr>
          <w:rStyle w:val="Ninguno"/>
          <w:rFonts w:ascii="Arial" w:hAnsi="Arial"/>
        </w:rPr>
        <w:t>Castigos corporales a niños, niñas y adolescentes.</w:t>
      </w:r>
    </w:p>
    <w:p w14:paraId="2CE8EE53" w14:textId="77777777" w:rsidR="00D35E43" w:rsidRPr="00B754D8" w:rsidRDefault="00CD7861">
      <w:pPr>
        <w:pStyle w:val="Prrafodelista"/>
        <w:numPr>
          <w:ilvl w:val="0"/>
          <w:numId w:val="44"/>
        </w:numPr>
        <w:spacing w:line="240" w:lineRule="auto"/>
        <w:rPr>
          <w:rFonts w:ascii="Arial" w:hAnsi="Arial"/>
        </w:rPr>
      </w:pPr>
      <w:r w:rsidRPr="00B754D8">
        <w:rPr>
          <w:rStyle w:val="Ninguno"/>
          <w:rFonts w:ascii="Arial" w:hAnsi="Arial"/>
        </w:rPr>
        <w:t xml:space="preserve">Contexto </w:t>
      </w:r>
    </w:p>
    <w:p w14:paraId="7F0BB965" w14:textId="77777777" w:rsidR="00D35E43" w:rsidRPr="00B754D8" w:rsidRDefault="00CD7861">
      <w:pPr>
        <w:pStyle w:val="Prrafodelista"/>
        <w:numPr>
          <w:ilvl w:val="0"/>
          <w:numId w:val="44"/>
        </w:numPr>
        <w:spacing w:line="240" w:lineRule="auto"/>
        <w:rPr>
          <w:rFonts w:ascii="Arial" w:hAnsi="Arial"/>
        </w:rPr>
      </w:pPr>
      <w:r w:rsidRPr="00B754D8">
        <w:rPr>
          <w:rStyle w:val="Ninguno"/>
          <w:rFonts w:ascii="Arial" w:hAnsi="Arial"/>
        </w:rPr>
        <w:t>Acciones de la CNDH</w:t>
      </w:r>
    </w:p>
    <w:p w14:paraId="7FD45053" w14:textId="77777777" w:rsidR="00D35E43" w:rsidRPr="00B754D8" w:rsidRDefault="00CD7861">
      <w:pPr>
        <w:pStyle w:val="Prrafodelista"/>
        <w:numPr>
          <w:ilvl w:val="0"/>
          <w:numId w:val="44"/>
        </w:numPr>
        <w:spacing w:line="240" w:lineRule="auto"/>
        <w:rPr>
          <w:rFonts w:ascii="Arial" w:hAnsi="Arial"/>
        </w:rPr>
      </w:pPr>
      <w:r w:rsidRPr="00B754D8">
        <w:rPr>
          <w:rStyle w:val="Ninguno"/>
          <w:rFonts w:ascii="Arial" w:hAnsi="Arial"/>
        </w:rPr>
        <w:t>Retos para el Estado Mexicano</w:t>
      </w:r>
    </w:p>
    <w:p w14:paraId="0F1A6B14" w14:textId="77777777" w:rsidR="00D35E43" w:rsidRPr="00B754D8" w:rsidRDefault="00CD7861">
      <w:pPr>
        <w:pStyle w:val="Prrafodelista"/>
        <w:numPr>
          <w:ilvl w:val="0"/>
          <w:numId w:val="45"/>
        </w:numPr>
        <w:spacing w:line="240" w:lineRule="auto"/>
        <w:rPr>
          <w:rFonts w:ascii="Arial" w:hAnsi="Arial"/>
        </w:rPr>
      </w:pPr>
      <w:r w:rsidRPr="00B754D8">
        <w:rPr>
          <w:rStyle w:val="Ninguno"/>
          <w:rFonts w:ascii="Arial" w:hAnsi="Arial"/>
        </w:rPr>
        <w:t>Personas Migrantes</w:t>
      </w:r>
    </w:p>
    <w:p w14:paraId="038A998A" w14:textId="77777777" w:rsidR="00D35E43" w:rsidRPr="00B754D8" w:rsidRDefault="00CD7861">
      <w:pPr>
        <w:pStyle w:val="Prrafodelista"/>
        <w:numPr>
          <w:ilvl w:val="0"/>
          <w:numId w:val="47"/>
        </w:numPr>
        <w:spacing w:line="240" w:lineRule="auto"/>
        <w:rPr>
          <w:rFonts w:ascii="Arial" w:hAnsi="Arial"/>
        </w:rPr>
      </w:pPr>
      <w:r w:rsidRPr="00B754D8">
        <w:rPr>
          <w:rStyle w:val="Ninguno"/>
          <w:rFonts w:ascii="Arial" w:hAnsi="Arial"/>
        </w:rPr>
        <w:t xml:space="preserve">Contexto </w:t>
      </w:r>
    </w:p>
    <w:p w14:paraId="7730EA3E" w14:textId="77777777" w:rsidR="00D35E43" w:rsidRPr="00B754D8" w:rsidRDefault="00CD7861">
      <w:pPr>
        <w:pStyle w:val="Prrafodelista"/>
        <w:numPr>
          <w:ilvl w:val="0"/>
          <w:numId w:val="47"/>
        </w:numPr>
        <w:spacing w:line="240" w:lineRule="auto"/>
        <w:rPr>
          <w:rFonts w:ascii="Arial" w:hAnsi="Arial"/>
        </w:rPr>
      </w:pPr>
      <w:r w:rsidRPr="00B754D8">
        <w:rPr>
          <w:rStyle w:val="Ninguno"/>
          <w:rFonts w:ascii="Arial" w:hAnsi="Arial"/>
        </w:rPr>
        <w:lastRenderedPageBreak/>
        <w:t>Acciones de la CNDH</w:t>
      </w:r>
    </w:p>
    <w:p w14:paraId="2A9745AF" w14:textId="77777777" w:rsidR="00D35E43" w:rsidRPr="00B754D8" w:rsidRDefault="00CD7861">
      <w:pPr>
        <w:pStyle w:val="Prrafodelista"/>
        <w:numPr>
          <w:ilvl w:val="0"/>
          <w:numId w:val="47"/>
        </w:numPr>
        <w:spacing w:line="240" w:lineRule="auto"/>
        <w:rPr>
          <w:rFonts w:ascii="Arial" w:hAnsi="Arial"/>
        </w:rPr>
      </w:pPr>
      <w:r w:rsidRPr="00B754D8">
        <w:rPr>
          <w:rStyle w:val="Ninguno"/>
          <w:rFonts w:ascii="Arial" w:hAnsi="Arial"/>
        </w:rPr>
        <w:t>Retos para el Estado Mexicano</w:t>
      </w:r>
    </w:p>
    <w:p w14:paraId="0859197A" w14:textId="77777777" w:rsidR="00D35E43" w:rsidRPr="00B754D8" w:rsidRDefault="00CD7861">
      <w:pPr>
        <w:pStyle w:val="CuerpoA"/>
        <w:numPr>
          <w:ilvl w:val="0"/>
          <w:numId w:val="48"/>
        </w:numPr>
        <w:spacing w:line="240" w:lineRule="auto"/>
        <w:jc w:val="both"/>
        <w:rPr>
          <w:rFonts w:ascii="Arial" w:hAnsi="Arial"/>
          <w:b/>
          <w:bCs/>
        </w:rPr>
      </w:pPr>
      <w:r w:rsidRPr="00B754D8">
        <w:rPr>
          <w:rStyle w:val="Ninguno"/>
          <w:rFonts w:ascii="Arial" w:hAnsi="Arial"/>
          <w:b/>
          <w:bCs/>
        </w:rPr>
        <w:t>Trato otorgado a las personas privadas de libertad y derecho a un juicio imparcial (artículos 2, 9, 10 y 14)</w:t>
      </w:r>
    </w:p>
    <w:p w14:paraId="5D331B0F" w14:textId="77777777" w:rsidR="00D35E43" w:rsidRPr="00B754D8" w:rsidRDefault="00CD7861">
      <w:pPr>
        <w:pStyle w:val="CuerpoA"/>
        <w:numPr>
          <w:ilvl w:val="0"/>
          <w:numId w:val="50"/>
        </w:numPr>
        <w:spacing w:line="240" w:lineRule="auto"/>
        <w:jc w:val="both"/>
        <w:rPr>
          <w:rFonts w:ascii="Arial" w:hAnsi="Arial"/>
        </w:rPr>
      </w:pPr>
      <w:r w:rsidRPr="00B754D8">
        <w:rPr>
          <w:rStyle w:val="Ninguno"/>
          <w:rFonts w:ascii="Arial" w:hAnsi="Arial"/>
        </w:rPr>
        <w:t>Condiciones de internamiento.</w:t>
      </w:r>
    </w:p>
    <w:p w14:paraId="0CA20211" w14:textId="77777777" w:rsidR="00D35E43" w:rsidRPr="00B754D8" w:rsidRDefault="00CD7861">
      <w:pPr>
        <w:pStyle w:val="CuerpoA"/>
        <w:numPr>
          <w:ilvl w:val="0"/>
          <w:numId w:val="52"/>
        </w:numPr>
        <w:spacing w:line="240" w:lineRule="auto"/>
        <w:jc w:val="both"/>
        <w:rPr>
          <w:rFonts w:ascii="Arial" w:hAnsi="Arial"/>
        </w:rPr>
      </w:pPr>
      <w:r w:rsidRPr="00B754D8">
        <w:rPr>
          <w:rStyle w:val="Ninguno"/>
          <w:rFonts w:ascii="Arial" w:hAnsi="Arial"/>
        </w:rPr>
        <w:t xml:space="preserve">Contexto </w:t>
      </w:r>
    </w:p>
    <w:p w14:paraId="3E360411" w14:textId="77777777" w:rsidR="00D35E43" w:rsidRPr="00B754D8" w:rsidRDefault="00CD7861">
      <w:pPr>
        <w:pStyle w:val="CuerpoA"/>
        <w:numPr>
          <w:ilvl w:val="0"/>
          <w:numId w:val="52"/>
        </w:numPr>
        <w:spacing w:line="240" w:lineRule="auto"/>
        <w:jc w:val="both"/>
        <w:rPr>
          <w:rFonts w:ascii="Arial" w:hAnsi="Arial"/>
        </w:rPr>
      </w:pPr>
      <w:r w:rsidRPr="00B754D8">
        <w:rPr>
          <w:rStyle w:val="Ninguno"/>
          <w:rFonts w:ascii="Arial" w:hAnsi="Arial"/>
        </w:rPr>
        <w:t>Acciones de la CNDH</w:t>
      </w:r>
    </w:p>
    <w:p w14:paraId="3946DB5D" w14:textId="77777777" w:rsidR="00D35E43" w:rsidRPr="00B754D8" w:rsidRDefault="00CD7861">
      <w:pPr>
        <w:pStyle w:val="CuerpoA"/>
        <w:numPr>
          <w:ilvl w:val="0"/>
          <w:numId w:val="52"/>
        </w:numPr>
        <w:spacing w:line="240" w:lineRule="auto"/>
        <w:jc w:val="both"/>
        <w:rPr>
          <w:rFonts w:ascii="Arial" w:hAnsi="Arial"/>
        </w:rPr>
      </w:pPr>
      <w:r w:rsidRPr="00B754D8">
        <w:rPr>
          <w:rStyle w:val="Ninguno"/>
          <w:rFonts w:ascii="Arial" w:hAnsi="Arial"/>
        </w:rPr>
        <w:t>Retos para el Estado Mexicano</w:t>
      </w:r>
    </w:p>
    <w:p w14:paraId="6E5A5ACB" w14:textId="77777777" w:rsidR="00D35E43" w:rsidRPr="00B754D8" w:rsidRDefault="00CD7861">
      <w:pPr>
        <w:pStyle w:val="CuerpoA"/>
        <w:numPr>
          <w:ilvl w:val="0"/>
          <w:numId w:val="53"/>
        </w:numPr>
        <w:spacing w:line="240" w:lineRule="auto"/>
        <w:jc w:val="both"/>
        <w:rPr>
          <w:rFonts w:ascii="Arial" w:hAnsi="Arial"/>
          <w:b/>
          <w:bCs/>
        </w:rPr>
      </w:pPr>
      <w:r w:rsidRPr="00B754D8">
        <w:rPr>
          <w:rStyle w:val="Ninguno"/>
          <w:rFonts w:ascii="Arial" w:hAnsi="Arial"/>
          <w:b/>
          <w:bCs/>
        </w:rPr>
        <w:t>Eliminación de la esclavitud y la servidumbre (artículo 8)</w:t>
      </w:r>
    </w:p>
    <w:p w14:paraId="1B5A200D" w14:textId="77777777" w:rsidR="00D35E43" w:rsidRPr="00B754D8" w:rsidRDefault="00CD7861">
      <w:pPr>
        <w:pStyle w:val="CuerpoA"/>
        <w:numPr>
          <w:ilvl w:val="0"/>
          <w:numId w:val="55"/>
        </w:numPr>
        <w:spacing w:line="240" w:lineRule="auto"/>
        <w:jc w:val="both"/>
        <w:rPr>
          <w:rFonts w:ascii="Arial" w:hAnsi="Arial"/>
        </w:rPr>
      </w:pPr>
      <w:r w:rsidRPr="00B754D8">
        <w:rPr>
          <w:rStyle w:val="Ninguno"/>
          <w:rFonts w:ascii="Arial" w:hAnsi="Arial"/>
        </w:rPr>
        <w:t>Trata de Personas</w:t>
      </w:r>
    </w:p>
    <w:p w14:paraId="6B8C4167" w14:textId="77777777" w:rsidR="00D35E43" w:rsidRPr="00B754D8" w:rsidRDefault="00CD7861">
      <w:pPr>
        <w:pStyle w:val="CuerpoA"/>
        <w:numPr>
          <w:ilvl w:val="0"/>
          <w:numId w:val="57"/>
        </w:numPr>
        <w:spacing w:line="240" w:lineRule="auto"/>
        <w:jc w:val="both"/>
        <w:rPr>
          <w:rFonts w:ascii="Arial" w:hAnsi="Arial"/>
        </w:rPr>
      </w:pPr>
      <w:r w:rsidRPr="00B754D8">
        <w:rPr>
          <w:rStyle w:val="Ninguno"/>
          <w:rFonts w:ascii="Arial" w:hAnsi="Arial"/>
        </w:rPr>
        <w:t xml:space="preserve">Contexto </w:t>
      </w:r>
    </w:p>
    <w:p w14:paraId="7EB5EC79" w14:textId="77777777" w:rsidR="00D35E43" w:rsidRPr="00B754D8" w:rsidRDefault="00CD7861">
      <w:pPr>
        <w:pStyle w:val="CuerpoA"/>
        <w:numPr>
          <w:ilvl w:val="0"/>
          <w:numId w:val="57"/>
        </w:numPr>
        <w:spacing w:line="240" w:lineRule="auto"/>
        <w:jc w:val="both"/>
        <w:rPr>
          <w:rFonts w:ascii="Arial" w:hAnsi="Arial"/>
        </w:rPr>
      </w:pPr>
      <w:r w:rsidRPr="00B754D8">
        <w:rPr>
          <w:rStyle w:val="Ninguno"/>
          <w:rFonts w:ascii="Arial" w:hAnsi="Arial"/>
        </w:rPr>
        <w:t>Acciones de la CNDH</w:t>
      </w:r>
    </w:p>
    <w:p w14:paraId="243DD911" w14:textId="77777777" w:rsidR="00D35E43" w:rsidRPr="00B754D8" w:rsidRDefault="00CD7861">
      <w:pPr>
        <w:pStyle w:val="CuerpoA"/>
        <w:numPr>
          <w:ilvl w:val="0"/>
          <w:numId w:val="57"/>
        </w:numPr>
        <w:spacing w:line="240" w:lineRule="auto"/>
        <w:jc w:val="both"/>
        <w:rPr>
          <w:rFonts w:ascii="Arial" w:hAnsi="Arial"/>
        </w:rPr>
      </w:pPr>
      <w:r w:rsidRPr="00B754D8">
        <w:rPr>
          <w:rStyle w:val="Ninguno"/>
          <w:rFonts w:ascii="Arial" w:hAnsi="Arial"/>
        </w:rPr>
        <w:t>Retos para el Estado Mexicano</w:t>
      </w:r>
    </w:p>
    <w:p w14:paraId="73BD256F" w14:textId="77777777" w:rsidR="00D35E43" w:rsidRPr="00B754D8" w:rsidRDefault="00CD7861">
      <w:pPr>
        <w:pStyle w:val="CuerpoA"/>
        <w:numPr>
          <w:ilvl w:val="0"/>
          <w:numId w:val="58"/>
        </w:numPr>
        <w:spacing w:line="240" w:lineRule="auto"/>
        <w:jc w:val="both"/>
        <w:rPr>
          <w:rFonts w:ascii="Arial" w:hAnsi="Arial"/>
          <w:b/>
          <w:bCs/>
        </w:rPr>
      </w:pPr>
      <w:r w:rsidRPr="00B754D8">
        <w:rPr>
          <w:rStyle w:val="Ninguno"/>
          <w:rFonts w:ascii="Arial" w:hAnsi="Arial"/>
          <w:b/>
          <w:bCs/>
        </w:rPr>
        <w:t>Libertades de expresión y asociación (artículos 19 y 22)</w:t>
      </w:r>
    </w:p>
    <w:p w14:paraId="3A51FF5F" w14:textId="77777777" w:rsidR="00D35E43" w:rsidRPr="00B754D8" w:rsidRDefault="00CD7861">
      <w:pPr>
        <w:pStyle w:val="CuerpoA"/>
        <w:numPr>
          <w:ilvl w:val="0"/>
          <w:numId w:val="60"/>
        </w:numPr>
        <w:spacing w:line="240" w:lineRule="auto"/>
        <w:jc w:val="both"/>
        <w:rPr>
          <w:rFonts w:ascii="Arial" w:hAnsi="Arial"/>
        </w:rPr>
      </w:pPr>
      <w:r w:rsidRPr="00B754D8">
        <w:rPr>
          <w:rStyle w:val="Ninguno"/>
          <w:rFonts w:ascii="Arial" w:hAnsi="Arial"/>
        </w:rPr>
        <w:t>Situación de Periodistas y Defensores de Derechos Humanos</w:t>
      </w:r>
    </w:p>
    <w:p w14:paraId="76BEB6A6" w14:textId="77777777" w:rsidR="00D35E43" w:rsidRPr="00B754D8" w:rsidRDefault="00CD7861">
      <w:pPr>
        <w:pStyle w:val="CuerpoA"/>
        <w:numPr>
          <w:ilvl w:val="0"/>
          <w:numId w:val="62"/>
        </w:numPr>
        <w:spacing w:line="240" w:lineRule="auto"/>
        <w:jc w:val="both"/>
        <w:rPr>
          <w:rFonts w:ascii="Arial" w:hAnsi="Arial"/>
        </w:rPr>
      </w:pPr>
      <w:r w:rsidRPr="00B754D8">
        <w:rPr>
          <w:rStyle w:val="Ninguno"/>
          <w:rFonts w:ascii="Arial" w:hAnsi="Arial"/>
        </w:rPr>
        <w:t xml:space="preserve">Contexto </w:t>
      </w:r>
    </w:p>
    <w:p w14:paraId="0D720807" w14:textId="77777777" w:rsidR="00D35E43" w:rsidRPr="00B754D8" w:rsidRDefault="00CD7861">
      <w:pPr>
        <w:pStyle w:val="CuerpoA"/>
        <w:numPr>
          <w:ilvl w:val="0"/>
          <w:numId w:val="62"/>
        </w:numPr>
        <w:spacing w:line="240" w:lineRule="auto"/>
        <w:jc w:val="both"/>
        <w:rPr>
          <w:rFonts w:ascii="Arial" w:hAnsi="Arial"/>
        </w:rPr>
      </w:pPr>
      <w:r w:rsidRPr="00B754D8">
        <w:rPr>
          <w:rStyle w:val="Ninguno"/>
          <w:rFonts w:ascii="Arial" w:hAnsi="Arial"/>
        </w:rPr>
        <w:t>Acciones de la CNDH</w:t>
      </w:r>
    </w:p>
    <w:p w14:paraId="6AAAA29F" w14:textId="77777777" w:rsidR="00D35E43" w:rsidRPr="00B754D8" w:rsidRDefault="00CD7861">
      <w:pPr>
        <w:pStyle w:val="CuerpoA"/>
        <w:numPr>
          <w:ilvl w:val="0"/>
          <w:numId w:val="62"/>
        </w:numPr>
        <w:spacing w:line="240" w:lineRule="auto"/>
        <w:jc w:val="both"/>
        <w:rPr>
          <w:rFonts w:ascii="Arial" w:hAnsi="Arial"/>
        </w:rPr>
      </w:pPr>
      <w:r w:rsidRPr="00B754D8">
        <w:rPr>
          <w:rStyle w:val="Ninguno"/>
          <w:rFonts w:ascii="Arial" w:hAnsi="Arial"/>
        </w:rPr>
        <w:t>Retos para el Estado Mexicano</w:t>
      </w:r>
    </w:p>
    <w:p w14:paraId="2F2DA2CD" w14:textId="77777777" w:rsidR="00D35E43" w:rsidRPr="00B754D8" w:rsidRDefault="00CD7861">
      <w:pPr>
        <w:pStyle w:val="CuerpoA"/>
        <w:numPr>
          <w:ilvl w:val="0"/>
          <w:numId w:val="63"/>
        </w:numPr>
        <w:spacing w:line="240" w:lineRule="auto"/>
        <w:jc w:val="both"/>
        <w:rPr>
          <w:rFonts w:ascii="Arial" w:hAnsi="Arial"/>
          <w:b/>
          <w:bCs/>
        </w:rPr>
      </w:pPr>
      <w:r w:rsidRPr="00B754D8">
        <w:rPr>
          <w:rStyle w:val="Ninguno"/>
          <w:rFonts w:ascii="Arial" w:hAnsi="Arial"/>
          <w:b/>
          <w:bCs/>
        </w:rPr>
        <w:t>Derechos del niño (artículo 24)</w:t>
      </w:r>
    </w:p>
    <w:p w14:paraId="04CB61AD" w14:textId="77777777" w:rsidR="00D35E43" w:rsidRPr="00B754D8" w:rsidRDefault="00CD7861">
      <w:pPr>
        <w:pStyle w:val="CuerpoA"/>
        <w:numPr>
          <w:ilvl w:val="0"/>
          <w:numId w:val="65"/>
        </w:numPr>
        <w:spacing w:line="240" w:lineRule="auto"/>
        <w:jc w:val="both"/>
        <w:rPr>
          <w:rFonts w:ascii="Arial" w:hAnsi="Arial"/>
        </w:rPr>
      </w:pPr>
      <w:r w:rsidRPr="00B754D8">
        <w:rPr>
          <w:rStyle w:val="Ninguno"/>
          <w:rFonts w:ascii="Arial" w:hAnsi="Arial"/>
        </w:rPr>
        <w:t>Inscripción de nacimientos</w:t>
      </w:r>
    </w:p>
    <w:p w14:paraId="096EDD1A" w14:textId="77777777" w:rsidR="00D35E43" w:rsidRPr="00B754D8" w:rsidRDefault="00CD7861">
      <w:pPr>
        <w:pStyle w:val="CuerpoA"/>
        <w:numPr>
          <w:ilvl w:val="0"/>
          <w:numId w:val="67"/>
        </w:numPr>
        <w:spacing w:line="240" w:lineRule="auto"/>
        <w:jc w:val="both"/>
        <w:rPr>
          <w:rFonts w:ascii="Arial" w:hAnsi="Arial"/>
        </w:rPr>
      </w:pPr>
      <w:r w:rsidRPr="00B754D8">
        <w:rPr>
          <w:rStyle w:val="Ninguno"/>
          <w:rFonts w:ascii="Arial" w:hAnsi="Arial"/>
        </w:rPr>
        <w:t xml:space="preserve">Contexto </w:t>
      </w:r>
    </w:p>
    <w:p w14:paraId="7D24EB35" w14:textId="77777777" w:rsidR="00D35E43" w:rsidRPr="00B754D8" w:rsidRDefault="00CD7861">
      <w:pPr>
        <w:pStyle w:val="CuerpoA"/>
        <w:numPr>
          <w:ilvl w:val="0"/>
          <w:numId w:val="67"/>
        </w:numPr>
        <w:spacing w:line="240" w:lineRule="auto"/>
        <w:jc w:val="both"/>
        <w:rPr>
          <w:rFonts w:ascii="Arial" w:hAnsi="Arial"/>
        </w:rPr>
      </w:pPr>
      <w:r w:rsidRPr="00B754D8">
        <w:rPr>
          <w:rStyle w:val="Ninguno"/>
          <w:rFonts w:ascii="Arial" w:hAnsi="Arial"/>
        </w:rPr>
        <w:t>Acciones de la CNDH</w:t>
      </w:r>
    </w:p>
    <w:p w14:paraId="0C605C60" w14:textId="77777777" w:rsidR="00D35E43" w:rsidRPr="00B754D8" w:rsidRDefault="00CD7861">
      <w:pPr>
        <w:pStyle w:val="CuerpoA"/>
        <w:numPr>
          <w:ilvl w:val="0"/>
          <w:numId w:val="67"/>
        </w:numPr>
        <w:spacing w:line="240" w:lineRule="auto"/>
        <w:jc w:val="both"/>
        <w:rPr>
          <w:rFonts w:ascii="Arial" w:hAnsi="Arial"/>
        </w:rPr>
      </w:pPr>
      <w:r w:rsidRPr="00B754D8">
        <w:rPr>
          <w:rStyle w:val="Ninguno"/>
          <w:rFonts w:ascii="Arial" w:hAnsi="Arial"/>
        </w:rPr>
        <w:t>Retos para el Estado Mexicano</w:t>
      </w:r>
    </w:p>
    <w:p w14:paraId="67C475C3" w14:textId="77777777" w:rsidR="00D35E43" w:rsidRPr="00B754D8" w:rsidRDefault="00CD7861">
      <w:pPr>
        <w:pStyle w:val="CuerpoA"/>
        <w:numPr>
          <w:ilvl w:val="0"/>
          <w:numId w:val="68"/>
        </w:numPr>
        <w:spacing w:line="240" w:lineRule="auto"/>
        <w:rPr>
          <w:rFonts w:ascii="Arial" w:hAnsi="Arial"/>
          <w:b/>
          <w:bCs/>
        </w:rPr>
      </w:pPr>
      <w:r w:rsidRPr="00B754D8">
        <w:rPr>
          <w:rStyle w:val="Ninguno"/>
          <w:rFonts w:ascii="Arial" w:hAnsi="Arial"/>
          <w:b/>
          <w:bCs/>
        </w:rPr>
        <w:t>Participación en los asuntos públicos y derechos de las personas que pertenezcan a minorías (artículos 25 a 27)</w:t>
      </w:r>
    </w:p>
    <w:p w14:paraId="76E69E17" w14:textId="77777777" w:rsidR="00D35E43" w:rsidRPr="00B754D8" w:rsidRDefault="00CD7861">
      <w:pPr>
        <w:pStyle w:val="CuerpoA"/>
        <w:numPr>
          <w:ilvl w:val="0"/>
          <w:numId w:val="70"/>
        </w:numPr>
        <w:spacing w:line="240" w:lineRule="auto"/>
        <w:jc w:val="both"/>
        <w:rPr>
          <w:rFonts w:ascii="Arial" w:hAnsi="Arial"/>
        </w:rPr>
      </w:pPr>
      <w:r w:rsidRPr="00B754D8">
        <w:rPr>
          <w:rStyle w:val="Ninguno"/>
          <w:rFonts w:ascii="Arial" w:hAnsi="Arial"/>
        </w:rPr>
        <w:t>Derecho a la Consulta Previa</w:t>
      </w:r>
    </w:p>
    <w:p w14:paraId="084BD9E9" w14:textId="77777777" w:rsidR="00D35E43" w:rsidRPr="00B754D8" w:rsidRDefault="00CD7861">
      <w:pPr>
        <w:pStyle w:val="CuerpoA"/>
        <w:numPr>
          <w:ilvl w:val="0"/>
          <w:numId w:val="72"/>
        </w:numPr>
        <w:spacing w:line="240" w:lineRule="auto"/>
        <w:jc w:val="both"/>
        <w:rPr>
          <w:rFonts w:ascii="Arial" w:hAnsi="Arial"/>
        </w:rPr>
      </w:pPr>
      <w:r w:rsidRPr="00B754D8">
        <w:rPr>
          <w:rStyle w:val="Ninguno"/>
          <w:rFonts w:ascii="Arial" w:hAnsi="Arial"/>
        </w:rPr>
        <w:t xml:space="preserve">Contexto </w:t>
      </w:r>
    </w:p>
    <w:p w14:paraId="60F3755E" w14:textId="77777777" w:rsidR="00D35E43" w:rsidRPr="00B754D8" w:rsidRDefault="00CD7861">
      <w:pPr>
        <w:pStyle w:val="CuerpoA"/>
        <w:numPr>
          <w:ilvl w:val="0"/>
          <w:numId w:val="72"/>
        </w:numPr>
        <w:spacing w:line="240" w:lineRule="auto"/>
        <w:jc w:val="both"/>
        <w:rPr>
          <w:rFonts w:ascii="Arial" w:hAnsi="Arial"/>
        </w:rPr>
      </w:pPr>
      <w:r w:rsidRPr="00B754D8">
        <w:rPr>
          <w:rStyle w:val="Ninguno"/>
          <w:rFonts w:ascii="Arial" w:hAnsi="Arial"/>
        </w:rPr>
        <w:t>Acciones de la CNDH</w:t>
      </w:r>
    </w:p>
    <w:p w14:paraId="76EA7A0D" w14:textId="77777777" w:rsidR="00D35E43" w:rsidRPr="00B754D8" w:rsidRDefault="00CD7861">
      <w:pPr>
        <w:pStyle w:val="CuerpoA"/>
        <w:numPr>
          <w:ilvl w:val="0"/>
          <w:numId w:val="72"/>
        </w:numPr>
        <w:spacing w:line="240" w:lineRule="auto"/>
        <w:jc w:val="both"/>
        <w:rPr>
          <w:rFonts w:ascii="Arial" w:hAnsi="Arial"/>
        </w:rPr>
      </w:pPr>
      <w:r w:rsidRPr="00B754D8">
        <w:rPr>
          <w:rStyle w:val="Ninguno"/>
          <w:rFonts w:ascii="Arial" w:hAnsi="Arial"/>
        </w:rPr>
        <w:t>Retos para el Estado Mexicano</w:t>
      </w:r>
    </w:p>
    <w:p w14:paraId="1C593BF0" w14:textId="77777777" w:rsidR="00D35E43" w:rsidRPr="00B754D8" w:rsidRDefault="00CD7861">
      <w:pPr>
        <w:pStyle w:val="CuerpoA"/>
        <w:numPr>
          <w:ilvl w:val="0"/>
          <w:numId w:val="73"/>
        </w:numPr>
        <w:spacing w:line="240" w:lineRule="auto"/>
        <w:jc w:val="both"/>
        <w:rPr>
          <w:rFonts w:ascii="Arial" w:hAnsi="Arial"/>
          <w:b/>
          <w:bCs/>
        </w:rPr>
      </w:pPr>
      <w:r w:rsidRPr="00B754D8">
        <w:rPr>
          <w:rStyle w:val="Ninguno"/>
          <w:rFonts w:ascii="Arial" w:hAnsi="Arial"/>
          <w:b/>
          <w:bCs/>
        </w:rPr>
        <w:t>Propuesta de Recomendaciones de la CNDH para la consideración del Comité Derechos Humanos de la ONU</w:t>
      </w:r>
    </w:p>
    <w:p w14:paraId="265D195E" w14:textId="77777777" w:rsidR="00D35E43" w:rsidRPr="00B754D8" w:rsidRDefault="00D35E43">
      <w:pPr>
        <w:pStyle w:val="CuerpoA"/>
        <w:spacing w:line="240" w:lineRule="auto"/>
        <w:ind w:left="720"/>
        <w:jc w:val="both"/>
        <w:rPr>
          <w:rStyle w:val="Ninguno"/>
          <w:rFonts w:ascii="Arial" w:eastAsia="Arial" w:hAnsi="Arial" w:cs="Arial"/>
          <w:b/>
          <w:bCs/>
        </w:rPr>
      </w:pPr>
    </w:p>
    <w:p w14:paraId="5CA2E0F2" w14:textId="77777777" w:rsidR="00D35E43" w:rsidRPr="00B754D8" w:rsidRDefault="00CD7861">
      <w:pPr>
        <w:pStyle w:val="CuerpoA"/>
        <w:jc w:val="center"/>
        <w:rPr>
          <w:rStyle w:val="Ninguno"/>
          <w:rFonts w:ascii="Arial" w:eastAsia="Arial" w:hAnsi="Arial" w:cs="Arial"/>
          <w:b/>
          <w:bCs/>
          <w:sz w:val="24"/>
          <w:szCs w:val="24"/>
        </w:rPr>
      </w:pPr>
      <w:r w:rsidRPr="00B754D8">
        <w:rPr>
          <w:rStyle w:val="Ninguno"/>
          <w:rFonts w:ascii="Arial" w:hAnsi="Arial"/>
          <w:b/>
          <w:bCs/>
          <w:sz w:val="24"/>
          <w:szCs w:val="24"/>
        </w:rPr>
        <w:lastRenderedPageBreak/>
        <w:t>INTRODUCCIÓN</w:t>
      </w:r>
    </w:p>
    <w:p w14:paraId="6F9C8DC9" w14:textId="77777777" w:rsidR="00D35E43" w:rsidRPr="0091511D" w:rsidRDefault="00CD7861">
      <w:pPr>
        <w:pStyle w:val="CuerpoA"/>
        <w:jc w:val="both"/>
        <w:rPr>
          <w:rStyle w:val="Ninguno"/>
          <w:rFonts w:ascii="Arial" w:hAnsi="Arial"/>
          <w:sz w:val="24"/>
          <w:szCs w:val="24"/>
        </w:rPr>
      </w:pPr>
      <w:r w:rsidRPr="00B754D8">
        <w:rPr>
          <w:rStyle w:val="Ninguno"/>
          <w:rFonts w:ascii="Arial" w:hAnsi="Arial"/>
          <w:sz w:val="24"/>
          <w:szCs w:val="24"/>
        </w:rPr>
        <w:t xml:space="preserve">México continúa en una coyuntura crítica en materia de derechos humanos, con el más alto índice de impunidad en el continente y sin poder dejar atrás prácticas y problemas que han marcado las últimas décadas, que se expresan en los binomios violencia e inseguridad, corrupción e impunidad, así como pobreza y exclusión, </w:t>
      </w:r>
      <w:r w:rsidRPr="0091511D">
        <w:rPr>
          <w:rStyle w:val="Ninguno"/>
          <w:rFonts w:ascii="Arial" w:hAnsi="Arial"/>
          <w:sz w:val="24"/>
          <w:szCs w:val="24"/>
        </w:rPr>
        <w:t>un estado débil del estado de derecho y debilidad institucional en procuración de justicia.</w:t>
      </w:r>
    </w:p>
    <w:p w14:paraId="63F84B1C"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La CNDH llama la atención sobre los índices de corrupción que perpetúan las condiciones estructurales de desigualdad, pobreza, exclusión y violencia; causas estructurales de violaciones a los derechos humanos.</w:t>
      </w:r>
    </w:p>
    <w:p w14:paraId="47664B03"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La corrupción debe ser prevenida y sancionada e impulsar mecanismos que consoliden la cultura de la denuncia, vigilancia social, transparencia y rendición de cuentas, basada en una debida y eficiente fiscalización de la administración pública y el control de los recursos.</w:t>
      </w:r>
    </w:p>
    <w:p w14:paraId="3A5883C3"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La impunidad persiste, y se ve reflejada en violaciones graves de derechos humanos. Las detenciones y las ejecuciones arbitrarias, conllevan otras violaciones a los derechos humanos, como tortura, malos tratos y desapariciones, </w:t>
      </w:r>
      <w:r w:rsidRPr="0091511D">
        <w:rPr>
          <w:rStyle w:val="Ninguno"/>
          <w:rFonts w:ascii="Arial" w:hAnsi="Arial"/>
          <w:sz w:val="24"/>
          <w:szCs w:val="24"/>
        </w:rPr>
        <w:t>y la violencia contra la mujer</w:t>
      </w:r>
      <w:r w:rsidRPr="00B754D8">
        <w:rPr>
          <w:rStyle w:val="Ninguno"/>
          <w:rFonts w:ascii="Arial" w:hAnsi="Arial"/>
          <w:sz w:val="24"/>
          <w:szCs w:val="24"/>
        </w:rPr>
        <w:t>, que no se investigan adecuadamente. Mientras no se resuelvan estos casos, se conozca la verdad, se sancione a los responsables y se repare a las víctimas, el Estado mexicano no podrá avanzar hacia la consolidación de un Estado democrático y de derecho auténtico.</w:t>
      </w:r>
    </w:p>
    <w:p w14:paraId="70C3A93A"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En este sentido, la Comisión Nacional de los Derechos Humanos de México (CNDH), acreditada ante la Alianza Global de Instituciones Nacionales de Derechos Humanos (GANHRI) con estatus “A”, toda vez que cumple con los Principios relativos al estatuto de las instituciones nacionales (Principios de París),presenta un Informe que da cuenta de manera sucinta de la visión de este Organismo Autónomo sobre la lista de temas que son de interés para los miembros del Comité de Derechos Humanos,  con motivo de la revisión del sexto informe periódico de México.</w:t>
      </w:r>
    </w:p>
    <w:p w14:paraId="1D400AA9"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Este documento pretende facilitar la revisión por parte de los miembros del Comité de Derechos Humanos de la ONU de los distintos temas de interés con respecto al cumplimiento de las Obligaciones de México con respecto al Pacto Internacional de Derechos Civiles y Políticos, por lo que su estructura contempla en cada apartado información sobre el contexto actual en México de cada tema, las acciones que ha llevado a cabo esta Comisión Nacional, y los retos que a juicio de esta Comisión Nacional enfrenta el Estado Mexicano para atender las problemáticas particulares derivadas de las obligaciones del Pacto Internacional de Derechos Civiles y Políticos.</w:t>
      </w:r>
    </w:p>
    <w:p w14:paraId="3CE5C126"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lastRenderedPageBreak/>
        <w:t xml:space="preserve">En cuanto al contenido del documento, en el apartado del </w:t>
      </w:r>
      <w:r w:rsidRPr="00B754D8">
        <w:rPr>
          <w:rStyle w:val="Ninguno"/>
          <w:rFonts w:ascii="Arial" w:hAnsi="Arial"/>
          <w:i/>
          <w:iCs/>
          <w:sz w:val="24"/>
          <w:szCs w:val="24"/>
        </w:rPr>
        <w:t>Marco constitucional y jurídico de aplicación del Pacto Internacional de Derechos Civiles y Políticos</w:t>
      </w:r>
      <w:r w:rsidRPr="00B754D8">
        <w:rPr>
          <w:rStyle w:val="Ninguno"/>
          <w:rFonts w:ascii="Arial" w:hAnsi="Arial"/>
          <w:sz w:val="24"/>
          <w:szCs w:val="24"/>
        </w:rPr>
        <w:t xml:space="preserve"> se da cuenta del Impacto de la Reforma Constitucional de 2011 y los efectos de la sentencia de la Suprema Corte de Justicia en la contradicción de tesis 293/2011, así como de la implementación de la Ley General de Víctimas en México</w:t>
      </w:r>
    </w:p>
    <w:p w14:paraId="552F9AC8"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En el apartado que se refiere a </w:t>
      </w:r>
      <w:r w:rsidRPr="00B754D8">
        <w:rPr>
          <w:rStyle w:val="Ninguno"/>
          <w:rFonts w:ascii="Arial" w:hAnsi="Arial"/>
          <w:i/>
          <w:iCs/>
          <w:sz w:val="24"/>
          <w:szCs w:val="24"/>
        </w:rPr>
        <w:t>Igualdad y no discriminación</w:t>
      </w:r>
      <w:r w:rsidRPr="00B754D8">
        <w:rPr>
          <w:rStyle w:val="Ninguno"/>
          <w:rFonts w:ascii="Arial" w:hAnsi="Arial"/>
          <w:sz w:val="24"/>
          <w:szCs w:val="24"/>
        </w:rPr>
        <w:t xml:space="preserve"> se brinda información sobre la Igualdad entre mujeres y hombres, Violencia y discriminación por motivos de orientación sexual o identidad de género, y la violencia contra la mujer.</w:t>
      </w:r>
    </w:p>
    <w:p w14:paraId="1E51CB8A"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En el apartado de </w:t>
      </w:r>
      <w:r w:rsidRPr="00B754D8">
        <w:rPr>
          <w:rStyle w:val="Ninguno"/>
          <w:rFonts w:ascii="Arial" w:hAnsi="Arial"/>
          <w:i/>
          <w:iCs/>
          <w:sz w:val="24"/>
          <w:szCs w:val="24"/>
        </w:rPr>
        <w:t>Estados de excepción</w:t>
      </w:r>
      <w:r w:rsidRPr="00B754D8">
        <w:rPr>
          <w:rStyle w:val="Ninguno"/>
          <w:rFonts w:ascii="Arial" w:hAnsi="Arial"/>
          <w:sz w:val="24"/>
          <w:szCs w:val="24"/>
        </w:rPr>
        <w:t>, se hace referencia a la Guardia Nacional, desde su concepción en la reforma constitucional aprobada a inicios del 2019, hasta los retos a los que se enfrenta al Estado Mexicano, para garantizar que este nuevo cuerpo policiaco no se convierta en un ente que cometa violaciones a los derechos humanos en el ejercicio de sus funciones.</w:t>
      </w:r>
    </w:p>
    <w:p w14:paraId="42FA41A7"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En el apartado </w:t>
      </w:r>
      <w:r w:rsidRPr="00B754D8">
        <w:rPr>
          <w:rStyle w:val="Ninguno"/>
          <w:rFonts w:ascii="Arial" w:hAnsi="Arial"/>
          <w:i/>
          <w:iCs/>
          <w:sz w:val="24"/>
          <w:szCs w:val="24"/>
        </w:rPr>
        <w:t>Derecho a la vida; prohibición de la tortura y los tratos o penas crueles, inhumanos o degradantes; derecho a la libertad y a la seguridad personales</w:t>
      </w:r>
      <w:r w:rsidRPr="00B754D8">
        <w:rPr>
          <w:rStyle w:val="Ninguno"/>
          <w:rFonts w:ascii="Arial" w:hAnsi="Arial"/>
          <w:sz w:val="24"/>
          <w:szCs w:val="24"/>
        </w:rPr>
        <w:t>, se abordan muy diversas temáticas como los Abusos y violaciones de derechos humanos cometidos por miembros de las fuerzas armadas o de seguridad, la tortura, las desapariciones forzadas, la violencia obtétrica, las violaciones graves a los derechos humanos ( tema en el que se da cuenta de los 43 estudiantes normalistas desparecidos en Ayotzinapa), así como de los castigos corporales a niños y adolescentes, y la situación de las personas migrantes.</w:t>
      </w:r>
    </w:p>
    <w:p w14:paraId="15B57950"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En el apartado sobre</w:t>
      </w:r>
      <w:r w:rsidRPr="00B754D8">
        <w:rPr>
          <w:rStyle w:val="Ninguno"/>
        </w:rPr>
        <w:t xml:space="preserve"> </w:t>
      </w:r>
      <w:r w:rsidRPr="00B754D8">
        <w:rPr>
          <w:rStyle w:val="Ninguno"/>
          <w:rFonts w:ascii="Arial" w:hAnsi="Arial"/>
          <w:i/>
          <w:iCs/>
          <w:sz w:val="24"/>
          <w:szCs w:val="24"/>
        </w:rPr>
        <w:t>Trato otorgado a las personas privadas de libertad y derecho a un juicio imparcial</w:t>
      </w:r>
      <w:r w:rsidRPr="00B754D8">
        <w:rPr>
          <w:rStyle w:val="Ninguno"/>
          <w:rFonts w:ascii="Arial" w:hAnsi="Arial"/>
          <w:sz w:val="24"/>
          <w:szCs w:val="24"/>
        </w:rPr>
        <w:t>, se hace una revisión de las condiciones de internamiento en los centros penitenciarios del país, y se delinean los retos que tiene el Estado Mexicano en la materia</w:t>
      </w:r>
    </w:p>
    <w:p w14:paraId="6DFBBD23"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Posteriormente en el apartado </w:t>
      </w:r>
      <w:r w:rsidRPr="00B754D8">
        <w:rPr>
          <w:rStyle w:val="Ninguno"/>
          <w:rFonts w:ascii="Arial" w:hAnsi="Arial"/>
          <w:i/>
          <w:iCs/>
          <w:sz w:val="24"/>
          <w:szCs w:val="24"/>
        </w:rPr>
        <w:t>Eliminación de la esclavitud y la servidumbre</w:t>
      </w:r>
      <w:r w:rsidRPr="00B754D8">
        <w:rPr>
          <w:rStyle w:val="Ninguno"/>
          <w:rFonts w:ascii="Arial" w:hAnsi="Arial"/>
          <w:sz w:val="24"/>
          <w:szCs w:val="24"/>
        </w:rPr>
        <w:t>, se brinda una panorámica sobre la situación en materia de trata de personas en el país, y los desafíos que tiene el Estado Mexicano para combatir este flagelo.</w:t>
      </w:r>
    </w:p>
    <w:p w14:paraId="6D93E811"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Mención especial merece en el apartado </w:t>
      </w:r>
      <w:r w:rsidRPr="00B754D8">
        <w:rPr>
          <w:rStyle w:val="Ninguno"/>
          <w:rFonts w:ascii="Arial" w:hAnsi="Arial"/>
          <w:i/>
          <w:iCs/>
          <w:sz w:val="24"/>
          <w:szCs w:val="24"/>
        </w:rPr>
        <w:t xml:space="preserve">Libertades de expresión y asociación, </w:t>
      </w:r>
      <w:r w:rsidRPr="00B754D8">
        <w:rPr>
          <w:rStyle w:val="Ninguno"/>
          <w:rFonts w:ascii="Arial" w:hAnsi="Arial"/>
          <w:sz w:val="24"/>
          <w:szCs w:val="24"/>
        </w:rPr>
        <w:t>pues además dar cuenta de la situación actual de los defensores de derechos humanos y los periodistas</w:t>
      </w:r>
      <w:r w:rsidRPr="00B754D8">
        <w:rPr>
          <w:rStyle w:val="Ninguno"/>
          <w:rFonts w:ascii="Arial" w:hAnsi="Arial"/>
          <w:i/>
          <w:iCs/>
          <w:sz w:val="24"/>
          <w:szCs w:val="24"/>
        </w:rPr>
        <w:t xml:space="preserve">, también se brinda </w:t>
      </w:r>
      <w:r w:rsidRPr="00B754D8">
        <w:rPr>
          <w:rStyle w:val="Ninguno"/>
          <w:rFonts w:ascii="Arial" w:hAnsi="Arial"/>
          <w:sz w:val="24"/>
          <w:szCs w:val="24"/>
        </w:rPr>
        <w:t>un panorama sobre las descalificaciones que el Gobierno Federal ha emitido al trabajo de la la Comisión Nacional de los Derechos Humanos, y de los intentos que se tienen para desvirtuar la naturaleza de la Institución en detrimento de su autonomía</w:t>
      </w:r>
    </w:p>
    <w:p w14:paraId="5E3AB3DC"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Además, en el apartado </w:t>
      </w:r>
      <w:r w:rsidRPr="00B754D8">
        <w:rPr>
          <w:rStyle w:val="Ninguno"/>
          <w:rFonts w:ascii="Arial" w:hAnsi="Arial"/>
          <w:i/>
          <w:iCs/>
          <w:sz w:val="24"/>
          <w:szCs w:val="24"/>
        </w:rPr>
        <w:t>Participación en los asuntos públicos y derechos de las personas que pertenezcan a minorías</w:t>
      </w:r>
      <w:r w:rsidRPr="00B754D8">
        <w:rPr>
          <w:rStyle w:val="Ninguno"/>
          <w:rFonts w:ascii="Arial" w:hAnsi="Arial"/>
          <w:sz w:val="24"/>
          <w:szCs w:val="24"/>
        </w:rPr>
        <w:t>, se hace especial énfasis en los avances y retos que se tienen respecto al tema de la Consulta Previa, Libre e Informada hacia los pueblos y comunidades indígenas en México,</w:t>
      </w:r>
    </w:p>
    <w:p w14:paraId="0D12D71E"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lastRenderedPageBreak/>
        <w:t>La parte final del documento contiene una serie de recomendaciones, que,</w:t>
      </w:r>
      <w:r w:rsidRPr="00B754D8">
        <w:rPr>
          <w:rStyle w:val="Ninguno"/>
        </w:rPr>
        <w:t xml:space="preserve"> </w:t>
      </w:r>
      <w:r w:rsidRPr="00B754D8">
        <w:rPr>
          <w:rStyle w:val="Ninguno"/>
          <w:rFonts w:ascii="Arial" w:hAnsi="Arial"/>
          <w:sz w:val="24"/>
          <w:szCs w:val="24"/>
        </w:rPr>
        <w:t xml:space="preserve">en su carácter de Institución Nacional de Derechos Humanos autónoma e independiente del Gobierno de México, </w:t>
      </w:r>
      <w:r w:rsidRPr="0091511D">
        <w:rPr>
          <w:rStyle w:val="Ninguno"/>
          <w:rFonts w:ascii="Arial" w:hAnsi="Arial"/>
          <w:sz w:val="24"/>
          <w:szCs w:val="24"/>
        </w:rPr>
        <w:t>con el único propósito de contribuir a la solución de esas problemáticas</w:t>
      </w:r>
      <w:r w:rsidRPr="00B754D8">
        <w:rPr>
          <w:rStyle w:val="Ninguno"/>
          <w:rFonts w:ascii="Arial" w:hAnsi="Arial"/>
          <w:sz w:val="24"/>
          <w:szCs w:val="24"/>
        </w:rPr>
        <w:t>, sugiere respetuosamente al Comité de Derechos Humanos de la ONU dirigir al Estado Mexicano, como parte del proceso de revisión de su sexto informe periódico.</w:t>
      </w:r>
    </w:p>
    <w:p w14:paraId="26D3455C" w14:textId="77777777" w:rsidR="00D35E43" w:rsidRPr="0091511D" w:rsidRDefault="00CD7861">
      <w:pPr>
        <w:pStyle w:val="CuerpoA"/>
        <w:jc w:val="both"/>
        <w:rPr>
          <w:rStyle w:val="Ninguno"/>
          <w:rFonts w:ascii="Arial" w:hAnsi="Arial"/>
          <w:sz w:val="24"/>
          <w:szCs w:val="24"/>
        </w:rPr>
      </w:pPr>
      <w:r w:rsidRPr="00B754D8">
        <w:rPr>
          <w:rStyle w:val="Ninguno"/>
          <w:rFonts w:ascii="Arial" w:hAnsi="Arial"/>
          <w:sz w:val="24"/>
          <w:szCs w:val="24"/>
        </w:rPr>
        <w:t xml:space="preserve">La CNDH es un Organismo Constitucional Autónomo y en ese carácter considera necesario que México consolide su institucionalidad democrática mediante la preservación del sistema constitucional de pesos y contrapesos, y fortalezca para ello la profesionalización del servicio público, al tiempo que se respete el disenso y se superen los discursos que polarizan a la población, </w:t>
      </w:r>
      <w:r w:rsidRPr="0091511D">
        <w:rPr>
          <w:rStyle w:val="Ninguno"/>
          <w:rFonts w:ascii="Arial" w:hAnsi="Arial"/>
          <w:sz w:val="24"/>
          <w:szCs w:val="24"/>
        </w:rPr>
        <w:t>sobre todo desde las esferas de poder público.</w:t>
      </w:r>
      <w:r w:rsidRPr="00B754D8">
        <w:rPr>
          <w:rStyle w:val="Ninguno"/>
          <w:rFonts w:ascii="Arial" w:hAnsi="Arial"/>
          <w:sz w:val="24"/>
          <w:szCs w:val="24"/>
        </w:rPr>
        <w:t xml:space="preserve"> </w:t>
      </w:r>
    </w:p>
    <w:p w14:paraId="12189B63"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La CNDH es y ha sido, una institución del Estado, independiente de gobiernos, partidos políticos e intereses políticos o de cualquier otra índole, cuya vocación y justificación última está en el servicio a México y a las y los mexicanos, a quienes, durante sus más de 28 años de existencia, ha acompañado como un contrapeso institucional ante los abusos de poder, siendo una vía para que los derechos de las personas se defiendan y se protejan. Esta Comisión Nacional está convencida de que solo con el respeto y vigencia de los derechos humanos serán posibles las transformaciones que México demanda.</w:t>
      </w:r>
    </w:p>
    <w:p w14:paraId="550DEAF2"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La CNDH está cierta que este ejercicio de revisión al Estado Mexicano en materia de derechos civiles y políticos, permitirá al gobierno de México a trazar un diseño de política pública, basado en un enfoque de derechos humanos que ayude a generar las condiciones de igualdad, acceso al desarrollo y a la participación activa de estos grupos sociales en situación de vulnerabilidad.</w:t>
      </w:r>
    </w:p>
    <w:p w14:paraId="11FB38C8" w14:textId="77777777" w:rsidR="00D35E43" w:rsidRPr="00B754D8" w:rsidRDefault="00D35E43">
      <w:pPr>
        <w:pStyle w:val="CuerpoA"/>
        <w:jc w:val="both"/>
        <w:rPr>
          <w:rStyle w:val="Ninguno"/>
          <w:rFonts w:ascii="Arial" w:eastAsia="Arial" w:hAnsi="Arial" w:cs="Arial"/>
          <w:sz w:val="24"/>
          <w:szCs w:val="24"/>
        </w:rPr>
      </w:pPr>
    </w:p>
    <w:p w14:paraId="6DBE1596" w14:textId="77777777" w:rsidR="00D35E43" w:rsidRPr="00B754D8" w:rsidRDefault="00D35E43">
      <w:pPr>
        <w:pStyle w:val="CuerpoA"/>
        <w:jc w:val="both"/>
        <w:rPr>
          <w:rStyle w:val="Ninguno"/>
          <w:rFonts w:ascii="Arial" w:eastAsia="Arial" w:hAnsi="Arial" w:cs="Arial"/>
          <w:sz w:val="24"/>
          <w:szCs w:val="24"/>
        </w:rPr>
      </w:pPr>
    </w:p>
    <w:p w14:paraId="304F1FE4" w14:textId="77777777" w:rsidR="00D35E43" w:rsidRPr="00B754D8" w:rsidRDefault="00D35E43">
      <w:pPr>
        <w:pStyle w:val="CuerpoA"/>
        <w:jc w:val="both"/>
        <w:rPr>
          <w:rStyle w:val="Ninguno"/>
          <w:rFonts w:ascii="Arial" w:eastAsia="Arial" w:hAnsi="Arial" w:cs="Arial"/>
          <w:sz w:val="24"/>
          <w:szCs w:val="24"/>
        </w:rPr>
      </w:pPr>
    </w:p>
    <w:p w14:paraId="6687462B" w14:textId="77777777" w:rsidR="00D35E43" w:rsidRPr="00B754D8" w:rsidRDefault="00D35E43">
      <w:pPr>
        <w:pStyle w:val="CuerpoA"/>
        <w:jc w:val="both"/>
        <w:rPr>
          <w:rStyle w:val="Ninguno"/>
          <w:rFonts w:ascii="Arial" w:eastAsia="Arial" w:hAnsi="Arial" w:cs="Arial"/>
          <w:sz w:val="24"/>
          <w:szCs w:val="24"/>
        </w:rPr>
      </w:pPr>
    </w:p>
    <w:p w14:paraId="6E9BBF60" w14:textId="77777777" w:rsidR="00D35E43" w:rsidRPr="00B754D8" w:rsidRDefault="00D35E43">
      <w:pPr>
        <w:pStyle w:val="CuerpoA"/>
        <w:jc w:val="both"/>
        <w:rPr>
          <w:rStyle w:val="Ninguno"/>
          <w:rFonts w:ascii="Arial" w:eastAsia="Arial" w:hAnsi="Arial" w:cs="Arial"/>
          <w:sz w:val="24"/>
          <w:szCs w:val="24"/>
        </w:rPr>
      </w:pPr>
    </w:p>
    <w:p w14:paraId="6809CB52" w14:textId="77777777" w:rsidR="00D35E43" w:rsidRPr="00B754D8" w:rsidRDefault="00D35E43">
      <w:pPr>
        <w:pStyle w:val="CuerpoA"/>
        <w:jc w:val="both"/>
        <w:rPr>
          <w:rStyle w:val="Ninguno"/>
          <w:rFonts w:ascii="Arial" w:eastAsia="Arial" w:hAnsi="Arial" w:cs="Arial"/>
          <w:sz w:val="24"/>
          <w:szCs w:val="24"/>
        </w:rPr>
      </w:pPr>
    </w:p>
    <w:p w14:paraId="5AC9F5F5" w14:textId="77777777" w:rsidR="00D35E43" w:rsidRPr="00B754D8" w:rsidRDefault="00D35E43">
      <w:pPr>
        <w:pStyle w:val="CuerpoA"/>
        <w:jc w:val="both"/>
        <w:rPr>
          <w:rStyle w:val="Ninguno"/>
          <w:rFonts w:ascii="Arial" w:eastAsia="Arial" w:hAnsi="Arial" w:cs="Arial"/>
          <w:sz w:val="24"/>
          <w:szCs w:val="24"/>
        </w:rPr>
      </w:pPr>
    </w:p>
    <w:p w14:paraId="10EDAACC" w14:textId="77777777" w:rsidR="00D35E43" w:rsidRPr="00B754D8" w:rsidRDefault="00D35E43">
      <w:pPr>
        <w:pStyle w:val="CuerpoA"/>
        <w:jc w:val="both"/>
        <w:rPr>
          <w:rStyle w:val="Ninguno"/>
          <w:rFonts w:ascii="Arial" w:eastAsia="Arial" w:hAnsi="Arial" w:cs="Arial"/>
          <w:sz w:val="24"/>
          <w:szCs w:val="24"/>
        </w:rPr>
      </w:pPr>
    </w:p>
    <w:p w14:paraId="08BE1214" w14:textId="77777777" w:rsidR="00D35E43" w:rsidRPr="00B754D8" w:rsidRDefault="00D35E43">
      <w:pPr>
        <w:pStyle w:val="CuerpoA"/>
        <w:jc w:val="both"/>
        <w:rPr>
          <w:rStyle w:val="Ninguno"/>
          <w:rFonts w:ascii="Arial" w:eastAsia="Arial" w:hAnsi="Arial" w:cs="Arial"/>
          <w:sz w:val="24"/>
          <w:szCs w:val="24"/>
        </w:rPr>
      </w:pPr>
    </w:p>
    <w:p w14:paraId="7EC8450E" w14:textId="77777777" w:rsidR="00D35E43" w:rsidRPr="00B754D8" w:rsidRDefault="00D35E43">
      <w:pPr>
        <w:pStyle w:val="CuerpoA"/>
        <w:jc w:val="both"/>
        <w:rPr>
          <w:rStyle w:val="Ninguno"/>
          <w:rFonts w:ascii="Arial" w:eastAsia="Arial" w:hAnsi="Arial" w:cs="Arial"/>
          <w:sz w:val="24"/>
          <w:szCs w:val="24"/>
        </w:rPr>
      </w:pPr>
    </w:p>
    <w:p w14:paraId="640E2857" w14:textId="77777777" w:rsidR="00D35E43" w:rsidRPr="00B754D8" w:rsidRDefault="00D35E43">
      <w:pPr>
        <w:pStyle w:val="CuerpoA"/>
        <w:jc w:val="both"/>
        <w:rPr>
          <w:rStyle w:val="Ninguno"/>
          <w:rFonts w:ascii="Arial" w:eastAsia="Arial" w:hAnsi="Arial" w:cs="Arial"/>
          <w:sz w:val="24"/>
          <w:szCs w:val="24"/>
        </w:rPr>
      </w:pPr>
    </w:p>
    <w:p w14:paraId="0E2E6DFF" w14:textId="77777777" w:rsidR="00D35E43" w:rsidRPr="00B754D8" w:rsidRDefault="00CD7861">
      <w:pPr>
        <w:pStyle w:val="CuerpoA"/>
        <w:numPr>
          <w:ilvl w:val="0"/>
          <w:numId w:val="75"/>
        </w:numPr>
        <w:jc w:val="both"/>
        <w:rPr>
          <w:rFonts w:ascii="Arial" w:hAnsi="Arial"/>
          <w:b/>
          <w:bCs/>
          <w:sz w:val="24"/>
          <w:szCs w:val="24"/>
        </w:rPr>
      </w:pPr>
      <w:r w:rsidRPr="00B754D8">
        <w:rPr>
          <w:rStyle w:val="Ninguno"/>
          <w:rFonts w:ascii="Arial" w:hAnsi="Arial"/>
          <w:b/>
          <w:bCs/>
          <w:sz w:val="24"/>
          <w:szCs w:val="24"/>
        </w:rPr>
        <w:lastRenderedPageBreak/>
        <w:t>Marco constitucional y jurídico de aplicación del Pacto Internacional de Derechos Civiles y Políticos</w:t>
      </w:r>
    </w:p>
    <w:p w14:paraId="263E81B1" w14:textId="77777777" w:rsidR="00D35E43" w:rsidRPr="00B754D8" w:rsidRDefault="00CD7861">
      <w:pPr>
        <w:pStyle w:val="CuerpoA"/>
        <w:numPr>
          <w:ilvl w:val="0"/>
          <w:numId w:val="77"/>
        </w:numPr>
        <w:jc w:val="both"/>
        <w:rPr>
          <w:rFonts w:ascii="Arial" w:hAnsi="Arial"/>
          <w:sz w:val="24"/>
          <w:szCs w:val="24"/>
        </w:rPr>
      </w:pPr>
      <w:r w:rsidRPr="00B754D8">
        <w:rPr>
          <w:rStyle w:val="Ninguno"/>
          <w:rFonts w:ascii="Arial" w:hAnsi="Arial"/>
          <w:b/>
          <w:bCs/>
          <w:sz w:val="24"/>
          <w:szCs w:val="24"/>
        </w:rPr>
        <w:t>Impacto de la Reforma Constitucional de 2011 y efectos de la sentencia de la Suprema Corte de Justicia en la contradicción de tesis 293/2011</w:t>
      </w:r>
      <w:r w:rsidRPr="00B754D8">
        <w:rPr>
          <w:rStyle w:val="Ninguno"/>
          <w:rFonts w:ascii="Arial" w:hAnsi="Arial"/>
          <w:sz w:val="24"/>
          <w:szCs w:val="24"/>
        </w:rPr>
        <w:t xml:space="preserve">. </w:t>
      </w:r>
    </w:p>
    <w:p w14:paraId="470223AA" w14:textId="77777777" w:rsidR="00D35E43" w:rsidRPr="00B754D8" w:rsidRDefault="00CD7861">
      <w:pPr>
        <w:pStyle w:val="CuerpoA"/>
        <w:ind w:left="720"/>
        <w:jc w:val="both"/>
        <w:rPr>
          <w:rStyle w:val="Ninguno"/>
          <w:rFonts w:ascii="Arial" w:eastAsia="Arial" w:hAnsi="Arial" w:cs="Arial"/>
          <w:b/>
          <w:bCs/>
          <w:sz w:val="24"/>
          <w:szCs w:val="24"/>
        </w:rPr>
      </w:pPr>
      <w:r w:rsidRPr="00B754D8">
        <w:rPr>
          <w:rStyle w:val="Ninguno"/>
          <w:rFonts w:ascii="Arial" w:hAnsi="Arial"/>
          <w:b/>
          <w:bCs/>
          <w:sz w:val="24"/>
          <w:szCs w:val="24"/>
        </w:rPr>
        <w:t>Contexto</w:t>
      </w:r>
    </w:p>
    <w:p w14:paraId="381F0BB9"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Con la reforma publicada en el Diario Oficial de la Federación el 10 de junio de 2011, misma que esta Comisión Nacional de los Derechos Humanos (CNDH) impulsó, los derechos humanos quedaron comprendidos de manera plena en la Constitución Política de los Estados Unidos Mexicanos (CPEUM). A partir de la reforma, nuestra Carta Magna ya no se refiere a las garantías individuales porque éstas constituyen los mecanismos a través de los cuáles los derechos humanos se hacen valer, por lo que el cambio de denominación en el capítulo primero a “De los derechos humanos y sus garantías” resulta significativo. De la lectura del primer párrafo del artículo 1°: “En los Estados Unidos Mexicanos todas las personas gozarán de los derechos humanos reconocidos </w:t>
      </w:r>
      <w:r w:rsidRPr="0091511D">
        <w:rPr>
          <w:rStyle w:val="Ninguno"/>
          <w:rFonts w:ascii="Arial" w:hAnsi="Arial"/>
          <w:sz w:val="24"/>
          <w:szCs w:val="24"/>
        </w:rPr>
        <w:t>(antes el Estado otorgaba)</w:t>
      </w:r>
      <w:r w:rsidRPr="00B754D8">
        <w:rPr>
          <w:rStyle w:val="Ninguno"/>
          <w:rFonts w:ascii="Arial" w:hAnsi="Arial"/>
          <w:sz w:val="24"/>
          <w:szCs w:val="24"/>
        </w:rPr>
        <w:t xml:space="preserve"> en esta Constitución”, y al añadirse “[…] y en los tratados internacionales de los que el Estado mexicano sea parte”, se reconoce a estos instrumentos la mayor jerarquía y eficacia normativa dentro del orden jurídico mexicano.</w:t>
      </w:r>
    </w:p>
    <w:p w14:paraId="1A117F51"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Hacer realidad estos cambios constitucionales constituye una prioridad. Por ello, una vez que entró en vigor se redefinieron los programas previstos, así como el propio trabajo institucional, ya que, por la ampliación de la competencia de la CNDH, se le otorgaron nuevas atribuciones, como las relativas al conocimiento de los asuntos de naturaleza laboral no jurisdiccional, que desde su creación se le había restringido, negando con ello la posibilidad de que la sociedad tuviera acceso a mecanismos no jurisdiccionales de protección y defensa de los derechos sociales; la investigación de hechos que impliquen violaciones graves de derechos humanos y amplía la facultad para interponer acciones de inconstitucionalidad en contra de leyes federales y locales y de tratados internacionales celebrados por el Ejecutivo federal y aprobados por el Senado de la República, que vulneren los derechos humanos consagrados no sólo en la CPEUM, sino también los contenidos en los tratados internacionales en los que el Estado mexicano forma parte, esto último, para estar acorde con lo dispuesto en el artículo 1° Constitucional, que establece el bloque de constitucionalidad en materia de derechos humanos.</w:t>
      </w:r>
    </w:p>
    <w:p w14:paraId="2C4E085D"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Con la reforma multicitada, se incorporó el principio de la interpretación conforme, para armonizar el derecho nacional o interno con las disposiciones internacionales. Así, las normas relativas a los derechos humanos deben interpretarse acorde con el texto de la CPEUM, pero también conforme con la letra de los tratados internacionales, en pro de la mejor protección de las personas.</w:t>
      </w:r>
    </w:p>
    <w:p w14:paraId="48A3ABA1" w14:textId="77777777" w:rsidR="00D35E43" w:rsidRPr="0091511D" w:rsidRDefault="00CD7861">
      <w:pPr>
        <w:pStyle w:val="CuerpoA"/>
        <w:jc w:val="both"/>
        <w:rPr>
          <w:rStyle w:val="Ninguno"/>
          <w:rFonts w:ascii="Arial" w:hAnsi="Arial"/>
          <w:sz w:val="24"/>
          <w:szCs w:val="24"/>
        </w:rPr>
      </w:pPr>
      <w:r w:rsidRPr="00B754D8">
        <w:rPr>
          <w:rStyle w:val="Ninguno"/>
          <w:rFonts w:ascii="Arial" w:hAnsi="Arial"/>
          <w:sz w:val="24"/>
          <w:szCs w:val="24"/>
        </w:rPr>
        <w:t xml:space="preserve">Derivado de la sentencia de la Suprema Corte de Justicia en la contradicción de tesis 293/2011, se ordenó la adopción de la aplicación del principio pro personae, </w:t>
      </w:r>
      <w:r w:rsidRPr="00B754D8">
        <w:rPr>
          <w:rStyle w:val="Ninguno"/>
          <w:rFonts w:ascii="Arial" w:hAnsi="Arial"/>
          <w:sz w:val="24"/>
          <w:szCs w:val="24"/>
        </w:rPr>
        <w:lastRenderedPageBreak/>
        <w:t xml:space="preserve">por el cual, de existir diversas interpretaciones para desentrañar el sentido de una norma jurídica, se debe escoger la que dé mayor protección al titular de un derecho humano. O bien, cuando se pueden aplicar dos o más normas jurídicas –internas o externas- a un caso concreto, el intérprete debe elegir la que mejor proteja a los derechos humanos. </w:t>
      </w:r>
      <w:r w:rsidRPr="0091511D">
        <w:rPr>
          <w:rStyle w:val="Ninguno"/>
          <w:rFonts w:ascii="Arial" w:hAnsi="Arial"/>
          <w:sz w:val="24"/>
          <w:szCs w:val="24"/>
        </w:rPr>
        <w:t>Aún con este avance, en caso de una restricción prevista en la Constitución, está prevalecería sobre el tratado, lo cual contraviene los acuerdos internacionales.</w:t>
      </w:r>
    </w:p>
    <w:p w14:paraId="49FC2325"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Cabe señalar, que aún persisten rezagos en la armonización del derecho interno, federal y local, respecto del contenido de estos instrumentos internacionales, de modo que se logre su plena exigibilidad, sin embargo, se reconoce de manera formal y plena la vigencia y aplicación de tratados internacionales firmados por México en materia de derechos humanos. De manera que, actualmente, no existe motivo ni justificación alguna para que las autoridades dejen de respetar y velar por la plena vigencia de los derechos humanos reconocidos a nivel internacional. Con la reforma, todas las normas relativas a derechos humanos se deberán interpretar a la luz de la propia Constitución y de los tratados internacionales en la materia, los cuales requieren adoptar una interpretación pro personae que permitirá elegir la norma o tratado que más proteja al titular de un derecho humano.</w:t>
      </w:r>
    </w:p>
    <w:p w14:paraId="68DD0C3E"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A partir de la reforma Constitucional del 2011, no existe justificación alguna; todo órgano del Estado debe conocer los derechos humanos y respetarlos. Esto incluye los que comprende el Derecho Internacional de los Derechos Humanos, el Derecho Internacional Humanitario y el Derecho Penal Internacional, los cuales parten del reconocimiento a la dignidad humana e imponen obligaciones a los poderes públicos de respeto, protección y promoción, con la consecuente responsabilidad y sanciones para quienes vulneren las prerrogativas más esenciales de la persona humana.</w:t>
      </w:r>
    </w:p>
    <w:p w14:paraId="032BA382" w14:textId="77777777" w:rsidR="00D35E43" w:rsidRPr="00B754D8" w:rsidRDefault="00CD7861">
      <w:pPr>
        <w:pStyle w:val="CuerpoA"/>
        <w:ind w:left="720"/>
        <w:jc w:val="both"/>
        <w:rPr>
          <w:rStyle w:val="Ninguno"/>
          <w:rFonts w:ascii="Arial" w:eastAsia="Arial" w:hAnsi="Arial" w:cs="Arial"/>
          <w:b/>
          <w:bCs/>
          <w:sz w:val="24"/>
          <w:szCs w:val="24"/>
        </w:rPr>
      </w:pPr>
      <w:r w:rsidRPr="00B754D8">
        <w:rPr>
          <w:rStyle w:val="Ninguno"/>
          <w:rFonts w:ascii="Arial" w:hAnsi="Arial"/>
          <w:b/>
          <w:bCs/>
          <w:sz w:val="24"/>
          <w:szCs w:val="24"/>
        </w:rPr>
        <w:t>Acciones de la CNDH</w:t>
      </w:r>
    </w:p>
    <w:p w14:paraId="3C2C64CE"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La CNDH ha venido trabajando y aportando al establecimiento del Estado democrático de Derecho, para tal efecto, entre otras actividades, ha apoyado en los procesos legislativos sobre temas que impactan de manera substancial en la protección y defensa de los derechos humanos. La realización de estudios en materia legislativa ha repuntado la presencia de la CNDH a nivel nacional, a través de los posicionamientos realizados por medio de entrevistas, comunicados de prensa, discursos, etcétera.</w:t>
      </w:r>
    </w:p>
    <w:p w14:paraId="0E23FD9F"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Los estudios, documentos técnicos y comunicados que ha enviado la CNDH al Congreso de la Unión, para hacer del conocimiento de los legisladores la postura institucional, respecto a la reforma que se propone y las repercusiones que se tendría en el plano de los derechos humanos, en caso de su aprobación; o bien, para impulsar la actividad legislativa en temas necesarios y prioritarios que representan el avance en la protección de los derechos humanos que requiere el país; han tenido un impacto en el aspecto político, toda vez que, las observaciones </w:t>
      </w:r>
      <w:r w:rsidRPr="00B754D8">
        <w:rPr>
          <w:rStyle w:val="Ninguno"/>
          <w:rFonts w:ascii="Arial" w:hAnsi="Arial"/>
          <w:sz w:val="24"/>
          <w:szCs w:val="24"/>
        </w:rPr>
        <w:lastRenderedPageBreak/>
        <w:t>realizadas a los proyectos de Decretos, han sido, en gran cantidad de ocasiones, puntos de referencia para que modificarán las iniciativas en pro de los derechos humanos o se expidiesen leyes que abonan a la materia. Por esta razón, las y los actores políticos, han abierto espacios de parlamento abierto para recoger ideas y comentarios de la sociedad en general, en los que ha participado la CNDH.</w:t>
      </w:r>
    </w:p>
    <w:p w14:paraId="15C56B85"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En virtud de lo anterior, las autoridades han sido más vigiladas desde el ámbito de la sociedad civil, así como de organismos nacionales e internacionales de protección de los derechos humanos; evitando así los abusos de autoridad, como se venían presentando.</w:t>
      </w:r>
    </w:p>
    <w:p w14:paraId="51BA8DFB"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Dentro de los procesos legislativos en que ha apoyado la CNDH destacan:</w:t>
      </w:r>
    </w:p>
    <w:p w14:paraId="7CE5A6A7"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-Procesos Legislativos en los que la CNDH se pronunció sobre las repercusiones que se tendría en el plano de los derechos humanos, en caso de su aprobación, sugiriendo propuestas que no fueron consideradas por el Congreso de la Unión:</w:t>
      </w:r>
    </w:p>
    <w:p w14:paraId="11375805" w14:textId="77777777" w:rsidR="00D35E43" w:rsidRPr="00B754D8" w:rsidRDefault="00CD7861">
      <w:pPr>
        <w:pStyle w:val="CuerpoA"/>
        <w:numPr>
          <w:ilvl w:val="0"/>
          <w:numId w:val="79"/>
        </w:numPr>
        <w:jc w:val="both"/>
        <w:rPr>
          <w:rFonts w:ascii="Arial" w:hAnsi="Arial"/>
          <w:sz w:val="24"/>
          <w:szCs w:val="24"/>
        </w:rPr>
      </w:pPr>
      <w:r w:rsidRPr="00B754D8">
        <w:rPr>
          <w:rStyle w:val="Ninguno"/>
          <w:rFonts w:ascii="Arial" w:hAnsi="Arial"/>
          <w:sz w:val="24"/>
          <w:szCs w:val="24"/>
        </w:rPr>
        <w:t>Ley de Seguridad Interior (DOF 21-12-2017). Declaración de invalidez total por Sentencia de la SCJN en la Acción de Inconstitucionalidad 6/2018 y sus acumuladas, notificada al Congreso de la Unión para surtir sus efectos jurídicos el 15 de noviembre de 2018;</w:t>
      </w:r>
    </w:p>
    <w:p w14:paraId="13387B54" w14:textId="77777777" w:rsidR="00D35E43" w:rsidRPr="00B754D8" w:rsidRDefault="00CD7861">
      <w:pPr>
        <w:pStyle w:val="CuerpoA"/>
        <w:numPr>
          <w:ilvl w:val="0"/>
          <w:numId w:val="79"/>
        </w:numPr>
        <w:jc w:val="both"/>
        <w:rPr>
          <w:rFonts w:ascii="Arial" w:hAnsi="Arial"/>
          <w:sz w:val="24"/>
          <w:szCs w:val="24"/>
        </w:rPr>
      </w:pPr>
      <w:r w:rsidRPr="00B754D8">
        <w:rPr>
          <w:rStyle w:val="Ninguno"/>
          <w:rFonts w:ascii="Arial" w:hAnsi="Arial"/>
          <w:sz w:val="24"/>
          <w:szCs w:val="24"/>
        </w:rPr>
        <w:t>Prisión Preventiva Oficiosa (reforma al segundo párrafo del artículo 19 Constitucional) (DOF 12-04-2019).</w:t>
      </w:r>
    </w:p>
    <w:p w14:paraId="78E0123D"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-Procesos Legislativos en los que la CNDH se pronunció y cuyas propuestas fueron consideradas en su totalidad o parcialmente, por el Congreso de la Unión:</w:t>
      </w:r>
    </w:p>
    <w:p w14:paraId="4728AE5D" w14:textId="77777777" w:rsidR="00D35E43" w:rsidRPr="00B754D8" w:rsidRDefault="00CD7861">
      <w:pPr>
        <w:pStyle w:val="CuerpoA"/>
        <w:numPr>
          <w:ilvl w:val="0"/>
          <w:numId w:val="81"/>
        </w:numPr>
        <w:jc w:val="both"/>
        <w:rPr>
          <w:rFonts w:ascii="Arial" w:hAnsi="Arial"/>
          <w:sz w:val="24"/>
          <w:szCs w:val="24"/>
        </w:rPr>
      </w:pPr>
      <w:r w:rsidRPr="00B754D8">
        <w:rPr>
          <w:rStyle w:val="Ninguno"/>
          <w:rFonts w:ascii="Arial" w:hAnsi="Arial"/>
          <w:sz w:val="24"/>
          <w:szCs w:val="24"/>
        </w:rPr>
        <w:t>Ley General para Prevenir, Investigar y Sancionar la Tortura y otros Tratos o Penas Crueles, Inhumanos o Degradantes (DOF 26-06-2017);</w:t>
      </w:r>
    </w:p>
    <w:p w14:paraId="7EB5F787" w14:textId="77777777" w:rsidR="00D35E43" w:rsidRPr="00B754D8" w:rsidRDefault="00CD7861">
      <w:pPr>
        <w:pStyle w:val="CuerpoA"/>
        <w:numPr>
          <w:ilvl w:val="0"/>
          <w:numId w:val="81"/>
        </w:numPr>
        <w:jc w:val="both"/>
        <w:rPr>
          <w:rFonts w:ascii="Arial" w:hAnsi="Arial"/>
          <w:sz w:val="24"/>
          <w:szCs w:val="24"/>
        </w:rPr>
      </w:pPr>
      <w:r w:rsidRPr="00B754D8">
        <w:rPr>
          <w:rStyle w:val="Ninguno"/>
          <w:rFonts w:ascii="Arial" w:hAnsi="Arial"/>
          <w:sz w:val="24"/>
          <w:szCs w:val="24"/>
        </w:rPr>
        <w:t>Guardia Nacional (reforma Constitucional) (DOF 26-03-2019);</w:t>
      </w:r>
    </w:p>
    <w:p w14:paraId="25E5FCC4" w14:textId="77777777" w:rsidR="00D35E43" w:rsidRPr="00B754D8" w:rsidRDefault="00CD7861">
      <w:pPr>
        <w:pStyle w:val="CuerpoA"/>
        <w:numPr>
          <w:ilvl w:val="0"/>
          <w:numId w:val="81"/>
        </w:numPr>
        <w:jc w:val="both"/>
        <w:rPr>
          <w:rFonts w:ascii="Arial" w:hAnsi="Arial"/>
          <w:sz w:val="24"/>
          <w:szCs w:val="24"/>
        </w:rPr>
      </w:pPr>
      <w:r w:rsidRPr="00B754D8">
        <w:rPr>
          <w:rStyle w:val="Ninguno"/>
          <w:rFonts w:ascii="Arial" w:hAnsi="Arial"/>
          <w:sz w:val="24"/>
          <w:szCs w:val="24"/>
        </w:rPr>
        <w:t>Ley de la Guardia Nacional (DOF 27-05-2019);</w:t>
      </w:r>
    </w:p>
    <w:p w14:paraId="031EB576" w14:textId="77777777" w:rsidR="00D35E43" w:rsidRPr="00B754D8" w:rsidRDefault="00CD7861">
      <w:pPr>
        <w:pStyle w:val="CuerpoA"/>
        <w:numPr>
          <w:ilvl w:val="0"/>
          <w:numId w:val="81"/>
        </w:numPr>
        <w:jc w:val="both"/>
        <w:rPr>
          <w:rFonts w:ascii="Arial" w:hAnsi="Arial"/>
          <w:sz w:val="24"/>
          <w:szCs w:val="24"/>
        </w:rPr>
      </w:pPr>
      <w:r w:rsidRPr="00B754D8">
        <w:rPr>
          <w:rStyle w:val="Ninguno"/>
          <w:rFonts w:ascii="Arial" w:hAnsi="Arial"/>
          <w:sz w:val="24"/>
          <w:szCs w:val="24"/>
        </w:rPr>
        <w:t>Ley Nacional sobre el Uso de la Fuerza (DOF 27-05-2019);</w:t>
      </w:r>
    </w:p>
    <w:p w14:paraId="4C242391" w14:textId="77777777" w:rsidR="00D35E43" w:rsidRPr="00B754D8" w:rsidRDefault="00CD7861">
      <w:pPr>
        <w:pStyle w:val="CuerpoA"/>
        <w:numPr>
          <w:ilvl w:val="0"/>
          <w:numId w:val="81"/>
        </w:numPr>
        <w:jc w:val="both"/>
        <w:rPr>
          <w:rFonts w:ascii="Arial" w:hAnsi="Arial"/>
          <w:sz w:val="24"/>
          <w:szCs w:val="24"/>
        </w:rPr>
      </w:pPr>
      <w:r w:rsidRPr="00B754D8">
        <w:rPr>
          <w:rStyle w:val="Ninguno"/>
          <w:rFonts w:ascii="Arial" w:hAnsi="Arial"/>
          <w:sz w:val="24"/>
          <w:szCs w:val="24"/>
        </w:rPr>
        <w:t>Ley Nacional del Registro de Detenciones (DOF 27-05-2019).</w:t>
      </w:r>
    </w:p>
    <w:p w14:paraId="21755842" w14:textId="77777777" w:rsidR="00D35E43" w:rsidRPr="00B754D8" w:rsidRDefault="00D35E43">
      <w:pPr>
        <w:pStyle w:val="CuerpoA"/>
        <w:spacing w:after="0" w:line="240" w:lineRule="auto"/>
        <w:ind w:left="720"/>
        <w:jc w:val="both"/>
        <w:rPr>
          <w:rStyle w:val="Ninguno"/>
          <w:rFonts w:ascii="Arial" w:eastAsia="Arial" w:hAnsi="Arial" w:cs="Arial"/>
          <w:b/>
          <w:bCs/>
          <w:sz w:val="24"/>
          <w:szCs w:val="24"/>
        </w:rPr>
      </w:pPr>
    </w:p>
    <w:p w14:paraId="2DC799A5" w14:textId="77777777" w:rsidR="00D35E43" w:rsidRPr="00B754D8" w:rsidRDefault="00CD7861">
      <w:pPr>
        <w:pStyle w:val="CuerpoA"/>
        <w:spacing w:after="0" w:line="240" w:lineRule="auto"/>
        <w:ind w:left="720"/>
        <w:jc w:val="both"/>
        <w:rPr>
          <w:rStyle w:val="Ninguno"/>
          <w:rFonts w:ascii="Arial" w:eastAsia="Arial" w:hAnsi="Arial" w:cs="Arial"/>
          <w:b/>
          <w:bCs/>
          <w:sz w:val="24"/>
          <w:szCs w:val="24"/>
        </w:rPr>
      </w:pPr>
      <w:r w:rsidRPr="00B754D8">
        <w:rPr>
          <w:rStyle w:val="Ninguno"/>
          <w:rFonts w:ascii="Arial" w:hAnsi="Arial"/>
          <w:b/>
          <w:bCs/>
          <w:sz w:val="24"/>
          <w:szCs w:val="24"/>
        </w:rPr>
        <w:t>Retos para el Estado Mexicano</w:t>
      </w:r>
    </w:p>
    <w:p w14:paraId="5D5E1539" w14:textId="77777777" w:rsidR="00D35E43" w:rsidRPr="00B754D8" w:rsidRDefault="00CD7861">
      <w:pPr>
        <w:pStyle w:val="CuerpoA"/>
        <w:numPr>
          <w:ilvl w:val="0"/>
          <w:numId w:val="83"/>
        </w:numPr>
        <w:spacing w:after="0" w:line="360" w:lineRule="auto"/>
        <w:jc w:val="both"/>
        <w:rPr>
          <w:rFonts w:ascii="Arial" w:hAnsi="Arial"/>
          <w:sz w:val="24"/>
          <w:szCs w:val="24"/>
        </w:rPr>
      </w:pPr>
      <w:r w:rsidRPr="00B754D8">
        <w:rPr>
          <w:rStyle w:val="Ninguno"/>
          <w:rFonts w:ascii="Arial" w:hAnsi="Arial"/>
          <w:sz w:val="24"/>
          <w:szCs w:val="24"/>
        </w:rPr>
        <w:t>Consolidar la reforma Constitucional del 2008 en materia penal;</w:t>
      </w:r>
    </w:p>
    <w:p w14:paraId="7D611414" w14:textId="77777777" w:rsidR="00D35E43" w:rsidRPr="00B754D8" w:rsidRDefault="00CD7861">
      <w:pPr>
        <w:pStyle w:val="CuerpoA"/>
        <w:numPr>
          <w:ilvl w:val="0"/>
          <w:numId w:val="83"/>
        </w:numPr>
        <w:spacing w:after="0" w:line="360" w:lineRule="auto"/>
        <w:jc w:val="both"/>
        <w:rPr>
          <w:rFonts w:ascii="Arial" w:hAnsi="Arial"/>
          <w:sz w:val="24"/>
          <w:szCs w:val="24"/>
        </w:rPr>
      </w:pPr>
      <w:r w:rsidRPr="00B754D8">
        <w:rPr>
          <w:rStyle w:val="Ninguno"/>
          <w:rFonts w:ascii="Arial" w:hAnsi="Arial"/>
          <w:sz w:val="24"/>
          <w:szCs w:val="24"/>
        </w:rPr>
        <w:t>Consolidar la reforma Constitucional del 2011 en materia de Derechos Humanos;</w:t>
      </w:r>
    </w:p>
    <w:p w14:paraId="104C4472" w14:textId="77777777" w:rsidR="00D35E43" w:rsidRPr="00B754D8" w:rsidRDefault="00CD7861">
      <w:pPr>
        <w:pStyle w:val="CuerpoA"/>
        <w:numPr>
          <w:ilvl w:val="0"/>
          <w:numId w:val="83"/>
        </w:numPr>
        <w:spacing w:after="0" w:line="360" w:lineRule="auto"/>
        <w:jc w:val="both"/>
        <w:rPr>
          <w:rFonts w:ascii="Arial" w:hAnsi="Arial"/>
          <w:sz w:val="24"/>
          <w:szCs w:val="24"/>
        </w:rPr>
      </w:pPr>
      <w:r w:rsidRPr="00B754D8">
        <w:rPr>
          <w:rStyle w:val="Ninguno"/>
          <w:rFonts w:ascii="Arial" w:hAnsi="Arial"/>
          <w:sz w:val="24"/>
          <w:szCs w:val="24"/>
        </w:rPr>
        <w:t>Consolidar la reforma relativa al Sistema Nacional Anticorrupción.</w:t>
      </w:r>
    </w:p>
    <w:p w14:paraId="58EA8295" w14:textId="77777777" w:rsidR="00D35E43" w:rsidRPr="00B754D8" w:rsidRDefault="00D35E43">
      <w:pPr>
        <w:pStyle w:val="CuerpoA"/>
        <w:spacing w:after="0" w:line="360" w:lineRule="auto"/>
        <w:jc w:val="both"/>
        <w:rPr>
          <w:rStyle w:val="Ninguno"/>
          <w:rFonts w:ascii="Arial" w:eastAsia="Arial" w:hAnsi="Arial" w:cs="Arial"/>
          <w:sz w:val="24"/>
          <w:szCs w:val="24"/>
        </w:rPr>
      </w:pPr>
    </w:p>
    <w:p w14:paraId="37A07EAC" w14:textId="77777777" w:rsidR="00D35E43" w:rsidRPr="00B754D8" w:rsidRDefault="00D35E43">
      <w:pPr>
        <w:pStyle w:val="CuerpoA"/>
        <w:spacing w:after="0" w:line="360" w:lineRule="auto"/>
        <w:jc w:val="both"/>
        <w:rPr>
          <w:rStyle w:val="Ninguno"/>
          <w:rFonts w:ascii="Arial" w:eastAsia="Arial" w:hAnsi="Arial" w:cs="Arial"/>
          <w:sz w:val="24"/>
          <w:szCs w:val="24"/>
        </w:rPr>
      </w:pPr>
    </w:p>
    <w:p w14:paraId="23285F95" w14:textId="77777777" w:rsidR="00D35E43" w:rsidRPr="00B754D8" w:rsidRDefault="00CD7861">
      <w:pPr>
        <w:pStyle w:val="Prrafodelista"/>
        <w:numPr>
          <w:ilvl w:val="0"/>
          <w:numId w:val="84"/>
        </w:numPr>
        <w:jc w:val="both"/>
        <w:rPr>
          <w:rFonts w:ascii="Arial" w:hAnsi="Arial"/>
          <w:b/>
          <w:bCs/>
          <w:sz w:val="24"/>
          <w:szCs w:val="24"/>
        </w:rPr>
      </w:pPr>
      <w:r w:rsidRPr="00B754D8">
        <w:rPr>
          <w:rStyle w:val="Ninguno"/>
          <w:rFonts w:ascii="Arial" w:hAnsi="Arial"/>
          <w:b/>
          <w:bCs/>
          <w:sz w:val="24"/>
          <w:szCs w:val="24"/>
        </w:rPr>
        <w:lastRenderedPageBreak/>
        <w:t>Ley General de Víctimas</w:t>
      </w:r>
    </w:p>
    <w:p w14:paraId="5EE79B76" w14:textId="77777777" w:rsidR="00D35E43" w:rsidRPr="00B754D8" w:rsidRDefault="00CD7861">
      <w:pPr>
        <w:pStyle w:val="CuerpoB"/>
        <w:jc w:val="both"/>
        <w:rPr>
          <w:rStyle w:val="Ninguno"/>
          <w:rFonts w:ascii="Arial" w:eastAsia="Arial" w:hAnsi="Arial" w:cs="Arial"/>
          <w:b/>
          <w:bCs/>
        </w:rPr>
      </w:pPr>
      <w:r w:rsidRPr="00B754D8">
        <w:rPr>
          <w:rStyle w:val="Ninguno"/>
          <w:rFonts w:ascii="Arial" w:hAnsi="Arial"/>
          <w:b/>
          <w:bCs/>
        </w:rPr>
        <w:t>Contexto</w:t>
      </w:r>
    </w:p>
    <w:p w14:paraId="7643F0E1" w14:textId="77777777" w:rsidR="00D35E43" w:rsidRPr="00B754D8" w:rsidRDefault="00CD7861">
      <w:pPr>
        <w:pStyle w:val="CuerpoB"/>
        <w:jc w:val="both"/>
        <w:rPr>
          <w:rStyle w:val="Ninguno"/>
          <w:rFonts w:ascii="Arial" w:eastAsia="Arial" w:hAnsi="Arial" w:cs="Arial"/>
          <w:b/>
          <w:bCs/>
        </w:rPr>
      </w:pPr>
      <w:r w:rsidRPr="00B754D8">
        <w:rPr>
          <w:rStyle w:val="Ninguno"/>
          <w:rFonts w:ascii="Arial" w:hAnsi="Arial"/>
        </w:rPr>
        <w:t xml:space="preserve">La Ley General de Víctimas (LGV) expedida en 2013, define en el artículo 2, fracción l,  como su objeto: </w:t>
      </w:r>
      <w:r w:rsidRPr="00B754D8">
        <w:rPr>
          <w:rStyle w:val="Ninguno"/>
          <w:rFonts w:ascii="Arial" w:hAnsi="Arial"/>
          <w:i/>
          <w:iCs/>
        </w:rPr>
        <w:t>“Reconocer y garantizar los derechos de las víctimas de delito y de violaciones a derechos humanos, en especial el derecho a la asistencia, protección, atención, verdad, justicia, reparación integral, debida diligencia…”</w:t>
      </w:r>
      <w:r w:rsidRPr="00B754D8">
        <w:rPr>
          <w:rStyle w:val="Ninguno"/>
          <w:rFonts w:ascii="Arial" w:hAnsi="Arial"/>
        </w:rPr>
        <w:t xml:space="preserve">, para su obtención  señala como obligación del Estado Mexicano poner en funcionamiento el Sistema Nacional de Atención a Víctimas (SNAV), considerado en el artículo 79 como </w:t>
      </w:r>
      <w:r w:rsidRPr="00B754D8">
        <w:rPr>
          <w:rStyle w:val="Ninguno"/>
          <w:rFonts w:ascii="Arial" w:hAnsi="Arial"/>
          <w:i/>
          <w:iCs/>
        </w:rPr>
        <w:t>“…la instancia superior de coordinación y formulación de políticas públicas…”</w:t>
      </w:r>
      <w:r w:rsidRPr="00B754D8">
        <w:rPr>
          <w:rStyle w:val="Ninguno"/>
          <w:rFonts w:ascii="Arial" w:hAnsi="Arial"/>
        </w:rPr>
        <w:t xml:space="preserve">, mismo que se integra por las instituciones y entidades públicas federales, estatales y municipales, organismos autónomos (CNDH y organismos públicos locales de derechos humanos) y demás organizaciones públicas o privadas vinculadas con esta materia, operado por la Comisión Ejecutiva de Atención a Víctimas (CEAV) y sus homologas en las entidades federativas. </w:t>
      </w:r>
    </w:p>
    <w:p w14:paraId="277CE0F9" w14:textId="77777777" w:rsidR="00D35E43" w:rsidRPr="00B754D8" w:rsidRDefault="00D35E43">
      <w:pPr>
        <w:pStyle w:val="CuerpoB"/>
        <w:jc w:val="both"/>
        <w:rPr>
          <w:rStyle w:val="Ninguno"/>
          <w:rFonts w:ascii="Arial" w:eastAsia="Arial" w:hAnsi="Arial" w:cs="Arial"/>
        </w:rPr>
      </w:pPr>
    </w:p>
    <w:p w14:paraId="7CCF8665" w14:textId="77777777" w:rsidR="00D35E43" w:rsidRPr="00B754D8" w:rsidRDefault="00CD7861">
      <w:pPr>
        <w:pStyle w:val="CuerpoB"/>
        <w:jc w:val="both"/>
        <w:rPr>
          <w:rStyle w:val="Ninguno"/>
          <w:rFonts w:ascii="Arial" w:eastAsia="Arial" w:hAnsi="Arial" w:cs="Arial"/>
        </w:rPr>
      </w:pPr>
      <w:r w:rsidRPr="00B754D8">
        <w:rPr>
          <w:rStyle w:val="Ninguno"/>
          <w:rFonts w:ascii="Arial" w:hAnsi="Arial"/>
        </w:rPr>
        <w:t xml:space="preserve">Sin embargo, el SNAV sólo se ha reunido en una ocasión el 20 de mayo de 2015, no obstante que de conformidad con el artículo 83 de la LGV el Pleno se debe reunir por lo menos una vez cada seis meses y en forma extraordinaria cada que una situación urgente lo requiera, sesión en la que además de haberse instalado el SNAV se aprobaron el Programa de Atención Integral a Víctimas, el Modelo de Atención Integral en Salud y el Modelo Integral de Atención a Víctimas, instrumentos utilizados en la atención a víctimas que a la fecha no han sido evaluados y, en su caso, actualizados y/o reformulados por esta instancia superior de revisión de las políticas públicas en función de las necesidades reales de las víctimas, por lo que resulta apremiante que la CEAV convoque al pleno del SNAV, en breve término, a una próxima sesión. </w:t>
      </w:r>
    </w:p>
    <w:p w14:paraId="4063DE02" w14:textId="77777777" w:rsidR="00D35E43" w:rsidRPr="00B754D8" w:rsidRDefault="00D35E43">
      <w:pPr>
        <w:pStyle w:val="CuerpoB"/>
        <w:jc w:val="both"/>
        <w:rPr>
          <w:rStyle w:val="Ninguno"/>
          <w:rFonts w:ascii="Arial" w:eastAsia="Arial" w:hAnsi="Arial" w:cs="Arial"/>
        </w:rPr>
      </w:pPr>
    </w:p>
    <w:p w14:paraId="5248BC61" w14:textId="77777777" w:rsidR="00D35E43" w:rsidRPr="00B754D8" w:rsidRDefault="00CD7861">
      <w:pPr>
        <w:pStyle w:val="CuerpoB"/>
        <w:jc w:val="both"/>
        <w:rPr>
          <w:rStyle w:val="Ninguno"/>
          <w:rFonts w:ascii="Arial" w:eastAsia="Arial" w:hAnsi="Arial" w:cs="Arial"/>
        </w:rPr>
      </w:pPr>
      <w:r w:rsidRPr="00B754D8">
        <w:rPr>
          <w:rStyle w:val="Ninguno"/>
          <w:rFonts w:ascii="Arial" w:hAnsi="Arial"/>
        </w:rPr>
        <w:t xml:space="preserve">En cuanto a las comisiones de víctimas como instancias de operación del SNAV y de atención a víctimas, cuya creación deriva de un mandato de la LGV, sólo se han creado la CEAV y 23 Comisiones Estatales de Atención Integral a Víctimas (CEAIV), aún faltan por instalarse 9 (Aguascalientes, Baja California, Campeche, Chiapas, Guanajuato, Hidalgo, Oaxaca, Puebla y Sonora); y de las 23 CEAIV instaladas sólo 14 entidades federativas han creado su respectivo Fondo de Ayuda, Asistencia y Reparación Integral (FAARI) conforme a los criterios establecidos en la LGV. </w:t>
      </w:r>
    </w:p>
    <w:p w14:paraId="4B6FC448" w14:textId="77777777" w:rsidR="00D35E43" w:rsidRPr="00B754D8" w:rsidRDefault="00D35E43">
      <w:pPr>
        <w:pStyle w:val="CuerpoB"/>
        <w:jc w:val="both"/>
        <w:rPr>
          <w:rStyle w:val="Ninguno"/>
          <w:rFonts w:ascii="Arial" w:eastAsia="Arial" w:hAnsi="Arial" w:cs="Arial"/>
        </w:rPr>
      </w:pPr>
    </w:p>
    <w:p w14:paraId="19C9DF57" w14:textId="77777777" w:rsidR="00D35E43" w:rsidRPr="00B754D8" w:rsidRDefault="00CD7861">
      <w:pPr>
        <w:pStyle w:val="CuerpoB"/>
        <w:jc w:val="both"/>
        <w:rPr>
          <w:rStyle w:val="Ninguno"/>
          <w:rFonts w:ascii="Arial" w:eastAsia="Arial" w:hAnsi="Arial" w:cs="Arial"/>
        </w:rPr>
      </w:pPr>
      <w:r w:rsidRPr="00B754D8">
        <w:rPr>
          <w:rStyle w:val="Ninguno"/>
          <w:rFonts w:ascii="Arial" w:hAnsi="Arial"/>
        </w:rPr>
        <w:t xml:space="preserve">Por otra parte, la LGV dotó a las comisiones de víctimas con la asesoría jurídica como mecanismo facilitador del cumplimiento de los derechos que regula, sin embargo, según datos obtenidos por el periódico El Universal a través de solicitudes de información "... a inicios de 2019 la CEAV contaba con tan sólo 83 asesores jurídicos para atender a 25 mil 797 personas inscritas en el Registro Nacional de Víctimas (Renavi). Cada experto atiende 105 expedientes y éstos pueden integrar el caso de una sola persona o decenas...". En este sentido, resulta indispensable su fortalecimiento y la permanente capacitación, actualización y especialización de los asesores jurídicos victímales.  </w:t>
      </w:r>
    </w:p>
    <w:p w14:paraId="7089D6A2" w14:textId="77777777" w:rsidR="00D35E43" w:rsidRPr="00B754D8" w:rsidRDefault="00D35E43">
      <w:pPr>
        <w:pStyle w:val="CuerpoB"/>
        <w:jc w:val="both"/>
        <w:rPr>
          <w:rStyle w:val="Ninguno"/>
          <w:rFonts w:ascii="Arial" w:eastAsia="Arial" w:hAnsi="Arial" w:cs="Arial"/>
        </w:rPr>
      </w:pPr>
    </w:p>
    <w:p w14:paraId="72FBF05F" w14:textId="77777777" w:rsidR="00D35E43" w:rsidRPr="00B754D8" w:rsidRDefault="00CD7861">
      <w:pPr>
        <w:pStyle w:val="CuerpoB"/>
        <w:jc w:val="both"/>
        <w:rPr>
          <w:rStyle w:val="Ninguno"/>
          <w:rFonts w:ascii="Arial" w:eastAsia="Arial" w:hAnsi="Arial" w:cs="Arial"/>
        </w:rPr>
      </w:pPr>
      <w:r w:rsidRPr="00B754D8">
        <w:rPr>
          <w:rStyle w:val="Ninguno"/>
          <w:rFonts w:ascii="Arial" w:hAnsi="Arial"/>
        </w:rPr>
        <w:lastRenderedPageBreak/>
        <w:t xml:space="preserve">Finalmente, las últimas adecuaciones realizadas a la LGV publicadas en el Diario Oficial de la Federación el 3 de enero de 2017, incluyó entre otros cambios, como mecanismo de participación de las víctimas en las acciones, políticas públicas, programas y proyectos que desarrolle la CEAV, una Asamblea Consultiva integrada por nueve representantes de colectivos de víctimas, organizaciones de la sociedad civil y académicos, cuyas funciones estarán previstas en el Reglamento de la LGV, el cual por cierto aún no ha sido ajustado de acuerdo a la referida reforma de la ley de la materia, pendiente que debe atenderse lo más pronto posible para facilitar la plena vigencia de los cambios legislativos.      </w:t>
      </w:r>
    </w:p>
    <w:p w14:paraId="46415F87" w14:textId="77777777" w:rsidR="00D35E43" w:rsidRPr="00B754D8" w:rsidRDefault="00D35E43">
      <w:pPr>
        <w:pStyle w:val="CuerpoB"/>
        <w:jc w:val="both"/>
        <w:rPr>
          <w:rStyle w:val="Ninguno"/>
          <w:rFonts w:ascii="Arial" w:eastAsia="Arial" w:hAnsi="Arial" w:cs="Arial"/>
        </w:rPr>
      </w:pPr>
    </w:p>
    <w:p w14:paraId="54FA90FD" w14:textId="77777777" w:rsidR="00D35E43" w:rsidRPr="00B754D8" w:rsidRDefault="00CD7861">
      <w:pPr>
        <w:pStyle w:val="CuerpoB"/>
        <w:jc w:val="both"/>
        <w:rPr>
          <w:rStyle w:val="Ninguno"/>
          <w:rFonts w:ascii="Arial" w:eastAsia="Arial" w:hAnsi="Arial" w:cs="Arial"/>
          <w:b/>
          <w:bCs/>
        </w:rPr>
      </w:pPr>
      <w:r w:rsidRPr="00B754D8">
        <w:rPr>
          <w:rStyle w:val="Ninguno"/>
          <w:rFonts w:ascii="Arial" w:hAnsi="Arial"/>
          <w:b/>
          <w:bCs/>
        </w:rPr>
        <w:t>Acciones de la CNDH</w:t>
      </w:r>
    </w:p>
    <w:p w14:paraId="2B9916AC" w14:textId="77777777" w:rsidR="00D35E43" w:rsidRPr="00B754D8" w:rsidRDefault="00CD7861">
      <w:pPr>
        <w:pStyle w:val="CuerpoB"/>
        <w:jc w:val="both"/>
        <w:rPr>
          <w:rStyle w:val="Ninguno"/>
          <w:rFonts w:ascii="Arial" w:eastAsia="Arial" w:hAnsi="Arial" w:cs="Arial"/>
        </w:rPr>
      </w:pPr>
      <w:r w:rsidRPr="00B754D8">
        <w:rPr>
          <w:rStyle w:val="Ninguno"/>
          <w:rFonts w:ascii="Arial" w:hAnsi="Arial"/>
        </w:rPr>
        <w:t>La Comisión Nacional de los Derechos Humanos (CNDH) en su quehacer institucional ha sido testigo y brindado acompañamiento a las víctimas en el proceso de transformación del modelo de atención victimal que las ha reivindicado como sujetos con plenos derechos establecidos, principalmente, en la LGV y como partes en el proceso penal, en términos del nuevo Código Nacional de Procedimientos Penales.</w:t>
      </w:r>
    </w:p>
    <w:p w14:paraId="2B079961" w14:textId="77777777" w:rsidR="00D35E43" w:rsidRPr="00B754D8" w:rsidRDefault="00CD7861">
      <w:pPr>
        <w:pStyle w:val="CuerpoB"/>
        <w:jc w:val="both"/>
        <w:rPr>
          <w:rStyle w:val="Ninguno"/>
          <w:rFonts w:ascii="Arial" w:eastAsia="Arial" w:hAnsi="Arial" w:cs="Arial"/>
        </w:rPr>
      </w:pPr>
      <w:r w:rsidRPr="00B754D8">
        <w:rPr>
          <w:rStyle w:val="Ninguno"/>
          <w:rFonts w:ascii="Arial" w:hAnsi="Arial"/>
        </w:rPr>
        <w:t xml:space="preserve"> </w:t>
      </w:r>
    </w:p>
    <w:p w14:paraId="5D93F05C" w14:textId="77777777" w:rsidR="00D35E43" w:rsidRPr="00B754D8" w:rsidRDefault="00CD7861">
      <w:pPr>
        <w:pStyle w:val="CuerpoB"/>
        <w:jc w:val="both"/>
        <w:rPr>
          <w:rStyle w:val="Ninguno"/>
          <w:rFonts w:ascii="Arial" w:eastAsia="Arial" w:hAnsi="Arial" w:cs="Arial"/>
        </w:rPr>
      </w:pPr>
      <w:r w:rsidRPr="00B754D8">
        <w:rPr>
          <w:rStyle w:val="Ninguno"/>
          <w:rFonts w:ascii="Arial" w:hAnsi="Arial"/>
        </w:rPr>
        <w:t xml:space="preserve">En virtud de ese compromiso con las víctimas, la CNDH desde el año 2000, y como parte de las acciones para atender lo encomendado a los organismos públicos de derechos humanos en la LGV, cuenta con el Programa de Atención a Víctimas del Delito (PROVÍCTIMA), que ha operado ininterrumpidamente proporcionando a las víctimas de delitos y violaciones a derechos humanos, orientación jurídica, atención psicológica de urgencia, así como acompañamiento ante las instituciones públicas competentes para que se les facilite la ayuda que necesitan, aun cuando actualmente la atención integral en el nuevo modelo nacional es una obligación de las Comisiones de Víctimas locales y federal, así como de las instituciones públicas que forman parte del SNAV. </w:t>
      </w:r>
    </w:p>
    <w:p w14:paraId="0F78D643" w14:textId="77777777" w:rsidR="00D35E43" w:rsidRPr="00B754D8" w:rsidRDefault="00CD7861">
      <w:pPr>
        <w:pStyle w:val="CuerpoB"/>
        <w:jc w:val="both"/>
        <w:rPr>
          <w:rStyle w:val="Ninguno"/>
          <w:rFonts w:ascii="Arial" w:eastAsia="Arial" w:hAnsi="Arial" w:cs="Arial"/>
        </w:rPr>
      </w:pPr>
      <w:r w:rsidRPr="00B754D8">
        <w:rPr>
          <w:rStyle w:val="Ninguno"/>
          <w:rFonts w:ascii="Arial" w:hAnsi="Arial"/>
        </w:rPr>
        <w:t xml:space="preserve"> </w:t>
      </w:r>
    </w:p>
    <w:p w14:paraId="29C07DD7" w14:textId="77777777" w:rsidR="00D35E43" w:rsidRPr="00B754D8" w:rsidRDefault="00CD7861">
      <w:pPr>
        <w:pStyle w:val="CuerpoB"/>
        <w:jc w:val="both"/>
        <w:rPr>
          <w:rStyle w:val="Ninguno"/>
          <w:rFonts w:ascii="Arial" w:eastAsia="Arial" w:hAnsi="Arial" w:cs="Arial"/>
        </w:rPr>
      </w:pPr>
      <w:r w:rsidRPr="00B754D8">
        <w:rPr>
          <w:rStyle w:val="Ninguno"/>
          <w:rFonts w:ascii="Arial" w:hAnsi="Arial"/>
        </w:rPr>
        <w:t>Asimismo, este Organismo Nacional realiza actividades de promoción de los derechos de las víctimas, elabora materiales de difusión sobre dicha temática y establece vínculos con instituciones públicas y privadas que forman parte del SNAV a fin de concertar actividades conjuntas, así como con organizaciones sociales y colectivos de víctimas, para brindar a éstas acompañamiento y observancia de sus derechos.</w:t>
      </w:r>
    </w:p>
    <w:p w14:paraId="58A86F1B" w14:textId="77777777" w:rsidR="00D35E43" w:rsidRPr="00B754D8" w:rsidRDefault="00D35E43">
      <w:pPr>
        <w:pStyle w:val="CuerpoB"/>
        <w:jc w:val="both"/>
        <w:rPr>
          <w:rStyle w:val="Ninguno"/>
          <w:rFonts w:ascii="Arial" w:eastAsia="Arial" w:hAnsi="Arial" w:cs="Arial"/>
        </w:rPr>
      </w:pPr>
    </w:p>
    <w:p w14:paraId="50BB3C05" w14:textId="77777777" w:rsidR="00D35E43" w:rsidRPr="00B754D8" w:rsidRDefault="00CD7861">
      <w:pPr>
        <w:pStyle w:val="CuerpoB"/>
        <w:jc w:val="both"/>
        <w:rPr>
          <w:rStyle w:val="Ninguno"/>
          <w:rFonts w:ascii="Arial" w:eastAsia="Arial" w:hAnsi="Arial" w:cs="Arial"/>
        </w:rPr>
      </w:pPr>
      <w:r w:rsidRPr="00B754D8">
        <w:rPr>
          <w:rStyle w:val="Ninguno"/>
          <w:rFonts w:ascii="Arial" w:hAnsi="Arial"/>
        </w:rPr>
        <w:t>Esta Comisión Nacional de los Derechos Humanos realizó, en el mes de julio de 2018, un atento y respetuoso exhorto a las y los titulares del Poder Ejecutivo y de los congresos locales de las entidades federativas que hasta entonces no habían instalado la CEAIV, ni constituido el FAARI; así como a sus homólogos de aquellos estados de la República que, si bien, contaban con comisiones de víctimas tenían pendiente generar el FAARI en términos de la LGV, con el objeto de que en el ámbito de sus atribuciones intervinieran en su creación y previeran los recursos presupuestales necesarios para su implementación.</w:t>
      </w:r>
    </w:p>
    <w:p w14:paraId="39FA6428" w14:textId="77777777" w:rsidR="00D35E43" w:rsidRPr="00B754D8" w:rsidRDefault="00D35E43">
      <w:pPr>
        <w:pStyle w:val="CuerpoB"/>
        <w:jc w:val="both"/>
        <w:rPr>
          <w:rStyle w:val="Ninguno"/>
          <w:rFonts w:ascii="Arial" w:eastAsia="Arial" w:hAnsi="Arial" w:cs="Arial"/>
        </w:rPr>
      </w:pPr>
    </w:p>
    <w:p w14:paraId="55E1324A" w14:textId="77777777" w:rsidR="00D35E43" w:rsidRPr="00B754D8" w:rsidRDefault="00CD7861">
      <w:pPr>
        <w:pStyle w:val="CuerpoB"/>
        <w:jc w:val="both"/>
        <w:rPr>
          <w:rStyle w:val="Ninguno"/>
          <w:rFonts w:ascii="Arial" w:eastAsia="Arial" w:hAnsi="Arial" w:cs="Arial"/>
        </w:rPr>
      </w:pPr>
      <w:r w:rsidRPr="00B754D8">
        <w:rPr>
          <w:rStyle w:val="Ninguno"/>
          <w:rFonts w:ascii="Arial" w:hAnsi="Arial"/>
        </w:rPr>
        <w:t xml:space="preserve">Hasta el mes de agosto de 2019, la CNDH sólo advirtió la instalación y operación de la CEAIV de Sinaloa y de la Ciudad de México, lo cual evidencia la ausencia de </w:t>
      </w:r>
      <w:r w:rsidRPr="00B754D8">
        <w:rPr>
          <w:rStyle w:val="Ninguno"/>
          <w:rFonts w:ascii="Arial" w:hAnsi="Arial"/>
        </w:rPr>
        <w:lastRenderedPageBreak/>
        <w:t>una visión clara sobre lo que representa el proceso de reivindicación de los derechos de las víctimas que ha conseguido un amplio desarrollo en el derecho internacional de los derechos humanos pero una limitada implementación en nuestro país, así como la falta de voluntad política de los poderes públicos locales para cumplir con la instalación de los 32 sistemas estatales de atención a víctimas que permitan el adecuado funcionamiento de la política pública nacional de atención a víctimas, habrá que seguir insistiendo en que se cumpla con la obligación de crear las comisiones de víctimas y los FAARI.</w:t>
      </w:r>
    </w:p>
    <w:p w14:paraId="3B531FF8" w14:textId="77777777" w:rsidR="00D35E43" w:rsidRPr="00B754D8" w:rsidRDefault="00CD7861">
      <w:pPr>
        <w:pStyle w:val="CuerpoB"/>
        <w:jc w:val="both"/>
        <w:rPr>
          <w:rStyle w:val="Ninguno"/>
          <w:rFonts w:ascii="Arial" w:eastAsia="Arial" w:hAnsi="Arial" w:cs="Arial"/>
        </w:rPr>
      </w:pPr>
      <w:r w:rsidRPr="00B754D8">
        <w:rPr>
          <w:rStyle w:val="Ninguno"/>
          <w:rFonts w:ascii="Arial" w:hAnsi="Arial"/>
        </w:rPr>
        <w:t xml:space="preserve"> </w:t>
      </w:r>
    </w:p>
    <w:p w14:paraId="7EFE33D3" w14:textId="77777777" w:rsidR="00D35E43" w:rsidRPr="00B754D8" w:rsidRDefault="00CD7861">
      <w:pPr>
        <w:pStyle w:val="CuerpoA"/>
        <w:jc w:val="both"/>
        <w:rPr>
          <w:rStyle w:val="Ninguno"/>
          <w:rFonts w:ascii="Arial" w:eastAsia="Arial" w:hAnsi="Arial" w:cs="Arial"/>
          <w:b/>
          <w:bCs/>
          <w:sz w:val="24"/>
          <w:szCs w:val="24"/>
        </w:rPr>
      </w:pPr>
      <w:r w:rsidRPr="00B754D8">
        <w:rPr>
          <w:rStyle w:val="Ninguno"/>
          <w:rFonts w:ascii="Arial" w:hAnsi="Arial"/>
          <w:b/>
          <w:bCs/>
          <w:sz w:val="24"/>
          <w:szCs w:val="24"/>
        </w:rPr>
        <w:t>Retos para el Estado Mexicano</w:t>
      </w:r>
    </w:p>
    <w:p w14:paraId="79171179" w14:textId="77777777" w:rsidR="00D35E43" w:rsidRPr="0091511D" w:rsidRDefault="00CD7861">
      <w:pPr>
        <w:pStyle w:val="CuerpoB"/>
        <w:numPr>
          <w:ilvl w:val="0"/>
          <w:numId w:val="86"/>
        </w:numPr>
        <w:jc w:val="both"/>
        <w:rPr>
          <w:rStyle w:val="Ninguno"/>
        </w:rPr>
      </w:pPr>
      <w:r w:rsidRPr="0091511D">
        <w:rPr>
          <w:rStyle w:val="Ninguno"/>
          <w:rFonts w:ascii="Arial" w:hAnsi="Arial"/>
        </w:rPr>
        <w:t>Reformar la Ley General de Víctimas y adicionar la parte conducente a la atención de víctimas en los casos de violaciones graves de derechos humanos para asegurar que las víctimas sean tratadas con humanidad y respeto a su dignidad y derechos humanos;</w:t>
      </w:r>
    </w:p>
    <w:p w14:paraId="0506377C" w14:textId="77777777" w:rsidR="00D35E43" w:rsidRPr="00B754D8" w:rsidRDefault="00CD7861">
      <w:pPr>
        <w:pStyle w:val="CuerpoB"/>
        <w:numPr>
          <w:ilvl w:val="0"/>
          <w:numId w:val="86"/>
        </w:numPr>
        <w:jc w:val="both"/>
        <w:rPr>
          <w:rFonts w:ascii="Arial" w:hAnsi="Arial"/>
        </w:rPr>
      </w:pPr>
      <w:r w:rsidRPr="00B754D8">
        <w:rPr>
          <w:rStyle w:val="Ninguno"/>
          <w:rFonts w:ascii="Arial" w:hAnsi="Arial"/>
        </w:rPr>
        <w:t xml:space="preserve">El relanzamiento del SNAV como instancia superior de coordinación y formulación de políticas públicas y la creación de las comisiones de víctimas faltantes como instancias operativas, para la implementación de la política pública nacional de atención a víctimas que regula la LGV;  </w:t>
      </w:r>
    </w:p>
    <w:p w14:paraId="5A8B5282" w14:textId="77777777" w:rsidR="00D35E43" w:rsidRPr="00B754D8" w:rsidRDefault="00CD7861">
      <w:pPr>
        <w:pStyle w:val="CuerpoB"/>
        <w:numPr>
          <w:ilvl w:val="0"/>
          <w:numId w:val="86"/>
        </w:numPr>
        <w:jc w:val="both"/>
        <w:rPr>
          <w:rFonts w:ascii="Arial" w:hAnsi="Arial"/>
        </w:rPr>
      </w:pPr>
      <w:r w:rsidRPr="00B754D8">
        <w:rPr>
          <w:rStyle w:val="Ninguno"/>
          <w:rFonts w:ascii="Arial" w:hAnsi="Arial"/>
        </w:rPr>
        <w:t>La creación de los FAARI en los estados donde aún no han sido constituidos, conforme a los criterios que establece la LGV, como instrumento esencial para facilitar a las víctimas asistencia y apoyo, así como la reparación integral de acuerdo a estándares internacionales;</w:t>
      </w:r>
    </w:p>
    <w:p w14:paraId="2DE9237D" w14:textId="77777777" w:rsidR="00D35E43" w:rsidRPr="00B754D8" w:rsidRDefault="00CD7861">
      <w:pPr>
        <w:pStyle w:val="CuerpoB"/>
        <w:numPr>
          <w:ilvl w:val="0"/>
          <w:numId w:val="86"/>
        </w:numPr>
        <w:jc w:val="both"/>
        <w:rPr>
          <w:rFonts w:ascii="Arial" w:hAnsi="Arial"/>
        </w:rPr>
      </w:pPr>
      <w:r w:rsidRPr="00B754D8">
        <w:rPr>
          <w:rStyle w:val="Ninguno"/>
          <w:rFonts w:ascii="Arial" w:hAnsi="Arial"/>
        </w:rPr>
        <w:t>El fortalecimiento en el ámbito nacional de la asesoría jurídica victimal, así como la permanente capacitación, actualización y especialización de los asesores que representen a las víctimas para facilitar su acceso a la verdad, a la justicia y a la reparación integral;</w:t>
      </w:r>
    </w:p>
    <w:p w14:paraId="64033937" w14:textId="77777777" w:rsidR="00D35E43" w:rsidRPr="00B754D8" w:rsidRDefault="00CD7861">
      <w:pPr>
        <w:pStyle w:val="Prrafodelista"/>
        <w:numPr>
          <w:ilvl w:val="0"/>
          <w:numId w:val="86"/>
        </w:numPr>
        <w:jc w:val="both"/>
        <w:rPr>
          <w:rFonts w:ascii="Arial" w:hAnsi="Arial"/>
          <w:sz w:val="24"/>
          <w:szCs w:val="24"/>
        </w:rPr>
      </w:pPr>
      <w:r w:rsidRPr="00B754D8">
        <w:rPr>
          <w:rStyle w:val="Ninguno"/>
          <w:rFonts w:ascii="Arial" w:hAnsi="Arial"/>
          <w:sz w:val="24"/>
          <w:szCs w:val="24"/>
        </w:rPr>
        <w:t>Consolidar el Sistema Nacional de Atención a Víctimas y lograr que los 32 Estados del país cuenten con las instituciones correspondientes., mediante la creación y operación de 11 Comisiones locales de Atención Integral a Víctimas y constitución de 19 Fondos locales de Ayuda, Asistencia y Reparación Integral faltantes.</w:t>
      </w:r>
    </w:p>
    <w:p w14:paraId="6AB6E5C5" w14:textId="77777777" w:rsidR="00D35E43" w:rsidRPr="00B754D8" w:rsidRDefault="00D35E43">
      <w:pPr>
        <w:pStyle w:val="Prrafodelista"/>
        <w:jc w:val="both"/>
        <w:rPr>
          <w:rStyle w:val="Ninguno"/>
          <w:rFonts w:ascii="Arial" w:eastAsia="Arial" w:hAnsi="Arial" w:cs="Arial"/>
          <w:sz w:val="24"/>
          <w:szCs w:val="24"/>
        </w:rPr>
      </w:pPr>
    </w:p>
    <w:p w14:paraId="05999AE6" w14:textId="77777777" w:rsidR="00D35E43" w:rsidRPr="00B754D8" w:rsidRDefault="00CD7861">
      <w:pPr>
        <w:pStyle w:val="CuerpoA"/>
        <w:numPr>
          <w:ilvl w:val="0"/>
          <w:numId w:val="87"/>
        </w:numPr>
        <w:jc w:val="both"/>
        <w:rPr>
          <w:rFonts w:ascii="Arial" w:hAnsi="Arial"/>
          <w:b/>
          <w:bCs/>
          <w:sz w:val="24"/>
          <w:szCs w:val="24"/>
        </w:rPr>
      </w:pPr>
      <w:r w:rsidRPr="00B754D8">
        <w:rPr>
          <w:rStyle w:val="Ninguno"/>
          <w:rFonts w:ascii="Arial" w:hAnsi="Arial"/>
          <w:b/>
          <w:bCs/>
          <w:sz w:val="24"/>
          <w:szCs w:val="24"/>
        </w:rPr>
        <w:t>Igualdad y no discriminación (artículos 2, 3, 25 y 26)</w:t>
      </w:r>
    </w:p>
    <w:p w14:paraId="70D82558" w14:textId="77777777" w:rsidR="00D35E43" w:rsidRPr="00B754D8" w:rsidRDefault="00CD7861">
      <w:pPr>
        <w:pStyle w:val="Prrafodelista"/>
        <w:numPr>
          <w:ilvl w:val="0"/>
          <w:numId w:val="89"/>
        </w:numPr>
        <w:jc w:val="both"/>
        <w:rPr>
          <w:rFonts w:ascii="Arial" w:hAnsi="Arial"/>
          <w:b/>
          <w:bCs/>
          <w:sz w:val="24"/>
          <w:szCs w:val="24"/>
        </w:rPr>
      </w:pPr>
      <w:r w:rsidRPr="00B754D8">
        <w:rPr>
          <w:rStyle w:val="Ninguno"/>
          <w:rFonts w:ascii="Arial" w:hAnsi="Arial"/>
          <w:b/>
          <w:bCs/>
          <w:sz w:val="24"/>
          <w:szCs w:val="24"/>
        </w:rPr>
        <w:t>Igualdad entre mujeres y hombres</w:t>
      </w:r>
    </w:p>
    <w:p w14:paraId="2F1D9F39" w14:textId="77777777" w:rsidR="00D35E43" w:rsidRPr="00B754D8" w:rsidRDefault="00CD7861">
      <w:pPr>
        <w:pStyle w:val="CuerpoB"/>
        <w:spacing w:after="160" w:line="259" w:lineRule="auto"/>
        <w:jc w:val="both"/>
        <w:rPr>
          <w:rStyle w:val="Ninguno"/>
          <w:rFonts w:ascii="Arial" w:eastAsia="Arial" w:hAnsi="Arial" w:cs="Arial"/>
          <w:b/>
          <w:bCs/>
        </w:rPr>
      </w:pPr>
      <w:r w:rsidRPr="00B754D8">
        <w:rPr>
          <w:rStyle w:val="Ninguno"/>
          <w:rFonts w:ascii="Arial" w:hAnsi="Arial"/>
          <w:b/>
          <w:bCs/>
        </w:rPr>
        <w:t>Contexto</w:t>
      </w:r>
    </w:p>
    <w:p w14:paraId="1E722A19"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La igualdad y la no discriminación entre hombres y mujeres, constituyen una preocupación central en materia de derechos humanos de las mujeres, por lo que los estados se enfrentan al reto de procurar y hacer efectiva la igualdad como derecho. Para el caso mexicano, pese a los avances en la materia, existen todavía grandes pendientes para el logro de igualdad entre mujeres y hombres y la disminución de las brechas de género en el acceso y disfrute de los derechos humanos.</w:t>
      </w:r>
    </w:p>
    <w:p w14:paraId="1CC5B323"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lastRenderedPageBreak/>
        <w:t>Uno de los grandes pendientes para la igualdad entre mujeres y hombres es la autonomía económica de las mujeres. En México, de acuerdo información del Atlas de Igualdad y Derechos Humanos, de la Comisión Nacional de los Derechos Humanos, el porcentaje de mujeres ocupadas en 2015, es de 34.22%.</w:t>
      </w:r>
    </w:p>
    <w:p w14:paraId="67760613"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La CNDH ha detectado que la discriminación no se encuentra tipificada como delito en todas las entidades, a la luz de la perspectiva de género y en consonancia con el principio de igualdad entre mujeres y hombres; asimismo, existen asignaciones de roles y estereotipos de género en los marcos normativos que, precisamente, tienen la finalidad de promover la igualdad y la no discriminación.</w:t>
      </w:r>
    </w:p>
    <w:p w14:paraId="35D4083B"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Respecto de los avances para garantizar la igualdad entre mujeres y hombres en la vida política y en el Poder Judicial, el día 6 de junio de 2019, fue publicado en el Diario Oficial de la Federación el Decreto por el que se reforman los artículos 2, 4, 35, 41, 52, 53, 56, 94 y 115 de la Constitución Política de los Estados Unidos Mexicanos, en materia de paridad entre géneros. A través de este decreto, se prevén diversos avances para la participación paritaria entre mujeres y hombres en cargos públicos, y en nombramientos de las personas titulares de las secretarías de despacho de los poderes ejecutivos estatales y el federal.</w:t>
      </w:r>
    </w:p>
    <w:p w14:paraId="224C868B" w14:textId="77777777" w:rsidR="00D35E43" w:rsidRPr="00B754D8" w:rsidRDefault="00CD7861">
      <w:pPr>
        <w:pStyle w:val="CuerpoA"/>
        <w:jc w:val="both"/>
        <w:rPr>
          <w:rStyle w:val="Ninguno"/>
          <w:rFonts w:ascii="Arial" w:eastAsia="Arial" w:hAnsi="Arial" w:cs="Arial"/>
          <w:b/>
          <w:bCs/>
          <w:sz w:val="24"/>
          <w:szCs w:val="24"/>
        </w:rPr>
      </w:pPr>
      <w:r w:rsidRPr="00B754D8">
        <w:rPr>
          <w:rStyle w:val="Ninguno"/>
          <w:rFonts w:ascii="Arial" w:hAnsi="Arial"/>
          <w:b/>
          <w:bCs/>
          <w:sz w:val="24"/>
          <w:szCs w:val="24"/>
        </w:rPr>
        <w:t>Acciones de la CNDH</w:t>
      </w:r>
    </w:p>
    <w:p w14:paraId="6CD2446E"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Se elaboraron diversos estudios para dar cuenta de los avances y retos para garantizar los derechos de las mujeres en condiciones de igualdad: I. Se publicó el documento Principales preocupaciones sobre la situación de las mujeres que presenta la Comisión Nacional de los Derechos Humanos ante el Comité de la CEDAW derivadas del Noveno Informe Periódico de México; II. Se presentó el Sistema de Información Georreferenciada: Atlas de Igualdad y de Derechos Humanos (SIG-AIDH);</w:t>
      </w:r>
    </w:p>
    <w:p w14:paraId="59982A2B"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Respecto los pendientes legislativos en este tema, esta Comisión Nacional realizó el Diagnóstico de los Principios de Igualdad y no Discriminación en Leyes Federales y Estatales, una de las conclusiones a las que llegó este estudio fue la necesidad de que se tipifique la discriminación como delito en todos los códigos penales, a la luz de la perspectiva de género. Asimismo, fue emitida la recomendación general 23/2017 sobre el matrimonio igualitario, en la que se recomendó adecuar los ordenamientos en materia civil y/o familiar con el fin de permitir el acceso al matrimonio a todas las personas y sin cualquier tipo de discriminación.</w:t>
      </w:r>
    </w:p>
    <w:p w14:paraId="3D96975A"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En 2018 se publicó el Diagnóstico de corresponsabilidad del Estado Mexicano en el Trabajo de Cuidado, dentro del que se concluye que es necesaria una mayor intervención del Estado tanto para la creación de espacios públicos de cuidado, como para el diseño y operación de programas. También es preciso reflexionar sobre las distintas formas de interacción del Estado con los otros dos actores corresponsables del cuidado (familias y centros de trabajo), en el entendido de que cuando uno de estos actores deja de asumir su corresponsabilidad uno de los otros </w:t>
      </w:r>
      <w:r w:rsidRPr="00B754D8">
        <w:rPr>
          <w:rStyle w:val="Ninguno"/>
          <w:rFonts w:ascii="Arial" w:hAnsi="Arial"/>
          <w:sz w:val="24"/>
          <w:szCs w:val="24"/>
        </w:rPr>
        <w:lastRenderedPageBreak/>
        <w:t>la asume, generalmente las familias y al interior de ellas principalmente las mujeres. En este tenor, esta institución emitió la recomendación 29/2019 sobre la violación a los derechos humanos de las personas usuarias y beneficiarias del “Programa de estancias infantiles para apoyar a madres trabajadoras”, en la cual se acreditó que las autoridades responsables incumplieron la obligación constitucional de garantizar el derecho de las familias a recibir protección por parte del Estado, debido a que se abrogó el Programa de Estancias Infantiles que tenía como uno de sus objetivos principales, permitir que madres y padres que carecían de seguridad social accedieran a servicios de cuidado para sus hijas e hijos mientras ellas y ellos trabajaban, estudiaban o se avocaban a la búsqueda de un empleo .</w:t>
      </w:r>
    </w:p>
    <w:p w14:paraId="55392878"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Respecto de la discriminación de las mujeres en el ámbito laboral, esta Comisión Nacional publicó en 2019 el Diagnóstico de Hostigamiento sexual y Acoso sexual en la Administración Pública Federal (2015-2018), el cual concluye que es necesario contar con un parámetro que permita estimar el número de personas consejeras ideal para atender los posibles casos de hostigamiento y acoso sexual, teniendo en cuenta las particularidades de la institución (tamaño, complejidad en su estructura, oficinas foráneas, entre otras). Asimismo, el personal del Órgano Interno de Control que se ocupe de llevar a cabo las investigaciones en torno al hostigamiento y acoso sexual debe estar necesariamente sensibilizado en perspectiva de género y derechos humanos.</w:t>
      </w:r>
    </w:p>
    <w:p w14:paraId="0CD25618" w14:textId="77777777" w:rsidR="00D35E43" w:rsidRPr="00B754D8" w:rsidRDefault="00CD7861">
      <w:pPr>
        <w:pStyle w:val="CuerpoA"/>
        <w:jc w:val="both"/>
        <w:rPr>
          <w:rStyle w:val="Ninguno"/>
          <w:rFonts w:ascii="Arial" w:eastAsia="Arial" w:hAnsi="Arial" w:cs="Arial"/>
          <w:sz w:val="24"/>
          <w:szCs w:val="24"/>
          <w:u w:val="single"/>
        </w:rPr>
      </w:pPr>
      <w:r w:rsidRPr="00B754D8">
        <w:rPr>
          <w:rStyle w:val="Ninguno"/>
          <w:rFonts w:ascii="Arial" w:hAnsi="Arial"/>
          <w:sz w:val="24"/>
          <w:szCs w:val="24"/>
          <w:u w:val="single"/>
        </w:rPr>
        <w:t xml:space="preserve">La CNDH y su interacción con el Comité para la Eliminación de la Discriminación contra la Mujer (CEDAW), </w:t>
      </w:r>
    </w:p>
    <w:p w14:paraId="7C3D89AB"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En mayo de 2018, la CNDH remitió al Secretariado del </w:t>
      </w:r>
      <w:r w:rsidRPr="00B754D8">
        <w:rPr>
          <w:rStyle w:val="Ninguno"/>
          <w:rFonts w:ascii="Arial" w:hAnsi="Arial"/>
          <w:b/>
          <w:bCs/>
          <w:sz w:val="24"/>
          <w:szCs w:val="24"/>
        </w:rPr>
        <w:t>Comité para la Eliminación de la Discriminación contra la Mujer (CEDAW),</w:t>
      </w:r>
      <w:r w:rsidRPr="00B754D8">
        <w:rPr>
          <w:rStyle w:val="Ninguno"/>
          <w:rFonts w:ascii="Arial" w:hAnsi="Arial"/>
          <w:sz w:val="24"/>
          <w:szCs w:val="24"/>
        </w:rPr>
        <w:t xml:space="preserve"> la contribución de esta CNDH, con motivo del Examen del Noveno Informe Periódico de México ante dicho Comité y asistió en el mes de julio de 2018 a dicha revisión en Ginebra, Suiza. Previo a la revisión de México, esta Comisión Nacional, expuso en la reunión pública del CEDAW con Instituciones Nacionales de Derechos Humanos, los temas más relevantes del Informe Alternativo que este Organismo Autónomo entregó por primera vez a dicho Comité</w:t>
      </w:r>
      <w:r w:rsidRPr="00B754D8">
        <w:rPr>
          <w:rStyle w:val="Ninguno"/>
          <w:rFonts w:ascii="Arial" w:eastAsia="Arial" w:hAnsi="Arial" w:cs="Arial"/>
          <w:sz w:val="24"/>
          <w:szCs w:val="24"/>
          <w:vertAlign w:val="superscript"/>
        </w:rPr>
        <w:footnoteReference w:id="2"/>
      </w:r>
      <w:r w:rsidRPr="00B754D8">
        <w:rPr>
          <w:rStyle w:val="Ninguno"/>
          <w:rFonts w:ascii="Arial" w:hAnsi="Arial"/>
          <w:sz w:val="24"/>
          <w:szCs w:val="24"/>
        </w:rPr>
        <w:t>.</w:t>
      </w:r>
    </w:p>
    <w:p w14:paraId="5FD752BD" w14:textId="77777777" w:rsidR="00D35E43" w:rsidRPr="00B754D8" w:rsidRDefault="00CD7861">
      <w:pPr>
        <w:pStyle w:val="CuerpoA"/>
        <w:jc w:val="both"/>
        <w:rPr>
          <w:rStyle w:val="Ninguno"/>
          <w:rFonts w:ascii="Arial" w:eastAsia="Arial" w:hAnsi="Arial" w:cs="Arial"/>
          <w:b/>
          <w:bCs/>
          <w:sz w:val="24"/>
          <w:szCs w:val="24"/>
        </w:rPr>
      </w:pPr>
      <w:r w:rsidRPr="00B754D8">
        <w:rPr>
          <w:rStyle w:val="Ninguno"/>
          <w:rFonts w:ascii="Arial" w:hAnsi="Arial"/>
          <w:b/>
          <w:bCs/>
          <w:sz w:val="24"/>
          <w:szCs w:val="24"/>
        </w:rPr>
        <w:t>Retos para el Estado Mexicano</w:t>
      </w:r>
    </w:p>
    <w:p w14:paraId="628E12F8" w14:textId="77777777" w:rsidR="00D35E43" w:rsidRPr="00B754D8" w:rsidRDefault="00CD7861">
      <w:pPr>
        <w:pStyle w:val="CuerpoA"/>
        <w:numPr>
          <w:ilvl w:val="0"/>
          <w:numId w:val="91"/>
        </w:numPr>
        <w:jc w:val="both"/>
        <w:rPr>
          <w:rFonts w:ascii="Arial" w:hAnsi="Arial"/>
          <w:sz w:val="24"/>
          <w:szCs w:val="24"/>
        </w:rPr>
      </w:pPr>
      <w:r w:rsidRPr="00B754D8">
        <w:rPr>
          <w:rStyle w:val="Ninguno"/>
          <w:rFonts w:ascii="Arial" w:hAnsi="Arial"/>
          <w:sz w:val="24"/>
          <w:szCs w:val="24"/>
        </w:rPr>
        <w:t xml:space="preserve">Todas las autoridades en el ámbito de sus respectivas competencias, deben cumplir con su obligación de promover, respetar, proteger y garantizar los derechos humanos de todas las personas, particularmente de las mujeres y </w:t>
      </w:r>
      <w:r w:rsidRPr="00B754D8">
        <w:rPr>
          <w:rStyle w:val="Ninguno"/>
          <w:rFonts w:ascii="Arial" w:hAnsi="Arial"/>
          <w:sz w:val="24"/>
          <w:szCs w:val="24"/>
        </w:rPr>
        <w:lastRenderedPageBreak/>
        <w:t>niñas para que puedan acceder plenamente al ejercicio de todos sus derechos humanos.</w:t>
      </w:r>
    </w:p>
    <w:p w14:paraId="7F7AAD06" w14:textId="77777777" w:rsidR="00D35E43" w:rsidRPr="00B754D8" w:rsidRDefault="00CD7861">
      <w:pPr>
        <w:pStyle w:val="CuerpoA"/>
        <w:numPr>
          <w:ilvl w:val="0"/>
          <w:numId w:val="91"/>
        </w:numPr>
        <w:jc w:val="both"/>
        <w:rPr>
          <w:rFonts w:ascii="Arial" w:hAnsi="Arial"/>
          <w:sz w:val="24"/>
          <w:szCs w:val="24"/>
        </w:rPr>
      </w:pPr>
      <w:r w:rsidRPr="00B754D8">
        <w:rPr>
          <w:rStyle w:val="Ninguno"/>
          <w:rFonts w:ascii="Arial" w:hAnsi="Arial"/>
          <w:sz w:val="24"/>
          <w:szCs w:val="24"/>
        </w:rPr>
        <w:t>Pese a los esfuerzos prevalecen situaciones de discriminación y maltrato hacia las mujeres por parte de autoridades de los diferentes órdenes de gobierno, sin olvidar la discriminación social en la que poco hemos avanzado;</w:t>
      </w:r>
    </w:p>
    <w:p w14:paraId="204CC5D4" w14:textId="77777777" w:rsidR="00D35E43" w:rsidRPr="00B754D8" w:rsidRDefault="00CD7861">
      <w:pPr>
        <w:pStyle w:val="CuerpoA"/>
        <w:numPr>
          <w:ilvl w:val="0"/>
          <w:numId w:val="91"/>
        </w:numPr>
        <w:jc w:val="both"/>
        <w:rPr>
          <w:rFonts w:ascii="Arial" w:hAnsi="Arial"/>
          <w:sz w:val="24"/>
          <w:szCs w:val="24"/>
        </w:rPr>
      </w:pPr>
      <w:r w:rsidRPr="00B754D8">
        <w:rPr>
          <w:rStyle w:val="Ninguno"/>
          <w:rFonts w:ascii="Arial" w:hAnsi="Arial"/>
          <w:sz w:val="24"/>
          <w:szCs w:val="24"/>
        </w:rPr>
        <w:t>Insuficiente reconocimiento de los derechos de las mujeres indígenas. En las comunidades y en las regiones indígenas prevalecen situaciones de falta de igualdad, de discriminación y de exclusión y falta de reconocimiento tanto en lo social como en lo público.</w:t>
      </w:r>
    </w:p>
    <w:p w14:paraId="3C4E193A" w14:textId="77777777" w:rsidR="00D35E43" w:rsidRPr="0091511D" w:rsidRDefault="00CD7861">
      <w:pPr>
        <w:pStyle w:val="CuerpoA"/>
        <w:numPr>
          <w:ilvl w:val="0"/>
          <w:numId w:val="93"/>
        </w:numPr>
        <w:jc w:val="both"/>
        <w:rPr>
          <w:rStyle w:val="Ninguno"/>
        </w:rPr>
      </w:pPr>
      <w:r w:rsidRPr="0091511D">
        <w:rPr>
          <w:rStyle w:val="Ninguno"/>
          <w:rFonts w:ascii="Arial" w:hAnsi="Arial"/>
          <w:sz w:val="24"/>
          <w:szCs w:val="24"/>
        </w:rPr>
        <w:t>Reformar la Ley General de Acceso a las Mujeres a una Vida Libre de violencia para fortalecer las alertas de género.</w:t>
      </w:r>
    </w:p>
    <w:p w14:paraId="1B2A9D4A" w14:textId="77777777" w:rsidR="00D35E43" w:rsidRPr="0091511D" w:rsidRDefault="00CD7861" w:rsidP="0091511D">
      <w:pPr>
        <w:pStyle w:val="CuerpoA"/>
        <w:numPr>
          <w:ilvl w:val="0"/>
          <w:numId w:val="93"/>
        </w:numPr>
        <w:jc w:val="both"/>
        <w:rPr>
          <w:rStyle w:val="Ninguno"/>
        </w:rPr>
      </w:pPr>
      <w:r w:rsidRPr="0091511D">
        <w:rPr>
          <w:rStyle w:val="Ninguno"/>
          <w:rFonts w:ascii="Arial" w:hAnsi="Arial"/>
          <w:sz w:val="24"/>
          <w:szCs w:val="24"/>
        </w:rPr>
        <w:t>Materializar las reformas aprobadas a la Ley General para la Igualdad entre Mujeres y Hombres.</w:t>
      </w:r>
    </w:p>
    <w:p w14:paraId="4CE0E3D8" w14:textId="77777777" w:rsidR="00D35E43" w:rsidRPr="00B754D8" w:rsidRDefault="00CD7861">
      <w:pPr>
        <w:pStyle w:val="CuerpoA"/>
        <w:jc w:val="both"/>
        <w:rPr>
          <w:rStyle w:val="Ninguno"/>
          <w:rFonts w:ascii="Arial" w:eastAsia="Arial" w:hAnsi="Arial" w:cs="Arial"/>
          <w:b/>
          <w:bCs/>
          <w:sz w:val="24"/>
          <w:szCs w:val="24"/>
        </w:rPr>
      </w:pPr>
      <w:r w:rsidRPr="00B754D8">
        <w:rPr>
          <w:rStyle w:val="Ninguno"/>
          <w:rFonts w:ascii="Arial" w:hAnsi="Arial"/>
          <w:b/>
          <w:bCs/>
          <w:sz w:val="24"/>
          <w:szCs w:val="24"/>
        </w:rPr>
        <w:t>B. Violencia y discriminación por motivos de orientación sexual o identidad de género</w:t>
      </w:r>
      <w:r w:rsidRPr="00B754D8">
        <w:rPr>
          <w:rStyle w:val="Ninguno"/>
          <w:rFonts w:ascii="Arial" w:hAnsi="Arial"/>
          <w:sz w:val="24"/>
          <w:szCs w:val="24"/>
        </w:rPr>
        <w:t xml:space="preserve"> </w:t>
      </w:r>
    </w:p>
    <w:p w14:paraId="6A91A5A4" w14:textId="77777777" w:rsidR="00D35E43" w:rsidRPr="00B754D8" w:rsidRDefault="00CD7861">
      <w:pPr>
        <w:pStyle w:val="CuerpoB"/>
        <w:spacing w:after="160" w:line="259" w:lineRule="auto"/>
        <w:jc w:val="both"/>
        <w:rPr>
          <w:rStyle w:val="Ninguno"/>
          <w:rFonts w:ascii="Arial" w:eastAsia="Arial" w:hAnsi="Arial" w:cs="Arial"/>
          <w:b/>
          <w:bCs/>
        </w:rPr>
      </w:pPr>
      <w:r w:rsidRPr="00B754D8">
        <w:rPr>
          <w:rStyle w:val="Ninguno"/>
          <w:rFonts w:ascii="Arial" w:hAnsi="Arial"/>
          <w:b/>
          <w:bCs/>
        </w:rPr>
        <w:t>Contexto</w:t>
      </w:r>
    </w:p>
    <w:p w14:paraId="708C6C0D"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La Encuesta Nacional sobre Discriminación en México del 2017 (ENADIS 2017),</w:t>
      </w:r>
      <w:r w:rsidRPr="00B754D8">
        <w:rPr>
          <w:rStyle w:val="Ninguno"/>
          <w:rFonts w:ascii="Arial" w:eastAsia="Arial" w:hAnsi="Arial" w:cs="Arial"/>
          <w:vertAlign w:val="superscript"/>
        </w:rPr>
        <w:footnoteReference w:id="3"/>
      </w:r>
      <w:r w:rsidRPr="00B754D8">
        <w:rPr>
          <w:rStyle w:val="Ninguno"/>
          <w:rFonts w:ascii="Arial" w:hAnsi="Arial"/>
        </w:rPr>
        <w:t xml:space="preserve"> elaborada por esta Comisión Nacional de los Derechos Humanos en conjunto con diversas instituciones,  reportó que en relación con la percepción sobre el respeto a los derechos humanos, el grupo que encabeza la lista sobre el que considera que se respetan poco o nada sus derechos, es el de las personas trans, con el 72%, seguido del 66% de las personas gays o lesbianas. Sobre la apertura a la diversidad, el 33% de las mujeres y el 41% de los hombres encuestados indicaron que no rentarían un cuarto de su vivienda a una persona trans, y el 30% de las mujeres y 35% de los hombres no le rentarían a alguien por ser gay o lesbiana. También se preguntó si estarían de acuerdo con que su hijo o hija se casara con una persona del mismo sexo, dando como resultado que el 40% de las mujeres y el 46% de los hombres no estuvo de acuerdo.</w:t>
      </w:r>
    </w:p>
    <w:p w14:paraId="561A2901"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Otro documento que aporta referencias importantes en la materia es la</w:t>
      </w:r>
      <w:r w:rsidRPr="00B754D8">
        <w:rPr>
          <w:rStyle w:val="Ninguno"/>
          <w:rFonts w:ascii="Arial" w:hAnsi="Arial"/>
          <w:i/>
          <w:iCs/>
        </w:rPr>
        <w:t xml:space="preserve"> Encuesta sobre Discriminación por motivos de Orientación Sexual e Identidad de Género (</w:t>
      </w:r>
      <w:r w:rsidRPr="00B754D8">
        <w:rPr>
          <w:rStyle w:val="Ninguno"/>
          <w:rFonts w:ascii="Arial" w:hAnsi="Arial"/>
        </w:rPr>
        <w:t>ENDOSIG 2018</w:t>
      </w:r>
      <w:r w:rsidRPr="00B754D8">
        <w:rPr>
          <w:rStyle w:val="Ninguno"/>
          <w:rFonts w:ascii="Arial" w:hAnsi="Arial"/>
          <w:i/>
          <w:iCs/>
        </w:rPr>
        <w:t>),</w:t>
      </w:r>
      <w:r w:rsidRPr="00B754D8">
        <w:rPr>
          <w:rStyle w:val="Ninguno"/>
          <w:rFonts w:ascii="Arial" w:eastAsia="Arial" w:hAnsi="Arial" w:cs="Arial"/>
          <w:i/>
          <w:iCs/>
          <w:vertAlign w:val="superscript"/>
        </w:rPr>
        <w:footnoteReference w:id="4"/>
      </w:r>
      <w:r w:rsidRPr="00B754D8">
        <w:rPr>
          <w:rStyle w:val="Ninguno"/>
          <w:rFonts w:ascii="Arial" w:hAnsi="Arial"/>
        </w:rPr>
        <w:t xml:space="preserve"> elaborada en conjunto con el CONAPRED. Su objeto fue conocer las opiniones, expresiones, prácticas y experiencias de discriminación, exclusión y violencia que enfrentan las personas por su orientación sexual, su identidad y expresión de género en México, se dirigió a personas mayores de 16 </w:t>
      </w:r>
      <w:r w:rsidRPr="00B754D8">
        <w:rPr>
          <w:rStyle w:val="Ninguno"/>
          <w:rFonts w:ascii="Arial" w:hAnsi="Arial"/>
        </w:rPr>
        <w:lastRenderedPageBreak/>
        <w:t>años residentes en el territorio nacional que se autoidentifican con orientaciones sexuales o identidades y expresiones de género no normativas.</w:t>
      </w:r>
    </w:p>
    <w:p w14:paraId="44A3F5FC"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Algunos de los hallazgos de este documento reflejan que, en 2018, 59.8% de la población encuestada se sintió discriminada por al menos un motivo, el 25.2% declaró la negación injustificada de algún derecho, una de cada dos personas no fue abierta sobre su orientación sexual y/o identidad de género en su último empleo, el 30.8% ha recibido tratos arbitrarios y discriminatorios por parte de la policía, entre otros. La ENDOSIG considera que los datos dejan al descubierto experiencias de rechazo, estigma constante e interacciones sociales adversas a las que las personas con orientaciones sexuales e identidades de género no normativas se enfrentan.</w:t>
      </w:r>
    </w:p>
    <w:p w14:paraId="6120B097"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 xml:space="preserve">Otra referencia sobre el contexto prevaleciente es el </w:t>
      </w:r>
      <w:r w:rsidRPr="00B754D8">
        <w:rPr>
          <w:rStyle w:val="Ninguno"/>
          <w:rFonts w:ascii="Arial" w:hAnsi="Arial"/>
          <w:i/>
          <w:iCs/>
        </w:rPr>
        <w:t>Diagnóstico nacional sobre la discriminación hacia personas LGBTI en México</w:t>
      </w:r>
      <w:r w:rsidRPr="00B754D8">
        <w:rPr>
          <w:rStyle w:val="Ninguno"/>
          <w:rFonts w:ascii="Arial" w:hAnsi="Arial"/>
        </w:rPr>
        <w:t>.</w:t>
      </w:r>
      <w:r w:rsidRPr="00B754D8">
        <w:rPr>
          <w:rStyle w:val="Ninguno"/>
          <w:rFonts w:ascii="Arial" w:eastAsia="Arial" w:hAnsi="Arial" w:cs="Arial"/>
          <w:vertAlign w:val="superscript"/>
        </w:rPr>
        <w:footnoteReference w:id="5"/>
      </w:r>
      <w:r w:rsidRPr="00B754D8">
        <w:rPr>
          <w:rStyle w:val="Ninguno"/>
          <w:rFonts w:ascii="Arial" w:hAnsi="Arial"/>
        </w:rPr>
        <w:t xml:space="preserve"> Es un estudio descriptivo exploratorio, elaborado por la Comisión Ejecutiva de Atención a Víctimas (CEAV) y la Fundación Arcoíris por el respeto a la diversidad sexual, A.C. en su apartado sobre “Derecho a la seguridad y acceso a la justicia” se explica que las personas LGBTI están inmersas en un contexto que les es adverso debido a las diversas formas de violencia que viven. Los datos de violencia recibida de diversos tipos son coincidentes con las tendencias reportadas en los últimos años, apuntando que a pesar de la amplia reforma legal que se ha realizado en México, en la que se reconocen los derechos humanos y la no discriminación contra las personas LGBTI, la agresión y la violencia física derivada de los estigmas culturales se mantienen contra éstas. </w:t>
      </w:r>
    </w:p>
    <w:p w14:paraId="3E238E36"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De acuerdo a este diagnóstico, el 63% de las personas encuestadas conocieron a una persona asesinada en los últimos tres años por su condición LGBTI; asimismo la desconfianza en la autoridad es la principal causa para no acudir a la justicia; aunque también hay otras tres causas que le siguen: las personas LGBT han acudido a denunciar y las autoridades nunca hacen nada, han acudido a denunciar y les señalaron que la culpa era suya por su condición LGBTI, y quienes han acudido a denunciar recibieron trato despótico.</w:t>
      </w:r>
    </w:p>
    <w:p w14:paraId="75138308" w14:textId="77777777" w:rsidR="00D35E43" w:rsidRPr="0091511D" w:rsidRDefault="00CD7861">
      <w:pPr>
        <w:pStyle w:val="CuerpoB"/>
        <w:spacing w:after="160" w:line="259" w:lineRule="auto"/>
        <w:jc w:val="both"/>
        <w:rPr>
          <w:rStyle w:val="Ninguno"/>
          <w:rFonts w:ascii="Arial" w:hAnsi="Arial"/>
        </w:rPr>
      </w:pPr>
      <w:r w:rsidRPr="00B754D8">
        <w:rPr>
          <w:rStyle w:val="Ninguno"/>
          <w:rFonts w:ascii="Arial" w:hAnsi="Arial"/>
        </w:rPr>
        <w:t xml:space="preserve">Por otra parte, la regulación de derechos, tales como el matrimonio igualitario y el reconocimiento legal de la identidad de género es diferente en cada entidad federativa en nuestro país. Tan solo durante este año 2019, las reformas a la normatividad para permitir el matrimonio a cualquier persona con independencia de su sexo y orientación sexual </w:t>
      </w:r>
      <w:r w:rsidRPr="0091511D">
        <w:rPr>
          <w:rStyle w:val="Ninguno"/>
          <w:rFonts w:ascii="Arial" w:hAnsi="Arial"/>
        </w:rPr>
        <w:t>no han sido aprobadas en Durango, Guanajuato, Estado de México, Sinaloa, Sonora, Tabasco, Tlaxcala, Veracruz, Yucatán, Zacatecas y Tamaulipas.</w:t>
      </w:r>
    </w:p>
    <w:p w14:paraId="0896CCCF" w14:textId="77777777" w:rsidR="00D35E43" w:rsidRPr="00B754D8" w:rsidRDefault="00CD7861">
      <w:pPr>
        <w:pStyle w:val="CuerpoB"/>
        <w:spacing w:after="160" w:line="259" w:lineRule="auto"/>
        <w:jc w:val="both"/>
        <w:rPr>
          <w:rStyle w:val="Ninguno"/>
          <w:rFonts w:ascii="Arial" w:eastAsia="Arial" w:hAnsi="Arial" w:cs="Arial"/>
          <w:b/>
          <w:bCs/>
        </w:rPr>
      </w:pPr>
      <w:r w:rsidRPr="00B754D8">
        <w:rPr>
          <w:rStyle w:val="Ninguno"/>
          <w:rFonts w:ascii="Arial" w:hAnsi="Arial"/>
          <w:b/>
          <w:bCs/>
        </w:rPr>
        <w:lastRenderedPageBreak/>
        <w:t>Acciones de la CNDH</w:t>
      </w:r>
    </w:p>
    <w:p w14:paraId="1C3BE144"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 xml:space="preserve">Esta Comisión Nacional cuenta de manera permanente con un Programa Especial que aborda, entre otros asuntos, las cuestiones relacionadas con la sexualidad, la igualdad y no discriminación por orientación sexual, las características sexuales, así como por la identidad y expresión de género, este Programa busca el respeto de las personas lesbianas, gays, bisexuales, transgénero e intersexuales (LGBTI), mediante la promoción y difusión de sus derechos humanos, con el objeto de generar una cultura incluyente tanto en las personas servidoras públicas como en la sociedad en general. </w:t>
      </w:r>
    </w:p>
    <w:p w14:paraId="403DACCB"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En el marco de sus atribuciones realiza, con una cobertura nacional, las siguientes actividades: a) Promoción de los derechos humanos de las personas LGBTI mediante cursos, conferencias, y talleres, b) Vinculación con organizaciones de la sociedad civil y servidores públicos, c) Orientación y asesoría jurídica y d) Difusión y divulgación de los derechos humanos de las personas LGBTI, a través de la elaboración, actualización y distribución de materiales como cartillas, folletos, carteles, entre otros.</w:t>
      </w:r>
    </w:p>
    <w:p w14:paraId="191ABF57" w14:textId="77777777" w:rsidR="00D35E43" w:rsidRPr="00B754D8" w:rsidRDefault="00CD7861">
      <w:pPr>
        <w:pStyle w:val="CuerpoB"/>
        <w:jc w:val="both"/>
        <w:rPr>
          <w:rStyle w:val="Ninguno"/>
          <w:rFonts w:ascii="Arial" w:eastAsia="Arial" w:hAnsi="Arial" w:cs="Arial"/>
        </w:rPr>
      </w:pPr>
      <w:r w:rsidRPr="00B754D8">
        <w:rPr>
          <w:rStyle w:val="Ninguno"/>
          <w:rFonts w:ascii="Arial" w:hAnsi="Arial"/>
        </w:rPr>
        <w:t>Algunas resoluciones relevantes en la materia emitidas por este Organismo Nacional durante el periodo mencionado, son las siguientes:</w:t>
      </w:r>
    </w:p>
    <w:p w14:paraId="322B2D0C" w14:textId="77777777" w:rsidR="00D35E43" w:rsidRPr="00B754D8" w:rsidRDefault="00CD7861">
      <w:pPr>
        <w:pStyle w:val="CuerpoB"/>
        <w:numPr>
          <w:ilvl w:val="0"/>
          <w:numId w:val="95"/>
        </w:numPr>
        <w:spacing w:after="160" w:line="259" w:lineRule="auto"/>
        <w:jc w:val="both"/>
        <w:rPr>
          <w:rFonts w:ascii="Arial" w:hAnsi="Arial"/>
          <w:color w:val="0000FF"/>
        </w:rPr>
      </w:pPr>
      <w:r w:rsidRPr="00B754D8">
        <w:rPr>
          <w:rStyle w:val="Ninguno"/>
          <w:rFonts w:ascii="Arial" w:hAnsi="Arial"/>
          <w:b/>
          <w:bCs/>
        </w:rPr>
        <w:t>Recomendación General No. 23 sobre el matrimonio igualitario, emitida el 6 de noviembre de 2015</w:t>
      </w:r>
      <w:r w:rsidRPr="00B754D8">
        <w:rPr>
          <w:rStyle w:val="Ninguno"/>
          <w:rFonts w:ascii="Arial" w:hAnsi="Arial"/>
        </w:rPr>
        <w:t xml:space="preserve"> y dirigida a los titulares de los poderes ejecutivos y órganos legislativos de todas las entidades federativas de los Estados Unidos Mexicanos; ante un escenario diverso en las legislaciones estatales, parte del derecho a no ser discriminado por la orientación sexual y la protección igualitaria y efectiva de la ley</w:t>
      </w:r>
      <w:r w:rsidRPr="00B754D8">
        <w:rPr>
          <w:rStyle w:val="Ninguno"/>
          <w:rFonts w:ascii="Arial" w:eastAsia="Arial" w:hAnsi="Arial" w:cs="Arial"/>
          <w:vertAlign w:val="superscript"/>
        </w:rPr>
        <w:footnoteReference w:id="6"/>
      </w:r>
      <w:r w:rsidRPr="00B754D8">
        <w:rPr>
          <w:rStyle w:val="Ninguno"/>
          <w:rFonts w:ascii="Arial" w:hAnsi="Arial"/>
        </w:rPr>
        <w:t>;</w:t>
      </w:r>
    </w:p>
    <w:p w14:paraId="3D6BE0EE" w14:textId="77777777" w:rsidR="00D35E43" w:rsidRPr="00B754D8" w:rsidRDefault="00CD7861">
      <w:pPr>
        <w:pStyle w:val="CuerpoB"/>
        <w:numPr>
          <w:ilvl w:val="0"/>
          <w:numId w:val="95"/>
        </w:numPr>
        <w:spacing w:after="160" w:line="259" w:lineRule="auto"/>
        <w:jc w:val="both"/>
        <w:rPr>
          <w:rFonts w:ascii="Arial" w:hAnsi="Arial"/>
          <w:color w:val="0000FF"/>
        </w:rPr>
      </w:pPr>
      <w:r w:rsidRPr="00B754D8">
        <w:rPr>
          <w:rStyle w:val="Ninguno"/>
          <w:rFonts w:ascii="Arial" w:hAnsi="Arial"/>
          <w:b/>
          <w:bCs/>
        </w:rPr>
        <w:t>Recomendación N° 53/2017</w:t>
      </w:r>
      <w:r w:rsidRPr="00B754D8">
        <w:rPr>
          <w:rStyle w:val="Ninguno"/>
          <w:rFonts w:ascii="Arial" w:hAnsi="Arial"/>
        </w:rPr>
        <w:t xml:space="preserve"> sobre los casos de violaciones a los derechos humanos de acceso a la seguridad social, igualdad, no discriminación, legalidad y seguridad jurídica con motivo de la declaración de improcedencia de la pensión por viudez en agravio de 3 personas por causa de su estado civil emitida el 9 de noviembre de 2017, y dirigida al Instituto Mexicano del Seguro Social</w:t>
      </w:r>
      <w:r w:rsidRPr="00B754D8">
        <w:rPr>
          <w:rStyle w:val="Ninguno"/>
          <w:rFonts w:ascii="Arial" w:eastAsia="Arial" w:hAnsi="Arial" w:cs="Arial"/>
          <w:vertAlign w:val="superscript"/>
        </w:rPr>
        <w:footnoteReference w:id="7"/>
      </w:r>
      <w:r w:rsidRPr="00B754D8">
        <w:rPr>
          <w:rStyle w:val="Ninguno"/>
          <w:rFonts w:ascii="Arial" w:hAnsi="Arial"/>
        </w:rPr>
        <w:t xml:space="preserve"> .</w:t>
      </w:r>
    </w:p>
    <w:p w14:paraId="6EA0CD72" w14:textId="77777777" w:rsidR="00D35E43" w:rsidRPr="00B754D8" w:rsidRDefault="00CD7861">
      <w:pPr>
        <w:pStyle w:val="CuerpoA"/>
        <w:jc w:val="both"/>
        <w:rPr>
          <w:rStyle w:val="Ninguno"/>
          <w:rFonts w:ascii="Arial" w:eastAsia="Arial" w:hAnsi="Arial" w:cs="Arial"/>
          <w:b/>
          <w:bCs/>
          <w:sz w:val="24"/>
          <w:szCs w:val="24"/>
        </w:rPr>
      </w:pPr>
      <w:r w:rsidRPr="00B754D8">
        <w:rPr>
          <w:rStyle w:val="Ninguno"/>
          <w:rFonts w:ascii="Arial" w:hAnsi="Arial"/>
          <w:b/>
          <w:bCs/>
          <w:sz w:val="24"/>
          <w:szCs w:val="24"/>
        </w:rPr>
        <w:t>Retos para el Estado Mexicano</w:t>
      </w:r>
    </w:p>
    <w:p w14:paraId="29F67717" w14:textId="77777777" w:rsidR="00D35E43" w:rsidRPr="00B754D8" w:rsidRDefault="00CD7861">
      <w:pPr>
        <w:pStyle w:val="Prrafodelista"/>
        <w:numPr>
          <w:ilvl w:val="0"/>
          <w:numId w:val="97"/>
        </w:numPr>
        <w:jc w:val="both"/>
        <w:rPr>
          <w:rFonts w:ascii="Arial" w:hAnsi="Arial"/>
          <w:sz w:val="24"/>
          <w:szCs w:val="24"/>
        </w:rPr>
      </w:pPr>
      <w:r w:rsidRPr="00B754D8">
        <w:rPr>
          <w:rStyle w:val="Ninguno"/>
          <w:rFonts w:ascii="Arial" w:hAnsi="Arial"/>
          <w:sz w:val="24"/>
          <w:szCs w:val="24"/>
        </w:rPr>
        <w:t>Falta de armonización en la legislación de un gran número de entidades normativas con los compromisos internacionales y los criterios de la Suprema Corte de Justicia de la Nación respecto a derechos tales como el matrimonio igualitario, la adopción de menores, acceso a la seguridad social, así como el reconocimiento legal de la identidad de género.</w:t>
      </w:r>
    </w:p>
    <w:p w14:paraId="6F437DC0" w14:textId="77777777" w:rsidR="00D35E43" w:rsidRPr="00B754D8" w:rsidRDefault="00CD7861">
      <w:pPr>
        <w:pStyle w:val="Prrafodelista"/>
        <w:numPr>
          <w:ilvl w:val="0"/>
          <w:numId w:val="97"/>
        </w:numPr>
        <w:jc w:val="both"/>
        <w:rPr>
          <w:rFonts w:ascii="Arial" w:hAnsi="Arial"/>
          <w:sz w:val="24"/>
          <w:szCs w:val="24"/>
        </w:rPr>
      </w:pPr>
      <w:r w:rsidRPr="00B754D8">
        <w:rPr>
          <w:rStyle w:val="Ninguno"/>
          <w:rFonts w:ascii="Arial" w:hAnsi="Arial"/>
          <w:sz w:val="24"/>
          <w:szCs w:val="24"/>
        </w:rPr>
        <w:lastRenderedPageBreak/>
        <w:t>Persistencia de altos niveles de discriminación a nivel estructural y de forma interseccional hacia las personas LGBTI; es decir, continúan presentándose actos discriminatorios en el ámbito público, privado y social, en diversos contextos como el familiar, laboral, educativo, de salud, institucional y otros.</w:t>
      </w:r>
    </w:p>
    <w:p w14:paraId="0B3C2B22" w14:textId="77777777" w:rsidR="00D35E43" w:rsidRPr="00B754D8" w:rsidRDefault="00CD7861">
      <w:pPr>
        <w:pStyle w:val="CuerpoA"/>
        <w:numPr>
          <w:ilvl w:val="0"/>
          <w:numId w:val="97"/>
        </w:numPr>
        <w:jc w:val="both"/>
        <w:rPr>
          <w:rFonts w:ascii="Arial" w:hAnsi="Arial"/>
          <w:b/>
          <w:bCs/>
          <w:sz w:val="24"/>
          <w:szCs w:val="24"/>
        </w:rPr>
      </w:pPr>
      <w:r w:rsidRPr="00B754D8">
        <w:rPr>
          <w:rStyle w:val="Ninguno"/>
          <w:rFonts w:ascii="Arial" w:hAnsi="Arial"/>
          <w:sz w:val="24"/>
          <w:szCs w:val="24"/>
        </w:rPr>
        <w:t>Incremento de crímenes de odio contra las personas LGBTI (delitos cometidos con violencia por prejuicio) falta de denuncia de los mismos e impunidad en la sanción de los responsables.</w:t>
      </w:r>
    </w:p>
    <w:p w14:paraId="1E4F7EE9" w14:textId="77777777" w:rsidR="00D35E43" w:rsidRPr="00B754D8" w:rsidRDefault="00D35E43">
      <w:pPr>
        <w:pStyle w:val="CuerpoA"/>
        <w:jc w:val="both"/>
        <w:rPr>
          <w:rStyle w:val="Ninguno"/>
          <w:rFonts w:ascii="Arial" w:eastAsia="Arial" w:hAnsi="Arial" w:cs="Arial"/>
          <w:b/>
          <w:bCs/>
          <w:sz w:val="24"/>
          <w:szCs w:val="24"/>
        </w:rPr>
      </w:pPr>
    </w:p>
    <w:p w14:paraId="6AC47607" w14:textId="77777777" w:rsidR="00D35E43" w:rsidRPr="00B754D8" w:rsidRDefault="00CD7861">
      <w:pPr>
        <w:pStyle w:val="CuerpoA"/>
        <w:numPr>
          <w:ilvl w:val="0"/>
          <w:numId w:val="98"/>
        </w:numPr>
        <w:jc w:val="both"/>
        <w:rPr>
          <w:rFonts w:ascii="Arial" w:hAnsi="Arial"/>
          <w:b/>
          <w:bCs/>
          <w:sz w:val="24"/>
          <w:szCs w:val="24"/>
        </w:rPr>
      </w:pPr>
      <w:r w:rsidRPr="00B754D8">
        <w:rPr>
          <w:rStyle w:val="Ninguno"/>
          <w:rFonts w:ascii="Arial" w:hAnsi="Arial"/>
          <w:b/>
          <w:bCs/>
          <w:sz w:val="24"/>
          <w:szCs w:val="24"/>
        </w:rPr>
        <w:t xml:space="preserve">Violencia contra la mujer </w:t>
      </w:r>
      <w:r w:rsidRPr="00B754D8">
        <w:rPr>
          <w:rStyle w:val="Ninguno"/>
          <w:rFonts w:ascii="Arial" w:hAnsi="Arial"/>
          <w:sz w:val="24"/>
          <w:szCs w:val="24"/>
        </w:rPr>
        <w:t xml:space="preserve"> </w:t>
      </w:r>
    </w:p>
    <w:p w14:paraId="0DF0CC07" w14:textId="77777777" w:rsidR="00D35E43" w:rsidRPr="00B754D8" w:rsidRDefault="00CD7861">
      <w:pPr>
        <w:pStyle w:val="CuerpoB"/>
        <w:spacing w:after="160" w:line="259" w:lineRule="auto"/>
        <w:jc w:val="both"/>
        <w:rPr>
          <w:rStyle w:val="Ninguno"/>
          <w:rFonts w:ascii="Arial" w:eastAsia="Arial" w:hAnsi="Arial" w:cs="Arial"/>
          <w:b/>
          <w:bCs/>
        </w:rPr>
      </w:pPr>
      <w:r w:rsidRPr="00B754D8">
        <w:rPr>
          <w:rStyle w:val="Ninguno"/>
          <w:rFonts w:ascii="Arial" w:hAnsi="Arial"/>
          <w:b/>
          <w:bCs/>
        </w:rPr>
        <w:t>Contexto</w:t>
      </w:r>
    </w:p>
    <w:p w14:paraId="69CFE828"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La Comisión Nacional observa con preocupación el incremento de los niveles de violencia contra las mujeres en los últimos años, principalmente la violencia feminicida, De acuerdo a datos del Secretariado Ejecutivo del Sistema Nacional de Seguridad Pública, de 2015 a junio de 2019 se han cometido 3,080 presuntos feminicidios, y han existido 10,610 presuntas víctimas mujeres de homicidio doloso. En los primeros 6 meses del año 2019, han sido asesinadas 1,812 mujeres, es decir, 10 mujeres al día en promedio.</w:t>
      </w:r>
    </w:p>
    <w:p w14:paraId="680A2889"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Como resultado de esta situación, a la fecha, existen 30 procedimientos de Alerta de Violencia de Género contra las Mujeres (AVGM), de los cuales,18 han resultado en Declaratorias de AVGM en 17 estados de la República. Al respecto, Veracruz es la única entidad que cuenta con dos Alertas declaradas, la primera por Violencia Feminicida y la segunda por Agravio Comparado, esta última por contar con una legislación que atenta contra los derechos humanos de las mujeres.</w:t>
      </w:r>
    </w:p>
    <w:p w14:paraId="68C20016" w14:textId="77777777" w:rsidR="00D35E43" w:rsidRPr="00B754D8" w:rsidRDefault="00CD7861">
      <w:pPr>
        <w:pStyle w:val="CuerpoB"/>
        <w:spacing w:after="160" w:line="259" w:lineRule="auto"/>
        <w:jc w:val="center"/>
        <w:rPr>
          <w:rStyle w:val="Ninguno"/>
          <w:rFonts w:ascii="Arial" w:eastAsia="Arial" w:hAnsi="Arial" w:cs="Arial"/>
          <w:b/>
          <w:bCs/>
        </w:rPr>
      </w:pPr>
      <w:r w:rsidRPr="00B754D8">
        <w:rPr>
          <w:rStyle w:val="Ninguno"/>
          <w:rFonts w:ascii="Arial" w:hAnsi="Arial"/>
          <w:b/>
          <w:bCs/>
        </w:rPr>
        <w:t>Estado actual de los procedimientos AVGM</w:t>
      </w:r>
    </w:p>
    <w:tbl>
      <w:tblPr>
        <w:tblStyle w:val="TableNormal"/>
        <w:tblW w:w="882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942"/>
        <w:gridCol w:w="2943"/>
        <w:gridCol w:w="2943"/>
      </w:tblGrid>
      <w:tr w:rsidR="00D35E43" w:rsidRPr="00B754D8" w14:paraId="11A10DA1" w14:textId="77777777">
        <w:trPr>
          <w:trHeight w:val="470"/>
          <w:jc w:val="center"/>
        </w:trPr>
        <w:tc>
          <w:tcPr>
            <w:tcW w:w="29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8A308B" w14:textId="77777777" w:rsidR="00D35E43" w:rsidRPr="00B754D8" w:rsidRDefault="00CD7861">
            <w:pPr>
              <w:pStyle w:val="CuerpoB"/>
              <w:spacing w:line="259" w:lineRule="auto"/>
              <w:jc w:val="center"/>
            </w:pPr>
            <w:r w:rsidRPr="00B754D8">
              <w:rPr>
                <w:rStyle w:val="Ninguno"/>
                <w:rFonts w:ascii="Arial" w:hAnsi="Arial"/>
                <w:sz w:val="20"/>
                <w:szCs w:val="20"/>
              </w:rPr>
              <w:t>Estado de procedimiento de AVGM</w:t>
            </w:r>
          </w:p>
        </w:tc>
        <w:tc>
          <w:tcPr>
            <w:tcW w:w="29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753B8E" w14:textId="77777777" w:rsidR="00D35E43" w:rsidRPr="00B754D8" w:rsidRDefault="00CD7861">
            <w:pPr>
              <w:pStyle w:val="CuerpoB"/>
              <w:spacing w:line="259" w:lineRule="auto"/>
              <w:jc w:val="center"/>
            </w:pPr>
            <w:r w:rsidRPr="00B754D8">
              <w:rPr>
                <w:rStyle w:val="Ninguno"/>
                <w:rFonts w:ascii="Arial" w:hAnsi="Arial"/>
                <w:sz w:val="20"/>
                <w:szCs w:val="20"/>
              </w:rPr>
              <w:t>Número de procedimientos</w:t>
            </w:r>
          </w:p>
        </w:tc>
        <w:tc>
          <w:tcPr>
            <w:tcW w:w="29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7AA88E" w14:textId="77777777" w:rsidR="00D35E43" w:rsidRPr="00B754D8" w:rsidRDefault="00CD7861">
            <w:pPr>
              <w:pStyle w:val="CuerpoB"/>
              <w:spacing w:line="259" w:lineRule="auto"/>
              <w:jc w:val="center"/>
            </w:pPr>
            <w:r w:rsidRPr="00B754D8">
              <w:rPr>
                <w:rStyle w:val="Ninguno"/>
                <w:rFonts w:ascii="Arial" w:hAnsi="Arial"/>
                <w:sz w:val="20"/>
                <w:szCs w:val="20"/>
              </w:rPr>
              <w:t>Entidades federativas</w:t>
            </w:r>
          </w:p>
        </w:tc>
      </w:tr>
      <w:tr w:rsidR="00D35E43" w:rsidRPr="00AC584A" w14:paraId="72DE649F" w14:textId="77777777">
        <w:trPr>
          <w:trHeight w:val="2602"/>
          <w:jc w:val="center"/>
        </w:trPr>
        <w:tc>
          <w:tcPr>
            <w:tcW w:w="29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949C3F" w14:textId="77777777" w:rsidR="00D35E43" w:rsidRPr="00B754D8" w:rsidRDefault="00CD7861">
            <w:pPr>
              <w:pStyle w:val="CuerpoB"/>
              <w:spacing w:line="259" w:lineRule="auto"/>
              <w:jc w:val="both"/>
              <w:rPr>
                <w:rStyle w:val="Ninguno"/>
                <w:rFonts w:ascii="Arial" w:eastAsia="Arial" w:hAnsi="Arial" w:cs="Arial"/>
                <w:sz w:val="20"/>
                <w:szCs w:val="20"/>
              </w:rPr>
            </w:pPr>
            <w:r w:rsidRPr="00B754D8">
              <w:rPr>
                <w:rStyle w:val="Ninguno"/>
                <w:rFonts w:ascii="Arial" w:hAnsi="Arial"/>
                <w:sz w:val="20"/>
                <w:szCs w:val="20"/>
              </w:rPr>
              <w:t>Declaratorias de AVGM</w:t>
            </w:r>
          </w:p>
          <w:p w14:paraId="623B1705" w14:textId="77777777" w:rsidR="00D35E43" w:rsidRPr="00B754D8" w:rsidRDefault="00CD7861">
            <w:pPr>
              <w:pStyle w:val="CuerpoB"/>
              <w:spacing w:line="259" w:lineRule="auto"/>
              <w:jc w:val="both"/>
            </w:pPr>
            <w:r w:rsidRPr="00B754D8">
              <w:rPr>
                <w:rStyle w:val="Ninguno"/>
                <w:rFonts w:ascii="Arial" w:hAnsi="Arial"/>
                <w:sz w:val="20"/>
                <w:szCs w:val="20"/>
              </w:rPr>
              <w:t> </w:t>
            </w:r>
          </w:p>
        </w:tc>
        <w:tc>
          <w:tcPr>
            <w:tcW w:w="29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EEF782" w14:textId="77777777" w:rsidR="00D35E43" w:rsidRPr="00B754D8" w:rsidRDefault="00CD7861">
            <w:pPr>
              <w:pStyle w:val="CuerpoB"/>
              <w:spacing w:line="259" w:lineRule="auto"/>
              <w:jc w:val="center"/>
            </w:pPr>
            <w:r w:rsidRPr="00B754D8">
              <w:rPr>
                <w:rStyle w:val="Ninguno"/>
                <w:rFonts w:ascii="Arial" w:hAnsi="Arial"/>
                <w:sz w:val="20"/>
                <w:szCs w:val="20"/>
              </w:rPr>
              <w:t>18 declaratorias</w:t>
            </w:r>
          </w:p>
        </w:tc>
        <w:tc>
          <w:tcPr>
            <w:tcW w:w="29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99DDCA" w14:textId="77777777" w:rsidR="00D35E43" w:rsidRPr="00B754D8" w:rsidRDefault="00CD7861">
            <w:pPr>
              <w:pStyle w:val="CuerpoB"/>
              <w:spacing w:line="259" w:lineRule="auto"/>
              <w:jc w:val="both"/>
            </w:pPr>
            <w:r w:rsidRPr="00B754D8">
              <w:rPr>
                <w:rStyle w:val="Ninguno"/>
                <w:rFonts w:ascii="Arial" w:hAnsi="Arial"/>
                <w:sz w:val="20"/>
                <w:szCs w:val="20"/>
              </w:rPr>
              <w:t>Estado de México, Morelos, Michoacán, Chiapas, Nuevo León, Veracruz (por violencia feminicida), Sinaloa, Colima, San Luis Potosí, Guerrero, Quintana Roo, Nayarit, Veracruz (por agravio comparado), Zacatecas*, Oaxaca, Durango, Campeche y Jalisco.*</w:t>
            </w:r>
          </w:p>
        </w:tc>
      </w:tr>
      <w:tr w:rsidR="00D35E43" w:rsidRPr="00AC584A" w14:paraId="7DDAC673" w14:textId="77777777">
        <w:trPr>
          <w:trHeight w:val="1171"/>
          <w:jc w:val="center"/>
        </w:trPr>
        <w:tc>
          <w:tcPr>
            <w:tcW w:w="29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C72A96" w14:textId="77777777" w:rsidR="00D35E43" w:rsidRPr="00B754D8" w:rsidRDefault="00CD7861">
            <w:pPr>
              <w:pStyle w:val="CuerpoB"/>
              <w:spacing w:line="259" w:lineRule="auto"/>
              <w:jc w:val="both"/>
            </w:pPr>
            <w:r w:rsidRPr="00B754D8">
              <w:rPr>
                <w:rStyle w:val="Ninguno"/>
                <w:rFonts w:ascii="Arial" w:hAnsi="Arial"/>
                <w:sz w:val="20"/>
                <w:szCs w:val="20"/>
              </w:rPr>
              <w:lastRenderedPageBreak/>
              <w:t>Se determinó no emitir la declaratoria de AVGM</w:t>
            </w:r>
          </w:p>
        </w:tc>
        <w:tc>
          <w:tcPr>
            <w:tcW w:w="29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B99C06" w14:textId="77777777" w:rsidR="00D35E43" w:rsidRPr="00B754D8" w:rsidRDefault="00CD7861">
            <w:pPr>
              <w:pStyle w:val="CuerpoB"/>
              <w:spacing w:line="259" w:lineRule="auto"/>
              <w:jc w:val="center"/>
            </w:pPr>
            <w:r w:rsidRPr="00B754D8">
              <w:rPr>
                <w:rStyle w:val="Ninguno"/>
                <w:rFonts w:ascii="Arial" w:hAnsi="Arial"/>
                <w:sz w:val="20"/>
                <w:szCs w:val="20"/>
              </w:rPr>
              <w:t>10 procedimientos</w:t>
            </w:r>
          </w:p>
        </w:tc>
        <w:tc>
          <w:tcPr>
            <w:tcW w:w="29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A382B9" w14:textId="77777777" w:rsidR="00D35E43" w:rsidRPr="00B754D8" w:rsidRDefault="00CD7861">
            <w:pPr>
              <w:pStyle w:val="CuerpoB"/>
              <w:spacing w:line="259" w:lineRule="auto"/>
              <w:jc w:val="both"/>
            </w:pPr>
            <w:r w:rsidRPr="00B754D8">
              <w:rPr>
                <w:rStyle w:val="Ninguno"/>
                <w:rFonts w:ascii="Arial" w:hAnsi="Arial"/>
                <w:sz w:val="20"/>
                <w:szCs w:val="20"/>
              </w:rPr>
              <w:t xml:space="preserve">Baja California, Guanajuato, Querétaro*, Puebla*, Tabasco*, </w:t>
            </w:r>
            <w:r w:rsidRPr="0091511D">
              <w:rPr>
                <w:rStyle w:val="Ninguno"/>
                <w:rFonts w:ascii="Arial" w:hAnsi="Arial"/>
                <w:sz w:val="20"/>
                <w:szCs w:val="20"/>
              </w:rPr>
              <w:t>Ciudad de México,</w:t>
            </w:r>
            <w:r w:rsidRPr="00B754D8">
              <w:rPr>
                <w:rStyle w:val="Ninguno"/>
                <w:rFonts w:ascii="Arial" w:hAnsi="Arial"/>
                <w:sz w:val="20"/>
                <w:szCs w:val="20"/>
              </w:rPr>
              <w:t xml:space="preserve"> Tlaxcala, Sonora*,  Yucatán* y Coahuila*</w:t>
            </w:r>
          </w:p>
        </w:tc>
      </w:tr>
      <w:tr w:rsidR="00D35E43" w:rsidRPr="00B754D8" w14:paraId="6EB34358" w14:textId="77777777">
        <w:trPr>
          <w:trHeight w:val="1181"/>
          <w:jc w:val="center"/>
        </w:trPr>
        <w:tc>
          <w:tcPr>
            <w:tcW w:w="29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FC2269" w14:textId="77777777" w:rsidR="00D35E43" w:rsidRPr="00B754D8" w:rsidRDefault="00CD7861">
            <w:pPr>
              <w:pStyle w:val="CuerpoB"/>
              <w:spacing w:line="259" w:lineRule="auto"/>
              <w:jc w:val="both"/>
            </w:pPr>
            <w:r w:rsidRPr="00B754D8">
              <w:rPr>
                <w:rStyle w:val="Ninguno"/>
                <w:rFonts w:ascii="Arial" w:hAnsi="Arial"/>
                <w:sz w:val="20"/>
                <w:szCs w:val="20"/>
              </w:rPr>
              <w:t>Se ha vencido el plazo de cumplimiento de los seis meses y se encuentra pendiente de dictaminación</w:t>
            </w:r>
          </w:p>
        </w:tc>
        <w:tc>
          <w:tcPr>
            <w:tcW w:w="29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C10110" w14:textId="77777777" w:rsidR="00D35E43" w:rsidRPr="00B754D8" w:rsidRDefault="00CD7861">
            <w:pPr>
              <w:pStyle w:val="CuerpoB"/>
              <w:spacing w:line="259" w:lineRule="auto"/>
              <w:jc w:val="center"/>
            </w:pPr>
            <w:r w:rsidRPr="00B754D8">
              <w:rPr>
                <w:rStyle w:val="Ninguno"/>
                <w:rFonts w:ascii="Arial" w:hAnsi="Arial"/>
                <w:sz w:val="20"/>
                <w:szCs w:val="20"/>
              </w:rPr>
              <w:t>1 procedimiento</w:t>
            </w:r>
          </w:p>
        </w:tc>
        <w:tc>
          <w:tcPr>
            <w:tcW w:w="29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52CABC" w14:textId="77777777" w:rsidR="00D35E43" w:rsidRPr="00B754D8" w:rsidRDefault="00D35E43">
            <w:pPr>
              <w:pStyle w:val="CuerpoB"/>
              <w:spacing w:line="259" w:lineRule="auto"/>
              <w:jc w:val="both"/>
              <w:rPr>
                <w:rStyle w:val="Ninguno"/>
                <w:rFonts w:ascii="Arial" w:eastAsia="Arial" w:hAnsi="Arial" w:cs="Arial"/>
                <w:sz w:val="20"/>
                <w:szCs w:val="20"/>
              </w:rPr>
            </w:pPr>
          </w:p>
          <w:p w14:paraId="453854F4" w14:textId="77777777" w:rsidR="00D35E43" w:rsidRPr="00B754D8" w:rsidRDefault="00D35E43">
            <w:pPr>
              <w:pStyle w:val="CuerpoB"/>
              <w:spacing w:line="259" w:lineRule="auto"/>
              <w:jc w:val="both"/>
              <w:rPr>
                <w:rStyle w:val="Ninguno"/>
                <w:rFonts w:ascii="Arial" w:eastAsia="Arial" w:hAnsi="Arial" w:cs="Arial"/>
                <w:sz w:val="20"/>
                <w:szCs w:val="20"/>
              </w:rPr>
            </w:pPr>
          </w:p>
          <w:p w14:paraId="1D1FF97F" w14:textId="77777777" w:rsidR="00D35E43" w:rsidRPr="00B754D8" w:rsidRDefault="00CD7861">
            <w:pPr>
              <w:pStyle w:val="CuerpoB"/>
              <w:spacing w:line="259" w:lineRule="auto"/>
              <w:jc w:val="center"/>
            </w:pPr>
            <w:r w:rsidRPr="00B754D8">
              <w:rPr>
                <w:rStyle w:val="Ninguno"/>
                <w:rFonts w:ascii="Arial" w:hAnsi="Arial"/>
                <w:sz w:val="20"/>
                <w:szCs w:val="20"/>
              </w:rPr>
              <w:t>Puebla</w:t>
            </w:r>
          </w:p>
        </w:tc>
      </w:tr>
      <w:tr w:rsidR="00D35E43" w:rsidRPr="00AC584A" w14:paraId="7ACD02DA" w14:textId="77777777">
        <w:trPr>
          <w:trHeight w:val="1418"/>
          <w:jc w:val="center"/>
        </w:trPr>
        <w:tc>
          <w:tcPr>
            <w:tcW w:w="29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2B685F" w14:textId="77777777" w:rsidR="00D35E43" w:rsidRPr="00B754D8" w:rsidRDefault="00CD7861">
            <w:pPr>
              <w:pStyle w:val="CuerpoB"/>
              <w:spacing w:line="259" w:lineRule="auto"/>
              <w:jc w:val="both"/>
            </w:pPr>
            <w:r w:rsidRPr="00B754D8">
              <w:rPr>
                <w:rStyle w:val="Ninguno"/>
                <w:rFonts w:ascii="Arial" w:hAnsi="Arial"/>
                <w:sz w:val="20"/>
                <w:szCs w:val="20"/>
              </w:rPr>
              <w:t>Se encuentran transcurriendo el plazo de 6 meses para cumplimiento de las recomendaciones</w:t>
            </w:r>
          </w:p>
        </w:tc>
        <w:tc>
          <w:tcPr>
            <w:tcW w:w="29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25009D0" w14:textId="77777777" w:rsidR="00D35E43" w:rsidRPr="00B754D8" w:rsidRDefault="00CD7861">
            <w:pPr>
              <w:pStyle w:val="CuerpoB"/>
              <w:spacing w:line="259" w:lineRule="auto"/>
              <w:jc w:val="center"/>
            </w:pPr>
            <w:r w:rsidRPr="00B754D8">
              <w:rPr>
                <w:rStyle w:val="Ninguno"/>
                <w:rFonts w:ascii="Arial" w:hAnsi="Arial"/>
                <w:sz w:val="20"/>
                <w:szCs w:val="20"/>
              </w:rPr>
              <w:t>1 procedimiento</w:t>
            </w:r>
          </w:p>
        </w:tc>
        <w:tc>
          <w:tcPr>
            <w:tcW w:w="29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95296F" w14:textId="77777777" w:rsidR="00D35E43" w:rsidRPr="00B754D8" w:rsidRDefault="00D35E43">
            <w:pPr>
              <w:pStyle w:val="CuerpoB"/>
              <w:spacing w:line="259" w:lineRule="auto"/>
              <w:jc w:val="center"/>
              <w:rPr>
                <w:rStyle w:val="Ninguno"/>
                <w:rFonts w:ascii="Arial" w:eastAsia="Arial" w:hAnsi="Arial" w:cs="Arial"/>
                <w:sz w:val="20"/>
                <w:szCs w:val="20"/>
              </w:rPr>
            </w:pPr>
          </w:p>
          <w:p w14:paraId="2C635BFF" w14:textId="77777777" w:rsidR="00D35E43" w:rsidRPr="00B754D8" w:rsidRDefault="00CD7861">
            <w:pPr>
              <w:pStyle w:val="CuerpoB"/>
              <w:spacing w:line="259" w:lineRule="auto"/>
              <w:jc w:val="center"/>
            </w:pPr>
            <w:r w:rsidRPr="00B754D8">
              <w:rPr>
                <w:rStyle w:val="Ninguno"/>
                <w:rFonts w:ascii="Arial" w:hAnsi="Arial"/>
                <w:sz w:val="20"/>
                <w:szCs w:val="20"/>
              </w:rPr>
              <w:t>Estado de México, por desaparición de mujeres. (Los 6 meses concluyen el 16 de abril de 2019)</w:t>
            </w:r>
          </w:p>
        </w:tc>
      </w:tr>
      <w:tr w:rsidR="00D35E43" w:rsidRPr="00B754D8" w14:paraId="3A747B87" w14:textId="77777777">
        <w:trPr>
          <w:trHeight w:val="233"/>
          <w:jc w:val="center"/>
        </w:trPr>
        <w:tc>
          <w:tcPr>
            <w:tcW w:w="29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F34E66" w14:textId="77777777" w:rsidR="00D35E43" w:rsidRPr="00B754D8" w:rsidRDefault="00CD7861">
            <w:pPr>
              <w:pStyle w:val="CuerpoB"/>
              <w:spacing w:line="259" w:lineRule="auto"/>
            </w:pPr>
            <w:r w:rsidRPr="00B754D8">
              <w:rPr>
                <w:rStyle w:val="Ninguno"/>
                <w:rFonts w:ascii="Arial" w:hAnsi="Arial"/>
                <w:sz w:val="20"/>
                <w:szCs w:val="20"/>
              </w:rPr>
              <w:t>Total de solicitudes AVGM</w:t>
            </w:r>
          </w:p>
        </w:tc>
        <w:tc>
          <w:tcPr>
            <w:tcW w:w="588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213536F" w14:textId="77777777" w:rsidR="00D35E43" w:rsidRPr="00B754D8" w:rsidRDefault="00CD7861">
            <w:pPr>
              <w:pStyle w:val="CuerpoB"/>
              <w:spacing w:line="259" w:lineRule="auto"/>
              <w:jc w:val="center"/>
            </w:pPr>
            <w:r w:rsidRPr="00B754D8">
              <w:rPr>
                <w:rStyle w:val="Ninguno"/>
                <w:rFonts w:ascii="Arial" w:hAnsi="Arial"/>
                <w:sz w:val="20"/>
                <w:szCs w:val="20"/>
              </w:rPr>
              <w:t>30 procedimientos en 27 estados</w:t>
            </w:r>
          </w:p>
        </w:tc>
      </w:tr>
      <w:tr w:rsidR="00D35E43" w:rsidRPr="00B754D8" w14:paraId="404BF874" w14:textId="77777777">
        <w:trPr>
          <w:trHeight w:val="453"/>
          <w:jc w:val="center"/>
        </w:trPr>
        <w:tc>
          <w:tcPr>
            <w:tcW w:w="29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B3B859" w14:textId="77777777" w:rsidR="00D35E43" w:rsidRPr="00B754D8" w:rsidRDefault="00CD7861">
            <w:pPr>
              <w:pStyle w:val="CuerpoB"/>
            </w:pPr>
            <w:r w:rsidRPr="00B754D8">
              <w:rPr>
                <w:rStyle w:val="Ninguno"/>
                <w:rFonts w:ascii="Arial" w:hAnsi="Arial"/>
                <w:sz w:val="20"/>
                <w:szCs w:val="20"/>
              </w:rPr>
              <w:t>Total de procedimientos activos</w:t>
            </w:r>
          </w:p>
        </w:tc>
        <w:tc>
          <w:tcPr>
            <w:tcW w:w="588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B3F1B2" w14:textId="77777777" w:rsidR="00D35E43" w:rsidRPr="00B754D8" w:rsidRDefault="00CD7861">
            <w:pPr>
              <w:pStyle w:val="CuerpoB"/>
              <w:jc w:val="center"/>
            </w:pPr>
            <w:r w:rsidRPr="00B754D8">
              <w:rPr>
                <w:rStyle w:val="Ninguno"/>
                <w:rFonts w:ascii="Arial" w:hAnsi="Arial"/>
                <w:sz w:val="20"/>
                <w:szCs w:val="20"/>
              </w:rPr>
              <w:t>21 procedimientos activos en 27 estados</w:t>
            </w:r>
          </w:p>
        </w:tc>
      </w:tr>
    </w:tbl>
    <w:p w14:paraId="3D875C39" w14:textId="77777777" w:rsidR="00D35E43" w:rsidRPr="00B754D8" w:rsidRDefault="00D35E43">
      <w:pPr>
        <w:pStyle w:val="CuerpoB"/>
        <w:widowControl w:val="0"/>
        <w:spacing w:after="160"/>
        <w:jc w:val="center"/>
        <w:rPr>
          <w:rStyle w:val="Ninguno"/>
          <w:rFonts w:ascii="Arial" w:eastAsia="Arial" w:hAnsi="Arial" w:cs="Arial"/>
          <w:b/>
          <w:bCs/>
        </w:rPr>
      </w:pPr>
    </w:p>
    <w:p w14:paraId="0CE9C7A2" w14:textId="77777777" w:rsidR="00D35E43" w:rsidRPr="00B754D8" w:rsidRDefault="00D35E43">
      <w:pPr>
        <w:pStyle w:val="CuerpoB"/>
        <w:widowControl w:val="0"/>
        <w:spacing w:after="160"/>
        <w:jc w:val="center"/>
        <w:rPr>
          <w:rStyle w:val="Ninguno"/>
          <w:rFonts w:ascii="Arial" w:eastAsia="Arial" w:hAnsi="Arial" w:cs="Arial"/>
          <w:b/>
          <w:bCs/>
        </w:rPr>
      </w:pPr>
    </w:p>
    <w:p w14:paraId="7F9C4BEB"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Cabe que señalar que la CONAVIM requiere candados para evitar la discrecionalidad, al igual que la Secretaría de Gobernación</w:t>
      </w:r>
    </w:p>
    <w:p w14:paraId="2A196DCF"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Al 18 de junio de 2019, todas las entidades federativas han publicado su Ley en materia acceso a una vida libre de violencia en contra de las mujeres (LGAMVLV), y solamente Campeche no cuenta con el reglamento de la misma. Además, de una revisión normativa realizada por la CNDH, se advierte que las entidades federativas han previsto nuevas modalidades de violencia como respuesta al contexto de violencia que padecen las mujeres, las cuales no han sido incluidas en el texto de la legislación federal. Entre las más destacadas se encuentran: la violencia obstétrica, prevista en 25 entidades federativas; y la violencia de pareja o en el noviazgo, prevista en once entidades federativas (fecha de corte al 18 de junio de 2019).</w:t>
      </w:r>
    </w:p>
    <w:p w14:paraId="2C96665B"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Por otro lado, la reparación del daño en lo relacionado con el delito de feminicidio muestra aún grandes retos, en específico la reparación para las víctimas indirectas, principalmente cuando se trata de familiares. Al 18 de junio de 2019, las entidades federativas de Aguascalientes, Estado de México y Veracruz prevén en sus códigos penales la reparación del daño señalando de manera particular a los hijos o hijas huérfanos por el delito de feminicidio; mientras que los códigos penales de Baja California Sur, Chihuahua, Colima, Hidalgo, Nuevo León, Oaxaca, Sonora y Zacatecas prevén de manera general la reparación del daño para el delito de feminicidio</w:t>
      </w:r>
    </w:p>
    <w:p w14:paraId="20E187D4" w14:textId="77777777" w:rsidR="00D35E43" w:rsidRPr="00B754D8" w:rsidRDefault="00CD7861">
      <w:pPr>
        <w:pStyle w:val="CuerpoB"/>
        <w:spacing w:after="160" w:line="259" w:lineRule="auto"/>
        <w:ind w:left="720"/>
        <w:jc w:val="both"/>
        <w:rPr>
          <w:rStyle w:val="Ninguno"/>
          <w:rFonts w:ascii="Arial" w:eastAsia="Arial" w:hAnsi="Arial" w:cs="Arial"/>
          <w:b/>
          <w:bCs/>
        </w:rPr>
      </w:pPr>
      <w:r w:rsidRPr="00B754D8">
        <w:rPr>
          <w:rStyle w:val="Ninguno"/>
          <w:rFonts w:ascii="Arial" w:hAnsi="Arial"/>
          <w:b/>
          <w:bCs/>
        </w:rPr>
        <w:lastRenderedPageBreak/>
        <w:t>Acciones de la CNDH</w:t>
      </w:r>
    </w:p>
    <w:p w14:paraId="07249088"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 xml:space="preserve">Se elaboraron diversos estudios para dar cuenta de los avances y retos para garantizar los derechos de las mujeres en condiciones de igualdad: I. Se publicó el documento </w:t>
      </w:r>
      <w:r w:rsidRPr="00B754D8">
        <w:rPr>
          <w:rStyle w:val="Ninguno"/>
          <w:rFonts w:ascii="Arial" w:hAnsi="Arial"/>
          <w:i/>
          <w:iCs/>
        </w:rPr>
        <w:t>Principales preocupaciones sobre la situación de las mujeres que presenta la Comisión Nacional de los Derechos Humanos ante el Comité de la CEDAW</w:t>
      </w:r>
      <w:r w:rsidRPr="00B754D8">
        <w:rPr>
          <w:rStyle w:val="Ninguno"/>
          <w:rFonts w:ascii="Arial" w:hAnsi="Arial"/>
        </w:rPr>
        <w:t xml:space="preserve"> derivadas del Noveno Informe Periódico de México; II. Se presentó el Sistema de Información Georreferenciada: </w:t>
      </w:r>
      <w:r w:rsidRPr="00B754D8">
        <w:rPr>
          <w:rStyle w:val="Ninguno"/>
          <w:rFonts w:ascii="Arial" w:hAnsi="Arial"/>
          <w:i/>
          <w:iCs/>
        </w:rPr>
        <w:t>Atlas de Igualdad y de Derechos Humanos (SIG-AIDH)</w:t>
      </w:r>
      <w:r w:rsidRPr="00B754D8">
        <w:rPr>
          <w:rStyle w:val="Ninguno"/>
          <w:rFonts w:ascii="Arial" w:hAnsi="Arial"/>
        </w:rPr>
        <w:t xml:space="preserve">; </w:t>
      </w:r>
    </w:p>
    <w:p w14:paraId="20C973F2"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Esta Comisión Nacional elaboró entre el 2017 y el 2018, tres estudios que ofrecen un panorama nacional en materia de acceso a la justicia y violencia feminicida y; en relación con las 19 declaratorias de alerta de violencia de género y a los 23 procedimientos activos, actualmente vigentes en el país. Así como el estudio: Las órdenes de protección y el derecho de las mujeres a una vida libre de violencia (Panorama nacional 2018), en el cual se recomienda a todas las entidades federativas que revisen su marco normativo y operatividad de las órdenes de protección.</w:t>
      </w:r>
    </w:p>
    <w:p w14:paraId="6B71C9C7"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Con relación al contexto de violencia en el estado de Chihuahua, este Órgano Constitucional Autónomo realizó una Solicitud de Alerta de Violencia de Género en Contra de las Mujeres para dicho estado, derivada de la presencia de un contexto generalizado de violencia, particularmente en los municipios de Juárez y Chihuahua Esta solicitud fue admitida por la Comisión Nacional para Prevenir y Erradicar la Violencia en contra de las Mujeres el 24 de junio del año de 2019.</w:t>
      </w:r>
    </w:p>
    <w:p w14:paraId="0756C059"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Seguimiento y atención a los 21 procedimiento de Alerta de Violencia de Género contra las Mujeres. En el año 2018, fueron declaradas 5</w:t>
      </w:r>
      <w:r w:rsidRPr="00B754D8">
        <w:rPr>
          <w:rStyle w:val="Ninguno"/>
          <w:rFonts w:ascii="Arial" w:eastAsia="Arial" w:hAnsi="Arial" w:cs="Arial"/>
          <w:vertAlign w:val="superscript"/>
        </w:rPr>
        <w:footnoteReference w:id="8"/>
      </w:r>
      <w:r w:rsidRPr="00B754D8">
        <w:rPr>
          <w:rStyle w:val="Ninguno"/>
          <w:rFonts w:ascii="Arial" w:hAnsi="Arial"/>
        </w:rPr>
        <w:t xml:space="preserve"> de las 18 Alertas de Género; en ese mismo año, fue iniciado el primer procedimiento de Alerta de Género por el tema de desaparición de mujeres en el Estado de México, entidad que cuenta además con una Declaratoria de Alerta de Violencia de Género por Violencia Feminicida. En 2019, tendrá que resolverse si se declara la Alerta de Violencia de Género en la Ciudad de México, Puebla y en Estado de México por el tema de desaparición de mujeres.</w:t>
      </w:r>
    </w:p>
    <w:p w14:paraId="261DBCEC" w14:textId="77777777" w:rsidR="00D35E43" w:rsidRPr="00B754D8" w:rsidRDefault="00CD7861">
      <w:pPr>
        <w:pStyle w:val="CuerpoB"/>
        <w:tabs>
          <w:tab w:val="left" w:pos="1080"/>
        </w:tabs>
        <w:spacing w:after="160" w:line="259" w:lineRule="auto"/>
        <w:jc w:val="both"/>
        <w:rPr>
          <w:rStyle w:val="Ninguno"/>
          <w:rFonts w:ascii="Arial" w:eastAsia="Arial" w:hAnsi="Arial" w:cs="Arial"/>
          <w:b/>
          <w:bCs/>
        </w:rPr>
      </w:pPr>
      <w:r w:rsidRPr="00B754D8">
        <w:rPr>
          <w:rStyle w:val="Ninguno"/>
          <w:rFonts w:ascii="Arial" w:hAnsi="Arial"/>
          <w:b/>
          <w:bCs/>
        </w:rPr>
        <w:t>Retos para el Estado Mexicano</w:t>
      </w:r>
    </w:p>
    <w:p w14:paraId="5DE5721D" w14:textId="77777777" w:rsidR="00D35E43" w:rsidRPr="00B754D8" w:rsidRDefault="00CD7861">
      <w:pPr>
        <w:pStyle w:val="CuerpoB"/>
        <w:numPr>
          <w:ilvl w:val="0"/>
          <w:numId w:val="100"/>
        </w:numPr>
        <w:spacing w:after="160" w:line="259" w:lineRule="auto"/>
        <w:jc w:val="both"/>
        <w:rPr>
          <w:rFonts w:ascii="Arial" w:hAnsi="Arial"/>
        </w:rPr>
      </w:pPr>
      <w:r w:rsidRPr="00B754D8">
        <w:rPr>
          <w:rStyle w:val="Ninguno"/>
          <w:rFonts w:ascii="Arial" w:hAnsi="Arial"/>
        </w:rPr>
        <w:t>Se hace indispensable revisar los marcos normativos, entre estos, la Ley General de Acceso de las Mujeres a una Vida libre de Violencia, particularmente fortalecer el mecanismo de Alertas de Violencia de Género en contra de las mujeres, mecanismo que ha permitido visibilizar la violencia que viven las mujeres y niñas, en su expresión más extrema: la violencia feminicida.</w:t>
      </w:r>
    </w:p>
    <w:p w14:paraId="4657AE35" w14:textId="77777777" w:rsidR="00D35E43" w:rsidRPr="00B754D8" w:rsidRDefault="00CD7861">
      <w:pPr>
        <w:pStyle w:val="CuerpoB"/>
        <w:numPr>
          <w:ilvl w:val="0"/>
          <w:numId w:val="100"/>
        </w:numPr>
        <w:spacing w:after="160" w:line="259" w:lineRule="auto"/>
        <w:jc w:val="both"/>
        <w:rPr>
          <w:rFonts w:ascii="Arial" w:hAnsi="Arial"/>
        </w:rPr>
      </w:pPr>
      <w:r w:rsidRPr="00B754D8">
        <w:rPr>
          <w:rStyle w:val="Ninguno"/>
          <w:rFonts w:ascii="Arial" w:hAnsi="Arial"/>
        </w:rPr>
        <w:lastRenderedPageBreak/>
        <w:t xml:space="preserve">El Estado mexicano, debe de adoptar medidas de carácter urgente para prevenir los feminicidios y las desapariciones de las mujeres y niñas, combatiendo las causas profundas de esos actos. </w:t>
      </w:r>
    </w:p>
    <w:p w14:paraId="2CC301C5" w14:textId="77777777" w:rsidR="00D35E43" w:rsidRPr="00B754D8" w:rsidRDefault="00CD7861">
      <w:pPr>
        <w:pStyle w:val="CuerpoB"/>
        <w:numPr>
          <w:ilvl w:val="0"/>
          <w:numId w:val="100"/>
        </w:numPr>
        <w:spacing w:after="160" w:line="259" w:lineRule="auto"/>
        <w:jc w:val="both"/>
        <w:rPr>
          <w:rFonts w:ascii="Arial" w:hAnsi="Arial"/>
        </w:rPr>
      </w:pPr>
      <w:r w:rsidRPr="00B754D8">
        <w:rPr>
          <w:rStyle w:val="Ninguno"/>
          <w:rFonts w:ascii="Arial" w:hAnsi="Arial"/>
        </w:rPr>
        <w:t xml:space="preserve">Reforzar los mecanismos de recopilación sistemática de datos sobre la violencia contra las mujeres y niñas, incluidos los feminicidios y las desapariciones. </w:t>
      </w:r>
    </w:p>
    <w:p w14:paraId="5027A63A" w14:textId="77777777" w:rsidR="00D35E43" w:rsidRPr="00B754D8" w:rsidRDefault="00CD7861">
      <w:pPr>
        <w:pStyle w:val="CuerpoB"/>
        <w:numPr>
          <w:ilvl w:val="0"/>
          <w:numId w:val="100"/>
        </w:numPr>
        <w:spacing w:after="160" w:line="259" w:lineRule="auto"/>
        <w:jc w:val="both"/>
        <w:rPr>
          <w:rFonts w:ascii="Arial" w:hAnsi="Arial"/>
        </w:rPr>
      </w:pPr>
      <w:r w:rsidRPr="00B754D8">
        <w:rPr>
          <w:rStyle w:val="Ninguno"/>
          <w:rFonts w:ascii="Arial" w:hAnsi="Arial"/>
        </w:rPr>
        <w:t>Dotar de recursos suficientes a las autoridades federales, estatales y municipales, encargadas de aplicar las leyes relativas a la prevención y la eliminación de todas las formas de discriminación y violencia contra las mujeres.</w:t>
      </w:r>
    </w:p>
    <w:p w14:paraId="1C20D9BC" w14:textId="77777777" w:rsidR="00D35E43" w:rsidRPr="00B754D8" w:rsidRDefault="00D35E43">
      <w:pPr>
        <w:pStyle w:val="CuerpoA"/>
        <w:jc w:val="both"/>
        <w:rPr>
          <w:rStyle w:val="Ninguno"/>
          <w:rFonts w:ascii="Arial" w:eastAsia="Arial" w:hAnsi="Arial" w:cs="Arial"/>
          <w:sz w:val="24"/>
          <w:szCs w:val="24"/>
        </w:rPr>
      </w:pPr>
    </w:p>
    <w:p w14:paraId="334DD2E5" w14:textId="77777777" w:rsidR="00D35E43" w:rsidRPr="00B754D8" w:rsidRDefault="00CD7861">
      <w:pPr>
        <w:pStyle w:val="CuerpoA"/>
        <w:numPr>
          <w:ilvl w:val="0"/>
          <w:numId w:val="101"/>
        </w:numPr>
        <w:jc w:val="both"/>
        <w:rPr>
          <w:rFonts w:ascii="Arial" w:hAnsi="Arial"/>
          <w:b/>
          <w:bCs/>
          <w:sz w:val="24"/>
          <w:szCs w:val="24"/>
        </w:rPr>
      </w:pPr>
      <w:r w:rsidRPr="00B754D8">
        <w:rPr>
          <w:rStyle w:val="Ninguno"/>
          <w:rFonts w:ascii="Arial" w:hAnsi="Arial"/>
          <w:b/>
          <w:bCs/>
          <w:sz w:val="24"/>
          <w:szCs w:val="24"/>
        </w:rPr>
        <w:t xml:space="preserve">Estados de excepción (artículo 4). </w:t>
      </w:r>
    </w:p>
    <w:p w14:paraId="4BA06D9D" w14:textId="77777777" w:rsidR="00D35E43" w:rsidRPr="00B754D8" w:rsidRDefault="00CD7861">
      <w:pPr>
        <w:pStyle w:val="CuerpoA"/>
        <w:jc w:val="both"/>
        <w:rPr>
          <w:rStyle w:val="Ninguno"/>
          <w:rFonts w:ascii="Arial" w:eastAsia="Arial" w:hAnsi="Arial" w:cs="Arial"/>
          <w:b/>
          <w:bCs/>
          <w:sz w:val="24"/>
          <w:szCs w:val="24"/>
        </w:rPr>
      </w:pPr>
      <w:r w:rsidRPr="00B754D8">
        <w:rPr>
          <w:rStyle w:val="Ninguno"/>
          <w:rFonts w:ascii="Arial" w:hAnsi="Arial"/>
          <w:b/>
          <w:bCs/>
          <w:sz w:val="24"/>
          <w:szCs w:val="24"/>
        </w:rPr>
        <w:t>Guardia Nacional</w:t>
      </w:r>
    </w:p>
    <w:p w14:paraId="6499F261" w14:textId="77777777" w:rsidR="00D35E43" w:rsidRPr="00B754D8" w:rsidRDefault="00CD7861">
      <w:pPr>
        <w:pStyle w:val="CuerpoA"/>
        <w:jc w:val="both"/>
        <w:rPr>
          <w:rStyle w:val="Ninguno"/>
          <w:rFonts w:ascii="Arial" w:eastAsia="Arial" w:hAnsi="Arial" w:cs="Arial"/>
          <w:b/>
          <w:bCs/>
          <w:sz w:val="24"/>
          <w:szCs w:val="24"/>
        </w:rPr>
      </w:pPr>
      <w:r w:rsidRPr="00B754D8">
        <w:rPr>
          <w:rStyle w:val="Ninguno"/>
          <w:rFonts w:ascii="Arial" w:hAnsi="Arial"/>
          <w:b/>
          <w:bCs/>
          <w:sz w:val="24"/>
          <w:szCs w:val="24"/>
        </w:rPr>
        <w:t>Contexto</w:t>
      </w:r>
    </w:p>
    <w:p w14:paraId="00F464FC"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Este Organismo Nacional está convencido de que, sin seguridad, jamás habrá una vigencia real de los demás derechos fundamentales y, sin respeto a estos derechos, las medidas de seguridad que se adopten no podrán ser aceptables y serán vistas como una imposición autoritaria. México requiere seguridad, pero no a cualquier costo ni por cualquier medio. La seguridad que se necesita corresponde a la de un Estado Democrático de Derecho, sustentada en el más amplio respeto a los derechos humanos, así como en el cumplimiento y aplicación oportuna y debida de la ley. Una seguridad construida desde un vínculo de confianza, cercanía y cooperación entre autoridades y sociedad civil, concediendo a esta última un papel relevante en los mecanismos de supervisión y control de las autoridades.</w:t>
      </w:r>
    </w:p>
    <w:p w14:paraId="3AD2C0AF"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La CNDH reconoce que del primer proyecto al aprobado se rectificó en el tema del mando civil, y éste si fue incluido en la conformación de la Guardia Nacional</w:t>
      </w:r>
    </w:p>
    <w:p w14:paraId="4236C8B3"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La modificación que se pretendía hacer al segundo párrafo del artículo 13 Constitucional, abría la brecha a otro tipo de interpretaciones, como el dejar notar la naturaleza castrense de los elementos de la Guardia Nacional; lo que diversos actores hicieron del conocimiento a los legisladores, a través de diversos comunicados y de la participación en Audiencias Públicas, entre éstos, la Oficina del Alto Comisionado de las Naciones Unidas, académicos, Organizaciones de la Sociedad Civil y la CNDH. Por tal motivo, se avanzó al evitarse la modificación al artículo 13 constitucional. Máxime que tanto la Suprema Corte de Justicia de la Nación como la Corte Interamericana de Derechos Humanos han interpretado dicho numeral, respecto a los casos en que procede la jurisdicción militar.</w:t>
      </w:r>
    </w:p>
    <w:p w14:paraId="4ABE5923"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Con la modificación al artículo 16 constitucional se garantiza el impedimento de privar de la libertad a personas en instalaciones militares.</w:t>
      </w:r>
    </w:p>
    <w:p w14:paraId="036E72F4"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lastRenderedPageBreak/>
        <w:t xml:space="preserve">En un inicio la Guardia Nacional se había contemplado como un cuerpo policial que realizaría tareas de seguridad pública, conformado por integrantes de la Policía Militar y Naval, así como de la Policía Federal, pero de naturaleza castrense. </w:t>
      </w:r>
    </w:p>
    <w:p w14:paraId="3F3CA8F2"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A través de los diversos comunicados de la Oficina del Alto Comisionado de las Naciones Unidas, así como por diversos actores, entre ellos, la CNDH, la Comisión Interamericana de Derechos Humanos, se logró la modificación del Dictamen, a efecto de que la Guardia Nacional fuese de carácter y </w:t>
      </w:r>
      <w:r w:rsidRPr="0091511D">
        <w:rPr>
          <w:rStyle w:val="Ninguno"/>
          <w:rFonts w:ascii="Arial" w:hAnsi="Arial"/>
          <w:sz w:val="24"/>
          <w:szCs w:val="24"/>
        </w:rPr>
        <w:t>adscripción</w:t>
      </w:r>
      <w:r w:rsidRPr="00B754D8">
        <w:rPr>
          <w:rStyle w:val="Ninguno"/>
          <w:rFonts w:ascii="Arial" w:hAnsi="Arial"/>
          <w:sz w:val="24"/>
          <w:szCs w:val="24"/>
        </w:rPr>
        <w:t xml:space="preserve"> civil.</w:t>
      </w:r>
    </w:p>
    <w:p w14:paraId="152A2F7F"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Por esta razón, ya no fue necesario modificar el fuero militar que tendrían las y los integrantes de la Guardia Nacional.</w:t>
      </w:r>
    </w:p>
    <w:p w14:paraId="0E6CDDFA"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Cabe mencionar que, se avanzó respecto al establecimiento en el artículo QUINTO transitorio, de un plazo cierto para que la Fuerza Armada deje de realizar tareas de seguridad pública, sin embargo, también se retrocedió en este punto, toda vez que, a través de dicho artículo transitorio, se facultó a la Fuerza Armada para realizar tareas de seguridad pública de manera extraordinaria durante 5 años, sin establecer reglas claras para el ejercicio de dicha función; supuesto que ya se había evitado respecto de la Ley de Seguridad Interior, a través de la resolución de la Suprema Corte de Justicia de la Nación (SCJN) en la Acción de Inconstitucionalidad promovida por la CNDH y diversas autoridad. </w:t>
      </w:r>
    </w:p>
    <w:p w14:paraId="018C7433"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Se retrocedió en el reconocimiento de la jurisdicción de la Corte Penal Internacional, toda vez que, en la iniciativa se contemplaba la modificación, misma que fue eliminada posteriormente, y ya no se incorporó al Decreto publicado. </w:t>
      </w:r>
    </w:p>
    <w:p w14:paraId="04527ABC"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Se logró conservar la división de poderes entre las Entidades Federativas y el gobierno Federal, en virtud de que, en la iniciativa se estaba contemplando fácticamente la desaparición de las policías estatales y municipales, a efecto de que la Guardia Nacional, se encargará de la seguridad pública, sin que se capacitará a los cuerpos del orden estatal y municipal.</w:t>
      </w:r>
    </w:p>
    <w:p w14:paraId="6B3B263C"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Y como avance a una de las recomendaciones y observaciones hechas por diversos Organismos Internacionales, la expedición de dos marcos normativos de aplicación nacional sobre el Uso de la Fuerza y del Registro nacional de Detenciones.</w:t>
      </w:r>
    </w:p>
    <w:p w14:paraId="5736AA03"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De la lectura armónica de los artículos Segundo y Tercero Transitorios, en conjunto con la reforma al artículo 21, se desprende lo siguiente:</w:t>
      </w:r>
    </w:p>
    <w:p w14:paraId="67252A5A"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a)</w:t>
      </w:r>
      <w:r w:rsidRPr="00B754D8">
        <w:rPr>
          <w:rStyle w:val="Ninguno"/>
          <w:rFonts w:ascii="Arial" w:hAnsi="Arial"/>
          <w:sz w:val="24"/>
          <w:szCs w:val="24"/>
        </w:rPr>
        <w:tab/>
        <w:t>La Guardia Nacional, será un cuerpo policial de naturaliza civil;</w:t>
      </w:r>
    </w:p>
    <w:p w14:paraId="17D6A2CD"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b)</w:t>
      </w:r>
      <w:r w:rsidRPr="00B754D8">
        <w:rPr>
          <w:rStyle w:val="Ninguno"/>
          <w:rFonts w:ascii="Arial" w:hAnsi="Arial"/>
          <w:sz w:val="24"/>
          <w:szCs w:val="24"/>
        </w:rPr>
        <w:tab/>
        <w:t>Al Ejecutivo Federal se le otorgará la facultad de designar al titular del órgano de mando;</w:t>
      </w:r>
    </w:p>
    <w:p w14:paraId="20305FBA"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c)</w:t>
      </w:r>
      <w:r w:rsidRPr="00B754D8">
        <w:rPr>
          <w:rStyle w:val="Ninguno"/>
          <w:rFonts w:ascii="Arial" w:hAnsi="Arial"/>
          <w:sz w:val="24"/>
          <w:szCs w:val="24"/>
        </w:rPr>
        <w:tab/>
        <w:t>Se pueden asignar a la Guardia Nacional, tanto elementos de las policías militares y naval, como elementos de mando de la Fuerza Armada.</w:t>
      </w:r>
    </w:p>
    <w:p w14:paraId="7AD52075" w14:textId="77777777" w:rsidR="00D35E43" w:rsidRPr="0091511D" w:rsidRDefault="00CD7861">
      <w:pPr>
        <w:pStyle w:val="CuerpoA"/>
        <w:jc w:val="both"/>
        <w:rPr>
          <w:rStyle w:val="Ninguno"/>
          <w:rFonts w:ascii="Arial" w:hAnsi="Arial"/>
          <w:sz w:val="24"/>
          <w:szCs w:val="24"/>
        </w:rPr>
      </w:pPr>
      <w:r w:rsidRPr="0091511D">
        <w:rPr>
          <w:rStyle w:val="Ninguno"/>
          <w:rFonts w:ascii="Arial" w:hAnsi="Arial"/>
          <w:sz w:val="24"/>
          <w:szCs w:val="24"/>
        </w:rPr>
        <w:lastRenderedPageBreak/>
        <w:t>Lo anterior, abrió la posibilidad de que, el Ejecutivo Federal nombrara un elemento de mando de la Fuerza Armada para dirigir la Guardia Nacional.</w:t>
      </w:r>
    </w:p>
    <w:p w14:paraId="5D4B2A0E"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Finalmente, de la redacción del artículo Sexto Transitorio, se desprende que el mismo podría dar lugar a la interpretación relativa a que la formación va a ser castrense, contrario a lo que ha establecido la Corte Interamericana de Derechos Humanos, respecto a que las corporaciones que realicen tareas de seguridad deben tener un adiestramiento encaminado a la protección de la ciudadanía y no para el combate al enemigo.</w:t>
      </w:r>
    </w:p>
    <w:p w14:paraId="2799372D" w14:textId="77777777" w:rsidR="00D35E43" w:rsidRPr="00B754D8" w:rsidRDefault="00CD7861">
      <w:pPr>
        <w:pStyle w:val="CuerpoA"/>
        <w:jc w:val="both"/>
        <w:rPr>
          <w:rStyle w:val="Ninguno"/>
          <w:rFonts w:ascii="Arial" w:eastAsia="Arial" w:hAnsi="Arial" w:cs="Arial"/>
          <w:b/>
          <w:bCs/>
          <w:sz w:val="24"/>
          <w:szCs w:val="24"/>
        </w:rPr>
      </w:pPr>
      <w:r w:rsidRPr="00B754D8">
        <w:rPr>
          <w:rStyle w:val="Ninguno"/>
          <w:rFonts w:ascii="Arial" w:hAnsi="Arial"/>
          <w:b/>
          <w:bCs/>
          <w:sz w:val="24"/>
          <w:szCs w:val="24"/>
        </w:rPr>
        <w:t>Acciones de la CNDH</w:t>
      </w:r>
    </w:p>
    <w:p w14:paraId="3BE675E4"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El 15 de mayo de 2019, el marco del proceso legislativo que se lleva a cabo para la emisión de las leyes nacionales sobre uso de la fuerza y registro de detenciones, secundarias a la recientemente aprobada reforma constitucional en materia de Guardia Nacional, el Presidente de la Comisión Nacional de los Derechos Humanos remitió documentos técnicos sobre aspectos básicos que deberían contener las referidas leyes, basados en principios constitucionales y convencionales en el ámbito de los derechos humanos</w:t>
      </w:r>
    </w:p>
    <w:p w14:paraId="13457CAE"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Respecto de la Ley Nacional sobre Uso de la Fuerza, entre otras cosas, se indica la necesidad de que los servidores públicos puedan utilizar dicho recurso sujetándose a los principios de legalidad, necesidad, proporcionalidad y racionalidad, conforme a los cuales la fuerza letal sólo podría emplearse como protección o respuesta frente amenazas inminentes a la vida. En tal sentido, se plantea la necesidad de establecer esquemas adecuados de control, verificación y rendición de cuentas sobre la legitimidad del uso de la fuerza y el desempeño de los servidores públicos, tales como los mecanismos de supervisión externa de la policía. </w:t>
      </w:r>
    </w:p>
    <w:p w14:paraId="6BCCD24F"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 En julio de 2019, la Comisión Nacional de los Derechos Humanos (CNDH) promovió ante la Suprema Corte de Justicia de la Nación (SCJN) cuatro acciones de inconstitucionalidad respecto de las leyes de la Guardia Nacional; sobre el Uso de la Fuerza; del Registro de Detenciones, y del Sistema Nacional de Seguridad Pública, con el fin de coadyuvar a la consolidación del marco jurídico que rige la institución denominada Guardia Nacional.</w:t>
      </w:r>
    </w:p>
    <w:p w14:paraId="2BAD1C42"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Mediante dichas acciones de inconstitucionalidad, la CNDH pretende que las normas que facultan a las autoridades para hacer uso de la fuerza pública y a realizar detenciones de personas encaucen el ámbito de esa actuación para que, por un lado, el gobernado conozca cuál será la consecuencia jurídica de los actos que realice y, por otro, que el actuar de la respectiva autoridad se encuentre limitado y acotado y, en consecuencia, tenga certeza en dicha actuación.</w:t>
      </w:r>
    </w:p>
    <w:p w14:paraId="2B21D7AF"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La CNDH no impugnó las leyes en su totalidad; además de señalar omisiones legislativas presentó argumentos sobre partes muy específicas de dichas leyes con </w:t>
      </w:r>
      <w:r w:rsidRPr="00B754D8">
        <w:rPr>
          <w:rStyle w:val="Ninguno"/>
          <w:rFonts w:ascii="Arial" w:hAnsi="Arial"/>
          <w:sz w:val="24"/>
          <w:szCs w:val="24"/>
        </w:rPr>
        <w:lastRenderedPageBreak/>
        <w:t>la finalidad de que el Máximo Tribunal del país resuelva sobre su constitucionalidad y apego a los derechos humanos, entre otros:</w:t>
      </w:r>
    </w:p>
    <w:p w14:paraId="4C5C27E5" w14:textId="77777777" w:rsidR="00D35E43" w:rsidRPr="00B754D8" w:rsidRDefault="00CD7861">
      <w:pPr>
        <w:pStyle w:val="CuerpoA"/>
        <w:numPr>
          <w:ilvl w:val="0"/>
          <w:numId w:val="103"/>
        </w:numPr>
        <w:jc w:val="both"/>
        <w:rPr>
          <w:rFonts w:ascii="Arial" w:hAnsi="Arial"/>
          <w:sz w:val="24"/>
          <w:szCs w:val="24"/>
        </w:rPr>
      </w:pPr>
      <w:r w:rsidRPr="00B754D8">
        <w:rPr>
          <w:rStyle w:val="Ninguno"/>
          <w:rFonts w:ascii="Arial" w:hAnsi="Arial"/>
          <w:sz w:val="24"/>
          <w:szCs w:val="24"/>
        </w:rPr>
        <w:t>La facultad para detener a los particulares, solicitarles información, intervenir sus comunicaciones privadas y localizar su posición geográfica en tiempo real, sin que exista denuncia alguna, para la prevención tanto de delitos, como de infracciones administrativas, afecta la privacidad e intimidad de las personas sin fundamento legal para ello.</w:t>
      </w:r>
    </w:p>
    <w:p w14:paraId="0673556F" w14:textId="77777777" w:rsidR="00D35E43" w:rsidRPr="00B754D8" w:rsidRDefault="00CD7861">
      <w:pPr>
        <w:pStyle w:val="CuerpoA"/>
        <w:numPr>
          <w:ilvl w:val="0"/>
          <w:numId w:val="103"/>
        </w:numPr>
        <w:jc w:val="both"/>
        <w:rPr>
          <w:rFonts w:ascii="Arial" w:hAnsi="Arial"/>
          <w:sz w:val="24"/>
          <w:szCs w:val="24"/>
        </w:rPr>
      </w:pPr>
      <w:r w:rsidRPr="00B754D8">
        <w:rPr>
          <w:rStyle w:val="Ninguno"/>
          <w:rFonts w:ascii="Arial" w:hAnsi="Arial"/>
          <w:sz w:val="24"/>
          <w:szCs w:val="24"/>
        </w:rPr>
        <w:t>Inspeccionar y vigilar la entrada y salida de personas en el país, así como verificar si los extranjeros que residen en el territorio cumplen con las obligaciones que establece la Ley de Migración transgreden los derechos de libertad de tránsito, seguridad personal, a la intimidad, de protección de datos personales, así como la prohibición de injerencias arbitrarias.</w:t>
      </w:r>
    </w:p>
    <w:p w14:paraId="11A1439E" w14:textId="77777777" w:rsidR="00D35E43" w:rsidRPr="00B754D8" w:rsidRDefault="00CD7861">
      <w:pPr>
        <w:pStyle w:val="CuerpoA"/>
        <w:numPr>
          <w:ilvl w:val="0"/>
          <w:numId w:val="103"/>
        </w:numPr>
        <w:jc w:val="both"/>
        <w:rPr>
          <w:rFonts w:ascii="Arial" w:hAnsi="Arial"/>
          <w:sz w:val="24"/>
          <w:szCs w:val="24"/>
        </w:rPr>
      </w:pPr>
      <w:r w:rsidRPr="00B754D8">
        <w:rPr>
          <w:rStyle w:val="Ninguno"/>
          <w:rFonts w:ascii="Arial" w:hAnsi="Arial"/>
          <w:sz w:val="24"/>
          <w:szCs w:val="24"/>
        </w:rPr>
        <w:t>La posibilidad de la utilización de armas, incluso letales, contra quienes participen en manifestaciones o reuniones públicas, vulneran los derechos fundamentales de libertad de expresión y libertad de reunión.</w:t>
      </w:r>
    </w:p>
    <w:p w14:paraId="72ABB207" w14:textId="77777777" w:rsidR="00D35E43" w:rsidRPr="00B754D8" w:rsidRDefault="00CD7861">
      <w:pPr>
        <w:pStyle w:val="CuerpoA"/>
        <w:jc w:val="both"/>
        <w:rPr>
          <w:rStyle w:val="Ninguno"/>
          <w:rFonts w:ascii="Arial" w:eastAsia="Arial" w:hAnsi="Arial" w:cs="Arial"/>
          <w:b/>
          <w:bCs/>
          <w:sz w:val="24"/>
          <w:szCs w:val="24"/>
        </w:rPr>
      </w:pPr>
      <w:r w:rsidRPr="00B754D8">
        <w:rPr>
          <w:rStyle w:val="Ninguno"/>
          <w:rFonts w:ascii="Arial" w:hAnsi="Arial"/>
          <w:b/>
          <w:bCs/>
          <w:sz w:val="24"/>
          <w:szCs w:val="24"/>
        </w:rPr>
        <w:t>Retos para el Estado Mexicano</w:t>
      </w:r>
    </w:p>
    <w:p w14:paraId="3FD9A822" w14:textId="77777777" w:rsidR="00D35E43" w:rsidRPr="00B754D8" w:rsidRDefault="00CD7861">
      <w:pPr>
        <w:pStyle w:val="CuerpoA"/>
        <w:numPr>
          <w:ilvl w:val="0"/>
          <w:numId w:val="105"/>
        </w:numPr>
        <w:jc w:val="both"/>
        <w:rPr>
          <w:rFonts w:ascii="Arial" w:hAnsi="Arial"/>
          <w:sz w:val="24"/>
          <w:szCs w:val="24"/>
        </w:rPr>
      </w:pPr>
      <w:r w:rsidRPr="00B754D8">
        <w:rPr>
          <w:rStyle w:val="Ninguno"/>
          <w:rFonts w:ascii="Arial" w:hAnsi="Arial"/>
          <w:sz w:val="24"/>
          <w:szCs w:val="24"/>
        </w:rPr>
        <w:t xml:space="preserve">Asegurar que la Guardia Nacional consolide su reputación, respeto y autoridad, </w:t>
      </w:r>
      <w:r w:rsidRPr="0091511D">
        <w:rPr>
          <w:rStyle w:val="Ninguno"/>
          <w:rFonts w:ascii="Arial" w:hAnsi="Arial"/>
          <w:sz w:val="24"/>
          <w:szCs w:val="24"/>
        </w:rPr>
        <w:t>sus elementos se mantengan lejos de ser captados por el crimen organizado</w:t>
      </w:r>
      <w:r w:rsidRPr="00B754D8">
        <w:rPr>
          <w:rStyle w:val="Ninguno"/>
          <w:rFonts w:ascii="Arial" w:hAnsi="Arial"/>
          <w:sz w:val="24"/>
          <w:szCs w:val="24"/>
        </w:rPr>
        <w:t xml:space="preserve"> y cumpla el propósito para la que fue creada de manera eficiente y eficaz en su respeto a los derechos humanos.</w:t>
      </w:r>
    </w:p>
    <w:p w14:paraId="1C140848" w14:textId="77777777" w:rsidR="00D35E43" w:rsidRPr="00B754D8" w:rsidRDefault="00CD7861">
      <w:pPr>
        <w:pStyle w:val="CuerpoA"/>
        <w:numPr>
          <w:ilvl w:val="0"/>
          <w:numId w:val="107"/>
        </w:numPr>
        <w:jc w:val="both"/>
        <w:rPr>
          <w:rFonts w:ascii="Arial" w:hAnsi="Arial"/>
          <w:sz w:val="24"/>
          <w:szCs w:val="24"/>
        </w:rPr>
      </w:pPr>
      <w:r w:rsidRPr="00B754D8">
        <w:rPr>
          <w:rStyle w:val="Ninguno"/>
          <w:rFonts w:ascii="Arial" w:hAnsi="Arial"/>
          <w:sz w:val="24"/>
          <w:szCs w:val="24"/>
        </w:rPr>
        <w:t xml:space="preserve">La participación de la Fuerza Armada de manera extraordinaria en tareas de seguridad pública debería regularse, a través de la emisión de la Ley Reglamentaria del artículo 29 de la Constitución Política de los Estados Unidos Mexicanos, </w:t>
      </w:r>
      <w:r w:rsidRPr="0091511D">
        <w:rPr>
          <w:rStyle w:val="Ninguno"/>
          <w:rFonts w:ascii="Arial" w:hAnsi="Arial"/>
          <w:sz w:val="24"/>
          <w:szCs w:val="24"/>
        </w:rPr>
        <w:t>la cual está pendiente desde la Reforma Constitucional en Materia de Derechos Humanos de 2011</w:t>
      </w:r>
      <w:r w:rsidRPr="00B754D8">
        <w:rPr>
          <w:rStyle w:val="Ninguno"/>
          <w:rFonts w:ascii="Arial" w:hAnsi="Arial"/>
          <w:sz w:val="24"/>
          <w:szCs w:val="24"/>
        </w:rPr>
        <w:t>, situación que no ocurrió en esta reforma Constitucional para la creación de la Guardia Nacional, así como aspectos tan importantes, como lo es, definir:</w:t>
      </w:r>
    </w:p>
    <w:p w14:paraId="478E6329" w14:textId="77777777" w:rsidR="00D35E43" w:rsidRPr="00B754D8" w:rsidRDefault="00CD7861">
      <w:pPr>
        <w:pStyle w:val="CuerpoA"/>
        <w:numPr>
          <w:ilvl w:val="0"/>
          <w:numId w:val="109"/>
        </w:numPr>
        <w:jc w:val="both"/>
        <w:rPr>
          <w:rFonts w:ascii="Arial" w:hAnsi="Arial"/>
          <w:sz w:val="24"/>
          <w:szCs w:val="24"/>
        </w:rPr>
      </w:pPr>
      <w:r w:rsidRPr="00B754D8">
        <w:rPr>
          <w:rStyle w:val="Ninguno"/>
          <w:rFonts w:ascii="Arial" w:hAnsi="Arial"/>
          <w:sz w:val="24"/>
          <w:szCs w:val="24"/>
        </w:rPr>
        <w:t>Los supuestos que se considerarán como extraordinarios;</w:t>
      </w:r>
    </w:p>
    <w:p w14:paraId="3C7EEDCB" w14:textId="77777777" w:rsidR="00D35E43" w:rsidRPr="00B754D8" w:rsidRDefault="00CD7861">
      <w:pPr>
        <w:pStyle w:val="CuerpoA"/>
        <w:numPr>
          <w:ilvl w:val="0"/>
          <w:numId w:val="109"/>
        </w:numPr>
        <w:jc w:val="both"/>
        <w:rPr>
          <w:rFonts w:ascii="Arial" w:hAnsi="Arial"/>
          <w:sz w:val="24"/>
          <w:szCs w:val="24"/>
        </w:rPr>
      </w:pPr>
      <w:r w:rsidRPr="00B754D8">
        <w:rPr>
          <w:rStyle w:val="Ninguno"/>
          <w:rFonts w:ascii="Arial" w:hAnsi="Arial"/>
          <w:sz w:val="24"/>
          <w:szCs w:val="24"/>
        </w:rPr>
        <w:t>La autoridad responsable de fiscalizar la actuación de la Fuerza Armada en tareas de seguridad pública;</w:t>
      </w:r>
    </w:p>
    <w:p w14:paraId="6C754CAD" w14:textId="77777777" w:rsidR="00D35E43" w:rsidRPr="00B754D8" w:rsidRDefault="00CD7861">
      <w:pPr>
        <w:pStyle w:val="CuerpoA"/>
        <w:numPr>
          <w:ilvl w:val="0"/>
          <w:numId w:val="109"/>
        </w:numPr>
        <w:jc w:val="both"/>
        <w:rPr>
          <w:rFonts w:ascii="Arial" w:hAnsi="Arial"/>
          <w:sz w:val="24"/>
          <w:szCs w:val="24"/>
        </w:rPr>
      </w:pPr>
      <w:r w:rsidRPr="00B754D8">
        <w:rPr>
          <w:rStyle w:val="Ninguno"/>
          <w:rFonts w:ascii="Arial" w:hAnsi="Arial"/>
          <w:sz w:val="24"/>
          <w:szCs w:val="24"/>
        </w:rPr>
        <w:t>La autoridad a la que estará subordinada la Fuerza Armada cuando realice tareas de seguridad pública.</w:t>
      </w:r>
    </w:p>
    <w:p w14:paraId="6B0B7112" w14:textId="77777777" w:rsidR="00D35E43" w:rsidRPr="00B754D8" w:rsidRDefault="00D35E43">
      <w:pPr>
        <w:pStyle w:val="CuerpoA"/>
        <w:jc w:val="both"/>
        <w:rPr>
          <w:rStyle w:val="Ninguno"/>
          <w:rFonts w:ascii="Arial" w:eastAsia="Arial" w:hAnsi="Arial" w:cs="Arial"/>
          <w:b/>
          <w:bCs/>
          <w:sz w:val="24"/>
          <w:szCs w:val="24"/>
        </w:rPr>
      </w:pPr>
    </w:p>
    <w:p w14:paraId="30FDB2DB" w14:textId="77777777" w:rsidR="00D35E43" w:rsidRPr="00B754D8" w:rsidRDefault="00CD7861">
      <w:pPr>
        <w:pStyle w:val="CuerpoA"/>
        <w:numPr>
          <w:ilvl w:val="0"/>
          <w:numId w:val="110"/>
        </w:numPr>
        <w:jc w:val="both"/>
        <w:rPr>
          <w:rFonts w:ascii="Arial" w:hAnsi="Arial"/>
          <w:b/>
          <w:bCs/>
          <w:sz w:val="24"/>
          <w:szCs w:val="24"/>
        </w:rPr>
      </w:pPr>
      <w:r w:rsidRPr="00B754D8">
        <w:rPr>
          <w:rStyle w:val="Ninguno"/>
          <w:rFonts w:ascii="Arial" w:hAnsi="Arial"/>
          <w:b/>
          <w:bCs/>
          <w:sz w:val="24"/>
          <w:szCs w:val="24"/>
        </w:rPr>
        <w:t>Derecho a la vida; prohibición de la tortura y los tratos o penas crueles, inhumanos o degradantes; derecho a la libertad y a la seguridad personales (artículos 2, 6, 7 y 9)</w:t>
      </w:r>
    </w:p>
    <w:p w14:paraId="0FC34404" w14:textId="77777777" w:rsidR="00D35E43" w:rsidRPr="00B754D8" w:rsidRDefault="00CD7861">
      <w:pPr>
        <w:pStyle w:val="CuerpoA"/>
        <w:numPr>
          <w:ilvl w:val="0"/>
          <w:numId w:val="112"/>
        </w:numPr>
        <w:jc w:val="both"/>
        <w:rPr>
          <w:rFonts w:ascii="Arial" w:hAnsi="Arial"/>
          <w:b/>
          <w:bCs/>
          <w:sz w:val="24"/>
          <w:szCs w:val="24"/>
        </w:rPr>
      </w:pPr>
      <w:r w:rsidRPr="00B754D8">
        <w:rPr>
          <w:rStyle w:val="Ninguno"/>
          <w:rFonts w:ascii="Arial" w:hAnsi="Arial"/>
          <w:b/>
          <w:bCs/>
          <w:sz w:val="24"/>
          <w:szCs w:val="24"/>
        </w:rPr>
        <w:t>Violencia sexual y obstétrica</w:t>
      </w:r>
    </w:p>
    <w:p w14:paraId="511519BB"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b/>
          <w:bCs/>
          <w:sz w:val="24"/>
          <w:szCs w:val="24"/>
        </w:rPr>
        <w:lastRenderedPageBreak/>
        <w:t>Contexto</w:t>
      </w:r>
    </w:p>
    <w:p w14:paraId="3188F154"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Actualmente, existe una falta de armonización entre las leyes de víctimas de las entidades federativas, respecto de los derechos que prevén para las víctimas de violencia sexual. Es muy preocupante que once entidades federativas no regulen el derecho de acceder a la anticoncepción de emergencia, el acceso a la interrupción del embarazo por violación, así como el acceso a tratamientos contra VIH y enfermedades de transmisión sexual. Al 18 de junio de 2019, las entidades federativas que no incluyen en su regulación ninguno de los derechos antes señalados, son: Aguascalientes, Baja California Sur, Chiapas, Chihuahua, Guanajuato, Guerrero, Hidalgo, Michoacán, Sonora, Yucatán y Zacatecas.</w:t>
      </w:r>
    </w:p>
    <w:p w14:paraId="6D9EE78C"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Adicionalmente, esta Comisión Nacional realizó un estudio sobre la aplicación de la NOM-046-SSA2-2005 en Chiapas, Oaxaca y Guerrero. A partir de la información recabada, se concluyó que existe una falta de atención sistemática por parte del sector salud cuando se trata de violencia sexual. Los datos recogidos muestran que no se hace prevención ni detección y, por tanto, la omisión contribuye a la invisibilización y falta de respuesta a la problemática. También este organismo ha señalado dentro de su Agenda básica de derechos humanos la necesidad de contar con personal médico capacitado que ofrezca atención especializada a las mujeres y niñas víctimas de violencia sexual </w:t>
      </w:r>
    </w:p>
    <w:p w14:paraId="0425E35E"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Aunado a ello, 20 entidades federativas regulan el derecho a la vida desde el momento de la concepción (es decir, el 62.5% de las entidades federativas). Esta disposición contraviene el derecho de las mujeres a decidir sobre su cuerpo, al no considerar los casos en los que las mujeres que abortan de manera espontánea o por las causas de no punibilidad previstas en la legislación. </w:t>
      </w:r>
    </w:p>
    <w:p w14:paraId="3C904A37" w14:textId="77777777" w:rsidR="00D35E43" w:rsidRPr="0091511D" w:rsidRDefault="00CD7861">
      <w:pPr>
        <w:pStyle w:val="CuerpoA"/>
        <w:jc w:val="both"/>
        <w:rPr>
          <w:rStyle w:val="Ninguno"/>
          <w:rFonts w:ascii="Arial" w:hAnsi="Arial"/>
          <w:sz w:val="24"/>
          <w:szCs w:val="24"/>
        </w:rPr>
      </w:pPr>
      <w:r w:rsidRPr="0091511D">
        <w:rPr>
          <w:rStyle w:val="Ninguno"/>
          <w:rFonts w:ascii="Arial" w:hAnsi="Arial"/>
          <w:sz w:val="24"/>
          <w:szCs w:val="24"/>
        </w:rPr>
        <w:t>En general, la regulación del aborto en México es restrictiva. La única causal legal</w:t>
      </w:r>
      <w:r w:rsidRPr="00B754D8">
        <w:rPr>
          <w:rStyle w:val="Ninguno"/>
          <w:rFonts w:ascii="Arial" w:hAnsi="Arial"/>
          <w:sz w:val="24"/>
          <w:szCs w:val="24"/>
        </w:rPr>
        <w:t xml:space="preserve"> </w:t>
      </w:r>
      <w:r w:rsidRPr="0091511D">
        <w:rPr>
          <w:rStyle w:val="Ninguno"/>
          <w:rFonts w:ascii="Arial" w:hAnsi="Arial"/>
          <w:sz w:val="24"/>
          <w:szCs w:val="24"/>
        </w:rPr>
        <w:t xml:space="preserve">de exclusión o no punibilidad que se contempla en los Códigos Penales estatales en el país, es cuando el embarazo es producto de una violación sexual. </w:t>
      </w:r>
    </w:p>
    <w:p w14:paraId="067BFB3F" w14:textId="77777777" w:rsidR="00D35E43" w:rsidRPr="0091511D" w:rsidRDefault="00CD7861">
      <w:pPr>
        <w:pStyle w:val="CuerpoA"/>
        <w:jc w:val="both"/>
        <w:rPr>
          <w:rStyle w:val="Ninguno"/>
          <w:rFonts w:ascii="Arial" w:hAnsi="Arial"/>
          <w:sz w:val="24"/>
          <w:szCs w:val="24"/>
        </w:rPr>
      </w:pPr>
      <w:r w:rsidRPr="0091511D">
        <w:rPr>
          <w:rStyle w:val="Ninguno"/>
          <w:rFonts w:ascii="Arial" w:hAnsi="Arial"/>
          <w:sz w:val="24"/>
          <w:szCs w:val="24"/>
        </w:rPr>
        <w:t xml:space="preserve">Otras causales son: en. 23 entidades, que exista peligro de muerte de la mujer embarazada; 15 entidades, que la mujer enfrente riesgo a su salud; 16 entidades, que el producto presente alteraciones congénitas o genéticas graves; 15 entidades, que el embarazo sea resultado de inseminación artificial no consentida, y dos entidades, que haya causas económicas para interrumpir el embarazo </w:t>
      </w:r>
    </w:p>
    <w:p w14:paraId="5D625C81" w14:textId="77777777" w:rsidR="00D35E43" w:rsidRPr="0091511D" w:rsidRDefault="00CD7861">
      <w:pPr>
        <w:pStyle w:val="CuerpoA"/>
        <w:jc w:val="both"/>
        <w:rPr>
          <w:rStyle w:val="Ninguno"/>
          <w:rFonts w:ascii="Arial" w:hAnsi="Arial"/>
          <w:sz w:val="24"/>
          <w:szCs w:val="24"/>
        </w:rPr>
      </w:pPr>
      <w:r w:rsidRPr="0091511D">
        <w:rPr>
          <w:rStyle w:val="Ninguno"/>
          <w:rFonts w:ascii="Arial" w:hAnsi="Arial"/>
          <w:sz w:val="24"/>
          <w:szCs w:val="24"/>
        </w:rPr>
        <w:t>El Código Penal Federal, por su parte, contempla el aborto culposo, la violación sexual y el peligro de muerte como causales de no punibilidad.</w:t>
      </w:r>
    </w:p>
    <w:p w14:paraId="218398AE"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Cabe señalar que la Recomendación General 35 de la CEDAW en su párrafo 19 señala que la continuación forzada del embarazo puede constituir tortura o trato cruel, inhumano o degradante.</w:t>
      </w:r>
    </w:p>
    <w:p w14:paraId="5085208E"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El goce y disfrute del derecho a una vida libre de violencia obstétrica está supeditado a una serie de exigencias como el cumplimiento de factores institucionales y la </w:t>
      </w:r>
      <w:r w:rsidRPr="00B754D8">
        <w:rPr>
          <w:rStyle w:val="Ninguno"/>
          <w:rFonts w:ascii="Arial" w:hAnsi="Arial"/>
          <w:sz w:val="24"/>
          <w:szCs w:val="24"/>
        </w:rPr>
        <w:lastRenderedPageBreak/>
        <w:t>adopción de las medidas pertinentes para alcanzar este fin; implica el respeto y garantía de los derechos a la protección de la salud y derechos reproductivos.</w:t>
      </w:r>
    </w:p>
    <w:p w14:paraId="1E3EBD28" w14:textId="77777777" w:rsidR="00D35E43" w:rsidRPr="00B754D8" w:rsidRDefault="00CD7861">
      <w:pPr>
        <w:pStyle w:val="CuerpoA"/>
        <w:jc w:val="both"/>
        <w:rPr>
          <w:rStyle w:val="Ninguno"/>
          <w:rFonts w:ascii="Arial" w:eastAsia="Arial" w:hAnsi="Arial" w:cs="Arial"/>
          <w:sz w:val="24"/>
          <w:szCs w:val="24"/>
        </w:rPr>
      </w:pPr>
      <w:r w:rsidRPr="0091511D">
        <w:rPr>
          <w:rStyle w:val="Ninguno"/>
          <w:rFonts w:ascii="Arial" w:hAnsi="Arial"/>
          <w:sz w:val="24"/>
          <w:szCs w:val="24"/>
        </w:rPr>
        <w:t>Esta Comisión Nacional, ha publicado recomendaciones en las que se señaló que la violencia obstétrica es una violación a los derechos humanos que se comete en perjuicio de la mujer embarazada (con independencia del número de casos conocidos por este Organismo Nacional, cualquier violación a los derechos humanos de la mujer o del producto de la gestación es inadmisible)</w:t>
      </w:r>
      <w:r w:rsidRPr="0091511D">
        <w:rPr>
          <w:rStyle w:val="Ninguno"/>
          <w:rFonts w:ascii="Arial" w:hAnsi="Arial"/>
          <w:sz w:val="24"/>
          <w:szCs w:val="24"/>
          <w:vertAlign w:val="superscript"/>
        </w:rPr>
        <w:footnoteReference w:id="9"/>
      </w:r>
      <w:r w:rsidRPr="0091511D">
        <w:rPr>
          <w:rStyle w:val="Ninguno"/>
          <w:rFonts w:ascii="Arial" w:hAnsi="Arial"/>
          <w:sz w:val="24"/>
          <w:szCs w:val="24"/>
        </w:rPr>
        <w:t>.</w:t>
      </w:r>
    </w:p>
    <w:p w14:paraId="67EB6BA4" w14:textId="77777777" w:rsidR="00D35E43" w:rsidRPr="00B754D8" w:rsidRDefault="00CD7861">
      <w:pPr>
        <w:pStyle w:val="CuerpoA"/>
        <w:jc w:val="both"/>
        <w:rPr>
          <w:rStyle w:val="Ninguno"/>
          <w:rFonts w:ascii="Arial" w:eastAsia="Arial" w:hAnsi="Arial" w:cs="Arial"/>
          <w:b/>
          <w:bCs/>
          <w:sz w:val="24"/>
          <w:szCs w:val="24"/>
        </w:rPr>
      </w:pPr>
      <w:r w:rsidRPr="00B754D8">
        <w:rPr>
          <w:rStyle w:val="Ninguno"/>
          <w:rFonts w:ascii="Arial" w:hAnsi="Arial"/>
          <w:b/>
          <w:bCs/>
          <w:sz w:val="24"/>
          <w:szCs w:val="24"/>
        </w:rPr>
        <w:t>Acciones de la CNDH</w:t>
      </w:r>
    </w:p>
    <w:p w14:paraId="4D8D50B0"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En tenor de lo anterior, esta Comisión Nacional interpuso una acción de inconstitucionalidad en contra de Decreto por el que se adicionó el artículo 10 Bis a la Ley General de Salud, así como sus artículos Segundo y Tercero Transitorios, publicado el 11 de mayo de 2018 en el Diario Oficial de la Federación; ya que regula de manera deficiente la objeción de conciencia, en virtud de que no establece de manera expresa la obligación de que las Instituciones de Salud Públicas de disponer permanente de personal médico y de enfermería no objetor que proporcionen los servicios sanitarios solicitados, así como la obligación de referir al paciente con algún otro profesional que no objete y lleve a cabo la prestación del servicio de salud requerido .</w:t>
      </w:r>
    </w:p>
    <w:p w14:paraId="415D4F2C" w14:textId="77777777" w:rsidR="00D35E43" w:rsidRPr="0091511D" w:rsidRDefault="00CD7861">
      <w:pPr>
        <w:pStyle w:val="CuerpoA"/>
        <w:jc w:val="both"/>
        <w:rPr>
          <w:rStyle w:val="Ninguno"/>
          <w:rFonts w:ascii="Arial" w:hAnsi="Arial"/>
          <w:sz w:val="24"/>
          <w:szCs w:val="24"/>
        </w:rPr>
      </w:pPr>
      <w:r w:rsidRPr="0091511D">
        <w:rPr>
          <w:rStyle w:val="Ninguno"/>
          <w:rFonts w:ascii="Arial" w:hAnsi="Arial"/>
          <w:sz w:val="24"/>
          <w:szCs w:val="24"/>
        </w:rPr>
        <w:t xml:space="preserve">Además, esta Comisión Nacional ha interpuesto ante la Suprema Corte de Justicia de la Nación, las acciones de Inconstitucionalidad 85/2016, 107/2018, y 41/2019, en contra de las Constituciones Políticas de Veracruz, Sinaloa, y Nuevo Léon, por la falta de competencia de la legislatura local para definir y restringir derechos humanos, y la afectación de otros derechos humanos con base en el </w:t>
      </w:r>
      <w:r w:rsidR="00BC1BDE" w:rsidRPr="0091511D">
        <w:rPr>
          <w:rStyle w:val="Ninguno"/>
          <w:rFonts w:ascii="Arial" w:hAnsi="Arial"/>
          <w:sz w:val="24"/>
          <w:szCs w:val="24"/>
        </w:rPr>
        <w:t>sentencia de la Corte Interamericana de Derechos Humanos, sobre el caso</w:t>
      </w:r>
      <w:r w:rsidRPr="0091511D">
        <w:rPr>
          <w:rStyle w:val="Ninguno"/>
          <w:rFonts w:ascii="Arial" w:hAnsi="Arial"/>
          <w:sz w:val="24"/>
          <w:szCs w:val="24"/>
        </w:rPr>
        <w:t xml:space="preserve"> Artavia Murillo </w:t>
      </w:r>
      <w:r w:rsidR="00BC1BDE" w:rsidRPr="0091511D">
        <w:rPr>
          <w:rStyle w:val="Ninguno"/>
          <w:rFonts w:ascii="Arial" w:hAnsi="Arial"/>
          <w:sz w:val="24"/>
          <w:szCs w:val="24"/>
        </w:rPr>
        <w:t>vs</w:t>
      </w:r>
      <w:r w:rsidRPr="0091511D">
        <w:rPr>
          <w:rStyle w:val="Ninguno"/>
          <w:rFonts w:ascii="Arial" w:hAnsi="Arial"/>
          <w:sz w:val="24"/>
          <w:szCs w:val="24"/>
        </w:rPr>
        <w:t xml:space="preserve"> Costa Rica</w:t>
      </w:r>
      <w:r w:rsidR="00BC1BDE" w:rsidRPr="0091511D">
        <w:rPr>
          <w:rStyle w:val="Ninguno"/>
          <w:vertAlign w:val="superscript"/>
        </w:rPr>
        <w:footnoteReference w:id="10"/>
      </w:r>
      <w:r w:rsidRPr="0091511D">
        <w:rPr>
          <w:rStyle w:val="Ninguno"/>
          <w:rFonts w:ascii="Arial" w:hAnsi="Arial"/>
          <w:sz w:val="24"/>
          <w:szCs w:val="24"/>
        </w:rPr>
        <w:t>.</w:t>
      </w:r>
    </w:p>
    <w:p w14:paraId="33B31FA8" w14:textId="77777777" w:rsidR="00D35E43" w:rsidRPr="00B754D8" w:rsidRDefault="00CD7861">
      <w:pPr>
        <w:pStyle w:val="CuerpoA"/>
        <w:jc w:val="both"/>
        <w:rPr>
          <w:rStyle w:val="Ninguno"/>
          <w:rFonts w:ascii="Arial" w:eastAsia="Arial" w:hAnsi="Arial" w:cs="Arial"/>
          <w:sz w:val="24"/>
          <w:szCs w:val="24"/>
          <w:u w:val="single"/>
        </w:rPr>
      </w:pPr>
      <w:r w:rsidRPr="00B754D8">
        <w:rPr>
          <w:rStyle w:val="Ninguno"/>
          <w:rFonts w:ascii="Arial" w:hAnsi="Arial"/>
          <w:sz w:val="24"/>
          <w:szCs w:val="24"/>
          <w:u w:val="single"/>
        </w:rPr>
        <w:t>Recomendación general 31/2017</w:t>
      </w:r>
    </w:p>
    <w:p w14:paraId="79D22D3F" w14:textId="2AD6ECBE" w:rsidR="00D35E43" w:rsidRPr="0091511D" w:rsidRDefault="00CD7861">
      <w:pPr>
        <w:pStyle w:val="CuerpoA"/>
        <w:jc w:val="both"/>
        <w:rPr>
          <w:rStyle w:val="Ninguno"/>
          <w:rFonts w:ascii="Arial" w:hAnsi="Arial"/>
          <w:sz w:val="24"/>
          <w:szCs w:val="24"/>
        </w:rPr>
      </w:pPr>
      <w:r w:rsidRPr="0091511D">
        <w:rPr>
          <w:rStyle w:val="Ninguno"/>
          <w:rFonts w:ascii="Arial" w:hAnsi="Arial"/>
          <w:sz w:val="24"/>
          <w:szCs w:val="24"/>
        </w:rPr>
        <w:t xml:space="preserve">En julio de 2017, </w:t>
      </w:r>
      <w:r w:rsidRPr="0091511D">
        <w:rPr>
          <w:rStyle w:val="Ninguno"/>
          <w:rFonts w:ascii="Arial" w:hAnsi="Arial"/>
          <w:b/>
          <w:sz w:val="24"/>
          <w:szCs w:val="24"/>
        </w:rPr>
        <w:t>la CNDH emitió la recomendación general 31/2017, sobre la violencia obstétrica y prácticas que vulneren los derechos humanos de las mujeres en el sistema nacional de salud</w:t>
      </w:r>
      <w:r w:rsidR="0091511D">
        <w:rPr>
          <w:rStyle w:val="Ninguno"/>
          <w:rFonts w:ascii="Arial" w:hAnsi="Arial"/>
          <w:sz w:val="24"/>
          <w:szCs w:val="24"/>
        </w:rPr>
        <w:t>.</w:t>
      </w:r>
      <w:r w:rsidRPr="0091511D">
        <w:rPr>
          <w:rStyle w:val="Ninguno"/>
          <w:rFonts w:ascii="Arial" w:hAnsi="Arial"/>
          <w:sz w:val="24"/>
          <w:szCs w:val="24"/>
        </w:rPr>
        <w:t xml:space="preserve">  En esta recomendación se da cuenta que la falta de estos recursos técnicos y humanos en algunos hospitales constituye un obstáculo para la adecuada atención médica a las mujeres durante el embarazo, el parto y el puerperio, con lo cual el Estado incumple con la obligación de poner a disposición de toda la población los medios necesarios para que pueda ejercer su derecho a la salud, lo que implica la existencia de responsabilidad institucional.</w:t>
      </w:r>
    </w:p>
    <w:p w14:paraId="0F1EB317" w14:textId="77777777" w:rsidR="00D35E43" w:rsidRPr="00087B04" w:rsidRDefault="00CD7861">
      <w:pPr>
        <w:pStyle w:val="CuerpoA"/>
        <w:jc w:val="both"/>
        <w:rPr>
          <w:rStyle w:val="Ninguno"/>
          <w:rFonts w:ascii="Arial" w:hAnsi="Arial"/>
          <w:sz w:val="24"/>
          <w:szCs w:val="24"/>
        </w:rPr>
      </w:pPr>
      <w:r w:rsidRPr="00087B04">
        <w:rPr>
          <w:rStyle w:val="Ninguno"/>
          <w:rFonts w:ascii="Arial" w:hAnsi="Arial"/>
          <w:sz w:val="24"/>
          <w:szCs w:val="24"/>
        </w:rPr>
        <w:lastRenderedPageBreak/>
        <w:t>Además, se constató la ausencia de una atención gineco-obstétrica oportuna, esto debido a la escasez de médicos de base en turno para atender las emergencias o cubrir guardias, o suplir al personal; todo lo cual constituyó también responsabilidad institucional. Por lo anterior, este Organismo Constitucional exhorta a las instituciones que conforman el Sistema Nacional de Salud, para que realicen los esfuerzos necesarios con el propósito de garantizar el acceso a los servicios de salud de conformidad con lo previsto en los estándares nacionales e internacionales en la materia, procurando que la atención médica sea otorgada por profesionales de la salud y para el caso de intervención de médicos residentes, pasantes o prestadores de servicio social, deberán estar supervisados por un superior.</w:t>
      </w:r>
    </w:p>
    <w:p w14:paraId="27C92DBB"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Por lo anterior, se recomienda que se diseñe y ponga en práctica una política pública de prevención de violaciones a los derechos humanos de las mujeres en ocasión del embarazo, el parto y el puerperio en las instituciones de salud, centrada en el reconocimiento de la mujer como protagonista. </w:t>
      </w:r>
    </w:p>
    <w:p w14:paraId="6BEC377F"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La CNDH recomienda a diseñar y poner en práctica una política pública de prevención de violaciones a derechos fundamentales de mujeres en gestación que atienda las perspectivas de derechos humanos y de género. Por ello, se recomienda que se impulsen labores de capacitación y sensibilización al personal de salud de la atención gineco-obstétrica, para contrarrestar prejuicios basados en la discriminación de las mujeres y para el cumplimiento de las Normas Oficiales Mexicanas; así como brindar información a mujeres usuarias sobre sus derechos y cómo ejercerlos.</w:t>
      </w:r>
    </w:p>
    <w:p w14:paraId="6019F7CC" w14:textId="77777777" w:rsidR="00D35E43" w:rsidRPr="00B754D8" w:rsidRDefault="00CD7861">
      <w:pPr>
        <w:pStyle w:val="CuerpoA"/>
        <w:jc w:val="both"/>
        <w:rPr>
          <w:rStyle w:val="Ninguno"/>
          <w:rFonts w:ascii="Arial" w:eastAsia="Arial" w:hAnsi="Arial" w:cs="Arial"/>
          <w:b/>
          <w:bCs/>
          <w:sz w:val="24"/>
          <w:szCs w:val="24"/>
        </w:rPr>
      </w:pPr>
      <w:r w:rsidRPr="00B754D8">
        <w:rPr>
          <w:rStyle w:val="Ninguno"/>
          <w:rFonts w:ascii="Arial" w:hAnsi="Arial"/>
          <w:b/>
          <w:bCs/>
          <w:sz w:val="24"/>
          <w:szCs w:val="24"/>
        </w:rPr>
        <w:t>Retos para el Estado Mexicano</w:t>
      </w:r>
    </w:p>
    <w:p w14:paraId="5F444644" w14:textId="77777777" w:rsidR="00D35E43" w:rsidRPr="00B754D8" w:rsidRDefault="00CD7861">
      <w:pPr>
        <w:pStyle w:val="CuerpoA"/>
        <w:numPr>
          <w:ilvl w:val="0"/>
          <w:numId w:val="114"/>
        </w:numPr>
        <w:jc w:val="both"/>
        <w:rPr>
          <w:rFonts w:ascii="Arial" w:hAnsi="Arial"/>
          <w:sz w:val="24"/>
          <w:szCs w:val="24"/>
        </w:rPr>
      </w:pPr>
      <w:r w:rsidRPr="00B754D8">
        <w:rPr>
          <w:rStyle w:val="Ninguno"/>
          <w:rFonts w:ascii="Arial" w:hAnsi="Arial"/>
          <w:sz w:val="24"/>
          <w:szCs w:val="24"/>
        </w:rPr>
        <w:t>Esta Comisión Nacional advierte sobre la necesidad de transitar hacia un modelo de atención obstétrica con perspectiva de derechos humanos y de género, basado en los estándares y en las necesidades de las mujeres y sus hijos.</w:t>
      </w:r>
    </w:p>
    <w:p w14:paraId="594893E4" w14:textId="77777777" w:rsidR="00D35E43" w:rsidRPr="00B754D8" w:rsidRDefault="00CD7861">
      <w:pPr>
        <w:pStyle w:val="CuerpoA"/>
        <w:numPr>
          <w:ilvl w:val="0"/>
          <w:numId w:val="114"/>
        </w:numPr>
        <w:jc w:val="both"/>
        <w:rPr>
          <w:rFonts w:ascii="Arial" w:hAnsi="Arial"/>
          <w:sz w:val="24"/>
          <w:szCs w:val="24"/>
        </w:rPr>
      </w:pPr>
      <w:r w:rsidRPr="00B754D8">
        <w:rPr>
          <w:rStyle w:val="Ninguno"/>
          <w:rFonts w:ascii="Arial" w:hAnsi="Arial"/>
          <w:sz w:val="24"/>
          <w:szCs w:val="24"/>
        </w:rPr>
        <w:t>Actualmente se afecta el derecho a decidir libremente el método de planificación familiar y el número de hijos y espaciamiento entre ellos cuando se impone un método anticonceptivo distinto al elegido por la gestante, sin tener en cuenta el consentimiento de la interesada.</w:t>
      </w:r>
    </w:p>
    <w:p w14:paraId="505E6EF7" w14:textId="77777777" w:rsidR="00D35E43" w:rsidRPr="00B754D8" w:rsidRDefault="00CD7861">
      <w:pPr>
        <w:pStyle w:val="CuerpoA"/>
        <w:numPr>
          <w:ilvl w:val="0"/>
          <w:numId w:val="114"/>
        </w:numPr>
        <w:jc w:val="both"/>
        <w:rPr>
          <w:rFonts w:ascii="Arial" w:hAnsi="Arial"/>
          <w:sz w:val="24"/>
          <w:szCs w:val="24"/>
        </w:rPr>
      </w:pPr>
      <w:r w:rsidRPr="00B754D8">
        <w:rPr>
          <w:rStyle w:val="Ninguno"/>
          <w:rFonts w:ascii="Arial" w:hAnsi="Arial"/>
          <w:sz w:val="24"/>
          <w:szCs w:val="24"/>
        </w:rPr>
        <w:t>Las instituciones de salud, realicen un diagnóstico o análisis para detectar las necesidades materiales, de infraestructura y de personal que se requieren para satisfacer las demandas obstétricas de la población objetivo, con calidad y calidez</w:t>
      </w:r>
    </w:p>
    <w:p w14:paraId="51D3CB1A" w14:textId="77777777" w:rsidR="00D35E43" w:rsidRPr="0091511D" w:rsidRDefault="00CD7861">
      <w:pPr>
        <w:pStyle w:val="CuerpoA"/>
        <w:numPr>
          <w:ilvl w:val="0"/>
          <w:numId w:val="114"/>
        </w:numPr>
        <w:jc w:val="both"/>
        <w:rPr>
          <w:rStyle w:val="Ninguno"/>
        </w:rPr>
      </w:pPr>
      <w:r w:rsidRPr="0091511D">
        <w:rPr>
          <w:rStyle w:val="Ninguno"/>
          <w:rFonts w:ascii="Arial" w:hAnsi="Arial"/>
          <w:sz w:val="24"/>
          <w:szCs w:val="24"/>
        </w:rPr>
        <w:t xml:space="preserve">Se fortalezca la legislación para la autodeterminación de la mujer </w:t>
      </w:r>
    </w:p>
    <w:p w14:paraId="45238853" w14:textId="77777777" w:rsidR="00D35E43" w:rsidRPr="0091511D" w:rsidRDefault="00CD7861">
      <w:pPr>
        <w:pStyle w:val="CuerpoA"/>
        <w:numPr>
          <w:ilvl w:val="0"/>
          <w:numId w:val="114"/>
        </w:numPr>
        <w:jc w:val="both"/>
        <w:rPr>
          <w:rStyle w:val="Ninguno"/>
        </w:rPr>
      </w:pPr>
      <w:r w:rsidRPr="0091511D">
        <w:rPr>
          <w:rStyle w:val="Ninguno"/>
          <w:rFonts w:ascii="Arial" w:hAnsi="Arial"/>
          <w:sz w:val="24"/>
          <w:szCs w:val="24"/>
        </w:rPr>
        <w:t>Se resuelvan los casos de interrupción del embarazo por los poderes judiciales con perspectiva de género, el derecho de autodeterminación de las mujeres y la relación Materno- Fetal.</w:t>
      </w:r>
    </w:p>
    <w:p w14:paraId="7F31B6DC" w14:textId="77777777" w:rsidR="00D35E43" w:rsidRPr="00B754D8" w:rsidRDefault="00D35E43">
      <w:pPr>
        <w:pStyle w:val="CuerpoA"/>
        <w:ind w:left="720"/>
        <w:jc w:val="both"/>
        <w:rPr>
          <w:rStyle w:val="Ninguno"/>
          <w:rFonts w:ascii="Arial" w:eastAsia="Arial" w:hAnsi="Arial" w:cs="Arial"/>
          <w:sz w:val="24"/>
          <w:szCs w:val="24"/>
        </w:rPr>
      </w:pPr>
    </w:p>
    <w:p w14:paraId="3141068A" w14:textId="77777777" w:rsidR="00D35E43" w:rsidRPr="00B754D8" w:rsidRDefault="00CD7861">
      <w:pPr>
        <w:pStyle w:val="Prrafodelista"/>
        <w:numPr>
          <w:ilvl w:val="0"/>
          <w:numId w:val="115"/>
        </w:numPr>
        <w:rPr>
          <w:rFonts w:ascii="Arial" w:hAnsi="Arial"/>
          <w:b/>
          <w:bCs/>
          <w:sz w:val="24"/>
          <w:szCs w:val="24"/>
        </w:rPr>
      </w:pPr>
      <w:r w:rsidRPr="00B754D8">
        <w:rPr>
          <w:rStyle w:val="Ninguno"/>
          <w:rFonts w:ascii="Arial" w:hAnsi="Arial"/>
          <w:b/>
          <w:bCs/>
          <w:sz w:val="24"/>
          <w:szCs w:val="24"/>
        </w:rPr>
        <w:t>Abusos y violaciones de derechos humanos cometidos por miembros de las fuerzas armadas o de seguridad</w:t>
      </w:r>
    </w:p>
    <w:p w14:paraId="26A4B646" w14:textId="77777777" w:rsidR="00D35E43" w:rsidRPr="00B754D8" w:rsidRDefault="00CD7861">
      <w:pPr>
        <w:pStyle w:val="CuerpoB"/>
        <w:spacing w:after="160" w:line="259" w:lineRule="auto"/>
        <w:jc w:val="both"/>
        <w:rPr>
          <w:rStyle w:val="Ninguno"/>
          <w:rFonts w:ascii="Arial" w:eastAsia="Arial" w:hAnsi="Arial" w:cs="Arial"/>
          <w:b/>
          <w:bCs/>
        </w:rPr>
      </w:pPr>
      <w:r w:rsidRPr="00B754D8">
        <w:rPr>
          <w:rStyle w:val="Ninguno"/>
          <w:rFonts w:ascii="Arial" w:hAnsi="Arial"/>
          <w:b/>
          <w:bCs/>
        </w:rPr>
        <w:t>Contexto</w:t>
      </w:r>
    </w:p>
    <w:p w14:paraId="17F1629D"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La CNDH reconoce los retos en materia de violencia, inseguridad y criminalidad que enfrenta el Estado y la necesidad de garantizar la seguridad con pleno respeto a los derechos humanos. Sin embargo, las instancias que deben brindar seguridad, son las que comenten mayores violaciones a la seguridad personal.</w:t>
      </w:r>
    </w:p>
    <w:p w14:paraId="2260E9F1"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 xml:space="preserve">Por lo anterior, existe la necesidad de establecer una ruta dual que permita a las Fuerzas Armadas continuar realizando labores de seguridad pública de manera excepcional y temporal, </w:t>
      </w:r>
      <w:r w:rsidRPr="0091511D">
        <w:rPr>
          <w:rStyle w:val="Ninguno"/>
          <w:rFonts w:ascii="Arial" w:hAnsi="Arial"/>
        </w:rPr>
        <w:t>como lo establece la Ley de la Guardia Nacional, que considera un período de 5 años para su funcionamiento</w:t>
      </w:r>
      <w:r w:rsidRPr="00B754D8">
        <w:rPr>
          <w:rStyle w:val="Ninguno"/>
          <w:rFonts w:ascii="Arial" w:hAnsi="Arial"/>
        </w:rPr>
        <w:t>; a la vez que se fortalezcan las capacidades técnicas, operativas, legales y estructurales de las policías e instituciones civiles en los diversos órdenes de gobierno.</w:t>
      </w:r>
    </w:p>
    <w:p w14:paraId="7AFB9245"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En la construcción de políticas públicas y estrategias para el fortalecimiento de la seguridad pública, los derechos humanos no pueden ser ignorados y deben observarse como pieza fundamental y eje central en el fortalecimiento de la vida democrática nacional.</w:t>
      </w:r>
    </w:p>
    <w:p w14:paraId="20276B76" w14:textId="77777777" w:rsidR="00D35E43" w:rsidRPr="00B754D8" w:rsidRDefault="00CD7861">
      <w:pPr>
        <w:pStyle w:val="CuerpoB"/>
        <w:spacing w:after="160" w:line="259" w:lineRule="auto"/>
        <w:jc w:val="both"/>
        <w:rPr>
          <w:rStyle w:val="Ninguno"/>
          <w:rFonts w:ascii="Arial" w:eastAsia="Arial" w:hAnsi="Arial" w:cs="Arial"/>
          <w:b/>
          <w:bCs/>
        </w:rPr>
      </w:pPr>
      <w:r w:rsidRPr="00B754D8">
        <w:rPr>
          <w:rStyle w:val="Ninguno"/>
          <w:rFonts w:ascii="Arial" w:hAnsi="Arial"/>
          <w:b/>
          <w:bCs/>
        </w:rPr>
        <w:t>Acciones de la CNDH</w:t>
      </w:r>
    </w:p>
    <w:p w14:paraId="2352543A" w14:textId="77777777" w:rsidR="00D35E43" w:rsidRPr="00B754D8" w:rsidRDefault="00CD7861">
      <w:pPr>
        <w:pStyle w:val="CuerpoB"/>
        <w:numPr>
          <w:ilvl w:val="0"/>
          <w:numId w:val="117"/>
        </w:numPr>
        <w:spacing w:after="160" w:line="259" w:lineRule="auto"/>
        <w:jc w:val="both"/>
        <w:rPr>
          <w:rFonts w:ascii="Arial" w:hAnsi="Arial"/>
        </w:rPr>
      </w:pPr>
      <w:r w:rsidRPr="00B754D8">
        <w:rPr>
          <w:rStyle w:val="Ninguno"/>
          <w:rFonts w:ascii="Arial" w:hAnsi="Arial"/>
          <w:u w:val="single"/>
        </w:rPr>
        <w:t>Recomendaciones de la CNDH por Violaciones Graves a los Derechos Humanos y las Fuerzas Armadas</w:t>
      </w:r>
    </w:p>
    <w:p w14:paraId="2875FE0D"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De 2012 al 28 de febrero de 2019, la CNDH ha emitido 21 Recomendaciones por Violaciones Graves a los Derechos Humanos, de las cuales, 8, es decir, el 38%, han sido dirigidas a las fuerzas armadas. 4 han sido dirigidas a la Secretaría de la Defensa Nacional, 3 a la Secretaría de Marina y una a ambas dependencias.</w:t>
      </w:r>
    </w:p>
    <w:p w14:paraId="51A00F6A" w14:textId="77777777" w:rsidR="00D35E43" w:rsidRPr="00B754D8" w:rsidRDefault="00CD7861">
      <w:pPr>
        <w:pStyle w:val="CuerpoB"/>
        <w:numPr>
          <w:ilvl w:val="0"/>
          <w:numId w:val="117"/>
        </w:numPr>
        <w:spacing w:after="160" w:line="259" w:lineRule="auto"/>
        <w:jc w:val="both"/>
        <w:rPr>
          <w:rFonts w:ascii="Arial" w:hAnsi="Arial"/>
        </w:rPr>
      </w:pPr>
      <w:r w:rsidRPr="00B754D8">
        <w:rPr>
          <w:rStyle w:val="Ninguno"/>
          <w:rFonts w:ascii="Arial" w:hAnsi="Arial"/>
          <w:u w:val="single"/>
        </w:rPr>
        <w:t>Recomendaciones de la CNDH y Denuncias dirigidas a la Secretaría de la Defensa Nacional (SEDENA)</w:t>
      </w:r>
    </w:p>
    <w:p w14:paraId="047C356C"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Desde 2010 a la fecha, se han emitido 84 Recomendaciones a la Secretaría de la Defensa Nacional, de las cuales en 84 de éstas al día de hoy se han presentado 145 denuncias por responsabilidad penal, en contra de servidores públicos dependientes de esa Secretaría, señalados como autoridades responsables en el texto de las recomendaciones dirigidas a ésta.</w:t>
      </w:r>
    </w:p>
    <w:tbl>
      <w:tblPr>
        <w:tblStyle w:val="TableNormal"/>
        <w:tblW w:w="8838" w:type="dxa"/>
        <w:tblInd w:w="93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895"/>
        <w:gridCol w:w="3045"/>
        <w:gridCol w:w="2898"/>
      </w:tblGrid>
      <w:tr w:rsidR="00D35E43" w:rsidRPr="00B754D8" w14:paraId="4947EA52" w14:textId="77777777">
        <w:trPr>
          <w:trHeight w:val="1055"/>
        </w:trPr>
        <w:tc>
          <w:tcPr>
            <w:tcW w:w="2895" w:type="dxa"/>
            <w:tcBorders>
              <w:top w:val="single" w:sz="4" w:space="0" w:color="000000"/>
              <w:left w:val="single" w:sz="4" w:space="0" w:color="000000"/>
              <w:bottom w:val="single" w:sz="4" w:space="0" w:color="000000"/>
              <w:right w:val="single" w:sz="4" w:space="0" w:color="000000"/>
            </w:tcBorders>
            <w:shd w:val="clear" w:color="auto" w:fill="222A35"/>
            <w:tcMar>
              <w:top w:w="80" w:type="dxa"/>
              <w:left w:w="80" w:type="dxa"/>
              <w:bottom w:w="80" w:type="dxa"/>
              <w:right w:w="80" w:type="dxa"/>
            </w:tcMar>
            <w:vAlign w:val="center"/>
          </w:tcPr>
          <w:p w14:paraId="2C1A1088" w14:textId="77777777" w:rsidR="00D35E43" w:rsidRPr="00B754D8" w:rsidRDefault="00CD7861">
            <w:pPr>
              <w:pStyle w:val="CuerpoB"/>
              <w:spacing w:after="160" w:line="259" w:lineRule="auto"/>
              <w:jc w:val="both"/>
            </w:pPr>
            <w:r w:rsidRPr="00B754D8">
              <w:rPr>
                <w:rStyle w:val="Ninguno"/>
                <w:rFonts w:ascii="Arial" w:hAnsi="Arial"/>
                <w:color w:val="FFFFFF"/>
                <w:u w:color="FFFFFF"/>
              </w:rPr>
              <w:t>Hecho Violatorio</w:t>
            </w:r>
          </w:p>
        </w:tc>
        <w:tc>
          <w:tcPr>
            <w:tcW w:w="3045" w:type="dxa"/>
            <w:tcBorders>
              <w:top w:val="single" w:sz="4" w:space="0" w:color="000000"/>
              <w:left w:val="single" w:sz="4" w:space="0" w:color="000000"/>
              <w:bottom w:val="single" w:sz="4" w:space="0" w:color="000000"/>
              <w:right w:val="single" w:sz="4" w:space="0" w:color="000000"/>
            </w:tcBorders>
            <w:shd w:val="clear" w:color="auto" w:fill="222A35"/>
            <w:tcMar>
              <w:top w:w="80" w:type="dxa"/>
              <w:left w:w="80" w:type="dxa"/>
              <w:bottom w:w="80" w:type="dxa"/>
              <w:right w:w="80" w:type="dxa"/>
            </w:tcMar>
            <w:vAlign w:val="center"/>
          </w:tcPr>
          <w:p w14:paraId="7EF8EFE5" w14:textId="77777777" w:rsidR="00D35E43" w:rsidRPr="00B754D8" w:rsidRDefault="00CD7861">
            <w:pPr>
              <w:pStyle w:val="CuerpoB"/>
              <w:spacing w:after="160" w:line="259" w:lineRule="auto"/>
              <w:jc w:val="both"/>
            </w:pPr>
            <w:r w:rsidRPr="00B754D8">
              <w:rPr>
                <w:rStyle w:val="Ninguno"/>
                <w:rFonts w:ascii="Arial" w:hAnsi="Arial"/>
                <w:color w:val="FFFFFF"/>
                <w:u w:color="FFFFFF"/>
              </w:rPr>
              <w:t>No. de recomendaciones</w:t>
            </w:r>
          </w:p>
        </w:tc>
        <w:tc>
          <w:tcPr>
            <w:tcW w:w="2898" w:type="dxa"/>
            <w:tcBorders>
              <w:top w:val="single" w:sz="4" w:space="0" w:color="000000"/>
              <w:left w:val="single" w:sz="4" w:space="0" w:color="000000"/>
              <w:bottom w:val="single" w:sz="4" w:space="0" w:color="000000"/>
              <w:right w:val="single" w:sz="4" w:space="0" w:color="000000"/>
            </w:tcBorders>
            <w:shd w:val="clear" w:color="auto" w:fill="222A35"/>
            <w:tcMar>
              <w:top w:w="80" w:type="dxa"/>
              <w:left w:w="80" w:type="dxa"/>
              <w:bottom w:w="80" w:type="dxa"/>
              <w:right w:w="80" w:type="dxa"/>
            </w:tcMar>
            <w:vAlign w:val="center"/>
          </w:tcPr>
          <w:p w14:paraId="2F1810C4" w14:textId="77777777" w:rsidR="00D35E43" w:rsidRPr="00B754D8" w:rsidRDefault="00CD7861">
            <w:pPr>
              <w:pStyle w:val="CuerpoB"/>
              <w:spacing w:after="160" w:line="259" w:lineRule="auto"/>
              <w:jc w:val="both"/>
            </w:pPr>
            <w:r w:rsidRPr="00B754D8">
              <w:rPr>
                <w:rStyle w:val="Ninguno"/>
                <w:rFonts w:ascii="Arial" w:hAnsi="Arial"/>
                <w:color w:val="FFFFFF"/>
                <w:u w:color="FFFFFF"/>
              </w:rPr>
              <w:t>Denuncias presentadas</w:t>
            </w:r>
          </w:p>
        </w:tc>
      </w:tr>
      <w:tr w:rsidR="00D35E43" w:rsidRPr="00B754D8" w14:paraId="010E3065" w14:textId="77777777">
        <w:trPr>
          <w:trHeight w:val="318"/>
        </w:trPr>
        <w:tc>
          <w:tcPr>
            <w:tcW w:w="28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6F531B1" w14:textId="77777777" w:rsidR="00D35E43" w:rsidRPr="00B754D8" w:rsidRDefault="00CD7861">
            <w:pPr>
              <w:pStyle w:val="CuerpoB"/>
              <w:spacing w:after="160" w:line="259" w:lineRule="auto"/>
              <w:jc w:val="both"/>
            </w:pPr>
            <w:r w:rsidRPr="00B754D8">
              <w:rPr>
                <w:rStyle w:val="Ninguno"/>
                <w:rFonts w:ascii="Arial" w:hAnsi="Arial"/>
              </w:rPr>
              <w:lastRenderedPageBreak/>
              <w:t>Desaparición forzada</w:t>
            </w:r>
          </w:p>
        </w:tc>
        <w:tc>
          <w:tcPr>
            <w:tcW w:w="30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7802E56" w14:textId="77777777" w:rsidR="00D35E43" w:rsidRPr="00B754D8" w:rsidRDefault="00CD7861">
            <w:pPr>
              <w:pStyle w:val="CuerpoB"/>
              <w:spacing w:after="160" w:line="259" w:lineRule="auto"/>
              <w:jc w:val="both"/>
            </w:pPr>
            <w:r w:rsidRPr="00B754D8">
              <w:rPr>
                <w:rStyle w:val="Ninguno"/>
                <w:rFonts w:ascii="Arial" w:hAnsi="Arial"/>
              </w:rPr>
              <w:t>6</w:t>
            </w:r>
          </w:p>
        </w:tc>
        <w:tc>
          <w:tcPr>
            <w:tcW w:w="2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7E8DAE" w14:textId="77777777" w:rsidR="00D35E43" w:rsidRPr="00B754D8" w:rsidRDefault="00CD7861">
            <w:pPr>
              <w:pStyle w:val="CuerpoB"/>
              <w:spacing w:after="160" w:line="259" w:lineRule="auto"/>
              <w:jc w:val="both"/>
            </w:pPr>
            <w:r w:rsidRPr="00B754D8">
              <w:rPr>
                <w:rStyle w:val="Ninguno"/>
                <w:rFonts w:ascii="Arial" w:hAnsi="Arial"/>
              </w:rPr>
              <w:t>8</w:t>
            </w:r>
          </w:p>
        </w:tc>
      </w:tr>
      <w:tr w:rsidR="00D35E43" w:rsidRPr="00B754D8" w14:paraId="42BDEF62" w14:textId="77777777">
        <w:trPr>
          <w:trHeight w:val="594"/>
        </w:trPr>
        <w:tc>
          <w:tcPr>
            <w:tcW w:w="28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63408D" w14:textId="77777777" w:rsidR="00D35E43" w:rsidRPr="00B754D8" w:rsidRDefault="00CD7861">
            <w:pPr>
              <w:pStyle w:val="CuerpoB"/>
              <w:spacing w:after="160" w:line="259" w:lineRule="auto"/>
              <w:jc w:val="both"/>
            </w:pPr>
            <w:r w:rsidRPr="00B754D8">
              <w:rPr>
                <w:rStyle w:val="Ninguno"/>
                <w:rFonts w:ascii="Arial" w:hAnsi="Arial"/>
              </w:rPr>
              <w:t>Ejecución Sumaria o Extrajudicial</w:t>
            </w:r>
          </w:p>
        </w:tc>
        <w:tc>
          <w:tcPr>
            <w:tcW w:w="30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B01AFF" w14:textId="77777777" w:rsidR="00D35E43" w:rsidRPr="00B754D8" w:rsidRDefault="00CD7861">
            <w:pPr>
              <w:pStyle w:val="CuerpoB"/>
              <w:spacing w:after="160" w:line="259" w:lineRule="auto"/>
              <w:jc w:val="both"/>
            </w:pPr>
            <w:r w:rsidRPr="00B754D8">
              <w:rPr>
                <w:rStyle w:val="Ninguno"/>
                <w:rFonts w:ascii="Arial" w:hAnsi="Arial"/>
              </w:rPr>
              <w:t>3</w:t>
            </w:r>
          </w:p>
        </w:tc>
        <w:tc>
          <w:tcPr>
            <w:tcW w:w="2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9086957" w14:textId="77777777" w:rsidR="00D35E43" w:rsidRPr="00B754D8" w:rsidRDefault="00CD7861">
            <w:pPr>
              <w:pStyle w:val="CuerpoB"/>
              <w:spacing w:after="160" w:line="259" w:lineRule="auto"/>
              <w:jc w:val="both"/>
            </w:pPr>
            <w:r w:rsidRPr="00B754D8">
              <w:rPr>
                <w:rStyle w:val="Ninguno"/>
                <w:rFonts w:ascii="Arial" w:hAnsi="Arial"/>
              </w:rPr>
              <w:t>3</w:t>
            </w:r>
          </w:p>
        </w:tc>
      </w:tr>
      <w:tr w:rsidR="00D35E43" w:rsidRPr="00B754D8" w14:paraId="29D273F8" w14:textId="77777777">
        <w:trPr>
          <w:trHeight w:val="292"/>
        </w:trPr>
        <w:tc>
          <w:tcPr>
            <w:tcW w:w="28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B954A59" w14:textId="77777777" w:rsidR="00D35E43" w:rsidRPr="00B754D8" w:rsidRDefault="00CD7861">
            <w:pPr>
              <w:pStyle w:val="CuerpoB"/>
              <w:spacing w:after="160" w:line="259" w:lineRule="auto"/>
              <w:jc w:val="both"/>
            </w:pPr>
            <w:r w:rsidRPr="00B754D8">
              <w:rPr>
                <w:rStyle w:val="Ninguno"/>
                <w:rFonts w:ascii="Arial" w:hAnsi="Arial"/>
              </w:rPr>
              <w:t>Tortura</w:t>
            </w:r>
          </w:p>
        </w:tc>
        <w:tc>
          <w:tcPr>
            <w:tcW w:w="30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51FBEA" w14:textId="77777777" w:rsidR="00D35E43" w:rsidRPr="00B754D8" w:rsidRDefault="00CD7861">
            <w:pPr>
              <w:pStyle w:val="CuerpoB"/>
              <w:spacing w:after="160" w:line="259" w:lineRule="auto"/>
              <w:jc w:val="both"/>
            </w:pPr>
            <w:r w:rsidRPr="00B754D8">
              <w:rPr>
                <w:rStyle w:val="Ninguno"/>
                <w:rFonts w:ascii="Arial" w:hAnsi="Arial"/>
              </w:rPr>
              <w:t>37</w:t>
            </w:r>
          </w:p>
        </w:tc>
        <w:tc>
          <w:tcPr>
            <w:tcW w:w="2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3A3A11" w14:textId="77777777" w:rsidR="00D35E43" w:rsidRPr="00B754D8" w:rsidRDefault="00CD7861">
            <w:pPr>
              <w:pStyle w:val="CuerpoB"/>
              <w:spacing w:after="160" w:line="259" w:lineRule="auto"/>
              <w:jc w:val="both"/>
            </w:pPr>
            <w:r w:rsidRPr="00B754D8">
              <w:rPr>
                <w:rStyle w:val="Ninguno"/>
                <w:rFonts w:ascii="Arial" w:hAnsi="Arial"/>
              </w:rPr>
              <w:t>63</w:t>
            </w:r>
          </w:p>
        </w:tc>
      </w:tr>
      <w:tr w:rsidR="00D35E43" w:rsidRPr="00B754D8" w14:paraId="7004782F" w14:textId="77777777">
        <w:trPr>
          <w:trHeight w:val="1488"/>
        </w:trPr>
        <w:tc>
          <w:tcPr>
            <w:tcW w:w="28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9B7CA1D" w14:textId="77777777" w:rsidR="00D35E43" w:rsidRPr="00B754D8" w:rsidRDefault="00CD7861">
            <w:pPr>
              <w:pStyle w:val="CuerpoB"/>
              <w:spacing w:after="160" w:line="259" w:lineRule="auto"/>
              <w:jc w:val="both"/>
            </w:pPr>
            <w:r w:rsidRPr="00B754D8">
              <w:rPr>
                <w:rStyle w:val="Ninguno"/>
                <w:rFonts w:ascii="Arial" w:hAnsi="Arial"/>
              </w:rPr>
              <w:t>Cateo Ilegal, detención arbitraria, retención indebida y uso excesivo de la fuerza.</w:t>
            </w:r>
          </w:p>
        </w:tc>
        <w:tc>
          <w:tcPr>
            <w:tcW w:w="30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AD165EB" w14:textId="77777777" w:rsidR="00D35E43" w:rsidRPr="00B754D8" w:rsidRDefault="00CD7861">
            <w:pPr>
              <w:pStyle w:val="CuerpoB"/>
              <w:spacing w:after="160" w:line="259" w:lineRule="auto"/>
              <w:jc w:val="both"/>
            </w:pPr>
            <w:r w:rsidRPr="00B754D8">
              <w:rPr>
                <w:rStyle w:val="Ninguno"/>
                <w:rFonts w:ascii="Arial" w:hAnsi="Arial"/>
              </w:rPr>
              <w:t>38</w:t>
            </w:r>
          </w:p>
        </w:tc>
        <w:tc>
          <w:tcPr>
            <w:tcW w:w="2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3FC8BA" w14:textId="77777777" w:rsidR="00D35E43" w:rsidRPr="00B754D8" w:rsidRDefault="00CD7861">
            <w:pPr>
              <w:pStyle w:val="CuerpoB"/>
              <w:spacing w:after="160" w:line="259" w:lineRule="auto"/>
              <w:jc w:val="both"/>
            </w:pPr>
            <w:r w:rsidRPr="00B754D8">
              <w:rPr>
                <w:rStyle w:val="Ninguno"/>
                <w:rFonts w:ascii="Arial" w:hAnsi="Arial"/>
              </w:rPr>
              <w:t>71</w:t>
            </w:r>
          </w:p>
        </w:tc>
      </w:tr>
      <w:tr w:rsidR="00D35E43" w:rsidRPr="00B754D8" w14:paraId="614E6E8F" w14:textId="77777777">
        <w:trPr>
          <w:trHeight w:val="292"/>
        </w:trPr>
        <w:tc>
          <w:tcPr>
            <w:tcW w:w="2895" w:type="dxa"/>
            <w:tcBorders>
              <w:top w:val="single" w:sz="4" w:space="0" w:color="000000"/>
              <w:left w:val="single" w:sz="4" w:space="0" w:color="000000"/>
              <w:bottom w:val="single" w:sz="4" w:space="0" w:color="000000"/>
              <w:right w:val="single" w:sz="4" w:space="0" w:color="000000"/>
            </w:tcBorders>
            <w:shd w:val="clear" w:color="auto" w:fill="DEEAF6"/>
            <w:tcMar>
              <w:top w:w="80" w:type="dxa"/>
              <w:left w:w="80" w:type="dxa"/>
              <w:bottom w:w="80" w:type="dxa"/>
              <w:right w:w="80" w:type="dxa"/>
            </w:tcMar>
            <w:vAlign w:val="center"/>
          </w:tcPr>
          <w:p w14:paraId="7683A393" w14:textId="77777777" w:rsidR="00D35E43" w:rsidRPr="00B754D8" w:rsidRDefault="00CD7861">
            <w:pPr>
              <w:pStyle w:val="CuerpoB"/>
              <w:spacing w:after="160" w:line="259" w:lineRule="auto"/>
              <w:jc w:val="both"/>
            </w:pPr>
            <w:r w:rsidRPr="00B754D8">
              <w:rPr>
                <w:rStyle w:val="Ninguno"/>
                <w:rFonts w:ascii="Arial" w:hAnsi="Arial"/>
              </w:rPr>
              <w:t>Total</w:t>
            </w:r>
          </w:p>
        </w:tc>
        <w:tc>
          <w:tcPr>
            <w:tcW w:w="3045" w:type="dxa"/>
            <w:tcBorders>
              <w:top w:val="single" w:sz="4" w:space="0" w:color="000000"/>
              <w:left w:val="single" w:sz="4" w:space="0" w:color="000000"/>
              <w:bottom w:val="single" w:sz="4" w:space="0" w:color="000000"/>
              <w:right w:val="single" w:sz="4" w:space="0" w:color="000000"/>
            </w:tcBorders>
            <w:shd w:val="clear" w:color="auto" w:fill="DEEAF6"/>
            <w:tcMar>
              <w:top w:w="80" w:type="dxa"/>
              <w:left w:w="80" w:type="dxa"/>
              <w:bottom w:w="80" w:type="dxa"/>
              <w:right w:w="80" w:type="dxa"/>
            </w:tcMar>
            <w:vAlign w:val="center"/>
          </w:tcPr>
          <w:p w14:paraId="33272C06" w14:textId="77777777" w:rsidR="00D35E43" w:rsidRPr="00B754D8" w:rsidRDefault="00CD7861">
            <w:pPr>
              <w:pStyle w:val="CuerpoB"/>
              <w:spacing w:after="160" w:line="259" w:lineRule="auto"/>
              <w:jc w:val="both"/>
            </w:pPr>
            <w:r w:rsidRPr="00B754D8">
              <w:rPr>
                <w:rStyle w:val="Ninguno"/>
                <w:rFonts w:ascii="Arial" w:hAnsi="Arial"/>
              </w:rPr>
              <w:t>84</w:t>
            </w:r>
          </w:p>
        </w:tc>
        <w:tc>
          <w:tcPr>
            <w:tcW w:w="2898" w:type="dxa"/>
            <w:tcBorders>
              <w:top w:val="single" w:sz="4" w:space="0" w:color="000000"/>
              <w:left w:val="single" w:sz="4" w:space="0" w:color="000000"/>
              <w:bottom w:val="single" w:sz="4" w:space="0" w:color="000000"/>
              <w:right w:val="single" w:sz="4" w:space="0" w:color="000000"/>
            </w:tcBorders>
            <w:shd w:val="clear" w:color="auto" w:fill="DEEAF6"/>
            <w:tcMar>
              <w:top w:w="80" w:type="dxa"/>
              <w:left w:w="80" w:type="dxa"/>
              <w:bottom w:w="80" w:type="dxa"/>
              <w:right w:w="80" w:type="dxa"/>
            </w:tcMar>
            <w:vAlign w:val="center"/>
          </w:tcPr>
          <w:p w14:paraId="00D0B222" w14:textId="77777777" w:rsidR="00D35E43" w:rsidRPr="00B754D8" w:rsidRDefault="00CD7861">
            <w:pPr>
              <w:pStyle w:val="CuerpoB"/>
              <w:spacing w:after="160" w:line="259" w:lineRule="auto"/>
              <w:jc w:val="both"/>
            </w:pPr>
            <w:r w:rsidRPr="00B754D8">
              <w:rPr>
                <w:rStyle w:val="Ninguno"/>
                <w:rFonts w:ascii="Arial" w:hAnsi="Arial"/>
              </w:rPr>
              <w:t>145</w:t>
            </w:r>
          </w:p>
        </w:tc>
      </w:tr>
    </w:tbl>
    <w:p w14:paraId="18F4443C" w14:textId="77777777" w:rsidR="00D35E43" w:rsidRPr="00B754D8" w:rsidRDefault="00D35E43">
      <w:pPr>
        <w:pStyle w:val="CuerpoB"/>
        <w:widowControl w:val="0"/>
        <w:spacing w:after="160"/>
        <w:ind w:left="828" w:hanging="828"/>
        <w:jc w:val="both"/>
        <w:rPr>
          <w:rStyle w:val="Ninguno"/>
          <w:rFonts w:ascii="Arial" w:eastAsia="Arial" w:hAnsi="Arial" w:cs="Arial"/>
        </w:rPr>
      </w:pPr>
    </w:p>
    <w:p w14:paraId="6DEA8065" w14:textId="77777777" w:rsidR="00D35E43" w:rsidRPr="00B754D8" w:rsidRDefault="00D35E43">
      <w:pPr>
        <w:pStyle w:val="CuerpoB"/>
        <w:widowControl w:val="0"/>
        <w:spacing w:after="160"/>
        <w:ind w:left="720" w:hanging="720"/>
        <w:jc w:val="both"/>
        <w:rPr>
          <w:rStyle w:val="Ninguno"/>
          <w:rFonts w:ascii="Arial" w:eastAsia="Arial" w:hAnsi="Arial" w:cs="Arial"/>
        </w:rPr>
      </w:pPr>
    </w:p>
    <w:p w14:paraId="584C9149" w14:textId="77777777" w:rsidR="00D35E43" w:rsidRPr="00B754D8" w:rsidRDefault="00D35E43">
      <w:pPr>
        <w:pStyle w:val="CuerpoB"/>
        <w:spacing w:after="160" w:line="259" w:lineRule="auto"/>
        <w:jc w:val="both"/>
        <w:rPr>
          <w:rStyle w:val="Ninguno"/>
          <w:rFonts w:ascii="Arial" w:eastAsia="Arial" w:hAnsi="Arial" w:cs="Arial"/>
        </w:rPr>
      </w:pPr>
    </w:p>
    <w:p w14:paraId="0C6E7B42"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Ahora bien, éstas 145 denuncias por responsabilidad penal, se presentaron ante las instancias siguientes:</w:t>
      </w:r>
    </w:p>
    <w:p w14:paraId="057B4F5F" w14:textId="77777777" w:rsidR="00D35E43" w:rsidRPr="00B754D8" w:rsidRDefault="00CD7861">
      <w:pPr>
        <w:pStyle w:val="CuerpoB"/>
        <w:numPr>
          <w:ilvl w:val="0"/>
          <w:numId w:val="119"/>
        </w:numPr>
        <w:spacing w:after="160" w:line="259" w:lineRule="auto"/>
        <w:jc w:val="both"/>
        <w:rPr>
          <w:rFonts w:ascii="Arial" w:hAnsi="Arial"/>
        </w:rPr>
      </w:pPr>
      <w:r w:rsidRPr="00B754D8">
        <w:rPr>
          <w:rStyle w:val="Ninguno"/>
          <w:rFonts w:ascii="Arial" w:hAnsi="Arial"/>
        </w:rPr>
        <w:t>84 ante la Procuraduría General de la República;</w:t>
      </w:r>
    </w:p>
    <w:p w14:paraId="66A0B26C" w14:textId="77777777" w:rsidR="00D35E43" w:rsidRPr="00B754D8" w:rsidRDefault="00CD7861">
      <w:pPr>
        <w:pStyle w:val="CuerpoB"/>
        <w:numPr>
          <w:ilvl w:val="0"/>
          <w:numId w:val="119"/>
        </w:numPr>
        <w:spacing w:after="160" w:line="259" w:lineRule="auto"/>
        <w:jc w:val="both"/>
        <w:rPr>
          <w:rFonts w:ascii="Arial" w:hAnsi="Arial"/>
        </w:rPr>
      </w:pPr>
      <w:r w:rsidRPr="00B754D8">
        <w:rPr>
          <w:rStyle w:val="Ninguno"/>
          <w:rFonts w:ascii="Arial" w:hAnsi="Arial"/>
        </w:rPr>
        <w:t>61 ante la Fiscalía General de Justicia Militar.</w:t>
      </w:r>
    </w:p>
    <w:p w14:paraId="3DE9BAF1"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De las 145 denuncias penales en cita, esta Comisión Nacional tiene la información siguiente:</w:t>
      </w:r>
    </w:p>
    <w:p w14:paraId="4AB583FF" w14:textId="77777777" w:rsidR="00D35E43" w:rsidRPr="00B754D8" w:rsidRDefault="00CD7861">
      <w:pPr>
        <w:pStyle w:val="CuerpoB"/>
        <w:numPr>
          <w:ilvl w:val="0"/>
          <w:numId w:val="121"/>
        </w:numPr>
        <w:spacing w:after="160" w:line="259" w:lineRule="auto"/>
        <w:jc w:val="both"/>
        <w:rPr>
          <w:rFonts w:ascii="Arial" w:hAnsi="Arial"/>
        </w:rPr>
      </w:pPr>
      <w:r w:rsidRPr="00B754D8">
        <w:rPr>
          <w:rStyle w:val="Ninguno"/>
          <w:rFonts w:ascii="Arial" w:hAnsi="Arial"/>
        </w:rPr>
        <w:t>En 31 de ellas se ejerció acción penal en contra de 67 elementos de la SEDENA:</w:t>
      </w:r>
    </w:p>
    <w:p w14:paraId="30959C50" w14:textId="77777777" w:rsidR="00D35E43" w:rsidRPr="00B754D8" w:rsidRDefault="00CD7861">
      <w:pPr>
        <w:pStyle w:val="CuerpoB"/>
        <w:numPr>
          <w:ilvl w:val="0"/>
          <w:numId w:val="121"/>
        </w:numPr>
        <w:spacing w:after="160" w:line="259" w:lineRule="auto"/>
        <w:jc w:val="both"/>
        <w:rPr>
          <w:rFonts w:ascii="Arial" w:hAnsi="Arial"/>
        </w:rPr>
      </w:pPr>
      <w:r w:rsidRPr="00B754D8">
        <w:rPr>
          <w:rStyle w:val="Ninguno"/>
          <w:rFonts w:ascii="Arial" w:hAnsi="Arial"/>
        </w:rPr>
        <w:t>20 en proceso (en contra de 42 elementos de SEDENA);</w:t>
      </w:r>
    </w:p>
    <w:p w14:paraId="769A7842" w14:textId="77777777" w:rsidR="00D35E43" w:rsidRPr="00B754D8" w:rsidRDefault="00CD7861">
      <w:pPr>
        <w:pStyle w:val="CuerpoB"/>
        <w:numPr>
          <w:ilvl w:val="0"/>
          <w:numId w:val="121"/>
        </w:numPr>
        <w:spacing w:after="160" w:line="259" w:lineRule="auto"/>
        <w:jc w:val="both"/>
        <w:rPr>
          <w:rFonts w:ascii="Arial" w:hAnsi="Arial"/>
        </w:rPr>
      </w:pPr>
      <w:r w:rsidRPr="00B754D8">
        <w:rPr>
          <w:rStyle w:val="Ninguno"/>
          <w:rFonts w:ascii="Arial" w:hAnsi="Arial"/>
        </w:rPr>
        <w:t>6 sentencia condenatoria (contra 14 elementos de SEDENA);</w:t>
      </w:r>
    </w:p>
    <w:p w14:paraId="1F047BF5" w14:textId="77777777" w:rsidR="00D35E43" w:rsidRPr="00B754D8" w:rsidRDefault="00CD7861">
      <w:pPr>
        <w:pStyle w:val="CuerpoB"/>
        <w:numPr>
          <w:ilvl w:val="0"/>
          <w:numId w:val="121"/>
        </w:numPr>
        <w:spacing w:after="160" w:line="259" w:lineRule="auto"/>
        <w:jc w:val="both"/>
        <w:rPr>
          <w:rFonts w:ascii="Arial" w:hAnsi="Arial"/>
        </w:rPr>
      </w:pPr>
      <w:r w:rsidRPr="00B754D8">
        <w:rPr>
          <w:rStyle w:val="Ninguno"/>
          <w:rFonts w:ascii="Arial" w:hAnsi="Arial"/>
        </w:rPr>
        <w:t>5 sentencias absolutorias (en favor de 11 elementos de SEDENA).</w:t>
      </w:r>
    </w:p>
    <w:p w14:paraId="0A1422C6" w14:textId="77777777" w:rsidR="00D35E43" w:rsidRPr="00B754D8" w:rsidRDefault="00CD7861">
      <w:pPr>
        <w:pStyle w:val="CuerpoB"/>
        <w:numPr>
          <w:ilvl w:val="0"/>
          <w:numId w:val="122"/>
        </w:numPr>
        <w:spacing w:after="160" w:line="259" w:lineRule="auto"/>
        <w:jc w:val="both"/>
        <w:rPr>
          <w:rFonts w:ascii="Arial" w:hAnsi="Arial"/>
        </w:rPr>
      </w:pPr>
      <w:r w:rsidRPr="00B754D8">
        <w:rPr>
          <w:rStyle w:val="Ninguno"/>
          <w:rFonts w:ascii="Arial" w:hAnsi="Arial"/>
          <w:u w:val="single"/>
        </w:rPr>
        <w:t>Recomendaciones de la CNDH y denuncias dirigidas a la Secretaría de Marina (SEMAR)</w:t>
      </w:r>
    </w:p>
    <w:p w14:paraId="4186C552"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Desde 2010 a la fecha, se han emitido 47 Recomendaciones a la Secretaría de Marina, en las que al día de hoy se han presentado 66 denuncias por responsabilidad penal, en contra de servidores públicos dependientes de esa Secretaría, señalados como autoridades responsables en el texto de las recomendaciones dirigidas a ésta.</w:t>
      </w:r>
    </w:p>
    <w:p w14:paraId="6A4CA7E3" w14:textId="77777777" w:rsidR="00D35E43" w:rsidRPr="00B754D8" w:rsidRDefault="00D35E43">
      <w:pPr>
        <w:pStyle w:val="CuerpoB"/>
        <w:spacing w:after="160" w:line="259" w:lineRule="auto"/>
        <w:jc w:val="both"/>
        <w:rPr>
          <w:rStyle w:val="Ninguno"/>
          <w:rFonts w:ascii="Arial" w:eastAsia="Arial" w:hAnsi="Arial" w:cs="Arial"/>
        </w:rPr>
      </w:pPr>
    </w:p>
    <w:tbl>
      <w:tblPr>
        <w:tblStyle w:val="TableNormal"/>
        <w:tblW w:w="8838" w:type="dxa"/>
        <w:tblInd w:w="93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895"/>
        <w:gridCol w:w="3045"/>
        <w:gridCol w:w="2898"/>
      </w:tblGrid>
      <w:tr w:rsidR="00D35E43" w:rsidRPr="00B754D8" w14:paraId="5B718869" w14:textId="77777777">
        <w:trPr>
          <w:trHeight w:val="594"/>
        </w:trPr>
        <w:tc>
          <w:tcPr>
            <w:tcW w:w="2895" w:type="dxa"/>
            <w:tcBorders>
              <w:top w:val="single" w:sz="4" w:space="0" w:color="000000"/>
              <w:left w:val="single" w:sz="4" w:space="0" w:color="000000"/>
              <w:bottom w:val="single" w:sz="4" w:space="0" w:color="000000"/>
              <w:right w:val="single" w:sz="4" w:space="0" w:color="000000"/>
            </w:tcBorders>
            <w:shd w:val="clear" w:color="auto" w:fill="222A35"/>
            <w:tcMar>
              <w:top w:w="80" w:type="dxa"/>
              <w:left w:w="80" w:type="dxa"/>
              <w:bottom w:w="80" w:type="dxa"/>
              <w:right w:w="80" w:type="dxa"/>
            </w:tcMar>
            <w:vAlign w:val="center"/>
          </w:tcPr>
          <w:p w14:paraId="19D1AC26" w14:textId="77777777" w:rsidR="00D35E43" w:rsidRPr="00B754D8" w:rsidRDefault="00CD7861">
            <w:pPr>
              <w:pStyle w:val="CuerpoB"/>
              <w:spacing w:after="160" w:line="259" w:lineRule="auto"/>
              <w:jc w:val="both"/>
            </w:pPr>
            <w:r w:rsidRPr="00B754D8">
              <w:rPr>
                <w:rStyle w:val="Ninguno"/>
                <w:rFonts w:ascii="Arial" w:hAnsi="Arial"/>
                <w:color w:val="FFFFFF"/>
                <w:u w:color="FFFFFF"/>
              </w:rPr>
              <w:t>Hecho Violatorio</w:t>
            </w:r>
          </w:p>
        </w:tc>
        <w:tc>
          <w:tcPr>
            <w:tcW w:w="3045" w:type="dxa"/>
            <w:tcBorders>
              <w:top w:val="single" w:sz="4" w:space="0" w:color="000000"/>
              <w:left w:val="single" w:sz="4" w:space="0" w:color="000000"/>
              <w:bottom w:val="single" w:sz="4" w:space="0" w:color="000000"/>
              <w:right w:val="single" w:sz="4" w:space="0" w:color="000000"/>
            </w:tcBorders>
            <w:shd w:val="clear" w:color="auto" w:fill="222A35"/>
            <w:tcMar>
              <w:top w:w="80" w:type="dxa"/>
              <w:left w:w="80" w:type="dxa"/>
              <w:bottom w:w="80" w:type="dxa"/>
              <w:right w:w="80" w:type="dxa"/>
            </w:tcMar>
            <w:vAlign w:val="center"/>
          </w:tcPr>
          <w:p w14:paraId="1BC5EAE0" w14:textId="77777777" w:rsidR="00D35E43" w:rsidRPr="00B754D8" w:rsidRDefault="00CD7861">
            <w:pPr>
              <w:pStyle w:val="CuerpoB"/>
              <w:spacing w:after="160" w:line="259" w:lineRule="auto"/>
              <w:jc w:val="both"/>
            </w:pPr>
            <w:r w:rsidRPr="00B754D8">
              <w:rPr>
                <w:rStyle w:val="Ninguno"/>
                <w:rFonts w:ascii="Arial" w:hAnsi="Arial"/>
                <w:color w:val="FFFFFF"/>
                <w:u w:color="FFFFFF"/>
              </w:rPr>
              <w:t>No. de recomendaciones</w:t>
            </w:r>
          </w:p>
        </w:tc>
        <w:tc>
          <w:tcPr>
            <w:tcW w:w="2898" w:type="dxa"/>
            <w:tcBorders>
              <w:top w:val="single" w:sz="4" w:space="0" w:color="000000"/>
              <w:left w:val="single" w:sz="4" w:space="0" w:color="000000"/>
              <w:bottom w:val="single" w:sz="4" w:space="0" w:color="000000"/>
              <w:right w:val="single" w:sz="4" w:space="0" w:color="000000"/>
            </w:tcBorders>
            <w:shd w:val="clear" w:color="auto" w:fill="222A35"/>
            <w:tcMar>
              <w:top w:w="80" w:type="dxa"/>
              <w:left w:w="80" w:type="dxa"/>
              <w:bottom w:w="80" w:type="dxa"/>
              <w:right w:w="80" w:type="dxa"/>
            </w:tcMar>
            <w:vAlign w:val="center"/>
          </w:tcPr>
          <w:p w14:paraId="12D04847" w14:textId="77777777" w:rsidR="00D35E43" w:rsidRPr="00B754D8" w:rsidRDefault="00CD7861">
            <w:pPr>
              <w:pStyle w:val="CuerpoB"/>
              <w:spacing w:after="160" w:line="259" w:lineRule="auto"/>
              <w:jc w:val="both"/>
            </w:pPr>
            <w:r w:rsidRPr="00B754D8">
              <w:rPr>
                <w:rStyle w:val="Ninguno"/>
                <w:rFonts w:ascii="Arial" w:hAnsi="Arial"/>
                <w:color w:val="FFFFFF"/>
                <w:u w:color="FFFFFF"/>
              </w:rPr>
              <w:t>Denuncias presentadas</w:t>
            </w:r>
          </w:p>
        </w:tc>
      </w:tr>
      <w:tr w:rsidR="00D35E43" w:rsidRPr="00B754D8" w14:paraId="1DF89C0D" w14:textId="77777777">
        <w:trPr>
          <w:trHeight w:val="318"/>
        </w:trPr>
        <w:tc>
          <w:tcPr>
            <w:tcW w:w="28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8AFBF6" w14:textId="77777777" w:rsidR="00D35E43" w:rsidRPr="00B754D8" w:rsidRDefault="00CD7861">
            <w:pPr>
              <w:pStyle w:val="CuerpoB"/>
              <w:spacing w:after="160" w:line="259" w:lineRule="auto"/>
              <w:jc w:val="both"/>
            </w:pPr>
            <w:r w:rsidRPr="00B754D8">
              <w:rPr>
                <w:rStyle w:val="Ninguno"/>
                <w:rFonts w:ascii="Arial" w:hAnsi="Arial"/>
              </w:rPr>
              <w:t>Desaparición forzada</w:t>
            </w:r>
          </w:p>
        </w:tc>
        <w:tc>
          <w:tcPr>
            <w:tcW w:w="30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7F0E1B6" w14:textId="77777777" w:rsidR="00D35E43" w:rsidRPr="00B754D8" w:rsidRDefault="00CD7861">
            <w:pPr>
              <w:pStyle w:val="CuerpoB"/>
              <w:spacing w:after="160" w:line="259" w:lineRule="auto"/>
              <w:jc w:val="both"/>
            </w:pPr>
            <w:r w:rsidRPr="00B754D8">
              <w:rPr>
                <w:rStyle w:val="Ninguno"/>
                <w:rFonts w:ascii="Arial" w:hAnsi="Arial"/>
              </w:rPr>
              <w:t>4</w:t>
            </w:r>
          </w:p>
        </w:tc>
        <w:tc>
          <w:tcPr>
            <w:tcW w:w="2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0FD8AF" w14:textId="77777777" w:rsidR="00D35E43" w:rsidRPr="00B754D8" w:rsidRDefault="00CD7861">
            <w:pPr>
              <w:pStyle w:val="CuerpoB"/>
              <w:spacing w:after="160" w:line="259" w:lineRule="auto"/>
              <w:jc w:val="both"/>
            </w:pPr>
            <w:r w:rsidRPr="00B754D8">
              <w:rPr>
                <w:rStyle w:val="Ninguno"/>
                <w:rFonts w:ascii="Arial" w:hAnsi="Arial"/>
              </w:rPr>
              <w:t>7</w:t>
            </w:r>
          </w:p>
        </w:tc>
      </w:tr>
      <w:tr w:rsidR="00D35E43" w:rsidRPr="00B754D8" w14:paraId="6D5CDA5B" w14:textId="77777777">
        <w:trPr>
          <w:trHeight w:val="594"/>
        </w:trPr>
        <w:tc>
          <w:tcPr>
            <w:tcW w:w="28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587568B" w14:textId="77777777" w:rsidR="00D35E43" w:rsidRPr="00B754D8" w:rsidRDefault="00CD7861">
            <w:pPr>
              <w:pStyle w:val="CuerpoB"/>
              <w:spacing w:after="160" w:line="259" w:lineRule="auto"/>
              <w:jc w:val="both"/>
            </w:pPr>
            <w:r w:rsidRPr="00B754D8">
              <w:rPr>
                <w:rStyle w:val="Ninguno"/>
                <w:rFonts w:ascii="Arial" w:hAnsi="Arial"/>
              </w:rPr>
              <w:t>Ejecución Sumaria o Extrajudicial</w:t>
            </w:r>
          </w:p>
        </w:tc>
        <w:tc>
          <w:tcPr>
            <w:tcW w:w="30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0FF8B4" w14:textId="77777777" w:rsidR="00D35E43" w:rsidRPr="00B754D8" w:rsidRDefault="00CD7861">
            <w:pPr>
              <w:pStyle w:val="CuerpoB"/>
              <w:spacing w:after="160" w:line="259" w:lineRule="auto"/>
              <w:jc w:val="both"/>
            </w:pPr>
            <w:r w:rsidRPr="00B754D8">
              <w:rPr>
                <w:rStyle w:val="Ninguno"/>
                <w:rFonts w:ascii="Arial" w:hAnsi="Arial"/>
              </w:rPr>
              <w:t>0</w:t>
            </w:r>
          </w:p>
        </w:tc>
        <w:tc>
          <w:tcPr>
            <w:tcW w:w="2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3C4BB93" w14:textId="77777777" w:rsidR="00D35E43" w:rsidRPr="00B754D8" w:rsidRDefault="00CD7861">
            <w:pPr>
              <w:pStyle w:val="CuerpoB"/>
              <w:spacing w:after="160" w:line="259" w:lineRule="auto"/>
              <w:jc w:val="both"/>
            </w:pPr>
            <w:r w:rsidRPr="00B754D8">
              <w:rPr>
                <w:rStyle w:val="Ninguno"/>
                <w:rFonts w:ascii="Arial" w:hAnsi="Arial"/>
              </w:rPr>
              <w:t>0</w:t>
            </w:r>
          </w:p>
        </w:tc>
      </w:tr>
      <w:tr w:rsidR="00D35E43" w:rsidRPr="00B754D8" w14:paraId="24BB4006" w14:textId="77777777">
        <w:trPr>
          <w:trHeight w:val="292"/>
        </w:trPr>
        <w:tc>
          <w:tcPr>
            <w:tcW w:w="28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31BABD" w14:textId="77777777" w:rsidR="00D35E43" w:rsidRPr="00B754D8" w:rsidRDefault="00CD7861">
            <w:pPr>
              <w:pStyle w:val="CuerpoB"/>
              <w:spacing w:after="160" w:line="259" w:lineRule="auto"/>
              <w:jc w:val="both"/>
            </w:pPr>
            <w:r w:rsidRPr="00B754D8">
              <w:rPr>
                <w:rStyle w:val="Ninguno"/>
                <w:rFonts w:ascii="Arial" w:hAnsi="Arial"/>
              </w:rPr>
              <w:t>Tortura</w:t>
            </w:r>
          </w:p>
        </w:tc>
        <w:tc>
          <w:tcPr>
            <w:tcW w:w="30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4D5AADD" w14:textId="77777777" w:rsidR="00D35E43" w:rsidRPr="00B754D8" w:rsidRDefault="00CD7861">
            <w:pPr>
              <w:pStyle w:val="CuerpoB"/>
              <w:spacing w:after="160" w:line="259" w:lineRule="auto"/>
              <w:jc w:val="both"/>
            </w:pPr>
            <w:r w:rsidRPr="00B754D8">
              <w:rPr>
                <w:rStyle w:val="Ninguno"/>
                <w:rFonts w:ascii="Arial" w:hAnsi="Arial"/>
              </w:rPr>
              <w:t>21</w:t>
            </w:r>
          </w:p>
        </w:tc>
        <w:tc>
          <w:tcPr>
            <w:tcW w:w="2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08E80E" w14:textId="77777777" w:rsidR="00D35E43" w:rsidRPr="00B754D8" w:rsidRDefault="00CD7861">
            <w:pPr>
              <w:pStyle w:val="CuerpoB"/>
              <w:spacing w:after="160" w:line="259" w:lineRule="auto"/>
              <w:jc w:val="both"/>
            </w:pPr>
            <w:r w:rsidRPr="00B754D8">
              <w:rPr>
                <w:rStyle w:val="Ninguno"/>
                <w:rFonts w:ascii="Arial" w:hAnsi="Arial"/>
              </w:rPr>
              <w:t>34</w:t>
            </w:r>
          </w:p>
        </w:tc>
      </w:tr>
      <w:tr w:rsidR="00D35E43" w:rsidRPr="00B754D8" w14:paraId="40BDFA47" w14:textId="77777777">
        <w:trPr>
          <w:trHeight w:val="1488"/>
        </w:trPr>
        <w:tc>
          <w:tcPr>
            <w:tcW w:w="28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E93DEFA" w14:textId="77777777" w:rsidR="00D35E43" w:rsidRPr="00B754D8" w:rsidRDefault="00CD7861">
            <w:pPr>
              <w:pStyle w:val="CuerpoB"/>
              <w:spacing w:after="160" w:line="259" w:lineRule="auto"/>
              <w:jc w:val="both"/>
            </w:pPr>
            <w:r w:rsidRPr="00B754D8">
              <w:rPr>
                <w:rStyle w:val="Ninguno"/>
                <w:rFonts w:ascii="Arial" w:hAnsi="Arial"/>
              </w:rPr>
              <w:t>Cateo Ilegal, detención arbitraria, retención indebida y uso excesivo de la fuerza.</w:t>
            </w:r>
          </w:p>
        </w:tc>
        <w:tc>
          <w:tcPr>
            <w:tcW w:w="30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DDEA85" w14:textId="77777777" w:rsidR="00D35E43" w:rsidRPr="00B754D8" w:rsidRDefault="00CD7861">
            <w:pPr>
              <w:pStyle w:val="CuerpoB"/>
              <w:spacing w:after="160" w:line="259" w:lineRule="auto"/>
              <w:jc w:val="both"/>
            </w:pPr>
            <w:r w:rsidRPr="00B754D8">
              <w:rPr>
                <w:rStyle w:val="Ninguno"/>
                <w:rFonts w:ascii="Arial" w:hAnsi="Arial"/>
              </w:rPr>
              <w:t>22</w:t>
            </w:r>
          </w:p>
        </w:tc>
        <w:tc>
          <w:tcPr>
            <w:tcW w:w="28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7AD804" w14:textId="77777777" w:rsidR="00D35E43" w:rsidRPr="00B754D8" w:rsidRDefault="00CD7861">
            <w:pPr>
              <w:pStyle w:val="CuerpoB"/>
              <w:spacing w:after="160" w:line="259" w:lineRule="auto"/>
              <w:jc w:val="both"/>
            </w:pPr>
            <w:r w:rsidRPr="00B754D8">
              <w:rPr>
                <w:rStyle w:val="Ninguno"/>
                <w:rFonts w:ascii="Arial" w:hAnsi="Arial"/>
              </w:rPr>
              <w:t>25</w:t>
            </w:r>
          </w:p>
        </w:tc>
      </w:tr>
      <w:tr w:rsidR="00D35E43" w:rsidRPr="00B754D8" w14:paraId="4DD822BA" w14:textId="77777777">
        <w:trPr>
          <w:trHeight w:val="1055"/>
        </w:trPr>
        <w:tc>
          <w:tcPr>
            <w:tcW w:w="2895" w:type="dxa"/>
            <w:tcBorders>
              <w:top w:val="single" w:sz="4" w:space="0" w:color="000000"/>
              <w:left w:val="single" w:sz="4" w:space="0" w:color="000000"/>
              <w:bottom w:val="single" w:sz="4" w:space="0" w:color="000000"/>
              <w:right w:val="single" w:sz="4" w:space="0" w:color="000000"/>
            </w:tcBorders>
            <w:shd w:val="clear" w:color="auto" w:fill="DEEAF6"/>
            <w:tcMar>
              <w:top w:w="80" w:type="dxa"/>
              <w:left w:w="80" w:type="dxa"/>
              <w:bottom w:w="80" w:type="dxa"/>
              <w:right w:w="80" w:type="dxa"/>
            </w:tcMar>
            <w:vAlign w:val="center"/>
          </w:tcPr>
          <w:p w14:paraId="5337540D" w14:textId="77777777" w:rsidR="00D35E43" w:rsidRPr="00B754D8" w:rsidRDefault="00CD7861">
            <w:pPr>
              <w:pStyle w:val="CuerpoB"/>
              <w:spacing w:after="160" w:line="259" w:lineRule="auto"/>
              <w:jc w:val="both"/>
            </w:pPr>
            <w:r w:rsidRPr="00B754D8">
              <w:rPr>
                <w:rStyle w:val="Ninguno"/>
                <w:rFonts w:ascii="Arial" w:hAnsi="Arial"/>
              </w:rPr>
              <w:t>Total</w:t>
            </w:r>
          </w:p>
        </w:tc>
        <w:tc>
          <w:tcPr>
            <w:tcW w:w="3045" w:type="dxa"/>
            <w:tcBorders>
              <w:top w:val="single" w:sz="4" w:space="0" w:color="000000"/>
              <w:left w:val="single" w:sz="4" w:space="0" w:color="000000"/>
              <w:bottom w:val="single" w:sz="4" w:space="0" w:color="000000"/>
              <w:right w:val="single" w:sz="4" w:space="0" w:color="000000"/>
            </w:tcBorders>
            <w:shd w:val="clear" w:color="auto" w:fill="DEEAF6"/>
            <w:tcMar>
              <w:top w:w="80" w:type="dxa"/>
              <w:left w:w="80" w:type="dxa"/>
              <w:bottom w:w="80" w:type="dxa"/>
              <w:right w:w="80" w:type="dxa"/>
            </w:tcMar>
            <w:vAlign w:val="center"/>
          </w:tcPr>
          <w:p w14:paraId="0CA063E6" w14:textId="77777777" w:rsidR="00D35E43" w:rsidRPr="00B754D8" w:rsidRDefault="00CD7861">
            <w:pPr>
              <w:pStyle w:val="CuerpoB"/>
              <w:spacing w:after="160" w:line="259" w:lineRule="auto"/>
              <w:jc w:val="both"/>
            </w:pPr>
            <w:r w:rsidRPr="00B754D8">
              <w:rPr>
                <w:rStyle w:val="Ninguno"/>
                <w:rFonts w:ascii="Arial" w:hAnsi="Arial"/>
              </w:rPr>
              <w:t>47</w:t>
            </w:r>
          </w:p>
        </w:tc>
        <w:tc>
          <w:tcPr>
            <w:tcW w:w="2898" w:type="dxa"/>
            <w:tcBorders>
              <w:top w:val="single" w:sz="4" w:space="0" w:color="000000"/>
              <w:left w:val="single" w:sz="4" w:space="0" w:color="000000"/>
              <w:bottom w:val="single" w:sz="4" w:space="0" w:color="000000"/>
              <w:right w:val="single" w:sz="4" w:space="0" w:color="000000"/>
            </w:tcBorders>
            <w:shd w:val="clear" w:color="auto" w:fill="DEEAF6"/>
            <w:tcMar>
              <w:top w:w="80" w:type="dxa"/>
              <w:left w:w="80" w:type="dxa"/>
              <w:bottom w:w="80" w:type="dxa"/>
              <w:right w:w="80" w:type="dxa"/>
            </w:tcMar>
            <w:vAlign w:val="center"/>
          </w:tcPr>
          <w:p w14:paraId="0025149F" w14:textId="77777777" w:rsidR="00D35E43" w:rsidRPr="00B754D8" w:rsidRDefault="00D35E43">
            <w:pPr>
              <w:pStyle w:val="CuerpoB"/>
              <w:spacing w:after="160" w:line="259" w:lineRule="auto"/>
              <w:jc w:val="both"/>
              <w:rPr>
                <w:rStyle w:val="Ninguno"/>
                <w:rFonts w:ascii="Arial" w:eastAsia="Arial" w:hAnsi="Arial" w:cs="Arial"/>
              </w:rPr>
            </w:pPr>
          </w:p>
          <w:p w14:paraId="2994D5BB" w14:textId="77777777" w:rsidR="00D35E43" w:rsidRPr="00B754D8" w:rsidRDefault="00CD7861">
            <w:pPr>
              <w:pStyle w:val="CuerpoB"/>
              <w:spacing w:after="160" w:line="259" w:lineRule="auto"/>
              <w:jc w:val="both"/>
            </w:pPr>
            <w:r w:rsidRPr="00B754D8">
              <w:rPr>
                <w:rStyle w:val="Ninguno"/>
                <w:rFonts w:ascii="Arial" w:hAnsi="Arial"/>
              </w:rPr>
              <w:t>66</w:t>
            </w:r>
          </w:p>
        </w:tc>
      </w:tr>
    </w:tbl>
    <w:p w14:paraId="77B91FD8" w14:textId="77777777" w:rsidR="00D35E43" w:rsidRPr="00B754D8" w:rsidRDefault="00D35E43">
      <w:pPr>
        <w:pStyle w:val="CuerpoB"/>
        <w:widowControl w:val="0"/>
        <w:spacing w:after="160"/>
        <w:ind w:left="828" w:hanging="828"/>
        <w:jc w:val="both"/>
        <w:rPr>
          <w:rStyle w:val="Ninguno"/>
          <w:rFonts w:ascii="Arial" w:eastAsia="Arial" w:hAnsi="Arial" w:cs="Arial"/>
        </w:rPr>
      </w:pPr>
    </w:p>
    <w:p w14:paraId="14079F5A" w14:textId="77777777" w:rsidR="00D35E43" w:rsidRPr="00B754D8" w:rsidRDefault="00D35E43">
      <w:pPr>
        <w:pStyle w:val="CuerpoB"/>
        <w:widowControl w:val="0"/>
        <w:spacing w:after="160"/>
        <w:ind w:left="720" w:hanging="720"/>
        <w:jc w:val="both"/>
        <w:rPr>
          <w:rStyle w:val="Ninguno"/>
          <w:rFonts w:ascii="Arial" w:eastAsia="Arial" w:hAnsi="Arial" w:cs="Arial"/>
        </w:rPr>
      </w:pPr>
    </w:p>
    <w:p w14:paraId="0378F92B" w14:textId="77777777" w:rsidR="00D35E43" w:rsidRPr="00B754D8" w:rsidRDefault="00D35E43">
      <w:pPr>
        <w:pStyle w:val="CuerpoB"/>
        <w:spacing w:after="160" w:line="259" w:lineRule="auto"/>
        <w:jc w:val="both"/>
        <w:rPr>
          <w:rStyle w:val="Ninguno"/>
          <w:rFonts w:ascii="Arial" w:eastAsia="Arial" w:hAnsi="Arial" w:cs="Arial"/>
        </w:rPr>
      </w:pPr>
    </w:p>
    <w:p w14:paraId="52FBA64F"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Ahora bien, éstas 66 denuncias por responsabilidad penal, se presentaron ante las instancias siguientes:</w:t>
      </w:r>
    </w:p>
    <w:p w14:paraId="1B280DAD" w14:textId="77777777" w:rsidR="00D35E43" w:rsidRPr="00B754D8" w:rsidRDefault="00CD7861">
      <w:pPr>
        <w:pStyle w:val="CuerpoB"/>
        <w:numPr>
          <w:ilvl w:val="0"/>
          <w:numId w:val="119"/>
        </w:numPr>
        <w:spacing w:after="160" w:line="259" w:lineRule="auto"/>
        <w:jc w:val="both"/>
        <w:rPr>
          <w:rFonts w:ascii="Arial" w:hAnsi="Arial"/>
        </w:rPr>
      </w:pPr>
      <w:r w:rsidRPr="00B754D8">
        <w:rPr>
          <w:rStyle w:val="Ninguno"/>
          <w:rFonts w:ascii="Arial" w:hAnsi="Arial"/>
        </w:rPr>
        <w:t>45 ante la Procuraduría General de la República;</w:t>
      </w:r>
    </w:p>
    <w:p w14:paraId="6AA16BAE" w14:textId="77777777" w:rsidR="00D35E43" w:rsidRPr="00B754D8" w:rsidRDefault="00CD7861">
      <w:pPr>
        <w:pStyle w:val="CuerpoB"/>
        <w:numPr>
          <w:ilvl w:val="0"/>
          <w:numId w:val="119"/>
        </w:numPr>
        <w:spacing w:after="160" w:line="259" w:lineRule="auto"/>
        <w:jc w:val="both"/>
        <w:rPr>
          <w:rFonts w:ascii="Arial" w:hAnsi="Arial"/>
        </w:rPr>
      </w:pPr>
      <w:r w:rsidRPr="00B754D8">
        <w:rPr>
          <w:rStyle w:val="Ninguno"/>
          <w:rFonts w:ascii="Arial" w:hAnsi="Arial"/>
        </w:rPr>
        <w:t>21 ante la Fiscalía General de Justicia Militar.</w:t>
      </w:r>
    </w:p>
    <w:p w14:paraId="4DACD724"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De las 66 denuncias penales en cita, esta Comisión Nacional tiene la información siguiente:</w:t>
      </w:r>
    </w:p>
    <w:p w14:paraId="7AC64D40" w14:textId="77777777" w:rsidR="00D35E43" w:rsidRPr="00B754D8" w:rsidRDefault="00CD7861">
      <w:pPr>
        <w:pStyle w:val="CuerpoB"/>
        <w:numPr>
          <w:ilvl w:val="0"/>
          <w:numId w:val="121"/>
        </w:numPr>
        <w:spacing w:after="160" w:line="259" w:lineRule="auto"/>
        <w:jc w:val="both"/>
        <w:rPr>
          <w:rFonts w:ascii="Arial" w:hAnsi="Arial"/>
        </w:rPr>
      </w:pPr>
      <w:r w:rsidRPr="00B754D8">
        <w:rPr>
          <w:rStyle w:val="Ninguno"/>
          <w:rFonts w:ascii="Arial" w:hAnsi="Arial"/>
        </w:rPr>
        <w:t>En 7 de ellas se ejerció acción penal en contra de 19 elementos de la SEMAR;</w:t>
      </w:r>
    </w:p>
    <w:p w14:paraId="248E93E7" w14:textId="77777777" w:rsidR="00D35E43" w:rsidRPr="00B754D8" w:rsidRDefault="00CD7861">
      <w:pPr>
        <w:pStyle w:val="CuerpoB"/>
        <w:numPr>
          <w:ilvl w:val="0"/>
          <w:numId w:val="121"/>
        </w:numPr>
        <w:spacing w:after="160" w:line="259" w:lineRule="auto"/>
        <w:jc w:val="both"/>
        <w:rPr>
          <w:rFonts w:ascii="Arial" w:hAnsi="Arial"/>
        </w:rPr>
      </w:pPr>
      <w:r w:rsidRPr="00B754D8">
        <w:rPr>
          <w:rStyle w:val="Ninguno"/>
          <w:rFonts w:ascii="Arial" w:hAnsi="Arial"/>
        </w:rPr>
        <w:t>4 en proceso (en contra de 6 elementos de SEMAR);</w:t>
      </w:r>
    </w:p>
    <w:p w14:paraId="0CCCBDF1" w14:textId="77777777" w:rsidR="00D35E43" w:rsidRPr="00B754D8" w:rsidRDefault="00CD7861">
      <w:pPr>
        <w:pStyle w:val="CuerpoB"/>
        <w:numPr>
          <w:ilvl w:val="0"/>
          <w:numId w:val="121"/>
        </w:numPr>
        <w:spacing w:after="160" w:line="259" w:lineRule="auto"/>
        <w:jc w:val="both"/>
        <w:rPr>
          <w:rFonts w:ascii="Arial" w:hAnsi="Arial"/>
        </w:rPr>
      </w:pPr>
      <w:r w:rsidRPr="00B754D8">
        <w:rPr>
          <w:rStyle w:val="Ninguno"/>
          <w:rFonts w:ascii="Arial" w:hAnsi="Arial"/>
        </w:rPr>
        <w:t>1 sentencia condenatoria (contra 5 elementos de SEMAR);</w:t>
      </w:r>
    </w:p>
    <w:p w14:paraId="259F82CC" w14:textId="77777777" w:rsidR="00D35E43" w:rsidRPr="00B754D8" w:rsidRDefault="00CD7861">
      <w:pPr>
        <w:pStyle w:val="CuerpoB"/>
        <w:numPr>
          <w:ilvl w:val="0"/>
          <w:numId w:val="121"/>
        </w:numPr>
        <w:spacing w:after="160" w:line="259" w:lineRule="auto"/>
        <w:jc w:val="both"/>
        <w:rPr>
          <w:rFonts w:ascii="Arial" w:hAnsi="Arial"/>
        </w:rPr>
      </w:pPr>
      <w:r w:rsidRPr="00B754D8">
        <w:rPr>
          <w:rStyle w:val="Ninguno"/>
          <w:rFonts w:ascii="Arial" w:hAnsi="Arial"/>
        </w:rPr>
        <w:t>2 sentencias absolutorias (en favor de 8 elementos de SEMAR).</w:t>
      </w:r>
    </w:p>
    <w:p w14:paraId="73698115" w14:textId="77777777" w:rsidR="00D35E43" w:rsidRPr="00B754D8" w:rsidRDefault="00CD7861">
      <w:pPr>
        <w:pStyle w:val="CuerpoA"/>
        <w:numPr>
          <w:ilvl w:val="0"/>
          <w:numId w:val="123"/>
        </w:numPr>
        <w:jc w:val="both"/>
        <w:rPr>
          <w:rFonts w:ascii="Arial" w:hAnsi="Arial"/>
          <w:sz w:val="24"/>
          <w:szCs w:val="24"/>
        </w:rPr>
      </w:pPr>
      <w:r w:rsidRPr="00B754D8">
        <w:rPr>
          <w:rStyle w:val="Ninguno"/>
          <w:rFonts w:ascii="Arial" w:hAnsi="Arial"/>
          <w:sz w:val="24"/>
          <w:szCs w:val="24"/>
          <w:u w:val="single"/>
        </w:rPr>
        <w:t>Recomendaciones por violaciones graves a derechos humanos por parte de las fuerzas de seguridad</w:t>
      </w:r>
    </w:p>
    <w:p w14:paraId="3189EC94"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lastRenderedPageBreak/>
        <w:t>La Comisión Nacional de los Derechos Humanos en el período comprendido del 1 de enero de 2015 al 31 de agosto de 2019, ha emitido las siguientes 14 recomendaciones por violaciones graves a derechos humanos, tanto a fuerzas de seguridad federales como estatales:</w:t>
      </w:r>
    </w:p>
    <w:p w14:paraId="1345BD9D" w14:textId="77777777" w:rsidR="00D35E43" w:rsidRPr="00B754D8" w:rsidRDefault="00CD7861">
      <w:pPr>
        <w:pStyle w:val="CuerpoA"/>
        <w:numPr>
          <w:ilvl w:val="0"/>
          <w:numId w:val="125"/>
        </w:numPr>
        <w:jc w:val="both"/>
        <w:rPr>
          <w:rFonts w:ascii="Arial" w:hAnsi="Arial"/>
          <w:sz w:val="24"/>
          <w:szCs w:val="24"/>
        </w:rPr>
      </w:pPr>
      <w:r w:rsidRPr="00B754D8">
        <w:rPr>
          <w:rStyle w:val="Ninguno"/>
          <w:rFonts w:ascii="Arial" w:hAnsi="Arial"/>
          <w:sz w:val="24"/>
          <w:szCs w:val="24"/>
        </w:rPr>
        <w:t xml:space="preserve">Recomendación 3VG/2015. Sobre la investigación de violaciones graves a los derechos humanos, por el </w:t>
      </w:r>
      <w:r w:rsidRPr="00B754D8">
        <w:rPr>
          <w:rStyle w:val="Ninguno"/>
          <w:rFonts w:ascii="Arial" w:hAnsi="Arial"/>
          <w:b/>
          <w:bCs/>
          <w:sz w:val="24"/>
          <w:szCs w:val="24"/>
        </w:rPr>
        <w:t>uso excesivo de la fuerza</w:t>
      </w:r>
      <w:r w:rsidRPr="00B754D8">
        <w:rPr>
          <w:rStyle w:val="Ninguno"/>
          <w:rFonts w:ascii="Arial" w:hAnsi="Arial"/>
          <w:sz w:val="24"/>
          <w:szCs w:val="24"/>
        </w:rPr>
        <w:t xml:space="preserve"> que derivó en la privación de la vida de V44, V45, V46, V47 y V52, así como la ejecución </w:t>
      </w:r>
      <w:r w:rsidRPr="00B754D8">
        <w:rPr>
          <w:rStyle w:val="Ninguno"/>
          <w:rFonts w:ascii="Arial" w:hAnsi="Arial"/>
          <w:b/>
          <w:bCs/>
          <w:sz w:val="24"/>
          <w:szCs w:val="24"/>
        </w:rPr>
        <w:t xml:space="preserve">extrajudicial </w:t>
      </w:r>
      <w:r w:rsidRPr="00B754D8">
        <w:rPr>
          <w:rStyle w:val="Ninguno"/>
          <w:rFonts w:ascii="Arial" w:hAnsi="Arial"/>
          <w:sz w:val="24"/>
          <w:szCs w:val="24"/>
        </w:rPr>
        <w:t>de V49, atribuida a la Policía Federal, con motivo de los hechos ocurridos el 6 de enero de 2015 en Apatzingán, Michoacán</w:t>
      </w:r>
      <w:r w:rsidRPr="00B754D8">
        <w:rPr>
          <w:rStyle w:val="Ninguno"/>
          <w:rFonts w:ascii="Arial" w:eastAsia="Arial" w:hAnsi="Arial" w:cs="Arial"/>
          <w:sz w:val="24"/>
          <w:szCs w:val="24"/>
          <w:vertAlign w:val="superscript"/>
        </w:rPr>
        <w:footnoteReference w:id="11"/>
      </w:r>
      <w:r w:rsidRPr="00B754D8">
        <w:rPr>
          <w:rStyle w:val="Ninguno"/>
          <w:rFonts w:ascii="Arial" w:hAnsi="Arial"/>
          <w:sz w:val="24"/>
          <w:szCs w:val="24"/>
        </w:rPr>
        <w:t>.</w:t>
      </w:r>
    </w:p>
    <w:p w14:paraId="7587ED53" w14:textId="77777777" w:rsidR="00D35E43" w:rsidRPr="00B754D8" w:rsidRDefault="00CD7861">
      <w:pPr>
        <w:pStyle w:val="CuerpoA"/>
        <w:numPr>
          <w:ilvl w:val="0"/>
          <w:numId w:val="125"/>
        </w:numPr>
        <w:jc w:val="both"/>
        <w:rPr>
          <w:rFonts w:ascii="Arial" w:hAnsi="Arial"/>
          <w:sz w:val="24"/>
          <w:szCs w:val="24"/>
        </w:rPr>
      </w:pPr>
      <w:r w:rsidRPr="00B754D8">
        <w:rPr>
          <w:rStyle w:val="Ninguno"/>
          <w:rFonts w:ascii="Arial" w:hAnsi="Arial"/>
          <w:sz w:val="24"/>
          <w:szCs w:val="24"/>
        </w:rPr>
        <w:t xml:space="preserve">Recomendación 4 VG/2015 Sobre la investigación de violaciones graves a los Derechos Humanos, por el </w:t>
      </w:r>
      <w:r w:rsidRPr="00B754D8">
        <w:rPr>
          <w:rStyle w:val="Ninguno"/>
          <w:rFonts w:ascii="Arial" w:hAnsi="Arial"/>
          <w:b/>
          <w:bCs/>
          <w:sz w:val="24"/>
          <w:szCs w:val="24"/>
        </w:rPr>
        <w:t>uso excesivo de la fuerza</w:t>
      </w:r>
      <w:r w:rsidRPr="00B754D8">
        <w:rPr>
          <w:rStyle w:val="Ninguno"/>
          <w:rFonts w:ascii="Arial" w:hAnsi="Arial"/>
          <w:sz w:val="24"/>
          <w:szCs w:val="24"/>
        </w:rPr>
        <w:t xml:space="preserve"> que derivó en la </w:t>
      </w:r>
      <w:r w:rsidRPr="00B754D8">
        <w:rPr>
          <w:rStyle w:val="Ninguno"/>
          <w:rFonts w:ascii="Arial" w:hAnsi="Arial"/>
          <w:b/>
          <w:bCs/>
          <w:sz w:val="24"/>
          <w:szCs w:val="24"/>
        </w:rPr>
        <w:t>ejecución arbitraria</w:t>
      </w:r>
      <w:r w:rsidRPr="00B754D8">
        <w:rPr>
          <w:rStyle w:val="Ninguno"/>
          <w:rFonts w:ascii="Arial" w:hAnsi="Arial"/>
          <w:sz w:val="24"/>
          <w:szCs w:val="24"/>
        </w:rPr>
        <w:t xml:space="preserve"> de 22 civiles y la privación de la vida de 4 civiles; </w:t>
      </w:r>
      <w:r w:rsidRPr="00B754D8">
        <w:rPr>
          <w:rStyle w:val="Ninguno"/>
          <w:rFonts w:ascii="Arial" w:hAnsi="Arial"/>
          <w:b/>
          <w:bCs/>
          <w:sz w:val="24"/>
          <w:szCs w:val="24"/>
        </w:rPr>
        <w:t>la tortura</w:t>
      </w:r>
      <w:r w:rsidRPr="00B754D8">
        <w:rPr>
          <w:rStyle w:val="Ninguno"/>
          <w:rFonts w:ascii="Arial" w:hAnsi="Arial"/>
          <w:sz w:val="24"/>
          <w:szCs w:val="24"/>
        </w:rPr>
        <w:t xml:space="preserve"> de dos personas detenidas; el trato cruel, inhumano y degradante en perjuicio de una persona detenida y la manipulación del lugar de los hechos, atribuida a la Policía Federal, con motivo de los hechos ocurridos el 22 de mayo de 2015 en el “Rancho del Sol”, Municipio de Tanhuato, Michoacán</w:t>
      </w:r>
      <w:r w:rsidRPr="00B754D8">
        <w:rPr>
          <w:rStyle w:val="Ninguno"/>
          <w:rFonts w:ascii="Arial" w:eastAsia="Arial" w:hAnsi="Arial" w:cs="Arial"/>
          <w:sz w:val="24"/>
          <w:szCs w:val="24"/>
          <w:vertAlign w:val="superscript"/>
        </w:rPr>
        <w:footnoteReference w:id="12"/>
      </w:r>
      <w:r w:rsidRPr="00B754D8">
        <w:rPr>
          <w:rStyle w:val="Ninguno"/>
          <w:rFonts w:ascii="Arial" w:hAnsi="Arial"/>
          <w:sz w:val="24"/>
          <w:szCs w:val="24"/>
        </w:rPr>
        <w:t>.</w:t>
      </w:r>
    </w:p>
    <w:p w14:paraId="7AA87951" w14:textId="77777777" w:rsidR="00D35E43" w:rsidRPr="00B754D8" w:rsidRDefault="00CD7861">
      <w:pPr>
        <w:pStyle w:val="CuerpoA"/>
        <w:numPr>
          <w:ilvl w:val="0"/>
          <w:numId w:val="125"/>
        </w:numPr>
        <w:jc w:val="both"/>
        <w:rPr>
          <w:rFonts w:ascii="Arial" w:hAnsi="Arial"/>
          <w:sz w:val="24"/>
          <w:szCs w:val="24"/>
        </w:rPr>
      </w:pPr>
      <w:r w:rsidRPr="00B754D8">
        <w:rPr>
          <w:rStyle w:val="Ninguno"/>
          <w:rFonts w:ascii="Arial" w:hAnsi="Arial"/>
          <w:sz w:val="24"/>
          <w:szCs w:val="24"/>
        </w:rPr>
        <w:t xml:space="preserve">Recomendación 5 VG/2016 Sobre la investigación de violaciones graves a los Derechos Humanos, por la </w:t>
      </w:r>
      <w:r w:rsidRPr="00B754D8">
        <w:rPr>
          <w:rStyle w:val="Ninguno"/>
          <w:rFonts w:ascii="Arial" w:hAnsi="Arial"/>
          <w:b/>
          <w:bCs/>
          <w:sz w:val="24"/>
          <w:szCs w:val="24"/>
        </w:rPr>
        <w:t xml:space="preserve">detención arbitraria, tortura, desaparición forzada y ejecución arbitraria </w:t>
      </w:r>
      <w:r w:rsidRPr="00B754D8">
        <w:rPr>
          <w:rStyle w:val="Ninguno"/>
          <w:rFonts w:ascii="Arial" w:hAnsi="Arial"/>
          <w:sz w:val="24"/>
          <w:szCs w:val="24"/>
        </w:rPr>
        <w:t>de V1, V2, V3, V4 y MV, ocurridas el 11 de enero de 2016, en el Municipio de Tierra Blanca Veracruz</w:t>
      </w:r>
      <w:r w:rsidRPr="00B754D8">
        <w:rPr>
          <w:rStyle w:val="Ninguno"/>
          <w:rFonts w:ascii="Arial" w:eastAsia="Arial" w:hAnsi="Arial" w:cs="Arial"/>
          <w:sz w:val="24"/>
          <w:szCs w:val="24"/>
          <w:vertAlign w:val="superscript"/>
        </w:rPr>
        <w:footnoteReference w:id="13"/>
      </w:r>
      <w:r w:rsidRPr="00B754D8">
        <w:rPr>
          <w:rStyle w:val="Ninguno"/>
          <w:rFonts w:ascii="Arial" w:hAnsi="Arial"/>
          <w:sz w:val="24"/>
          <w:szCs w:val="24"/>
        </w:rPr>
        <w:t>.</w:t>
      </w:r>
    </w:p>
    <w:p w14:paraId="2C43157C" w14:textId="77777777" w:rsidR="00D35E43" w:rsidRPr="00B754D8" w:rsidRDefault="00CD7861">
      <w:pPr>
        <w:pStyle w:val="CuerpoA"/>
        <w:numPr>
          <w:ilvl w:val="0"/>
          <w:numId w:val="125"/>
        </w:numPr>
        <w:jc w:val="both"/>
        <w:rPr>
          <w:rFonts w:ascii="Arial" w:hAnsi="Arial"/>
          <w:sz w:val="24"/>
          <w:szCs w:val="24"/>
        </w:rPr>
      </w:pPr>
      <w:r w:rsidRPr="00B754D8">
        <w:rPr>
          <w:rStyle w:val="Ninguno"/>
          <w:rFonts w:ascii="Arial" w:hAnsi="Arial"/>
          <w:sz w:val="24"/>
          <w:szCs w:val="24"/>
        </w:rPr>
        <w:t xml:space="preserve">Recomendación 6 VG/2017 Sobre la investigación de violaciones graves a Derechos Humanos por la </w:t>
      </w:r>
      <w:r w:rsidRPr="00B754D8">
        <w:rPr>
          <w:rStyle w:val="Ninguno"/>
          <w:rFonts w:ascii="Arial" w:hAnsi="Arial"/>
          <w:b/>
          <w:bCs/>
          <w:sz w:val="24"/>
          <w:szCs w:val="24"/>
        </w:rPr>
        <w:t>detención arbitraria y desaparición forzada</w:t>
      </w:r>
      <w:r w:rsidRPr="00B754D8">
        <w:rPr>
          <w:rStyle w:val="Ninguno"/>
          <w:rFonts w:ascii="Arial" w:hAnsi="Arial"/>
          <w:sz w:val="24"/>
          <w:szCs w:val="24"/>
        </w:rPr>
        <w:t xml:space="preserve"> de V1, V2 y V3, y la retención ilegal de MV, en el municipio de Papantla, Veracruz</w:t>
      </w:r>
      <w:r w:rsidRPr="00B754D8">
        <w:rPr>
          <w:rStyle w:val="Ninguno"/>
          <w:rFonts w:ascii="Arial" w:eastAsia="Arial" w:hAnsi="Arial" w:cs="Arial"/>
          <w:sz w:val="24"/>
          <w:szCs w:val="24"/>
          <w:vertAlign w:val="superscript"/>
        </w:rPr>
        <w:footnoteReference w:id="14"/>
      </w:r>
      <w:r w:rsidRPr="00B754D8">
        <w:rPr>
          <w:rStyle w:val="Ninguno"/>
          <w:rFonts w:ascii="Arial" w:hAnsi="Arial"/>
          <w:sz w:val="24"/>
          <w:szCs w:val="24"/>
        </w:rPr>
        <w:t>.</w:t>
      </w:r>
    </w:p>
    <w:p w14:paraId="249BEFAB" w14:textId="77777777" w:rsidR="00D35E43" w:rsidRPr="00B754D8" w:rsidRDefault="00CD7861">
      <w:pPr>
        <w:pStyle w:val="CuerpoA"/>
        <w:numPr>
          <w:ilvl w:val="0"/>
          <w:numId w:val="125"/>
        </w:numPr>
        <w:jc w:val="both"/>
        <w:rPr>
          <w:rFonts w:ascii="Arial" w:hAnsi="Arial"/>
          <w:sz w:val="24"/>
          <w:szCs w:val="24"/>
        </w:rPr>
      </w:pPr>
      <w:r w:rsidRPr="00B754D8">
        <w:rPr>
          <w:rStyle w:val="Ninguno"/>
          <w:rFonts w:ascii="Arial" w:hAnsi="Arial"/>
          <w:sz w:val="24"/>
          <w:szCs w:val="24"/>
        </w:rPr>
        <w:t xml:space="preserve">Recomendación 7VG/2017.Sobre violaciones graves a derechos humanos por los hechos ocurridos el 19 de junio de 2016 en Asunción de </w:t>
      </w:r>
      <w:r w:rsidRPr="00B754D8">
        <w:rPr>
          <w:rStyle w:val="Ninguno"/>
          <w:rFonts w:ascii="Arial" w:hAnsi="Arial"/>
          <w:b/>
          <w:bCs/>
          <w:sz w:val="24"/>
          <w:szCs w:val="24"/>
        </w:rPr>
        <w:t>Nochixtlán</w:t>
      </w:r>
      <w:r w:rsidRPr="00B754D8">
        <w:rPr>
          <w:rStyle w:val="Ninguno"/>
          <w:rFonts w:ascii="Arial" w:hAnsi="Arial"/>
          <w:sz w:val="24"/>
          <w:szCs w:val="24"/>
        </w:rPr>
        <w:t>, San Pablo Huitzo, Hacienda Blanca y Trinidad de Viguera, en el estado de Oaxaca</w:t>
      </w:r>
      <w:r w:rsidRPr="00B754D8">
        <w:rPr>
          <w:rStyle w:val="Ninguno"/>
          <w:rFonts w:ascii="Arial" w:eastAsia="Arial" w:hAnsi="Arial" w:cs="Arial"/>
          <w:sz w:val="24"/>
          <w:szCs w:val="24"/>
          <w:vertAlign w:val="superscript"/>
        </w:rPr>
        <w:footnoteReference w:id="15"/>
      </w:r>
      <w:r w:rsidRPr="00B754D8">
        <w:rPr>
          <w:rStyle w:val="Ninguno"/>
          <w:rFonts w:ascii="Arial" w:hAnsi="Arial"/>
          <w:sz w:val="24"/>
          <w:szCs w:val="24"/>
        </w:rPr>
        <w:t>.</w:t>
      </w:r>
    </w:p>
    <w:p w14:paraId="0D4640C0" w14:textId="77777777" w:rsidR="00D35E43" w:rsidRPr="00B754D8" w:rsidRDefault="00CD7861">
      <w:pPr>
        <w:pStyle w:val="CuerpoA"/>
        <w:numPr>
          <w:ilvl w:val="0"/>
          <w:numId w:val="125"/>
        </w:numPr>
        <w:jc w:val="both"/>
        <w:rPr>
          <w:rFonts w:ascii="Arial" w:hAnsi="Arial"/>
          <w:sz w:val="24"/>
          <w:szCs w:val="24"/>
        </w:rPr>
      </w:pPr>
      <w:r w:rsidRPr="00B754D8">
        <w:rPr>
          <w:rStyle w:val="Ninguno"/>
          <w:rFonts w:ascii="Arial" w:hAnsi="Arial"/>
          <w:sz w:val="24"/>
          <w:szCs w:val="24"/>
        </w:rPr>
        <w:t xml:space="preserve">Recomendación 10VG/2018 Sobre la investigación de violaciones graves a los derechos humanos, por los hechos acontecidos del 18 al 20 de marzo de 2011, en el municipio de Allende, Coahuila, así como por las </w:t>
      </w:r>
      <w:r w:rsidRPr="00B754D8">
        <w:rPr>
          <w:rStyle w:val="Ninguno"/>
          <w:rFonts w:ascii="Arial" w:hAnsi="Arial"/>
          <w:b/>
          <w:bCs/>
          <w:sz w:val="24"/>
          <w:szCs w:val="24"/>
        </w:rPr>
        <w:lastRenderedPageBreak/>
        <w:t>detenciones arbitrarias y desapariciones forzadas</w:t>
      </w:r>
      <w:r w:rsidRPr="00B754D8">
        <w:rPr>
          <w:rStyle w:val="Ninguno"/>
          <w:rFonts w:ascii="Arial" w:hAnsi="Arial"/>
          <w:sz w:val="24"/>
          <w:szCs w:val="24"/>
        </w:rPr>
        <w:t xml:space="preserve"> cometidas con posterioridad a dicho evento</w:t>
      </w:r>
      <w:r w:rsidRPr="00B754D8">
        <w:rPr>
          <w:rStyle w:val="Ninguno"/>
          <w:rFonts w:ascii="Arial" w:eastAsia="Arial" w:hAnsi="Arial" w:cs="Arial"/>
          <w:sz w:val="24"/>
          <w:szCs w:val="24"/>
          <w:vertAlign w:val="superscript"/>
        </w:rPr>
        <w:footnoteReference w:id="16"/>
      </w:r>
      <w:r w:rsidRPr="00B754D8">
        <w:rPr>
          <w:rStyle w:val="Ninguno"/>
          <w:rFonts w:ascii="Arial" w:hAnsi="Arial"/>
          <w:sz w:val="24"/>
          <w:szCs w:val="24"/>
        </w:rPr>
        <w:t>.</w:t>
      </w:r>
    </w:p>
    <w:p w14:paraId="5B2EC01E" w14:textId="77777777" w:rsidR="00D35E43" w:rsidRPr="00B754D8" w:rsidRDefault="00CD7861">
      <w:pPr>
        <w:pStyle w:val="CuerpoA"/>
        <w:numPr>
          <w:ilvl w:val="0"/>
          <w:numId w:val="125"/>
        </w:numPr>
        <w:jc w:val="both"/>
        <w:rPr>
          <w:rFonts w:ascii="Arial" w:hAnsi="Arial"/>
          <w:sz w:val="24"/>
          <w:szCs w:val="24"/>
        </w:rPr>
      </w:pPr>
      <w:r w:rsidRPr="00B754D8">
        <w:rPr>
          <w:rStyle w:val="Ninguno"/>
          <w:rFonts w:ascii="Arial" w:hAnsi="Arial"/>
          <w:sz w:val="24"/>
          <w:szCs w:val="24"/>
        </w:rPr>
        <w:t xml:space="preserve">Recomendación 11VG/2018 Sobre violaciones graves a los derechos humanos por la </w:t>
      </w:r>
      <w:r w:rsidRPr="00B754D8">
        <w:rPr>
          <w:rStyle w:val="Ninguno"/>
          <w:rFonts w:ascii="Arial" w:hAnsi="Arial"/>
          <w:b/>
          <w:bCs/>
          <w:sz w:val="24"/>
          <w:szCs w:val="24"/>
        </w:rPr>
        <w:t>detención arbitraria y desaparición forzada</w:t>
      </w:r>
      <w:r w:rsidRPr="00B754D8">
        <w:rPr>
          <w:rStyle w:val="Ninguno"/>
          <w:rFonts w:ascii="Arial" w:hAnsi="Arial"/>
          <w:sz w:val="24"/>
          <w:szCs w:val="24"/>
        </w:rPr>
        <w:t xml:space="preserve"> de V1, V2, V3, V4, V5, V6, V7, V8, V9 y V10 y cateo ilegal de V2, V3 y V4, en Sabinas Hidalgo, Nuevo León, en Nuevo Laredo y Matamoros, Tamaulipas</w:t>
      </w:r>
      <w:r w:rsidRPr="00B754D8">
        <w:rPr>
          <w:rStyle w:val="Ninguno"/>
          <w:rFonts w:ascii="Arial" w:eastAsia="Arial" w:hAnsi="Arial" w:cs="Arial"/>
          <w:sz w:val="24"/>
          <w:szCs w:val="24"/>
          <w:vertAlign w:val="superscript"/>
        </w:rPr>
        <w:footnoteReference w:id="17"/>
      </w:r>
      <w:r w:rsidRPr="00B754D8">
        <w:rPr>
          <w:rStyle w:val="Ninguno"/>
          <w:rFonts w:ascii="Arial" w:hAnsi="Arial"/>
          <w:sz w:val="24"/>
          <w:szCs w:val="24"/>
        </w:rPr>
        <w:t>.</w:t>
      </w:r>
    </w:p>
    <w:p w14:paraId="2B8D2BD9" w14:textId="77777777" w:rsidR="00D35E43" w:rsidRPr="00B754D8" w:rsidRDefault="00CD7861">
      <w:pPr>
        <w:pStyle w:val="CuerpoA"/>
        <w:numPr>
          <w:ilvl w:val="0"/>
          <w:numId w:val="125"/>
        </w:numPr>
        <w:jc w:val="both"/>
        <w:rPr>
          <w:rFonts w:ascii="Arial" w:hAnsi="Arial"/>
          <w:sz w:val="24"/>
          <w:szCs w:val="24"/>
        </w:rPr>
      </w:pPr>
      <w:r w:rsidRPr="00B754D8">
        <w:rPr>
          <w:rStyle w:val="Ninguno"/>
          <w:rFonts w:ascii="Arial" w:hAnsi="Arial"/>
          <w:sz w:val="24"/>
          <w:szCs w:val="24"/>
        </w:rPr>
        <w:t xml:space="preserve">Recomendación 12VG/2018. Sobre la investigación de violaciones graves a los derechos humanos, por la </w:t>
      </w:r>
      <w:r w:rsidRPr="00B754D8">
        <w:rPr>
          <w:rStyle w:val="Ninguno"/>
          <w:rFonts w:ascii="Arial" w:hAnsi="Arial"/>
          <w:b/>
          <w:bCs/>
          <w:sz w:val="24"/>
          <w:szCs w:val="24"/>
        </w:rPr>
        <w:t>ejecución arbitraria</w:t>
      </w:r>
      <w:r w:rsidRPr="00B754D8">
        <w:rPr>
          <w:rStyle w:val="Ninguno"/>
          <w:rFonts w:ascii="Arial" w:hAnsi="Arial"/>
          <w:sz w:val="24"/>
          <w:szCs w:val="24"/>
        </w:rPr>
        <w:t xml:space="preserve"> de v13 y v14, el trato cruel cometido en agravio de 10 personas incluidos 2 menores de edad, la retención ilegal de 9 adultos y 4 infantes, la indebida procuración de justicia por la irregular integración de diversas indagatorias y la no preservación del lugar de los hechos ocurridos el 3 de mayo de 2017, en Palmarito Tochapan, municipio de Quecholac, Puebla</w:t>
      </w:r>
      <w:r w:rsidRPr="00B754D8">
        <w:rPr>
          <w:rStyle w:val="Ninguno"/>
          <w:rFonts w:ascii="Arial" w:eastAsia="Arial" w:hAnsi="Arial" w:cs="Arial"/>
          <w:sz w:val="24"/>
          <w:szCs w:val="24"/>
          <w:vertAlign w:val="superscript"/>
        </w:rPr>
        <w:footnoteReference w:id="18"/>
      </w:r>
      <w:r w:rsidRPr="00B754D8">
        <w:rPr>
          <w:rStyle w:val="Ninguno"/>
          <w:rFonts w:ascii="Arial" w:hAnsi="Arial"/>
          <w:sz w:val="24"/>
          <w:szCs w:val="24"/>
        </w:rPr>
        <w:t>.</w:t>
      </w:r>
    </w:p>
    <w:p w14:paraId="61D7DB5A" w14:textId="77777777" w:rsidR="00D35E43" w:rsidRPr="00B754D8" w:rsidRDefault="00CD7861">
      <w:pPr>
        <w:pStyle w:val="CuerpoA"/>
        <w:numPr>
          <w:ilvl w:val="0"/>
          <w:numId w:val="125"/>
        </w:numPr>
        <w:jc w:val="both"/>
        <w:rPr>
          <w:rFonts w:ascii="Arial" w:hAnsi="Arial"/>
          <w:sz w:val="24"/>
          <w:szCs w:val="24"/>
        </w:rPr>
      </w:pPr>
      <w:r w:rsidRPr="00B754D8">
        <w:rPr>
          <w:rStyle w:val="Ninguno"/>
          <w:rFonts w:ascii="Arial" w:hAnsi="Arial"/>
          <w:sz w:val="24"/>
          <w:szCs w:val="24"/>
        </w:rPr>
        <w:t xml:space="preserve">Recomendación 13VG/2018 Sobre las violaciones graves a derechos humanos en los casos de </w:t>
      </w:r>
      <w:r w:rsidRPr="00B754D8">
        <w:rPr>
          <w:rStyle w:val="Ninguno"/>
          <w:rFonts w:ascii="Arial" w:hAnsi="Arial"/>
          <w:b/>
          <w:bCs/>
          <w:sz w:val="24"/>
          <w:szCs w:val="24"/>
        </w:rPr>
        <w:t>tortura, detenciones arbitrarias</w:t>
      </w:r>
      <w:r w:rsidRPr="00B754D8">
        <w:rPr>
          <w:rStyle w:val="Ninguno"/>
          <w:rFonts w:ascii="Arial" w:hAnsi="Arial"/>
          <w:sz w:val="24"/>
          <w:szCs w:val="24"/>
        </w:rPr>
        <w:t xml:space="preserve"> y cateos ilegales en la Ciudad de México y en los Estados de Michoacán, Estado de México, Sinaloa, Puebla, Guerrero y Jalisco</w:t>
      </w:r>
      <w:r w:rsidRPr="00B754D8">
        <w:rPr>
          <w:rStyle w:val="Ninguno"/>
          <w:rFonts w:ascii="Arial" w:eastAsia="Arial" w:hAnsi="Arial" w:cs="Arial"/>
          <w:sz w:val="24"/>
          <w:szCs w:val="24"/>
          <w:vertAlign w:val="superscript"/>
        </w:rPr>
        <w:footnoteReference w:id="19"/>
      </w:r>
      <w:r w:rsidRPr="00B754D8">
        <w:rPr>
          <w:rStyle w:val="Ninguno"/>
          <w:rFonts w:ascii="Arial" w:hAnsi="Arial"/>
          <w:sz w:val="24"/>
          <w:szCs w:val="24"/>
        </w:rPr>
        <w:t>.</w:t>
      </w:r>
    </w:p>
    <w:p w14:paraId="3106FC64" w14:textId="77777777" w:rsidR="00D35E43" w:rsidRPr="00B754D8" w:rsidRDefault="00CD7861">
      <w:pPr>
        <w:pStyle w:val="CuerpoA"/>
        <w:numPr>
          <w:ilvl w:val="0"/>
          <w:numId w:val="125"/>
        </w:numPr>
        <w:jc w:val="both"/>
        <w:rPr>
          <w:rFonts w:ascii="Arial" w:hAnsi="Arial"/>
          <w:sz w:val="24"/>
          <w:szCs w:val="24"/>
        </w:rPr>
      </w:pPr>
      <w:r w:rsidRPr="00B754D8">
        <w:rPr>
          <w:rStyle w:val="Ninguno"/>
          <w:rFonts w:ascii="Arial" w:hAnsi="Arial"/>
          <w:sz w:val="24"/>
          <w:szCs w:val="24"/>
        </w:rPr>
        <w:t xml:space="preserve">Recomendación 16VG2018. Sobre el caso de violaciones graves a los derechos humanos de 9 personas por la </w:t>
      </w:r>
      <w:r w:rsidRPr="00B754D8">
        <w:rPr>
          <w:rStyle w:val="Ninguno"/>
          <w:rFonts w:ascii="Arial" w:hAnsi="Arial"/>
          <w:b/>
          <w:bCs/>
          <w:sz w:val="24"/>
          <w:szCs w:val="24"/>
        </w:rPr>
        <w:t>detención arbitraria</w:t>
      </w:r>
      <w:r w:rsidRPr="00B754D8">
        <w:rPr>
          <w:rStyle w:val="Ninguno"/>
          <w:rFonts w:ascii="Arial" w:hAnsi="Arial"/>
          <w:sz w:val="24"/>
          <w:szCs w:val="24"/>
        </w:rPr>
        <w:t xml:space="preserve">, retención ilegal y </w:t>
      </w:r>
      <w:r w:rsidRPr="00B754D8">
        <w:rPr>
          <w:rStyle w:val="Ninguno"/>
          <w:rFonts w:ascii="Arial" w:hAnsi="Arial"/>
          <w:b/>
          <w:bCs/>
          <w:sz w:val="24"/>
          <w:szCs w:val="24"/>
        </w:rPr>
        <w:t>actos de tortura</w:t>
      </w:r>
      <w:r w:rsidRPr="00B754D8">
        <w:rPr>
          <w:rStyle w:val="Ninguno"/>
          <w:rFonts w:ascii="Arial" w:hAnsi="Arial"/>
          <w:sz w:val="24"/>
          <w:szCs w:val="24"/>
        </w:rPr>
        <w:t xml:space="preserve"> por parte de elementos militares; 2 de las víctimas por actos de violencia sexual y 4 que tenían la calidad de militares al momento de los hechos. Así como por la violación del derecho de acceso a la justicia, por hechos ocurridos en los estados de Chiapas, Durango, Estado de México, Jalisco, Nuevo León y Tamaulipas</w:t>
      </w:r>
      <w:r w:rsidRPr="00B754D8">
        <w:rPr>
          <w:rStyle w:val="Ninguno"/>
          <w:rFonts w:ascii="Arial" w:eastAsia="Arial" w:hAnsi="Arial" w:cs="Arial"/>
          <w:sz w:val="24"/>
          <w:szCs w:val="24"/>
          <w:vertAlign w:val="superscript"/>
        </w:rPr>
        <w:footnoteReference w:id="20"/>
      </w:r>
      <w:r w:rsidRPr="00B754D8">
        <w:rPr>
          <w:rStyle w:val="Ninguno"/>
          <w:rFonts w:ascii="Arial" w:hAnsi="Arial"/>
          <w:sz w:val="24"/>
          <w:szCs w:val="24"/>
        </w:rPr>
        <w:t>.</w:t>
      </w:r>
    </w:p>
    <w:p w14:paraId="740D42FE" w14:textId="77777777" w:rsidR="00D35E43" w:rsidRPr="00B754D8" w:rsidRDefault="00CD7861">
      <w:pPr>
        <w:pStyle w:val="CuerpoA"/>
        <w:numPr>
          <w:ilvl w:val="0"/>
          <w:numId w:val="125"/>
        </w:numPr>
        <w:jc w:val="both"/>
        <w:rPr>
          <w:rFonts w:ascii="Arial" w:hAnsi="Arial"/>
          <w:sz w:val="24"/>
          <w:szCs w:val="24"/>
        </w:rPr>
      </w:pPr>
      <w:r w:rsidRPr="00B754D8">
        <w:rPr>
          <w:rStyle w:val="Ninguno"/>
          <w:rFonts w:ascii="Arial" w:hAnsi="Arial"/>
          <w:sz w:val="24"/>
          <w:szCs w:val="24"/>
        </w:rPr>
        <w:t xml:space="preserve">Recomendación 18VG/2018. Sobre el caso de violaciones graves a los derechos humanos de 15 víctimas por detención ilegal, </w:t>
      </w:r>
      <w:r w:rsidRPr="00B754D8">
        <w:rPr>
          <w:rStyle w:val="Ninguno"/>
          <w:rFonts w:ascii="Arial" w:hAnsi="Arial"/>
          <w:b/>
          <w:bCs/>
          <w:sz w:val="24"/>
          <w:szCs w:val="24"/>
        </w:rPr>
        <w:t>retención arbitraria</w:t>
      </w:r>
      <w:r w:rsidRPr="00B754D8">
        <w:rPr>
          <w:rStyle w:val="Ninguno"/>
          <w:rFonts w:ascii="Arial" w:hAnsi="Arial"/>
          <w:sz w:val="24"/>
          <w:szCs w:val="24"/>
        </w:rPr>
        <w:t xml:space="preserve">; afectación en la integridad personal de V1, V2, V3 y V9 por un </w:t>
      </w:r>
      <w:r w:rsidRPr="00B754D8">
        <w:rPr>
          <w:rStyle w:val="Ninguno"/>
          <w:rFonts w:ascii="Arial" w:hAnsi="Arial"/>
          <w:b/>
          <w:bCs/>
          <w:sz w:val="24"/>
          <w:szCs w:val="24"/>
        </w:rPr>
        <w:t>uso excesivo de la fuerza</w:t>
      </w:r>
      <w:r w:rsidRPr="00B754D8">
        <w:rPr>
          <w:rStyle w:val="Ninguno"/>
          <w:rFonts w:ascii="Arial" w:hAnsi="Arial"/>
          <w:sz w:val="24"/>
          <w:szCs w:val="24"/>
        </w:rPr>
        <w:t xml:space="preserve"> y de V13, V14 y V15 por </w:t>
      </w:r>
      <w:r w:rsidRPr="00B754D8">
        <w:rPr>
          <w:rStyle w:val="Ninguno"/>
          <w:rFonts w:ascii="Arial" w:hAnsi="Arial"/>
          <w:b/>
          <w:bCs/>
          <w:sz w:val="24"/>
          <w:szCs w:val="24"/>
        </w:rPr>
        <w:t>actos de tortura</w:t>
      </w:r>
      <w:r w:rsidRPr="00B754D8">
        <w:rPr>
          <w:rStyle w:val="Ninguno"/>
          <w:rFonts w:ascii="Arial" w:hAnsi="Arial"/>
          <w:sz w:val="24"/>
          <w:szCs w:val="24"/>
        </w:rPr>
        <w:t>, así como por el cateo ilegal en agravio de V13 y V14, y del derecho al trato digno y a una vida libre de violencia contra las mujeres en perjuicio de V4, V13, V14 y V15, cometidas por elementos navales en hechos ocurridos en Tabasco y Veracruz</w:t>
      </w:r>
      <w:r w:rsidRPr="00B754D8">
        <w:rPr>
          <w:rStyle w:val="Ninguno"/>
          <w:rFonts w:ascii="Arial" w:eastAsia="Arial" w:hAnsi="Arial" w:cs="Arial"/>
          <w:sz w:val="24"/>
          <w:szCs w:val="24"/>
          <w:vertAlign w:val="superscript"/>
        </w:rPr>
        <w:footnoteReference w:id="21"/>
      </w:r>
      <w:r w:rsidRPr="00B754D8">
        <w:rPr>
          <w:rStyle w:val="Ninguno"/>
          <w:rFonts w:ascii="Arial" w:hAnsi="Arial"/>
          <w:sz w:val="24"/>
          <w:szCs w:val="24"/>
        </w:rPr>
        <w:t>.</w:t>
      </w:r>
    </w:p>
    <w:p w14:paraId="3BD01318" w14:textId="77777777" w:rsidR="00D35E43" w:rsidRPr="00B754D8" w:rsidRDefault="00CD7861">
      <w:pPr>
        <w:pStyle w:val="CuerpoA"/>
        <w:numPr>
          <w:ilvl w:val="0"/>
          <w:numId w:val="125"/>
        </w:numPr>
        <w:jc w:val="both"/>
        <w:rPr>
          <w:rFonts w:ascii="Arial" w:hAnsi="Arial"/>
          <w:sz w:val="24"/>
          <w:szCs w:val="24"/>
        </w:rPr>
      </w:pPr>
      <w:r w:rsidRPr="00B754D8">
        <w:rPr>
          <w:rStyle w:val="Ninguno"/>
          <w:rFonts w:ascii="Arial" w:hAnsi="Arial"/>
          <w:sz w:val="24"/>
          <w:szCs w:val="24"/>
        </w:rPr>
        <w:lastRenderedPageBreak/>
        <w:t xml:space="preserve">Recomendación 20VG/2019. Sobre el caso de violaciones graves a los derechos humanos a la violencia sexual V1, a la libertad, seguridad personal y legalidad por la </w:t>
      </w:r>
      <w:r w:rsidRPr="00B754D8">
        <w:rPr>
          <w:rStyle w:val="Ninguno"/>
          <w:rFonts w:ascii="Arial" w:hAnsi="Arial"/>
          <w:b/>
          <w:bCs/>
          <w:sz w:val="24"/>
          <w:szCs w:val="24"/>
        </w:rPr>
        <w:t>detención arbitraria y retención ilegal</w:t>
      </w:r>
      <w:r w:rsidRPr="00B754D8">
        <w:rPr>
          <w:rStyle w:val="Ninguno"/>
          <w:rFonts w:ascii="Arial" w:hAnsi="Arial"/>
          <w:sz w:val="24"/>
          <w:szCs w:val="24"/>
        </w:rPr>
        <w:t xml:space="preserve"> de V1, V2 y V3, a la integridad personal por </w:t>
      </w:r>
      <w:r w:rsidRPr="00B754D8">
        <w:rPr>
          <w:rStyle w:val="Ninguno"/>
          <w:rFonts w:ascii="Arial" w:hAnsi="Arial"/>
          <w:b/>
          <w:bCs/>
          <w:sz w:val="24"/>
          <w:szCs w:val="24"/>
        </w:rPr>
        <w:t>actos de tortura física</w:t>
      </w:r>
      <w:r w:rsidRPr="00B754D8">
        <w:rPr>
          <w:rStyle w:val="Ninguno"/>
          <w:rFonts w:ascii="Arial" w:hAnsi="Arial"/>
          <w:sz w:val="24"/>
          <w:szCs w:val="24"/>
        </w:rPr>
        <w:t xml:space="preserve"> en agravio de V1 y V2, atribuibles a servidores públicos de la Policía Federal.</w:t>
      </w:r>
      <w:r w:rsidRPr="00B754D8">
        <w:rPr>
          <w:rStyle w:val="Ninguno"/>
          <w:rFonts w:ascii="Arial" w:eastAsia="Arial" w:hAnsi="Arial" w:cs="Arial"/>
          <w:sz w:val="24"/>
          <w:szCs w:val="24"/>
          <w:vertAlign w:val="superscript"/>
        </w:rPr>
        <w:footnoteReference w:id="22"/>
      </w:r>
    </w:p>
    <w:p w14:paraId="38794D45" w14:textId="77777777" w:rsidR="00D35E43" w:rsidRPr="00B754D8" w:rsidRDefault="00CD7861">
      <w:pPr>
        <w:pStyle w:val="CuerpoA"/>
        <w:numPr>
          <w:ilvl w:val="0"/>
          <w:numId w:val="125"/>
        </w:numPr>
        <w:jc w:val="both"/>
        <w:rPr>
          <w:sz w:val="24"/>
          <w:szCs w:val="24"/>
        </w:rPr>
      </w:pPr>
      <w:r w:rsidRPr="00B754D8">
        <w:rPr>
          <w:rStyle w:val="Ninguno"/>
          <w:rFonts w:ascii="Arial" w:hAnsi="Arial"/>
          <w:sz w:val="24"/>
          <w:szCs w:val="24"/>
        </w:rPr>
        <w:t xml:space="preserve">Recomendación 21VG/2019. </w:t>
      </w:r>
      <w:hyperlink r:id="rId9" w:history="1">
        <w:r w:rsidRPr="00B754D8">
          <w:rPr>
            <w:rStyle w:val="Hyperlink2"/>
            <w:sz w:val="24"/>
            <w:szCs w:val="24"/>
          </w:rPr>
          <w:t xml:space="preserve">Sobre violaciones graves a derechos humanos por la </w:t>
        </w:r>
        <w:r w:rsidRPr="00B754D8">
          <w:rPr>
            <w:rStyle w:val="Ninguno"/>
            <w:rFonts w:ascii="Arial" w:hAnsi="Arial"/>
            <w:b/>
            <w:bCs/>
            <w:sz w:val="24"/>
            <w:szCs w:val="24"/>
          </w:rPr>
          <w:t>ejecución arbitraria</w:t>
        </w:r>
        <w:r w:rsidRPr="00B754D8">
          <w:rPr>
            <w:rStyle w:val="Hyperlink2"/>
            <w:sz w:val="24"/>
            <w:szCs w:val="24"/>
          </w:rPr>
          <w:t xml:space="preserve"> de MV4, MV5, V5, V6, V7 y V8; el trato cruel cometido en agravio de MV2, MV3, MV7, V1 y V2; los allanamientos de los domicilios en que se encontraban las víctimas que derivaron en la </w:t>
        </w:r>
        <w:r w:rsidRPr="00B754D8">
          <w:rPr>
            <w:rStyle w:val="Ninguno"/>
            <w:rFonts w:ascii="Arial" w:hAnsi="Arial"/>
            <w:b/>
            <w:bCs/>
            <w:sz w:val="24"/>
            <w:szCs w:val="24"/>
          </w:rPr>
          <w:t xml:space="preserve">detención arbitraria </w:t>
        </w:r>
        <w:r w:rsidRPr="00B754D8">
          <w:rPr>
            <w:rStyle w:val="Hyperlink2"/>
            <w:sz w:val="24"/>
            <w:szCs w:val="24"/>
          </w:rPr>
          <w:t>de 7 personas, incluido 1 infante, la indebida procuración de justicia por la irregular integración de diversas indagatorias y la no preservación del lugar de los hechos, ocurridos el 30 de noviembre de 2017, en el Municipio de Temixco, Morelos</w:t>
        </w:r>
      </w:hyperlink>
      <w:r w:rsidRPr="00B754D8">
        <w:rPr>
          <w:rStyle w:val="Ninguno"/>
          <w:rFonts w:ascii="Arial" w:eastAsia="Arial" w:hAnsi="Arial" w:cs="Arial"/>
          <w:sz w:val="24"/>
          <w:szCs w:val="24"/>
          <w:vertAlign w:val="superscript"/>
        </w:rPr>
        <w:footnoteReference w:id="23"/>
      </w:r>
      <w:hyperlink r:id="rId10" w:history="1">
        <w:r w:rsidRPr="00B754D8">
          <w:rPr>
            <w:rStyle w:val="Hyperlink3"/>
          </w:rPr>
          <w:t>.</w:t>
        </w:r>
      </w:hyperlink>
    </w:p>
    <w:p w14:paraId="209629D5" w14:textId="77777777" w:rsidR="00D35E43" w:rsidRPr="00B754D8" w:rsidRDefault="00CD7861">
      <w:pPr>
        <w:pStyle w:val="CuerpoA"/>
        <w:numPr>
          <w:ilvl w:val="0"/>
          <w:numId w:val="125"/>
        </w:numPr>
        <w:jc w:val="both"/>
        <w:rPr>
          <w:rFonts w:ascii="Arial" w:hAnsi="Arial"/>
          <w:sz w:val="24"/>
          <w:szCs w:val="24"/>
        </w:rPr>
      </w:pPr>
      <w:r w:rsidRPr="00B754D8">
        <w:rPr>
          <w:rStyle w:val="Ninguno"/>
          <w:rFonts w:ascii="Arial" w:hAnsi="Arial"/>
          <w:sz w:val="24"/>
          <w:szCs w:val="24"/>
        </w:rPr>
        <w:t>Recomendación 22VG/2019</w:t>
      </w:r>
      <w:r w:rsidRPr="00B754D8">
        <w:rPr>
          <w:rStyle w:val="Ninguno"/>
        </w:rPr>
        <w:t xml:space="preserve"> </w:t>
      </w:r>
      <w:r w:rsidRPr="00B754D8">
        <w:rPr>
          <w:rStyle w:val="Ninguno"/>
          <w:rFonts w:ascii="Arial" w:hAnsi="Arial"/>
          <w:sz w:val="24"/>
          <w:szCs w:val="24"/>
        </w:rPr>
        <w:t xml:space="preserve">Sobre las violaciones graves a los derechos humanos a la vida, por el </w:t>
      </w:r>
      <w:r w:rsidRPr="00B754D8">
        <w:rPr>
          <w:rStyle w:val="Ninguno"/>
          <w:rFonts w:ascii="Arial" w:hAnsi="Arial"/>
          <w:b/>
          <w:bCs/>
          <w:sz w:val="24"/>
          <w:szCs w:val="24"/>
        </w:rPr>
        <w:t>uso excesivo de la fuerza</w:t>
      </w:r>
      <w:r w:rsidRPr="00B754D8">
        <w:rPr>
          <w:rStyle w:val="Ninguno"/>
          <w:rFonts w:ascii="Arial" w:hAnsi="Arial"/>
          <w:sz w:val="24"/>
          <w:szCs w:val="24"/>
        </w:rPr>
        <w:t xml:space="preserve"> en agravio de las adolescentes V1 y V2 y de V3, V4, V5 y V6, así como a la legalidad, a la seguridad jurídica y a la procuración de justicia en agravio de sus familiares, en el Municipio de Luvianos, Estado de México</w:t>
      </w:r>
      <w:r w:rsidRPr="00B754D8">
        <w:rPr>
          <w:rStyle w:val="Ninguno"/>
          <w:rFonts w:ascii="Arial" w:eastAsia="Arial" w:hAnsi="Arial" w:cs="Arial"/>
          <w:sz w:val="24"/>
          <w:szCs w:val="24"/>
          <w:vertAlign w:val="superscript"/>
        </w:rPr>
        <w:footnoteReference w:id="24"/>
      </w:r>
      <w:r w:rsidRPr="00B754D8">
        <w:rPr>
          <w:rStyle w:val="Ninguno"/>
          <w:rFonts w:ascii="Arial" w:hAnsi="Arial"/>
          <w:sz w:val="24"/>
          <w:szCs w:val="24"/>
        </w:rPr>
        <w:t>.</w:t>
      </w:r>
    </w:p>
    <w:p w14:paraId="3BCF9B15" w14:textId="77777777" w:rsidR="00D35E43" w:rsidRPr="00B754D8" w:rsidRDefault="00CD7861">
      <w:pPr>
        <w:pStyle w:val="CuerpoA"/>
        <w:jc w:val="both"/>
        <w:rPr>
          <w:rStyle w:val="Ninguno"/>
          <w:rFonts w:ascii="Arial" w:eastAsia="Arial" w:hAnsi="Arial" w:cs="Arial"/>
          <w:b/>
          <w:bCs/>
          <w:sz w:val="24"/>
          <w:szCs w:val="24"/>
        </w:rPr>
      </w:pPr>
      <w:r w:rsidRPr="00B754D8">
        <w:rPr>
          <w:rStyle w:val="Ninguno"/>
          <w:rFonts w:ascii="Arial" w:hAnsi="Arial"/>
          <w:b/>
          <w:bCs/>
          <w:sz w:val="24"/>
          <w:szCs w:val="24"/>
        </w:rPr>
        <w:t>Retos para el Estado Mexicano</w:t>
      </w:r>
    </w:p>
    <w:p w14:paraId="267D5224" w14:textId="77777777" w:rsidR="00D35E43" w:rsidRPr="00B754D8" w:rsidRDefault="00CD7861">
      <w:pPr>
        <w:pStyle w:val="CuerpoA"/>
        <w:numPr>
          <w:ilvl w:val="0"/>
          <w:numId w:val="127"/>
        </w:numPr>
        <w:jc w:val="both"/>
        <w:rPr>
          <w:rFonts w:ascii="Arial" w:hAnsi="Arial"/>
          <w:sz w:val="24"/>
          <w:szCs w:val="24"/>
        </w:rPr>
      </w:pPr>
      <w:r w:rsidRPr="00B754D8">
        <w:rPr>
          <w:rStyle w:val="Ninguno"/>
          <w:rFonts w:ascii="Arial" w:hAnsi="Arial"/>
          <w:sz w:val="24"/>
          <w:szCs w:val="24"/>
        </w:rPr>
        <w:t>Prevenir, investigar, y sancionar los abusos y violaciones a derechos humanos cometidos por los responsables, incluyendo, derecho a la vida, detención arbitraria, retención ilegal y tortura, integridad personal, cateos ilegales, tratos crueles, desaparición forzada y ejecución arbitraria, detención arbitraria de menores, seguridad jurídica, violación al derecho a la verdad, derecho a la legalidad, violencia sexual, sometimiento con abuso de fuerza innecesaria, afectación al proyecto de vida, detenciones arbitrarias colectivas, agresiones físicas injustificadas, allanamiento de domicilios sin orden judicial.</w:t>
      </w:r>
    </w:p>
    <w:p w14:paraId="30C4FCEE" w14:textId="77777777" w:rsidR="00D35E43" w:rsidRPr="00B754D8" w:rsidRDefault="00CD7861">
      <w:pPr>
        <w:pStyle w:val="CuerpoA"/>
        <w:numPr>
          <w:ilvl w:val="0"/>
          <w:numId w:val="127"/>
        </w:numPr>
        <w:jc w:val="both"/>
        <w:rPr>
          <w:rFonts w:ascii="Arial" w:hAnsi="Arial"/>
          <w:sz w:val="24"/>
          <w:szCs w:val="24"/>
        </w:rPr>
      </w:pPr>
      <w:r w:rsidRPr="00B754D8">
        <w:rPr>
          <w:rStyle w:val="Ninguno"/>
          <w:rFonts w:ascii="Arial" w:hAnsi="Arial"/>
          <w:sz w:val="24"/>
          <w:szCs w:val="24"/>
        </w:rPr>
        <w:t>La implementación de cursos dirigidos a los agentes de la Policía Federal en materia de derechos humanos, específicamente sobre el Protocolo de actuación de la Policía Federal sobre el uso de la fuerza.</w:t>
      </w:r>
    </w:p>
    <w:p w14:paraId="102805BD" w14:textId="77777777" w:rsidR="00D35E43" w:rsidRPr="00B754D8" w:rsidRDefault="00CD7861">
      <w:pPr>
        <w:pStyle w:val="CuerpoA"/>
        <w:numPr>
          <w:ilvl w:val="0"/>
          <w:numId w:val="127"/>
        </w:numPr>
        <w:jc w:val="both"/>
        <w:rPr>
          <w:rFonts w:ascii="Arial" w:hAnsi="Arial"/>
          <w:sz w:val="24"/>
          <w:szCs w:val="24"/>
        </w:rPr>
      </w:pPr>
      <w:r w:rsidRPr="00B754D8">
        <w:rPr>
          <w:rStyle w:val="Ninguno"/>
          <w:rFonts w:ascii="Arial" w:hAnsi="Arial"/>
          <w:sz w:val="24"/>
          <w:szCs w:val="24"/>
        </w:rPr>
        <w:t xml:space="preserve">Implementar cursos de capacitación que reciben los elementos de la Secretaría de la Defensa Nacional, tanto a los mandos medios y superiores, como a los elementos de tropa, procurando que su entrenamiento táctico y </w:t>
      </w:r>
      <w:r w:rsidRPr="00B754D8">
        <w:rPr>
          <w:rStyle w:val="Ninguno"/>
          <w:rFonts w:ascii="Arial" w:hAnsi="Arial"/>
          <w:sz w:val="24"/>
          <w:szCs w:val="24"/>
        </w:rPr>
        <w:lastRenderedPageBreak/>
        <w:t>operativo incluya el respeto a los derechos humanos y el uso legítimo de la fuerza.</w:t>
      </w:r>
    </w:p>
    <w:p w14:paraId="6A70DDE1" w14:textId="77777777" w:rsidR="00D35E43" w:rsidRPr="00B754D8" w:rsidRDefault="00CD7861">
      <w:pPr>
        <w:pStyle w:val="Prrafodelista"/>
        <w:numPr>
          <w:ilvl w:val="0"/>
          <w:numId w:val="127"/>
        </w:numPr>
        <w:rPr>
          <w:rFonts w:ascii="Arial" w:hAnsi="Arial"/>
          <w:sz w:val="24"/>
          <w:szCs w:val="24"/>
        </w:rPr>
      </w:pPr>
      <w:r w:rsidRPr="00B754D8">
        <w:rPr>
          <w:rStyle w:val="Ninguno"/>
          <w:rFonts w:ascii="Arial" w:hAnsi="Arial"/>
          <w:sz w:val="24"/>
          <w:szCs w:val="24"/>
        </w:rPr>
        <w:t>Implementar cursos de capacitación en materia de los protocolos para la preservación de los indicios y lugar de los hechos del delito.</w:t>
      </w:r>
    </w:p>
    <w:p w14:paraId="06FCDFC0" w14:textId="77777777" w:rsidR="00D35E43" w:rsidRPr="0091511D" w:rsidRDefault="00CD7861">
      <w:pPr>
        <w:pStyle w:val="Prrafodelista"/>
        <w:numPr>
          <w:ilvl w:val="0"/>
          <w:numId w:val="127"/>
        </w:numPr>
        <w:rPr>
          <w:rStyle w:val="Ninguno"/>
        </w:rPr>
      </w:pPr>
      <w:r w:rsidRPr="0091511D">
        <w:rPr>
          <w:rStyle w:val="Ninguno"/>
          <w:rFonts w:ascii="Arial" w:hAnsi="Arial"/>
          <w:sz w:val="24"/>
          <w:szCs w:val="24"/>
        </w:rPr>
        <w:t>Que en los operativos de las fuerzas armadas de seguridad se usen cámaras como lo ha recomendado la CNDH.</w:t>
      </w:r>
    </w:p>
    <w:p w14:paraId="2E208884" w14:textId="77777777" w:rsidR="00D35E43" w:rsidRPr="00B754D8" w:rsidRDefault="00D35E43">
      <w:pPr>
        <w:pStyle w:val="CuerpoB"/>
        <w:ind w:left="360"/>
        <w:rPr>
          <w:rStyle w:val="Ninguno"/>
          <w:rFonts w:ascii="Arial" w:eastAsia="Arial" w:hAnsi="Arial" w:cs="Arial"/>
        </w:rPr>
      </w:pPr>
    </w:p>
    <w:p w14:paraId="3121F989" w14:textId="77777777" w:rsidR="00D35E43" w:rsidRPr="00B754D8" w:rsidRDefault="00CD7861">
      <w:pPr>
        <w:pStyle w:val="CuerpoA"/>
        <w:numPr>
          <w:ilvl w:val="0"/>
          <w:numId w:val="128"/>
        </w:numPr>
        <w:jc w:val="both"/>
        <w:rPr>
          <w:rFonts w:ascii="Arial" w:hAnsi="Arial"/>
          <w:b/>
          <w:bCs/>
          <w:sz w:val="24"/>
          <w:szCs w:val="24"/>
        </w:rPr>
      </w:pPr>
      <w:r w:rsidRPr="00B754D8">
        <w:rPr>
          <w:rStyle w:val="Ninguno"/>
          <w:rFonts w:ascii="Arial" w:hAnsi="Arial"/>
          <w:b/>
          <w:bCs/>
          <w:sz w:val="24"/>
          <w:szCs w:val="24"/>
        </w:rPr>
        <w:t>Violaciones Graves a Derechos Humanos – Caso Iguala (Estudiantes de Ayotzinapa)</w:t>
      </w:r>
    </w:p>
    <w:p w14:paraId="7F6EBE7A" w14:textId="77777777" w:rsidR="00D35E43" w:rsidRPr="00B754D8" w:rsidRDefault="00CD7861">
      <w:pPr>
        <w:pStyle w:val="CuerpoB"/>
        <w:spacing w:after="160" w:line="259" w:lineRule="auto"/>
        <w:jc w:val="both"/>
        <w:rPr>
          <w:rStyle w:val="Ninguno"/>
          <w:rFonts w:ascii="Arial" w:eastAsia="Arial" w:hAnsi="Arial" w:cs="Arial"/>
          <w:b/>
          <w:bCs/>
        </w:rPr>
      </w:pPr>
      <w:r w:rsidRPr="00B754D8">
        <w:rPr>
          <w:rStyle w:val="Ninguno"/>
          <w:rFonts w:ascii="Arial" w:hAnsi="Arial"/>
          <w:b/>
          <w:bCs/>
        </w:rPr>
        <w:t>Contexto</w:t>
      </w:r>
    </w:p>
    <w:p w14:paraId="568E59FC"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Los hechos ocurridos los días 26 y 27 de septiembre de 2014 en la ciudad de Iguala de la Independencia, Guerrero, representan un agravio para todos los mexicanos. La muy grave y lamentable colusión entre autoridades y organizaciones criminales ocasionó la privación de la vida de 6 personas, la alteración de la salud y lesión física de otras 42 y la desaparición de 43 estudiantes de la Escuela Normal Rural “Raúl Isidro Burgos” de Ayotzinapa.</w:t>
      </w:r>
    </w:p>
    <w:p w14:paraId="2E1F0891" w14:textId="77777777" w:rsidR="00D35E43" w:rsidRPr="0091511D" w:rsidRDefault="00CD7861">
      <w:pPr>
        <w:pStyle w:val="CuerpoB"/>
        <w:spacing w:after="160" w:line="259" w:lineRule="auto"/>
        <w:jc w:val="both"/>
        <w:rPr>
          <w:rStyle w:val="Ninguno"/>
          <w:rFonts w:ascii="Arial" w:hAnsi="Arial"/>
        </w:rPr>
      </w:pPr>
      <w:r w:rsidRPr="00B754D8">
        <w:rPr>
          <w:rStyle w:val="Ninguno"/>
          <w:rFonts w:ascii="Arial" w:hAnsi="Arial"/>
        </w:rPr>
        <w:t xml:space="preserve">A pesar de los esfuerzos realizados por el Gobierno de México en el tema, persisten una serie de desafíos como: una investigación fragmentada, incompleta y sin una directriz clara investigativa; falta de detenciones y consignaciones por desaparición forzada; falta de detenciones de actores del Estado de los tres niveles de gobierno por acción u omisión, </w:t>
      </w:r>
      <w:r w:rsidRPr="0091511D">
        <w:rPr>
          <w:rStyle w:val="Ninguno"/>
          <w:rFonts w:ascii="Arial" w:hAnsi="Arial"/>
        </w:rPr>
        <w:t>y la liberación de presuntos responsables por afectaciones al debido proceso y laxitud en algunos casos en los procesos judiciales.</w:t>
      </w:r>
    </w:p>
    <w:p w14:paraId="77986B5A"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El “Caso Iguala”, ha contribuido a visibilizar la existencia de otros problemas sumamente delicados que demandan atención urgente, ejemplos, el hallazgo de fosas clandestinas en zonas aledañas a Iguala en el asunto identificado como el de “Los Otros desaparecidos” y los problemas que aquejan a muchas personas en diversos Estados de la República, en donde los familiares de los desaparecidos comenzaron a efectuar sus propias búsquedas ante las omisiones de las autoridades para realizar las investigaciones correspondientes.</w:t>
      </w:r>
    </w:p>
    <w:p w14:paraId="2D5B633E" w14:textId="77777777" w:rsidR="00D35E43" w:rsidRPr="00B754D8" w:rsidRDefault="00CD7861">
      <w:pPr>
        <w:pStyle w:val="CuerpoB"/>
        <w:spacing w:after="160" w:line="259" w:lineRule="auto"/>
        <w:jc w:val="both"/>
        <w:rPr>
          <w:rStyle w:val="Ninguno"/>
          <w:rFonts w:ascii="Arial" w:eastAsia="Arial" w:hAnsi="Arial" w:cs="Arial"/>
          <w:b/>
          <w:bCs/>
        </w:rPr>
      </w:pPr>
      <w:r w:rsidRPr="00B754D8">
        <w:rPr>
          <w:rStyle w:val="Ninguno"/>
          <w:rFonts w:ascii="Arial" w:hAnsi="Arial"/>
          <w:b/>
          <w:bCs/>
        </w:rPr>
        <w:t>Acciones de la CNDH</w:t>
      </w:r>
    </w:p>
    <w:p w14:paraId="25FB0BA1" w14:textId="77777777" w:rsidR="00D35E43" w:rsidRPr="00B754D8" w:rsidRDefault="00CD7861">
      <w:pPr>
        <w:pStyle w:val="CuerpoB"/>
        <w:spacing w:after="160" w:line="259" w:lineRule="auto"/>
        <w:jc w:val="both"/>
        <w:rPr>
          <w:rStyle w:val="Ninguno"/>
          <w:rFonts w:ascii="Arial" w:eastAsia="Arial" w:hAnsi="Arial" w:cs="Arial"/>
          <w:u w:val="single"/>
        </w:rPr>
      </w:pPr>
      <w:r w:rsidRPr="00B754D8">
        <w:rPr>
          <w:rStyle w:val="Ninguno"/>
          <w:rFonts w:ascii="Arial" w:hAnsi="Arial"/>
          <w:u w:val="single"/>
        </w:rPr>
        <w:t>Recomendación de la CNDH 15/VG/2018 sobre el “Caso Iguala</w:t>
      </w:r>
    </w:p>
    <w:p w14:paraId="2AF9EB9E"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 xml:space="preserve">La investigación en el “Caso Iguala” por violaciones graves a Derechos Humanos que realizó este Organismo Nacional de acuerdo a sus facultades constitucionales, legales y normativas, se sustenta en el “Derecho a la Verdad” como eje rector que permitió obtener conclusiones sólidas y objetivas, libres de sesgo, basadas en evidencias obtenidas de la práctica de diversas diligencias. En aras de la exhaustividad en la Investigación, se procuró acudir a todas las fuentes de </w:t>
      </w:r>
      <w:r w:rsidRPr="00B754D8">
        <w:rPr>
          <w:rStyle w:val="Ninguno"/>
          <w:rFonts w:ascii="Arial" w:hAnsi="Arial"/>
        </w:rPr>
        <w:lastRenderedPageBreak/>
        <w:t>información, directas e indirectas, y recabar todos aquellos datos que pudieran ser útiles para el esclarecimiento de los hechos violatorios de Derechos Humanos.</w:t>
      </w:r>
    </w:p>
    <w:p w14:paraId="50D0D4DA"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La CNDH, como Órgano Constitucional Autónomo protector de los Derechos Humanos en este país, no se ha limitado ni se limita sólo a denunciar omisiones o insuficiencias en las investigaciones del órgano de Procuración de Justicia Federal o a señalar simplistamente que los sucesos no se dieron de tal o cual forma y sin que se plantee una posibilidad para conocer el destino de los normalistas, sino que ha hecho y hace aportaciones que pueden significar avances serios en el caso si se desarrollan las indagaciones adecuadas por el Ministerio Público de la Federación, para hacer efectivo el derecho humano de acceso a la justicia que corresponde a las víctimas.</w:t>
      </w:r>
    </w:p>
    <w:p w14:paraId="7682A1D5"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Desde el mismo 27 de septiembre de 2014, este Organismo Nacional inició de oficio un expediente de Queja con objeto de investigar presuntas violaciones a derechos fundamentales que se habrían cometido. Asimismo, ejerció su facultad de atracción respecto a los expedientes iniciados por la entonces Comisión de Defensa de los Derechos Humanos del Estado de Guerrero.</w:t>
      </w:r>
    </w:p>
    <w:p w14:paraId="0C876523"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A partir del día 5 de octubre de 2014, la CNDH continuó el trámite de la Queja como una investigación de Violaciones Graves de Derechos Humanos bajo el número de expediente CNDH/1/2014/6432/Q/VG.</w:t>
      </w:r>
    </w:p>
    <w:p w14:paraId="413FB3D3"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Por primera vez en la CNDH, para atender de manera prioritaria un caso específico, el 18 de diciembre de 2014, se creó la “Oficina Especial Para el ‘Caso Iguala”, con la instrucción de realizar una investigación integral de los hechos violatorios a derechos humanos derivados de estos lamentables acontecimientos.</w:t>
      </w:r>
    </w:p>
    <w:p w14:paraId="43E283C3"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La Comisión Nacional de los Derechos Humanos emitió la Recomendación 15VG por Violaciones Graves a Derechos Humanos en el “Caso Iguala”, producto de una profunda investigación exhaustiva, integral, multidisciplinaria y científica cuando resultó procedente en los aspectos más controvertidos del caso y las circunstancias lo exigieron.</w:t>
      </w:r>
    </w:p>
    <w:p w14:paraId="63E5AF12"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La Recomendación que consta de un muy apretado resumen de 2,177 páginas del expediente de más de un millón de hojas, analizadas, conlleva el Informe Final de la CNDH y está construida sobre la base de una narrativa en la que la descripción de los hechos se desarrolla conjuntamente con el soporte probatorio agregado a las constancias, mostrando de manera muy cercana, a partir de la evidencia contenida en el expediente, cómo ocurrieron estos sucesos.</w:t>
      </w:r>
    </w:p>
    <w:p w14:paraId="7D7A4091"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 xml:space="preserve">La Recomendación de la CNDH es el documento más cercano a la verdad que se ha realizado de los hechos ocurridos el 26 y 27 de septiembre de 2014 en Iguala, Guerrero. </w:t>
      </w:r>
    </w:p>
    <w:p w14:paraId="560C049E"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lastRenderedPageBreak/>
        <w:t>En la parte final del Documento Recomendatorio sobre el “Caso Iguala”, se ubican las Recomendaciones específicas dirigidas a las diversas autoridades, de los tres niveles de Gobierno.</w:t>
      </w:r>
    </w:p>
    <w:p w14:paraId="261A0AAD"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En la Recomendación se formularon un total de 120 Puntos Recomendatorios dirigidos a 17 autoridades tanto del orden federal, como del estatal y municipal. De igual modo, se remitió copia de conocimiento a 5 autoridades para realizar 8 acciones derivadas de estos puntos recomendatorios. En ese sentido, se plantean un total de 128 Puntos Recomendatorios.</w:t>
      </w:r>
    </w:p>
    <w:p w14:paraId="50184A31"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En la Recomendación se ha planteado la importancia del hallazgo de 41 porciones petrosas de huesos temporales detectadas en las investigaciones, además de 52 fragmentos óseos y 21 elementos odontológicos susceptibles de someterse a pruebas de ADN de acuerdo con la estimación del equipo pericial de la CNDH para avanzar en la determinación del destino de los 43 normalistas desaparecidos al precisar, científicamente, si los huesos corresponden a ellos o a personas diversas.</w:t>
      </w:r>
    </w:p>
    <w:p w14:paraId="4EE30E3F"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La CNDH ha hecho públicas sus evidencias en el presente caso y reitera su disposición a que se estudien, analicen y discutan, cuestión que resulta de especial relevancia y utilidad en lo relativo a la evidencia científica y opiniones expertas.</w:t>
      </w:r>
    </w:p>
    <w:p w14:paraId="77A6558F"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La Comisión Nacional de los Derechos Humanos presentó la Recomendación sobre Violaciones Graves a Derechos Humanos. De esa manera, se dio a conocer a las víctimas y a la sociedad, desde la perspectiva de los derechos humanos, la verdad de lo ocurrido en Iguala, Guerrero, los días 26 y 27 de septiembre de 2014, en un caso abominable que se volvió emblemático de la descomposición institucional y social que enfrenta nuestro país.</w:t>
      </w:r>
    </w:p>
    <w:p w14:paraId="432D4483"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Este Organismo Nacional, ha iniciado un estricto, riguroso y detallado seguimiento a la Recomendación, con la manifiesta intención de verificar que se cumpla puntualmente y en forma cabal, con todos y cada uno de los Puntos Recomendatarios que se formularon.</w:t>
      </w:r>
    </w:p>
    <w:p w14:paraId="3AAA2F48"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La CNDH hace su pronunciamiento final sobre el “Caso Iguala” con la plena certeza de que éste se basa en las pruebas emanadas del expediente que integró, valoradas sin cortapisa alguna y con independencia de otras opiniones; con el objeto de lograr que se haga una justicia total; que las víctimas sean debidamente resarcidas y que sus conclusiones y recomendaciones sean un referente nacional para que hechos de esta naturaleza no se repitan nunca más en nuestro país.</w:t>
      </w:r>
    </w:p>
    <w:p w14:paraId="2DE4A0E5" w14:textId="77777777" w:rsidR="00D35E43" w:rsidRPr="00B754D8" w:rsidRDefault="00CD7861">
      <w:pPr>
        <w:pStyle w:val="CuerpoB"/>
        <w:spacing w:after="160" w:line="259" w:lineRule="auto"/>
        <w:jc w:val="both"/>
        <w:rPr>
          <w:rStyle w:val="Ninguno"/>
          <w:rFonts w:ascii="Arial" w:eastAsia="Arial" w:hAnsi="Arial" w:cs="Arial"/>
          <w:b/>
          <w:bCs/>
        </w:rPr>
      </w:pPr>
      <w:r w:rsidRPr="00B754D8">
        <w:rPr>
          <w:rStyle w:val="Ninguno"/>
          <w:rFonts w:ascii="Arial" w:hAnsi="Arial"/>
          <w:b/>
          <w:bCs/>
        </w:rPr>
        <w:t>Retos para el Estado Mexicano</w:t>
      </w:r>
    </w:p>
    <w:p w14:paraId="36FD2C76" w14:textId="77777777" w:rsidR="00D35E43" w:rsidRPr="00B754D8" w:rsidRDefault="00CD7861">
      <w:pPr>
        <w:pStyle w:val="CuerpoB"/>
        <w:numPr>
          <w:ilvl w:val="0"/>
          <w:numId w:val="130"/>
        </w:numPr>
        <w:spacing w:after="160" w:line="259" w:lineRule="auto"/>
        <w:jc w:val="both"/>
        <w:rPr>
          <w:rFonts w:ascii="Arial" w:hAnsi="Arial"/>
        </w:rPr>
      </w:pPr>
      <w:r w:rsidRPr="00B754D8">
        <w:rPr>
          <w:rStyle w:val="Ninguno"/>
          <w:rFonts w:ascii="Arial" w:hAnsi="Arial"/>
        </w:rPr>
        <w:t xml:space="preserve">Dar cumplimiento a la Recomendación de la CNDH en el “Caso Iguala” a fin de salvaguardar el respeto a los derechos humanos y como garantía de no repetición, para que hechos como los ocurridos en este caso no vuelvan a suceder, para lo cual, la Secretaría de Gobernación podrá articular los esfuerzos de las dependencias, en su respectivo ámbito de su competencia. </w:t>
      </w:r>
    </w:p>
    <w:p w14:paraId="299F7858" w14:textId="77777777" w:rsidR="00D35E43" w:rsidRPr="00B754D8" w:rsidRDefault="00CD7861">
      <w:pPr>
        <w:pStyle w:val="CuerpoB"/>
        <w:numPr>
          <w:ilvl w:val="0"/>
          <w:numId w:val="130"/>
        </w:numPr>
        <w:spacing w:after="160" w:line="259" w:lineRule="auto"/>
        <w:jc w:val="both"/>
        <w:rPr>
          <w:rFonts w:ascii="Arial" w:hAnsi="Arial"/>
        </w:rPr>
      </w:pPr>
      <w:r w:rsidRPr="00B754D8">
        <w:rPr>
          <w:rStyle w:val="Ninguno"/>
          <w:rFonts w:ascii="Arial" w:hAnsi="Arial"/>
        </w:rPr>
        <w:lastRenderedPageBreak/>
        <w:t>Acelerar las investigaciones que lleve a cabo la Fiscalía General de la República, respecto a todos los aspectos a dilucidar, incluida la actuación de Elementos Militares Adscritos al 27/o. Batallón de Infantería, frente a los Acontecimientos Ocurridos el 26 y 27 de septiembre de 2014, en Iguala Guerrero.</w:t>
      </w:r>
    </w:p>
    <w:p w14:paraId="65D89AC3" w14:textId="77777777" w:rsidR="00D35E43" w:rsidRPr="00B754D8" w:rsidRDefault="00CD7861">
      <w:pPr>
        <w:pStyle w:val="CuerpoA"/>
        <w:numPr>
          <w:ilvl w:val="0"/>
          <w:numId w:val="131"/>
        </w:numPr>
        <w:jc w:val="both"/>
        <w:rPr>
          <w:rFonts w:ascii="Arial" w:hAnsi="Arial"/>
          <w:b/>
          <w:bCs/>
          <w:sz w:val="24"/>
          <w:szCs w:val="24"/>
        </w:rPr>
      </w:pPr>
      <w:r w:rsidRPr="00B754D8">
        <w:rPr>
          <w:rStyle w:val="Ninguno"/>
          <w:rFonts w:ascii="Arial" w:hAnsi="Arial"/>
          <w:b/>
          <w:bCs/>
          <w:sz w:val="24"/>
          <w:szCs w:val="24"/>
        </w:rPr>
        <w:t>Desapariciones Forzadas</w:t>
      </w:r>
    </w:p>
    <w:p w14:paraId="41B62007" w14:textId="77777777" w:rsidR="00D35E43" w:rsidRPr="00B754D8" w:rsidRDefault="00CD7861">
      <w:pPr>
        <w:pStyle w:val="CuerpoB"/>
        <w:jc w:val="both"/>
        <w:rPr>
          <w:rStyle w:val="Ninguno"/>
          <w:rFonts w:ascii="Arial" w:eastAsia="Arial" w:hAnsi="Arial" w:cs="Arial"/>
          <w:b/>
          <w:bCs/>
        </w:rPr>
      </w:pPr>
      <w:r w:rsidRPr="00B754D8">
        <w:rPr>
          <w:rStyle w:val="Ninguno"/>
          <w:rFonts w:ascii="Arial" w:hAnsi="Arial"/>
          <w:b/>
          <w:bCs/>
        </w:rPr>
        <w:t>Contexto.</w:t>
      </w:r>
    </w:p>
    <w:p w14:paraId="02F789AF" w14:textId="77777777" w:rsidR="00D35E43" w:rsidRPr="00B754D8" w:rsidRDefault="00CD7861">
      <w:pPr>
        <w:pStyle w:val="CuerpoB"/>
        <w:jc w:val="both"/>
        <w:rPr>
          <w:rStyle w:val="Ninguno"/>
          <w:rFonts w:ascii="Arial" w:eastAsia="Arial" w:hAnsi="Arial" w:cs="Arial"/>
          <w:b/>
          <w:bCs/>
        </w:rPr>
      </w:pPr>
      <w:r w:rsidRPr="00B754D8">
        <w:rPr>
          <w:rStyle w:val="Ninguno"/>
          <w:rFonts w:ascii="Arial" w:hAnsi="Arial"/>
        </w:rPr>
        <w:t>México presenta un grave problema de desaparición de personas a causa, principalmente, de la conjunción de corrupción, impunidad, violencia, inseguridad y colusión de personas servidoras públicas con la delincuencia organizada, que se agudiza con las condiciones de desigualdad y pobreza extrema que impiden el desarrollo social en el país, así como de la ausencia de coordinación interinstitucional eficaz entre las distintas autoridades del Estado mexicano encargadas de la búsqueda y localización de personas. La Comisión Nacional de Búsqueda (CNB) reportó tener registro de </w:t>
      </w:r>
      <w:r w:rsidRPr="00B754D8">
        <w:rPr>
          <w:rStyle w:val="Ninguno"/>
          <w:rFonts w:ascii="Arial" w:hAnsi="Arial"/>
          <w:b/>
          <w:bCs/>
        </w:rPr>
        <w:t>40,180 desaparecidos en todo el país</w:t>
      </w:r>
      <w:r w:rsidRPr="00B754D8">
        <w:rPr>
          <w:rStyle w:val="Ninguno"/>
          <w:rFonts w:ascii="Arial" w:hAnsi="Arial"/>
        </w:rPr>
        <w:t> </w:t>
      </w:r>
      <w:r w:rsidRPr="00B754D8">
        <w:rPr>
          <w:rStyle w:val="Ninguno"/>
          <w:rFonts w:ascii="Arial" w:hAnsi="Arial"/>
          <w:b/>
          <w:bCs/>
        </w:rPr>
        <w:t>a enero de 2019.</w:t>
      </w:r>
      <w:r w:rsidRPr="00B754D8">
        <w:rPr>
          <w:rStyle w:val="Ninguno"/>
        </w:rPr>
        <w:t xml:space="preserve"> </w:t>
      </w:r>
    </w:p>
    <w:p w14:paraId="6D69A995" w14:textId="77777777" w:rsidR="00D35E43" w:rsidRPr="00B754D8" w:rsidRDefault="00D35E43">
      <w:pPr>
        <w:pStyle w:val="CuerpoB"/>
        <w:jc w:val="both"/>
        <w:rPr>
          <w:rStyle w:val="Ninguno"/>
          <w:rFonts w:ascii="Arial" w:eastAsia="Arial" w:hAnsi="Arial" w:cs="Arial"/>
        </w:rPr>
      </w:pPr>
    </w:p>
    <w:p w14:paraId="099B9D04" w14:textId="77777777" w:rsidR="00D35E43" w:rsidRPr="00B754D8" w:rsidRDefault="00CD7861">
      <w:pPr>
        <w:pStyle w:val="CuerpoB"/>
        <w:jc w:val="both"/>
        <w:rPr>
          <w:rStyle w:val="Ninguno"/>
          <w:rFonts w:ascii="Arial" w:eastAsia="Arial" w:hAnsi="Arial" w:cs="Arial"/>
          <w:b/>
          <w:bCs/>
        </w:rPr>
      </w:pPr>
      <w:r w:rsidRPr="00B754D8">
        <w:rPr>
          <w:rStyle w:val="Ninguno"/>
          <w:rFonts w:ascii="Arial" w:hAnsi="Arial"/>
        </w:rPr>
        <w:t xml:space="preserve">Asimismo, del 1 de enero de 2007 al mes de septiembre de 2016, las instancias de procuración de justicia de las entidades federativas reportaron el hallazgo de 855 fosas clandestinas, de cuyo interior se habían exhumado 1,548 cadáveres y/o restos óseos.  </w:t>
      </w:r>
    </w:p>
    <w:p w14:paraId="31E34B71" w14:textId="77777777" w:rsidR="00D35E43" w:rsidRPr="00B754D8" w:rsidRDefault="00D35E43">
      <w:pPr>
        <w:pStyle w:val="CuerpoB"/>
        <w:jc w:val="both"/>
        <w:rPr>
          <w:rStyle w:val="Ninguno"/>
          <w:rFonts w:ascii="Arial" w:eastAsia="Arial" w:hAnsi="Arial" w:cs="Arial"/>
        </w:rPr>
      </w:pPr>
    </w:p>
    <w:p w14:paraId="77D1EF3C" w14:textId="77777777" w:rsidR="00D35E43" w:rsidRPr="00B754D8" w:rsidRDefault="00CD7861">
      <w:pPr>
        <w:pStyle w:val="CuerpoB"/>
        <w:jc w:val="both"/>
        <w:rPr>
          <w:rStyle w:val="Ninguno"/>
          <w:rFonts w:ascii="Arial" w:eastAsia="Arial" w:hAnsi="Arial" w:cs="Arial"/>
        </w:rPr>
      </w:pPr>
      <w:r w:rsidRPr="00B754D8">
        <w:rPr>
          <w:rStyle w:val="Ninguno"/>
          <w:rFonts w:ascii="Arial" w:hAnsi="Arial"/>
        </w:rPr>
        <w:t>Si bien es cierto que en los últimos dos años el Estado mexicano ha emprendido diversas acciones legislativas para hacer frente al flagelo de la desaparición de personas, así como para reconocer y garantizar los derechos de las víctimas del delito y de violaciones a derechos humanos, también lo es que no existe una adecuada aplicación y materialización de las leyes que para tal efecto se han promulgado.</w:t>
      </w:r>
    </w:p>
    <w:p w14:paraId="4BD3D20C" w14:textId="77777777" w:rsidR="00D35E43" w:rsidRPr="00B754D8" w:rsidRDefault="00D35E43">
      <w:pPr>
        <w:pStyle w:val="CuerpoB"/>
        <w:jc w:val="both"/>
        <w:rPr>
          <w:rStyle w:val="Ninguno"/>
          <w:rFonts w:ascii="Arial" w:eastAsia="Arial" w:hAnsi="Arial" w:cs="Arial"/>
        </w:rPr>
      </w:pPr>
    </w:p>
    <w:p w14:paraId="182DFCF0" w14:textId="77777777" w:rsidR="00D35E43" w:rsidRPr="00B754D8" w:rsidRDefault="00CD7861">
      <w:pPr>
        <w:pStyle w:val="CuerpoB"/>
        <w:jc w:val="both"/>
        <w:rPr>
          <w:rStyle w:val="Ninguno"/>
          <w:rFonts w:ascii="Arial" w:eastAsia="Arial" w:hAnsi="Arial" w:cs="Arial"/>
        </w:rPr>
      </w:pPr>
      <w:r w:rsidRPr="00B754D8">
        <w:rPr>
          <w:rStyle w:val="Ninguno"/>
          <w:rFonts w:ascii="Arial" w:hAnsi="Arial"/>
        </w:rPr>
        <w:t>Sin embargo, hay que reconocer los siguientes avances en la materia</w:t>
      </w:r>
    </w:p>
    <w:p w14:paraId="374D5037" w14:textId="77777777" w:rsidR="00D35E43" w:rsidRPr="00B754D8" w:rsidRDefault="00CD7861">
      <w:pPr>
        <w:pStyle w:val="Prrafodelista"/>
        <w:numPr>
          <w:ilvl w:val="0"/>
          <w:numId w:val="133"/>
        </w:numPr>
        <w:jc w:val="both"/>
        <w:rPr>
          <w:rFonts w:ascii="Arial" w:hAnsi="Arial"/>
          <w:sz w:val="24"/>
          <w:szCs w:val="24"/>
        </w:rPr>
      </w:pPr>
      <w:r w:rsidRPr="00B754D8">
        <w:rPr>
          <w:rStyle w:val="Ninguno"/>
          <w:rFonts w:ascii="Arial" w:hAnsi="Arial"/>
          <w:sz w:val="24"/>
          <w:szCs w:val="24"/>
        </w:rPr>
        <w:t xml:space="preserve">Instalación </w:t>
      </w:r>
      <w:r w:rsidRPr="0091511D">
        <w:rPr>
          <w:rStyle w:val="Ninguno"/>
          <w:rFonts w:ascii="Arial" w:eastAsia="Arial Unicode MS" w:hAnsi="Arial" w:cs="Arial Unicode MS"/>
          <w:sz w:val="24"/>
          <w:szCs w:val="24"/>
          <w14:textOutline w14:w="12700" w14:cap="flat" w14:cmpd="sng" w14:algn="ctr">
            <w14:noFill/>
            <w14:prstDash w14:val="solid"/>
            <w14:miter w14:lim="400000"/>
          </w14:textOutline>
        </w:rPr>
        <w:t>parcial del</w:t>
      </w:r>
      <w:r w:rsidRPr="00B754D8">
        <w:rPr>
          <w:rStyle w:val="Ninguno"/>
          <w:rFonts w:ascii="Arial" w:hAnsi="Arial"/>
          <w:sz w:val="24"/>
          <w:szCs w:val="24"/>
        </w:rPr>
        <w:t xml:space="preserve"> Sistema Nacional de Búsqueda de Personas;</w:t>
      </w:r>
    </w:p>
    <w:p w14:paraId="2C0B1D55" w14:textId="77777777" w:rsidR="00D35E43" w:rsidRPr="00B754D8" w:rsidRDefault="00CD7861">
      <w:pPr>
        <w:pStyle w:val="Prrafodelista"/>
        <w:numPr>
          <w:ilvl w:val="0"/>
          <w:numId w:val="133"/>
        </w:numPr>
        <w:jc w:val="both"/>
        <w:rPr>
          <w:rFonts w:ascii="Arial" w:hAnsi="Arial"/>
          <w:sz w:val="24"/>
          <w:szCs w:val="24"/>
        </w:rPr>
      </w:pPr>
      <w:r w:rsidRPr="00B754D8">
        <w:rPr>
          <w:rStyle w:val="Ninguno"/>
          <w:rFonts w:ascii="Arial" w:hAnsi="Arial"/>
          <w:sz w:val="24"/>
          <w:szCs w:val="24"/>
        </w:rPr>
        <w:t>Emisión del Protocolo Homologado de Investigación para los delitos de Desaparición Forzada y desaparición cometida por particulares;</w:t>
      </w:r>
    </w:p>
    <w:p w14:paraId="41710711" w14:textId="77777777" w:rsidR="00D35E43" w:rsidRPr="00B754D8" w:rsidRDefault="00CD7861">
      <w:pPr>
        <w:pStyle w:val="Prrafodelista"/>
        <w:numPr>
          <w:ilvl w:val="0"/>
          <w:numId w:val="133"/>
        </w:numPr>
        <w:jc w:val="both"/>
        <w:rPr>
          <w:rFonts w:ascii="Arial" w:hAnsi="Arial"/>
          <w:sz w:val="24"/>
          <w:szCs w:val="24"/>
        </w:rPr>
      </w:pPr>
      <w:r w:rsidRPr="00B754D8">
        <w:rPr>
          <w:rStyle w:val="Ninguno"/>
          <w:rFonts w:ascii="Arial" w:hAnsi="Arial"/>
          <w:sz w:val="24"/>
          <w:szCs w:val="24"/>
        </w:rPr>
        <w:t>Instalación de la Comisión Nacional de Búsqueda y 23 Comisiones Locales de Búsqueda (Baja California, Campeche, Chihuahua, Ciudad de México, Coahuila, Colima, Durango, México, Guerrero, Hidalgo, Jalisco, Michoacán, Morelos, Nayarit, Nuevo León, Querétaro, San Luis Potosí, Sinaloa, Tabasco, Tamaulipas, Tlaxcala, Veracruz y Zacatecas); y</w:t>
      </w:r>
    </w:p>
    <w:p w14:paraId="2828F211" w14:textId="77777777" w:rsidR="00D35E43" w:rsidRPr="00B754D8" w:rsidRDefault="00CD7861">
      <w:pPr>
        <w:pStyle w:val="Prrafodelista"/>
        <w:numPr>
          <w:ilvl w:val="0"/>
          <w:numId w:val="133"/>
        </w:numPr>
        <w:jc w:val="both"/>
        <w:rPr>
          <w:rFonts w:ascii="Arial" w:hAnsi="Arial"/>
          <w:sz w:val="24"/>
          <w:szCs w:val="24"/>
        </w:rPr>
      </w:pPr>
      <w:r w:rsidRPr="00B754D8">
        <w:rPr>
          <w:rStyle w:val="Ninguno"/>
          <w:rFonts w:ascii="Arial" w:hAnsi="Arial"/>
          <w:sz w:val="24"/>
          <w:szCs w:val="24"/>
        </w:rPr>
        <w:t>Creación de la Fiscalía Especializada en Investigación de los Delitos de Desaparición Forzada de la Fiscalía General de la República y 26 Fiscalías Especializadas de las Entidades Federativas</w:t>
      </w:r>
    </w:p>
    <w:p w14:paraId="45DB3650" w14:textId="77777777" w:rsidR="00D35E43" w:rsidRPr="00B754D8" w:rsidRDefault="00D35E43">
      <w:pPr>
        <w:pStyle w:val="CuerpoB"/>
        <w:jc w:val="both"/>
        <w:rPr>
          <w:rStyle w:val="Ninguno"/>
          <w:rFonts w:ascii="Arial" w:eastAsia="Arial" w:hAnsi="Arial" w:cs="Arial"/>
        </w:rPr>
      </w:pPr>
    </w:p>
    <w:p w14:paraId="05BF877D" w14:textId="77777777" w:rsidR="00D35E43" w:rsidRPr="00B754D8" w:rsidRDefault="00CD7861">
      <w:pPr>
        <w:pStyle w:val="CuerpoB"/>
        <w:jc w:val="both"/>
        <w:rPr>
          <w:rStyle w:val="Ninguno"/>
          <w:rFonts w:ascii="Arial" w:eastAsia="Arial" w:hAnsi="Arial" w:cs="Arial"/>
        </w:rPr>
      </w:pPr>
      <w:r w:rsidRPr="00B754D8">
        <w:rPr>
          <w:rStyle w:val="Ninguno"/>
          <w:rFonts w:ascii="Arial" w:hAnsi="Arial"/>
        </w:rPr>
        <w:lastRenderedPageBreak/>
        <w:t>El 27 de mayo de 2019 se publicó, la Ley Nacional del Registro de Detenciones, se encuentra en fase de implementación el Registro Administrativo de Detenciones.</w:t>
      </w:r>
    </w:p>
    <w:p w14:paraId="1FBD7385" w14:textId="77777777" w:rsidR="00D35E43" w:rsidRPr="00B754D8" w:rsidRDefault="00D35E43">
      <w:pPr>
        <w:pStyle w:val="CuerpoB"/>
        <w:jc w:val="both"/>
        <w:rPr>
          <w:rStyle w:val="Ninguno"/>
          <w:rFonts w:ascii="Arial" w:eastAsia="Arial" w:hAnsi="Arial" w:cs="Arial"/>
        </w:rPr>
      </w:pPr>
    </w:p>
    <w:p w14:paraId="42057621" w14:textId="77777777" w:rsidR="00D35E43" w:rsidRPr="00B754D8" w:rsidRDefault="00CD7861">
      <w:pPr>
        <w:pStyle w:val="CuerpoB"/>
        <w:jc w:val="both"/>
        <w:rPr>
          <w:rStyle w:val="Ninguno"/>
          <w:rFonts w:ascii="Arial" w:eastAsia="Arial" w:hAnsi="Arial" w:cs="Arial"/>
        </w:rPr>
      </w:pPr>
      <w:r w:rsidRPr="00B754D8">
        <w:rPr>
          <w:rStyle w:val="Ninguno"/>
          <w:rFonts w:ascii="Arial" w:hAnsi="Arial"/>
        </w:rPr>
        <w:t xml:space="preserve">En el ámbito de competencia de los gobiernos estatales, resulta indispensable la conformación de la totalidad de las Comisiones Locales de Búsqueda y de las Fiscalías especializadas para la investigación y persecución de los delitos de desaparición forzada de personas y la cometida por particulares, así como la armonización de la legislación respectiva en materia de declaración especial de ausencia. </w:t>
      </w:r>
    </w:p>
    <w:p w14:paraId="6691AE65" w14:textId="77777777" w:rsidR="00D35E43" w:rsidRPr="00B754D8" w:rsidRDefault="00D35E43">
      <w:pPr>
        <w:pStyle w:val="CuerpoB"/>
        <w:jc w:val="both"/>
        <w:rPr>
          <w:rStyle w:val="Ninguno"/>
          <w:rFonts w:ascii="Arial" w:eastAsia="Arial" w:hAnsi="Arial" w:cs="Arial"/>
          <w:b/>
          <w:bCs/>
        </w:rPr>
      </w:pPr>
    </w:p>
    <w:p w14:paraId="7DDC53CC" w14:textId="77777777" w:rsidR="00D35E43" w:rsidRPr="00B754D8" w:rsidRDefault="00CD7861">
      <w:pPr>
        <w:pStyle w:val="CuerpoB"/>
        <w:jc w:val="both"/>
        <w:rPr>
          <w:rStyle w:val="Ninguno"/>
          <w:rFonts w:ascii="Arial" w:eastAsia="Arial" w:hAnsi="Arial" w:cs="Arial"/>
        </w:rPr>
      </w:pPr>
      <w:r w:rsidRPr="00B754D8">
        <w:rPr>
          <w:rStyle w:val="Ninguno"/>
          <w:rFonts w:ascii="Arial" w:hAnsi="Arial"/>
        </w:rPr>
        <w:t xml:space="preserve">Aunado a lo anterior, es prioritario para el Estado mexicano el Registro Nacional de Personas Desaparecidas o No Localizadas y los registros locales correspondientes que privilegien una metodología eficiente que permita distinguir las desapariciones forzadas, de las atribuidas a particulares o miembros de la delincuencia organizada, así como de aquellas en las que se desconoce el paradero de la persona por causas distintas a la comisión de un delito. Por otra parte, a efecto de contar con herramientas adicionales que permitan el cotejo continuo de información orientada a la localización de personas desaparecidas, es necesario fortalecer el Registro Administrativo de Detenciones a que se refiere la Ley General del Sistema Nacional de Seguridad Pública. </w:t>
      </w:r>
    </w:p>
    <w:p w14:paraId="0887A3A9" w14:textId="77777777" w:rsidR="00D35E43" w:rsidRPr="00B754D8" w:rsidRDefault="00D35E43">
      <w:pPr>
        <w:pStyle w:val="CuerpoB"/>
        <w:jc w:val="both"/>
        <w:rPr>
          <w:rStyle w:val="Ninguno"/>
          <w:rFonts w:ascii="Arial" w:eastAsia="Arial" w:hAnsi="Arial" w:cs="Arial"/>
        </w:rPr>
      </w:pPr>
    </w:p>
    <w:p w14:paraId="569E4942" w14:textId="77777777" w:rsidR="00D35E43" w:rsidRPr="00B754D8" w:rsidRDefault="00CD7861">
      <w:pPr>
        <w:pStyle w:val="Prrafodelista"/>
        <w:jc w:val="both"/>
        <w:rPr>
          <w:rStyle w:val="Ninguno"/>
          <w:rFonts w:ascii="Arial" w:eastAsia="Arial" w:hAnsi="Arial" w:cs="Arial"/>
          <w:b/>
          <w:bCs/>
          <w:sz w:val="24"/>
          <w:szCs w:val="24"/>
        </w:rPr>
      </w:pPr>
      <w:r w:rsidRPr="00B754D8">
        <w:rPr>
          <w:rStyle w:val="Ninguno"/>
          <w:rFonts w:ascii="Arial" w:hAnsi="Arial"/>
          <w:b/>
          <w:bCs/>
          <w:sz w:val="24"/>
          <w:szCs w:val="24"/>
        </w:rPr>
        <w:t xml:space="preserve">Actividades de la CNDH </w:t>
      </w:r>
    </w:p>
    <w:p w14:paraId="116D5207" w14:textId="77777777" w:rsidR="00D35E43" w:rsidRPr="00B754D8" w:rsidRDefault="00CD7861">
      <w:pPr>
        <w:pStyle w:val="CuerpoB"/>
        <w:jc w:val="both"/>
        <w:rPr>
          <w:rStyle w:val="Ninguno"/>
          <w:rFonts w:ascii="Arial" w:eastAsia="Arial" w:hAnsi="Arial" w:cs="Arial"/>
        </w:rPr>
      </w:pPr>
      <w:r w:rsidRPr="00B754D8">
        <w:rPr>
          <w:rStyle w:val="Ninguno"/>
          <w:rFonts w:ascii="Arial" w:hAnsi="Arial"/>
        </w:rPr>
        <w:t>En materia de desaparición de personas y hallazgo de fosas clandestinas, se emitieron 2 recomendaciones por violaciones graves a derechos humanos en materia de desaparición forzada; acompañamientos a familiares de personas desaparecidas y seguimiento a la implementación de la Ley General en Materia de Desaparición Forzada de Personas, Desaparición Cometida por Particulares y del Sistema Nacional de Búsqueda de Personas.</w:t>
      </w:r>
    </w:p>
    <w:p w14:paraId="29F0A359" w14:textId="77777777" w:rsidR="00D35E43" w:rsidRPr="00B754D8" w:rsidRDefault="00D35E43">
      <w:pPr>
        <w:pStyle w:val="CuerpoB"/>
        <w:jc w:val="both"/>
        <w:rPr>
          <w:rStyle w:val="Ninguno"/>
          <w:rFonts w:ascii="Arial" w:eastAsia="Arial" w:hAnsi="Arial" w:cs="Arial"/>
        </w:rPr>
      </w:pPr>
    </w:p>
    <w:p w14:paraId="0FB747C8" w14:textId="77777777" w:rsidR="00D35E43" w:rsidRPr="00B754D8" w:rsidRDefault="00CD7861">
      <w:pPr>
        <w:pStyle w:val="CuerpoB"/>
        <w:jc w:val="both"/>
        <w:rPr>
          <w:rStyle w:val="Ninguno"/>
          <w:rFonts w:ascii="Arial" w:eastAsia="Arial" w:hAnsi="Arial" w:cs="Arial"/>
        </w:rPr>
      </w:pPr>
      <w:r w:rsidRPr="00B754D8">
        <w:rPr>
          <w:rStyle w:val="Ninguno"/>
          <w:rFonts w:ascii="Arial" w:hAnsi="Arial"/>
        </w:rPr>
        <w:t>La CNDH elaboró el Informe Especial de la Comisión Nacional de los Derechos Humanos sobre Desaparición de Personas y Fosas Clandestinas en México, publicado el 6 de abril de 2017, se formularon 102 propuestas para la atención integral del problema de la desaparición de personas en el país, dirigidas a las siguientes autoridades: al Secretario de Gobernación, al Congreso de la Unión, a la Cámara de Senadores, a los Gobernadores de los estados y al Jefe de Gobierno de la Ciudad de México, al Comisionado Ejecutivo de la Comisión Ejecutiva de Atención a Víctimas, a las Legislaturas de los estados y Asamblea Legislativa de la Ciudad de México, a los Titulares de la Procuraduría General de la República y de las Procuradurías y Fiscalías Generales de Justicia de las entidades federativas del país.</w:t>
      </w:r>
    </w:p>
    <w:p w14:paraId="05496AD9" w14:textId="77777777" w:rsidR="00D35E43" w:rsidRPr="00B754D8" w:rsidRDefault="00D35E43">
      <w:pPr>
        <w:pStyle w:val="CuerpoB"/>
        <w:jc w:val="both"/>
        <w:rPr>
          <w:rStyle w:val="Ninguno"/>
          <w:rFonts w:ascii="Arial" w:eastAsia="Arial" w:hAnsi="Arial" w:cs="Arial"/>
        </w:rPr>
      </w:pPr>
    </w:p>
    <w:p w14:paraId="6C94BA3B" w14:textId="77777777" w:rsidR="00D35E43" w:rsidRPr="00B754D8" w:rsidRDefault="00CD7861">
      <w:pPr>
        <w:pStyle w:val="CuerpoB"/>
        <w:jc w:val="both"/>
        <w:rPr>
          <w:rStyle w:val="Ninguno"/>
          <w:rFonts w:ascii="Arial" w:eastAsia="Arial" w:hAnsi="Arial" w:cs="Arial"/>
        </w:rPr>
      </w:pPr>
      <w:r w:rsidRPr="00B754D8">
        <w:rPr>
          <w:rStyle w:val="Ninguno"/>
          <w:rFonts w:ascii="Arial" w:hAnsi="Arial"/>
        </w:rPr>
        <w:t xml:space="preserve">En materia de acompañamiento a víctimas, incluidos familiares de personas desaparecidas, destacan búsquedas en centros penitenciarios, servicios médicos forenses y centros de salud, así como de fosas clandestinas; revisión de expedientes ministeriales; campañas de toma de muestras genéticas; diligencias ministeriales de exhumación de cuerpos; notificación de resultados de identificación </w:t>
      </w:r>
      <w:r w:rsidRPr="00B754D8">
        <w:rPr>
          <w:rStyle w:val="Ninguno"/>
          <w:rFonts w:ascii="Arial" w:hAnsi="Arial"/>
        </w:rPr>
        <w:lastRenderedPageBreak/>
        <w:t>forense; diligencias en diversas instituciones para proporcionar a víctimas asistencia y apoyo; reuniones de trabajo con instituciones públicas del ámbito federal y local, a fin de concertar acciones de búsqueda, seguimiento y evaluación de acuerdos relativos al tema de desaparición de personas, así como reuniones con colectivos, familiares y organizaciones de la sociedad civil.</w:t>
      </w:r>
    </w:p>
    <w:p w14:paraId="20B95A81" w14:textId="77777777" w:rsidR="00D35E43" w:rsidRPr="00B754D8" w:rsidRDefault="00D35E43">
      <w:pPr>
        <w:pStyle w:val="CuerpoB"/>
        <w:jc w:val="both"/>
        <w:rPr>
          <w:rStyle w:val="Ninguno"/>
          <w:rFonts w:ascii="Arial" w:eastAsia="Arial" w:hAnsi="Arial" w:cs="Arial"/>
        </w:rPr>
      </w:pPr>
    </w:p>
    <w:p w14:paraId="01D1BE17" w14:textId="77777777" w:rsidR="00D35E43" w:rsidRPr="00B754D8" w:rsidRDefault="00CD7861">
      <w:pPr>
        <w:pStyle w:val="CuerpoB"/>
        <w:jc w:val="both"/>
        <w:rPr>
          <w:rStyle w:val="Ninguno"/>
          <w:rFonts w:ascii="Arial" w:eastAsia="Arial" w:hAnsi="Arial" w:cs="Arial"/>
          <w:u w:val="single"/>
        </w:rPr>
      </w:pPr>
      <w:r w:rsidRPr="00B754D8">
        <w:rPr>
          <w:rStyle w:val="Ninguno"/>
          <w:rFonts w:ascii="Arial" w:hAnsi="Arial"/>
          <w:u w:val="single"/>
        </w:rPr>
        <w:t>Caso de Christian Téllez Padilla</w:t>
      </w:r>
    </w:p>
    <w:p w14:paraId="667626CF" w14:textId="77777777" w:rsidR="00D35E43" w:rsidRPr="00B754D8" w:rsidRDefault="00D35E43">
      <w:pPr>
        <w:pStyle w:val="CuerpoB"/>
        <w:jc w:val="both"/>
        <w:rPr>
          <w:rStyle w:val="Ninguno"/>
          <w:rFonts w:ascii="Arial" w:eastAsia="Arial" w:hAnsi="Arial" w:cs="Arial"/>
          <w:u w:val="single"/>
        </w:rPr>
      </w:pPr>
    </w:p>
    <w:p w14:paraId="5DBBC4B7" w14:textId="77777777" w:rsidR="00D35E43" w:rsidRPr="00B754D8" w:rsidRDefault="00CD7861">
      <w:pPr>
        <w:pStyle w:val="CuerpoB"/>
        <w:jc w:val="both"/>
        <w:rPr>
          <w:rStyle w:val="Ninguno"/>
          <w:rFonts w:ascii="Arial" w:eastAsia="Arial" w:hAnsi="Arial" w:cs="Arial"/>
        </w:rPr>
      </w:pPr>
      <w:r w:rsidRPr="00B754D8">
        <w:rPr>
          <w:rStyle w:val="Ninguno"/>
          <w:rFonts w:ascii="Arial" w:hAnsi="Arial"/>
        </w:rPr>
        <w:t xml:space="preserve">La Comisión Nacional de los Derechos Humanos (CNDH) manifiesta que observa positivo el Dictamen sobre el caso de desaparición forzada del señor </w:t>
      </w:r>
      <w:r w:rsidRPr="00B754D8">
        <w:rPr>
          <w:rStyle w:val="Ninguno"/>
          <w:rFonts w:ascii="Arial" w:hAnsi="Arial"/>
          <w:b/>
          <w:bCs/>
        </w:rPr>
        <w:t>Christian Téllez Padilla</w:t>
      </w:r>
      <w:r w:rsidRPr="00B754D8">
        <w:rPr>
          <w:rStyle w:val="Ninguno"/>
          <w:rFonts w:ascii="Arial" w:hAnsi="Arial"/>
        </w:rPr>
        <w:t xml:space="preserve">, ocurrida en 2010 en el estado de Veracruz, dado a conocer el pasado 5 de agosto en Ginebra, Suiza por el Comité de Derechos Humanos de la Organización de las Naciones Unidas (ONU), y consideró que constituye un importante precedente para nuestro país. </w:t>
      </w:r>
    </w:p>
    <w:p w14:paraId="07769872" w14:textId="77777777" w:rsidR="00D35E43" w:rsidRPr="00B754D8" w:rsidRDefault="00D35E43">
      <w:pPr>
        <w:pStyle w:val="CuerpoB"/>
        <w:jc w:val="both"/>
        <w:rPr>
          <w:rStyle w:val="Ninguno"/>
          <w:rFonts w:ascii="Arial" w:eastAsia="Arial" w:hAnsi="Arial" w:cs="Arial"/>
        </w:rPr>
      </w:pPr>
    </w:p>
    <w:p w14:paraId="6BC2F978" w14:textId="77777777" w:rsidR="00D35E43" w:rsidRPr="00B754D8" w:rsidRDefault="00CD7861">
      <w:pPr>
        <w:pStyle w:val="CuerpoB"/>
        <w:jc w:val="both"/>
        <w:rPr>
          <w:rStyle w:val="Ninguno"/>
          <w:rFonts w:ascii="Arial" w:eastAsia="Arial" w:hAnsi="Arial" w:cs="Arial"/>
        </w:rPr>
      </w:pPr>
      <w:r w:rsidRPr="00B754D8">
        <w:rPr>
          <w:rStyle w:val="Ninguno"/>
          <w:rFonts w:ascii="Arial" w:hAnsi="Arial"/>
        </w:rPr>
        <w:t xml:space="preserve">En dicho Dictamen, adoptado el 15 de julio de 2019, relativo a la comunicación Núm. 2750/2016, se requiere al Estado mexicano para que lleve a cabo una investigación exhaustiva, rigurosa, imparcial, independiente y efectiva, sobre las circunstancias del caso del señor Téllez Padilla y establece un plazo de 180 días, contados a partir de la fecha de la transmisión del propio dictamen, para informar sobre las medidas adoptadas. </w:t>
      </w:r>
    </w:p>
    <w:p w14:paraId="31E9694E" w14:textId="77777777" w:rsidR="00D35E43" w:rsidRPr="00B754D8" w:rsidRDefault="00D35E43">
      <w:pPr>
        <w:pStyle w:val="CuerpoB"/>
        <w:jc w:val="both"/>
        <w:rPr>
          <w:rStyle w:val="Ninguno"/>
          <w:rFonts w:ascii="Arial" w:eastAsia="Arial" w:hAnsi="Arial" w:cs="Arial"/>
        </w:rPr>
      </w:pPr>
    </w:p>
    <w:p w14:paraId="6279A0C9" w14:textId="77777777" w:rsidR="00D35E43" w:rsidRPr="00B754D8" w:rsidRDefault="00CD7861">
      <w:pPr>
        <w:pStyle w:val="CuerpoB"/>
        <w:jc w:val="both"/>
        <w:rPr>
          <w:rStyle w:val="Ninguno"/>
          <w:rFonts w:ascii="Arial" w:eastAsia="Arial" w:hAnsi="Arial" w:cs="Arial"/>
        </w:rPr>
      </w:pPr>
      <w:r w:rsidRPr="00B754D8">
        <w:rPr>
          <w:rStyle w:val="Ninguno"/>
          <w:rFonts w:ascii="Arial" w:hAnsi="Arial"/>
        </w:rPr>
        <w:t xml:space="preserve">Esto representa una oportunidad única para que el Estado mexicano aplique adecuadamente los estándares internaciones previstos tanto en el Pacto de Derechos Civiles y Políticos como de la Convención Internacional para la protección de todas las personas contra las Desapariciones Forzadas. </w:t>
      </w:r>
    </w:p>
    <w:p w14:paraId="6F1A3BD9" w14:textId="77777777" w:rsidR="00D35E43" w:rsidRPr="00B754D8" w:rsidRDefault="00D35E43">
      <w:pPr>
        <w:pStyle w:val="CuerpoB"/>
        <w:jc w:val="both"/>
        <w:rPr>
          <w:rStyle w:val="Ninguno"/>
          <w:rFonts w:ascii="Arial" w:eastAsia="Arial" w:hAnsi="Arial" w:cs="Arial"/>
        </w:rPr>
      </w:pPr>
    </w:p>
    <w:p w14:paraId="5C76E532" w14:textId="77777777" w:rsidR="00D35E43" w:rsidRPr="00B754D8" w:rsidRDefault="00CD7861">
      <w:pPr>
        <w:pStyle w:val="CuerpoB"/>
        <w:jc w:val="both"/>
        <w:rPr>
          <w:rStyle w:val="Ninguno"/>
          <w:rFonts w:ascii="Arial" w:eastAsia="Arial" w:hAnsi="Arial" w:cs="Arial"/>
        </w:rPr>
      </w:pPr>
      <w:r w:rsidRPr="00B754D8">
        <w:rPr>
          <w:rStyle w:val="Ninguno"/>
          <w:rFonts w:ascii="Arial" w:hAnsi="Arial"/>
        </w:rPr>
        <w:t>La trascendencia de esa resolución, en un asunto patrocinado por la Organización de Litigio Estratégico IDHEAS, radica en que concluye que los hechos relacionados con el caso del señor Christian Téllez Padilla, contienen todos los elementos propios de una desaparición forzada, lo cual representa una vulneración continuada a diversos derechos contenidos en el Pacto Internacional de Derechos Civiles y Políticos</w:t>
      </w:r>
    </w:p>
    <w:p w14:paraId="5843A89F" w14:textId="77777777" w:rsidR="00D35E43" w:rsidRPr="00B754D8" w:rsidRDefault="00D35E43">
      <w:pPr>
        <w:pStyle w:val="CuerpoB"/>
        <w:jc w:val="both"/>
        <w:rPr>
          <w:rStyle w:val="Ninguno"/>
          <w:rFonts w:ascii="Arial" w:eastAsia="Arial" w:hAnsi="Arial" w:cs="Arial"/>
        </w:rPr>
      </w:pPr>
    </w:p>
    <w:p w14:paraId="36A8C676" w14:textId="77777777" w:rsidR="00D35E43" w:rsidRPr="00B754D8" w:rsidRDefault="00CD7861">
      <w:pPr>
        <w:pStyle w:val="CuerpoB"/>
        <w:jc w:val="both"/>
        <w:rPr>
          <w:rStyle w:val="Ninguno"/>
          <w:rFonts w:ascii="Arial" w:eastAsia="Arial" w:hAnsi="Arial" w:cs="Arial"/>
        </w:rPr>
      </w:pPr>
      <w:r w:rsidRPr="00B754D8">
        <w:rPr>
          <w:rStyle w:val="Ninguno"/>
          <w:rFonts w:ascii="Arial" w:hAnsi="Arial"/>
        </w:rPr>
        <w:t xml:space="preserve"> Al respecto, esta Comisión Nacional ha reconocido públicamente que nuestro país enfrenta una de sus etapas más críticas y desafiantes en materia de Derechos Humanos y se ha pronunciado de manera reiterada en el sentido de que el Estado mexicano debe atender la problemática de la desaparición forzada de personas, la desaparición cometida por particulares y la de las personas cuyo paradero se desconoce por encontrarse extraviadas y no localizadas, con un carácter prioritario.</w:t>
      </w:r>
    </w:p>
    <w:p w14:paraId="03D26986" w14:textId="77777777" w:rsidR="00D35E43" w:rsidRPr="00B754D8" w:rsidRDefault="00D35E43">
      <w:pPr>
        <w:pStyle w:val="CuerpoB"/>
        <w:jc w:val="both"/>
        <w:rPr>
          <w:rStyle w:val="Ninguno"/>
          <w:rFonts w:ascii="Arial" w:eastAsia="Arial" w:hAnsi="Arial" w:cs="Arial"/>
        </w:rPr>
      </w:pPr>
    </w:p>
    <w:p w14:paraId="3A26E630" w14:textId="77777777" w:rsidR="00D35E43" w:rsidRPr="00B754D8" w:rsidRDefault="00CD7861">
      <w:pPr>
        <w:pStyle w:val="CuerpoB"/>
        <w:jc w:val="both"/>
        <w:rPr>
          <w:rStyle w:val="Ninguno"/>
          <w:rFonts w:ascii="Arial" w:eastAsia="Arial" w:hAnsi="Arial" w:cs="Arial"/>
        </w:rPr>
      </w:pPr>
      <w:r w:rsidRPr="00B754D8">
        <w:rPr>
          <w:rStyle w:val="Ninguno"/>
          <w:rFonts w:ascii="Arial" w:hAnsi="Arial"/>
        </w:rPr>
        <w:t xml:space="preserve">La Comisión Nacional de los Derechos Humanos, como órgano constitucional autónomo del Estado mexicano e independiente del gobierno, estará atenta a las medidas que tome nuestro país como Estado parte, para dar cumplimiento al Dictamen de la Comisión de Derechos Humanos de la ONU y expresa nuevamente su firme propósito de contribuir, de conformidad con sus atribuciones </w:t>
      </w:r>
      <w:r w:rsidRPr="00B754D8">
        <w:rPr>
          <w:rStyle w:val="Ninguno"/>
          <w:rFonts w:ascii="Arial" w:hAnsi="Arial"/>
        </w:rPr>
        <w:lastRenderedPageBreak/>
        <w:t>constitucionales y legales, al esclarecimiento de casos sobre violaciones graves a los Derechos Humanos y en particular, los de desaparición de personas.</w:t>
      </w:r>
    </w:p>
    <w:p w14:paraId="0159953C" w14:textId="77777777" w:rsidR="00D35E43" w:rsidRPr="00B754D8" w:rsidRDefault="00D35E43">
      <w:pPr>
        <w:pStyle w:val="CuerpoB"/>
        <w:jc w:val="both"/>
        <w:rPr>
          <w:rStyle w:val="Ninguno"/>
          <w:rFonts w:ascii="Arial" w:eastAsia="Arial" w:hAnsi="Arial" w:cs="Arial"/>
          <w:u w:val="single"/>
        </w:rPr>
      </w:pPr>
    </w:p>
    <w:p w14:paraId="64BED172" w14:textId="77777777" w:rsidR="00D35E43" w:rsidRPr="00B754D8" w:rsidRDefault="00CD7861">
      <w:pPr>
        <w:pStyle w:val="CuerpoB"/>
        <w:jc w:val="both"/>
        <w:rPr>
          <w:rStyle w:val="Ninguno"/>
          <w:rFonts w:ascii="Arial" w:eastAsia="Arial" w:hAnsi="Arial" w:cs="Arial"/>
          <w:u w:val="single"/>
        </w:rPr>
      </w:pPr>
      <w:r w:rsidRPr="00B754D8">
        <w:rPr>
          <w:rStyle w:val="Ninguno"/>
          <w:rFonts w:ascii="Arial" w:hAnsi="Arial"/>
          <w:u w:val="single"/>
        </w:rPr>
        <w:t xml:space="preserve">La CNDH y su interacción con el Comité contra las Desapariciones Forzadas de la ONU </w:t>
      </w:r>
    </w:p>
    <w:p w14:paraId="0775FA87" w14:textId="77777777" w:rsidR="00D35E43" w:rsidRPr="00B754D8" w:rsidRDefault="00D35E43">
      <w:pPr>
        <w:pStyle w:val="CuerpoB"/>
        <w:jc w:val="both"/>
        <w:rPr>
          <w:rStyle w:val="Ninguno"/>
          <w:rFonts w:ascii="Arial" w:eastAsia="Arial" w:hAnsi="Arial" w:cs="Arial"/>
          <w:u w:val="single"/>
        </w:rPr>
      </w:pPr>
    </w:p>
    <w:p w14:paraId="5418D280" w14:textId="77777777" w:rsidR="00D35E43" w:rsidRPr="00B754D8" w:rsidRDefault="00CD7861">
      <w:pPr>
        <w:pStyle w:val="CuerpoB"/>
        <w:jc w:val="both"/>
        <w:rPr>
          <w:rStyle w:val="Ninguno"/>
          <w:rFonts w:ascii="Arial" w:eastAsia="Arial" w:hAnsi="Arial" w:cs="Arial"/>
        </w:rPr>
      </w:pPr>
      <w:r w:rsidRPr="00B754D8">
        <w:rPr>
          <w:rStyle w:val="Ninguno"/>
          <w:rFonts w:ascii="Arial" w:hAnsi="Arial"/>
        </w:rPr>
        <w:t xml:space="preserve">En febrero de 2015, la CNDH en su carácter de organismo autónomo, participó en la </w:t>
      </w:r>
      <w:r w:rsidRPr="00B754D8">
        <w:rPr>
          <w:rStyle w:val="Ninguno"/>
          <w:rFonts w:ascii="Arial" w:hAnsi="Arial"/>
          <w:b/>
          <w:bCs/>
        </w:rPr>
        <w:t>sustentación del Informe de México ante el Comité contra la Desaparición Forzada</w:t>
      </w:r>
      <w:r w:rsidRPr="00B754D8">
        <w:rPr>
          <w:rStyle w:val="Ninguno"/>
          <w:rFonts w:ascii="Arial" w:hAnsi="Arial"/>
        </w:rPr>
        <w:t xml:space="preserve"> además sostuvo encuentros privados con los expertos del Comité y con el Grupo de Trabajo sobre Desapariciones Forzadas o Involuntarias, a los cuales hizo entrega de Informes sobre la situación de las desapariciones en México.</w:t>
      </w:r>
    </w:p>
    <w:p w14:paraId="575060F3" w14:textId="77777777" w:rsidR="00D35E43" w:rsidRPr="00B754D8" w:rsidRDefault="00D35E43">
      <w:pPr>
        <w:pStyle w:val="CuerpoB"/>
        <w:jc w:val="both"/>
        <w:rPr>
          <w:rStyle w:val="Ninguno"/>
          <w:rFonts w:ascii="Arial" w:eastAsia="Arial" w:hAnsi="Arial" w:cs="Arial"/>
        </w:rPr>
      </w:pPr>
    </w:p>
    <w:p w14:paraId="41A42C0F" w14:textId="77777777" w:rsidR="00D35E43" w:rsidRPr="00B754D8" w:rsidRDefault="00CD7861">
      <w:pPr>
        <w:pStyle w:val="CuerpoB"/>
        <w:jc w:val="both"/>
        <w:rPr>
          <w:rStyle w:val="Ninguno"/>
          <w:rFonts w:ascii="Arial" w:eastAsia="Arial" w:hAnsi="Arial" w:cs="Arial"/>
        </w:rPr>
      </w:pPr>
      <w:r w:rsidRPr="00B754D8">
        <w:rPr>
          <w:rStyle w:val="Ninguno"/>
          <w:rFonts w:ascii="Arial" w:hAnsi="Arial"/>
        </w:rPr>
        <w:t xml:space="preserve">En noviembre de 2018, </w:t>
      </w:r>
      <w:r w:rsidRPr="00B754D8">
        <w:rPr>
          <w:rStyle w:val="Ninguno"/>
          <w:rFonts w:ascii="Arial" w:hAnsi="Arial"/>
          <w:color w:val="666666"/>
          <w:sz w:val="21"/>
          <w:szCs w:val="21"/>
          <w:u w:color="666666"/>
        </w:rPr>
        <w:t>l</w:t>
      </w:r>
      <w:r w:rsidRPr="00B754D8">
        <w:rPr>
          <w:rStyle w:val="Ninguno"/>
          <w:rFonts w:ascii="Arial" w:hAnsi="Arial"/>
        </w:rPr>
        <w:t xml:space="preserve">a CNDH asistió al </w:t>
      </w:r>
      <w:r w:rsidRPr="00B754D8">
        <w:rPr>
          <w:rStyle w:val="Ninguno"/>
          <w:rFonts w:ascii="Arial" w:hAnsi="Arial"/>
          <w:b/>
          <w:bCs/>
        </w:rPr>
        <w:t>Diálogo de Seguimiento del Comité contra la Desaparición Forzada (CED) con el Estado Mexicano</w:t>
      </w:r>
      <w:r w:rsidRPr="00B754D8">
        <w:rPr>
          <w:rStyle w:val="Ninguno"/>
          <w:rFonts w:ascii="Arial" w:hAnsi="Arial"/>
        </w:rPr>
        <w:t>, sobre la Implementación de las Observaciones Finales de la revisión de 2015. Previo al Diálogo, se participó en una reunión pública con los miembros del CED y con organizaciones de la sociedad civil, así como en un diálogo privado con los expertos del Comité mencionado, en el que se expuso el Diagnóstico de la CNDH sobre las desapariciones forzadas en México.</w:t>
      </w:r>
    </w:p>
    <w:p w14:paraId="523B16DC" w14:textId="77777777" w:rsidR="00D35E43" w:rsidRPr="00B754D8" w:rsidRDefault="00D35E43">
      <w:pPr>
        <w:pStyle w:val="CuerpoB"/>
        <w:jc w:val="both"/>
        <w:rPr>
          <w:rStyle w:val="Ninguno"/>
          <w:rFonts w:ascii="Arial" w:eastAsia="Arial" w:hAnsi="Arial" w:cs="Arial"/>
        </w:rPr>
      </w:pPr>
    </w:p>
    <w:p w14:paraId="3FE8E6D7" w14:textId="77777777" w:rsidR="00D35E43" w:rsidRPr="00B754D8" w:rsidRDefault="00D35E43">
      <w:pPr>
        <w:pStyle w:val="CuerpoB"/>
        <w:jc w:val="both"/>
        <w:rPr>
          <w:rStyle w:val="Ninguno"/>
          <w:rFonts w:ascii="Arial" w:eastAsia="Arial" w:hAnsi="Arial" w:cs="Arial"/>
        </w:rPr>
      </w:pPr>
    </w:p>
    <w:p w14:paraId="64EC95AD" w14:textId="77777777" w:rsidR="00D35E43" w:rsidRPr="00B754D8" w:rsidRDefault="00CD7861">
      <w:pPr>
        <w:pStyle w:val="Encabezado"/>
        <w:tabs>
          <w:tab w:val="clear" w:pos="8838"/>
          <w:tab w:val="right" w:pos="8818"/>
        </w:tabs>
        <w:jc w:val="both"/>
        <w:rPr>
          <w:rStyle w:val="Ninguno"/>
          <w:rFonts w:ascii="Arial" w:eastAsia="Arial" w:hAnsi="Arial" w:cs="Arial"/>
          <w:b/>
          <w:bCs/>
          <w:sz w:val="24"/>
          <w:szCs w:val="24"/>
        </w:rPr>
      </w:pPr>
      <w:r w:rsidRPr="00B754D8">
        <w:rPr>
          <w:rStyle w:val="Ninguno"/>
          <w:rFonts w:ascii="Arial" w:hAnsi="Arial"/>
          <w:b/>
          <w:bCs/>
          <w:sz w:val="24"/>
          <w:szCs w:val="24"/>
        </w:rPr>
        <w:t>Retos para el Estado Mexicano</w:t>
      </w:r>
    </w:p>
    <w:p w14:paraId="63370A4D" w14:textId="77777777" w:rsidR="00D35E43" w:rsidRPr="00B754D8" w:rsidRDefault="00CD7861">
      <w:pPr>
        <w:pStyle w:val="Encabezado"/>
        <w:numPr>
          <w:ilvl w:val="0"/>
          <w:numId w:val="135"/>
        </w:numPr>
        <w:jc w:val="both"/>
        <w:rPr>
          <w:rFonts w:ascii="Arial" w:hAnsi="Arial"/>
          <w:sz w:val="24"/>
          <w:szCs w:val="24"/>
        </w:rPr>
      </w:pPr>
      <w:r w:rsidRPr="00B754D8">
        <w:rPr>
          <w:rStyle w:val="Ninguno"/>
          <w:rFonts w:ascii="Arial" w:hAnsi="Arial"/>
          <w:sz w:val="24"/>
          <w:szCs w:val="24"/>
        </w:rPr>
        <w:t xml:space="preserve">Atención integral al problema de las desapariciones en México y la implementación del Sistema Nacional de Búsqueda de Personas, </w:t>
      </w:r>
      <w:r w:rsidRPr="00DE0F21">
        <w:rPr>
          <w:rStyle w:val="Ninguno"/>
          <w:rFonts w:ascii="Arial" w:hAnsi="Arial"/>
          <w:sz w:val="24"/>
          <w:szCs w:val="24"/>
        </w:rPr>
        <w:t>mediante la creación y operación de las correspondientes fiscalías especializadas en la investigación de los delitos de desaparición forzada de personas y desaparición cometida por particulares en la entidades federativas del país que aún no cuentan con ellas</w:t>
      </w:r>
      <w:r w:rsidRPr="00B754D8">
        <w:rPr>
          <w:rStyle w:val="Ninguno"/>
          <w:rFonts w:ascii="Arial" w:hAnsi="Arial"/>
          <w:sz w:val="24"/>
          <w:szCs w:val="24"/>
        </w:rPr>
        <w:t>; la conformación de las comisiones locales de búsqueda de personas;  la capacitación y certificación del personal que participe en labores de búsqueda; la localización e investigación de casos de desaparición, así como la armonización normativa de la legislación local con la Ley General en Materia de Desaparición de Personas, con la Ley General de Víctimas y con la Ley Federal de Declaración Especial de Ausencia.</w:t>
      </w:r>
    </w:p>
    <w:p w14:paraId="519320DC" w14:textId="77777777" w:rsidR="00D35E43" w:rsidRPr="00B754D8" w:rsidRDefault="00CD7861">
      <w:pPr>
        <w:pStyle w:val="Prrafodelista"/>
        <w:numPr>
          <w:ilvl w:val="0"/>
          <w:numId w:val="136"/>
        </w:numPr>
        <w:spacing w:line="300" w:lineRule="atLeast"/>
        <w:jc w:val="both"/>
        <w:rPr>
          <w:rFonts w:ascii="Arial" w:hAnsi="Arial"/>
          <w:sz w:val="24"/>
          <w:szCs w:val="24"/>
        </w:rPr>
      </w:pPr>
      <w:r w:rsidRPr="00B754D8">
        <w:rPr>
          <w:rStyle w:val="Ninguno"/>
          <w:rFonts w:ascii="Arial" w:hAnsi="Arial"/>
          <w:sz w:val="24"/>
          <w:szCs w:val="24"/>
        </w:rPr>
        <w:t>El diseño, construcción y operación de:</w:t>
      </w:r>
    </w:p>
    <w:p w14:paraId="14607F8D" w14:textId="77777777" w:rsidR="00D35E43" w:rsidRPr="00B754D8" w:rsidRDefault="00CD7861">
      <w:pPr>
        <w:pStyle w:val="Prrafodelista"/>
        <w:numPr>
          <w:ilvl w:val="0"/>
          <w:numId w:val="138"/>
        </w:numPr>
        <w:spacing w:after="0" w:line="300" w:lineRule="atLeast"/>
        <w:jc w:val="both"/>
        <w:rPr>
          <w:rFonts w:ascii="Arial" w:hAnsi="Arial"/>
          <w:sz w:val="24"/>
          <w:szCs w:val="24"/>
        </w:rPr>
      </w:pPr>
      <w:r w:rsidRPr="00B754D8">
        <w:rPr>
          <w:rStyle w:val="Ninguno"/>
          <w:rFonts w:ascii="Arial" w:hAnsi="Arial"/>
          <w:sz w:val="24"/>
          <w:szCs w:val="24"/>
        </w:rPr>
        <w:t xml:space="preserve">El </w:t>
      </w:r>
      <w:r w:rsidRPr="00B754D8">
        <w:rPr>
          <w:rStyle w:val="Ninguno"/>
          <w:rFonts w:ascii="Arial" w:hAnsi="Arial"/>
          <w:b/>
          <w:bCs/>
          <w:sz w:val="24"/>
          <w:szCs w:val="24"/>
        </w:rPr>
        <w:t>Registro Nacional de Personas Desaparecidas y No Localizadas</w:t>
      </w:r>
      <w:r w:rsidRPr="00B754D8">
        <w:rPr>
          <w:rStyle w:val="Ninguno"/>
          <w:rFonts w:ascii="Arial" w:hAnsi="Arial"/>
          <w:sz w:val="24"/>
          <w:szCs w:val="24"/>
        </w:rPr>
        <w:t xml:space="preserve">, que sustituirá al Registro Nacional de Datos de Personas Extraviadas o Desaparecidas (RNPED), y que será en donde se concentre la información de los registros de Personas Desaparecidas y No Localizadas, tanto de la Federación como de las Entidades Federativas; </w:t>
      </w:r>
    </w:p>
    <w:p w14:paraId="5509FFB7" w14:textId="77777777" w:rsidR="00D35E43" w:rsidRPr="00B754D8" w:rsidRDefault="00CD7861">
      <w:pPr>
        <w:pStyle w:val="Prrafodelista"/>
        <w:numPr>
          <w:ilvl w:val="0"/>
          <w:numId w:val="138"/>
        </w:numPr>
        <w:spacing w:after="0" w:line="300" w:lineRule="atLeast"/>
        <w:jc w:val="both"/>
        <w:rPr>
          <w:rFonts w:ascii="Arial" w:hAnsi="Arial"/>
          <w:sz w:val="24"/>
          <w:szCs w:val="24"/>
        </w:rPr>
      </w:pPr>
      <w:r w:rsidRPr="00B754D8">
        <w:rPr>
          <w:rStyle w:val="Ninguno"/>
          <w:rFonts w:ascii="Arial" w:hAnsi="Arial"/>
          <w:sz w:val="24"/>
          <w:szCs w:val="24"/>
        </w:rPr>
        <w:t xml:space="preserve">El </w:t>
      </w:r>
      <w:r w:rsidRPr="00B754D8">
        <w:rPr>
          <w:rStyle w:val="Ninguno"/>
          <w:rFonts w:ascii="Arial" w:hAnsi="Arial"/>
          <w:b/>
          <w:bCs/>
          <w:sz w:val="24"/>
          <w:szCs w:val="24"/>
        </w:rPr>
        <w:t>Registro Nacional de Personas Fallecidas No Identificadas y No Reclamadas</w:t>
      </w:r>
      <w:r w:rsidRPr="00B754D8">
        <w:rPr>
          <w:rStyle w:val="Ninguno"/>
          <w:rFonts w:ascii="Arial" w:hAnsi="Arial"/>
          <w:sz w:val="24"/>
          <w:szCs w:val="24"/>
        </w:rPr>
        <w:t>, en el que se incorpora la información forense procesada relativa a la localización, recuperación, identificación y destino final de restos, ya sea de la Federación o de las Entidades Federativas, cualquiera que sea su origen;</w:t>
      </w:r>
    </w:p>
    <w:p w14:paraId="7BA3F1DC" w14:textId="77777777" w:rsidR="00D35E43" w:rsidRPr="00B754D8" w:rsidRDefault="00CD7861">
      <w:pPr>
        <w:pStyle w:val="Prrafodelista"/>
        <w:numPr>
          <w:ilvl w:val="0"/>
          <w:numId w:val="138"/>
        </w:numPr>
        <w:spacing w:after="0" w:line="300" w:lineRule="atLeast"/>
        <w:jc w:val="both"/>
        <w:rPr>
          <w:rFonts w:ascii="Arial" w:hAnsi="Arial"/>
          <w:sz w:val="24"/>
          <w:szCs w:val="24"/>
        </w:rPr>
      </w:pPr>
      <w:r w:rsidRPr="00B754D8">
        <w:rPr>
          <w:rStyle w:val="Ninguno"/>
          <w:rFonts w:ascii="Arial" w:hAnsi="Arial"/>
          <w:sz w:val="24"/>
          <w:szCs w:val="24"/>
        </w:rPr>
        <w:lastRenderedPageBreak/>
        <w:t xml:space="preserve">El </w:t>
      </w:r>
      <w:r w:rsidRPr="00B754D8">
        <w:rPr>
          <w:rStyle w:val="Ninguno"/>
          <w:rFonts w:ascii="Arial" w:hAnsi="Arial"/>
          <w:b/>
          <w:bCs/>
          <w:sz w:val="24"/>
          <w:szCs w:val="24"/>
        </w:rPr>
        <w:t>Banco Nacional de Datos Forenses</w:t>
      </w:r>
      <w:r w:rsidRPr="00B754D8">
        <w:rPr>
          <w:rStyle w:val="Ninguno"/>
          <w:rFonts w:ascii="Arial" w:hAnsi="Arial"/>
          <w:sz w:val="24"/>
          <w:szCs w:val="24"/>
        </w:rPr>
        <w:t>, en el que se aglutinen las bases de datos de las Entidades Federativas y de la Federación; así como, otras bases de datos que contengan información forense relevante para la búsqueda e identificación de Personas Desaparecidas y No Localizadas;</w:t>
      </w:r>
    </w:p>
    <w:p w14:paraId="5B8271B7" w14:textId="77777777" w:rsidR="00D35E43" w:rsidRPr="00B754D8" w:rsidRDefault="00CD7861">
      <w:pPr>
        <w:pStyle w:val="Prrafodelista"/>
        <w:numPr>
          <w:ilvl w:val="0"/>
          <w:numId w:val="139"/>
        </w:numPr>
        <w:spacing w:after="0" w:line="300" w:lineRule="atLeast"/>
        <w:jc w:val="both"/>
        <w:rPr>
          <w:sz w:val="24"/>
          <w:szCs w:val="24"/>
        </w:rPr>
      </w:pPr>
      <w:r w:rsidRPr="00B754D8">
        <w:rPr>
          <w:rStyle w:val="Ninguno"/>
          <w:rFonts w:ascii="Arial" w:hAnsi="Arial"/>
          <w:sz w:val="24"/>
          <w:szCs w:val="24"/>
        </w:rPr>
        <w:t xml:space="preserve">El </w:t>
      </w:r>
      <w:r w:rsidRPr="00B754D8">
        <w:rPr>
          <w:rStyle w:val="Ninguno"/>
          <w:rFonts w:ascii="Arial" w:hAnsi="Arial"/>
          <w:b/>
          <w:bCs/>
          <w:sz w:val="24"/>
          <w:szCs w:val="24"/>
        </w:rPr>
        <w:t>Registro Nacional de Fosas</w:t>
      </w:r>
      <w:r w:rsidRPr="00B754D8">
        <w:rPr>
          <w:rStyle w:val="Ninguno"/>
          <w:rFonts w:ascii="Arial" w:hAnsi="Arial"/>
          <w:sz w:val="24"/>
          <w:szCs w:val="24"/>
        </w:rPr>
        <w:t>, que concentra la información respecto de las fosas comunes que existen en los cementerios y panteones de todos los municipios del país, así como de las fosas clandestinas que se localicen por parte de los órganos de procuración de justicia</w:t>
      </w:r>
      <w:r w:rsidRPr="00B754D8">
        <w:rPr>
          <w:rStyle w:val="Ninguno"/>
        </w:rPr>
        <w:t>.</w:t>
      </w:r>
    </w:p>
    <w:p w14:paraId="36516FCB" w14:textId="77777777" w:rsidR="00D35E43" w:rsidRPr="00B754D8" w:rsidRDefault="00D35E43">
      <w:pPr>
        <w:pStyle w:val="Encabezado"/>
        <w:tabs>
          <w:tab w:val="clear" w:pos="8838"/>
          <w:tab w:val="right" w:pos="8818"/>
        </w:tabs>
        <w:jc w:val="both"/>
        <w:rPr>
          <w:rStyle w:val="Ninguno"/>
          <w:rFonts w:ascii="Arial" w:eastAsia="Arial" w:hAnsi="Arial" w:cs="Arial"/>
          <w:sz w:val="24"/>
          <w:szCs w:val="24"/>
        </w:rPr>
      </w:pPr>
    </w:p>
    <w:p w14:paraId="6D3A9151" w14:textId="77777777" w:rsidR="00D35E43" w:rsidRPr="00B754D8" w:rsidRDefault="00CD7861">
      <w:pPr>
        <w:pStyle w:val="CuerpoA"/>
        <w:numPr>
          <w:ilvl w:val="0"/>
          <w:numId w:val="140"/>
        </w:numPr>
        <w:rPr>
          <w:rFonts w:ascii="Arial" w:hAnsi="Arial"/>
          <w:b/>
          <w:bCs/>
          <w:sz w:val="24"/>
          <w:szCs w:val="24"/>
        </w:rPr>
      </w:pPr>
      <w:r w:rsidRPr="00B754D8">
        <w:rPr>
          <w:rStyle w:val="Ninguno"/>
          <w:rFonts w:ascii="Arial" w:hAnsi="Arial"/>
          <w:b/>
          <w:bCs/>
          <w:sz w:val="24"/>
          <w:szCs w:val="24"/>
        </w:rPr>
        <w:t>Tortura</w:t>
      </w:r>
    </w:p>
    <w:p w14:paraId="7AE5B0B5" w14:textId="77777777" w:rsidR="00D35E43" w:rsidRPr="00B754D8" w:rsidRDefault="00CD7861">
      <w:pPr>
        <w:pStyle w:val="CuerpoA"/>
        <w:rPr>
          <w:rStyle w:val="Ninguno"/>
          <w:rFonts w:ascii="Arial" w:eastAsia="Arial" w:hAnsi="Arial" w:cs="Arial"/>
          <w:b/>
          <w:bCs/>
          <w:sz w:val="24"/>
          <w:szCs w:val="24"/>
        </w:rPr>
      </w:pPr>
      <w:r w:rsidRPr="00B754D8">
        <w:rPr>
          <w:rStyle w:val="Ninguno"/>
          <w:rFonts w:ascii="Arial" w:hAnsi="Arial"/>
          <w:b/>
          <w:bCs/>
          <w:sz w:val="24"/>
          <w:szCs w:val="24"/>
        </w:rPr>
        <w:t>Contexto</w:t>
      </w:r>
    </w:p>
    <w:p w14:paraId="58B8F954"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b/>
          <w:bCs/>
          <w:sz w:val="24"/>
          <w:szCs w:val="24"/>
        </w:rPr>
        <w:t>En el período comprendido del primero de enero del año 2013 al 31 de enero de 2019, la Comisión Nacional de los Derechos Humanos registró 285 expedientes de queja con el hecho violatorio de tortura</w:t>
      </w:r>
      <w:r w:rsidRPr="00B754D8">
        <w:rPr>
          <w:rStyle w:val="Ninguno"/>
          <w:rFonts w:ascii="Arial" w:hAnsi="Arial"/>
          <w:sz w:val="24"/>
          <w:szCs w:val="24"/>
        </w:rPr>
        <w:t>. Si bien es cierto que en la totalidad de los estados que integran el territorio nacional se han presentado casos por violación a los derechos humanos con el hecho violatorio de tortura cometida por diversas autoridades, también lo es, que dicha conducta en el periodo que se analiza, se destaca principalmente en las entidades federativas de: Estado de México (31), Guerrero (31), Tamaulipas (29), Ciudad de México (29), Veracruz (16), Michoacán (13).</w:t>
      </w:r>
    </w:p>
    <w:p w14:paraId="4B41E2CF"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b/>
          <w:bCs/>
          <w:sz w:val="24"/>
          <w:szCs w:val="24"/>
        </w:rPr>
        <w:t>En este mismo período la CNDH registró 3,239 quejas de trato cruel inhumano o degradante.</w:t>
      </w:r>
      <w:r w:rsidRPr="00B754D8">
        <w:rPr>
          <w:rStyle w:val="Ninguno"/>
          <w:rFonts w:ascii="Arial" w:hAnsi="Arial"/>
          <w:sz w:val="24"/>
          <w:szCs w:val="24"/>
        </w:rPr>
        <w:t xml:space="preserve"> Si bien es cierto que en la totalidad de los estados que integran el territorio nacional se han presentado casos por violación a los derechos humanos con el hecho violatorio de trato cruel, inhumano o degradante, cometido por diversas autoridades, también lo es, que dicha conducta destaca principalmente en el periodo que se analiza en las entidades federativas de: Tamaulipas (365), Veracruz (300), Michoacán (268), Ciudad de México (181), Estado de México (177) y Oaxaca (163).</w:t>
      </w:r>
    </w:p>
    <w:p w14:paraId="39A6EA21"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Lo anteriormente descrito, acredita que la violación a los derechos humanos por tortura y trato cruel inhumano o degradante en México es todavía un flagelo, como fue señalado en su momento por el señor Juan Méndez, entonces Relator Especial de Naciones Unidas sobre la Tortura y otros tratos crueles, inhumanos o degradantes, con motivo de su visita oficial a México en 2014.</w:t>
      </w:r>
    </w:p>
    <w:p w14:paraId="5370C00A" w14:textId="77777777" w:rsidR="00D35E43" w:rsidRPr="00B754D8" w:rsidRDefault="00CD7861">
      <w:pPr>
        <w:pStyle w:val="CuerpoA"/>
        <w:ind w:left="720"/>
        <w:jc w:val="both"/>
        <w:rPr>
          <w:rStyle w:val="Ninguno"/>
          <w:rFonts w:ascii="Arial" w:eastAsia="Arial" w:hAnsi="Arial" w:cs="Arial"/>
          <w:b/>
          <w:bCs/>
          <w:sz w:val="24"/>
          <w:szCs w:val="24"/>
        </w:rPr>
      </w:pPr>
      <w:r w:rsidRPr="00B754D8">
        <w:rPr>
          <w:rStyle w:val="Ninguno"/>
          <w:rFonts w:ascii="Arial" w:hAnsi="Arial"/>
          <w:b/>
          <w:bCs/>
          <w:sz w:val="24"/>
          <w:szCs w:val="24"/>
        </w:rPr>
        <w:t>Acciones de la CNDH</w:t>
      </w:r>
    </w:p>
    <w:p w14:paraId="2784277C" w14:textId="77777777" w:rsidR="00D35E43" w:rsidRPr="00B754D8" w:rsidRDefault="00CD7861">
      <w:pPr>
        <w:pStyle w:val="CuerpoA"/>
        <w:jc w:val="both"/>
        <w:rPr>
          <w:rStyle w:val="Ninguno"/>
          <w:rFonts w:ascii="Arial" w:eastAsia="Arial" w:hAnsi="Arial" w:cs="Arial"/>
          <w:sz w:val="24"/>
          <w:szCs w:val="24"/>
          <w:u w:val="single"/>
        </w:rPr>
      </w:pPr>
      <w:r w:rsidRPr="00B754D8">
        <w:rPr>
          <w:rStyle w:val="Ninguno"/>
          <w:rFonts w:ascii="Arial" w:hAnsi="Arial"/>
          <w:sz w:val="24"/>
          <w:szCs w:val="24"/>
          <w:u w:val="single"/>
        </w:rPr>
        <w:t>Recomendación sobre violaciones graves a derechos humanos</w:t>
      </w:r>
    </w:p>
    <w:p w14:paraId="13EB9073"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En el periodo del 1° de enero del año 2013 al 31 de marzo del 2019 las 10 recomendaciones por violaciones graves emitidas por la CNDH registradas con el hecho violatorio de tortura y las 9 por trato cruel inhumano o degradante se encuentran identificadas con los números 51/2014/VG, 29/2018/VG, 2VG, 3VG, 4VG, 5VG, 12VG, 13VG, 14VG, 15VG, 16VG, 17VG 18 VG y 19 VG. En su mayoría </w:t>
      </w:r>
      <w:r w:rsidRPr="00B754D8">
        <w:rPr>
          <w:rStyle w:val="Ninguno"/>
          <w:rFonts w:ascii="Arial" w:hAnsi="Arial"/>
          <w:sz w:val="24"/>
          <w:szCs w:val="24"/>
        </w:rPr>
        <w:lastRenderedPageBreak/>
        <w:t>comprenden los dos hechos violatorios analizados, correspondientes a los ocurridos en los municipios de Tlatlaya, Estado de México; Tanhuato, Michoacán; Tierra Blanca, Veracruz; Acapulco de Juárez, Guerrero; y en los Estados de Coahuila, Nuevo León, Sinaloa, Tabasco, Veracruz y Zacatecas.</w:t>
      </w:r>
    </w:p>
    <w:p w14:paraId="4F113B6E"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En el caso de las 9 recomendaciones emitidas por violación grave por tortura, las principales autoridades señaladas como responsables son la Fiscalía General de la República (5), Comisión Nacional de Seguridad (3), Secretaría de la Defensa Nacional (3), el Gobierno del Estado de México (2), el Gobierno del Estado de Michoacán (2) y Secretaría de Marina (2). Las 9 principales autoridades señaladas por trato cruel inhumano o degradante son: Comisión Nacional de seguridad (4), Gobierno del Estado de Michoacán (4), Secretaría de la Defensa Nacional (4), Gobierno del Estado de México (3), Gobierno del Estado de Puebla (3) y Fiscalía General de la República (3).</w:t>
      </w:r>
    </w:p>
    <w:p w14:paraId="6321D8E1"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En las primeras 5 Recomendaciones se acreditaron violaciones graves a los derechos humanos de diversas víctimas relacionadas con expedientes que fueron concentrados por tratarse de una misma autoridad señalada como responsable.</w:t>
      </w:r>
    </w:p>
    <w:p w14:paraId="614D4587" w14:textId="23015792" w:rsidR="00D35E43" w:rsidRPr="00D44340" w:rsidRDefault="00CD7861">
      <w:pPr>
        <w:pStyle w:val="CuerpoA"/>
        <w:jc w:val="both"/>
        <w:rPr>
          <w:rStyle w:val="Ninguno"/>
          <w:rFonts w:ascii="Arial" w:eastAsia="Arial" w:hAnsi="Arial" w:cs="Arial"/>
          <w:b/>
          <w:bCs/>
          <w:sz w:val="24"/>
          <w:szCs w:val="24"/>
        </w:rPr>
      </w:pPr>
      <w:r w:rsidRPr="00B754D8">
        <w:rPr>
          <w:rStyle w:val="Ninguno"/>
          <w:rFonts w:ascii="Arial" w:hAnsi="Arial"/>
          <w:b/>
          <w:bCs/>
          <w:sz w:val="24"/>
          <w:szCs w:val="24"/>
        </w:rPr>
        <w:t>RECOMENDACIONES POR VIOLACIONES GRAVES EMITIDAS CON LOS HECHOS VIOLATORIOS DE TORTURA Y TRATO CRUEL, INHUMANO O DEGRADANTE PERIODO 2013 AL 2019</w:t>
      </w:r>
    </w:p>
    <w:tbl>
      <w:tblPr>
        <w:tblStyle w:val="TableNormal"/>
        <w:tblW w:w="8788" w:type="dxa"/>
        <w:tblInd w:w="75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643"/>
        <w:gridCol w:w="2197"/>
        <w:gridCol w:w="2325"/>
        <w:gridCol w:w="2623"/>
      </w:tblGrid>
      <w:tr w:rsidR="00D35E43" w:rsidRPr="00AC584A" w14:paraId="07266360" w14:textId="77777777">
        <w:trPr>
          <w:trHeight w:val="1005"/>
        </w:trPr>
        <w:tc>
          <w:tcPr>
            <w:tcW w:w="1643" w:type="dxa"/>
            <w:tcBorders>
              <w:top w:val="single" w:sz="24" w:space="0" w:color="000000"/>
              <w:left w:val="single" w:sz="24" w:space="0" w:color="000000"/>
              <w:bottom w:val="single" w:sz="4" w:space="0" w:color="000000"/>
              <w:right w:val="single" w:sz="24" w:space="0" w:color="000000"/>
            </w:tcBorders>
            <w:shd w:val="clear" w:color="auto" w:fill="00B050"/>
            <w:tcMar>
              <w:top w:w="80" w:type="dxa"/>
              <w:left w:w="80" w:type="dxa"/>
              <w:bottom w:w="80" w:type="dxa"/>
              <w:right w:w="80" w:type="dxa"/>
            </w:tcMar>
            <w:vAlign w:val="center"/>
          </w:tcPr>
          <w:p w14:paraId="6C7131F1" w14:textId="77777777" w:rsidR="00D35E43" w:rsidRPr="00B754D8" w:rsidRDefault="00CD7861">
            <w:pPr>
              <w:pStyle w:val="CuerpoA"/>
              <w:jc w:val="both"/>
            </w:pPr>
            <w:r w:rsidRPr="00B754D8">
              <w:rPr>
                <w:rStyle w:val="Ninguno"/>
                <w:rFonts w:ascii="Arial" w:hAnsi="Arial"/>
              </w:rPr>
              <w:t>AÑO</w:t>
            </w:r>
          </w:p>
        </w:tc>
        <w:tc>
          <w:tcPr>
            <w:tcW w:w="2197" w:type="dxa"/>
            <w:tcBorders>
              <w:top w:val="single" w:sz="24" w:space="0" w:color="000000"/>
              <w:left w:val="single" w:sz="24" w:space="0" w:color="000000"/>
              <w:bottom w:val="single" w:sz="4" w:space="0" w:color="000000"/>
              <w:right w:val="single" w:sz="24" w:space="0" w:color="000000"/>
            </w:tcBorders>
            <w:shd w:val="clear" w:color="auto" w:fill="00B050"/>
            <w:tcMar>
              <w:top w:w="80" w:type="dxa"/>
              <w:left w:w="80" w:type="dxa"/>
              <w:bottom w:w="80" w:type="dxa"/>
              <w:right w:w="80" w:type="dxa"/>
            </w:tcMar>
            <w:vAlign w:val="center"/>
          </w:tcPr>
          <w:p w14:paraId="4D95EBF4" w14:textId="77777777" w:rsidR="00D35E43" w:rsidRPr="00B754D8" w:rsidRDefault="00CD7861">
            <w:pPr>
              <w:pStyle w:val="CuerpoA"/>
              <w:jc w:val="both"/>
            </w:pPr>
            <w:r w:rsidRPr="00B754D8">
              <w:rPr>
                <w:rStyle w:val="Ninguno"/>
                <w:rFonts w:ascii="Arial" w:hAnsi="Arial"/>
              </w:rPr>
              <w:t>RECOMENDACIÓN</w:t>
            </w:r>
          </w:p>
        </w:tc>
        <w:tc>
          <w:tcPr>
            <w:tcW w:w="2325" w:type="dxa"/>
            <w:tcBorders>
              <w:top w:val="single" w:sz="24" w:space="0" w:color="000000"/>
              <w:left w:val="single" w:sz="24" w:space="0" w:color="000000"/>
              <w:bottom w:val="single" w:sz="4" w:space="0" w:color="000000"/>
              <w:right w:val="single" w:sz="24" w:space="0" w:color="000000"/>
            </w:tcBorders>
            <w:shd w:val="clear" w:color="auto" w:fill="00B050"/>
            <w:tcMar>
              <w:top w:w="80" w:type="dxa"/>
              <w:left w:w="80" w:type="dxa"/>
              <w:bottom w:w="80" w:type="dxa"/>
              <w:right w:w="80" w:type="dxa"/>
            </w:tcMar>
            <w:vAlign w:val="center"/>
          </w:tcPr>
          <w:p w14:paraId="0B89BDCB" w14:textId="77777777" w:rsidR="00D35E43" w:rsidRPr="00B754D8" w:rsidRDefault="00CD7861">
            <w:pPr>
              <w:pStyle w:val="CuerpoA"/>
              <w:jc w:val="both"/>
            </w:pPr>
            <w:r w:rsidRPr="00B754D8">
              <w:rPr>
                <w:rStyle w:val="Ninguno"/>
                <w:rFonts w:ascii="Arial" w:hAnsi="Arial"/>
              </w:rPr>
              <w:t>TORTURA</w:t>
            </w:r>
          </w:p>
        </w:tc>
        <w:tc>
          <w:tcPr>
            <w:tcW w:w="2623" w:type="dxa"/>
            <w:tcBorders>
              <w:top w:val="single" w:sz="24" w:space="0" w:color="000000"/>
              <w:left w:val="single" w:sz="24" w:space="0" w:color="000000"/>
              <w:bottom w:val="single" w:sz="4" w:space="0" w:color="000000"/>
              <w:right w:val="single" w:sz="24" w:space="0" w:color="000000"/>
            </w:tcBorders>
            <w:shd w:val="clear" w:color="auto" w:fill="00B050"/>
            <w:tcMar>
              <w:top w:w="80" w:type="dxa"/>
              <w:left w:w="80" w:type="dxa"/>
              <w:bottom w:w="80" w:type="dxa"/>
              <w:right w:w="80" w:type="dxa"/>
            </w:tcMar>
            <w:vAlign w:val="center"/>
          </w:tcPr>
          <w:p w14:paraId="3E42D988" w14:textId="77777777" w:rsidR="00D35E43" w:rsidRPr="00B754D8" w:rsidRDefault="00CD7861">
            <w:pPr>
              <w:pStyle w:val="CuerpoA"/>
              <w:jc w:val="both"/>
              <w:rPr>
                <w:rStyle w:val="Ninguno"/>
                <w:rFonts w:ascii="Arial" w:eastAsia="Arial" w:hAnsi="Arial" w:cs="Arial"/>
              </w:rPr>
            </w:pPr>
            <w:r w:rsidRPr="00B754D8">
              <w:rPr>
                <w:rStyle w:val="Ninguno"/>
                <w:rFonts w:ascii="Arial" w:hAnsi="Arial"/>
              </w:rPr>
              <w:t xml:space="preserve">TRATO CRUEL, INHUMANO </w:t>
            </w:r>
          </w:p>
          <w:p w14:paraId="25A00682" w14:textId="77777777" w:rsidR="00D35E43" w:rsidRPr="00B754D8" w:rsidRDefault="00CD7861">
            <w:pPr>
              <w:pStyle w:val="CuerpoA"/>
              <w:jc w:val="both"/>
            </w:pPr>
            <w:r w:rsidRPr="00B754D8">
              <w:rPr>
                <w:rStyle w:val="Ninguno"/>
                <w:rFonts w:ascii="Arial" w:hAnsi="Arial"/>
              </w:rPr>
              <w:t>O DEGRADANTE</w:t>
            </w:r>
          </w:p>
        </w:tc>
      </w:tr>
      <w:tr w:rsidR="00D35E43" w:rsidRPr="00B754D8" w14:paraId="09D93A52" w14:textId="77777777">
        <w:trPr>
          <w:trHeight w:val="253"/>
        </w:trPr>
        <w:tc>
          <w:tcPr>
            <w:tcW w:w="1643" w:type="dxa"/>
            <w:tcBorders>
              <w:top w:val="single" w:sz="4" w:space="0" w:color="000000"/>
              <w:left w:val="single" w:sz="24" w:space="0" w:color="000000"/>
              <w:bottom w:val="single" w:sz="4" w:space="0" w:color="000000"/>
              <w:right w:val="single" w:sz="24" w:space="0" w:color="000000"/>
            </w:tcBorders>
            <w:shd w:val="clear" w:color="auto" w:fill="auto"/>
            <w:tcMar>
              <w:top w:w="80" w:type="dxa"/>
              <w:left w:w="80" w:type="dxa"/>
              <w:bottom w:w="80" w:type="dxa"/>
              <w:right w:w="80" w:type="dxa"/>
            </w:tcMar>
          </w:tcPr>
          <w:p w14:paraId="66BF0B8D" w14:textId="77777777" w:rsidR="00D35E43" w:rsidRPr="00B754D8" w:rsidRDefault="00CD7861">
            <w:pPr>
              <w:pStyle w:val="CuerpoA"/>
              <w:jc w:val="both"/>
            </w:pPr>
            <w:r w:rsidRPr="00B754D8">
              <w:rPr>
                <w:rStyle w:val="Ninguno"/>
                <w:rFonts w:ascii="Arial" w:hAnsi="Arial"/>
              </w:rPr>
              <w:t>2014</w:t>
            </w:r>
          </w:p>
        </w:tc>
        <w:tc>
          <w:tcPr>
            <w:tcW w:w="2197" w:type="dxa"/>
            <w:tcBorders>
              <w:top w:val="single" w:sz="4" w:space="0" w:color="000000"/>
              <w:left w:val="single" w:sz="24" w:space="0" w:color="000000"/>
              <w:bottom w:val="single" w:sz="4" w:space="0" w:color="000000"/>
              <w:right w:val="single" w:sz="24" w:space="0" w:color="000000"/>
            </w:tcBorders>
            <w:shd w:val="clear" w:color="auto" w:fill="auto"/>
            <w:tcMar>
              <w:top w:w="80" w:type="dxa"/>
              <w:left w:w="80" w:type="dxa"/>
              <w:bottom w:w="80" w:type="dxa"/>
              <w:right w:w="80" w:type="dxa"/>
            </w:tcMar>
            <w:vAlign w:val="bottom"/>
          </w:tcPr>
          <w:p w14:paraId="4A2B0A78" w14:textId="77777777" w:rsidR="00D35E43" w:rsidRPr="00B754D8" w:rsidRDefault="00CD7861">
            <w:pPr>
              <w:pStyle w:val="CuerpoA"/>
              <w:jc w:val="both"/>
            </w:pPr>
            <w:r w:rsidRPr="00B754D8">
              <w:rPr>
                <w:rStyle w:val="Ninguno"/>
                <w:rFonts w:ascii="Arial" w:hAnsi="Arial"/>
              </w:rPr>
              <w:t>2VG y 51/14VG</w:t>
            </w:r>
          </w:p>
        </w:tc>
        <w:tc>
          <w:tcPr>
            <w:tcW w:w="2325" w:type="dxa"/>
            <w:tcBorders>
              <w:top w:val="single" w:sz="4" w:space="0" w:color="000000"/>
              <w:left w:val="single" w:sz="24" w:space="0" w:color="000000"/>
              <w:bottom w:val="single" w:sz="4" w:space="0" w:color="000000"/>
              <w:right w:val="single" w:sz="24" w:space="0" w:color="000000"/>
            </w:tcBorders>
            <w:shd w:val="clear" w:color="auto" w:fill="auto"/>
            <w:tcMar>
              <w:top w:w="80" w:type="dxa"/>
              <w:left w:w="80" w:type="dxa"/>
              <w:bottom w:w="80" w:type="dxa"/>
              <w:right w:w="80" w:type="dxa"/>
            </w:tcMar>
            <w:vAlign w:val="center"/>
          </w:tcPr>
          <w:p w14:paraId="703D8D29" w14:textId="77777777" w:rsidR="00D35E43" w:rsidRPr="00B754D8" w:rsidRDefault="00CD7861">
            <w:pPr>
              <w:pStyle w:val="CuerpoA"/>
              <w:jc w:val="both"/>
            </w:pPr>
            <w:r w:rsidRPr="00B754D8">
              <w:rPr>
                <w:rStyle w:val="Ninguno"/>
                <w:rFonts w:ascii="Arial" w:hAnsi="Arial"/>
              </w:rPr>
              <w:t>1</w:t>
            </w:r>
          </w:p>
        </w:tc>
        <w:tc>
          <w:tcPr>
            <w:tcW w:w="2623" w:type="dxa"/>
            <w:tcBorders>
              <w:top w:val="single" w:sz="4" w:space="0" w:color="000000"/>
              <w:left w:val="single" w:sz="24" w:space="0" w:color="000000"/>
              <w:bottom w:val="single" w:sz="4" w:space="0" w:color="000000"/>
              <w:right w:val="single" w:sz="24" w:space="0" w:color="000000"/>
            </w:tcBorders>
            <w:shd w:val="clear" w:color="auto" w:fill="auto"/>
            <w:tcMar>
              <w:top w:w="80" w:type="dxa"/>
              <w:left w:w="80" w:type="dxa"/>
              <w:bottom w:w="80" w:type="dxa"/>
              <w:right w:w="80" w:type="dxa"/>
            </w:tcMar>
            <w:vAlign w:val="center"/>
          </w:tcPr>
          <w:p w14:paraId="045D497F" w14:textId="77777777" w:rsidR="00D35E43" w:rsidRPr="00B754D8" w:rsidRDefault="00CD7861">
            <w:pPr>
              <w:pStyle w:val="CuerpoA"/>
              <w:jc w:val="both"/>
            </w:pPr>
            <w:r w:rsidRPr="00B754D8">
              <w:rPr>
                <w:rStyle w:val="Ninguno"/>
                <w:rFonts w:ascii="Arial" w:hAnsi="Arial"/>
              </w:rPr>
              <w:t>2</w:t>
            </w:r>
          </w:p>
        </w:tc>
      </w:tr>
      <w:tr w:rsidR="00D35E43" w:rsidRPr="00B754D8" w14:paraId="7B5E8819" w14:textId="77777777">
        <w:trPr>
          <w:trHeight w:val="253"/>
        </w:trPr>
        <w:tc>
          <w:tcPr>
            <w:tcW w:w="1643" w:type="dxa"/>
            <w:tcBorders>
              <w:top w:val="single" w:sz="4" w:space="0" w:color="000000"/>
              <w:left w:val="single" w:sz="24" w:space="0" w:color="000000"/>
              <w:bottom w:val="single" w:sz="4" w:space="0" w:color="000000"/>
              <w:right w:val="single" w:sz="24" w:space="0" w:color="000000"/>
            </w:tcBorders>
            <w:shd w:val="clear" w:color="auto" w:fill="auto"/>
            <w:tcMar>
              <w:top w:w="80" w:type="dxa"/>
              <w:left w:w="80" w:type="dxa"/>
              <w:bottom w:w="80" w:type="dxa"/>
              <w:right w:w="80" w:type="dxa"/>
            </w:tcMar>
          </w:tcPr>
          <w:p w14:paraId="6D9F2391" w14:textId="77777777" w:rsidR="00D35E43" w:rsidRPr="00B754D8" w:rsidRDefault="00CD7861">
            <w:pPr>
              <w:pStyle w:val="CuerpoA"/>
              <w:jc w:val="both"/>
            </w:pPr>
            <w:r w:rsidRPr="00B754D8">
              <w:rPr>
                <w:rStyle w:val="Ninguno"/>
                <w:rFonts w:ascii="Arial" w:hAnsi="Arial"/>
              </w:rPr>
              <w:t>2015</w:t>
            </w:r>
          </w:p>
        </w:tc>
        <w:tc>
          <w:tcPr>
            <w:tcW w:w="2197" w:type="dxa"/>
            <w:tcBorders>
              <w:top w:val="single" w:sz="4" w:space="0" w:color="000000"/>
              <w:left w:val="single" w:sz="24" w:space="0" w:color="000000"/>
              <w:bottom w:val="single" w:sz="4" w:space="0" w:color="000000"/>
              <w:right w:val="single" w:sz="24" w:space="0" w:color="000000"/>
            </w:tcBorders>
            <w:shd w:val="clear" w:color="auto" w:fill="auto"/>
            <w:tcMar>
              <w:top w:w="80" w:type="dxa"/>
              <w:left w:w="80" w:type="dxa"/>
              <w:bottom w:w="80" w:type="dxa"/>
              <w:right w:w="80" w:type="dxa"/>
            </w:tcMar>
            <w:vAlign w:val="bottom"/>
          </w:tcPr>
          <w:p w14:paraId="0D247255" w14:textId="77777777" w:rsidR="00D35E43" w:rsidRPr="00B754D8" w:rsidRDefault="00CD7861">
            <w:pPr>
              <w:pStyle w:val="CuerpoA"/>
              <w:jc w:val="both"/>
            </w:pPr>
            <w:r w:rsidRPr="00B754D8">
              <w:rPr>
                <w:rStyle w:val="Ninguno"/>
                <w:rFonts w:ascii="Arial" w:hAnsi="Arial"/>
              </w:rPr>
              <w:t>3VG</w:t>
            </w:r>
          </w:p>
        </w:tc>
        <w:tc>
          <w:tcPr>
            <w:tcW w:w="2325" w:type="dxa"/>
            <w:tcBorders>
              <w:top w:val="single" w:sz="4" w:space="0" w:color="000000"/>
              <w:left w:val="single" w:sz="24" w:space="0" w:color="000000"/>
              <w:bottom w:val="single" w:sz="4" w:space="0" w:color="000000"/>
              <w:right w:val="single" w:sz="24" w:space="0" w:color="000000"/>
            </w:tcBorders>
            <w:shd w:val="clear" w:color="auto" w:fill="auto"/>
            <w:tcMar>
              <w:top w:w="80" w:type="dxa"/>
              <w:left w:w="80" w:type="dxa"/>
              <w:bottom w:w="80" w:type="dxa"/>
              <w:right w:w="80" w:type="dxa"/>
            </w:tcMar>
            <w:vAlign w:val="center"/>
          </w:tcPr>
          <w:p w14:paraId="4A42D5B5" w14:textId="77777777" w:rsidR="00D35E43" w:rsidRPr="00B754D8" w:rsidRDefault="00CD7861">
            <w:pPr>
              <w:pStyle w:val="CuerpoA"/>
              <w:jc w:val="both"/>
            </w:pPr>
            <w:r w:rsidRPr="00B754D8">
              <w:rPr>
                <w:rStyle w:val="Ninguno"/>
                <w:rFonts w:ascii="Arial" w:hAnsi="Arial"/>
              </w:rPr>
              <w:t>0</w:t>
            </w:r>
          </w:p>
        </w:tc>
        <w:tc>
          <w:tcPr>
            <w:tcW w:w="2623" w:type="dxa"/>
            <w:tcBorders>
              <w:top w:val="single" w:sz="4" w:space="0" w:color="000000"/>
              <w:left w:val="single" w:sz="24" w:space="0" w:color="000000"/>
              <w:bottom w:val="single" w:sz="4" w:space="0" w:color="000000"/>
              <w:right w:val="single" w:sz="24" w:space="0" w:color="000000"/>
            </w:tcBorders>
            <w:shd w:val="clear" w:color="auto" w:fill="auto"/>
            <w:tcMar>
              <w:top w:w="80" w:type="dxa"/>
              <w:left w:w="80" w:type="dxa"/>
              <w:bottom w:w="80" w:type="dxa"/>
              <w:right w:w="80" w:type="dxa"/>
            </w:tcMar>
            <w:vAlign w:val="center"/>
          </w:tcPr>
          <w:p w14:paraId="010D6EC1" w14:textId="77777777" w:rsidR="00D35E43" w:rsidRPr="00B754D8" w:rsidRDefault="00CD7861">
            <w:pPr>
              <w:pStyle w:val="CuerpoA"/>
              <w:jc w:val="both"/>
            </w:pPr>
            <w:r w:rsidRPr="00B754D8">
              <w:rPr>
                <w:rStyle w:val="Ninguno"/>
                <w:rFonts w:ascii="Arial" w:hAnsi="Arial"/>
              </w:rPr>
              <w:t>1</w:t>
            </w:r>
          </w:p>
        </w:tc>
      </w:tr>
      <w:tr w:rsidR="00D35E43" w:rsidRPr="00B754D8" w14:paraId="0FB0F3C2" w14:textId="77777777">
        <w:trPr>
          <w:trHeight w:val="253"/>
        </w:trPr>
        <w:tc>
          <w:tcPr>
            <w:tcW w:w="1643" w:type="dxa"/>
            <w:tcBorders>
              <w:top w:val="single" w:sz="4" w:space="0" w:color="000000"/>
              <w:left w:val="single" w:sz="24" w:space="0" w:color="000000"/>
              <w:bottom w:val="single" w:sz="4" w:space="0" w:color="000000"/>
              <w:right w:val="single" w:sz="24" w:space="0" w:color="000000"/>
            </w:tcBorders>
            <w:shd w:val="clear" w:color="auto" w:fill="auto"/>
            <w:tcMar>
              <w:top w:w="80" w:type="dxa"/>
              <w:left w:w="80" w:type="dxa"/>
              <w:bottom w:w="80" w:type="dxa"/>
              <w:right w:w="80" w:type="dxa"/>
            </w:tcMar>
          </w:tcPr>
          <w:p w14:paraId="74982ACE" w14:textId="77777777" w:rsidR="00D35E43" w:rsidRPr="00B754D8" w:rsidRDefault="00CD7861">
            <w:pPr>
              <w:pStyle w:val="CuerpoA"/>
              <w:jc w:val="both"/>
            </w:pPr>
            <w:r w:rsidRPr="00B754D8">
              <w:rPr>
                <w:rStyle w:val="Ninguno"/>
                <w:rFonts w:ascii="Arial" w:hAnsi="Arial"/>
              </w:rPr>
              <w:t>2016</w:t>
            </w:r>
          </w:p>
        </w:tc>
        <w:tc>
          <w:tcPr>
            <w:tcW w:w="2197" w:type="dxa"/>
            <w:tcBorders>
              <w:top w:val="single" w:sz="4" w:space="0" w:color="000000"/>
              <w:left w:val="single" w:sz="24" w:space="0" w:color="000000"/>
              <w:bottom w:val="single" w:sz="4" w:space="0" w:color="000000"/>
              <w:right w:val="single" w:sz="24" w:space="0" w:color="000000"/>
            </w:tcBorders>
            <w:shd w:val="clear" w:color="auto" w:fill="auto"/>
            <w:tcMar>
              <w:top w:w="80" w:type="dxa"/>
              <w:left w:w="80" w:type="dxa"/>
              <w:bottom w:w="80" w:type="dxa"/>
              <w:right w:w="80" w:type="dxa"/>
            </w:tcMar>
            <w:vAlign w:val="bottom"/>
          </w:tcPr>
          <w:p w14:paraId="0CAF12A8" w14:textId="77777777" w:rsidR="00D35E43" w:rsidRPr="00B754D8" w:rsidRDefault="00CD7861">
            <w:pPr>
              <w:pStyle w:val="CuerpoA"/>
              <w:jc w:val="both"/>
            </w:pPr>
            <w:r w:rsidRPr="00B754D8">
              <w:rPr>
                <w:rStyle w:val="Ninguno"/>
                <w:rFonts w:ascii="Arial" w:hAnsi="Arial"/>
              </w:rPr>
              <w:t>4VG</w:t>
            </w:r>
          </w:p>
        </w:tc>
        <w:tc>
          <w:tcPr>
            <w:tcW w:w="2325" w:type="dxa"/>
            <w:tcBorders>
              <w:top w:val="single" w:sz="4" w:space="0" w:color="000000"/>
              <w:left w:val="single" w:sz="24" w:space="0" w:color="000000"/>
              <w:bottom w:val="single" w:sz="4" w:space="0" w:color="000000"/>
              <w:right w:val="single" w:sz="24" w:space="0" w:color="000000"/>
            </w:tcBorders>
            <w:shd w:val="clear" w:color="auto" w:fill="auto"/>
            <w:tcMar>
              <w:top w:w="80" w:type="dxa"/>
              <w:left w:w="80" w:type="dxa"/>
              <w:bottom w:w="80" w:type="dxa"/>
              <w:right w:w="80" w:type="dxa"/>
            </w:tcMar>
            <w:vAlign w:val="center"/>
          </w:tcPr>
          <w:p w14:paraId="336B6736" w14:textId="77777777" w:rsidR="00D35E43" w:rsidRPr="00B754D8" w:rsidRDefault="00CD7861">
            <w:pPr>
              <w:pStyle w:val="CuerpoA"/>
              <w:jc w:val="both"/>
            </w:pPr>
            <w:r w:rsidRPr="00B754D8">
              <w:rPr>
                <w:rStyle w:val="Ninguno"/>
                <w:rFonts w:ascii="Arial" w:hAnsi="Arial"/>
              </w:rPr>
              <w:t>1</w:t>
            </w:r>
          </w:p>
        </w:tc>
        <w:tc>
          <w:tcPr>
            <w:tcW w:w="2623" w:type="dxa"/>
            <w:tcBorders>
              <w:top w:val="single" w:sz="4" w:space="0" w:color="000000"/>
              <w:left w:val="single" w:sz="24" w:space="0" w:color="000000"/>
              <w:bottom w:val="single" w:sz="4" w:space="0" w:color="000000"/>
              <w:right w:val="single" w:sz="24" w:space="0" w:color="000000"/>
            </w:tcBorders>
            <w:shd w:val="clear" w:color="auto" w:fill="auto"/>
            <w:tcMar>
              <w:top w:w="80" w:type="dxa"/>
              <w:left w:w="80" w:type="dxa"/>
              <w:bottom w:w="80" w:type="dxa"/>
              <w:right w:w="80" w:type="dxa"/>
            </w:tcMar>
            <w:vAlign w:val="center"/>
          </w:tcPr>
          <w:p w14:paraId="3A635497" w14:textId="77777777" w:rsidR="00D35E43" w:rsidRPr="00B754D8" w:rsidRDefault="00CD7861">
            <w:pPr>
              <w:pStyle w:val="CuerpoA"/>
              <w:jc w:val="both"/>
            </w:pPr>
            <w:r w:rsidRPr="00B754D8">
              <w:rPr>
                <w:rStyle w:val="Ninguno"/>
                <w:rFonts w:ascii="Arial" w:hAnsi="Arial"/>
              </w:rPr>
              <w:t>1</w:t>
            </w:r>
          </w:p>
        </w:tc>
      </w:tr>
      <w:tr w:rsidR="00D35E43" w:rsidRPr="00B754D8" w14:paraId="63F20F31" w14:textId="77777777">
        <w:trPr>
          <w:trHeight w:val="253"/>
        </w:trPr>
        <w:tc>
          <w:tcPr>
            <w:tcW w:w="1643" w:type="dxa"/>
            <w:tcBorders>
              <w:top w:val="single" w:sz="4" w:space="0" w:color="000000"/>
              <w:left w:val="single" w:sz="24" w:space="0" w:color="000000"/>
              <w:bottom w:val="single" w:sz="4" w:space="0" w:color="000000"/>
              <w:right w:val="single" w:sz="24" w:space="0" w:color="000000"/>
            </w:tcBorders>
            <w:shd w:val="clear" w:color="auto" w:fill="auto"/>
            <w:tcMar>
              <w:top w:w="80" w:type="dxa"/>
              <w:left w:w="80" w:type="dxa"/>
              <w:bottom w:w="80" w:type="dxa"/>
              <w:right w:w="80" w:type="dxa"/>
            </w:tcMar>
          </w:tcPr>
          <w:p w14:paraId="12841738" w14:textId="77777777" w:rsidR="00D35E43" w:rsidRPr="00B754D8" w:rsidRDefault="00CD7861">
            <w:pPr>
              <w:pStyle w:val="CuerpoA"/>
              <w:jc w:val="both"/>
            </w:pPr>
            <w:r w:rsidRPr="00B754D8">
              <w:rPr>
                <w:rStyle w:val="Ninguno"/>
                <w:rFonts w:ascii="Arial" w:hAnsi="Arial"/>
              </w:rPr>
              <w:t>2017</w:t>
            </w:r>
          </w:p>
        </w:tc>
        <w:tc>
          <w:tcPr>
            <w:tcW w:w="2197" w:type="dxa"/>
            <w:tcBorders>
              <w:top w:val="single" w:sz="4" w:space="0" w:color="000000"/>
              <w:left w:val="single" w:sz="24" w:space="0" w:color="000000"/>
              <w:bottom w:val="single" w:sz="4" w:space="0" w:color="000000"/>
              <w:right w:val="single" w:sz="24" w:space="0" w:color="000000"/>
            </w:tcBorders>
            <w:shd w:val="clear" w:color="auto" w:fill="auto"/>
            <w:tcMar>
              <w:top w:w="80" w:type="dxa"/>
              <w:left w:w="80" w:type="dxa"/>
              <w:bottom w:w="80" w:type="dxa"/>
              <w:right w:w="80" w:type="dxa"/>
            </w:tcMar>
            <w:vAlign w:val="bottom"/>
          </w:tcPr>
          <w:p w14:paraId="707B8C98" w14:textId="77777777" w:rsidR="00D35E43" w:rsidRPr="00B754D8" w:rsidRDefault="00CD7861">
            <w:pPr>
              <w:pStyle w:val="CuerpoA"/>
              <w:jc w:val="both"/>
            </w:pPr>
            <w:r w:rsidRPr="00B754D8">
              <w:rPr>
                <w:rStyle w:val="Ninguno"/>
                <w:rFonts w:ascii="Arial" w:hAnsi="Arial"/>
              </w:rPr>
              <w:t>5VG</w:t>
            </w:r>
          </w:p>
        </w:tc>
        <w:tc>
          <w:tcPr>
            <w:tcW w:w="2325" w:type="dxa"/>
            <w:tcBorders>
              <w:top w:val="single" w:sz="4" w:space="0" w:color="000000"/>
              <w:left w:val="single" w:sz="24" w:space="0" w:color="000000"/>
              <w:bottom w:val="single" w:sz="4" w:space="0" w:color="000000"/>
              <w:right w:val="single" w:sz="24" w:space="0" w:color="000000"/>
            </w:tcBorders>
            <w:shd w:val="clear" w:color="auto" w:fill="auto"/>
            <w:tcMar>
              <w:top w:w="80" w:type="dxa"/>
              <w:left w:w="80" w:type="dxa"/>
              <w:bottom w:w="80" w:type="dxa"/>
              <w:right w:w="80" w:type="dxa"/>
            </w:tcMar>
            <w:vAlign w:val="center"/>
          </w:tcPr>
          <w:p w14:paraId="4ECD8779" w14:textId="77777777" w:rsidR="00D35E43" w:rsidRPr="00B754D8" w:rsidRDefault="00CD7861">
            <w:pPr>
              <w:pStyle w:val="CuerpoA"/>
              <w:jc w:val="both"/>
            </w:pPr>
            <w:r w:rsidRPr="00B754D8">
              <w:rPr>
                <w:rStyle w:val="Ninguno"/>
                <w:rFonts w:ascii="Arial" w:hAnsi="Arial"/>
              </w:rPr>
              <w:t>1</w:t>
            </w:r>
          </w:p>
        </w:tc>
        <w:tc>
          <w:tcPr>
            <w:tcW w:w="2623" w:type="dxa"/>
            <w:tcBorders>
              <w:top w:val="single" w:sz="4" w:space="0" w:color="000000"/>
              <w:left w:val="single" w:sz="24" w:space="0" w:color="000000"/>
              <w:bottom w:val="single" w:sz="4" w:space="0" w:color="000000"/>
              <w:right w:val="single" w:sz="24" w:space="0" w:color="000000"/>
            </w:tcBorders>
            <w:shd w:val="clear" w:color="auto" w:fill="auto"/>
            <w:tcMar>
              <w:top w:w="80" w:type="dxa"/>
              <w:left w:w="80" w:type="dxa"/>
              <w:bottom w:w="80" w:type="dxa"/>
              <w:right w:w="80" w:type="dxa"/>
            </w:tcMar>
            <w:vAlign w:val="center"/>
          </w:tcPr>
          <w:p w14:paraId="3DD3084C" w14:textId="77777777" w:rsidR="00D35E43" w:rsidRPr="00B754D8" w:rsidRDefault="00CD7861">
            <w:pPr>
              <w:pStyle w:val="CuerpoA"/>
              <w:jc w:val="both"/>
            </w:pPr>
            <w:r w:rsidRPr="00B754D8">
              <w:rPr>
                <w:rStyle w:val="Ninguno"/>
                <w:rFonts w:ascii="Arial" w:hAnsi="Arial"/>
              </w:rPr>
              <w:t>0</w:t>
            </w:r>
          </w:p>
        </w:tc>
      </w:tr>
      <w:tr w:rsidR="00D35E43" w:rsidRPr="00B754D8" w14:paraId="7A923299" w14:textId="77777777">
        <w:trPr>
          <w:trHeight w:val="770"/>
        </w:trPr>
        <w:tc>
          <w:tcPr>
            <w:tcW w:w="1643" w:type="dxa"/>
            <w:tcBorders>
              <w:top w:val="single" w:sz="4" w:space="0" w:color="000000"/>
              <w:left w:val="single" w:sz="24" w:space="0" w:color="000000"/>
              <w:bottom w:val="single" w:sz="4" w:space="0" w:color="000000"/>
              <w:right w:val="single" w:sz="24" w:space="0" w:color="000000"/>
            </w:tcBorders>
            <w:shd w:val="clear" w:color="auto" w:fill="auto"/>
            <w:tcMar>
              <w:top w:w="80" w:type="dxa"/>
              <w:left w:w="80" w:type="dxa"/>
              <w:bottom w:w="80" w:type="dxa"/>
              <w:right w:w="80" w:type="dxa"/>
            </w:tcMar>
          </w:tcPr>
          <w:p w14:paraId="583DC4DC" w14:textId="77777777" w:rsidR="00D35E43" w:rsidRPr="00B754D8" w:rsidRDefault="00CD7861">
            <w:pPr>
              <w:pStyle w:val="CuerpoA"/>
              <w:jc w:val="both"/>
            </w:pPr>
            <w:r w:rsidRPr="00B754D8">
              <w:rPr>
                <w:rStyle w:val="Ninguno"/>
                <w:rFonts w:ascii="Arial" w:hAnsi="Arial"/>
              </w:rPr>
              <w:t>2018</w:t>
            </w:r>
          </w:p>
        </w:tc>
        <w:tc>
          <w:tcPr>
            <w:tcW w:w="2197" w:type="dxa"/>
            <w:tcBorders>
              <w:top w:val="single" w:sz="4" w:space="0" w:color="000000"/>
              <w:left w:val="single" w:sz="24" w:space="0" w:color="000000"/>
              <w:bottom w:val="single" w:sz="4" w:space="0" w:color="000000"/>
              <w:right w:val="single" w:sz="24" w:space="0" w:color="000000"/>
            </w:tcBorders>
            <w:shd w:val="clear" w:color="auto" w:fill="auto"/>
            <w:tcMar>
              <w:top w:w="80" w:type="dxa"/>
              <w:left w:w="80" w:type="dxa"/>
              <w:bottom w:w="80" w:type="dxa"/>
              <w:right w:w="80" w:type="dxa"/>
            </w:tcMar>
            <w:vAlign w:val="bottom"/>
          </w:tcPr>
          <w:p w14:paraId="54B601A4" w14:textId="77777777" w:rsidR="00D35E43" w:rsidRPr="00B754D8" w:rsidRDefault="00CD7861">
            <w:pPr>
              <w:pStyle w:val="CuerpoA"/>
              <w:jc w:val="both"/>
            </w:pPr>
            <w:r w:rsidRPr="00B754D8">
              <w:rPr>
                <w:rStyle w:val="Ninguno"/>
                <w:rFonts w:ascii="Arial" w:hAnsi="Arial"/>
              </w:rPr>
              <w:t>29/18VG, 12VG, 13VG, 14VG, 15VG y 16VG</w:t>
            </w:r>
          </w:p>
        </w:tc>
        <w:tc>
          <w:tcPr>
            <w:tcW w:w="2325" w:type="dxa"/>
            <w:tcBorders>
              <w:top w:val="single" w:sz="4" w:space="0" w:color="000000"/>
              <w:left w:val="single" w:sz="24" w:space="0" w:color="000000"/>
              <w:bottom w:val="single" w:sz="4" w:space="0" w:color="000000"/>
              <w:right w:val="single" w:sz="24" w:space="0" w:color="000000"/>
            </w:tcBorders>
            <w:shd w:val="clear" w:color="auto" w:fill="auto"/>
            <w:tcMar>
              <w:top w:w="80" w:type="dxa"/>
              <w:left w:w="80" w:type="dxa"/>
              <w:bottom w:w="80" w:type="dxa"/>
              <w:right w:w="80" w:type="dxa"/>
            </w:tcMar>
            <w:vAlign w:val="center"/>
          </w:tcPr>
          <w:p w14:paraId="6569C29F" w14:textId="77777777" w:rsidR="00D35E43" w:rsidRPr="00B754D8" w:rsidRDefault="00CD7861">
            <w:pPr>
              <w:pStyle w:val="CuerpoA"/>
              <w:jc w:val="both"/>
            </w:pPr>
            <w:r w:rsidRPr="00B754D8">
              <w:rPr>
                <w:rStyle w:val="Ninguno"/>
                <w:rFonts w:ascii="Arial" w:hAnsi="Arial"/>
              </w:rPr>
              <w:t>4</w:t>
            </w:r>
          </w:p>
        </w:tc>
        <w:tc>
          <w:tcPr>
            <w:tcW w:w="2623" w:type="dxa"/>
            <w:tcBorders>
              <w:top w:val="single" w:sz="4" w:space="0" w:color="000000"/>
              <w:left w:val="single" w:sz="24" w:space="0" w:color="000000"/>
              <w:bottom w:val="single" w:sz="4" w:space="0" w:color="000000"/>
              <w:right w:val="single" w:sz="24" w:space="0" w:color="000000"/>
            </w:tcBorders>
            <w:shd w:val="clear" w:color="auto" w:fill="auto"/>
            <w:tcMar>
              <w:top w:w="80" w:type="dxa"/>
              <w:left w:w="80" w:type="dxa"/>
              <w:bottom w:w="80" w:type="dxa"/>
              <w:right w:w="80" w:type="dxa"/>
            </w:tcMar>
            <w:vAlign w:val="center"/>
          </w:tcPr>
          <w:p w14:paraId="255C49FF" w14:textId="77777777" w:rsidR="00D35E43" w:rsidRPr="00B754D8" w:rsidRDefault="00D35E43">
            <w:pPr>
              <w:pStyle w:val="CuerpoA"/>
              <w:jc w:val="both"/>
              <w:rPr>
                <w:rStyle w:val="Ninguno"/>
                <w:rFonts w:ascii="Arial" w:eastAsia="Arial" w:hAnsi="Arial" w:cs="Arial"/>
              </w:rPr>
            </w:pPr>
          </w:p>
          <w:p w14:paraId="608F7541" w14:textId="77777777" w:rsidR="00D35E43" w:rsidRPr="00B754D8" w:rsidRDefault="00CD7861">
            <w:pPr>
              <w:pStyle w:val="CuerpoA"/>
              <w:jc w:val="both"/>
            </w:pPr>
            <w:r w:rsidRPr="00B754D8">
              <w:rPr>
                <w:rStyle w:val="Ninguno"/>
                <w:rFonts w:ascii="Arial" w:hAnsi="Arial"/>
              </w:rPr>
              <w:t>4</w:t>
            </w:r>
          </w:p>
        </w:tc>
      </w:tr>
      <w:tr w:rsidR="00D35E43" w:rsidRPr="00B754D8" w14:paraId="6A1F4F05" w14:textId="77777777">
        <w:trPr>
          <w:trHeight w:val="536"/>
        </w:trPr>
        <w:tc>
          <w:tcPr>
            <w:tcW w:w="1643" w:type="dxa"/>
            <w:tcBorders>
              <w:top w:val="single" w:sz="4" w:space="0" w:color="000000"/>
              <w:left w:val="single" w:sz="24" w:space="0" w:color="000000"/>
              <w:bottom w:val="single" w:sz="24" w:space="0" w:color="000000"/>
              <w:right w:val="single" w:sz="24" w:space="0" w:color="000000"/>
            </w:tcBorders>
            <w:shd w:val="clear" w:color="auto" w:fill="auto"/>
            <w:tcMar>
              <w:top w:w="80" w:type="dxa"/>
              <w:left w:w="80" w:type="dxa"/>
              <w:bottom w:w="80" w:type="dxa"/>
              <w:right w:w="80" w:type="dxa"/>
            </w:tcMar>
          </w:tcPr>
          <w:p w14:paraId="55AC1EAD" w14:textId="77777777" w:rsidR="00D35E43" w:rsidRPr="00B754D8" w:rsidRDefault="00CD7861">
            <w:pPr>
              <w:pStyle w:val="CuerpoA"/>
              <w:jc w:val="both"/>
            </w:pPr>
            <w:r w:rsidRPr="00B754D8">
              <w:rPr>
                <w:rStyle w:val="Ninguno"/>
                <w:rFonts w:ascii="Arial" w:hAnsi="Arial"/>
              </w:rPr>
              <w:t>2019</w:t>
            </w:r>
          </w:p>
        </w:tc>
        <w:tc>
          <w:tcPr>
            <w:tcW w:w="2197" w:type="dxa"/>
            <w:tcBorders>
              <w:top w:val="single" w:sz="4" w:space="0" w:color="000000"/>
              <w:left w:val="single" w:sz="24" w:space="0" w:color="000000"/>
              <w:bottom w:val="single" w:sz="24" w:space="0" w:color="000000"/>
              <w:right w:val="single" w:sz="24" w:space="0" w:color="000000"/>
            </w:tcBorders>
            <w:shd w:val="clear" w:color="auto" w:fill="auto"/>
            <w:tcMar>
              <w:top w:w="80" w:type="dxa"/>
              <w:left w:w="80" w:type="dxa"/>
              <w:bottom w:w="80" w:type="dxa"/>
              <w:right w:w="80" w:type="dxa"/>
            </w:tcMar>
            <w:vAlign w:val="bottom"/>
          </w:tcPr>
          <w:p w14:paraId="4721BFDE" w14:textId="77777777" w:rsidR="00D35E43" w:rsidRPr="00B754D8" w:rsidRDefault="00CD7861">
            <w:pPr>
              <w:pStyle w:val="CuerpoA"/>
              <w:jc w:val="both"/>
            </w:pPr>
            <w:r w:rsidRPr="00B754D8">
              <w:rPr>
                <w:rStyle w:val="Ninguno"/>
                <w:rFonts w:ascii="Arial" w:hAnsi="Arial"/>
              </w:rPr>
              <w:t>17VG, 18VG y 19VG</w:t>
            </w:r>
          </w:p>
        </w:tc>
        <w:tc>
          <w:tcPr>
            <w:tcW w:w="2325" w:type="dxa"/>
            <w:tcBorders>
              <w:top w:val="single" w:sz="4" w:space="0" w:color="000000"/>
              <w:left w:val="single" w:sz="24" w:space="0" w:color="000000"/>
              <w:bottom w:val="single" w:sz="24" w:space="0" w:color="000000"/>
              <w:right w:val="single" w:sz="24" w:space="0" w:color="000000"/>
            </w:tcBorders>
            <w:shd w:val="clear" w:color="auto" w:fill="auto"/>
            <w:tcMar>
              <w:top w:w="80" w:type="dxa"/>
              <w:left w:w="80" w:type="dxa"/>
              <w:bottom w:w="80" w:type="dxa"/>
              <w:right w:w="80" w:type="dxa"/>
            </w:tcMar>
            <w:vAlign w:val="center"/>
          </w:tcPr>
          <w:p w14:paraId="74CA8C80" w14:textId="77777777" w:rsidR="00D35E43" w:rsidRPr="00B754D8" w:rsidRDefault="00CD7861">
            <w:pPr>
              <w:pStyle w:val="CuerpoA"/>
              <w:jc w:val="both"/>
            </w:pPr>
            <w:r w:rsidRPr="00B754D8">
              <w:rPr>
                <w:rStyle w:val="Ninguno"/>
                <w:rFonts w:ascii="Arial" w:hAnsi="Arial"/>
              </w:rPr>
              <w:t>3</w:t>
            </w:r>
          </w:p>
        </w:tc>
        <w:tc>
          <w:tcPr>
            <w:tcW w:w="2623" w:type="dxa"/>
            <w:tcBorders>
              <w:top w:val="single" w:sz="4" w:space="0" w:color="000000"/>
              <w:left w:val="single" w:sz="24" w:space="0" w:color="000000"/>
              <w:bottom w:val="single" w:sz="24" w:space="0" w:color="000000"/>
              <w:right w:val="single" w:sz="24" w:space="0" w:color="000000"/>
            </w:tcBorders>
            <w:shd w:val="clear" w:color="auto" w:fill="auto"/>
            <w:tcMar>
              <w:top w:w="80" w:type="dxa"/>
              <w:left w:w="80" w:type="dxa"/>
              <w:bottom w:w="80" w:type="dxa"/>
              <w:right w:w="80" w:type="dxa"/>
            </w:tcMar>
            <w:vAlign w:val="center"/>
          </w:tcPr>
          <w:p w14:paraId="197CF713" w14:textId="77777777" w:rsidR="00D35E43" w:rsidRPr="00B754D8" w:rsidRDefault="00CD7861">
            <w:pPr>
              <w:pStyle w:val="CuerpoA"/>
              <w:jc w:val="both"/>
            </w:pPr>
            <w:r w:rsidRPr="00B754D8">
              <w:rPr>
                <w:rStyle w:val="Ninguno"/>
                <w:rFonts w:ascii="Arial" w:hAnsi="Arial"/>
              </w:rPr>
              <w:t>1</w:t>
            </w:r>
          </w:p>
        </w:tc>
      </w:tr>
      <w:tr w:rsidR="00D35E43" w:rsidRPr="00B754D8" w14:paraId="1268EE44" w14:textId="77777777">
        <w:trPr>
          <w:trHeight w:val="353"/>
        </w:trPr>
        <w:tc>
          <w:tcPr>
            <w:tcW w:w="1643" w:type="dxa"/>
            <w:tcBorders>
              <w:top w:val="single" w:sz="24" w:space="0" w:color="000000"/>
              <w:left w:val="single" w:sz="24" w:space="0" w:color="000000"/>
              <w:bottom w:val="single" w:sz="24" w:space="0" w:color="000000"/>
              <w:right w:val="single" w:sz="24" w:space="0" w:color="000000"/>
            </w:tcBorders>
            <w:shd w:val="clear" w:color="auto" w:fill="auto"/>
            <w:tcMar>
              <w:top w:w="80" w:type="dxa"/>
              <w:left w:w="80" w:type="dxa"/>
              <w:bottom w:w="80" w:type="dxa"/>
              <w:right w:w="80" w:type="dxa"/>
            </w:tcMar>
          </w:tcPr>
          <w:p w14:paraId="4E2758B8" w14:textId="77777777" w:rsidR="00D35E43" w:rsidRPr="00B754D8" w:rsidRDefault="00CD7861">
            <w:pPr>
              <w:pStyle w:val="CuerpoA"/>
              <w:jc w:val="both"/>
            </w:pPr>
            <w:r w:rsidRPr="00B754D8">
              <w:rPr>
                <w:rStyle w:val="Ninguno"/>
                <w:rFonts w:ascii="Arial" w:hAnsi="Arial"/>
              </w:rPr>
              <w:t>TOTAL</w:t>
            </w:r>
          </w:p>
        </w:tc>
        <w:tc>
          <w:tcPr>
            <w:tcW w:w="2197" w:type="dxa"/>
            <w:tcBorders>
              <w:top w:val="single" w:sz="24" w:space="0" w:color="000000"/>
              <w:left w:val="single" w:sz="24" w:space="0" w:color="000000"/>
              <w:bottom w:val="single" w:sz="24" w:space="0" w:color="000000"/>
              <w:right w:val="single" w:sz="24" w:space="0" w:color="000000"/>
            </w:tcBorders>
            <w:shd w:val="clear" w:color="auto" w:fill="auto"/>
            <w:tcMar>
              <w:top w:w="80" w:type="dxa"/>
              <w:left w:w="80" w:type="dxa"/>
              <w:bottom w:w="80" w:type="dxa"/>
              <w:right w:w="80" w:type="dxa"/>
            </w:tcMar>
            <w:vAlign w:val="bottom"/>
          </w:tcPr>
          <w:p w14:paraId="568365E1" w14:textId="77777777" w:rsidR="00D35E43" w:rsidRPr="00B754D8" w:rsidRDefault="00CD7861">
            <w:pPr>
              <w:pStyle w:val="CuerpoA"/>
              <w:jc w:val="both"/>
            </w:pPr>
            <w:r w:rsidRPr="00B754D8">
              <w:rPr>
                <w:rStyle w:val="Ninguno"/>
                <w:rFonts w:ascii="Arial" w:hAnsi="Arial"/>
              </w:rPr>
              <w:t>14</w:t>
            </w:r>
          </w:p>
        </w:tc>
        <w:tc>
          <w:tcPr>
            <w:tcW w:w="2325" w:type="dxa"/>
            <w:tcBorders>
              <w:top w:val="single" w:sz="24" w:space="0" w:color="000000"/>
              <w:left w:val="single" w:sz="24" w:space="0" w:color="000000"/>
              <w:bottom w:val="single" w:sz="24" w:space="0" w:color="000000"/>
              <w:right w:val="single" w:sz="24" w:space="0" w:color="000000"/>
            </w:tcBorders>
            <w:shd w:val="clear" w:color="auto" w:fill="auto"/>
            <w:tcMar>
              <w:top w:w="80" w:type="dxa"/>
              <w:left w:w="80" w:type="dxa"/>
              <w:bottom w:w="80" w:type="dxa"/>
              <w:right w:w="80" w:type="dxa"/>
            </w:tcMar>
            <w:vAlign w:val="bottom"/>
          </w:tcPr>
          <w:p w14:paraId="09E85D2E" w14:textId="77777777" w:rsidR="00D35E43" w:rsidRPr="00B754D8" w:rsidRDefault="00CD7861">
            <w:pPr>
              <w:pStyle w:val="CuerpoA"/>
              <w:jc w:val="both"/>
            </w:pPr>
            <w:r w:rsidRPr="00B754D8">
              <w:rPr>
                <w:rStyle w:val="Ninguno"/>
                <w:rFonts w:ascii="Arial" w:hAnsi="Arial"/>
              </w:rPr>
              <w:t>10</w:t>
            </w:r>
          </w:p>
        </w:tc>
        <w:tc>
          <w:tcPr>
            <w:tcW w:w="2623" w:type="dxa"/>
            <w:tcBorders>
              <w:top w:val="single" w:sz="24" w:space="0" w:color="000000"/>
              <w:left w:val="single" w:sz="24" w:space="0" w:color="000000"/>
              <w:bottom w:val="single" w:sz="24" w:space="0" w:color="000000"/>
              <w:right w:val="single" w:sz="24" w:space="0" w:color="000000"/>
            </w:tcBorders>
            <w:shd w:val="clear" w:color="auto" w:fill="auto"/>
            <w:tcMar>
              <w:top w:w="80" w:type="dxa"/>
              <w:left w:w="80" w:type="dxa"/>
              <w:bottom w:w="80" w:type="dxa"/>
              <w:right w:w="80" w:type="dxa"/>
            </w:tcMar>
            <w:vAlign w:val="bottom"/>
          </w:tcPr>
          <w:p w14:paraId="324B6B87" w14:textId="77777777" w:rsidR="00D35E43" w:rsidRPr="00B754D8" w:rsidRDefault="00CD7861">
            <w:pPr>
              <w:pStyle w:val="CuerpoA"/>
              <w:jc w:val="both"/>
            </w:pPr>
            <w:r w:rsidRPr="00B754D8">
              <w:rPr>
                <w:rStyle w:val="Ninguno"/>
                <w:rFonts w:ascii="Arial" w:hAnsi="Arial"/>
              </w:rPr>
              <w:t>9</w:t>
            </w:r>
          </w:p>
        </w:tc>
      </w:tr>
    </w:tbl>
    <w:p w14:paraId="5746DD85" w14:textId="7DCB9FC7" w:rsidR="00D35E43" w:rsidRPr="00B754D8" w:rsidRDefault="00D35E43" w:rsidP="00D44340">
      <w:pPr>
        <w:pStyle w:val="CuerpoA"/>
        <w:widowControl w:val="0"/>
        <w:spacing w:line="240" w:lineRule="auto"/>
        <w:jc w:val="both"/>
        <w:rPr>
          <w:rStyle w:val="Ninguno"/>
          <w:rFonts w:ascii="Arial" w:eastAsia="Arial" w:hAnsi="Arial" w:cs="Arial"/>
          <w:sz w:val="24"/>
          <w:szCs w:val="24"/>
        </w:rPr>
      </w:pPr>
    </w:p>
    <w:p w14:paraId="54AD0FCE" w14:textId="77777777" w:rsidR="00D35E43" w:rsidRPr="00B754D8" w:rsidRDefault="00CD7861">
      <w:pPr>
        <w:pStyle w:val="CuerpoA"/>
        <w:jc w:val="both"/>
        <w:rPr>
          <w:rStyle w:val="Ninguno"/>
          <w:rFonts w:ascii="Arial" w:eastAsia="Arial" w:hAnsi="Arial" w:cs="Arial"/>
        </w:rPr>
      </w:pPr>
      <w:r w:rsidRPr="00B754D8">
        <w:rPr>
          <w:rStyle w:val="Ninguno"/>
          <w:rFonts w:ascii="Arial" w:hAnsi="Arial"/>
        </w:rPr>
        <w:lastRenderedPageBreak/>
        <w:t>*Una recomendación puede tener uno o más hechos violatorios</w:t>
      </w:r>
    </w:p>
    <w:p w14:paraId="0E443F89" w14:textId="77777777" w:rsidR="00D35E43" w:rsidRPr="00B754D8" w:rsidRDefault="00D35E43">
      <w:pPr>
        <w:pStyle w:val="CuerpoA"/>
        <w:rPr>
          <w:rStyle w:val="Ninguno"/>
          <w:rFonts w:ascii="Arial" w:eastAsia="Arial" w:hAnsi="Arial" w:cs="Arial"/>
          <w:b/>
          <w:bCs/>
        </w:rPr>
      </w:pPr>
    </w:p>
    <w:p w14:paraId="6B461B3F" w14:textId="77777777" w:rsidR="00D35E43" w:rsidRPr="00B754D8" w:rsidRDefault="00CD7861">
      <w:pPr>
        <w:pStyle w:val="CuerpoA"/>
        <w:jc w:val="both"/>
        <w:rPr>
          <w:rStyle w:val="Ninguno"/>
          <w:rFonts w:ascii="Arial" w:eastAsia="Arial" w:hAnsi="Arial" w:cs="Arial"/>
          <w:sz w:val="24"/>
          <w:szCs w:val="24"/>
          <w:u w:val="single"/>
        </w:rPr>
      </w:pPr>
      <w:r w:rsidRPr="00B754D8">
        <w:rPr>
          <w:rStyle w:val="Ninguno"/>
          <w:rFonts w:ascii="Arial" w:hAnsi="Arial"/>
          <w:sz w:val="24"/>
          <w:szCs w:val="24"/>
          <w:u w:val="single"/>
        </w:rPr>
        <w:t>Recomendaciones particulares</w:t>
      </w:r>
    </w:p>
    <w:p w14:paraId="7B902DBA"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La Comisión Nacional de los Derechos Humanos, puede informar que, derivado de las quejas presentadas por los propios agraviados, sus familiares o con motivo de las vistas de Organismos Jurisdiccionales, en el periodo comprendido de enero de 2013 y hasta el 28 de febrero del 2019, se han emitido un total de 15 Recomendaciones particulares por casos de tortura.</w:t>
      </w:r>
    </w:p>
    <w:p w14:paraId="653743DC"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Las autoridades señaladas con mayor reincidencia en las recomendaciones como responsables de la violación a los derechos humanos por tortura en el período comprendido del 1° de enero del año 2013 al 31 de enero de 2019 son la Comisión Nacional de Seguridad con 19; la Secretaría de Marina con 15; la Fiscalía General de la República con 7; el Gobierno del Estado de San Luis Potosí con 3; existiendo 11 autoridades con una sola. Por lo que corresponde al hecho violatorio de trato cruel inhumano o degradante las autoridades a las que se dirigió recomendación son la Comisión Nacional de Seguridad con 13; la Fiscalía General de la República con 8; la Secretaría de Educación Pública con 6; el Instituto Mexicano del Seguro Social con 5; el Instituto Nacional de Migración con 3; el Gobierno del Estado de Chiapas con 3; y otras 30 autoridades con dos y una recomendación.</w:t>
      </w:r>
    </w:p>
    <w:p w14:paraId="1433428A"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Producto de la investigación de las violaciones a los derechos humanos de las víctimas relacionadas con las Recomendaciones citadas, la CNDH advirtió que, en todos los casos, la tortura se infligió durante el tiempo en que los agraviados estuvieron retenidos y bajo la custodia de los elementos aprehensores. Por ello, la Comisión Nacional precisó que los elementos aprehensores tenían el deber jurídico de poner inmediatamente a los detenidos a disposición del Ministerio Público, ya sea federal o local. Sin embargo, los agentes captores mantuvieron a los agraviados bajo su custodia más allá del tiempo que resultaba racionalmente necesario.</w:t>
      </w:r>
    </w:p>
    <w:p w14:paraId="0D8C6607"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Asimismo, durante la investigación para acreditar los actos practicados en contra de las víctimas, la Comisión Nacional emitió opiniones médicas y psicológicas tendentes a establecer la concordancia entre los síntomas físicos, los hallazgos de la exploración física y psicológica y los hechos o alegaciones de abuso de que dijeron haber sido objeto las víctimas. También es de destacarse que en todos estos casos la CNDH procedió a la realización de la opinión médico psicológica especializada de atención forense a víctimas de posibles violaciones a derechos humanos, tortura, malos tratos, o penas crueles, inhumanos y/o degradantes, con base en el Protocolo de Estambul</w:t>
      </w:r>
    </w:p>
    <w:p w14:paraId="5E32CF5E" w14:textId="77777777" w:rsidR="00D35E43" w:rsidRPr="00B754D8" w:rsidRDefault="00CD7861">
      <w:pPr>
        <w:pStyle w:val="CuerpoA"/>
        <w:jc w:val="both"/>
        <w:rPr>
          <w:rStyle w:val="Ninguno"/>
          <w:rFonts w:ascii="Arial" w:eastAsia="Arial" w:hAnsi="Arial" w:cs="Arial"/>
          <w:sz w:val="24"/>
          <w:szCs w:val="24"/>
          <w:u w:val="single"/>
        </w:rPr>
      </w:pPr>
      <w:r w:rsidRPr="00B754D8">
        <w:rPr>
          <w:rStyle w:val="Ninguno"/>
          <w:rFonts w:ascii="Arial" w:hAnsi="Arial"/>
          <w:sz w:val="24"/>
          <w:szCs w:val="24"/>
          <w:u w:val="single"/>
        </w:rPr>
        <w:t>La CNDH y su interacción con el Comité contra la Tortura de la ONU</w:t>
      </w:r>
    </w:p>
    <w:p w14:paraId="5E4A2529"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En marzo de 2019 la CNDH envió al Secretario del </w:t>
      </w:r>
      <w:r w:rsidRPr="00B754D8">
        <w:rPr>
          <w:rStyle w:val="Ninguno"/>
          <w:rFonts w:ascii="Arial" w:hAnsi="Arial"/>
          <w:b/>
          <w:bCs/>
          <w:sz w:val="24"/>
          <w:szCs w:val="24"/>
        </w:rPr>
        <w:t>Comité contra la Tortura de la ONU (CAT)</w:t>
      </w:r>
      <w:r w:rsidRPr="00B754D8">
        <w:rPr>
          <w:rStyle w:val="Ninguno"/>
          <w:rFonts w:ascii="Arial" w:hAnsi="Arial"/>
          <w:sz w:val="24"/>
          <w:szCs w:val="24"/>
        </w:rPr>
        <w:t xml:space="preserve"> el Informe de la Comisión Nacional de los Derechos Humanos, en su </w:t>
      </w:r>
      <w:r w:rsidRPr="00B754D8">
        <w:rPr>
          <w:rStyle w:val="Ninguno"/>
          <w:rFonts w:ascii="Arial" w:hAnsi="Arial"/>
          <w:sz w:val="24"/>
          <w:szCs w:val="24"/>
        </w:rPr>
        <w:lastRenderedPageBreak/>
        <w:t>calidad de Institución Nacional de Derechos Humanos y Mecanismo Nacional de Prevención de la Tortura, a fin de que sea considerado por los miembros del Comité en el proceso de revisión del Séptimo Informe Periódico de México ante dicho Comité.</w:t>
      </w:r>
    </w:p>
    <w:p w14:paraId="5D8071D4"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Asimismo, en abril del 2019, la Delegación de la CNDH</w:t>
      </w:r>
      <w:r w:rsidRPr="00B754D8">
        <w:rPr>
          <w:rStyle w:val="Ninguno"/>
        </w:rPr>
        <w:t xml:space="preserve"> </w:t>
      </w:r>
      <w:r w:rsidRPr="00B754D8">
        <w:rPr>
          <w:rStyle w:val="Ninguno"/>
          <w:rFonts w:ascii="Arial" w:hAnsi="Arial"/>
          <w:sz w:val="24"/>
          <w:szCs w:val="24"/>
        </w:rPr>
        <w:t>a la sustentación del séptimo informe periódico de México ante el CAT, y sostuvo una reunión en Ginebra, Suiza, con los miembros del Comité, en la que expusieron el Diagnóstico de esta CNDH sobre la problemática de la tortura en México, como violación grave a derechos humanos y las acciones llevadas a cabo por la CNDH y el MNPT, para prevenirla y combatirla.</w:t>
      </w:r>
    </w:p>
    <w:p w14:paraId="239BCD5A"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 </w:t>
      </w:r>
      <w:r w:rsidRPr="00B754D8">
        <w:rPr>
          <w:rStyle w:val="Ninguno"/>
          <w:rFonts w:ascii="Arial" w:hAnsi="Arial"/>
          <w:b/>
          <w:bCs/>
          <w:sz w:val="24"/>
          <w:szCs w:val="24"/>
        </w:rPr>
        <w:t>Retos para el Estado Mexicano</w:t>
      </w:r>
    </w:p>
    <w:p w14:paraId="2B21A86C" w14:textId="77777777" w:rsidR="00D35E43" w:rsidRPr="00B754D8" w:rsidRDefault="00CD7861">
      <w:pPr>
        <w:pStyle w:val="CuerpoA"/>
        <w:numPr>
          <w:ilvl w:val="0"/>
          <w:numId w:val="142"/>
        </w:numPr>
        <w:jc w:val="both"/>
        <w:rPr>
          <w:rFonts w:ascii="Arial" w:hAnsi="Arial"/>
          <w:sz w:val="24"/>
          <w:szCs w:val="24"/>
        </w:rPr>
      </w:pPr>
      <w:r w:rsidRPr="00B754D8">
        <w:rPr>
          <w:rStyle w:val="Ninguno"/>
          <w:rFonts w:ascii="Arial" w:hAnsi="Arial"/>
          <w:sz w:val="24"/>
          <w:szCs w:val="24"/>
        </w:rPr>
        <w:t>Modificar la legislación procesal nacional (art. 146), para acotar la detención en flagrancia y eliminar de su texto la figura jurídica conocida en la doctrina como cuasi flagrancia que fue incorporada en el Código Nacional de Procedimientos Penales. Lo anterior para adecuarse a los estándares internacionales.</w:t>
      </w:r>
    </w:p>
    <w:p w14:paraId="45470FF3" w14:textId="77777777" w:rsidR="00D35E43" w:rsidRPr="00B754D8" w:rsidRDefault="00CD7861">
      <w:pPr>
        <w:pStyle w:val="CuerpoA"/>
        <w:numPr>
          <w:ilvl w:val="0"/>
          <w:numId w:val="142"/>
        </w:numPr>
        <w:jc w:val="both"/>
        <w:rPr>
          <w:rFonts w:ascii="Arial" w:hAnsi="Arial"/>
          <w:sz w:val="24"/>
          <w:szCs w:val="24"/>
        </w:rPr>
      </w:pPr>
      <w:r w:rsidRPr="00B754D8">
        <w:rPr>
          <w:rStyle w:val="Ninguno"/>
          <w:rFonts w:ascii="Arial" w:hAnsi="Arial"/>
          <w:sz w:val="24"/>
          <w:szCs w:val="24"/>
        </w:rPr>
        <w:t>Conforme a lo dispuesto en el párrafo segundo, artículo 2 de la Convención contra la Tortura y Otros Tratos o Penas Crueles Inhumanos o Degradantes, se reitera la necesidad de eliminar del marco constitucional la figura del arraigo, por ser incompatible con el principio de la presunción de inocencia y la naturaleza misma del respeto a los Derechos Humanos en un Estado Constitucional de Derecho.</w:t>
      </w:r>
    </w:p>
    <w:p w14:paraId="523BB983" w14:textId="77777777" w:rsidR="00D35E43" w:rsidRPr="00B754D8" w:rsidRDefault="00CD7861">
      <w:pPr>
        <w:pStyle w:val="CuerpoA"/>
        <w:numPr>
          <w:ilvl w:val="0"/>
          <w:numId w:val="142"/>
        </w:numPr>
        <w:jc w:val="both"/>
        <w:rPr>
          <w:rFonts w:ascii="Arial" w:hAnsi="Arial"/>
          <w:sz w:val="24"/>
          <w:szCs w:val="24"/>
        </w:rPr>
      </w:pPr>
      <w:r w:rsidRPr="00B754D8">
        <w:rPr>
          <w:rStyle w:val="Ninguno"/>
          <w:rFonts w:ascii="Arial" w:hAnsi="Arial"/>
          <w:sz w:val="24"/>
          <w:szCs w:val="24"/>
        </w:rPr>
        <w:t>Continuar con la impartición de programas de estudio que permitan a los servidores públicos encargados de la procuración y administración de justicia en materia penal, así como del sistema penitenciario en todos los ámbitos de gobierno, que se capaciten y conozcan plenamente las disposiciones de la Convención contra la Tortura y Otros Tratos o Penas Crueles Inhumanos o Degradantes, así como ampliar su formación y conocimiento sobre Derechos Humanos y sobre el manejo adecuado del Manual para la Investigación y Documentación de Actos de Tortura y Malos Tratos o Penas Crueles, Inhumanos o Degradantes (Protocolo de Estambul), en su caso.</w:t>
      </w:r>
    </w:p>
    <w:p w14:paraId="5848C76E" w14:textId="77777777" w:rsidR="00D35E43" w:rsidRPr="00DE0F21" w:rsidRDefault="00CD7861">
      <w:pPr>
        <w:pStyle w:val="CuerpoA"/>
        <w:numPr>
          <w:ilvl w:val="0"/>
          <w:numId w:val="142"/>
        </w:numPr>
        <w:jc w:val="both"/>
        <w:rPr>
          <w:rStyle w:val="Ninguno"/>
        </w:rPr>
      </w:pPr>
      <w:r w:rsidRPr="00DE0F21">
        <w:rPr>
          <w:rStyle w:val="Ninguno"/>
          <w:rFonts w:ascii="Arial" w:hAnsi="Arial"/>
          <w:sz w:val="24"/>
          <w:szCs w:val="24"/>
        </w:rPr>
        <w:t>Buscar eliminar la impunidad que persiste respecto de los perpetradores de tortura mediante investigaciones y sanciones efectivas.</w:t>
      </w:r>
    </w:p>
    <w:p w14:paraId="7B17B5ED" w14:textId="77777777" w:rsidR="00D35E43" w:rsidRPr="00DE0F21" w:rsidRDefault="00CD7861">
      <w:pPr>
        <w:pStyle w:val="CuerpoA"/>
        <w:numPr>
          <w:ilvl w:val="0"/>
          <w:numId w:val="143"/>
        </w:numPr>
        <w:jc w:val="both"/>
        <w:rPr>
          <w:rStyle w:val="Ninguno"/>
        </w:rPr>
      </w:pPr>
      <w:r w:rsidRPr="00DE0F21">
        <w:rPr>
          <w:rStyle w:val="Ninguno"/>
          <w:rFonts w:ascii="Arial" w:hAnsi="Arial"/>
          <w:sz w:val="24"/>
          <w:szCs w:val="24"/>
        </w:rPr>
        <w:t>Castigos corporales a niños, niñas y adolescentes.</w:t>
      </w:r>
    </w:p>
    <w:p w14:paraId="57AB45AC" w14:textId="77777777" w:rsidR="00D35E43" w:rsidRPr="00DE0F21" w:rsidRDefault="00CD7861">
      <w:pPr>
        <w:pStyle w:val="CuerpoA"/>
        <w:jc w:val="both"/>
        <w:rPr>
          <w:rStyle w:val="Ninguno"/>
          <w:rFonts w:ascii="Arial" w:hAnsi="Arial"/>
          <w:sz w:val="24"/>
          <w:szCs w:val="24"/>
        </w:rPr>
      </w:pPr>
      <w:r w:rsidRPr="00DE0F21">
        <w:rPr>
          <w:rStyle w:val="Ninguno"/>
          <w:rFonts w:ascii="Arial" w:hAnsi="Arial"/>
          <w:sz w:val="24"/>
          <w:szCs w:val="24"/>
        </w:rPr>
        <w:t>Contexto</w:t>
      </w:r>
    </w:p>
    <w:p w14:paraId="609CCBFF" w14:textId="77777777" w:rsidR="00D35E43" w:rsidRPr="00DE0F21" w:rsidRDefault="00CD7861">
      <w:pPr>
        <w:pStyle w:val="CuerpoA"/>
        <w:jc w:val="both"/>
        <w:rPr>
          <w:rStyle w:val="Ninguno"/>
          <w:rFonts w:ascii="Arial" w:hAnsi="Arial"/>
          <w:sz w:val="24"/>
          <w:szCs w:val="24"/>
        </w:rPr>
      </w:pPr>
      <w:r w:rsidRPr="00B754D8">
        <w:rPr>
          <w:rStyle w:val="Ninguno"/>
          <w:rFonts w:ascii="Arial" w:hAnsi="Arial"/>
          <w:sz w:val="24"/>
          <w:szCs w:val="24"/>
        </w:rPr>
        <w:t xml:space="preserve">Niñas, niños y adolescentes sufren habitualmente diversas formas de violencia por parte de los integrantes de sus familias y otras personas adultas responsables de </w:t>
      </w:r>
      <w:r w:rsidRPr="00B754D8">
        <w:rPr>
          <w:rStyle w:val="Ninguno"/>
          <w:rFonts w:ascii="Arial" w:hAnsi="Arial"/>
          <w:sz w:val="24"/>
          <w:szCs w:val="24"/>
        </w:rPr>
        <w:lastRenderedPageBreak/>
        <w:t>su atención y cuidado en los diversos ámbitos en que se desenvuelven, quienes recurren a ellas bajo el pretexto de que es indispensable para educarlos.</w:t>
      </w:r>
    </w:p>
    <w:p w14:paraId="7A4AE0C8" w14:textId="77777777" w:rsidR="00D35E43" w:rsidRPr="00DE0F21" w:rsidRDefault="00CD7861">
      <w:pPr>
        <w:pStyle w:val="CuerpoA"/>
        <w:jc w:val="both"/>
        <w:rPr>
          <w:rStyle w:val="Ninguno"/>
          <w:rFonts w:ascii="Arial" w:hAnsi="Arial"/>
          <w:sz w:val="24"/>
          <w:szCs w:val="24"/>
        </w:rPr>
      </w:pPr>
      <w:r w:rsidRPr="00B754D8">
        <w:rPr>
          <w:rStyle w:val="Ninguno"/>
          <w:rFonts w:ascii="Arial" w:hAnsi="Arial"/>
          <w:sz w:val="24"/>
          <w:szCs w:val="24"/>
        </w:rPr>
        <w:t>Debido a la magnitud del problema, la violencia contra personas menores de edad es considerada por la Organización Mundial de la Salud (OMS) y el Fondo de Naciones Unidas para la Infancia (UNICEF) como un problema de salud pública, el cual debe ser prevenido y atendido de manera prioritaria hasta lograr su eliminación de las interacciones con niñas, niños y adolescentes.</w:t>
      </w:r>
    </w:p>
    <w:p w14:paraId="259E4F1F" w14:textId="77777777" w:rsidR="00D35E43" w:rsidRPr="00DE0F21" w:rsidRDefault="00CD7861">
      <w:pPr>
        <w:pStyle w:val="CuerpoA"/>
        <w:jc w:val="both"/>
        <w:rPr>
          <w:rStyle w:val="Ninguno"/>
          <w:rFonts w:ascii="Arial" w:hAnsi="Arial"/>
          <w:sz w:val="24"/>
          <w:szCs w:val="24"/>
        </w:rPr>
      </w:pPr>
      <w:r w:rsidRPr="00B754D8">
        <w:rPr>
          <w:rStyle w:val="Ninguno"/>
          <w:rFonts w:ascii="Arial" w:hAnsi="Arial"/>
          <w:sz w:val="24"/>
          <w:szCs w:val="24"/>
        </w:rPr>
        <w:t>Es necesario contar con información que permita identificarlo, comprender sus consecuencias, conocer las medidas necesarias para su atención, para que madres, padres y personas adultas en general, desarrollen formas positivas de relacionarse con ellos(as).</w:t>
      </w:r>
    </w:p>
    <w:p w14:paraId="454E127B" w14:textId="77777777" w:rsidR="00D35E43" w:rsidRPr="00DE0F21" w:rsidRDefault="00CD7861">
      <w:pPr>
        <w:pStyle w:val="CuerpoA"/>
        <w:jc w:val="both"/>
        <w:rPr>
          <w:rStyle w:val="Ninguno"/>
          <w:rFonts w:ascii="Arial" w:hAnsi="Arial"/>
          <w:sz w:val="24"/>
          <w:szCs w:val="24"/>
        </w:rPr>
      </w:pPr>
      <w:r w:rsidRPr="00B754D8">
        <w:rPr>
          <w:rStyle w:val="Ninguno"/>
          <w:rFonts w:ascii="Arial" w:hAnsi="Arial"/>
          <w:sz w:val="24"/>
          <w:szCs w:val="24"/>
        </w:rPr>
        <w:t>En junio de 2015, el Comité de los Derechos del Niño (CDN) en sus observaciones a los informes presentados por México sobre el cumplimiento de la Convención sobre los Derechos del Niño, instó a México para que adopte “... leyes y políticas integrales para prevenir y sancionar toda forma de violencia —contra niñas, niños y adolescentes—, y asegurar que el castigo corporal sea explícitamente prohibido, y así crear conciencia sobre formas positivas, no violentas y participativas en la crianza de niñas y niños”.</w:t>
      </w:r>
    </w:p>
    <w:p w14:paraId="5F27D7B1" w14:textId="77777777" w:rsidR="00D35E43" w:rsidRPr="00DE0F21" w:rsidRDefault="00CD7861">
      <w:pPr>
        <w:pStyle w:val="CuerpoA"/>
        <w:jc w:val="both"/>
        <w:rPr>
          <w:rStyle w:val="Ninguno"/>
          <w:rFonts w:ascii="Arial" w:hAnsi="Arial"/>
          <w:sz w:val="24"/>
          <w:szCs w:val="24"/>
        </w:rPr>
      </w:pPr>
      <w:r w:rsidRPr="00B754D8">
        <w:rPr>
          <w:rStyle w:val="Ninguno"/>
          <w:rFonts w:ascii="Arial" w:hAnsi="Arial"/>
          <w:sz w:val="24"/>
          <w:szCs w:val="24"/>
        </w:rPr>
        <w:t>A pesar de los diversos intentos por conseguir la prohibición de los castigos corporales contra niñas, niños y adolescentes en las treinta y dos entidades federativas de México, para abril de 2018, sólo tres entidades (Ciudad de México, Zacatecas y Chiapas) han incorporado dicha prohibición en su legislación local. Ello debido a que los castigos corporales como una forma de “corregir” a niñas, niños y adolescentes atiende a aspectos culturalmente aceptados como adecuados y necesarios para la educación o formación de una persona menor de edad</w:t>
      </w:r>
    </w:p>
    <w:p w14:paraId="168A876E" w14:textId="77777777" w:rsidR="00D35E43" w:rsidRPr="00DE0F21" w:rsidRDefault="00CD7861">
      <w:pPr>
        <w:pStyle w:val="CuerpoA"/>
        <w:ind w:firstLine="708"/>
        <w:rPr>
          <w:rStyle w:val="Ninguno"/>
          <w:rFonts w:ascii="Arial" w:hAnsi="Arial"/>
          <w:sz w:val="24"/>
          <w:szCs w:val="24"/>
        </w:rPr>
      </w:pPr>
      <w:r w:rsidRPr="00DE0F21">
        <w:rPr>
          <w:rStyle w:val="Ninguno"/>
          <w:rFonts w:ascii="Arial" w:hAnsi="Arial"/>
          <w:sz w:val="24"/>
          <w:szCs w:val="24"/>
        </w:rPr>
        <w:t>Reclutamiento de menores de parte del crimen organizado</w:t>
      </w:r>
    </w:p>
    <w:p w14:paraId="5B7A508A" w14:textId="77777777" w:rsidR="00D35E43" w:rsidRPr="00DE0F21" w:rsidRDefault="00CD7861">
      <w:pPr>
        <w:pStyle w:val="CuerpoA"/>
        <w:jc w:val="both"/>
        <w:rPr>
          <w:rStyle w:val="Ninguno"/>
          <w:rFonts w:ascii="Arial" w:hAnsi="Arial"/>
          <w:sz w:val="24"/>
          <w:szCs w:val="24"/>
        </w:rPr>
      </w:pPr>
      <w:r w:rsidRPr="00DE0F21">
        <w:rPr>
          <w:rStyle w:val="Ninguno"/>
          <w:rFonts w:ascii="Arial" w:hAnsi="Arial"/>
          <w:sz w:val="24"/>
          <w:szCs w:val="24"/>
        </w:rPr>
        <w:t>En 2015, se estimaba que había 30.000 niños y adolescentes trabajando activamente con organizaciones criminales en México. A finales de 2018, se estimaba que la figura había aumentado hasta llegar a unos 460,000 menores, según el Secretario de Seguridad Ciudadana de México, Alfonso Durazo.</w:t>
      </w:r>
      <w:r w:rsidRPr="00DE0F21">
        <w:rPr>
          <w:rStyle w:val="Ninguno"/>
          <w:rFonts w:ascii="Arial" w:hAnsi="Arial"/>
          <w:sz w:val="24"/>
          <w:szCs w:val="24"/>
        </w:rPr>
        <w:footnoteReference w:id="25"/>
      </w:r>
    </w:p>
    <w:p w14:paraId="7E70A634" w14:textId="77777777" w:rsidR="00D35E43" w:rsidRPr="00DE0F21" w:rsidRDefault="00CD7861">
      <w:pPr>
        <w:pStyle w:val="CuerpoA"/>
        <w:jc w:val="both"/>
        <w:rPr>
          <w:rStyle w:val="Ninguno"/>
          <w:rFonts w:ascii="Arial" w:hAnsi="Arial"/>
          <w:sz w:val="24"/>
          <w:szCs w:val="24"/>
        </w:rPr>
      </w:pPr>
      <w:r w:rsidRPr="00DE0F21">
        <w:rPr>
          <w:rStyle w:val="Ninguno"/>
          <w:rFonts w:ascii="Arial" w:hAnsi="Arial"/>
          <w:sz w:val="24"/>
          <w:szCs w:val="24"/>
        </w:rPr>
        <w:t>Los cárteles han intensificado la contratación de menores de edad de ambos sexos. A las niñas se les usa como mulas y para prostituir, mientras que a los hombres los utilizan como espías en pueblos y barrios y, si sobreviven, los capacitan para ser sicarios.</w:t>
      </w:r>
    </w:p>
    <w:p w14:paraId="42A5248F" w14:textId="470A5A24" w:rsidR="00D35E43" w:rsidRPr="00DE0F21" w:rsidRDefault="00CD7861">
      <w:pPr>
        <w:pStyle w:val="CuerpoA"/>
        <w:jc w:val="both"/>
        <w:rPr>
          <w:rStyle w:val="Ninguno"/>
          <w:rFonts w:ascii="Arial" w:hAnsi="Arial"/>
          <w:sz w:val="24"/>
          <w:szCs w:val="24"/>
        </w:rPr>
      </w:pPr>
      <w:r w:rsidRPr="00DE0F21">
        <w:rPr>
          <w:rStyle w:val="Ninguno"/>
          <w:rFonts w:ascii="Arial" w:hAnsi="Arial"/>
          <w:sz w:val="24"/>
          <w:szCs w:val="24"/>
        </w:rPr>
        <w:t>La Secretaría de la Defensa Nacional (</w:t>
      </w:r>
      <w:r w:rsidR="00DE0F21" w:rsidRPr="00DE0F21">
        <w:rPr>
          <w:rStyle w:val="Ninguno"/>
          <w:rFonts w:ascii="Arial" w:hAnsi="Arial"/>
          <w:sz w:val="24"/>
          <w:szCs w:val="24"/>
        </w:rPr>
        <w:t>SEDENA</w:t>
      </w:r>
      <w:r w:rsidRPr="00DE0F21">
        <w:rPr>
          <w:rStyle w:val="Ninguno"/>
          <w:rFonts w:ascii="Arial" w:hAnsi="Arial"/>
          <w:sz w:val="24"/>
          <w:szCs w:val="24"/>
        </w:rPr>
        <w:t xml:space="preserve">) ha capturado a cinco mil 35 menores de edad en distintos operativos realizados en el periodo de la guerra contra </w:t>
      </w:r>
      <w:r w:rsidRPr="00DE0F21">
        <w:rPr>
          <w:rStyle w:val="Ninguno"/>
          <w:rFonts w:ascii="Arial" w:hAnsi="Arial"/>
          <w:sz w:val="24"/>
          <w:szCs w:val="24"/>
        </w:rPr>
        <w:lastRenderedPageBreak/>
        <w:t>el narcotráfico. El Ejército Nacional es la institución que más jóvenes ha detenido entre el 2007 y 2019, pues la cantidad que registra es hasta 14% mayor a la de la Policía Federal, la Secretaría de Marina y la Fiscalía General de la República</w:t>
      </w:r>
      <w:r w:rsidRPr="00DE0F21">
        <w:rPr>
          <w:rStyle w:val="Ninguno"/>
          <w:rFonts w:ascii="Arial" w:hAnsi="Arial"/>
          <w:sz w:val="24"/>
          <w:szCs w:val="24"/>
          <w:vertAlign w:val="superscript"/>
        </w:rPr>
        <w:footnoteReference w:id="26"/>
      </w:r>
      <w:r w:rsidRPr="00DE0F21">
        <w:rPr>
          <w:rStyle w:val="Ninguno"/>
          <w:rFonts w:ascii="Arial" w:hAnsi="Arial"/>
          <w:sz w:val="24"/>
          <w:szCs w:val="24"/>
        </w:rPr>
        <w:t>.</w:t>
      </w:r>
    </w:p>
    <w:p w14:paraId="54784B9A" w14:textId="77777777" w:rsidR="00D35E43" w:rsidRPr="00B754D8" w:rsidRDefault="00CD7861">
      <w:pPr>
        <w:pStyle w:val="CuerpoA"/>
        <w:jc w:val="both"/>
        <w:rPr>
          <w:rStyle w:val="Ninguno"/>
          <w:rFonts w:ascii="Arial" w:eastAsia="Arial" w:hAnsi="Arial" w:cs="Arial"/>
          <w:b/>
          <w:bCs/>
          <w:sz w:val="24"/>
          <w:szCs w:val="24"/>
        </w:rPr>
      </w:pPr>
      <w:r w:rsidRPr="00B754D8">
        <w:rPr>
          <w:rStyle w:val="Ninguno"/>
          <w:rFonts w:ascii="Arial" w:hAnsi="Arial"/>
          <w:b/>
          <w:bCs/>
          <w:sz w:val="24"/>
          <w:szCs w:val="24"/>
        </w:rPr>
        <w:t>Acciones de la CNDH</w:t>
      </w:r>
    </w:p>
    <w:p w14:paraId="25F941FE"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La CNDH se ha pronunciado por la necesidad de prohibir expresamente y sancionar el castigo corporal contra niñas, niños y adolescentes; establecer mecanismos seguros, confidenciales y accesibles para que niñas, niños, adolescentes, sus representantes y otras personas, puedan denunciar la violencia en su contra</w:t>
      </w:r>
      <w:r w:rsidRPr="00B754D8">
        <w:rPr>
          <w:rStyle w:val="Ninguno"/>
          <w:rFonts w:ascii="Arial" w:eastAsia="Arial" w:hAnsi="Arial" w:cs="Arial"/>
          <w:sz w:val="24"/>
          <w:szCs w:val="24"/>
          <w:vertAlign w:val="superscript"/>
        </w:rPr>
        <w:footnoteReference w:id="27"/>
      </w:r>
      <w:r w:rsidRPr="00B754D8">
        <w:rPr>
          <w:rStyle w:val="Ninguno"/>
          <w:rFonts w:ascii="Arial" w:hAnsi="Arial"/>
          <w:sz w:val="24"/>
          <w:szCs w:val="24"/>
        </w:rPr>
        <w:t>.</w:t>
      </w:r>
    </w:p>
    <w:p w14:paraId="66656817"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De igual  manera ha alertado sobre el elevado grado de vulnerabilidad en que se encuentran niñas, niños y adolescentes en nuestro país, al estar sometidos a castigos físicos o psicológicos, así como a agresiones y abusos sexuales, que en 4 de cada 10 casos ocurren en sus entornos más cercanos como son el hogar, escuela y lugar de trabajo</w:t>
      </w:r>
      <w:r w:rsidRPr="00B754D8">
        <w:rPr>
          <w:rStyle w:val="Ninguno"/>
          <w:rFonts w:ascii="Arial" w:eastAsia="Arial" w:hAnsi="Arial" w:cs="Arial"/>
          <w:sz w:val="24"/>
          <w:szCs w:val="24"/>
          <w:vertAlign w:val="superscript"/>
        </w:rPr>
        <w:footnoteReference w:id="28"/>
      </w:r>
      <w:r w:rsidRPr="00B754D8">
        <w:rPr>
          <w:rStyle w:val="Ninguno"/>
          <w:rFonts w:ascii="Arial" w:hAnsi="Arial"/>
          <w:sz w:val="24"/>
          <w:szCs w:val="24"/>
        </w:rPr>
        <w:t>. Y ha considerado que se debe homologar las leyes para evitar el castigo corporal y garantizar a la niñez lugares físicos y virtuales más seguros</w:t>
      </w:r>
      <w:r w:rsidRPr="00B754D8">
        <w:rPr>
          <w:rStyle w:val="Ninguno"/>
          <w:rFonts w:ascii="Arial" w:eastAsia="Arial" w:hAnsi="Arial" w:cs="Arial"/>
          <w:sz w:val="24"/>
          <w:szCs w:val="24"/>
          <w:vertAlign w:val="superscript"/>
        </w:rPr>
        <w:footnoteReference w:id="29"/>
      </w:r>
      <w:r w:rsidRPr="00B754D8">
        <w:rPr>
          <w:rStyle w:val="Ninguno"/>
          <w:rFonts w:ascii="Arial" w:hAnsi="Arial"/>
          <w:sz w:val="24"/>
          <w:szCs w:val="24"/>
        </w:rPr>
        <w:t>.</w:t>
      </w:r>
    </w:p>
    <w:p w14:paraId="5B572ABF"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Asimismo, esta Comisión Nacional emitió la recomendación No. 86 /2018, sobre los casos de omisión del deber de cuidado y la no observancia del interés superior de la niñez que derivaron en violaciones a los derechos humanos al trato digno, a una vida libre de violencia, la integridad y seguridad personal, a la educación y al sano desarrollo integral, en agravio de 20 personas menores de edad, en 10 escuelas de educación básica ubicadas en Hidalgo, Tabasco, y la Ciudad de México. Tras investigar nueve expedientes de queja respectivos, se acreditó violencia escolar ejercida por docentes o autoridades escolares en contra de niñas, niños y adolescentes, y en otros se observó violencia entre los mismos alumnos que aumentó ante la inadecuada supervisión de los docentes</w:t>
      </w:r>
      <w:r w:rsidRPr="00B754D8">
        <w:rPr>
          <w:rStyle w:val="Ninguno"/>
          <w:rFonts w:ascii="Arial" w:eastAsia="Arial" w:hAnsi="Arial" w:cs="Arial"/>
          <w:sz w:val="24"/>
          <w:szCs w:val="24"/>
          <w:vertAlign w:val="superscript"/>
        </w:rPr>
        <w:footnoteReference w:id="30"/>
      </w:r>
      <w:r w:rsidRPr="00B754D8">
        <w:rPr>
          <w:rStyle w:val="Ninguno"/>
          <w:rFonts w:ascii="Arial" w:hAnsi="Arial"/>
          <w:sz w:val="24"/>
          <w:szCs w:val="24"/>
        </w:rPr>
        <w:t>.</w:t>
      </w:r>
    </w:p>
    <w:p w14:paraId="3A0FCCE9" w14:textId="77777777" w:rsidR="00D35E43" w:rsidRPr="00B754D8" w:rsidRDefault="00D35E43">
      <w:pPr>
        <w:pStyle w:val="CuerpoA"/>
        <w:jc w:val="both"/>
        <w:rPr>
          <w:rStyle w:val="Ninguno"/>
          <w:rFonts w:ascii="Arial" w:eastAsia="Arial" w:hAnsi="Arial" w:cs="Arial"/>
          <w:sz w:val="24"/>
          <w:szCs w:val="24"/>
        </w:rPr>
      </w:pPr>
    </w:p>
    <w:p w14:paraId="0B34D33A" w14:textId="77777777" w:rsidR="00D35E43" w:rsidRPr="00B754D8" w:rsidRDefault="00CD7861">
      <w:pPr>
        <w:pStyle w:val="CuerpoA"/>
        <w:jc w:val="both"/>
        <w:rPr>
          <w:rStyle w:val="Ninguno"/>
          <w:rFonts w:ascii="Arial" w:eastAsia="Arial" w:hAnsi="Arial" w:cs="Arial"/>
          <w:b/>
          <w:bCs/>
          <w:sz w:val="24"/>
          <w:szCs w:val="24"/>
        </w:rPr>
      </w:pPr>
      <w:r w:rsidRPr="00B754D8">
        <w:rPr>
          <w:rStyle w:val="Ninguno"/>
          <w:rFonts w:ascii="Arial" w:hAnsi="Arial"/>
          <w:b/>
          <w:bCs/>
          <w:sz w:val="24"/>
          <w:szCs w:val="24"/>
        </w:rPr>
        <w:t>Retos para el Estado Mexicano</w:t>
      </w:r>
    </w:p>
    <w:p w14:paraId="0497FD9D" w14:textId="77777777" w:rsidR="00D35E43" w:rsidRPr="00B754D8" w:rsidRDefault="00CD7861">
      <w:pPr>
        <w:pStyle w:val="CuerpoB"/>
        <w:numPr>
          <w:ilvl w:val="0"/>
          <w:numId w:val="145"/>
        </w:numPr>
        <w:suppressAutoHyphens/>
        <w:spacing w:after="160" w:line="259" w:lineRule="auto"/>
        <w:jc w:val="both"/>
        <w:rPr>
          <w:rFonts w:ascii="Arial" w:hAnsi="Arial"/>
        </w:rPr>
      </w:pPr>
      <w:r w:rsidRPr="00B754D8">
        <w:rPr>
          <w:rStyle w:val="Ninguno"/>
          <w:rFonts w:ascii="Arial" w:hAnsi="Arial"/>
          <w:kern w:val="2"/>
          <w:shd w:val="clear" w:color="auto" w:fill="FFFFFF"/>
        </w:rPr>
        <w:t xml:space="preserve">Armonizar el ordenamiento jurídico federal y los ordenamientos locales y municipales con los estándares establecidos en la Observación General N° 8 del Comité de los Derechos del Niño; </w:t>
      </w:r>
    </w:p>
    <w:p w14:paraId="55E92396" w14:textId="77777777" w:rsidR="00D35E43" w:rsidRPr="00B754D8" w:rsidRDefault="00CD7861">
      <w:pPr>
        <w:pStyle w:val="CuerpoB"/>
        <w:numPr>
          <w:ilvl w:val="0"/>
          <w:numId w:val="145"/>
        </w:numPr>
        <w:suppressAutoHyphens/>
        <w:spacing w:after="160" w:line="259" w:lineRule="auto"/>
        <w:jc w:val="both"/>
        <w:rPr>
          <w:rFonts w:ascii="Arial" w:hAnsi="Arial"/>
        </w:rPr>
      </w:pPr>
      <w:r w:rsidRPr="00B754D8">
        <w:rPr>
          <w:rStyle w:val="Ninguno"/>
          <w:rFonts w:ascii="Arial" w:hAnsi="Arial"/>
          <w:kern w:val="2"/>
          <w:shd w:val="clear" w:color="auto" w:fill="FFFFFF"/>
        </w:rPr>
        <w:lastRenderedPageBreak/>
        <w:t>Concientizar y sensibilizar a la sociedad en su conjunto sobre el derecho de niñas, niños y adolescentes a la protección contra toda forma de violencia.</w:t>
      </w:r>
    </w:p>
    <w:p w14:paraId="6C070A21" w14:textId="77777777" w:rsidR="00D35E43" w:rsidRPr="00B754D8" w:rsidRDefault="00CD7861">
      <w:pPr>
        <w:pStyle w:val="CuerpoB"/>
        <w:numPr>
          <w:ilvl w:val="0"/>
          <w:numId w:val="145"/>
        </w:numPr>
        <w:suppressAutoHyphens/>
        <w:spacing w:after="160" w:line="259" w:lineRule="auto"/>
        <w:jc w:val="both"/>
        <w:rPr>
          <w:rFonts w:ascii="Arial" w:hAnsi="Arial"/>
        </w:rPr>
      </w:pPr>
      <w:r w:rsidRPr="00B754D8">
        <w:rPr>
          <w:rStyle w:val="Ninguno"/>
          <w:rFonts w:ascii="Arial" w:hAnsi="Arial"/>
          <w:kern w:val="2"/>
          <w:shd w:val="clear" w:color="auto" w:fill="FFFFFF"/>
        </w:rPr>
        <w:t xml:space="preserve">Capacitar a los servidores públicos responsables de atender casos en los cuales niñas, niños y adolescentes hayan sido víctimas de castigos corporales.  </w:t>
      </w:r>
    </w:p>
    <w:p w14:paraId="651C8F9E" w14:textId="77777777" w:rsidR="00D35E43" w:rsidRPr="00B754D8" w:rsidRDefault="00D35E43">
      <w:pPr>
        <w:pStyle w:val="CuerpoA"/>
        <w:jc w:val="both"/>
        <w:rPr>
          <w:rStyle w:val="Ninguno"/>
          <w:rFonts w:ascii="Arial" w:eastAsia="Arial" w:hAnsi="Arial" w:cs="Arial"/>
          <w:b/>
          <w:bCs/>
          <w:sz w:val="24"/>
          <w:szCs w:val="24"/>
        </w:rPr>
      </w:pPr>
    </w:p>
    <w:p w14:paraId="13BE9584" w14:textId="77777777" w:rsidR="00D35E43" w:rsidRPr="00B754D8" w:rsidRDefault="00CD7861">
      <w:pPr>
        <w:pStyle w:val="CuerpoA"/>
        <w:numPr>
          <w:ilvl w:val="0"/>
          <w:numId w:val="146"/>
        </w:numPr>
        <w:jc w:val="both"/>
        <w:rPr>
          <w:rFonts w:ascii="Arial" w:hAnsi="Arial"/>
          <w:b/>
          <w:bCs/>
          <w:sz w:val="24"/>
          <w:szCs w:val="24"/>
        </w:rPr>
      </w:pPr>
      <w:r w:rsidRPr="00B754D8">
        <w:rPr>
          <w:rStyle w:val="Ninguno"/>
          <w:rFonts w:ascii="Arial" w:hAnsi="Arial"/>
          <w:b/>
          <w:bCs/>
          <w:sz w:val="24"/>
          <w:szCs w:val="24"/>
        </w:rPr>
        <w:t xml:space="preserve">Personas migrantes </w:t>
      </w:r>
    </w:p>
    <w:p w14:paraId="117A98C3" w14:textId="77777777" w:rsidR="00D35E43" w:rsidRPr="00B754D8" w:rsidRDefault="00CD7861">
      <w:pPr>
        <w:pStyle w:val="CuerpoA"/>
        <w:jc w:val="both"/>
        <w:rPr>
          <w:rStyle w:val="Ninguno"/>
          <w:rFonts w:ascii="Arial" w:eastAsia="Arial" w:hAnsi="Arial" w:cs="Arial"/>
          <w:b/>
          <w:bCs/>
          <w:sz w:val="24"/>
          <w:szCs w:val="24"/>
        </w:rPr>
      </w:pPr>
      <w:r w:rsidRPr="00B754D8">
        <w:rPr>
          <w:rStyle w:val="Ninguno"/>
          <w:rFonts w:ascii="Arial" w:hAnsi="Arial"/>
          <w:b/>
          <w:bCs/>
          <w:sz w:val="24"/>
          <w:szCs w:val="24"/>
        </w:rPr>
        <w:t>Contexto</w:t>
      </w:r>
    </w:p>
    <w:p w14:paraId="27431FF9" w14:textId="77777777" w:rsidR="00D35E43" w:rsidRPr="00B754D8" w:rsidRDefault="00CD7861">
      <w:pPr>
        <w:pStyle w:val="CuerpoB"/>
        <w:jc w:val="both"/>
        <w:rPr>
          <w:rStyle w:val="Ninguno"/>
          <w:rFonts w:ascii="Arial" w:eastAsia="Arial" w:hAnsi="Arial" w:cs="Arial"/>
        </w:rPr>
      </w:pPr>
      <w:r w:rsidRPr="00B754D8">
        <w:rPr>
          <w:rStyle w:val="Ninguno"/>
          <w:rFonts w:ascii="Arial" w:hAnsi="Arial"/>
        </w:rPr>
        <w:t>A partir del año 2014, en México aumentaron las cifras de detenciones de niñas, niños y adolescentes en contexto de migración internacional, tanto de destino como en tránsito por México, derivado de la crisis humanitaria decretada por el gobierno de los Estados Unidos un año antes al ser detenidas más de 150 mil personas procedentes de Centroamérica en el estado de Texas, la mayoría de ellas mujeres, niñas y niños. Las cifras de niñas, niños y adolescentes detenidos por la autoridad migratoria mexicana han mantenido en general una media constante, aunque en el año 2017 bajó considerablemente, después de que cambiara la administración federal en los Estados Unidos. Por otro lado, los movimientos de personas adultas en la última década han mantenido cierta constante, salvo en 2017 que fue el año con menor movimiento y detenciones por parte de la autoridad migratoria.</w:t>
      </w:r>
    </w:p>
    <w:tbl>
      <w:tblPr>
        <w:tblStyle w:val="TableNormal"/>
        <w:tblW w:w="8838"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118"/>
        <w:gridCol w:w="1135"/>
        <w:gridCol w:w="1151"/>
        <w:gridCol w:w="1151"/>
        <w:gridCol w:w="1039"/>
        <w:gridCol w:w="1135"/>
        <w:gridCol w:w="1109"/>
      </w:tblGrid>
      <w:tr w:rsidR="00D35E43" w:rsidRPr="00B754D8" w14:paraId="0450BAB1" w14:textId="77777777">
        <w:trPr>
          <w:trHeight w:val="572"/>
        </w:trPr>
        <w:tc>
          <w:tcPr>
            <w:tcW w:w="211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552E5099" w14:textId="77777777" w:rsidR="00D35E43" w:rsidRPr="00B754D8" w:rsidRDefault="00CD7861">
            <w:pPr>
              <w:pStyle w:val="CuerpoB"/>
              <w:shd w:val="clear" w:color="auto" w:fill="FFFFFF"/>
              <w:jc w:val="center"/>
            </w:pPr>
            <w:r w:rsidRPr="00B754D8">
              <w:rPr>
                <w:rStyle w:val="Ninguno"/>
                <w:rFonts w:ascii="Arial" w:hAnsi="Arial"/>
                <w:b/>
                <w:bCs/>
                <w:lang w:val="en-US"/>
              </w:rPr>
              <w:t>Concepto</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D6DFD0" w14:textId="77777777" w:rsidR="00D35E43" w:rsidRPr="00B754D8" w:rsidRDefault="00CD7861">
            <w:pPr>
              <w:pStyle w:val="CuerpoB"/>
              <w:shd w:val="clear" w:color="auto" w:fill="FFFFFF"/>
              <w:jc w:val="center"/>
            </w:pPr>
            <w:r w:rsidRPr="00B754D8">
              <w:rPr>
                <w:rStyle w:val="Ninguno"/>
                <w:rFonts w:ascii="Arial" w:hAnsi="Arial"/>
                <w:b/>
                <w:bCs/>
                <w:lang w:val="en-US"/>
              </w:rPr>
              <w:t>2014</w:t>
            </w:r>
          </w:p>
        </w:tc>
        <w:tc>
          <w:tcPr>
            <w:tcW w:w="115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A550D6D" w14:textId="77777777" w:rsidR="00D35E43" w:rsidRPr="00B754D8" w:rsidRDefault="00CD7861">
            <w:pPr>
              <w:pStyle w:val="CuerpoB"/>
              <w:shd w:val="clear" w:color="auto" w:fill="FFFFFF"/>
              <w:jc w:val="center"/>
            </w:pPr>
            <w:r w:rsidRPr="00B754D8">
              <w:rPr>
                <w:rStyle w:val="Ninguno"/>
                <w:rFonts w:ascii="Arial" w:hAnsi="Arial"/>
                <w:b/>
                <w:bCs/>
                <w:lang w:val="en-US"/>
              </w:rPr>
              <w:t>2015</w:t>
            </w:r>
          </w:p>
        </w:tc>
        <w:tc>
          <w:tcPr>
            <w:tcW w:w="115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BF0C092" w14:textId="77777777" w:rsidR="00D35E43" w:rsidRPr="00B754D8" w:rsidRDefault="00CD7861">
            <w:pPr>
              <w:pStyle w:val="CuerpoB"/>
              <w:shd w:val="clear" w:color="auto" w:fill="FFFFFF"/>
              <w:jc w:val="center"/>
            </w:pPr>
            <w:r w:rsidRPr="00B754D8">
              <w:rPr>
                <w:rStyle w:val="Ninguno"/>
                <w:rFonts w:ascii="Arial" w:hAnsi="Arial"/>
                <w:b/>
                <w:bCs/>
                <w:lang w:val="en-US"/>
              </w:rPr>
              <w:t>2016</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5E18A729" w14:textId="77777777" w:rsidR="00D35E43" w:rsidRPr="00B754D8" w:rsidRDefault="00CD7861">
            <w:pPr>
              <w:pStyle w:val="CuerpoB"/>
              <w:shd w:val="clear" w:color="auto" w:fill="FFFFFF"/>
              <w:jc w:val="center"/>
            </w:pPr>
            <w:r w:rsidRPr="00B754D8">
              <w:rPr>
                <w:rStyle w:val="Ninguno"/>
                <w:rFonts w:ascii="Arial" w:hAnsi="Arial"/>
                <w:b/>
                <w:bCs/>
                <w:lang w:val="en-US"/>
              </w:rPr>
              <w:t>2017</w:t>
            </w:r>
          </w:p>
        </w:tc>
        <w:tc>
          <w:tcPr>
            <w:tcW w:w="1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D1AF20" w14:textId="77777777" w:rsidR="00D35E43" w:rsidRPr="00B754D8" w:rsidRDefault="00CD7861">
            <w:pPr>
              <w:pStyle w:val="CuerpoB"/>
              <w:shd w:val="clear" w:color="auto" w:fill="FFFFFF"/>
              <w:jc w:val="center"/>
            </w:pPr>
            <w:r w:rsidRPr="00B754D8">
              <w:rPr>
                <w:rStyle w:val="Ninguno"/>
                <w:rFonts w:ascii="Arial" w:hAnsi="Arial"/>
                <w:b/>
                <w:bCs/>
                <w:lang w:val="en-US"/>
              </w:rPr>
              <w:t>2018</w:t>
            </w:r>
          </w:p>
        </w:tc>
        <w:tc>
          <w:tcPr>
            <w:tcW w:w="110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13859A8" w14:textId="77777777" w:rsidR="00D35E43" w:rsidRPr="00B754D8" w:rsidRDefault="00CD7861">
            <w:pPr>
              <w:pStyle w:val="CuerpoB"/>
              <w:shd w:val="clear" w:color="auto" w:fill="FFFFFF"/>
              <w:jc w:val="center"/>
              <w:rPr>
                <w:rStyle w:val="Ninguno"/>
                <w:rFonts w:ascii="Arial" w:eastAsia="Arial" w:hAnsi="Arial" w:cs="Arial"/>
                <w:b/>
                <w:bCs/>
              </w:rPr>
            </w:pPr>
            <w:r w:rsidRPr="00B754D8">
              <w:rPr>
                <w:rStyle w:val="Ninguno"/>
                <w:rFonts w:ascii="Arial" w:hAnsi="Arial"/>
                <w:b/>
                <w:bCs/>
                <w:lang w:val="en-US"/>
              </w:rPr>
              <w:t>Mayo</w:t>
            </w:r>
          </w:p>
          <w:p w14:paraId="19D465C3" w14:textId="77777777" w:rsidR="00D35E43" w:rsidRPr="00B754D8" w:rsidRDefault="00CD7861">
            <w:pPr>
              <w:pStyle w:val="CuerpoB"/>
              <w:shd w:val="clear" w:color="auto" w:fill="FFFFFF"/>
              <w:jc w:val="center"/>
            </w:pPr>
            <w:r w:rsidRPr="00B754D8">
              <w:rPr>
                <w:rStyle w:val="Ninguno"/>
                <w:rFonts w:ascii="Arial" w:hAnsi="Arial"/>
                <w:b/>
                <w:bCs/>
                <w:lang w:val="en-US"/>
              </w:rPr>
              <w:t>2019</w:t>
            </w:r>
          </w:p>
        </w:tc>
      </w:tr>
      <w:tr w:rsidR="00D35E43" w:rsidRPr="00B754D8" w14:paraId="77E2ED1D" w14:textId="77777777">
        <w:trPr>
          <w:trHeight w:val="1682"/>
        </w:trPr>
        <w:tc>
          <w:tcPr>
            <w:tcW w:w="211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816CB67" w14:textId="77777777" w:rsidR="00D35E43" w:rsidRPr="00B754D8" w:rsidRDefault="00CD7861">
            <w:pPr>
              <w:pStyle w:val="CuerpoB"/>
              <w:shd w:val="clear" w:color="auto" w:fill="FFFFFF"/>
              <w:jc w:val="center"/>
            </w:pPr>
            <w:r w:rsidRPr="00B754D8">
              <w:rPr>
                <w:rStyle w:val="Ninguno"/>
                <w:rFonts w:ascii="Arial" w:hAnsi="Arial"/>
                <w:b/>
                <w:bCs/>
              </w:rPr>
              <w:t>Personas extranjeras presentadas ante la autoridad migratoria</w:t>
            </w:r>
          </w:p>
        </w:tc>
        <w:tc>
          <w:tcPr>
            <w:tcW w:w="113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D86039D" w14:textId="77777777" w:rsidR="00D35E43" w:rsidRPr="00B754D8" w:rsidRDefault="00CD7861">
            <w:pPr>
              <w:pStyle w:val="CuerpoB"/>
              <w:shd w:val="clear" w:color="auto" w:fill="FFFFFF"/>
              <w:jc w:val="center"/>
            </w:pPr>
            <w:r w:rsidRPr="00B754D8">
              <w:rPr>
                <w:rStyle w:val="Ninguno"/>
                <w:rFonts w:ascii="Arial" w:hAnsi="Arial"/>
                <w:b/>
                <w:bCs/>
                <w:lang w:val="en-US"/>
              </w:rPr>
              <w:t>127,149</w:t>
            </w:r>
          </w:p>
        </w:tc>
        <w:tc>
          <w:tcPr>
            <w:tcW w:w="115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94565AA" w14:textId="77777777" w:rsidR="00D35E43" w:rsidRPr="00B754D8" w:rsidRDefault="00CD7861">
            <w:pPr>
              <w:pStyle w:val="CuerpoB"/>
              <w:shd w:val="clear" w:color="auto" w:fill="FFFFFF"/>
              <w:jc w:val="center"/>
            </w:pPr>
            <w:r w:rsidRPr="00B754D8">
              <w:rPr>
                <w:rStyle w:val="Ninguno"/>
                <w:rFonts w:ascii="Arial" w:hAnsi="Arial"/>
                <w:b/>
                <w:bCs/>
                <w:lang w:val="en-US"/>
              </w:rPr>
              <w:t>198,141</w:t>
            </w:r>
          </w:p>
        </w:tc>
        <w:tc>
          <w:tcPr>
            <w:tcW w:w="115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65A1D7A" w14:textId="77777777" w:rsidR="00D35E43" w:rsidRPr="00B754D8" w:rsidRDefault="00CD7861">
            <w:pPr>
              <w:pStyle w:val="CuerpoB"/>
              <w:shd w:val="clear" w:color="auto" w:fill="FFFFFF"/>
              <w:jc w:val="center"/>
            </w:pPr>
            <w:r w:rsidRPr="00B754D8">
              <w:rPr>
                <w:rStyle w:val="Ninguno"/>
                <w:rFonts w:ascii="Arial" w:hAnsi="Arial"/>
                <w:b/>
                <w:bCs/>
                <w:lang w:val="en-US"/>
              </w:rPr>
              <w:t>188,595</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A298851" w14:textId="77777777" w:rsidR="00D35E43" w:rsidRPr="00B754D8" w:rsidRDefault="00CD7861">
            <w:pPr>
              <w:pStyle w:val="CuerpoB"/>
              <w:shd w:val="clear" w:color="auto" w:fill="FFFFFF"/>
              <w:jc w:val="center"/>
            </w:pPr>
            <w:r w:rsidRPr="00B754D8">
              <w:rPr>
                <w:rStyle w:val="Ninguno"/>
                <w:rFonts w:ascii="Arial" w:hAnsi="Arial"/>
                <w:b/>
                <w:bCs/>
                <w:lang w:val="en-US"/>
              </w:rPr>
              <w:t>93,846</w:t>
            </w:r>
          </w:p>
        </w:tc>
        <w:tc>
          <w:tcPr>
            <w:tcW w:w="113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565F71B4" w14:textId="77777777" w:rsidR="00D35E43" w:rsidRPr="00B754D8" w:rsidRDefault="00CD7861">
            <w:pPr>
              <w:pStyle w:val="CuerpoB"/>
              <w:shd w:val="clear" w:color="auto" w:fill="FFFFFF"/>
              <w:jc w:val="center"/>
            </w:pPr>
            <w:r w:rsidRPr="00B754D8">
              <w:rPr>
                <w:rStyle w:val="Ninguno"/>
                <w:rFonts w:ascii="Arial" w:hAnsi="Arial"/>
                <w:b/>
                <w:bCs/>
                <w:lang w:val="en-US"/>
              </w:rPr>
              <w:t>138,612</w:t>
            </w:r>
          </w:p>
        </w:tc>
        <w:tc>
          <w:tcPr>
            <w:tcW w:w="110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699DDE9" w14:textId="77777777" w:rsidR="00D35E43" w:rsidRPr="00B754D8" w:rsidRDefault="00CD7861">
            <w:pPr>
              <w:pStyle w:val="CuerpoB"/>
              <w:shd w:val="clear" w:color="auto" w:fill="FFFFFF"/>
            </w:pPr>
            <w:r w:rsidRPr="00B754D8">
              <w:rPr>
                <w:rStyle w:val="Ninguno"/>
                <w:rFonts w:ascii="Arial" w:hAnsi="Arial"/>
                <w:b/>
                <w:bCs/>
                <w:lang w:val="en-US"/>
              </w:rPr>
              <w:t>108,503</w:t>
            </w:r>
          </w:p>
        </w:tc>
      </w:tr>
      <w:tr w:rsidR="00D35E43" w:rsidRPr="00B754D8" w14:paraId="05469600" w14:textId="77777777">
        <w:trPr>
          <w:trHeight w:val="1682"/>
        </w:trPr>
        <w:tc>
          <w:tcPr>
            <w:tcW w:w="211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57AF5796" w14:textId="77777777" w:rsidR="00D35E43" w:rsidRPr="00B754D8" w:rsidRDefault="00CD7861">
            <w:pPr>
              <w:pStyle w:val="CuerpoB"/>
              <w:shd w:val="clear" w:color="auto" w:fill="FFFFFF"/>
              <w:jc w:val="center"/>
            </w:pPr>
            <w:r w:rsidRPr="00B754D8">
              <w:rPr>
                <w:rStyle w:val="Ninguno"/>
                <w:rFonts w:ascii="Arial" w:hAnsi="Arial"/>
                <w:b/>
                <w:bCs/>
              </w:rPr>
              <w:t>Hombres extranjeros presentados ante la autoridad migratoria</w:t>
            </w:r>
          </w:p>
        </w:tc>
        <w:tc>
          <w:tcPr>
            <w:tcW w:w="113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CBFFE9D" w14:textId="77777777" w:rsidR="00D35E43" w:rsidRPr="00B754D8" w:rsidRDefault="00CD7861">
            <w:pPr>
              <w:pStyle w:val="CuerpoB"/>
              <w:shd w:val="clear" w:color="auto" w:fill="FFFFFF"/>
              <w:jc w:val="center"/>
            </w:pPr>
            <w:r w:rsidRPr="00B754D8">
              <w:rPr>
                <w:rStyle w:val="Ninguno"/>
                <w:rFonts w:ascii="Arial" w:hAnsi="Arial"/>
                <w:lang w:val="en-US"/>
              </w:rPr>
              <w:t>98,456</w:t>
            </w:r>
          </w:p>
        </w:tc>
        <w:tc>
          <w:tcPr>
            <w:tcW w:w="115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C97C72A" w14:textId="77777777" w:rsidR="00D35E43" w:rsidRPr="00B754D8" w:rsidRDefault="00CD7861">
            <w:pPr>
              <w:pStyle w:val="CuerpoB"/>
              <w:shd w:val="clear" w:color="auto" w:fill="FFFFFF"/>
              <w:jc w:val="center"/>
            </w:pPr>
            <w:r w:rsidRPr="00B754D8">
              <w:rPr>
                <w:rStyle w:val="Ninguno"/>
                <w:rFonts w:ascii="Arial" w:hAnsi="Arial"/>
                <w:lang w:val="en-US"/>
              </w:rPr>
              <w:t>148,930</w:t>
            </w:r>
          </w:p>
        </w:tc>
        <w:tc>
          <w:tcPr>
            <w:tcW w:w="115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5C09976" w14:textId="77777777" w:rsidR="00D35E43" w:rsidRPr="00B754D8" w:rsidRDefault="00CD7861">
            <w:pPr>
              <w:pStyle w:val="CuerpoB"/>
              <w:shd w:val="clear" w:color="auto" w:fill="FFFFFF"/>
              <w:jc w:val="center"/>
            </w:pPr>
            <w:r w:rsidRPr="00B754D8">
              <w:rPr>
                <w:rStyle w:val="Ninguno"/>
                <w:rFonts w:ascii="Arial" w:hAnsi="Arial"/>
                <w:lang w:val="en-US"/>
              </w:rPr>
              <w:t>141,212</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8CBF972" w14:textId="77777777" w:rsidR="00D35E43" w:rsidRPr="00B754D8" w:rsidRDefault="00CD7861">
            <w:pPr>
              <w:pStyle w:val="CuerpoB"/>
              <w:shd w:val="clear" w:color="auto" w:fill="FFFFFF"/>
              <w:jc w:val="center"/>
            </w:pPr>
            <w:r w:rsidRPr="00B754D8">
              <w:rPr>
                <w:rStyle w:val="Ninguno"/>
                <w:rFonts w:ascii="Arial" w:hAnsi="Arial"/>
                <w:lang w:val="en-US"/>
              </w:rPr>
              <w:t>72,604</w:t>
            </w:r>
          </w:p>
        </w:tc>
        <w:tc>
          <w:tcPr>
            <w:tcW w:w="113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42D3905" w14:textId="77777777" w:rsidR="00D35E43" w:rsidRPr="00B754D8" w:rsidRDefault="00CD7861">
            <w:pPr>
              <w:pStyle w:val="CuerpoB"/>
              <w:shd w:val="clear" w:color="auto" w:fill="FFFFFF"/>
              <w:jc w:val="center"/>
            </w:pPr>
            <w:r w:rsidRPr="00B754D8">
              <w:rPr>
                <w:rStyle w:val="Ninguno"/>
                <w:rFonts w:ascii="Arial" w:hAnsi="Arial"/>
                <w:lang w:val="en-US"/>
              </w:rPr>
              <w:t>104,939</w:t>
            </w:r>
          </w:p>
        </w:tc>
        <w:tc>
          <w:tcPr>
            <w:tcW w:w="110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35F14DE8" w14:textId="77777777" w:rsidR="00D35E43" w:rsidRPr="00B754D8" w:rsidRDefault="00CD7861">
            <w:pPr>
              <w:pStyle w:val="CuerpoB"/>
              <w:shd w:val="clear" w:color="auto" w:fill="FFFFFF"/>
              <w:jc w:val="center"/>
            </w:pPr>
            <w:r w:rsidRPr="00B754D8">
              <w:rPr>
                <w:rStyle w:val="Ninguno"/>
                <w:rFonts w:ascii="Arial" w:hAnsi="Arial"/>
                <w:lang w:val="en-US"/>
              </w:rPr>
              <w:t>72, 906</w:t>
            </w:r>
          </w:p>
        </w:tc>
      </w:tr>
      <w:tr w:rsidR="00D35E43" w:rsidRPr="00B754D8" w14:paraId="43B4DD23" w14:textId="77777777">
        <w:trPr>
          <w:trHeight w:val="1682"/>
        </w:trPr>
        <w:tc>
          <w:tcPr>
            <w:tcW w:w="211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FF533DF" w14:textId="77777777" w:rsidR="00D35E43" w:rsidRPr="00B754D8" w:rsidRDefault="00CD7861">
            <w:pPr>
              <w:pStyle w:val="CuerpoB"/>
              <w:shd w:val="clear" w:color="auto" w:fill="FFFFFF"/>
              <w:jc w:val="center"/>
            </w:pPr>
            <w:r w:rsidRPr="00B754D8">
              <w:rPr>
                <w:rStyle w:val="Ninguno"/>
                <w:rFonts w:ascii="Arial" w:hAnsi="Arial"/>
                <w:b/>
                <w:bCs/>
              </w:rPr>
              <w:t>Mujeres extranjeras presentadas ante la autoridad migratoria</w:t>
            </w:r>
          </w:p>
        </w:tc>
        <w:tc>
          <w:tcPr>
            <w:tcW w:w="113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CD3E2DA" w14:textId="77777777" w:rsidR="00D35E43" w:rsidRPr="00B754D8" w:rsidRDefault="00CD7861">
            <w:pPr>
              <w:pStyle w:val="CuerpoB"/>
              <w:shd w:val="clear" w:color="auto" w:fill="FFFFFF"/>
              <w:jc w:val="center"/>
            </w:pPr>
            <w:r w:rsidRPr="00B754D8">
              <w:rPr>
                <w:rStyle w:val="Ninguno"/>
                <w:rFonts w:ascii="Arial" w:hAnsi="Arial"/>
                <w:lang w:val="en-US"/>
              </w:rPr>
              <w:t>28,693</w:t>
            </w:r>
          </w:p>
        </w:tc>
        <w:tc>
          <w:tcPr>
            <w:tcW w:w="115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7B2B450" w14:textId="77777777" w:rsidR="00D35E43" w:rsidRPr="00B754D8" w:rsidRDefault="00CD7861">
            <w:pPr>
              <w:pStyle w:val="CuerpoB"/>
              <w:shd w:val="clear" w:color="auto" w:fill="FFFFFF"/>
              <w:jc w:val="center"/>
            </w:pPr>
            <w:r w:rsidRPr="00B754D8">
              <w:rPr>
                <w:rStyle w:val="Ninguno"/>
                <w:rFonts w:ascii="Arial" w:hAnsi="Arial"/>
                <w:lang w:val="en-US"/>
              </w:rPr>
              <w:t>49,211</w:t>
            </w:r>
          </w:p>
        </w:tc>
        <w:tc>
          <w:tcPr>
            <w:tcW w:w="115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4DBC494A" w14:textId="77777777" w:rsidR="00D35E43" w:rsidRPr="00B754D8" w:rsidRDefault="00CD7861">
            <w:pPr>
              <w:pStyle w:val="CuerpoB"/>
              <w:shd w:val="clear" w:color="auto" w:fill="FFFFFF"/>
              <w:jc w:val="center"/>
            </w:pPr>
            <w:r w:rsidRPr="00B754D8">
              <w:rPr>
                <w:rStyle w:val="Ninguno"/>
                <w:rFonts w:ascii="Arial" w:hAnsi="Arial"/>
                <w:lang w:val="en-US"/>
              </w:rPr>
              <w:t>47,383</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4B5468C2" w14:textId="77777777" w:rsidR="00D35E43" w:rsidRPr="00B754D8" w:rsidRDefault="00CD7861">
            <w:pPr>
              <w:pStyle w:val="CuerpoB"/>
              <w:shd w:val="clear" w:color="auto" w:fill="FFFFFF"/>
              <w:jc w:val="center"/>
            </w:pPr>
            <w:r w:rsidRPr="00B754D8">
              <w:rPr>
                <w:rStyle w:val="Ninguno"/>
                <w:rFonts w:ascii="Arial" w:hAnsi="Arial"/>
                <w:lang w:val="en-US"/>
              </w:rPr>
              <w:t>21,242</w:t>
            </w:r>
          </w:p>
        </w:tc>
        <w:tc>
          <w:tcPr>
            <w:tcW w:w="113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043C242" w14:textId="77777777" w:rsidR="00D35E43" w:rsidRPr="00B754D8" w:rsidRDefault="00CD7861">
            <w:pPr>
              <w:pStyle w:val="CuerpoB"/>
              <w:shd w:val="clear" w:color="auto" w:fill="FFFFFF"/>
              <w:jc w:val="center"/>
            </w:pPr>
            <w:r w:rsidRPr="00B754D8">
              <w:rPr>
                <w:rStyle w:val="Ninguno"/>
                <w:rFonts w:ascii="Arial" w:hAnsi="Arial"/>
                <w:lang w:val="en-US"/>
              </w:rPr>
              <w:t>33,673</w:t>
            </w:r>
          </w:p>
        </w:tc>
        <w:tc>
          <w:tcPr>
            <w:tcW w:w="110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4280010B" w14:textId="77777777" w:rsidR="00D35E43" w:rsidRPr="00B754D8" w:rsidRDefault="00CD7861">
            <w:pPr>
              <w:pStyle w:val="CuerpoB"/>
              <w:shd w:val="clear" w:color="auto" w:fill="FFFFFF"/>
              <w:jc w:val="center"/>
            </w:pPr>
            <w:r w:rsidRPr="00B754D8">
              <w:rPr>
                <w:rStyle w:val="Ninguno"/>
                <w:rFonts w:ascii="Arial" w:hAnsi="Arial"/>
                <w:lang w:val="en-US"/>
              </w:rPr>
              <w:t>35, 597</w:t>
            </w:r>
          </w:p>
        </w:tc>
      </w:tr>
      <w:tr w:rsidR="00D35E43" w:rsidRPr="00B754D8" w14:paraId="7AB97F6F" w14:textId="77777777">
        <w:trPr>
          <w:trHeight w:val="1692"/>
        </w:trPr>
        <w:tc>
          <w:tcPr>
            <w:tcW w:w="211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0C945D49" w14:textId="77777777" w:rsidR="00D35E43" w:rsidRPr="00B754D8" w:rsidRDefault="00CD7861">
            <w:pPr>
              <w:pStyle w:val="CuerpoB"/>
              <w:shd w:val="clear" w:color="auto" w:fill="FFFFFF"/>
              <w:jc w:val="center"/>
            </w:pPr>
            <w:r w:rsidRPr="00B754D8">
              <w:rPr>
                <w:rStyle w:val="Ninguno"/>
                <w:rFonts w:ascii="Arial" w:hAnsi="Arial"/>
                <w:b/>
                <w:bCs/>
              </w:rPr>
              <w:lastRenderedPageBreak/>
              <w:t>Niñas, niños y adolescentes (NNA) extranjeros  presentados ante el INM</w:t>
            </w:r>
          </w:p>
        </w:tc>
        <w:tc>
          <w:tcPr>
            <w:tcW w:w="113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32CB7DA1" w14:textId="77777777" w:rsidR="00D35E43" w:rsidRPr="00B754D8" w:rsidRDefault="00CD7861">
            <w:pPr>
              <w:pStyle w:val="CuerpoB"/>
              <w:shd w:val="clear" w:color="auto" w:fill="FFFFFF"/>
              <w:jc w:val="center"/>
            </w:pPr>
            <w:r w:rsidRPr="00B754D8">
              <w:rPr>
                <w:rStyle w:val="Ninguno"/>
                <w:rFonts w:ascii="Arial" w:hAnsi="Arial"/>
                <w:lang w:val="en-US"/>
              </w:rPr>
              <w:t>23,196</w:t>
            </w:r>
          </w:p>
        </w:tc>
        <w:tc>
          <w:tcPr>
            <w:tcW w:w="115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439F6799" w14:textId="77777777" w:rsidR="00D35E43" w:rsidRPr="00B754D8" w:rsidRDefault="00CD7861">
            <w:pPr>
              <w:pStyle w:val="CuerpoB"/>
              <w:shd w:val="clear" w:color="auto" w:fill="FFFFFF"/>
              <w:jc w:val="center"/>
            </w:pPr>
            <w:r w:rsidRPr="00B754D8">
              <w:rPr>
                <w:rStyle w:val="Ninguno"/>
                <w:rFonts w:ascii="Arial" w:hAnsi="Arial"/>
                <w:lang w:val="en-US"/>
              </w:rPr>
              <w:t>38,514</w:t>
            </w:r>
          </w:p>
        </w:tc>
        <w:tc>
          <w:tcPr>
            <w:tcW w:w="115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555637D1" w14:textId="77777777" w:rsidR="00D35E43" w:rsidRPr="00B754D8" w:rsidRDefault="00CD7861">
            <w:pPr>
              <w:pStyle w:val="CuerpoB"/>
              <w:shd w:val="clear" w:color="auto" w:fill="FFFFFF"/>
              <w:jc w:val="center"/>
            </w:pPr>
            <w:r w:rsidRPr="00B754D8">
              <w:rPr>
                <w:rStyle w:val="Ninguno"/>
                <w:rFonts w:ascii="Arial" w:hAnsi="Arial"/>
                <w:lang w:val="en-US"/>
              </w:rPr>
              <w:t>40,114</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7A82198" w14:textId="77777777" w:rsidR="00D35E43" w:rsidRPr="00B754D8" w:rsidRDefault="00CD7861">
            <w:pPr>
              <w:pStyle w:val="CuerpoB"/>
              <w:shd w:val="clear" w:color="auto" w:fill="FFFFFF"/>
              <w:jc w:val="center"/>
            </w:pPr>
            <w:r w:rsidRPr="00B754D8">
              <w:rPr>
                <w:rStyle w:val="Ninguno"/>
                <w:rFonts w:ascii="Arial" w:hAnsi="Arial"/>
                <w:lang w:val="en-US"/>
              </w:rPr>
              <w:t>18,066</w:t>
            </w:r>
          </w:p>
        </w:tc>
        <w:tc>
          <w:tcPr>
            <w:tcW w:w="113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381DA7CD" w14:textId="77777777" w:rsidR="00D35E43" w:rsidRPr="00B754D8" w:rsidRDefault="00CD7861">
            <w:pPr>
              <w:pStyle w:val="CuerpoB"/>
              <w:shd w:val="clear" w:color="auto" w:fill="FFFFFF"/>
              <w:jc w:val="center"/>
            </w:pPr>
            <w:r w:rsidRPr="00B754D8">
              <w:rPr>
                <w:rStyle w:val="Ninguno"/>
                <w:rFonts w:ascii="Arial" w:hAnsi="Arial"/>
                <w:lang w:val="en-US"/>
              </w:rPr>
              <w:t>31,717</w:t>
            </w:r>
          </w:p>
        </w:tc>
        <w:tc>
          <w:tcPr>
            <w:tcW w:w="110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4BB264F" w14:textId="77777777" w:rsidR="00D35E43" w:rsidRPr="00B754D8" w:rsidRDefault="00CD7861">
            <w:pPr>
              <w:pStyle w:val="CuerpoB"/>
              <w:shd w:val="clear" w:color="auto" w:fill="FFFFFF"/>
              <w:jc w:val="center"/>
            </w:pPr>
            <w:r w:rsidRPr="00B754D8">
              <w:rPr>
                <w:rStyle w:val="Ninguno"/>
                <w:rFonts w:ascii="Arial" w:hAnsi="Arial"/>
                <w:lang w:val="en-US"/>
              </w:rPr>
              <w:t>32,507</w:t>
            </w:r>
          </w:p>
        </w:tc>
      </w:tr>
      <w:tr w:rsidR="00D35E43" w:rsidRPr="00B754D8" w14:paraId="6DF60F18" w14:textId="77777777">
        <w:trPr>
          <w:trHeight w:val="1132"/>
        </w:trPr>
        <w:tc>
          <w:tcPr>
            <w:tcW w:w="211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395AC441" w14:textId="77777777" w:rsidR="00D35E43" w:rsidRPr="00B754D8" w:rsidRDefault="00CD7861">
            <w:pPr>
              <w:pStyle w:val="CuerpoB"/>
              <w:shd w:val="clear" w:color="auto" w:fill="FFFFFF"/>
              <w:jc w:val="center"/>
            </w:pPr>
            <w:r w:rsidRPr="00B754D8">
              <w:rPr>
                <w:rStyle w:val="Ninguno"/>
                <w:rFonts w:ascii="Arial" w:hAnsi="Arial"/>
                <w:b/>
                <w:bCs/>
              </w:rPr>
              <w:t>NNA no acompañados presentados ante el INM</w:t>
            </w:r>
          </w:p>
        </w:tc>
        <w:tc>
          <w:tcPr>
            <w:tcW w:w="113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A27C010" w14:textId="77777777" w:rsidR="00D35E43" w:rsidRPr="00B754D8" w:rsidRDefault="00CD7861">
            <w:pPr>
              <w:pStyle w:val="CuerpoB"/>
              <w:shd w:val="clear" w:color="auto" w:fill="FFFFFF"/>
              <w:jc w:val="center"/>
            </w:pPr>
            <w:r w:rsidRPr="00B754D8">
              <w:rPr>
                <w:rStyle w:val="Ninguno"/>
                <w:rFonts w:ascii="Arial" w:hAnsi="Arial"/>
                <w:lang w:val="en-US"/>
              </w:rPr>
              <w:t>11,043</w:t>
            </w:r>
          </w:p>
        </w:tc>
        <w:tc>
          <w:tcPr>
            <w:tcW w:w="115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2000679" w14:textId="77777777" w:rsidR="00D35E43" w:rsidRPr="00B754D8" w:rsidRDefault="00CD7861">
            <w:pPr>
              <w:pStyle w:val="CuerpoB"/>
              <w:shd w:val="clear" w:color="auto" w:fill="FFFFFF"/>
              <w:jc w:val="center"/>
            </w:pPr>
            <w:r w:rsidRPr="00B754D8">
              <w:rPr>
                <w:rStyle w:val="Ninguno"/>
                <w:rFonts w:ascii="Arial" w:hAnsi="Arial"/>
                <w:lang w:val="en-US"/>
              </w:rPr>
              <w:t>20,368</w:t>
            </w:r>
          </w:p>
        </w:tc>
        <w:tc>
          <w:tcPr>
            <w:tcW w:w="115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6050F93" w14:textId="77777777" w:rsidR="00D35E43" w:rsidRPr="00B754D8" w:rsidRDefault="00CD7861">
            <w:pPr>
              <w:pStyle w:val="CuerpoB"/>
              <w:shd w:val="clear" w:color="auto" w:fill="FFFFFF"/>
              <w:jc w:val="center"/>
            </w:pPr>
            <w:r w:rsidRPr="00B754D8">
              <w:rPr>
                <w:rStyle w:val="Ninguno"/>
                <w:rFonts w:ascii="Arial" w:hAnsi="Arial"/>
                <w:lang w:val="en-US"/>
              </w:rPr>
              <w:t>17,557</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B33360C" w14:textId="77777777" w:rsidR="00D35E43" w:rsidRPr="00B754D8" w:rsidRDefault="00CD7861">
            <w:pPr>
              <w:pStyle w:val="CuerpoB"/>
              <w:shd w:val="clear" w:color="auto" w:fill="FFFFFF"/>
              <w:jc w:val="center"/>
            </w:pPr>
            <w:r w:rsidRPr="00B754D8">
              <w:rPr>
                <w:rStyle w:val="Ninguno"/>
                <w:rFonts w:ascii="Arial" w:hAnsi="Arial"/>
                <w:lang w:val="en-US"/>
              </w:rPr>
              <w:t>7,326</w:t>
            </w:r>
          </w:p>
        </w:tc>
        <w:tc>
          <w:tcPr>
            <w:tcW w:w="113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6AD3450" w14:textId="77777777" w:rsidR="00D35E43" w:rsidRPr="00B754D8" w:rsidRDefault="00CD7861">
            <w:pPr>
              <w:pStyle w:val="CuerpoB"/>
              <w:shd w:val="clear" w:color="auto" w:fill="FFFFFF"/>
              <w:jc w:val="center"/>
            </w:pPr>
            <w:r w:rsidRPr="00B754D8">
              <w:rPr>
                <w:rStyle w:val="Ninguno"/>
                <w:rFonts w:ascii="Arial" w:hAnsi="Arial"/>
                <w:lang w:val="en-US"/>
              </w:rPr>
              <w:t>10,417</w:t>
            </w:r>
          </w:p>
        </w:tc>
        <w:tc>
          <w:tcPr>
            <w:tcW w:w="110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DBCC59E" w14:textId="77777777" w:rsidR="00D35E43" w:rsidRPr="00B754D8" w:rsidRDefault="00CD7861">
            <w:pPr>
              <w:pStyle w:val="CuerpoB"/>
              <w:shd w:val="clear" w:color="auto" w:fill="FFFFFF"/>
              <w:jc w:val="center"/>
            </w:pPr>
            <w:r w:rsidRPr="00B754D8">
              <w:rPr>
                <w:rStyle w:val="Ninguno"/>
                <w:rFonts w:ascii="Arial" w:hAnsi="Arial"/>
                <w:lang w:val="en-US"/>
              </w:rPr>
              <w:t>8,033</w:t>
            </w:r>
          </w:p>
        </w:tc>
      </w:tr>
    </w:tbl>
    <w:p w14:paraId="13ADFD9D" w14:textId="77777777" w:rsidR="00D35E43" w:rsidRPr="00B754D8" w:rsidRDefault="00D35E43">
      <w:pPr>
        <w:pStyle w:val="CuerpoB"/>
        <w:widowControl w:val="0"/>
        <w:ind w:left="108" w:hanging="108"/>
        <w:jc w:val="both"/>
        <w:rPr>
          <w:rStyle w:val="Ninguno"/>
          <w:rFonts w:ascii="Arial" w:eastAsia="Arial" w:hAnsi="Arial" w:cs="Arial"/>
        </w:rPr>
      </w:pPr>
    </w:p>
    <w:p w14:paraId="14E7271C" w14:textId="77777777" w:rsidR="00D35E43" w:rsidRPr="00B754D8" w:rsidRDefault="00D35E43">
      <w:pPr>
        <w:pStyle w:val="CuerpoB"/>
        <w:jc w:val="both"/>
        <w:rPr>
          <w:rStyle w:val="Ninguno"/>
          <w:rFonts w:ascii="Arial" w:eastAsia="Arial" w:hAnsi="Arial" w:cs="Arial"/>
        </w:rPr>
      </w:pPr>
    </w:p>
    <w:p w14:paraId="02D4240F" w14:textId="77777777" w:rsidR="00D35E43" w:rsidRPr="00B754D8" w:rsidRDefault="00CD7861">
      <w:pPr>
        <w:pStyle w:val="CuerpoB"/>
        <w:jc w:val="both"/>
        <w:rPr>
          <w:rStyle w:val="Ninguno"/>
          <w:rFonts w:ascii="Arial" w:eastAsia="Arial" w:hAnsi="Arial" w:cs="Arial"/>
        </w:rPr>
      </w:pPr>
      <w:r w:rsidRPr="00B754D8">
        <w:rPr>
          <w:rStyle w:val="Ninguno"/>
          <w:rFonts w:ascii="Arial" w:hAnsi="Arial"/>
        </w:rPr>
        <w:t xml:space="preserve">La CNDH publicó su informe especial </w:t>
      </w:r>
      <w:r w:rsidRPr="00B754D8">
        <w:rPr>
          <w:rStyle w:val="Ninguno"/>
          <w:rFonts w:ascii="Arial" w:hAnsi="Arial"/>
          <w:i/>
          <w:iCs/>
        </w:rPr>
        <w:t>“La problemática de niñas, niños y adolescentes centroamericanos en contexto de migración internacional no acompañados en su tránsito por México y con necesidades de protección internaciona</w:t>
      </w:r>
      <w:r w:rsidRPr="00B754D8">
        <w:rPr>
          <w:rStyle w:val="Ninguno"/>
          <w:rFonts w:ascii="Arial" w:hAnsi="Arial"/>
        </w:rPr>
        <w:t xml:space="preserve">l” en el año 2016, en el cual se señala:  </w:t>
      </w:r>
      <w:r w:rsidRPr="00B754D8">
        <w:rPr>
          <w:rStyle w:val="Ninguno"/>
          <w:rFonts w:ascii="Arial" w:hAnsi="Arial"/>
          <w:i/>
          <w:iCs/>
        </w:rPr>
        <w:t xml:space="preserve">“Las causas de salida de las niñas, niños y adolescentes son objetivas y estructurales, y en ellas se pueden identificar tres principales: 1) Contexto de violencia, criminalidad e inseguridad  ciudadana prevaleciente en la zona, 2) por razones económicas, derivadas de la desigualdad social y precariedad económica; y 3) por los movimientos encaminados a la reunificación familiar.” </w:t>
      </w:r>
      <w:r w:rsidRPr="00B754D8">
        <w:rPr>
          <w:rStyle w:val="Ninguno"/>
          <w:rFonts w:ascii="Arial" w:eastAsia="Arial" w:hAnsi="Arial" w:cs="Arial"/>
          <w:i/>
          <w:iCs/>
          <w:vertAlign w:val="superscript"/>
        </w:rPr>
        <w:footnoteReference w:id="31"/>
      </w:r>
      <w:r w:rsidRPr="00B754D8">
        <w:rPr>
          <w:rStyle w:val="Ninguno"/>
          <w:rFonts w:ascii="Arial" w:hAnsi="Arial"/>
          <w:i/>
          <w:iCs/>
        </w:rPr>
        <w:t xml:space="preserve"> </w:t>
      </w:r>
      <w:r w:rsidRPr="00B754D8">
        <w:rPr>
          <w:rStyle w:val="Ninguno"/>
          <w:rFonts w:ascii="Arial" w:hAnsi="Arial"/>
        </w:rPr>
        <w:t xml:space="preserve">Esta situación aunada a su condición de niñas, niños y adolescentes, y a que casi la mitad de ellas y ellos viajan sin la compañía de un familiar o tutor los vulnerabiliza aún más dentro del contexto mexicano, toda vez que las rutas que utilizan para recorrer el país y pasar desapercibidos de las autoridades los vuelven presas del crimen organizado y de personas servidoras públicas corruptas. </w:t>
      </w:r>
    </w:p>
    <w:p w14:paraId="1F78007C" w14:textId="77777777" w:rsidR="00D35E43" w:rsidRPr="00B754D8" w:rsidRDefault="00D35E43">
      <w:pPr>
        <w:pStyle w:val="CuerpoB"/>
        <w:jc w:val="both"/>
        <w:rPr>
          <w:rStyle w:val="Ninguno"/>
          <w:rFonts w:ascii="Arial" w:eastAsia="Arial" w:hAnsi="Arial" w:cs="Arial"/>
        </w:rPr>
      </w:pPr>
    </w:p>
    <w:p w14:paraId="59B74EE5" w14:textId="77777777" w:rsidR="00D35E43" w:rsidRPr="00B754D8" w:rsidRDefault="00CD7861">
      <w:pPr>
        <w:pStyle w:val="CuerpoB"/>
        <w:jc w:val="both"/>
        <w:rPr>
          <w:rStyle w:val="Ninguno"/>
          <w:rFonts w:ascii="Arial" w:eastAsia="Arial" w:hAnsi="Arial" w:cs="Arial"/>
        </w:rPr>
      </w:pPr>
      <w:r w:rsidRPr="00B754D8">
        <w:rPr>
          <w:rStyle w:val="Ninguno"/>
          <w:rFonts w:ascii="Arial" w:hAnsi="Arial"/>
        </w:rPr>
        <w:t>México se ha convertido en un país de origen, tránsito, destino y retorno de migrantes. Esta particularidad se ha acentuado de manera muy notoria en las últimas décadas, lo que ha traído como consecuencia una crisis migratoria interna y externa. El Estado mexicano debe enfrentar tal circunstancia y garantizar, entre otras cosas, la seguridad nacional, los derechos humanos de los migrantes en tránsito, la implementación efectiva de la legislación migratoria, la asimilación de los migrantes en retorno y de aquellos nacionales extranjeros que pretenden instalarse en territorio mexicano, y el respeto a los nacionales mexicanos en el exterior.</w:t>
      </w:r>
    </w:p>
    <w:p w14:paraId="685A7A5C" w14:textId="77777777" w:rsidR="00D35E43" w:rsidRPr="00B754D8" w:rsidRDefault="00D35E43">
      <w:pPr>
        <w:pStyle w:val="CuerpoB"/>
        <w:jc w:val="both"/>
        <w:rPr>
          <w:rStyle w:val="Ninguno"/>
          <w:rFonts w:ascii="Arial" w:eastAsia="Arial" w:hAnsi="Arial" w:cs="Arial"/>
        </w:rPr>
      </w:pPr>
    </w:p>
    <w:p w14:paraId="72150D16"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 xml:space="preserve">Las personas en contexto de migración intentan ser invisibles frente a las autoridades, circunstancia que los obliga a la búsqueda de nuevas rutas, otras opciones de traslado que las hace vulnerables a la violación de sus derechos humanos, y proclives a que se cometan una gran cantidad de delitos en su contra. </w:t>
      </w:r>
    </w:p>
    <w:p w14:paraId="2CA3F3E3"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b/>
          <w:bCs/>
        </w:rPr>
        <w:lastRenderedPageBreak/>
        <w:t>De acuerdo a las cifras del Instituto para los Mexicanos en el Exterior (IME) en 2016 había 12 millones de mexicanas y mexicanos nacidos en México que vivían en los EUA</w:t>
      </w:r>
      <w:r w:rsidRPr="00B754D8">
        <w:rPr>
          <w:rStyle w:val="Ninguno"/>
          <w:rFonts w:ascii="Arial" w:hAnsi="Arial"/>
        </w:rPr>
        <w:t xml:space="preserve">, por lo que se encuentra entre las tres primeras naciones con el mayor número de connacionales fuera de su país de origen, aunado al hecho de que el 98% de nuestros emigrantes vive en los EUA exclusivamente. </w:t>
      </w:r>
      <w:r w:rsidRPr="00DE0F21">
        <w:rPr>
          <w:rStyle w:val="Ninguno"/>
          <w:rFonts w:ascii="Arial" w:hAnsi="Arial"/>
        </w:rPr>
        <w:t>Lo anterior coloca a México como uno de los países en el mundo con la mayoría de sus emigrantes focalizados en un solo lugar de destino</w:t>
      </w:r>
      <w:r w:rsidRPr="00B754D8">
        <w:rPr>
          <w:rStyle w:val="Ninguno"/>
          <w:rFonts w:ascii="Arial" w:hAnsi="Arial"/>
        </w:rPr>
        <w:t xml:space="preserve">. </w:t>
      </w:r>
      <w:r w:rsidRPr="00B754D8">
        <w:rPr>
          <w:rStyle w:val="Ninguno"/>
          <w:rFonts w:ascii="Arial" w:hAnsi="Arial"/>
          <w:b/>
          <w:bCs/>
        </w:rPr>
        <w:t>Del total mencionado, seis millones se encuentran sin documentos migratorios</w:t>
      </w:r>
      <w:r w:rsidRPr="00B754D8">
        <w:rPr>
          <w:rStyle w:val="Ninguno"/>
          <w:rFonts w:ascii="Arial" w:hAnsi="Arial"/>
        </w:rPr>
        <w:t>, lo que representa la mitad de todos los migrantes en situación irregular que viven en ese país. De acuerdo a las cifras de la Unidad de Política Migratoria, en 2017 se reportan 166,986 repatriaciones de connacionales y hasta noviembre de 2018 fueron 203,711.</w:t>
      </w:r>
    </w:p>
    <w:p w14:paraId="28D01EB6"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b/>
          <w:bCs/>
        </w:rPr>
        <w:t>Acciones de la CNDH</w:t>
      </w:r>
    </w:p>
    <w:p w14:paraId="5336FE63" w14:textId="77777777" w:rsidR="00D35E43" w:rsidRPr="00B754D8" w:rsidRDefault="00CD7861">
      <w:pPr>
        <w:pStyle w:val="CuerpoB"/>
        <w:numPr>
          <w:ilvl w:val="0"/>
          <w:numId w:val="148"/>
        </w:numPr>
        <w:spacing w:after="160" w:line="259" w:lineRule="auto"/>
        <w:jc w:val="both"/>
        <w:rPr>
          <w:rFonts w:ascii="Arial" w:hAnsi="Arial"/>
        </w:rPr>
      </w:pPr>
      <w:r w:rsidRPr="00B754D8">
        <w:rPr>
          <w:rStyle w:val="Ninguno"/>
          <w:rFonts w:ascii="Arial" w:hAnsi="Arial"/>
        </w:rPr>
        <w:t>Publicación del informe especial La problemática de niñas, niños y adolescentes centroamericanos en contexto de migración internacional no acompañados en su tránsito por México y con necesidades de protección internacional, en el año 2016.</w:t>
      </w:r>
    </w:p>
    <w:p w14:paraId="7FCA06BC" w14:textId="77777777" w:rsidR="00D35E43" w:rsidRPr="00B754D8" w:rsidRDefault="00CD7861">
      <w:pPr>
        <w:pStyle w:val="CuerpoB"/>
        <w:numPr>
          <w:ilvl w:val="0"/>
          <w:numId w:val="148"/>
        </w:numPr>
        <w:spacing w:after="160" w:line="259" w:lineRule="auto"/>
        <w:jc w:val="both"/>
        <w:rPr>
          <w:rFonts w:ascii="Arial" w:hAnsi="Arial"/>
        </w:rPr>
      </w:pPr>
      <w:r w:rsidRPr="00B754D8">
        <w:rPr>
          <w:rStyle w:val="Ninguno"/>
          <w:rFonts w:ascii="Arial" w:hAnsi="Arial"/>
        </w:rPr>
        <w:t>Foro: “Pasos hacia la Consolidación del Sistema de Protección de la Niñez Migrante en México”, Ciudad de México, mayo 2018, contando con la participación del ACNUR, UNICEF, OIM, Procuraduría Federal de Protección de los Derechos de Niñas, Niños y Adolescentes, DIF Nacional, INM, Instituto para las Mujeres en la Migración (IMUMI A.C.), Casa Alianza México I.A.P., Pro Niños de la Calle I.A.P., entro otras instituciones, emitiendo una declaratoria del mismo evento con compromisos y acciones a realizar de manera conjunta a favor de la infancia migrante que lamentablemente el gobierno federal no ha dado cumplimiento como la canalización inmediata de niñas, niños y adolescentes en contexto de migración a albergues especializados y no a centros de detención migratoria, tal como lo contempla la Ley General de Derechos de Niñas, Niños y Adolescentes.</w:t>
      </w:r>
    </w:p>
    <w:p w14:paraId="04715449" w14:textId="77777777" w:rsidR="00D35E43" w:rsidRPr="00B754D8" w:rsidRDefault="00CD7861">
      <w:pPr>
        <w:pStyle w:val="CuerpoB"/>
        <w:numPr>
          <w:ilvl w:val="0"/>
          <w:numId w:val="148"/>
        </w:numPr>
        <w:spacing w:after="160" w:line="259" w:lineRule="auto"/>
        <w:jc w:val="both"/>
        <w:rPr>
          <w:rFonts w:ascii="Arial" w:hAnsi="Arial"/>
        </w:rPr>
      </w:pPr>
      <w:r w:rsidRPr="00B754D8">
        <w:rPr>
          <w:rStyle w:val="Ninguno"/>
          <w:rFonts w:ascii="Arial" w:hAnsi="Arial"/>
        </w:rPr>
        <w:t>Emisión de diversas medidas cautelares al INM, al DIF y a las Procuradurías de Protección a la Niñez tanto federal como locales, con la finalidad de evitar que niñas, niños y adolescentes sean detenidos e ingresados a las estaciones migratorias tal como lo prohíbe la Ley General de Derechos de Niñas, Niños y Adolescentes.</w:t>
      </w:r>
    </w:p>
    <w:p w14:paraId="0ABB1CE9" w14:textId="77777777" w:rsidR="00D35E43" w:rsidRPr="00B754D8" w:rsidRDefault="00CD7861">
      <w:pPr>
        <w:pStyle w:val="CuerpoB"/>
        <w:numPr>
          <w:ilvl w:val="0"/>
          <w:numId w:val="148"/>
        </w:numPr>
        <w:spacing w:after="160" w:line="259" w:lineRule="auto"/>
        <w:jc w:val="both"/>
        <w:rPr>
          <w:rFonts w:ascii="Arial" w:hAnsi="Arial"/>
        </w:rPr>
      </w:pPr>
      <w:r w:rsidRPr="00B754D8">
        <w:rPr>
          <w:rStyle w:val="Ninguno"/>
          <w:rFonts w:ascii="Arial" w:hAnsi="Arial"/>
        </w:rPr>
        <w:t>Se han publicado diversas recomendaciones a las autoridades sobre violaciones a derechos de niñas, niños y adolescentes, entre ellas las más relevantes son:</w:t>
      </w:r>
    </w:p>
    <w:p w14:paraId="4750C673" w14:textId="77777777" w:rsidR="00D35E43" w:rsidRPr="00B754D8" w:rsidRDefault="00CD7861">
      <w:pPr>
        <w:pStyle w:val="CuerpoB"/>
        <w:numPr>
          <w:ilvl w:val="0"/>
          <w:numId w:val="150"/>
        </w:numPr>
        <w:spacing w:after="160" w:line="259" w:lineRule="auto"/>
        <w:jc w:val="both"/>
        <w:rPr>
          <w:rFonts w:ascii="Arial" w:hAnsi="Arial"/>
        </w:rPr>
      </w:pPr>
      <w:r w:rsidRPr="00B754D8">
        <w:rPr>
          <w:rStyle w:val="Ninguno"/>
          <w:rFonts w:ascii="Arial" w:hAnsi="Arial"/>
        </w:rPr>
        <w:t xml:space="preserve">Derivado de la política migratoria implementada por el gobierno de los Estados Unidos de América (EUA), el 21 de mayo de 2018 la CNDH, en coordinación con diversas Instituciones Nacionales de Derechos Humanos, solicitó ante la Comisión Interamericana de Derechos Humanos (CmIDH) la </w:t>
      </w:r>
      <w:r w:rsidRPr="00B754D8">
        <w:rPr>
          <w:rStyle w:val="Ninguno"/>
          <w:rFonts w:ascii="Arial" w:hAnsi="Arial"/>
        </w:rPr>
        <w:lastRenderedPageBreak/>
        <w:t>implementación de medidas cautelares a efecto de prevenir que niñas, niños y adolescentes en contexto de migración internacional permanecieran detenidos en bases militares y, se adoptaran todas las medidas necesarias para proteger sus derechos a la integridad personal, la familia y a la libertad personal de ese grupo de población. Al respecto, el 16 de agosto del mismo año, la citada Comisión Interamericana requirió al gobierno estadounidense la implementación de las medidas cautelares antes referidas.</w:t>
      </w:r>
    </w:p>
    <w:p w14:paraId="00D9FF46" w14:textId="77777777" w:rsidR="00D35E43" w:rsidRPr="00B754D8" w:rsidRDefault="00CD7861">
      <w:pPr>
        <w:pStyle w:val="CuerpoB"/>
        <w:numPr>
          <w:ilvl w:val="0"/>
          <w:numId w:val="150"/>
        </w:numPr>
        <w:spacing w:after="160" w:line="259" w:lineRule="auto"/>
        <w:jc w:val="both"/>
        <w:rPr>
          <w:rFonts w:ascii="Arial" w:hAnsi="Arial"/>
        </w:rPr>
      </w:pPr>
      <w:r w:rsidRPr="00B754D8">
        <w:rPr>
          <w:rStyle w:val="Ninguno"/>
          <w:rFonts w:ascii="Arial" w:hAnsi="Arial"/>
        </w:rPr>
        <w:t>A efecto de visibilizar el incremento de Desplazamiento Forzado Interno (DFI) en México, este Organismo Nacional realizó las siguientes acciones:</w:t>
      </w:r>
    </w:p>
    <w:p w14:paraId="4622DD92" w14:textId="77777777" w:rsidR="00D35E43" w:rsidRPr="00B754D8" w:rsidRDefault="00CD7861">
      <w:pPr>
        <w:pStyle w:val="CuerpoB"/>
        <w:numPr>
          <w:ilvl w:val="1"/>
          <w:numId w:val="150"/>
        </w:numPr>
        <w:spacing w:after="160" w:line="259" w:lineRule="auto"/>
        <w:jc w:val="both"/>
        <w:rPr>
          <w:rFonts w:ascii="Arial" w:hAnsi="Arial"/>
        </w:rPr>
      </w:pPr>
      <w:r w:rsidRPr="00B754D8">
        <w:rPr>
          <w:rStyle w:val="Ninguno"/>
          <w:rFonts w:ascii="Arial" w:hAnsi="Arial"/>
        </w:rPr>
        <w:t xml:space="preserve">El 17 de abril de 2018, se llevó acabo el Foro Taller Regional </w:t>
      </w:r>
      <w:r w:rsidRPr="00B754D8">
        <w:rPr>
          <w:rStyle w:val="Ninguno"/>
          <w:rFonts w:ascii="Arial" w:hAnsi="Arial"/>
          <w:i/>
          <w:iCs/>
        </w:rPr>
        <w:t>“Desafíos y relaciones frente al desplazamiento interno y la migración en México y Centroamérica”</w:t>
      </w:r>
      <w:r w:rsidRPr="00B754D8">
        <w:rPr>
          <w:rStyle w:val="Ninguno"/>
          <w:rFonts w:ascii="Arial" w:hAnsi="Arial"/>
        </w:rPr>
        <w:t>, en la cual se invitó a los países participantes a suscribir la Declaración de México Sobre Desplazamiento Forzado Interno del 24 de agosto de 2017.</w:t>
      </w:r>
    </w:p>
    <w:p w14:paraId="429B0C45" w14:textId="77777777" w:rsidR="00D35E43" w:rsidRPr="00B754D8" w:rsidRDefault="00CD7861">
      <w:pPr>
        <w:pStyle w:val="CuerpoB"/>
        <w:numPr>
          <w:ilvl w:val="1"/>
          <w:numId w:val="150"/>
        </w:numPr>
        <w:spacing w:after="160" w:line="259" w:lineRule="auto"/>
        <w:jc w:val="both"/>
        <w:rPr>
          <w:rFonts w:ascii="Arial" w:hAnsi="Arial"/>
        </w:rPr>
      </w:pPr>
      <w:r w:rsidRPr="00B754D8">
        <w:rPr>
          <w:rStyle w:val="Ninguno"/>
          <w:rFonts w:ascii="Arial" w:hAnsi="Arial"/>
        </w:rPr>
        <w:t xml:space="preserve">Se elaboró una propuesta de iniciativa de reforma constitucional al artículo 73 en materia de DFI, y una propuesta de iniciativa de Ley General de Desplazamiento Forzado Interno, mismas que fueron presentadas en el mes de octubre de 2018 ante la Cámara de Senadores. </w:t>
      </w:r>
    </w:p>
    <w:p w14:paraId="51329D64" w14:textId="77777777" w:rsidR="00D35E43" w:rsidRPr="00B754D8" w:rsidRDefault="00CD7861">
      <w:pPr>
        <w:pStyle w:val="CuerpoB"/>
        <w:numPr>
          <w:ilvl w:val="1"/>
          <w:numId w:val="150"/>
        </w:numPr>
        <w:spacing w:after="160" w:line="259" w:lineRule="auto"/>
        <w:jc w:val="both"/>
        <w:rPr>
          <w:rFonts w:ascii="Arial" w:hAnsi="Arial"/>
        </w:rPr>
      </w:pPr>
      <w:r w:rsidRPr="00B754D8">
        <w:rPr>
          <w:rStyle w:val="Ninguno"/>
          <w:rFonts w:ascii="Arial" w:hAnsi="Arial"/>
        </w:rPr>
        <w:t>En diciembre de 2018 se emitieron las Recomendaciones 87/2018 y 90/2018, sobre el caso de personas víctimas de DFI en diversas comunidades y municipios de Chalchihuitán y Chenalhó, Chiapas, en las que se acreditaron violaciones a los derechos humanos a la libertad de circulación y residencia y el derecho a no ser desplazado; a la asistencia humanitaria y a las medidas de ayuda inmediata; a la seguridad personal; al acceso a la justicia en su modalidad de procuración de justicia; y los derechos económicos, sociales y culturares de ese grupo de población en situación de vulnerabilidad, por lo que, a diversas autoridades federales, estatales y municipales, se les recomendó, entre otros, realizar diagnósticos que permitan evidenciar las causas que originaron el desplazamiento, la situación de las víctimas y el contexto de inseguridad en los municipios de referencia; así como un programa de desarme de las personas que habitan los municipios de Chalchihuitán y Chenalhó, y la reparación integral del daño.</w:t>
      </w:r>
    </w:p>
    <w:p w14:paraId="1DCCD581" w14:textId="77777777" w:rsidR="00D35E43" w:rsidRPr="00B754D8" w:rsidRDefault="00CD7861">
      <w:pPr>
        <w:pStyle w:val="CuerpoB"/>
        <w:numPr>
          <w:ilvl w:val="0"/>
          <w:numId w:val="150"/>
        </w:numPr>
        <w:spacing w:after="160" w:line="259" w:lineRule="auto"/>
        <w:jc w:val="both"/>
        <w:rPr>
          <w:rFonts w:ascii="Arial" w:hAnsi="Arial"/>
        </w:rPr>
      </w:pPr>
      <w:r w:rsidRPr="00B754D8">
        <w:rPr>
          <w:rStyle w:val="Ninguno"/>
          <w:rFonts w:ascii="Arial" w:hAnsi="Arial"/>
        </w:rPr>
        <w:t xml:space="preserve">A partir del mes de octubre de 2018, inició el éxodo de personas migrantes principalmente originarias de Guatemala, Honduras y El Salvador, que ingresaron a México con la finalidad, en su mayoría, de llegar a los EUA, en razón de lo anterior la CNDH les brindó acompañamiento, asesoría y protección, esto último a través de la solicitud de implementación de medidas cautelares a su favor. Las citadas medidas cautelares fueron dirigidas a </w:t>
      </w:r>
      <w:r w:rsidRPr="00B754D8">
        <w:rPr>
          <w:rStyle w:val="Ninguno"/>
          <w:rFonts w:ascii="Arial" w:hAnsi="Arial"/>
        </w:rPr>
        <w:lastRenderedPageBreak/>
        <w:t>autoridades federales, estatales y municipales, a quienes se les requirió que se les garantizara la seguridad en su tránsito, la atención humanitaria de urgencia, de manera especial alimentación adecuada, agua, así como servicios médicos y psicológicos, en particular a las personas que se encontraban en una situación de vulnerabilidad múltiple, como la niñez no acompañada, lactantes, mujeres embarazadas, personas adultas y miembros de la comunidad LGBTTI.</w:t>
      </w:r>
    </w:p>
    <w:p w14:paraId="562776FA" w14:textId="77777777" w:rsidR="00D35E43" w:rsidRPr="00B754D8" w:rsidRDefault="00CD7861">
      <w:pPr>
        <w:pStyle w:val="CuerpoB"/>
        <w:spacing w:after="160" w:line="259" w:lineRule="auto"/>
        <w:ind w:left="720"/>
        <w:jc w:val="both"/>
        <w:rPr>
          <w:rStyle w:val="Ninguno"/>
          <w:rFonts w:ascii="Arial" w:eastAsia="Arial" w:hAnsi="Arial" w:cs="Arial"/>
        </w:rPr>
      </w:pPr>
      <w:r w:rsidRPr="00B754D8">
        <w:rPr>
          <w:rStyle w:val="Ninguno"/>
          <w:rFonts w:ascii="Arial" w:hAnsi="Arial"/>
        </w:rPr>
        <w:t xml:space="preserve">El resultado de lo anterior, fue expuesto ante la Comisión Interamericana de Derechos Humanos en el informe sobre la </w:t>
      </w:r>
      <w:r w:rsidRPr="00B754D8">
        <w:rPr>
          <w:rStyle w:val="Ninguno"/>
          <w:rFonts w:ascii="Arial" w:hAnsi="Arial"/>
          <w:i/>
          <w:iCs/>
        </w:rPr>
        <w:t>“Situación de derechos humanos de las personas que integran la Caravana de Migrantes”</w:t>
      </w:r>
      <w:r w:rsidRPr="00B754D8">
        <w:rPr>
          <w:rStyle w:val="Ninguno"/>
          <w:rFonts w:ascii="Arial" w:hAnsi="Arial"/>
        </w:rPr>
        <w:t>, durante la Audiencia Regional en el marco del 170 Periodo Ordinario de Sesiones.</w:t>
      </w:r>
    </w:p>
    <w:p w14:paraId="430C28BD" w14:textId="77777777" w:rsidR="00D35E43" w:rsidRPr="00B754D8" w:rsidRDefault="00CD7861">
      <w:pPr>
        <w:pStyle w:val="CuerpoB"/>
        <w:numPr>
          <w:ilvl w:val="0"/>
          <w:numId w:val="150"/>
        </w:numPr>
        <w:spacing w:after="160" w:line="259" w:lineRule="auto"/>
        <w:jc w:val="both"/>
        <w:rPr>
          <w:rFonts w:ascii="Arial" w:hAnsi="Arial"/>
        </w:rPr>
      </w:pPr>
      <w:r w:rsidRPr="00B754D8">
        <w:rPr>
          <w:rStyle w:val="Ninguno"/>
          <w:rFonts w:ascii="Arial" w:hAnsi="Arial"/>
        </w:rPr>
        <w:t>El 1 de abril de 2019, este Organismo Nacional y El Colegio de la Frontera Norte presentaron Estudio Políticas Multinivel para el Retorno y la (Re) Inserción de Migrantes en México, para contribuir, mediante recomendaciones de políticas públicas, a la preparación de Gobierno y sociedad ante el retorno de personas mexicanas y sus familias procedentes de Estados Unidos</w:t>
      </w:r>
    </w:p>
    <w:p w14:paraId="4483C548" w14:textId="77777777" w:rsidR="00D35E43" w:rsidRPr="00B754D8" w:rsidRDefault="00D35E43">
      <w:pPr>
        <w:pStyle w:val="CuerpoB"/>
        <w:spacing w:after="160" w:line="259" w:lineRule="auto"/>
        <w:jc w:val="both"/>
        <w:rPr>
          <w:rStyle w:val="Ninguno"/>
          <w:rFonts w:ascii="Arial" w:eastAsia="Arial" w:hAnsi="Arial" w:cs="Arial"/>
        </w:rPr>
      </w:pPr>
    </w:p>
    <w:p w14:paraId="0E344735" w14:textId="77777777" w:rsidR="00D35E43" w:rsidRPr="00B754D8" w:rsidRDefault="00CD7861">
      <w:pPr>
        <w:pStyle w:val="CuerpoB"/>
        <w:spacing w:after="160" w:line="259" w:lineRule="auto"/>
        <w:jc w:val="both"/>
        <w:rPr>
          <w:rStyle w:val="Ninguno"/>
          <w:rFonts w:ascii="Arial" w:eastAsia="Arial" w:hAnsi="Arial" w:cs="Arial"/>
          <w:u w:val="single"/>
        </w:rPr>
      </w:pPr>
      <w:r w:rsidRPr="00B754D8">
        <w:rPr>
          <w:rStyle w:val="Ninguno"/>
          <w:rFonts w:ascii="Arial" w:hAnsi="Arial"/>
          <w:u w:val="single"/>
        </w:rPr>
        <w:t>La CNDH y su interacción con el Comité para la Protección de los Derechos de Todos los Trabajadores Migratorios y sus Familiares (CMW)</w:t>
      </w:r>
    </w:p>
    <w:p w14:paraId="069C6CE3"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 xml:space="preserve">En abril de 2017 se remitió al Secretariado del </w:t>
      </w:r>
      <w:r w:rsidRPr="00B754D8">
        <w:rPr>
          <w:rStyle w:val="Ninguno"/>
          <w:rFonts w:ascii="Arial" w:hAnsi="Arial"/>
          <w:b/>
          <w:bCs/>
        </w:rPr>
        <w:t>Comité para la Protección de los Derechos de Todos los Trabajadores Migratorios y sus Familiares (CMW),</w:t>
      </w:r>
      <w:r w:rsidRPr="00B754D8">
        <w:rPr>
          <w:rStyle w:val="Ninguno"/>
          <w:rFonts w:ascii="Arial" w:hAnsi="Arial"/>
        </w:rPr>
        <w:t xml:space="preserve"> el Informe de esta CNDH, que da respuesta a la lista de cuestiones que adoptó dicho Comité, para la presentación del tercer informe periódico por parte de México sobre la aplicación de la Convención Internacional sobre la Protección de los Derechos de Todos los Trabajadores Migratorios y de sus Familiares</w:t>
      </w:r>
    </w:p>
    <w:p w14:paraId="3A09EF85"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Asimismo, en septiembre de 2017, en el marco de la sustentación del Tercer Informe Periódico de México ante el Comité de Protección de los derechos de todos los trabajadores migratorios y sus familiares de la ONU (CMW), el Presidente de la CNDH participó en reuniones con el citado Comité, para exponer la situación de los derechos de las personas en contexto de migración en México, y funcionarios de la CNDH</w:t>
      </w:r>
      <w:r w:rsidRPr="00B754D8">
        <w:rPr>
          <w:rStyle w:val="Ninguno"/>
        </w:rPr>
        <w:t xml:space="preserve"> </w:t>
      </w:r>
      <w:r w:rsidRPr="00B754D8">
        <w:rPr>
          <w:rStyle w:val="Ninguno"/>
          <w:rFonts w:ascii="Arial" w:hAnsi="Arial"/>
        </w:rPr>
        <w:t>asistieron a la sustentación del Tercer Informe Periódico de México ante el CMW</w:t>
      </w:r>
    </w:p>
    <w:p w14:paraId="0834B51E" w14:textId="7706200D" w:rsidR="00356079" w:rsidRPr="00B754D8" w:rsidRDefault="00356079">
      <w:pPr>
        <w:pStyle w:val="CuerpoB"/>
        <w:spacing w:after="160" w:line="259" w:lineRule="auto"/>
        <w:jc w:val="both"/>
        <w:rPr>
          <w:rStyle w:val="Ninguno"/>
          <w:rFonts w:ascii="Arial" w:eastAsia="Arial" w:hAnsi="Arial" w:cs="Arial"/>
          <w:b/>
          <w:bCs/>
        </w:rPr>
      </w:pPr>
    </w:p>
    <w:p w14:paraId="0C529A8D" w14:textId="77777777" w:rsidR="00D35E43" w:rsidRPr="00B754D8" w:rsidRDefault="00CD7861">
      <w:pPr>
        <w:pStyle w:val="CuerpoB"/>
        <w:spacing w:after="160" w:line="259" w:lineRule="auto"/>
        <w:jc w:val="both"/>
        <w:rPr>
          <w:rStyle w:val="Ninguno"/>
          <w:rFonts w:ascii="Arial" w:eastAsia="Arial" w:hAnsi="Arial" w:cs="Arial"/>
          <w:b/>
          <w:bCs/>
        </w:rPr>
      </w:pPr>
      <w:r w:rsidRPr="00B754D8">
        <w:rPr>
          <w:rStyle w:val="Ninguno"/>
          <w:rFonts w:ascii="Arial" w:hAnsi="Arial"/>
          <w:b/>
          <w:bCs/>
        </w:rPr>
        <w:t>Retos para el Estado Mexicano</w:t>
      </w:r>
    </w:p>
    <w:p w14:paraId="57FFCB58" w14:textId="77777777" w:rsidR="00D35E43" w:rsidRPr="00B754D8" w:rsidRDefault="00CD7861">
      <w:pPr>
        <w:pStyle w:val="CuerpoA"/>
        <w:numPr>
          <w:ilvl w:val="0"/>
          <w:numId w:val="152"/>
        </w:numPr>
        <w:jc w:val="both"/>
        <w:rPr>
          <w:rFonts w:ascii="Arial" w:hAnsi="Arial"/>
          <w:sz w:val="24"/>
          <w:szCs w:val="24"/>
        </w:rPr>
      </w:pPr>
      <w:r w:rsidRPr="00B754D8">
        <w:rPr>
          <w:rStyle w:val="Ninguno"/>
          <w:rFonts w:ascii="Arial" w:hAnsi="Arial"/>
          <w:sz w:val="24"/>
          <w:szCs w:val="24"/>
        </w:rPr>
        <w:t xml:space="preserve">La actual política migratoria basada en una visión de seguridad nacional y que criminaliza a las personas en contexto de movilidad humana y que atenta contra la dignidad humana y contra los derechos humanos de las personas </w:t>
      </w:r>
      <w:r w:rsidRPr="00B754D8">
        <w:rPr>
          <w:rStyle w:val="Ninguno"/>
          <w:rFonts w:ascii="Arial" w:hAnsi="Arial"/>
          <w:sz w:val="24"/>
          <w:szCs w:val="24"/>
        </w:rPr>
        <w:lastRenderedPageBreak/>
        <w:t>en contexto de migración por lo que es necesario se actué con una política migratoria basada en la seguridad humana fortaleciendo métodos alternativos a la detención migratoria específicamente con niñas, niños y adolescentes y con otros grupos en situación de vulnerabilidad.</w:t>
      </w:r>
    </w:p>
    <w:p w14:paraId="0B28CAAF" w14:textId="77777777" w:rsidR="00D35E43" w:rsidRPr="00B754D8" w:rsidRDefault="00CD7861">
      <w:pPr>
        <w:pStyle w:val="CuerpoA"/>
        <w:numPr>
          <w:ilvl w:val="0"/>
          <w:numId w:val="152"/>
        </w:numPr>
        <w:jc w:val="both"/>
        <w:rPr>
          <w:rFonts w:ascii="Arial" w:hAnsi="Arial"/>
          <w:sz w:val="24"/>
          <w:szCs w:val="24"/>
        </w:rPr>
      </w:pPr>
      <w:r w:rsidRPr="00B754D8">
        <w:rPr>
          <w:rStyle w:val="Ninguno"/>
          <w:rFonts w:ascii="Arial" w:hAnsi="Arial"/>
          <w:sz w:val="24"/>
          <w:szCs w:val="24"/>
        </w:rPr>
        <w:t>La falta de presupuesto para programas y personal debidamente capacitado dentro de las procuradurías de protección a la infancia a nivel estatal y federal, por lo que es necesario que estas instituciones sean fortalecidas por parte del Estado mexicano y en particular de la Secretaria de Hacienda y Crédito Público con presupuesto etiquetado para estos programas de atención a la infancia migrante.</w:t>
      </w:r>
    </w:p>
    <w:p w14:paraId="36F45BA4" w14:textId="77777777" w:rsidR="00D35E43" w:rsidRPr="00B754D8" w:rsidRDefault="00CD7861">
      <w:pPr>
        <w:pStyle w:val="CuerpoA"/>
        <w:numPr>
          <w:ilvl w:val="0"/>
          <w:numId w:val="152"/>
        </w:numPr>
        <w:jc w:val="both"/>
        <w:rPr>
          <w:rFonts w:ascii="Arial" w:hAnsi="Arial"/>
          <w:sz w:val="24"/>
          <w:szCs w:val="24"/>
        </w:rPr>
      </w:pPr>
      <w:r w:rsidRPr="00B754D8">
        <w:rPr>
          <w:rStyle w:val="Ninguno"/>
          <w:rFonts w:ascii="Arial" w:hAnsi="Arial"/>
          <w:sz w:val="24"/>
          <w:szCs w:val="24"/>
        </w:rPr>
        <w:t>El crecimiento de la xenofobia y el racismo en la población mexicana hacia las personas migrantes en situación irregular en tránsito o de destino en México, por lo que el Estado mexicano debe de generar campañas de promoción de la dignidad humana de las personas migrantes y prevención de las acciones, conductas y discursos xenófobos y racistas.</w:t>
      </w:r>
    </w:p>
    <w:p w14:paraId="576C61AB" w14:textId="77777777" w:rsidR="00D35E43" w:rsidRPr="00DE0F21" w:rsidRDefault="00CD7861">
      <w:pPr>
        <w:pStyle w:val="CuerpoA"/>
        <w:numPr>
          <w:ilvl w:val="0"/>
          <w:numId w:val="152"/>
        </w:numPr>
        <w:jc w:val="both"/>
        <w:rPr>
          <w:rStyle w:val="Ninguno"/>
        </w:rPr>
      </w:pPr>
      <w:r w:rsidRPr="00DE0F21">
        <w:rPr>
          <w:rStyle w:val="Ninguno"/>
          <w:rFonts w:ascii="Arial" w:hAnsi="Arial"/>
          <w:sz w:val="24"/>
          <w:szCs w:val="24"/>
        </w:rPr>
        <w:t>Fortalecimiento de las estructuras de atención a solicitantes de refugio que hoy en día están rebasadas por el incremento inusual en el último año.</w:t>
      </w:r>
    </w:p>
    <w:p w14:paraId="73EBB4B6" w14:textId="77777777" w:rsidR="00D35E43" w:rsidRPr="00B754D8" w:rsidRDefault="00D35E43">
      <w:pPr>
        <w:pStyle w:val="CuerpoA"/>
        <w:ind w:left="720"/>
        <w:jc w:val="both"/>
        <w:rPr>
          <w:rStyle w:val="Ninguno"/>
          <w:rFonts w:ascii="Arial" w:eastAsia="Arial" w:hAnsi="Arial" w:cs="Arial"/>
          <w:sz w:val="24"/>
          <w:szCs w:val="24"/>
        </w:rPr>
      </w:pPr>
    </w:p>
    <w:p w14:paraId="348090EB" w14:textId="77777777" w:rsidR="00D35E43" w:rsidRPr="00B754D8" w:rsidRDefault="00CD7861">
      <w:pPr>
        <w:pStyle w:val="CuerpoA"/>
        <w:numPr>
          <w:ilvl w:val="0"/>
          <w:numId w:val="153"/>
        </w:numPr>
        <w:jc w:val="both"/>
        <w:rPr>
          <w:rFonts w:ascii="Arial" w:hAnsi="Arial"/>
          <w:b/>
          <w:bCs/>
          <w:sz w:val="24"/>
          <w:szCs w:val="24"/>
        </w:rPr>
      </w:pPr>
      <w:r w:rsidRPr="00B754D8">
        <w:rPr>
          <w:rStyle w:val="Ninguno"/>
          <w:rFonts w:ascii="Arial" w:hAnsi="Arial"/>
          <w:b/>
          <w:bCs/>
          <w:sz w:val="24"/>
          <w:szCs w:val="24"/>
        </w:rPr>
        <w:t>Trato otorgado a las personas privadas de libertad y derecho a un juicio imparcial (artículos 2, 9, 10 y 14)</w:t>
      </w:r>
    </w:p>
    <w:p w14:paraId="4344694D" w14:textId="77777777" w:rsidR="00D35E43" w:rsidRPr="00B754D8" w:rsidRDefault="00CD7861">
      <w:pPr>
        <w:pStyle w:val="CuerpoA"/>
        <w:numPr>
          <w:ilvl w:val="0"/>
          <w:numId w:val="155"/>
        </w:numPr>
        <w:jc w:val="both"/>
        <w:rPr>
          <w:rFonts w:ascii="Arial" w:hAnsi="Arial"/>
          <w:b/>
          <w:bCs/>
          <w:sz w:val="24"/>
          <w:szCs w:val="24"/>
        </w:rPr>
      </w:pPr>
      <w:r w:rsidRPr="00B754D8">
        <w:rPr>
          <w:rStyle w:val="Ninguno"/>
          <w:rFonts w:ascii="Arial" w:hAnsi="Arial"/>
          <w:b/>
          <w:bCs/>
          <w:sz w:val="24"/>
          <w:szCs w:val="24"/>
        </w:rPr>
        <w:t>Condiciones de internamiento.</w:t>
      </w:r>
    </w:p>
    <w:p w14:paraId="32889853" w14:textId="77777777" w:rsidR="00D35E43" w:rsidRPr="00B754D8" w:rsidRDefault="00CD7861">
      <w:pPr>
        <w:pStyle w:val="CuerpoB"/>
        <w:spacing w:after="160" w:line="259" w:lineRule="auto"/>
        <w:jc w:val="both"/>
        <w:rPr>
          <w:rStyle w:val="Ninguno"/>
          <w:rFonts w:ascii="Arial" w:eastAsia="Arial" w:hAnsi="Arial" w:cs="Arial"/>
          <w:b/>
          <w:bCs/>
        </w:rPr>
      </w:pPr>
      <w:r w:rsidRPr="00B754D8">
        <w:rPr>
          <w:rStyle w:val="Ninguno"/>
          <w:rFonts w:ascii="Arial" w:hAnsi="Arial"/>
          <w:b/>
          <w:bCs/>
        </w:rPr>
        <w:t>Contexto</w:t>
      </w:r>
    </w:p>
    <w:p w14:paraId="3D486A77" w14:textId="77777777" w:rsidR="00D35E43" w:rsidRPr="00B754D8" w:rsidRDefault="00CD7861">
      <w:pPr>
        <w:pStyle w:val="CuerpoB"/>
        <w:spacing w:after="160" w:line="259" w:lineRule="auto"/>
        <w:jc w:val="both"/>
        <w:rPr>
          <w:rStyle w:val="Ninguno"/>
          <w:rFonts w:ascii="Arial" w:eastAsia="Arial" w:hAnsi="Arial" w:cs="Arial"/>
        </w:rPr>
      </w:pPr>
      <w:r w:rsidRPr="00B754D8">
        <w:rPr>
          <w:rStyle w:val="Ninguno"/>
          <w:rFonts w:ascii="Arial" w:hAnsi="Arial"/>
        </w:rPr>
        <w:t xml:space="preserve">Actualmente el Sistema Penitenciario Nacional se encuentra conformado por 300 centros, 19 dependientes de la federación, 279 de los Estados y 2 que dependen de municipios, que en total cuentan con 214,992 espacios y una población de 201,343 internos, lo que implica la inexistencia de sobrepoblación a nivel nacional al existir un excedente de espacios del 7%. </w:t>
      </w:r>
      <w:r w:rsidRPr="00DE0F21">
        <w:rPr>
          <w:rStyle w:val="Ninguno"/>
          <w:rFonts w:ascii="Arial" w:hAnsi="Arial"/>
        </w:rPr>
        <w:t>Sin embargo, de acuerdo al Diagnóstico Nacional de Supervisión Penitenciaria 2018, elaborado por la CNDH, en 34% de los centros penitenciarios estatales persiste la sobrepoblación y en 32% hacinamiento, con áreas que rebasan de manera importante su capacidad</w:t>
      </w:r>
      <w:r w:rsidRPr="00DE0F21">
        <w:rPr>
          <w:rStyle w:val="Ninguno"/>
          <w:rFonts w:ascii="Arial" w:hAnsi="Arial"/>
          <w:vertAlign w:val="superscript"/>
        </w:rPr>
        <w:footnoteReference w:id="32"/>
      </w:r>
      <w:r w:rsidRPr="00DE0F21">
        <w:rPr>
          <w:rStyle w:val="Ninguno"/>
          <w:rFonts w:ascii="Arial" w:hAnsi="Arial"/>
        </w:rPr>
        <w:t>.</w:t>
      </w:r>
      <w:r w:rsidRPr="00B754D8">
        <w:rPr>
          <w:rStyle w:val="Ninguno"/>
          <w:rFonts w:ascii="Arial" w:hAnsi="Arial"/>
        </w:rPr>
        <w:t xml:space="preserve"> </w:t>
      </w:r>
    </w:p>
    <w:p w14:paraId="1E29278E" w14:textId="77777777" w:rsidR="00D35E43" w:rsidRPr="00B754D8" w:rsidRDefault="00CD7861">
      <w:pPr>
        <w:pStyle w:val="CuerpoB"/>
        <w:spacing w:after="160" w:line="259" w:lineRule="auto"/>
        <w:jc w:val="both"/>
        <w:rPr>
          <w:rStyle w:val="Hyperlink4"/>
        </w:rPr>
      </w:pPr>
      <w:r w:rsidRPr="00B754D8">
        <w:rPr>
          <w:rStyle w:val="Ninguno"/>
          <w:rFonts w:ascii="Arial" w:hAnsi="Arial"/>
        </w:rPr>
        <w:t>La población penitenciaria para esta fecha se encuentra constituida por 190,914 hombres y 10,429 mujeres; por lo que hace a su situación jurídica 77,158 son procesados y 124,185 sentenciados, al mismo tiempo que 170,925 internos son del fuero común y 30,418 del fuero federal.  de acuerdo con al</w:t>
      </w:r>
      <w:r w:rsidRPr="00B754D8">
        <w:rPr>
          <w:rStyle w:val="Ninguno"/>
          <w:rFonts w:ascii="Arial" w:hAnsi="Arial"/>
          <w:i/>
          <w:iCs/>
        </w:rPr>
        <w:t> </w:t>
      </w:r>
      <w:hyperlink r:id="rId11" w:history="1">
        <w:r w:rsidRPr="00B754D8">
          <w:rPr>
            <w:rStyle w:val="Hyperlink4"/>
          </w:rPr>
          <w:t xml:space="preserve">Cuaderno Mensual de Información Estadística Penitenciaria Nacional, emitido por el Órgano Administrativo </w:t>
        </w:r>
        <w:r w:rsidRPr="00B754D8">
          <w:rPr>
            <w:rStyle w:val="Hyperlink4"/>
          </w:rPr>
          <w:lastRenderedPageBreak/>
          <w:t xml:space="preserve">Desconcentrado Prevención y Readaptación Social (OADPRS), de la Secretaría de Gobernación. </w:t>
        </w:r>
      </w:hyperlink>
    </w:p>
    <w:p w14:paraId="2BDF41A3" w14:textId="77777777" w:rsidR="00D35E43" w:rsidRPr="00B754D8" w:rsidRDefault="00CD7861">
      <w:pPr>
        <w:pStyle w:val="CuerpoB"/>
        <w:spacing w:after="160" w:line="259" w:lineRule="auto"/>
        <w:jc w:val="both"/>
        <w:rPr>
          <w:rStyle w:val="Hyperlink4"/>
        </w:rPr>
      </w:pPr>
      <w:r w:rsidRPr="00B754D8">
        <w:rPr>
          <w:rStyle w:val="Hyperlink4"/>
        </w:rPr>
        <w:t>Se ha presentado una evolución significativa respecto de la visualización de la situación de las mujeres privadas de la libertad, tal es el caso que en los dos últimos años se abrieron cuatro penales estatales específicos para mujeres, lo que implica que actualmente el 50% de las Entidades Federativas ya cuanta con al menos un centro femenil.</w:t>
      </w:r>
    </w:p>
    <w:p w14:paraId="2EE5D5E5" w14:textId="77777777" w:rsidR="00D35E43" w:rsidRPr="00B754D8" w:rsidRDefault="00CD7861">
      <w:pPr>
        <w:pStyle w:val="CuerpoB"/>
        <w:spacing w:after="160" w:line="259" w:lineRule="auto"/>
        <w:jc w:val="both"/>
        <w:rPr>
          <w:rStyle w:val="Hyperlink4"/>
        </w:rPr>
      </w:pPr>
      <w:r w:rsidRPr="00B754D8">
        <w:rPr>
          <w:rStyle w:val="Hyperlink4"/>
        </w:rPr>
        <w:t>El sistema penitenciario en su conjunto presenta pendientes y retos que el Estado tiene que atender en materia de derechos humanos, a efecto de que las condiciones, funcionamiento y trato que reciben las personas que se encuentran privadas de la libertad sea acorde con la observancia de sus derechos humanos.</w:t>
      </w:r>
    </w:p>
    <w:p w14:paraId="424B7733" w14:textId="77777777" w:rsidR="00D35E43" w:rsidRPr="00B754D8" w:rsidRDefault="00CD7861">
      <w:pPr>
        <w:pStyle w:val="CuerpoB"/>
        <w:spacing w:after="160" w:line="259" w:lineRule="auto"/>
        <w:jc w:val="both"/>
        <w:rPr>
          <w:rStyle w:val="Hyperlink4"/>
        </w:rPr>
      </w:pPr>
      <w:r w:rsidRPr="00B754D8">
        <w:rPr>
          <w:rStyle w:val="Hyperlink4"/>
        </w:rPr>
        <w:t>Está integrado por una amplia variedad de establecimientos penitenciarios, lo que redunda en diversas problemáticas que se suscitan día con día al interior de los centros de reclusión, entre éstas destacan la separación entre procesados y sentenciados, insuficiencia de personal de seguridad y custodia capacitado que favorezca la reinserción social efectiva, condiciones de autogobierno/cogobierno, insuficiencia de programas para la prevención y atención de incidentes violentos; ausencia de perspectiva de género en las políticas y acciones dirigidas a la población femenil privada de la libertad; imposición excesiva de la pena de prisión; deficiente clasificación y existencia de hacinamiento.</w:t>
      </w:r>
    </w:p>
    <w:p w14:paraId="6428C487" w14:textId="77777777" w:rsidR="00D35E43" w:rsidRPr="00B754D8" w:rsidRDefault="00CD7861">
      <w:pPr>
        <w:pStyle w:val="CuerpoB"/>
        <w:spacing w:after="160" w:line="259" w:lineRule="auto"/>
        <w:jc w:val="both"/>
        <w:rPr>
          <w:rStyle w:val="Hyperlink4"/>
        </w:rPr>
      </w:pPr>
      <w:r w:rsidRPr="00B754D8">
        <w:rPr>
          <w:rStyle w:val="Hyperlink4"/>
        </w:rPr>
        <w:t>Es evidente que las problemáticas descrita persisten a nivel general en el sistema penitenciario y que la atención específica que realizan las autoridades a los aspectos que se han señalado por los organismos de derechos humanos implica un avance parcial e insuficiente, pero la tendencia en muchos de los casos es positiva lo que denota continuar insistiendo en la aplicación de estándares nacionales e internacionales como lo es el caso de la Reglas Nelson Mandela.</w:t>
      </w:r>
    </w:p>
    <w:p w14:paraId="0B08698E" w14:textId="77777777" w:rsidR="00D35E43" w:rsidRPr="00B754D8" w:rsidRDefault="00CD7861">
      <w:pPr>
        <w:pStyle w:val="CuerpoB"/>
        <w:spacing w:after="160" w:line="259" w:lineRule="auto"/>
        <w:jc w:val="both"/>
        <w:rPr>
          <w:rStyle w:val="Ninguno"/>
          <w:rFonts w:ascii="Arial" w:eastAsia="Arial" w:hAnsi="Arial" w:cs="Arial"/>
          <w:b/>
          <w:bCs/>
        </w:rPr>
      </w:pPr>
      <w:r w:rsidRPr="00B754D8">
        <w:rPr>
          <w:rStyle w:val="Ninguno"/>
          <w:rFonts w:ascii="Arial" w:hAnsi="Arial"/>
          <w:b/>
          <w:bCs/>
        </w:rPr>
        <w:t>Acciones de la CNDH</w:t>
      </w:r>
    </w:p>
    <w:p w14:paraId="5CC61F63" w14:textId="77777777" w:rsidR="00D35E43" w:rsidRPr="00B754D8" w:rsidRDefault="00CD7861">
      <w:pPr>
        <w:pStyle w:val="CuerpoB"/>
        <w:spacing w:after="160" w:line="259" w:lineRule="auto"/>
        <w:jc w:val="both"/>
        <w:rPr>
          <w:rStyle w:val="Ninguno"/>
        </w:rPr>
      </w:pPr>
      <w:r w:rsidRPr="00B754D8">
        <w:rPr>
          <w:rStyle w:val="Hyperlink4"/>
        </w:rPr>
        <w:t xml:space="preserve">Se emitió la </w:t>
      </w:r>
      <w:r w:rsidRPr="00B754D8">
        <w:rPr>
          <w:rStyle w:val="Ninguno"/>
          <w:rFonts w:ascii="Arial" w:hAnsi="Arial"/>
          <w:b/>
          <w:bCs/>
        </w:rPr>
        <w:t>Recomendación General No. 28 sobre la Reclusión Irregular en las Cárceles Municipales y Distritales de la República Mexicana</w:t>
      </w:r>
      <w:r w:rsidRPr="00B754D8">
        <w:rPr>
          <w:rStyle w:val="Hyperlink4"/>
        </w:rPr>
        <w:t>. En el momento de su publicación el número de estos centros era de 91; al mes de marzo de 2019, quedan en este contexto funcionando únicamente 9. Para corregir esta mala práctica además se elaboraron dos recomendaciones particulares y actualmente se continúan llevando a cabo las acciones para eliminar esta situación irregular.</w:t>
      </w:r>
      <w:r w:rsidRPr="00B754D8">
        <w:rPr>
          <w:rStyle w:val="Ninguno"/>
        </w:rPr>
        <w:t xml:space="preserve"> </w:t>
      </w:r>
    </w:p>
    <w:p w14:paraId="37AEF8A6" w14:textId="77777777" w:rsidR="00D35E43" w:rsidRPr="00B754D8" w:rsidRDefault="00CD7861">
      <w:pPr>
        <w:pStyle w:val="CuerpoB"/>
        <w:spacing w:after="160" w:line="259" w:lineRule="auto"/>
        <w:jc w:val="both"/>
        <w:rPr>
          <w:rStyle w:val="Hyperlink4"/>
        </w:rPr>
      </w:pPr>
      <w:r w:rsidRPr="00B754D8">
        <w:rPr>
          <w:rStyle w:val="Hyperlink4"/>
        </w:rPr>
        <w:t xml:space="preserve">Asimismo, esta Comisión Nacional ha emitido otras recomendaciones generales en el tema de las condiciones de internamiento en los centros penitenciarios: </w:t>
      </w:r>
    </w:p>
    <w:p w14:paraId="4E85D06B" w14:textId="77777777" w:rsidR="00D35E43" w:rsidRPr="00B754D8" w:rsidRDefault="00CD7861">
      <w:pPr>
        <w:pStyle w:val="Prrafodelista"/>
        <w:numPr>
          <w:ilvl w:val="0"/>
          <w:numId w:val="157"/>
        </w:numPr>
        <w:jc w:val="both"/>
        <w:rPr>
          <w:rFonts w:ascii="Arial" w:hAnsi="Arial"/>
          <w:sz w:val="24"/>
          <w:szCs w:val="24"/>
        </w:rPr>
      </w:pPr>
      <w:r w:rsidRPr="00B754D8">
        <w:rPr>
          <w:rStyle w:val="Ninguno"/>
          <w:rFonts w:ascii="Arial" w:hAnsi="Arial"/>
          <w:sz w:val="24"/>
          <w:szCs w:val="24"/>
        </w:rPr>
        <w:t>22/2015. Sobre las prácticas de aislamiento en los centros penitenciarios;</w:t>
      </w:r>
    </w:p>
    <w:p w14:paraId="7E998A16" w14:textId="77777777" w:rsidR="00D35E43" w:rsidRPr="00B754D8" w:rsidRDefault="00CD7861">
      <w:pPr>
        <w:pStyle w:val="Prrafodelista"/>
        <w:numPr>
          <w:ilvl w:val="0"/>
          <w:numId w:val="157"/>
        </w:numPr>
        <w:jc w:val="both"/>
        <w:rPr>
          <w:rFonts w:ascii="Arial" w:hAnsi="Arial"/>
          <w:sz w:val="24"/>
          <w:szCs w:val="24"/>
        </w:rPr>
      </w:pPr>
      <w:r w:rsidRPr="00B754D8">
        <w:rPr>
          <w:rStyle w:val="Ninguno"/>
          <w:rFonts w:ascii="Arial" w:hAnsi="Arial"/>
          <w:sz w:val="24"/>
          <w:szCs w:val="24"/>
        </w:rPr>
        <w:t>28/2016. Sobre la reclusión irregular en las Cárceles Municipales y Distritales;</w:t>
      </w:r>
    </w:p>
    <w:p w14:paraId="63535970" w14:textId="77777777" w:rsidR="00D35E43" w:rsidRPr="00B754D8" w:rsidRDefault="00CD7861">
      <w:pPr>
        <w:pStyle w:val="Prrafodelista"/>
        <w:numPr>
          <w:ilvl w:val="0"/>
          <w:numId w:val="157"/>
        </w:numPr>
        <w:jc w:val="both"/>
        <w:rPr>
          <w:rFonts w:ascii="Arial" w:hAnsi="Arial"/>
          <w:sz w:val="24"/>
          <w:szCs w:val="24"/>
        </w:rPr>
      </w:pPr>
      <w:r w:rsidRPr="00B754D8">
        <w:rPr>
          <w:rStyle w:val="Ninguno"/>
          <w:rFonts w:ascii="Arial" w:hAnsi="Arial"/>
          <w:sz w:val="24"/>
          <w:szCs w:val="24"/>
        </w:rPr>
        <w:lastRenderedPageBreak/>
        <w:t>30/2017. Sobre condiciones de autogobierno y/o cogobierno en los centros penitenciarios;</w:t>
      </w:r>
    </w:p>
    <w:p w14:paraId="0F9B09D0" w14:textId="77777777" w:rsidR="00D35E43" w:rsidRPr="00B754D8" w:rsidRDefault="00CD7861">
      <w:pPr>
        <w:pStyle w:val="Prrafodelista"/>
        <w:numPr>
          <w:ilvl w:val="0"/>
          <w:numId w:val="157"/>
        </w:numPr>
        <w:jc w:val="both"/>
        <w:rPr>
          <w:rFonts w:ascii="Arial" w:hAnsi="Arial"/>
          <w:sz w:val="24"/>
          <w:szCs w:val="24"/>
        </w:rPr>
      </w:pPr>
      <w:r w:rsidRPr="00B754D8">
        <w:rPr>
          <w:rStyle w:val="Ninguno"/>
          <w:rFonts w:ascii="Arial" w:hAnsi="Arial"/>
          <w:sz w:val="24"/>
          <w:szCs w:val="24"/>
        </w:rPr>
        <w:t>33/2018. Sobre el derecho a mantener la vinculación con el exterior de las personas privadas de la libertad en los centros penitenciarios</w:t>
      </w:r>
    </w:p>
    <w:p w14:paraId="49D42829" w14:textId="77777777" w:rsidR="00D35E43" w:rsidRPr="00B754D8" w:rsidRDefault="00CD7861">
      <w:pPr>
        <w:pStyle w:val="CuerpoB"/>
        <w:spacing w:after="160" w:line="259" w:lineRule="auto"/>
        <w:jc w:val="both"/>
        <w:rPr>
          <w:rStyle w:val="Hyperlink4"/>
        </w:rPr>
      </w:pPr>
      <w:r w:rsidRPr="00B754D8">
        <w:rPr>
          <w:rStyle w:val="Hyperlink4"/>
        </w:rPr>
        <w:t>En seguimiento al convenio firmado con la Comisión Nacional de Seguridad y con Prevención y Readaptación Social, ambas de la Secretaría de Gobernación en su momento, se incorporaron en todos los Centros Federales, Visitadores Adjuntos de presencia permanente, lo que ha permitido una mejora importante en el Sistema Penitenciario, reduciéndose el número de quejas con un programa de  Petición de Atención Inmediata hacia las personas privadas de la libertad, fortaleciéndose su actuar con la relación directa con las Comisiones Estatales de Derechos Humanos, los Titulares del Sistema Penitenciario, los Delegados de la Comisión Ejecutiva de Atención a Víctimas y los Directores de las Casas de la Cultura Jurídica de la Suprema Corte de Justicia de la Nación. En el año 2018 se logró esta presencia en la totalidad de los centros federales. contando con rezago cero</w:t>
      </w:r>
    </w:p>
    <w:p w14:paraId="6B157E30" w14:textId="77777777" w:rsidR="00D35E43" w:rsidRPr="00B754D8" w:rsidRDefault="00CD7861">
      <w:pPr>
        <w:pStyle w:val="CuerpoB"/>
        <w:spacing w:after="160" w:line="259" w:lineRule="auto"/>
        <w:jc w:val="both"/>
        <w:rPr>
          <w:rStyle w:val="Hyperlink4"/>
        </w:rPr>
      </w:pPr>
      <w:r w:rsidRPr="00B754D8">
        <w:rPr>
          <w:rStyle w:val="Hyperlink4"/>
        </w:rPr>
        <w:t>Se ha realizado el Diagnóstico Nacional de Supervisión Penitenciaria, visibilizando con una semaforización los aspectos positivos y negativos de cada prisión, presentándose por primera vez a los centros femeniles, situación que nunca se había realizado y que ha permitido la posibilidad de visibilizar estas instituciones puntualmente. La CNDH ha insistido en la necesidad de que existan centros penitenciarios femeniles, cuando menos uno en cada entidad federativa, habiéndose logrado que en el año 2018 se abrieran dos penales para mujeres en los estados de México y Nuevo León.</w:t>
      </w:r>
    </w:p>
    <w:p w14:paraId="3296FAB7" w14:textId="77777777" w:rsidR="00D35E43" w:rsidRPr="00B754D8" w:rsidRDefault="00CD7861">
      <w:pPr>
        <w:pStyle w:val="CuerpoB"/>
        <w:spacing w:after="160" w:line="259" w:lineRule="auto"/>
        <w:jc w:val="both"/>
        <w:rPr>
          <w:rStyle w:val="Hyperlink4"/>
        </w:rPr>
      </w:pPr>
      <w:r w:rsidRPr="00B754D8">
        <w:rPr>
          <w:rStyle w:val="Hyperlink4"/>
        </w:rPr>
        <w:t>Se elaboró el Estándar sobre la Aplicación de la Reglas Mínimas de Naciones Unidas para el Tratamiento de los Reclusos “Reglas Nelson Mandela” en el Sistema Penitenciario, mismo que fue aprobado y publicado en el Diario Oficial de la Federación, por la Secretaría de Educación Pública, conforme al marco normativo del Consejo Nacional de Normalización y Certificación de Competencias Laborales. A la fecha se cuenta ya con personal certificado en este Estándar y está en marcha el programa de certificación para llevarse a cabo en toda la República Mexicana.</w:t>
      </w:r>
    </w:p>
    <w:p w14:paraId="651CFAF2" w14:textId="77777777" w:rsidR="00D35E43" w:rsidRPr="00B754D8" w:rsidRDefault="00CD7861">
      <w:pPr>
        <w:pStyle w:val="CuerpoB"/>
        <w:spacing w:after="160" w:line="259" w:lineRule="auto"/>
        <w:jc w:val="both"/>
        <w:rPr>
          <w:rStyle w:val="Hyperlink4"/>
        </w:rPr>
      </w:pPr>
      <w:r w:rsidRPr="00B754D8">
        <w:rPr>
          <w:rStyle w:val="Hyperlink4"/>
        </w:rPr>
        <w:t>Lo anterior, en seguimiento a diversos Convenios firmados, tanto con el Instituto Nacional de Ciencias Penales, como con el Consejo Nacional de Instituciones de Enseñanza Criminológica y esta CNDH.</w:t>
      </w:r>
    </w:p>
    <w:p w14:paraId="23D40629" w14:textId="77777777" w:rsidR="00D35E43" w:rsidRPr="00B754D8" w:rsidRDefault="00CD7861">
      <w:pPr>
        <w:pStyle w:val="CuerpoB"/>
        <w:spacing w:after="160" w:line="259" w:lineRule="auto"/>
        <w:jc w:val="both"/>
        <w:rPr>
          <w:rStyle w:val="Ninguno"/>
          <w:rFonts w:ascii="Arial" w:eastAsia="Arial" w:hAnsi="Arial" w:cs="Arial"/>
          <w:b/>
          <w:bCs/>
        </w:rPr>
      </w:pPr>
      <w:r w:rsidRPr="00B754D8">
        <w:rPr>
          <w:rStyle w:val="Ninguno"/>
          <w:rFonts w:ascii="Arial" w:hAnsi="Arial"/>
          <w:b/>
          <w:bCs/>
        </w:rPr>
        <w:t>Retos para el Estado Mexicano</w:t>
      </w:r>
    </w:p>
    <w:p w14:paraId="17FD0A1F" w14:textId="77777777" w:rsidR="00D35E43" w:rsidRPr="00B754D8" w:rsidRDefault="00CD7861">
      <w:pPr>
        <w:pStyle w:val="Prrafodelista"/>
        <w:numPr>
          <w:ilvl w:val="0"/>
          <w:numId w:val="159"/>
        </w:numPr>
        <w:jc w:val="both"/>
        <w:rPr>
          <w:rFonts w:ascii="Arial" w:hAnsi="Arial"/>
          <w:sz w:val="24"/>
          <w:szCs w:val="24"/>
        </w:rPr>
      </w:pPr>
      <w:r w:rsidRPr="00B754D8">
        <w:rPr>
          <w:rStyle w:val="Ninguno"/>
          <w:rFonts w:ascii="Arial" w:hAnsi="Arial"/>
          <w:sz w:val="24"/>
          <w:szCs w:val="24"/>
        </w:rPr>
        <w:t xml:space="preserve">El sistema penitenciario requiere de contar con mayor número de personal de seguridad y custodia, así como técnico que permita cumplir con el fin de la pena que es la reinserción social, siendo éste competente y que se encuentre certificado de conformidad con la normatividad nacional y los estándares internacionales; </w:t>
      </w:r>
    </w:p>
    <w:p w14:paraId="6179F5B7" w14:textId="77777777" w:rsidR="00D35E43" w:rsidRPr="00B754D8" w:rsidRDefault="00CD7861">
      <w:pPr>
        <w:pStyle w:val="Prrafodelista"/>
        <w:numPr>
          <w:ilvl w:val="0"/>
          <w:numId w:val="159"/>
        </w:numPr>
        <w:jc w:val="both"/>
        <w:rPr>
          <w:rFonts w:ascii="Arial" w:hAnsi="Arial"/>
          <w:sz w:val="24"/>
          <w:szCs w:val="24"/>
        </w:rPr>
      </w:pPr>
      <w:r w:rsidRPr="00B754D8">
        <w:rPr>
          <w:rStyle w:val="Ninguno"/>
          <w:rFonts w:ascii="Arial" w:hAnsi="Arial"/>
          <w:sz w:val="24"/>
          <w:szCs w:val="24"/>
        </w:rPr>
        <w:lastRenderedPageBreak/>
        <w:t>México cuenta con una ley nacional en la materia, que recientemente entró en vigor en su totalidad, la cual fue debe contar con la reglamentación específica, tanto en el ámbito local, como federal, situación que continúa siendo una asignatura pendiente, así como su cumplimiento y en su caso revisión;</w:t>
      </w:r>
    </w:p>
    <w:p w14:paraId="1ED45F00" w14:textId="77777777" w:rsidR="00D35E43" w:rsidRPr="00B754D8" w:rsidRDefault="00CD7861">
      <w:pPr>
        <w:pStyle w:val="Prrafodelista"/>
        <w:numPr>
          <w:ilvl w:val="0"/>
          <w:numId w:val="159"/>
        </w:numPr>
        <w:jc w:val="both"/>
        <w:rPr>
          <w:rFonts w:ascii="Arial" w:hAnsi="Arial"/>
          <w:sz w:val="24"/>
          <w:szCs w:val="24"/>
        </w:rPr>
      </w:pPr>
      <w:r w:rsidRPr="00B754D8">
        <w:rPr>
          <w:rStyle w:val="Ninguno"/>
          <w:rFonts w:ascii="Arial" w:hAnsi="Arial"/>
          <w:sz w:val="24"/>
          <w:szCs w:val="24"/>
        </w:rPr>
        <w:t xml:space="preserve">En el ámbito penitenciario debe fortalecerse la infraestructura actual, ya que existen entidades con centros penitenciarios inadecuados, adaptados, con funcionamiento irregular y en malas condiciones, a los cuales debe atenderse con el apoyo económico que permita contar con instituciones en donde se pueda brindar atención a la salud, educación, deporte, trabajo y capacitación para el mismo, siendo estos los ejes de la reinserción social. </w:t>
      </w:r>
    </w:p>
    <w:p w14:paraId="544D3D98" w14:textId="77777777" w:rsidR="00D35E43" w:rsidRPr="00B754D8" w:rsidRDefault="00D35E43">
      <w:pPr>
        <w:pStyle w:val="CuerpoA"/>
        <w:jc w:val="both"/>
        <w:rPr>
          <w:rStyle w:val="Ninguno"/>
          <w:rFonts w:ascii="Arial" w:eastAsia="Arial" w:hAnsi="Arial" w:cs="Arial"/>
          <w:b/>
          <w:bCs/>
          <w:sz w:val="24"/>
          <w:szCs w:val="24"/>
        </w:rPr>
      </w:pPr>
    </w:p>
    <w:p w14:paraId="3240CBB5" w14:textId="77777777" w:rsidR="00D35E43" w:rsidRPr="00B754D8" w:rsidRDefault="00CD7861">
      <w:pPr>
        <w:pStyle w:val="CuerpoA"/>
        <w:numPr>
          <w:ilvl w:val="0"/>
          <w:numId w:val="160"/>
        </w:numPr>
        <w:jc w:val="both"/>
        <w:rPr>
          <w:rFonts w:ascii="Arial" w:hAnsi="Arial"/>
          <w:b/>
          <w:bCs/>
          <w:sz w:val="24"/>
          <w:szCs w:val="24"/>
        </w:rPr>
      </w:pPr>
      <w:r w:rsidRPr="00B754D8">
        <w:rPr>
          <w:rStyle w:val="Ninguno"/>
          <w:rFonts w:ascii="Arial" w:hAnsi="Arial"/>
          <w:b/>
          <w:bCs/>
          <w:sz w:val="24"/>
          <w:szCs w:val="24"/>
        </w:rPr>
        <w:t>Eliminación de la esclavitud y la servidumbre (artículo 8)</w:t>
      </w:r>
    </w:p>
    <w:p w14:paraId="7AD3B046" w14:textId="77777777" w:rsidR="00D35E43" w:rsidRPr="00B754D8" w:rsidRDefault="00CD7861">
      <w:pPr>
        <w:pStyle w:val="CuerpoA"/>
        <w:numPr>
          <w:ilvl w:val="0"/>
          <w:numId w:val="162"/>
        </w:numPr>
        <w:jc w:val="both"/>
        <w:rPr>
          <w:rFonts w:ascii="Arial" w:hAnsi="Arial"/>
          <w:b/>
          <w:bCs/>
          <w:sz w:val="24"/>
          <w:szCs w:val="24"/>
        </w:rPr>
      </w:pPr>
      <w:r w:rsidRPr="00B754D8">
        <w:rPr>
          <w:rStyle w:val="Ninguno"/>
          <w:rFonts w:ascii="Arial" w:hAnsi="Arial"/>
          <w:b/>
          <w:bCs/>
          <w:sz w:val="24"/>
          <w:szCs w:val="24"/>
        </w:rPr>
        <w:t>Trata de Personas</w:t>
      </w:r>
    </w:p>
    <w:p w14:paraId="261E5F3F" w14:textId="77777777" w:rsidR="00D35E43" w:rsidRPr="00B754D8" w:rsidRDefault="00CD7861">
      <w:pPr>
        <w:pStyle w:val="CuerpoA"/>
        <w:jc w:val="both"/>
        <w:rPr>
          <w:rStyle w:val="Ninguno"/>
          <w:rFonts w:ascii="Arial" w:eastAsia="Arial" w:hAnsi="Arial" w:cs="Arial"/>
          <w:b/>
          <w:bCs/>
          <w:sz w:val="24"/>
          <w:szCs w:val="24"/>
        </w:rPr>
      </w:pPr>
      <w:r w:rsidRPr="00B754D8">
        <w:rPr>
          <w:rStyle w:val="Ninguno"/>
          <w:rFonts w:ascii="Arial" w:hAnsi="Arial"/>
          <w:b/>
          <w:bCs/>
          <w:sz w:val="24"/>
          <w:szCs w:val="24"/>
        </w:rPr>
        <w:t xml:space="preserve">Contexto </w:t>
      </w:r>
    </w:p>
    <w:p w14:paraId="7638CA6D" w14:textId="77777777" w:rsidR="00D35E43" w:rsidRPr="00B754D8" w:rsidRDefault="00CD7861">
      <w:pPr>
        <w:pStyle w:val="CuerpoB"/>
        <w:spacing w:after="160" w:line="259" w:lineRule="auto"/>
        <w:jc w:val="both"/>
        <w:rPr>
          <w:rStyle w:val="Hyperlink4"/>
        </w:rPr>
      </w:pPr>
      <w:r w:rsidRPr="00B754D8">
        <w:rPr>
          <w:rStyle w:val="Hyperlink4"/>
        </w:rPr>
        <w:t>México es un país de origen, tránsito y destino de hombres, mujeres y niños víctimas de la trata de personas con fines de explotación sexual, de trabajo forzado, concretamente hombres, mujeres y niños mexicanos son explotados en el trabajo forzoso en la agricultura, la servidumbre doméstica, los trabajos de cuidado, la manufactura, la minería, el procesamiento de alimentos, la construcción, el turismo, la mendicidad forzada y venta ambulante en México y en los Estados Unidos. Las personas jornaleras y sus hijos e hijas son particularmente vulnerables y son las víctimas principales del trabajo forzado e infantil en el sector de la agricultura en México, migrando de los estados más pobres a las regiones agrícolas para cosechar vegetales, café, azúcar y tabaco, recibiendo poca o ninguna paga, asistencia médica, o tiempo libre, y, en el caso de las niñas y niños, siendo negada su educación.</w:t>
      </w:r>
    </w:p>
    <w:p w14:paraId="7BBAAFEE" w14:textId="77777777" w:rsidR="00D35E43" w:rsidRPr="00B754D8" w:rsidRDefault="00CD7861">
      <w:pPr>
        <w:pStyle w:val="CuerpoB"/>
        <w:spacing w:after="160" w:line="259" w:lineRule="auto"/>
        <w:jc w:val="both"/>
        <w:rPr>
          <w:rStyle w:val="Hyperlink4"/>
        </w:rPr>
      </w:pPr>
      <w:r w:rsidRPr="00B754D8">
        <w:rPr>
          <w:rStyle w:val="Hyperlink4"/>
        </w:rPr>
        <w:t>De acuerdo a información de víctimas proporcionada a la CNDH por las procuraduría y fiscalías generales de justicia de los, y la entonces Procuraduría General de República</w:t>
      </w:r>
      <w:r w:rsidRPr="00B754D8">
        <w:rPr>
          <w:rStyle w:val="Ninguno"/>
          <w:rFonts w:ascii="Arial" w:hAnsi="Arial"/>
          <w:b/>
          <w:bCs/>
        </w:rPr>
        <w:t>, en el periodo comprendido entre el 15 de junio de 2012 y el 31 de julio de 2017 se identificaron 5,245 víctimas de los delitos en materia de trata de personas.</w:t>
      </w:r>
      <w:r w:rsidRPr="00B754D8">
        <w:rPr>
          <w:rStyle w:val="Ninguno"/>
          <w:rFonts w:ascii="Calibri" w:eastAsia="Calibri" w:hAnsi="Calibri" w:cs="Calibri"/>
          <w:b/>
          <w:bCs/>
          <w:sz w:val="22"/>
          <w:szCs w:val="22"/>
        </w:rPr>
        <w:t xml:space="preserve"> </w:t>
      </w:r>
      <w:r w:rsidRPr="00B754D8">
        <w:rPr>
          <w:rStyle w:val="Ninguno"/>
          <w:rFonts w:ascii="Arial" w:hAnsi="Arial"/>
          <w:b/>
          <w:bCs/>
        </w:rPr>
        <w:t>El 85% de las víctimas identificadas a nivel nacional son mujeres y niñas,</w:t>
      </w:r>
      <w:r w:rsidRPr="00B754D8">
        <w:rPr>
          <w:rStyle w:val="Hyperlink4"/>
        </w:rPr>
        <w:t xml:space="preserve"> mientras que el 15% restante, hombres y niños. La mayor concentración de víctimas son mujeres adultas, seguidas por niñas menores de 18 años de edad.</w:t>
      </w:r>
    </w:p>
    <w:p w14:paraId="43FC32E0" w14:textId="77777777" w:rsidR="00D35E43" w:rsidRPr="00B754D8" w:rsidRDefault="00CD7861">
      <w:pPr>
        <w:pStyle w:val="CuerpoB"/>
        <w:spacing w:after="160" w:line="259" w:lineRule="auto"/>
        <w:jc w:val="both"/>
        <w:rPr>
          <w:rStyle w:val="Hyperlink4"/>
        </w:rPr>
      </w:pPr>
      <w:r w:rsidRPr="00B754D8">
        <w:rPr>
          <w:rStyle w:val="Hyperlink4"/>
        </w:rPr>
        <w:t xml:space="preserve">México ratificó el Protocolo de las Naciones Unidas para Prevenir, Reprimir y Sancionar la Trata de Personas, especialmente Mujeres y Niños, en 2003, obligándose con la comunidad internacional a realizar las reformas legislativas </w:t>
      </w:r>
      <w:r w:rsidRPr="00B754D8">
        <w:rPr>
          <w:rStyle w:val="Hyperlink4"/>
        </w:rPr>
        <w:lastRenderedPageBreak/>
        <w:t>necesarias e implementar una política pública integral que, además de la prevención y la sanción, incluyera la atención a víctimas.</w:t>
      </w:r>
    </w:p>
    <w:p w14:paraId="3D388721" w14:textId="77777777" w:rsidR="00D35E43" w:rsidRPr="00B754D8" w:rsidRDefault="00CD7861">
      <w:pPr>
        <w:pStyle w:val="CuerpoB"/>
        <w:spacing w:after="160" w:line="259" w:lineRule="auto"/>
        <w:jc w:val="both"/>
        <w:rPr>
          <w:rStyle w:val="Hyperlink4"/>
        </w:rPr>
      </w:pPr>
      <w:r w:rsidRPr="00B754D8">
        <w:rPr>
          <w:rStyle w:val="Hyperlink4"/>
        </w:rPr>
        <w:t>Sin embargo, a más de 15 años de este suceso, los esfuerzos dirigidos a conformar una estructura lo suficientemente sólida que permita responder de manera efectiva a los retos que implica combatir este delito complejo y multicausal que se traduce en una serie de violaciones a los derechos humanos, no han sido suficientes.</w:t>
      </w:r>
    </w:p>
    <w:p w14:paraId="3CA4C8F7" w14:textId="77777777" w:rsidR="00D35E43" w:rsidRPr="00B754D8" w:rsidRDefault="00CD7861">
      <w:pPr>
        <w:pStyle w:val="CuerpoB"/>
        <w:spacing w:after="160" w:line="259" w:lineRule="auto"/>
        <w:jc w:val="both"/>
        <w:rPr>
          <w:rStyle w:val="Ninguno"/>
          <w:rFonts w:ascii="Arial" w:eastAsia="Arial" w:hAnsi="Arial" w:cs="Arial"/>
          <w:b/>
          <w:bCs/>
        </w:rPr>
      </w:pPr>
      <w:r w:rsidRPr="00B754D8">
        <w:rPr>
          <w:rStyle w:val="Ninguno"/>
          <w:rFonts w:ascii="Arial" w:hAnsi="Arial"/>
          <w:b/>
          <w:bCs/>
        </w:rPr>
        <w:t xml:space="preserve"> Acciones de la CNDH</w:t>
      </w:r>
    </w:p>
    <w:p w14:paraId="18BE8C9E" w14:textId="77777777" w:rsidR="00D35E43" w:rsidRPr="00B754D8" w:rsidRDefault="00CD7861">
      <w:pPr>
        <w:pStyle w:val="CuerpoB"/>
        <w:spacing w:after="160" w:line="259" w:lineRule="auto"/>
        <w:jc w:val="both"/>
        <w:rPr>
          <w:rStyle w:val="Hyperlink4"/>
        </w:rPr>
      </w:pPr>
      <w:r w:rsidRPr="00B754D8">
        <w:rPr>
          <w:rStyle w:val="Hyperlink4"/>
        </w:rPr>
        <w:t xml:space="preserve">Esta Comisión Nacional ha contextualizado en diversos expedientes la situación de las personas jornaleras agrícolas en el país, así como las condiciones de trabajo de las y los jornaleros, que, en muchas ocasiones, son contrarias a lo establecido en la legislación laboral e, incluso, pueden calificarse como posibles casos de trata de personas.  En ese contexto, este Organismo Nacional emitió las Recomendaciones 28/2016, 70/2016 y 15/2018, al advertir que las autoridades encargadas de prevenir violaciones en agravio de las y los jornaleros han fallado en el cumplimiento de su quehacer público. </w:t>
      </w:r>
    </w:p>
    <w:p w14:paraId="6125378D" w14:textId="77777777" w:rsidR="00D35E43" w:rsidRPr="00B754D8" w:rsidRDefault="00CD7861">
      <w:pPr>
        <w:pStyle w:val="CuerpoB"/>
        <w:spacing w:after="160" w:line="259" w:lineRule="auto"/>
        <w:jc w:val="both"/>
        <w:rPr>
          <w:rStyle w:val="Hyperlink4"/>
        </w:rPr>
      </w:pPr>
      <w:r w:rsidRPr="00B754D8">
        <w:rPr>
          <w:rStyle w:val="Hyperlink4"/>
        </w:rPr>
        <w:t>Se emitió la Recomendación 83/2018 sobre el caso de violaciones a los derechos humanos de acceso a la justicia en su modalidad de procuración de justicia y al interés superior de la niñez en agravio de una persona menor de 18 años de edad desaparecida en Tlaxcala, la cual fue dirigida al Gobernador Constitucional del Estado de Tlaxcala en donde se evidenció en el documento de Recomendación señalado, que la autoridad procuradora de justicia de la referida entidad indebida y tardíamente emitieron una “Pre-Alerta Amber”, tres días después de la denuncia de los padres, asimismo se acreditó que esa Procuraduría dio aviso a la Coordinación de Alerta AMBER México para la activación de dicho mecanismo a nivel nacional.</w:t>
      </w:r>
    </w:p>
    <w:p w14:paraId="6BD1183A" w14:textId="77777777" w:rsidR="00D35E43" w:rsidRPr="00B754D8" w:rsidRDefault="00CD7861">
      <w:pPr>
        <w:pStyle w:val="CuerpoB"/>
        <w:spacing w:after="160" w:line="259" w:lineRule="auto"/>
        <w:jc w:val="both"/>
        <w:rPr>
          <w:rStyle w:val="Hyperlink4"/>
        </w:rPr>
      </w:pPr>
      <w:r w:rsidRPr="00B754D8">
        <w:rPr>
          <w:rStyle w:val="Hyperlink4"/>
        </w:rPr>
        <w:t xml:space="preserve">Finalmente, este Organismo Nacional emitió la </w:t>
      </w:r>
      <w:r w:rsidRPr="00B754D8">
        <w:rPr>
          <w:rStyle w:val="Ninguno"/>
          <w:rFonts w:ascii="Arial" w:hAnsi="Arial"/>
          <w:b/>
          <w:bCs/>
        </w:rPr>
        <w:t>Recomendación No. 14VG/2018, sobre violaciones graves a los derechos humanos en agravio de 536 personas víctimas de delito, entre ellas niñas, niños y adolescentes, en situación de extrema vulnerabilidad, que fueron localizados en un albergue denominado “Casa Hogar” en Zamora, Michoacán</w:t>
      </w:r>
      <w:r w:rsidRPr="00B754D8">
        <w:rPr>
          <w:rStyle w:val="Hyperlink4"/>
        </w:rPr>
        <w:t>, en donde se evidenciaron acciones y omisiones atribuibles a servidores públicos de los tres niveles de gobierno, las cuales contribuyeron a que los responsables de la dirección, manejo y cuidados de los internos de una Casa Hogar en Zamora, Michoacán, cometieran agresiones físicas y psicológicas, encierro en condiciones carcelarias y diversas vejaciones más en contra de 536 personas que resultaron víctimas del delito, en su mayoría niñas, niños y adolescentes.</w:t>
      </w:r>
    </w:p>
    <w:p w14:paraId="4F9B5A83" w14:textId="77777777" w:rsidR="00D35E43" w:rsidRPr="00B754D8" w:rsidRDefault="00CD7861">
      <w:pPr>
        <w:pStyle w:val="CuerpoB"/>
        <w:spacing w:after="160" w:line="259" w:lineRule="auto"/>
        <w:jc w:val="both"/>
        <w:rPr>
          <w:rStyle w:val="Ninguno"/>
          <w:rFonts w:ascii="Arial" w:eastAsia="Arial" w:hAnsi="Arial" w:cs="Arial"/>
          <w:b/>
          <w:bCs/>
        </w:rPr>
      </w:pPr>
      <w:r w:rsidRPr="00B754D8">
        <w:rPr>
          <w:rStyle w:val="Ninguno"/>
          <w:rFonts w:ascii="Arial" w:hAnsi="Arial"/>
          <w:b/>
          <w:bCs/>
        </w:rPr>
        <w:t>Retos para el Estado Mexicano</w:t>
      </w:r>
    </w:p>
    <w:p w14:paraId="15EC2DBB" w14:textId="77777777" w:rsidR="00D35E43" w:rsidRPr="00B754D8" w:rsidRDefault="00CD7861">
      <w:pPr>
        <w:pStyle w:val="CuerpoA"/>
        <w:numPr>
          <w:ilvl w:val="0"/>
          <w:numId w:val="164"/>
        </w:numPr>
        <w:jc w:val="both"/>
        <w:rPr>
          <w:rFonts w:ascii="Arial" w:hAnsi="Arial"/>
          <w:sz w:val="24"/>
          <w:szCs w:val="24"/>
        </w:rPr>
      </w:pPr>
      <w:r w:rsidRPr="00B754D8">
        <w:rPr>
          <w:rStyle w:val="Ninguno"/>
          <w:rFonts w:ascii="Arial" w:hAnsi="Arial"/>
          <w:sz w:val="24"/>
          <w:szCs w:val="24"/>
        </w:rPr>
        <w:t>En México se carece de una política de estado para hacer frente a la trata de personas y evitar que siga expandiéndose;</w:t>
      </w:r>
    </w:p>
    <w:p w14:paraId="20A3261E" w14:textId="77777777" w:rsidR="00D35E43" w:rsidRPr="00B754D8" w:rsidRDefault="00CD7861">
      <w:pPr>
        <w:pStyle w:val="CuerpoA"/>
        <w:numPr>
          <w:ilvl w:val="0"/>
          <w:numId w:val="164"/>
        </w:numPr>
        <w:jc w:val="both"/>
        <w:rPr>
          <w:rFonts w:ascii="Arial" w:hAnsi="Arial"/>
          <w:sz w:val="24"/>
          <w:szCs w:val="24"/>
        </w:rPr>
      </w:pPr>
      <w:r w:rsidRPr="00B754D8">
        <w:rPr>
          <w:rStyle w:val="Ninguno"/>
          <w:rFonts w:ascii="Arial" w:hAnsi="Arial"/>
          <w:sz w:val="24"/>
          <w:szCs w:val="24"/>
        </w:rPr>
        <w:lastRenderedPageBreak/>
        <w:t xml:space="preserve">El grado de demanda de “servicios sexuales” constituye un factor decisivo, principalmente en destinos donde se practica la explotación sexual de niñas, niños y adolescentes en el sector/contexto de los viajes y el turismo, tales como lugares de playa y ciudades fronterizas; </w:t>
      </w:r>
      <w:r w:rsidRPr="00B754D8">
        <w:rPr>
          <w:rStyle w:val="Ninguno"/>
        </w:rPr>
        <w:t xml:space="preserve">  </w:t>
      </w:r>
    </w:p>
    <w:p w14:paraId="2DFA15CE" w14:textId="77777777" w:rsidR="00D35E43" w:rsidRPr="00B754D8" w:rsidRDefault="00CD7861">
      <w:pPr>
        <w:pStyle w:val="CuerpoA"/>
        <w:numPr>
          <w:ilvl w:val="0"/>
          <w:numId w:val="164"/>
        </w:numPr>
        <w:jc w:val="both"/>
        <w:rPr>
          <w:rFonts w:ascii="Arial" w:hAnsi="Arial"/>
          <w:sz w:val="24"/>
          <w:szCs w:val="24"/>
        </w:rPr>
      </w:pPr>
      <w:r w:rsidRPr="00B754D8">
        <w:rPr>
          <w:rStyle w:val="Ninguno"/>
          <w:rFonts w:ascii="Arial" w:hAnsi="Arial"/>
          <w:sz w:val="24"/>
          <w:szCs w:val="24"/>
        </w:rPr>
        <w:t>La asistencia y protección a víctimas de los delitos en materia de trata de personas no se ha garantizado en el país ni se cuenta con una política pública instalada verificable y evaluable;</w:t>
      </w:r>
    </w:p>
    <w:p w14:paraId="6E234F8F" w14:textId="77777777" w:rsidR="00D35E43" w:rsidRPr="00B754D8" w:rsidRDefault="00CD7861">
      <w:pPr>
        <w:pStyle w:val="CuerpoA"/>
        <w:numPr>
          <w:ilvl w:val="0"/>
          <w:numId w:val="164"/>
        </w:numPr>
        <w:jc w:val="both"/>
        <w:rPr>
          <w:rFonts w:ascii="Arial" w:hAnsi="Arial"/>
          <w:sz w:val="24"/>
          <w:szCs w:val="24"/>
        </w:rPr>
      </w:pPr>
      <w:r w:rsidRPr="00B754D8">
        <w:rPr>
          <w:rStyle w:val="Ninguno"/>
          <w:rFonts w:ascii="Arial" w:hAnsi="Arial"/>
          <w:sz w:val="24"/>
          <w:szCs w:val="24"/>
        </w:rPr>
        <w:t>La falta de formalización hacia el interior de las propias dependencias y entidades que conforman la Comisión Intersecretarial de los protocolos, modelos y programas que generan y aprueban como órgano colegiado.</w:t>
      </w:r>
    </w:p>
    <w:p w14:paraId="5BB004FA" w14:textId="77777777" w:rsidR="00D35E43" w:rsidRPr="00B754D8" w:rsidRDefault="00D35E43">
      <w:pPr>
        <w:pStyle w:val="CuerpoA"/>
        <w:ind w:left="720"/>
        <w:jc w:val="both"/>
        <w:rPr>
          <w:rStyle w:val="Hyperlink4"/>
          <w:sz w:val="24"/>
          <w:szCs w:val="24"/>
        </w:rPr>
      </w:pPr>
    </w:p>
    <w:p w14:paraId="0ABBD78B" w14:textId="77777777" w:rsidR="00D35E43" w:rsidRPr="00B754D8" w:rsidRDefault="00CD7861">
      <w:pPr>
        <w:pStyle w:val="CuerpoA"/>
        <w:numPr>
          <w:ilvl w:val="0"/>
          <w:numId w:val="165"/>
        </w:numPr>
        <w:jc w:val="both"/>
        <w:rPr>
          <w:rFonts w:ascii="Arial" w:hAnsi="Arial"/>
          <w:b/>
          <w:bCs/>
          <w:sz w:val="24"/>
          <w:szCs w:val="24"/>
        </w:rPr>
      </w:pPr>
      <w:r w:rsidRPr="00B754D8">
        <w:rPr>
          <w:rStyle w:val="Ninguno"/>
          <w:rFonts w:ascii="Arial" w:hAnsi="Arial"/>
          <w:b/>
          <w:bCs/>
          <w:sz w:val="24"/>
          <w:szCs w:val="24"/>
        </w:rPr>
        <w:t>Libertades de expresión y asociación (artículos 19 y 22)</w:t>
      </w:r>
    </w:p>
    <w:p w14:paraId="6348B879" w14:textId="77777777" w:rsidR="00D35E43" w:rsidRPr="00B754D8" w:rsidRDefault="00CD7861">
      <w:pPr>
        <w:pStyle w:val="CuerpoA"/>
        <w:numPr>
          <w:ilvl w:val="0"/>
          <w:numId w:val="167"/>
        </w:numPr>
        <w:jc w:val="both"/>
        <w:rPr>
          <w:rFonts w:ascii="Arial" w:hAnsi="Arial"/>
          <w:b/>
          <w:bCs/>
          <w:sz w:val="24"/>
          <w:szCs w:val="24"/>
        </w:rPr>
      </w:pPr>
      <w:r w:rsidRPr="00B754D8">
        <w:rPr>
          <w:rStyle w:val="Ninguno"/>
          <w:rFonts w:ascii="Arial" w:hAnsi="Arial"/>
          <w:b/>
          <w:bCs/>
          <w:sz w:val="24"/>
          <w:szCs w:val="24"/>
        </w:rPr>
        <w:t>Situación de Periodistas y Defensores de Derechos Humanos</w:t>
      </w:r>
    </w:p>
    <w:p w14:paraId="77D9F702" w14:textId="77777777" w:rsidR="00D35E43" w:rsidRPr="00B754D8" w:rsidRDefault="00CD7861">
      <w:pPr>
        <w:pStyle w:val="CuerpoA"/>
        <w:jc w:val="both"/>
        <w:rPr>
          <w:rStyle w:val="Ninguno"/>
          <w:rFonts w:ascii="Arial" w:eastAsia="Arial" w:hAnsi="Arial" w:cs="Arial"/>
          <w:b/>
          <w:bCs/>
          <w:sz w:val="24"/>
          <w:szCs w:val="24"/>
        </w:rPr>
      </w:pPr>
      <w:r w:rsidRPr="00B754D8">
        <w:rPr>
          <w:rStyle w:val="Ninguno"/>
          <w:rFonts w:ascii="Arial" w:hAnsi="Arial"/>
          <w:b/>
          <w:bCs/>
          <w:sz w:val="24"/>
          <w:szCs w:val="24"/>
        </w:rPr>
        <w:t>Contexto</w:t>
      </w:r>
    </w:p>
    <w:p w14:paraId="7FE60DFF"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Este Organismo Nacional conoce que las agresiones hacia personas defensoras y periodistas se han producido en contextos de especial o extrema vulnerabilidad. Numerosos casos han ocurrido en zonas con fuerte presencia de cárteles del narcotráfico y de otras formas de crimen organizado, en las que las víctimas realizaban un periodismo de denuncia o periodismo crítico, así como actividades de defensa en temas relacionados con corrupción e inseguridad, entre otros. Por todos es conocido el extremo clima de violencia que enfrenta nuestro país y que ha vulnerado de manera particular a periodistas y a personas defensoras. </w:t>
      </w:r>
    </w:p>
    <w:p w14:paraId="37B3DCA9"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La CNDH, en el marco del Programa de Agravios a Periodistas y Defensores Civiles de Derechos Humanos, en el periodo de 2000 al 12 de agosto de 2019, ha registrado un total de 153 homicidios de periodistas, de los cuales 16 casos corresponden a mujeres, lo que equivale al 10.5%. </w:t>
      </w:r>
    </w:p>
    <w:p w14:paraId="0A24FDF7"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En el caso de personas defensoras se han registrado un total de 47 homicidios en el periodo comprendido entre el 2006 al 12 de agosto de 2019, de los cuales 17 casos corresponden a mujeres, lo que equivale al 36.17%.</w:t>
      </w:r>
    </w:p>
    <w:p w14:paraId="482F938B" w14:textId="77777777" w:rsidR="00D35E43" w:rsidRPr="00B754D8" w:rsidRDefault="00CD7861">
      <w:pPr>
        <w:pStyle w:val="CuerpoB"/>
        <w:spacing w:after="160" w:line="259" w:lineRule="auto"/>
        <w:jc w:val="both"/>
        <w:rPr>
          <w:rStyle w:val="Hyperlink4"/>
        </w:rPr>
      </w:pPr>
      <w:r w:rsidRPr="00B754D8">
        <w:rPr>
          <w:rStyle w:val="Hyperlink4"/>
        </w:rPr>
        <w:t xml:space="preserve">El profundo impacto social que tienen las agresiones a personas defensoras y periodistas, particularmente, los homicidios cometidos en su agravio y la complejidad de los escenarios donde se insertan tales crímenes exige que las autoridades estatales establezcan mecanismos de protección y desarrollen protocolos de actuación especializados para la debida y oportuna atención de la problemática que enfrentan estos dos grupos en situación de riesgo. A pesar de que el contexto descrito implica una situación estructural de violencia, que se agudiza y subsiste debido a la impunidad y autocensura, la mayoría de las entidades </w:t>
      </w:r>
      <w:r w:rsidRPr="00B754D8">
        <w:rPr>
          <w:rStyle w:val="Hyperlink4"/>
        </w:rPr>
        <w:lastRenderedPageBreak/>
        <w:t xml:space="preserve">federativas no cuentan con agencias especializadas para la investigación de delitos en contra de periodistas y personas defensoras. </w:t>
      </w:r>
    </w:p>
    <w:p w14:paraId="643C18C8" w14:textId="77777777" w:rsidR="00D35E43" w:rsidRPr="00B754D8" w:rsidRDefault="00CD7861">
      <w:pPr>
        <w:pStyle w:val="CuerpoB"/>
        <w:spacing w:after="160" w:line="259" w:lineRule="auto"/>
        <w:jc w:val="both"/>
        <w:rPr>
          <w:rStyle w:val="Hyperlink4"/>
        </w:rPr>
      </w:pPr>
      <w:r w:rsidRPr="00B754D8">
        <w:rPr>
          <w:rStyle w:val="Hyperlink4"/>
        </w:rPr>
        <w:t xml:space="preserve">Esta circunstancia es preocupante ya que el Estado tiene una responsabilidad reforzada en sus obligaciones de prevención y protección cuando existe el riesgo de que se produzcan crímenes en contra de personas defensoras y periodistas por situaciones concretas en las que las autoridades saben o deberían haber sabido que hay un riesgo real e inmediato de que se cometan estos delitos, </w:t>
      </w:r>
    </w:p>
    <w:p w14:paraId="708F8FF6" w14:textId="77777777" w:rsidR="00D35E43" w:rsidRPr="00B754D8" w:rsidRDefault="00CD7861">
      <w:pPr>
        <w:pStyle w:val="CuerpoB"/>
        <w:spacing w:after="160" w:line="259" w:lineRule="auto"/>
        <w:jc w:val="both"/>
        <w:rPr>
          <w:rStyle w:val="Hyperlink4"/>
        </w:rPr>
      </w:pPr>
      <w:r w:rsidRPr="00B754D8">
        <w:rPr>
          <w:rStyle w:val="Hyperlink4"/>
        </w:rPr>
        <w:t>También se evidencia que los órganos de procuración de justicia tampoco consideran ni evalúan el nivel de riesgo relacionado con su labor, y mucho menos el contexto asociado a ésta, aspectos determinantes para estar en posibilidad de identificar las causas reales y responsables materiales e intelectuales, lo que incide en que las investigaciones de delitos cometidos en su agravio no sean efectivas, con lo que se perpetúa el ciclo de impunidad y la repetición de tales crímenes.</w:t>
      </w:r>
    </w:p>
    <w:p w14:paraId="4E92D25E" w14:textId="77777777" w:rsidR="00D35E43" w:rsidRPr="00B754D8" w:rsidRDefault="00CD7861">
      <w:pPr>
        <w:pStyle w:val="CuerpoB"/>
        <w:spacing w:after="160" w:line="259" w:lineRule="auto"/>
        <w:jc w:val="both"/>
        <w:rPr>
          <w:rStyle w:val="Hyperlink4"/>
        </w:rPr>
      </w:pPr>
      <w:r w:rsidRPr="00B754D8">
        <w:rPr>
          <w:rStyle w:val="Hyperlink4"/>
        </w:rPr>
        <w:t>Respecto al Mecanismo para la Protección de Personas Defensoras de Derechos Humanos y Periodistas, creado en virtud de la Ley para la Protección de Personas Defensoras de Derechos Humanos y Periodistas como un instrumento para abordar la problemática ante la situación de riesgo en la que viven periodistas y defensores civiles de derechos humanos, es necesario mencionar que no obstante que la CNDH forma parte de su Junta de Gobierno, no ha sido ajena a la preocupación de diversas organizaciones de la sociedad civil respecto a sus deficiencias.</w:t>
      </w:r>
      <w:r w:rsidRPr="00B754D8">
        <w:rPr>
          <w:rStyle w:val="Ninguno"/>
          <w:rFonts w:ascii="Arial Unicode MS" w:hAnsi="Arial Unicode MS"/>
        </w:rPr>
        <w:br/>
      </w:r>
      <w:r w:rsidRPr="00B754D8">
        <w:rPr>
          <w:rStyle w:val="Hyperlink4"/>
        </w:rPr>
        <w:t> </w:t>
      </w:r>
      <w:r w:rsidRPr="00B754D8">
        <w:rPr>
          <w:rStyle w:val="Ninguno"/>
          <w:rFonts w:ascii="Arial Unicode MS" w:hAnsi="Arial Unicode MS"/>
        </w:rPr>
        <w:br/>
      </w:r>
      <w:r w:rsidRPr="00B754D8">
        <w:rPr>
          <w:rStyle w:val="Hyperlink4"/>
        </w:rPr>
        <w:t>La CNDH continúa recibiendo quejas en contra de la Coordinación Ejecutiva Nacional, así como de algunas Unidades, debido a la problemática derivada de la implementación de medidas de protección acordes a la evaluación de riesgo realizada por el personal especializado de dicho Mecanismo.</w:t>
      </w:r>
      <w:r w:rsidRPr="00B754D8">
        <w:rPr>
          <w:rStyle w:val="Ninguno"/>
          <w:rFonts w:ascii="Arial Unicode MS" w:hAnsi="Arial Unicode MS"/>
        </w:rPr>
        <w:br/>
      </w:r>
      <w:r w:rsidRPr="00B754D8">
        <w:rPr>
          <w:rStyle w:val="Hyperlink4"/>
        </w:rPr>
        <w:t> </w:t>
      </w:r>
      <w:r w:rsidRPr="00B754D8">
        <w:rPr>
          <w:rStyle w:val="Ninguno"/>
          <w:rFonts w:ascii="Arial Unicode MS" w:hAnsi="Arial Unicode MS"/>
        </w:rPr>
        <w:br/>
      </w:r>
      <w:r w:rsidRPr="00B754D8">
        <w:rPr>
          <w:rStyle w:val="Hyperlink4"/>
        </w:rPr>
        <w:t>No obstante, la CNDH reconoce las acciones que el Mecanismo de Protección Federal ha realizado entre éstas la implementación de medidas de control para contribuir a mejorar los procedimientos en la atención de las solicitudes de incorporación, así como la pronta y expedita emisión de los estudios de evaluación de acción inmediata y de riesgo, y la verificación de que las medidas otorgadas sean implementadas en los plazos y términos establecidos, para lo cual cuenta con el acompañamiento técnico de organizaciones no gubernamentales, situación que la Comisión Nacional alienta, pues este tipo de acciones contribuyen al mejoramiento continuo de los procesos, derivando en una mejor atención a las y los beneficiarios.</w:t>
      </w:r>
    </w:p>
    <w:p w14:paraId="719D3FAE" w14:textId="77777777" w:rsidR="00D35E43" w:rsidRPr="00B754D8" w:rsidRDefault="00CD7861">
      <w:pPr>
        <w:pStyle w:val="CuerpoB"/>
        <w:spacing w:after="160" w:line="259" w:lineRule="auto"/>
        <w:jc w:val="both"/>
        <w:rPr>
          <w:rStyle w:val="Hyperlink4"/>
        </w:rPr>
      </w:pPr>
      <w:r w:rsidRPr="00B754D8">
        <w:rPr>
          <w:rStyle w:val="Hyperlink4"/>
        </w:rPr>
        <w:t>Esta Comisión Nacional recuerda las agresiones que han sufrido los organismos públicos de derechos humanos en el país.</w:t>
      </w:r>
      <w:r w:rsidRPr="00B754D8">
        <w:rPr>
          <w:rStyle w:val="Ninguno"/>
          <w:rFonts w:ascii="Arial" w:hAnsi="Arial"/>
          <w:b/>
          <w:bCs/>
        </w:rPr>
        <w:t xml:space="preserve"> </w:t>
      </w:r>
      <w:r w:rsidRPr="00B754D8">
        <w:rPr>
          <w:rStyle w:val="Hyperlink4"/>
        </w:rPr>
        <w:t>Prueba de lo anterior es</w:t>
      </w:r>
      <w:r w:rsidRPr="00B754D8">
        <w:rPr>
          <w:rStyle w:val="Ninguno"/>
          <w:rFonts w:ascii="Arial" w:hAnsi="Arial"/>
          <w:b/>
          <w:bCs/>
        </w:rPr>
        <w:t xml:space="preserve"> el asesinato del Presidente de la Comisión de Derechos Humanos de Baja California Sur, Silvestre de la Toba Camacho y de su hijo Fernando de la Toba Lucero, ocurrido el 20 de noviembre de 2017, así como las constantes amenazas que han recibido por su trabajo, los presidentes de la Comisión Estatales de </w:t>
      </w:r>
      <w:r w:rsidRPr="00B754D8">
        <w:rPr>
          <w:rStyle w:val="Ninguno"/>
          <w:rFonts w:ascii="Arial" w:hAnsi="Arial"/>
          <w:b/>
          <w:bCs/>
        </w:rPr>
        <w:lastRenderedPageBreak/>
        <w:t xml:space="preserve">Derechos Humanos de Veracruz, Guerrero, y Tamaulipas, </w:t>
      </w:r>
      <w:r w:rsidRPr="00B754D8">
        <w:rPr>
          <w:rStyle w:val="Hyperlink4"/>
        </w:rPr>
        <w:t>por lo que pide a las autoridades de los tres niveles de gobierno proteger a los defensores públicos de derechos humanos.</w:t>
      </w:r>
    </w:p>
    <w:p w14:paraId="38A0E6C1" w14:textId="77777777" w:rsidR="00D35E43" w:rsidRPr="00B754D8" w:rsidRDefault="00CD7861">
      <w:pPr>
        <w:pStyle w:val="CuerpoA"/>
        <w:jc w:val="both"/>
        <w:rPr>
          <w:rStyle w:val="Ninguno"/>
          <w:rFonts w:ascii="Arial" w:eastAsia="Arial" w:hAnsi="Arial" w:cs="Arial"/>
          <w:b/>
          <w:bCs/>
          <w:sz w:val="24"/>
          <w:szCs w:val="24"/>
        </w:rPr>
      </w:pPr>
      <w:r w:rsidRPr="00B754D8">
        <w:rPr>
          <w:rStyle w:val="Ninguno"/>
          <w:rFonts w:ascii="Arial" w:hAnsi="Arial"/>
          <w:b/>
          <w:bCs/>
          <w:sz w:val="24"/>
          <w:szCs w:val="24"/>
        </w:rPr>
        <w:t>Acciones de la CNDH</w:t>
      </w:r>
    </w:p>
    <w:p w14:paraId="0FC14D5D" w14:textId="77777777" w:rsidR="00D35E43" w:rsidRPr="00B754D8" w:rsidRDefault="00CD7861">
      <w:pPr>
        <w:pStyle w:val="CuerpoA"/>
        <w:jc w:val="both"/>
        <w:rPr>
          <w:rStyle w:val="Ninguno"/>
          <w:rFonts w:ascii="Arial" w:eastAsia="Arial" w:hAnsi="Arial" w:cs="Arial"/>
          <w:sz w:val="24"/>
          <w:szCs w:val="24"/>
          <w:u w:val="single"/>
        </w:rPr>
      </w:pPr>
      <w:r w:rsidRPr="00B754D8">
        <w:rPr>
          <w:rStyle w:val="Ninguno"/>
          <w:rFonts w:ascii="Arial" w:hAnsi="Arial"/>
          <w:sz w:val="24"/>
          <w:szCs w:val="24"/>
          <w:u w:val="single"/>
        </w:rPr>
        <w:t xml:space="preserve">Impacto que han tenido las medidas adoptadas para ofrecer protección a los periodistas y a los defensores de derechos humanos </w:t>
      </w:r>
    </w:p>
    <w:p w14:paraId="05C194B2"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En los casos en donde existe una agresión o amenaza hacia un periodista o una persona defensora de derechos humanos, la CNDH solicita la implementación de medidas cautelares, facultad de este organismo autónomo empleada cuando se acreditan situaciones de riesgo, urgencia e irreparabilidad del daño que buscan salvaguardar la vida, integridad física y seguridad jurídica de las personas defensoras de derechos humanos y periodistas. Lo anterior, con fundamento en el artículo 40 de la Ley de la Comisión Nacional de los Derechos Humanos. En este sentido, se ha advertido un incremento de las solicitudes de medidas cautelares en beneficio de integrantes de estos grupos a lo largo de los años como se muestra a continuación:  </w:t>
      </w:r>
    </w:p>
    <w:tbl>
      <w:tblPr>
        <w:tblStyle w:val="TableNormal"/>
        <w:tblW w:w="8632" w:type="dxa"/>
        <w:tblInd w:w="41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95"/>
        <w:gridCol w:w="2962"/>
        <w:gridCol w:w="2975"/>
      </w:tblGrid>
      <w:tr w:rsidR="00D35E43" w:rsidRPr="00AC584A" w14:paraId="2E6AED86" w14:textId="77777777">
        <w:trPr>
          <w:trHeight w:val="895"/>
        </w:trPr>
        <w:tc>
          <w:tcPr>
            <w:tcW w:w="8632" w:type="dxa"/>
            <w:gridSpan w:val="3"/>
            <w:tcBorders>
              <w:top w:val="single" w:sz="4" w:space="0" w:color="A5A5A5"/>
              <w:left w:val="single" w:sz="4" w:space="0" w:color="A5A5A5"/>
              <w:bottom w:val="single" w:sz="4" w:space="0" w:color="C9C9C9"/>
              <w:right w:val="single" w:sz="4" w:space="0" w:color="A5A5A5"/>
            </w:tcBorders>
            <w:shd w:val="clear" w:color="auto" w:fill="A5A5A5"/>
            <w:tcMar>
              <w:top w:w="80" w:type="dxa"/>
              <w:left w:w="80" w:type="dxa"/>
              <w:bottom w:w="80" w:type="dxa"/>
              <w:right w:w="80" w:type="dxa"/>
            </w:tcMar>
          </w:tcPr>
          <w:p w14:paraId="6E723512" w14:textId="77777777" w:rsidR="00D35E43" w:rsidRPr="00B754D8" w:rsidRDefault="00CD7861">
            <w:pPr>
              <w:pStyle w:val="CuerpoA"/>
            </w:pPr>
            <w:r w:rsidRPr="00B754D8">
              <w:rPr>
                <w:rStyle w:val="Ninguno"/>
                <w:rFonts w:ascii="Arial" w:hAnsi="Arial"/>
                <w:sz w:val="24"/>
                <w:szCs w:val="24"/>
              </w:rPr>
              <w:t>SOLICITUDES DE MEDIDAS CAUTELARES EMITIDAS POR EL PROGRAMA DE AGRAVIOS A PERIODISTAS Y DEFENSORES CIVILES DE DERECHOS HUMANOS</w:t>
            </w:r>
          </w:p>
        </w:tc>
      </w:tr>
      <w:tr w:rsidR="00D35E43" w:rsidRPr="00B754D8" w14:paraId="0E50EB31" w14:textId="77777777">
        <w:trPr>
          <w:trHeight w:val="292"/>
        </w:trPr>
        <w:tc>
          <w:tcPr>
            <w:tcW w:w="2695" w:type="dxa"/>
            <w:tcBorders>
              <w:top w:val="single" w:sz="4" w:space="0" w:color="C9C9C9"/>
              <w:left w:val="single" w:sz="4" w:space="0" w:color="C9C9C9"/>
              <w:bottom w:val="single" w:sz="4" w:space="0" w:color="C9C9C9"/>
              <w:right w:val="single" w:sz="4" w:space="0" w:color="C9C9C9"/>
            </w:tcBorders>
            <w:shd w:val="clear" w:color="auto" w:fill="EDEDED"/>
            <w:tcMar>
              <w:top w:w="80" w:type="dxa"/>
              <w:left w:w="80" w:type="dxa"/>
              <w:bottom w:w="80" w:type="dxa"/>
              <w:right w:w="80" w:type="dxa"/>
            </w:tcMar>
          </w:tcPr>
          <w:p w14:paraId="5726FC6E" w14:textId="77777777" w:rsidR="00D35E43" w:rsidRPr="00B754D8" w:rsidRDefault="00CD7861">
            <w:pPr>
              <w:pStyle w:val="CuerpoA"/>
            </w:pPr>
            <w:r w:rsidRPr="00B754D8">
              <w:rPr>
                <w:rStyle w:val="Ninguno"/>
                <w:rFonts w:ascii="Arial" w:hAnsi="Arial"/>
                <w:sz w:val="24"/>
                <w:szCs w:val="24"/>
              </w:rPr>
              <w:t xml:space="preserve">Año </w:t>
            </w:r>
          </w:p>
        </w:tc>
        <w:tc>
          <w:tcPr>
            <w:tcW w:w="2962" w:type="dxa"/>
            <w:tcBorders>
              <w:top w:val="single" w:sz="4" w:space="0" w:color="C9C9C9"/>
              <w:left w:val="single" w:sz="4" w:space="0" w:color="C9C9C9"/>
              <w:bottom w:val="single" w:sz="4" w:space="0" w:color="C9C9C9"/>
              <w:right w:val="single" w:sz="4" w:space="0" w:color="C9C9C9"/>
            </w:tcBorders>
            <w:shd w:val="clear" w:color="auto" w:fill="EDEDED"/>
            <w:tcMar>
              <w:top w:w="80" w:type="dxa"/>
              <w:left w:w="80" w:type="dxa"/>
              <w:bottom w:w="80" w:type="dxa"/>
              <w:right w:w="80" w:type="dxa"/>
            </w:tcMar>
          </w:tcPr>
          <w:p w14:paraId="0DAEDE22" w14:textId="77777777" w:rsidR="00D35E43" w:rsidRPr="00B754D8" w:rsidRDefault="00CD7861">
            <w:pPr>
              <w:pStyle w:val="CuerpoA"/>
            </w:pPr>
            <w:r w:rsidRPr="00B754D8">
              <w:rPr>
                <w:rStyle w:val="Ninguno"/>
                <w:rFonts w:ascii="Arial" w:hAnsi="Arial"/>
                <w:sz w:val="24"/>
                <w:szCs w:val="24"/>
              </w:rPr>
              <w:t>Periodistas</w:t>
            </w:r>
          </w:p>
        </w:tc>
        <w:tc>
          <w:tcPr>
            <w:tcW w:w="2975" w:type="dxa"/>
            <w:tcBorders>
              <w:top w:val="single" w:sz="4" w:space="0" w:color="C9C9C9"/>
              <w:left w:val="single" w:sz="4" w:space="0" w:color="C9C9C9"/>
              <w:bottom w:val="single" w:sz="4" w:space="0" w:color="C9C9C9"/>
              <w:right w:val="single" w:sz="4" w:space="0" w:color="C9C9C9"/>
            </w:tcBorders>
            <w:shd w:val="clear" w:color="auto" w:fill="EDEDED"/>
            <w:tcMar>
              <w:top w:w="80" w:type="dxa"/>
              <w:left w:w="80" w:type="dxa"/>
              <w:bottom w:w="80" w:type="dxa"/>
              <w:right w:w="80" w:type="dxa"/>
            </w:tcMar>
          </w:tcPr>
          <w:p w14:paraId="088C6D7C" w14:textId="77777777" w:rsidR="00D35E43" w:rsidRPr="00B754D8" w:rsidRDefault="00CD7861">
            <w:pPr>
              <w:pStyle w:val="CuerpoA"/>
            </w:pPr>
            <w:r w:rsidRPr="00B754D8">
              <w:rPr>
                <w:rStyle w:val="Ninguno"/>
                <w:rFonts w:ascii="Arial" w:hAnsi="Arial"/>
                <w:sz w:val="24"/>
                <w:szCs w:val="24"/>
              </w:rPr>
              <w:t>Defensores</w:t>
            </w:r>
          </w:p>
        </w:tc>
      </w:tr>
      <w:tr w:rsidR="00D35E43" w:rsidRPr="00B754D8" w14:paraId="35E5DDB3" w14:textId="77777777">
        <w:trPr>
          <w:trHeight w:val="292"/>
        </w:trPr>
        <w:tc>
          <w:tcPr>
            <w:tcW w:w="2695" w:type="dxa"/>
            <w:tcBorders>
              <w:top w:val="single" w:sz="4" w:space="0" w:color="C9C9C9"/>
              <w:left w:val="single" w:sz="4" w:space="0" w:color="C9C9C9"/>
              <w:bottom w:val="single" w:sz="4" w:space="0" w:color="C9C9C9"/>
              <w:right w:val="single" w:sz="4" w:space="0" w:color="C9C9C9"/>
            </w:tcBorders>
            <w:shd w:val="clear" w:color="auto" w:fill="auto"/>
            <w:tcMar>
              <w:top w:w="80" w:type="dxa"/>
              <w:left w:w="80" w:type="dxa"/>
              <w:bottom w:w="80" w:type="dxa"/>
              <w:right w:w="80" w:type="dxa"/>
            </w:tcMar>
          </w:tcPr>
          <w:p w14:paraId="515B72AB" w14:textId="77777777" w:rsidR="00D35E43" w:rsidRPr="00B754D8" w:rsidRDefault="00CD7861">
            <w:pPr>
              <w:pStyle w:val="CuerpoA"/>
            </w:pPr>
            <w:r w:rsidRPr="00B754D8">
              <w:rPr>
                <w:rStyle w:val="Ninguno"/>
                <w:rFonts w:ascii="Arial" w:hAnsi="Arial"/>
                <w:sz w:val="24"/>
                <w:szCs w:val="24"/>
              </w:rPr>
              <w:t>2012</w:t>
            </w:r>
          </w:p>
        </w:tc>
        <w:tc>
          <w:tcPr>
            <w:tcW w:w="2962" w:type="dxa"/>
            <w:tcBorders>
              <w:top w:val="single" w:sz="4" w:space="0" w:color="C9C9C9"/>
              <w:left w:val="single" w:sz="4" w:space="0" w:color="C9C9C9"/>
              <w:bottom w:val="single" w:sz="4" w:space="0" w:color="C9C9C9"/>
              <w:right w:val="single" w:sz="4" w:space="0" w:color="C9C9C9"/>
            </w:tcBorders>
            <w:shd w:val="clear" w:color="auto" w:fill="auto"/>
            <w:tcMar>
              <w:top w:w="80" w:type="dxa"/>
              <w:left w:w="80" w:type="dxa"/>
              <w:bottom w:w="80" w:type="dxa"/>
              <w:right w:w="80" w:type="dxa"/>
            </w:tcMar>
          </w:tcPr>
          <w:p w14:paraId="3C4AE8FB" w14:textId="77777777" w:rsidR="00D35E43" w:rsidRPr="00B754D8" w:rsidRDefault="00CD7861">
            <w:pPr>
              <w:pStyle w:val="CuerpoA"/>
            </w:pPr>
            <w:r w:rsidRPr="00B754D8">
              <w:rPr>
                <w:rStyle w:val="Ninguno"/>
                <w:rFonts w:ascii="Arial" w:hAnsi="Arial"/>
                <w:sz w:val="24"/>
                <w:szCs w:val="24"/>
              </w:rPr>
              <w:t>2</w:t>
            </w:r>
          </w:p>
        </w:tc>
        <w:tc>
          <w:tcPr>
            <w:tcW w:w="2975" w:type="dxa"/>
            <w:tcBorders>
              <w:top w:val="single" w:sz="4" w:space="0" w:color="C9C9C9"/>
              <w:left w:val="single" w:sz="4" w:space="0" w:color="C9C9C9"/>
              <w:bottom w:val="single" w:sz="4" w:space="0" w:color="C9C9C9"/>
              <w:right w:val="single" w:sz="4" w:space="0" w:color="C9C9C9"/>
            </w:tcBorders>
            <w:shd w:val="clear" w:color="auto" w:fill="auto"/>
            <w:tcMar>
              <w:top w:w="80" w:type="dxa"/>
              <w:left w:w="80" w:type="dxa"/>
              <w:bottom w:w="80" w:type="dxa"/>
              <w:right w:w="80" w:type="dxa"/>
            </w:tcMar>
          </w:tcPr>
          <w:p w14:paraId="20D8BD60" w14:textId="77777777" w:rsidR="00D35E43" w:rsidRPr="00B754D8" w:rsidRDefault="00CD7861">
            <w:pPr>
              <w:pStyle w:val="CuerpoA"/>
            </w:pPr>
            <w:r w:rsidRPr="00B754D8">
              <w:rPr>
                <w:rStyle w:val="Ninguno"/>
                <w:rFonts w:ascii="Arial" w:hAnsi="Arial"/>
                <w:sz w:val="24"/>
                <w:szCs w:val="24"/>
              </w:rPr>
              <w:t>3</w:t>
            </w:r>
          </w:p>
        </w:tc>
      </w:tr>
      <w:tr w:rsidR="00D35E43" w:rsidRPr="00B754D8" w14:paraId="1597759F" w14:textId="77777777">
        <w:trPr>
          <w:trHeight w:val="292"/>
        </w:trPr>
        <w:tc>
          <w:tcPr>
            <w:tcW w:w="2695" w:type="dxa"/>
            <w:tcBorders>
              <w:top w:val="single" w:sz="4" w:space="0" w:color="C9C9C9"/>
              <w:left w:val="single" w:sz="4" w:space="0" w:color="C9C9C9"/>
              <w:bottom w:val="single" w:sz="4" w:space="0" w:color="C9C9C9"/>
              <w:right w:val="single" w:sz="4" w:space="0" w:color="C9C9C9"/>
            </w:tcBorders>
            <w:shd w:val="clear" w:color="auto" w:fill="EDEDED"/>
            <w:tcMar>
              <w:top w:w="80" w:type="dxa"/>
              <w:left w:w="80" w:type="dxa"/>
              <w:bottom w:w="80" w:type="dxa"/>
              <w:right w:w="80" w:type="dxa"/>
            </w:tcMar>
          </w:tcPr>
          <w:p w14:paraId="4E76DCFD" w14:textId="77777777" w:rsidR="00D35E43" w:rsidRPr="00B754D8" w:rsidRDefault="00CD7861">
            <w:pPr>
              <w:pStyle w:val="CuerpoA"/>
            </w:pPr>
            <w:r w:rsidRPr="00B754D8">
              <w:rPr>
                <w:rStyle w:val="Ninguno"/>
                <w:rFonts w:ascii="Arial" w:hAnsi="Arial"/>
                <w:sz w:val="24"/>
                <w:szCs w:val="24"/>
              </w:rPr>
              <w:t>2013</w:t>
            </w:r>
          </w:p>
        </w:tc>
        <w:tc>
          <w:tcPr>
            <w:tcW w:w="2962" w:type="dxa"/>
            <w:tcBorders>
              <w:top w:val="single" w:sz="4" w:space="0" w:color="C9C9C9"/>
              <w:left w:val="single" w:sz="4" w:space="0" w:color="C9C9C9"/>
              <w:bottom w:val="single" w:sz="4" w:space="0" w:color="C9C9C9"/>
              <w:right w:val="single" w:sz="4" w:space="0" w:color="C9C9C9"/>
            </w:tcBorders>
            <w:shd w:val="clear" w:color="auto" w:fill="EDEDED"/>
            <w:tcMar>
              <w:top w:w="80" w:type="dxa"/>
              <w:left w:w="80" w:type="dxa"/>
              <w:bottom w:w="80" w:type="dxa"/>
              <w:right w:w="80" w:type="dxa"/>
            </w:tcMar>
          </w:tcPr>
          <w:p w14:paraId="4108C242" w14:textId="77777777" w:rsidR="00D35E43" w:rsidRPr="00B754D8" w:rsidRDefault="00CD7861">
            <w:pPr>
              <w:pStyle w:val="CuerpoA"/>
            </w:pPr>
            <w:r w:rsidRPr="00B754D8">
              <w:rPr>
                <w:rStyle w:val="Ninguno"/>
                <w:rFonts w:ascii="Arial" w:hAnsi="Arial"/>
                <w:sz w:val="24"/>
                <w:szCs w:val="24"/>
              </w:rPr>
              <w:t>3</w:t>
            </w:r>
          </w:p>
        </w:tc>
        <w:tc>
          <w:tcPr>
            <w:tcW w:w="2975" w:type="dxa"/>
            <w:tcBorders>
              <w:top w:val="single" w:sz="4" w:space="0" w:color="C9C9C9"/>
              <w:left w:val="single" w:sz="4" w:space="0" w:color="C9C9C9"/>
              <w:bottom w:val="single" w:sz="4" w:space="0" w:color="C9C9C9"/>
              <w:right w:val="single" w:sz="4" w:space="0" w:color="C9C9C9"/>
            </w:tcBorders>
            <w:shd w:val="clear" w:color="auto" w:fill="EDEDED"/>
            <w:tcMar>
              <w:top w:w="80" w:type="dxa"/>
              <w:left w:w="80" w:type="dxa"/>
              <w:bottom w:w="80" w:type="dxa"/>
              <w:right w:w="80" w:type="dxa"/>
            </w:tcMar>
          </w:tcPr>
          <w:p w14:paraId="08112A7B" w14:textId="77777777" w:rsidR="00D35E43" w:rsidRPr="00B754D8" w:rsidRDefault="00CD7861">
            <w:pPr>
              <w:pStyle w:val="CuerpoA"/>
            </w:pPr>
            <w:r w:rsidRPr="00B754D8">
              <w:rPr>
                <w:rStyle w:val="Ninguno"/>
                <w:rFonts w:ascii="Arial" w:hAnsi="Arial"/>
                <w:sz w:val="24"/>
                <w:szCs w:val="24"/>
              </w:rPr>
              <w:t>2</w:t>
            </w:r>
          </w:p>
        </w:tc>
      </w:tr>
      <w:tr w:rsidR="00D35E43" w:rsidRPr="00B754D8" w14:paraId="244357F7" w14:textId="77777777">
        <w:trPr>
          <w:trHeight w:val="292"/>
        </w:trPr>
        <w:tc>
          <w:tcPr>
            <w:tcW w:w="2695" w:type="dxa"/>
            <w:tcBorders>
              <w:top w:val="single" w:sz="4" w:space="0" w:color="C9C9C9"/>
              <w:left w:val="single" w:sz="4" w:space="0" w:color="C9C9C9"/>
              <w:bottom w:val="single" w:sz="4" w:space="0" w:color="C9C9C9"/>
              <w:right w:val="single" w:sz="4" w:space="0" w:color="C9C9C9"/>
            </w:tcBorders>
            <w:shd w:val="clear" w:color="auto" w:fill="auto"/>
            <w:tcMar>
              <w:top w:w="80" w:type="dxa"/>
              <w:left w:w="80" w:type="dxa"/>
              <w:bottom w:w="80" w:type="dxa"/>
              <w:right w:w="80" w:type="dxa"/>
            </w:tcMar>
          </w:tcPr>
          <w:p w14:paraId="6E880C6E" w14:textId="77777777" w:rsidR="00D35E43" w:rsidRPr="00B754D8" w:rsidRDefault="00CD7861">
            <w:pPr>
              <w:pStyle w:val="CuerpoA"/>
            </w:pPr>
            <w:r w:rsidRPr="00B754D8">
              <w:rPr>
                <w:rStyle w:val="Ninguno"/>
                <w:rFonts w:ascii="Arial" w:hAnsi="Arial"/>
                <w:sz w:val="24"/>
                <w:szCs w:val="24"/>
              </w:rPr>
              <w:t>2014</w:t>
            </w:r>
          </w:p>
        </w:tc>
        <w:tc>
          <w:tcPr>
            <w:tcW w:w="2962" w:type="dxa"/>
            <w:tcBorders>
              <w:top w:val="single" w:sz="4" w:space="0" w:color="C9C9C9"/>
              <w:left w:val="single" w:sz="4" w:space="0" w:color="C9C9C9"/>
              <w:bottom w:val="single" w:sz="4" w:space="0" w:color="C9C9C9"/>
              <w:right w:val="single" w:sz="4" w:space="0" w:color="C9C9C9"/>
            </w:tcBorders>
            <w:shd w:val="clear" w:color="auto" w:fill="auto"/>
            <w:tcMar>
              <w:top w:w="80" w:type="dxa"/>
              <w:left w:w="80" w:type="dxa"/>
              <w:bottom w:w="80" w:type="dxa"/>
              <w:right w:w="80" w:type="dxa"/>
            </w:tcMar>
          </w:tcPr>
          <w:p w14:paraId="7451D696" w14:textId="77777777" w:rsidR="00D35E43" w:rsidRPr="00B754D8" w:rsidRDefault="00CD7861">
            <w:pPr>
              <w:pStyle w:val="CuerpoA"/>
            </w:pPr>
            <w:r w:rsidRPr="00B754D8">
              <w:rPr>
                <w:rStyle w:val="Ninguno"/>
                <w:rFonts w:ascii="Arial" w:hAnsi="Arial"/>
                <w:sz w:val="24"/>
                <w:szCs w:val="24"/>
              </w:rPr>
              <w:t>11</w:t>
            </w:r>
          </w:p>
        </w:tc>
        <w:tc>
          <w:tcPr>
            <w:tcW w:w="2975" w:type="dxa"/>
            <w:tcBorders>
              <w:top w:val="single" w:sz="4" w:space="0" w:color="C9C9C9"/>
              <w:left w:val="single" w:sz="4" w:space="0" w:color="C9C9C9"/>
              <w:bottom w:val="single" w:sz="4" w:space="0" w:color="C9C9C9"/>
              <w:right w:val="single" w:sz="4" w:space="0" w:color="C9C9C9"/>
            </w:tcBorders>
            <w:shd w:val="clear" w:color="auto" w:fill="auto"/>
            <w:tcMar>
              <w:top w:w="80" w:type="dxa"/>
              <w:left w:w="80" w:type="dxa"/>
              <w:bottom w:w="80" w:type="dxa"/>
              <w:right w:w="80" w:type="dxa"/>
            </w:tcMar>
          </w:tcPr>
          <w:p w14:paraId="02A237CD" w14:textId="77777777" w:rsidR="00D35E43" w:rsidRPr="00B754D8" w:rsidRDefault="00CD7861">
            <w:pPr>
              <w:pStyle w:val="CuerpoA"/>
            </w:pPr>
            <w:r w:rsidRPr="00B754D8">
              <w:rPr>
                <w:rStyle w:val="Ninguno"/>
                <w:rFonts w:ascii="Arial" w:hAnsi="Arial"/>
                <w:sz w:val="24"/>
                <w:szCs w:val="24"/>
              </w:rPr>
              <w:t>4</w:t>
            </w:r>
          </w:p>
        </w:tc>
      </w:tr>
      <w:tr w:rsidR="00D35E43" w:rsidRPr="00B754D8" w14:paraId="0A6FDACC" w14:textId="77777777">
        <w:trPr>
          <w:trHeight w:val="292"/>
        </w:trPr>
        <w:tc>
          <w:tcPr>
            <w:tcW w:w="2695" w:type="dxa"/>
            <w:tcBorders>
              <w:top w:val="single" w:sz="4" w:space="0" w:color="C9C9C9"/>
              <w:left w:val="single" w:sz="4" w:space="0" w:color="C9C9C9"/>
              <w:bottom w:val="single" w:sz="4" w:space="0" w:color="C9C9C9"/>
              <w:right w:val="single" w:sz="4" w:space="0" w:color="C9C9C9"/>
            </w:tcBorders>
            <w:shd w:val="clear" w:color="auto" w:fill="EDEDED"/>
            <w:tcMar>
              <w:top w:w="80" w:type="dxa"/>
              <w:left w:w="80" w:type="dxa"/>
              <w:bottom w:w="80" w:type="dxa"/>
              <w:right w:w="80" w:type="dxa"/>
            </w:tcMar>
          </w:tcPr>
          <w:p w14:paraId="469263D1" w14:textId="77777777" w:rsidR="00D35E43" w:rsidRPr="00B754D8" w:rsidRDefault="00CD7861">
            <w:pPr>
              <w:pStyle w:val="CuerpoA"/>
            </w:pPr>
            <w:r w:rsidRPr="00B754D8">
              <w:rPr>
                <w:rStyle w:val="Ninguno"/>
                <w:rFonts w:ascii="Arial" w:hAnsi="Arial"/>
                <w:sz w:val="24"/>
                <w:szCs w:val="24"/>
              </w:rPr>
              <w:t>2015</w:t>
            </w:r>
          </w:p>
        </w:tc>
        <w:tc>
          <w:tcPr>
            <w:tcW w:w="2962" w:type="dxa"/>
            <w:tcBorders>
              <w:top w:val="single" w:sz="4" w:space="0" w:color="C9C9C9"/>
              <w:left w:val="single" w:sz="4" w:space="0" w:color="C9C9C9"/>
              <w:bottom w:val="single" w:sz="4" w:space="0" w:color="C9C9C9"/>
              <w:right w:val="single" w:sz="4" w:space="0" w:color="C9C9C9"/>
            </w:tcBorders>
            <w:shd w:val="clear" w:color="auto" w:fill="EDEDED"/>
            <w:tcMar>
              <w:top w:w="80" w:type="dxa"/>
              <w:left w:w="80" w:type="dxa"/>
              <w:bottom w:w="80" w:type="dxa"/>
              <w:right w:w="80" w:type="dxa"/>
            </w:tcMar>
          </w:tcPr>
          <w:p w14:paraId="790C2589" w14:textId="77777777" w:rsidR="00D35E43" w:rsidRPr="00B754D8" w:rsidRDefault="00CD7861">
            <w:pPr>
              <w:pStyle w:val="CuerpoA"/>
            </w:pPr>
            <w:r w:rsidRPr="00B754D8">
              <w:rPr>
                <w:rStyle w:val="Ninguno"/>
                <w:rFonts w:ascii="Arial" w:hAnsi="Arial"/>
                <w:sz w:val="24"/>
                <w:szCs w:val="24"/>
              </w:rPr>
              <w:t>16</w:t>
            </w:r>
          </w:p>
        </w:tc>
        <w:tc>
          <w:tcPr>
            <w:tcW w:w="2975" w:type="dxa"/>
            <w:tcBorders>
              <w:top w:val="single" w:sz="4" w:space="0" w:color="C9C9C9"/>
              <w:left w:val="single" w:sz="4" w:space="0" w:color="C9C9C9"/>
              <w:bottom w:val="single" w:sz="4" w:space="0" w:color="C9C9C9"/>
              <w:right w:val="single" w:sz="4" w:space="0" w:color="C9C9C9"/>
            </w:tcBorders>
            <w:shd w:val="clear" w:color="auto" w:fill="EDEDED"/>
            <w:tcMar>
              <w:top w:w="80" w:type="dxa"/>
              <w:left w:w="80" w:type="dxa"/>
              <w:bottom w:w="80" w:type="dxa"/>
              <w:right w:w="80" w:type="dxa"/>
            </w:tcMar>
          </w:tcPr>
          <w:p w14:paraId="6208E617" w14:textId="77777777" w:rsidR="00D35E43" w:rsidRPr="00B754D8" w:rsidRDefault="00CD7861">
            <w:pPr>
              <w:pStyle w:val="CuerpoA"/>
            </w:pPr>
            <w:r w:rsidRPr="00B754D8">
              <w:rPr>
                <w:rStyle w:val="Ninguno"/>
                <w:rFonts w:ascii="Arial" w:hAnsi="Arial"/>
                <w:sz w:val="24"/>
                <w:szCs w:val="24"/>
              </w:rPr>
              <w:t>12</w:t>
            </w:r>
          </w:p>
        </w:tc>
      </w:tr>
      <w:tr w:rsidR="00D35E43" w:rsidRPr="00B754D8" w14:paraId="6AB658DB" w14:textId="77777777">
        <w:trPr>
          <w:trHeight w:val="292"/>
        </w:trPr>
        <w:tc>
          <w:tcPr>
            <w:tcW w:w="2695" w:type="dxa"/>
            <w:tcBorders>
              <w:top w:val="single" w:sz="4" w:space="0" w:color="C9C9C9"/>
              <w:left w:val="single" w:sz="4" w:space="0" w:color="C9C9C9"/>
              <w:bottom w:val="single" w:sz="4" w:space="0" w:color="C9C9C9"/>
              <w:right w:val="single" w:sz="4" w:space="0" w:color="C9C9C9"/>
            </w:tcBorders>
            <w:shd w:val="clear" w:color="auto" w:fill="auto"/>
            <w:tcMar>
              <w:top w:w="80" w:type="dxa"/>
              <w:left w:w="80" w:type="dxa"/>
              <w:bottom w:w="80" w:type="dxa"/>
              <w:right w:w="80" w:type="dxa"/>
            </w:tcMar>
          </w:tcPr>
          <w:p w14:paraId="002980CE" w14:textId="77777777" w:rsidR="00D35E43" w:rsidRPr="00B754D8" w:rsidRDefault="00CD7861">
            <w:pPr>
              <w:pStyle w:val="CuerpoA"/>
            </w:pPr>
            <w:r w:rsidRPr="00B754D8">
              <w:rPr>
                <w:rStyle w:val="Ninguno"/>
                <w:rFonts w:ascii="Arial" w:hAnsi="Arial"/>
                <w:sz w:val="24"/>
                <w:szCs w:val="24"/>
              </w:rPr>
              <w:t>2016</w:t>
            </w:r>
          </w:p>
        </w:tc>
        <w:tc>
          <w:tcPr>
            <w:tcW w:w="2962" w:type="dxa"/>
            <w:tcBorders>
              <w:top w:val="single" w:sz="4" w:space="0" w:color="C9C9C9"/>
              <w:left w:val="single" w:sz="4" w:space="0" w:color="C9C9C9"/>
              <w:bottom w:val="single" w:sz="4" w:space="0" w:color="C9C9C9"/>
              <w:right w:val="single" w:sz="4" w:space="0" w:color="C9C9C9"/>
            </w:tcBorders>
            <w:shd w:val="clear" w:color="auto" w:fill="auto"/>
            <w:tcMar>
              <w:top w:w="80" w:type="dxa"/>
              <w:left w:w="80" w:type="dxa"/>
              <w:bottom w:w="80" w:type="dxa"/>
              <w:right w:w="80" w:type="dxa"/>
            </w:tcMar>
          </w:tcPr>
          <w:p w14:paraId="533F1742" w14:textId="77777777" w:rsidR="00D35E43" w:rsidRPr="00B754D8" w:rsidRDefault="00CD7861">
            <w:pPr>
              <w:pStyle w:val="CuerpoA"/>
            </w:pPr>
            <w:r w:rsidRPr="00B754D8">
              <w:rPr>
                <w:rStyle w:val="Ninguno"/>
                <w:rFonts w:ascii="Arial" w:hAnsi="Arial"/>
                <w:sz w:val="24"/>
                <w:szCs w:val="24"/>
              </w:rPr>
              <w:t>27</w:t>
            </w:r>
          </w:p>
        </w:tc>
        <w:tc>
          <w:tcPr>
            <w:tcW w:w="2975" w:type="dxa"/>
            <w:tcBorders>
              <w:top w:val="single" w:sz="4" w:space="0" w:color="C9C9C9"/>
              <w:left w:val="single" w:sz="4" w:space="0" w:color="C9C9C9"/>
              <w:bottom w:val="single" w:sz="4" w:space="0" w:color="C9C9C9"/>
              <w:right w:val="single" w:sz="4" w:space="0" w:color="C9C9C9"/>
            </w:tcBorders>
            <w:shd w:val="clear" w:color="auto" w:fill="auto"/>
            <w:tcMar>
              <w:top w:w="80" w:type="dxa"/>
              <w:left w:w="80" w:type="dxa"/>
              <w:bottom w:w="80" w:type="dxa"/>
              <w:right w:w="80" w:type="dxa"/>
            </w:tcMar>
          </w:tcPr>
          <w:p w14:paraId="366C1034" w14:textId="77777777" w:rsidR="00D35E43" w:rsidRPr="00B754D8" w:rsidRDefault="00CD7861">
            <w:pPr>
              <w:pStyle w:val="CuerpoA"/>
            </w:pPr>
            <w:r w:rsidRPr="00B754D8">
              <w:rPr>
                <w:rStyle w:val="Ninguno"/>
                <w:rFonts w:ascii="Arial" w:hAnsi="Arial"/>
                <w:sz w:val="24"/>
                <w:szCs w:val="24"/>
              </w:rPr>
              <w:t>28</w:t>
            </w:r>
          </w:p>
        </w:tc>
      </w:tr>
      <w:tr w:rsidR="00D35E43" w:rsidRPr="00B754D8" w14:paraId="036AC2F9" w14:textId="77777777">
        <w:trPr>
          <w:trHeight w:val="292"/>
        </w:trPr>
        <w:tc>
          <w:tcPr>
            <w:tcW w:w="2695" w:type="dxa"/>
            <w:tcBorders>
              <w:top w:val="single" w:sz="4" w:space="0" w:color="C9C9C9"/>
              <w:left w:val="single" w:sz="4" w:space="0" w:color="C9C9C9"/>
              <w:bottom w:val="single" w:sz="4" w:space="0" w:color="C9C9C9"/>
              <w:right w:val="single" w:sz="4" w:space="0" w:color="C9C9C9"/>
            </w:tcBorders>
            <w:shd w:val="clear" w:color="auto" w:fill="EDEDED"/>
            <w:tcMar>
              <w:top w:w="80" w:type="dxa"/>
              <w:left w:w="80" w:type="dxa"/>
              <w:bottom w:w="80" w:type="dxa"/>
              <w:right w:w="80" w:type="dxa"/>
            </w:tcMar>
          </w:tcPr>
          <w:p w14:paraId="707BABB6" w14:textId="77777777" w:rsidR="00D35E43" w:rsidRPr="00B754D8" w:rsidRDefault="00CD7861">
            <w:pPr>
              <w:pStyle w:val="CuerpoA"/>
            </w:pPr>
            <w:r w:rsidRPr="00B754D8">
              <w:rPr>
                <w:rStyle w:val="Ninguno"/>
                <w:rFonts w:ascii="Arial" w:hAnsi="Arial"/>
                <w:sz w:val="24"/>
                <w:szCs w:val="24"/>
              </w:rPr>
              <w:t>2017</w:t>
            </w:r>
          </w:p>
        </w:tc>
        <w:tc>
          <w:tcPr>
            <w:tcW w:w="2962" w:type="dxa"/>
            <w:tcBorders>
              <w:top w:val="single" w:sz="4" w:space="0" w:color="C9C9C9"/>
              <w:left w:val="single" w:sz="4" w:space="0" w:color="C9C9C9"/>
              <w:bottom w:val="single" w:sz="4" w:space="0" w:color="C9C9C9"/>
              <w:right w:val="single" w:sz="4" w:space="0" w:color="C9C9C9"/>
            </w:tcBorders>
            <w:shd w:val="clear" w:color="auto" w:fill="EDEDED"/>
            <w:tcMar>
              <w:top w:w="80" w:type="dxa"/>
              <w:left w:w="80" w:type="dxa"/>
              <w:bottom w:w="80" w:type="dxa"/>
              <w:right w:w="80" w:type="dxa"/>
            </w:tcMar>
          </w:tcPr>
          <w:p w14:paraId="5377635F" w14:textId="77777777" w:rsidR="00D35E43" w:rsidRPr="00B754D8" w:rsidRDefault="00CD7861">
            <w:pPr>
              <w:pStyle w:val="CuerpoA"/>
            </w:pPr>
            <w:r w:rsidRPr="00B754D8">
              <w:rPr>
                <w:rStyle w:val="Ninguno"/>
                <w:rFonts w:ascii="Arial" w:hAnsi="Arial"/>
                <w:sz w:val="24"/>
                <w:szCs w:val="24"/>
              </w:rPr>
              <w:t>66</w:t>
            </w:r>
          </w:p>
        </w:tc>
        <w:tc>
          <w:tcPr>
            <w:tcW w:w="2975" w:type="dxa"/>
            <w:tcBorders>
              <w:top w:val="single" w:sz="4" w:space="0" w:color="C9C9C9"/>
              <w:left w:val="single" w:sz="4" w:space="0" w:color="C9C9C9"/>
              <w:bottom w:val="single" w:sz="4" w:space="0" w:color="C9C9C9"/>
              <w:right w:val="single" w:sz="4" w:space="0" w:color="C9C9C9"/>
            </w:tcBorders>
            <w:shd w:val="clear" w:color="auto" w:fill="EDEDED"/>
            <w:tcMar>
              <w:top w:w="80" w:type="dxa"/>
              <w:left w:w="80" w:type="dxa"/>
              <w:bottom w:w="80" w:type="dxa"/>
              <w:right w:w="80" w:type="dxa"/>
            </w:tcMar>
          </w:tcPr>
          <w:p w14:paraId="262C0FE6" w14:textId="77777777" w:rsidR="00D35E43" w:rsidRPr="00B754D8" w:rsidRDefault="00CD7861">
            <w:pPr>
              <w:pStyle w:val="CuerpoA"/>
            </w:pPr>
            <w:r w:rsidRPr="00B754D8">
              <w:rPr>
                <w:rStyle w:val="Ninguno"/>
                <w:rFonts w:ascii="Arial" w:hAnsi="Arial"/>
                <w:sz w:val="24"/>
                <w:szCs w:val="24"/>
              </w:rPr>
              <w:t>32</w:t>
            </w:r>
          </w:p>
        </w:tc>
      </w:tr>
      <w:tr w:rsidR="00D35E43" w:rsidRPr="00B754D8" w14:paraId="18B34C26" w14:textId="77777777">
        <w:trPr>
          <w:trHeight w:val="292"/>
        </w:trPr>
        <w:tc>
          <w:tcPr>
            <w:tcW w:w="2695" w:type="dxa"/>
            <w:tcBorders>
              <w:top w:val="single" w:sz="4" w:space="0" w:color="C9C9C9"/>
              <w:left w:val="single" w:sz="4" w:space="0" w:color="C9C9C9"/>
              <w:bottom w:val="single" w:sz="4" w:space="0" w:color="C9C9C9"/>
              <w:right w:val="single" w:sz="4" w:space="0" w:color="C9C9C9"/>
            </w:tcBorders>
            <w:shd w:val="clear" w:color="auto" w:fill="auto"/>
            <w:tcMar>
              <w:top w:w="80" w:type="dxa"/>
              <w:left w:w="80" w:type="dxa"/>
              <w:bottom w:w="80" w:type="dxa"/>
              <w:right w:w="80" w:type="dxa"/>
            </w:tcMar>
          </w:tcPr>
          <w:p w14:paraId="31C68AD2" w14:textId="77777777" w:rsidR="00D35E43" w:rsidRPr="00B754D8" w:rsidRDefault="00CD7861">
            <w:pPr>
              <w:pStyle w:val="CuerpoA"/>
            </w:pPr>
            <w:r w:rsidRPr="00B754D8">
              <w:rPr>
                <w:rStyle w:val="Ninguno"/>
                <w:rFonts w:ascii="Arial" w:hAnsi="Arial"/>
                <w:sz w:val="24"/>
                <w:szCs w:val="24"/>
              </w:rPr>
              <w:t>2018</w:t>
            </w:r>
          </w:p>
        </w:tc>
        <w:tc>
          <w:tcPr>
            <w:tcW w:w="2962" w:type="dxa"/>
            <w:tcBorders>
              <w:top w:val="single" w:sz="4" w:space="0" w:color="C9C9C9"/>
              <w:left w:val="single" w:sz="4" w:space="0" w:color="C9C9C9"/>
              <w:bottom w:val="single" w:sz="4" w:space="0" w:color="C9C9C9"/>
              <w:right w:val="single" w:sz="4" w:space="0" w:color="C9C9C9"/>
            </w:tcBorders>
            <w:shd w:val="clear" w:color="auto" w:fill="auto"/>
            <w:tcMar>
              <w:top w:w="80" w:type="dxa"/>
              <w:left w:w="80" w:type="dxa"/>
              <w:bottom w:w="80" w:type="dxa"/>
              <w:right w:w="80" w:type="dxa"/>
            </w:tcMar>
          </w:tcPr>
          <w:p w14:paraId="28C87541" w14:textId="77777777" w:rsidR="00D35E43" w:rsidRPr="00B754D8" w:rsidRDefault="00CD7861">
            <w:pPr>
              <w:pStyle w:val="CuerpoA"/>
            </w:pPr>
            <w:r w:rsidRPr="00B754D8">
              <w:rPr>
                <w:rStyle w:val="Ninguno"/>
                <w:rFonts w:ascii="Arial" w:hAnsi="Arial"/>
                <w:sz w:val="24"/>
                <w:szCs w:val="24"/>
              </w:rPr>
              <w:t>96</w:t>
            </w:r>
          </w:p>
        </w:tc>
        <w:tc>
          <w:tcPr>
            <w:tcW w:w="2975" w:type="dxa"/>
            <w:tcBorders>
              <w:top w:val="single" w:sz="4" w:space="0" w:color="C9C9C9"/>
              <w:left w:val="single" w:sz="4" w:space="0" w:color="C9C9C9"/>
              <w:bottom w:val="single" w:sz="4" w:space="0" w:color="C9C9C9"/>
              <w:right w:val="single" w:sz="4" w:space="0" w:color="C9C9C9"/>
            </w:tcBorders>
            <w:shd w:val="clear" w:color="auto" w:fill="auto"/>
            <w:tcMar>
              <w:top w:w="80" w:type="dxa"/>
              <w:left w:w="80" w:type="dxa"/>
              <w:bottom w:w="80" w:type="dxa"/>
              <w:right w:w="80" w:type="dxa"/>
            </w:tcMar>
          </w:tcPr>
          <w:p w14:paraId="2D4705B9" w14:textId="77777777" w:rsidR="00D35E43" w:rsidRPr="00B754D8" w:rsidRDefault="00CD7861">
            <w:pPr>
              <w:pStyle w:val="CuerpoA"/>
            </w:pPr>
            <w:r w:rsidRPr="00B754D8">
              <w:rPr>
                <w:rStyle w:val="Ninguno"/>
                <w:rFonts w:ascii="Arial" w:hAnsi="Arial"/>
                <w:sz w:val="24"/>
                <w:szCs w:val="24"/>
              </w:rPr>
              <w:t>45</w:t>
            </w:r>
          </w:p>
        </w:tc>
      </w:tr>
      <w:tr w:rsidR="00D35E43" w:rsidRPr="00B754D8" w14:paraId="5D1D71C9" w14:textId="77777777">
        <w:trPr>
          <w:trHeight w:val="292"/>
        </w:trPr>
        <w:tc>
          <w:tcPr>
            <w:tcW w:w="2695" w:type="dxa"/>
            <w:tcBorders>
              <w:top w:val="single" w:sz="4" w:space="0" w:color="C9C9C9"/>
              <w:left w:val="single" w:sz="4" w:space="0" w:color="C9C9C9"/>
              <w:bottom w:val="single" w:sz="4" w:space="0" w:color="C9C9C9"/>
              <w:right w:val="single" w:sz="4" w:space="0" w:color="C9C9C9"/>
            </w:tcBorders>
            <w:shd w:val="clear" w:color="auto" w:fill="EDEDED"/>
            <w:tcMar>
              <w:top w:w="80" w:type="dxa"/>
              <w:left w:w="80" w:type="dxa"/>
              <w:bottom w:w="80" w:type="dxa"/>
              <w:right w:w="80" w:type="dxa"/>
            </w:tcMar>
          </w:tcPr>
          <w:p w14:paraId="317CFB4A" w14:textId="77777777" w:rsidR="00D35E43" w:rsidRPr="00B754D8" w:rsidRDefault="00CD7861">
            <w:pPr>
              <w:pStyle w:val="CuerpoA"/>
            </w:pPr>
            <w:r w:rsidRPr="00B754D8">
              <w:rPr>
                <w:rStyle w:val="Ninguno"/>
                <w:rFonts w:ascii="Arial" w:hAnsi="Arial"/>
                <w:sz w:val="24"/>
                <w:szCs w:val="24"/>
              </w:rPr>
              <w:t xml:space="preserve">2019 </w:t>
            </w:r>
          </w:p>
        </w:tc>
        <w:tc>
          <w:tcPr>
            <w:tcW w:w="2962" w:type="dxa"/>
            <w:tcBorders>
              <w:top w:val="single" w:sz="4" w:space="0" w:color="C9C9C9"/>
              <w:left w:val="single" w:sz="4" w:space="0" w:color="C9C9C9"/>
              <w:bottom w:val="single" w:sz="4" w:space="0" w:color="C9C9C9"/>
              <w:right w:val="single" w:sz="4" w:space="0" w:color="C9C9C9"/>
            </w:tcBorders>
            <w:shd w:val="clear" w:color="auto" w:fill="EDEDED"/>
            <w:tcMar>
              <w:top w:w="80" w:type="dxa"/>
              <w:left w:w="80" w:type="dxa"/>
              <w:bottom w:w="80" w:type="dxa"/>
              <w:right w:w="80" w:type="dxa"/>
            </w:tcMar>
          </w:tcPr>
          <w:p w14:paraId="22C1032D" w14:textId="77777777" w:rsidR="00D35E43" w:rsidRPr="00B754D8" w:rsidRDefault="00CD7861">
            <w:pPr>
              <w:pStyle w:val="CuerpoA"/>
            </w:pPr>
            <w:r w:rsidRPr="00B754D8">
              <w:rPr>
                <w:rStyle w:val="Ninguno"/>
                <w:rFonts w:ascii="Arial" w:hAnsi="Arial"/>
                <w:sz w:val="24"/>
                <w:szCs w:val="24"/>
              </w:rPr>
              <w:t>69</w:t>
            </w:r>
          </w:p>
        </w:tc>
        <w:tc>
          <w:tcPr>
            <w:tcW w:w="2975" w:type="dxa"/>
            <w:tcBorders>
              <w:top w:val="single" w:sz="4" w:space="0" w:color="C9C9C9"/>
              <w:left w:val="single" w:sz="4" w:space="0" w:color="C9C9C9"/>
              <w:bottom w:val="single" w:sz="4" w:space="0" w:color="C9C9C9"/>
              <w:right w:val="single" w:sz="4" w:space="0" w:color="C9C9C9"/>
            </w:tcBorders>
            <w:shd w:val="clear" w:color="auto" w:fill="EDEDED"/>
            <w:tcMar>
              <w:top w:w="80" w:type="dxa"/>
              <w:left w:w="80" w:type="dxa"/>
              <w:bottom w:w="80" w:type="dxa"/>
              <w:right w:w="80" w:type="dxa"/>
            </w:tcMar>
          </w:tcPr>
          <w:p w14:paraId="61A39F26" w14:textId="77777777" w:rsidR="00D35E43" w:rsidRPr="00B754D8" w:rsidRDefault="00CD7861">
            <w:pPr>
              <w:pStyle w:val="CuerpoA"/>
            </w:pPr>
            <w:r w:rsidRPr="00B754D8">
              <w:rPr>
                <w:rStyle w:val="Ninguno"/>
                <w:rFonts w:ascii="Arial" w:hAnsi="Arial"/>
                <w:sz w:val="24"/>
                <w:szCs w:val="24"/>
              </w:rPr>
              <w:t>44</w:t>
            </w:r>
          </w:p>
        </w:tc>
      </w:tr>
      <w:tr w:rsidR="00D35E43" w:rsidRPr="00B754D8" w14:paraId="33B07678" w14:textId="77777777">
        <w:trPr>
          <w:trHeight w:val="292"/>
        </w:trPr>
        <w:tc>
          <w:tcPr>
            <w:tcW w:w="2695" w:type="dxa"/>
            <w:tcBorders>
              <w:top w:val="single" w:sz="4" w:space="0" w:color="C9C9C9"/>
              <w:left w:val="single" w:sz="4" w:space="0" w:color="C9C9C9"/>
              <w:bottom w:val="single" w:sz="4" w:space="0" w:color="C9C9C9"/>
              <w:right w:val="single" w:sz="4" w:space="0" w:color="C9C9C9"/>
            </w:tcBorders>
            <w:shd w:val="clear" w:color="auto" w:fill="auto"/>
            <w:tcMar>
              <w:top w:w="80" w:type="dxa"/>
              <w:left w:w="80" w:type="dxa"/>
              <w:bottom w:w="80" w:type="dxa"/>
              <w:right w:w="80" w:type="dxa"/>
            </w:tcMar>
          </w:tcPr>
          <w:p w14:paraId="4DA304F5" w14:textId="77777777" w:rsidR="00D35E43" w:rsidRPr="00B754D8" w:rsidRDefault="00CD7861">
            <w:pPr>
              <w:pStyle w:val="CuerpoA"/>
            </w:pPr>
            <w:r w:rsidRPr="00B754D8">
              <w:rPr>
                <w:rStyle w:val="Ninguno"/>
                <w:rFonts w:ascii="Arial" w:hAnsi="Arial"/>
                <w:sz w:val="24"/>
                <w:szCs w:val="24"/>
              </w:rPr>
              <w:t>TOTAL</w:t>
            </w:r>
          </w:p>
        </w:tc>
        <w:tc>
          <w:tcPr>
            <w:tcW w:w="2962" w:type="dxa"/>
            <w:tcBorders>
              <w:top w:val="single" w:sz="4" w:space="0" w:color="C9C9C9"/>
              <w:left w:val="single" w:sz="4" w:space="0" w:color="C9C9C9"/>
              <w:bottom w:val="single" w:sz="4" w:space="0" w:color="C9C9C9"/>
              <w:right w:val="single" w:sz="4" w:space="0" w:color="C9C9C9"/>
            </w:tcBorders>
            <w:shd w:val="clear" w:color="auto" w:fill="auto"/>
            <w:tcMar>
              <w:top w:w="80" w:type="dxa"/>
              <w:left w:w="80" w:type="dxa"/>
              <w:bottom w:w="80" w:type="dxa"/>
              <w:right w:w="80" w:type="dxa"/>
            </w:tcMar>
          </w:tcPr>
          <w:p w14:paraId="02021C26" w14:textId="77777777" w:rsidR="00D35E43" w:rsidRPr="00B754D8" w:rsidRDefault="00CD7861">
            <w:pPr>
              <w:pStyle w:val="CuerpoA"/>
            </w:pPr>
            <w:r w:rsidRPr="00B754D8">
              <w:rPr>
                <w:rStyle w:val="Ninguno"/>
                <w:rFonts w:ascii="Arial" w:hAnsi="Arial"/>
                <w:sz w:val="24"/>
                <w:szCs w:val="24"/>
              </w:rPr>
              <w:t>290</w:t>
            </w:r>
          </w:p>
        </w:tc>
        <w:tc>
          <w:tcPr>
            <w:tcW w:w="2975" w:type="dxa"/>
            <w:tcBorders>
              <w:top w:val="single" w:sz="4" w:space="0" w:color="C9C9C9"/>
              <w:left w:val="single" w:sz="4" w:space="0" w:color="C9C9C9"/>
              <w:bottom w:val="single" w:sz="4" w:space="0" w:color="C9C9C9"/>
              <w:right w:val="single" w:sz="4" w:space="0" w:color="C9C9C9"/>
            </w:tcBorders>
            <w:shd w:val="clear" w:color="auto" w:fill="auto"/>
            <w:tcMar>
              <w:top w:w="80" w:type="dxa"/>
              <w:left w:w="80" w:type="dxa"/>
              <w:bottom w:w="80" w:type="dxa"/>
              <w:right w:w="80" w:type="dxa"/>
            </w:tcMar>
          </w:tcPr>
          <w:p w14:paraId="25FE9BEC" w14:textId="77777777" w:rsidR="00D35E43" w:rsidRPr="00B754D8" w:rsidRDefault="00CD7861">
            <w:pPr>
              <w:pStyle w:val="CuerpoA"/>
            </w:pPr>
            <w:r w:rsidRPr="00B754D8">
              <w:rPr>
                <w:rStyle w:val="Ninguno"/>
                <w:rFonts w:ascii="Arial" w:hAnsi="Arial"/>
                <w:sz w:val="24"/>
                <w:szCs w:val="24"/>
              </w:rPr>
              <w:t>170</w:t>
            </w:r>
          </w:p>
        </w:tc>
      </w:tr>
    </w:tbl>
    <w:p w14:paraId="13BD99E3" w14:textId="77777777" w:rsidR="00D35E43" w:rsidRPr="00B754D8" w:rsidRDefault="00D35E43">
      <w:pPr>
        <w:pStyle w:val="CuerpoA"/>
        <w:widowControl w:val="0"/>
        <w:spacing w:line="240" w:lineRule="auto"/>
        <w:ind w:left="304" w:hanging="304"/>
        <w:jc w:val="both"/>
        <w:rPr>
          <w:rStyle w:val="Ninguno"/>
          <w:rFonts w:ascii="Arial" w:eastAsia="Arial" w:hAnsi="Arial" w:cs="Arial"/>
          <w:sz w:val="24"/>
          <w:szCs w:val="24"/>
        </w:rPr>
      </w:pPr>
    </w:p>
    <w:p w14:paraId="6BC54718" w14:textId="77777777" w:rsidR="00D35E43" w:rsidRPr="00B754D8" w:rsidRDefault="00D35E43">
      <w:pPr>
        <w:pStyle w:val="CuerpoA"/>
        <w:widowControl w:val="0"/>
        <w:spacing w:line="240" w:lineRule="auto"/>
        <w:ind w:left="196" w:hanging="196"/>
        <w:jc w:val="both"/>
        <w:rPr>
          <w:rStyle w:val="Hyperlink4"/>
          <w:sz w:val="24"/>
          <w:szCs w:val="24"/>
        </w:rPr>
      </w:pPr>
    </w:p>
    <w:p w14:paraId="0A455550" w14:textId="77777777" w:rsidR="00D35E43" w:rsidRPr="00B754D8" w:rsidRDefault="00D35E43">
      <w:pPr>
        <w:pStyle w:val="CuerpoA"/>
        <w:rPr>
          <w:rStyle w:val="Ninguno"/>
          <w:rFonts w:ascii="Arial" w:eastAsia="Arial" w:hAnsi="Arial" w:cs="Arial"/>
          <w:sz w:val="24"/>
          <w:szCs w:val="24"/>
          <w:u w:val="single"/>
        </w:rPr>
      </w:pPr>
    </w:p>
    <w:p w14:paraId="20E69FA1" w14:textId="77777777" w:rsidR="00D35E43" w:rsidRPr="00B754D8" w:rsidRDefault="00CD7861">
      <w:pPr>
        <w:pStyle w:val="CuerpoA"/>
        <w:rPr>
          <w:rStyle w:val="Ninguno"/>
          <w:rFonts w:ascii="Arial" w:eastAsia="Arial" w:hAnsi="Arial" w:cs="Arial"/>
          <w:b/>
          <w:bCs/>
          <w:sz w:val="24"/>
          <w:szCs w:val="24"/>
        </w:rPr>
      </w:pPr>
      <w:r w:rsidRPr="00B754D8">
        <w:rPr>
          <w:rStyle w:val="Ninguno"/>
          <w:rFonts w:ascii="Arial" w:hAnsi="Arial"/>
          <w:sz w:val="24"/>
          <w:szCs w:val="24"/>
          <w:u w:val="single"/>
        </w:rPr>
        <w:t>Medidas recientes que se han adoptado y en particular, del Mecanismo para la Protección de Personas Defensoras de Derechos Humanos y Periodistas</w:t>
      </w:r>
      <w:r w:rsidRPr="00B754D8">
        <w:rPr>
          <w:rStyle w:val="Ninguno"/>
          <w:rFonts w:ascii="Arial" w:hAnsi="Arial"/>
          <w:b/>
          <w:bCs/>
          <w:sz w:val="24"/>
          <w:szCs w:val="24"/>
        </w:rPr>
        <w:t xml:space="preserve">. </w:t>
      </w:r>
    </w:p>
    <w:p w14:paraId="4A86947E"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Respecto de las medidas para garantizar la protección de defensores de derechos humanos y periodistas dentro del Mecanismo para la Protección de Personas Defensoras y Periodistas, la CNDH ha estado presente en todas las sesiones ordinarias y extraordinarias de la Junta de Gobierno del Mecanismo, participa y colabora con las diversas autoridades que la conforman y con los beneficiarios, además de brindar la información que le es requerida para el robustecimiento de las evaluaciones de riesgo. </w:t>
      </w:r>
    </w:p>
    <w:p w14:paraId="27FB77AC"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En ese sentido, a través de la revisión y análisis minucioso de cada uno de los casos sometidos a la Junta de Gobierno, por medio de un proceso deliberativo de mayoría de votos, se determina brindar las medidas de protección más eficaces y acordes al contexto de riesgo que enfrentan tanto las personas defensoras de derechos humanos como los periodistas. Por su parte, la CNDH siempre está en pro de las personas beneficiarias y busca que cuenten con las medidas de protección necesarias e idóneas para que puedan continuar con su labor, ya sea en la defensa de los derechos humanos o en el ejercicio de la libertad de expresión. </w:t>
      </w:r>
    </w:p>
    <w:p w14:paraId="752AC96A"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En las Recomendaciones Generales No. 24 y No. 25, emitidas por la CNDH en febrero de 2016, se recomendó al Presidente de la Junta de Gobierno del Mecanismo para la Protección de Personas Defensoras de Derechos Humanos y Periodistas realizar las acciones adecuadas para mejorar dicho mecanismo, así como garantizar oportunas y adecuadas medidas de protección en favor de las personas beneficiarias, procurando la celeridad en su instauración, para evitar poner en riesgo su seguridad e integridad personal.  </w:t>
      </w:r>
    </w:p>
    <w:p w14:paraId="057DCFBD"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Asimismo, con la finalidad de proporcionar su apoyo para el adecuado funcionamiento del Mecanismo, este Organismo Nacional solicitó en abril de 2017</w:t>
      </w:r>
      <w:r w:rsidRPr="00B754D8">
        <w:rPr>
          <w:rStyle w:val="Ninguno"/>
          <w:rFonts w:ascii="Arial" w:eastAsia="Arial" w:hAnsi="Arial" w:cs="Arial"/>
          <w:sz w:val="24"/>
          <w:szCs w:val="24"/>
          <w:vertAlign w:val="superscript"/>
        </w:rPr>
        <w:footnoteReference w:id="33"/>
      </w:r>
      <w:r w:rsidRPr="00B754D8">
        <w:rPr>
          <w:rStyle w:val="Ninguno"/>
          <w:rFonts w:ascii="Arial" w:hAnsi="Arial"/>
          <w:sz w:val="24"/>
          <w:szCs w:val="24"/>
        </w:rPr>
        <w:t xml:space="preserve"> a la Secretaría de Hacienda y Crédito Público y a la Cámara de Diputados, destinar los recursos extraordinarios necesarios para que el Mecanismo continuara con su operación y el otorgamiento de medidas de protección durante 2017, además de solicitar se programara el presupuesto necesario para el ejercicio 2018. </w:t>
      </w:r>
    </w:p>
    <w:p w14:paraId="46972C40"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Ante la noticia del requerimiento de recursos adicionales para continuar con la operación y funcionamiento del Mecanismo citado, de nueva cuenta en 2018 este Organismo Nacional solicitó a la Secretaría de Hacienda y Crédito Público dotara </w:t>
      </w:r>
      <w:r w:rsidRPr="00B754D8">
        <w:rPr>
          <w:rStyle w:val="Ninguno"/>
          <w:rFonts w:ascii="Arial" w:hAnsi="Arial"/>
          <w:sz w:val="24"/>
          <w:szCs w:val="24"/>
        </w:rPr>
        <w:lastRenderedPageBreak/>
        <w:t xml:space="preserve">de los recursos presupuestales suficientes al Mecanismo para la Protección de Personas Defensoras de Derechos Humanos y Periodistas, ante el riesgo inminente de que quedara sin fondos desde el mes octubre de 2018 y se incumpliera la ley, poniendo en peligro la integridad de las personas beneficiarias del mismo. </w:t>
      </w:r>
    </w:p>
    <w:p w14:paraId="30895BA2" w14:textId="77777777" w:rsidR="00D35E43" w:rsidRPr="00B754D8" w:rsidRDefault="00CD7861">
      <w:pPr>
        <w:pStyle w:val="CuerpoA"/>
        <w:jc w:val="both"/>
        <w:rPr>
          <w:rStyle w:val="Ninguno"/>
          <w:rFonts w:ascii="Arial" w:eastAsia="Arial" w:hAnsi="Arial" w:cs="Arial"/>
          <w:sz w:val="24"/>
          <w:szCs w:val="24"/>
          <w:u w:val="single"/>
        </w:rPr>
      </w:pPr>
      <w:r w:rsidRPr="00B754D8">
        <w:rPr>
          <w:rStyle w:val="Ninguno"/>
          <w:rFonts w:ascii="Arial" w:hAnsi="Arial"/>
          <w:sz w:val="24"/>
          <w:szCs w:val="24"/>
          <w:u w:val="single"/>
        </w:rPr>
        <w:t>Número de denuncias relativos a amenazas y procesos penales relativos a amenazas, ataques violentos y asesinatos de periodistas y personas defensoras de derechos humanos y sus resultados, incluyendo condenas y medidas de reparación otorgadas a las víctimas.</w:t>
      </w:r>
    </w:p>
    <w:p w14:paraId="208D1B2A"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Este Organismo Nacional tiene competencia para conocer de quejas por presuntas violaciones a derechos humanos en agravio de personas defensoras de derechos humanos y periodistas, cuyo trámite se apega a lo establecido en la Ley y Reglamento de este Organismo Nacional. Al respecto, del periodo del 1 de enero de 2012 a 12 de agosto de 2019, dentro del Programa de Agravios a Periodistas y Defensores Civiles de Derechos Humanos se han registrado un total de 198 expedientes de queja en donde el quejoso o agraviado se trató de una persona defensora de derechos humanos y 361 casos en donde el quejoso o agraviado se trató de un periodista.  </w:t>
      </w:r>
    </w:p>
    <w:p w14:paraId="6057CE68" w14:textId="77777777" w:rsidR="00D35E43" w:rsidRPr="00B754D8" w:rsidRDefault="00CD7861">
      <w:pPr>
        <w:pStyle w:val="CuerpoA"/>
        <w:jc w:val="both"/>
        <w:rPr>
          <w:rStyle w:val="Ninguno"/>
          <w:rFonts w:ascii="Arial" w:eastAsia="Arial" w:hAnsi="Arial" w:cs="Arial"/>
          <w:sz w:val="24"/>
          <w:szCs w:val="24"/>
          <w:u w:val="single"/>
        </w:rPr>
      </w:pPr>
      <w:r w:rsidRPr="00B754D8">
        <w:rPr>
          <w:rStyle w:val="Ninguno"/>
          <w:rFonts w:ascii="Arial" w:hAnsi="Arial"/>
          <w:sz w:val="24"/>
          <w:szCs w:val="24"/>
          <w:u w:val="single"/>
        </w:rPr>
        <w:t xml:space="preserve">Medidas adoptadas para despenalizar la difamación y otros delitos de naturaleza similar en todas las entidades federativas. </w:t>
      </w:r>
    </w:p>
    <w:p w14:paraId="239655CF"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Este Organismo Nacional ha expuesto que es necesario impulsar la ley modelo relativa a la derogación de los tipos penales de calumnias, injurias y difamación que criminalizan el libre ejercicio de la libertad de expresión, en las entidades federativas en cuyas legislaciones penales aún se encuentran vigentes. </w:t>
      </w:r>
    </w:p>
    <w:p w14:paraId="59669A7F"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Por lo anterior, en 2015 la CNDH solicitó a las 9 entidades federativas la despenalización de los delitos contra el honor, y a 22 entidades se les requirió legislar respecto de la protección del secreto profesional periodístico. </w:t>
      </w:r>
    </w:p>
    <w:p w14:paraId="5041F219"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En el mismo sentido, este Organismo Nacional, en la Recomendación General No. 24, recomendó al Jefe de Gobierno de la Ciudad de México, así como a gobernadoras y gobernadores de los Estados, promover las adiciones y reformas necesarias ante las respectivas legislaturas que a esa fecha no lo hubieran hecho, con la finalidad de que los delitos de injurias, difamación y calumnias sean despenalizados.</w:t>
      </w:r>
    </w:p>
    <w:p w14:paraId="0CF17B82"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En el seguimiento del tema, este Organismo Nacional participó el pasado mes de julio del presente año en mesas de trabajo para la discusión del Proyecto de Decreto para derogar los “Delitos contra el Honor” (difamación y calumnia) que se presentó ante el Congreso del Estado Libre y Soberano de Hidalgo, ya que con este tipo de delitos se han visto criminalizados diversos ciudadanos y se busca la armonización de la legislación interna con los estándares internacionales, lo que motivó que se expidiera el Decreto número 202 en el Congreso en cita, por medio del cual se </w:t>
      </w:r>
      <w:r w:rsidRPr="00B754D8">
        <w:rPr>
          <w:rStyle w:val="Ninguno"/>
          <w:rFonts w:ascii="Arial" w:hAnsi="Arial"/>
          <w:sz w:val="24"/>
          <w:szCs w:val="24"/>
        </w:rPr>
        <w:lastRenderedPageBreak/>
        <w:t xml:space="preserve">derogó el título sexto del libro segundo, del Código Penal para el Estado de Hidalgo, decretó que aún se encuentra pendiente de su publicación por parte del Ejecutivo del Estado. </w:t>
      </w:r>
    </w:p>
    <w:p w14:paraId="271BD636" w14:textId="77777777" w:rsidR="00D35E43" w:rsidRPr="00B754D8" w:rsidRDefault="00CD7861">
      <w:pPr>
        <w:pStyle w:val="CuerpoA"/>
        <w:jc w:val="both"/>
        <w:rPr>
          <w:rStyle w:val="Ninguno"/>
          <w:rFonts w:ascii="Arial" w:eastAsia="Arial" w:hAnsi="Arial" w:cs="Arial"/>
          <w:sz w:val="24"/>
          <w:szCs w:val="24"/>
          <w:u w:val="single"/>
        </w:rPr>
      </w:pPr>
      <w:r w:rsidRPr="00B754D8">
        <w:rPr>
          <w:rStyle w:val="Ninguno"/>
          <w:rFonts w:ascii="Arial" w:hAnsi="Arial"/>
          <w:sz w:val="24"/>
          <w:szCs w:val="24"/>
          <w:u w:val="single"/>
        </w:rPr>
        <w:t>Recomendación General 25/2016</w:t>
      </w:r>
    </w:p>
    <w:p w14:paraId="71F5A0FE"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El 8 de julio 2016, se emitió la </w:t>
      </w:r>
      <w:r w:rsidRPr="00B754D8">
        <w:rPr>
          <w:rStyle w:val="Ninguno"/>
          <w:rFonts w:ascii="Arial" w:hAnsi="Arial"/>
          <w:b/>
          <w:bCs/>
          <w:sz w:val="24"/>
          <w:szCs w:val="24"/>
        </w:rPr>
        <w:t xml:space="preserve">Recomendación General No. 25 Sobre Agravios a Personas Defensoras de Derechos Humanos </w:t>
      </w:r>
      <w:r w:rsidRPr="00B754D8">
        <w:rPr>
          <w:rStyle w:val="Ninguno"/>
          <w:rFonts w:ascii="Arial" w:hAnsi="Arial"/>
          <w:sz w:val="24"/>
          <w:szCs w:val="24"/>
        </w:rPr>
        <w:t>en la que se recomendó al Presidente de la Junta de Gobierno del Mecanismo para la Protección de Personas Defensoras de Derechos Humanos y Periodistas realizar las acciones adecuadas para mejorar dicho mecanismo, así como de garantizar oportunas y adecuadas medidas de protección en favor de las personas beneficiarias, procurando la celeridad en su instauración, para evitar poner en riesgo su seguridad e integridad personal.</w:t>
      </w:r>
    </w:p>
    <w:p w14:paraId="772E2622" w14:textId="77777777" w:rsidR="00D35E43" w:rsidRPr="00B754D8" w:rsidRDefault="00CD7861">
      <w:pPr>
        <w:pStyle w:val="CuerpoA"/>
        <w:jc w:val="both"/>
        <w:rPr>
          <w:rStyle w:val="Ninguno"/>
          <w:rFonts w:ascii="Arial" w:eastAsia="Arial" w:hAnsi="Arial" w:cs="Arial"/>
          <w:sz w:val="24"/>
          <w:szCs w:val="24"/>
          <w:u w:val="single"/>
        </w:rPr>
      </w:pPr>
      <w:r w:rsidRPr="00B754D8">
        <w:rPr>
          <w:rStyle w:val="Ninguno"/>
          <w:rFonts w:ascii="Arial" w:hAnsi="Arial"/>
          <w:sz w:val="24"/>
          <w:szCs w:val="24"/>
          <w:u w:val="single"/>
        </w:rPr>
        <w:t>Recomendaciones particulares</w:t>
      </w:r>
    </w:p>
    <w:p w14:paraId="4079DBEA" w14:textId="77777777" w:rsidR="00D35E43" w:rsidRPr="00B754D8" w:rsidRDefault="00CD7861">
      <w:pPr>
        <w:pStyle w:val="CuerpoB"/>
        <w:jc w:val="both"/>
        <w:rPr>
          <w:rStyle w:val="Hyperlink4"/>
        </w:rPr>
      </w:pPr>
      <w:r w:rsidRPr="00B754D8">
        <w:rPr>
          <w:rStyle w:val="Hyperlink4"/>
        </w:rPr>
        <w:t>Respecto de otras acciones que la Comisión Nacional de los Derechos Humanos ha realizado para la protección de personas defensoras de derechos humanos y periodistas, se informa que de 2014 a la fecha, la CNDH ha emitido 4 recomendaciones en la que se acreditaron violaciones a los derechos fundamentales de personas defensoras de derechos humanos</w:t>
      </w:r>
      <w:r w:rsidRPr="00B754D8">
        <w:rPr>
          <w:rStyle w:val="Ninguno"/>
          <w:rFonts w:ascii="Arial" w:eastAsia="Arial" w:hAnsi="Arial" w:cs="Arial"/>
          <w:vertAlign w:val="superscript"/>
        </w:rPr>
        <w:footnoteReference w:id="34"/>
      </w:r>
      <w:r w:rsidRPr="00B754D8">
        <w:rPr>
          <w:rStyle w:val="Hyperlink4"/>
        </w:rPr>
        <w:t>; de igual forma, se han emitido 7 recomendaciones por violaciones a los derechos fundamentales de periodistas o comunicadores</w:t>
      </w:r>
      <w:r w:rsidRPr="00B754D8">
        <w:rPr>
          <w:rStyle w:val="Ninguno"/>
          <w:rFonts w:ascii="Arial" w:eastAsia="Arial" w:hAnsi="Arial" w:cs="Arial"/>
          <w:vertAlign w:val="superscript"/>
        </w:rPr>
        <w:footnoteReference w:id="35"/>
      </w:r>
      <w:r w:rsidRPr="00B754D8">
        <w:rPr>
          <w:rStyle w:val="Hyperlink4"/>
        </w:rPr>
        <w:t>.</w:t>
      </w:r>
    </w:p>
    <w:p w14:paraId="1DF679B3" w14:textId="77777777" w:rsidR="00D35E43" w:rsidRPr="00B754D8" w:rsidRDefault="00D35E43">
      <w:pPr>
        <w:pStyle w:val="CuerpoA"/>
        <w:jc w:val="both"/>
        <w:rPr>
          <w:rStyle w:val="Ninguno"/>
          <w:rFonts w:ascii="Arial" w:eastAsia="Arial" w:hAnsi="Arial" w:cs="Arial"/>
          <w:b/>
          <w:bCs/>
          <w:sz w:val="24"/>
          <w:szCs w:val="24"/>
        </w:rPr>
      </w:pPr>
    </w:p>
    <w:p w14:paraId="13A78BC4" w14:textId="77777777" w:rsidR="00D35E43" w:rsidRPr="00B754D8" w:rsidRDefault="00CD7861">
      <w:pPr>
        <w:pStyle w:val="CuerpoA"/>
        <w:jc w:val="both"/>
        <w:rPr>
          <w:rStyle w:val="Ninguno"/>
          <w:rFonts w:ascii="Arial" w:eastAsia="Arial" w:hAnsi="Arial" w:cs="Arial"/>
          <w:b/>
          <w:bCs/>
          <w:sz w:val="24"/>
          <w:szCs w:val="24"/>
        </w:rPr>
      </w:pPr>
      <w:r w:rsidRPr="00B754D8">
        <w:rPr>
          <w:rStyle w:val="Ninguno"/>
          <w:rFonts w:ascii="Arial" w:hAnsi="Arial"/>
          <w:b/>
          <w:bCs/>
          <w:sz w:val="24"/>
          <w:szCs w:val="24"/>
        </w:rPr>
        <w:t>Organismos Públicos de Derechos Humanos.</w:t>
      </w:r>
    </w:p>
    <w:p w14:paraId="1DA99979"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El Gobierno Mexicano ha expresado descalificaciones hacia</w:t>
      </w:r>
      <w:r w:rsidRPr="00B754D8">
        <w:rPr>
          <w:rStyle w:val="Ninguno"/>
          <w:rFonts w:ascii="Arial" w:hAnsi="Arial"/>
          <w:b/>
          <w:bCs/>
          <w:sz w:val="24"/>
          <w:szCs w:val="24"/>
        </w:rPr>
        <w:t xml:space="preserve"> </w:t>
      </w:r>
      <w:r w:rsidRPr="00B754D8">
        <w:rPr>
          <w:rStyle w:val="Ninguno"/>
          <w:rFonts w:ascii="Arial" w:hAnsi="Arial"/>
          <w:sz w:val="24"/>
          <w:szCs w:val="24"/>
        </w:rPr>
        <w:t>la Comisión Nacional de los Derechos Humanos de México (CNDH), resultado del rechazo del Gobierno Federal a la Recomendación 29/2019 de la Comisión Nacional de los Derechos Humanos de México, emitida el 31 de mayo, sobre derogación de las Reglas de Operación del Programa de Estancias Infantiles y la publicación del Programa de Apoyo para el Bienestar de las Niñas y Niños, Hijos de Madres Trabajadoras para el año fiscal 2019 (Programa de Apoyo para el Bienestar).  </w:t>
      </w:r>
    </w:p>
    <w:p w14:paraId="0E718470"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Por lo anterior,  esta Comisión Nacional solicitó una reunión a la Sra. Michelle Bachelet, Alta Comisionada de las Naciones Unidas para los Derechos Humanos, quien el pasado 8 de agosto recibió al Presidente de la CNDH,  para hablar de la Recomendación 29/2019 de la CNDH sobre Estancias Infantiles y la no aceptación de la recomendación por parte del Gobierno Federal, así como las descalificaciones por parte de altas autoridades del gobierno federal al trabajo de esta Institución Nacional de Derechos Humanos, por lo que se expuso el contenido de la recomendación con base en los compromisos adquiridos por el Estado mexicano.  </w:t>
      </w:r>
    </w:p>
    <w:p w14:paraId="33F2691F" w14:textId="380F5D1C"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lastRenderedPageBreak/>
        <w:t>Sin embargo, el pasado 21 de agosto,  la Comisión Permanente del Congreso de la Unión discutió la solicitud de la Comisión Nacional de los Derechos Humanos de México (CNDH), fundamentada en el artículo 46 inciso a) de la Ley de la CNDH,  para pedir la comparecencia de las y los titulares de las Secretarías de Bienestar, de Hacienda y Crédito Público, de la Comisión Nacional de Mejora Regulatoria, y del Sistema Nacional para el Desarrollo Integral de la Familia, servidores públicos que se negaron a aceptar dar cumplimiento a la Recomendación 29/2019- Sin embargo esta solicitud fue negada por la Comisión Permanente del Congreso de la Unión, y de manera particular senadores del Partido mayoritario,  hicieron descalificaciones y aseveraciones infundadas desde la tribuna de la Comisión Permanente del H. Congreso de la Unión, sobre el profesionalismo, calidad moral e independencia de la CNDH y de quienes prestan sus servicios en ella, como se reportó en las notas de diferentes medios de comunicación</w:t>
      </w:r>
    </w:p>
    <w:p w14:paraId="75B79915"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En respuesta la CNDH emitió el comunicado de Prensa 320/2019 el 22 de agosto de 2019 , en el que lamentó la determinación tomada por la Comisión Permanente del H. Congreso de la Unión para impedir la comparecencia de los servidores públicos que no aceptaron la Recomendación 29/2019 sobre estancias infantiles,  y lamenta que, dejando de lado argumentos y razones sustantivas, el análisis de evidencia concreta y verificable, así como la necesaria e irrenunciable defensa de los derechos humanos de las niñas y niños, al igual que de las madres y padres trabajadores, el voto de los grupos parlamentarios mayoritarios en dicha Soberanía haya hecho nugatoria la aplicación efectiva del segundo párrafo, del apartado B, del artículo 102 Constitucional,</w:t>
      </w:r>
      <w:r w:rsidR="00BC1BDE" w:rsidRPr="00B754D8">
        <w:rPr>
          <w:rStyle w:val="Ninguno"/>
          <w:rFonts w:ascii="Arial" w:hAnsi="Arial"/>
          <w:sz w:val="24"/>
          <w:szCs w:val="24"/>
        </w:rPr>
        <w:t xml:space="preserve"> </w:t>
      </w:r>
      <w:r w:rsidRPr="00B754D8">
        <w:rPr>
          <w:rStyle w:val="Ninguno"/>
          <w:rFonts w:ascii="Arial" w:hAnsi="Arial"/>
          <w:sz w:val="24"/>
          <w:szCs w:val="24"/>
        </w:rPr>
        <w:t>como se reportó en las notas de los diferentes medios de comunicación.</w:t>
      </w:r>
    </w:p>
    <w:p w14:paraId="1F78BE21"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Asimismo en el comunicado se menciona que la CNDH valorará, en su carácter de Institución Nacional de Derechos Humanos de México, y en el marco de los compromisos internacionales que el Estado mexicano ha asumido para el respeto y vigencia de los derechos humanos, hacer del conocimiento de las relatorías e instancias de los sistemas universal y regional de derechos humanos el presente asunto, las cuales han reiterado en diversos pronunciamientos la necesidad de que las autoridades den cumplimiento a las recomendaciones de esta Comisión Nacional.</w:t>
      </w:r>
    </w:p>
    <w:p w14:paraId="7622C96F"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El 23 de agosto, </w:t>
      </w:r>
      <w:r w:rsidRPr="00DE0F21">
        <w:rPr>
          <w:rStyle w:val="Ninguno"/>
          <w:rFonts w:ascii="Arial" w:hAnsi="Arial"/>
          <w:sz w:val="24"/>
          <w:szCs w:val="24"/>
        </w:rPr>
        <w:t>el Ejecutivo Federal</w:t>
      </w:r>
      <w:r w:rsidRPr="00B754D8">
        <w:rPr>
          <w:rStyle w:val="Ninguno"/>
          <w:rFonts w:ascii="Arial" w:hAnsi="Arial"/>
          <w:sz w:val="24"/>
          <w:szCs w:val="24"/>
        </w:rPr>
        <w:t xml:space="preserve"> volvió a emitir declaraciones en las que descalifica el trabajo de la CNDH y rechaza aceptar la recomendación 29/2019 sobre estancias infantiles, pues al referirse a la recomendación que la Comisión Nacional de los Derechos Humanos (CNDH) realizó al Gobierno Federal respecto a las estancias infantiles, afirmó que tiene “la conciencia tranquila” y respeta la recomendación, pero no puede “caer en lo absurdo”. “¿Cómo se atreve la Comisión de Derechos Humanos a estar respaldando estas cosas?, se quedaron callados cuando lo de ABC. Ahora resulta que quieren acusarnos en instancias internacionales, que lo hagan, tengo la conciencia tranquila, no soy cómplice de corruptos, no voy a ser corresponsable de un hecho que no deseamos nadie, si ellos </w:t>
      </w:r>
      <w:r w:rsidRPr="00B754D8">
        <w:rPr>
          <w:rStyle w:val="Ninguno"/>
          <w:rFonts w:ascii="Arial" w:hAnsi="Arial"/>
          <w:sz w:val="24"/>
          <w:szCs w:val="24"/>
        </w:rPr>
        <w:lastRenderedPageBreak/>
        <w:t>son irresponsables nosotros no”. Tras señalar que la CNDH se quedó callada en el caso de la Guardería ABC, el mandatario federal aseguró que respeta las determinaciones del organismo, pero no puede aceptar su recomendación sobre ese tema, ya que había corrupción en ese programa de estancias. "No puedo aceptar lo absurdo, ¿Cómo voy a avalar eso? Les debería dar vergüenza”</w:t>
      </w:r>
    </w:p>
    <w:p w14:paraId="2F96922C" w14:textId="1B835D8A" w:rsidR="00D35E43" w:rsidRPr="00A17895" w:rsidRDefault="00CC4DBA">
      <w:pPr>
        <w:pStyle w:val="CuerpoA"/>
        <w:jc w:val="both"/>
        <w:rPr>
          <w:rStyle w:val="Ninguno"/>
          <w:rFonts w:ascii="Arial" w:hAnsi="Arial"/>
          <w:sz w:val="24"/>
          <w:szCs w:val="24"/>
        </w:rPr>
      </w:pPr>
      <w:r w:rsidRPr="00A17895">
        <w:rPr>
          <w:rStyle w:val="Ninguno"/>
          <w:rFonts w:ascii="Arial" w:hAnsi="Arial"/>
          <w:sz w:val="24"/>
          <w:szCs w:val="24"/>
        </w:rPr>
        <w:t>Sin embargo, la CNDH sí atendió el caso de la Guardería ABC,</w:t>
      </w:r>
      <w:r w:rsidR="00CD7767" w:rsidRPr="00A17895">
        <w:rPr>
          <w:rStyle w:val="Ninguno"/>
          <w:rFonts w:ascii="Arial" w:hAnsi="Arial"/>
          <w:sz w:val="24"/>
          <w:szCs w:val="24"/>
        </w:rPr>
        <w:t xml:space="preserve"> y</w:t>
      </w:r>
      <w:r w:rsidRPr="00A17895">
        <w:rPr>
          <w:rStyle w:val="Ninguno"/>
          <w:rFonts w:ascii="Arial" w:hAnsi="Arial"/>
          <w:sz w:val="24"/>
          <w:szCs w:val="24"/>
        </w:rPr>
        <w:t xml:space="preserve"> h</w:t>
      </w:r>
      <w:r w:rsidR="00CD7767" w:rsidRPr="00A17895">
        <w:rPr>
          <w:rStyle w:val="Ninguno"/>
          <w:rFonts w:ascii="Arial" w:hAnsi="Arial"/>
          <w:sz w:val="24"/>
          <w:szCs w:val="24"/>
        </w:rPr>
        <w:t>ace</w:t>
      </w:r>
      <w:r w:rsidRPr="00A17895">
        <w:rPr>
          <w:rStyle w:val="Ninguno"/>
          <w:rFonts w:ascii="Arial" w:hAnsi="Arial"/>
          <w:sz w:val="24"/>
          <w:szCs w:val="24"/>
        </w:rPr>
        <w:t xml:space="preserve"> notar lo infundado de las aseveraciones anteriores, ya que el 31 de julio de 2009 emitió la Recomendación 49/2009, cuyo contenido es públicamente disponible</w:t>
      </w:r>
      <w:r w:rsidR="00934A30" w:rsidRPr="00A17895">
        <w:rPr>
          <w:rStyle w:val="Ninguno"/>
          <w:rFonts w:ascii="Arial" w:hAnsi="Arial"/>
          <w:sz w:val="24"/>
          <w:szCs w:val="24"/>
        </w:rPr>
        <w:t>, y tuvo</w:t>
      </w:r>
      <w:r w:rsidRPr="00A17895">
        <w:rPr>
          <w:rStyle w:val="Ninguno"/>
          <w:rFonts w:ascii="Arial" w:hAnsi="Arial"/>
          <w:sz w:val="24"/>
          <w:szCs w:val="24"/>
        </w:rPr>
        <w:t xml:space="preserve"> la finalidad de que se revisarán las condiciones de seguridad</w:t>
      </w:r>
      <w:r w:rsidR="00CD7767" w:rsidRPr="00A17895">
        <w:rPr>
          <w:rStyle w:val="Ninguno"/>
          <w:rFonts w:ascii="Arial" w:hAnsi="Arial"/>
          <w:sz w:val="24"/>
          <w:szCs w:val="24"/>
        </w:rPr>
        <w:t xml:space="preserve"> en las guarderías</w:t>
      </w:r>
      <w:r w:rsidRPr="00A17895">
        <w:rPr>
          <w:rStyle w:val="Ninguno"/>
          <w:rFonts w:ascii="Arial" w:hAnsi="Arial"/>
          <w:sz w:val="24"/>
          <w:szCs w:val="24"/>
        </w:rPr>
        <w:t xml:space="preserve"> y se sancionaran las irregularidades que se detectaran</w:t>
      </w:r>
      <w:r w:rsidR="00CD7767" w:rsidRPr="00A17895">
        <w:rPr>
          <w:rStyle w:val="Ninguno"/>
          <w:rFonts w:ascii="Arial" w:hAnsi="Arial"/>
          <w:sz w:val="24"/>
          <w:szCs w:val="24"/>
        </w:rPr>
        <w:t xml:space="preserve"> en las mismas</w:t>
      </w:r>
      <w:r w:rsidR="00CD7767" w:rsidRPr="00AC584A">
        <w:rPr>
          <w:rStyle w:val="Ninguno"/>
          <w:rFonts w:ascii="Arial" w:hAnsi="Arial"/>
          <w:sz w:val="24"/>
          <w:szCs w:val="24"/>
          <w:vertAlign w:val="superscript"/>
        </w:rPr>
        <w:footnoteReference w:id="36"/>
      </w:r>
      <w:r w:rsidR="00CD7767" w:rsidRPr="00A17895">
        <w:rPr>
          <w:rStyle w:val="Ninguno"/>
          <w:rFonts w:ascii="Arial" w:hAnsi="Arial"/>
          <w:sz w:val="24"/>
          <w:szCs w:val="24"/>
        </w:rPr>
        <w:t>.</w:t>
      </w:r>
    </w:p>
    <w:p w14:paraId="3E727CB9" w14:textId="77777777" w:rsidR="00D35E43" w:rsidRPr="00A17895" w:rsidRDefault="00CD7861">
      <w:pPr>
        <w:pStyle w:val="CuerpoA"/>
        <w:jc w:val="both"/>
        <w:rPr>
          <w:rStyle w:val="Ninguno"/>
          <w:rFonts w:ascii="Arial" w:hAnsi="Arial"/>
          <w:sz w:val="24"/>
          <w:szCs w:val="24"/>
        </w:rPr>
      </w:pPr>
      <w:r w:rsidRPr="00A17895">
        <w:rPr>
          <w:rStyle w:val="Ninguno"/>
          <w:rFonts w:ascii="Arial" w:hAnsi="Arial"/>
          <w:sz w:val="24"/>
          <w:szCs w:val="24"/>
        </w:rPr>
        <w:t>Adicionalmente, cabe señalar que el 28 de agosto pasado el Instituto Nacional de Acceso a la Información, Transparencia, Acceso a la Información y Protección de Datos Personales (INAI) ordenó a la Secretaría de Bienestar entregar la información que compruebe la existencia de los denominados “niños fantasma” del Programa de Estancias Infantiles, desglosada por número de casos, entidad federativa, municipio y estancia en donde se detectaron.</w:t>
      </w:r>
    </w:p>
    <w:p w14:paraId="49279DC6" w14:textId="77777777" w:rsidR="00D35E43" w:rsidRPr="00A17895" w:rsidRDefault="00CD7861">
      <w:pPr>
        <w:pStyle w:val="CuerpoA"/>
        <w:jc w:val="both"/>
        <w:rPr>
          <w:rStyle w:val="Ninguno"/>
          <w:rFonts w:ascii="Arial" w:hAnsi="Arial"/>
          <w:sz w:val="24"/>
          <w:szCs w:val="24"/>
        </w:rPr>
      </w:pPr>
      <w:r w:rsidRPr="00A17895">
        <w:rPr>
          <w:rStyle w:val="Ninguno"/>
          <w:rFonts w:ascii="Arial" w:hAnsi="Arial"/>
          <w:sz w:val="24"/>
          <w:szCs w:val="24"/>
        </w:rPr>
        <w:t>El INAI explicó que, en respuesta a un particular, la Secretaría de Bienestar turnó la solicitud a la Subsecretaría de Desarrollo Social y Humano, la cual indicó no contar con la información solicitada. Y precisó que la Secretaría de Bienestar argumentó que sólo le correspondía reportar los casos de incumplimiento a las reglas de operación del Programa de Estancias para apoyar a madres trabajadoras para el ejercicio fiscal 2018, de conformidad con las mismas y derivado de las tareas de supervisión realizadas por las delegaciones estatales de la dependencia.</w:t>
      </w:r>
    </w:p>
    <w:p w14:paraId="0FDC833C" w14:textId="77777777" w:rsidR="00D35E43" w:rsidRPr="00A17895" w:rsidRDefault="00CD7861">
      <w:pPr>
        <w:pStyle w:val="CuerpoA"/>
        <w:jc w:val="both"/>
        <w:rPr>
          <w:rStyle w:val="Ninguno"/>
          <w:rFonts w:ascii="Arial" w:hAnsi="Arial"/>
          <w:sz w:val="24"/>
          <w:szCs w:val="24"/>
        </w:rPr>
      </w:pPr>
      <w:r w:rsidRPr="00A17895">
        <w:rPr>
          <w:rStyle w:val="Ninguno"/>
          <w:rFonts w:ascii="Arial" w:hAnsi="Arial"/>
          <w:sz w:val="24"/>
          <w:szCs w:val="24"/>
        </w:rPr>
        <w:t>Inconforme con la respuesta, el particular interpuso un recurso de revisión ante el INAI donde presentó como evidencia una nota periodística que hacía referencia al término de los niños fantasma.</w:t>
      </w:r>
    </w:p>
    <w:p w14:paraId="19A34128" w14:textId="77777777" w:rsidR="00D35E43" w:rsidRPr="00A17895" w:rsidRDefault="00CD7861">
      <w:pPr>
        <w:pStyle w:val="CuerpoA"/>
        <w:jc w:val="both"/>
        <w:rPr>
          <w:rStyle w:val="Ninguno"/>
          <w:rFonts w:ascii="Arial" w:hAnsi="Arial"/>
          <w:sz w:val="24"/>
          <w:szCs w:val="24"/>
        </w:rPr>
      </w:pPr>
      <w:r w:rsidRPr="00A17895">
        <w:rPr>
          <w:rStyle w:val="Ninguno"/>
          <w:rFonts w:ascii="Arial" w:hAnsi="Arial"/>
          <w:sz w:val="24"/>
          <w:szCs w:val="24"/>
        </w:rPr>
        <w:t>Durante el análisis del caso, el INAI señaló que la Secretaría de Bienestar fue omisa en turnar dicha solicitud de información a la Unidad de Coordinación de Delegaciones y a las delegaciones de la dependencia en las entidades federativas, las cuales cuentan con atribuciones y funciones para cumplir con las políticas, programas y acciones de la institución.</w:t>
      </w:r>
    </w:p>
    <w:p w14:paraId="27076364" w14:textId="77777777" w:rsidR="00D35E43" w:rsidRPr="00DE0F21" w:rsidRDefault="00CD7861">
      <w:pPr>
        <w:pStyle w:val="CuerpoA"/>
        <w:jc w:val="both"/>
        <w:rPr>
          <w:rStyle w:val="Ninguno"/>
          <w:rFonts w:ascii="Arial" w:hAnsi="Arial"/>
          <w:sz w:val="24"/>
          <w:szCs w:val="24"/>
        </w:rPr>
      </w:pPr>
      <w:r w:rsidRPr="00A17895">
        <w:rPr>
          <w:rStyle w:val="Ninguno"/>
          <w:rFonts w:ascii="Arial" w:hAnsi="Arial"/>
          <w:sz w:val="24"/>
          <w:szCs w:val="24"/>
        </w:rPr>
        <w:t xml:space="preserve">Además, indicó que en respuesta a otra solicitud de información con número de folio 0002000083319, la dependencia manifestó que “derivado de una búsqueda exhaustiva y razonable en sus archivos físicos y electrónicos” de su delegación en </w:t>
      </w:r>
      <w:r w:rsidRPr="00DE0F21">
        <w:rPr>
          <w:rStyle w:val="Ninguno"/>
          <w:rFonts w:ascii="Arial" w:hAnsi="Arial"/>
          <w:sz w:val="24"/>
          <w:szCs w:val="24"/>
        </w:rPr>
        <w:t>Nayarit, detectó un niño fantasma en el ejercicio dos mil dieciocho, y proporcionó el nombre de la estancia y la ubicación de la misma.</w:t>
      </w:r>
    </w:p>
    <w:p w14:paraId="617CAE38" w14:textId="77777777" w:rsidR="00D35E43" w:rsidRPr="00DE0F21" w:rsidRDefault="00CD7861">
      <w:pPr>
        <w:pStyle w:val="CuerpoA"/>
        <w:jc w:val="both"/>
        <w:rPr>
          <w:rStyle w:val="Ninguno"/>
          <w:rFonts w:ascii="Arial" w:hAnsi="Arial"/>
          <w:sz w:val="24"/>
          <w:szCs w:val="24"/>
        </w:rPr>
      </w:pPr>
      <w:r w:rsidRPr="00DE0F21">
        <w:rPr>
          <w:rStyle w:val="Ninguno"/>
          <w:rFonts w:ascii="Arial" w:hAnsi="Arial"/>
          <w:sz w:val="24"/>
          <w:szCs w:val="24"/>
        </w:rPr>
        <w:t xml:space="preserve">Con base lo anterior, el pleno del INAI determinó revocar la respuesta de la Secretaria de Bienestar y le ordenó realizar una nueva búsqueda “exhaustiva y </w:t>
      </w:r>
      <w:r w:rsidRPr="00DE0F21">
        <w:rPr>
          <w:rStyle w:val="Ninguno"/>
          <w:rFonts w:ascii="Arial" w:hAnsi="Arial"/>
          <w:sz w:val="24"/>
          <w:szCs w:val="24"/>
        </w:rPr>
        <w:lastRenderedPageBreak/>
        <w:t>razonable” en la Subsecretaría de Desarrollo Social y Humano, en la Unidad de Coordinación de Delegaciones y en las Delegaciones en las entidades federativas, de la información requerida a fin de proporcionarla al interesado</w:t>
      </w:r>
      <w:r w:rsidRPr="00B754D8">
        <w:rPr>
          <w:rStyle w:val="Ninguno"/>
          <w:rFonts w:ascii="Arial" w:hAnsi="Arial"/>
          <w:sz w:val="24"/>
          <w:szCs w:val="24"/>
        </w:rPr>
        <w:t>.</w:t>
      </w:r>
    </w:p>
    <w:p w14:paraId="073491B5"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Por lo anterior, a esta Comisión Nacional de los Derechos Humanos le preocupan las descalificaciones y aseveraciones infundadas que, sobre el profesionalismo, calidad moral e independencia de la CNDH y de quienes prestan sus servicios en ella, afirmaciones que no corresponden a la realidad, que desinforman a la sociedad y generan una percepción equivocada sobre el caso, desviando y confundiendo la atención pública de las cuestiones realmente importantes y de fondo. Tales aseveraciones, que quedan desvirtuadas con la información pública disponible que da constancia del trabajo desarrollado por la CNDH, evidencian desconocimiento de las leyes vigentes, y, en particular, del marco normativo aplicable a la actividad de los órganos que integran el sistema no jurisdiccional de protección a los derechos humanos, así como un desdén por la legalidad y la institucionalidad democrática.</w:t>
      </w:r>
    </w:p>
    <w:p w14:paraId="06C68DCC"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Asimismo, existe un proyecto legislativo para sustituir a la Comisión Nacional de Derechos Humanos por una Defensoría del Pueblo que podrá investigar violaciones graves o abusos de poder por parte de autoridades o servidores públicos y formulará recomendaciones públicas, denuncias y quejas ante las autoridades respectivas, las cuales serán vinculante. Como complemento, a esta propuesta se pretende que se modifique el proceso de elección del Presidente de la Comisión Nacional de los Derechos Humanos, y éste sea en base a una </w:t>
      </w:r>
      <w:r w:rsidRPr="00087B04">
        <w:rPr>
          <w:rStyle w:val="Ninguno"/>
          <w:rFonts w:ascii="Arial" w:hAnsi="Arial"/>
          <w:sz w:val="24"/>
          <w:szCs w:val="24"/>
        </w:rPr>
        <w:t>propuesta única</w:t>
      </w:r>
      <w:r w:rsidRPr="00B754D8">
        <w:rPr>
          <w:rStyle w:val="Ninguno"/>
          <w:rFonts w:ascii="Arial" w:hAnsi="Arial"/>
          <w:sz w:val="24"/>
          <w:szCs w:val="24"/>
        </w:rPr>
        <w:t xml:space="preserve"> que vote de manera directa el Senado de la República, lo que eliminaría el proceso democrático que actualmente involucra a las organizaciones de la sociedad civil en la formulación de candidaturas.</w:t>
      </w:r>
    </w:p>
    <w:p w14:paraId="0A3A71B3"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Lo anterior, representa un claro intento por desestabilizar la labor de defensa y protección de los derechos humanos que realiza la CNDH, pues son acciones que debilitan sus capacidades en el ejercicio de sus funciones, y condicionan su autonomía, lo que es motivo de preocupación para esta Comisión Nacional, por lo que pide de manera respetuosa a los miembros del Comité tener en consideración este contexto.</w:t>
      </w:r>
    </w:p>
    <w:p w14:paraId="7F28A868" w14:textId="77777777" w:rsidR="00D35E43" w:rsidRPr="00B754D8" w:rsidRDefault="00D35E43">
      <w:pPr>
        <w:pStyle w:val="CuerpoA"/>
        <w:jc w:val="both"/>
        <w:rPr>
          <w:rStyle w:val="Ninguno"/>
          <w:rFonts w:ascii="Arial" w:eastAsia="Arial" w:hAnsi="Arial" w:cs="Arial"/>
          <w:b/>
          <w:bCs/>
          <w:sz w:val="24"/>
          <w:szCs w:val="24"/>
        </w:rPr>
      </w:pPr>
    </w:p>
    <w:p w14:paraId="55D18974" w14:textId="77777777" w:rsidR="00D35E43" w:rsidRPr="00B754D8" w:rsidRDefault="00CD7861">
      <w:pPr>
        <w:pStyle w:val="CuerpoA"/>
        <w:jc w:val="both"/>
        <w:rPr>
          <w:rStyle w:val="Ninguno"/>
          <w:rFonts w:ascii="Arial" w:eastAsia="Arial" w:hAnsi="Arial" w:cs="Arial"/>
          <w:b/>
          <w:bCs/>
          <w:sz w:val="24"/>
          <w:szCs w:val="24"/>
        </w:rPr>
      </w:pPr>
      <w:r w:rsidRPr="00B754D8">
        <w:rPr>
          <w:rStyle w:val="Ninguno"/>
          <w:rFonts w:ascii="Arial" w:hAnsi="Arial"/>
          <w:b/>
          <w:bCs/>
          <w:sz w:val="24"/>
          <w:szCs w:val="24"/>
        </w:rPr>
        <w:t>Retos para el Estado Mexicano</w:t>
      </w:r>
    </w:p>
    <w:p w14:paraId="629301BA" w14:textId="77777777" w:rsidR="00D35E43" w:rsidRPr="00B754D8" w:rsidRDefault="00CD7861">
      <w:pPr>
        <w:pStyle w:val="CuerpoA"/>
        <w:numPr>
          <w:ilvl w:val="0"/>
          <w:numId w:val="169"/>
        </w:numPr>
        <w:jc w:val="both"/>
        <w:rPr>
          <w:rFonts w:ascii="Arial" w:hAnsi="Arial"/>
          <w:sz w:val="24"/>
          <w:szCs w:val="24"/>
        </w:rPr>
      </w:pPr>
      <w:r w:rsidRPr="00B754D8">
        <w:rPr>
          <w:rStyle w:val="Ninguno"/>
          <w:rFonts w:ascii="Arial" w:hAnsi="Arial"/>
          <w:sz w:val="24"/>
          <w:szCs w:val="24"/>
        </w:rPr>
        <w:t xml:space="preserve">La falta de conocimiento por parte de diversos actores respecto de la labor y actividades que realizan las personas defensoras de derechos humanos y periodistas. </w:t>
      </w:r>
    </w:p>
    <w:p w14:paraId="3CB62D90" w14:textId="77777777" w:rsidR="00D35E43" w:rsidRPr="00B754D8" w:rsidRDefault="00CD7861">
      <w:pPr>
        <w:pStyle w:val="CuerpoA"/>
        <w:numPr>
          <w:ilvl w:val="0"/>
          <w:numId w:val="169"/>
        </w:numPr>
        <w:jc w:val="both"/>
        <w:rPr>
          <w:rFonts w:ascii="Arial" w:hAnsi="Arial"/>
          <w:sz w:val="24"/>
          <w:szCs w:val="24"/>
        </w:rPr>
      </w:pPr>
      <w:r w:rsidRPr="00B754D8">
        <w:rPr>
          <w:rStyle w:val="Ninguno"/>
          <w:rFonts w:ascii="Arial" w:hAnsi="Arial"/>
          <w:sz w:val="24"/>
          <w:szCs w:val="24"/>
        </w:rPr>
        <w:t xml:space="preserve">Generar un ambiente de respeto y reconocimiento hacia las personas que ejercen la libertad de expresión, no criminalizándolos por expresar o manifestar sus ideas por medio de delitos como las calumnias, difamación o injurias. </w:t>
      </w:r>
    </w:p>
    <w:p w14:paraId="33FEC3DB" w14:textId="77777777" w:rsidR="00D35E43" w:rsidRPr="00087B04" w:rsidRDefault="00CD7861">
      <w:pPr>
        <w:pStyle w:val="CuerpoA"/>
        <w:numPr>
          <w:ilvl w:val="0"/>
          <w:numId w:val="169"/>
        </w:numPr>
        <w:jc w:val="both"/>
        <w:rPr>
          <w:rStyle w:val="Ninguno"/>
        </w:rPr>
      </w:pPr>
      <w:r w:rsidRPr="00087B04">
        <w:rPr>
          <w:rStyle w:val="Ninguno"/>
          <w:rFonts w:ascii="Arial" w:hAnsi="Arial"/>
          <w:sz w:val="24"/>
          <w:szCs w:val="24"/>
        </w:rPr>
        <w:lastRenderedPageBreak/>
        <w:t xml:space="preserve">Evitar los discursos y expresiones estigmatizantes o descalificadoras formuladas desde esferas del poder público en contra de los periodistas y defensores civiles o miembros de la sociedad civil. </w:t>
      </w:r>
    </w:p>
    <w:p w14:paraId="4FAC7A88" w14:textId="77777777" w:rsidR="00D35E43" w:rsidRPr="00B754D8" w:rsidRDefault="00CD7861">
      <w:pPr>
        <w:pStyle w:val="CuerpoA"/>
        <w:numPr>
          <w:ilvl w:val="0"/>
          <w:numId w:val="169"/>
        </w:numPr>
        <w:jc w:val="both"/>
        <w:rPr>
          <w:rFonts w:ascii="Arial" w:hAnsi="Arial"/>
          <w:sz w:val="24"/>
          <w:szCs w:val="24"/>
        </w:rPr>
      </w:pPr>
      <w:r w:rsidRPr="00B754D8">
        <w:rPr>
          <w:rStyle w:val="Ninguno"/>
          <w:rFonts w:ascii="Arial" w:hAnsi="Arial"/>
          <w:sz w:val="24"/>
          <w:szCs w:val="24"/>
        </w:rPr>
        <w:t>Impulsar la ley modelo relativa a la derogación de los tipos penales de calumnias, injurias y difamación que criminalizan el libre ejercicio de la libertad de expresión, en las entidades en cuyas legislaciones penales aún se encuentran vigentes.</w:t>
      </w:r>
    </w:p>
    <w:p w14:paraId="26E5824F" w14:textId="77777777" w:rsidR="00D35E43" w:rsidRPr="00B754D8" w:rsidRDefault="00D35E43">
      <w:pPr>
        <w:pStyle w:val="CuerpoA"/>
        <w:jc w:val="both"/>
        <w:rPr>
          <w:rStyle w:val="Ninguno"/>
          <w:rFonts w:ascii="Arial" w:eastAsia="Arial" w:hAnsi="Arial" w:cs="Arial"/>
          <w:b/>
          <w:bCs/>
          <w:sz w:val="24"/>
          <w:szCs w:val="24"/>
        </w:rPr>
      </w:pPr>
    </w:p>
    <w:p w14:paraId="4DC4CE71" w14:textId="77777777" w:rsidR="00D35E43" w:rsidRPr="00B754D8" w:rsidRDefault="00CD7861">
      <w:pPr>
        <w:pStyle w:val="CuerpoA"/>
        <w:numPr>
          <w:ilvl w:val="0"/>
          <w:numId w:val="170"/>
        </w:numPr>
        <w:jc w:val="both"/>
        <w:rPr>
          <w:rFonts w:ascii="Arial" w:hAnsi="Arial"/>
          <w:b/>
          <w:bCs/>
          <w:sz w:val="24"/>
          <w:szCs w:val="24"/>
        </w:rPr>
      </w:pPr>
      <w:r w:rsidRPr="00B754D8">
        <w:rPr>
          <w:rStyle w:val="Ninguno"/>
          <w:rFonts w:ascii="Arial" w:hAnsi="Arial"/>
          <w:b/>
          <w:bCs/>
          <w:sz w:val="24"/>
          <w:szCs w:val="24"/>
        </w:rPr>
        <w:t>Derechos del niño (artículo 24)</w:t>
      </w:r>
    </w:p>
    <w:p w14:paraId="1230924E" w14:textId="77777777" w:rsidR="00D35E43" w:rsidRPr="00B754D8" w:rsidRDefault="00CD7861">
      <w:pPr>
        <w:pStyle w:val="CuerpoA"/>
        <w:numPr>
          <w:ilvl w:val="0"/>
          <w:numId w:val="172"/>
        </w:numPr>
        <w:jc w:val="both"/>
        <w:rPr>
          <w:rFonts w:ascii="Arial" w:hAnsi="Arial"/>
          <w:b/>
          <w:bCs/>
          <w:sz w:val="24"/>
          <w:szCs w:val="24"/>
        </w:rPr>
      </w:pPr>
      <w:r w:rsidRPr="00B754D8">
        <w:rPr>
          <w:rStyle w:val="Ninguno"/>
          <w:rFonts w:ascii="Arial" w:hAnsi="Arial"/>
          <w:b/>
          <w:bCs/>
          <w:sz w:val="24"/>
          <w:szCs w:val="24"/>
        </w:rPr>
        <w:t>Inscripción de nacimientos</w:t>
      </w:r>
    </w:p>
    <w:p w14:paraId="6C697839" w14:textId="77777777" w:rsidR="00D35E43" w:rsidRPr="00B754D8" w:rsidRDefault="00CD7861">
      <w:pPr>
        <w:pStyle w:val="CuerpoA"/>
        <w:jc w:val="both"/>
        <w:rPr>
          <w:rStyle w:val="Ninguno"/>
          <w:rFonts w:ascii="Arial" w:eastAsia="Arial" w:hAnsi="Arial" w:cs="Arial"/>
          <w:b/>
          <w:bCs/>
          <w:sz w:val="24"/>
          <w:szCs w:val="24"/>
        </w:rPr>
      </w:pPr>
      <w:r w:rsidRPr="00B754D8">
        <w:rPr>
          <w:rStyle w:val="Ninguno"/>
          <w:rFonts w:ascii="Arial" w:hAnsi="Arial"/>
          <w:b/>
          <w:bCs/>
          <w:sz w:val="24"/>
          <w:szCs w:val="24"/>
        </w:rPr>
        <w:t>Contexto</w:t>
      </w:r>
    </w:p>
    <w:p w14:paraId="25362443"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La Ley General de los Derechos de Niñas, Niños y Adolescentes (Art. 103 fracción II) estipula que las personas responsables de niñas, niños y adolescentes, deben presentarlos ante el juez del Registro Civil cercano dentro de los sesenta días posteriores a su nacimiento. El registro de nacimiento debe ser: </w:t>
      </w:r>
    </w:p>
    <w:p w14:paraId="2919D411"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1)</w:t>
      </w:r>
      <w:r w:rsidRPr="00B754D8">
        <w:rPr>
          <w:rStyle w:val="Ninguno"/>
          <w:rFonts w:ascii="Arial" w:hAnsi="Arial"/>
          <w:sz w:val="24"/>
          <w:szCs w:val="24"/>
        </w:rPr>
        <w:tab/>
        <w:t>Universal. El registro universal da cobertura y visibilidad a todas las niñas, niños y adolescentes en el territorio de un país, independientemente de su origen étnico, condición socioeconómica o ubicación geográfica.</w:t>
      </w:r>
    </w:p>
    <w:p w14:paraId="5EE94CB7"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2)</w:t>
      </w:r>
      <w:r w:rsidRPr="00B754D8">
        <w:rPr>
          <w:rStyle w:val="Ninguno"/>
          <w:rFonts w:ascii="Arial" w:hAnsi="Arial"/>
          <w:sz w:val="24"/>
          <w:szCs w:val="24"/>
        </w:rPr>
        <w:tab/>
        <w:t xml:space="preserve">Gratuito. Implica la exención de pago por el servicio de inscripción y por la expedición de la primera copia certificada del acta de nacimiento. </w:t>
      </w:r>
    </w:p>
    <w:p w14:paraId="3730FFB1"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3)</w:t>
      </w:r>
      <w:r w:rsidRPr="00B754D8">
        <w:rPr>
          <w:rStyle w:val="Ninguno"/>
          <w:rFonts w:ascii="Arial" w:hAnsi="Arial"/>
          <w:sz w:val="24"/>
          <w:szCs w:val="24"/>
        </w:rPr>
        <w:tab/>
        <w:t xml:space="preserve">Oportuno. El registro deberá efectuarse, de preferencia, inmediatamente después del nacimiento. </w:t>
      </w:r>
    </w:p>
    <w:p w14:paraId="6DCE02C3"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Debido a que los derechos humanos son interdependientes, la falta de registro de nacimiento genera una cadena de violaciones a muchos otros derechos, por ejemplo, expone a niñas, niños y adolescentes a situaciones como: </w:t>
      </w:r>
    </w:p>
    <w:p w14:paraId="134CEE66"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w:t>
      </w:r>
      <w:r w:rsidRPr="00B754D8">
        <w:rPr>
          <w:rStyle w:val="Ninguno"/>
          <w:rFonts w:ascii="Arial" w:hAnsi="Arial"/>
          <w:sz w:val="24"/>
          <w:szCs w:val="24"/>
        </w:rPr>
        <w:tab/>
        <w:t>Desigualdad.</w:t>
      </w:r>
    </w:p>
    <w:p w14:paraId="096286C4"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w:t>
      </w:r>
      <w:r w:rsidRPr="00B754D8">
        <w:rPr>
          <w:rStyle w:val="Ninguno"/>
          <w:rFonts w:ascii="Arial" w:hAnsi="Arial"/>
          <w:sz w:val="24"/>
          <w:szCs w:val="24"/>
        </w:rPr>
        <w:tab/>
        <w:t xml:space="preserve">Propicia su discriminación. </w:t>
      </w:r>
    </w:p>
    <w:p w14:paraId="23D8BA2A"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w:t>
      </w:r>
      <w:r w:rsidRPr="00B754D8">
        <w:rPr>
          <w:rStyle w:val="Ninguno"/>
          <w:rFonts w:ascii="Arial" w:hAnsi="Arial"/>
          <w:sz w:val="24"/>
          <w:szCs w:val="24"/>
        </w:rPr>
        <w:tab/>
        <w:t xml:space="preserve">Restringe su derecho a la protección de la salud, su derecho a la educación, alimentación, programas sociales y al trámite de documentos oficiales, entre otros. </w:t>
      </w:r>
    </w:p>
    <w:p w14:paraId="4C6A9022"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w:t>
      </w:r>
      <w:r w:rsidRPr="00B754D8">
        <w:rPr>
          <w:rStyle w:val="Ninguno"/>
          <w:rFonts w:ascii="Arial" w:hAnsi="Arial"/>
          <w:sz w:val="24"/>
          <w:szCs w:val="24"/>
        </w:rPr>
        <w:tab/>
        <w:t>Los coloca en riesgo de ser víctimas de venta de personas menores de edad, explotación, tráfico de órganos y sustracción o retención ilícitas.</w:t>
      </w:r>
    </w:p>
    <w:p w14:paraId="2F284F01"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w:t>
      </w:r>
      <w:r w:rsidRPr="00B754D8">
        <w:rPr>
          <w:rStyle w:val="Ninguno"/>
          <w:rFonts w:ascii="Arial" w:hAnsi="Arial"/>
          <w:sz w:val="24"/>
          <w:szCs w:val="24"/>
        </w:rPr>
        <w:tab/>
        <w:t>Impide acreditar la relación de filiación entre padres y madres con sus hijas e hijos y como consecuencia, la exigibilidad del cumplimiento de sus respectivas obligaciones (pago de alimentos, guarda y custodia, visitas y convivencias, entre otras).</w:t>
      </w:r>
    </w:p>
    <w:p w14:paraId="386BAD5C"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lastRenderedPageBreak/>
        <w:t>A pesar de que el 17 de junio de 2014 se publicó en el diario oficial de la federación las modificaciones al artículo cuarto constitucional que reconocen el derecho a la identidad y el derecho a ser registrado de manera inmediata al nacimiento y de manera gratuita, uno de los factores que ha disminuido la efectividad de estos derechos está vinculado a la falta de disponibilidad de oficinas de registro civil y a la accesibilidad de dichos servicios.</w:t>
      </w:r>
    </w:p>
    <w:p w14:paraId="15E66DA7" w14:textId="77777777" w:rsidR="00D35E43" w:rsidRPr="00B754D8" w:rsidRDefault="00CD7861">
      <w:pPr>
        <w:pStyle w:val="CuerpoA"/>
        <w:jc w:val="both"/>
        <w:rPr>
          <w:rStyle w:val="Ninguno"/>
          <w:rFonts w:ascii="Arial" w:eastAsia="Arial" w:hAnsi="Arial" w:cs="Arial"/>
          <w:b/>
          <w:bCs/>
          <w:sz w:val="24"/>
          <w:szCs w:val="24"/>
        </w:rPr>
      </w:pPr>
      <w:r w:rsidRPr="00B754D8">
        <w:rPr>
          <w:rStyle w:val="Ninguno"/>
          <w:rFonts w:ascii="Arial" w:hAnsi="Arial"/>
          <w:b/>
          <w:bCs/>
          <w:sz w:val="24"/>
          <w:szCs w:val="24"/>
        </w:rPr>
        <w:t>Acciones de la CNDH</w:t>
      </w:r>
    </w:p>
    <w:p w14:paraId="4409613B"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El  15 de noviembre de 2017, la CNDH externó su reconocimiento por las consideraciones adoptadas por el Pleno de la Suprema Corte de Justicia de la Nación (SCJN) al resolver las acciones de inconstitucionalidad 11/2017 y 6/2017, promovidas por este Organismo Nacional contra diversas Leyes de Ingresos de distintos municipios, de los estados de Baja California y Morelos, por establecer cobros o multas por los registros extemporáneos de nacimiento</w:t>
      </w:r>
      <w:r w:rsidRPr="00B754D8">
        <w:rPr>
          <w:rStyle w:val="Ninguno"/>
          <w:rFonts w:ascii="Arial" w:eastAsia="Arial" w:hAnsi="Arial" w:cs="Arial"/>
          <w:sz w:val="24"/>
          <w:szCs w:val="24"/>
          <w:vertAlign w:val="superscript"/>
        </w:rPr>
        <w:footnoteReference w:id="37"/>
      </w:r>
      <w:r w:rsidRPr="00B754D8">
        <w:rPr>
          <w:rStyle w:val="Ninguno"/>
          <w:rFonts w:ascii="Arial" w:hAnsi="Arial"/>
          <w:sz w:val="24"/>
          <w:szCs w:val="24"/>
        </w:rPr>
        <w:t>.</w:t>
      </w:r>
    </w:p>
    <w:p w14:paraId="36E3EBCD"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En 2019, la CNDH ya ha interpuesto 8 acciones de Inconstitucionalidad ante la Suprema Corte de Justicia de la Nación en contra de diversas legislaciones estatales, que vulneran los derechos a la identidad, a la seguridad jurídica, a la gratuidad en el registro del nacimiento, de acceso a la información y de igualdad,</w:t>
      </w:r>
      <w:r w:rsidRPr="00B754D8">
        <w:rPr>
          <w:rStyle w:val="Ninguno"/>
        </w:rPr>
        <w:t xml:space="preserve"> </w:t>
      </w:r>
      <w:r w:rsidRPr="00B754D8">
        <w:rPr>
          <w:rStyle w:val="Ninguno"/>
          <w:rFonts w:ascii="Arial" w:hAnsi="Arial"/>
          <w:sz w:val="24"/>
          <w:szCs w:val="24"/>
        </w:rPr>
        <w:t>por establecer cobros o multas por los registros de nacimiento.</w:t>
      </w:r>
    </w:p>
    <w:p w14:paraId="60D9E95E" w14:textId="77777777" w:rsidR="00D35E43" w:rsidRPr="00B754D8" w:rsidRDefault="00D35E43">
      <w:pPr>
        <w:pStyle w:val="CuerpoA"/>
        <w:jc w:val="both"/>
        <w:rPr>
          <w:rStyle w:val="Ninguno"/>
          <w:rFonts w:ascii="Arial" w:eastAsia="Arial" w:hAnsi="Arial" w:cs="Arial"/>
          <w:b/>
          <w:bCs/>
          <w:sz w:val="24"/>
          <w:szCs w:val="24"/>
        </w:rPr>
      </w:pPr>
    </w:p>
    <w:p w14:paraId="22DAA972" w14:textId="77777777" w:rsidR="00D35E43" w:rsidRPr="00B754D8" w:rsidRDefault="00CD7861">
      <w:pPr>
        <w:pStyle w:val="CuerpoA"/>
        <w:jc w:val="both"/>
        <w:rPr>
          <w:rStyle w:val="Ninguno"/>
          <w:rFonts w:ascii="Arial" w:eastAsia="Arial" w:hAnsi="Arial" w:cs="Arial"/>
          <w:b/>
          <w:bCs/>
          <w:sz w:val="24"/>
          <w:szCs w:val="24"/>
        </w:rPr>
      </w:pPr>
      <w:r w:rsidRPr="00B754D8">
        <w:rPr>
          <w:rStyle w:val="Ninguno"/>
          <w:rFonts w:ascii="Arial" w:hAnsi="Arial"/>
          <w:b/>
          <w:bCs/>
          <w:sz w:val="24"/>
          <w:szCs w:val="24"/>
        </w:rPr>
        <w:t>Retos para el Estado Mexicano</w:t>
      </w:r>
    </w:p>
    <w:p w14:paraId="39A33C47" w14:textId="77777777" w:rsidR="00D35E43" w:rsidRPr="00B754D8" w:rsidRDefault="00CD7861">
      <w:pPr>
        <w:pStyle w:val="CuerpoA"/>
        <w:numPr>
          <w:ilvl w:val="0"/>
          <w:numId w:val="174"/>
        </w:numPr>
        <w:jc w:val="both"/>
        <w:rPr>
          <w:rFonts w:ascii="Arial" w:hAnsi="Arial"/>
          <w:sz w:val="24"/>
          <w:szCs w:val="24"/>
        </w:rPr>
      </w:pPr>
      <w:r w:rsidRPr="00B754D8">
        <w:rPr>
          <w:rStyle w:val="Ninguno"/>
          <w:rFonts w:ascii="Arial" w:hAnsi="Arial"/>
          <w:sz w:val="24"/>
          <w:szCs w:val="24"/>
        </w:rPr>
        <w:t xml:space="preserve">Incrementar el número de oficinas de registro civil en lugares estratégicos, como hospitales y clínicas de salud, así como en poblaciones con tasas elevadas de nacimientos; </w:t>
      </w:r>
    </w:p>
    <w:p w14:paraId="464C3CAB" w14:textId="77777777" w:rsidR="00D35E43" w:rsidRPr="00B754D8" w:rsidRDefault="00CD7861">
      <w:pPr>
        <w:pStyle w:val="CuerpoA"/>
        <w:numPr>
          <w:ilvl w:val="0"/>
          <w:numId w:val="174"/>
        </w:numPr>
        <w:jc w:val="both"/>
        <w:rPr>
          <w:rFonts w:ascii="Arial" w:hAnsi="Arial"/>
          <w:sz w:val="24"/>
          <w:szCs w:val="24"/>
        </w:rPr>
      </w:pPr>
      <w:r w:rsidRPr="00B754D8">
        <w:rPr>
          <w:rStyle w:val="Ninguno"/>
          <w:rFonts w:ascii="Arial" w:hAnsi="Arial"/>
          <w:sz w:val="24"/>
          <w:szCs w:val="24"/>
        </w:rPr>
        <w:t xml:space="preserve">Asegurar la accesibilidad en la prestación de servicios de registro, es decir garantizar la gratuidad de dichos servicios, así como la prestación de dichos servicios en las lenguas originarias de los municipios con población indígena. </w:t>
      </w:r>
    </w:p>
    <w:p w14:paraId="75C053E5" w14:textId="77777777" w:rsidR="00D35E43" w:rsidRPr="00B754D8" w:rsidRDefault="00CD7861">
      <w:pPr>
        <w:pStyle w:val="CuerpoA"/>
        <w:numPr>
          <w:ilvl w:val="0"/>
          <w:numId w:val="174"/>
        </w:numPr>
        <w:jc w:val="both"/>
        <w:rPr>
          <w:rFonts w:ascii="Arial" w:hAnsi="Arial"/>
          <w:sz w:val="24"/>
          <w:szCs w:val="24"/>
        </w:rPr>
      </w:pPr>
      <w:r w:rsidRPr="00B754D8">
        <w:rPr>
          <w:rStyle w:val="Ninguno"/>
          <w:rFonts w:ascii="Arial" w:hAnsi="Arial"/>
          <w:sz w:val="24"/>
          <w:szCs w:val="24"/>
        </w:rPr>
        <w:t>Concientizar y sensibilizar a la sociedad en su conjunto sobre el derecho de niñas, niños y adolescentes a la identidad y a contar con el registro de su nacimiento.</w:t>
      </w:r>
    </w:p>
    <w:p w14:paraId="6E5F67FB" w14:textId="3A55FAF2" w:rsidR="00D35E43" w:rsidRDefault="00D35E43">
      <w:pPr>
        <w:pStyle w:val="CuerpoA"/>
        <w:jc w:val="both"/>
        <w:rPr>
          <w:rStyle w:val="Hyperlink4"/>
          <w:sz w:val="24"/>
          <w:szCs w:val="24"/>
        </w:rPr>
      </w:pPr>
    </w:p>
    <w:p w14:paraId="0F88F7D9" w14:textId="7504EF8B" w:rsidR="00D44340" w:rsidRDefault="00D44340">
      <w:pPr>
        <w:pStyle w:val="CuerpoA"/>
        <w:jc w:val="both"/>
        <w:rPr>
          <w:rStyle w:val="Hyperlink4"/>
          <w:sz w:val="24"/>
          <w:szCs w:val="24"/>
        </w:rPr>
      </w:pPr>
    </w:p>
    <w:p w14:paraId="5966A9A5" w14:textId="59F32B02" w:rsidR="00D44340" w:rsidRDefault="00D44340">
      <w:pPr>
        <w:pStyle w:val="CuerpoA"/>
        <w:jc w:val="both"/>
        <w:rPr>
          <w:rStyle w:val="Hyperlink4"/>
          <w:sz w:val="24"/>
          <w:szCs w:val="24"/>
        </w:rPr>
      </w:pPr>
    </w:p>
    <w:p w14:paraId="60C5C02B" w14:textId="77777777" w:rsidR="00D44340" w:rsidRPr="00B754D8" w:rsidRDefault="00D44340">
      <w:pPr>
        <w:pStyle w:val="CuerpoA"/>
        <w:jc w:val="both"/>
        <w:rPr>
          <w:rStyle w:val="Hyperlink4"/>
          <w:sz w:val="24"/>
          <w:szCs w:val="24"/>
        </w:rPr>
      </w:pPr>
    </w:p>
    <w:p w14:paraId="5D2508AF" w14:textId="77777777" w:rsidR="00D35E43" w:rsidRPr="00B754D8" w:rsidRDefault="00CD7861">
      <w:pPr>
        <w:pStyle w:val="CuerpoA"/>
        <w:numPr>
          <w:ilvl w:val="0"/>
          <w:numId w:val="175"/>
        </w:numPr>
        <w:jc w:val="both"/>
        <w:rPr>
          <w:rFonts w:ascii="Arial" w:hAnsi="Arial"/>
          <w:b/>
          <w:bCs/>
          <w:sz w:val="24"/>
          <w:szCs w:val="24"/>
        </w:rPr>
      </w:pPr>
      <w:r w:rsidRPr="00B754D8">
        <w:rPr>
          <w:rStyle w:val="Ninguno"/>
          <w:rFonts w:ascii="Arial" w:hAnsi="Arial"/>
          <w:b/>
          <w:bCs/>
          <w:sz w:val="24"/>
          <w:szCs w:val="24"/>
        </w:rPr>
        <w:lastRenderedPageBreak/>
        <w:t>Participación en los asuntos públicos y derechos de las personas que pertenezcan a minorías (artículos 25 a 27)</w:t>
      </w:r>
    </w:p>
    <w:p w14:paraId="70CB0F31" w14:textId="77777777" w:rsidR="00D35E43" w:rsidRPr="00B754D8" w:rsidRDefault="00CD7861">
      <w:pPr>
        <w:pStyle w:val="CuerpoA"/>
        <w:numPr>
          <w:ilvl w:val="0"/>
          <w:numId w:val="177"/>
        </w:numPr>
        <w:jc w:val="both"/>
        <w:rPr>
          <w:rFonts w:ascii="Arial" w:hAnsi="Arial"/>
          <w:b/>
          <w:bCs/>
          <w:sz w:val="24"/>
          <w:szCs w:val="24"/>
        </w:rPr>
      </w:pPr>
      <w:r w:rsidRPr="00B754D8">
        <w:rPr>
          <w:rStyle w:val="Ninguno"/>
          <w:rFonts w:ascii="Arial" w:hAnsi="Arial"/>
          <w:b/>
          <w:bCs/>
          <w:sz w:val="24"/>
          <w:szCs w:val="24"/>
        </w:rPr>
        <w:t>Derecho a la Consulta Previa</w:t>
      </w:r>
    </w:p>
    <w:p w14:paraId="3912C10A" w14:textId="77777777" w:rsidR="00D35E43" w:rsidRPr="00B754D8" w:rsidRDefault="00CD7861">
      <w:pPr>
        <w:pStyle w:val="CuerpoA"/>
        <w:jc w:val="both"/>
        <w:rPr>
          <w:rStyle w:val="Ninguno"/>
          <w:rFonts w:ascii="Arial" w:eastAsia="Arial" w:hAnsi="Arial" w:cs="Arial"/>
          <w:b/>
          <w:bCs/>
          <w:sz w:val="24"/>
          <w:szCs w:val="24"/>
        </w:rPr>
      </w:pPr>
      <w:r w:rsidRPr="00B754D8">
        <w:rPr>
          <w:rStyle w:val="Ninguno"/>
          <w:rFonts w:ascii="Arial" w:hAnsi="Arial"/>
          <w:b/>
          <w:bCs/>
          <w:sz w:val="24"/>
          <w:szCs w:val="24"/>
        </w:rPr>
        <w:t>Contexto</w:t>
      </w:r>
    </w:p>
    <w:p w14:paraId="1F846863"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En México, las demandas en materia de derechos indígenas persisten, ante los proyectos de desarrollo ajenos a las culturas indígenas y basados en la explotación de sus recursos naturales, para que se garantice su derecho a ser consultados ante la ejecución de proyectos tales como la adjudicación de tierras para la construcción de plantas hidroeléctricas, la explotación minera, reacomodos de poblaciones indígenas, explotación de recursos acuíferos y la explotación del turismo, entre otros.</w:t>
      </w:r>
    </w:p>
    <w:p w14:paraId="35A569F1"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Por lo anterior, existe la necesidad de contar con una Ley General en materia de consulta y consentimiento previo, con estándares internacionales, que permita precisar los actores participantes en el proceso de consulta, sus obligaciones, mecanismos de denuncia sensibles a la cultura de los pueblos indígenas y afromexicanos, así como las obligaciones para que las empresas cuenten con mecanismos práctico-operativos de solución de conflictos y reparación, adecuados a los proyectos y acordes con instrumentos internacionales.</w:t>
      </w:r>
    </w:p>
    <w:p w14:paraId="25DE236F"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Los proyectos de desarrollo anunciados por el Gobierno de la República a realizarse en nueve entidades federativas y 108 municipios con población indígena, consideren en todos los casos la celebración de la consulta previa, libre, informada, de buena fe y culturalmente adecuada con la finalidad de obtener su consentimiento, de conformidad con la legislación nacional y estándares internacionales que norman su debida ejecución, la cual puede ampliarse al resto de la población que habita en esas localidades. Lo anterior, dado que algunos de los referidos proyectos impactarán áreas de gran importancia ecosistémica y cultural. Destaca la región donde se pretende llevar a cabo el Tren Maya, en la que existen diversas áreas naturales protegidas, como los Parques Nacionales Palenque y Tulum, el Área de Protección de Flora y Fauna Cañón del Usumacinta, las Reservas de la Biósfera Los Petenes y Sian Ka’an, así como la Reserva de la Biósfera Calakmul, área considerada como la mayor reserva de bosque tropical del país, caracterizada por albergar ecosistemas con gran riqueza biológica y por contener uno de los agrupamientos de zonas arqueológicas de la cultura maya más importantes</w:t>
      </w:r>
    </w:p>
    <w:p w14:paraId="56022DD8"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Durante la elaboración del Plan Nacional de Desarrollo (PND) 2019-2024, se expresó la necesidad de llevar a cabo una Reforma Constitucional para armonizar el Artículo 2o. de la Constitución Federal con los tratados internacionales; asimismo, se evidenció la necesidad de contar con legislación reglamentaria de dicho precepto constitucional a fin de consolidar el marco jurídico y alcanzar el ejercicio pleno de los derechos de los Pueblos Indígenas y Afromexicano. </w:t>
      </w:r>
    </w:p>
    <w:p w14:paraId="2CA58D1D"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lastRenderedPageBreak/>
        <w:t>Para ello la Secretaría de Gobernación (SEGOB) y el Instituto Nacional de Pueblos Indigenas (INPI), convocaron a todos los pueblos y comunidades indígenas y afromexicanas del país, al Proceso de Consulta Libre, Previa e Informada para la Reforma Constitucional y Legal sobre Derechos de los Pueblos Indígenas y Afromexicano.</w:t>
      </w:r>
    </w:p>
    <w:p w14:paraId="66235C9C"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La Comisión Nacional de los Derechos Humanos CNDH y los Órganos Públicos de Derechos Humanos de las Entidades Federativas han sido convocados como organos observadores en los Foros Regionales de Consulta, que se está realizando en todos los Estados de la Republica, del 21 de junio al 4 de agosto de 2019.</w:t>
      </w:r>
    </w:p>
    <w:p w14:paraId="75A4CD05"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Los foros de consulta en que los se ha incluido a la población afromexicana, son los siguientes:</w:t>
      </w:r>
    </w:p>
    <w:p w14:paraId="4E5A3ECA"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A.- La Consulta a los pueblos Kickapoo,Negros Macogos y Poblacion Indigena Migrante en el Municipio de Múzquiz, Coahuila, el 22 de junio;</w:t>
      </w:r>
    </w:p>
    <w:p w14:paraId="77279C87"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B.- La Consulta a los Pueblos Náhuatl, Mazateco, Popoluca de la Sierra, Afromexicano y Población Indígena Migrante Municipio de Tequila, Veracruz, el 6 de julio; </w:t>
      </w:r>
    </w:p>
    <w:p w14:paraId="45ACDC61"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C.- La Consulta al Pueblo Afromexicano y Población Indígena Migrante del Municipio de Copala, Guerrero, el 7 de julio;</w:t>
      </w:r>
    </w:p>
    <w:p w14:paraId="138F6077" w14:textId="77777777" w:rsidR="00D35E43" w:rsidRPr="00B754D8" w:rsidRDefault="00CD7861">
      <w:pPr>
        <w:pStyle w:val="CuerpoA"/>
        <w:jc w:val="both"/>
        <w:rPr>
          <w:rStyle w:val="Ninguno"/>
          <w:rFonts w:ascii="Arial" w:eastAsia="Arial" w:hAnsi="Arial" w:cs="Arial"/>
          <w:b/>
          <w:bCs/>
          <w:sz w:val="24"/>
          <w:szCs w:val="24"/>
        </w:rPr>
      </w:pPr>
      <w:r w:rsidRPr="00B754D8">
        <w:rPr>
          <w:rStyle w:val="Ninguno"/>
          <w:rFonts w:ascii="Arial" w:hAnsi="Arial"/>
          <w:b/>
          <w:bCs/>
          <w:sz w:val="24"/>
          <w:szCs w:val="24"/>
        </w:rPr>
        <w:t>Acciones de la CNDH.</w:t>
      </w:r>
    </w:p>
    <w:p w14:paraId="7E7465EE" w14:textId="77777777" w:rsidR="00D35E43" w:rsidRPr="00B754D8" w:rsidRDefault="00CD7861">
      <w:pPr>
        <w:pStyle w:val="Prrafodelista"/>
        <w:jc w:val="both"/>
        <w:rPr>
          <w:rStyle w:val="Ninguno"/>
          <w:rFonts w:ascii="Arial" w:eastAsia="Arial" w:hAnsi="Arial" w:cs="Arial"/>
          <w:sz w:val="24"/>
          <w:szCs w:val="24"/>
          <w:u w:val="single"/>
        </w:rPr>
      </w:pPr>
      <w:r w:rsidRPr="00B754D8">
        <w:rPr>
          <w:rStyle w:val="Ninguno"/>
          <w:rFonts w:ascii="Arial" w:hAnsi="Arial"/>
          <w:sz w:val="24"/>
          <w:szCs w:val="24"/>
          <w:u w:val="single"/>
        </w:rPr>
        <w:t>Recomendación General 27/2016</w:t>
      </w:r>
    </w:p>
    <w:p w14:paraId="52775E36"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El 11 de julio de 2016 la CNDH emitió la </w:t>
      </w:r>
      <w:r w:rsidRPr="00B754D8">
        <w:rPr>
          <w:rStyle w:val="Ninguno"/>
          <w:rFonts w:ascii="Arial" w:hAnsi="Arial"/>
          <w:b/>
          <w:bCs/>
          <w:sz w:val="24"/>
          <w:szCs w:val="24"/>
        </w:rPr>
        <w:t>Recomendación General 27/2016, “Sobre el derecho a la consulta previa de los pueblos y comunidades indígenas de la República Mexicana”</w:t>
      </w:r>
      <w:r w:rsidRPr="00B754D8">
        <w:rPr>
          <w:rStyle w:val="Ninguno"/>
          <w:rFonts w:ascii="Arial" w:eastAsia="Arial" w:hAnsi="Arial" w:cs="Arial"/>
          <w:sz w:val="24"/>
          <w:szCs w:val="24"/>
          <w:vertAlign w:val="superscript"/>
        </w:rPr>
        <w:footnoteReference w:id="38"/>
      </w:r>
      <w:r w:rsidRPr="00B754D8">
        <w:rPr>
          <w:rStyle w:val="Ninguno"/>
          <w:rFonts w:ascii="Arial" w:hAnsi="Arial"/>
          <w:sz w:val="24"/>
          <w:szCs w:val="24"/>
        </w:rPr>
        <w:t>. Este pronunciamiento fue publicado en el Diario Oficial de la Federación, el 12 de agosto de 2016, y se recomendó al Ejecutivo Federal, Jefe de Gobierno de la Ciudad de México, a los Titulares de los Poderes Ejecutivos de las Entidades Federativas, al Congreso de la Unión y a los Congresos Locales, presentar o estudiar, discutir y votar, respectivamente, una iniciativa de ley sobre el derecho a la consulta previa, libre e informada de los pueblos y comunidades indígenas del país, que recoja como mínimo los estándares descritos en la Recomendación citada, previa consulta a los pueblos y comunidades indígenas.</w:t>
      </w:r>
    </w:p>
    <w:p w14:paraId="4866161B" w14:textId="77777777" w:rsidR="00D35E43" w:rsidRPr="00B754D8" w:rsidRDefault="00CD7861">
      <w:pPr>
        <w:pStyle w:val="CuerpoB"/>
        <w:ind w:firstLine="708"/>
        <w:jc w:val="both"/>
        <w:rPr>
          <w:rStyle w:val="Ninguno"/>
          <w:rFonts w:ascii="Arial" w:eastAsia="Arial" w:hAnsi="Arial" w:cs="Arial"/>
          <w:u w:val="single"/>
        </w:rPr>
      </w:pPr>
      <w:r w:rsidRPr="00B754D8">
        <w:rPr>
          <w:rStyle w:val="Ninguno"/>
          <w:rFonts w:ascii="Arial" w:hAnsi="Arial"/>
          <w:u w:val="single"/>
        </w:rPr>
        <w:t>Recomendaciones</w:t>
      </w:r>
    </w:p>
    <w:p w14:paraId="0F6AF782"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Asimismo, el 27 de febrero de 2018, esta Comisión Nacional emitió la Recomendación 3/2018</w:t>
      </w:r>
      <w:r w:rsidRPr="00B754D8">
        <w:rPr>
          <w:rStyle w:val="Ninguno"/>
          <w:rFonts w:ascii="Arial" w:eastAsia="Arial" w:hAnsi="Arial" w:cs="Arial"/>
          <w:sz w:val="24"/>
          <w:szCs w:val="24"/>
          <w:vertAlign w:val="superscript"/>
        </w:rPr>
        <w:footnoteReference w:id="39"/>
      </w:r>
      <w:r w:rsidRPr="00B754D8">
        <w:rPr>
          <w:rStyle w:val="Ninguno"/>
          <w:rFonts w:ascii="Arial" w:hAnsi="Arial"/>
          <w:sz w:val="24"/>
          <w:szCs w:val="24"/>
        </w:rPr>
        <w:t xml:space="preserve"> sobre el caso de violaciones a los derechos a la consulta previa, libre, informada, de buena fe y culturalmente adecuada para pueblo y comunidades indígenas y a la información, en relación con el Proyecto Integral Morelos por las posibles repercusiones al medio ambiente, la cercanía con el volcán </w:t>
      </w:r>
      <w:r w:rsidRPr="00B754D8">
        <w:rPr>
          <w:rStyle w:val="Ninguno"/>
          <w:rFonts w:ascii="Arial" w:hAnsi="Arial"/>
          <w:sz w:val="24"/>
          <w:szCs w:val="24"/>
        </w:rPr>
        <w:lastRenderedPageBreak/>
        <w:t>Popocatépetl y la omisión de cumplir con el derecho a la consulta previa, libre, informada, de buena fe y culturalmente adecuada a pueblos y comunidades indígenas.</w:t>
      </w:r>
    </w:p>
    <w:p w14:paraId="15A5E6B5"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Como resultado de la investigación de esta Comisión Nacional se acreditó que no se cumplieron los parámetros nacionales e internacionales del derecho antes aludido, sin pasar inadvertido que la información resultó inaccesible e insuficiente para dar cuenta del Proyecto Integral Morelos y sus implicaciones a la población en las localidades impactadas, que presentan niveles de marginación de altos a muy altos. De igual manera, se acreditó que la Comisión Nacional para el Desarrollo de los Pueblos Indígenas omitió cumplir con su mandato e intervenir teniendo conocimiento de los hechos suscitados.</w:t>
      </w:r>
    </w:p>
    <w:p w14:paraId="1890753D"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 De igual manera, la Comisión Nacional de los Derechos Humanos (CNDH) emitió la Recomendación 17/2018</w:t>
      </w:r>
      <w:r w:rsidRPr="00B754D8">
        <w:rPr>
          <w:rStyle w:val="Ninguno"/>
          <w:rFonts w:ascii="Arial" w:eastAsia="Arial" w:hAnsi="Arial" w:cs="Arial"/>
          <w:sz w:val="24"/>
          <w:szCs w:val="24"/>
          <w:vertAlign w:val="superscript"/>
        </w:rPr>
        <w:footnoteReference w:id="40"/>
      </w:r>
      <w:r w:rsidRPr="00B754D8">
        <w:rPr>
          <w:rStyle w:val="Ninguno"/>
          <w:rFonts w:ascii="Arial" w:hAnsi="Arial"/>
          <w:sz w:val="24"/>
          <w:szCs w:val="24"/>
        </w:rPr>
        <w:t>, dirigida al Secretario de Energía, por no garantizar el derecho humano a la consulta previa, libre, informada, culturalmente adecuada y de buena fe en afectación a la propiedad colectiva e identidad cultural de las comunidades indígenas del Pueblo Mayo y la Tribu Yaqui, por la construcció</w:t>
      </w:r>
      <w:r w:rsidRPr="00B754D8">
        <w:rPr>
          <w:rStyle w:val="Ninguno"/>
          <w:rFonts w:ascii="Arial" w:hAnsi="Arial"/>
          <w:sz w:val="24"/>
          <w:szCs w:val="24"/>
          <w:lang w:val="it-IT"/>
        </w:rPr>
        <w:t xml:space="preserve">n del </w:t>
      </w:r>
      <w:r w:rsidRPr="00B754D8">
        <w:rPr>
          <w:rStyle w:val="Ninguno"/>
          <w:rFonts w:ascii="Arial" w:hAnsi="Arial"/>
          <w:sz w:val="24"/>
          <w:szCs w:val="24"/>
        </w:rPr>
        <w:t>“</w:t>
      </w:r>
      <w:r w:rsidRPr="00B754D8">
        <w:rPr>
          <w:rStyle w:val="Ninguno"/>
          <w:rFonts w:ascii="Arial" w:hAnsi="Arial"/>
          <w:sz w:val="24"/>
          <w:szCs w:val="24"/>
          <w:lang w:val="it-IT"/>
        </w:rPr>
        <w:t>Gasoducto Sonora</w:t>
      </w:r>
      <w:r w:rsidRPr="00B754D8">
        <w:rPr>
          <w:rStyle w:val="Ninguno"/>
          <w:rFonts w:ascii="Arial" w:hAnsi="Arial"/>
          <w:sz w:val="24"/>
          <w:szCs w:val="24"/>
        </w:rPr>
        <w:t xml:space="preserve">” </w:t>
      </w:r>
      <w:r w:rsidRPr="00B754D8">
        <w:rPr>
          <w:rStyle w:val="Ninguno"/>
          <w:rFonts w:ascii="Arial" w:hAnsi="Arial"/>
          <w:sz w:val="24"/>
          <w:szCs w:val="24"/>
          <w:lang w:val="pt-PT"/>
        </w:rPr>
        <w:t xml:space="preserve">segmento Guaymas </w:t>
      </w:r>
      <w:r w:rsidRPr="00B754D8">
        <w:rPr>
          <w:rStyle w:val="Ninguno"/>
          <w:rFonts w:ascii="Arial" w:hAnsi="Arial"/>
          <w:sz w:val="24"/>
          <w:szCs w:val="24"/>
        </w:rPr>
        <w:t xml:space="preserve">– El Oro. </w:t>
      </w:r>
    </w:p>
    <w:p w14:paraId="78EE6393"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lang w:val="pt-PT"/>
        </w:rPr>
        <w:t>Esta Comisi</w:t>
      </w:r>
      <w:r w:rsidRPr="00B754D8">
        <w:rPr>
          <w:rStyle w:val="Ninguno"/>
          <w:rFonts w:ascii="Arial" w:hAnsi="Arial"/>
          <w:sz w:val="24"/>
          <w:szCs w:val="24"/>
        </w:rPr>
        <w:t>ó</w:t>
      </w:r>
      <w:r w:rsidRPr="00B754D8">
        <w:rPr>
          <w:rStyle w:val="Ninguno"/>
          <w:rFonts w:ascii="Arial" w:hAnsi="Arial"/>
          <w:sz w:val="24"/>
          <w:szCs w:val="24"/>
          <w:lang w:val="pt-PT"/>
        </w:rPr>
        <w:t>n Nacional advirti</w:t>
      </w:r>
      <w:r w:rsidRPr="00B754D8">
        <w:rPr>
          <w:rStyle w:val="Ninguno"/>
          <w:rFonts w:ascii="Arial" w:hAnsi="Arial"/>
          <w:sz w:val="24"/>
          <w:szCs w:val="24"/>
        </w:rPr>
        <w:t>ó que en el proyecto “</w:t>
      </w:r>
      <w:r w:rsidRPr="00B754D8">
        <w:rPr>
          <w:rStyle w:val="Ninguno"/>
          <w:rFonts w:ascii="Arial" w:hAnsi="Arial"/>
          <w:sz w:val="24"/>
          <w:szCs w:val="24"/>
          <w:lang w:val="it-IT"/>
        </w:rPr>
        <w:t>Gasoducto Sonora</w:t>
      </w:r>
      <w:r w:rsidRPr="00B754D8">
        <w:rPr>
          <w:rStyle w:val="Ninguno"/>
          <w:rFonts w:ascii="Arial" w:hAnsi="Arial"/>
          <w:sz w:val="24"/>
          <w:szCs w:val="24"/>
        </w:rPr>
        <w:t>”, segmento Guaymas - El Oro, asignado a una empresa privada mediante licitación pública internacional abierta, que consiste en el diseño y operación de un sistema de transporte de gas natural con longitud de 327.722 kilómetros, la Secretaría de Energí</w:t>
      </w:r>
      <w:r w:rsidRPr="00B754D8">
        <w:rPr>
          <w:rStyle w:val="Ninguno"/>
          <w:rFonts w:ascii="Arial" w:hAnsi="Arial"/>
          <w:sz w:val="24"/>
          <w:szCs w:val="24"/>
          <w:lang w:val="de-DE"/>
        </w:rPr>
        <w:t>a (SENER) comunic</w:t>
      </w:r>
      <w:r w:rsidRPr="00B754D8">
        <w:rPr>
          <w:rStyle w:val="Ninguno"/>
          <w:rFonts w:ascii="Arial" w:hAnsi="Arial"/>
          <w:sz w:val="24"/>
          <w:szCs w:val="24"/>
        </w:rPr>
        <w:t>ó a dicha empresa que se identificó que las comunidades de Navojoa, Álamos y Huatabampo del Pueblo Mayo y de Loma de Bácum de la Tribu Yaqui, son susceptibles de afectación por la construcción y operación del proyecto, por lo cual, se les debería realizar una consulta previa, libre, informada, culturalmente adecuada y de buena fe.</w:t>
      </w:r>
    </w:p>
    <w:p w14:paraId="6C6EE401" w14:textId="77777777" w:rsidR="00D35E43" w:rsidRPr="00B754D8" w:rsidRDefault="00CD7861">
      <w:pPr>
        <w:pStyle w:val="Prrafodelista"/>
        <w:jc w:val="both"/>
        <w:rPr>
          <w:rStyle w:val="Ninguno"/>
          <w:rFonts w:ascii="Arial" w:eastAsia="Arial" w:hAnsi="Arial" w:cs="Arial"/>
          <w:sz w:val="24"/>
          <w:szCs w:val="24"/>
          <w:u w:val="single"/>
        </w:rPr>
      </w:pPr>
      <w:r w:rsidRPr="00B754D8">
        <w:rPr>
          <w:rStyle w:val="Ninguno"/>
          <w:rFonts w:ascii="Arial" w:hAnsi="Arial"/>
          <w:sz w:val="24"/>
          <w:szCs w:val="24"/>
          <w:u w:val="single"/>
        </w:rPr>
        <w:t>Pronunciamiento del Consejo Consultivo de la CNDH</w:t>
      </w:r>
    </w:p>
    <w:p w14:paraId="752DDFE3"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El pasado 30 de abril de 2019, el  Consejo Consultivo de la CNDH hizo un llamado para que las instituciones responsables de los proyectos de desarrollo del Gobierno de la República implementen, de manera inmediata, un Programa de Promoción sobre el Derecho de Consulta Previa, Libre, Informada, de Buena Fe y Culturalmente Adecuada, dirigido en lo general a la población indígena y afromexicana del país; y, en lo particular, a los pueblos y comunidades que habitan en los territorios considerados para la ejecución de las obras</w:t>
      </w:r>
      <w:r w:rsidRPr="00B754D8">
        <w:rPr>
          <w:rStyle w:val="Ninguno"/>
          <w:rFonts w:ascii="Arial" w:eastAsia="Arial" w:hAnsi="Arial" w:cs="Arial"/>
          <w:sz w:val="24"/>
          <w:szCs w:val="24"/>
          <w:vertAlign w:val="superscript"/>
        </w:rPr>
        <w:footnoteReference w:id="41"/>
      </w:r>
      <w:r w:rsidRPr="00B754D8">
        <w:rPr>
          <w:rStyle w:val="Ninguno"/>
          <w:rFonts w:ascii="Arial" w:hAnsi="Arial"/>
          <w:sz w:val="24"/>
          <w:szCs w:val="24"/>
        </w:rPr>
        <w:t>.</w:t>
      </w:r>
    </w:p>
    <w:p w14:paraId="7BF30C76"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Asimismo, considera relevante destacar que, aun sin iniciarse, en algunos casos, la fase constructiva de los proyectos, la CNDH ha recibido recursos de queja contra esos proyectos, además de solicitar Medidas Cautelares a diversas instituciones </w:t>
      </w:r>
      <w:r w:rsidRPr="00B754D8">
        <w:rPr>
          <w:rStyle w:val="Ninguno"/>
          <w:rFonts w:ascii="Arial" w:hAnsi="Arial"/>
          <w:sz w:val="24"/>
          <w:szCs w:val="24"/>
        </w:rPr>
        <w:lastRenderedPageBreak/>
        <w:t>federales por hechos vinculados con el desarrollo de la consulta pública (23-24 febrero de 2019), para determinar el consentimiento y operación de la Planta Termoeléctrica del Proyecto Integral Morelos, así como de las consultas comunitarias (30-31 marzo de 2019) del Corredor Interoceánico del Istmo de Tehuantepec.</w:t>
      </w:r>
    </w:p>
    <w:p w14:paraId="3631F498"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El Consejo Consultivo de la CNDH exhorta al Ejecutivo Federal a poner en marcha las recomendaciones del Mecanismo de Expertos de las Naciones Unidas sobre los Derechos de los Pueblos Indí</w:t>
      </w:r>
      <w:r w:rsidRPr="00B754D8">
        <w:rPr>
          <w:rStyle w:val="Ninguno"/>
          <w:rFonts w:ascii="Arial" w:hAnsi="Arial"/>
          <w:sz w:val="24"/>
          <w:szCs w:val="24"/>
          <w:lang w:val="it-IT"/>
        </w:rPr>
        <w:t>genas, del Comit</w:t>
      </w:r>
      <w:r w:rsidRPr="00B754D8">
        <w:rPr>
          <w:rStyle w:val="Ninguno"/>
          <w:rFonts w:ascii="Arial" w:hAnsi="Arial"/>
          <w:sz w:val="24"/>
          <w:szCs w:val="24"/>
        </w:rPr>
        <w:t>é para la Eliminación de la Discriminación Racial y del Relator Especial sobre los Derechos de los Pueblos Indí</w:t>
      </w:r>
      <w:r w:rsidRPr="00B754D8">
        <w:rPr>
          <w:rStyle w:val="Ninguno"/>
          <w:rFonts w:ascii="Arial" w:hAnsi="Arial"/>
          <w:sz w:val="24"/>
          <w:szCs w:val="24"/>
          <w:lang w:val="pt-PT"/>
        </w:rPr>
        <w:t>genas, as</w:t>
      </w:r>
      <w:r w:rsidRPr="00B754D8">
        <w:rPr>
          <w:rStyle w:val="Ninguno"/>
          <w:rFonts w:ascii="Arial" w:hAnsi="Arial"/>
          <w:sz w:val="24"/>
          <w:szCs w:val="24"/>
        </w:rPr>
        <w:t>í como para revisar y, previa generación de los mayores consensos, asumir los términos de la Recomendación General No. 27/2016, en la que se solicita presentar una Iniciativa de Ley al Congreso de la Unión sobre el derecho a la consulta previa, libre, informada, de buena fe y culturalmente adecuada para pueblos y comunidades indígenas del país</w:t>
      </w:r>
      <w:r w:rsidRPr="00B754D8">
        <w:rPr>
          <w:rStyle w:val="Ninguno"/>
          <w:rFonts w:ascii="Arial" w:hAnsi="Arial"/>
          <w:sz w:val="24"/>
          <w:szCs w:val="24"/>
          <w:lang w:val="pt-PT"/>
        </w:rPr>
        <w:t>.</w:t>
      </w:r>
    </w:p>
    <w:p w14:paraId="35812A16" w14:textId="77777777" w:rsidR="00D35E43" w:rsidRPr="00087B04" w:rsidRDefault="00CD7861">
      <w:pPr>
        <w:pStyle w:val="CuerpoA"/>
        <w:jc w:val="both"/>
        <w:rPr>
          <w:rStyle w:val="Ninguno"/>
          <w:rFonts w:ascii="Arial" w:hAnsi="Arial"/>
          <w:sz w:val="24"/>
          <w:szCs w:val="24"/>
        </w:rPr>
      </w:pPr>
      <w:r w:rsidRPr="00087B04">
        <w:rPr>
          <w:rStyle w:val="Ninguno"/>
          <w:rFonts w:ascii="Arial" w:hAnsi="Arial"/>
          <w:sz w:val="24"/>
          <w:szCs w:val="24"/>
        </w:rPr>
        <w:t xml:space="preserve">Asimismo, hay que recordar lo que  mencionó en feberero de este año, la Relatora Especial de Naciones Unidas sobre los Derechos de los Pueblos Indígenas en su </w:t>
      </w:r>
      <w:r w:rsidRPr="00087B04">
        <w:rPr>
          <w:rStyle w:val="Ninguno"/>
          <w:rFonts w:ascii="Arial" w:hAnsi="Arial"/>
          <w:i/>
          <w:sz w:val="24"/>
          <w:szCs w:val="24"/>
        </w:rPr>
        <w:t>Nota técnica sobre la consulta y el consentimiento libre, previo e informado de los pueblos indígenas en México</w:t>
      </w:r>
      <w:r w:rsidRPr="00087B04">
        <w:rPr>
          <w:rStyle w:val="Ninguno"/>
          <w:rFonts w:ascii="Arial" w:hAnsi="Arial"/>
          <w:sz w:val="24"/>
          <w:szCs w:val="24"/>
        </w:rPr>
        <w:t>, quien consideró que “los procesos de consulta ciudadana diseñados para la población nacional en general no garantizan las salvaguardas de los derechos de los pueblos indígenas consagradas en los estándares internacionales de derechos de los pueblos indígenas, ... porque las consultas indígenas exigidas por estas normas internacionales difieren de las consultas ciudadanas previstas en las legislaciones nacionales de muchos países, puesto que constituyen una medida especial de salvaguarda de derechos de los pueblos indígenas”</w:t>
      </w:r>
      <w:r w:rsidRPr="00087B04">
        <w:rPr>
          <w:rStyle w:val="Ninguno"/>
          <w:rFonts w:ascii="Arial" w:hAnsi="Arial"/>
          <w:sz w:val="24"/>
          <w:szCs w:val="24"/>
          <w:vertAlign w:val="superscript"/>
        </w:rPr>
        <w:footnoteReference w:id="42"/>
      </w:r>
      <w:r w:rsidRPr="00087B04">
        <w:rPr>
          <w:rStyle w:val="Ninguno"/>
          <w:rFonts w:ascii="Arial" w:hAnsi="Arial"/>
          <w:sz w:val="24"/>
          <w:szCs w:val="24"/>
        </w:rPr>
        <w:t>.</w:t>
      </w:r>
    </w:p>
    <w:p w14:paraId="373850AE" w14:textId="77777777" w:rsidR="00D35E43" w:rsidRPr="00B754D8" w:rsidRDefault="00CD7861">
      <w:pPr>
        <w:pStyle w:val="CuerpoA"/>
        <w:ind w:left="708"/>
        <w:jc w:val="both"/>
        <w:rPr>
          <w:rStyle w:val="Ninguno"/>
          <w:rFonts w:ascii="Arial" w:eastAsia="Arial" w:hAnsi="Arial" w:cs="Arial"/>
          <w:sz w:val="24"/>
          <w:szCs w:val="24"/>
          <w:u w:val="single"/>
        </w:rPr>
      </w:pPr>
      <w:r w:rsidRPr="00B754D8">
        <w:rPr>
          <w:rStyle w:val="Ninguno"/>
          <w:rFonts w:ascii="Arial" w:hAnsi="Arial"/>
          <w:sz w:val="24"/>
          <w:szCs w:val="24"/>
          <w:u w:val="single"/>
        </w:rPr>
        <w:t>La CNDH y su interacción con el Comité para la eliminación de la Discriminación Racial</w:t>
      </w:r>
    </w:p>
    <w:p w14:paraId="067BF004"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En julio de 2019, en el marco del proceso de revisión de los Informes Periódicos 18 al 21 de México ante el </w:t>
      </w:r>
      <w:r w:rsidRPr="00B754D8">
        <w:rPr>
          <w:rStyle w:val="Ninguno"/>
          <w:rFonts w:ascii="Arial" w:hAnsi="Arial"/>
          <w:b/>
          <w:bCs/>
          <w:sz w:val="24"/>
          <w:szCs w:val="24"/>
        </w:rPr>
        <w:t xml:space="preserve">Comité para la Eliminación de la Discriminación Racial (CERD), </w:t>
      </w:r>
      <w:r w:rsidRPr="00B754D8">
        <w:rPr>
          <w:rStyle w:val="Ninguno"/>
          <w:rFonts w:ascii="Arial" w:hAnsi="Arial"/>
          <w:sz w:val="24"/>
          <w:szCs w:val="24"/>
        </w:rPr>
        <w:t>se envió a la Secretaría de dicho Comité el Informe de la CNDH, en su calidad de Institución Nacional de Derechos Humanos, a fin de que fuera considerado por los miembros del CERD en el proceso de revisión mencionado.</w:t>
      </w:r>
    </w:p>
    <w:p w14:paraId="5BB383E5"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 xml:space="preserve">En agosto de 2019, la delegación de la CNDH sostuvo una reunión privada con los miembros del Comité para la Eliminación de la Discriminación Racial de la ONU (CERD) en el que se expusieron las acciones que lleva a cabo la CNDH para combatir la discriminación racial en nuestro país, entre las que destacan la emisión de las Recomendaciones Generales sobre Empresas y Derechos Humanos, </w:t>
      </w:r>
      <w:r w:rsidRPr="00B754D8">
        <w:rPr>
          <w:rStyle w:val="Ninguno"/>
          <w:rFonts w:ascii="Arial" w:hAnsi="Arial"/>
          <w:sz w:val="24"/>
          <w:szCs w:val="24"/>
        </w:rPr>
        <w:lastRenderedPageBreak/>
        <w:t>Consulta Previa, Patrimonio Cultural y Violencia Obstétrica. en preparación para la revisión de los Informes 18 a 21 del Estado mexicano ante ese órgano de tratado;</w:t>
      </w:r>
    </w:p>
    <w:p w14:paraId="10D7DC1C" w14:textId="77777777" w:rsidR="00D35E43" w:rsidRPr="00B754D8" w:rsidRDefault="00CD7861">
      <w:pPr>
        <w:pStyle w:val="CuerpoA"/>
        <w:jc w:val="both"/>
        <w:rPr>
          <w:rStyle w:val="Ninguno"/>
          <w:rFonts w:ascii="Arial" w:eastAsia="Arial" w:hAnsi="Arial" w:cs="Arial"/>
          <w:sz w:val="24"/>
          <w:szCs w:val="24"/>
        </w:rPr>
      </w:pPr>
      <w:r w:rsidRPr="00B754D8">
        <w:rPr>
          <w:rStyle w:val="Ninguno"/>
          <w:rFonts w:ascii="Arial" w:hAnsi="Arial"/>
          <w:sz w:val="24"/>
          <w:szCs w:val="24"/>
        </w:rPr>
        <w:t>Asimismo, asistieron a la sustentación de los Informes 18 a 21 de México ante el CERD, en la que los expertos, Silvio José Albuquerque, Pastor Elías Murillo y María Teresa Verdugo, hicieron un reconocimiento público a la labor que realiza la Comisión Nacional de los Derechos Humanos en México y la importancia de su presencia e interacción activa y comprometida con los mecanismos internacionales, como es el caso de este Comité. En el proceso de examen a México, los miembros del Comité refirieron, en varias ocasiones destacaron, la importancia de los datos aportados por la CNDH.</w:t>
      </w:r>
    </w:p>
    <w:p w14:paraId="4423D193" w14:textId="77777777" w:rsidR="00D35E43" w:rsidRPr="00B754D8" w:rsidRDefault="00CD7861">
      <w:pPr>
        <w:pStyle w:val="CuerpoA"/>
        <w:jc w:val="both"/>
        <w:rPr>
          <w:rStyle w:val="Ninguno"/>
          <w:rFonts w:ascii="Arial" w:eastAsia="Arial" w:hAnsi="Arial" w:cs="Arial"/>
          <w:b/>
          <w:bCs/>
          <w:sz w:val="24"/>
          <w:szCs w:val="24"/>
        </w:rPr>
      </w:pPr>
      <w:r w:rsidRPr="00B754D8">
        <w:rPr>
          <w:rStyle w:val="Ninguno"/>
          <w:rFonts w:ascii="Arial" w:hAnsi="Arial"/>
          <w:b/>
          <w:bCs/>
          <w:sz w:val="24"/>
          <w:szCs w:val="24"/>
        </w:rPr>
        <w:t>Retos para el Estado Mexicano</w:t>
      </w:r>
    </w:p>
    <w:p w14:paraId="2D2BBF1B" w14:textId="77777777" w:rsidR="00D35E43" w:rsidRPr="00B754D8" w:rsidRDefault="00CD7861">
      <w:pPr>
        <w:pStyle w:val="CuerpoA"/>
        <w:numPr>
          <w:ilvl w:val="0"/>
          <w:numId w:val="179"/>
        </w:numPr>
        <w:jc w:val="both"/>
        <w:rPr>
          <w:rFonts w:ascii="Arial" w:hAnsi="Arial"/>
          <w:sz w:val="24"/>
          <w:szCs w:val="24"/>
        </w:rPr>
      </w:pPr>
      <w:r w:rsidRPr="00B754D8">
        <w:rPr>
          <w:rStyle w:val="Ninguno"/>
          <w:rFonts w:ascii="Arial" w:hAnsi="Arial"/>
          <w:sz w:val="24"/>
          <w:szCs w:val="24"/>
        </w:rPr>
        <w:t xml:space="preserve">Hace falta una norma que reglamente la aplicación del derecho a la consulta previa, con la que se defina de forma clara los medios e instrumentos, además de las entidades responsables de verificar la aplicación de este derecho, </w:t>
      </w:r>
      <w:r w:rsidRPr="00087B04">
        <w:rPr>
          <w:rStyle w:val="Ninguno"/>
          <w:rFonts w:ascii="Arial" w:hAnsi="Arial"/>
          <w:sz w:val="24"/>
          <w:szCs w:val="24"/>
        </w:rPr>
        <w:t>conforme los estándares señalados por la Relatora Especial de Naciones Unidas sobre los Derechos de los Pueblos Indígenas</w:t>
      </w:r>
      <w:r w:rsidRPr="00B754D8">
        <w:rPr>
          <w:rStyle w:val="Ninguno"/>
          <w:rFonts w:ascii="Arial" w:hAnsi="Arial"/>
          <w:sz w:val="24"/>
          <w:szCs w:val="24"/>
        </w:rPr>
        <w:t>, cuando se trate de asuntos que les afecten como pueblo, como comunidad o a sus tierras y territorios.</w:t>
      </w:r>
    </w:p>
    <w:p w14:paraId="024F4C53" w14:textId="77777777" w:rsidR="00D35E43" w:rsidRPr="00B754D8" w:rsidRDefault="00CD7861">
      <w:pPr>
        <w:pStyle w:val="CuerpoA"/>
        <w:numPr>
          <w:ilvl w:val="0"/>
          <w:numId w:val="179"/>
        </w:numPr>
        <w:jc w:val="both"/>
        <w:rPr>
          <w:rFonts w:ascii="Arial" w:hAnsi="Arial"/>
          <w:sz w:val="24"/>
          <w:szCs w:val="24"/>
        </w:rPr>
      </w:pPr>
      <w:r w:rsidRPr="00B754D8">
        <w:rPr>
          <w:rStyle w:val="Ninguno"/>
          <w:rFonts w:ascii="Arial" w:hAnsi="Arial"/>
          <w:sz w:val="24"/>
          <w:szCs w:val="24"/>
        </w:rPr>
        <w:t>Implementar, de manera inmediata, un Programa de Promoción sobre el Derecho de Consulta Previa, Libre, Informada, de Buena Fe y Culturalmente Adecuada, dirigido en lo general a la población indígena y afromexicana del país.</w:t>
      </w:r>
    </w:p>
    <w:p w14:paraId="372FB3A4" w14:textId="77777777" w:rsidR="00D35E43" w:rsidRPr="00B754D8" w:rsidRDefault="00D35E43">
      <w:pPr>
        <w:pStyle w:val="CuerpoA"/>
        <w:ind w:left="720"/>
        <w:jc w:val="both"/>
        <w:rPr>
          <w:rStyle w:val="Hyperlink4"/>
          <w:sz w:val="24"/>
          <w:szCs w:val="24"/>
        </w:rPr>
      </w:pPr>
    </w:p>
    <w:p w14:paraId="3C0B69DB" w14:textId="77777777" w:rsidR="00D35E43" w:rsidRPr="00B754D8" w:rsidRDefault="00D35E43">
      <w:pPr>
        <w:pStyle w:val="CuerpoA"/>
        <w:ind w:left="720"/>
        <w:jc w:val="both"/>
        <w:rPr>
          <w:rStyle w:val="Hyperlink4"/>
          <w:sz w:val="24"/>
          <w:szCs w:val="24"/>
        </w:rPr>
      </w:pPr>
    </w:p>
    <w:p w14:paraId="1CE8C7C9" w14:textId="77777777" w:rsidR="00D35E43" w:rsidRPr="00B754D8" w:rsidRDefault="00D35E43">
      <w:pPr>
        <w:pStyle w:val="CuerpoA"/>
        <w:ind w:left="720"/>
        <w:jc w:val="both"/>
        <w:rPr>
          <w:rStyle w:val="Hyperlink4"/>
          <w:sz w:val="24"/>
          <w:szCs w:val="24"/>
        </w:rPr>
      </w:pPr>
    </w:p>
    <w:p w14:paraId="2945199A" w14:textId="77777777" w:rsidR="00D35E43" w:rsidRPr="00B754D8" w:rsidRDefault="00D35E43">
      <w:pPr>
        <w:pStyle w:val="CuerpoA"/>
        <w:ind w:left="720"/>
        <w:jc w:val="both"/>
        <w:rPr>
          <w:rStyle w:val="Hyperlink4"/>
          <w:sz w:val="24"/>
          <w:szCs w:val="24"/>
        </w:rPr>
      </w:pPr>
    </w:p>
    <w:p w14:paraId="5AF3E988" w14:textId="77777777" w:rsidR="00D35E43" w:rsidRPr="00B754D8" w:rsidRDefault="00D35E43">
      <w:pPr>
        <w:pStyle w:val="CuerpoA"/>
        <w:ind w:left="720"/>
        <w:jc w:val="both"/>
        <w:rPr>
          <w:rStyle w:val="Hyperlink4"/>
          <w:sz w:val="24"/>
          <w:szCs w:val="24"/>
        </w:rPr>
      </w:pPr>
    </w:p>
    <w:p w14:paraId="5A52F646" w14:textId="77777777" w:rsidR="00D35E43" w:rsidRPr="00B754D8" w:rsidRDefault="00D35E43">
      <w:pPr>
        <w:pStyle w:val="CuerpoA"/>
        <w:ind w:left="720"/>
        <w:jc w:val="both"/>
        <w:rPr>
          <w:rStyle w:val="Hyperlink4"/>
          <w:sz w:val="24"/>
          <w:szCs w:val="24"/>
        </w:rPr>
      </w:pPr>
    </w:p>
    <w:p w14:paraId="3BBEBC8A" w14:textId="77777777" w:rsidR="00D35E43" w:rsidRPr="00B754D8" w:rsidRDefault="00D35E43">
      <w:pPr>
        <w:pStyle w:val="CuerpoA"/>
        <w:ind w:left="720"/>
        <w:jc w:val="both"/>
        <w:rPr>
          <w:rStyle w:val="Hyperlink4"/>
          <w:sz w:val="24"/>
          <w:szCs w:val="24"/>
        </w:rPr>
      </w:pPr>
    </w:p>
    <w:p w14:paraId="1F53BD32" w14:textId="77777777" w:rsidR="00D35E43" w:rsidRPr="00B754D8" w:rsidRDefault="00D35E43">
      <w:pPr>
        <w:pStyle w:val="CuerpoA"/>
        <w:ind w:left="720"/>
        <w:jc w:val="both"/>
        <w:rPr>
          <w:rStyle w:val="Hyperlink4"/>
          <w:sz w:val="24"/>
          <w:szCs w:val="24"/>
        </w:rPr>
      </w:pPr>
    </w:p>
    <w:p w14:paraId="6A8DF071" w14:textId="77777777" w:rsidR="00D35E43" w:rsidRPr="00B754D8" w:rsidRDefault="00D35E43">
      <w:pPr>
        <w:pStyle w:val="CuerpoA"/>
        <w:ind w:left="720"/>
        <w:jc w:val="both"/>
        <w:rPr>
          <w:rStyle w:val="Hyperlink4"/>
          <w:sz w:val="24"/>
          <w:szCs w:val="24"/>
        </w:rPr>
      </w:pPr>
    </w:p>
    <w:p w14:paraId="624E119D" w14:textId="77777777" w:rsidR="00D35E43" w:rsidRPr="00B754D8" w:rsidRDefault="00D35E43">
      <w:pPr>
        <w:pStyle w:val="CuerpoA"/>
        <w:ind w:left="720"/>
        <w:jc w:val="both"/>
        <w:rPr>
          <w:rStyle w:val="Hyperlink4"/>
          <w:sz w:val="24"/>
          <w:szCs w:val="24"/>
        </w:rPr>
      </w:pPr>
    </w:p>
    <w:p w14:paraId="6806A9D2" w14:textId="77777777" w:rsidR="00D35E43" w:rsidRPr="00B754D8" w:rsidRDefault="00D35E43">
      <w:pPr>
        <w:pStyle w:val="CuerpoA"/>
        <w:ind w:left="720"/>
        <w:jc w:val="both"/>
        <w:rPr>
          <w:rStyle w:val="Hyperlink4"/>
          <w:sz w:val="24"/>
          <w:szCs w:val="24"/>
        </w:rPr>
      </w:pPr>
    </w:p>
    <w:p w14:paraId="3ACFCB01" w14:textId="715189FE" w:rsidR="00D35E43" w:rsidRPr="00B754D8" w:rsidRDefault="00D35E43" w:rsidP="00D44340">
      <w:pPr>
        <w:pStyle w:val="CuerpoA"/>
        <w:jc w:val="both"/>
        <w:rPr>
          <w:rStyle w:val="Hyperlink4"/>
          <w:sz w:val="24"/>
          <w:szCs w:val="24"/>
        </w:rPr>
      </w:pPr>
    </w:p>
    <w:p w14:paraId="50ABB037" w14:textId="77777777" w:rsidR="00D35E43" w:rsidRPr="00B754D8" w:rsidRDefault="00D35E43">
      <w:pPr>
        <w:pStyle w:val="CuerpoA"/>
        <w:ind w:left="720"/>
        <w:jc w:val="both"/>
        <w:rPr>
          <w:rStyle w:val="Hyperlink4"/>
          <w:sz w:val="24"/>
          <w:szCs w:val="24"/>
        </w:rPr>
      </w:pPr>
    </w:p>
    <w:p w14:paraId="6594196D" w14:textId="77777777" w:rsidR="00D35E43" w:rsidRPr="00B754D8" w:rsidRDefault="00CD7861">
      <w:pPr>
        <w:pStyle w:val="Prrafodelista"/>
        <w:numPr>
          <w:ilvl w:val="0"/>
          <w:numId w:val="180"/>
        </w:numPr>
        <w:rPr>
          <w:rFonts w:ascii="Arial" w:hAnsi="Arial"/>
          <w:b/>
          <w:bCs/>
          <w:sz w:val="24"/>
          <w:szCs w:val="24"/>
        </w:rPr>
      </w:pPr>
      <w:r w:rsidRPr="00B754D8">
        <w:rPr>
          <w:rStyle w:val="Ninguno"/>
          <w:rFonts w:ascii="Arial" w:hAnsi="Arial"/>
          <w:b/>
          <w:bCs/>
          <w:sz w:val="24"/>
          <w:szCs w:val="24"/>
        </w:rPr>
        <w:t>Propuesta de Recomendaciones de la CNDH para la consideración del Comité de Derechos Humanos de la ONU</w:t>
      </w:r>
    </w:p>
    <w:p w14:paraId="7DA05691" w14:textId="77777777" w:rsidR="00D35E43" w:rsidRPr="00B754D8" w:rsidRDefault="00CD7861">
      <w:pPr>
        <w:pStyle w:val="CuerpoB"/>
        <w:spacing w:after="160" w:line="259" w:lineRule="auto"/>
        <w:jc w:val="both"/>
        <w:rPr>
          <w:rStyle w:val="Hyperlink4"/>
        </w:rPr>
      </w:pPr>
      <w:r w:rsidRPr="00B754D8">
        <w:rPr>
          <w:rStyle w:val="Hyperlink4"/>
        </w:rPr>
        <w:t xml:space="preserve">La CNDH, en su carácter de Institución Nacional de Derechos Humanos autónoma e independiente del Gobierno de México, sugiere respetuosamente al Comité de Derechos Humanos de la ONU dirigir las siguientes recomendaciones al Estado Mexicano:  </w:t>
      </w:r>
    </w:p>
    <w:p w14:paraId="0B25EF11" w14:textId="77777777" w:rsidR="00D35E43" w:rsidRPr="00B754D8" w:rsidRDefault="00CD7861">
      <w:pPr>
        <w:pStyle w:val="CuerpoB"/>
        <w:spacing w:after="160" w:line="259" w:lineRule="auto"/>
        <w:jc w:val="both"/>
        <w:rPr>
          <w:rStyle w:val="Ninguno"/>
          <w:rFonts w:ascii="Arial" w:eastAsia="Arial" w:hAnsi="Arial" w:cs="Arial"/>
          <w:b/>
          <w:bCs/>
        </w:rPr>
      </w:pPr>
      <w:r w:rsidRPr="00B754D8">
        <w:rPr>
          <w:rStyle w:val="Ninguno"/>
          <w:rFonts w:ascii="Arial" w:hAnsi="Arial"/>
          <w:b/>
          <w:bCs/>
        </w:rPr>
        <w:t>Ratificación de Instrumentos Internacionales</w:t>
      </w:r>
    </w:p>
    <w:p w14:paraId="4951125A" w14:textId="77777777" w:rsidR="00D35E43" w:rsidRPr="00B754D8" w:rsidRDefault="00CD7861">
      <w:pPr>
        <w:pStyle w:val="CuerpoB"/>
        <w:numPr>
          <w:ilvl w:val="0"/>
          <w:numId w:val="182"/>
        </w:numPr>
        <w:spacing w:after="160" w:line="259" w:lineRule="auto"/>
        <w:jc w:val="both"/>
        <w:rPr>
          <w:rFonts w:ascii="Arial" w:hAnsi="Arial"/>
        </w:rPr>
      </w:pPr>
      <w:r w:rsidRPr="00B754D8">
        <w:rPr>
          <w:rStyle w:val="Ninguno"/>
          <w:rFonts w:ascii="Arial" w:hAnsi="Arial"/>
        </w:rPr>
        <w:t>Retirar las reservas y declaraciones interpretativas de artículos del Pacto Internacional de Derechos Civiles y Políticos</w:t>
      </w:r>
    </w:p>
    <w:p w14:paraId="4639E2DB" w14:textId="77777777" w:rsidR="00D35E43" w:rsidRPr="00B754D8" w:rsidRDefault="00CD7861">
      <w:pPr>
        <w:pStyle w:val="CuerpoB"/>
        <w:numPr>
          <w:ilvl w:val="0"/>
          <w:numId w:val="182"/>
        </w:numPr>
        <w:spacing w:after="160" w:line="259" w:lineRule="auto"/>
        <w:jc w:val="both"/>
        <w:rPr>
          <w:rFonts w:ascii="Arial" w:hAnsi="Arial"/>
        </w:rPr>
      </w:pPr>
      <w:r w:rsidRPr="00B754D8">
        <w:rPr>
          <w:rStyle w:val="Ninguno"/>
          <w:rFonts w:ascii="Arial" w:hAnsi="Arial"/>
        </w:rPr>
        <w:t>Ratificar el Protocolo Facultativo de la Convención sobre los Derechos del Niño relativo a un procedimiento de comunicaciones; la Convención para reducir los casos de Apatridia, la Convención Interamericana contra el Racismo, la Discriminación Racial y Formas Conexas de Intolerancia y firmar y ratificar la Convención Interamericana sobre la Protección de los Derechos Humanos de las Personas Mayores.</w:t>
      </w:r>
    </w:p>
    <w:p w14:paraId="35C0D56F" w14:textId="77777777" w:rsidR="00D35E43" w:rsidRPr="00B754D8" w:rsidRDefault="00CD7861">
      <w:pPr>
        <w:pStyle w:val="CuerpoB"/>
        <w:numPr>
          <w:ilvl w:val="0"/>
          <w:numId w:val="182"/>
        </w:numPr>
        <w:spacing w:after="160" w:line="259" w:lineRule="auto"/>
        <w:jc w:val="both"/>
        <w:rPr>
          <w:rFonts w:ascii="Arial" w:hAnsi="Arial"/>
        </w:rPr>
      </w:pPr>
      <w:r w:rsidRPr="00B754D8">
        <w:rPr>
          <w:rStyle w:val="Ninguno"/>
          <w:rFonts w:ascii="Arial" w:hAnsi="Arial"/>
        </w:rPr>
        <w:t>Retirar las reservas y declaraciones interpretativas de artículos del Pacto Internacional de Derechos Económicos, Sociales y Culturales, Convención Americana sobre Derechos Humanos, y el Protocolo Adicional a la Convención Americana sobre Derechos Humanos en materia de Derechos Económicos, Sociales y Culturales “Protocolo de San Salvador”.</w:t>
      </w:r>
    </w:p>
    <w:p w14:paraId="41C8D00D" w14:textId="77777777" w:rsidR="00D35E43" w:rsidRPr="00B754D8" w:rsidRDefault="00D35E43">
      <w:pPr>
        <w:pStyle w:val="CuerpoB"/>
        <w:spacing w:after="160" w:line="259" w:lineRule="auto"/>
        <w:jc w:val="both"/>
        <w:rPr>
          <w:rStyle w:val="Ninguno"/>
          <w:rFonts w:ascii="Arial" w:eastAsia="Arial" w:hAnsi="Arial" w:cs="Arial"/>
          <w:b/>
          <w:bCs/>
        </w:rPr>
      </w:pPr>
    </w:p>
    <w:p w14:paraId="4FE25C90" w14:textId="77777777" w:rsidR="00D35E43" w:rsidRPr="00B754D8" w:rsidRDefault="00CD7861">
      <w:pPr>
        <w:pStyle w:val="CuerpoB"/>
        <w:jc w:val="both"/>
        <w:rPr>
          <w:rStyle w:val="Ninguno"/>
          <w:rFonts w:ascii="Arial" w:eastAsia="Arial" w:hAnsi="Arial" w:cs="Arial"/>
          <w:b/>
          <w:bCs/>
        </w:rPr>
      </w:pPr>
      <w:r w:rsidRPr="00B754D8">
        <w:rPr>
          <w:rStyle w:val="Ninguno"/>
          <w:rFonts w:ascii="Arial" w:hAnsi="Arial"/>
          <w:b/>
          <w:bCs/>
        </w:rPr>
        <w:t>Ley General de V</w:t>
      </w:r>
      <w:r w:rsidRPr="00B754D8">
        <w:rPr>
          <w:rStyle w:val="Ninguno"/>
          <w:rFonts w:ascii="Arial" w:hAnsi="Arial"/>
          <w:b/>
          <w:bCs/>
          <w:lang w:val="en-US"/>
        </w:rPr>
        <w:t>í</w:t>
      </w:r>
      <w:r w:rsidRPr="00B754D8">
        <w:rPr>
          <w:rStyle w:val="Ninguno"/>
          <w:rFonts w:ascii="Arial" w:hAnsi="Arial"/>
          <w:b/>
          <w:bCs/>
        </w:rPr>
        <w:t>ctimas</w:t>
      </w:r>
    </w:p>
    <w:p w14:paraId="3A05D1FC" w14:textId="77777777" w:rsidR="00D35E43" w:rsidRPr="00B754D8" w:rsidRDefault="00D35E43">
      <w:pPr>
        <w:pStyle w:val="CuerpoB"/>
        <w:jc w:val="both"/>
        <w:rPr>
          <w:rStyle w:val="Hyperlink4"/>
        </w:rPr>
      </w:pPr>
    </w:p>
    <w:p w14:paraId="0C5589F1" w14:textId="77777777" w:rsidR="00D35E43" w:rsidRPr="00B754D8" w:rsidRDefault="00CD7861">
      <w:pPr>
        <w:pStyle w:val="CuerpoB"/>
        <w:numPr>
          <w:ilvl w:val="0"/>
          <w:numId w:val="182"/>
        </w:numPr>
        <w:jc w:val="both"/>
        <w:rPr>
          <w:rFonts w:ascii="Arial" w:hAnsi="Arial"/>
        </w:rPr>
      </w:pPr>
      <w:r w:rsidRPr="00B754D8">
        <w:rPr>
          <w:rStyle w:val="Ninguno"/>
          <w:rFonts w:ascii="Arial" w:hAnsi="Arial"/>
        </w:rPr>
        <w:t xml:space="preserve">El fortalecimiento en el ámbito nacional de la asesoría jurídica victimal, así como la permanente capacitación, actualización y especialización de los asesores que representen a las víctimas para facilitar su acceso a la verdad, a la justicia y a la reparación integral. </w:t>
      </w:r>
    </w:p>
    <w:p w14:paraId="48998A6A" w14:textId="77777777" w:rsidR="00D35E43" w:rsidRPr="00B754D8" w:rsidRDefault="00D35E43">
      <w:pPr>
        <w:pStyle w:val="CuerpoB"/>
        <w:jc w:val="both"/>
        <w:rPr>
          <w:rStyle w:val="Hyperlink4"/>
        </w:rPr>
      </w:pPr>
    </w:p>
    <w:p w14:paraId="455FD043" w14:textId="77777777" w:rsidR="00D35E43" w:rsidRPr="00087B04" w:rsidRDefault="00CD7861">
      <w:pPr>
        <w:pStyle w:val="CuerpoB"/>
        <w:numPr>
          <w:ilvl w:val="0"/>
          <w:numId w:val="182"/>
        </w:numPr>
        <w:jc w:val="both"/>
        <w:rPr>
          <w:rStyle w:val="Ninguno"/>
        </w:rPr>
      </w:pPr>
      <w:r w:rsidRPr="00087B04">
        <w:rPr>
          <w:rStyle w:val="Ninguno"/>
          <w:rFonts w:ascii="Arial" w:hAnsi="Arial"/>
        </w:rPr>
        <w:t>Reformar la Ley General de Víctimas, y publicar, a la brevedad posible, su Reglamento, asegurando la consulta y participación efectiva de las víctimas como beneficiaras directas.</w:t>
      </w:r>
    </w:p>
    <w:p w14:paraId="07C56652" w14:textId="77777777" w:rsidR="00D35E43" w:rsidRPr="00B754D8" w:rsidRDefault="00D35E43">
      <w:pPr>
        <w:pStyle w:val="CuerpoB"/>
        <w:jc w:val="both"/>
        <w:rPr>
          <w:rStyle w:val="Hyperlink4"/>
        </w:rPr>
      </w:pPr>
    </w:p>
    <w:p w14:paraId="3AF3124F" w14:textId="77777777" w:rsidR="00D35E43" w:rsidRPr="00B754D8" w:rsidRDefault="00CD7861">
      <w:pPr>
        <w:pStyle w:val="CuerpoB"/>
        <w:numPr>
          <w:ilvl w:val="0"/>
          <w:numId w:val="182"/>
        </w:numPr>
        <w:jc w:val="both"/>
        <w:rPr>
          <w:rFonts w:ascii="Arial" w:hAnsi="Arial"/>
        </w:rPr>
      </w:pPr>
      <w:r w:rsidRPr="00B754D8">
        <w:rPr>
          <w:rStyle w:val="Ninguno"/>
          <w:rFonts w:ascii="Arial" w:hAnsi="Arial"/>
        </w:rPr>
        <w:t xml:space="preserve">Remover los obstáculos de </w:t>
      </w:r>
      <w:r w:rsidRPr="00B754D8">
        <w:rPr>
          <w:rStyle w:val="Ninguno"/>
          <w:rFonts w:ascii="Arial" w:hAnsi="Arial"/>
          <w:i/>
          <w:iCs/>
        </w:rPr>
        <w:t>facto</w:t>
      </w:r>
      <w:r w:rsidRPr="00B754D8">
        <w:rPr>
          <w:rStyle w:val="Ninguno"/>
          <w:rFonts w:ascii="Arial" w:hAnsi="Arial"/>
        </w:rPr>
        <w:t xml:space="preserve"> y de </w:t>
      </w:r>
      <w:r w:rsidRPr="00B754D8">
        <w:rPr>
          <w:rStyle w:val="Ninguno"/>
          <w:rFonts w:ascii="Arial" w:hAnsi="Arial"/>
          <w:i/>
          <w:iCs/>
        </w:rPr>
        <w:t>iure</w:t>
      </w:r>
      <w:r w:rsidRPr="00B754D8">
        <w:rPr>
          <w:rStyle w:val="Ninguno"/>
          <w:rFonts w:ascii="Arial" w:hAnsi="Arial"/>
        </w:rPr>
        <w:t xml:space="preserve"> que impiden el acceso real y efectivo de las víctimas a las medidas de asistencia, apoyo y reparación integral previstas en la LGV. </w:t>
      </w:r>
    </w:p>
    <w:p w14:paraId="1A123539" w14:textId="77777777" w:rsidR="00D35E43" w:rsidRPr="00B754D8" w:rsidRDefault="00D35E43">
      <w:pPr>
        <w:pStyle w:val="CuerpoB"/>
        <w:jc w:val="both"/>
        <w:rPr>
          <w:rStyle w:val="Ninguno"/>
          <w:rFonts w:ascii="Arial" w:eastAsia="Arial" w:hAnsi="Arial" w:cs="Arial"/>
          <w:b/>
          <w:bCs/>
        </w:rPr>
      </w:pPr>
    </w:p>
    <w:p w14:paraId="47907AFD" w14:textId="658D6F8C" w:rsidR="00D35E43" w:rsidRDefault="00D35E43">
      <w:pPr>
        <w:pStyle w:val="CuerpoB"/>
        <w:jc w:val="both"/>
        <w:rPr>
          <w:rStyle w:val="Ninguno"/>
          <w:rFonts w:ascii="Arial" w:eastAsia="Arial" w:hAnsi="Arial" w:cs="Arial"/>
          <w:b/>
          <w:bCs/>
        </w:rPr>
      </w:pPr>
    </w:p>
    <w:p w14:paraId="7DFD35C8" w14:textId="5788381B" w:rsidR="00D44340" w:rsidRDefault="00D44340">
      <w:pPr>
        <w:pStyle w:val="CuerpoB"/>
        <w:jc w:val="both"/>
        <w:rPr>
          <w:rStyle w:val="Ninguno"/>
          <w:rFonts w:ascii="Arial" w:eastAsia="Arial" w:hAnsi="Arial" w:cs="Arial"/>
          <w:b/>
          <w:bCs/>
        </w:rPr>
      </w:pPr>
    </w:p>
    <w:p w14:paraId="1FDD425F" w14:textId="77777777" w:rsidR="00D44340" w:rsidRPr="00B754D8" w:rsidRDefault="00D44340">
      <w:pPr>
        <w:pStyle w:val="CuerpoB"/>
        <w:jc w:val="both"/>
        <w:rPr>
          <w:rStyle w:val="Ninguno"/>
          <w:rFonts w:ascii="Arial" w:eastAsia="Arial" w:hAnsi="Arial" w:cs="Arial"/>
          <w:b/>
          <w:bCs/>
        </w:rPr>
      </w:pPr>
    </w:p>
    <w:p w14:paraId="0CCB06FE" w14:textId="77777777" w:rsidR="00D35E43" w:rsidRPr="00B754D8" w:rsidRDefault="00CD7861">
      <w:pPr>
        <w:pStyle w:val="CuerpoB"/>
        <w:jc w:val="both"/>
        <w:rPr>
          <w:rStyle w:val="Ninguno"/>
          <w:rFonts w:ascii="Arial" w:eastAsia="Arial" w:hAnsi="Arial" w:cs="Arial"/>
          <w:b/>
          <w:bCs/>
        </w:rPr>
      </w:pPr>
      <w:r w:rsidRPr="00B754D8">
        <w:rPr>
          <w:rStyle w:val="Ninguno"/>
          <w:rFonts w:ascii="Arial" w:hAnsi="Arial"/>
          <w:b/>
          <w:bCs/>
        </w:rPr>
        <w:lastRenderedPageBreak/>
        <w:t>Igualdad entre mujeres y hombres</w:t>
      </w:r>
    </w:p>
    <w:p w14:paraId="63D7F1E6" w14:textId="77777777" w:rsidR="00D35E43" w:rsidRPr="00B754D8" w:rsidRDefault="00D35E43">
      <w:pPr>
        <w:pStyle w:val="CuerpoB"/>
        <w:jc w:val="both"/>
        <w:rPr>
          <w:rStyle w:val="Ninguno"/>
          <w:rFonts w:ascii="Arial" w:eastAsia="Arial" w:hAnsi="Arial" w:cs="Arial"/>
          <w:b/>
          <w:bCs/>
        </w:rPr>
      </w:pPr>
    </w:p>
    <w:p w14:paraId="6E67E429" w14:textId="77777777" w:rsidR="00D35E43" w:rsidRPr="00B754D8" w:rsidRDefault="00CD7861">
      <w:pPr>
        <w:pStyle w:val="Prrafodelista"/>
        <w:numPr>
          <w:ilvl w:val="0"/>
          <w:numId w:val="182"/>
        </w:numPr>
        <w:jc w:val="both"/>
        <w:rPr>
          <w:rFonts w:ascii="Arial" w:hAnsi="Arial"/>
          <w:b/>
          <w:bCs/>
          <w:sz w:val="24"/>
          <w:szCs w:val="24"/>
        </w:rPr>
      </w:pPr>
      <w:r w:rsidRPr="00B754D8">
        <w:rPr>
          <w:rStyle w:val="Ninguno"/>
          <w:rFonts w:ascii="Arial" w:hAnsi="Arial"/>
          <w:sz w:val="24"/>
          <w:szCs w:val="24"/>
        </w:rPr>
        <w:t>Impulsar políticas públicas para lograr la igualdad sustantiva y no discriminación que siguen viviendo las mujeres y niñas de México y generar presupuestos con perspectiva de género.</w:t>
      </w:r>
      <w:r w:rsidRPr="00B754D8">
        <w:rPr>
          <w:rStyle w:val="Ninguno"/>
          <w:rFonts w:ascii="Arial" w:hAnsi="Arial"/>
          <w:b/>
          <w:bCs/>
          <w:sz w:val="24"/>
          <w:szCs w:val="24"/>
        </w:rPr>
        <w:t xml:space="preserve">  </w:t>
      </w:r>
    </w:p>
    <w:p w14:paraId="22A8F068" w14:textId="77777777" w:rsidR="00D35E43" w:rsidRPr="00087B04" w:rsidRDefault="00CD7861">
      <w:pPr>
        <w:pStyle w:val="Prrafodelista"/>
        <w:numPr>
          <w:ilvl w:val="0"/>
          <w:numId w:val="182"/>
        </w:numPr>
        <w:jc w:val="both"/>
        <w:rPr>
          <w:rStyle w:val="Ninguno"/>
          <w:rFonts w:ascii="Arial" w:hAnsi="Arial"/>
          <w:sz w:val="24"/>
          <w:szCs w:val="24"/>
        </w:rPr>
      </w:pPr>
      <w:r w:rsidRPr="00087B04">
        <w:rPr>
          <w:rStyle w:val="Ninguno"/>
          <w:rFonts w:ascii="Arial" w:hAnsi="Arial"/>
          <w:sz w:val="24"/>
          <w:szCs w:val="24"/>
        </w:rPr>
        <w:t xml:space="preserve">Realizar las acciones inmediatas y necesarias que garanticen los derechos de niñas y niños a una vida digna, a la supervivencia y el desarrollo, de prioridad, bienestar y a un sano desarrollo integral, a la educación, a la protección de la salud, a la inclusión, a la participación y al juego y esparcimiento a partir de su interés superior, así como implementar gestiones propias y ante las instancias que correspondan que permitan el establecimiento de un mecanismo que, independientemente de su denominación, restituya a niñas y niños, padres y madres, responsables y trabajadoras de estancias infantiles los derechos que fueron violados con motivo de la emisión de las Reglas de Operación del Programa de Apoyo al Bienestar y la disminución del presupuesto, en los términos establecidos en el presente documento recomendatorio, particularmente en el apartado de reparación del daño. </w:t>
      </w:r>
    </w:p>
    <w:p w14:paraId="461B94D5" w14:textId="77777777" w:rsidR="00D35E43" w:rsidRPr="00B754D8" w:rsidRDefault="00D35E43">
      <w:pPr>
        <w:pStyle w:val="CuerpoB"/>
        <w:jc w:val="both"/>
        <w:rPr>
          <w:rStyle w:val="Ninguno"/>
          <w:rFonts w:ascii="Arial" w:eastAsia="Arial" w:hAnsi="Arial" w:cs="Arial"/>
          <w:b/>
          <w:bCs/>
        </w:rPr>
      </w:pPr>
    </w:p>
    <w:p w14:paraId="2B297B0F" w14:textId="77777777" w:rsidR="00D35E43" w:rsidRPr="00B754D8" w:rsidRDefault="00CD7861">
      <w:pPr>
        <w:pStyle w:val="CuerpoB"/>
        <w:jc w:val="both"/>
        <w:rPr>
          <w:rStyle w:val="Ninguno"/>
          <w:rFonts w:ascii="Arial" w:eastAsia="Arial" w:hAnsi="Arial" w:cs="Arial"/>
          <w:b/>
          <w:bCs/>
        </w:rPr>
      </w:pPr>
      <w:r w:rsidRPr="00B754D8">
        <w:rPr>
          <w:rStyle w:val="Ninguno"/>
          <w:rFonts w:ascii="Arial" w:hAnsi="Arial"/>
          <w:b/>
          <w:bCs/>
        </w:rPr>
        <w:t>Violencia y discriminación por motivos de orientación sexual o identidad de género</w:t>
      </w:r>
    </w:p>
    <w:p w14:paraId="7162B375" w14:textId="77777777" w:rsidR="00D35E43" w:rsidRPr="00B754D8" w:rsidRDefault="00CD7861">
      <w:pPr>
        <w:pStyle w:val="Prrafodelista"/>
        <w:numPr>
          <w:ilvl w:val="0"/>
          <w:numId w:val="182"/>
        </w:numPr>
        <w:jc w:val="both"/>
        <w:rPr>
          <w:rFonts w:ascii="Arial" w:hAnsi="Arial"/>
          <w:sz w:val="24"/>
          <w:szCs w:val="24"/>
        </w:rPr>
      </w:pPr>
      <w:r w:rsidRPr="00B754D8">
        <w:rPr>
          <w:rStyle w:val="Ninguno"/>
          <w:rFonts w:ascii="Arial" w:hAnsi="Arial"/>
          <w:sz w:val="24"/>
          <w:szCs w:val="24"/>
        </w:rPr>
        <w:t>Mejorar los registros y otros datos sobre la violencia que enfrentan las</w:t>
      </w:r>
      <w:r w:rsidRPr="00B754D8">
        <w:rPr>
          <w:rStyle w:val="Ninguno"/>
          <w:rFonts w:ascii="Arial" w:hAnsi="Arial"/>
          <w:b/>
          <w:bCs/>
          <w:sz w:val="24"/>
          <w:szCs w:val="24"/>
        </w:rPr>
        <w:t xml:space="preserve"> </w:t>
      </w:r>
      <w:r w:rsidRPr="00B754D8">
        <w:rPr>
          <w:rStyle w:val="Ninguno"/>
          <w:rFonts w:ascii="Arial" w:hAnsi="Arial"/>
          <w:sz w:val="24"/>
          <w:szCs w:val="24"/>
        </w:rPr>
        <w:t>personas LGBTI, así como poner en marcha todas las medidas para prevenir y sancionar todas las formas de violencia contra las personas LGBTI.</w:t>
      </w:r>
    </w:p>
    <w:p w14:paraId="728B7481" w14:textId="77777777" w:rsidR="00D35E43" w:rsidRPr="00B754D8" w:rsidRDefault="00CD7861">
      <w:pPr>
        <w:pStyle w:val="Prrafodelista"/>
        <w:numPr>
          <w:ilvl w:val="0"/>
          <w:numId w:val="182"/>
        </w:numPr>
        <w:jc w:val="both"/>
        <w:rPr>
          <w:rFonts w:ascii="Arial" w:hAnsi="Arial"/>
          <w:sz w:val="24"/>
          <w:szCs w:val="24"/>
        </w:rPr>
      </w:pPr>
      <w:r w:rsidRPr="00B754D8">
        <w:rPr>
          <w:rStyle w:val="Ninguno"/>
          <w:rFonts w:ascii="Arial" w:hAnsi="Arial"/>
          <w:sz w:val="24"/>
          <w:szCs w:val="24"/>
        </w:rPr>
        <w:t>Adoptar medidas legislativas y políticas para prevenir y combatir la discriminación contra las personas LGBTI.</w:t>
      </w:r>
    </w:p>
    <w:p w14:paraId="6B01735E" w14:textId="77777777" w:rsidR="00D35E43" w:rsidRPr="00B754D8" w:rsidRDefault="00CD7861">
      <w:pPr>
        <w:pStyle w:val="Prrafodelista"/>
        <w:numPr>
          <w:ilvl w:val="0"/>
          <w:numId w:val="182"/>
        </w:numPr>
        <w:jc w:val="both"/>
        <w:rPr>
          <w:rFonts w:ascii="Arial" w:hAnsi="Arial"/>
          <w:sz w:val="24"/>
          <w:szCs w:val="24"/>
        </w:rPr>
      </w:pPr>
      <w:r w:rsidRPr="00B754D8">
        <w:rPr>
          <w:rStyle w:val="Ninguno"/>
          <w:rFonts w:ascii="Arial" w:hAnsi="Arial"/>
          <w:sz w:val="24"/>
          <w:szCs w:val="24"/>
        </w:rPr>
        <w:t>Emprender una campaña de sensibilización en todas las entidades federativas para promover una cultura de respeto por los derechos humanos de las personas LGBTI.</w:t>
      </w:r>
    </w:p>
    <w:p w14:paraId="31B3DCC1" w14:textId="77777777" w:rsidR="00D35E43" w:rsidRPr="00B754D8" w:rsidRDefault="00CD7861">
      <w:pPr>
        <w:pStyle w:val="Prrafodelista"/>
        <w:numPr>
          <w:ilvl w:val="0"/>
          <w:numId w:val="182"/>
        </w:numPr>
        <w:jc w:val="both"/>
        <w:rPr>
          <w:rFonts w:ascii="Arial" w:hAnsi="Arial"/>
          <w:sz w:val="24"/>
          <w:szCs w:val="24"/>
        </w:rPr>
      </w:pPr>
      <w:r w:rsidRPr="00B754D8">
        <w:rPr>
          <w:rStyle w:val="Ninguno"/>
          <w:rFonts w:ascii="Arial" w:hAnsi="Arial"/>
          <w:sz w:val="24"/>
          <w:szCs w:val="24"/>
        </w:rPr>
        <w:t>Reconocer el importante trabajo de defensores LGBTI, asegurar su protección efectiva contra las amenazas y la violencia que enfrentan debido a su trabajo o por quiénes son</w:t>
      </w:r>
    </w:p>
    <w:p w14:paraId="5C28987A" w14:textId="77777777" w:rsidR="00D35E43" w:rsidRPr="00B754D8" w:rsidRDefault="00D35E43">
      <w:pPr>
        <w:pStyle w:val="CuerpoB"/>
        <w:jc w:val="both"/>
        <w:rPr>
          <w:rStyle w:val="Ninguno"/>
          <w:rFonts w:ascii="Arial" w:eastAsia="Arial" w:hAnsi="Arial" w:cs="Arial"/>
          <w:b/>
          <w:bCs/>
        </w:rPr>
      </w:pPr>
    </w:p>
    <w:p w14:paraId="1C6E5B49" w14:textId="77777777" w:rsidR="00D35E43" w:rsidRPr="00B754D8" w:rsidRDefault="00CD7861">
      <w:pPr>
        <w:pStyle w:val="CuerpoB"/>
        <w:jc w:val="both"/>
        <w:rPr>
          <w:rStyle w:val="Ninguno"/>
          <w:rFonts w:ascii="Arial" w:eastAsia="Arial" w:hAnsi="Arial" w:cs="Arial"/>
          <w:b/>
          <w:bCs/>
        </w:rPr>
      </w:pPr>
      <w:r w:rsidRPr="00B754D8">
        <w:rPr>
          <w:rStyle w:val="Ninguno"/>
          <w:rFonts w:ascii="Arial" w:hAnsi="Arial"/>
          <w:b/>
          <w:bCs/>
        </w:rPr>
        <w:t xml:space="preserve">Violencia contra la mujer </w:t>
      </w:r>
    </w:p>
    <w:p w14:paraId="50B0C6A0" w14:textId="77777777" w:rsidR="00D35E43" w:rsidRPr="00B754D8" w:rsidRDefault="00CD7861">
      <w:pPr>
        <w:pStyle w:val="CuerpoB"/>
        <w:numPr>
          <w:ilvl w:val="0"/>
          <w:numId w:val="182"/>
        </w:numPr>
        <w:jc w:val="both"/>
        <w:rPr>
          <w:rFonts w:ascii="Arial" w:hAnsi="Arial"/>
        </w:rPr>
      </w:pPr>
      <w:r w:rsidRPr="00B754D8">
        <w:rPr>
          <w:rStyle w:val="Ninguno"/>
          <w:rFonts w:ascii="Arial" w:hAnsi="Arial"/>
        </w:rPr>
        <w:t>Garantizar que todas las muertes violentas de mujeres, incluyendo las muertes “accidentales” y suicidios, sean investigadas con perspectiva de género. Lo anterior exige sensibilización y capacitación permanente a las personas servidoras públicas encargadas de atender estos temas, así como condiciones laborales adecuadas para desempeñar su quehacer institucional.</w:t>
      </w:r>
    </w:p>
    <w:p w14:paraId="28C0D06D" w14:textId="77777777" w:rsidR="00D35E43" w:rsidRPr="00B754D8" w:rsidRDefault="00CD7861">
      <w:pPr>
        <w:pStyle w:val="CuerpoB"/>
        <w:numPr>
          <w:ilvl w:val="0"/>
          <w:numId w:val="182"/>
        </w:numPr>
        <w:jc w:val="both"/>
        <w:rPr>
          <w:rFonts w:ascii="Arial" w:hAnsi="Arial"/>
        </w:rPr>
      </w:pPr>
      <w:r w:rsidRPr="00B754D8">
        <w:rPr>
          <w:rStyle w:val="Ninguno"/>
          <w:rFonts w:ascii="Arial" w:hAnsi="Arial"/>
        </w:rPr>
        <w:t xml:space="preserve">Generar estrategias de combate a las desapariciones de mujeres, adolescentes y niñas a nivel nacional, regional, estatal y municipal, lo cual </w:t>
      </w:r>
      <w:r w:rsidRPr="00B754D8">
        <w:rPr>
          <w:rStyle w:val="Ninguno"/>
          <w:rFonts w:ascii="Arial" w:hAnsi="Arial"/>
        </w:rPr>
        <w:lastRenderedPageBreak/>
        <w:t>implica acciones coordinadas y permanentes de prevención y de búsqueda inmediata y efectiva.</w:t>
      </w:r>
    </w:p>
    <w:p w14:paraId="0808B972" w14:textId="77777777" w:rsidR="00D35E43" w:rsidRPr="00087B04" w:rsidRDefault="00CD7861" w:rsidP="00087B04">
      <w:pPr>
        <w:pStyle w:val="CuerpoB"/>
        <w:numPr>
          <w:ilvl w:val="0"/>
          <w:numId w:val="182"/>
        </w:numPr>
        <w:jc w:val="both"/>
        <w:rPr>
          <w:rStyle w:val="Ninguno"/>
        </w:rPr>
      </w:pPr>
      <w:r w:rsidRPr="00087B04">
        <w:rPr>
          <w:rStyle w:val="Ninguno"/>
          <w:rFonts w:ascii="Arial" w:hAnsi="Arial"/>
        </w:rPr>
        <w:t>Reformar la Ley General de Acceso a las Mujeres a una Vida Libre de violencia para fortalecer la alerta de género.</w:t>
      </w:r>
    </w:p>
    <w:p w14:paraId="51BF07B4" w14:textId="77777777" w:rsidR="00D35E43" w:rsidRPr="00B754D8" w:rsidRDefault="00D35E43">
      <w:pPr>
        <w:pStyle w:val="CuerpoB"/>
        <w:jc w:val="both"/>
        <w:rPr>
          <w:rStyle w:val="Hyperlink4"/>
        </w:rPr>
      </w:pPr>
    </w:p>
    <w:p w14:paraId="2897748F" w14:textId="77777777" w:rsidR="00D35E43" w:rsidRPr="00B754D8" w:rsidRDefault="00D35E43">
      <w:pPr>
        <w:pStyle w:val="CuerpoB"/>
        <w:jc w:val="both"/>
        <w:rPr>
          <w:rStyle w:val="Ninguno"/>
          <w:rFonts w:ascii="Arial" w:eastAsia="Arial" w:hAnsi="Arial" w:cs="Arial"/>
          <w:b/>
          <w:bCs/>
        </w:rPr>
      </w:pPr>
    </w:p>
    <w:p w14:paraId="555F6891" w14:textId="77777777" w:rsidR="00D35E43" w:rsidRPr="00B754D8" w:rsidRDefault="00CD7861">
      <w:pPr>
        <w:pStyle w:val="CuerpoB"/>
        <w:jc w:val="both"/>
        <w:rPr>
          <w:rStyle w:val="Ninguno"/>
          <w:rFonts w:ascii="Arial" w:eastAsia="Arial" w:hAnsi="Arial" w:cs="Arial"/>
          <w:b/>
          <w:bCs/>
        </w:rPr>
      </w:pPr>
      <w:r w:rsidRPr="00B754D8">
        <w:rPr>
          <w:rStyle w:val="Ninguno"/>
          <w:rFonts w:ascii="Arial" w:hAnsi="Arial"/>
          <w:b/>
          <w:bCs/>
        </w:rPr>
        <w:t>Guardia Nacional</w:t>
      </w:r>
    </w:p>
    <w:p w14:paraId="483B5B9E" w14:textId="77777777" w:rsidR="00D35E43" w:rsidRPr="00B754D8" w:rsidRDefault="00D35E43">
      <w:pPr>
        <w:pStyle w:val="CuerpoB"/>
        <w:jc w:val="both"/>
        <w:rPr>
          <w:rStyle w:val="Ninguno"/>
          <w:rFonts w:ascii="Arial" w:eastAsia="Arial" w:hAnsi="Arial" w:cs="Arial"/>
          <w:b/>
          <w:bCs/>
        </w:rPr>
      </w:pPr>
    </w:p>
    <w:p w14:paraId="2836872E" w14:textId="77777777" w:rsidR="00D35E43" w:rsidRPr="00B754D8" w:rsidRDefault="00CD7861">
      <w:pPr>
        <w:pStyle w:val="Prrafodelista"/>
        <w:numPr>
          <w:ilvl w:val="0"/>
          <w:numId w:val="182"/>
        </w:numPr>
        <w:jc w:val="both"/>
        <w:rPr>
          <w:rFonts w:ascii="Arial" w:hAnsi="Arial"/>
          <w:sz w:val="24"/>
          <w:szCs w:val="24"/>
        </w:rPr>
      </w:pPr>
      <w:r w:rsidRPr="00B754D8">
        <w:rPr>
          <w:rStyle w:val="Ninguno"/>
          <w:rFonts w:ascii="Arial" w:hAnsi="Arial"/>
          <w:sz w:val="24"/>
          <w:szCs w:val="24"/>
        </w:rPr>
        <w:t xml:space="preserve">Retirar gradualmente a las fuerzas armadas de las tareas de seguridad pública exige al Estado un programa concreto y verificable, de corto y mediano plazo que transfiera a manos de civiles las responsabilidades que han venido asumiendo, adoptando como estrategia central el respeto a los derechos humanos, el incremento y replica de las buenas prácticas, de la confianza de la ciudadanía y el desarrollo de capacidades apoyadas en la profesionalización, la capacitación y el saneamiento de las instituciones de seguridad pública en los tres ámbitos de gobierno. </w:t>
      </w:r>
    </w:p>
    <w:p w14:paraId="4EECADD3" w14:textId="77777777" w:rsidR="00D35E43" w:rsidRPr="00B754D8" w:rsidRDefault="00CD7861">
      <w:pPr>
        <w:pStyle w:val="Prrafodelista"/>
        <w:numPr>
          <w:ilvl w:val="0"/>
          <w:numId w:val="182"/>
        </w:numPr>
        <w:jc w:val="both"/>
        <w:rPr>
          <w:rFonts w:ascii="Arial" w:hAnsi="Arial"/>
          <w:sz w:val="24"/>
          <w:szCs w:val="24"/>
        </w:rPr>
      </w:pPr>
      <w:r w:rsidRPr="00B754D8">
        <w:rPr>
          <w:rStyle w:val="Ninguno"/>
          <w:rFonts w:ascii="Arial" w:hAnsi="Arial"/>
          <w:sz w:val="24"/>
          <w:szCs w:val="24"/>
        </w:rPr>
        <w:t>Dotar al personal policiaco, ministerial y judicial, con los recursos y capacidades administrativas y operativas necesarias para desarrollar de manera efectiva y autónoma sus atribuciones.</w:t>
      </w:r>
    </w:p>
    <w:p w14:paraId="68D567BE" w14:textId="77777777" w:rsidR="00D35E43" w:rsidRPr="00B754D8" w:rsidRDefault="00D35E43">
      <w:pPr>
        <w:pStyle w:val="CuerpoB"/>
        <w:jc w:val="both"/>
        <w:rPr>
          <w:rStyle w:val="Ninguno"/>
          <w:rFonts w:ascii="Arial" w:eastAsia="Arial" w:hAnsi="Arial" w:cs="Arial"/>
          <w:b/>
          <w:bCs/>
        </w:rPr>
      </w:pPr>
    </w:p>
    <w:p w14:paraId="5DF9DA09" w14:textId="77777777" w:rsidR="00D35E43" w:rsidRPr="00B754D8" w:rsidRDefault="00CD7861">
      <w:pPr>
        <w:pStyle w:val="CuerpoB"/>
        <w:jc w:val="both"/>
        <w:rPr>
          <w:rStyle w:val="Ninguno"/>
          <w:rFonts w:ascii="Arial" w:eastAsia="Arial" w:hAnsi="Arial" w:cs="Arial"/>
          <w:b/>
          <w:bCs/>
        </w:rPr>
      </w:pPr>
      <w:r w:rsidRPr="00B754D8">
        <w:rPr>
          <w:rStyle w:val="Ninguno"/>
          <w:rFonts w:ascii="Arial" w:hAnsi="Arial"/>
          <w:b/>
          <w:bCs/>
        </w:rPr>
        <w:t>Violencia sexual y obstétrica</w:t>
      </w:r>
    </w:p>
    <w:p w14:paraId="552E6854" w14:textId="77777777" w:rsidR="00D35E43" w:rsidRPr="00B754D8" w:rsidRDefault="00CD7861">
      <w:pPr>
        <w:pStyle w:val="Prrafodelista"/>
        <w:numPr>
          <w:ilvl w:val="0"/>
          <w:numId w:val="182"/>
        </w:numPr>
        <w:jc w:val="both"/>
        <w:rPr>
          <w:rFonts w:ascii="Arial" w:hAnsi="Arial"/>
          <w:sz w:val="24"/>
          <w:szCs w:val="24"/>
        </w:rPr>
      </w:pPr>
      <w:r w:rsidRPr="00B754D8">
        <w:rPr>
          <w:rStyle w:val="Ninguno"/>
          <w:rFonts w:ascii="Arial" w:hAnsi="Arial"/>
          <w:sz w:val="24"/>
          <w:szCs w:val="24"/>
        </w:rPr>
        <w:t>El Estado mexicano garantice sus derechos a las víctimas de violencia sexual y obstétrica, a través de la capacitación al personal y que se cuenten con los recursos suficientes para atender los casos que se reciben en las instancias médicas y de procuración de justicia.</w:t>
      </w:r>
    </w:p>
    <w:p w14:paraId="70654F48" w14:textId="77777777" w:rsidR="00D35E43" w:rsidRPr="00B754D8" w:rsidRDefault="00D35E43">
      <w:pPr>
        <w:pStyle w:val="CuerpoB"/>
        <w:jc w:val="both"/>
        <w:rPr>
          <w:rStyle w:val="Ninguno"/>
          <w:rFonts w:ascii="Arial" w:eastAsia="Arial" w:hAnsi="Arial" w:cs="Arial"/>
          <w:b/>
          <w:bCs/>
        </w:rPr>
      </w:pPr>
    </w:p>
    <w:p w14:paraId="799F6527" w14:textId="77777777" w:rsidR="00D35E43" w:rsidRPr="00B754D8" w:rsidRDefault="00CD7861">
      <w:pPr>
        <w:pStyle w:val="CuerpoB"/>
        <w:jc w:val="both"/>
        <w:rPr>
          <w:rStyle w:val="Ninguno"/>
          <w:rFonts w:ascii="Arial" w:eastAsia="Arial" w:hAnsi="Arial" w:cs="Arial"/>
          <w:b/>
          <w:bCs/>
        </w:rPr>
      </w:pPr>
      <w:r w:rsidRPr="00B754D8">
        <w:rPr>
          <w:rStyle w:val="Ninguno"/>
          <w:rFonts w:ascii="Arial" w:hAnsi="Arial"/>
          <w:b/>
          <w:bCs/>
        </w:rPr>
        <w:t>Abusos y violaciones de derechos humanos cometidos por miembros de las fuerzas armadas o de seguridad</w:t>
      </w:r>
    </w:p>
    <w:p w14:paraId="72F88DDD" w14:textId="77777777" w:rsidR="00D35E43" w:rsidRPr="00B754D8" w:rsidRDefault="00CD7861">
      <w:pPr>
        <w:pStyle w:val="Prrafodelista"/>
        <w:numPr>
          <w:ilvl w:val="0"/>
          <w:numId w:val="182"/>
        </w:numPr>
        <w:jc w:val="both"/>
        <w:rPr>
          <w:rFonts w:ascii="Arial" w:hAnsi="Arial"/>
          <w:sz w:val="24"/>
          <w:szCs w:val="24"/>
        </w:rPr>
      </w:pPr>
      <w:r w:rsidRPr="00B754D8">
        <w:rPr>
          <w:rStyle w:val="Ninguno"/>
          <w:rFonts w:ascii="Arial" w:hAnsi="Arial"/>
          <w:sz w:val="24"/>
          <w:szCs w:val="24"/>
        </w:rPr>
        <w:t xml:space="preserve">Reiterar las instrucciones y acciones específicas, a través de circulares o directivas, a efecto de que el personal militar de la Secretaría de la Defensa Nacional dé cumplimiento estricto a la Ley Nacional sobre el Uso de la Fuerza y al Manual del Uso de la Fuerza, de aplicación común a las tres fuerzas armadas, en lo relativo al deber de preservar la vida e integridad de las personas, debiéndose informar a esta Institución sobre el cumplimiento de los mismos. </w:t>
      </w:r>
    </w:p>
    <w:p w14:paraId="44674B80" w14:textId="77777777" w:rsidR="00D35E43" w:rsidRPr="00B754D8" w:rsidRDefault="00CD7861">
      <w:pPr>
        <w:pStyle w:val="Prrafodelista"/>
        <w:numPr>
          <w:ilvl w:val="0"/>
          <w:numId w:val="182"/>
        </w:numPr>
        <w:jc w:val="both"/>
        <w:rPr>
          <w:rFonts w:ascii="Arial" w:hAnsi="Arial"/>
          <w:sz w:val="24"/>
          <w:szCs w:val="24"/>
        </w:rPr>
      </w:pPr>
      <w:r w:rsidRPr="00B754D8">
        <w:rPr>
          <w:rStyle w:val="Ninguno"/>
          <w:rFonts w:ascii="Arial" w:hAnsi="Arial"/>
          <w:sz w:val="24"/>
          <w:szCs w:val="24"/>
        </w:rPr>
        <w:t>Que el personal militar que participa en actividades de apoyo al mantenimiento del orden y la seguridad pública en distintas regiones del país, se abstenga de realizar investigaciones por su cuenta y actúe mediante solicitud de colaboración expresa de la autoridad competente.</w:t>
      </w:r>
    </w:p>
    <w:p w14:paraId="49C83CD9" w14:textId="77777777" w:rsidR="00D35E43" w:rsidRPr="00B754D8" w:rsidRDefault="00CD7861">
      <w:pPr>
        <w:pStyle w:val="Prrafodelista"/>
        <w:numPr>
          <w:ilvl w:val="0"/>
          <w:numId w:val="182"/>
        </w:numPr>
        <w:jc w:val="both"/>
        <w:rPr>
          <w:rFonts w:ascii="Arial" w:hAnsi="Arial"/>
          <w:sz w:val="24"/>
          <w:szCs w:val="24"/>
        </w:rPr>
      </w:pPr>
      <w:r w:rsidRPr="00B754D8">
        <w:rPr>
          <w:rStyle w:val="Ninguno"/>
          <w:rFonts w:ascii="Arial" w:hAnsi="Arial"/>
          <w:sz w:val="24"/>
          <w:szCs w:val="24"/>
        </w:rPr>
        <w:t xml:space="preserve">Se dé cumplimiento estricto al numeral 18.E del Manual del Uso de la Fuerza, de aplicación común a las tres fuerzas armadas, y los elementos de la Secretaría de la Defensa Nacional empleen de manera obligatoria las </w:t>
      </w:r>
      <w:r w:rsidRPr="00B754D8">
        <w:rPr>
          <w:rStyle w:val="Ninguno"/>
          <w:rFonts w:ascii="Arial" w:hAnsi="Arial"/>
          <w:sz w:val="24"/>
          <w:szCs w:val="24"/>
        </w:rPr>
        <w:lastRenderedPageBreak/>
        <w:t>cámaras fotográficas y de videograbación y de grabación de audio, para documentar los incidentes e interacciones con la población civil, y sea posible contar con las evidencias de que la actuación del personal de las fuerzas armadas es respetuosa de derechos humanos</w:t>
      </w:r>
    </w:p>
    <w:p w14:paraId="21D33863" w14:textId="77777777" w:rsidR="00D35E43" w:rsidRPr="00B754D8" w:rsidRDefault="00CD7861">
      <w:pPr>
        <w:pStyle w:val="Prrafodelista"/>
        <w:numPr>
          <w:ilvl w:val="0"/>
          <w:numId w:val="182"/>
        </w:numPr>
        <w:jc w:val="both"/>
        <w:rPr>
          <w:rFonts w:ascii="Arial" w:hAnsi="Arial"/>
          <w:sz w:val="24"/>
          <w:szCs w:val="24"/>
        </w:rPr>
      </w:pPr>
      <w:r w:rsidRPr="00B754D8">
        <w:rPr>
          <w:rStyle w:val="Ninguno"/>
          <w:rFonts w:ascii="Arial" w:hAnsi="Arial"/>
          <w:sz w:val="24"/>
          <w:szCs w:val="24"/>
        </w:rPr>
        <w:t>Implementar cursos en materia de derechos humanos, dirigido al personal ministerial adscritos a la Subprocuraduría Especializada en Investigación de Delincuencia Organizada de la Fiscalía General de la República, específicamente sobre los principios y protocolos que rigen la prevención e investigación eficaz de las ejecuciones extralegales, arbitrarias o sumarias.</w:t>
      </w:r>
    </w:p>
    <w:p w14:paraId="3F26E27D" w14:textId="77777777" w:rsidR="00D35E43" w:rsidRPr="00B754D8" w:rsidRDefault="00D35E43">
      <w:pPr>
        <w:pStyle w:val="CuerpoB"/>
        <w:jc w:val="both"/>
        <w:rPr>
          <w:rStyle w:val="Ninguno"/>
          <w:rFonts w:ascii="Arial" w:eastAsia="Arial" w:hAnsi="Arial" w:cs="Arial"/>
          <w:b/>
          <w:bCs/>
        </w:rPr>
      </w:pPr>
    </w:p>
    <w:p w14:paraId="51CBBBE9" w14:textId="77777777" w:rsidR="00D35E43" w:rsidRPr="00B754D8" w:rsidRDefault="00CD7861">
      <w:pPr>
        <w:pStyle w:val="CuerpoB"/>
        <w:jc w:val="both"/>
        <w:rPr>
          <w:rStyle w:val="Ninguno"/>
          <w:rFonts w:ascii="Arial" w:eastAsia="Arial" w:hAnsi="Arial" w:cs="Arial"/>
          <w:b/>
          <w:bCs/>
        </w:rPr>
      </w:pPr>
      <w:r w:rsidRPr="00B754D8">
        <w:rPr>
          <w:rStyle w:val="Ninguno"/>
          <w:rFonts w:ascii="Arial" w:hAnsi="Arial"/>
          <w:b/>
          <w:bCs/>
        </w:rPr>
        <w:t>Violaciones graves a derechos humanos – Caso Iguala</w:t>
      </w:r>
    </w:p>
    <w:p w14:paraId="0FF4C612" w14:textId="77777777" w:rsidR="00D35E43" w:rsidRPr="00B754D8" w:rsidRDefault="00D35E43">
      <w:pPr>
        <w:pStyle w:val="CuerpoB"/>
        <w:jc w:val="both"/>
        <w:rPr>
          <w:rStyle w:val="Ninguno"/>
          <w:rFonts w:ascii="Arial" w:eastAsia="Arial" w:hAnsi="Arial" w:cs="Arial"/>
          <w:b/>
          <w:bCs/>
        </w:rPr>
      </w:pPr>
    </w:p>
    <w:p w14:paraId="3C5F4DA5" w14:textId="4ECFE6D9" w:rsidR="00D35E43" w:rsidRPr="0091511D" w:rsidRDefault="00CD7861">
      <w:pPr>
        <w:pStyle w:val="Prrafodelista"/>
        <w:numPr>
          <w:ilvl w:val="0"/>
          <w:numId w:val="182"/>
        </w:numPr>
        <w:jc w:val="both"/>
        <w:rPr>
          <w:rStyle w:val="Ninguno"/>
          <w:rFonts w:ascii="Arial" w:hAnsi="Arial"/>
          <w:sz w:val="24"/>
          <w:szCs w:val="24"/>
        </w:rPr>
      </w:pPr>
      <w:r w:rsidRPr="0091511D">
        <w:rPr>
          <w:rStyle w:val="Ninguno"/>
          <w:rFonts w:ascii="Arial" w:hAnsi="Arial"/>
          <w:sz w:val="24"/>
          <w:szCs w:val="24"/>
        </w:rPr>
        <w:t>Dar cumplimiento a la Recomendación de la CNDH 15/VG/2018 sobre el “Caso Iguala, la cual fue aceptada por las autoridades, ya que su cumplimiento propiciaría alcanzar la verdad de lo acontecido en Iguala, Guerrero.</w:t>
      </w:r>
    </w:p>
    <w:p w14:paraId="2F329A1E" w14:textId="77777777" w:rsidR="00D35E43" w:rsidRPr="0091511D" w:rsidRDefault="00CD7861">
      <w:pPr>
        <w:pStyle w:val="Prrafodelista"/>
        <w:numPr>
          <w:ilvl w:val="0"/>
          <w:numId w:val="182"/>
        </w:numPr>
        <w:jc w:val="both"/>
        <w:rPr>
          <w:rStyle w:val="Ninguno"/>
          <w:rFonts w:ascii="Arial" w:hAnsi="Arial"/>
          <w:sz w:val="24"/>
          <w:szCs w:val="24"/>
        </w:rPr>
      </w:pPr>
      <w:r w:rsidRPr="0091511D">
        <w:rPr>
          <w:rStyle w:val="Ninguno"/>
          <w:rFonts w:ascii="Arial" w:hAnsi="Arial"/>
          <w:sz w:val="24"/>
          <w:szCs w:val="24"/>
        </w:rPr>
        <w:t>Se envíen a la Universidad de Innsbruck, Austria, los 114 restos óseos y odontológicos recuperados en dos escenarios criminales del caso, propuestos para análisis genético por la CNDH, a fin de que se determine si corresponden o no a los estudiantes normalistas de Ayotzinapa desaparecidos.</w:t>
      </w:r>
    </w:p>
    <w:p w14:paraId="434F4F4F" w14:textId="77777777" w:rsidR="00D35E43" w:rsidRPr="00B754D8" w:rsidRDefault="00D35E43">
      <w:pPr>
        <w:pStyle w:val="CuerpoB"/>
        <w:jc w:val="both"/>
        <w:rPr>
          <w:rStyle w:val="Ninguno"/>
          <w:rFonts w:ascii="Arial" w:eastAsia="Arial" w:hAnsi="Arial" w:cs="Arial"/>
          <w:b/>
          <w:bCs/>
        </w:rPr>
      </w:pPr>
    </w:p>
    <w:p w14:paraId="54A25E71" w14:textId="77777777" w:rsidR="00D35E43" w:rsidRPr="00B754D8" w:rsidRDefault="00CD7861">
      <w:pPr>
        <w:pStyle w:val="CuerpoB"/>
        <w:jc w:val="both"/>
        <w:rPr>
          <w:rStyle w:val="Ninguno"/>
          <w:rFonts w:ascii="Arial" w:eastAsia="Arial" w:hAnsi="Arial" w:cs="Arial"/>
          <w:b/>
          <w:bCs/>
        </w:rPr>
      </w:pPr>
      <w:r w:rsidRPr="00B754D8">
        <w:rPr>
          <w:rStyle w:val="Ninguno"/>
          <w:rFonts w:ascii="Arial" w:hAnsi="Arial"/>
          <w:b/>
          <w:bCs/>
        </w:rPr>
        <w:t>Desapariciones Forzadas</w:t>
      </w:r>
    </w:p>
    <w:p w14:paraId="740DFF99" w14:textId="77777777" w:rsidR="00D35E43" w:rsidRPr="00B754D8" w:rsidRDefault="00CD7861">
      <w:pPr>
        <w:pStyle w:val="Prrafodelista"/>
        <w:numPr>
          <w:ilvl w:val="0"/>
          <w:numId w:val="182"/>
        </w:numPr>
        <w:jc w:val="both"/>
        <w:rPr>
          <w:rFonts w:ascii="Arial" w:hAnsi="Arial"/>
          <w:sz w:val="24"/>
          <w:szCs w:val="24"/>
        </w:rPr>
      </w:pPr>
      <w:r w:rsidRPr="00B754D8">
        <w:rPr>
          <w:rStyle w:val="Ninguno"/>
          <w:rFonts w:ascii="Arial" w:hAnsi="Arial"/>
          <w:sz w:val="24"/>
          <w:szCs w:val="24"/>
        </w:rPr>
        <w:t>Se debe garantizar que los casos de desaparición forzada se investiguen de manera expedida, exhaustiva y eficaz, para llevar ante la justicia a los responsables y frenar este tipo de conductas.</w:t>
      </w:r>
    </w:p>
    <w:p w14:paraId="581375A9" w14:textId="77777777" w:rsidR="00D35E43" w:rsidRPr="00B754D8" w:rsidRDefault="00CD7861">
      <w:pPr>
        <w:pStyle w:val="Prrafodelista"/>
        <w:numPr>
          <w:ilvl w:val="0"/>
          <w:numId w:val="182"/>
        </w:numPr>
        <w:jc w:val="both"/>
        <w:rPr>
          <w:rFonts w:ascii="Arial" w:hAnsi="Arial"/>
          <w:sz w:val="24"/>
          <w:szCs w:val="24"/>
        </w:rPr>
      </w:pPr>
      <w:r w:rsidRPr="00B754D8">
        <w:rPr>
          <w:rStyle w:val="Ninguno"/>
          <w:rFonts w:ascii="Arial" w:hAnsi="Arial"/>
          <w:sz w:val="24"/>
          <w:szCs w:val="24"/>
        </w:rPr>
        <w:t>Atender la visita oficial a México del Comité contra la Desaparición Forzada de la ONU en 2020</w:t>
      </w:r>
    </w:p>
    <w:p w14:paraId="7D95AF94" w14:textId="77777777" w:rsidR="00D35E43" w:rsidRPr="00B754D8" w:rsidRDefault="00CD7861">
      <w:pPr>
        <w:pStyle w:val="Prrafodelista"/>
        <w:numPr>
          <w:ilvl w:val="0"/>
          <w:numId w:val="182"/>
        </w:numPr>
        <w:jc w:val="both"/>
        <w:rPr>
          <w:rFonts w:ascii="Arial" w:hAnsi="Arial"/>
          <w:sz w:val="24"/>
          <w:szCs w:val="24"/>
        </w:rPr>
      </w:pPr>
      <w:r w:rsidRPr="00B754D8">
        <w:rPr>
          <w:rStyle w:val="Ninguno"/>
          <w:rFonts w:ascii="Arial" w:hAnsi="Arial"/>
          <w:sz w:val="24"/>
          <w:szCs w:val="24"/>
        </w:rPr>
        <w:t>Materializar el contenido de la Ley General en Materia de Desaparición Forzada de Personas, Desaparición Cometida por Particulares y del Sistema Nacional de Búsqueda de Personas</w:t>
      </w:r>
    </w:p>
    <w:p w14:paraId="727DC323" w14:textId="77777777" w:rsidR="00D35E43" w:rsidRPr="00B754D8" w:rsidRDefault="00D35E43">
      <w:pPr>
        <w:pStyle w:val="CuerpoB"/>
        <w:jc w:val="both"/>
        <w:rPr>
          <w:rStyle w:val="Ninguno"/>
          <w:rFonts w:ascii="Arial" w:eastAsia="Arial" w:hAnsi="Arial" w:cs="Arial"/>
          <w:b/>
          <w:bCs/>
        </w:rPr>
      </w:pPr>
    </w:p>
    <w:p w14:paraId="5DB41803" w14:textId="77777777" w:rsidR="00D35E43" w:rsidRPr="00B754D8" w:rsidRDefault="00CD7861">
      <w:pPr>
        <w:pStyle w:val="CuerpoB"/>
        <w:jc w:val="both"/>
        <w:rPr>
          <w:rStyle w:val="Ninguno"/>
          <w:rFonts w:ascii="Arial" w:eastAsia="Arial" w:hAnsi="Arial" w:cs="Arial"/>
          <w:b/>
          <w:bCs/>
        </w:rPr>
      </w:pPr>
      <w:r w:rsidRPr="00B754D8">
        <w:rPr>
          <w:rStyle w:val="Ninguno"/>
          <w:rFonts w:ascii="Arial" w:hAnsi="Arial"/>
          <w:b/>
          <w:bCs/>
        </w:rPr>
        <w:t>Tortura</w:t>
      </w:r>
    </w:p>
    <w:p w14:paraId="610A267F" w14:textId="77777777" w:rsidR="00D35E43" w:rsidRPr="00B754D8" w:rsidRDefault="00CD7861">
      <w:pPr>
        <w:pStyle w:val="Prrafodelista"/>
        <w:numPr>
          <w:ilvl w:val="0"/>
          <w:numId w:val="182"/>
        </w:numPr>
        <w:jc w:val="both"/>
        <w:rPr>
          <w:rFonts w:ascii="Arial" w:hAnsi="Arial"/>
          <w:sz w:val="24"/>
          <w:szCs w:val="24"/>
        </w:rPr>
      </w:pPr>
      <w:r w:rsidRPr="00B754D8">
        <w:rPr>
          <w:rStyle w:val="Ninguno"/>
          <w:rFonts w:ascii="Arial" w:hAnsi="Arial"/>
          <w:sz w:val="24"/>
          <w:szCs w:val="24"/>
        </w:rPr>
        <w:t>La implementación de cursos de capacitación en materia de respeto a los derechos humanos, enfocados en la prevención y erradicación de la tortura y otros tratos o penas o crueles, inhumanos o degradantes, de las detenciones arbitrarias y cateos ilegales y ejecuciones arbitrarias.</w:t>
      </w:r>
    </w:p>
    <w:p w14:paraId="5D73B631" w14:textId="77777777" w:rsidR="00D35E43" w:rsidRPr="0091511D" w:rsidRDefault="00CD7861">
      <w:pPr>
        <w:pStyle w:val="Prrafodelista"/>
        <w:numPr>
          <w:ilvl w:val="0"/>
          <w:numId w:val="182"/>
        </w:numPr>
        <w:jc w:val="both"/>
        <w:rPr>
          <w:rStyle w:val="Ninguno"/>
          <w:rFonts w:ascii="Arial" w:hAnsi="Arial"/>
          <w:sz w:val="24"/>
          <w:szCs w:val="24"/>
        </w:rPr>
      </w:pPr>
      <w:r w:rsidRPr="0091511D">
        <w:rPr>
          <w:rStyle w:val="Ninguno"/>
          <w:rFonts w:ascii="Arial" w:hAnsi="Arial"/>
          <w:sz w:val="24"/>
          <w:szCs w:val="24"/>
        </w:rPr>
        <w:t xml:space="preserve">La implementación de cursos de capacitación y formación del “Protocolo de Estambul” a todos los peritos médicos y psicólogos de las fiscalías de </w:t>
      </w:r>
      <w:r w:rsidRPr="0091511D">
        <w:rPr>
          <w:rStyle w:val="Ninguno"/>
          <w:rFonts w:ascii="Arial" w:hAnsi="Arial"/>
          <w:sz w:val="24"/>
          <w:szCs w:val="24"/>
        </w:rPr>
        <w:lastRenderedPageBreak/>
        <w:t xml:space="preserve">procuración de justicia y los organismos públicos protectores de derechos humanos </w:t>
      </w:r>
    </w:p>
    <w:p w14:paraId="3B2170C2" w14:textId="77777777" w:rsidR="00D35E43" w:rsidRPr="0091511D" w:rsidRDefault="00CD7861">
      <w:pPr>
        <w:pStyle w:val="Prrafodelista"/>
        <w:numPr>
          <w:ilvl w:val="0"/>
          <w:numId w:val="182"/>
        </w:numPr>
        <w:jc w:val="both"/>
        <w:rPr>
          <w:rStyle w:val="Ninguno"/>
          <w:rFonts w:ascii="Arial" w:hAnsi="Arial"/>
          <w:sz w:val="24"/>
          <w:szCs w:val="24"/>
        </w:rPr>
      </w:pPr>
      <w:r w:rsidRPr="0091511D">
        <w:rPr>
          <w:rStyle w:val="Ninguno"/>
          <w:rFonts w:ascii="Arial" w:hAnsi="Arial"/>
          <w:sz w:val="24"/>
          <w:szCs w:val="24"/>
        </w:rPr>
        <w:t>Cumplir de manera integral Ley General para Prevenir, Investigar y Sancionar la Tortura y otros Tratos o Penas Crueles, Inhumanos o Degradantes</w:t>
      </w:r>
      <w:r w:rsidRPr="0091511D">
        <w:rPr>
          <w:rStyle w:val="Ninguno"/>
          <w:rFonts w:ascii="Arial" w:hAnsi="Arial"/>
          <w:sz w:val="24"/>
          <w:szCs w:val="24"/>
        </w:rPr>
        <w:br/>
      </w:r>
    </w:p>
    <w:p w14:paraId="0CEF9F17" w14:textId="77777777" w:rsidR="00D35E43" w:rsidRPr="00B754D8" w:rsidRDefault="00D35E43">
      <w:pPr>
        <w:pStyle w:val="CuerpoB"/>
        <w:jc w:val="both"/>
        <w:rPr>
          <w:rStyle w:val="Ninguno"/>
          <w:rFonts w:ascii="Arial" w:eastAsia="Arial" w:hAnsi="Arial" w:cs="Arial"/>
          <w:b/>
          <w:bCs/>
        </w:rPr>
      </w:pPr>
    </w:p>
    <w:p w14:paraId="5FB6FC50" w14:textId="77777777" w:rsidR="00D35E43" w:rsidRPr="00B754D8" w:rsidRDefault="00CD7861">
      <w:pPr>
        <w:pStyle w:val="CuerpoB"/>
        <w:jc w:val="both"/>
        <w:rPr>
          <w:rStyle w:val="Ninguno"/>
          <w:rFonts w:ascii="Arial" w:eastAsia="Arial" w:hAnsi="Arial" w:cs="Arial"/>
          <w:b/>
          <w:bCs/>
        </w:rPr>
      </w:pPr>
      <w:r w:rsidRPr="00B754D8">
        <w:rPr>
          <w:rStyle w:val="Ninguno"/>
          <w:rFonts w:ascii="Arial" w:hAnsi="Arial"/>
          <w:b/>
          <w:bCs/>
        </w:rPr>
        <w:t>Castigos corporales a niños, niñas y adolescentes.</w:t>
      </w:r>
    </w:p>
    <w:p w14:paraId="09FA636E" w14:textId="77777777" w:rsidR="00D35E43" w:rsidRPr="00B754D8" w:rsidRDefault="00D35E43">
      <w:pPr>
        <w:pStyle w:val="CuerpoB"/>
        <w:jc w:val="both"/>
        <w:rPr>
          <w:rStyle w:val="Ninguno"/>
          <w:rFonts w:ascii="Arial" w:eastAsia="Arial" w:hAnsi="Arial" w:cs="Arial"/>
          <w:b/>
          <w:bCs/>
        </w:rPr>
      </w:pPr>
    </w:p>
    <w:p w14:paraId="65C528AF" w14:textId="77777777" w:rsidR="00D35E43" w:rsidRPr="00B754D8" w:rsidRDefault="00CD7861">
      <w:pPr>
        <w:pStyle w:val="Prrafodelista"/>
        <w:numPr>
          <w:ilvl w:val="0"/>
          <w:numId w:val="182"/>
        </w:numPr>
        <w:jc w:val="both"/>
        <w:rPr>
          <w:rFonts w:ascii="Arial" w:hAnsi="Arial"/>
          <w:sz w:val="24"/>
          <w:szCs w:val="24"/>
        </w:rPr>
      </w:pPr>
      <w:r w:rsidRPr="00B754D8">
        <w:rPr>
          <w:rStyle w:val="Ninguno"/>
          <w:rFonts w:ascii="Arial" w:hAnsi="Arial"/>
          <w:sz w:val="24"/>
          <w:szCs w:val="24"/>
        </w:rPr>
        <w:t>Adoptar las medidas legislativas necesarias, a nivel federal y local, para prohibir los castigos corporales en contra de niñas, niños y adolescentes.</w:t>
      </w:r>
    </w:p>
    <w:p w14:paraId="57B6A47A" w14:textId="77777777" w:rsidR="00D35E43" w:rsidRPr="00B754D8" w:rsidRDefault="00CD7861">
      <w:pPr>
        <w:pStyle w:val="Prrafodelista"/>
        <w:numPr>
          <w:ilvl w:val="0"/>
          <w:numId w:val="182"/>
        </w:numPr>
        <w:jc w:val="both"/>
        <w:rPr>
          <w:rFonts w:ascii="Arial" w:hAnsi="Arial"/>
          <w:sz w:val="24"/>
          <w:szCs w:val="24"/>
        </w:rPr>
      </w:pPr>
      <w:r w:rsidRPr="00B754D8">
        <w:rPr>
          <w:rStyle w:val="Ninguno"/>
          <w:rFonts w:ascii="Arial" w:hAnsi="Arial"/>
          <w:sz w:val="24"/>
          <w:szCs w:val="24"/>
        </w:rPr>
        <w:t>Llevar a cabo programas de formación y capacitación sobre el uso de la fuerza en el trabajo con niñas, niños y adolescentes, dirigidos a personas servidoras públicas, en particular personal docente, médico, seguridad y de centros de asistencia social.</w:t>
      </w:r>
    </w:p>
    <w:p w14:paraId="14D0D389" w14:textId="77777777" w:rsidR="00D35E43" w:rsidRPr="00B754D8" w:rsidRDefault="00CD7861">
      <w:pPr>
        <w:pStyle w:val="Prrafodelista"/>
        <w:numPr>
          <w:ilvl w:val="0"/>
          <w:numId w:val="182"/>
        </w:numPr>
        <w:jc w:val="both"/>
        <w:rPr>
          <w:rFonts w:ascii="Arial" w:hAnsi="Arial"/>
          <w:sz w:val="24"/>
          <w:szCs w:val="24"/>
        </w:rPr>
      </w:pPr>
      <w:r w:rsidRPr="00B754D8">
        <w:rPr>
          <w:rStyle w:val="Ninguno"/>
          <w:rFonts w:ascii="Arial" w:hAnsi="Arial"/>
          <w:sz w:val="24"/>
          <w:szCs w:val="24"/>
        </w:rPr>
        <w:t xml:space="preserve">Desarrollar programas de difusión de los criterios y estándares contenidos en la Observación General número 8 (El derecho del niño a la protección contra los castigos corporales y otras formas de castigo crueles o degradantes) del Comité de los Derechos del Niño. </w:t>
      </w:r>
    </w:p>
    <w:p w14:paraId="2A4FE1DF" w14:textId="77777777" w:rsidR="00D35E43" w:rsidRPr="00B754D8" w:rsidRDefault="00CD7861">
      <w:pPr>
        <w:pStyle w:val="Prrafodelista"/>
        <w:numPr>
          <w:ilvl w:val="0"/>
          <w:numId w:val="182"/>
        </w:numPr>
        <w:jc w:val="both"/>
        <w:rPr>
          <w:rFonts w:ascii="Arial" w:hAnsi="Arial"/>
          <w:sz w:val="24"/>
          <w:szCs w:val="24"/>
        </w:rPr>
      </w:pPr>
      <w:r w:rsidRPr="00B754D8">
        <w:rPr>
          <w:rStyle w:val="Ninguno"/>
          <w:rFonts w:ascii="Arial" w:hAnsi="Arial"/>
          <w:sz w:val="24"/>
          <w:szCs w:val="24"/>
        </w:rPr>
        <w:t>Implementar programas de sensibilización dirigidos a padres, madres, y personas cuidadoras sobre los efectos de los castigos corporales y otros tratos crueles, inhumanos o degradantes en niñas, niños y adolescentes.</w:t>
      </w:r>
    </w:p>
    <w:p w14:paraId="5598FD34" w14:textId="77777777" w:rsidR="00D35E43" w:rsidRPr="00B754D8" w:rsidRDefault="00CD7861">
      <w:pPr>
        <w:pStyle w:val="Prrafodelista"/>
        <w:numPr>
          <w:ilvl w:val="0"/>
          <w:numId w:val="182"/>
        </w:numPr>
        <w:jc w:val="both"/>
        <w:rPr>
          <w:rFonts w:ascii="Arial" w:hAnsi="Arial"/>
          <w:sz w:val="24"/>
          <w:szCs w:val="24"/>
        </w:rPr>
      </w:pPr>
      <w:r w:rsidRPr="0091511D">
        <w:rPr>
          <w:rStyle w:val="Ninguno"/>
          <w:rFonts w:ascii="Arial" w:hAnsi="Arial"/>
          <w:sz w:val="24"/>
          <w:szCs w:val="24"/>
        </w:rPr>
        <w:t>Reforzar políticas sociales para evitar la incorporación dé niñas, niños y adolescentes en grupos armados de la delincuencia organizada.</w:t>
      </w:r>
      <w:r w:rsidRPr="00B754D8">
        <w:rPr>
          <w:rStyle w:val="Ninguno"/>
          <w:rFonts w:ascii="Arial Unicode MS" w:eastAsia="Arial Unicode MS" w:hAnsi="Arial Unicode MS" w:cs="Arial Unicode MS"/>
          <w:sz w:val="24"/>
          <w:szCs w:val="24"/>
          <w:shd w:val="clear" w:color="auto" w:fill="FFFF00"/>
        </w:rPr>
        <w:br/>
      </w:r>
    </w:p>
    <w:p w14:paraId="6936A1E2" w14:textId="77777777" w:rsidR="00D35E43" w:rsidRPr="00B754D8" w:rsidRDefault="00D35E43">
      <w:pPr>
        <w:pStyle w:val="CuerpoB"/>
        <w:jc w:val="both"/>
        <w:rPr>
          <w:rStyle w:val="Ninguno"/>
          <w:rFonts w:ascii="Arial" w:eastAsia="Arial" w:hAnsi="Arial" w:cs="Arial"/>
          <w:b/>
          <w:bCs/>
        </w:rPr>
      </w:pPr>
    </w:p>
    <w:p w14:paraId="6FED4DD0" w14:textId="77777777" w:rsidR="00D35E43" w:rsidRPr="00B754D8" w:rsidRDefault="00CD7861">
      <w:pPr>
        <w:pStyle w:val="CuerpoB"/>
        <w:jc w:val="both"/>
        <w:rPr>
          <w:rStyle w:val="Ninguno"/>
          <w:rFonts w:ascii="Arial" w:eastAsia="Arial" w:hAnsi="Arial" w:cs="Arial"/>
          <w:b/>
          <w:bCs/>
        </w:rPr>
      </w:pPr>
      <w:r w:rsidRPr="00B754D8">
        <w:rPr>
          <w:rStyle w:val="Ninguno"/>
          <w:rFonts w:ascii="Arial" w:hAnsi="Arial"/>
          <w:b/>
          <w:bCs/>
        </w:rPr>
        <w:t xml:space="preserve">Personas migrantes </w:t>
      </w:r>
    </w:p>
    <w:p w14:paraId="7DCF2848" w14:textId="77777777" w:rsidR="00D35E43" w:rsidRPr="00B754D8" w:rsidRDefault="00D35E43">
      <w:pPr>
        <w:pStyle w:val="CuerpoB"/>
        <w:jc w:val="both"/>
        <w:rPr>
          <w:rStyle w:val="Ninguno"/>
          <w:rFonts w:ascii="Arial" w:eastAsia="Arial" w:hAnsi="Arial" w:cs="Arial"/>
          <w:b/>
          <w:bCs/>
        </w:rPr>
      </w:pPr>
    </w:p>
    <w:p w14:paraId="0F495EF3" w14:textId="77777777" w:rsidR="00D35E43" w:rsidRPr="00B754D8" w:rsidRDefault="00CD7861">
      <w:pPr>
        <w:pStyle w:val="Prrafodelista"/>
        <w:numPr>
          <w:ilvl w:val="0"/>
          <w:numId w:val="182"/>
        </w:numPr>
        <w:jc w:val="both"/>
        <w:rPr>
          <w:rFonts w:ascii="Arial" w:hAnsi="Arial"/>
          <w:sz w:val="24"/>
          <w:szCs w:val="24"/>
        </w:rPr>
      </w:pPr>
      <w:r w:rsidRPr="00B754D8">
        <w:rPr>
          <w:rStyle w:val="Ninguno"/>
          <w:rFonts w:ascii="Arial" w:hAnsi="Arial"/>
          <w:sz w:val="24"/>
          <w:szCs w:val="24"/>
        </w:rPr>
        <w:t>Realizar acciones para proteger los derechos humanos de las personas migrantes de nacionalidad mexicana en los Estados Unidos de América, a través del fortalecimiento de la red consular que incluya una efectiva asesoría y representación jurídica ante instancias migratorias y jurisdiccionales en aquél país.</w:t>
      </w:r>
    </w:p>
    <w:p w14:paraId="0CCC4F72" w14:textId="77777777" w:rsidR="00D35E43" w:rsidRPr="00B754D8" w:rsidRDefault="00CD7861">
      <w:pPr>
        <w:pStyle w:val="Prrafodelista"/>
        <w:numPr>
          <w:ilvl w:val="0"/>
          <w:numId w:val="182"/>
        </w:numPr>
        <w:jc w:val="both"/>
        <w:rPr>
          <w:rFonts w:ascii="Arial" w:hAnsi="Arial"/>
          <w:sz w:val="24"/>
          <w:szCs w:val="24"/>
        </w:rPr>
      </w:pPr>
      <w:r w:rsidRPr="00B754D8">
        <w:rPr>
          <w:rStyle w:val="Ninguno"/>
          <w:rFonts w:ascii="Arial" w:hAnsi="Arial"/>
          <w:sz w:val="24"/>
          <w:szCs w:val="24"/>
        </w:rPr>
        <w:t>Reconocer la existencia del desplazamiento forzado interno, debiendo realizar un diagnóstico para determinar la población que se encuentra en dicha situación, asimismo, que se discuta, y en su caso se apruebe, una Ley General sobre DFI, que permita dar atención integral a las víctimas de DFI garantizando el respeto irrestricto a sus derechos humanos.</w:t>
      </w:r>
    </w:p>
    <w:p w14:paraId="1510809D" w14:textId="77777777" w:rsidR="00D35E43" w:rsidRPr="00B754D8" w:rsidRDefault="00CD7861">
      <w:pPr>
        <w:pStyle w:val="Prrafodelista"/>
        <w:numPr>
          <w:ilvl w:val="0"/>
          <w:numId w:val="182"/>
        </w:numPr>
        <w:jc w:val="both"/>
        <w:rPr>
          <w:rFonts w:ascii="Arial" w:hAnsi="Arial"/>
          <w:sz w:val="24"/>
          <w:szCs w:val="24"/>
        </w:rPr>
      </w:pPr>
      <w:r w:rsidRPr="00B754D8">
        <w:rPr>
          <w:rStyle w:val="Ninguno"/>
          <w:rFonts w:ascii="Arial" w:hAnsi="Arial"/>
          <w:sz w:val="24"/>
          <w:szCs w:val="24"/>
        </w:rPr>
        <w:t xml:space="preserve">Establecer políticas públicas que garanticen la atención a los grandes flujos migratorios, con énfasis especial en grupos de personas en situación de </w:t>
      </w:r>
      <w:r w:rsidRPr="00B754D8">
        <w:rPr>
          <w:rStyle w:val="Ninguno"/>
          <w:rFonts w:ascii="Arial" w:hAnsi="Arial"/>
          <w:sz w:val="24"/>
          <w:szCs w:val="24"/>
        </w:rPr>
        <w:lastRenderedPageBreak/>
        <w:t>vulnerabilidad, así como a los solicitantes del reconocimiento de la condición de refugiado; por lo que, de igual forma se requiere fortalecer a las instituciones encargadas de ejecutar la política migratoria y el reconocimiento de la condición de refugiado.</w:t>
      </w:r>
    </w:p>
    <w:p w14:paraId="3522C35A" w14:textId="77777777" w:rsidR="00D35E43" w:rsidRPr="00B754D8" w:rsidRDefault="00CD7861">
      <w:pPr>
        <w:pStyle w:val="Prrafodelista"/>
        <w:numPr>
          <w:ilvl w:val="0"/>
          <w:numId w:val="182"/>
        </w:numPr>
        <w:jc w:val="both"/>
        <w:rPr>
          <w:rFonts w:ascii="Arial" w:hAnsi="Arial"/>
          <w:sz w:val="24"/>
          <w:szCs w:val="24"/>
        </w:rPr>
      </w:pPr>
      <w:r w:rsidRPr="00B754D8">
        <w:rPr>
          <w:rStyle w:val="Ninguno"/>
          <w:rFonts w:ascii="Arial" w:hAnsi="Arial"/>
          <w:sz w:val="24"/>
          <w:szCs w:val="24"/>
        </w:rPr>
        <w:t>Combatir la corrupción e impunidad en los procesos de atención a personas en contexto de migración, refugiados y desplazados.</w:t>
      </w:r>
    </w:p>
    <w:p w14:paraId="11AD3601" w14:textId="77777777" w:rsidR="00D35E43" w:rsidRPr="00B754D8" w:rsidRDefault="00CD7861">
      <w:pPr>
        <w:pStyle w:val="Prrafodelista"/>
        <w:numPr>
          <w:ilvl w:val="0"/>
          <w:numId w:val="182"/>
        </w:numPr>
        <w:jc w:val="both"/>
        <w:rPr>
          <w:rFonts w:ascii="Arial" w:hAnsi="Arial"/>
          <w:sz w:val="24"/>
          <w:szCs w:val="24"/>
        </w:rPr>
      </w:pPr>
      <w:r w:rsidRPr="00B754D8">
        <w:rPr>
          <w:rStyle w:val="Ninguno"/>
          <w:rFonts w:ascii="Arial" w:hAnsi="Arial"/>
          <w:sz w:val="24"/>
          <w:szCs w:val="24"/>
        </w:rPr>
        <w:t>Realizar campañas de promoción, difusión y protección a favor de los derechos humanos de mexicanas y mexicanos que radican en los Estados Unidos de América, así como de las y los connacionales que retornan al país.</w:t>
      </w:r>
    </w:p>
    <w:p w14:paraId="3CFD83D4" w14:textId="77777777" w:rsidR="00D35E43" w:rsidRPr="00B754D8" w:rsidRDefault="00CD7861">
      <w:pPr>
        <w:pStyle w:val="Prrafodelista"/>
        <w:numPr>
          <w:ilvl w:val="0"/>
          <w:numId w:val="182"/>
        </w:numPr>
        <w:jc w:val="both"/>
        <w:rPr>
          <w:rFonts w:ascii="Arial" w:hAnsi="Arial"/>
          <w:sz w:val="24"/>
          <w:szCs w:val="24"/>
        </w:rPr>
      </w:pPr>
      <w:r w:rsidRPr="0091511D">
        <w:rPr>
          <w:rStyle w:val="Ninguno"/>
          <w:rFonts w:ascii="Arial" w:hAnsi="Arial"/>
          <w:sz w:val="24"/>
          <w:szCs w:val="24"/>
        </w:rPr>
        <w:t>Fortalecer</w:t>
      </w:r>
      <w:r w:rsidRPr="00B754D8">
        <w:rPr>
          <w:rStyle w:val="Ninguno"/>
          <w:rFonts w:ascii="Arial" w:hAnsi="Arial"/>
          <w:sz w:val="24"/>
          <w:szCs w:val="24"/>
        </w:rPr>
        <w:t xml:space="preserve"> una política migratoria con enfoque de derechos humanos.</w:t>
      </w:r>
    </w:p>
    <w:p w14:paraId="64B73015" w14:textId="77777777" w:rsidR="00D35E43" w:rsidRPr="00B754D8" w:rsidRDefault="00D35E43">
      <w:pPr>
        <w:pStyle w:val="CuerpoB"/>
        <w:jc w:val="both"/>
        <w:rPr>
          <w:rStyle w:val="Hyperlink4"/>
        </w:rPr>
      </w:pPr>
    </w:p>
    <w:p w14:paraId="62BC8E30" w14:textId="77777777" w:rsidR="00D35E43" w:rsidRPr="00B754D8" w:rsidRDefault="00CD7861">
      <w:pPr>
        <w:pStyle w:val="CuerpoB"/>
        <w:jc w:val="both"/>
        <w:rPr>
          <w:rStyle w:val="Ninguno"/>
          <w:rFonts w:ascii="Arial" w:eastAsia="Arial" w:hAnsi="Arial" w:cs="Arial"/>
          <w:b/>
          <w:bCs/>
        </w:rPr>
      </w:pPr>
      <w:r w:rsidRPr="00B754D8">
        <w:rPr>
          <w:rStyle w:val="Ninguno"/>
          <w:rFonts w:ascii="Arial" w:hAnsi="Arial"/>
          <w:b/>
          <w:bCs/>
        </w:rPr>
        <w:t>Condiciones de Internamiento</w:t>
      </w:r>
    </w:p>
    <w:p w14:paraId="76A7AB3D" w14:textId="77777777" w:rsidR="00D35E43" w:rsidRPr="00B754D8" w:rsidRDefault="00D35E43">
      <w:pPr>
        <w:pStyle w:val="CuerpoB"/>
        <w:jc w:val="both"/>
        <w:rPr>
          <w:rStyle w:val="Ninguno"/>
          <w:rFonts w:ascii="Arial" w:eastAsia="Arial" w:hAnsi="Arial" w:cs="Arial"/>
          <w:b/>
          <w:bCs/>
        </w:rPr>
      </w:pPr>
    </w:p>
    <w:p w14:paraId="19614144" w14:textId="77777777" w:rsidR="00D35E43" w:rsidRPr="00B754D8" w:rsidRDefault="00CD7861">
      <w:pPr>
        <w:pStyle w:val="CuerpoB"/>
        <w:numPr>
          <w:ilvl w:val="0"/>
          <w:numId w:val="182"/>
        </w:numPr>
        <w:jc w:val="both"/>
        <w:rPr>
          <w:rFonts w:ascii="Arial" w:hAnsi="Arial"/>
        </w:rPr>
      </w:pPr>
      <w:r w:rsidRPr="00B754D8">
        <w:rPr>
          <w:rStyle w:val="Ninguno"/>
          <w:rFonts w:ascii="Arial" w:hAnsi="Arial"/>
        </w:rPr>
        <w:t>Redoblar los esfuerzos para atender aspectos de prevención al delito y de justicia para adolescentes.</w:t>
      </w:r>
    </w:p>
    <w:p w14:paraId="43119C27" w14:textId="77777777" w:rsidR="00D35E43" w:rsidRPr="00B754D8" w:rsidRDefault="00D35E43">
      <w:pPr>
        <w:pStyle w:val="CuerpoB"/>
        <w:ind w:left="720"/>
        <w:jc w:val="both"/>
        <w:rPr>
          <w:rStyle w:val="Hyperlink4"/>
        </w:rPr>
      </w:pPr>
    </w:p>
    <w:p w14:paraId="15A064D4" w14:textId="77777777" w:rsidR="00D35E43" w:rsidRPr="00B754D8" w:rsidRDefault="00CD7861">
      <w:pPr>
        <w:pStyle w:val="CuerpoB"/>
        <w:numPr>
          <w:ilvl w:val="0"/>
          <w:numId w:val="182"/>
        </w:numPr>
        <w:jc w:val="both"/>
        <w:rPr>
          <w:rFonts w:ascii="Arial" w:hAnsi="Arial"/>
        </w:rPr>
      </w:pPr>
      <w:r w:rsidRPr="00B754D8">
        <w:rPr>
          <w:rStyle w:val="Ninguno"/>
          <w:rFonts w:ascii="Arial" w:hAnsi="Arial"/>
        </w:rPr>
        <w:t>Trabajar con solidez en un sistema postpenitenciario, de conformidad con la normatividad nacional y los estándares internacionales.</w:t>
      </w:r>
    </w:p>
    <w:p w14:paraId="4548D8A1" w14:textId="77777777" w:rsidR="00D35E43" w:rsidRPr="00B754D8" w:rsidRDefault="00D35E43">
      <w:pPr>
        <w:pStyle w:val="CuerpoB"/>
        <w:jc w:val="both"/>
        <w:rPr>
          <w:rStyle w:val="Hyperlink4"/>
        </w:rPr>
      </w:pPr>
    </w:p>
    <w:p w14:paraId="16AB7A7F" w14:textId="77777777" w:rsidR="00D35E43" w:rsidRPr="00B754D8" w:rsidRDefault="00CD7861">
      <w:pPr>
        <w:pStyle w:val="CuerpoB"/>
        <w:numPr>
          <w:ilvl w:val="0"/>
          <w:numId w:val="182"/>
        </w:numPr>
        <w:jc w:val="both"/>
        <w:rPr>
          <w:rFonts w:ascii="Arial" w:hAnsi="Arial"/>
        </w:rPr>
      </w:pPr>
      <w:r w:rsidRPr="00B754D8">
        <w:rPr>
          <w:rStyle w:val="Ninguno"/>
          <w:rFonts w:ascii="Arial" w:hAnsi="Arial"/>
        </w:rPr>
        <w:t xml:space="preserve">Atender especializadamente el tema de la mujer en prisión, en el cual se trastoca también a sus hijas e hijos, todo ello de conformidad con las </w:t>
      </w:r>
      <w:r w:rsidRPr="00B754D8">
        <w:rPr>
          <w:rStyle w:val="Ninguno"/>
          <w:rFonts w:ascii="Arial" w:hAnsi="Arial"/>
          <w:i/>
          <w:iCs/>
        </w:rPr>
        <w:t>Reglas de las Naciones Unidas para el Tratamiento de las Reclusas y Medidas No Privativas de la Libertad para Mujeres Delincuentes (Reglas de Bangkok).</w:t>
      </w:r>
    </w:p>
    <w:p w14:paraId="4B872417" w14:textId="77777777" w:rsidR="00D35E43" w:rsidRPr="00B754D8" w:rsidRDefault="00D35E43">
      <w:pPr>
        <w:pStyle w:val="CuerpoB"/>
        <w:jc w:val="both"/>
        <w:rPr>
          <w:rStyle w:val="Hyperlink4"/>
        </w:rPr>
      </w:pPr>
    </w:p>
    <w:p w14:paraId="1A806AE9" w14:textId="77777777" w:rsidR="00D35E43" w:rsidRPr="00B754D8" w:rsidRDefault="00CD7861">
      <w:pPr>
        <w:pStyle w:val="CuerpoB"/>
        <w:numPr>
          <w:ilvl w:val="0"/>
          <w:numId w:val="182"/>
        </w:numPr>
        <w:jc w:val="both"/>
        <w:rPr>
          <w:rFonts w:ascii="Arial" w:hAnsi="Arial"/>
        </w:rPr>
      </w:pPr>
      <w:r w:rsidRPr="00B754D8">
        <w:rPr>
          <w:rStyle w:val="Ninguno"/>
          <w:rFonts w:ascii="Arial" w:hAnsi="Arial"/>
        </w:rPr>
        <w:t xml:space="preserve">Fortalecer los trabajos que permitan la aplicación y difusión más amplia de las </w:t>
      </w:r>
      <w:r w:rsidRPr="00B754D8">
        <w:rPr>
          <w:rStyle w:val="Ninguno"/>
          <w:rFonts w:ascii="Arial" w:hAnsi="Arial"/>
          <w:i/>
          <w:iCs/>
        </w:rPr>
        <w:t>Reglas Mínimas de las Naciones Unidas sobre las Medidas no Privativas de la Libertad (Reglas de Tokio)</w:t>
      </w:r>
      <w:r w:rsidRPr="00B754D8">
        <w:rPr>
          <w:rStyle w:val="Ninguno"/>
          <w:rFonts w:ascii="Arial" w:hAnsi="Arial"/>
        </w:rPr>
        <w:t>.</w:t>
      </w:r>
    </w:p>
    <w:p w14:paraId="4B923D58" w14:textId="77777777" w:rsidR="00D35E43" w:rsidRPr="00B754D8" w:rsidRDefault="00D35E43">
      <w:pPr>
        <w:pStyle w:val="CuerpoB"/>
        <w:jc w:val="both"/>
        <w:rPr>
          <w:rStyle w:val="Hyperlink4"/>
        </w:rPr>
      </w:pPr>
    </w:p>
    <w:p w14:paraId="4448247F" w14:textId="77777777" w:rsidR="00D35E43" w:rsidRPr="00B754D8" w:rsidRDefault="00CD7861">
      <w:pPr>
        <w:pStyle w:val="CuerpoB"/>
        <w:numPr>
          <w:ilvl w:val="0"/>
          <w:numId w:val="182"/>
        </w:numPr>
        <w:jc w:val="both"/>
        <w:rPr>
          <w:rFonts w:ascii="Arial" w:hAnsi="Arial"/>
        </w:rPr>
      </w:pPr>
      <w:r w:rsidRPr="00B754D8">
        <w:rPr>
          <w:rStyle w:val="Ninguno"/>
          <w:rFonts w:ascii="Arial" w:hAnsi="Arial"/>
        </w:rPr>
        <w:t xml:space="preserve">Fortalecer los trabajos que permitan la aplicación y difusión más amplia de las </w:t>
      </w:r>
      <w:r w:rsidRPr="00B754D8">
        <w:rPr>
          <w:rStyle w:val="Ninguno"/>
          <w:rFonts w:ascii="Arial" w:hAnsi="Arial"/>
          <w:i/>
          <w:iCs/>
        </w:rPr>
        <w:t>Reglas de las Naciones Unidas para el Tratamiento de los Reclusos (Reglas Nelson Mandela).</w:t>
      </w:r>
    </w:p>
    <w:p w14:paraId="1EACF993" w14:textId="77777777" w:rsidR="00D35E43" w:rsidRPr="00B754D8" w:rsidRDefault="00D35E43">
      <w:pPr>
        <w:pStyle w:val="CuerpoB"/>
        <w:jc w:val="both"/>
        <w:rPr>
          <w:rStyle w:val="Ninguno"/>
          <w:rFonts w:ascii="Arial" w:eastAsia="Arial" w:hAnsi="Arial" w:cs="Arial"/>
          <w:b/>
          <w:bCs/>
        </w:rPr>
      </w:pPr>
    </w:p>
    <w:p w14:paraId="6CEF4348" w14:textId="77777777" w:rsidR="00D35E43" w:rsidRPr="00B754D8" w:rsidRDefault="00CD7861">
      <w:pPr>
        <w:pStyle w:val="CuerpoB"/>
        <w:jc w:val="both"/>
        <w:rPr>
          <w:rStyle w:val="Ninguno"/>
          <w:rFonts w:ascii="Arial" w:eastAsia="Arial" w:hAnsi="Arial" w:cs="Arial"/>
          <w:b/>
          <w:bCs/>
        </w:rPr>
      </w:pPr>
      <w:r w:rsidRPr="00B754D8">
        <w:rPr>
          <w:rStyle w:val="Ninguno"/>
          <w:rFonts w:ascii="Arial" w:hAnsi="Arial"/>
          <w:b/>
          <w:bCs/>
        </w:rPr>
        <w:t>Trata de Personas</w:t>
      </w:r>
    </w:p>
    <w:p w14:paraId="31F51AEA" w14:textId="77777777" w:rsidR="00D35E43" w:rsidRPr="00B754D8" w:rsidRDefault="00CD7861">
      <w:pPr>
        <w:pStyle w:val="Prrafodelista"/>
        <w:numPr>
          <w:ilvl w:val="0"/>
          <w:numId w:val="182"/>
        </w:numPr>
        <w:jc w:val="both"/>
        <w:rPr>
          <w:rFonts w:ascii="Arial" w:hAnsi="Arial"/>
          <w:sz w:val="24"/>
          <w:szCs w:val="24"/>
        </w:rPr>
      </w:pPr>
      <w:r w:rsidRPr="00B754D8">
        <w:rPr>
          <w:rStyle w:val="Ninguno"/>
          <w:rFonts w:ascii="Arial" w:hAnsi="Arial"/>
          <w:sz w:val="24"/>
          <w:szCs w:val="24"/>
        </w:rPr>
        <w:t>Atender el contenido de las Recomendaciones y pronunciamientos emitidos por la Comisión Nacional de los Derechos Humanos y demás organismos nacionales e internacionales de protección y defensa de los derechos humanos en materia de trata de personas, contemplando todas sus facetas y modalidades.</w:t>
      </w:r>
    </w:p>
    <w:p w14:paraId="2316634B" w14:textId="77777777" w:rsidR="00D35E43" w:rsidRPr="00B754D8" w:rsidRDefault="00CD7861">
      <w:pPr>
        <w:pStyle w:val="Prrafodelista"/>
        <w:numPr>
          <w:ilvl w:val="0"/>
          <w:numId w:val="182"/>
        </w:numPr>
        <w:jc w:val="both"/>
        <w:rPr>
          <w:rFonts w:ascii="Arial" w:hAnsi="Arial"/>
          <w:sz w:val="24"/>
          <w:szCs w:val="24"/>
        </w:rPr>
      </w:pPr>
      <w:r w:rsidRPr="00B754D8">
        <w:rPr>
          <w:rStyle w:val="Ninguno"/>
          <w:rFonts w:ascii="Arial" w:hAnsi="Arial"/>
          <w:sz w:val="24"/>
          <w:szCs w:val="24"/>
        </w:rPr>
        <w:t xml:space="preserve">Garantizar que el Programa Nacional para Prevenir, Sancionar y Erradicar los Delitos en Materia de Trata de Personas y para la Protección y Asistencia a las Víctimas de estos Delitos 2019-2024 cuente con objetivos, medidas de aplicación, indicadores operacionales, para todos los delitos en materia de </w:t>
      </w:r>
      <w:r w:rsidRPr="00B754D8">
        <w:rPr>
          <w:rStyle w:val="Ninguno"/>
          <w:rFonts w:ascii="Arial" w:hAnsi="Arial"/>
          <w:sz w:val="24"/>
          <w:szCs w:val="24"/>
        </w:rPr>
        <w:lastRenderedPageBreak/>
        <w:t>trata de personas señalados en la Ley General, que establezca mecanismos eficaces de vinculación y coordinación interinstitucional que se oriente a la planeación e instrumentación de una Política de Estado.</w:t>
      </w:r>
    </w:p>
    <w:p w14:paraId="2CEBF762" w14:textId="77777777" w:rsidR="00D35E43" w:rsidRPr="00B754D8" w:rsidRDefault="00CD7861">
      <w:pPr>
        <w:pStyle w:val="Prrafodelista"/>
        <w:numPr>
          <w:ilvl w:val="0"/>
          <w:numId w:val="182"/>
        </w:numPr>
        <w:jc w:val="both"/>
        <w:rPr>
          <w:rFonts w:ascii="Arial" w:hAnsi="Arial"/>
          <w:sz w:val="24"/>
          <w:szCs w:val="24"/>
        </w:rPr>
      </w:pPr>
      <w:r w:rsidRPr="00B754D8">
        <w:rPr>
          <w:rStyle w:val="Ninguno"/>
          <w:rFonts w:ascii="Arial" w:hAnsi="Arial"/>
          <w:sz w:val="24"/>
          <w:szCs w:val="24"/>
        </w:rPr>
        <w:t>Concretar el Sistema Nacional de Información sobre Víctimas de Trata de Personas (SINTRA), que comenzó a trabajarse desde el año 2014. Y garantizar el registro completo de datos necesarios para la identificación y el tratamiento de las personas según su circunstancia.</w:t>
      </w:r>
    </w:p>
    <w:p w14:paraId="737E3AD9" w14:textId="77777777" w:rsidR="00D35E43" w:rsidRPr="00B754D8" w:rsidRDefault="00CD7861">
      <w:pPr>
        <w:pStyle w:val="Prrafodelista"/>
        <w:numPr>
          <w:ilvl w:val="0"/>
          <w:numId w:val="182"/>
        </w:numPr>
        <w:jc w:val="both"/>
        <w:rPr>
          <w:rFonts w:ascii="Arial" w:hAnsi="Arial"/>
          <w:sz w:val="24"/>
          <w:szCs w:val="24"/>
        </w:rPr>
      </w:pPr>
      <w:r w:rsidRPr="00B754D8">
        <w:rPr>
          <w:rStyle w:val="Ninguno"/>
          <w:rFonts w:ascii="Arial" w:hAnsi="Arial"/>
          <w:sz w:val="24"/>
          <w:szCs w:val="24"/>
        </w:rPr>
        <w:t>Materializar la construcción del Fondo de Protección y Asistencia a las Víctimas de los Delitos en Materia de Trata de Personas, previsto en la Ley General para Prevenir, Sancionar y Erradicar los Delitos en Materia de Trata de Personas y para la Protección y Asistencia a las Víctimas de estos Delitos.</w:t>
      </w:r>
    </w:p>
    <w:p w14:paraId="4CA48547" w14:textId="77777777" w:rsidR="00D35E43" w:rsidRPr="00B754D8" w:rsidRDefault="00D35E43">
      <w:pPr>
        <w:pStyle w:val="CuerpoB"/>
        <w:jc w:val="both"/>
        <w:rPr>
          <w:rStyle w:val="Ninguno"/>
          <w:rFonts w:ascii="Arial" w:eastAsia="Arial" w:hAnsi="Arial" w:cs="Arial"/>
          <w:b/>
          <w:bCs/>
        </w:rPr>
      </w:pPr>
    </w:p>
    <w:p w14:paraId="5E99C4BD" w14:textId="77777777" w:rsidR="00D35E43" w:rsidRPr="00B754D8" w:rsidRDefault="00CD7861">
      <w:pPr>
        <w:pStyle w:val="CuerpoB"/>
        <w:jc w:val="both"/>
        <w:rPr>
          <w:rStyle w:val="Ninguno"/>
          <w:rFonts w:ascii="Arial" w:eastAsia="Arial" w:hAnsi="Arial" w:cs="Arial"/>
          <w:b/>
          <w:bCs/>
        </w:rPr>
      </w:pPr>
      <w:r w:rsidRPr="00B754D8">
        <w:rPr>
          <w:rStyle w:val="Ninguno"/>
          <w:rFonts w:ascii="Arial" w:hAnsi="Arial"/>
          <w:b/>
          <w:bCs/>
        </w:rPr>
        <w:t>Inscripción de nacimientos</w:t>
      </w:r>
    </w:p>
    <w:p w14:paraId="4C1D7F98" w14:textId="77777777" w:rsidR="00D35E43" w:rsidRPr="00B754D8" w:rsidRDefault="00D35E43">
      <w:pPr>
        <w:pStyle w:val="CuerpoB"/>
        <w:jc w:val="both"/>
        <w:rPr>
          <w:rStyle w:val="Ninguno"/>
          <w:rFonts w:ascii="Arial" w:eastAsia="Arial" w:hAnsi="Arial" w:cs="Arial"/>
          <w:b/>
          <w:bCs/>
        </w:rPr>
      </w:pPr>
    </w:p>
    <w:p w14:paraId="22B4CA81" w14:textId="77777777" w:rsidR="00D35E43" w:rsidRPr="00B754D8" w:rsidRDefault="00CD7861">
      <w:pPr>
        <w:pStyle w:val="Prrafodelista"/>
        <w:numPr>
          <w:ilvl w:val="0"/>
          <w:numId w:val="182"/>
        </w:numPr>
        <w:jc w:val="both"/>
        <w:rPr>
          <w:rFonts w:ascii="Arial" w:hAnsi="Arial"/>
          <w:sz w:val="24"/>
          <w:szCs w:val="24"/>
        </w:rPr>
      </w:pPr>
      <w:r w:rsidRPr="00B754D8">
        <w:rPr>
          <w:rStyle w:val="Ninguno"/>
          <w:rFonts w:ascii="Arial" w:hAnsi="Arial"/>
          <w:sz w:val="24"/>
          <w:szCs w:val="24"/>
        </w:rPr>
        <w:t>Adoptar las medidas legislativas necesarias, a nivel federal y local, para asegurar la gratuidad de la emisión de la primera acta de registro de nacimiento.</w:t>
      </w:r>
    </w:p>
    <w:p w14:paraId="0CC97A01" w14:textId="77777777" w:rsidR="00D35E43" w:rsidRPr="00B754D8" w:rsidRDefault="00CD7861">
      <w:pPr>
        <w:pStyle w:val="Prrafodelista"/>
        <w:numPr>
          <w:ilvl w:val="0"/>
          <w:numId w:val="182"/>
        </w:numPr>
        <w:jc w:val="both"/>
        <w:rPr>
          <w:rFonts w:ascii="Arial" w:hAnsi="Arial"/>
          <w:sz w:val="24"/>
          <w:szCs w:val="24"/>
        </w:rPr>
      </w:pPr>
      <w:r w:rsidRPr="00B754D8">
        <w:rPr>
          <w:rStyle w:val="Ninguno"/>
          <w:rFonts w:ascii="Arial" w:hAnsi="Arial"/>
          <w:sz w:val="24"/>
          <w:szCs w:val="24"/>
        </w:rPr>
        <w:t>Llevar a cabo programas de formación y capacitación sobre el derecho a la identidad de niñas, niños y adolescentes dirigidos a personas servidoras públicas, en particular a legisladores y tomadores de decisiones.</w:t>
      </w:r>
    </w:p>
    <w:p w14:paraId="285A2240" w14:textId="77777777" w:rsidR="00D35E43" w:rsidRPr="00B754D8" w:rsidRDefault="00CD7861">
      <w:pPr>
        <w:pStyle w:val="Prrafodelista"/>
        <w:numPr>
          <w:ilvl w:val="0"/>
          <w:numId w:val="182"/>
        </w:numPr>
        <w:jc w:val="both"/>
        <w:rPr>
          <w:rFonts w:ascii="Arial" w:hAnsi="Arial"/>
          <w:sz w:val="24"/>
          <w:szCs w:val="24"/>
        </w:rPr>
      </w:pPr>
      <w:r w:rsidRPr="00B754D8">
        <w:rPr>
          <w:rStyle w:val="Ninguno"/>
          <w:rFonts w:ascii="Arial" w:hAnsi="Arial"/>
          <w:sz w:val="24"/>
          <w:szCs w:val="24"/>
        </w:rPr>
        <w:t>Implementar programas de sensibilización dirigidos a padres, madres, y personas cuidadoras sobre los beneficios de registrar los nacimientos de sus hijas e hijos.</w:t>
      </w:r>
    </w:p>
    <w:p w14:paraId="24E0B955" w14:textId="77777777" w:rsidR="00D35E43" w:rsidRPr="00B754D8" w:rsidRDefault="00D35E43">
      <w:pPr>
        <w:pStyle w:val="CuerpoB"/>
        <w:jc w:val="both"/>
        <w:rPr>
          <w:rStyle w:val="Ninguno"/>
          <w:rFonts w:ascii="Arial" w:eastAsia="Arial" w:hAnsi="Arial" w:cs="Arial"/>
          <w:b/>
          <w:bCs/>
        </w:rPr>
      </w:pPr>
    </w:p>
    <w:p w14:paraId="5C32C1AD" w14:textId="77777777" w:rsidR="00D35E43" w:rsidRPr="00B754D8" w:rsidRDefault="00CD7861">
      <w:pPr>
        <w:pStyle w:val="CuerpoB"/>
        <w:jc w:val="both"/>
        <w:rPr>
          <w:rStyle w:val="Ninguno"/>
          <w:rFonts w:ascii="Arial" w:eastAsia="Arial" w:hAnsi="Arial" w:cs="Arial"/>
          <w:b/>
          <w:bCs/>
        </w:rPr>
      </w:pPr>
      <w:r w:rsidRPr="00B754D8">
        <w:rPr>
          <w:rStyle w:val="Ninguno"/>
          <w:rFonts w:ascii="Arial" w:hAnsi="Arial"/>
          <w:b/>
          <w:bCs/>
        </w:rPr>
        <w:t>Libertades de expresión y asociación</w:t>
      </w:r>
    </w:p>
    <w:p w14:paraId="223CF4D9" w14:textId="77777777" w:rsidR="00D35E43" w:rsidRPr="00B754D8" w:rsidRDefault="00D35E43">
      <w:pPr>
        <w:pStyle w:val="CuerpoB"/>
        <w:jc w:val="both"/>
        <w:rPr>
          <w:rStyle w:val="Ninguno"/>
          <w:rFonts w:ascii="Arial" w:eastAsia="Arial" w:hAnsi="Arial" w:cs="Arial"/>
          <w:b/>
          <w:bCs/>
        </w:rPr>
      </w:pPr>
    </w:p>
    <w:p w14:paraId="1789EAFF" w14:textId="77777777" w:rsidR="00D35E43" w:rsidRPr="00B754D8" w:rsidRDefault="00CD7861">
      <w:pPr>
        <w:pStyle w:val="CuerpoB"/>
        <w:numPr>
          <w:ilvl w:val="0"/>
          <w:numId w:val="182"/>
        </w:numPr>
        <w:spacing w:after="160" w:line="259" w:lineRule="auto"/>
        <w:jc w:val="both"/>
        <w:rPr>
          <w:rFonts w:ascii="Arial" w:hAnsi="Arial"/>
        </w:rPr>
      </w:pPr>
      <w:r w:rsidRPr="00B754D8">
        <w:rPr>
          <w:rStyle w:val="Ninguno"/>
          <w:rFonts w:ascii="Arial" w:hAnsi="Arial"/>
        </w:rPr>
        <w:t>Reconocer la importancia de la labor de las personas defensoras de derechos humanos y del libre ejercicio de la libertad de expresión y periodismo.</w:t>
      </w:r>
    </w:p>
    <w:p w14:paraId="2108FB07" w14:textId="77777777" w:rsidR="00D35E43" w:rsidRPr="00B754D8" w:rsidRDefault="00CD7861">
      <w:pPr>
        <w:pStyle w:val="CuerpoB"/>
        <w:numPr>
          <w:ilvl w:val="0"/>
          <w:numId w:val="182"/>
        </w:numPr>
        <w:spacing w:after="160" w:line="259" w:lineRule="auto"/>
        <w:jc w:val="both"/>
        <w:rPr>
          <w:rFonts w:ascii="Arial" w:hAnsi="Arial"/>
        </w:rPr>
      </w:pPr>
      <w:r w:rsidRPr="00B754D8">
        <w:rPr>
          <w:rStyle w:val="Ninguno"/>
          <w:rFonts w:ascii="Arial" w:hAnsi="Arial"/>
        </w:rPr>
        <w:t>Derogar los tipos penales de calumnias, injurias y difamación que criminalizan el libre ejercicio de la libertad de expresión, en las entidades en cuyas legislaciones penales aún se encuentran vigentes.</w:t>
      </w:r>
    </w:p>
    <w:p w14:paraId="7092EC78" w14:textId="77777777" w:rsidR="00D35E43" w:rsidRPr="00B754D8" w:rsidRDefault="00CD7861">
      <w:pPr>
        <w:pStyle w:val="CuerpoB"/>
        <w:numPr>
          <w:ilvl w:val="0"/>
          <w:numId w:val="182"/>
        </w:numPr>
        <w:spacing w:after="160" w:line="259" w:lineRule="auto"/>
        <w:jc w:val="both"/>
        <w:rPr>
          <w:rFonts w:ascii="Arial" w:hAnsi="Arial"/>
        </w:rPr>
      </w:pPr>
      <w:r w:rsidRPr="00B754D8">
        <w:rPr>
          <w:rStyle w:val="Ninguno"/>
          <w:rFonts w:ascii="Arial" w:hAnsi="Arial"/>
        </w:rPr>
        <w:t>Abatir la impunidad en el tema de asesinatos a periodistas y defensores civiles de derechos humanos, a través de la captura y enjuiciamiento de los responsables.</w:t>
      </w:r>
    </w:p>
    <w:p w14:paraId="4F86A8E2" w14:textId="77777777" w:rsidR="00D35E43" w:rsidRPr="00B754D8" w:rsidRDefault="00CD7861">
      <w:pPr>
        <w:pStyle w:val="CuerpoB"/>
        <w:numPr>
          <w:ilvl w:val="0"/>
          <w:numId w:val="182"/>
        </w:numPr>
        <w:spacing w:after="160" w:line="259" w:lineRule="auto"/>
        <w:jc w:val="both"/>
        <w:rPr>
          <w:rFonts w:ascii="Arial" w:hAnsi="Arial"/>
        </w:rPr>
      </w:pPr>
      <w:r w:rsidRPr="00B754D8">
        <w:rPr>
          <w:rStyle w:val="Ninguno"/>
          <w:rFonts w:ascii="Arial" w:hAnsi="Arial"/>
        </w:rPr>
        <w:t>Establecer una política pública de prevención de agresiones contra personas defensoras de derechos humanos y periodistas.</w:t>
      </w:r>
    </w:p>
    <w:p w14:paraId="7C09D884" w14:textId="77777777" w:rsidR="00D35E43" w:rsidRPr="00B754D8" w:rsidRDefault="00CD7861">
      <w:pPr>
        <w:pStyle w:val="CuerpoB"/>
        <w:numPr>
          <w:ilvl w:val="0"/>
          <w:numId w:val="182"/>
        </w:numPr>
        <w:spacing w:after="160" w:line="259" w:lineRule="auto"/>
        <w:jc w:val="both"/>
        <w:rPr>
          <w:rFonts w:ascii="Arial" w:hAnsi="Arial"/>
        </w:rPr>
      </w:pPr>
      <w:r w:rsidRPr="00B754D8">
        <w:rPr>
          <w:rStyle w:val="Ninguno"/>
          <w:rFonts w:ascii="Arial" w:hAnsi="Arial"/>
        </w:rPr>
        <w:t>Instruir a las fuerzas de seguridad sobre el respeto a las personas defensoras de derechos humanos y periodistas.</w:t>
      </w:r>
    </w:p>
    <w:p w14:paraId="20C427CE" w14:textId="77777777" w:rsidR="00D35E43" w:rsidRPr="00B754D8" w:rsidRDefault="00CD7861">
      <w:pPr>
        <w:pStyle w:val="CuerpoB"/>
        <w:numPr>
          <w:ilvl w:val="0"/>
          <w:numId w:val="182"/>
        </w:numPr>
        <w:spacing w:after="160" w:line="259" w:lineRule="auto"/>
        <w:jc w:val="both"/>
        <w:rPr>
          <w:rFonts w:ascii="Arial" w:hAnsi="Arial"/>
        </w:rPr>
      </w:pPr>
      <w:r w:rsidRPr="00B754D8">
        <w:rPr>
          <w:rStyle w:val="Ninguno"/>
          <w:rFonts w:ascii="Arial" w:hAnsi="Arial"/>
        </w:rPr>
        <w:lastRenderedPageBreak/>
        <w:t>Fortalecer la independencia y autonomía de la Comisión Nacional de los Derechos Humanos y de las comisiones estatales dotándolas de los recursos necesarios para su labor, y brindarle mayores recursos para su operación.</w:t>
      </w:r>
    </w:p>
    <w:p w14:paraId="19C1C58F" w14:textId="71F671B1" w:rsidR="00D35E43" w:rsidRPr="00B754D8" w:rsidRDefault="00CD7861" w:rsidP="00B754D8">
      <w:pPr>
        <w:pStyle w:val="CuerpoB"/>
        <w:numPr>
          <w:ilvl w:val="0"/>
          <w:numId w:val="182"/>
        </w:numPr>
        <w:spacing w:after="160" w:line="259" w:lineRule="auto"/>
        <w:ind w:left="714" w:hanging="357"/>
        <w:jc w:val="both"/>
        <w:rPr>
          <w:rStyle w:val="Hyperlink4"/>
          <w:color w:val="auto"/>
        </w:rPr>
      </w:pPr>
      <w:r w:rsidRPr="0091511D">
        <w:rPr>
          <w:rStyle w:val="Ninguno"/>
          <w:rFonts w:ascii="Arial" w:hAnsi="Arial"/>
        </w:rPr>
        <w:t>Consolidar y fortalecer el proceso democrático de elección del Presidente de la Comisión Nacional de los Derechos Humanos.</w:t>
      </w:r>
      <w:r w:rsidRPr="00B754D8">
        <w:rPr>
          <w:rStyle w:val="Ninguno"/>
          <w:color w:val="auto"/>
          <w:shd w:val="clear" w:color="auto" w:fill="FFFF00"/>
        </w:rPr>
        <w:t xml:space="preserve"> </w:t>
      </w:r>
    </w:p>
    <w:p w14:paraId="39C4BE44" w14:textId="77777777" w:rsidR="00D35E43" w:rsidRPr="00B754D8" w:rsidRDefault="00CD7861">
      <w:pPr>
        <w:pStyle w:val="CuerpoB"/>
        <w:jc w:val="both"/>
        <w:rPr>
          <w:rStyle w:val="Ninguno"/>
          <w:rFonts w:ascii="Arial" w:eastAsia="Arial" w:hAnsi="Arial" w:cs="Arial"/>
          <w:b/>
          <w:bCs/>
        </w:rPr>
      </w:pPr>
      <w:r w:rsidRPr="00B754D8">
        <w:rPr>
          <w:rStyle w:val="Ninguno"/>
          <w:rFonts w:ascii="Arial" w:hAnsi="Arial"/>
          <w:b/>
          <w:bCs/>
        </w:rPr>
        <w:t>Consulta Previa</w:t>
      </w:r>
    </w:p>
    <w:p w14:paraId="4BC3FCD6" w14:textId="77777777" w:rsidR="00D35E43" w:rsidRPr="00B754D8" w:rsidRDefault="00CD7861">
      <w:pPr>
        <w:pStyle w:val="Prrafodelista"/>
        <w:numPr>
          <w:ilvl w:val="0"/>
          <w:numId w:val="182"/>
        </w:numPr>
        <w:jc w:val="both"/>
        <w:rPr>
          <w:rFonts w:ascii="Arial" w:hAnsi="Arial"/>
          <w:sz w:val="24"/>
          <w:szCs w:val="24"/>
        </w:rPr>
      </w:pPr>
      <w:r w:rsidRPr="00B754D8">
        <w:rPr>
          <w:rStyle w:val="Ninguno"/>
          <w:rFonts w:ascii="Arial" w:hAnsi="Arial"/>
          <w:sz w:val="24"/>
          <w:szCs w:val="24"/>
        </w:rPr>
        <w:t>Promover acciones para que las instituciones de los tres órdenes de gobierno garanticen la celebración de consultas previas con los pueblos indígenas sobre las políticas, los proyectos económicos o de desarrollo que les afecten, conforme a las disposiciones del Convenio Nº 169 de la OIT y favorezcan la formulación de una ley que regule el derecho a la consulta previa.</w:t>
      </w:r>
    </w:p>
    <w:p w14:paraId="38C7782E" w14:textId="77777777" w:rsidR="00D35E43" w:rsidRPr="00B754D8" w:rsidRDefault="00CD7861">
      <w:pPr>
        <w:pStyle w:val="Prrafodelista"/>
        <w:numPr>
          <w:ilvl w:val="0"/>
          <w:numId w:val="182"/>
        </w:numPr>
        <w:jc w:val="both"/>
        <w:rPr>
          <w:rFonts w:ascii="Arial" w:hAnsi="Arial"/>
          <w:sz w:val="24"/>
          <w:szCs w:val="24"/>
        </w:rPr>
      </w:pPr>
      <w:r w:rsidRPr="00B754D8">
        <w:rPr>
          <w:rStyle w:val="Ninguno"/>
          <w:rFonts w:ascii="Arial" w:hAnsi="Arial"/>
          <w:sz w:val="24"/>
          <w:szCs w:val="24"/>
        </w:rPr>
        <w:t xml:space="preserve">Fomentar y vigilar se ejerza adecuadamente el derecho a la consulta previa, libre, informada, culturalmente adecuada y de buena fe, de los Pueblos Indígenas. especialmente antes de otorgar licencias para llevar a cabo actividades económicas en los territorios que tradicionalmente han poseído, ocupado o utilizado. </w:t>
      </w:r>
    </w:p>
    <w:p w14:paraId="575A5FC4" w14:textId="77777777" w:rsidR="00D35E43" w:rsidRPr="00B754D8" w:rsidRDefault="00CD7861">
      <w:pPr>
        <w:pStyle w:val="Prrafodelista"/>
        <w:numPr>
          <w:ilvl w:val="0"/>
          <w:numId w:val="182"/>
        </w:numPr>
        <w:jc w:val="both"/>
        <w:rPr>
          <w:rFonts w:ascii="Arial" w:hAnsi="Arial"/>
          <w:sz w:val="24"/>
          <w:szCs w:val="24"/>
        </w:rPr>
      </w:pPr>
      <w:r w:rsidRPr="00B754D8">
        <w:rPr>
          <w:rStyle w:val="Ninguno"/>
          <w:rFonts w:ascii="Arial" w:hAnsi="Arial"/>
          <w:sz w:val="24"/>
          <w:szCs w:val="24"/>
        </w:rPr>
        <w:t>Establecer, en consulta con los propios pueblos indígenas, protocolos de actuación efectivos, adecuados y jurídicamente vinculantes que garanticen plenamente el respeto de este derecho, o en su caso, aplique los ya existentes, tomando en cuenta las características culturales, y usos y costumbres de cada pueblo y de conformidad con el Convenio sobre pueblos indígenas y tribales.</w:t>
      </w:r>
    </w:p>
    <w:sectPr w:rsidR="00D35E43" w:rsidRPr="00B754D8">
      <w:footerReference w:type="default" r:id="rId12"/>
      <w:pgSz w:w="12240" w:h="15840"/>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03FA43" w14:textId="77777777" w:rsidR="00BD7109" w:rsidRDefault="00BD7109">
      <w:r>
        <w:separator/>
      </w:r>
    </w:p>
  </w:endnote>
  <w:endnote w:type="continuationSeparator" w:id="0">
    <w:p w14:paraId="4458869E" w14:textId="77777777" w:rsidR="00BD7109" w:rsidRDefault="00BD7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Neue">
    <w:altName w:val="Times New Roman"/>
    <w:charset w:val="00"/>
    <w:family w:val="roman"/>
    <w:pitch w:val="default"/>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BF1A18" w14:textId="5E82762E" w:rsidR="00CD7861" w:rsidRDefault="00CD7861">
    <w:pPr>
      <w:pStyle w:val="Piedepgina"/>
      <w:tabs>
        <w:tab w:val="clear" w:pos="8838"/>
        <w:tab w:val="right" w:pos="8818"/>
      </w:tabs>
      <w:jc w:val="right"/>
    </w:pPr>
    <w:r>
      <w:rPr>
        <w:rStyle w:val="Ninguno"/>
      </w:rPr>
      <w:fldChar w:fldCharType="begin"/>
    </w:r>
    <w:r>
      <w:rPr>
        <w:rStyle w:val="Ninguno"/>
      </w:rPr>
      <w:instrText xml:space="preserve"> PAGE </w:instrText>
    </w:r>
    <w:r>
      <w:rPr>
        <w:rStyle w:val="Ninguno"/>
      </w:rPr>
      <w:fldChar w:fldCharType="separate"/>
    </w:r>
    <w:r w:rsidR="00333DCC">
      <w:rPr>
        <w:rStyle w:val="Ninguno"/>
        <w:noProof/>
      </w:rPr>
      <w:t>48</w:t>
    </w:r>
    <w:r>
      <w:rPr>
        <w:rStyle w:val="Ningun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A4C3FA" w14:textId="77777777" w:rsidR="00BD7109" w:rsidRDefault="00BD7109">
      <w:r>
        <w:separator/>
      </w:r>
    </w:p>
  </w:footnote>
  <w:footnote w:type="continuationSeparator" w:id="0">
    <w:p w14:paraId="3062C0F4" w14:textId="77777777" w:rsidR="00BD7109" w:rsidRDefault="00BD7109">
      <w:r>
        <w:continuationSeparator/>
      </w:r>
    </w:p>
  </w:footnote>
  <w:footnote w:type="continuationNotice" w:id="1">
    <w:p w14:paraId="74C1B441" w14:textId="77777777" w:rsidR="00BD7109" w:rsidRDefault="00BD7109"/>
  </w:footnote>
  <w:footnote w:id="2">
    <w:p w14:paraId="5B861FF0" w14:textId="77777777" w:rsidR="00CD7861" w:rsidRPr="0091511D" w:rsidRDefault="00CD7861">
      <w:pPr>
        <w:pStyle w:val="Textonotapie"/>
        <w:jc w:val="both"/>
        <w:rPr>
          <w:rStyle w:val="Ninguno"/>
          <w:rFonts w:ascii="Arial" w:eastAsia="Arial Unicode MS" w:hAnsi="Arial" w:cs="Arial Unicode MS"/>
          <w14:textOutline w14:w="12700" w14:cap="flat" w14:cmpd="sng" w14:algn="ctr">
            <w14:noFill/>
            <w14:prstDash w14:val="solid"/>
            <w14:miter w14:lim="400000"/>
          </w14:textOutline>
        </w:rPr>
      </w:pPr>
      <w:r>
        <w:rPr>
          <w:rStyle w:val="Ninguno"/>
          <w:rFonts w:ascii="Arial" w:eastAsia="Arial" w:hAnsi="Arial" w:cs="Arial"/>
          <w:sz w:val="24"/>
          <w:szCs w:val="24"/>
          <w:vertAlign w:val="superscript"/>
        </w:rPr>
        <w:footnoteRef/>
      </w:r>
      <w:r w:rsidRPr="0091511D">
        <w:rPr>
          <w:rStyle w:val="Ninguno"/>
          <w:rFonts w:ascii="Arial" w:eastAsia="Arial Unicode MS" w:hAnsi="Arial" w:cs="Arial Unicode MS"/>
          <w14:textOutline w14:w="12700" w14:cap="flat" w14:cmpd="sng" w14:algn="ctr">
            <w14:noFill/>
            <w14:prstDash w14:val="solid"/>
            <w14:miter w14:lim="400000"/>
          </w14:textOutline>
        </w:rPr>
        <w:t>Informe que presenta la Comisión Nacional de los Derechos Humanos de México (CNDH) al Comité para la Eliminación de la Discriminación contra la Mujer (CEDAW) con motivo de la revisión del Noveno Informe Periódico de México, en relación con la aplicación de la Convención sobre la Eliminación de Todas las Formas de Discriminación contra la Mujer. “La situación de las mujeres en México” https://tbinternet.ohchr.org/Treaties/CEDAW/Shared%20Documents/MEX/INT_CEDAW_IFN_MEX_31333_S.pdf</w:t>
      </w:r>
    </w:p>
  </w:footnote>
  <w:footnote w:id="3">
    <w:p w14:paraId="43842CAE" w14:textId="77777777" w:rsidR="00CD7861" w:rsidRDefault="00CD7861">
      <w:pPr>
        <w:pStyle w:val="CuerpoB"/>
        <w:jc w:val="both"/>
      </w:pPr>
      <w:r>
        <w:rPr>
          <w:rStyle w:val="Ninguno"/>
          <w:rFonts w:ascii="Arial" w:eastAsia="Arial" w:hAnsi="Arial" w:cs="Arial"/>
          <w:vertAlign w:val="superscript"/>
        </w:rPr>
        <w:footnoteRef/>
      </w:r>
      <w:r>
        <w:rPr>
          <w:rStyle w:val="Ninguno"/>
          <w:rFonts w:ascii="Arial" w:hAnsi="Arial"/>
          <w:sz w:val="20"/>
          <w:szCs w:val="20"/>
        </w:rPr>
        <w:t xml:space="preserve"> Los principales resultados de la encuesta se encuentran disponibles en </w:t>
      </w:r>
      <w:r>
        <w:rPr>
          <w:rStyle w:val="Ninguno"/>
          <w:rFonts w:ascii="Arial" w:hAnsi="Arial"/>
          <w:sz w:val="20"/>
          <w:szCs w:val="20"/>
          <w:u w:val="single"/>
        </w:rPr>
        <w:t>https://www.conapred.org.mx/userfiles/files/PtcionENADIS2017_08.pdf</w:t>
      </w:r>
      <w:r>
        <w:rPr>
          <w:rStyle w:val="Ninguno"/>
          <w:rFonts w:ascii="Arial" w:hAnsi="Arial"/>
          <w:sz w:val="20"/>
          <w:szCs w:val="20"/>
        </w:rPr>
        <w:t>, consultada el 16 de agosto de 2019.</w:t>
      </w:r>
    </w:p>
  </w:footnote>
  <w:footnote w:id="4">
    <w:p w14:paraId="40B2D7AB" w14:textId="77777777" w:rsidR="00CD7861" w:rsidRDefault="00CD7861">
      <w:pPr>
        <w:pStyle w:val="Textonotapie"/>
        <w:jc w:val="both"/>
      </w:pPr>
      <w:r>
        <w:rPr>
          <w:rStyle w:val="Ninguno"/>
          <w:rFonts w:ascii="Arial" w:eastAsia="Arial" w:hAnsi="Arial" w:cs="Arial"/>
          <w:i/>
          <w:iCs/>
          <w:vertAlign w:val="superscript"/>
        </w:rPr>
        <w:footnoteRef/>
      </w:r>
      <w:r>
        <w:rPr>
          <w:rStyle w:val="Ninguno"/>
        </w:rPr>
        <w:t xml:space="preserve"> </w:t>
      </w:r>
      <w:r>
        <w:rPr>
          <w:rStyle w:val="Ninguno"/>
          <w:rFonts w:ascii="Arial" w:hAnsi="Arial"/>
        </w:rPr>
        <w:t xml:space="preserve">La metodología y los resultados de la ENDOSIG pueden revisarse en la página electrónica: </w:t>
      </w:r>
      <w:hyperlink r:id="rId1" w:history="1">
        <w:r>
          <w:rPr>
            <w:rStyle w:val="Hyperlink0"/>
          </w:rPr>
          <w:t>https://www.conapred.org.mx/userfiles/files/ENDOSIG%20141218%20(1).pdf</w:t>
        </w:r>
      </w:hyperlink>
      <w:r>
        <w:rPr>
          <w:rStyle w:val="Ninguno"/>
          <w:rFonts w:ascii="Arial" w:hAnsi="Arial"/>
        </w:rPr>
        <w:t xml:space="preserve"> </w:t>
      </w:r>
    </w:p>
  </w:footnote>
  <w:footnote w:id="5">
    <w:p w14:paraId="28088766" w14:textId="77777777" w:rsidR="00CD7861" w:rsidRDefault="00CD7861">
      <w:pPr>
        <w:pStyle w:val="Textonotapie"/>
        <w:jc w:val="both"/>
      </w:pPr>
      <w:r>
        <w:rPr>
          <w:rStyle w:val="Ninguno"/>
          <w:rFonts w:ascii="Arial" w:eastAsia="Arial" w:hAnsi="Arial" w:cs="Arial"/>
          <w:vertAlign w:val="superscript"/>
        </w:rPr>
        <w:footnoteRef/>
      </w:r>
      <w:r>
        <w:rPr>
          <w:rStyle w:val="Ninguno"/>
          <w:rFonts w:ascii="Arial" w:hAnsi="Arial"/>
        </w:rPr>
        <w:t xml:space="preserve"> Comisión Ejecutiva de Atención a Víctimas (CEAV) y Fundación Arcoíris por el respeto a la diversidad sexual, A.C., 2018.Diagnóstico nacional sobre la discriminación hacia personas LGBTI en México. </w:t>
      </w:r>
    </w:p>
  </w:footnote>
  <w:footnote w:id="6">
    <w:p w14:paraId="6A3F2A72" w14:textId="77777777" w:rsidR="00CD7861" w:rsidRDefault="00CD7861">
      <w:pPr>
        <w:pStyle w:val="Textonotapie"/>
      </w:pPr>
      <w:r>
        <w:rPr>
          <w:rStyle w:val="Ninguno"/>
          <w:rFonts w:ascii="Arial" w:eastAsia="Arial" w:hAnsi="Arial" w:cs="Arial"/>
          <w:vertAlign w:val="superscript"/>
        </w:rPr>
        <w:footnoteRef/>
      </w:r>
      <w:r>
        <w:rPr>
          <w:rStyle w:val="Ninguno"/>
        </w:rPr>
        <w:t xml:space="preserve"> http://www.cndh.org.mx/sites/all/doc/Recomendaciones/generales/RecGral_023.pdf    </w:t>
      </w:r>
    </w:p>
  </w:footnote>
  <w:footnote w:id="7">
    <w:p w14:paraId="144C41D1" w14:textId="77777777" w:rsidR="00CD7861" w:rsidRDefault="00CD7861">
      <w:pPr>
        <w:pStyle w:val="Textonotapie"/>
      </w:pPr>
      <w:r>
        <w:rPr>
          <w:rStyle w:val="Ninguno"/>
          <w:rFonts w:ascii="Arial" w:eastAsia="Arial" w:hAnsi="Arial" w:cs="Arial"/>
          <w:vertAlign w:val="superscript"/>
        </w:rPr>
        <w:footnoteRef/>
      </w:r>
      <w:r>
        <w:rPr>
          <w:rStyle w:val="Ninguno"/>
        </w:rPr>
        <w:t xml:space="preserve"> http://www.cndh.org.mx/sites/all/doc/Recomendaciones/2017/Rec_2017_053.pdf</w:t>
      </w:r>
    </w:p>
  </w:footnote>
  <w:footnote w:id="8">
    <w:p w14:paraId="4C859FB4" w14:textId="77777777" w:rsidR="00CD7861" w:rsidRDefault="00CD7861">
      <w:pPr>
        <w:pStyle w:val="Textonotapie"/>
      </w:pPr>
      <w:r>
        <w:rPr>
          <w:rStyle w:val="Ninguno"/>
          <w:rFonts w:ascii="Arial" w:eastAsia="Arial" w:hAnsi="Arial" w:cs="Arial"/>
          <w:vertAlign w:val="superscript"/>
        </w:rPr>
        <w:footnoteRef/>
      </w:r>
      <w:r>
        <w:rPr>
          <w:rStyle w:val="Ninguno"/>
        </w:rPr>
        <w:t xml:space="preserve"> En los estados de Campeche, Durango, Oaxaca, Jalisco y Zacatecas.</w:t>
      </w:r>
    </w:p>
  </w:footnote>
  <w:footnote w:id="9">
    <w:p w14:paraId="3D4C9FBF" w14:textId="77777777" w:rsidR="00CD7861" w:rsidRDefault="00CD7861">
      <w:pPr>
        <w:pStyle w:val="Textonotapie"/>
        <w:jc w:val="both"/>
      </w:pPr>
      <w:r w:rsidRPr="0091511D">
        <w:rPr>
          <w:rStyle w:val="Refdenotaalpie"/>
        </w:rPr>
        <w:footnoteRef/>
      </w:r>
      <w:r>
        <w:rPr>
          <w:rStyle w:val="Ninguno"/>
        </w:rPr>
        <w:t xml:space="preserve"> </w:t>
      </w:r>
      <w:r w:rsidRPr="0091511D">
        <w:t>Siendo las siguientes: 19/2015, 20/2015, 24/2015, 25/2015, 29/2015, 32/2015, 39/2015, 40/2015, 41/2015, 44/2015, 45/2015, 50/2015, 51/2015, 52/2015, 8/2016, 31/2016, 33/2016, 35/2016, 38/2016, 40/2016, 46/2016, 47/2016, 50/2016, 58/2016, 61/2016, 3/2017, 5/2017 y 6/2017</w:t>
      </w:r>
    </w:p>
  </w:footnote>
  <w:footnote w:id="10">
    <w:p w14:paraId="3F9936AE" w14:textId="77777777" w:rsidR="00CD7861" w:rsidRPr="00BC1BDE" w:rsidRDefault="00CD7861">
      <w:pPr>
        <w:pStyle w:val="Textonotapie"/>
      </w:pPr>
      <w:r>
        <w:rPr>
          <w:rStyle w:val="Refdenotaalpie"/>
        </w:rPr>
        <w:footnoteRef/>
      </w:r>
      <w:r>
        <w:t xml:space="preserve"> </w:t>
      </w:r>
      <w:r w:rsidRPr="00BC1BDE">
        <w:t>http://www.corteidh.or.cr/docs/casos/articulos/seriec_257_esp.pdf</w:t>
      </w:r>
    </w:p>
  </w:footnote>
  <w:footnote w:id="11">
    <w:p w14:paraId="73D3984F" w14:textId="77777777" w:rsidR="00CD7861" w:rsidRDefault="00CD7861">
      <w:pPr>
        <w:pStyle w:val="Textonotapie"/>
      </w:pPr>
      <w:r>
        <w:rPr>
          <w:rStyle w:val="Ninguno"/>
          <w:rFonts w:ascii="Arial" w:eastAsia="Arial" w:hAnsi="Arial" w:cs="Arial"/>
          <w:sz w:val="24"/>
          <w:szCs w:val="24"/>
          <w:vertAlign w:val="superscript"/>
        </w:rPr>
        <w:footnoteRef/>
      </w:r>
      <w:r>
        <w:rPr>
          <w:rStyle w:val="Ninguno"/>
        </w:rPr>
        <w:t xml:space="preserve"> </w:t>
      </w:r>
      <w:hyperlink r:id="rId2" w:history="1">
        <w:r>
          <w:rPr>
            <w:rStyle w:val="Hyperlink1"/>
          </w:rPr>
          <w:t>https://www.cndh.org.mx/documento/recomendacion-por-violaciones-graves-3-vg2015</w:t>
        </w:r>
      </w:hyperlink>
    </w:p>
  </w:footnote>
  <w:footnote w:id="12">
    <w:p w14:paraId="17870C82" w14:textId="77777777" w:rsidR="00CD7861" w:rsidRDefault="00CD7861">
      <w:pPr>
        <w:pStyle w:val="Textonotapie"/>
      </w:pPr>
      <w:r>
        <w:rPr>
          <w:rStyle w:val="Ninguno"/>
          <w:rFonts w:ascii="Arial" w:eastAsia="Arial" w:hAnsi="Arial" w:cs="Arial"/>
          <w:sz w:val="24"/>
          <w:szCs w:val="24"/>
          <w:vertAlign w:val="superscript"/>
        </w:rPr>
        <w:footnoteRef/>
      </w:r>
      <w:r>
        <w:rPr>
          <w:rStyle w:val="Ninguno"/>
        </w:rPr>
        <w:t xml:space="preserve"> </w:t>
      </w:r>
      <w:hyperlink r:id="rId3" w:history="1">
        <w:r>
          <w:rPr>
            <w:rStyle w:val="Hyperlink1"/>
          </w:rPr>
          <w:t>https://www.cndh.org.mx/documento/recomendacion-por-violaciones-graves-4-vg2016</w:t>
        </w:r>
      </w:hyperlink>
    </w:p>
  </w:footnote>
  <w:footnote w:id="13">
    <w:p w14:paraId="32F789CE" w14:textId="77777777" w:rsidR="00CD7861" w:rsidRDefault="00CD7861">
      <w:pPr>
        <w:pStyle w:val="Textonotapie"/>
      </w:pPr>
      <w:r>
        <w:rPr>
          <w:rStyle w:val="Ninguno"/>
          <w:rFonts w:ascii="Arial" w:eastAsia="Arial" w:hAnsi="Arial" w:cs="Arial"/>
          <w:sz w:val="24"/>
          <w:szCs w:val="24"/>
          <w:vertAlign w:val="superscript"/>
        </w:rPr>
        <w:footnoteRef/>
      </w:r>
      <w:r>
        <w:rPr>
          <w:rStyle w:val="Ninguno"/>
        </w:rPr>
        <w:t xml:space="preserve"> </w:t>
      </w:r>
      <w:hyperlink r:id="rId4" w:history="1">
        <w:r>
          <w:rPr>
            <w:rStyle w:val="Hyperlink1"/>
          </w:rPr>
          <w:t>https://www.cndh.org.mx/documento/recomendacion-por-violaciones-graves-5-vg2017</w:t>
        </w:r>
      </w:hyperlink>
    </w:p>
  </w:footnote>
  <w:footnote w:id="14">
    <w:p w14:paraId="5D6E6E9D" w14:textId="77777777" w:rsidR="00CD7861" w:rsidRDefault="00CD7861">
      <w:pPr>
        <w:pStyle w:val="Textonotapie"/>
      </w:pPr>
      <w:r>
        <w:rPr>
          <w:rStyle w:val="Ninguno"/>
          <w:rFonts w:ascii="Arial" w:eastAsia="Arial" w:hAnsi="Arial" w:cs="Arial"/>
          <w:sz w:val="24"/>
          <w:szCs w:val="24"/>
          <w:vertAlign w:val="superscript"/>
        </w:rPr>
        <w:footnoteRef/>
      </w:r>
      <w:r>
        <w:rPr>
          <w:rStyle w:val="Ninguno"/>
        </w:rPr>
        <w:t xml:space="preserve"> </w:t>
      </w:r>
      <w:hyperlink r:id="rId5" w:history="1">
        <w:r>
          <w:rPr>
            <w:rStyle w:val="Hyperlink1"/>
          </w:rPr>
          <w:t>https://www.cndh.org.mx/documento/recomendacion-por-violaciones-graves-6-vg2017</w:t>
        </w:r>
      </w:hyperlink>
    </w:p>
  </w:footnote>
  <w:footnote w:id="15">
    <w:p w14:paraId="70966183" w14:textId="77777777" w:rsidR="00CD7861" w:rsidRDefault="00CD7861">
      <w:pPr>
        <w:pStyle w:val="Textonotapie"/>
      </w:pPr>
      <w:r>
        <w:rPr>
          <w:rStyle w:val="Ninguno"/>
          <w:rFonts w:ascii="Arial" w:eastAsia="Arial" w:hAnsi="Arial" w:cs="Arial"/>
          <w:sz w:val="24"/>
          <w:szCs w:val="24"/>
          <w:vertAlign w:val="superscript"/>
        </w:rPr>
        <w:footnoteRef/>
      </w:r>
      <w:r>
        <w:rPr>
          <w:rStyle w:val="Ninguno"/>
        </w:rPr>
        <w:t xml:space="preserve"> </w:t>
      </w:r>
      <w:hyperlink r:id="rId6" w:history="1">
        <w:r>
          <w:rPr>
            <w:rStyle w:val="Hyperlink1"/>
          </w:rPr>
          <w:t>https://www.cndh.org.mx/documento/recomendacion-por-violaciones-graves-7-vg2017</w:t>
        </w:r>
      </w:hyperlink>
    </w:p>
  </w:footnote>
  <w:footnote w:id="16">
    <w:p w14:paraId="5427CEAF" w14:textId="77777777" w:rsidR="00CD7861" w:rsidRDefault="00CD7861">
      <w:pPr>
        <w:pStyle w:val="Textonotapie"/>
      </w:pPr>
      <w:r>
        <w:rPr>
          <w:rStyle w:val="Ninguno"/>
          <w:rFonts w:ascii="Arial" w:eastAsia="Arial" w:hAnsi="Arial" w:cs="Arial"/>
          <w:sz w:val="24"/>
          <w:szCs w:val="24"/>
          <w:vertAlign w:val="superscript"/>
        </w:rPr>
        <w:footnoteRef/>
      </w:r>
      <w:r>
        <w:rPr>
          <w:rStyle w:val="Ninguno"/>
        </w:rPr>
        <w:t xml:space="preserve"> </w:t>
      </w:r>
      <w:hyperlink r:id="rId7" w:history="1">
        <w:r>
          <w:rPr>
            <w:rStyle w:val="Hyperlink1"/>
          </w:rPr>
          <w:t>https://www.cndh.org.mx/documento/recomendacion-por-violaciones-graves-10-vg2018</w:t>
        </w:r>
      </w:hyperlink>
    </w:p>
  </w:footnote>
  <w:footnote w:id="17">
    <w:p w14:paraId="1630DF3A" w14:textId="77777777" w:rsidR="00CD7861" w:rsidRDefault="00CD7861">
      <w:pPr>
        <w:pStyle w:val="Textonotapie"/>
      </w:pPr>
      <w:r>
        <w:rPr>
          <w:rStyle w:val="Ninguno"/>
          <w:rFonts w:ascii="Arial" w:eastAsia="Arial" w:hAnsi="Arial" w:cs="Arial"/>
          <w:sz w:val="24"/>
          <w:szCs w:val="24"/>
          <w:vertAlign w:val="superscript"/>
        </w:rPr>
        <w:footnoteRef/>
      </w:r>
      <w:r>
        <w:rPr>
          <w:rStyle w:val="Ninguno"/>
        </w:rPr>
        <w:t xml:space="preserve"> </w:t>
      </w:r>
      <w:hyperlink r:id="rId8" w:history="1">
        <w:r>
          <w:rPr>
            <w:rStyle w:val="Hyperlink1"/>
          </w:rPr>
          <w:t>https://www.cndh.org.mx/documento/recomendacion-por-violaciones-graves-11-vg2018</w:t>
        </w:r>
      </w:hyperlink>
    </w:p>
  </w:footnote>
  <w:footnote w:id="18">
    <w:p w14:paraId="6BF06AC4" w14:textId="77777777" w:rsidR="00CD7861" w:rsidRDefault="00CD7861">
      <w:pPr>
        <w:pStyle w:val="Textonotapie"/>
      </w:pPr>
      <w:r>
        <w:rPr>
          <w:rStyle w:val="Ninguno"/>
          <w:rFonts w:ascii="Arial" w:eastAsia="Arial" w:hAnsi="Arial" w:cs="Arial"/>
          <w:sz w:val="24"/>
          <w:szCs w:val="24"/>
          <w:vertAlign w:val="superscript"/>
        </w:rPr>
        <w:footnoteRef/>
      </w:r>
      <w:r>
        <w:rPr>
          <w:rStyle w:val="Ninguno"/>
        </w:rPr>
        <w:t xml:space="preserve"> </w:t>
      </w:r>
      <w:hyperlink r:id="rId9" w:history="1">
        <w:r>
          <w:rPr>
            <w:rStyle w:val="Hyperlink1"/>
          </w:rPr>
          <w:t>https://www.cndh.org.mx/documento/recomendacion-por-violaciones-graves-12-vg2018</w:t>
        </w:r>
      </w:hyperlink>
    </w:p>
  </w:footnote>
  <w:footnote w:id="19">
    <w:p w14:paraId="013CD1F9" w14:textId="77777777" w:rsidR="00CD7861" w:rsidRDefault="00CD7861">
      <w:pPr>
        <w:pStyle w:val="Textonotapie"/>
      </w:pPr>
      <w:r>
        <w:rPr>
          <w:rStyle w:val="Ninguno"/>
          <w:rFonts w:ascii="Arial" w:eastAsia="Arial" w:hAnsi="Arial" w:cs="Arial"/>
          <w:sz w:val="24"/>
          <w:szCs w:val="24"/>
          <w:vertAlign w:val="superscript"/>
        </w:rPr>
        <w:footnoteRef/>
      </w:r>
      <w:r>
        <w:rPr>
          <w:rStyle w:val="Ninguno"/>
        </w:rPr>
        <w:t xml:space="preserve"> </w:t>
      </w:r>
      <w:hyperlink r:id="rId10" w:history="1">
        <w:r>
          <w:rPr>
            <w:rStyle w:val="Hyperlink1"/>
          </w:rPr>
          <w:t>https://www.cndh.org.mx/documento/recomendacion-por-violaciones-graves-13-vg2018</w:t>
        </w:r>
      </w:hyperlink>
    </w:p>
  </w:footnote>
  <w:footnote w:id="20">
    <w:p w14:paraId="154FFF2C" w14:textId="77777777" w:rsidR="00CD7861" w:rsidRDefault="00CD7861">
      <w:pPr>
        <w:pStyle w:val="Textonotapie"/>
      </w:pPr>
      <w:r>
        <w:rPr>
          <w:rStyle w:val="Ninguno"/>
          <w:rFonts w:ascii="Arial" w:eastAsia="Arial" w:hAnsi="Arial" w:cs="Arial"/>
          <w:sz w:val="24"/>
          <w:szCs w:val="24"/>
          <w:vertAlign w:val="superscript"/>
        </w:rPr>
        <w:footnoteRef/>
      </w:r>
      <w:r>
        <w:rPr>
          <w:rStyle w:val="Ninguno"/>
        </w:rPr>
        <w:t xml:space="preserve"> </w:t>
      </w:r>
      <w:hyperlink r:id="rId11" w:history="1">
        <w:r>
          <w:rPr>
            <w:rStyle w:val="Hyperlink1"/>
          </w:rPr>
          <w:t>https://www.cndh.org.mx/documento/recomendacion-por-violaciones-graves-16-vg2018</w:t>
        </w:r>
      </w:hyperlink>
    </w:p>
  </w:footnote>
  <w:footnote w:id="21">
    <w:p w14:paraId="38FCF9ED" w14:textId="77777777" w:rsidR="00CD7861" w:rsidRDefault="00CD7861">
      <w:pPr>
        <w:pStyle w:val="Textonotapie"/>
      </w:pPr>
      <w:r>
        <w:rPr>
          <w:rStyle w:val="Ninguno"/>
          <w:rFonts w:ascii="Arial" w:eastAsia="Arial" w:hAnsi="Arial" w:cs="Arial"/>
          <w:sz w:val="24"/>
          <w:szCs w:val="24"/>
          <w:vertAlign w:val="superscript"/>
        </w:rPr>
        <w:footnoteRef/>
      </w:r>
      <w:r>
        <w:rPr>
          <w:rStyle w:val="Ninguno"/>
        </w:rPr>
        <w:t xml:space="preserve"> </w:t>
      </w:r>
      <w:hyperlink r:id="rId12" w:history="1">
        <w:r>
          <w:rPr>
            <w:rStyle w:val="Hyperlink1"/>
          </w:rPr>
          <w:t>https://www.cndh.org.mx/documento/recomendacion-por-violaciones-graves-18-vg2018</w:t>
        </w:r>
      </w:hyperlink>
    </w:p>
  </w:footnote>
  <w:footnote w:id="22">
    <w:p w14:paraId="5C0CCE41" w14:textId="77777777" w:rsidR="00CD7861" w:rsidRDefault="00CD7861">
      <w:pPr>
        <w:pStyle w:val="Textonotapie"/>
      </w:pPr>
      <w:r>
        <w:rPr>
          <w:rStyle w:val="Ninguno"/>
          <w:rFonts w:ascii="Arial" w:eastAsia="Arial" w:hAnsi="Arial" w:cs="Arial"/>
          <w:sz w:val="24"/>
          <w:szCs w:val="24"/>
          <w:vertAlign w:val="superscript"/>
        </w:rPr>
        <w:footnoteRef/>
      </w:r>
      <w:r>
        <w:rPr>
          <w:rStyle w:val="Ninguno"/>
        </w:rPr>
        <w:t xml:space="preserve"> </w:t>
      </w:r>
      <w:hyperlink r:id="rId13" w:history="1">
        <w:r>
          <w:rPr>
            <w:rStyle w:val="Hyperlink1"/>
          </w:rPr>
          <w:t>https://www.cndh.org.mx/documento/recomendacion-por-violaciones-graves-20-vg2019</w:t>
        </w:r>
      </w:hyperlink>
    </w:p>
  </w:footnote>
  <w:footnote w:id="23">
    <w:p w14:paraId="72516AFA" w14:textId="77777777" w:rsidR="00CD7861" w:rsidRDefault="00CD7861">
      <w:pPr>
        <w:pStyle w:val="Textonotapie"/>
      </w:pPr>
      <w:r>
        <w:rPr>
          <w:rStyle w:val="Ninguno"/>
          <w:rFonts w:ascii="Arial" w:eastAsia="Arial" w:hAnsi="Arial" w:cs="Arial"/>
          <w:sz w:val="24"/>
          <w:szCs w:val="24"/>
          <w:vertAlign w:val="superscript"/>
        </w:rPr>
        <w:footnoteRef/>
      </w:r>
      <w:r>
        <w:rPr>
          <w:rStyle w:val="Ninguno"/>
        </w:rPr>
        <w:t xml:space="preserve"> </w:t>
      </w:r>
      <w:hyperlink r:id="rId14" w:history="1">
        <w:r>
          <w:rPr>
            <w:rStyle w:val="Hyperlink1"/>
          </w:rPr>
          <w:t>https://www.cndh.org.mx/documento/recomendacion-por-violaciones-graves-21-vg2019</w:t>
        </w:r>
      </w:hyperlink>
    </w:p>
  </w:footnote>
  <w:footnote w:id="24">
    <w:p w14:paraId="3881F115" w14:textId="77777777" w:rsidR="00CD7861" w:rsidRDefault="00CD7861">
      <w:pPr>
        <w:pStyle w:val="Textonotapie"/>
      </w:pPr>
      <w:r>
        <w:rPr>
          <w:rStyle w:val="Ninguno"/>
          <w:rFonts w:ascii="Arial" w:eastAsia="Arial" w:hAnsi="Arial" w:cs="Arial"/>
          <w:sz w:val="24"/>
          <w:szCs w:val="24"/>
          <w:vertAlign w:val="superscript"/>
        </w:rPr>
        <w:footnoteRef/>
      </w:r>
      <w:r>
        <w:rPr>
          <w:rStyle w:val="Ninguno"/>
        </w:rPr>
        <w:t xml:space="preserve"> https://www.cndh.org.mx/documento/recomendacion-por-violaciones-graves-22-vg2019</w:t>
      </w:r>
    </w:p>
  </w:footnote>
  <w:footnote w:id="25">
    <w:p w14:paraId="6C0A7AA2" w14:textId="77777777" w:rsidR="00CD7861" w:rsidRDefault="00CD7861">
      <w:pPr>
        <w:pStyle w:val="Textonotapie"/>
      </w:pPr>
      <w:r w:rsidRPr="00DE0F21">
        <w:rPr>
          <w:rStyle w:val="Ninguno"/>
          <w:rFonts w:ascii="Arial" w:eastAsia="Arial" w:hAnsi="Arial" w:cs="Arial"/>
          <w:sz w:val="24"/>
          <w:szCs w:val="24"/>
          <w:vertAlign w:val="superscript"/>
        </w:rPr>
        <w:footnoteRef/>
      </w:r>
      <w:bookmarkStart w:id="0" w:name="_GoBack"/>
      <w:bookmarkEnd w:id="0"/>
      <w:r w:rsidRPr="00DE0F21">
        <w:rPr>
          <w:rStyle w:val="Ninguno"/>
          <w:rFonts w:ascii="Arial" w:eastAsia="Arial" w:hAnsi="Arial" w:cs="Arial"/>
          <w:sz w:val="24"/>
          <w:szCs w:val="24"/>
          <w:vertAlign w:val="superscript"/>
        </w:rPr>
        <w:t xml:space="preserve"> </w:t>
      </w:r>
      <w:r>
        <w:rPr>
          <w:rStyle w:val="Ninguno"/>
        </w:rPr>
        <w:t>https://actualidad.rt.com/actualidad/289259-mexico-460000-ninos-reclutados-narcotrafico</w:t>
      </w:r>
    </w:p>
  </w:footnote>
  <w:footnote w:id="26">
    <w:p w14:paraId="690F880B" w14:textId="77777777" w:rsidR="00CD7861" w:rsidRDefault="00CD7861">
      <w:pPr>
        <w:pStyle w:val="Textonotapie"/>
      </w:pPr>
      <w:r w:rsidRPr="00DE0F21">
        <w:rPr>
          <w:rStyle w:val="Ninguno"/>
          <w:rFonts w:ascii="Arial" w:eastAsia="Arial" w:hAnsi="Arial" w:cs="Arial"/>
          <w:sz w:val="24"/>
          <w:szCs w:val="24"/>
          <w:vertAlign w:val="superscript"/>
        </w:rPr>
        <w:footnoteRef/>
      </w:r>
      <w:r w:rsidRPr="00DE0F21">
        <w:rPr>
          <w:rStyle w:val="Ninguno"/>
          <w:rFonts w:ascii="Arial" w:eastAsia="Arial" w:hAnsi="Arial" w:cs="Arial"/>
          <w:sz w:val="24"/>
          <w:szCs w:val="24"/>
          <w:vertAlign w:val="superscript"/>
        </w:rPr>
        <w:t xml:space="preserve"> </w:t>
      </w:r>
      <w:r>
        <w:rPr>
          <w:rStyle w:val="Ninguno"/>
        </w:rPr>
        <w:t>https://www.informador.mx/mexico/La-Sedena-detiene-a-cinco-mil-ninos-durante-guerra-contra-el-narco-en-Mexico-20190905-0080.html</w:t>
      </w:r>
    </w:p>
  </w:footnote>
  <w:footnote w:id="27">
    <w:p w14:paraId="13E2FD1E" w14:textId="77777777" w:rsidR="00CD7861" w:rsidRDefault="00CD7861">
      <w:pPr>
        <w:pStyle w:val="Textonotapie"/>
      </w:pPr>
      <w:r>
        <w:rPr>
          <w:rStyle w:val="Ninguno"/>
          <w:rFonts w:ascii="Arial" w:eastAsia="Arial" w:hAnsi="Arial" w:cs="Arial"/>
          <w:sz w:val="24"/>
          <w:szCs w:val="24"/>
          <w:vertAlign w:val="superscript"/>
        </w:rPr>
        <w:footnoteRef/>
      </w:r>
      <w:r>
        <w:rPr>
          <w:rStyle w:val="Ninguno"/>
        </w:rPr>
        <w:t xml:space="preserve"> www.cndh.org.mx/documento/propone-cndh-al-senado-de-la-republica-que-para-prevenir-atender-y-eliminar-la-violencia</w:t>
      </w:r>
    </w:p>
  </w:footnote>
  <w:footnote w:id="28">
    <w:p w14:paraId="061529B0" w14:textId="77777777" w:rsidR="00CD7861" w:rsidRDefault="00CD7861">
      <w:pPr>
        <w:pStyle w:val="Textonotapie"/>
      </w:pPr>
      <w:r>
        <w:rPr>
          <w:rStyle w:val="Ninguno"/>
          <w:rFonts w:ascii="Arial" w:eastAsia="Arial" w:hAnsi="Arial" w:cs="Arial"/>
          <w:sz w:val="24"/>
          <w:szCs w:val="24"/>
          <w:vertAlign w:val="superscript"/>
        </w:rPr>
        <w:footnoteRef/>
      </w:r>
      <w:r>
        <w:rPr>
          <w:rStyle w:val="Ninguno"/>
        </w:rPr>
        <w:t xml:space="preserve"> www.cndh.org.mx/index.php/documento/alerta-cndh-sobre-la-situacion-de-vulnerabilidad-en-que-se-encuentran-ninas-ninos-</w:t>
      </w:r>
    </w:p>
  </w:footnote>
  <w:footnote w:id="29">
    <w:p w14:paraId="74ED0AD8" w14:textId="77777777" w:rsidR="00CD7861" w:rsidRDefault="00CD7861">
      <w:pPr>
        <w:pStyle w:val="Textonotapie"/>
      </w:pPr>
      <w:r>
        <w:rPr>
          <w:rStyle w:val="Ninguno"/>
          <w:rFonts w:ascii="Arial" w:eastAsia="Arial" w:hAnsi="Arial" w:cs="Arial"/>
          <w:sz w:val="24"/>
          <w:szCs w:val="24"/>
          <w:vertAlign w:val="superscript"/>
        </w:rPr>
        <w:footnoteRef/>
      </w:r>
      <w:r>
        <w:rPr>
          <w:rStyle w:val="Ninguno"/>
        </w:rPr>
        <w:t xml:space="preserve"> www.cndh.org.mx/documento/urge-ombudsman-nacional-reconocer-la-violencia-contra-ninez-y-adolescencia-como-problema</w:t>
      </w:r>
    </w:p>
  </w:footnote>
  <w:footnote w:id="30">
    <w:p w14:paraId="44C5EC5E" w14:textId="77777777" w:rsidR="00CD7861" w:rsidRDefault="00CD7861">
      <w:pPr>
        <w:pStyle w:val="Textonotapie"/>
      </w:pPr>
      <w:r>
        <w:rPr>
          <w:rStyle w:val="Ninguno"/>
          <w:rFonts w:ascii="Arial" w:eastAsia="Arial" w:hAnsi="Arial" w:cs="Arial"/>
          <w:sz w:val="24"/>
          <w:szCs w:val="24"/>
          <w:vertAlign w:val="superscript"/>
        </w:rPr>
        <w:footnoteRef/>
      </w:r>
      <w:r>
        <w:rPr>
          <w:rStyle w:val="Ninguno"/>
        </w:rPr>
        <w:t xml:space="preserve"> https://www.cndh.org.mx/sites/default/files/documentos/2019-01/Rec_2018_086.pdf</w:t>
      </w:r>
    </w:p>
  </w:footnote>
  <w:footnote w:id="31">
    <w:p w14:paraId="78099B33" w14:textId="54069911" w:rsidR="00CD7861" w:rsidRDefault="00CD7861">
      <w:pPr>
        <w:pStyle w:val="Textonotapie"/>
      </w:pPr>
      <w:r>
        <w:rPr>
          <w:rStyle w:val="Ninguno"/>
          <w:rFonts w:ascii="Arial" w:eastAsia="Arial" w:hAnsi="Arial" w:cs="Arial"/>
          <w:i/>
          <w:iCs/>
          <w:vertAlign w:val="superscript"/>
        </w:rPr>
        <w:footnoteRef/>
      </w:r>
      <w:r>
        <w:rPr>
          <w:rStyle w:val="Ninguno"/>
        </w:rPr>
        <w:t xml:space="preserve"> </w:t>
      </w:r>
      <w:r w:rsidR="00DE0F21">
        <w:rPr>
          <w:rStyle w:val="Ninguno"/>
        </w:rPr>
        <w:t>L</w:t>
      </w:r>
      <w:r>
        <w:rPr>
          <w:rStyle w:val="Ninguno"/>
          <w:sz w:val="16"/>
          <w:szCs w:val="16"/>
        </w:rPr>
        <w:t>a problemática de niñas, niños y adolescentes centroamericanos en contexto de migración internacional no acompañados en su tránsito por México y con necesidades de protección internacional. 2016. CNDH. México. Pág. 19.</w:t>
      </w:r>
    </w:p>
  </w:footnote>
  <w:footnote w:id="32">
    <w:p w14:paraId="2393F78E" w14:textId="77777777" w:rsidR="00CD7861" w:rsidRDefault="00CD7861">
      <w:pPr>
        <w:pStyle w:val="Textonotapie"/>
      </w:pPr>
      <w:r w:rsidRPr="00DE0F21">
        <w:rPr>
          <w:rStyle w:val="Ninguno"/>
          <w:rFonts w:ascii="Arial" w:eastAsia="Arial" w:hAnsi="Arial" w:cs="Arial"/>
          <w:sz w:val="24"/>
          <w:szCs w:val="24"/>
          <w:vertAlign w:val="superscript"/>
        </w:rPr>
        <w:footnoteRef/>
      </w:r>
      <w:r w:rsidRPr="00DE0F21">
        <w:rPr>
          <w:rStyle w:val="Ninguno"/>
          <w:rFonts w:ascii="Arial" w:eastAsia="Arial" w:hAnsi="Arial" w:cs="Arial"/>
          <w:sz w:val="24"/>
          <w:szCs w:val="24"/>
          <w:vertAlign w:val="superscript"/>
        </w:rPr>
        <w:t xml:space="preserve"> </w:t>
      </w:r>
      <w:r w:rsidRPr="00DE0F21">
        <w:rPr>
          <w:rStyle w:val="Ninguno"/>
        </w:rPr>
        <w:t>h</w:t>
      </w:r>
      <w:r>
        <w:rPr>
          <w:rStyle w:val="Ninguno"/>
        </w:rPr>
        <w:t>ttps://www.cndh.org.mx/sites/all/doc/sistemas/DNSP/DNSP_2018.pdf</w:t>
      </w:r>
    </w:p>
  </w:footnote>
  <w:footnote w:id="33">
    <w:p w14:paraId="7E8CB828" w14:textId="77777777" w:rsidR="00CD7861" w:rsidRDefault="00CD7861">
      <w:pPr>
        <w:pStyle w:val="Textonotapie"/>
        <w:jc w:val="both"/>
      </w:pPr>
      <w:r>
        <w:rPr>
          <w:rStyle w:val="Ninguno"/>
          <w:rFonts w:ascii="Arial" w:eastAsia="Arial" w:hAnsi="Arial" w:cs="Arial"/>
          <w:sz w:val="24"/>
          <w:szCs w:val="24"/>
          <w:vertAlign w:val="superscript"/>
        </w:rPr>
        <w:footnoteRef/>
      </w:r>
      <w:r>
        <w:rPr>
          <w:rStyle w:val="Ninguno"/>
        </w:rPr>
        <w:t xml:space="preserve"> Comisión Nacional de los Derechos Humanos. Comunicado de Prensa DGC/120/17. </w:t>
      </w:r>
      <w:hyperlink r:id="rId15" w:history="1">
        <w:r>
          <w:rPr>
            <w:rStyle w:val="Hyperlink5"/>
          </w:rPr>
          <w:t>http://www.cndh.org.mx/sites/all/doc/Comunicados/2017/Com_2017_120.pdf</w:t>
        </w:r>
      </w:hyperlink>
      <w:r>
        <w:rPr>
          <w:rStyle w:val="Ninguno"/>
        </w:rPr>
        <w:t xml:space="preserve"> 16 de abril de 2017. </w:t>
      </w:r>
    </w:p>
  </w:footnote>
  <w:footnote w:id="34">
    <w:p w14:paraId="7781D1DC" w14:textId="77777777" w:rsidR="00CD7861" w:rsidRDefault="00CD7861">
      <w:pPr>
        <w:pStyle w:val="Textonotapie"/>
      </w:pPr>
      <w:r>
        <w:rPr>
          <w:rStyle w:val="Ninguno"/>
          <w:rFonts w:ascii="Arial" w:eastAsia="Arial" w:hAnsi="Arial" w:cs="Arial"/>
          <w:vertAlign w:val="superscript"/>
        </w:rPr>
        <w:footnoteRef/>
      </w:r>
      <w:r>
        <w:rPr>
          <w:rStyle w:val="Ninguno"/>
          <w:sz w:val="18"/>
          <w:szCs w:val="18"/>
        </w:rPr>
        <w:t xml:space="preserve"> Recomendaciones 18/2015, 43/2016, 4/2018 y 50/2018.   </w:t>
      </w:r>
    </w:p>
  </w:footnote>
  <w:footnote w:id="35">
    <w:p w14:paraId="4A5CE486" w14:textId="77777777" w:rsidR="00CD7861" w:rsidRDefault="00CD7861">
      <w:pPr>
        <w:pStyle w:val="Textonotapie"/>
      </w:pPr>
      <w:r>
        <w:rPr>
          <w:rStyle w:val="Ninguno"/>
          <w:rFonts w:ascii="Arial" w:eastAsia="Arial" w:hAnsi="Arial" w:cs="Arial"/>
          <w:vertAlign w:val="superscript"/>
        </w:rPr>
        <w:footnoteRef/>
      </w:r>
      <w:r>
        <w:rPr>
          <w:rStyle w:val="Ninguno"/>
          <w:sz w:val="18"/>
          <w:szCs w:val="18"/>
        </w:rPr>
        <w:t xml:space="preserve"> Recomendaciones 46/2014, 13/2015, 19/2016, 72/2017, 88/2018, 89/2018 y 91/2018</w:t>
      </w:r>
    </w:p>
  </w:footnote>
  <w:footnote w:id="36">
    <w:p w14:paraId="43C4256F" w14:textId="77777777" w:rsidR="00CD7767" w:rsidRPr="00B63EAE" w:rsidRDefault="00CD7767">
      <w:pPr>
        <w:pStyle w:val="Textonotapie"/>
      </w:pPr>
      <w:r>
        <w:rPr>
          <w:rStyle w:val="Refdenotaalpie"/>
        </w:rPr>
        <w:footnoteRef/>
      </w:r>
      <w:r>
        <w:t xml:space="preserve"> </w:t>
      </w:r>
      <w:r w:rsidR="00B63EAE" w:rsidRPr="00B63EAE">
        <w:t>https://www.cndh.org.mx/sites/all/doc/Recomendaciones/2009/Rec_2009_049.pdf</w:t>
      </w:r>
    </w:p>
  </w:footnote>
  <w:footnote w:id="37">
    <w:p w14:paraId="68B7CF67" w14:textId="77777777" w:rsidR="00CD7861" w:rsidRDefault="00CD7861">
      <w:pPr>
        <w:pStyle w:val="Textonotapie"/>
      </w:pPr>
      <w:r w:rsidRPr="00333DCC">
        <w:rPr>
          <w:rStyle w:val="Refdenotaalpie"/>
        </w:rPr>
        <w:footnoteRef/>
      </w:r>
      <w:r>
        <w:rPr>
          <w:rStyle w:val="Ninguno"/>
        </w:rPr>
        <w:t xml:space="preserve"> https://www.cndh.org.mx/comunicado/1699/comunicado-3762017</w:t>
      </w:r>
    </w:p>
  </w:footnote>
  <w:footnote w:id="38">
    <w:p w14:paraId="6E9CA3BE" w14:textId="77777777" w:rsidR="00CD7861" w:rsidRDefault="00CD7861">
      <w:pPr>
        <w:pStyle w:val="Textonotapie"/>
      </w:pPr>
      <w:r w:rsidRPr="00333DCC">
        <w:rPr>
          <w:rStyle w:val="Refdenotaalpie"/>
        </w:rPr>
        <w:footnoteRef/>
      </w:r>
      <w:r w:rsidRPr="00333DCC">
        <w:rPr>
          <w:rStyle w:val="Refdenotaalpie"/>
        </w:rPr>
        <w:t xml:space="preserve"> </w:t>
      </w:r>
      <w:r>
        <w:rPr>
          <w:rStyle w:val="Ninguno"/>
        </w:rPr>
        <w:t>www.cndh.org.mx/sites/all/doc/Recomendaciones/generales/RecGral_027.pdf</w:t>
      </w:r>
    </w:p>
  </w:footnote>
  <w:footnote w:id="39">
    <w:p w14:paraId="0A429D7F" w14:textId="77777777" w:rsidR="00CD7861" w:rsidRDefault="00CD7861">
      <w:pPr>
        <w:pStyle w:val="Textonotapie"/>
      </w:pPr>
      <w:r w:rsidRPr="00333DCC">
        <w:rPr>
          <w:rStyle w:val="Refdenotaalpie"/>
        </w:rPr>
        <w:footnoteRef/>
      </w:r>
      <w:r w:rsidRPr="00333DCC">
        <w:rPr>
          <w:rStyle w:val="Refdenotaalpie"/>
        </w:rPr>
        <w:t xml:space="preserve"> </w:t>
      </w:r>
      <w:r>
        <w:rPr>
          <w:rStyle w:val="Ninguno"/>
        </w:rPr>
        <w:t>www.cndh.org.mx/sites/all/doc/Recomendaciones/2018/Rec_2018_003.</w:t>
      </w:r>
    </w:p>
  </w:footnote>
  <w:footnote w:id="40">
    <w:p w14:paraId="38A0D326" w14:textId="77777777" w:rsidR="00CD7861" w:rsidRDefault="00CD7861">
      <w:pPr>
        <w:pStyle w:val="Textonotapie"/>
      </w:pPr>
      <w:r w:rsidRPr="00333DCC">
        <w:rPr>
          <w:rStyle w:val="Refdenotaalpie"/>
        </w:rPr>
        <w:footnoteRef/>
      </w:r>
      <w:r>
        <w:rPr>
          <w:rStyle w:val="Ninguno"/>
        </w:rPr>
        <w:t xml:space="preserve"> http://www.cndh.org.mx/sites/all/doc/Recomendaciones/2018/Rec_2018_017.pdf</w:t>
      </w:r>
    </w:p>
  </w:footnote>
  <w:footnote w:id="41">
    <w:p w14:paraId="0CD1339F" w14:textId="77777777" w:rsidR="00CD7861" w:rsidRDefault="00CD7861">
      <w:pPr>
        <w:pStyle w:val="Textonotapie"/>
      </w:pPr>
      <w:r w:rsidRPr="00333DCC">
        <w:rPr>
          <w:rStyle w:val="Refdenotaalpie"/>
        </w:rPr>
        <w:footnoteRef/>
      </w:r>
      <w:r>
        <w:rPr>
          <w:rStyle w:val="Ninguno"/>
        </w:rPr>
        <w:t xml:space="preserve"> http://www.cndh.org.mx/sites/all/doc/Comunicados/2019/Com_2019_162.pdf</w:t>
      </w:r>
    </w:p>
  </w:footnote>
  <w:footnote w:id="42">
    <w:p w14:paraId="50B613EE" w14:textId="77777777" w:rsidR="00CD7861" w:rsidRDefault="00CD7861">
      <w:pPr>
        <w:pStyle w:val="Textonotapie"/>
      </w:pPr>
      <w:r w:rsidRPr="00333DCC">
        <w:rPr>
          <w:rStyle w:val="Refdenotaalpie"/>
        </w:rPr>
        <w:footnoteRef/>
      </w:r>
      <w:r w:rsidRPr="00087B04">
        <w:rPr>
          <w:rStyle w:val="Ninguno"/>
          <w:rFonts w:ascii="Arial" w:eastAsia="Arial" w:hAnsi="Arial" w:cs="Arial"/>
          <w:sz w:val="24"/>
          <w:szCs w:val="24"/>
          <w:vertAlign w:val="superscript"/>
        </w:rPr>
        <w:t xml:space="preserve"> </w:t>
      </w:r>
      <w:r>
        <w:rPr>
          <w:rStyle w:val="Ninguno"/>
        </w:rPr>
        <w:t>http://unsr.vtaulicorpuz.org/site/images/docs/special/2019-nota-tecnica-consulta-previa-mexico.pdf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542E9"/>
    <w:multiLevelType w:val="hybridMultilevel"/>
    <w:tmpl w:val="6C78B134"/>
    <w:styleLink w:val="Estiloimportado12"/>
    <w:lvl w:ilvl="0" w:tplc="C0E0DA2A">
      <w:start w:val="1"/>
      <w:numFmt w:val="bullet"/>
      <w:lvlText w:val="·"/>
      <w:lvlJc w:val="left"/>
      <w:pPr>
        <w:ind w:left="213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5CAFE10">
      <w:start w:val="1"/>
      <w:numFmt w:val="bullet"/>
      <w:lvlText w:val="o"/>
      <w:lvlJc w:val="left"/>
      <w:pPr>
        <w:ind w:left="285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D18A0C6">
      <w:start w:val="1"/>
      <w:numFmt w:val="bullet"/>
      <w:lvlText w:val="▪"/>
      <w:lvlJc w:val="left"/>
      <w:pPr>
        <w:ind w:left="357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66CD9B0">
      <w:start w:val="1"/>
      <w:numFmt w:val="bullet"/>
      <w:lvlText w:val="·"/>
      <w:lvlJc w:val="left"/>
      <w:pPr>
        <w:ind w:left="429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FD22250">
      <w:start w:val="1"/>
      <w:numFmt w:val="bullet"/>
      <w:lvlText w:val="o"/>
      <w:lvlJc w:val="left"/>
      <w:pPr>
        <w:ind w:left="501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1EC1C9E">
      <w:start w:val="1"/>
      <w:numFmt w:val="bullet"/>
      <w:lvlText w:val="▪"/>
      <w:lvlJc w:val="left"/>
      <w:pPr>
        <w:ind w:left="573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C4E251C">
      <w:start w:val="1"/>
      <w:numFmt w:val="bullet"/>
      <w:lvlText w:val="·"/>
      <w:lvlJc w:val="left"/>
      <w:pPr>
        <w:ind w:left="645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C046C30">
      <w:start w:val="1"/>
      <w:numFmt w:val="bullet"/>
      <w:lvlText w:val="o"/>
      <w:lvlJc w:val="left"/>
      <w:pPr>
        <w:ind w:left="717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BFA5E50">
      <w:start w:val="1"/>
      <w:numFmt w:val="bullet"/>
      <w:lvlText w:val="▪"/>
      <w:lvlJc w:val="left"/>
      <w:pPr>
        <w:ind w:left="789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5827485"/>
    <w:multiLevelType w:val="hybridMultilevel"/>
    <w:tmpl w:val="2B76C9F0"/>
    <w:numStyleLink w:val="Estiloimportado51"/>
  </w:abstractNum>
  <w:abstractNum w:abstractNumId="2" w15:restartNumberingAfterBreak="0">
    <w:nsid w:val="06B0344C"/>
    <w:multiLevelType w:val="hybridMultilevel"/>
    <w:tmpl w:val="00889960"/>
    <w:styleLink w:val="Estiloimportado9"/>
    <w:lvl w:ilvl="0" w:tplc="97A2A29A">
      <w:start w:val="1"/>
      <w:numFmt w:val="upperLetter"/>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76EE3E6">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5F00266">
      <w:start w:val="1"/>
      <w:numFmt w:val="lowerRoman"/>
      <w:lvlText w:val="%3."/>
      <w:lvlJc w:val="left"/>
      <w:pPr>
        <w:ind w:left="252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79A29FBC">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7600C0E">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D04E35E">
      <w:start w:val="1"/>
      <w:numFmt w:val="lowerRoman"/>
      <w:lvlText w:val="%6."/>
      <w:lvlJc w:val="left"/>
      <w:pPr>
        <w:ind w:left="468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0F1A9FB2">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2463C26">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6F868B0">
      <w:start w:val="1"/>
      <w:numFmt w:val="lowerRoman"/>
      <w:lvlText w:val="%9."/>
      <w:lvlJc w:val="left"/>
      <w:pPr>
        <w:ind w:left="684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6F042D6"/>
    <w:multiLevelType w:val="hybridMultilevel"/>
    <w:tmpl w:val="CB2A8ADA"/>
    <w:numStyleLink w:val="Estiloimportado55"/>
  </w:abstractNum>
  <w:abstractNum w:abstractNumId="4" w15:restartNumberingAfterBreak="0">
    <w:nsid w:val="087D4391"/>
    <w:multiLevelType w:val="hybridMultilevel"/>
    <w:tmpl w:val="5CCEAD54"/>
    <w:numStyleLink w:val="Estiloimportado7"/>
  </w:abstractNum>
  <w:abstractNum w:abstractNumId="5" w15:restartNumberingAfterBreak="0">
    <w:nsid w:val="08DD3D8F"/>
    <w:multiLevelType w:val="hybridMultilevel"/>
    <w:tmpl w:val="A1B04598"/>
    <w:styleLink w:val="Estiloimportado25"/>
    <w:lvl w:ilvl="0" w:tplc="2C5C2386">
      <w:start w:val="1"/>
      <w:numFmt w:val="upperLetter"/>
      <w:lvlText w:val="%1."/>
      <w:lvlJc w:val="left"/>
      <w:pPr>
        <w:ind w:left="1068"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F64C9DE">
      <w:start w:val="1"/>
      <w:numFmt w:val="lowerLetter"/>
      <w:lvlText w:val="%2."/>
      <w:lvlJc w:val="left"/>
      <w:pPr>
        <w:ind w:left="1788"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188E1C4">
      <w:start w:val="1"/>
      <w:numFmt w:val="lowerRoman"/>
      <w:lvlText w:val="%3."/>
      <w:lvlJc w:val="left"/>
      <w:pPr>
        <w:ind w:left="2508"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BF4ECC36">
      <w:start w:val="1"/>
      <w:numFmt w:val="decimal"/>
      <w:lvlText w:val="%4."/>
      <w:lvlJc w:val="left"/>
      <w:pPr>
        <w:ind w:left="3228"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350888A">
      <w:start w:val="1"/>
      <w:numFmt w:val="lowerLetter"/>
      <w:lvlText w:val="%5."/>
      <w:lvlJc w:val="left"/>
      <w:pPr>
        <w:ind w:left="3948"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088F374">
      <w:start w:val="1"/>
      <w:numFmt w:val="lowerRoman"/>
      <w:lvlText w:val="%6."/>
      <w:lvlJc w:val="left"/>
      <w:pPr>
        <w:ind w:left="4668"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5DCE3A46">
      <w:start w:val="1"/>
      <w:numFmt w:val="decimal"/>
      <w:lvlText w:val="%7."/>
      <w:lvlJc w:val="left"/>
      <w:pPr>
        <w:ind w:left="5388"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518ABFE">
      <w:start w:val="1"/>
      <w:numFmt w:val="lowerLetter"/>
      <w:lvlText w:val="%8."/>
      <w:lvlJc w:val="left"/>
      <w:pPr>
        <w:ind w:left="6108"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66CEF72">
      <w:start w:val="1"/>
      <w:numFmt w:val="lowerRoman"/>
      <w:lvlText w:val="%9."/>
      <w:lvlJc w:val="left"/>
      <w:pPr>
        <w:ind w:left="6828"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092574AE"/>
    <w:multiLevelType w:val="hybridMultilevel"/>
    <w:tmpl w:val="07301728"/>
    <w:styleLink w:val="Estiloimportado62"/>
    <w:lvl w:ilvl="0" w:tplc="D8166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E98174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AF0A1E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4C2A6B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C18BD9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452891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0A4E40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9D64AF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C0EF57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0B3C2AA8"/>
    <w:multiLevelType w:val="hybridMultilevel"/>
    <w:tmpl w:val="7ACEC064"/>
    <w:numStyleLink w:val="Estiloimportado27"/>
  </w:abstractNum>
  <w:abstractNum w:abstractNumId="8" w15:restartNumberingAfterBreak="0">
    <w:nsid w:val="0B6550BC"/>
    <w:multiLevelType w:val="hybridMultilevel"/>
    <w:tmpl w:val="2B76C9F0"/>
    <w:styleLink w:val="Estiloimportado51"/>
    <w:lvl w:ilvl="0" w:tplc="939C438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A10BC6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C92342C">
      <w:start w:val="1"/>
      <w:numFmt w:val="lowerRoman"/>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EFDA15F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6B23E7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640EEC0">
      <w:start w:val="1"/>
      <w:numFmt w:val="lowerRoman"/>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C5D86D6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0649F5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7185D94">
      <w:start w:val="1"/>
      <w:numFmt w:val="lowerRoman"/>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0B6C5B9C"/>
    <w:multiLevelType w:val="hybridMultilevel"/>
    <w:tmpl w:val="6A7804B8"/>
    <w:styleLink w:val="Estiloimportado70"/>
    <w:lvl w:ilvl="0" w:tplc="5C42A1C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B30113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73A18B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82CCED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ACA6AF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E94F18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4AA89C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EACF3C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C20C87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0D797BD9"/>
    <w:multiLevelType w:val="hybridMultilevel"/>
    <w:tmpl w:val="A5EE11E4"/>
    <w:numStyleLink w:val="Estiloimportado65"/>
  </w:abstractNum>
  <w:abstractNum w:abstractNumId="11" w15:restartNumberingAfterBreak="0">
    <w:nsid w:val="0EBB6037"/>
    <w:multiLevelType w:val="hybridMultilevel"/>
    <w:tmpl w:val="BE5A05F0"/>
    <w:numStyleLink w:val="Estiloimportado20"/>
  </w:abstractNum>
  <w:abstractNum w:abstractNumId="12" w15:restartNumberingAfterBreak="0">
    <w:nsid w:val="0F456CF7"/>
    <w:multiLevelType w:val="hybridMultilevel"/>
    <w:tmpl w:val="11DC85A6"/>
    <w:numStyleLink w:val="Estiloimportado58"/>
  </w:abstractNum>
  <w:abstractNum w:abstractNumId="13" w15:restartNumberingAfterBreak="0">
    <w:nsid w:val="10694D77"/>
    <w:multiLevelType w:val="hybridMultilevel"/>
    <w:tmpl w:val="0D76E7BE"/>
    <w:styleLink w:val="Estiloimportado19"/>
    <w:lvl w:ilvl="0" w:tplc="11007F18">
      <w:start w:val="1"/>
      <w:numFmt w:val="upperLetter"/>
      <w:lvlText w:val="%1."/>
      <w:lvlJc w:val="left"/>
      <w:pPr>
        <w:ind w:left="1068"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41A1CBE">
      <w:start w:val="1"/>
      <w:numFmt w:val="lowerLetter"/>
      <w:lvlText w:val="%2."/>
      <w:lvlJc w:val="left"/>
      <w:pPr>
        <w:ind w:left="1788"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3A6275A">
      <w:start w:val="1"/>
      <w:numFmt w:val="lowerRoman"/>
      <w:lvlText w:val="%3."/>
      <w:lvlJc w:val="left"/>
      <w:pPr>
        <w:ind w:left="2508"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28107640">
      <w:start w:val="1"/>
      <w:numFmt w:val="decimal"/>
      <w:lvlText w:val="%4."/>
      <w:lvlJc w:val="left"/>
      <w:pPr>
        <w:ind w:left="3228"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DC04454">
      <w:start w:val="1"/>
      <w:numFmt w:val="lowerLetter"/>
      <w:lvlText w:val="%5."/>
      <w:lvlJc w:val="left"/>
      <w:pPr>
        <w:ind w:left="3948"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B7C258E">
      <w:start w:val="1"/>
      <w:numFmt w:val="lowerRoman"/>
      <w:lvlText w:val="%6."/>
      <w:lvlJc w:val="left"/>
      <w:pPr>
        <w:ind w:left="4668"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2DBE483E">
      <w:start w:val="1"/>
      <w:numFmt w:val="decimal"/>
      <w:lvlText w:val="%7."/>
      <w:lvlJc w:val="left"/>
      <w:pPr>
        <w:ind w:left="5388"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840C494">
      <w:start w:val="1"/>
      <w:numFmt w:val="lowerLetter"/>
      <w:lvlText w:val="%8."/>
      <w:lvlJc w:val="left"/>
      <w:pPr>
        <w:ind w:left="6108"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0E8DB6">
      <w:start w:val="1"/>
      <w:numFmt w:val="lowerRoman"/>
      <w:lvlText w:val="%9."/>
      <w:lvlJc w:val="left"/>
      <w:pPr>
        <w:ind w:left="6828"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11552EA2"/>
    <w:multiLevelType w:val="hybridMultilevel"/>
    <w:tmpl w:val="7CE61214"/>
    <w:styleLink w:val="Estiloimportado61"/>
    <w:lvl w:ilvl="0" w:tplc="C91A867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DE0AD6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77AF46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0FC7CD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D90C11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E10061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E264DF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686E7D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1CC356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11B5131E"/>
    <w:multiLevelType w:val="hybridMultilevel"/>
    <w:tmpl w:val="DB2CAE64"/>
    <w:numStyleLink w:val="Estiloimportado18"/>
  </w:abstractNum>
  <w:abstractNum w:abstractNumId="16" w15:restartNumberingAfterBreak="0">
    <w:nsid w:val="128A7C44"/>
    <w:multiLevelType w:val="hybridMultilevel"/>
    <w:tmpl w:val="33245A7C"/>
    <w:styleLink w:val="Estiloimportado66"/>
    <w:lvl w:ilvl="0" w:tplc="A77262E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1D2984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4B2C3C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40E768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72839C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AA8CC1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D88612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CB46A9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744A85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130721E7"/>
    <w:multiLevelType w:val="hybridMultilevel"/>
    <w:tmpl w:val="F1B8CF78"/>
    <w:numStyleLink w:val="Estiloimportado48"/>
  </w:abstractNum>
  <w:abstractNum w:abstractNumId="18" w15:restartNumberingAfterBreak="0">
    <w:nsid w:val="131963C7"/>
    <w:multiLevelType w:val="hybridMultilevel"/>
    <w:tmpl w:val="183AE9AA"/>
    <w:styleLink w:val="Estiloimportado34"/>
    <w:lvl w:ilvl="0" w:tplc="B134949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EF615C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534744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50ED15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3321CE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7FAF0C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76AC21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A42F00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2CE37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13926AB0"/>
    <w:multiLevelType w:val="hybridMultilevel"/>
    <w:tmpl w:val="5CCEAD54"/>
    <w:styleLink w:val="Estiloimportado7"/>
    <w:lvl w:ilvl="0" w:tplc="24147C32">
      <w:start w:val="1"/>
      <w:numFmt w:val="bullet"/>
      <w:lvlText w:val="·"/>
      <w:lvlJc w:val="left"/>
      <w:pPr>
        <w:ind w:left="213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C4CC448">
      <w:start w:val="1"/>
      <w:numFmt w:val="bullet"/>
      <w:lvlText w:val="o"/>
      <w:lvlJc w:val="left"/>
      <w:pPr>
        <w:ind w:left="285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7881ABA">
      <w:start w:val="1"/>
      <w:numFmt w:val="bullet"/>
      <w:lvlText w:val="▪"/>
      <w:lvlJc w:val="left"/>
      <w:pPr>
        <w:ind w:left="357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33690C2">
      <w:start w:val="1"/>
      <w:numFmt w:val="bullet"/>
      <w:lvlText w:val="·"/>
      <w:lvlJc w:val="left"/>
      <w:pPr>
        <w:ind w:left="429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1F85310">
      <w:start w:val="1"/>
      <w:numFmt w:val="bullet"/>
      <w:lvlText w:val="o"/>
      <w:lvlJc w:val="left"/>
      <w:pPr>
        <w:ind w:left="501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7E86498">
      <w:start w:val="1"/>
      <w:numFmt w:val="bullet"/>
      <w:lvlText w:val="▪"/>
      <w:lvlJc w:val="left"/>
      <w:pPr>
        <w:ind w:left="573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15A2006">
      <w:start w:val="1"/>
      <w:numFmt w:val="bullet"/>
      <w:lvlText w:val="·"/>
      <w:lvlJc w:val="left"/>
      <w:pPr>
        <w:ind w:left="645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ED026C4">
      <w:start w:val="1"/>
      <w:numFmt w:val="bullet"/>
      <w:lvlText w:val="o"/>
      <w:lvlJc w:val="left"/>
      <w:pPr>
        <w:ind w:left="717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A74B3F4">
      <w:start w:val="1"/>
      <w:numFmt w:val="bullet"/>
      <w:lvlText w:val="▪"/>
      <w:lvlJc w:val="left"/>
      <w:pPr>
        <w:ind w:left="789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13C1095F"/>
    <w:multiLevelType w:val="hybridMultilevel"/>
    <w:tmpl w:val="6238819E"/>
    <w:styleLink w:val="Estiloimportado13"/>
    <w:lvl w:ilvl="0" w:tplc="181097E8">
      <w:start w:val="1"/>
      <w:numFmt w:val="bullet"/>
      <w:lvlText w:val="·"/>
      <w:lvlJc w:val="left"/>
      <w:pPr>
        <w:ind w:left="213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8BAD812">
      <w:start w:val="1"/>
      <w:numFmt w:val="bullet"/>
      <w:lvlText w:val="o"/>
      <w:lvlJc w:val="left"/>
      <w:pPr>
        <w:ind w:left="285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AAA1822">
      <w:start w:val="1"/>
      <w:numFmt w:val="bullet"/>
      <w:lvlText w:val="▪"/>
      <w:lvlJc w:val="left"/>
      <w:pPr>
        <w:ind w:left="357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5628988">
      <w:start w:val="1"/>
      <w:numFmt w:val="bullet"/>
      <w:lvlText w:val="·"/>
      <w:lvlJc w:val="left"/>
      <w:pPr>
        <w:ind w:left="429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FE072B0">
      <w:start w:val="1"/>
      <w:numFmt w:val="bullet"/>
      <w:lvlText w:val="o"/>
      <w:lvlJc w:val="left"/>
      <w:pPr>
        <w:ind w:left="501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72C86D6">
      <w:start w:val="1"/>
      <w:numFmt w:val="bullet"/>
      <w:lvlText w:val="▪"/>
      <w:lvlJc w:val="left"/>
      <w:pPr>
        <w:ind w:left="573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9142D2C">
      <w:start w:val="1"/>
      <w:numFmt w:val="bullet"/>
      <w:lvlText w:val="·"/>
      <w:lvlJc w:val="left"/>
      <w:pPr>
        <w:ind w:left="645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612837A">
      <w:start w:val="1"/>
      <w:numFmt w:val="bullet"/>
      <w:lvlText w:val="o"/>
      <w:lvlJc w:val="left"/>
      <w:pPr>
        <w:ind w:left="717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66AA404">
      <w:start w:val="1"/>
      <w:numFmt w:val="bullet"/>
      <w:lvlText w:val="▪"/>
      <w:lvlJc w:val="left"/>
      <w:pPr>
        <w:ind w:left="789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13CC3A62"/>
    <w:multiLevelType w:val="hybridMultilevel"/>
    <w:tmpl w:val="F7D0774E"/>
    <w:numStyleLink w:val="Estiloimportado46"/>
  </w:abstractNum>
  <w:abstractNum w:abstractNumId="22" w15:restartNumberingAfterBreak="0">
    <w:nsid w:val="156A35E6"/>
    <w:multiLevelType w:val="hybridMultilevel"/>
    <w:tmpl w:val="E0C43CAE"/>
    <w:numStyleLink w:val="Estiloimportado57"/>
  </w:abstractNum>
  <w:abstractNum w:abstractNumId="23" w15:restartNumberingAfterBreak="0">
    <w:nsid w:val="157E2548"/>
    <w:multiLevelType w:val="hybridMultilevel"/>
    <w:tmpl w:val="97985156"/>
    <w:numStyleLink w:val="Estiloimportado41"/>
  </w:abstractNum>
  <w:abstractNum w:abstractNumId="24" w15:restartNumberingAfterBreak="0">
    <w:nsid w:val="15F74C1D"/>
    <w:multiLevelType w:val="hybridMultilevel"/>
    <w:tmpl w:val="63A04C1A"/>
    <w:styleLink w:val="Estiloimportado3"/>
    <w:lvl w:ilvl="0" w:tplc="0CE2796E">
      <w:start w:val="1"/>
      <w:numFmt w:val="bullet"/>
      <w:lvlText w:val="·"/>
      <w:lvlJc w:val="left"/>
      <w:pPr>
        <w:ind w:left="213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5BC12FC">
      <w:start w:val="1"/>
      <w:numFmt w:val="bullet"/>
      <w:lvlText w:val="o"/>
      <w:lvlJc w:val="left"/>
      <w:pPr>
        <w:ind w:left="285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B60E970">
      <w:start w:val="1"/>
      <w:numFmt w:val="bullet"/>
      <w:lvlText w:val="▪"/>
      <w:lvlJc w:val="left"/>
      <w:pPr>
        <w:ind w:left="357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EDEB9FA">
      <w:start w:val="1"/>
      <w:numFmt w:val="bullet"/>
      <w:lvlText w:val="·"/>
      <w:lvlJc w:val="left"/>
      <w:pPr>
        <w:ind w:left="429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0B0E2EE">
      <w:start w:val="1"/>
      <w:numFmt w:val="bullet"/>
      <w:lvlText w:val="o"/>
      <w:lvlJc w:val="left"/>
      <w:pPr>
        <w:ind w:left="501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A4A2A6E">
      <w:start w:val="1"/>
      <w:numFmt w:val="bullet"/>
      <w:lvlText w:val="▪"/>
      <w:lvlJc w:val="left"/>
      <w:pPr>
        <w:ind w:left="573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51EA8D2">
      <w:start w:val="1"/>
      <w:numFmt w:val="bullet"/>
      <w:lvlText w:val="·"/>
      <w:lvlJc w:val="left"/>
      <w:pPr>
        <w:ind w:left="645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1A62300">
      <w:start w:val="1"/>
      <w:numFmt w:val="bullet"/>
      <w:lvlText w:val="o"/>
      <w:lvlJc w:val="left"/>
      <w:pPr>
        <w:ind w:left="717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C962E82">
      <w:start w:val="1"/>
      <w:numFmt w:val="bullet"/>
      <w:lvlText w:val="▪"/>
      <w:lvlJc w:val="left"/>
      <w:pPr>
        <w:ind w:left="789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16EC225F"/>
    <w:multiLevelType w:val="hybridMultilevel"/>
    <w:tmpl w:val="59F817E4"/>
    <w:numStyleLink w:val="Estiloimportado32"/>
  </w:abstractNum>
  <w:abstractNum w:abstractNumId="26" w15:restartNumberingAfterBreak="0">
    <w:nsid w:val="176655D6"/>
    <w:multiLevelType w:val="hybridMultilevel"/>
    <w:tmpl w:val="51DE00AE"/>
    <w:styleLink w:val="Estiloimportado59"/>
    <w:lvl w:ilvl="0" w:tplc="9312C6B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1CE833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682FE6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D98B88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3909DC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770B16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C7670B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1EAF61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C48C82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17F40E33"/>
    <w:multiLevelType w:val="hybridMultilevel"/>
    <w:tmpl w:val="E3CCC396"/>
    <w:styleLink w:val="Estiloimportado14"/>
    <w:lvl w:ilvl="0" w:tplc="FE0809DA">
      <w:start w:val="1"/>
      <w:numFmt w:val="bullet"/>
      <w:lvlText w:val="·"/>
      <w:lvlJc w:val="left"/>
      <w:pPr>
        <w:ind w:left="213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B24034E">
      <w:start w:val="1"/>
      <w:numFmt w:val="bullet"/>
      <w:lvlText w:val="o"/>
      <w:lvlJc w:val="left"/>
      <w:pPr>
        <w:ind w:left="285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BA6058A">
      <w:start w:val="1"/>
      <w:numFmt w:val="bullet"/>
      <w:lvlText w:val="▪"/>
      <w:lvlJc w:val="left"/>
      <w:pPr>
        <w:ind w:left="357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C2A9F6C">
      <w:start w:val="1"/>
      <w:numFmt w:val="bullet"/>
      <w:lvlText w:val="·"/>
      <w:lvlJc w:val="left"/>
      <w:pPr>
        <w:ind w:left="429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7F2AEF2">
      <w:start w:val="1"/>
      <w:numFmt w:val="bullet"/>
      <w:lvlText w:val="o"/>
      <w:lvlJc w:val="left"/>
      <w:pPr>
        <w:ind w:left="501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E66A56E">
      <w:start w:val="1"/>
      <w:numFmt w:val="bullet"/>
      <w:lvlText w:val="▪"/>
      <w:lvlJc w:val="left"/>
      <w:pPr>
        <w:ind w:left="573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2AA2D18">
      <w:start w:val="1"/>
      <w:numFmt w:val="bullet"/>
      <w:lvlText w:val="·"/>
      <w:lvlJc w:val="left"/>
      <w:pPr>
        <w:ind w:left="645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892EEC2">
      <w:start w:val="1"/>
      <w:numFmt w:val="bullet"/>
      <w:lvlText w:val="o"/>
      <w:lvlJc w:val="left"/>
      <w:pPr>
        <w:ind w:left="717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836B7D4">
      <w:start w:val="1"/>
      <w:numFmt w:val="bullet"/>
      <w:lvlText w:val="▪"/>
      <w:lvlJc w:val="left"/>
      <w:pPr>
        <w:ind w:left="789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19452F09"/>
    <w:multiLevelType w:val="hybridMultilevel"/>
    <w:tmpl w:val="4B10FC16"/>
    <w:styleLink w:val="Estiloimportado21"/>
    <w:lvl w:ilvl="0" w:tplc="6F6E3C74">
      <w:start w:val="1"/>
      <w:numFmt w:val="upperLetter"/>
      <w:lvlText w:val="%1."/>
      <w:lvlJc w:val="left"/>
      <w:pPr>
        <w:ind w:left="1068"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FA46636">
      <w:start w:val="1"/>
      <w:numFmt w:val="lowerLetter"/>
      <w:lvlText w:val="%2."/>
      <w:lvlJc w:val="left"/>
      <w:pPr>
        <w:ind w:left="1788"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A4EEAD4">
      <w:start w:val="1"/>
      <w:numFmt w:val="lowerRoman"/>
      <w:lvlText w:val="%3."/>
      <w:lvlJc w:val="left"/>
      <w:pPr>
        <w:ind w:left="2508"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59BE5272">
      <w:start w:val="1"/>
      <w:numFmt w:val="decimal"/>
      <w:lvlText w:val="%4."/>
      <w:lvlJc w:val="left"/>
      <w:pPr>
        <w:ind w:left="3228"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810BC5A">
      <w:start w:val="1"/>
      <w:numFmt w:val="lowerLetter"/>
      <w:lvlText w:val="%5."/>
      <w:lvlJc w:val="left"/>
      <w:pPr>
        <w:ind w:left="3948"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27297E8">
      <w:start w:val="1"/>
      <w:numFmt w:val="lowerRoman"/>
      <w:lvlText w:val="%6."/>
      <w:lvlJc w:val="left"/>
      <w:pPr>
        <w:ind w:left="4668"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34949E26">
      <w:start w:val="1"/>
      <w:numFmt w:val="decimal"/>
      <w:lvlText w:val="%7."/>
      <w:lvlJc w:val="left"/>
      <w:pPr>
        <w:ind w:left="5388"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DFE82B2">
      <w:start w:val="1"/>
      <w:numFmt w:val="lowerLetter"/>
      <w:lvlText w:val="%8."/>
      <w:lvlJc w:val="left"/>
      <w:pPr>
        <w:ind w:left="6108"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F0AAF34">
      <w:start w:val="1"/>
      <w:numFmt w:val="lowerRoman"/>
      <w:lvlText w:val="%9."/>
      <w:lvlJc w:val="left"/>
      <w:pPr>
        <w:ind w:left="6828"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1ACC2F53"/>
    <w:multiLevelType w:val="hybridMultilevel"/>
    <w:tmpl w:val="771CF978"/>
    <w:styleLink w:val="Estiloimportado60"/>
    <w:lvl w:ilvl="0" w:tplc="0074B9CA">
      <w:start w:val="1"/>
      <w:numFmt w:val="upperLetter"/>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12244AEE">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0F8A6094">
      <w:start w:val="1"/>
      <w:numFmt w:val="lowerRoman"/>
      <w:lvlText w:val="%3."/>
      <w:lvlJc w:val="left"/>
      <w:pPr>
        <w:ind w:left="2160" w:hanging="313"/>
      </w:pPr>
      <w:rPr>
        <w:rFonts w:hAnsi="Arial Unicode MS"/>
        <w:b/>
        <w:bCs/>
        <w:caps w:val="0"/>
        <w:smallCaps w:val="0"/>
        <w:strike w:val="0"/>
        <w:dstrike w:val="0"/>
        <w:outline w:val="0"/>
        <w:emboss w:val="0"/>
        <w:imprint w:val="0"/>
        <w:spacing w:val="0"/>
        <w:w w:val="100"/>
        <w:kern w:val="0"/>
        <w:position w:val="0"/>
        <w:highlight w:val="none"/>
        <w:vertAlign w:val="baseline"/>
      </w:rPr>
    </w:lvl>
    <w:lvl w:ilvl="3" w:tplc="9416BA88">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7DC8F654">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A170DCF4">
      <w:start w:val="1"/>
      <w:numFmt w:val="lowerRoman"/>
      <w:lvlText w:val="%6."/>
      <w:lvlJc w:val="left"/>
      <w:pPr>
        <w:ind w:left="4320" w:hanging="313"/>
      </w:pPr>
      <w:rPr>
        <w:rFonts w:hAnsi="Arial Unicode MS"/>
        <w:b/>
        <w:bCs/>
        <w:caps w:val="0"/>
        <w:smallCaps w:val="0"/>
        <w:strike w:val="0"/>
        <w:dstrike w:val="0"/>
        <w:outline w:val="0"/>
        <w:emboss w:val="0"/>
        <w:imprint w:val="0"/>
        <w:spacing w:val="0"/>
        <w:w w:val="100"/>
        <w:kern w:val="0"/>
        <w:position w:val="0"/>
        <w:highlight w:val="none"/>
        <w:vertAlign w:val="baseline"/>
      </w:rPr>
    </w:lvl>
    <w:lvl w:ilvl="6" w:tplc="F70080D4">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C69CE6E4">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444EC404">
      <w:start w:val="1"/>
      <w:numFmt w:val="lowerRoman"/>
      <w:lvlText w:val="%9."/>
      <w:lvlJc w:val="left"/>
      <w:pPr>
        <w:ind w:left="6480" w:hanging="313"/>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1D450AE1"/>
    <w:multiLevelType w:val="hybridMultilevel"/>
    <w:tmpl w:val="3B3CC06A"/>
    <w:styleLink w:val="Estiloimportado53"/>
    <w:lvl w:ilvl="0" w:tplc="4970D19A">
      <w:start w:val="1"/>
      <w:numFmt w:val="bullet"/>
      <w:lvlText w:val="·"/>
      <w:lvlJc w:val="left"/>
      <w:pPr>
        <w:tabs>
          <w:tab w:val="center" w:pos="4419"/>
          <w:tab w:val="right" w:pos="8818"/>
          <w:tab w:val="right" w:pos="8818"/>
        </w:tabs>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372BCE4">
      <w:start w:val="1"/>
      <w:numFmt w:val="bullet"/>
      <w:lvlText w:val="o"/>
      <w:lvlJc w:val="left"/>
      <w:pPr>
        <w:tabs>
          <w:tab w:val="center" w:pos="4419"/>
          <w:tab w:val="right" w:pos="8818"/>
          <w:tab w:val="right" w:pos="8818"/>
        </w:tabs>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C08CBA4">
      <w:start w:val="1"/>
      <w:numFmt w:val="bullet"/>
      <w:lvlText w:val="▪"/>
      <w:lvlJc w:val="left"/>
      <w:pPr>
        <w:tabs>
          <w:tab w:val="center" w:pos="4419"/>
          <w:tab w:val="right" w:pos="8818"/>
          <w:tab w:val="right" w:pos="8818"/>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5DE4E36">
      <w:start w:val="1"/>
      <w:numFmt w:val="bullet"/>
      <w:lvlText w:val="·"/>
      <w:lvlJc w:val="left"/>
      <w:pPr>
        <w:tabs>
          <w:tab w:val="center" w:pos="4419"/>
          <w:tab w:val="right" w:pos="8818"/>
          <w:tab w:val="right" w:pos="8818"/>
        </w:tabs>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D0EE744">
      <w:start w:val="1"/>
      <w:numFmt w:val="bullet"/>
      <w:lvlText w:val="o"/>
      <w:lvlJc w:val="left"/>
      <w:pPr>
        <w:tabs>
          <w:tab w:val="center" w:pos="4419"/>
          <w:tab w:val="right" w:pos="8818"/>
          <w:tab w:val="right" w:pos="8818"/>
        </w:tabs>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86E37DC">
      <w:start w:val="1"/>
      <w:numFmt w:val="bullet"/>
      <w:lvlText w:val="▪"/>
      <w:lvlJc w:val="left"/>
      <w:pPr>
        <w:tabs>
          <w:tab w:val="center" w:pos="4419"/>
          <w:tab w:val="right" w:pos="8818"/>
          <w:tab w:val="right" w:pos="8818"/>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1B0C984">
      <w:start w:val="1"/>
      <w:numFmt w:val="bullet"/>
      <w:lvlText w:val="·"/>
      <w:lvlJc w:val="left"/>
      <w:pPr>
        <w:tabs>
          <w:tab w:val="center" w:pos="4419"/>
          <w:tab w:val="right" w:pos="8818"/>
          <w:tab w:val="right" w:pos="8818"/>
        </w:tabs>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DACDD80">
      <w:start w:val="1"/>
      <w:numFmt w:val="bullet"/>
      <w:lvlText w:val="o"/>
      <w:lvlJc w:val="left"/>
      <w:pPr>
        <w:tabs>
          <w:tab w:val="center" w:pos="4419"/>
          <w:tab w:val="right" w:pos="8818"/>
          <w:tab w:val="right" w:pos="8818"/>
        </w:tabs>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A943E34">
      <w:start w:val="1"/>
      <w:numFmt w:val="bullet"/>
      <w:lvlText w:val="▪"/>
      <w:lvlJc w:val="left"/>
      <w:pPr>
        <w:tabs>
          <w:tab w:val="center" w:pos="4419"/>
          <w:tab w:val="right" w:pos="8818"/>
          <w:tab w:val="right" w:pos="8818"/>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1DD23018"/>
    <w:multiLevelType w:val="hybridMultilevel"/>
    <w:tmpl w:val="92A8E160"/>
    <w:numStyleLink w:val="Estiloimportado28"/>
  </w:abstractNum>
  <w:abstractNum w:abstractNumId="32" w15:restartNumberingAfterBreak="0">
    <w:nsid w:val="1DD66107"/>
    <w:multiLevelType w:val="hybridMultilevel"/>
    <w:tmpl w:val="236C3AB0"/>
    <w:numStyleLink w:val="Estiloimportado47"/>
  </w:abstractNum>
  <w:abstractNum w:abstractNumId="33" w15:restartNumberingAfterBreak="0">
    <w:nsid w:val="1E706322"/>
    <w:multiLevelType w:val="hybridMultilevel"/>
    <w:tmpl w:val="771CF978"/>
    <w:numStyleLink w:val="Estiloimportado60"/>
  </w:abstractNum>
  <w:abstractNum w:abstractNumId="34" w15:restartNumberingAfterBreak="0">
    <w:nsid w:val="1E8048F7"/>
    <w:multiLevelType w:val="hybridMultilevel"/>
    <w:tmpl w:val="26A856A0"/>
    <w:numStyleLink w:val="Estiloimportado56"/>
  </w:abstractNum>
  <w:abstractNum w:abstractNumId="35" w15:restartNumberingAfterBreak="0">
    <w:nsid w:val="1EB24593"/>
    <w:multiLevelType w:val="hybridMultilevel"/>
    <w:tmpl w:val="E7A42276"/>
    <w:numStyleLink w:val="Estiloimportado8"/>
  </w:abstractNum>
  <w:abstractNum w:abstractNumId="36" w15:restartNumberingAfterBreak="0">
    <w:nsid w:val="20785BC3"/>
    <w:multiLevelType w:val="hybridMultilevel"/>
    <w:tmpl w:val="0D6648FA"/>
    <w:styleLink w:val="Estiloimportado2"/>
    <w:lvl w:ilvl="0" w:tplc="112C2666">
      <w:start w:val="1"/>
      <w:numFmt w:val="upperLetter"/>
      <w:lvlText w:val="%1."/>
      <w:lvlJc w:val="left"/>
      <w:pPr>
        <w:ind w:left="1068"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14C3F8E">
      <w:start w:val="1"/>
      <w:numFmt w:val="lowerLetter"/>
      <w:lvlText w:val="%2."/>
      <w:lvlJc w:val="left"/>
      <w:pPr>
        <w:ind w:left="1788"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4D6300C">
      <w:start w:val="1"/>
      <w:numFmt w:val="lowerRoman"/>
      <w:lvlText w:val="%3."/>
      <w:lvlJc w:val="left"/>
      <w:pPr>
        <w:ind w:left="2508"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B48CDFA6">
      <w:start w:val="1"/>
      <w:numFmt w:val="decimal"/>
      <w:lvlText w:val="%4."/>
      <w:lvlJc w:val="left"/>
      <w:pPr>
        <w:ind w:left="3228"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B94283C">
      <w:start w:val="1"/>
      <w:numFmt w:val="lowerLetter"/>
      <w:lvlText w:val="%5."/>
      <w:lvlJc w:val="left"/>
      <w:pPr>
        <w:ind w:left="3948"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DA64DC2">
      <w:start w:val="1"/>
      <w:numFmt w:val="lowerRoman"/>
      <w:lvlText w:val="%6."/>
      <w:lvlJc w:val="left"/>
      <w:pPr>
        <w:ind w:left="4668"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67D6D8D8">
      <w:start w:val="1"/>
      <w:numFmt w:val="decimal"/>
      <w:lvlText w:val="%7."/>
      <w:lvlJc w:val="left"/>
      <w:pPr>
        <w:ind w:left="5388"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7564AA6">
      <w:start w:val="1"/>
      <w:numFmt w:val="lowerLetter"/>
      <w:lvlText w:val="%8."/>
      <w:lvlJc w:val="left"/>
      <w:pPr>
        <w:ind w:left="6108"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20CB14A">
      <w:start w:val="1"/>
      <w:numFmt w:val="lowerRoman"/>
      <w:lvlText w:val="%9."/>
      <w:lvlJc w:val="left"/>
      <w:pPr>
        <w:ind w:left="6828"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222F1B8B"/>
    <w:multiLevelType w:val="hybridMultilevel"/>
    <w:tmpl w:val="90A472D2"/>
    <w:styleLink w:val="Estiloimportado10"/>
    <w:lvl w:ilvl="0" w:tplc="41FE0F2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102EA0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3D453E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6AC220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7B28EA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01EE5A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8DAE6F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18EB68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B50647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8" w15:restartNumberingAfterBreak="0">
    <w:nsid w:val="222F2D8A"/>
    <w:multiLevelType w:val="hybridMultilevel"/>
    <w:tmpl w:val="A72816E8"/>
    <w:numStyleLink w:val="Estiloimportado42"/>
  </w:abstractNum>
  <w:abstractNum w:abstractNumId="39" w15:restartNumberingAfterBreak="0">
    <w:nsid w:val="23233D08"/>
    <w:multiLevelType w:val="hybridMultilevel"/>
    <w:tmpl w:val="0A8CF510"/>
    <w:numStyleLink w:val="Estiloimportado38"/>
  </w:abstractNum>
  <w:abstractNum w:abstractNumId="40" w15:restartNumberingAfterBreak="0">
    <w:nsid w:val="269272E3"/>
    <w:multiLevelType w:val="hybridMultilevel"/>
    <w:tmpl w:val="A404DAF0"/>
    <w:styleLink w:val="Estiloimportado40"/>
    <w:lvl w:ilvl="0" w:tplc="AE7079A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1F0713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7744E2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55C39F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4A6ED4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068C0F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016D75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0863C0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618F62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27FA6829"/>
    <w:multiLevelType w:val="hybridMultilevel"/>
    <w:tmpl w:val="84E00846"/>
    <w:styleLink w:val="Estiloimportado33"/>
    <w:lvl w:ilvl="0" w:tplc="E4E4B5B2">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6783D5A">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4C05FD4">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F08402E">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A928FB2">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1A813FA">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7664132">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F6E44F6">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2B4C360">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2" w15:restartNumberingAfterBreak="0">
    <w:nsid w:val="285344CC"/>
    <w:multiLevelType w:val="hybridMultilevel"/>
    <w:tmpl w:val="ADB82190"/>
    <w:numStyleLink w:val="Estiloimportado11"/>
  </w:abstractNum>
  <w:abstractNum w:abstractNumId="43" w15:restartNumberingAfterBreak="0">
    <w:nsid w:val="28D11410"/>
    <w:multiLevelType w:val="hybridMultilevel"/>
    <w:tmpl w:val="DB2CAE64"/>
    <w:styleLink w:val="Estiloimportado18"/>
    <w:lvl w:ilvl="0" w:tplc="E796272C">
      <w:start w:val="1"/>
      <w:numFmt w:val="bullet"/>
      <w:lvlText w:val="·"/>
      <w:lvlJc w:val="left"/>
      <w:pPr>
        <w:ind w:left="213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660DE88">
      <w:start w:val="1"/>
      <w:numFmt w:val="bullet"/>
      <w:lvlText w:val="o"/>
      <w:lvlJc w:val="left"/>
      <w:pPr>
        <w:ind w:left="285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D3ADC06">
      <w:start w:val="1"/>
      <w:numFmt w:val="bullet"/>
      <w:lvlText w:val="▪"/>
      <w:lvlJc w:val="left"/>
      <w:pPr>
        <w:ind w:left="357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8C472FA">
      <w:start w:val="1"/>
      <w:numFmt w:val="bullet"/>
      <w:lvlText w:val="·"/>
      <w:lvlJc w:val="left"/>
      <w:pPr>
        <w:ind w:left="429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032983C">
      <w:start w:val="1"/>
      <w:numFmt w:val="bullet"/>
      <w:lvlText w:val="o"/>
      <w:lvlJc w:val="left"/>
      <w:pPr>
        <w:ind w:left="501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81C7FB2">
      <w:start w:val="1"/>
      <w:numFmt w:val="bullet"/>
      <w:lvlText w:val="▪"/>
      <w:lvlJc w:val="left"/>
      <w:pPr>
        <w:ind w:left="573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09EA07E">
      <w:start w:val="1"/>
      <w:numFmt w:val="bullet"/>
      <w:lvlText w:val="·"/>
      <w:lvlJc w:val="left"/>
      <w:pPr>
        <w:ind w:left="645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E920A4C">
      <w:start w:val="1"/>
      <w:numFmt w:val="bullet"/>
      <w:lvlText w:val="o"/>
      <w:lvlJc w:val="left"/>
      <w:pPr>
        <w:ind w:left="717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3DAB0D6">
      <w:start w:val="1"/>
      <w:numFmt w:val="bullet"/>
      <w:lvlText w:val="▪"/>
      <w:lvlJc w:val="left"/>
      <w:pPr>
        <w:ind w:left="789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4" w15:restartNumberingAfterBreak="0">
    <w:nsid w:val="299D1466"/>
    <w:multiLevelType w:val="hybridMultilevel"/>
    <w:tmpl w:val="4F167976"/>
    <w:numStyleLink w:val="Estiloimportado36"/>
  </w:abstractNum>
  <w:abstractNum w:abstractNumId="45" w15:restartNumberingAfterBreak="0">
    <w:nsid w:val="2A0D6C28"/>
    <w:multiLevelType w:val="hybridMultilevel"/>
    <w:tmpl w:val="F7D0774E"/>
    <w:styleLink w:val="Estiloimportado46"/>
    <w:lvl w:ilvl="0" w:tplc="87C651C8">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B0E22A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480E68C">
      <w:start w:val="1"/>
      <w:numFmt w:val="lowerRoman"/>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3E92B21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0D28B7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1FAE8AC">
      <w:start w:val="1"/>
      <w:numFmt w:val="lowerRoman"/>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9C54ED0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F0CF6E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D16E956">
      <w:start w:val="1"/>
      <w:numFmt w:val="lowerRoman"/>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6" w15:restartNumberingAfterBreak="0">
    <w:nsid w:val="2B3E19CC"/>
    <w:multiLevelType w:val="hybridMultilevel"/>
    <w:tmpl w:val="9578A0E6"/>
    <w:styleLink w:val="Estiloimportado6"/>
    <w:lvl w:ilvl="0" w:tplc="4418B1A4">
      <w:start w:val="1"/>
      <w:numFmt w:val="bullet"/>
      <w:lvlText w:val="·"/>
      <w:lvlJc w:val="left"/>
      <w:pPr>
        <w:ind w:left="213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77E6106">
      <w:start w:val="1"/>
      <w:numFmt w:val="bullet"/>
      <w:lvlText w:val="o"/>
      <w:lvlJc w:val="left"/>
      <w:pPr>
        <w:ind w:left="285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6BAF746">
      <w:start w:val="1"/>
      <w:numFmt w:val="bullet"/>
      <w:lvlText w:val="▪"/>
      <w:lvlJc w:val="left"/>
      <w:pPr>
        <w:ind w:left="357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B78C9A8">
      <w:start w:val="1"/>
      <w:numFmt w:val="bullet"/>
      <w:lvlText w:val="·"/>
      <w:lvlJc w:val="left"/>
      <w:pPr>
        <w:ind w:left="429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EC483FA">
      <w:start w:val="1"/>
      <w:numFmt w:val="bullet"/>
      <w:lvlText w:val="o"/>
      <w:lvlJc w:val="left"/>
      <w:pPr>
        <w:ind w:left="501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FCE33D8">
      <w:start w:val="1"/>
      <w:numFmt w:val="bullet"/>
      <w:lvlText w:val="▪"/>
      <w:lvlJc w:val="left"/>
      <w:pPr>
        <w:ind w:left="573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AC81944">
      <w:start w:val="1"/>
      <w:numFmt w:val="bullet"/>
      <w:lvlText w:val="·"/>
      <w:lvlJc w:val="left"/>
      <w:pPr>
        <w:ind w:left="645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6F4C8F2">
      <w:start w:val="1"/>
      <w:numFmt w:val="bullet"/>
      <w:lvlText w:val="o"/>
      <w:lvlJc w:val="left"/>
      <w:pPr>
        <w:ind w:left="717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FDC922C">
      <w:start w:val="1"/>
      <w:numFmt w:val="bullet"/>
      <w:lvlText w:val="▪"/>
      <w:lvlJc w:val="left"/>
      <w:pPr>
        <w:ind w:left="789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2D1D767F"/>
    <w:multiLevelType w:val="hybridMultilevel"/>
    <w:tmpl w:val="550C0D9A"/>
    <w:styleLink w:val="Estiloimportado31"/>
    <w:lvl w:ilvl="0" w:tplc="41083BB0">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2A207A8E">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8EC933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3AC1A7E">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BD420EA6">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9306AF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7F6B8C4">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EE8292EA">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232099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8" w15:restartNumberingAfterBreak="0">
    <w:nsid w:val="2DC468DB"/>
    <w:multiLevelType w:val="hybridMultilevel"/>
    <w:tmpl w:val="F17E1B42"/>
    <w:styleLink w:val="Estiloimportado43"/>
    <w:lvl w:ilvl="0" w:tplc="2590749A">
      <w:start w:val="1"/>
      <w:numFmt w:val="bullet"/>
      <w:lvlText w:val="o"/>
      <w:lvlJc w:val="left"/>
      <w:pPr>
        <w:ind w:left="1776"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A17ED1D8">
      <w:start w:val="1"/>
      <w:numFmt w:val="bullet"/>
      <w:lvlText w:val="o"/>
      <w:lvlJc w:val="left"/>
      <w:pPr>
        <w:ind w:left="2496"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E63AC62E">
      <w:start w:val="1"/>
      <w:numFmt w:val="bullet"/>
      <w:lvlText w:val="▪"/>
      <w:lvlJc w:val="left"/>
      <w:pPr>
        <w:ind w:left="3216"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8102BB0C">
      <w:start w:val="1"/>
      <w:numFmt w:val="bullet"/>
      <w:lvlText w:val="•"/>
      <w:lvlJc w:val="left"/>
      <w:pPr>
        <w:ind w:left="3936"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479A4172">
      <w:start w:val="1"/>
      <w:numFmt w:val="bullet"/>
      <w:lvlText w:val="o"/>
      <w:lvlJc w:val="left"/>
      <w:pPr>
        <w:ind w:left="4656"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11ECD218">
      <w:start w:val="1"/>
      <w:numFmt w:val="bullet"/>
      <w:lvlText w:val="▪"/>
      <w:lvlJc w:val="left"/>
      <w:pPr>
        <w:ind w:left="5376"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61A6BCF4">
      <w:start w:val="1"/>
      <w:numFmt w:val="bullet"/>
      <w:lvlText w:val="•"/>
      <w:lvlJc w:val="left"/>
      <w:pPr>
        <w:ind w:left="6096"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4D0E9350">
      <w:start w:val="1"/>
      <w:numFmt w:val="bullet"/>
      <w:lvlText w:val="o"/>
      <w:lvlJc w:val="left"/>
      <w:pPr>
        <w:ind w:left="6816"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EE12B91C">
      <w:start w:val="1"/>
      <w:numFmt w:val="bullet"/>
      <w:lvlText w:val="▪"/>
      <w:lvlJc w:val="left"/>
      <w:pPr>
        <w:ind w:left="7536"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9" w15:restartNumberingAfterBreak="0">
    <w:nsid w:val="2EED6A82"/>
    <w:multiLevelType w:val="hybridMultilevel"/>
    <w:tmpl w:val="3B3CC06A"/>
    <w:numStyleLink w:val="Estiloimportado53"/>
  </w:abstractNum>
  <w:abstractNum w:abstractNumId="50" w15:restartNumberingAfterBreak="0">
    <w:nsid w:val="326A43D7"/>
    <w:multiLevelType w:val="hybridMultilevel"/>
    <w:tmpl w:val="8D88000A"/>
    <w:styleLink w:val="Estiloimportado45"/>
    <w:lvl w:ilvl="0" w:tplc="DA78B6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DA2D51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E7A43F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15C0BA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932D7D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6E48A0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9508F1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93C554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74C3BD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1" w15:restartNumberingAfterBreak="0">
    <w:nsid w:val="32F052F0"/>
    <w:multiLevelType w:val="hybridMultilevel"/>
    <w:tmpl w:val="9578A0E6"/>
    <w:numStyleLink w:val="Estiloimportado6"/>
  </w:abstractNum>
  <w:abstractNum w:abstractNumId="52" w15:restartNumberingAfterBreak="0">
    <w:nsid w:val="34684364"/>
    <w:multiLevelType w:val="hybridMultilevel"/>
    <w:tmpl w:val="0A8CF510"/>
    <w:styleLink w:val="Estiloimportado38"/>
    <w:lvl w:ilvl="0" w:tplc="093E0EF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1061E2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1E4A3B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706348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0A8711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7A8619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07600F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016686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E04B8F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3" w15:restartNumberingAfterBreak="0">
    <w:nsid w:val="348E77A8"/>
    <w:multiLevelType w:val="hybridMultilevel"/>
    <w:tmpl w:val="EE0CD472"/>
    <w:numStyleLink w:val="Estiloimportado63"/>
  </w:abstractNum>
  <w:abstractNum w:abstractNumId="54" w15:restartNumberingAfterBreak="0">
    <w:nsid w:val="34A60AE3"/>
    <w:multiLevelType w:val="hybridMultilevel"/>
    <w:tmpl w:val="BEE04C0A"/>
    <w:styleLink w:val="Estiloimportado52"/>
    <w:lvl w:ilvl="0" w:tplc="82F44DF4">
      <w:start w:val="1"/>
      <w:numFmt w:val="bullet"/>
      <w:lvlText w:val="o"/>
      <w:lvlJc w:val="left"/>
      <w:pPr>
        <w:ind w:left="7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015ECF98">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74903C7C">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C3D0AABA">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1D3ABE26">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5CF0F5CA">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F446AE7C">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7B98FB64">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C5E2FFAE">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5" w15:restartNumberingAfterBreak="0">
    <w:nsid w:val="359B4B65"/>
    <w:multiLevelType w:val="hybridMultilevel"/>
    <w:tmpl w:val="550C0D9A"/>
    <w:numStyleLink w:val="Estiloimportado31"/>
  </w:abstractNum>
  <w:abstractNum w:abstractNumId="56" w15:restartNumberingAfterBreak="0">
    <w:nsid w:val="35AF2C2B"/>
    <w:multiLevelType w:val="hybridMultilevel"/>
    <w:tmpl w:val="75223AC8"/>
    <w:styleLink w:val="Estiloimportado17"/>
    <w:lvl w:ilvl="0" w:tplc="6226B2DA">
      <w:start w:val="1"/>
      <w:numFmt w:val="bullet"/>
      <w:lvlText w:val="·"/>
      <w:lvlJc w:val="left"/>
      <w:pPr>
        <w:ind w:left="213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382E744">
      <w:start w:val="1"/>
      <w:numFmt w:val="bullet"/>
      <w:lvlText w:val="o"/>
      <w:lvlJc w:val="left"/>
      <w:pPr>
        <w:ind w:left="285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D1ABF62">
      <w:start w:val="1"/>
      <w:numFmt w:val="bullet"/>
      <w:lvlText w:val="▪"/>
      <w:lvlJc w:val="left"/>
      <w:pPr>
        <w:ind w:left="357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B004476">
      <w:start w:val="1"/>
      <w:numFmt w:val="bullet"/>
      <w:lvlText w:val="·"/>
      <w:lvlJc w:val="left"/>
      <w:pPr>
        <w:ind w:left="429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CF44EC0">
      <w:start w:val="1"/>
      <w:numFmt w:val="bullet"/>
      <w:lvlText w:val="o"/>
      <w:lvlJc w:val="left"/>
      <w:pPr>
        <w:ind w:left="501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ADC446E">
      <w:start w:val="1"/>
      <w:numFmt w:val="bullet"/>
      <w:lvlText w:val="▪"/>
      <w:lvlJc w:val="left"/>
      <w:pPr>
        <w:ind w:left="573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EE405DE">
      <w:start w:val="1"/>
      <w:numFmt w:val="bullet"/>
      <w:lvlText w:val="·"/>
      <w:lvlJc w:val="left"/>
      <w:pPr>
        <w:ind w:left="645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CC2B49C">
      <w:start w:val="1"/>
      <w:numFmt w:val="bullet"/>
      <w:lvlText w:val="o"/>
      <w:lvlJc w:val="left"/>
      <w:pPr>
        <w:ind w:left="717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D448A24">
      <w:start w:val="1"/>
      <w:numFmt w:val="bullet"/>
      <w:lvlText w:val="▪"/>
      <w:lvlJc w:val="left"/>
      <w:pPr>
        <w:ind w:left="789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7" w15:restartNumberingAfterBreak="0">
    <w:nsid w:val="35C033B6"/>
    <w:multiLevelType w:val="hybridMultilevel"/>
    <w:tmpl w:val="07161BE0"/>
    <w:styleLink w:val="Estiloimportado71"/>
    <w:lvl w:ilvl="0" w:tplc="C6D0AB22">
      <w:start w:val="1"/>
      <w:numFmt w:val="decimal"/>
      <w:lvlText w:val="%1."/>
      <w:lvlJc w:val="left"/>
      <w:pPr>
        <w:ind w:left="644"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2EE2A5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B1AF914">
      <w:start w:val="1"/>
      <w:numFmt w:val="lowerRoman"/>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0B86673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CC6772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0BA25AA">
      <w:start w:val="1"/>
      <w:numFmt w:val="lowerRoman"/>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48E4A96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802219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6E41364">
      <w:start w:val="1"/>
      <w:numFmt w:val="lowerRoman"/>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8" w15:restartNumberingAfterBreak="0">
    <w:nsid w:val="369523F8"/>
    <w:multiLevelType w:val="hybridMultilevel"/>
    <w:tmpl w:val="BEE04C0A"/>
    <w:numStyleLink w:val="Estiloimportado52"/>
  </w:abstractNum>
  <w:abstractNum w:abstractNumId="59" w15:restartNumberingAfterBreak="0">
    <w:nsid w:val="370209DB"/>
    <w:multiLevelType w:val="hybridMultilevel"/>
    <w:tmpl w:val="97985156"/>
    <w:styleLink w:val="Estiloimportado41"/>
    <w:lvl w:ilvl="0" w:tplc="A852CF5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4FCC0A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ED4016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1CEAE3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22678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7E4855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4B2752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D86E92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AC432B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0" w15:restartNumberingAfterBreak="0">
    <w:nsid w:val="3717231A"/>
    <w:multiLevelType w:val="hybridMultilevel"/>
    <w:tmpl w:val="B35C796E"/>
    <w:styleLink w:val="Estiloimportado30"/>
    <w:lvl w:ilvl="0" w:tplc="E7B8416C">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302FEF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57ECA98">
      <w:start w:val="1"/>
      <w:numFmt w:val="lowerRoman"/>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C688016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1E0372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654349C">
      <w:start w:val="1"/>
      <w:numFmt w:val="lowerRoman"/>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CF5A5D5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C248C6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C90C22A">
      <w:start w:val="1"/>
      <w:numFmt w:val="lowerRoman"/>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1" w15:restartNumberingAfterBreak="0">
    <w:nsid w:val="3876570F"/>
    <w:multiLevelType w:val="hybridMultilevel"/>
    <w:tmpl w:val="A1B04598"/>
    <w:numStyleLink w:val="Estiloimportado25"/>
  </w:abstractNum>
  <w:abstractNum w:abstractNumId="62" w15:restartNumberingAfterBreak="0">
    <w:nsid w:val="38E97284"/>
    <w:multiLevelType w:val="hybridMultilevel"/>
    <w:tmpl w:val="4E6E3084"/>
    <w:numStyleLink w:val="Estiloimportado68"/>
  </w:abstractNum>
  <w:abstractNum w:abstractNumId="63" w15:restartNumberingAfterBreak="0">
    <w:nsid w:val="39786DEF"/>
    <w:multiLevelType w:val="hybridMultilevel"/>
    <w:tmpl w:val="4F167976"/>
    <w:styleLink w:val="Estiloimportado36"/>
    <w:lvl w:ilvl="0" w:tplc="0948745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15E95F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8440A1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0A86AE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0163AB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EE89F3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528EB6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EA0045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850498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4" w15:restartNumberingAfterBreak="0">
    <w:nsid w:val="3A661ECD"/>
    <w:multiLevelType w:val="hybridMultilevel"/>
    <w:tmpl w:val="EE42E73C"/>
    <w:numStyleLink w:val="Estiloimportado16"/>
  </w:abstractNum>
  <w:abstractNum w:abstractNumId="65" w15:restartNumberingAfterBreak="0">
    <w:nsid w:val="3B03303F"/>
    <w:multiLevelType w:val="hybridMultilevel"/>
    <w:tmpl w:val="26A856A0"/>
    <w:styleLink w:val="Estiloimportado56"/>
    <w:lvl w:ilvl="0" w:tplc="A87C2982">
      <w:start w:val="1"/>
      <w:numFmt w:val="decimal"/>
      <w:lvlText w:val="%1)"/>
      <w:lvlJc w:val="left"/>
      <w:pPr>
        <w:tabs>
          <w:tab w:val="num" w:pos="708"/>
        </w:tabs>
        <w:ind w:left="780" w:hanging="420"/>
      </w:pPr>
      <w:rPr>
        <w:rFonts w:hAnsi="Arial Unicode MS"/>
        <w:caps w:val="0"/>
        <w:smallCaps w:val="0"/>
        <w:strike w:val="0"/>
        <w:dstrike w:val="0"/>
        <w:outline w:val="0"/>
        <w:emboss w:val="0"/>
        <w:imprint w:val="0"/>
        <w:spacing w:val="0"/>
        <w:w w:val="100"/>
        <w:kern w:val="0"/>
        <w:position w:val="0"/>
        <w:highlight w:val="none"/>
        <w:vertAlign w:val="baseline"/>
      </w:rPr>
    </w:lvl>
    <w:lvl w:ilvl="1" w:tplc="DD2209FA">
      <w:start w:val="1"/>
      <w:numFmt w:val="lowerLetter"/>
      <w:lvlText w:val="%2."/>
      <w:lvlJc w:val="left"/>
      <w:pPr>
        <w:tabs>
          <w:tab w:val="left" w:pos="708"/>
          <w:tab w:val="num" w:pos="1440"/>
        </w:tabs>
        <w:ind w:left="1512" w:hanging="432"/>
      </w:pPr>
      <w:rPr>
        <w:rFonts w:hAnsi="Arial Unicode MS"/>
        <w:caps w:val="0"/>
        <w:smallCaps w:val="0"/>
        <w:strike w:val="0"/>
        <w:dstrike w:val="0"/>
        <w:outline w:val="0"/>
        <w:emboss w:val="0"/>
        <w:imprint w:val="0"/>
        <w:spacing w:val="0"/>
        <w:w w:val="100"/>
        <w:kern w:val="0"/>
        <w:position w:val="0"/>
        <w:highlight w:val="none"/>
        <w:vertAlign w:val="baseline"/>
      </w:rPr>
    </w:lvl>
    <w:lvl w:ilvl="2" w:tplc="F8E63616">
      <w:start w:val="1"/>
      <w:numFmt w:val="lowerRoman"/>
      <w:lvlText w:val="%3."/>
      <w:lvlJc w:val="left"/>
      <w:pPr>
        <w:tabs>
          <w:tab w:val="left" w:pos="708"/>
          <w:tab w:val="num" w:pos="2160"/>
        </w:tabs>
        <w:ind w:left="2232" w:hanging="385"/>
      </w:pPr>
      <w:rPr>
        <w:rFonts w:hAnsi="Arial Unicode MS"/>
        <w:caps w:val="0"/>
        <w:smallCaps w:val="0"/>
        <w:strike w:val="0"/>
        <w:dstrike w:val="0"/>
        <w:outline w:val="0"/>
        <w:emboss w:val="0"/>
        <w:imprint w:val="0"/>
        <w:spacing w:val="0"/>
        <w:w w:val="100"/>
        <w:kern w:val="0"/>
        <w:position w:val="0"/>
        <w:highlight w:val="none"/>
        <w:vertAlign w:val="baseline"/>
      </w:rPr>
    </w:lvl>
    <w:lvl w:ilvl="3" w:tplc="34CCD094">
      <w:start w:val="1"/>
      <w:numFmt w:val="decimal"/>
      <w:lvlText w:val="%4."/>
      <w:lvlJc w:val="left"/>
      <w:pPr>
        <w:tabs>
          <w:tab w:val="left" w:pos="708"/>
          <w:tab w:val="num" w:pos="2880"/>
        </w:tabs>
        <w:ind w:left="2952" w:hanging="432"/>
      </w:pPr>
      <w:rPr>
        <w:rFonts w:hAnsi="Arial Unicode MS"/>
        <w:caps w:val="0"/>
        <w:smallCaps w:val="0"/>
        <w:strike w:val="0"/>
        <w:dstrike w:val="0"/>
        <w:outline w:val="0"/>
        <w:emboss w:val="0"/>
        <w:imprint w:val="0"/>
        <w:spacing w:val="0"/>
        <w:w w:val="100"/>
        <w:kern w:val="0"/>
        <w:position w:val="0"/>
        <w:highlight w:val="none"/>
        <w:vertAlign w:val="baseline"/>
      </w:rPr>
    </w:lvl>
    <w:lvl w:ilvl="4" w:tplc="3974A68E">
      <w:start w:val="1"/>
      <w:numFmt w:val="lowerLetter"/>
      <w:lvlText w:val="%5."/>
      <w:lvlJc w:val="left"/>
      <w:pPr>
        <w:tabs>
          <w:tab w:val="left" w:pos="708"/>
          <w:tab w:val="num" w:pos="3600"/>
        </w:tabs>
        <w:ind w:left="3672" w:hanging="432"/>
      </w:pPr>
      <w:rPr>
        <w:rFonts w:hAnsi="Arial Unicode MS"/>
        <w:caps w:val="0"/>
        <w:smallCaps w:val="0"/>
        <w:strike w:val="0"/>
        <w:dstrike w:val="0"/>
        <w:outline w:val="0"/>
        <w:emboss w:val="0"/>
        <w:imprint w:val="0"/>
        <w:spacing w:val="0"/>
        <w:w w:val="100"/>
        <w:kern w:val="0"/>
        <w:position w:val="0"/>
        <w:highlight w:val="none"/>
        <w:vertAlign w:val="baseline"/>
      </w:rPr>
    </w:lvl>
    <w:lvl w:ilvl="5" w:tplc="11C2B57C">
      <w:start w:val="1"/>
      <w:numFmt w:val="lowerRoman"/>
      <w:lvlText w:val="%6."/>
      <w:lvlJc w:val="left"/>
      <w:pPr>
        <w:tabs>
          <w:tab w:val="left" w:pos="708"/>
          <w:tab w:val="num" w:pos="4320"/>
        </w:tabs>
        <w:ind w:left="4392" w:hanging="385"/>
      </w:pPr>
      <w:rPr>
        <w:rFonts w:hAnsi="Arial Unicode MS"/>
        <w:caps w:val="0"/>
        <w:smallCaps w:val="0"/>
        <w:strike w:val="0"/>
        <w:dstrike w:val="0"/>
        <w:outline w:val="0"/>
        <w:emboss w:val="0"/>
        <w:imprint w:val="0"/>
        <w:spacing w:val="0"/>
        <w:w w:val="100"/>
        <w:kern w:val="0"/>
        <w:position w:val="0"/>
        <w:highlight w:val="none"/>
        <w:vertAlign w:val="baseline"/>
      </w:rPr>
    </w:lvl>
    <w:lvl w:ilvl="6" w:tplc="E9FCEA3A">
      <w:start w:val="1"/>
      <w:numFmt w:val="decimal"/>
      <w:lvlText w:val="%7."/>
      <w:lvlJc w:val="left"/>
      <w:pPr>
        <w:tabs>
          <w:tab w:val="left" w:pos="708"/>
          <w:tab w:val="num" w:pos="5040"/>
        </w:tabs>
        <w:ind w:left="5112" w:hanging="432"/>
      </w:pPr>
      <w:rPr>
        <w:rFonts w:hAnsi="Arial Unicode MS"/>
        <w:caps w:val="0"/>
        <w:smallCaps w:val="0"/>
        <w:strike w:val="0"/>
        <w:dstrike w:val="0"/>
        <w:outline w:val="0"/>
        <w:emboss w:val="0"/>
        <w:imprint w:val="0"/>
        <w:spacing w:val="0"/>
        <w:w w:val="100"/>
        <w:kern w:val="0"/>
        <w:position w:val="0"/>
        <w:highlight w:val="none"/>
        <w:vertAlign w:val="baseline"/>
      </w:rPr>
    </w:lvl>
    <w:lvl w:ilvl="7" w:tplc="47C019D2">
      <w:start w:val="1"/>
      <w:numFmt w:val="lowerLetter"/>
      <w:lvlText w:val="%8."/>
      <w:lvlJc w:val="left"/>
      <w:pPr>
        <w:tabs>
          <w:tab w:val="left" w:pos="708"/>
          <w:tab w:val="num" w:pos="5760"/>
        </w:tabs>
        <w:ind w:left="5832" w:hanging="432"/>
      </w:pPr>
      <w:rPr>
        <w:rFonts w:hAnsi="Arial Unicode MS"/>
        <w:caps w:val="0"/>
        <w:smallCaps w:val="0"/>
        <w:strike w:val="0"/>
        <w:dstrike w:val="0"/>
        <w:outline w:val="0"/>
        <w:emboss w:val="0"/>
        <w:imprint w:val="0"/>
        <w:spacing w:val="0"/>
        <w:w w:val="100"/>
        <w:kern w:val="0"/>
        <w:position w:val="0"/>
        <w:highlight w:val="none"/>
        <w:vertAlign w:val="baseline"/>
      </w:rPr>
    </w:lvl>
    <w:lvl w:ilvl="8" w:tplc="04661FAA">
      <w:start w:val="1"/>
      <w:numFmt w:val="lowerRoman"/>
      <w:lvlText w:val="%9."/>
      <w:lvlJc w:val="left"/>
      <w:pPr>
        <w:tabs>
          <w:tab w:val="left" w:pos="708"/>
          <w:tab w:val="num" w:pos="6480"/>
        </w:tabs>
        <w:ind w:left="6552" w:hanging="38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6" w15:restartNumberingAfterBreak="0">
    <w:nsid w:val="3BF148DC"/>
    <w:multiLevelType w:val="hybridMultilevel"/>
    <w:tmpl w:val="E7A42276"/>
    <w:styleLink w:val="Estiloimportado8"/>
    <w:lvl w:ilvl="0" w:tplc="80D263C0">
      <w:start w:val="1"/>
      <w:numFmt w:val="bullet"/>
      <w:lvlText w:val="·"/>
      <w:lvlJc w:val="left"/>
      <w:pPr>
        <w:ind w:left="213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C3A3B54">
      <w:start w:val="1"/>
      <w:numFmt w:val="bullet"/>
      <w:lvlText w:val="o"/>
      <w:lvlJc w:val="left"/>
      <w:pPr>
        <w:ind w:left="285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BD8E734">
      <w:start w:val="1"/>
      <w:numFmt w:val="bullet"/>
      <w:lvlText w:val="▪"/>
      <w:lvlJc w:val="left"/>
      <w:pPr>
        <w:ind w:left="357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78E2382">
      <w:start w:val="1"/>
      <w:numFmt w:val="bullet"/>
      <w:lvlText w:val="·"/>
      <w:lvlJc w:val="left"/>
      <w:pPr>
        <w:ind w:left="429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10CBF52">
      <w:start w:val="1"/>
      <w:numFmt w:val="bullet"/>
      <w:lvlText w:val="o"/>
      <w:lvlJc w:val="left"/>
      <w:pPr>
        <w:ind w:left="501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2027910">
      <w:start w:val="1"/>
      <w:numFmt w:val="bullet"/>
      <w:lvlText w:val="▪"/>
      <w:lvlJc w:val="left"/>
      <w:pPr>
        <w:ind w:left="573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9ECF72A">
      <w:start w:val="1"/>
      <w:numFmt w:val="bullet"/>
      <w:lvlText w:val="·"/>
      <w:lvlJc w:val="left"/>
      <w:pPr>
        <w:ind w:left="645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1940212">
      <w:start w:val="1"/>
      <w:numFmt w:val="bullet"/>
      <w:lvlText w:val="o"/>
      <w:lvlJc w:val="left"/>
      <w:pPr>
        <w:ind w:left="717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BC061F6">
      <w:start w:val="1"/>
      <w:numFmt w:val="bullet"/>
      <w:lvlText w:val="▪"/>
      <w:lvlJc w:val="left"/>
      <w:pPr>
        <w:ind w:left="789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3C320D4D"/>
    <w:multiLevelType w:val="hybridMultilevel"/>
    <w:tmpl w:val="EE0CD472"/>
    <w:styleLink w:val="Estiloimportado63"/>
    <w:lvl w:ilvl="0" w:tplc="A98AB05E">
      <w:start w:val="1"/>
      <w:numFmt w:val="upperLetter"/>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9460A158">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37481A98">
      <w:start w:val="1"/>
      <w:numFmt w:val="lowerRoman"/>
      <w:lvlText w:val="%3."/>
      <w:lvlJc w:val="left"/>
      <w:pPr>
        <w:ind w:left="2160" w:hanging="313"/>
      </w:pPr>
      <w:rPr>
        <w:rFonts w:hAnsi="Arial Unicode MS"/>
        <w:b/>
        <w:bCs/>
        <w:caps w:val="0"/>
        <w:smallCaps w:val="0"/>
        <w:strike w:val="0"/>
        <w:dstrike w:val="0"/>
        <w:outline w:val="0"/>
        <w:emboss w:val="0"/>
        <w:imprint w:val="0"/>
        <w:spacing w:val="0"/>
        <w:w w:val="100"/>
        <w:kern w:val="0"/>
        <w:position w:val="0"/>
        <w:highlight w:val="none"/>
        <w:vertAlign w:val="baseline"/>
      </w:rPr>
    </w:lvl>
    <w:lvl w:ilvl="3" w:tplc="8E582802">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2D206B80">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72DCE1E0">
      <w:start w:val="1"/>
      <w:numFmt w:val="lowerRoman"/>
      <w:lvlText w:val="%6."/>
      <w:lvlJc w:val="left"/>
      <w:pPr>
        <w:ind w:left="4320" w:hanging="313"/>
      </w:pPr>
      <w:rPr>
        <w:rFonts w:hAnsi="Arial Unicode MS"/>
        <w:b/>
        <w:bCs/>
        <w:caps w:val="0"/>
        <w:smallCaps w:val="0"/>
        <w:strike w:val="0"/>
        <w:dstrike w:val="0"/>
        <w:outline w:val="0"/>
        <w:emboss w:val="0"/>
        <w:imprint w:val="0"/>
        <w:spacing w:val="0"/>
        <w:w w:val="100"/>
        <w:kern w:val="0"/>
        <w:position w:val="0"/>
        <w:highlight w:val="none"/>
        <w:vertAlign w:val="baseline"/>
      </w:rPr>
    </w:lvl>
    <w:lvl w:ilvl="6" w:tplc="0380B8B6">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B6740FD2">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2CB475FC">
      <w:start w:val="1"/>
      <w:numFmt w:val="lowerRoman"/>
      <w:lvlText w:val="%9."/>
      <w:lvlJc w:val="left"/>
      <w:pPr>
        <w:ind w:left="6480" w:hanging="313"/>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68" w15:restartNumberingAfterBreak="0">
    <w:nsid w:val="3CE25818"/>
    <w:multiLevelType w:val="hybridMultilevel"/>
    <w:tmpl w:val="A72816E8"/>
    <w:styleLink w:val="Estiloimportado42"/>
    <w:lvl w:ilvl="0" w:tplc="286AF62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D5E418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484F57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B52A50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F0A1BE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9A6D83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D4AEBE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4D4AC2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5A09FC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3D8B4812"/>
    <w:multiLevelType w:val="hybridMultilevel"/>
    <w:tmpl w:val="59F817E4"/>
    <w:styleLink w:val="Estiloimportado32"/>
    <w:lvl w:ilvl="0" w:tplc="F9886124">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10A28758">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182E97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5A49534">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59B4A43A">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0EA16D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65CC86C">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6C0ED720">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E2A52E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0" w15:restartNumberingAfterBreak="0">
    <w:nsid w:val="3F1D71B1"/>
    <w:multiLevelType w:val="hybridMultilevel"/>
    <w:tmpl w:val="BF802DEC"/>
    <w:styleLink w:val="Estiloimportado24"/>
    <w:lvl w:ilvl="0" w:tplc="431CEA56">
      <w:start w:val="1"/>
      <w:numFmt w:val="bullet"/>
      <w:lvlText w:val="·"/>
      <w:lvlJc w:val="left"/>
      <w:pPr>
        <w:ind w:left="213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320C624">
      <w:start w:val="1"/>
      <w:numFmt w:val="bullet"/>
      <w:lvlText w:val="o"/>
      <w:lvlJc w:val="left"/>
      <w:pPr>
        <w:ind w:left="285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D2EB17A">
      <w:start w:val="1"/>
      <w:numFmt w:val="bullet"/>
      <w:lvlText w:val="▪"/>
      <w:lvlJc w:val="left"/>
      <w:pPr>
        <w:ind w:left="357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EF8887E">
      <w:start w:val="1"/>
      <w:numFmt w:val="bullet"/>
      <w:lvlText w:val="·"/>
      <w:lvlJc w:val="left"/>
      <w:pPr>
        <w:ind w:left="429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28847B4">
      <w:start w:val="1"/>
      <w:numFmt w:val="bullet"/>
      <w:lvlText w:val="o"/>
      <w:lvlJc w:val="left"/>
      <w:pPr>
        <w:ind w:left="501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698CC7E">
      <w:start w:val="1"/>
      <w:numFmt w:val="bullet"/>
      <w:lvlText w:val="▪"/>
      <w:lvlJc w:val="left"/>
      <w:pPr>
        <w:ind w:left="573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45824DA">
      <w:start w:val="1"/>
      <w:numFmt w:val="bullet"/>
      <w:lvlText w:val="·"/>
      <w:lvlJc w:val="left"/>
      <w:pPr>
        <w:ind w:left="645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C988B0A">
      <w:start w:val="1"/>
      <w:numFmt w:val="bullet"/>
      <w:lvlText w:val="o"/>
      <w:lvlJc w:val="left"/>
      <w:pPr>
        <w:ind w:left="717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A7AE0CC">
      <w:start w:val="1"/>
      <w:numFmt w:val="bullet"/>
      <w:lvlText w:val="▪"/>
      <w:lvlJc w:val="left"/>
      <w:pPr>
        <w:ind w:left="789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1" w15:restartNumberingAfterBreak="0">
    <w:nsid w:val="3F253E3D"/>
    <w:multiLevelType w:val="hybridMultilevel"/>
    <w:tmpl w:val="D360C4D6"/>
    <w:styleLink w:val="Estiloimportado4"/>
    <w:lvl w:ilvl="0" w:tplc="DE04FC08">
      <w:start w:val="1"/>
      <w:numFmt w:val="bullet"/>
      <w:lvlText w:val="·"/>
      <w:lvlJc w:val="left"/>
      <w:pPr>
        <w:ind w:left="213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69601C2">
      <w:start w:val="1"/>
      <w:numFmt w:val="bullet"/>
      <w:lvlText w:val="o"/>
      <w:lvlJc w:val="left"/>
      <w:pPr>
        <w:ind w:left="285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BE4D378">
      <w:start w:val="1"/>
      <w:numFmt w:val="bullet"/>
      <w:lvlText w:val="▪"/>
      <w:lvlJc w:val="left"/>
      <w:pPr>
        <w:ind w:left="357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F469B32">
      <w:start w:val="1"/>
      <w:numFmt w:val="bullet"/>
      <w:lvlText w:val="·"/>
      <w:lvlJc w:val="left"/>
      <w:pPr>
        <w:ind w:left="429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E3C5B78">
      <w:start w:val="1"/>
      <w:numFmt w:val="bullet"/>
      <w:lvlText w:val="o"/>
      <w:lvlJc w:val="left"/>
      <w:pPr>
        <w:ind w:left="501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0B6F250">
      <w:start w:val="1"/>
      <w:numFmt w:val="bullet"/>
      <w:lvlText w:val="▪"/>
      <w:lvlJc w:val="left"/>
      <w:pPr>
        <w:ind w:left="573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2446A34">
      <w:start w:val="1"/>
      <w:numFmt w:val="bullet"/>
      <w:lvlText w:val="·"/>
      <w:lvlJc w:val="left"/>
      <w:pPr>
        <w:ind w:left="645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7EC9C3E">
      <w:start w:val="1"/>
      <w:numFmt w:val="bullet"/>
      <w:lvlText w:val="o"/>
      <w:lvlJc w:val="left"/>
      <w:pPr>
        <w:ind w:left="717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4B441DC">
      <w:start w:val="1"/>
      <w:numFmt w:val="bullet"/>
      <w:lvlText w:val="▪"/>
      <w:lvlJc w:val="left"/>
      <w:pPr>
        <w:ind w:left="789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2" w15:restartNumberingAfterBreak="0">
    <w:nsid w:val="40F411AF"/>
    <w:multiLevelType w:val="hybridMultilevel"/>
    <w:tmpl w:val="07161BE0"/>
    <w:numStyleLink w:val="Estiloimportado71"/>
  </w:abstractNum>
  <w:abstractNum w:abstractNumId="73" w15:restartNumberingAfterBreak="0">
    <w:nsid w:val="40FF3C0C"/>
    <w:multiLevelType w:val="hybridMultilevel"/>
    <w:tmpl w:val="B5DEB9AA"/>
    <w:styleLink w:val="Estiloimportado69"/>
    <w:lvl w:ilvl="0" w:tplc="476A1F64">
      <w:start w:val="1"/>
      <w:numFmt w:val="upperLetter"/>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AC0E1D1C">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035C237E">
      <w:start w:val="1"/>
      <w:numFmt w:val="lowerRoman"/>
      <w:lvlText w:val="%3."/>
      <w:lvlJc w:val="left"/>
      <w:pPr>
        <w:ind w:left="2160" w:hanging="313"/>
      </w:pPr>
      <w:rPr>
        <w:rFonts w:hAnsi="Arial Unicode MS"/>
        <w:b/>
        <w:bCs/>
        <w:caps w:val="0"/>
        <w:smallCaps w:val="0"/>
        <w:strike w:val="0"/>
        <w:dstrike w:val="0"/>
        <w:outline w:val="0"/>
        <w:emboss w:val="0"/>
        <w:imprint w:val="0"/>
        <w:spacing w:val="0"/>
        <w:w w:val="100"/>
        <w:kern w:val="0"/>
        <w:position w:val="0"/>
        <w:highlight w:val="none"/>
        <w:vertAlign w:val="baseline"/>
      </w:rPr>
    </w:lvl>
    <w:lvl w:ilvl="3" w:tplc="1CE49CB4">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0FF0C872">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482060DA">
      <w:start w:val="1"/>
      <w:numFmt w:val="lowerRoman"/>
      <w:lvlText w:val="%6."/>
      <w:lvlJc w:val="left"/>
      <w:pPr>
        <w:ind w:left="4320" w:hanging="313"/>
      </w:pPr>
      <w:rPr>
        <w:rFonts w:hAnsi="Arial Unicode MS"/>
        <w:b/>
        <w:bCs/>
        <w:caps w:val="0"/>
        <w:smallCaps w:val="0"/>
        <w:strike w:val="0"/>
        <w:dstrike w:val="0"/>
        <w:outline w:val="0"/>
        <w:emboss w:val="0"/>
        <w:imprint w:val="0"/>
        <w:spacing w:val="0"/>
        <w:w w:val="100"/>
        <w:kern w:val="0"/>
        <w:position w:val="0"/>
        <w:highlight w:val="none"/>
        <w:vertAlign w:val="baseline"/>
      </w:rPr>
    </w:lvl>
    <w:lvl w:ilvl="6" w:tplc="EED28B3E">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6CE61400">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86AAAF38">
      <w:start w:val="1"/>
      <w:numFmt w:val="lowerRoman"/>
      <w:lvlText w:val="%9."/>
      <w:lvlJc w:val="left"/>
      <w:pPr>
        <w:ind w:left="6480" w:hanging="313"/>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74" w15:restartNumberingAfterBreak="0">
    <w:nsid w:val="42265AC1"/>
    <w:multiLevelType w:val="hybridMultilevel"/>
    <w:tmpl w:val="6A7804B8"/>
    <w:numStyleLink w:val="Estiloimportado70"/>
  </w:abstractNum>
  <w:abstractNum w:abstractNumId="75" w15:restartNumberingAfterBreak="0">
    <w:nsid w:val="42F62A2B"/>
    <w:multiLevelType w:val="hybridMultilevel"/>
    <w:tmpl w:val="E558EA88"/>
    <w:styleLink w:val="Estiloimportado35"/>
    <w:lvl w:ilvl="0" w:tplc="ECEEF6F8">
      <w:start w:val="1"/>
      <w:numFmt w:val="upperLetter"/>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16867B48">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057EEFB6">
      <w:start w:val="1"/>
      <w:numFmt w:val="lowerRoman"/>
      <w:lvlText w:val="%3."/>
      <w:lvlJc w:val="left"/>
      <w:pPr>
        <w:ind w:left="2160" w:hanging="313"/>
      </w:pPr>
      <w:rPr>
        <w:rFonts w:hAnsi="Arial Unicode MS"/>
        <w:b/>
        <w:bCs/>
        <w:caps w:val="0"/>
        <w:smallCaps w:val="0"/>
        <w:strike w:val="0"/>
        <w:dstrike w:val="0"/>
        <w:outline w:val="0"/>
        <w:emboss w:val="0"/>
        <w:imprint w:val="0"/>
        <w:spacing w:val="0"/>
        <w:w w:val="100"/>
        <w:kern w:val="0"/>
        <w:position w:val="0"/>
        <w:highlight w:val="none"/>
        <w:vertAlign w:val="baseline"/>
      </w:rPr>
    </w:lvl>
    <w:lvl w:ilvl="3" w:tplc="D92037BE">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ED58C744">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139E0CD8">
      <w:start w:val="1"/>
      <w:numFmt w:val="lowerRoman"/>
      <w:lvlText w:val="%6."/>
      <w:lvlJc w:val="left"/>
      <w:pPr>
        <w:ind w:left="4320" w:hanging="313"/>
      </w:pPr>
      <w:rPr>
        <w:rFonts w:hAnsi="Arial Unicode MS"/>
        <w:b/>
        <w:bCs/>
        <w:caps w:val="0"/>
        <w:smallCaps w:val="0"/>
        <w:strike w:val="0"/>
        <w:dstrike w:val="0"/>
        <w:outline w:val="0"/>
        <w:emboss w:val="0"/>
        <w:imprint w:val="0"/>
        <w:spacing w:val="0"/>
        <w:w w:val="100"/>
        <w:kern w:val="0"/>
        <w:position w:val="0"/>
        <w:highlight w:val="none"/>
        <w:vertAlign w:val="baseline"/>
      </w:rPr>
    </w:lvl>
    <w:lvl w:ilvl="6" w:tplc="FCC485E4">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174C42CA">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C75A3B18">
      <w:start w:val="1"/>
      <w:numFmt w:val="lowerRoman"/>
      <w:lvlText w:val="%9."/>
      <w:lvlJc w:val="left"/>
      <w:pPr>
        <w:ind w:left="6480" w:hanging="313"/>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76" w15:restartNumberingAfterBreak="0">
    <w:nsid w:val="437233E9"/>
    <w:multiLevelType w:val="hybridMultilevel"/>
    <w:tmpl w:val="00889960"/>
    <w:numStyleLink w:val="Estiloimportado9"/>
  </w:abstractNum>
  <w:abstractNum w:abstractNumId="77" w15:restartNumberingAfterBreak="0">
    <w:nsid w:val="43B654B6"/>
    <w:multiLevelType w:val="hybridMultilevel"/>
    <w:tmpl w:val="3C3C1836"/>
    <w:numStyleLink w:val="Estiloimportado49"/>
  </w:abstractNum>
  <w:abstractNum w:abstractNumId="78" w15:restartNumberingAfterBreak="0">
    <w:nsid w:val="43CC1F0D"/>
    <w:multiLevelType w:val="hybridMultilevel"/>
    <w:tmpl w:val="D360C4D6"/>
    <w:numStyleLink w:val="Estiloimportado4"/>
  </w:abstractNum>
  <w:abstractNum w:abstractNumId="79" w15:restartNumberingAfterBreak="0">
    <w:nsid w:val="44F07034"/>
    <w:multiLevelType w:val="hybridMultilevel"/>
    <w:tmpl w:val="7CE61214"/>
    <w:numStyleLink w:val="Estiloimportado61"/>
  </w:abstractNum>
  <w:abstractNum w:abstractNumId="80" w15:restartNumberingAfterBreak="0">
    <w:nsid w:val="453F3894"/>
    <w:multiLevelType w:val="hybridMultilevel"/>
    <w:tmpl w:val="ADB82190"/>
    <w:styleLink w:val="Estiloimportado11"/>
    <w:lvl w:ilvl="0" w:tplc="E20449E6">
      <w:start w:val="1"/>
      <w:numFmt w:val="upperLetter"/>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A1C1304">
      <w:start w:val="1"/>
      <w:numFmt w:val="upperLetter"/>
      <w:lvlText w:val="%2."/>
      <w:lvlJc w:val="left"/>
      <w:pPr>
        <w:ind w:left="1800" w:hanging="331"/>
      </w:pPr>
      <w:rPr>
        <w:rFonts w:hAnsi="Arial Unicode MS"/>
        <w:caps w:val="0"/>
        <w:smallCaps w:val="0"/>
        <w:strike w:val="0"/>
        <w:dstrike w:val="0"/>
        <w:outline w:val="0"/>
        <w:emboss w:val="0"/>
        <w:imprint w:val="0"/>
        <w:spacing w:val="0"/>
        <w:w w:val="100"/>
        <w:kern w:val="0"/>
        <w:position w:val="0"/>
        <w:highlight w:val="none"/>
        <w:vertAlign w:val="baseline"/>
      </w:rPr>
    </w:lvl>
    <w:lvl w:ilvl="2" w:tplc="E97017D0">
      <w:start w:val="1"/>
      <w:numFmt w:val="lowerRoman"/>
      <w:lvlText w:val="%3."/>
      <w:lvlJc w:val="left"/>
      <w:pPr>
        <w:ind w:left="252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D7268060">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270C800">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2624090">
      <w:start w:val="1"/>
      <w:numFmt w:val="lowerRoman"/>
      <w:lvlText w:val="%6."/>
      <w:lvlJc w:val="left"/>
      <w:pPr>
        <w:ind w:left="468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687CB944">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262B7C0">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A18A2D8">
      <w:start w:val="1"/>
      <w:numFmt w:val="lowerRoman"/>
      <w:lvlText w:val="%9."/>
      <w:lvlJc w:val="left"/>
      <w:pPr>
        <w:ind w:left="684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1" w15:restartNumberingAfterBreak="0">
    <w:nsid w:val="463D5EF9"/>
    <w:multiLevelType w:val="hybridMultilevel"/>
    <w:tmpl w:val="A5EE11E4"/>
    <w:styleLink w:val="Estiloimportado65"/>
    <w:lvl w:ilvl="0" w:tplc="AD8C77C0">
      <w:start w:val="1"/>
      <w:numFmt w:val="upperLetter"/>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6048FE74">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3CA26712">
      <w:start w:val="1"/>
      <w:numFmt w:val="lowerRoman"/>
      <w:lvlText w:val="%3."/>
      <w:lvlJc w:val="left"/>
      <w:pPr>
        <w:ind w:left="2160" w:hanging="313"/>
      </w:pPr>
      <w:rPr>
        <w:rFonts w:hAnsi="Arial Unicode MS"/>
        <w:b/>
        <w:bCs/>
        <w:caps w:val="0"/>
        <w:smallCaps w:val="0"/>
        <w:strike w:val="0"/>
        <w:dstrike w:val="0"/>
        <w:outline w:val="0"/>
        <w:emboss w:val="0"/>
        <w:imprint w:val="0"/>
        <w:spacing w:val="0"/>
        <w:w w:val="100"/>
        <w:kern w:val="0"/>
        <w:position w:val="0"/>
        <w:highlight w:val="none"/>
        <w:vertAlign w:val="baseline"/>
      </w:rPr>
    </w:lvl>
    <w:lvl w:ilvl="3" w:tplc="76F2868E">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721E473A">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EA90280A">
      <w:start w:val="1"/>
      <w:numFmt w:val="lowerRoman"/>
      <w:lvlText w:val="%6."/>
      <w:lvlJc w:val="left"/>
      <w:pPr>
        <w:ind w:left="4320" w:hanging="313"/>
      </w:pPr>
      <w:rPr>
        <w:rFonts w:hAnsi="Arial Unicode MS"/>
        <w:b/>
        <w:bCs/>
        <w:caps w:val="0"/>
        <w:smallCaps w:val="0"/>
        <w:strike w:val="0"/>
        <w:dstrike w:val="0"/>
        <w:outline w:val="0"/>
        <w:emboss w:val="0"/>
        <w:imprint w:val="0"/>
        <w:spacing w:val="0"/>
        <w:w w:val="100"/>
        <w:kern w:val="0"/>
        <w:position w:val="0"/>
        <w:highlight w:val="none"/>
        <w:vertAlign w:val="baseline"/>
      </w:rPr>
    </w:lvl>
    <w:lvl w:ilvl="6" w:tplc="860877F2">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1A64F58C">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939A0038">
      <w:start w:val="1"/>
      <w:numFmt w:val="lowerRoman"/>
      <w:lvlText w:val="%9."/>
      <w:lvlJc w:val="left"/>
      <w:pPr>
        <w:ind w:left="6480" w:hanging="313"/>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82" w15:restartNumberingAfterBreak="0">
    <w:nsid w:val="47141AC0"/>
    <w:multiLevelType w:val="hybridMultilevel"/>
    <w:tmpl w:val="0D76E7BE"/>
    <w:numStyleLink w:val="Estiloimportado19"/>
  </w:abstractNum>
  <w:abstractNum w:abstractNumId="83" w15:restartNumberingAfterBreak="0">
    <w:nsid w:val="478B6C46"/>
    <w:multiLevelType w:val="hybridMultilevel"/>
    <w:tmpl w:val="1990FED2"/>
    <w:styleLink w:val="Estiloimportado54"/>
    <w:lvl w:ilvl="0" w:tplc="41F0E674">
      <w:start w:val="1"/>
      <w:numFmt w:val="bullet"/>
      <w:lvlText w:val="o"/>
      <w:lvlJc w:val="left"/>
      <w:pPr>
        <w:ind w:left="106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8FBE173A">
      <w:start w:val="1"/>
      <w:numFmt w:val="bullet"/>
      <w:lvlText w:val="o"/>
      <w:lvlJc w:val="left"/>
      <w:pPr>
        <w:ind w:left="178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56603426">
      <w:start w:val="1"/>
      <w:numFmt w:val="bullet"/>
      <w:lvlText w:val="▪"/>
      <w:lvlJc w:val="left"/>
      <w:pPr>
        <w:ind w:left="250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02FCF8F8">
      <w:start w:val="1"/>
      <w:numFmt w:val="bullet"/>
      <w:lvlText w:val="•"/>
      <w:lvlJc w:val="left"/>
      <w:pPr>
        <w:ind w:left="322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D14AA1B6">
      <w:start w:val="1"/>
      <w:numFmt w:val="bullet"/>
      <w:lvlText w:val="o"/>
      <w:lvlJc w:val="left"/>
      <w:pPr>
        <w:ind w:left="394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5532BBEC">
      <w:start w:val="1"/>
      <w:numFmt w:val="bullet"/>
      <w:lvlText w:val="▪"/>
      <w:lvlJc w:val="left"/>
      <w:pPr>
        <w:ind w:left="466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E0D6F65A">
      <w:start w:val="1"/>
      <w:numFmt w:val="bullet"/>
      <w:lvlText w:val="•"/>
      <w:lvlJc w:val="left"/>
      <w:pPr>
        <w:ind w:left="538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610C7B5E">
      <w:start w:val="1"/>
      <w:numFmt w:val="bullet"/>
      <w:lvlText w:val="o"/>
      <w:lvlJc w:val="left"/>
      <w:pPr>
        <w:ind w:left="610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3BD0088A">
      <w:start w:val="1"/>
      <w:numFmt w:val="bullet"/>
      <w:lvlText w:val="▪"/>
      <w:lvlJc w:val="left"/>
      <w:pPr>
        <w:ind w:left="6828"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4" w15:restartNumberingAfterBreak="0">
    <w:nsid w:val="48907CD1"/>
    <w:multiLevelType w:val="hybridMultilevel"/>
    <w:tmpl w:val="757CBA4C"/>
    <w:styleLink w:val="Estiloimportado23"/>
    <w:lvl w:ilvl="0" w:tplc="7A94181E">
      <w:start w:val="1"/>
      <w:numFmt w:val="upperLetter"/>
      <w:lvlText w:val="%1."/>
      <w:lvlJc w:val="left"/>
      <w:pPr>
        <w:ind w:left="1068"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83A92EE">
      <w:start w:val="1"/>
      <w:numFmt w:val="lowerLetter"/>
      <w:lvlText w:val="%2."/>
      <w:lvlJc w:val="left"/>
      <w:pPr>
        <w:ind w:left="1788"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A1E5F70">
      <w:start w:val="1"/>
      <w:numFmt w:val="lowerRoman"/>
      <w:lvlText w:val="%3."/>
      <w:lvlJc w:val="left"/>
      <w:pPr>
        <w:ind w:left="2508"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AEA473CC">
      <w:start w:val="1"/>
      <w:numFmt w:val="decimal"/>
      <w:lvlText w:val="%4."/>
      <w:lvlJc w:val="left"/>
      <w:pPr>
        <w:ind w:left="3228"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A3C9D36">
      <w:start w:val="1"/>
      <w:numFmt w:val="lowerLetter"/>
      <w:lvlText w:val="%5."/>
      <w:lvlJc w:val="left"/>
      <w:pPr>
        <w:ind w:left="3948"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0DE6EBA">
      <w:start w:val="1"/>
      <w:numFmt w:val="lowerRoman"/>
      <w:lvlText w:val="%6."/>
      <w:lvlJc w:val="left"/>
      <w:pPr>
        <w:ind w:left="4668"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52CA71AA">
      <w:start w:val="1"/>
      <w:numFmt w:val="decimal"/>
      <w:lvlText w:val="%7."/>
      <w:lvlJc w:val="left"/>
      <w:pPr>
        <w:ind w:left="5388"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3D2E440">
      <w:start w:val="1"/>
      <w:numFmt w:val="lowerLetter"/>
      <w:lvlText w:val="%8."/>
      <w:lvlJc w:val="left"/>
      <w:pPr>
        <w:ind w:left="6108"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A488BF6">
      <w:start w:val="1"/>
      <w:numFmt w:val="lowerRoman"/>
      <w:lvlText w:val="%9."/>
      <w:lvlJc w:val="left"/>
      <w:pPr>
        <w:ind w:left="6828"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5" w15:restartNumberingAfterBreak="0">
    <w:nsid w:val="489B21B3"/>
    <w:multiLevelType w:val="hybridMultilevel"/>
    <w:tmpl w:val="EE42E73C"/>
    <w:styleLink w:val="Estiloimportado16"/>
    <w:lvl w:ilvl="0" w:tplc="983A8CE0">
      <w:start w:val="1"/>
      <w:numFmt w:val="bullet"/>
      <w:lvlText w:val="·"/>
      <w:lvlJc w:val="left"/>
      <w:pPr>
        <w:ind w:left="213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840CB8E">
      <w:start w:val="1"/>
      <w:numFmt w:val="bullet"/>
      <w:lvlText w:val="o"/>
      <w:lvlJc w:val="left"/>
      <w:pPr>
        <w:ind w:left="285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F76783C">
      <w:start w:val="1"/>
      <w:numFmt w:val="bullet"/>
      <w:lvlText w:val="▪"/>
      <w:lvlJc w:val="left"/>
      <w:pPr>
        <w:ind w:left="357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9067A2C">
      <w:start w:val="1"/>
      <w:numFmt w:val="bullet"/>
      <w:lvlText w:val="·"/>
      <w:lvlJc w:val="left"/>
      <w:pPr>
        <w:ind w:left="429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594A49E">
      <w:start w:val="1"/>
      <w:numFmt w:val="bullet"/>
      <w:lvlText w:val="o"/>
      <w:lvlJc w:val="left"/>
      <w:pPr>
        <w:ind w:left="501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980BD92">
      <w:start w:val="1"/>
      <w:numFmt w:val="bullet"/>
      <w:lvlText w:val="▪"/>
      <w:lvlJc w:val="left"/>
      <w:pPr>
        <w:ind w:left="573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742E960">
      <w:start w:val="1"/>
      <w:numFmt w:val="bullet"/>
      <w:lvlText w:val="·"/>
      <w:lvlJc w:val="left"/>
      <w:pPr>
        <w:ind w:left="645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4DAD6EA">
      <w:start w:val="1"/>
      <w:numFmt w:val="bullet"/>
      <w:lvlText w:val="o"/>
      <w:lvlJc w:val="left"/>
      <w:pPr>
        <w:ind w:left="717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5D415A6">
      <w:start w:val="1"/>
      <w:numFmt w:val="bullet"/>
      <w:lvlText w:val="▪"/>
      <w:lvlJc w:val="left"/>
      <w:pPr>
        <w:ind w:left="789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6" w15:restartNumberingAfterBreak="0">
    <w:nsid w:val="48BD4475"/>
    <w:multiLevelType w:val="hybridMultilevel"/>
    <w:tmpl w:val="05A855C8"/>
    <w:numStyleLink w:val="Estiloimportado26"/>
  </w:abstractNum>
  <w:abstractNum w:abstractNumId="87" w15:restartNumberingAfterBreak="0">
    <w:nsid w:val="49D815FA"/>
    <w:multiLevelType w:val="hybridMultilevel"/>
    <w:tmpl w:val="BC743596"/>
    <w:styleLink w:val="Estiloimportado39"/>
    <w:lvl w:ilvl="0" w:tplc="1E8C2D14">
      <w:start w:val="1"/>
      <w:numFmt w:val="bullet"/>
      <w:lvlText w:val="·"/>
      <w:lvlJc w:val="left"/>
      <w:pPr>
        <w:tabs>
          <w:tab w:val="left" w:pos="1080"/>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3C45146">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39F624DE">
      <w:start w:val="1"/>
      <w:numFmt w:val="bullet"/>
      <w:lvlText w:val="·"/>
      <w:lvlJc w:val="left"/>
      <w:pPr>
        <w:tabs>
          <w:tab w:val="left" w:pos="1080"/>
        </w:tabs>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9BC0B252">
      <w:start w:val="1"/>
      <w:numFmt w:val="bullet"/>
      <w:lvlText w:val="·"/>
      <w:lvlJc w:val="left"/>
      <w:pPr>
        <w:tabs>
          <w:tab w:val="left" w:pos="1080"/>
        </w:tabs>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1D209E6">
      <w:start w:val="1"/>
      <w:numFmt w:val="bullet"/>
      <w:lvlText w:val="·"/>
      <w:lvlJc w:val="left"/>
      <w:pPr>
        <w:tabs>
          <w:tab w:val="left" w:pos="108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2E3074C2">
      <w:start w:val="1"/>
      <w:numFmt w:val="bullet"/>
      <w:lvlText w:val="·"/>
      <w:lvlJc w:val="left"/>
      <w:pPr>
        <w:tabs>
          <w:tab w:val="left" w:pos="1080"/>
        </w:tabs>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980800CC">
      <w:start w:val="1"/>
      <w:numFmt w:val="bullet"/>
      <w:lvlText w:val="·"/>
      <w:lvlJc w:val="left"/>
      <w:pPr>
        <w:tabs>
          <w:tab w:val="left" w:pos="1080"/>
        </w:tabs>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93EAFD8">
      <w:start w:val="1"/>
      <w:numFmt w:val="bullet"/>
      <w:lvlText w:val="·"/>
      <w:lvlJc w:val="left"/>
      <w:pPr>
        <w:tabs>
          <w:tab w:val="left" w:pos="108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940071D8">
      <w:start w:val="1"/>
      <w:numFmt w:val="bullet"/>
      <w:lvlText w:val="·"/>
      <w:lvlJc w:val="left"/>
      <w:pPr>
        <w:tabs>
          <w:tab w:val="left" w:pos="1080"/>
        </w:tabs>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8" w15:restartNumberingAfterBreak="0">
    <w:nsid w:val="49E403BA"/>
    <w:multiLevelType w:val="hybridMultilevel"/>
    <w:tmpl w:val="17A22462"/>
    <w:numStyleLink w:val="Estiloimportado1"/>
  </w:abstractNum>
  <w:abstractNum w:abstractNumId="89" w15:restartNumberingAfterBreak="0">
    <w:nsid w:val="4A3C19CF"/>
    <w:multiLevelType w:val="hybridMultilevel"/>
    <w:tmpl w:val="4B10FC16"/>
    <w:numStyleLink w:val="Estiloimportado21"/>
  </w:abstractNum>
  <w:abstractNum w:abstractNumId="90" w15:restartNumberingAfterBreak="0">
    <w:nsid w:val="4A846C7D"/>
    <w:multiLevelType w:val="hybridMultilevel"/>
    <w:tmpl w:val="BC743596"/>
    <w:numStyleLink w:val="Estiloimportado39"/>
  </w:abstractNum>
  <w:abstractNum w:abstractNumId="91" w15:restartNumberingAfterBreak="0">
    <w:nsid w:val="4B6B79C1"/>
    <w:multiLevelType w:val="hybridMultilevel"/>
    <w:tmpl w:val="B35C796E"/>
    <w:numStyleLink w:val="Estiloimportado30"/>
  </w:abstractNum>
  <w:abstractNum w:abstractNumId="92" w15:restartNumberingAfterBreak="0">
    <w:nsid w:val="4BDC7AA4"/>
    <w:multiLevelType w:val="hybridMultilevel"/>
    <w:tmpl w:val="B08A435E"/>
    <w:numStyleLink w:val="Estiloimportado100"/>
  </w:abstractNum>
  <w:abstractNum w:abstractNumId="93" w15:restartNumberingAfterBreak="0">
    <w:nsid w:val="4E4A216E"/>
    <w:multiLevelType w:val="hybridMultilevel"/>
    <w:tmpl w:val="546C0960"/>
    <w:styleLink w:val="Estiloimportado22"/>
    <w:lvl w:ilvl="0" w:tplc="08FE51EC">
      <w:start w:val="1"/>
      <w:numFmt w:val="bullet"/>
      <w:lvlText w:val="·"/>
      <w:lvlJc w:val="left"/>
      <w:pPr>
        <w:ind w:left="213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910995A">
      <w:start w:val="1"/>
      <w:numFmt w:val="bullet"/>
      <w:lvlText w:val="o"/>
      <w:lvlJc w:val="left"/>
      <w:pPr>
        <w:ind w:left="285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4201984">
      <w:start w:val="1"/>
      <w:numFmt w:val="bullet"/>
      <w:lvlText w:val="▪"/>
      <w:lvlJc w:val="left"/>
      <w:pPr>
        <w:ind w:left="357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9B2D694">
      <w:start w:val="1"/>
      <w:numFmt w:val="bullet"/>
      <w:lvlText w:val="·"/>
      <w:lvlJc w:val="left"/>
      <w:pPr>
        <w:ind w:left="429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8FACC0E">
      <w:start w:val="1"/>
      <w:numFmt w:val="bullet"/>
      <w:lvlText w:val="o"/>
      <w:lvlJc w:val="left"/>
      <w:pPr>
        <w:ind w:left="501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FBE7F1A">
      <w:start w:val="1"/>
      <w:numFmt w:val="bullet"/>
      <w:lvlText w:val="▪"/>
      <w:lvlJc w:val="left"/>
      <w:pPr>
        <w:ind w:left="573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BD02BF0">
      <w:start w:val="1"/>
      <w:numFmt w:val="bullet"/>
      <w:lvlText w:val="·"/>
      <w:lvlJc w:val="left"/>
      <w:pPr>
        <w:ind w:left="645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53CE89C">
      <w:start w:val="1"/>
      <w:numFmt w:val="bullet"/>
      <w:lvlText w:val="o"/>
      <w:lvlJc w:val="left"/>
      <w:pPr>
        <w:ind w:left="717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C2EDA84">
      <w:start w:val="1"/>
      <w:numFmt w:val="bullet"/>
      <w:lvlText w:val="▪"/>
      <w:lvlJc w:val="left"/>
      <w:pPr>
        <w:ind w:left="789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4" w15:restartNumberingAfterBreak="0">
    <w:nsid w:val="4EC40576"/>
    <w:multiLevelType w:val="hybridMultilevel"/>
    <w:tmpl w:val="4E6E3084"/>
    <w:styleLink w:val="Estiloimportado68"/>
    <w:lvl w:ilvl="0" w:tplc="C5DAE04E">
      <w:start w:val="1"/>
      <w:numFmt w:val="decimal"/>
      <w:lvlText w:val="%1)"/>
      <w:lvlJc w:val="left"/>
      <w:pPr>
        <w:ind w:left="780" w:hanging="420"/>
      </w:pPr>
      <w:rPr>
        <w:rFonts w:hAnsi="Arial Unicode MS"/>
        <w:caps w:val="0"/>
        <w:smallCaps w:val="0"/>
        <w:strike w:val="0"/>
        <w:dstrike w:val="0"/>
        <w:outline w:val="0"/>
        <w:emboss w:val="0"/>
        <w:imprint w:val="0"/>
        <w:spacing w:val="0"/>
        <w:w w:val="100"/>
        <w:kern w:val="0"/>
        <w:position w:val="0"/>
        <w:highlight w:val="none"/>
        <w:vertAlign w:val="baseline"/>
      </w:rPr>
    </w:lvl>
    <w:lvl w:ilvl="1" w:tplc="9548626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4D252BE">
      <w:start w:val="1"/>
      <w:numFmt w:val="lowerRoman"/>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A5E85F2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62EE74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C60ADDE">
      <w:start w:val="1"/>
      <w:numFmt w:val="lowerRoman"/>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AA9A768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EAED3D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5742BB2">
      <w:start w:val="1"/>
      <w:numFmt w:val="lowerRoman"/>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5" w15:restartNumberingAfterBreak="0">
    <w:nsid w:val="4EED25BC"/>
    <w:multiLevelType w:val="hybridMultilevel"/>
    <w:tmpl w:val="0AE8E0F0"/>
    <w:numStyleLink w:val="Estiloimportado50"/>
  </w:abstractNum>
  <w:abstractNum w:abstractNumId="96" w15:restartNumberingAfterBreak="0">
    <w:nsid w:val="50744BA2"/>
    <w:multiLevelType w:val="hybridMultilevel"/>
    <w:tmpl w:val="A11C19BA"/>
    <w:styleLink w:val="Estiloimportado64"/>
    <w:lvl w:ilvl="0" w:tplc="6F06A84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33251D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DF256D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582F31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F56170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D14C8A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86E78A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C620CB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8B2E0B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7" w15:restartNumberingAfterBreak="0">
    <w:nsid w:val="50C60F3B"/>
    <w:multiLevelType w:val="hybridMultilevel"/>
    <w:tmpl w:val="33245A7C"/>
    <w:numStyleLink w:val="Estiloimportado66"/>
  </w:abstractNum>
  <w:abstractNum w:abstractNumId="98" w15:restartNumberingAfterBreak="0">
    <w:nsid w:val="51393C6E"/>
    <w:multiLevelType w:val="hybridMultilevel"/>
    <w:tmpl w:val="164EF438"/>
    <w:numStyleLink w:val="Estiloimportado29"/>
  </w:abstractNum>
  <w:abstractNum w:abstractNumId="99" w15:restartNumberingAfterBreak="0">
    <w:nsid w:val="52BB2327"/>
    <w:multiLevelType w:val="hybridMultilevel"/>
    <w:tmpl w:val="A7F86366"/>
    <w:numStyleLink w:val="Estiloimportado37"/>
  </w:abstractNum>
  <w:abstractNum w:abstractNumId="100" w15:restartNumberingAfterBreak="0">
    <w:nsid w:val="532443A7"/>
    <w:multiLevelType w:val="hybridMultilevel"/>
    <w:tmpl w:val="236C3AB0"/>
    <w:styleLink w:val="Estiloimportado47"/>
    <w:lvl w:ilvl="0" w:tplc="BC2210E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276EDB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6CC853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E920F0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608D94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E2E35F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2E8BC9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816416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F3EBE5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1" w15:restartNumberingAfterBreak="0">
    <w:nsid w:val="54325683"/>
    <w:multiLevelType w:val="hybridMultilevel"/>
    <w:tmpl w:val="570CE1AC"/>
    <w:styleLink w:val="Estiloimportado44"/>
    <w:lvl w:ilvl="0" w:tplc="2A961B50">
      <w:start w:val="1"/>
      <w:numFmt w:val="upperLetter"/>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0DBE789A">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1724331E">
      <w:start w:val="1"/>
      <w:numFmt w:val="lowerRoman"/>
      <w:lvlText w:val="%3."/>
      <w:lvlJc w:val="left"/>
      <w:pPr>
        <w:ind w:left="2160" w:hanging="313"/>
      </w:pPr>
      <w:rPr>
        <w:rFonts w:hAnsi="Arial Unicode MS"/>
        <w:b/>
        <w:bCs/>
        <w:caps w:val="0"/>
        <w:smallCaps w:val="0"/>
        <w:strike w:val="0"/>
        <w:dstrike w:val="0"/>
        <w:outline w:val="0"/>
        <w:emboss w:val="0"/>
        <w:imprint w:val="0"/>
        <w:spacing w:val="0"/>
        <w:w w:val="100"/>
        <w:kern w:val="0"/>
        <w:position w:val="0"/>
        <w:highlight w:val="none"/>
        <w:vertAlign w:val="baseline"/>
      </w:rPr>
    </w:lvl>
    <w:lvl w:ilvl="3" w:tplc="62920FA2">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F968B2F0">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34B68332">
      <w:start w:val="1"/>
      <w:numFmt w:val="lowerRoman"/>
      <w:lvlText w:val="%6."/>
      <w:lvlJc w:val="left"/>
      <w:pPr>
        <w:ind w:left="4320" w:hanging="313"/>
      </w:pPr>
      <w:rPr>
        <w:rFonts w:hAnsi="Arial Unicode MS"/>
        <w:b/>
        <w:bCs/>
        <w:caps w:val="0"/>
        <w:smallCaps w:val="0"/>
        <w:strike w:val="0"/>
        <w:dstrike w:val="0"/>
        <w:outline w:val="0"/>
        <w:emboss w:val="0"/>
        <w:imprint w:val="0"/>
        <w:spacing w:val="0"/>
        <w:w w:val="100"/>
        <w:kern w:val="0"/>
        <w:position w:val="0"/>
        <w:highlight w:val="none"/>
        <w:vertAlign w:val="baseline"/>
      </w:rPr>
    </w:lvl>
    <w:lvl w:ilvl="6" w:tplc="7B225424">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44BA0324">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FA04372C">
      <w:start w:val="1"/>
      <w:numFmt w:val="lowerRoman"/>
      <w:lvlText w:val="%9."/>
      <w:lvlJc w:val="left"/>
      <w:pPr>
        <w:ind w:left="6480" w:hanging="313"/>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2" w15:restartNumberingAfterBreak="0">
    <w:nsid w:val="55463544"/>
    <w:multiLevelType w:val="hybridMultilevel"/>
    <w:tmpl w:val="757CBA4C"/>
    <w:numStyleLink w:val="Estiloimportado23"/>
  </w:abstractNum>
  <w:abstractNum w:abstractNumId="103" w15:restartNumberingAfterBreak="0">
    <w:nsid w:val="56DF6476"/>
    <w:multiLevelType w:val="hybridMultilevel"/>
    <w:tmpl w:val="7ACEC064"/>
    <w:styleLink w:val="Estiloimportado27"/>
    <w:lvl w:ilvl="0" w:tplc="6B80AC8A">
      <w:start w:val="1"/>
      <w:numFmt w:val="upperLetter"/>
      <w:lvlText w:val="%1."/>
      <w:lvlJc w:val="left"/>
      <w:pPr>
        <w:ind w:left="1068"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9FCBE2E">
      <w:start w:val="1"/>
      <w:numFmt w:val="lowerLetter"/>
      <w:lvlText w:val="%2."/>
      <w:lvlJc w:val="left"/>
      <w:pPr>
        <w:ind w:left="1788"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C789A38">
      <w:start w:val="1"/>
      <w:numFmt w:val="lowerRoman"/>
      <w:lvlText w:val="%3."/>
      <w:lvlJc w:val="left"/>
      <w:pPr>
        <w:ind w:left="2508"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CB8C45F6">
      <w:start w:val="1"/>
      <w:numFmt w:val="decimal"/>
      <w:lvlText w:val="%4."/>
      <w:lvlJc w:val="left"/>
      <w:pPr>
        <w:ind w:left="3228"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C90B81E">
      <w:start w:val="1"/>
      <w:numFmt w:val="lowerLetter"/>
      <w:lvlText w:val="%5."/>
      <w:lvlJc w:val="left"/>
      <w:pPr>
        <w:ind w:left="3948"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4123642">
      <w:start w:val="1"/>
      <w:numFmt w:val="lowerRoman"/>
      <w:lvlText w:val="%6."/>
      <w:lvlJc w:val="left"/>
      <w:pPr>
        <w:ind w:left="4668"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EAA44132">
      <w:start w:val="1"/>
      <w:numFmt w:val="decimal"/>
      <w:lvlText w:val="%7."/>
      <w:lvlJc w:val="left"/>
      <w:pPr>
        <w:ind w:left="5388"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0C09008">
      <w:start w:val="1"/>
      <w:numFmt w:val="lowerLetter"/>
      <w:lvlText w:val="%8."/>
      <w:lvlJc w:val="left"/>
      <w:pPr>
        <w:ind w:left="6108"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A30D2AA">
      <w:start w:val="1"/>
      <w:numFmt w:val="lowerRoman"/>
      <w:lvlText w:val="%9."/>
      <w:lvlJc w:val="left"/>
      <w:pPr>
        <w:ind w:left="6828"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4" w15:restartNumberingAfterBreak="0">
    <w:nsid w:val="56E67E37"/>
    <w:multiLevelType w:val="hybridMultilevel"/>
    <w:tmpl w:val="BE5A05F0"/>
    <w:styleLink w:val="Estiloimportado20"/>
    <w:lvl w:ilvl="0" w:tplc="45F08CCA">
      <w:start w:val="1"/>
      <w:numFmt w:val="bullet"/>
      <w:lvlText w:val="·"/>
      <w:lvlJc w:val="left"/>
      <w:pPr>
        <w:ind w:left="213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A24BF38">
      <w:start w:val="1"/>
      <w:numFmt w:val="bullet"/>
      <w:lvlText w:val="o"/>
      <w:lvlJc w:val="left"/>
      <w:pPr>
        <w:ind w:left="285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A727990">
      <w:start w:val="1"/>
      <w:numFmt w:val="bullet"/>
      <w:lvlText w:val="▪"/>
      <w:lvlJc w:val="left"/>
      <w:pPr>
        <w:ind w:left="357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2146DFE">
      <w:start w:val="1"/>
      <w:numFmt w:val="bullet"/>
      <w:lvlText w:val="·"/>
      <w:lvlJc w:val="left"/>
      <w:pPr>
        <w:ind w:left="429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A06B4CE">
      <w:start w:val="1"/>
      <w:numFmt w:val="bullet"/>
      <w:lvlText w:val="o"/>
      <w:lvlJc w:val="left"/>
      <w:pPr>
        <w:ind w:left="501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4F0BA3E">
      <w:start w:val="1"/>
      <w:numFmt w:val="bullet"/>
      <w:lvlText w:val="▪"/>
      <w:lvlJc w:val="left"/>
      <w:pPr>
        <w:ind w:left="573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2B61788">
      <w:start w:val="1"/>
      <w:numFmt w:val="bullet"/>
      <w:lvlText w:val="·"/>
      <w:lvlJc w:val="left"/>
      <w:pPr>
        <w:ind w:left="645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E282E72">
      <w:start w:val="1"/>
      <w:numFmt w:val="bullet"/>
      <w:lvlText w:val="o"/>
      <w:lvlJc w:val="left"/>
      <w:pPr>
        <w:ind w:left="717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D74E8C6">
      <w:start w:val="1"/>
      <w:numFmt w:val="bullet"/>
      <w:lvlText w:val="▪"/>
      <w:lvlJc w:val="left"/>
      <w:pPr>
        <w:ind w:left="789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5" w15:restartNumberingAfterBreak="0">
    <w:nsid w:val="573C6916"/>
    <w:multiLevelType w:val="hybridMultilevel"/>
    <w:tmpl w:val="92A8E160"/>
    <w:styleLink w:val="Estiloimportado28"/>
    <w:lvl w:ilvl="0" w:tplc="DADE22D2">
      <w:start w:val="1"/>
      <w:numFmt w:val="bullet"/>
      <w:lvlText w:val="·"/>
      <w:lvlJc w:val="left"/>
      <w:pPr>
        <w:ind w:left="178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8194">
      <w:start w:val="1"/>
      <w:numFmt w:val="bullet"/>
      <w:lvlText w:val="o"/>
      <w:lvlJc w:val="left"/>
      <w:pPr>
        <w:ind w:left="250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F2414D2">
      <w:start w:val="1"/>
      <w:numFmt w:val="bullet"/>
      <w:lvlText w:val="▪"/>
      <w:lvlJc w:val="left"/>
      <w:pPr>
        <w:ind w:left="322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2DE29EA">
      <w:start w:val="1"/>
      <w:numFmt w:val="bullet"/>
      <w:lvlText w:val="·"/>
      <w:lvlJc w:val="left"/>
      <w:pPr>
        <w:ind w:left="394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4387F36">
      <w:start w:val="1"/>
      <w:numFmt w:val="bullet"/>
      <w:lvlText w:val="o"/>
      <w:lvlJc w:val="left"/>
      <w:pPr>
        <w:ind w:left="466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7D6D652">
      <w:start w:val="1"/>
      <w:numFmt w:val="bullet"/>
      <w:lvlText w:val="▪"/>
      <w:lvlJc w:val="left"/>
      <w:pPr>
        <w:ind w:left="538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8DA2F18">
      <w:start w:val="1"/>
      <w:numFmt w:val="bullet"/>
      <w:lvlText w:val="·"/>
      <w:lvlJc w:val="left"/>
      <w:pPr>
        <w:ind w:left="610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04C1FF6">
      <w:start w:val="1"/>
      <w:numFmt w:val="bullet"/>
      <w:lvlText w:val="o"/>
      <w:lvlJc w:val="left"/>
      <w:pPr>
        <w:ind w:left="682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BF42382">
      <w:start w:val="1"/>
      <w:numFmt w:val="bullet"/>
      <w:lvlText w:val="▪"/>
      <w:lvlJc w:val="left"/>
      <w:pPr>
        <w:ind w:left="754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6" w15:restartNumberingAfterBreak="0">
    <w:nsid w:val="57F65160"/>
    <w:multiLevelType w:val="hybridMultilevel"/>
    <w:tmpl w:val="17A22462"/>
    <w:styleLink w:val="Estiloimportado1"/>
    <w:lvl w:ilvl="0" w:tplc="4768E98C">
      <w:start w:val="1"/>
      <w:numFmt w:val="upperRoman"/>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1" w:tplc="5C802D08">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F54AAAB4">
      <w:start w:val="1"/>
      <w:numFmt w:val="lowerRoman"/>
      <w:lvlText w:val="%3."/>
      <w:lvlJc w:val="left"/>
      <w:pPr>
        <w:ind w:left="180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28A25274">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B25E3488">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9A7C02AE">
      <w:start w:val="1"/>
      <w:numFmt w:val="lowerRoman"/>
      <w:lvlText w:val="%6."/>
      <w:lvlJc w:val="left"/>
      <w:pPr>
        <w:ind w:left="396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14C0520C">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2ECE02BE">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701AFA40">
      <w:start w:val="1"/>
      <w:numFmt w:val="lowerRoman"/>
      <w:lvlText w:val="%9."/>
      <w:lvlJc w:val="left"/>
      <w:pPr>
        <w:ind w:left="612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7" w15:restartNumberingAfterBreak="0">
    <w:nsid w:val="58034643"/>
    <w:multiLevelType w:val="hybridMultilevel"/>
    <w:tmpl w:val="A11C19BA"/>
    <w:numStyleLink w:val="Estiloimportado64"/>
  </w:abstractNum>
  <w:abstractNum w:abstractNumId="108" w15:restartNumberingAfterBreak="0">
    <w:nsid w:val="587A092B"/>
    <w:multiLevelType w:val="hybridMultilevel"/>
    <w:tmpl w:val="E558EA88"/>
    <w:numStyleLink w:val="Estiloimportado35"/>
  </w:abstractNum>
  <w:abstractNum w:abstractNumId="109" w15:restartNumberingAfterBreak="0">
    <w:nsid w:val="59FB3080"/>
    <w:multiLevelType w:val="hybridMultilevel"/>
    <w:tmpl w:val="CB2A8ADA"/>
    <w:styleLink w:val="Estiloimportado55"/>
    <w:lvl w:ilvl="0" w:tplc="64903FB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976552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D9AC77C">
      <w:start w:val="1"/>
      <w:numFmt w:val="lowerRoman"/>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6AD25F8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1B2DB6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A744B82">
      <w:start w:val="1"/>
      <w:numFmt w:val="lowerRoman"/>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249A7B7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270ECD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C9EBCE6">
      <w:start w:val="1"/>
      <w:numFmt w:val="lowerRoman"/>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0" w15:restartNumberingAfterBreak="0">
    <w:nsid w:val="5A066EF5"/>
    <w:multiLevelType w:val="hybridMultilevel"/>
    <w:tmpl w:val="183AE9AA"/>
    <w:numStyleLink w:val="Estiloimportado34"/>
  </w:abstractNum>
  <w:abstractNum w:abstractNumId="111" w15:restartNumberingAfterBreak="0">
    <w:nsid w:val="5AD565E8"/>
    <w:multiLevelType w:val="hybridMultilevel"/>
    <w:tmpl w:val="6238819E"/>
    <w:numStyleLink w:val="Estiloimportado13"/>
  </w:abstractNum>
  <w:abstractNum w:abstractNumId="112" w15:restartNumberingAfterBreak="0">
    <w:nsid w:val="5BF16E40"/>
    <w:multiLevelType w:val="hybridMultilevel"/>
    <w:tmpl w:val="A7F86366"/>
    <w:styleLink w:val="Estiloimportado37"/>
    <w:lvl w:ilvl="0" w:tplc="BEEC0C0C">
      <w:start w:val="1"/>
      <w:numFmt w:val="lowerLetter"/>
      <w:lvlText w:val="%1)"/>
      <w:lvlJc w:val="left"/>
      <w:pPr>
        <w:ind w:left="720" w:hanging="36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8"/>
        <w:szCs w:val="18"/>
        <w:highlight w:val="none"/>
        <w:vertAlign w:val="baseline"/>
      </w:rPr>
    </w:lvl>
    <w:lvl w:ilvl="1" w:tplc="97DC4242">
      <w:start w:val="1"/>
      <w:numFmt w:val="decimal"/>
      <w:lvlText w:val="%2."/>
      <w:lvlJc w:val="left"/>
      <w:pPr>
        <w:ind w:left="1470" w:hanging="39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526C8150">
      <w:start w:val="1"/>
      <w:numFmt w:val="lowerRoman"/>
      <w:lvlText w:val="%3."/>
      <w:lvlJc w:val="left"/>
      <w:pPr>
        <w:ind w:left="2160" w:hanging="31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7F7A13B8">
      <w:start w:val="1"/>
      <w:numFmt w:val="decimal"/>
      <w:lvlText w:val="%4."/>
      <w:lvlJc w:val="left"/>
      <w:pPr>
        <w:ind w:left="2880" w:hanging="36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F7B21F34">
      <w:start w:val="1"/>
      <w:numFmt w:val="lowerLetter"/>
      <w:lvlText w:val="%5."/>
      <w:lvlJc w:val="left"/>
      <w:pPr>
        <w:ind w:left="3600" w:hanging="36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80385184">
      <w:start w:val="1"/>
      <w:numFmt w:val="lowerRoman"/>
      <w:lvlText w:val="%6."/>
      <w:lvlJc w:val="left"/>
      <w:pPr>
        <w:ind w:left="4320" w:hanging="31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B218E048">
      <w:start w:val="1"/>
      <w:numFmt w:val="decimal"/>
      <w:lvlText w:val="%7."/>
      <w:lvlJc w:val="left"/>
      <w:pPr>
        <w:ind w:left="5040" w:hanging="36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EB1A0172">
      <w:start w:val="1"/>
      <w:numFmt w:val="lowerLetter"/>
      <w:lvlText w:val="%8."/>
      <w:lvlJc w:val="left"/>
      <w:pPr>
        <w:ind w:left="5760" w:hanging="36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F09AEB9C">
      <w:start w:val="1"/>
      <w:numFmt w:val="lowerRoman"/>
      <w:lvlText w:val="%9."/>
      <w:lvlJc w:val="left"/>
      <w:pPr>
        <w:ind w:left="6480" w:hanging="31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13" w15:restartNumberingAfterBreak="0">
    <w:nsid w:val="5DB53CC0"/>
    <w:multiLevelType w:val="hybridMultilevel"/>
    <w:tmpl w:val="B5DEB9AA"/>
    <w:numStyleLink w:val="Estiloimportado69"/>
  </w:abstractNum>
  <w:abstractNum w:abstractNumId="114" w15:restartNumberingAfterBreak="0">
    <w:nsid w:val="5DC17B4A"/>
    <w:multiLevelType w:val="hybridMultilevel"/>
    <w:tmpl w:val="2CA40698"/>
    <w:numStyleLink w:val="Estiloimportado67"/>
  </w:abstractNum>
  <w:abstractNum w:abstractNumId="115" w15:restartNumberingAfterBreak="0">
    <w:nsid w:val="61222870"/>
    <w:multiLevelType w:val="hybridMultilevel"/>
    <w:tmpl w:val="E3CCC396"/>
    <w:numStyleLink w:val="Estiloimportado14"/>
  </w:abstractNum>
  <w:abstractNum w:abstractNumId="116" w15:restartNumberingAfterBreak="0">
    <w:nsid w:val="64B5320E"/>
    <w:multiLevelType w:val="hybridMultilevel"/>
    <w:tmpl w:val="164EF438"/>
    <w:styleLink w:val="Estiloimportado29"/>
    <w:lvl w:ilvl="0" w:tplc="B27E2122">
      <w:start w:val="1"/>
      <w:numFmt w:val="upperRoman"/>
      <w:lvlText w:val="%1."/>
      <w:lvlJc w:val="left"/>
      <w:pPr>
        <w:ind w:left="108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1" w:tplc="914CB84E">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FA9A91FE">
      <w:start w:val="1"/>
      <w:numFmt w:val="lowerRoman"/>
      <w:lvlText w:val="%3."/>
      <w:lvlJc w:val="left"/>
      <w:pPr>
        <w:ind w:left="2160" w:hanging="313"/>
      </w:pPr>
      <w:rPr>
        <w:rFonts w:hAnsi="Arial Unicode MS"/>
        <w:b/>
        <w:bCs/>
        <w:caps w:val="0"/>
        <w:smallCaps w:val="0"/>
        <w:strike w:val="0"/>
        <w:dstrike w:val="0"/>
        <w:outline w:val="0"/>
        <w:emboss w:val="0"/>
        <w:imprint w:val="0"/>
        <w:spacing w:val="0"/>
        <w:w w:val="100"/>
        <w:kern w:val="0"/>
        <w:position w:val="0"/>
        <w:highlight w:val="none"/>
        <w:vertAlign w:val="baseline"/>
      </w:rPr>
    </w:lvl>
    <w:lvl w:ilvl="3" w:tplc="3BD83406">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353CBBC0">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5BD44EC4">
      <w:start w:val="1"/>
      <w:numFmt w:val="lowerRoman"/>
      <w:lvlText w:val="%6."/>
      <w:lvlJc w:val="left"/>
      <w:pPr>
        <w:ind w:left="4320" w:hanging="313"/>
      </w:pPr>
      <w:rPr>
        <w:rFonts w:hAnsi="Arial Unicode MS"/>
        <w:b/>
        <w:bCs/>
        <w:caps w:val="0"/>
        <w:smallCaps w:val="0"/>
        <w:strike w:val="0"/>
        <w:dstrike w:val="0"/>
        <w:outline w:val="0"/>
        <w:emboss w:val="0"/>
        <w:imprint w:val="0"/>
        <w:spacing w:val="0"/>
        <w:w w:val="100"/>
        <w:kern w:val="0"/>
        <w:position w:val="0"/>
        <w:highlight w:val="none"/>
        <w:vertAlign w:val="baseline"/>
      </w:rPr>
    </w:lvl>
    <w:lvl w:ilvl="6" w:tplc="0DDAA506">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485EB6C4">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F96ADD20">
      <w:start w:val="1"/>
      <w:numFmt w:val="lowerRoman"/>
      <w:lvlText w:val="%9."/>
      <w:lvlJc w:val="left"/>
      <w:pPr>
        <w:ind w:left="6480" w:hanging="313"/>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7" w15:restartNumberingAfterBreak="0">
    <w:nsid w:val="65B63850"/>
    <w:multiLevelType w:val="hybridMultilevel"/>
    <w:tmpl w:val="90A472D2"/>
    <w:numStyleLink w:val="Estiloimportado10"/>
  </w:abstractNum>
  <w:abstractNum w:abstractNumId="118" w15:restartNumberingAfterBreak="0">
    <w:nsid w:val="660C2B58"/>
    <w:multiLevelType w:val="hybridMultilevel"/>
    <w:tmpl w:val="1990FED2"/>
    <w:numStyleLink w:val="Estiloimportado54"/>
  </w:abstractNum>
  <w:abstractNum w:abstractNumId="119" w15:restartNumberingAfterBreak="0">
    <w:nsid w:val="66E52E95"/>
    <w:multiLevelType w:val="hybridMultilevel"/>
    <w:tmpl w:val="75223AC8"/>
    <w:numStyleLink w:val="Estiloimportado17"/>
  </w:abstractNum>
  <w:abstractNum w:abstractNumId="120" w15:restartNumberingAfterBreak="0">
    <w:nsid w:val="6B4B612C"/>
    <w:multiLevelType w:val="hybridMultilevel"/>
    <w:tmpl w:val="2CA40698"/>
    <w:styleLink w:val="Estiloimportado67"/>
    <w:lvl w:ilvl="0" w:tplc="388CE0CE">
      <w:start w:val="1"/>
      <w:numFmt w:val="upperLetter"/>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FD3A3D24">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01766C4E">
      <w:start w:val="1"/>
      <w:numFmt w:val="lowerRoman"/>
      <w:lvlText w:val="%3."/>
      <w:lvlJc w:val="left"/>
      <w:pPr>
        <w:ind w:left="2160" w:hanging="313"/>
      </w:pPr>
      <w:rPr>
        <w:rFonts w:hAnsi="Arial Unicode MS"/>
        <w:b/>
        <w:bCs/>
        <w:caps w:val="0"/>
        <w:smallCaps w:val="0"/>
        <w:strike w:val="0"/>
        <w:dstrike w:val="0"/>
        <w:outline w:val="0"/>
        <w:emboss w:val="0"/>
        <w:imprint w:val="0"/>
        <w:spacing w:val="0"/>
        <w:w w:val="100"/>
        <w:kern w:val="0"/>
        <w:position w:val="0"/>
        <w:highlight w:val="none"/>
        <w:vertAlign w:val="baseline"/>
      </w:rPr>
    </w:lvl>
    <w:lvl w:ilvl="3" w:tplc="6B90C9F4">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34088642">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0C3CDB88">
      <w:start w:val="1"/>
      <w:numFmt w:val="lowerRoman"/>
      <w:lvlText w:val="%6."/>
      <w:lvlJc w:val="left"/>
      <w:pPr>
        <w:ind w:left="4320" w:hanging="313"/>
      </w:pPr>
      <w:rPr>
        <w:rFonts w:hAnsi="Arial Unicode MS"/>
        <w:b/>
        <w:bCs/>
        <w:caps w:val="0"/>
        <w:smallCaps w:val="0"/>
        <w:strike w:val="0"/>
        <w:dstrike w:val="0"/>
        <w:outline w:val="0"/>
        <w:emboss w:val="0"/>
        <w:imprint w:val="0"/>
        <w:spacing w:val="0"/>
        <w:w w:val="100"/>
        <w:kern w:val="0"/>
        <w:position w:val="0"/>
        <w:highlight w:val="none"/>
        <w:vertAlign w:val="baseline"/>
      </w:rPr>
    </w:lvl>
    <w:lvl w:ilvl="6" w:tplc="6FA23812">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59EAF886">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B4688E16">
      <w:start w:val="1"/>
      <w:numFmt w:val="lowerRoman"/>
      <w:lvlText w:val="%9."/>
      <w:lvlJc w:val="left"/>
      <w:pPr>
        <w:ind w:left="6480" w:hanging="313"/>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21" w15:restartNumberingAfterBreak="0">
    <w:nsid w:val="6CFD6233"/>
    <w:multiLevelType w:val="hybridMultilevel"/>
    <w:tmpl w:val="8D88000A"/>
    <w:numStyleLink w:val="Estiloimportado45"/>
  </w:abstractNum>
  <w:abstractNum w:abstractNumId="122" w15:restartNumberingAfterBreak="0">
    <w:nsid w:val="71F05564"/>
    <w:multiLevelType w:val="hybridMultilevel"/>
    <w:tmpl w:val="3C3C1836"/>
    <w:styleLink w:val="Estiloimportado49"/>
    <w:lvl w:ilvl="0" w:tplc="16FE6EB4">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43A47A6">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18E715E">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CC2F99A">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F6847A6">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408DE42">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772F00C">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4A0116E">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7CC2F22">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3" w15:restartNumberingAfterBreak="0">
    <w:nsid w:val="735E2F80"/>
    <w:multiLevelType w:val="hybridMultilevel"/>
    <w:tmpl w:val="E0C43CAE"/>
    <w:styleLink w:val="Estiloimportado57"/>
    <w:lvl w:ilvl="0" w:tplc="6BECA0A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5D27070">
      <w:start w:val="1"/>
      <w:numFmt w:val="bullet"/>
      <w:lvlText w:val="·"/>
      <w:lvlJc w:val="left"/>
      <w:pPr>
        <w:ind w:left="1785" w:hanging="705"/>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FAE0161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4220E9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AC2BCC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148E0A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8D2D63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2C8E9C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38EDA8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4" w15:restartNumberingAfterBreak="0">
    <w:nsid w:val="736A031E"/>
    <w:multiLevelType w:val="hybridMultilevel"/>
    <w:tmpl w:val="6C78B134"/>
    <w:numStyleLink w:val="Estiloimportado12"/>
  </w:abstractNum>
  <w:abstractNum w:abstractNumId="125" w15:restartNumberingAfterBreak="0">
    <w:nsid w:val="74535E53"/>
    <w:multiLevelType w:val="hybridMultilevel"/>
    <w:tmpl w:val="51DE00AE"/>
    <w:numStyleLink w:val="Estiloimportado59"/>
  </w:abstractNum>
  <w:abstractNum w:abstractNumId="126" w15:restartNumberingAfterBreak="0">
    <w:nsid w:val="74937B98"/>
    <w:multiLevelType w:val="hybridMultilevel"/>
    <w:tmpl w:val="B8A421DE"/>
    <w:styleLink w:val="Estiloimportado5"/>
    <w:lvl w:ilvl="0" w:tplc="85AC80DE">
      <w:start w:val="1"/>
      <w:numFmt w:val="upperLetter"/>
      <w:lvlText w:val="%1."/>
      <w:lvlJc w:val="left"/>
      <w:pPr>
        <w:ind w:left="1068"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CC4A9C2">
      <w:start w:val="1"/>
      <w:numFmt w:val="lowerLetter"/>
      <w:lvlText w:val="%2."/>
      <w:lvlJc w:val="left"/>
      <w:pPr>
        <w:ind w:left="1788"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972C394">
      <w:start w:val="1"/>
      <w:numFmt w:val="lowerRoman"/>
      <w:lvlText w:val="%3."/>
      <w:lvlJc w:val="left"/>
      <w:pPr>
        <w:ind w:left="2508"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90081FEE">
      <w:start w:val="1"/>
      <w:numFmt w:val="decimal"/>
      <w:lvlText w:val="%4."/>
      <w:lvlJc w:val="left"/>
      <w:pPr>
        <w:ind w:left="3228"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16877BA">
      <w:start w:val="1"/>
      <w:numFmt w:val="lowerLetter"/>
      <w:lvlText w:val="%5."/>
      <w:lvlJc w:val="left"/>
      <w:pPr>
        <w:ind w:left="3948"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B7896CE">
      <w:start w:val="1"/>
      <w:numFmt w:val="lowerRoman"/>
      <w:lvlText w:val="%6."/>
      <w:lvlJc w:val="left"/>
      <w:pPr>
        <w:ind w:left="4668"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FDCE5462">
      <w:start w:val="1"/>
      <w:numFmt w:val="decimal"/>
      <w:lvlText w:val="%7."/>
      <w:lvlJc w:val="left"/>
      <w:pPr>
        <w:ind w:left="5388"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8A25A42">
      <w:start w:val="1"/>
      <w:numFmt w:val="lowerLetter"/>
      <w:lvlText w:val="%8."/>
      <w:lvlJc w:val="left"/>
      <w:pPr>
        <w:ind w:left="6108"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972A7AE">
      <w:start w:val="1"/>
      <w:numFmt w:val="lowerRoman"/>
      <w:lvlText w:val="%9."/>
      <w:lvlJc w:val="left"/>
      <w:pPr>
        <w:ind w:left="6828"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7" w15:restartNumberingAfterBreak="0">
    <w:nsid w:val="75395B71"/>
    <w:multiLevelType w:val="hybridMultilevel"/>
    <w:tmpl w:val="91F27E54"/>
    <w:numStyleLink w:val="Estiloimportado15"/>
  </w:abstractNum>
  <w:abstractNum w:abstractNumId="128" w15:restartNumberingAfterBreak="0">
    <w:nsid w:val="76B1438B"/>
    <w:multiLevelType w:val="hybridMultilevel"/>
    <w:tmpl w:val="BF802DEC"/>
    <w:numStyleLink w:val="Estiloimportado24"/>
  </w:abstractNum>
  <w:abstractNum w:abstractNumId="129" w15:restartNumberingAfterBreak="0">
    <w:nsid w:val="77302F41"/>
    <w:multiLevelType w:val="hybridMultilevel"/>
    <w:tmpl w:val="05A855C8"/>
    <w:styleLink w:val="Estiloimportado26"/>
    <w:lvl w:ilvl="0" w:tplc="45BCCC84">
      <w:start w:val="1"/>
      <w:numFmt w:val="bullet"/>
      <w:lvlText w:val="·"/>
      <w:lvlJc w:val="left"/>
      <w:pPr>
        <w:ind w:left="213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0ACC0E0">
      <w:start w:val="1"/>
      <w:numFmt w:val="bullet"/>
      <w:lvlText w:val="o"/>
      <w:lvlJc w:val="left"/>
      <w:pPr>
        <w:ind w:left="285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7860774">
      <w:start w:val="1"/>
      <w:numFmt w:val="bullet"/>
      <w:lvlText w:val="▪"/>
      <w:lvlJc w:val="left"/>
      <w:pPr>
        <w:ind w:left="357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A90AD3E">
      <w:start w:val="1"/>
      <w:numFmt w:val="bullet"/>
      <w:lvlText w:val="·"/>
      <w:lvlJc w:val="left"/>
      <w:pPr>
        <w:ind w:left="429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C1A0C56">
      <w:start w:val="1"/>
      <w:numFmt w:val="bullet"/>
      <w:lvlText w:val="o"/>
      <w:lvlJc w:val="left"/>
      <w:pPr>
        <w:ind w:left="501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79261B0">
      <w:start w:val="1"/>
      <w:numFmt w:val="bullet"/>
      <w:lvlText w:val="▪"/>
      <w:lvlJc w:val="left"/>
      <w:pPr>
        <w:ind w:left="573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ABA87EE">
      <w:start w:val="1"/>
      <w:numFmt w:val="bullet"/>
      <w:lvlText w:val="·"/>
      <w:lvlJc w:val="left"/>
      <w:pPr>
        <w:ind w:left="645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1A8EA72">
      <w:start w:val="1"/>
      <w:numFmt w:val="bullet"/>
      <w:lvlText w:val="o"/>
      <w:lvlJc w:val="left"/>
      <w:pPr>
        <w:ind w:left="717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A98A53A">
      <w:start w:val="1"/>
      <w:numFmt w:val="bullet"/>
      <w:lvlText w:val="▪"/>
      <w:lvlJc w:val="left"/>
      <w:pPr>
        <w:ind w:left="789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0" w15:restartNumberingAfterBreak="0">
    <w:nsid w:val="774157A7"/>
    <w:multiLevelType w:val="hybridMultilevel"/>
    <w:tmpl w:val="F1B8CF78"/>
    <w:styleLink w:val="Estiloimportado48"/>
    <w:lvl w:ilvl="0" w:tplc="ADF897C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68662D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B38D37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D685AD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ADE0ED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C083AA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F1661D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174283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280BB8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1" w15:restartNumberingAfterBreak="0">
    <w:nsid w:val="785E701C"/>
    <w:multiLevelType w:val="hybridMultilevel"/>
    <w:tmpl w:val="0D6648FA"/>
    <w:numStyleLink w:val="Estiloimportado2"/>
  </w:abstractNum>
  <w:abstractNum w:abstractNumId="132" w15:restartNumberingAfterBreak="0">
    <w:nsid w:val="79126D0F"/>
    <w:multiLevelType w:val="hybridMultilevel"/>
    <w:tmpl w:val="07301728"/>
    <w:numStyleLink w:val="Estiloimportado62"/>
  </w:abstractNum>
  <w:abstractNum w:abstractNumId="133" w15:restartNumberingAfterBreak="0">
    <w:nsid w:val="7946512B"/>
    <w:multiLevelType w:val="hybridMultilevel"/>
    <w:tmpl w:val="B8A421DE"/>
    <w:numStyleLink w:val="Estiloimportado5"/>
  </w:abstractNum>
  <w:abstractNum w:abstractNumId="134" w15:restartNumberingAfterBreak="0">
    <w:nsid w:val="79C433CC"/>
    <w:multiLevelType w:val="hybridMultilevel"/>
    <w:tmpl w:val="B08A435E"/>
    <w:styleLink w:val="Estiloimportado100"/>
    <w:lvl w:ilvl="0" w:tplc="F0E4ED96">
      <w:start w:val="1"/>
      <w:numFmt w:val="bullet"/>
      <w:lvlText w:val="·"/>
      <w:lvlJc w:val="left"/>
      <w:pPr>
        <w:ind w:left="213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02A0E34">
      <w:start w:val="1"/>
      <w:numFmt w:val="bullet"/>
      <w:lvlText w:val="o"/>
      <w:lvlJc w:val="left"/>
      <w:pPr>
        <w:ind w:left="285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9DE080A">
      <w:start w:val="1"/>
      <w:numFmt w:val="bullet"/>
      <w:lvlText w:val="▪"/>
      <w:lvlJc w:val="left"/>
      <w:pPr>
        <w:ind w:left="357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062E214">
      <w:start w:val="1"/>
      <w:numFmt w:val="bullet"/>
      <w:lvlText w:val="·"/>
      <w:lvlJc w:val="left"/>
      <w:pPr>
        <w:ind w:left="429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C8C8BD2">
      <w:start w:val="1"/>
      <w:numFmt w:val="bullet"/>
      <w:lvlText w:val="o"/>
      <w:lvlJc w:val="left"/>
      <w:pPr>
        <w:ind w:left="501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978C12E">
      <w:start w:val="1"/>
      <w:numFmt w:val="bullet"/>
      <w:lvlText w:val="▪"/>
      <w:lvlJc w:val="left"/>
      <w:pPr>
        <w:ind w:left="573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3679D0">
      <w:start w:val="1"/>
      <w:numFmt w:val="bullet"/>
      <w:lvlText w:val="·"/>
      <w:lvlJc w:val="left"/>
      <w:pPr>
        <w:ind w:left="645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3446BEA">
      <w:start w:val="1"/>
      <w:numFmt w:val="bullet"/>
      <w:lvlText w:val="o"/>
      <w:lvlJc w:val="left"/>
      <w:pPr>
        <w:ind w:left="717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6FECCEE">
      <w:start w:val="1"/>
      <w:numFmt w:val="bullet"/>
      <w:lvlText w:val="▪"/>
      <w:lvlJc w:val="left"/>
      <w:pPr>
        <w:ind w:left="789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5" w15:restartNumberingAfterBreak="0">
    <w:nsid w:val="7A167CCB"/>
    <w:multiLevelType w:val="hybridMultilevel"/>
    <w:tmpl w:val="91F27E54"/>
    <w:styleLink w:val="Estiloimportado15"/>
    <w:lvl w:ilvl="0" w:tplc="F7DEB15E">
      <w:start w:val="1"/>
      <w:numFmt w:val="bullet"/>
      <w:lvlText w:val="·"/>
      <w:lvlJc w:val="left"/>
      <w:pPr>
        <w:ind w:left="213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0C0DF1A">
      <w:start w:val="1"/>
      <w:numFmt w:val="bullet"/>
      <w:lvlText w:val="o"/>
      <w:lvlJc w:val="left"/>
      <w:pPr>
        <w:ind w:left="285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9B406D8">
      <w:start w:val="1"/>
      <w:numFmt w:val="bullet"/>
      <w:lvlText w:val="▪"/>
      <w:lvlJc w:val="left"/>
      <w:pPr>
        <w:ind w:left="357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B409192">
      <w:start w:val="1"/>
      <w:numFmt w:val="bullet"/>
      <w:lvlText w:val="·"/>
      <w:lvlJc w:val="left"/>
      <w:pPr>
        <w:ind w:left="429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072283A">
      <w:start w:val="1"/>
      <w:numFmt w:val="bullet"/>
      <w:lvlText w:val="o"/>
      <w:lvlJc w:val="left"/>
      <w:pPr>
        <w:ind w:left="501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AFA0100">
      <w:start w:val="1"/>
      <w:numFmt w:val="bullet"/>
      <w:lvlText w:val="▪"/>
      <w:lvlJc w:val="left"/>
      <w:pPr>
        <w:ind w:left="573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010FA88">
      <w:start w:val="1"/>
      <w:numFmt w:val="bullet"/>
      <w:lvlText w:val="·"/>
      <w:lvlJc w:val="left"/>
      <w:pPr>
        <w:ind w:left="645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85E69C4">
      <w:start w:val="1"/>
      <w:numFmt w:val="bullet"/>
      <w:lvlText w:val="o"/>
      <w:lvlJc w:val="left"/>
      <w:pPr>
        <w:ind w:left="717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218282C">
      <w:start w:val="1"/>
      <w:numFmt w:val="bullet"/>
      <w:lvlText w:val="▪"/>
      <w:lvlJc w:val="left"/>
      <w:pPr>
        <w:ind w:left="789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6" w15:restartNumberingAfterBreak="0">
    <w:nsid w:val="7A375CA6"/>
    <w:multiLevelType w:val="hybridMultilevel"/>
    <w:tmpl w:val="A404DAF0"/>
    <w:numStyleLink w:val="Estiloimportado40"/>
  </w:abstractNum>
  <w:abstractNum w:abstractNumId="137" w15:restartNumberingAfterBreak="0">
    <w:nsid w:val="7A4903DD"/>
    <w:multiLevelType w:val="hybridMultilevel"/>
    <w:tmpl w:val="570CE1AC"/>
    <w:numStyleLink w:val="Estiloimportado44"/>
  </w:abstractNum>
  <w:abstractNum w:abstractNumId="138" w15:restartNumberingAfterBreak="0">
    <w:nsid w:val="7B512484"/>
    <w:multiLevelType w:val="hybridMultilevel"/>
    <w:tmpl w:val="F17E1B42"/>
    <w:numStyleLink w:val="Estiloimportado43"/>
  </w:abstractNum>
  <w:abstractNum w:abstractNumId="139" w15:restartNumberingAfterBreak="0">
    <w:nsid w:val="7DE05AB6"/>
    <w:multiLevelType w:val="hybridMultilevel"/>
    <w:tmpl w:val="63A04C1A"/>
    <w:numStyleLink w:val="Estiloimportado3"/>
  </w:abstractNum>
  <w:abstractNum w:abstractNumId="140" w15:restartNumberingAfterBreak="0">
    <w:nsid w:val="7E98503F"/>
    <w:multiLevelType w:val="hybridMultilevel"/>
    <w:tmpl w:val="84E00846"/>
    <w:numStyleLink w:val="Estiloimportado33"/>
  </w:abstractNum>
  <w:abstractNum w:abstractNumId="141" w15:restartNumberingAfterBreak="0">
    <w:nsid w:val="7EA66855"/>
    <w:multiLevelType w:val="hybridMultilevel"/>
    <w:tmpl w:val="546C0960"/>
    <w:numStyleLink w:val="Estiloimportado22"/>
  </w:abstractNum>
  <w:abstractNum w:abstractNumId="142" w15:restartNumberingAfterBreak="0">
    <w:nsid w:val="7F4A1D63"/>
    <w:multiLevelType w:val="hybridMultilevel"/>
    <w:tmpl w:val="11DC85A6"/>
    <w:styleLink w:val="Estiloimportado58"/>
    <w:lvl w:ilvl="0" w:tplc="CB6C942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7D6FE4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45AB958">
      <w:start w:val="1"/>
      <w:numFmt w:val="lowerRoman"/>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F9888FA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814378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E1451DA">
      <w:start w:val="1"/>
      <w:numFmt w:val="lowerRoman"/>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80163ED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5D0C7A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0143ED6">
      <w:start w:val="1"/>
      <w:numFmt w:val="lowerRoman"/>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3" w15:restartNumberingAfterBreak="0">
    <w:nsid w:val="7FB21732"/>
    <w:multiLevelType w:val="hybridMultilevel"/>
    <w:tmpl w:val="0AE8E0F0"/>
    <w:styleLink w:val="Estiloimportado50"/>
    <w:lvl w:ilvl="0" w:tplc="13CCB71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DE2C39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A28F61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F5EE94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F02E77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7FA44E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172575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602785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1B450B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06"/>
  </w:num>
  <w:num w:numId="2">
    <w:abstractNumId w:val="88"/>
  </w:num>
  <w:num w:numId="3">
    <w:abstractNumId w:val="36"/>
  </w:num>
  <w:num w:numId="4">
    <w:abstractNumId w:val="131"/>
  </w:num>
  <w:num w:numId="5">
    <w:abstractNumId w:val="24"/>
  </w:num>
  <w:num w:numId="6">
    <w:abstractNumId w:val="139"/>
  </w:num>
  <w:num w:numId="7">
    <w:abstractNumId w:val="131"/>
    <w:lvlOverride w:ilvl="0">
      <w:startOverride w:val="2"/>
    </w:lvlOverride>
  </w:num>
  <w:num w:numId="8">
    <w:abstractNumId w:val="71"/>
  </w:num>
  <w:num w:numId="9">
    <w:abstractNumId w:val="78"/>
  </w:num>
  <w:num w:numId="10">
    <w:abstractNumId w:val="88"/>
    <w:lvlOverride w:ilvl="0">
      <w:startOverride w:val="2"/>
    </w:lvlOverride>
  </w:num>
  <w:num w:numId="11">
    <w:abstractNumId w:val="126"/>
  </w:num>
  <w:num w:numId="12">
    <w:abstractNumId w:val="133"/>
  </w:num>
  <w:num w:numId="13">
    <w:abstractNumId w:val="46"/>
  </w:num>
  <w:num w:numId="14">
    <w:abstractNumId w:val="51"/>
  </w:num>
  <w:num w:numId="15">
    <w:abstractNumId w:val="19"/>
  </w:num>
  <w:num w:numId="16">
    <w:abstractNumId w:val="4"/>
  </w:num>
  <w:num w:numId="17">
    <w:abstractNumId w:val="131"/>
    <w:lvlOverride w:ilvl="0">
      <w:startOverride w:val="3"/>
    </w:lvlOverride>
  </w:num>
  <w:num w:numId="18">
    <w:abstractNumId w:val="66"/>
  </w:num>
  <w:num w:numId="19">
    <w:abstractNumId w:val="35"/>
  </w:num>
  <w:num w:numId="20">
    <w:abstractNumId w:val="88"/>
    <w:lvlOverride w:ilvl="0">
      <w:startOverride w:val="3"/>
    </w:lvlOverride>
  </w:num>
  <w:num w:numId="21">
    <w:abstractNumId w:val="2"/>
  </w:num>
  <w:num w:numId="22">
    <w:abstractNumId w:val="76"/>
  </w:num>
  <w:num w:numId="23">
    <w:abstractNumId w:val="134"/>
  </w:num>
  <w:num w:numId="24">
    <w:abstractNumId w:val="92"/>
  </w:num>
  <w:num w:numId="25">
    <w:abstractNumId w:val="88"/>
    <w:lvlOverride w:ilvl="0">
      <w:startOverride w:val="4"/>
    </w:lvlOverride>
  </w:num>
  <w:num w:numId="26">
    <w:abstractNumId w:val="80"/>
  </w:num>
  <w:num w:numId="27">
    <w:abstractNumId w:val="42"/>
  </w:num>
  <w:num w:numId="28">
    <w:abstractNumId w:val="0"/>
  </w:num>
  <w:num w:numId="29">
    <w:abstractNumId w:val="124"/>
  </w:num>
  <w:num w:numId="30">
    <w:abstractNumId w:val="42"/>
    <w:lvlOverride w:ilvl="0">
      <w:startOverride w:val="2"/>
    </w:lvlOverride>
  </w:num>
  <w:num w:numId="31">
    <w:abstractNumId w:val="20"/>
  </w:num>
  <w:num w:numId="32">
    <w:abstractNumId w:val="111"/>
  </w:num>
  <w:num w:numId="33">
    <w:abstractNumId w:val="42"/>
    <w:lvlOverride w:ilvl="0">
      <w:startOverride w:val="3"/>
    </w:lvlOverride>
  </w:num>
  <w:num w:numId="34">
    <w:abstractNumId w:val="27"/>
  </w:num>
  <w:num w:numId="35">
    <w:abstractNumId w:val="115"/>
  </w:num>
  <w:num w:numId="36">
    <w:abstractNumId w:val="42"/>
    <w:lvlOverride w:ilvl="0">
      <w:startOverride w:val="4"/>
    </w:lvlOverride>
  </w:num>
  <w:num w:numId="37">
    <w:abstractNumId w:val="135"/>
  </w:num>
  <w:num w:numId="38">
    <w:abstractNumId w:val="127"/>
  </w:num>
  <w:num w:numId="39">
    <w:abstractNumId w:val="42"/>
    <w:lvlOverride w:ilvl="0">
      <w:startOverride w:val="5"/>
    </w:lvlOverride>
  </w:num>
  <w:num w:numId="40">
    <w:abstractNumId w:val="85"/>
  </w:num>
  <w:num w:numId="41">
    <w:abstractNumId w:val="64"/>
  </w:num>
  <w:num w:numId="42">
    <w:abstractNumId w:val="42"/>
    <w:lvlOverride w:ilvl="0">
      <w:startOverride w:val="6"/>
    </w:lvlOverride>
  </w:num>
  <w:num w:numId="43">
    <w:abstractNumId w:val="56"/>
  </w:num>
  <w:num w:numId="44">
    <w:abstractNumId w:val="119"/>
  </w:num>
  <w:num w:numId="45">
    <w:abstractNumId w:val="42"/>
    <w:lvlOverride w:ilvl="0">
      <w:startOverride w:val="7"/>
    </w:lvlOverride>
  </w:num>
  <w:num w:numId="46">
    <w:abstractNumId w:val="43"/>
  </w:num>
  <w:num w:numId="47">
    <w:abstractNumId w:val="15"/>
  </w:num>
  <w:num w:numId="48">
    <w:abstractNumId w:val="88"/>
    <w:lvlOverride w:ilvl="0">
      <w:startOverride w:val="5"/>
    </w:lvlOverride>
  </w:num>
  <w:num w:numId="49">
    <w:abstractNumId w:val="13"/>
  </w:num>
  <w:num w:numId="50">
    <w:abstractNumId w:val="82"/>
  </w:num>
  <w:num w:numId="51">
    <w:abstractNumId w:val="104"/>
  </w:num>
  <w:num w:numId="52">
    <w:abstractNumId w:val="11"/>
  </w:num>
  <w:num w:numId="53">
    <w:abstractNumId w:val="88"/>
    <w:lvlOverride w:ilvl="0">
      <w:startOverride w:val="6"/>
    </w:lvlOverride>
  </w:num>
  <w:num w:numId="54">
    <w:abstractNumId w:val="28"/>
  </w:num>
  <w:num w:numId="55">
    <w:abstractNumId w:val="89"/>
  </w:num>
  <w:num w:numId="56">
    <w:abstractNumId w:val="93"/>
  </w:num>
  <w:num w:numId="57">
    <w:abstractNumId w:val="141"/>
  </w:num>
  <w:num w:numId="58">
    <w:abstractNumId w:val="88"/>
    <w:lvlOverride w:ilvl="0">
      <w:startOverride w:val="7"/>
    </w:lvlOverride>
  </w:num>
  <w:num w:numId="59">
    <w:abstractNumId w:val="84"/>
  </w:num>
  <w:num w:numId="60">
    <w:abstractNumId w:val="102"/>
  </w:num>
  <w:num w:numId="61">
    <w:abstractNumId w:val="70"/>
  </w:num>
  <w:num w:numId="62">
    <w:abstractNumId w:val="128"/>
  </w:num>
  <w:num w:numId="63">
    <w:abstractNumId w:val="88"/>
    <w:lvlOverride w:ilvl="0">
      <w:startOverride w:val="8"/>
    </w:lvlOverride>
  </w:num>
  <w:num w:numId="64">
    <w:abstractNumId w:val="5"/>
  </w:num>
  <w:num w:numId="65">
    <w:abstractNumId w:val="61"/>
  </w:num>
  <w:num w:numId="66">
    <w:abstractNumId w:val="129"/>
  </w:num>
  <w:num w:numId="67">
    <w:abstractNumId w:val="86"/>
  </w:num>
  <w:num w:numId="68">
    <w:abstractNumId w:val="88"/>
    <w:lvlOverride w:ilvl="0">
      <w:startOverride w:val="9"/>
    </w:lvlOverride>
  </w:num>
  <w:num w:numId="69">
    <w:abstractNumId w:val="103"/>
  </w:num>
  <w:num w:numId="70">
    <w:abstractNumId w:val="7"/>
  </w:num>
  <w:num w:numId="71">
    <w:abstractNumId w:val="105"/>
  </w:num>
  <w:num w:numId="72">
    <w:abstractNumId w:val="31"/>
  </w:num>
  <w:num w:numId="73">
    <w:abstractNumId w:val="88"/>
    <w:lvlOverride w:ilvl="0">
      <w:startOverride w:val="10"/>
    </w:lvlOverride>
  </w:num>
  <w:num w:numId="74">
    <w:abstractNumId w:val="116"/>
  </w:num>
  <w:num w:numId="75">
    <w:abstractNumId w:val="98"/>
  </w:num>
  <w:num w:numId="76">
    <w:abstractNumId w:val="60"/>
  </w:num>
  <w:num w:numId="77">
    <w:abstractNumId w:val="91"/>
  </w:num>
  <w:num w:numId="78">
    <w:abstractNumId w:val="47"/>
  </w:num>
  <w:num w:numId="79">
    <w:abstractNumId w:val="55"/>
  </w:num>
  <w:num w:numId="80">
    <w:abstractNumId w:val="69"/>
  </w:num>
  <w:num w:numId="81">
    <w:abstractNumId w:val="25"/>
  </w:num>
  <w:num w:numId="82">
    <w:abstractNumId w:val="41"/>
  </w:num>
  <w:num w:numId="83">
    <w:abstractNumId w:val="140"/>
  </w:num>
  <w:num w:numId="84">
    <w:abstractNumId w:val="91"/>
    <w:lvlOverride w:ilvl="0">
      <w:startOverride w:val="2"/>
    </w:lvlOverride>
  </w:num>
  <w:num w:numId="85">
    <w:abstractNumId w:val="18"/>
  </w:num>
  <w:num w:numId="86">
    <w:abstractNumId w:val="110"/>
  </w:num>
  <w:num w:numId="87">
    <w:abstractNumId w:val="98"/>
    <w:lvlOverride w:ilvl="0">
      <w:startOverride w:val="2"/>
    </w:lvlOverride>
  </w:num>
  <w:num w:numId="88">
    <w:abstractNumId w:val="75"/>
  </w:num>
  <w:num w:numId="89">
    <w:abstractNumId w:val="108"/>
  </w:num>
  <w:num w:numId="90">
    <w:abstractNumId w:val="63"/>
  </w:num>
  <w:num w:numId="91">
    <w:abstractNumId w:val="44"/>
  </w:num>
  <w:num w:numId="92">
    <w:abstractNumId w:val="37"/>
  </w:num>
  <w:num w:numId="93">
    <w:abstractNumId w:val="117"/>
  </w:num>
  <w:num w:numId="94">
    <w:abstractNumId w:val="112"/>
  </w:num>
  <w:num w:numId="95">
    <w:abstractNumId w:val="99"/>
  </w:num>
  <w:num w:numId="96">
    <w:abstractNumId w:val="52"/>
  </w:num>
  <w:num w:numId="97">
    <w:abstractNumId w:val="39"/>
  </w:num>
  <w:num w:numId="98">
    <w:abstractNumId w:val="91"/>
    <w:lvlOverride w:ilvl="0">
      <w:startOverride w:val="3"/>
    </w:lvlOverride>
  </w:num>
  <w:num w:numId="99">
    <w:abstractNumId w:val="87"/>
  </w:num>
  <w:num w:numId="100">
    <w:abstractNumId w:val="90"/>
  </w:num>
  <w:num w:numId="101">
    <w:abstractNumId w:val="98"/>
    <w:lvlOverride w:ilvl="0">
      <w:startOverride w:val="3"/>
    </w:lvlOverride>
  </w:num>
  <w:num w:numId="102">
    <w:abstractNumId w:val="40"/>
  </w:num>
  <w:num w:numId="103">
    <w:abstractNumId w:val="136"/>
  </w:num>
  <w:num w:numId="104">
    <w:abstractNumId w:val="59"/>
  </w:num>
  <w:num w:numId="105">
    <w:abstractNumId w:val="23"/>
  </w:num>
  <w:num w:numId="106">
    <w:abstractNumId w:val="68"/>
  </w:num>
  <w:num w:numId="107">
    <w:abstractNumId w:val="38"/>
  </w:num>
  <w:num w:numId="108">
    <w:abstractNumId w:val="48"/>
  </w:num>
  <w:num w:numId="109">
    <w:abstractNumId w:val="138"/>
  </w:num>
  <w:num w:numId="110">
    <w:abstractNumId w:val="98"/>
    <w:lvlOverride w:ilvl="0">
      <w:startOverride w:val="4"/>
    </w:lvlOverride>
  </w:num>
  <w:num w:numId="111">
    <w:abstractNumId w:val="101"/>
  </w:num>
  <w:num w:numId="112">
    <w:abstractNumId w:val="137"/>
  </w:num>
  <w:num w:numId="113">
    <w:abstractNumId w:val="50"/>
  </w:num>
  <w:num w:numId="114">
    <w:abstractNumId w:val="121"/>
  </w:num>
  <w:num w:numId="115">
    <w:abstractNumId w:val="137"/>
    <w:lvlOverride w:ilvl="0">
      <w:startOverride w:val="2"/>
    </w:lvlOverride>
  </w:num>
  <w:num w:numId="116">
    <w:abstractNumId w:val="45"/>
  </w:num>
  <w:num w:numId="117">
    <w:abstractNumId w:val="21"/>
  </w:num>
  <w:num w:numId="118">
    <w:abstractNumId w:val="100"/>
  </w:num>
  <w:num w:numId="119">
    <w:abstractNumId w:val="32"/>
  </w:num>
  <w:num w:numId="120">
    <w:abstractNumId w:val="130"/>
  </w:num>
  <w:num w:numId="121">
    <w:abstractNumId w:val="17"/>
  </w:num>
  <w:num w:numId="122">
    <w:abstractNumId w:val="21"/>
    <w:lvlOverride w:ilvl="0">
      <w:startOverride w:val="3"/>
    </w:lvlOverride>
  </w:num>
  <w:num w:numId="123">
    <w:abstractNumId w:val="21"/>
    <w:lvlOverride w:ilvl="0">
      <w:startOverride w:val="4"/>
    </w:lvlOverride>
  </w:num>
  <w:num w:numId="124">
    <w:abstractNumId w:val="122"/>
  </w:num>
  <w:num w:numId="125">
    <w:abstractNumId w:val="77"/>
  </w:num>
  <w:num w:numId="126">
    <w:abstractNumId w:val="143"/>
  </w:num>
  <w:num w:numId="127">
    <w:abstractNumId w:val="95"/>
  </w:num>
  <w:num w:numId="128">
    <w:abstractNumId w:val="137"/>
    <w:lvlOverride w:ilvl="0">
      <w:startOverride w:val="3"/>
    </w:lvlOverride>
  </w:num>
  <w:num w:numId="129">
    <w:abstractNumId w:val="8"/>
  </w:num>
  <w:num w:numId="130">
    <w:abstractNumId w:val="1"/>
  </w:num>
  <w:num w:numId="131">
    <w:abstractNumId w:val="137"/>
    <w:lvlOverride w:ilvl="0">
      <w:startOverride w:val="4"/>
    </w:lvlOverride>
  </w:num>
  <w:num w:numId="132">
    <w:abstractNumId w:val="54"/>
  </w:num>
  <w:num w:numId="133">
    <w:abstractNumId w:val="58"/>
  </w:num>
  <w:num w:numId="134">
    <w:abstractNumId w:val="30"/>
  </w:num>
  <w:num w:numId="135">
    <w:abstractNumId w:val="49"/>
  </w:num>
  <w:num w:numId="136">
    <w:abstractNumId w:val="49"/>
    <w:lvlOverride w:ilvl="0">
      <w:lvl w:ilvl="0" w:tplc="CFDE269C">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B98CB724">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6D5CEBB4">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ED383E48">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6A20258">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60AE4DF4">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A7E7254">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732832D6">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C8C81BBE">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7">
    <w:abstractNumId w:val="83"/>
  </w:num>
  <w:num w:numId="138">
    <w:abstractNumId w:val="118"/>
  </w:num>
  <w:num w:numId="139">
    <w:abstractNumId w:val="118"/>
    <w:lvlOverride w:ilvl="0">
      <w:lvl w:ilvl="0" w:tplc="56D6BBE0">
        <w:start w:val="1"/>
        <w:numFmt w:val="bullet"/>
        <w:lvlText w:val="o"/>
        <w:lvlJc w:val="left"/>
        <w:pPr>
          <w:ind w:left="1038" w:hanging="33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1">
      <w:lvl w:ilvl="1" w:tplc="F1804244">
        <w:start w:val="1"/>
        <w:numFmt w:val="bullet"/>
        <w:lvlText w:val="o"/>
        <w:lvlJc w:val="left"/>
        <w:pPr>
          <w:ind w:left="1758" w:hanging="33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2">
      <w:lvl w:ilvl="2" w:tplc="762E30DC">
        <w:start w:val="1"/>
        <w:numFmt w:val="bullet"/>
        <w:lvlText w:val="▪"/>
        <w:lvlJc w:val="left"/>
        <w:pPr>
          <w:ind w:left="2478" w:hanging="33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3">
      <w:lvl w:ilvl="3" w:tplc="ECF28FEC">
        <w:start w:val="1"/>
        <w:numFmt w:val="bullet"/>
        <w:lvlText w:val="•"/>
        <w:lvlJc w:val="left"/>
        <w:pPr>
          <w:ind w:left="3198" w:hanging="33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4">
      <w:lvl w:ilvl="4" w:tplc="ED4CF9F6">
        <w:start w:val="1"/>
        <w:numFmt w:val="bullet"/>
        <w:lvlText w:val="o"/>
        <w:lvlJc w:val="left"/>
        <w:pPr>
          <w:ind w:left="3918" w:hanging="33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5">
      <w:lvl w:ilvl="5" w:tplc="DB6C7E0A">
        <w:start w:val="1"/>
        <w:numFmt w:val="bullet"/>
        <w:lvlText w:val="▪"/>
        <w:lvlJc w:val="left"/>
        <w:pPr>
          <w:ind w:left="4638" w:hanging="33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6">
      <w:lvl w:ilvl="6" w:tplc="C08E978E">
        <w:start w:val="1"/>
        <w:numFmt w:val="bullet"/>
        <w:lvlText w:val="•"/>
        <w:lvlJc w:val="left"/>
        <w:pPr>
          <w:ind w:left="5358" w:hanging="33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7">
      <w:lvl w:ilvl="7" w:tplc="BC4C28AE">
        <w:start w:val="1"/>
        <w:numFmt w:val="bullet"/>
        <w:lvlText w:val="o"/>
        <w:lvlJc w:val="left"/>
        <w:pPr>
          <w:ind w:left="6078" w:hanging="33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8">
      <w:lvl w:ilvl="8" w:tplc="F13AC3CC">
        <w:start w:val="1"/>
        <w:numFmt w:val="bullet"/>
        <w:lvlText w:val="▪"/>
        <w:lvlJc w:val="left"/>
        <w:pPr>
          <w:ind w:left="6798" w:hanging="33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num>
  <w:num w:numId="140">
    <w:abstractNumId w:val="137"/>
    <w:lvlOverride w:ilvl="0">
      <w:startOverride w:val="5"/>
    </w:lvlOverride>
  </w:num>
  <w:num w:numId="141">
    <w:abstractNumId w:val="109"/>
  </w:num>
  <w:num w:numId="142">
    <w:abstractNumId w:val="3"/>
  </w:num>
  <w:num w:numId="143">
    <w:abstractNumId w:val="137"/>
    <w:lvlOverride w:ilvl="0">
      <w:startOverride w:val="6"/>
    </w:lvlOverride>
  </w:num>
  <w:num w:numId="144">
    <w:abstractNumId w:val="65"/>
  </w:num>
  <w:num w:numId="145">
    <w:abstractNumId w:val="34"/>
  </w:num>
  <w:num w:numId="146">
    <w:abstractNumId w:val="137"/>
    <w:lvlOverride w:ilvl="0">
      <w:startOverride w:val="7"/>
    </w:lvlOverride>
  </w:num>
  <w:num w:numId="147">
    <w:abstractNumId w:val="123"/>
  </w:num>
  <w:num w:numId="148">
    <w:abstractNumId w:val="22"/>
  </w:num>
  <w:num w:numId="149">
    <w:abstractNumId w:val="142"/>
  </w:num>
  <w:num w:numId="150">
    <w:abstractNumId w:val="12"/>
  </w:num>
  <w:num w:numId="151">
    <w:abstractNumId w:val="26"/>
  </w:num>
  <w:num w:numId="152">
    <w:abstractNumId w:val="125"/>
  </w:num>
  <w:num w:numId="153">
    <w:abstractNumId w:val="98"/>
    <w:lvlOverride w:ilvl="0">
      <w:startOverride w:val="5"/>
    </w:lvlOverride>
  </w:num>
  <w:num w:numId="154">
    <w:abstractNumId w:val="29"/>
  </w:num>
  <w:num w:numId="155">
    <w:abstractNumId w:val="33"/>
  </w:num>
  <w:num w:numId="156">
    <w:abstractNumId w:val="14"/>
  </w:num>
  <w:num w:numId="157">
    <w:abstractNumId w:val="79"/>
  </w:num>
  <w:num w:numId="158">
    <w:abstractNumId w:val="6"/>
  </w:num>
  <w:num w:numId="159">
    <w:abstractNumId w:val="132"/>
  </w:num>
  <w:num w:numId="160">
    <w:abstractNumId w:val="98"/>
    <w:lvlOverride w:ilvl="0">
      <w:startOverride w:val="6"/>
    </w:lvlOverride>
  </w:num>
  <w:num w:numId="161">
    <w:abstractNumId w:val="67"/>
  </w:num>
  <w:num w:numId="162">
    <w:abstractNumId w:val="53"/>
  </w:num>
  <w:num w:numId="163">
    <w:abstractNumId w:val="96"/>
  </w:num>
  <w:num w:numId="164">
    <w:abstractNumId w:val="107"/>
  </w:num>
  <w:num w:numId="165">
    <w:abstractNumId w:val="98"/>
    <w:lvlOverride w:ilvl="0">
      <w:startOverride w:val="7"/>
    </w:lvlOverride>
  </w:num>
  <w:num w:numId="166">
    <w:abstractNumId w:val="81"/>
  </w:num>
  <w:num w:numId="167">
    <w:abstractNumId w:val="10"/>
  </w:num>
  <w:num w:numId="168">
    <w:abstractNumId w:val="16"/>
  </w:num>
  <w:num w:numId="169">
    <w:abstractNumId w:val="97"/>
  </w:num>
  <w:num w:numId="170">
    <w:abstractNumId w:val="98"/>
    <w:lvlOverride w:ilvl="0">
      <w:startOverride w:val="8"/>
    </w:lvlOverride>
  </w:num>
  <w:num w:numId="171">
    <w:abstractNumId w:val="120"/>
  </w:num>
  <w:num w:numId="172">
    <w:abstractNumId w:val="114"/>
  </w:num>
  <w:num w:numId="173">
    <w:abstractNumId w:val="94"/>
  </w:num>
  <w:num w:numId="174">
    <w:abstractNumId w:val="62"/>
  </w:num>
  <w:num w:numId="175">
    <w:abstractNumId w:val="98"/>
    <w:lvlOverride w:ilvl="0">
      <w:startOverride w:val="9"/>
    </w:lvlOverride>
  </w:num>
  <w:num w:numId="176">
    <w:abstractNumId w:val="73"/>
  </w:num>
  <w:num w:numId="177">
    <w:abstractNumId w:val="113"/>
  </w:num>
  <w:num w:numId="178">
    <w:abstractNumId w:val="9"/>
  </w:num>
  <w:num w:numId="179">
    <w:abstractNumId w:val="74"/>
  </w:num>
  <w:num w:numId="180">
    <w:abstractNumId w:val="98"/>
    <w:lvlOverride w:ilvl="0">
      <w:startOverride w:val="10"/>
    </w:lvlOverride>
  </w:num>
  <w:num w:numId="181">
    <w:abstractNumId w:val="57"/>
  </w:num>
  <w:num w:numId="182">
    <w:abstractNumId w:val="72"/>
    <w:lvlOverride w:ilvl="0">
      <w:lvl w:ilvl="0" w:tplc="36944310">
        <w:start w:val="1"/>
        <w:numFmt w:val="decimal"/>
        <w:lvlText w:val="%1."/>
        <w:lvlJc w:val="left"/>
        <w:pPr>
          <w:ind w:left="644" w:hanging="360"/>
        </w:pPr>
        <w:rPr>
          <w:rFonts w:hAnsi="Arial Unicode MS"/>
          <w:b/>
          <w:caps w:val="0"/>
          <w:smallCaps w:val="0"/>
          <w:strike w:val="0"/>
          <w:dstrike w:val="0"/>
          <w:outline w:val="0"/>
          <w:emboss w:val="0"/>
          <w:imprint w:val="0"/>
          <w:spacing w:val="0"/>
          <w:w w:val="100"/>
          <w:kern w:val="0"/>
          <w:position w:val="0"/>
          <w:highlight w:val="none"/>
          <w:vertAlign w:val="baseline"/>
        </w:rPr>
      </w:lvl>
    </w:lvlOverride>
  </w:num>
  <w:numIdMacAtCleanup w:val="1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E43"/>
    <w:rsid w:val="00087B04"/>
    <w:rsid w:val="00333DCC"/>
    <w:rsid w:val="00356079"/>
    <w:rsid w:val="0091511D"/>
    <w:rsid w:val="00934A30"/>
    <w:rsid w:val="00A17895"/>
    <w:rsid w:val="00AC584A"/>
    <w:rsid w:val="00B63EAE"/>
    <w:rsid w:val="00B721C0"/>
    <w:rsid w:val="00B754D8"/>
    <w:rsid w:val="00BC1BDE"/>
    <w:rsid w:val="00BD7109"/>
    <w:rsid w:val="00CC4DBA"/>
    <w:rsid w:val="00CD4994"/>
    <w:rsid w:val="00CD7767"/>
    <w:rsid w:val="00CD7861"/>
    <w:rsid w:val="00D35E43"/>
    <w:rsid w:val="00D44340"/>
    <w:rsid w:val="00DE0F2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B8ECB"/>
  <w15:docId w15:val="{87596159-E7BD-4E51-96DF-35C13348E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s-MX" w:eastAsia="es-MX"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Encabezadoypie">
    <w:name w:val="Encabezado y pie"/>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Piedepgina">
    <w:name w:val="footer"/>
    <w:pPr>
      <w:tabs>
        <w:tab w:val="center" w:pos="4419"/>
        <w:tab w:val="right" w:pos="8838"/>
      </w:tabs>
    </w:pPr>
    <w:rPr>
      <w:rFonts w:ascii="Calibri" w:eastAsia="Calibri" w:hAnsi="Calibri" w:cs="Calibri"/>
      <w:color w:val="000000"/>
      <w:sz w:val="22"/>
      <w:szCs w:val="22"/>
      <w:u w:color="000000"/>
      <w:lang w:val="es-ES_tradnl"/>
    </w:rPr>
  </w:style>
  <w:style w:type="character" w:customStyle="1" w:styleId="Ninguno">
    <w:name w:val="Ninguno"/>
  </w:style>
  <w:style w:type="paragraph" w:customStyle="1" w:styleId="CuerpoA">
    <w:name w:val="Cuerpo A"/>
    <w:pPr>
      <w:spacing w:after="160" w:line="259" w:lineRule="auto"/>
    </w:pPr>
    <w:rPr>
      <w:rFonts w:ascii="Calibri" w:eastAsia="Calibri" w:hAnsi="Calibri" w:cs="Calibri"/>
      <w:color w:val="000000"/>
      <w:sz w:val="22"/>
      <w:szCs w:val="22"/>
      <w:u w:color="000000"/>
      <w:lang w:val="es-ES_tradnl"/>
    </w:rPr>
  </w:style>
  <w:style w:type="numbering" w:customStyle="1" w:styleId="Estiloimportado1">
    <w:name w:val="Estilo importado 1"/>
    <w:pPr>
      <w:numPr>
        <w:numId w:val="1"/>
      </w:numPr>
    </w:pPr>
  </w:style>
  <w:style w:type="numbering" w:customStyle="1" w:styleId="Estiloimportado2">
    <w:name w:val="Estilo importado 2"/>
    <w:pPr>
      <w:numPr>
        <w:numId w:val="3"/>
      </w:numPr>
    </w:pPr>
  </w:style>
  <w:style w:type="numbering" w:customStyle="1" w:styleId="Estiloimportado3">
    <w:name w:val="Estilo importado 3"/>
    <w:pPr>
      <w:numPr>
        <w:numId w:val="5"/>
      </w:numPr>
    </w:pPr>
  </w:style>
  <w:style w:type="numbering" w:customStyle="1" w:styleId="Estiloimportado4">
    <w:name w:val="Estilo importado 4"/>
    <w:pPr>
      <w:numPr>
        <w:numId w:val="8"/>
      </w:numPr>
    </w:pPr>
  </w:style>
  <w:style w:type="numbering" w:customStyle="1" w:styleId="Estiloimportado5">
    <w:name w:val="Estilo importado 5"/>
    <w:pPr>
      <w:numPr>
        <w:numId w:val="11"/>
      </w:numPr>
    </w:pPr>
  </w:style>
  <w:style w:type="numbering" w:customStyle="1" w:styleId="Estiloimportado6">
    <w:name w:val="Estilo importado 6"/>
    <w:pPr>
      <w:numPr>
        <w:numId w:val="13"/>
      </w:numPr>
    </w:pPr>
  </w:style>
  <w:style w:type="numbering" w:customStyle="1" w:styleId="Estiloimportado7">
    <w:name w:val="Estilo importado 7"/>
    <w:pPr>
      <w:numPr>
        <w:numId w:val="15"/>
      </w:numPr>
    </w:pPr>
  </w:style>
  <w:style w:type="numbering" w:customStyle="1" w:styleId="Estiloimportado8">
    <w:name w:val="Estilo importado 8"/>
    <w:pPr>
      <w:numPr>
        <w:numId w:val="18"/>
      </w:numPr>
    </w:pPr>
  </w:style>
  <w:style w:type="numbering" w:customStyle="1" w:styleId="Estiloimportado9">
    <w:name w:val="Estilo importado 9"/>
    <w:pPr>
      <w:numPr>
        <w:numId w:val="21"/>
      </w:numPr>
    </w:pPr>
  </w:style>
  <w:style w:type="numbering" w:customStyle="1" w:styleId="Estiloimportado100">
    <w:name w:val="Estilo importado 10"/>
    <w:pPr>
      <w:numPr>
        <w:numId w:val="23"/>
      </w:numPr>
    </w:pPr>
  </w:style>
  <w:style w:type="numbering" w:customStyle="1" w:styleId="Estiloimportado11">
    <w:name w:val="Estilo importado 11"/>
    <w:pPr>
      <w:numPr>
        <w:numId w:val="26"/>
      </w:numPr>
    </w:pPr>
  </w:style>
  <w:style w:type="numbering" w:customStyle="1" w:styleId="Estiloimportado12">
    <w:name w:val="Estilo importado 12"/>
    <w:pPr>
      <w:numPr>
        <w:numId w:val="28"/>
      </w:numPr>
    </w:pPr>
  </w:style>
  <w:style w:type="paragraph" w:styleId="Prrafodelista">
    <w:name w:val="List Paragraph"/>
    <w:pPr>
      <w:spacing w:after="160" w:line="259" w:lineRule="auto"/>
      <w:ind w:left="720"/>
    </w:pPr>
    <w:rPr>
      <w:rFonts w:ascii="Calibri" w:eastAsia="Calibri" w:hAnsi="Calibri" w:cs="Calibri"/>
      <w:color w:val="000000"/>
      <w:sz w:val="22"/>
      <w:szCs w:val="22"/>
      <w:u w:color="000000"/>
      <w:lang w:val="es-ES_tradnl"/>
    </w:rPr>
  </w:style>
  <w:style w:type="numbering" w:customStyle="1" w:styleId="Estiloimportado13">
    <w:name w:val="Estilo importado 13"/>
    <w:pPr>
      <w:numPr>
        <w:numId w:val="31"/>
      </w:numPr>
    </w:pPr>
  </w:style>
  <w:style w:type="numbering" w:customStyle="1" w:styleId="Estiloimportado14">
    <w:name w:val="Estilo importado 14"/>
    <w:pPr>
      <w:numPr>
        <w:numId w:val="34"/>
      </w:numPr>
    </w:pPr>
  </w:style>
  <w:style w:type="numbering" w:customStyle="1" w:styleId="Estiloimportado15">
    <w:name w:val="Estilo importado 15"/>
    <w:pPr>
      <w:numPr>
        <w:numId w:val="37"/>
      </w:numPr>
    </w:pPr>
  </w:style>
  <w:style w:type="numbering" w:customStyle="1" w:styleId="Estiloimportado16">
    <w:name w:val="Estilo importado 16"/>
    <w:pPr>
      <w:numPr>
        <w:numId w:val="40"/>
      </w:numPr>
    </w:pPr>
  </w:style>
  <w:style w:type="numbering" w:customStyle="1" w:styleId="Estiloimportado17">
    <w:name w:val="Estilo importado 17"/>
    <w:pPr>
      <w:numPr>
        <w:numId w:val="43"/>
      </w:numPr>
    </w:pPr>
  </w:style>
  <w:style w:type="numbering" w:customStyle="1" w:styleId="Estiloimportado18">
    <w:name w:val="Estilo importado 18"/>
    <w:pPr>
      <w:numPr>
        <w:numId w:val="46"/>
      </w:numPr>
    </w:pPr>
  </w:style>
  <w:style w:type="numbering" w:customStyle="1" w:styleId="Estiloimportado19">
    <w:name w:val="Estilo importado 19"/>
    <w:pPr>
      <w:numPr>
        <w:numId w:val="49"/>
      </w:numPr>
    </w:pPr>
  </w:style>
  <w:style w:type="numbering" w:customStyle="1" w:styleId="Estiloimportado20">
    <w:name w:val="Estilo importado 20"/>
    <w:pPr>
      <w:numPr>
        <w:numId w:val="51"/>
      </w:numPr>
    </w:pPr>
  </w:style>
  <w:style w:type="numbering" w:customStyle="1" w:styleId="Estiloimportado21">
    <w:name w:val="Estilo importado 21"/>
    <w:pPr>
      <w:numPr>
        <w:numId w:val="54"/>
      </w:numPr>
    </w:pPr>
  </w:style>
  <w:style w:type="numbering" w:customStyle="1" w:styleId="Estiloimportado22">
    <w:name w:val="Estilo importado 22"/>
    <w:pPr>
      <w:numPr>
        <w:numId w:val="56"/>
      </w:numPr>
    </w:pPr>
  </w:style>
  <w:style w:type="numbering" w:customStyle="1" w:styleId="Estiloimportado23">
    <w:name w:val="Estilo importado 23"/>
    <w:pPr>
      <w:numPr>
        <w:numId w:val="59"/>
      </w:numPr>
    </w:pPr>
  </w:style>
  <w:style w:type="numbering" w:customStyle="1" w:styleId="Estiloimportado24">
    <w:name w:val="Estilo importado 24"/>
    <w:pPr>
      <w:numPr>
        <w:numId w:val="61"/>
      </w:numPr>
    </w:pPr>
  </w:style>
  <w:style w:type="numbering" w:customStyle="1" w:styleId="Estiloimportado25">
    <w:name w:val="Estilo importado 25"/>
    <w:pPr>
      <w:numPr>
        <w:numId w:val="64"/>
      </w:numPr>
    </w:pPr>
  </w:style>
  <w:style w:type="numbering" w:customStyle="1" w:styleId="Estiloimportado26">
    <w:name w:val="Estilo importado 26"/>
    <w:pPr>
      <w:numPr>
        <w:numId w:val="66"/>
      </w:numPr>
    </w:pPr>
  </w:style>
  <w:style w:type="numbering" w:customStyle="1" w:styleId="Estiloimportado27">
    <w:name w:val="Estilo importado 27"/>
    <w:pPr>
      <w:numPr>
        <w:numId w:val="69"/>
      </w:numPr>
    </w:pPr>
  </w:style>
  <w:style w:type="numbering" w:customStyle="1" w:styleId="Estiloimportado28">
    <w:name w:val="Estilo importado 28"/>
    <w:pPr>
      <w:numPr>
        <w:numId w:val="71"/>
      </w:numPr>
    </w:pPr>
  </w:style>
  <w:style w:type="numbering" w:customStyle="1" w:styleId="Estiloimportado29">
    <w:name w:val="Estilo importado 29"/>
    <w:pPr>
      <w:numPr>
        <w:numId w:val="74"/>
      </w:numPr>
    </w:pPr>
  </w:style>
  <w:style w:type="numbering" w:customStyle="1" w:styleId="Estiloimportado30">
    <w:name w:val="Estilo importado 30"/>
    <w:pPr>
      <w:numPr>
        <w:numId w:val="76"/>
      </w:numPr>
    </w:pPr>
  </w:style>
  <w:style w:type="numbering" w:customStyle="1" w:styleId="Estiloimportado31">
    <w:name w:val="Estilo importado 31"/>
    <w:pPr>
      <w:numPr>
        <w:numId w:val="78"/>
      </w:numPr>
    </w:pPr>
  </w:style>
  <w:style w:type="numbering" w:customStyle="1" w:styleId="Estiloimportado32">
    <w:name w:val="Estilo importado 32"/>
    <w:pPr>
      <w:numPr>
        <w:numId w:val="80"/>
      </w:numPr>
    </w:pPr>
  </w:style>
  <w:style w:type="numbering" w:customStyle="1" w:styleId="Estiloimportado33">
    <w:name w:val="Estilo importado 33"/>
    <w:pPr>
      <w:numPr>
        <w:numId w:val="82"/>
      </w:numPr>
    </w:pPr>
  </w:style>
  <w:style w:type="paragraph" w:customStyle="1" w:styleId="CuerpoB">
    <w:name w:val="Cuerpo B"/>
    <w:rPr>
      <w:rFonts w:cs="Arial Unicode MS"/>
      <w:color w:val="000000"/>
      <w:sz w:val="24"/>
      <w:szCs w:val="24"/>
      <w:u w:color="000000"/>
      <w:lang w:val="es-ES_tradnl"/>
      <w14:textOutline w14:w="12700" w14:cap="flat" w14:cmpd="sng" w14:algn="ctr">
        <w14:noFill/>
        <w14:prstDash w14:val="solid"/>
        <w14:miter w14:lim="400000"/>
      </w14:textOutline>
    </w:rPr>
  </w:style>
  <w:style w:type="numbering" w:customStyle="1" w:styleId="Estiloimportado34">
    <w:name w:val="Estilo importado 34"/>
    <w:pPr>
      <w:numPr>
        <w:numId w:val="85"/>
      </w:numPr>
    </w:pPr>
  </w:style>
  <w:style w:type="numbering" w:customStyle="1" w:styleId="Estiloimportado35">
    <w:name w:val="Estilo importado 35"/>
    <w:pPr>
      <w:numPr>
        <w:numId w:val="88"/>
      </w:numPr>
    </w:pPr>
  </w:style>
  <w:style w:type="paragraph" w:styleId="Textonotapie">
    <w:name w:val="footnote text"/>
    <w:rPr>
      <w:rFonts w:ascii="Calibri" w:eastAsia="Calibri" w:hAnsi="Calibri" w:cs="Calibri"/>
      <w:color w:val="000000"/>
      <w:u w:color="000000"/>
      <w:lang w:val="es-ES_tradnl"/>
    </w:rPr>
  </w:style>
  <w:style w:type="numbering" w:customStyle="1" w:styleId="Estiloimportado36">
    <w:name w:val="Estilo importado 36"/>
    <w:pPr>
      <w:numPr>
        <w:numId w:val="90"/>
      </w:numPr>
    </w:pPr>
  </w:style>
  <w:style w:type="numbering" w:customStyle="1" w:styleId="Estiloimportado10">
    <w:name w:val="Estilo importado 1.0"/>
    <w:pPr>
      <w:numPr>
        <w:numId w:val="92"/>
      </w:numPr>
    </w:pPr>
  </w:style>
  <w:style w:type="character" w:customStyle="1" w:styleId="Hyperlink0">
    <w:name w:val="Hyperlink.0"/>
    <w:basedOn w:val="Ninguno"/>
    <w:rPr>
      <w:rFonts w:ascii="Arial" w:eastAsia="Arial" w:hAnsi="Arial" w:cs="Arial"/>
      <w:outline w:val="0"/>
      <w:color w:val="0000FF"/>
      <w:u w:val="single" w:color="0000FF"/>
    </w:rPr>
  </w:style>
  <w:style w:type="numbering" w:customStyle="1" w:styleId="Estiloimportado37">
    <w:name w:val="Estilo importado 37"/>
    <w:pPr>
      <w:numPr>
        <w:numId w:val="94"/>
      </w:numPr>
    </w:pPr>
  </w:style>
  <w:style w:type="numbering" w:customStyle="1" w:styleId="Estiloimportado38">
    <w:name w:val="Estilo importado 38"/>
    <w:pPr>
      <w:numPr>
        <w:numId w:val="96"/>
      </w:numPr>
    </w:pPr>
  </w:style>
  <w:style w:type="numbering" w:customStyle="1" w:styleId="Estiloimportado39">
    <w:name w:val="Estilo importado 39"/>
    <w:pPr>
      <w:numPr>
        <w:numId w:val="99"/>
      </w:numPr>
    </w:pPr>
  </w:style>
  <w:style w:type="numbering" w:customStyle="1" w:styleId="Estiloimportado40">
    <w:name w:val="Estilo importado 40"/>
    <w:pPr>
      <w:numPr>
        <w:numId w:val="102"/>
      </w:numPr>
    </w:pPr>
  </w:style>
  <w:style w:type="numbering" w:customStyle="1" w:styleId="Estiloimportado41">
    <w:name w:val="Estilo importado 41"/>
    <w:pPr>
      <w:numPr>
        <w:numId w:val="104"/>
      </w:numPr>
    </w:pPr>
  </w:style>
  <w:style w:type="numbering" w:customStyle="1" w:styleId="Estiloimportado42">
    <w:name w:val="Estilo importado 42"/>
    <w:pPr>
      <w:numPr>
        <w:numId w:val="106"/>
      </w:numPr>
    </w:pPr>
  </w:style>
  <w:style w:type="numbering" w:customStyle="1" w:styleId="Estiloimportado43">
    <w:name w:val="Estilo importado 43"/>
    <w:pPr>
      <w:numPr>
        <w:numId w:val="108"/>
      </w:numPr>
    </w:pPr>
  </w:style>
  <w:style w:type="numbering" w:customStyle="1" w:styleId="Estiloimportado44">
    <w:name w:val="Estilo importado 44"/>
    <w:pPr>
      <w:numPr>
        <w:numId w:val="111"/>
      </w:numPr>
    </w:pPr>
  </w:style>
  <w:style w:type="numbering" w:customStyle="1" w:styleId="Estiloimportado45">
    <w:name w:val="Estilo importado 45"/>
    <w:pPr>
      <w:numPr>
        <w:numId w:val="113"/>
      </w:numPr>
    </w:pPr>
  </w:style>
  <w:style w:type="numbering" w:customStyle="1" w:styleId="Estiloimportado46">
    <w:name w:val="Estilo importado 46"/>
    <w:pPr>
      <w:numPr>
        <w:numId w:val="116"/>
      </w:numPr>
    </w:pPr>
  </w:style>
  <w:style w:type="numbering" w:customStyle="1" w:styleId="Estiloimportado47">
    <w:name w:val="Estilo importado 47"/>
    <w:pPr>
      <w:numPr>
        <w:numId w:val="118"/>
      </w:numPr>
    </w:pPr>
  </w:style>
  <w:style w:type="numbering" w:customStyle="1" w:styleId="Estiloimportado48">
    <w:name w:val="Estilo importado 48"/>
    <w:pPr>
      <w:numPr>
        <w:numId w:val="120"/>
      </w:numPr>
    </w:pPr>
  </w:style>
  <w:style w:type="numbering" w:customStyle="1" w:styleId="Estiloimportado49">
    <w:name w:val="Estilo importado 49"/>
    <w:pPr>
      <w:numPr>
        <w:numId w:val="124"/>
      </w:numPr>
    </w:pPr>
  </w:style>
  <w:style w:type="character" w:customStyle="1" w:styleId="Hyperlink1">
    <w:name w:val="Hyperlink.1"/>
    <w:basedOn w:val="Ninguno"/>
    <w:rPr>
      <w:outline w:val="0"/>
      <w:color w:val="000000"/>
      <w:u w:val="single" w:color="000000"/>
    </w:rPr>
  </w:style>
  <w:style w:type="character" w:customStyle="1" w:styleId="Hyperlink2">
    <w:name w:val="Hyperlink.2"/>
    <w:basedOn w:val="Ninguno"/>
    <w:rPr>
      <w:rFonts w:ascii="Arial" w:eastAsia="Arial" w:hAnsi="Arial" w:cs="Arial"/>
      <w:outline w:val="0"/>
      <w:color w:val="000000"/>
      <w:u w:val="none" w:color="000000"/>
    </w:rPr>
  </w:style>
  <w:style w:type="character" w:customStyle="1" w:styleId="Hyperlink3">
    <w:name w:val="Hyperlink.3"/>
    <w:basedOn w:val="Ninguno"/>
    <w:rPr>
      <w:outline w:val="0"/>
      <w:color w:val="000000"/>
      <w:sz w:val="22"/>
      <w:szCs w:val="22"/>
      <w:u w:val="none" w:color="000000"/>
    </w:rPr>
  </w:style>
  <w:style w:type="numbering" w:customStyle="1" w:styleId="Estiloimportado50">
    <w:name w:val="Estilo importado 50"/>
    <w:pPr>
      <w:numPr>
        <w:numId w:val="126"/>
      </w:numPr>
    </w:pPr>
  </w:style>
  <w:style w:type="numbering" w:customStyle="1" w:styleId="Estiloimportado51">
    <w:name w:val="Estilo importado 51"/>
    <w:pPr>
      <w:numPr>
        <w:numId w:val="129"/>
      </w:numPr>
    </w:pPr>
  </w:style>
  <w:style w:type="numbering" w:customStyle="1" w:styleId="Estiloimportado52">
    <w:name w:val="Estilo importado 52"/>
    <w:pPr>
      <w:numPr>
        <w:numId w:val="132"/>
      </w:numPr>
    </w:pPr>
  </w:style>
  <w:style w:type="paragraph" w:styleId="Encabezado">
    <w:name w:val="header"/>
    <w:pPr>
      <w:tabs>
        <w:tab w:val="center" w:pos="4419"/>
        <w:tab w:val="right" w:pos="8838"/>
      </w:tabs>
    </w:pPr>
    <w:rPr>
      <w:rFonts w:ascii="Calibri" w:eastAsia="Calibri" w:hAnsi="Calibri" w:cs="Calibri"/>
      <w:color w:val="000000"/>
      <w:sz w:val="22"/>
      <w:szCs w:val="22"/>
      <w:u w:color="000000"/>
      <w:lang w:val="es-ES_tradnl"/>
    </w:rPr>
  </w:style>
  <w:style w:type="numbering" w:customStyle="1" w:styleId="Estiloimportado53">
    <w:name w:val="Estilo importado 53"/>
    <w:pPr>
      <w:numPr>
        <w:numId w:val="134"/>
      </w:numPr>
    </w:pPr>
  </w:style>
  <w:style w:type="numbering" w:customStyle="1" w:styleId="Estiloimportado54">
    <w:name w:val="Estilo importado 54"/>
    <w:pPr>
      <w:numPr>
        <w:numId w:val="137"/>
      </w:numPr>
    </w:pPr>
  </w:style>
  <w:style w:type="numbering" w:customStyle="1" w:styleId="Estiloimportado55">
    <w:name w:val="Estilo importado 55"/>
    <w:pPr>
      <w:numPr>
        <w:numId w:val="141"/>
      </w:numPr>
    </w:pPr>
  </w:style>
  <w:style w:type="numbering" w:customStyle="1" w:styleId="Estiloimportado56">
    <w:name w:val="Estilo importado 56"/>
    <w:pPr>
      <w:numPr>
        <w:numId w:val="144"/>
      </w:numPr>
    </w:pPr>
  </w:style>
  <w:style w:type="numbering" w:customStyle="1" w:styleId="Estiloimportado57">
    <w:name w:val="Estilo importado 57"/>
    <w:pPr>
      <w:numPr>
        <w:numId w:val="147"/>
      </w:numPr>
    </w:pPr>
  </w:style>
  <w:style w:type="numbering" w:customStyle="1" w:styleId="Estiloimportado58">
    <w:name w:val="Estilo importado 58"/>
    <w:pPr>
      <w:numPr>
        <w:numId w:val="149"/>
      </w:numPr>
    </w:pPr>
  </w:style>
  <w:style w:type="numbering" w:customStyle="1" w:styleId="Estiloimportado59">
    <w:name w:val="Estilo importado 59"/>
    <w:pPr>
      <w:numPr>
        <w:numId w:val="151"/>
      </w:numPr>
    </w:pPr>
  </w:style>
  <w:style w:type="numbering" w:customStyle="1" w:styleId="Estiloimportado60">
    <w:name w:val="Estilo importado 60"/>
    <w:pPr>
      <w:numPr>
        <w:numId w:val="154"/>
      </w:numPr>
    </w:pPr>
  </w:style>
  <w:style w:type="character" w:customStyle="1" w:styleId="Hyperlink4">
    <w:name w:val="Hyperlink.4"/>
    <w:basedOn w:val="Ninguno"/>
    <w:rPr>
      <w:rFonts w:ascii="Arial" w:eastAsia="Arial" w:hAnsi="Arial" w:cs="Arial"/>
    </w:rPr>
  </w:style>
  <w:style w:type="numbering" w:customStyle="1" w:styleId="Estiloimportado61">
    <w:name w:val="Estilo importado 61"/>
    <w:pPr>
      <w:numPr>
        <w:numId w:val="156"/>
      </w:numPr>
    </w:pPr>
  </w:style>
  <w:style w:type="numbering" w:customStyle="1" w:styleId="Estiloimportado62">
    <w:name w:val="Estilo importado 62"/>
    <w:pPr>
      <w:numPr>
        <w:numId w:val="158"/>
      </w:numPr>
    </w:pPr>
  </w:style>
  <w:style w:type="numbering" w:customStyle="1" w:styleId="Estiloimportado63">
    <w:name w:val="Estilo importado 63"/>
    <w:pPr>
      <w:numPr>
        <w:numId w:val="161"/>
      </w:numPr>
    </w:pPr>
  </w:style>
  <w:style w:type="numbering" w:customStyle="1" w:styleId="Estiloimportado64">
    <w:name w:val="Estilo importado 64"/>
    <w:pPr>
      <w:numPr>
        <w:numId w:val="163"/>
      </w:numPr>
    </w:pPr>
  </w:style>
  <w:style w:type="numbering" w:customStyle="1" w:styleId="Estiloimportado65">
    <w:name w:val="Estilo importado 65"/>
    <w:pPr>
      <w:numPr>
        <w:numId w:val="166"/>
      </w:numPr>
    </w:pPr>
  </w:style>
  <w:style w:type="character" w:customStyle="1" w:styleId="Hyperlink5">
    <w:name w:val="Hyperlink.5"/>
    <w:basedOn w:val="Ninguno"/>
    <w:rPr>
      <w:outline w:val="0"/>
      <w:color w:val="0000FF"/>
      <w:u w:val="single" w:color="0000FF"/>
    </w:rPr>
  </w:style>
  <w:style w:type="paragraph" w:customStyle="1" w:styleId="Predeterminado">
    <w:name w:val="Predeterminado"/>
    <w:rPr>
      <w:rFonts w:ascii="Helvetica Neue" w:eastAsia="Helvetica Neue" w:hAnsi="Helvetica Neue" w:cs="Helvetica Neue"/>
      <w:color w:val="000000"/>
      <w:sz w:val="22"/>
      <w:szCs w:val="22"/>
      <w14:textOutline w14:w="0" w14:cap="flat" w14:cmpd="sng" w14:algn="ctr">
        <w14:noFill/>
        <w14:prstDash w14:val="solid"/>
        <w14:bevel/>
      </w14:textOutline>
    </w:rPr>
  </w:style>
  <w:style w:type="numbering" w:customStyle="1" w:styleId="Estiloimportado66">
    <w:name w:val="Estilo importado 66"/>
    <w:pPr>
      <w:numPr>
        <w:numId w:val="168"/>
      </w:numPr>
    </w:pPr>
  </w:style>
  <w:style w:type="numbering" w:customStyle="1" w:styleId="Estiloimportado67">
    <w:name w:val="Estilo importado 67"/>
    <w:pPr>
      <w:numPr>
        <w:numId w:val="171"/>
      </w:numPr>
    </w:pPr>
  </w:style>
  <w:style w:type="numbering" w:customStyle="1" w:styleId="Estiloimportado68">
    <w:name w:val="Estilo importado 68"/>
    <w:pPr>
      <w:numPr>
        <w:numId w:val="173"/>
      </w:numPr>
    </w:pPr>
  </w:style>
  <w:style w:type="numbering" w:customStyle="1" w:styleId="Estiloimportado69">
    <w:name w:val="Estilo importado 69"/>
    <w:pPr>
      <w:numPr>
        <w:numId w:val="176"/>
      </w:numPr>
    </w:pPr>
  </w:style>
  <w:style w:type="numbering" w:customStyle="1" w:styleId="Estiloimportado70">
    <w:name w:val="Estilo importado 70"/>
    <w:pPr>
      <w:numPr>
        <w:numId w:val="178"/>
      </w:numPr>
    </w:pPr>
  </w:style>
  <w:style w:type="numbering" w:customStyle="1" w:styleId="Estiloimportado71">
    <w:name w:val="Estilo importado 71"/>
    <w:pPr>
      <w:numPr>
        <w:numId w:val="181"/>
      </w:numPr>
    </w:pPr>
  </w:style>
  <w:style w:type="paragraph" w:styleId="Textocomentario">
    <w:name w:val="annotation text"/>
    <w:basedOn w:val="Normal"/>
    <w:link w:val="TextocomentarioCar"/>
    <w:uiPriority w:val="99"/>
    <w:semiHidden/>
    <w:unhideWhenUsed/>
    <w:rPr>
      <w:sz w:val="20"/>
      <w:szCs w:val="20"/>
    </w:rPr>
  </w:style>
  <w:style w:type="character" w:customStyle="1" w:styleId="TextocomentarioCar">
    <w:name w:val="Texto comentario Car"/>
    <w:basedOn w:val="Fuentedeprrafopredeter"/>
    <w:link w:val="Textocomentario"/>
    <w:uiPriority w:val="99"/>
    <w:semiHidden/>
    <w:rPr>
      <w:lang w:val="en-US" w:eastAsia="en-US"/>
    </w:rPr>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
    <w:uiPriority w:val="99"/>
    <w:semiHidden/>
    <w:unhideWhenUsed/>
    <w:rsid w:val="00BC1BD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1BDE"/>
    <w:rPr>
      <w:rFonts w:ascii="Segoe UI" w:hAnsi="Segoe UI" w:cs="Segoe UI"/>
      <w:sz w:val="18"/>
      <w:szCs w:val="18"/>
      <w:lang w:val="en-US" w:eastAsia="en-US"/>
    </w:rPr>
  </w:style>
  <w:style w:type="character" w:styleId="Refdenotaalpie">
    <w:name w:val="footnote reference"/>
    <w:basedOn w:val="Fuentedeprrafopredeter"/>
    <w:uiPriority w:val="99"/>
    <w:semiHidden/>
    <w:unhideWhenUsed/>
    <w:rsid w:val="00BC1BD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forme.cndh.org.mx/images/uploads/nodos/40232/content/files/CE_2018_10.pdf"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s://www.cndh.org.mx/documento/recomendacion-por-violaciones-graves-21-vg2019" TargetMode="External"/><Relationship Id="rId4" Type="http://schemas.openxmlformats.org/officeDocument/2006/relationships/settings" Target="settings.xml"/><Relationship Id="rId9" Type="http://schemas.openxmlformats.org/officeDocument/2006/relationships/hyperlink" Target="https://www.cndh.org.mx/documento/recomendacion-por-violaciones-graves-21-vg2019"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cndh.org.mx/documento/recomendacion-por-violaciones-graves-11-vg2018" TargetMode="External"/><Relationship Id="rId13" Type="http://schemas.openxmlformats.org/officeDocument/2006/relationships/hyperlink" Target="https://www.cndh.org.mx/documento/recomendacion-por-violaciones-graves-20-vg2019" TargetMode="External"/><Relationship Id="rId3" Type="http://schemas.openxmlformats.org/officeDocument/2006/relationships/hyperlink" Target="https://www.cndh.org.mx/documento/recomendacion-por-violaciones-graves-4-vg2016" TargetMode="External"/><Relationship Id="rId7" Type="http://schemas.openxmlformats.org/officeDocument/2006/relationships/hyperlink" Target="https://www.cndh.org.mx/documento/recomendacion-por-violaciones-graves-10-vg2018" TargetMode="External"/><Relationship Id="rId12" Type="http://schemas.openxmlformats.org/officeDocument/2006/relationships/hyperlink" Target="https://www.cndh.org.mx/documento/recomendacion-por-violaciones-graves-18-vg2018" TargetMode="External"/><Relationship Id="rId2" Type="http://schemas.openxmlformats.org/officeDocument/2006/relationships/hyperlink" Target="https://www.cndh.org.mx/documento/recomendacion-por-violaciones-graves-3-vg2015" TargetMode="External"/><Relationship Id="rId1" Type="http://schemas.openxmlformats.org/officeDocument/2006/relationships/hyperlink" Target="https://www.conapred.org.mx/userfiles/files/ENDOSIG%252520141218%252520(1).pdf" TargetMode="External"/><Relationship Id="rId6" Type="http://schemas.openxmlformats.org/officeDocument/2006/relationships/hyperlink" Target="https://www.cndh.org.mx/documento/recomendacion-por-violaciones-graves-7-vg2017" TargetMode="External"/><Relationship Id="rId11" Type="http://schemas.openxmlformats.org/officeDocument/2006/relationships/hyperlink" Target="https://www.cndh.org.mx/documento/recomendacion-por-violaciones-graves-16-vg2018" TargetMode="External"/><Relationship Id="rId5" Type="http://schemas.openxmlformats.org/officeDocument/2006/relationships/hyperlink" Target="https://www.cndh.org.mx/documento/recomendacion-por-violaciones-graves-6-vg2017" TargetMode="External"/><Relationship Id="rId15" Type="http://schemas.openxmlformats.org/officeDocument/2006/relationships/hyperlink" Target="http://www.cndh.org.mx/sites/all/doc/Comunicados/2017/Com_2017_120.pdf" TargetMode="External"/><Relationship Id="rId10" Type="http://schemas.openxmlformats.org/officeDocument/2006/relationships/hyperlink" Target="https://www.cndh.org.mx/documento/recomendacion-por-violaciones-graves-13-vg2018" TargetMode="External"/><Relationship Id="rId4" Type="http://schemas.openxmlformats.org/officeDocument/2006/relationships/hyperlink" Target="https://www.cndh.org.mx/documento/recomendacion-por-violaciones-graves-5-vg2017" TargetMode="External"/><Relationship Id="rId9" Type="http://schemas.openxmlformats.org/officeDocument/2006/relationships/hyperlink" Target="https://www.cndh.org.mx/documento/recomendacion-por-violaciones-graves-12-vg2018" TargetMode="External"/><Relationship Id="rId14" Type="http://schemas.openxmlformats.org/officeDocument/2006/relationships/hyperlink" Target="https://www.cndh.org.mx/documento/recomendacion-por-violaciones-graves-21-vg2019" TargetMode="External"/></Relationships>
</file>

<file path=word/theme/theme1.xml><?xml version="1.0" encoding="utf-8"?>
<a:theme xmlns:a="http://schemas.openxmlformats.org/drawingml/2006/main" name="Tema de Office">
  <a:themeElements>
    <a:clrScheme name="Tema de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11C97D-DBAF-4419-8ED0-E5286FCAC6ED}">
  <ds:schemaRefs>
    <ds:schemaRef ds:uri="http://schemas.openxmlformats.org/officeDocument/2006/bibliography"/>
  </ds:schemaRefs>
</ds:datastoreItem>
</file>

<file path=customXml/itemProps2.xml><?xml version="1.0" encoding="utf-8"?>
<ds:datastoreItem xmlns:ds="http://schemas.openxmlformats.org/officeDocument/2006/customXml" ds:itemID="{98F0B46C-7103-469B-9AF3-F4CEC3DA578D}"/>
</file>

<file path=customXml/itemProps3.xml><?xml version="1.0" encoding="utf-8"?>
<ds:datastoreItem xmlns:ds="http://schemas.openxmlformats.org/officeDocument/2006/customXml" ds:itemID="{4F9F5F8E-4401-48F7-8C76-AD0052676CB5}"/>
</file>

<file path=customXml/itemProps4.xml><?xml version="1.0" encoding="utf-8"?>
<ds:datastoreItem xmlns:ds="http://schemas.openxmlformats.org/officeDocument/2006/customXml" ds:itemID="{DBDE767C-B4D7-48E7-87CC-08A635E79E6F}"/>
</file>

<file path=docProps/app.xml><?xml version="1.0" encoding="utf-8"?>
<Properties xmlns="http://schemas.openxmlformats.org/officeDocument/2006/extended-properties" xmlns:vt="http://schemas.openxmlformats.org/officeDocument/2006/docPropsVTypes">
  <Template>Normal</Template>
  <TotalTime>42</TotalTime>
  <Pages>1</Pages>
  <Words>29188</Words>
  <Characters>160538</Characters>
  <Application>Microsoft Office Word</Application>
  <DocSecurity>0</DocSecurity>
  <Lines>1337</Lines>
  <Paragraphs>378</Paragraphs>
  <ScaleCrop>false</ScaleCrop>
  <HeadingPairs>
    <vt:vector size="2" baseType="variant">
      <vt:variant>
        <vt:lpstr>Título</vt:lpstr>
      </vt:variant>
      <vt:variant>
        <vt:i4>1</vt:i4>
      </vt:variant>
    </vt:vector>
  </HeadingPairs>
  <TitlesOfParts>
    <vt:vector size="1" baseType="lpstr">
      <vt:lpstr/>
    </vt:vector>
  </TitlesOfParts>
  <Company>Comisión Nacional de los Derechos Humanos México</Company>
  <LinksUpToDate>false</LinksUpToDate>
  <CharactersWithSpaces>189348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Marcos Montiel Razo</dc:creator>
  <cp:lastModifiedBy>Marcos Montiel Razo</cp:lastModifiedBy>
  <cp:revision>14</cp:revision>
  <dcterms:created xsi:type="dcterms:W3CDTF">2019-09-13T14:51:00Z</dcterms:created>
  <dcterms:modified xsi:type="dcterms:W3CDTF">2019-09-13T15:38:00Z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