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34" w:type="dxa"/>
        <w:tblLook w:val="04A0" w:firstRow="1" w:lastRow="0" w:firstColumn="1" w:lastColumn="0" w:noHBand="0" w:noVBand="1"/>
      </w:tblPr>
      <w:tblGrid>
        <w:gridCol w:w="6238"/>
        <w:gridCol w:w="1417"/>
        <w:gridCol w:w="2410"/>
      </w:tblGrid>
      <w:tr w:rsidR="003C57D5" w:rsidRPr="008C3AC0" w14:paraId="426AFFC6" w14:textId="77777777" w:rsidTr="006F1D99">
        <w:trPr>
          <w:trHeight w:val="75"/>
        </w:trPr>
        <w:tc>
          <w:tcPr>
            <w:tcW w:w="6238" w:type="dxa"/>
          </w:tcPr>
          <w:p w14:paraId="426AFFC3" w14:textId="77777777" w:rsidR="003C57D5" w:rsidRPr="002F4FAE" w:rsidRDefault="003C57D5" w:rsidP="006C3BC7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bookmarkStart w:id="0" w:name="_GoBack"/>
            <w:bookmarkEnd w:id="0"/>
            <w:r w:rsidRPr="003C57D5">
              <w:rPr>
                <w:rFonts w:ascii="Times New Roman" w:hAnsi="Times New Roman"/>
                <w:sz w:val="22"/>
                <w:szCs w:val="22"/>
                <w:lang w:val="ru-RU"/>
              </w:rPr>
              <w:t>125167, Москва, Нарышкинская аллея д. 5, стр. 2</w:t>
            </w:r>
            <w:r w:rsidRPr="003C57D5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</w:p>
        </w:tc>
        <w:tc>
          <w:tcPr>
            <w:tcW w:w="1417" w:type="dxa"/>
            <w:vMerge w:val="restart"/>
            <w:vAlign w:val="center"/>
          </w:tcPr>
          <w:p w14:paraId="426AFFC4" w14:textId="77777777" w:rsidR="003C57D5" w:rsidRPr="00170CEB" w:rsidRDefault="003C57D5" w:rsidP="003C57D5">
            <w:pPr>
              <w:jc w:val="right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3F7AD8">
              <w:rPr>
                <w:rFonts w:ascii="Times New Roman" w:hAnsi="Times New Roman"/>
                <w:sz w:val="22"/>
                <w:szCs w:val="22"/>
              </w:rPr>
              <w:t>тел./факс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3F7AD8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14:paraId="426AFFC5" w14:textId="77777777" w:rsidR="003C57D5" w:rsidRPr="003F7AD8" w:rsidRDefault="003C57D5" w:rsidP="003F7AD8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826E7E">
              <w:rPr>
                <w:rFonts w:ascii="Times New Roman" w:hAnsi="Times New Roman"/>
                <w:b/>
                <w:bCs/>
                <w:sz w:val="28"/>
                <w:szCs w:val="28"/>
              </w:rPr>
              <w:t>+</w:t>
            </w:r>
            <w:r w:rsidRPr="003F7AD8">
              <w:rPr>
                <w:rFonts w:ascii="Times New Roman" w:hAnsi="Times New Roman"/>
                <w:sz w:val="22"/>
                <w:szCs w:val="22"/>
              </w:rPr>
              <w:t>7-495-612-2053</w:t>
            </w:r>
          </w:p>
        </w:tc>
      </w:tr>
      <w:tr w:rsidR="003C57D5" w:rsidRPr="008C3AC0" w14:paraId="426AFFCA" w14:textId="77777777" w:rsidTr="006F1D99">
        <w:trPr>
          <w:trHeight w:val="75"/>
        </w:trPr>
        <w:tc>
          <w:tcPr>
            <w:tcW w:w="6238" w:type="dxa"/>
          </w:tcPr>
          <w:p w14:paraId="426AFFC7" w14:textId="77777777" w:rsidR="003C57D5" w:rsidRPr="003C57D5" w:rsidRDefault="00271287" w:rsidP="006C3BC7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hyperlink r:id="rId7" w:history="1">
              <w:r w:rsidR="003C57D5" w:rsidRPr="002F4FAE">
                <w:rPr>
                  <w:rFonts w:ascii="Times New Roman" w:hAnsi="Times New Roman"/>
                  <w:sz w:val="22"/>
                  <w:szCs w:val="22"/>
                </w:rPr>
                <w:t>http</w:t>
              </w:r>
              <w:r w:rsidR="003C57D5" w:rsidRPr="003C57D5">
                <w:rPr>
                  <w:rFonts w:ascii="Times New Roman" w:hAnsi="Times New Roman"/>
                  <w:sz w:val="22"/>
                  <w:szCs w:val="22"/>
                  <w:lang w:val="ru-RU"/>
                </w:rPr>
                <w:t>://</w:t>
              </w:r>
              <w:r w:rsidR="003C57D5" w:rsidRPr="002F4FAE">
                <w:rPr>
                  <w:rFonts w:ascii="Times New Roman" w:hAnsi="Times New Roman"/>
                  <w:sz w:val="22"/>
                  <w:szCs w:val="22"/>
                </w:rPr>
                <w:t>www</w:t>
              </w:r>
              <w:r w:rsidR="003C57D5" w:rsidRPr="003C57D5">
                <w:rPr>
                  <w:rFonts w:ascii="Times New Roman" w:hAnsi="Times New Roman"/>
                  <w:sz w:val="22"/>
                  <w:szCs w:val="22"/>
                  <w:lang w:val="ru-RU"/>
                </w:rPr>
                <w:t>.</w:t>
              </w:r>
              <w:r w:rsidR="003C57D5" w:rsidRPr="002F4FAE">
                <w:rPr>
                  <w:rFonts w:ascii="Times New Roman" w:hAnsi="Times New Roman"/>
                  <w:sz w:val="22"/>
                  <w:szCs w:val="22"/>
                </w:rPr>
                <w:t>patients</w:t>
              </w:r>
              <w:r w:rsidR="003C57D5" w:rsidRPr="003C57D5">
                <w:rPr>
                  <w:rFonts w:ascii="Times New Roman" w:hAnsi="Times New Roman"/>
                  <w:sz w:val="22"/>
                  <w:szCs w:val="22"/>
                  <w:lang w:val="ru-RU"/>
                </w:rPr>
                <w:t>.</w:t>
              </w:r>
              <w:r w:rsidR="003C57D5" w:rsidRPr="002F4FAE">
                <w:rPr>
                  <w:rFonts w:ascii="Times New Roman" w:hAnsi="Times New Roman"/>
                  <w:sz w:val="22"/>
                  <w:szCs w:val="22"/>
                </w:rPr>
                <w:t>ru</w:t>
              </w:r>
            </w:hyperlink>
            <w:r w:rsidR="003C57D5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 </w:t>
            </w:r>
            <w:r w:rsidR="003C57D5" w:rsidRPr="003C57D5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эл. почта: </w:t>
            </w:r>
            <w:r w:rsidR="003C57D5" w:rsidRPr="003F7AD8">
              <w:rPr>
                <w:rFonts w:ascii="Times New Roman" w:hAnsi="Times New Roman"/>
                <w:sz w:val="22"/>
                <w:szCs w:val="22"/>
              </w:rPr>
              <w:t>pat</w:t>
            </w:r>
            <w:r w:rsidR="003C57D5" w:rsidRPr="003C57D5">
              <w:rPr>
                <w:rFonts w:ascii="Times New Roman" w:hAnsi="Times New Roman"/>
                <w:sz w:val="22"/>
                <w:szCs w:val="22"/>
                <w:lang w:val="ru-RU"/>
              </w:rPr>
              <w:t>@</w:t>
            </w:r>
            <w:r w:rsidR="003C57D5" w:rsidRPr="003F7AD8">
              <w:rPr>
                <w:rFonts w:ascii="Times New Roman" w:hAnsi="Times New Roman"/>
                <w:sz w:val="22"/>
                <w:szCs w:val="22"/>
              </w:rPr>
              <w:t>patients</w:t>
            </w:r>
            <w:r w:rsidR="003C57D5" w:rsidRPr="003C57D5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  <w:r w:rsidR="003C57D5" w:rsidRPr="003F7AD8">
              <w:rPr>
                <w:rFonts w:ascii="Times New Roman" w:hAnsi="Times New Roman"/>
                <w:sz w:val="22"/>
                <w:szCs w:val="22"/>
              </w:rPr>
              <w:t>ru</w:t>
            </w:r>
          </w:p>
        </w:tc>
        <w:tc>
          <w:tcPr>
            <w:tcW w:w="1417" w:type="dxa"/>
            <w:vMerge/>
          </w:tcPr>
          <w:p w14:paraId="426AFFC8" w14:textId="77777777" w:rsidR="003C57D5" w:rsidRPr="00170CEB" w:rsidRDefault="003C57D5" w:rsidP="006C3BC7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410" w:type="dxa"/>
          </w:tcPr>
          <w:p w14:paraId="426AFFC9" w14:textId="77777777" w:rsidR="003C57D5" w:rsidRPr="003C57D5" w:rsidRDefault="003C57D5" w:rsidP="003F7AD8">
            <w:pPr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26E7E">
              <w:rPr>
                <w:rFonts w:ascii="Times New Roman" w:hAnsi="Times New Roman"/>
                <w:b/>
                <w:bCs/>
                <w:sz w:val="28"/>
                <w:szCs w:val="28"/>
              </w:rPr>
              <w:t>+</w:t>
            </w:r>
            <w:r w:rsidRPr="003F7AD8">
              <w:rPr>
                <w:rFonts w:ascii="Times New Roman" w:hAnsi="Times New Roman"/>
                <w:sz w:val="22"/>
                <w:szCs w:val="22"/>
              </w:rPr>
              <w:t>7-495-</w:t>
            </w:r>
            <w:r w:rsidRPr="003C57D5">
              <w:rPr>
                <w:rFonts w:ascii="Times New Roman" w:hAnsi="Times New Roman"/>
                <w:sz w:val="22"/>
                <w:szCs w:val="22"/>
              </w:rPr>
              <w:t>748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  <w:r w:rsidRPr="003C57D5">
              <w:rPr>
                <w:rFonts w:ascii="Times New Roman" w:hAnsi="Times New Roman"/>
                <w:sz w:val="22"/>
                <w:szCs w:val="22"/>
              </w:rPr>
              <w:t>0510</w:t>
            </w:r>
          </w:p>
        </w:tc>
      </w:tr>
    </w:tbl>
    <w:p w14:paraId="426AFFCC" w14:textId="77777777" w:rsidR="00EC2047" w:rsidRDefault="00EC2047" w:rsidP="00EC2047">
      <w:pPr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9524A1" w14:paraId="5F9CCC32" w14:textId="77777777" w:rsidTr="009524A1"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</w:tcPr>
          <w:p w14:paraId="1B49BC29" w14:textId="77777777" w:rsidR="009524A1" w:rsidRDefault="009524A1" w:rsidP="00433CAF">
            <w:pPr>
              <w:widowControl w:val="0"/>
              <w:jc w:val="both"/>
              <w:rPr>
                <w:rFonts w:ascii="Times New Roman" w:eastAsia="Calibri" w:hAnsi="Times New Roman"/>
                <w:shd w:val="clear" w:color="auto" w:fill="FFFFFF"/>
                <w:lang w:val="ru-RU" w:eastAsia="ru-RU" w:bidi="ar-SA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</w:tcPr>
          <w:p w14:paraId="76C4311B" w14:textId="77777777" w:rsidR="009524A1" w:rsidRDefault="009524A1" w:rsidP="00433CAF">
            <w:pPr>
              <w:widowControl w:val="0"/>
              <w:jc w:val="both"/>
              <w:rPr>
                <w:rFonts w:ascii="Times New Roman" w:eastAsia="Calibri" w:hAnsi="Times New Roman"/>
                <w:shd w:val="clear" w:color="auto" w:fill="FFFFFF"/>
                <w:lang w:val="ru-RU" w:eastAsia="ru-RU" w:bidi="ar-SA"/>
              </w:rPr>
            </w:pPr>
          </w:p>
        </w:tc>
      </w:tr>
    </w:tbl>
    <w:p w14:paraId="34A6F087" w14:textId="77777777" w:rsidR="00754874" w:rsidRPr="00754874" w:rsidRDefault="00754874" w:rsidP="00754874">
      <w:pPr>
        <w:spacing w:after="60" w:line="276" w:lineRule="auto"/>
        <w:ind w:firstLine="709"/>
        <w:jc w:val="center"/>
        <w:rPr>
          <w:rFonts w:ascii="Times New Roman" w:eastAsia="Calibri" w:hAnsi="Times New Roman"/>
          <w:spacing w:val="-4"/>
          <w:lang w:val="ru-RU" w:bidi="ar-SA"/>
        </w:rPr>
      </w:pPr>
      <w:r w:rsidRPr="00754874">
        <w:rPr>
          <w:rFonts w:ascii="Times New Roman" w:eastAsia="Calibri" w:hAnsi="Times New Roman"/>
          <w:b/>
          <w:bCs/>
          <w:lang w:val="ru-RU" w:bidi="ar-SA"/>
        </w:rPr>
        <w:t>Всероссийский союз пациентов</w:t>
      </w:r>
    </w:p>
    <w:p w14:paraId="03662AE3" w14:textId="77777777" w:rsidR="00754874" w:rsidRPr="00754874" w:rsidRDefault="00754874" w:rsidP="00754874">
      <w:pPr>
        <w:spacing w:after="60" w:line="276" w:lineRule="auto"/>
        <w:ind w:firstLine="709"/>
        <w:jc w:val="center"/>
        <w:rPr>
          <w:rFonts w:ascii="Times New Roman" w:eastAsia="Calibri" w:hAnsi="Times New Roman"/>
          <w:b/>
          <w:bCs/>
          <w:lang w:val="ru-RU" w:bidi="ar-SA"/>
        </w:rPr>
      </w:pPr>
      <w:r w:rsidRPr="00754874">
        <w:rPr>
          <w:rFonts w:ascii="Times New Roman" w:eastAsia="Calibri" w:hAnsi="Times New Roman"/>
          <w:b/>
          <w:spacing w:val="-4"/>
          <w:lang w:val="ru-RU" w:bidi="ar-SA"/>
        </w:rPr>
        <w:t>В Комитет ООН по правам людей с инвалидностью</w:t>
      </w:r>
    </w:p>
    <w:p w14:paraId="0187F0A7" w14:textId="77777777" w:rsidR="00754874" w:rsidRPr="00754874" w:rsidRDefault="00754874" w:rsidP="00754874">
      <w:pPr>
        <w:spacing w:after="60" w:line="276" w:lineRule="auto"/>
        <w:ind w:firstLine="709"/>
        <w:jc w:val="center"/>
        <w:rPr>
          <w:rFonts w:ascii="Times New Roman" w:eastAsia="Calibri" w:hAnsi="Times New Roman"/>
          <w:b/>
          <w:spacing w:val="-4"/>
          <w:lang w:val="ru-RU" w:bidi="ar-SA"/>
        </w:rPr>
      </w:pPr>
      <w:r w:rsidRPr="00754874">
        <w:rPr>
          <w:rFonts w:ascii="Times New Roman" w:eastAsia="Calibri" w:hAnsi="Times New Roman"/>
          <w:b/>
          <w:spacing w:val="-4"/>
          <w:lang w:val="ru-RU" w:bidi="ar-SA"/>
        </w:rPr>
        <w:t>Альтернативный доклад об исполнении Конвенции ООН о правах инвалидов (далее – КПИ) в Российской Федерации</w:t>
      </w:r>
    </w:p>
    <w:p w14:paraId="5727F442" w14:textId="77777777" w:rsidR="00754874" w:rsidRPr="00754874" w:rsidRDefault="00754874" w:rsidP="00754874">
      <w:pPr>
        <w:spacing w:after="60" w:line="276" w:lineRule="auto"/>
        <w:ind w:firstLine="709"/>
        <w:jc w:val="center"/>
        <w:rPr>
          <w:rFonts w:ascii="Times New Roman" w:eastAsia="Calibri" w:hAnsi="Times New Roman"/>
          <w:b/>
          <w:spacing w:val="-4"/>
          <w:lang w:val="ru-RU" w:bidi="ar-SA"/>
        </w:rPr>
      </w:pPr>
    </w:p>
    <w:p w14:paraId="32D26DA8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 xml:space="preserve">Настоящий доклад является итогом мониторинга, проводимого Всероссийским союзом пациентов. </w:t>
      </w:r>
    </w:p>
    <w:p w14:paraId="4DC597A1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Всероссийский союз пациентов (Всероссийский союз общественных объединений пациентов, ВСП) — общественная организация, объединяющая сегодня 17 общероссийских и межрегиональных организаций пациентов и 200 региональных организаций пациентов, представляющих интересы более 7 миллионов граждан Российской Федерации.</w:t>
      </w:r>
    </w:p>
    <w:p w14:paraId="3056CDE9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Союз развивает пациентское движение и организует его взаимодействие с органами власти, профессиональным сообществом и другими социальными партнерами.</w:t>
      </w:r>
    </w:p>
    <w:p w14:paraId="0D2635FF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Мониторинг проводился силами членов ВСП путем сбора информации из открытых источников и материалов, имеющихся в распоряжении организации.</w:t>
      </w:r>
    </w:p>
    <w:p w14:paraId="0DF21CA8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 xml:space="preserve">Доклад затрагивает вопросы реализации КПИ в Российской Федерации в части 20, 26 и 30 статей КПИ. </w:t>
      </w:r>
    </w:p>
    <w:p w14:paraId="1C42022B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/>
          <w:bCs/>
          <w:lang w:val="ru-RU" w:bidi="ar-SA"/>
        </w:rPr>
      </w:pPr>
      <w:r w:rsidRPr="00754874">
        <w:rPr>
          <w:rFonts w:ascii="Times New Roman" w:eastAsia="Calibri" w:hAnsi="Times New Roman"/>
          <w:b/>
          <w:bCs/>
          <w:lang w:val="ru-RU" w:bidi="ar-SA"/>
        </w:rPr>
        <w:t>Статья 20 КПИ. Индивидуальная мобильность</w:t>
      </w:r>
    </w:p>
    <w:p w14:paraId="2B59FABF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 xml:space="preserve"> Федеральным законом № 419-ФЗ введен запрет с 1 июля 2016 г. строительства и ввода в эксплуатацию недоступных для инвалидов инфраструктурных объектов и транспортных средств. В целях обязывания собственников объектов, застройщиков, производителей транспортных средств к строительству объектов социальной и транспортной инфраструктур, выпуску, закупке транспортных средств в форматах, обеспечивающих индивидуальную мобильность инвалидов, постановлением Правительства Российской Федерации от 26 декабря 2014 г. № 1521 установлена обязательность применения с 1 января 2015 г. строительных норм и правил, утвержденных актом Министерства строительства и жилищно-коммунального хозяйства Российской Федерации СП-59-13330, ранее применяющихся на добровольной основе.</w:t>
      </w:r>
    </w:p>
    <w:p w14:paraId="35F54409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Lucida Sans Unicode" w:hAnsi="Times New Roman"/>
          <w:lang w:val="ru-RU" w:bidi="ar-SA"/>
        </w:rPr>
      </w:pPr>
      <w:r w:rsidRPr="00754874">
        <w:rPr>
          <w:rFonts w:ascii="Times New Roman" w:eastAsia="Lucida Sans Unicode" w:hAnsi="Times New Roman"/>
          <w:lang w:val="ru-RU" w:bidi="ar-SA"/>
        </w:rPr>
        <w:t>С 2017 г. сформировано нормативное и информационное обеспечение, позволяющее инвалидам приобретать через сеть «Интернет» электронные билеты для перевозки на железнодорожном и авиационном транспорте с соблюдением заявленных ими условий доступности.</w:t>
      </w:r>
    </w:p>
    <w:p w14:paraId="1D3FCE29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 xml:space="preserve">Помимо создания доступной окружающей инвалида среды, государство принимает меры по стимулированию инновационной активности производителей реабилитационной индустрии и запуску новых образцов продукции, предназначенной в том числе для повышения индивидуальной мобильности инвалидов. В этих целях Министерством промышленности и </w:t>
      </w:r>
      <w:r w:rsidRPr="00754874">
        <w:rPr>
          <w:rFonts w:ascii="Times New Roman" w:eastAsia="Calibri" w:hAnsi="Times New Roman"/>
          <w:bCs/>
          <w:lang w:val="ru-RU" w:bidi="ar-SA"/>
        </w:rPr>
        <w:lastRenderedPageBreak/>
        <w:t xml:space="preserve">торговли Российской Федерации разработаны и утверждены специализированные механизмы поддержки для организаций реабилитационной индустрии. </w:t>
      </w:r>
    </w:p>
    <w:p w14:paraId="33D4B9E9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Действующие в настоящее время механизмы обеспечения инвалидов ТСР предусматривают как выдачу таких средств в натуральной форме по результатам проведенных конкурентных процедур уполномоченными органами, так и выплату компенсации при их самостоятельном приобретении инвалидом.</w:t>
      </w:r>
    </w:p>
    <w:p w14:paraId="02ECF045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 xml:space="preserve">Однако, оба механизма имеют ряд недостатков, обусловленных в том числе длительностью сроков предоставления ТСР в виду требований законодательства о закупках (сроки проведения конкурентных процедур до 40 дней), а также необходимостью привлечения инвалидами 100 % собственных средств для приобретения ТСР на открытом рынке и только потом получения компенсации. </w:t>
      </w:r>
    </w:p>
    <w:p w14:paraId="56CA4BA0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Учитывая стабильный и весьма высокий по сравнению с прошлыми периодами объем финансирования на мероприятия по обеспечению инвалидов ТСР (если в 2010 году – всего 12,9 млрд. рублей, то в 2017 году – 32,8 млрд. рублей) наряду с сохранением уровня обеспеченности инвалидов ТСР, актуально повышение доступности и своевременности предоставления инвалидам качественных ТСР с учетом их индивидуальных потребностей.</w:t>
      </w:r>
    </w:p>
    <w:p w14:paraId="29C41AB0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Так, в целях повышения доступности услуги по обеспечению инвалидов ТСР, внесены изменения в перечень государственных услуг, предоставление которых организуется по принципу «одного окна» в многофункциональных центрах (МФЦ) предоставления государственных и муниципальных услуг федеральными органами исполнительной власти и органами государственных внебюджетных фондов</w:t>
      </w:r>
      <w:r w:rsidRPr="00754874">
        <w:rPr>
          <w:rFonts w:ascii="Times New Roman" w:eastAsia="Calibri" w:hAnsi="Times New Roman"/>
          <w:bCs/>
          <w:vertAlign w:val="superscript"/>
          <w:lang w:val="ru-RU" w:bidi="ar-SA"/>
        </w:rPr>
        <w:footnoteReference w:id="1"/>
      </w:r>
      <w:r w:rsidRPr="00754874">
        <w:rPr>
          <w:rFonts w:ascii="Times New Roman" w:eastAsia="Calibri" w:hAnsi="Times New Roman"/>
          <w:bCs/>
          <w:lang w:val="ru-RU" w:bidi="ar-SA"/>
        </w:rPr>
        <w:t>.</w:t>
      </w:r>
    </w:p>
    <w:p w14:paraId="63408915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 xml:space="preserve">Указанные изменения предполагают обязательность предоставления МФЦ по принципу “одного окна” услуг по приему от граждан заявлений в целях получения государственной услуги по обеспечению инвалидов ТСР как в субъектах Российской Федерации, осуществляющих переданные государственные полномочия по обеспечению инвалидов ТСР, так и в регионах, в которых данные государственные функции осуществляются Фондом социального страхования Российской Федерации. </w:t>
      </w:r>
    </w:p>
    <w:p w14:paraId="3DD7DED8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</w:p>
    <w:p w14:paraId="1D8CD3BF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i/>
          <w:lang w:val="ru-RU" w:bidi="ar-SA"/>
        </w:rPr>
      </w:pPr>
      <w:r w:rsidRPr="00754874">
        <w:rPr>
          <w:rFonts w:ascii="Times New Roman" w:eastAsia="Calibri" w:hAnsi="Times New Roman"/>
          <w:bCs/>
          <w:i/>
          <w:lang w:val="ru-RU" w:bidi="ar-SA"/>
        </w:rPr>
        <w:t>Прокат ТСР</w:t>
      </w:r>
    </w:p>
    <w:p w14:paraId="3EA4009B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Взять ТСР на время бывает также необходимо, если собственное сдано в ремонт либо подлежит замене. В этом случае тоже нужно ждать, когда пройдут торги. Кроме того, прокат будет полезен тем, кто нуждается в таких изделиях на время болезни или после травмы. Востребованность услуг пунктов проката подтвердилась во время Олимпиады и Паралимпиады в Сочи, где собралось много зрителей и случались травмы, а также поломки и потери технических средств реабилитации.</w:t>
      </w:r>
    </w:p>
    <w:p w14:paraId="34B81952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ТСР, полученные в прокате, ни в коем случае не будут заменять или отменять назначения по ИПР.  Государство продолжит выполнять эти обязательства. Прокат станет дополнительным механизмом предоставления помощи инвалидам.</w:t>
      </w:r>
    </w:p>
    <w:p w14:paraId="15B01E8E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Стоимость проката регионам предстоит определить самостоятельно. Но министерство будет рекомендовать установить ценовую дифференциацию для инвалидов и неинвалидов. При этом, градация в зависимости от группы инвалидности не требуется. Будет достаточно наличия группы как таковой.</w:t>
      </w:r>
    </w:p>
    <w:p w14:paraId="2090F72B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 xml:space="preserve">Допускается возможность бесплатного проката для инвалидов, но министерство оставит этот вопрос на усмотрение регионов. В министерстве не ожидают, что все регионы </w:t>
      </w:r>
      <w:r w:rsidRPr="00754874">
        <w:rPr>
          <w:rFonts w:ascii="Times New Roman" w:eastAsia="Calibri" w:hAnsi="Times New Roman"/>
          <w:bCs/>
          <w:lang w:val="ru-RU" w:bidi="ar-SA"/>
        </w:rPr>
        <w:lastRenderedPageBreak/>
        <w:t>одновременно выполнят рекомендацию по созданию пунктов проката, но рассчитывают, что постепенно их число будет расти.</w:t>
      </w:r>
    </w:p>
    <w:p w14:paraId="7466EE55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</w:p>
    <w:p w14:paraId="2BD2182F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i/>
          <w:lang w:val="ru-RU" w:bidi="ar-SA"/>
        </w:rPr>
      </w:pPr>
      <w:r w:rsidRPr="00754874">
        <w:rPr>
          <w:rFonts w:ascii="Times New Roman" w:eastAsia="Calibri" w:hAnsi="Times New Roman"/>
          <w:bCs/>
          <w:i/>
          <w:lang w:val="ru-RU" w:bidi="ar-SA"/>
        </w:rPr>
        <w:t>Закупки ТСР</w:t>
      </w:r>
    </w:p>
    <w:p w14:paraId="35F68CBB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В целях совершенствования процедур закупок ТСР распоряжением Правительства Российской Федерации от 18 сентября 2017 г. № 1995-р, установлен исчерпывающий перечень источников информации, которые могут быть использованы для целей определения начальной (максимальной) цены контракта, цены контракта, заключаемого с единственным поставщиком (подрядчиком, исполнителем), на поставку технических средств реабилитации и услуг, предусмотренных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 декабря 2005 г. № 2347-р, для обеспечения государственных нужд.</w:t>
      </w:r>
    </w:p>
    <w:p w14:paraId="4E81AA9D" w14:textId="77777777" w:rsidR="00754874" w:rsidRPr="00754874" w:rsidRDefault="00754874" w:rsidP="00754874">
      <w:pPr>
        <w:spacing w:after="60" w:line="276" w:lineRule="auto"/>
        <w:ind w:firstLine="709"/>
        <w:contextualSpacing/>
        <w:jc w:val="both"/>
        <w:rPr>
          <w:rFonts w:ascii="Times New Roman" w:eastAsia="Calibri" w:hAnsi="Times New Roman"/>
          <w:bCs/>
          <w:i/>
          <w:lang w:val="ru-RU" w:bidi="ar-SA"/>
        </w:rPr>
      </w:pPr>
      <w:r w:rsidRPr="00754874">
        <w:rPr>
          <w:rFonts w:ascii="Times New Roman" w:eastAsia="Calibri" w:hAnsi="Times New Roman"/>
          <w:bCs/>
          <w:i/>
          <w:lang w:val="ru-RU" w:bidi="ar-SA"/>
        </w:rPr>
        <w:t>Электронный сертификат</w:t>
      </w:r>
    </w:p>
    <w:p w14:paraId="5F7B2A37" w14:textId="77777777" w:rsidR="00754874" w:rsidRPr="00754874" w:rsidRDefault="00754874" w:rsidP="00754874">
      <w:pPr>
        <w:spacing w:after="60" w:line="276" w:lineRule="auto"/>
        <w:ind w:firstLine="709"/>
        <w:contextualSpacing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Профессиональным  и экспертным сообществом поддержан вопрос внедрения электронного сертификата, а  положительный опыт его использования есть в г. Москва и Ханты-Мансийском автономном округе. Внедрение  сертификата планируется наряду с действующими механизмами обеспечения ТСР, а сам сертификат должен быть в форме электронного документа который будет содержать сведения о виде ТСР и о предельном размере возмещаемых расходов.</w:t>
      </w:r>
    </w:p>
    <w:p w14:paraId="130F7060" w14:textId="77777777" w:rsidR="00754874" w:rsidRPr="00754874" w:rsidRDefault="00754874" w:rsidP="00754874">
      <w:pPr>
        <w:spacing w:after="60" w:line="276" w:lineRule="auto"/>
        <w:ind w:firstLine="709"/>
        <w:contextualSpacing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При этом, на первом этапе такой сертификат предлагается выдавать для  ТСР серийного производства (таких, как: кресло-коляски, телефоны с текстовым выходом, телевизоры с телетекстом для приема программ со скрытыми субтитрами, сигнализаторы звука световые и вибрационные, медицинские термометры и тонометры с речевым выходом). В последующем данная практика может быть распространена и  на другие изделия.</w:t>
      </w:r>
    </w:p>
    <w:p w14:paraId="5256D808" w14:textId="77777777" w:rsidR="00754874" w:rsidRPr="00754874" w:rsidRDefault="00754874" w:rsidP="00754874">
      <w:pPr>
        <w:spacing w:after="60" w:line="276" w:lineRule="auto"/>
        <w:ind w:firstLine="709"/>
        <w:contextualSpacing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 xml:space="preserve">Непосредственный механизм реализации сертификата (правила подачи заявления о выдаче сертификата, порядок использования сертификата, включая срок его действия, порядок определения предельного размера возмещаемых расходов при приобретении ТСР с использованием сертификата, порядок информирования об указанном предельном размере) будет определяться Минтрудом России. </w:t>
      </w:r>
    </w:p>
    <w:p w14:paraId="68AA9DD8" w14:textId="77777777" w:rsidR="00754874" w:rsidRPr="00754874" w:rsidRDefault="00754874" w:rsidP="00754874">
      <w:pPr>
        <w:spacing w:after="60" w:line="276" w:lineRule="auto"/>
        <w:ind w:firstLine="709"/>
        <w:contextualSpacing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Также предлагается предусмотреть возможность использования средств сертификата на погашение основного долга и уплату процентов по кредитам или займам на приобретение ТСР, предоставленным инвалидам по кредитному договору (договору займа), заключенному с организацией, в том числе кредитной организацией. Работа по данному направлению ведется в настоящее время Минтрудом России совместно с Банком России и Минфином России.</w:t>
      </w:r>
    </w:p>
    <w:p w14:paraId="747659BB" w14:textId="77777777" w:rsidR="00754874" w:rsidRPr="00754874" w:rsidRDefault="00754874" w:rsidP="00754874">
      <w:pPr>
        <w:spacing w:after="60" w:line="276" w:lineRule="auto"/>
        <w:ind w:firstLine="709"/>
        <w:contextualSpacing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Использование сертификата позволит повысить эффективность реабилитации инвалидов, поскольку подбор ТСР, будет осуществляться инвалидами самостоятельно у интересующих их поставщиков, исходя из индивидуальных потребностей  и с учетом требований, предъявляемых к таким поставщикам.</w:t>
      </w:r>
    </w:p>
    <w:p w14:paraId="7B5D5B35" w14:textId="77777777" w:rsidR="00754874" w:rsidRPr="00754874" w:rsidRDefault="00754874" w:rsidP="00754874">
      <w:pPr>
        <w:spacing w:after="60" w:line="276" w:lineRule="auto"/>
        <w:ind w:firstLine="709"/>
        <w:contextualSpacing/>
        <w:jc w:val="both"/>
        <w:rPr>
          <w:rFonts w:ascii="Times New Roman" w:eastAsia="Calibri" w:hAnsi="Times New Roman"/>
          <w:bCs/>
          <w:i/>
          <w:lang w:val="ru-RU" w:bidi="ar-SA"/>
        </w:rPr>
      </w:pPr>
      <w:r w:rsidRPr="00754874">
        <w:rPr>
          <w:rFonts w:ascii="Times New Roman" w:eastAsia="Calibri" w:hAnsi="Times New Roman"/>
          <w:bCs/>
          <w:i/>
          <w:lang w:val="ru-RU" w:bidi="ar-SA"/>
        </w:rPr>
        <w:t>Введение обязательной маркировки технических средств реабилитации</w:t>
      </w:r>
    </w:p>
    <w:p w14:paraId="4780FF42" w14:textId="77777777" w:rsidR="00754874" w:rsidRPr="00754874" w:rsidRDefault="00754874" w:rsidP="00754874">
      <w:pPr>
        <w:spacing w:after="60" w:line="276" w:lineRule="auto"/>
        <w:ind w:firstLine="709"/>
        <w:contextualSpacing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 xml:space="preserve">Распоряжением Правительства Российской Федерации от 22 ноября </w:t>
      </w:r>
      <w:r w:rsidRPr="00754874">
        <w:rPr>
          <w:rFonts w:ascii="Times New Roman" w:eastAsia="Calibri" w:hAnsi="Times New Roman"/>
          <w:bCs/>
          <w:lang w:val="ru-RU" w:bidi="ar-SA"/>
        </w:rPr>
        <w:br/>
        <w:t xml:space="preserve">2017 г. № 2599-р были утверждены Стратегия развития производства промышленной продукции реабилитационной направленности до 2025 года (далее – Стратегия) и комплекс мер по формированию современной отрасли промышленной продукции реабилитационной направленности в 2017 - 2019 годах (далее – комплекс мер). </w:t>
      </w:r>
    </w:p>
    <w:p w14:paraId="3ACD5C52" w14:textId="77777777" w:rsidR="00754874" w:rsidRPr="00754874" w:rsidRDefault="00754874" w:rsidP="00754874">
      <w:pPr>
        <w:spacing w:after="60" w:line="276" w:lineRule="auto"/>
        <w:ind w:firstLine="709"/>
        <w:contextualSpacing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 xml:space="preserve">Комплексом мер предусматривается разработка предложений по введению обязательной маркировки технических средств реабилитации и их ключевых компонентов (ТСР). </w:t>
      </w:r>
    </w:p>
    <w:p w14:paraId="735B8B5B" w14:textId="77777777" w:rsidR="00754874" w:rsidRPr="00754874" w:rsidRDefault="00754874" w:rsidP="00754874">
      <w:pPr>
        <w:spacing w:after="60" w:line="276" w:lineRule="auto"/>
        <w:ind w:firstLine="709"/>
        <w:contextualSpacing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 xml:space="preserve">Обязательная маркировка ТСР является методом, который технологически предполагает присвоение им уникального номера, используемого в последующем для идентификации каждого отдельного изделия. </w:t>
      </w:r>
    </w:p>
    <w:p w14:paraId="19FE0C89" w14:textId="77777777" w:rsidR="00754874" w:rsidRPr="00754874" w:rsidRDefault="00754874" w:rsidP="00754874">
      <w:pPr>
        <w:spacing w:after="60" w:line="276" w:lineRule="auto"/>
        <w:ind w:firstLine="709"/>
        <w:contextualSpacing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 xml:space="preserve">Маркирование позволяет решить ряд важнейших задач, среди которых обеспечение предметно-количественного учета выпускаемых предприятиями ТСР, в том числе в рыночном обороте, облегчение логистических задач, возможность отслеживания индивидуальной производственной эксплуатационной истории каждого изделия и, соответственно, упрощение контроля их качества и надежности, осуществления сервисного и гарантийного обслуживания, ремонта, модернизации, замены и, в конечном итоге, утилизации реабилитационных товаров. </w:t>
      </w:r>
    </w:p>
    <w:p w14:paraId="42339B97" w14:textId="77777777" w:rsidR="00754874" w:rsidRPr="00754874" w:rsidRDefault="00754874" w:rsidP="00754874">
      <w:pPr>
        <w:spacing w:after="60" w:line="276" w:lineRule="auto"/>
        <w:ind w:firstLine="709"/>
        <w:contextualSpacing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 xml:space="preserve">Кроме того, маркировка с присвоением уникального идентификационного номера является одним из эффективных способов борьбы с контрафактом и злоупотреблениями при обороте ТСР и их ключевых компонентов. </w:t>
      </w:r>
    </w:p>
    <w:p w14:paraId="50E4D60F" w14:textId="77777777" w:rsidR="00754874" w:rsidRPr="00754874" w:rsidRDefault="00754874" w:rsidP="00754874">
      <w:pPr>
        <w:spacing w:after="60" w:line="276" w:lineRule="auto"/>
        <w:ind w:firstLine="709"/>
        <w:contextualSpacing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 xml:space="preserve">Анализ опыта иностранных производителей, применяющих в течение длительного времени маркировку ТСР, а также иных медицинских изделий в виде присвоения уникальных идентификационных номеров, штрих и QR-кодов позволяет сделать заключение о высокой эффективности данного метода для контроля их оборота на внутреннем и внешнем рынках, для учета многих других характеристик продукции, для решения претензионных вопросов, споров и исков. </w:t>
      </w:r>
    </w:p>
    <w:p w14:paraId="75F4CDFF" w14:textId="77777777" w:rsidR="00754874" w:rsidRPr="00754874" w:rsidRDefault="00754874" w:rsidP="00754874">
      <w:pPr>
        <w:spacing w:after="60" w:line="276" w:lineRule="auto"/>
        <w:ind w:firstLine="709"/>
        <w:contextualSpacing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При внедрении обязательной маркировки ТСР и их ключевых компонентов следует учитывать соотношение стоимости реализации технологии маркирования к стоимости самого изделия во избежание удорожания стоимости реабилитационной продукции. В связи с этим представляется целесообразным использовать различные способы маркировки для различных групп ТСР.</w:t>
      </w:r>
    </w:p>
    <w:p w14:paraId="4B8F9397" w14:textId="77777777" w:rsidR="00754874" w:rsidRPr="00754874" w:rsidRDefault="00754874" w:rsidP="00754874">
      <w:pPr>
        <w:spacing w:after="60" w:line="276" w:lineRule="auto"/>
        <w:ind w:firstLine="709"/>
        <w:contextualSpacing/>
        <w:jc w:val="both"/>
        <w:rPr>
          <w:rFonts w:ascii="Times New Roman" w:eastAsia="Calibri" w:hAnsi="Times New Roman"/>
          <w:bCs/>
          <w:i/>
          <w:lang w:val="ru-RU" w:bidi="ar-SA"/>
        </w:rPr>
      </w:pPr>
      <w:r w:rsidRPr="00754874">
        <w:rPr>
          <w:rFonts w:ascii="Times New Roman" w:eastAsia="Calibri" w:hAnsi="Times New Roman"/>
          <w:bCs/>
          <w:i/>
          <w:lang w:val="ru-RU" w:bidi="ar-SA"/>
        </w:rPr>
        <w:t>Компенсация расходов отечественным производителям ТСР</w:t>
      </w:r>
    </w:p>
    <w:p w14:paraId="5E1DEDAE" w14:textId="77777777" w:rsidR="00754874" w:rsidRPr="00754874" w:rsidRDefault="00754874" w:rsidP="00754874">
      <w:pPr>
        <w:spacing w:after="60" w:line="276" w:lineRule="auto"/>
        <w:ind w:firstLine="709"/>
        <w:contextualSpacing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Стратегия развития производства промышленной продукции реабилитационной направленности до 2025 года</w:t>
      </w:r>
      <w:r w:rsidRPr="00754874">
        <w:rPr>
          <w:rFonts w:ascii="Times New Roman" w:eastAsia="Calibri" w:hAnsi="Times New Roman"/>
          <w:lang w:val="ru-RU" w:eastAsia="ru-RU" w:bidi="ar-SA"/>
        </w:rPr>
        <w:t xml:space="preserve"> </w:t>
      </w:r>
      <w:r w:rsidRPr="00754874">
        <w:rPr>
          <w:rFonts w:ascii="Times New Roman" w:eastAsia="Calibri" w:hAnsi="Times New Roman"/>
          <w:bCs/>
          <w:lang w:val="ru-RU" w:bidi="ar-SA"/>
        </w:rPr>
        <w:t>позволит создать в Российской Федерации конкурентоспособную отрасль промышленности по производству товаров реабилитационной направленности, удовлетворяющей потребностям и запросам граждан, в том числе продукции предназначенной для детей-инвалидов.</w:t>
      </w:r>
    </w:p>
    <w:p w14:paraId="3D3426A5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 xml:space="preserve">В рамках Стратегии </w:t>
      </w:r>
      <w:r w:rsidRPr="00754874">
        <w:rPr>
          <w:rFonts w:ascii="Times New Roman" w:eastAsia="Calibri" w:hAnsi="Times New Roman"/>
          <w:lang w:val="ru-RU" w:bidi="ar-SA"/>
        </w:rPr>
        <w:t xml:space="preserve">развития производства промышленной продукции реабилитационной направленности до 2025 года </w:t>
      </w:r>
      <w:r w:rsidRPr="00754874">
        <w:rPr>
          <w:rFonts w:ascii="Times New Roman" w:eastAsia="Calibri" w:hAnsi="Times New Roman"/>
          <w:bCs/>
          <w:lang w:val="ru-RU" w:bidi="ar-SA"/>
        </w:rPr>
        <w:t>заложены специализированные механизмы поддержки организаций реабилитационной индустрии, которые позволят субсидировать затраты на проведение научно-исследовательских и опытно-конструкторских работ, а также запуск производства. В рамках данных механизмов поддержки в 2017 году были подписаны соглашения с 16 организациями по предоставлению субсидий на общую сумму более 500 млн рублей. (Федеральным бюджетом предусмотрены средства на 2017 год – 500 млн. руб., на 2018 год – 500 млн. руб., на 2019 год – 500 млн. руб.)</w:t>
      </w:r>
    </w:p>
    <w:p w14:paraId="14BB5A24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</w:p>
    <w:p w14:paraId="727DD484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i/>
          <w:lang w:val="ru-RU" w:bidi="ar-SA"/>
        </w:rPr>
      </w:pPr>
      <w:r w:rsidRPr="00754874">
        <w:rPr>
          <w:rFonts w:ascii="Times New Roman" w:eastAsia="Calibri" w:hAnsi="Times New Roman"/>
          <w:bCs/>
          <w:i/>
          <w:lang w:val="ru-RU" w:bidi="ar-SA"/>
        </w:rPr>
        <w:t>Сроки обеспечения инвалидов ТСР</w:t>
      </w:r>
    </w:p>
    <w:p w14:paraId="604ECA0E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По итогам обсуждения проблем связанных с обеспечением инвалидов ТСР в Государственной Думе и Совете Федерации Федерального Собрания Российской Федерации Правительству Российской Федерации рекомендовано рассмотреть вопрос нормативного закрепления срока предоставления ТСР инвалиду с учетом сроков, предусмотренных законодательством Российской Федерации для заключения государственного контракта на поставку ТСР.</w:t>
      </w:r>
    </w:p>
    <w:p w14:paraId="49AA6FE6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>Также аналогичные предложения были отражены в представлении Счетной палаты Российской Федерации по результатам, проведенной проверки расходов на мероприятия по обеспечению инвалидов ТСР в 2014-2016 годах.</w:t>
      </w:r>
    </w:p>
    <w:p w14:paraId="2A93AB37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  <w:r w:rsidRPr="00754874">
        <w:rPr>
          <w:rFonts w:ascii="Times New Roman" w:eastAsia="Calibri" w:hAnsi="Times New Roman"/>
          <w:bCs/>
          <w:lang w:val="ru-RU" w:bidi="ar-SA"/>
        </w:rPr>
        <w:t xml:space="preserve">Минтрудом России совместно с заинтересованными органами исполнительной власти и общественными объединениями инвалидов рассмотрен поставленный вопрос и подготовлен проект постановления Правительства Российской Федерации «О внесении изменения в Правила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утвержденные постановлением Правительства Российской Федерации от 7 апреля 2008 г. № 240 (далее – проект постановления), предусматривающий установление сроков выдачи инвалиду направления на получение либо изготовление ТСР, сопоставимых со сроками, необходимыми для заключения государственного контракта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(далее - Закон № 44-ФЗ). </w:t>
      </w:r>
    </w:p>
    <w:p w14:paraId="7E1C1C97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Cs/>
          <w:lang w:val="ru-RU" w:bidi="ar-SA"/>
        </w:rPr>
      </w:pPr>
    </w:p>
    <w:p w14:paraId="1781D53A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/>
          <w:lang w:val="ru-RU" w:bidi="ar-SA"/>
        </w:rPr>
      </w:pPr>
      <w:r w:rsidRPr="00754874">
        <w:rPr>
          <w:rFonts w:ascii="Times New Roman" w:eastAsia="Calibri" w:hAnsi="Times New Roman"/>
          <w:b/>
          <w:lang w:val="ru-RU" w:bidi="ar-SA"/>
        </w:rPr>
        <w:t>Статья 26 КПИ. Абилитация и реабилитация</w:t>
      </w:r>
    </w:p>
    <w:p w14:paraId="6ADDDC06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В 2016 году впервые Правительством Российской Федерации утверждена Концепция развития ранней помощи в Российской Федерации на период до 2020 года (далее – Концепция), а также План по ее реализации.</w:t>
      </w:r>
    </w:p>
    <w:p w14:paraId="5C4EB6BB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Концепция призвана сформировать единые подходы к ранней помощи и объединить усилия различных ведомств (здравоохранения, образования, социальной защиты). При этом важно не потерять накопленный регионами опыт и лучшие практики.</w:t>
      </w:r>
    </w:p>
    <w:p w14:paraId="52C51B25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В период 2017 - 2018 годов в Пермском крае и Свердловской области проводится пилотный проект по отработке подходов к формированию системы комплексной реабилитации и абилитации инвалидов, в том числе детей-инвалидов, в рамках которого осуществляется апробация разработанных Минтрудом России в 2016 году методических, методологических документов.</w:t>
      </w:r>
    </w:p>
    <w:p w14:paraId="6EAF33E7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На втором этапе в 2018 году пилотный проект будет продолжен, обобщены его результаты и предложена единая методология работы для всех регионов. На третьем этапе с 2019 года планируется осуществить поддержку всех регионов, организующих раннюю помощь. </w:t>
      </w:r>
    </w:p>
    <w:p w14:paraId="52672079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Типовой программой планируется установить обязательные положения, которые должны будут учитываться субъектом Российской Федерации при формировании мероприятий региональной программы, включая цели, задачи, целевые показатели и их значения, перечень мероприятий, обоснование объема финансовых ресурсов, необходимых для реализации региональных программ, оценка эффективности реализации мероприятий и т.д.</w:t>
      </w:r>
    </w:p>
    <w:p w14:paraId="5955B007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Применение типовой программы субъекта Российской Федерации даст возможность осуществлять общую оценку процесса формирования системы комплексной реабилитации и абилитации инвалидов как по Российской Федерации в целом, так и в разрезе субъектов Российской Федерации.</w:t>
      </w:r>
    </w:p>
    <w:p w14:paraId="474ECFDD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С учетом сложившихся экономических, социально-демографических, географических и других особенностей субъектов Российской Федерации, в том числе сформированности в них сети реабилитационных центров, а также в зависимости от уровня, структуры инвалидности, был разработан проект четырехуровневой структуры многопрофильных реабилитационных центров и подготовлены соответствующие проекты типовых положений. Многопрофильные реабилитационные центры предлагается разделить на уровни -  базовый, оптимальный, расширенный  и комплексный. При этом объем предоставляемых услуг в таких центрах увеличивается от уровня к уровню, но уже на базовом уровне должен быть предоставлен минимально необходимый объем услуг по социальной и профессиональной реабилитации.  </w:t>
      </w:r>
    </w:p>
    <w:p w14:paraId="35892A87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Такая организация многопрофильных реабилитационных центров позволяет создать условия для получения услуг по реабилитации максимально приближенно к месту проживания инвалида. </w:t>
      </w:r>
    </w:p>
    <w:p w14:paraId="6A313D54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Для того чтобы было можно даже в субъектах с низким экономическим потенциалом предоставить инвалидам достойный уровень реабилитационных услуг считаем целесообразным в каждом Федеральном округе предусмотреть строительство комплексного многопрофильного реабилитационного центра (далее – реабилитационный центр), в котором смогут получать услуги по  реабилитации инвалиды и дети-инвалиды не зависимо заболевания.</w:t>
      </w:r>
    </w:p>
    <w:p w14:paraId="7E0AB9DF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Также такие реабилитационные центры будут выполнять роль методических и методологических центров по вопросам реабилитации для регионов.</w:t>
      </w:r>
    </w:p>
    <w:p w14:paraId="7C89919A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В целях оказания методической помощи регионам  в 2016 году на базе Федерального бюро медико-социальной экспертизы организован Центр методического и методологического обеспечения развития комплексной реабилитации и абилитации инвалидов и детей-инвалидов (далее – Методический центр).</w:t>
      </w:r>
    </w:p>
    <w:p w14:paraId="44A3A8DF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</w:p>
    <w:p w14:paraId="55924A74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b/>
          <w:lang w:val="ru-RU" w:bidi="ar-SA"/>
        </w:rPr>
      </w:pPr>
      <w:r w:rsidRPr="00754874">
        <w:rPr>
          <w:rFonts w:ascii="Times New Roman" w:eastAsia="Calibri" w:hAnsi="Times New Roman"/>
          <w:b/>
          <w:lang w:val="ru-RU" w:bidi="ar-SA"/>
        </w:rPr>
        <w:t>Статья 30 КПИ. Участие в культурной жизни, проведении досуга и отдыха и занятии спортом.</w:t>
      </w:r>
    </w:p>
    <w:p w14:paraId="683F1D01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В результате реализации государственной программы Российской Федерации «Доступная среда» на 2011-2020 гг. за последние 5 лет:</w:t>
      </w:r>
    </w:p>
    <w:p w14:paraId="58489989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•</w:t>
      </w:r>
      <w:r w:rsidRPr="00754874">
        <w:rPr>
          <w:rFonts w:ascii="Times New Roman" w:eastAsia="Calibri" w:hAnsi="Times New Roman"/>
          <w:lang w:val="ru-RU" w:bidi="ar-SA"/>
        </w:rPr>
        <w:tab/>
        <w:t>приспособлено с учетом потребностей инвалидов более 18 тысяч наиболее значимых для них объектов;</w:t>
      </w:r>
    </w:p>
    <w:p w14:paraId="7437055E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•</w:t>
      </w:r>
      <w:r w:rsidRPr="00754874">
        <w:rPr>
          <w:rFonts w:ascii="Times New Roman" w:eastAsia="Calibri" w:hAnsi="Times New Roman"/>
          <w:lang w:val="ru-RU" w:bidi="ar-SA"/>
        </w:rPr>
        <w:tab/>
        <w:t>количество субтитрированных телевизионных программ общероссийских обязательных телеканалов увеличилось с 3 тысяч часов в год в 2011 г. до 15 тысяч часов в год в 2016 г.;</w:t>
      </w:r>
    </w:p>
    <w:p w14:paraId="7DD5D6DD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•</w:t>
      </w:r>
      <w:r w:rsidRPr="00754874">
        <w:rPr>
          <w:rFonts w:ascii="Times New Roman" w:eastAsia="Calibri" w:hAnsi="Times New Roman"/>
          <w:lang w:val="ru-RU" w:bidi="ar-SA"/>
        </w:rPr>
        <w:tab/>
        <w:t>выпущено 1790 наименований книг и учебных пособий, а также обеспечен выпуск 5 периодических изданий для инвалидов по зрению, в том числе выполненных рельефно-точечным шрифтом Брайля и плоскопечатным крупно-шрифтовым способом;</w:t>
      </w:r>
    </w:p>
    <w:p w14:paraId="0FA0D5E6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•</w:t>
      </w:r>
      <w:r w:rsidRPr="00754874">
        <w:rPr>
          <w:rFonts w:ascii="Times New Roman" w:eastAsia="Calibri" w:hAnsi="Times New Roman"/>
          <w:lang w:val="ru-RU" w:bidi="ar-SA"/>
        </w:rPr>
        <w:tab/>
        <w:t>обеспечен выпуск 13 периодических изданий для инвалидов;</w:t>
      </w:r>
    </w:p>
    <w:p w14:paraId="283A848A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•</w:t>
      </w:r>
      <w:r w:rsidRPr="00754874">
        <w:rPr>
          <w:rFonts w:ascii="Times New Roman" w:eastAsia="Calibri" w:hAnsi="Times New Roman"/>
          <w:lang w:val="ru-RU" w:bidi="ar-SA"/>
        </w:rPr>
        <w:tab/>
        <w:t>разработан видео-курс для самостоятельного изучения гражданами базового русского жестового языка, в том числе мультимедийное сопровождение для формирования базовых коммуникативных навыков. Данный видео-курс рекомендован, в том числе органам исполнительной власти субъектов Российской Федерации, федеральным органам исполнительной власти, сотрудники которых оказывают услуги населению.</w:t>
      </w:r>
    </w:p>
    <w:p w14:paraId="67FB6D82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В связи с ратификацией Российской Федерации Конвенции о правах инвалидов принят Федеральный закон № 419-ФЗ предусматривающий обязанность организаций отрасли культуры всех организационно-правовых форм и форм собственности по обеспечению доступности объектов и услуг данных организаций для инвалидов.</w:t>
      </w:r>
    </w:p>
    <w:p w14:paraId="33A50A17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Данным Федеральным законом внесены изменения в федеральные законы «Основы законодательства Российской Федерации о культуре», «О библиотечном деле», «О Музейном фонде Российской Федерации и музеях в Российской Федерации», «О государственной поддержке кинематографии Российской Федерации», «Об объектах культурного наследия (памятниках истории и культуры) народов Российской Федерации» которыми:</w:t>
      </w:r>
    </w:p>
    <w:p w14:paraId="5D80E37A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•</w:t>
      </w:r>
      <w:r w:rsidRPr="00754874">
        <w:rPr>
          <w:rFonts w:ascii="Times New Roman" w:eastAsia="Calibri" w:hAnsi="Times New Roman"/>
          <w:lang w:val="ru-RU" w:bidi="ar-SA"/>
        </w:rPr>
        <w:tab/>
        <w:t>возложены на органы государственной власти всех уровней обязанности обеспечивать в сфере установленных им полномочий условия доступности учреждений культуры и культурных благ для инвалидов;</w:t>
      </w:r>
    </w:p>
    <w:p w14:paraId="34A3B855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•</w:t>
      </w:r>
      <w:r w:rsidRPr="00754874">
        <w:rPr>
          <w:rFonts w:ascii="Times New Roman" w:eastAsia="Calibri" w:hAnsi="Times New Roman"/>
          <w:lang w:val="ru-RU" w:bidi="ar-SA"/>
        </w:rPr>
        <w:tab/>
        <w:t>установлена обязанность органов государственной власти по утверждению порядков оказания инвалидам помощи при предоставлении услуг в сфере культуры и обеспечения доступности для них объектов и услуг в сфере культуры.</w:t>
      </w:r>
    </w:p>
    <w:p w14:paraId="07E355C5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28 марта 2017 года принят Федеральный закон № 34-ФЗ, которым введена обязательность тифлокомментирования и субтитрирования кинофильмов, созданных за счет средств федерального бюджета, начиная с 1 января 2017 г.</w:t>
      </w:r>
    </w:p>
    <w:p w14:paraId="375E2595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Ежегодно с государственной поддержкой киноорганизациями страны создается 6-8 фильмов, посвященных теме самореализации людей с ограниченными физическими возможностями. В 3 раза увеличено число телефильмов о достижениях людей с инвалидностью.</w:t>
      </w:r>
    </w:p>
    <w:p w14:paraId="31D495C1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Формируется электронная библиотека нот, изданных рельефно-точечным шрифтом Брайля. Оцифрованные ноты размещены в открытом доступе на сайте Российской государственной библиотеки для слепых. На сегодняшний день указанная электронная библиотека состоит из 38 музыкальных произведений и содержит 3382 страницы. </w:t>
      </w:r>
    </w:p>
    <w:p w14:paraId="4381D1AC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Увеличен библиотечный фонд 61 специальной библиотеки для слепых за период с 2013 по 2017 гг. примерно на 300 тысяч экземпляров изданий и составил 9 528,8 тыс. экземпляров изданий.</w:t>
      </w:r>
    </w:p>
    <w:p w14:paraId="6655950A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Осуществлено тифлокомментирование и субтитрирование 38 художественных фильмов, которые размещены в сети Интернет и доступны для бесплатного просмотра.</w:t>
      </w:r>
    </w:p>
    <w:p w14:paraId="7C438D80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Совершенствование нормативных правовых актов</w:t>
      </w:r>
    </w:p>
    <w:p w14:paraId="469864C8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Минкультуры РФ на регулярной основе осуществляет целенаправленную работу, направленную на обеспечение доступности для инвалидов и лиц с ОВЗ объектов и услуг учреждений культуры и образовательных организаций отрасли культуры. </w:t>
      </w:r>
    </w:p>
    <w:p w14:paraId="5F5F1B1B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В связи с ратификацией РФ Конвенции ООН о правах инвалидов, а также во исполнение ФЗ от 1.12.2014  №419-ФЗ “О внесении изменений в отдельные законодательные акты РФ по вопросам социальной защиты инвалидов в связи с ратификацией Конвенции о правах инвалидов”, а также государственной программы РФ “Доступная среда” на 2011-2020 гг. Минкультуры разработаны и утверждены следующие приказы:</w:t>
      </w:r>
    </w:p>
    <w:p w14:paraId="5E9FBB77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-от 30.12.2016 №3019 “Об утверждении модельной программы социокультурной реабилитации инвалидов, в т.ч. детей-инвалидов”;</w:t>
      </w:r>
    </w:p>
    <w:p w14:paraId="30E7AA36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-от 13.5.2016 №1041 “Об утверждении календаря проведения всероссийских культурно-массовых мероприятий с участием инвалидов на 2016 год” и от 14.12.2016 № 2752 “Об утверждении календаря проведения всероссийских культурно-массовых мероприятий с участием инвалидов на 2017 год”;</w:t>
      </w:r>
    </w:p>
    <w:p w14:paraId="42799543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-от 10.11.2015 №2761 “Об утверждении Порядка обеспечения условий доступности для инвалидов библиотек и библиотечного обслуживания в соответствии с законодательством РФ о социальной защите инвалидов”;</w:t>
      </w:r>
    </w:p>
    <w:p w14:paraId="4D5FF54B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-от 16.11.2015 №2800 “Об утверждении Порядка обеспечения условий доступности для инвалидов культурных ценностей и благ”, и другие. </w:t>
      </w:r>
    </w:p>
    <w:p w14:paraId="755222CC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В соответствии с п.3 раздела 1 протокола заседания Комиссии при Президенте РФ по делам инвалидов от 26.11.2014 Минкультуры осуществляет организационно-методическую работу, направленную на принятие органами государственной власти субъектов РФ нормативных правовых актов, в т.ч. законодательных актов, по вопросам обеспечения доступности для инвалидов объектов и услуг организаций культуры, а также совершенствование планов мероприятий (“дорожных карт”) по повышению показателей доступности для инвалидов объектов и услуг. Исходя из этого, Минкультуры проанализированы соответствующие нормативные правовые акты и “дорожные карты” всех 85 субъектов РФ на предмет их соответствия положениям ФЗ от 1.12.2014 №419-ФЗ и отраслевым порядкам обеспечения условий доступности для инвалидов учреждений культуры и предоставляемых ими услуг, утвержденным соответствующим приказам Минкультуры. Руководителям НГО отрасли культуры и представителям органов государственной власти субъектов РФ направлены необходимые рекомендации по принятию мер, обеспечивающих доступность для инвалидов объектов и услуг данных организаций. Особое внимание уделено взаимосвязанности нормативных правовых актов, принимаемых на федеральном и региональном уровнях. </w:t>
      </w:r>
    </w:p>
    <w:p w14:paraId="6B0DE32B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Наибольшее количество изменений в законодательство и нормативные правовые акты по вопросам доступной среды для инвалидов внесли органы управления культурой Московской, Новгородской, Новосибирской и Омской областей. Приведение регионального законодательства в соответствие с Конвенцией о правах инвалидов и ФЗ от 1.12.2014 №419-ФЗ позволило расширить объем доступности для инвалидов объектов организаций отрасли культуры и оказываемых ими услуг. Нормы, установленные федеральным и региональным законодательством, впервые создали правовую основу для реализации инвалидами закрепленных за ними прав и законных интересов, а также расширили основания для возможности их защиты в административном и судебном порядке. </w:t>
      </w:r>
    </w:p>
    <w:p w14:paraId="0ED0DA97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Анализ региональных “дорожных карт” выявил несоответствие их содержания положениям ФЗ от 1.12.2014 №419-ФЗ, Правилам разработки мероприятий по повышению значений показателей доступности для инвалидов объектов и услуг, утвержденных постановлением Правительства РФ от 17.06.2015 №599, а также отраслевым порядкам обеспечения доступности инвалидам объектов и услуг в сфере культуры, утвержденным приказами Минкультуры России. </w:t>
      </w:r>
    </w:p>
    <w:p w14:paraId="7D5E90F8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Среди основных недостатков региональных “дорожных карт”:</w:t>
      </w:r>
    </w:p>
    <w:p w14:paraId="2FEC6A30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- необоснованно короткие сроки их реализации (2018-2020 гг.), не позволяющие обеспечить достижение максимальных значений показателей доступности (Амурская область, Кабардино-Балкария, Калмыкия, Калужская и Курская области);</w:t>
      </w:r>
    </w:p>
    <w:p w14:paraId="1BB28317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- отсутствие отдельных показателей доступности в сфере культуры (Дагестан, Якутия);</w:t>
      </w:r>
    </w:p>
    <w:p w14:paraId="2A5BC00E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- отсутствие дифференциации показателей доступности в сфере культуры по видам учреждений культуры в большинстве региональных “дорожных карт”.</w:t>
      </w:r>
    </w:p>
    <w:p w14:paraId="1CE3A37E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По результатам проведенного сравнительного правового анализа состояния “дорожных карт” Минкультуры разработаны Рекомендации по совершенствованию региональных нормативных правовых актов. В соответствии с ними органы управления культурой субъектов РФ в 2016-2017 гг. осуществляли работу по внесению изменений в региональные “дорожные карты” по повышению показателей доступности для инвалидов объектов и услуг (в части обеспечения доступности учреждений культуры), а также по утверждению соответствующих отраслевых “дорожных карт”. Так, в ряде регионов утверждены отраслевые “дорожные карты” для подведомственных учреждений культуры (Московская, Калининградская, Курганская, Новгородская, Свердловская области).</w:t>
      </w:r>
    </w:p>
    <w:p w14:paraId="6403DA69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При этом в большую часть региональных “дорожных карт” внесены следующие изменения:</w:t>
      </w:r>
    </w:p>
    <w:p w14:paraId="02DECC7C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-показатели доступности приведены в соответствие с базовыми показателями, установленными актами Минкультуры;   </w:t>
      </w:r>
    </w:p>
    <w:p w14:paraId="38575876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- увеличено количество показателей доступности в сфере культуры (Коми, Красноярский край, Владимирская Брянская, Томская области); наиболее высокие результаты в части совершенствования региональных “дорожных карт” достигнуты Новгородской, Московской, Свердловской, Курганской и Калининградской областями;</w:t>
      </w:r>
    </w:p>
    <w:p w14:paraId="09E96F2E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- установлено обязательное предоставление отчетности о ходе реализации “дорожных карт”.</w:t>
      </w:r>
    </w:p>
    <w:p w14:paraId="5B5AE6B1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“Дорожные карты” ряда регионов (Башкортостан, Крым, Амурская область и др.) нуждаются в дальнейшем приведении в соответствие с ФЗ от 1.12.2014 №419-ФЗ и отраслевыми порядками обеспечения условий доступности для инвалидов учреждений культуры, утвержденными Минкультуры России.  </w:t>
      </w:r>
    </w:p>
    <w:p w14:paraId="4950E9DE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Библиотеки</w:t>
      </w:r>
    </w:p>
    <w:p w14:paraId="4028D41F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Проведенный мониторинг по данным 2016 года показал, что работы по материально-техническому обеспечению доступности полностью выполнены 62% (6) библиотек, подведомственных Минкультуры России и 26% (4704) региональных и муниципальных библиотек. Наилучшие результаты были достигнуты из числа первых в РНБ, РГБ для слепых и Российской государственной детской библиотеке. </w:t>
      </w:r>
    </w:p>
    <w:p w14:paraId="795E875E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В том числе 67% (из девяти) подведомственных Министерству культуры РФ библиотек в полном объеме выполнили мероприятия по адаптации библиотек в целях обеспечения их доступности инвалидам, 33% приспособили для инвалидов прилегающие территории (благоустройство, наличие выделенной автостоянки и пр.), 78% приспособили доступные для инвалидов входные группы, пути движения внутри зданий (в т.ч. пути эвакуации) и зоны целевого назначения, также 78% приспособили для инвалидов санитарно-бытовые и иные помещения, 56% оснащены ассистивными приспособлениями и оборудованием для обеспечения их доступности (установка систем информации, включающих визуальные, акустические, тактильные и другие средства). </w:t>
      </w:r>
    </w:p>
    <w:p w14:paraId="3A7C26BF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Среди библиотек субъектов РФ работу по адаптации в целях обеспечения их доступности инвалидам выполнили в среднем 42% библиотек (по субъектам эта доля колеблется от 0% в 14 субъектах до 100% - это было достигнуто также в 14 субъектах), приспособили прилегающие территории в среднем 17% библиотек  субъектов РФ (в 24 субъектах эта доля составляет 0%, в 3 – 100%), приспособили входные группы в среднем 30% (от  0% в 8 субъектах до 100% также в восьми субъектах), приспособили санитарно-бытовые помещения в среднем 17% (от 0% в 24 субъектах до 100% в шести).</w:t>
      </w:r>
    </w:p>
    <w:p w14:paraId="47E74221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К числу субъектов РФ, библиотеки которых обеспечили максимальные результаты работы поданному направлению, относятся Москва, Московская, Смоленская и Свердловская области. </w:t>
      </w:r>
    </w:p>
    <w:p w14:paraId="0DE0D68A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В 2016 году подведомственными Минкультуры библиотеками было направлено на создание условий безбарьерной среды 17,8 млн руб. В т.ч. на оснащение ассистивными приспособлениями и адаптивными средствами направлено 9,4 млн руб., на комплектование фондов печатной продукцией в специальных форматах для слепых и слабовидящих – 73,9 тыс. руб., на проведение ремонтных (реставрационных) работ с целью приспособления объектов для инвалидов – 5,1 млн руб., на обучение работников по программам предоставления услуг инвалидами и оказания им необходимой помощи – 17,8 тыс. руб.  Число сотрудников, прошедших такое обучение, возросло за год со 180 до 446 человек (29% общего числа сотрудников), т.е. на 148%. Обучение наибольшего числа работников по данным программам обеспечили ВГБИЛ им. М.И. Рудомино, Государственная публичная историческая библиотека России, Российская государственная детская библиотека.</w:t>
      </w:r>
    </w:p>
    <w:p w14:paraId="05932ADA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Библиотеками субъектов РФ было направлено на создание безбарьерной среды 237,8 млн руб. против 187,2 млн руб. годом ранее, что соответствует росту на 27%. В том числе на оснащение ассистивными приспособлениями и адаптивными средствами направлено 64,1 млн руб., на комплектование фондов печатной продукцией в специальных форматах для слепых и слабовидящих – 33 млн руб., на проведение ремонтных (реставрационных) работ с целью приспособления объектов для инвалидов – 49,2 млн руб., на обучение работников по программам предоставления услуг инвалидами и оказания им необходимой помощи – 1,1 млн руб. </w:t>
      </w:r>
    </w:p>
    <w:p w14:paraId="79DFA1F1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Средний показатель доли работников библиотек субъектов РФ, которые прошли обучение по программам оказания услуг инвалидам (повышение квалификации, профессиональная переподготовка) составляет 13% (в 15 субъектах этот показатель – 0%, а лидером является Тамбовская область с 74%). Общее число таких работников возросло с 14,7 тыс. в 2015 году до 17,7 тыс. в 2016 году, т.е. на 21%. Наибольшее количество работников по данным программам было обучено библиотеками Москвы, Кемеровской и Свердловской областей. </w:t>
      </w:r>
    </w:p>
    <w:p w14:paraId="135495F6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44% подведомственных Минкультуры библиотек, а также библиотеки 28 субъектов РФ в полной мере адаптировали свои официальные сайты для лиц с нарушением зрения. Также это было сделано в 22 подведомственных Минкультуры музеях и музеях 13 субъектов РФ, кинотеатрах и кинозалах семи субъектов РФ. </w:t>
      </w:r>
    </w:p>
    <w:p w14:paraId="2F09B823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Музеи</w:t>
      </w:r>
    </w:p>
    <w:p w14:paraId="22E9F248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Проведенный мониторинг по данным 2016 года показал, что работы по материально-техническому обеспечению доступности в полном объеме выполнены 46% (31) музеев, подведомственных Минкультуры России, и 33% (743) региональных и муниципальных музеев</w:t>
      </w:r>
    </w:p>
    <w:p w14:paraId="0400664A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56% (из 63) подведомственных Министерству культуры РФ музеев  в полном объеме выполнили мероприятия по адаптации в целях обеспечения их доступности инвалидам, 52% приспособили для инвалидов прилегающие территории (благоустройство, наличие выделенной автостоянки и пр.), </w:t>
      </w:r>
      <w:r w:rsidRPr="00754874">
        <w:rPr>
          <w:rFonts w:ascii="Times New Roman" w:eastAsia="Calibri" w:hAnsi="Times New Roman"/>
          <w:color w:val="000000"/>
          <w:lang w:val="ru-RU" w:bidi="ar-SA"/>
        </w:rPr>
        <w:t>54%</w:t>
      </w:r>
      <w:r w:rsidRPr="00754874">
        <w:rPr>
          <w:rFonts w:ascii="Times New Roman" w:eastAsia="Calibri" w:hAnsi="Times New Roman"/>
          <w:color w:val="FF0000"/>
          <w:lang w:val="ru-RU" w:bidi="ar-SA"/>
        </w:rPr>
        <w:t xml:space="preserve"> </w:t>
      </w:r>
      <w:r w:rsidRPr="00754874">
        <w:rPr>
          <w:rFonts w:ascii="Times New Roman" w:eastAsia="Calibri" w:hAnsi="Times New Roman"/>
          <w:lang w:val="ru-RU" w:bidi="ar-SA"/>
        </w:rPr>
        <w:t xml:space="preserve">приспособили доступные для инвалидов входные группы, пути движения внутри зданий (в т.ч. пути эвакуации) и зоны целевого назначения, </w:t>
      </w:r>
      <w:r w:rsidRPr="00754874">
        <w:rPr>
          <w:rFonts w:ascii="Times New Roman" w:eastAsia="Calibri" w:hAnsi="Times New Roman"/>
          <w:color w:val="000000"/>
          <w:lang w:val="ru-RU" w:bidi="ar-SA"/>
        </w:rPr>
        <w:t>46%</w:t>
      </w:r>
      <w:r w:rsidRPr="00754874">
        <w:rPr>
          <w:rFonts w:ascii="Times New Roman" w:eastAsia="Calibri" w:hAnsi="Times New Roman"/>
          <w:color w:val="FF0000"/>
          <w:lang w:val="ru-RU" w:bidi="ar-SA"/>
        </w:rPr>
        <w:t xml:space="preserve"> </w:t>
      </w:r>
      <w:r w:rsidRPr="00754874">
        <w:rPr>
          <w:rFonts w:ascii="Times New Roman" w:eastAsia="Calibri" w:hAnsi="Times New Roman"/>
          <w:lang w:val="ru-RU" w:bidi="ar-SA"/>
        </w:rPr>
        <w:t xml:space="preserve">приспособили для инвалидов санитарно-бытовые и иные помещения, </w:t>
      </w:r>
      <w:r w:rsidRPr="00754874">
        <w:rPr>
          <w:rFonts w:ascii="Times New Roman" w:eastAsia="Calibri" w:hAnsi="Times New Roman"/>
          <w:color w:val="000000"/>
          <w:lang w:val="ru-RU" w:bidi="ar-SA"/>
        </w:rPr>
        <w:t>24%</w:t>
      </w:r>
      <w:r w:rsidRPr="00754874">
        <w:rPr>
          <w:rFonts w:ascii="Times New Roman" w:eastAsia="Calibri" w:hAnsi="Times New Roman"/>
          <w:color w:val="FF0000"/>
          <w:lang w:val="ru-RU" w:bidi="ar-SA"/>
        </w:rPr>
        <w:t xml:space="preserve"> </w:t>
      </w:r>
      <w:r w:rsidRPr="00754874">
        <w:rPr>
          <w:rFonts w:ascii="Times New Roman" w:eastAsia="Calibri" w:hAnsi="Times New Roman"/>
          <w:lang w:val="ru-RU" w:bidi="ar-SA"/>
        </w:rPr>
        <w:t xml:space="preserve">оснащены ассистивными приспособлениями и оборудованием для обеспечения их доступности (установка систем информации, включающих визуальные, акустические, тактильные и другие средства). </w:t>
      </w:r>
    </w:p>
    <w:p w14:paraId="1E60C5DB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Полностью работы по материально-техническому обеспечению доступности для инвалидов были выполнены в четырех (7%) подведомственных Минкультуры музеях (Государственной Третьяковской галерее, музеях-заповедниках “Прохоровское поле” и “Куликово поле”, Музее мирового океана). </w:t>
      </w:r>
    </w:p>
    <w:p w14:paraId="0193130B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39 музеев из 63 (62%), находящихся в ведении Министерства культуры, направляли средства на создание безбарьерной среды для инвалидов. В целом ими было направлено с этой целью 74,8 млн руб., в том числе на оснащение ассистивными приспособлениями и адаптивными средствами направлено </w:t>
      </w:r>
      <w:r w:rsidRPr="00754874">
        <w:rPr>
          <w:rFonts w:ascii="Times New Roman" w:eastAsia="Calibri" w:hAnsi="Times New Roman"/>
          <w:color w:val="000000"/>
          <w:lang w:val="ru-RU" w:bidi="ar-SA"/>
        </w:rPr>
        <w:t>42,2 млн руб.</w:t>
      </w:r>
      <w:r w:rsidRPr="00754874">
        <w:rPr>
          <w:rFonts w:ascii="Times New Roman" w:eastAsia="Calibri" w:hAnsi="Times New Roman"/>
          <w:lang w:val="ru-RU" w:bidi="ar-SA"/>
        </w:rPr>
        <w:t xml:space="preserve">, на комплектование фондов печатной продукцией в специальных форматах для слепых и слабовидящих – 1,4 млн руб., на проведение ремонтных (реставрационных) работ с целью приспособления объектов для инвалидов – 14,3 млн руб., на обучение работников по программам предоставления услуг инвалидами и оказания им необходимой помощи – 978,6 тыс. руб. </w:t>
      </w:r>
    </w:p>
    <w:p w14:paraId="024E2E1E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Средний показатель доли работников музеев, которые прошли обучение по программам оказания услуг инвалидам (повышение квалификации, профессиональная переподготовка) составляет 8% (от 0% в 27 музеях до 85% в Саратовском государственном художественном музее). Общее число таких работников возросло с 458 в 2015 году до 1276 в 2016 году, т.е. на 179%.</w:t>
      </w:r>
    </w:p>
    <w:p w14:paraId="0C4BF352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Среди находящихся в ведении органов управления культурой субъектов РФ и органов местного самоуправления музеев работу по адаптации в целях обеспечения их доступности инвалидам выполнили в среднем 50% музеев РФ (от 0% в 17 субъектах до 100% в 19), приспособили прилегающие территории в среднем 27% музеев (от 0% в 19 субъектах до 100% в четырех), приспособили входные группы в среднем 36% (от  0% в 10 субъектах до 100% в семи субъектах), приспособили санитарно-бытовые помещения в среднем 21% (от 0% в 25 субъектах до 100% в трех).</w:t>
      </w:r>
    </w:p>
    <w:p w14:paraId="58C2352A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Музеями субъектов РФ направлено на создание условий безбарьерной среды в 2016 году 119,2 млн руб. или на 8% больше, чем годом ранее. В т.ч. на оснащение ассистивными приспособлениями и адаптивными средствами направлено 72,8 млн руб., на комплектование фондов печатной продукцией в специальных форматах для слепых и слабовидящих – 0,3 млн руб., на проведение ремонтных (реставрационных) работ с целью приспособления объектов для инвалидов – 19,1 млн руб., на обучение работников по программам предоставления услуг инвалидами и оказания им необходимой помощи – 26 млн руб. </w:t>
      </w:r>
    </w:p>
    <w:p w14:paraId="2D7E6971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Средний показатель доли работников музеев, которые прошли обучение по программам оказания услуг инвалидам (повышение квалификации, профессиональная переподготовка), составляет 10% (от 0% в музеях 20 субъектов до 90% в музеях Астраханской области). Общее число таких работников возросло с 3581 в 2015 году до 4892 в 2016 году, т.е. на 37%.</w:t>
      </w:r>
    </w:p>
    <w:p w14:paraId="659FE4F9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Кинотеатры и кинозалы</w:t>
      </w:r>
    </w:p>
    <w:p w14:paraId="422004E4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В ведении органов управления культурой субъектов РФ и органов местного самоуправления находится 485 кинотеатров и 594 кинозала. </w:t>
      </w:r>
    </w:p>
    <w:p w14:paraId="61686FE6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Среди этих учреждений работу по адаптации в целях обеспечения их доступности инвалидам выполнили 57% (110 ) – или, в среднем по субъектам РФ, 78% кинотеатров и кинозалов (от 5% в 1 субъекте до 100% в 18), приспособили прилегающие территории в среднем 45% кинотеатров и кинозалов (от 1% в 2 субъектах до 100% в восьми), приспособили входные группы в среднем 59% (от 5% в одном субъекте до 100% в 11 субъектах), приспособили санитарно-бытовые помещения в среднем 44% (от 7% в двух субъектах до 100% в шести).</w:t>
      </w:r>
    </w:p>
    <w:p w14:paraId="7E99B8EC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Кинотеатрами и кинозалами направлено на создание условий безбарьерной среды в 2016 году 45 млн руб. против 9,7 млн руб. годом ранее, т.е. рост составил 366%. В т.ч. на оснащение ассистивными приспособлениями и адаптивными средствами направлено 30,9 млн руб., на комплектование фондов печатной продукцией в специальных форматах для слепых и слабовидящих – 0,35 млн руб., на проведение ремонтных (реставрационных) работ с целью приспособления объектов для инвалидов – 12,5 млн руб., на обучение работников по программам предоставления услуг инвалидами и оказания им необходимой помощи – 0,4 млн руб. </w:t>
      </w:r>
    </w:p>
    <w:p w14:paraId="6A5824ED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К числу субъектов РФ, кинотеатры и кинозалы которых в 2016 году обеспечили максимальные результаты работы по данному направлению относятся Москва, Московская область, Воронежская область, Новгордская область и Хабаровский край. </w:t>
      </w:r>
    </w:p>
    <w:p w14:paraId="528D8737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Средний показатель доли работников кинотеатров и кинозалов, которые прошли обучение по программам оказания услуг инвалидам (повышение квалификации, профессиональная переподготовка), составляет 7% (от 0% в кинотеатрах и кинозалов 67 субъектов до 100% в кинотеатрах и кинозалах Астраханской, Новгородской и Новосибирской областей). </w:t>
      </w:r>
    </w:p>
    <w:p w14:paraId="1A893122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</w:p>
    <w:p w14:paraId="1C2EAB43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Кроме того, полностью работы по материально-техническому обеспечению доступности выполнила одна цирковая организация, подведомственная Минкультуры России, и 5 цирковых организаций субъектов РФ (71%), 12 театральных и концертных организаций, подведомственных Минкультуры России (50%), и 5018 региональных и муниципальных театральных, концертных организаций и культурно-досуговых учреждений (27%), 119 парков культуры и отдыха (56%), 22 зоопарка (90%), 23 образовательных организации высшего образования, подведомственных Минкультуры (52%), и 25 образовательных организаций высшего образования субъектов РФ (80%), две профессиональных образовательных организации, подведомственных Минкультуры (34%), и 104 (71%) профессиональных образовательных организаций субъектов РФ, одна подведомственная Минкультуры общеобразовательная организация (50%), 1102 детских школы искусств (32%), </w:t>
      </w:r>
    </w:p>
    <w:p w14:paraId="456CEEE0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Волонтерское движение</w:t>
      </w:r>
    </w:p>
    <w:p w14:paraId="7F14D06D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Важную роль играет развитие волонтерского движения, которое создает дополнительный потенциал для оказания помощи в обеспечении доступности инвалидам и лицам с ОВЗ культурных благ, а также их социально-культурной реабилитации. Основные направления деятельности волонтеров – организация досуговой и просветительской работы (концерты, театрализованные представления, интеллектуальные игры, творческие встречи, совместные выставки творческих работ, фестивали, конкурсы, дни города и пр.), а также оказание помощи инвалидам и лицам с ОВЗ (беседы, чтение книг, сопровождение лиц с ОВЗ на торжественные мероприятия, обучение компьютерной грамотности, обеспечение мобильности инвалидов и лиц с ОВЗ и пр.).</w:t>
      </w:r>
    </w:p>
    <w:p w14:paraId="5C8CE99F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Так, меры по привлечению волонтеров в целях оказания содействия инвалидам в 2016 году активно осуществляли три из девяти подведомственных Минкультуры библиотеки (они привлекли 91 волонтера, включая волонтеров-инвалидов), библиотеки субъектов РФ – 14124 волонтера, подведомственные Минкультуры музеи – 1300, музеи субъектов РФ – 7784, кинотеатры и кинозалы – 1110, зоопарки – 135, парки культуры и отдыха – 2555, театральные, концертные и культурно-досуговые учреждения – 36037 волонтеров. </w:t>
      </w:r>
    </w:p>
    <w:p w14:paraId="24EB54B3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Принципиальной значимостью обладает тот факт, что активную роль в волонтерском движении играют и сами инвалиды. Например, библиотеки субъектов РФ в 2016 году привлекли к оказанию помощи инвалидам с нарушениями опорно-двигательного аппарата 870 волонтеров-инвалидов (13% общего числа привлеченных), к оказанию помощи инвалидам с нарушениями слуха – 351 волонтера-инвалида (14% привлеченных), к оказанию помощи инвалидам с нарушениями зрения – 582 волонтера-инвалида (12% общего числа привлеченных). Соответствующие показатели для музеев субъектов РФ -  148 (4%), 88 (5%) и 79 (3%), для кинотеатров и кинозалов – 31 (5%), 16 (8%) и 16 (6%). </w:t>
      </w:r>
    </w:p>
    <w:p w14:paraId="731D2BFE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Создание рабочих мест для инвалидов в учреждениях культуры</w:t>
      </w:r>
    </w:p>
    <w:p w14:paraId="412DAEBA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В соответствии с ФЗ от 24.11.1995 №181-ФЗ квоты по созданию рабочих мест для инвалидов выполнены в пяти из девяти подведомственных Минкультуры библиотеках. Доля инвалидов среди сотрудников таких библиотек составляет в среднем 6% (от 2% в Российской государственной детской библиотеке до 19% в Российской государственной библиотеке для слепых). Количество инвалидов, работающих в подведомственных Минкультуры библиотеках увеличилось в 2016 году на 6% - с 200 до 212. Наиболее число сотрудников-инвалидов работает в ВГБИЛ, Государственной публичной исторической библиотеке и Российской государственной детской библиотеке. </w:t>
      </w:r>
    </w:p>
    <w:p w14:paraId="1094EE5D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Квоты по трудоустройству инвалидов выполнены в полном объеме библиотеками 32 субъектов РФ (38% их общего числа). Средний показатель числа библиотек, выполняющих квоту по трудоустройству инвалидов по всем субъектам РФ, составляет 52%. Доля инвалидов, работающих в региональных и муниципальных библиотеках составила 4% (3841 человек). К числу субъектов РФ, в библиотеках которых работает наибольшее количество сотрудников-инвалидов, относятся Москва, Волгоградская область и Татарстан. </w:t>
      </w:r>
    </w:p>
    <w:p w14:paraId="3C8922A1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Квоты по созданию рабочих мест для инвалидов выполнили 34 подведомственных Минкультуры музея. Число их сотрудников-инвалидов за год не изменилось и составляет 536 человек. Из числа музеев субъектов РФ квоты по трудоустройству выполнены музеями в 31 субъекте РФ, однако в 25 субъектах этот показатель составил 0%. В среднем по всем субъектам РФ доля музеев, выполнивших квоту по трудоустройству инвалидов, составила 51%. Средний показатель доли сотрудников-инвалидов в музеях субъектов РФ составил 3% от общего числа сотрудников; диапазон варьирования – от 0% в 10 субъектах до 31% в Белгородской области. </w:t>
      </w:r>
    </w:p>
    <w:p w14:paraId="740240D8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Из числа кинотеатров и кинозалов квоты по трудоустройству выполнены в пяти субъектах РФ, однако в 76 субъектах этот показатель составил 0%. В среднем по всем субъектам РФ доля музеев, выполнивших квоту по трудоустройству инвалидов, составила 65%. Средний показатель доли сотрудников-инвалидов в кинотеатрах и кинозалах составил 2% от общего числа сотрудников; диапазон варьирования – от 0% в 66 субъектах до 100% в Воронежской и Липецкой областях. </w:t>
      </w:r>
    </w:p>
    <w:p w14:paraId="157E8DD1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Повышение востребованности инвалидами культурных учреждений</w:t>
      </w:r>
    </w:p>
    <w:p w14:paraId="33133B68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Продолжается работа по повышению востребованности инвалидами и лицами с ОВЗ культурных учреждений.</w:t>
      </w:r>
    </w:p>
    <w:p w14:paraId="03DACC44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В 2016 году подведомственными Минкультуры России библиотеками проведено 4470 мероприятий, доступных для инвалидов, библиотеками субъектов РФ – 615 271 мероприятие.</w:t>
      </w:r>
    </w:p>
    <w:p w14:paraId="7BDB0B1D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Доля мероприятий, проводимых библиотеками Минкультуры России, которые доступны для инвалидов, составляет в среднем 54%, причем в РГБ и Российской государственной библиотеке для слепых эта доля достигает 100%, а в Российской государственной библиотеке для молодежи – 92%. </w:t>
      </w:r>
    </w:p>
    <w:p w14:paraId="1D466381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Доля доступных для инвалидов мероприятий, проводимых библиотеками субъектов РФ, в среднем составляет 39% и варьируется от 100% в Крыму, Якутии, Удмуртии и Хабаровском крае до 0% в 81 субъекте РФ (95% их общего числа).</w:t>
      </w:r>
    </w:p>
    <w:p w14:paraId="30640B07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Инвалиды приняли участие в среднем в 12% мероприятий, проводившихся подведомственными Минкультуры библиотеками  - в том числе в 44% мероприятий РГБ для слепых, 24% мероприятий Российской государственной детской библиотеки, 22% мероприятий РГБ для молодежи. Они также участвовали в 2% мероприятий библиотек субъектов РФ (в девяти субъектах эта доля достигла 100%, в пяти – равна нулю).</w:t>
      </w:r>
    </w:p>
    <w:p w14:paraId="0907EA1B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Доля посещений инвалидами проводимых подведомственными Минкультуры библиотеками составляет в среднем 14%, в том числе в РГБ для слепых эта доля составляет 100%, в Российской государственной детской библиотеке – 8%, в РГБ для молодежи – 5%. Что касается библиотек субъектов РФ, доля посещений их мероприятий инвалидами составляет в среднем 13% и варьирует от 2% в Адыгее и Сахалинской области до 0% в пяти субъектах РФ.</w:t>
      </w:r>
    </w:p>
    <w:p w14:paraId="0FACCA21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Доля доступных для инвалидов мероприятий подведомственных Минкультуры музеев в среднем составляет 45% (от 0% в восьми музеях (13% их общего числа) до 100% в 12 музеях (19% их числа)). Доля мероприятий с участием инвалидов в подведомственных Минкультуры музеях составляет 22%. 100%-го результата по этому показателю добились Государственный музей-заповедник “Петергоф”, государственный историко-художественный и литературный музей-заповедник “Абрамцево”, государственный музей-усадьба “Остафьево – Русский Парнас” и Государственный мемориальный и природный музей-заповедник И.С. Тургенева “Спасское-Лутовиново”. </w:t>
      </w:r>
    </w:p>
    <w:p w14:paraId="72D30FEE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Доля посещений инвалидами проводимых подведомственными Минкультуры музеями мероприятий в среднем составляет 8% и варьируется в пределах от 0% (12 музеев – 19% общего их числа) до 90% (Государственный музей истории космонавтики им. К.Э. Циолковского).</w:t>
      </w:r>
    </w:p>
    <w:p w14:paraId="2617034A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Доля доступных для инвалидов мероприятий, проводимых субъектами РФ, в среднем по всем субъектам РФ составляет 43% и варьируется от 0% (в семи субъектах) до 100% (в 10 субъектах). Доля мероприятий с участием инвалидов, проводимых музеями субъектов РФ, составляет в среднем 13%; интервальное значение – от 0% (в десяти субъектах РФ) до 100% (в двух субъектах РФ). Доля посещений инвалидами мероприятий, проводимых музеями субъектов РФ, составляет в среднем 7%; показатели распределены от 0% в семи субъектах РФ  до 54% в Ставропольском крае.   </w:t>
      </w:r>
    </w:p>
    <w:p w14:paraId="5BE60207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 xml:space="preserve">Доля доступных для инвалидов мероприятий, проводимых кинотеатрами и кинозалами, в среднем по субъектам РФ составляет 19%; показатели варьируются от 0% (в 47 субъектах) до 100% (в шести субъектах). Доля мероприятий с участием инвалидов в кинотеатрах и кинозалах составляет в среднем 6%; показатели варьируются от 0% (в 60 субъектах) до 100% (в трех субъектах). Доля посещений инвалидами мероприятий, проводимых кинотеатрами и кинозалами, в среднем составляет 4%; показатели варьируются от 0% (в 48 субъектах) до 100% (в Хабаровском крае). </w:t>
      </w:r>
    </w:p>
    <w:p w14:paraId="21E89FB6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В целом, результаты проведенного мониторинга засвидетельствовали, что, несмотря на значительную работу в области нормативно-правового обеспечения доступности, создания условий доступности для инвалидов и лиц с ОВЗ в учреждениях культуры, проведения реабилитации инвалидов средства искусства, необходимо:</w:t>
      </w:r>
    </w:p>
    <w:p w14:paraId="7443C26F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-продолжать работы по созданию условий доступности в учреждениях культуры и образовательных организациях отрасли культуры;</w:t>
      </w:r>
    </w:p>
    <w:p w14:paraId="66871ACD" w14:textId="77777777" w:rsidR="00754874" w:rsidRPr="00754874" w:rsidRDefault="00754874" w:rsidP="00754874">
      <w:pPr>
        <w:spacing w:after="60" w:line="276" w:lineRule="auto"/>
        <w:ind w:firstLine="709"/>
        <w:jc w:val="both"/>
        <w:rPr>
          <w:rFonts w:ascii="Times New Roman" w:eastAsia="Calibri" w:hAnsi="Times New Roman"/>
          <w:lang w:val="ru-RU" w:bidi="ar-SA"/>
        </w:rPr>
      </w:pPr>
      <w:r w:rsidRPr="00754874">
        <w:rPr>
          <w:rFonts w:ascii="Times New Roman" w:eastAsia="Calibri" w:hAnsi="Times New Roman"/>
          <w:lang w:val="ru-RU" w:bidi="ar-SA"/>
        </w:rPr>
        <w:t>-увеличить количество творческих мероприятий в доступных для инвалидов форматах, в том числе с адаптацией музейных предметов и экспозиций, обеспечивающей возможность тактильного ознакомления с ними инвалидов по зрению, а также посредством организации проведения показов кинофильмов, спектаклей, и иных зрелищных мероприятий, сопровождаемых субтитрированием и тифлокомментированием и т.п.</w:t>
      </w:r>
    </w:p>
    <w:p w14:paraId="23209455" w14:textId="45CB8AD8" w:rsidR="00A73FAF" w:rsidRDefault="00A73FAF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2C9A6A58" w14:textId="3AEE7EB2" w:rsidR="00CB76C9" w:rsidRDefault="00CB76C9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6A7F4C80" w14:textId="30A6C289" w:rsidR="00CB76C9" w:rsidRDefault="00CB76C9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0881DB2A" w14:textId="78C1821E" w:rsidR="00CB76C9" w:rsidRDefault="00CB76C9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32A9AB04" w14:textId="32128482" w:rsidR="00CB76C9" w:rsidRDefault="00CB76C9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0B7230B8" w14:textId="36C3ACE1" w:rsidR="00CB76C9" w:rsidRDefault="00CB76C9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0BCC09C2" w14:textId="3AA22B4E" w:rsidR="00CB76C9" w:rsidRDefault="00CB76C9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7A641A1C" w14:textId="6D4AAF03" w:rsidR="00BE7D36" w:rsidRDefault="00BE7D36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6528F641" w14:textId="6F7C18AB" w:rsidR="00BE7D36" w:rsidRDefault="00BE7D36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06CB3808" w14:textId="3D315190" w:rsidR="00BE7D36" w:rsidRDefault="00BE7D36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2812E62B" w14:textId="7814C5D3" w:rsidR="00BE7D36" w:rsidRDefault="00BE7D36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4FF6376C" w14:textId="33B9092B" w:rsidR="00BE7D36" w:rsidRDefault="00BE7D36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5CA195C7" w14:textId="3DFBE75B" w:rsidR="00BE7D36" w:rsidRDefault="00BE7D36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03E775C3" w14:textId="619D7C4D" w:rsidR="00BE7D36" w:rsidRDefault="00BE7D36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71B6743B" w14:textId="7F95E89A" w:rsidR="00BE7D36" w:rsidRDefault="00BE7D36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35094ED0" w14:textId="41214692" w:rsidR="00BE7D36" w:rsidRDefault="00BE7D36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349D340B" w14:textId="0DE25E25" w:rsidR="00BE7D36" w:rsidRDefault="00BE7D36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4042643E" w14:textId="4E0C7E35" w:rsidR="00BE7D36" w:rsidRDefault="00BE7D36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50528F5E" w14:textId="0A52FA5E" w:rsidR="00BE7D36" w:rsidRDefault="00BE7D36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2C5BAD3C" w14:textId="54119C68" w:rsidR="00BE7D36" w:rsidRDefault="00BE7D36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42AA11CE" w14:textId="77777777" w:rsidR="00BE7D36" w:rsidRDefault="00BE7D36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4C7661A7" w14:textId="748D2526" w:rsidR="00CB76C9" w:rsidRDefault="00CB76C9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65D708B5" w14:textId="0575E2CC" w:rsidR="00CB76C9" w:rsidRDefault="00CB76C9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168A53D3" w14:textId="53BE8378" w:rsidR="00CB76C9" w:rsidRDefault="00CB76C9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4EC666D0" w14:textId="2C6319B2" w:rsidR="00CB76C9" w:rsidRDefault="00CB76C9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70DD9D39" w14:textId="00E59291" w:rsidR="00CB76C9" w:rsidRDefault="00CB76C9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p w14:paraId="7AF4F7E4" w14:textId="22D6E6A2" w:rsidR="00CB76C9" w:rsidRDefault="00CB76C9" w:rsidP="00433CAF">
      <w:pPr>
        <w:widowControl w:val="0"/>
        <w:ind w:firstLine="567"/>
        <w:jc w:val="both"/>
        <w:rPr>
          <w:rFonts w:ascii="Times New Roman" w:eastAsia="Calibri" w:hAnsi="Times New Roman"/>
          <w:shd w:val="clear" w:color="auto" w:fill="FFFFFF"/>
          <w:lang w:val="ru-RU" w:eastAsia="ru-RU" w:bidi="ar-SA"/>
        </w:rPr>
      </w:pPr>
    </w:p>
    <w:sectPr w:rsidR="00CB76C9" w:rsidSect="00433CAF">
      <w:headerReference w:type="default" r:id="rId8"/>
      <w:headerReference w:type="first" r:id="rId9"/>
      <w:footerReference w:type="first" r:id="rId10"/>
      <w:pgSz w:w="11906" w:h="16838"/>
      <w:pgMar w:top="378" w:right="707" w:bottom="426" w:left="1276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205A36" w14:textId="77777777" w:rsidR="006E5EE0" w:rsidRDefault="006E5EE0" w:rsidP="007111AE">
      <w:r>
        <w:separator/>
      </w:r>
    </w:p>
  </w:endnote>
  <w:endnote w:type="continuationSeparator" w:id="0">
    <w:p w14:paraId="125E2569" w14:textId="77777777" w:rsidR="006E5EE0" w:rsidRDefault="006E5EE0" w:rsidP="00711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6AFFE6" w14:textId="77777777" w:rsidR="00427B4D" w:rsidRPr="00605263" w:rsidRDefault="00427B4D" w:rsidP="00605263">
    <w:pPr>
      <w:pStyle w:val="Footer"/>
      <w:tabs>
        <w:tab w:val="clear" w:pos="9355"/>
      </w:tabs>
      <w:ind w:left="-142"/>
      <w:rPr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974D34" w14:textId="77777777" w:rsidR="006E5EE0" w:rsidRDefault="006E5EE0" w:rsidP="007111AE">
      <w:r>
        <w:separator/>
      </w:r>
    </w:p>
  </w:footnote>
  <w:footnote w:type="continuationSeparator" w:id="0">
    <w:p w14:paraId="7F316365" w14:textId="77777777" w:rsidR="006E5EE0" w:rsidRDefault="006E5EE0" w:rsidP="007111AE">
      <w:r>
        <w:continuationSeparator/>
      </w:r>
    </w:p>
  </w:footnote>
  <w:footnote w:id="1">
    <w:p w14:paraId="681C1BB0" w14:textId="77777777" w:rsidR="00754874" w:rsidRPr="00817C91" w:rsidRDefault="00754874" w:rsidP="00754874">
      <w:pPr>
        <w:pStyle w:val="FootnoteText"/>
        <w:ind w:firstLine="567"/>
        <w:rPr>
          <w:rFonts w:asciiTheme="minorHAnsi" w:hAnsiTheme="minorHAnsi"/>
        </w:rPr>
      </w:pPr>
      <w:r w:rsidRPr="00817C91">
        <w:rPr>
          <w:rStyle w:val="FootnoteReference"/>
          <w:rFonts w:asciiTheme="minorHAnsi" w:hAnsiTheme="minorHAnsi"/>
        </w:rPr>
        <w:footnoteRef/>
      </w:r>
      <w:r w:rsidRPr="00817C91">
        <w:rPr>
          <w:rStyle w:val="FootnoteReference"/>
          <w:rFonts w:asciiTheme="minorHAnsi" w:hAnsiTheme="minorHAnsi"/>
        </w:rPr>
        <w:t xml:space="preserve"> </w:t>
      </w:r>
      <w:r w:rsidRPr="00817C91">
        <w:rPr>
          <w:rFonts w:asciiTheme="minorHAnsi" w:hAnsiTheme="minorHAnsi"/>
        </w:rPr>
        <w:t>постановление Правительства РФ от 28.12.2016 № 1510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6AFFE2" w14:textId="77777777" w:rsidR="00AF23E5" w:rsidRDefault="00AF23E5" w:rsidP="00AF23E5">
    <w:pPr>
      <w:pStyle w:val="Header"/>
      <w:ind w:left="-7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08" w:type="dxa"/>
      <w:tblInd w:w="-540" w:type="dxa"/>
      <w:tblBorders>
        <w:bottom w:val="single" w:sz="4" w:space="0" w:color="1F497D"/>
      </w:tblBorders>
      <w:tblLayout w:type="fixed"/>
      <w:tblLook w:val="04A0" w:firstRow="1" w:lastRow="0" w:firstColumn="1" w:lastColumn="0" w:noHBand="0" w:noVBand="1"/>
    </w:tblPr>
    <w:tblGrid>
      <w:gridCol w:w="10608"/>
    </w:tblGrid>
    <w:tr w:rsidR="00DE04B3" w:rsidRPr="00C26A19" w14:paraId="426AFFE4" w14:textId="77777777" w:rsidTr="006F1D99">
      <w:trPr>
        <w:trHeight w:val="2004"/>
      </w:trPr>
      <w:tc>
        <w:tcPr>
          <w:tcW w:w="10608" w:type="dxa"/>
        </w:tcPr>
        <w:p w14:paraId="426AFFE3" w14:textId="77777777" w:rsidR="00DE04B3" w:rsidRPr="00F20FA1" w:rsidRDefault="002F7063" w:rsidP="0034347E">
          <w:pPr>
            <w:pStyle w:val="BodyText"/>
            <w:ind w:left="-426"/>
            <w:jc w:val="left"/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657728" behindDoc="1" locked="0" layoutInCell="1" allowOverlap="1" wp14:anchorId="426AFFE7" wp14:editId="426AFFE8">
                <wp:simplePos x="0" y="0"/>
                <wp:positionH relativeFrom="column">
                  <wp:posOffset>356870</wp:posOffset>
                </wp:positionH>
                <wp:positionV relativeFrom="paragraph">
                  <wp:posOffset>38100</wp:posOffset>
                </wp:positionV>
                <wp:extent cx="5937885" cy="1118870"/>
                <wp:effectExtent l="0" t="0" r="5715" b="5080"/>
                <wp:wrapTight wrapText="bothSides">
                  <wp:wrapPolygon edited="0">
                    <wp:start x="0" y="0"/>
                    <wp:lineTo x="0" y="21330"/>
                    <wp:lineTo x="21551" y="21330"/>
                    <wp:lineTo x="21551" y="0"/>
                    <wp:lineTo x="0" y="0"/>
                  </wp:wrapPolygon>
                </wp:wrapTight>
                <wp:docPr id="13" name="Рисунок 13" descr="бланк_ВСП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бланк_ВСП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37885" cy="1118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426AFFE5" w14:textId="77777777" w:rsidR="00292E7B" w:rsidRPr="00F20FA1" w:rsidRDefault="00843D9C" w:rsidP="0034347E">
    <w:pPr>
      <w:pStyle w:val="Header"/>
      <w:tabs>
        <w:tab w:val="clear" w:pos="4677"/>
        <w:tab w:val="clear" w:pos="9355"/>
        <w:tab w:val="left" w:pos="6020"/>
        <w:tab w:val="left" w:pos="6950"/>
      </w:tabs>
      <w:ind w:left="-540"/>
      <w:rPr>
        <w:lang w:val="ru-RU"/>
      </w:rPr>
    </w:pPr>
    <w:r>
      <w:rPr>
        <w:lang w:val="ru-RU"/>
      </w:rPr>
      <w:tab/>
    </w:r>
    <w:r w:rsidR="0034347E">
      <w:rPr>
        <w:lang w:val="ru-RU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1113D9"/>
    <w:multiLevelType w:val="hybridMultilevel"/>
    <w:tmpl w:val="B6125A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D160BE"/>
    <w:multiLevelType w:val="hybridMultilevel"/>
    <w:tmpl w:val="68AE54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CB"/>
    <w:rsid w:val="0000343A"/>
    <w:rsid w:val="00042ADF"/>
    <w:rsid w:val="0004387E"/>
    <w:rsid w:val="00047453"/>
    <w:rsid w:val="0007335D"/>
    <w:rsid w:val="000801FD"/>
    <w:rsid w:val="000D1F6D"/>
    <w:rsid w:val="000F675D"/>
    <w:rsid w:val="00137B42"/>
    <w:rsid w:val="00140CA3"/>
    <w:rsid w:val="001562C8"/>
    <w:rsid w:val="00170CEB"/>
    <w:rsid w:val="00170F11"/>
    <w:rsid w:val="00175CDF"/>
    <w:rsid w:val="00177F89"/>
    <w:rsid w:val="001C2E9F"/>
    <w:rsid w:val="001C4A69"/>
    <w:rsid w:val="001C7F6C"/>
    <w:rsid w:val="002165F2"/>
    <w:rsid w:val="002324D5"/>
    <w:rsid w:val="002459DD"/>
    <w:rsid w:val="002479EB"/>
    <w:rsid w:val="002670A3"/>
    <w:rsid w:val="00271287"/>
    <w:rsid w:val="0027543D"/>
    <w:rsid w:val="002757BD"/>
    <w:rsid w:val="002807D5"/>
    <w:rsid w:val="0028517F"/>
    <w:rsid w:val="00292E7B"/>
    <w:rsid w:val="002A495C"/>
    <w:rsid w:val="002C061A"/>
    <w:rsid w:val="002C230C"/>
    <w:rsid w:val="002F4FAE"/>
    <w:rsid w:val="002F7063"/>
    <w:rsid w:val="00302242"/>
    <w:rsid w:val="0034347E"/>
    <w:rsid w:val="00375BCB"/>
    <w:rsid w:val="003B634C"/>
    <w:rsid w:val="003C57D5"/>
    <w:rsid w:val="003C68DE"/>
    <w:rsid w:val="003D29AA"/>
    <w:rsid w:val="003F7AD8"/>
    <w:rsid w:val="00427B4D"/>
    <w:rsid w:val="00433CAF"/>
    <w:rsid w:val="00443AEB"/>
    <w:rsid w:val="00451A6D"/>
    <w:rsid w:val="00455AB1"/>
    <w:rsid w:val="00464D6F"/>
    <w:rsid w:val="0048091E"/>
    <w:rsid w:val="004953DC"/>
    <w:rsid w:val="004F371F"/>
    <w:rsid w:val="00523EE9"/>
    <w:rsid w:val="00556060"/>
    <w:rsid w:val="005661A7"/>
    <w:rsid w:val="005B4B65"/>
    <w:rsid w:val="005E24D0"/>
    <w:rsid w:val="00605263"/>
    <w:rsid w:val="00644DB5"/>
    <w:rsid w:val="00665421"/>
    <w:rsid w:val="006706F3"/>
    <w:rsid w:val="00680A45"/>
    <w:rsid w:val="00684318"/>
    <w:rsid w:val="006C1ACE"/>
    <w:rsid w:val="006C3BC7"/>
    <w:rsid w:val="006E5EE0"/>
    <w:rsid w:val="006F1D99"/>
    <w:rsid w:val="00701AA6"/>
    <w:rsid w:val="0071085A"/>
    <w:rsid w:val="007111AE"/>
    <w:rsid w:val="007228B1"/>
    <w:rsid w:val="00724E94"/>
    <w:rsid w:val="007347D9"/>
    <w:rsid w:val="00745C50"/>
    <w:rsid w:val="00754874"/>
    <w:rsid w:val="007574FE"/>
    <w:rsid w:val="007802D5"/>
    <w:rsid w:val="00793676"/>
    <w:rsid w:val="007A2CD2"/>
    <w:rsid w:val="007C1824"/>
    <w:rsid w:val="007F2F96"/>
    <w:rsid w:val="00807461"/>
    <w:rsid w:val="0083358F"/>
    <w:rsid w:val="00843D9C"/>
    <w:rsid w:val="00855587"/>
    <w:rsid w:val="008A3227"/>
    <w:rsid w:val="008B3D0E"/>
    <w:rsid w:val="008C3AC0"/>
    <w:rsid w:val="008D46F9"/>
    <w:rsid w:val="00920DCA"/>
    <w:rsid w:val="00925ADF"/>
    <w:rsid w:val="00936C1A"/>
    <w:rsid w:val="00945771"/>
    <w:rsid w:val="009524A1"/>
    <w:rsid w:val="0095564F"/>
    <w:rsid w:val="009A5CD5"/>
    <w:rsid w:val="009F01CE"/>
    <w:rsid w:val="00A055F9"/>
    <w:rsid w:val="00A104FD"/>
    <w:rsid w:val="00A601BC"/>
    <w:rsid w:val="00A6751E"/>
    <w:rsid w:val="00A73A3A"/>
    <w:rsid w:val="00A73FAF"/>
    <w:rsid w:val="00A9142E"/>
    <w:rsid w:val="00AA1A9D"/>
    <w:rsid w:val="00AC5FDE"/>
    <w:rsid w:val="00AD4EEA"/>
    <w:rsid w:val="00AF23E5"/>
    <w:rsid w:val="00B05125"/>
    <w:rsid w:val="00B166FE"/>
    <w:rsid w:val="00B27122"/>
    <w:rsid w:val="00B92FDA"/>
    <w:rsid w:val="00BB4DB1"/>
    <w:rsid w:val="00BE7D36"/>
    <w:rsid w:val="00C24217"/>
    <w:rsid w:val="00C26A19"/>
    <w:rsid w:val="00C4626A"/>
    <w:rsid w:val="00C649E0"/>
    <w:rsid w:val="00C65246"/>
    <w:rsid w:val="00C759E0"/>
    <w:rsid w:val="00C962BF"/>
    <w:rsid w:val="00CB03AE"/>
    <w:rsid w:val="00CB76C9"/>
    <w:rsid w:val="00CE4B76"/>
    <w:rsid w:val="00D10046"/>
    <w:rsid w:val="00D24371"/>
    <w:rsid w:val="00D35A1A"/>
    <w:rsid w:val="00D51182"/>
    <w:rsid w:val="00D64381"/>
    <w:rsid w:val="00DA3F4A"/>
    <w:rsid w:val="00DE04B3"/>
    <w:rsid w:val="00E171BE"/>
    <w:rsid w:val="00E27AE7"/>
    <w:rsid w:val="00E3197C"/>
    <w:rsid w:val="00E4472F"/>
    <w:rsid w:val="00E654B8"/>
    <w:rsid w:val="00E717D0"/>
    <w:rsid w:val="00E77945"/>
    <w:rsid w:val="00E963D0"/>
    <w:rsid w:val="00EA30D8"/>
    <w:rsid w:val="00EC1491"/>
    <w:rsid w:val="00EC2047"/>
    <w:rsid w:val="00F20FA1"/>
    <w:rsid w:val="00F244CB"/>
    <w:rsid w:val="00F4244B"/>
    <w:rsid w:val="00F61F64"/>
    <w:rsid w:val="00FC4942"/>
    <w:rsid w:val="00FC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26AFFC3"/>
  <w15:docId w15:val="{210C9963-2127-4E5B-BC85-AD0CC3D6B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771"/>
    <w:rPr>
      <w:sz w:val="24"/>
      <w:szCs w:val="24"/>
      <w:lang w:val="en-US" w:eastAsia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77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577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94577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94577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94577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94577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945771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qFormat/>
    <w:rsid w:val="00945771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qFormat/>
    <w:rsid w:val="0094577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11A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11AE"/>
  </w:style>
  <w:style w:type="paragraph" w:styleId="Footer">
    <w:name w:val="footer"/>
    <w:basedOn w:val="Normal"/>
    <w:link w:val="FooterChar"/>
    <w:unhideWhenUsed/>
    <w:rsid w:val="007111A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7111AE"/>
  </w:style>
  <w:style w:type="character" w:customStyle="1" w:styleId="Heading1Char">
    <w:name w:val="Heading 1 Char"/>
    <w:link w:val="Heading1"/>
    <w:uiPriority w:val="9"/>
    <w:rsid w:val="00945771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945771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945771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945771"/>
    <w:rPr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945771"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945771"/>
    <w:rPr>
      <w:b/>
      <w:bCs/>
    </w:rPr>
  </w:style>
  <w:style w:type="character" w:customStyle="1" w:styleId="Heading7Char">
    <w:name w:val="Heading 7 Char"/>
    <w:link w:val="Heading7"/>
    <w:uiPriority w:val="9"/>
    <w:semiHidden/>
    <w:rsid w:val="00945771"/>
    <w:rPr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945771"/>
    <w:rPr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945771"/>
    <w:rPr>
      <w:rFonts w:ascii="Cambria" w:eastAsia="Times New Roman" w:hAnsi="Cambria"/>
    </w:rPr>
  </w:style>
  <w:style w:type="paragraph" w:styleId="Title">
    <w:name w:val="Title"/>
    <w:basedOn w:val="Normal"/>
    <w:next w:val="Normal"/>
    <w:link w:val="TitleChar"/>
    <w:uiPriority w:val="10"/>
    <w:qFormat/>
    <w:rsid w:val="0094577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945771"/>
    <w:rPr>
      <w:rFonts w:ascii="Cambria" w:eastAsia="Times New Roman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5771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uiPriority w:val="11"/>
    <w:rsid w:val="00945771"/>
    <w:rPr>
      <w:rFonts w:ascii="Cambria" w:eastAsia="Times New Roman" w:hAnsi="Cambria"/>
      <w:sz w:val="24"/>
      <w:szCs w:val="24"/>
    </w:rPr>
  </w:style>
  <w:style w:type="character" w:styleId="Strong">
    <w:name w:val="Strong"/>
    <w:uiPriority w:val="22"/>
    <w:qFormat/>
    <w:rsid w:val="00945771"/>
    <w:rPr>
      <w:b/>
      <w:bCs/>
    </w:rPr>
  </w:style>
  <w:style w:type="character" w:styleId="Emphasis">
    <w:name w:val="Emphasis"/>
    <w:uiPriority w:val="20"/>
    <w:qFormat/>
    <w:rsid w:val="00945771"/>
    <w:rPr>
      <w:rFonts w:ascii="Calibri" w:hAnsi="Calibri"/>
      <w:b/>
      <w:i/>
      <w:iCs/>
    </w:rPr>
  </w:style>
  <w:style w:type="paragraph" w:styleId="NoSpacing">
    <w:name w:val="No Spacing"/>
    <w:basedOn w:val="Normal"/>
    <w:uiPriority w:val="1"/>
    <w:qFormat/>
    <w:rsid w:val="00945771"/>
    <w:rPr>
      <w:szCs w:val="32"/>
    </w:rPr>
  </w:style>
  <w:style w:type="paragraph" w:styleId="ListParagraph">
    <w:name w:val="List Paragraph"/>
    <w:basedOn w:val="Normal"/>
    <w:uiPriority w:val="34"/>
    <w:qFormat/>
    <w:rsid w:val="0094577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45771"/>
    <w:rPr>
      <w:i/>
    </w:rPr>
  </w:style>
  <w:style w:type="character" w:customStyle="1" w:styleId="QuoteChar">
    <w:name w:val="Quote Char"/>
    <w:link w:val="Quote"/>
    <w:uiPriority w:val="29"/>
    <w:rsid w:val="00945771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5771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link w:val="IntenseQuote"/>
    <w:uiPriority w:val="30"/>
    <w:rsid w:val="00945771"/>
    <w:rPr>
      <w:b/>
      <w:i/>
      <w:sz w:val="24"/>
    </w:rPr>
  </w:style>
  <w:style w:type="character" w:styleId="SubtleEmphasis">
    <w:name w:val="Subtle Emphasis"/>
    <w:uiPriority w:val="19"/>
    <w:qFormat/>
    <w:rsid w:val="00945771"/>
    <w:rPr>
      <w:i/>
      <w:color w:val="5A5A5A"/>
    </w:rPr>
  </w:style>
  <w:style w:type="character" w:styleId="IntenseEmphasis">
    <w:name w:val="Intense Emphasis"/>
    <w:uiPriority w:val="21"/>
    <w:qFormat/>
    <w:rsid w:val="00945771"/>
    <w:rPr>
      <w:b/>
      <w:i/>
      <w:sz w:val="24"/>
      <w:szCs w:val="24"/>
      <w:u w:val="single"/>
    </w:rPr>
  </w:style>
  <w:style w:type="character" w:styleId="SubtleReference">
    <w:name w:val="Subtle Reference"/>
    <w:uiPriority w:val="31"/>
    <w:qFormat/>
    <w:rsid w:val="00945771"/>
    <w:rPr>
      <w:sz w:val="24"/>
      <w:szCs w:val="24"/>
      <w:u w:val="single"/>
    </w:rPr>
  </w:style>
  <w:style w:type="character" w:styleId="IntenseReference">
    <w:name w:val="Intense Reference"/>
    <w:uiPriority w:val="32"/>
    <w:qFormat/>
    <w:rsid w:val="00945771"/>
    <w:rPr>
      <w:b/>
      <w:sz w:val="24"/>
      <w:u w:val="single"/>
    </w:rPr>
  </w:style>
  <w:style w:type="character" w:styleId="BookTitle">
    <w:name w:val="Book Title"/>
    <w:uiPriority w:val="33"/>
    <w:qFormat/>
    <w:rsid w:val="00945771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945771"/>
    <w:pPr>
      <w:outlineLvl w:val="9"/>
    </w:pPr>
  </w:style>
  <w:style w:type="table" w:styleId="TableGrid">
    <w:name w:val="Table Grid"/>
    <w:basedOn w:val="TableNormal"/>
    <w:uiPriority w:val="59"/>
    <w:rsid w:val="007347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DA3F4A"/>
    <w:rPr>
      <w:color w:val="0000FF"/>
      <w:u w:val="single"/>
    </w:rPr>
  </w:style>
  <w:style w:type="paragraph" w:styleId="BodyText">
    <w:name w:val="Body Text"/>
    <w:basedOn w:val="Normal"/>
    <w:link w:val="BodyTextChar"/>
    <w:rsid w:val="00FC550D"/>
    <w:pPr>
      <w:suppressAutoHyphens/>
      <w:jc w:val="center"/>
    </w:pPr>
    <w:rPr>
      <w:rFonts w:ascii="Times New Roman" w:eastAsia="Calibri" w:hAnsi="Times New Roman"/>
      <w:b/>
      <w:sz w:val="32"/>
      <w:szCs w:val="20"/>
      <w:lang w:val="ru-RU" w:eastAsia="ar-SA" w:bidi="ar-SA"/>
    </w:rPr>
  </w:style>
  <w:style w:type="character" w:customStyle="1" w:styleId="BodyTextChar">
    <w:name w:val="Body Text Char"/>
    <w:link w:val="BodyText"/>
    <w:rsid w:val="00FC550D"/>
    <w:rPr>
      <w:rFonts w:ascii="Times New Roman" w:eastAsia="Calibri" w:hAnsi="Times New Roman"/>
      <w:b/>
      <w:sz w:val="32"/>
      <w:lang w:eastAsia="ar-SA"/>
    </w:rPr>
  </w:style>
  <w:style w:type="character" w:styleId="FollowedHyperlink">
    <w:name w:val="FollowedHyperlink"/>
    <w:uiPriority w:val="99"/>
    <w:semiHidden/>
    <w:unhideWhenUsed/>
    <w:rsid w:val="00F20FA1"/>
    <w:rPr>
      <w:color w:val="800080"/>
      <w:u w:val="single"/>
    </w:rPr>
  </w:style>
  <w:style w:type="paragraph" w:customStyle="1" w:styleId="ListParagraph1">
    <w:name w:val="List Paragraph1"/>
    <w:basedOn w:val="Normal"/>
    <w:rsid w:val="00644DB5"/>
    <w:pPr>
      <w:spacing w:after="200" w:line="276" w:lineRule="auto"/>
      <w:ind w:left="720"/>
      <w:contextualSpacing/>
    </w:pPr>
    <w:rPr>
      <w:sz w:val="22"/>
      <w:szCs w:val="22"/>
      <w:lang w:val="ru-RU" w:bidi="ar-SA"/>
    </w:rPr>
  </w:style>
  <w:style w:type="character" w:customStyle="1" w:styleId="apple-converted-space">
    <w:name w:val="apple-converted-space"/>
    <w:basedOn w:val="DefaultParagraphFont"/>
    <w:rsid w:val="00BB4DB1"/>
  </w:style>
  <w:style w:type="paragraph" w:styleId="FootnoteText">
    <w:name w:val="footnote text"/>
    <w:basedOn w:val="Normal"/>
    <w:link w:val="FootnoteTextChar"/>
    <w:uiPriority w:val="99"/>
    <w:semiHidden/>
    <w:unhideWhenUsed/>
    <w:rsid w:val="00754874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4874"/>
    <w:rPr>
      <w:sz w:val="24"/>
      <w:szCs w:val="24"/>
      <w:lang w:val="en-US" w:eastAsia="en-US" w:bidi="en-US"/>
    </w:rPr>
  </w:style>
  <w:style w:type="character" w:styleId="FootnoteReference">
    <w:name w:val="footnote reference"/>
    <w:basedOn w:val="DefaultParagraphFont"/>
    <w:uiPriority w:val="99"/>
    <w:unhideWhenUsed/>
    <w:rsid w:val="007548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http://www.patients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73A3B1-BDA7-4E14-9BAD-26947892DB62}"/>
</file>

<file path=customXml/itemProps2.xml><?xml version="1.0" encoding="utf-8"?>
<ds:datastoreItem xmlns:ds="http://schemas.openxmlformats.org/officeDocument/2006/customXml" ds:itemID="{B9272E0D-D45B-49B7-9129-F6579A68F3C0}"/>
</file>

<file path=customXml/itemProps3.xml><?xml version="1.0" encoding="utf-8"?>
<ds:datastoreItem xmlns:ds="http://schemas.openxmlformats.org/officeDocument/2006/customXml" ds:itemID="{A6E40399-A8B3-4696-BF61-D8802D1C146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6691</Words>
  <Characters>38141</Characters>
  <Application>Microsoft Office Word</Application>
  <DocSecurity>4</DocSecurity>
  <Lines>317</Lines>
  <Paragraphs>89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SPecialiST RePack</Company>
  <LinksUpToDate>false</LinksUpToDate>
  <CharactersWithSpaces>44743</CharactersWithSpaces>
  <SharedDoc>false</SharedDoc>
  <HLinks>
    <vt:vector size="6" baseType="variant">
      <vt:variant>
        <vt:i4>6619191</vt:i4>
      </vt:variant>
      <vt:variant>
        <vt:i4>0</vt:i4>
      </vt:variant>
      <vt:variant>
        <vt:i4>0</vt:i4>
      </vt:variant>
      <vt:variant>
        <vt:i4>5</vt:i4>
      </vt:variant>
      <vt:variant>
        <vt:lpwstr>http://www.patients.ru/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subject/>
  <dc:creator>Admin</dc:creator>
  <cp:keywords/>
  <cp:lastModifiedBy>Jorge ARAYA</cp:lastModifiedBy>
  <cp:revision>2</cp:revision>
  <cp:lastPrinted>2012-05-23T18:43:00Z</cp:lastPrinted>
  <dcterms:created xsi:type="dcterms:W3CDTF">2018-01-30T14:22:00Z</dcterms:created>
  <dcterms:modified xsi:type="dcterms:W3CDTF">2018-01-30T14:22:00Z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