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3DADBB36" w14:textId="4F43A6E9" w:rsidR="000D18D0" w:rsidRDefault="002C04E8" w:rsidP="00E52234">
      <w:pPr>
        <w:jc w:val="both"/>
      </w:pPr>
      <w:r>
        <w:rPr>
          <w:noProof/>
          <w:lang w:eastAsia="en-GB"/>
        </w:rPr>
        <mc:AlternateContent>
          <mc:Choice Requires="wps">
            <w:drawing>
              <wp:anchor distT="0" distB="0" distL="114300" distR="114300" simplePos="0" relativeHeight="251657215" behindDoc="0" locked="0" layoutInCell="1" allowOverlap="1" wp14:anchorId="5DEEEF9B" wp14:editId="032B8B4A">
                <wp:simplePos x="0" y="0"/>
                <wp:positionH relativeFrom="column">
                  <wp:posOffset>-1295400</wp:posOffset>
                </wp:positionH>
                <wp:positionV relativeFrom="paragraph">
                  <wp:posOffset>-914400</wp:posOffset>
                </wp:positionV>
                <wp:extent cx="8096250" cy="857250"/>
                <wp:effectExtent l="38100" t="19050" r="57150" b="9525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4CEB57"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" fillcolor="#818183 [3209]" strokecolor="#818183 [3209]" strokeweight=".27778mm">
                <v:fill color2="#676768 [2569]" rotate="t" focusposition="1,1" focussize="-1,-1" colors="0 #818183;58982f #818183;1 #747476" focus="100%" type="gradientRadial"/>
                <v:shadow on="t" color="black" opacity="29491f" origin=",.5" offset="0"/>
              </v:rect>
            </w:pict>
          </mc:Fallback>
        </mc:AlternateContent>
      </w:r>
      <w:r w:rsidR="008D553F">
        <w:rPr>
          <w:noProof/>
          <w:lang w:eastAsia="en-GB"/>
        </w:rPr>
        <mc:AlternateContent>
          <mc:Choice Requires="wps">
            <w:drawing>
              <wp:anchor distT="0" distB="0" distL="114300" distR="114300" simplePos="0" relativeHeight="251659264" behindDoc="0" locked="0" layoutInCell="1" allowOverlap="1" wp14:anchorId="00552D2C" wp14:editId="6276D08D">
                <wp:simplePos x="0" y="0"/>
                <wp:positionH relativeFrom="column">
                  <wp:posOffset>3090041</wp:posOffset>
                </wp:positionH>
                <wp:positionV relativeFrom="paragraph">
                  <wp:posOffset>-961697</wp:posOffset>
                </wp:positionV>
                <wp:extent cx="2585545" cy="4225159"/>
                <wp:effectExtent l="38100" t="19050" r="62865" b="99695"/>
                <wp:wrapNone/>
                <wp:docPr id="2" name="Rectangle 2"/>
                <wp:cNvGraphicFramePr/>
                <a:graphic xmlns:a="http://schemas.openxmlformats.org/drawingml/2006/main">
                  <a:graphicData uri="http://schemas.microsoft.com/office/word/2010/wordprocessingShape">
                    <wps:wsp>
                      <wps:cNvSpPr/>
                      <wps:spPr>
                        <a:xfrm>
                          <a:off x="0" y="0"/>
                          <a:ext cx="2585545" cy="4225159"/>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ln/>
                      </wps:spPr>
                      <wps:style>
                        <a:lnRef idx="1">
                          <a:schemeClr val="accent6"/>
                        </a:lnRef>
                        <a:fillRef idx="3">
                          <a:schemeClr val="accent6"/>
                        </a:fillRef>
                        <a:effectRef idx="2">
                          <a:schemeClr val="accent6"/>
                        </a:effectRef>
                        <a:fontRef idx="minor">
                          <a:schemeClr val="lt1"/>
                        </a:fontRef>
                      </wps:style>
                      <wps:txbx>
                        <w:txbxContent>
                          <w:p w14:paraId="4D12373A" w14:textId="53E13A7D" w:rsidR="0098306F" w:rsidRPr="005D3FB0" w:rsidRDefault="000F6487"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State of Israel</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6052A5CD" w:rsidR="0098306F" w:rsidRDefault="000F6487"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Social and Cultural</w:t>
                            </w:r>
                            <w:r w:rsidR="0098306F">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552D2C" id="Rectangle 2" o:spid="_x0000_s1026" style="position:absolute;left:0;text-align:left;margin-left:243.3pt;margin-top:-75.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" adj="-11796480,,5400" path="m,l2170216,r,3886200l1127765,4329430,,3886200,,xe" fillcolor="#818183 [3209]" strokecolor="#818183 [3209]" strokeweight=".27778mm">
                <v:fill color2="#676768 [2569]" rotate="t" focusposition="1,1" focussize="-1,-1" colors="0 #818183;58982f #818183;1 #747476" focus="100%" type="gradientRadial"/>
                <v:stroke joinstyle="miter"/>
                <v:shadow on="t" color="black" opacity="29491f" origin=",.5" offset="0"/>
                <v:formulas/>
                <v:path arrowok="t" o:connecttype="custom" o:connectlocs="0,0;2585545,0;2585545,3792604;1343593,4225159;0,3792604;0,0" o:connectangles="0,0,0,0,0,0" textboxrect="0,0,2170216,4329430"/>
                <v:textbox>
                  <w:txbxContent>
                    <w:p w14:paraId="4D12373A" w14:textId="53E13A7D" w:rsidR="0098306F" w:rsidRPr="005D3FB0" w:rsidRDefault="000F6487"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State of Israel</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6052A5CD" w:rsidR="0098306F" w:rsidRDefault="000F6487"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Social and Cultural</w:t>
                      </w:r>
                      <w:r w:rsidR="0098306F">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E0123B" w14:textId="71671B66" w:rsidR="000D18D0" w:rsidRDefault="00D70B92" w:rsidP="00E52234">
      <w:pPr>
        <w:jc w:val="both"/>
      </w:pPr>
      <w:r>
        <w:rPr>
          <w:noProof/>
          <w:lang w:eastAsia="en-GB"/>
        </w:rPr>
        <w:drawing>
          <wp:anchor distT="0" distB="0" distL="114300" distR="114300" simplePos="0" relativeHeight="251658240" behindDoc="0" locked="0" layoutInCell="1" allowOverlap="1" wp14:anchorId="37CFE7B2" wp14:editId="71A6D54B">
            <wp:simplePos x="0" y="0"/>
            <wp:positionH relativeFrom="column">
              <wp:posOffset>-13335</wp:posOffset>
            </wp:positionH>
            <wp:positionV relativeFrom="paragraph">
              <wp:posOffset>57150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77777777" w:rsidR="000D18D0" w:rsidRDefault="000D18D0" w:rsidP="00E52234">
      <w:pPr>
        <w:jc w:val="both"/>
      </w:pPr>
    </w:p>
    <w:p w14:paraId="5E37D08A" w14:textId="77777777" w:rsidR="000D18D0" w:rsidRDefault="000D18D0" w:rsidP="00E52234">
      <w:pPr>
        <w:jc w:val="both"/>
      </w:pPr>
    </w:p>
    <w:p w14:paraId="4F312F9B" w14:textId="77777777" w:rsidR="000D18D0" w:rsidRDefault="000D18D0" w:rsidP="00E52234">
      <w:pPr>
        <w:jc w:val="both"/>
      </w:pPr>
    </w:p>
    <w:p w14:paraId="606B2EFE" w14:textId="77777777" w:rsidR="000D18D0" w:rsidRDefault="000D18D0" w:rsidP="00E52234">
      <w:pPr>
        <w:jc w:val="both"/>
      </w:pPr>
    </w:p>
    <w:p w14:paraId="34D06E88" w14:textId="77777777" w:rsidR="000D18D0" w:rsidRDefault="000D18D0" w:rsidP="00E52234">
      <w:pPr>
        <w:jc w:val="both"/>
      </w:pPr>
    </w:p>
    <w:p w14:paraId="4FC70F8F" w14:textId="77777777" w:rsidR="000D18D0" w:rsidRDefault="000D18D0" w:rsidP="00E52234">
      <w:pPr>
        <w:jc w:val="both"/>
      </w:pPr>
    </w:p>
    <w:p w14:paraId="577569D4" w14:textId="5E6D12D2" w:rsidR="000D18D0" w:rsidRDefault="000D18D0" w:rsidP="00E52234">
      <w:pPr>
        <w:jc w:val="both"/>
      </w:pPr>
    </w:p>
    <w:p w14:paraId="1977E007" w14:textId="26DA28F0" w:rsidR="00427C17" w:rsidRDefault="00427C17" w:rsidP="00E52234">
      <w:pPr>
        <w:jc w:val="both"/>
      </w:pPr>
    </w:p>
    <w:p w14:paraId="1A61421A" w14:textId="20319ACA" w:rsidR="00427C17" w:rsidRDefault="00427C17" w:rsidP="00E52234">
      <w:pPr>
        <w:jc w:val="both"/>
      </w:pPr>
    </w:p>
    <w:p w14:paraId="2A0C0BD4" w14:textId="2B2E92B1" w:rsidR="00427C17" w:rsidRDefault="00427C17" w:rsidP="00E52234">
      <w:pPr>
        <w:jc w:val="both"/>
      </w:pPr>
    </w:p>
    <w:p w14:paraId="34BE5F80" w14:textId="06628B1E" w:rsidR="00427C17" w:rsidRDefault="00427C17" w:rsidP="00E52234">
      <w:pPr>
        <w:jc w:val="both"/>
      </w:pPr>
    </w:p>
    <w:p w14:paraId="6176A6B2" w14:textId="763C7CD6" w:rsidR="000D18D0" w:rsidRPr="00AA58E0" w:rsidRDefault="000D18D0" w:rsidP="00B04D13">
      <w:pPr>
        <w:jc w:val="center"/>
        <w:rPr>
          <w:sz w:val="32"/>
          <w:szCs w:val="32"/>
        </w:rPr>
      </w:pPr>
      <w:r w:rsidRPr="00AA58E0">
        <w:rPr>
          <w:sz w:val="32"/>
          <w:szCs w:val="32"/>
        </w:rPr>
        <w:t xml:space="preserve">Shadow </w:t>
      </w:r>
      <w:r w:rsidR="005801A5" w:rsidRPr="00AA58E0">
        <w:rPr>
          <w:sz w:val="32"/>
          <w:szCs w:val="32"/>
        </w:rPr>
        <w:t>R</w:t>
      </w:r>
      <w:r w:rsidRPr="00AA58E0">
        <w:rPr>
          <w:sz w:val="32"/>
          <w:szCs w:val="32"/>
        </w:rPr>
        <w:t xml:space="preserve">eport </w:t>
      </w:r>
      <w:r w:rsidR="005801A5" w:rsidRPr="00AA58E0">
        <w:rPr>
          <w:sz w:val="32"/>
          <w:szCs w:val="32"/>
        </w:rPr>
        <w:t xml:space="preserve">on </w:t>
      </w:r>
      <w:r w:rsidR="000F6487">
        <w:rPr>
          <w:sz w:val="32"/>
          <w:szCs w:val="32"/>
        </w:rPr>
        <w:t>the State of Israel</w:t>
      </w:r>
      <w:r w:rsidR="005801A5" w:rsidRPr="00AA58E0">
        <w:rPr>
          <w:sz w:val="32"/>
          <w:szCs w:val="32"/>
        </w:rPr>
        <w:t xml:space="preserve"> </w:t>
      </w:r>
      <w:r w:rsidRPr="00AA58E0">
        <w:rPr>
          <w:sz w:val="32"/>
          <w:szCs w:val="32"/>
        </w:rPr>
        <w:t>submitted by</w:t>
      </w:r>
    </w:p>
    <w:p w14:paraId="5214D348" w14:textId="09FCF40B" w:rsidR="000D18D0" w:rsidRPr="00A87CBB" w:rsidRDefault="000D18D0" w:rsidP="00B04D13">
      <w:pPr>
        <w:jc w:val="center"/>
        <w:rPr>
          <w:rFonts w:ascii="Century Gothic" w:hAnsi="Century Gothic"/>
          <w:b/>
          <w:bCs/>
          <w:color w:val="7B881D" w:themeColor="accent1" w:themeShade="BF"/>
          <w:sz w:val="36"/>
          <w:szCs w:val="36"/>
        </w:rPr>
      </w:pPr>
      <w:r w:rsidRPr="00A87CBB">
        <w:rPr>
          <w:rFonts w:ascii="Century Gothic" w:hAnsi="Century Gothic"/>
          <w:b/>
          <w:bCs/>
          <w:color w:val="7B881D" w:themeColor="accent1" w:themeShade="BF"/>
          <w:sz w:val="36"/>
          <w:szCs w:val="36"/>
        </w:rPr>
        <w:t xml:space="preserve">Geneva International Centre </w:t>
      </w:r>
      <w:r w:rsidRPr="00A87CBB">
        <w:rPr>
          <w:rFonts w:ascii="Viner Hand ITC" w:hAnsi="Viner Hand ITC"/>
          <w:color w:val="7B881D" w:themeColor="accent1" w:themeShade="BF"/>
          <w:sz w:val="36"/>
          <w:szCs w:val="36"/>
        </w:rPr>
        <w:t>for</w:t>
      </w:r>
      <w:r w:rsidRPr="00A87CBB">
        <w:rPr>
          <w:rFonts w:ascii="Century Gothic" w:hAnsi="Century Gothic"/>
          <w:b/>
          <w:bCs/>
          <w:color w:val="7B881D" w:themeColor="accent1" w:themeShade="BF"/>
          <w:sz w:val="36"/>
          <w:szCs w:val="36"/>
        </w:rPr>
        <w:t xml:space="preserve"> Justice</w:t>
      </w:r>
      <w:r w:rsidR="0079679F" w:rsidRPr="00A87CBB">
        <w:rPr>
          <w:rFonts w:ascii="Century Gothic" w:hAnsi="Century Gothic"/>
          <w:b/>
          <w:bCs/>
          <w:color w:val="7B881D" w:themeColor="accent1" w:themeShade="BF"/>
          <w:sz w:val="36"/>
          <w:szCs w:val="36"/>
        </w:rPr>
        <w:t xml:space="preserve"> (GICJ)</w:t>
      </w:r>
    </w:p>
    <w:p w14:paraId="3B97F22E" w14:textId="04EDD12C" w:rsidR="000D18D0" w:rsidRPr="00AA58E0" w:rsidRDefault="000D18D0" w:rsidP="00B04D13">
      <w:pPr>
        <w:jc w:val="center"/>
        <w:rPr>
          <w:sz w:val="32"/>
          <w:szCs w:val="32"/>
        </w:rPr>
      </w:pPr>
      <w:r w:rsidRPr="00AA58E0">
        <w:rPr>
          <w:sz w:val="32"/>
          <w:szCs w:val="32"/>
        </w:rPr>
        <w:t>to the</w:t>
      </w:r>
    </w:p>
    <w:p w14:paraId="664AD786" w14:textId="0575CB53" w:rsidR="000D18D0" w:rsidRPr="00AA58E0" w:rsidRDefault="000F6487" w:rsidP="00B04D13">
      <w:pPr>
        <w:jc w:val="center"/>
        <w:rPr>
          <w:b/>
          <w:bCs/>
          <w:color w:val="7B881D" w:themeColor="accent1" w:themeShade="BF"/>
          <w:sz w:val="36"/>
          <w:szCs w:val="36"/>
        </w:rPr>
      </w:pPr>
      <w:r>
        <w:rPr>
          <w:b/>
          <w:bCs/>
          <w:color w:val="7B881D" w:themeColor="accent1" w:themeShade="BF"/>
          <w:sz w:val="36"/>
          <w:szCs w:val="36"/>
        </w:rPr>
        <w:t>Committee on Economic, Social and Cultural Rights</w:t>
      </w:r>
    </w:p>
    <w:p w14:paraId="1428C5B7" w14:textId="197974FF" w:rsidR="008F1B36" w:rsidRDefault="000F6487" w:rsidP="00B04D13">
      <w:pPr>
        <w:jc w:val="center"/>
        <w:rPr>
          <w:sz w:val="32"/>
          <w:szCs w:val="32"/>
        </w:rPr>
      </w:pPr>
      <w:r>
        <w:rPr>
          <w:sz w:val="32"/>
          <w:szCs w:val="32"/>
        </w:rPr>
        <w:t>66</w:t>
      </w:r>
      <w:r w:rsidR="000D18D0" w:rsidRPr="00AA58E0">
        <w:rPr>
          <w:sz w:val="32"/>
          <w:szCs w:val="32"/>
          <w:vertAlign w:val="superscript"/>
        </w:rPr>
        <w:t>th</w:t>
      </w:r>
      <w:r w:rsidR="000D18D0" w:rsidRPr="00AA58E0">
        <w:rPr>
          <w:sz w:val="32"/>
          <w:szCs w:val="32"/>
        </w:rPr>
        <w:t xml:space="preserve"> Session</w:t>
      </w:r>
    </w:p>
    <w:p w14:paraId="3134F88C" w14:textId="03854C57" w:rsidR="0079679F" w:rsidRDefault="000F6487" w:rsidP="00B04D13">
      <w:pPr>
        <w:jc w:val="center"/>
        <w:rPr>
          <w:sz w:val="32"/>
          <w:szCs w:val="32"/>
        </w:rPr>
      </w:pPr>
      <w:r>
        <w:rPr>
          <w:sz w:val="32"/>
          <w:szCs w:val="32"/>
        </w:rPr>
        <w:t>30 September – 18 October</w:t>
      </w:r>
      <w:r w:rsidR="004B6150">
        <w:rPr>
          <w:sz w:val="32"/>
          <w:szCs w:val="32"/>
        </w:rPr>
        <w:t xml:space="preserve"> 2019</w:t>
      </w:r>
    </w:p>
    <w:p w14:paraId="63950CE0" w14:textId="1B293BAE" w:rsidR="006F11B4" w:rsidRDefault="008E05F0" w:rsidP="00B04D13">
      <w:pPr>
        <w:jc w:val="center"/>
        <w:rPr>
          <w:color w:val="7B881D" w:themeColor="accent1" w:themeShade="BF"/>
          <w:sz w:val="32"/>
          <w:szCs w:val="32"/>
        </w:rPr>
      </w:pPr>
      <w:r>
        <w:rPr>
          <w:noProof/>
          <w:lang w:eastAsia="en-GB"/>
        </w:rPr>
        <mc:AlternateContent>
          <mc:Choice Requires="wps">
            <w:drawing>
              <wp:anchor distT="0" distB="0" distL="114300" distR="114300" simplePos="0" relativeHeight="251660288" behindDoc="0" locked="0" layoutInCell="1" allowOverlap="1" wp14:anchorId="07CFFAB5" wp14:editId="48F94E95">
                <wp:simplePos x="0" y="0"/>
                <wp:positionH relativeFrom="margin">
                  <wp:align>center</wp:align>
                </wp:positionH>
                <wp:positionV relativeFrom="paragraph">
                  <wp:posOffset>1087120</wp:posOffset>
                </wp:positionV>
                <wp:extent cx="9413240" cy="3241675"/>
                <wp:effectExtent l="0" t="0" r="0" b="0"/>
                <wp:wrapNone/>
                <wp:docPr id="3" name="Rectangle 3"/>
                <wp:cNvGraphicFramePr/>
                <a:graphic xmlns:a="http://schemas.openxmlformats.org/drawingml/2006/main">
                  <a:graphicData uri="http://schemas.microsoft.com/office/word/2010/wordprocessingShape">
                    <wps:wsp>
                      <wps:cNvSpPr/>
                      <wps:spPr>
                        <a:xfrm>
                          <a:off x="0" y="0"/>
                          <a:ext cx="9413240" cy="3241675"/>
                        </a:xfrm>
                        <a:prstGeom prst="rect">
                          <a:avLst/>
                        </a:prstGeom>
                        <a:solidFill>
                          <a:srgbClr val="545454"/>
                        </a:solidFill>
                        <a:ln>
                          <a:noFill/>
                        </a:ln>
                      </wps:spPr>
                      <wps:style>
                        <a:lnRef idx="0">
                          <a:scrgbClr r="0" g="0" b="0"/>
                        </a:lnRef>
                        <a:fillRef idx="0">
                          <a:scrgbClr r="0" g="0" b="0"/>
                        </a:fillRef>
                        <a:effectRef idx="0">
                          <a:scrgbClr r="0" g="0" b="0"/>
                        </a:effectRef>
                        <a:fontRef idx="minor">
                          <a:schemeClr val="lt1"/>
                        </a:fontRef>
                      </wps:style>
                      <wps:txb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094557" w:rsidP="005801A5">
                            <w:pPr>
                              <w:jc w:val="center"/>
                              <w:rPr>
                                <w:b/>
                                <w:bCs/>
                                <w:color w:val="FFFFFF" w:themeColor="background1"/>
                                <w:lang w:val="fr-FR"/>
                              </w:rPr>
                            </w:pPr>
                            <w:hyperlink r:id="rId9"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CFFAB5" id="Rectangle 3" o:spid="_x0000_s1027" style="position:absolute;left:0;text-align:left;margin-left:0;margin-top:85.6pt;width:741.2pt;height:255.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" fillcolor="#545454" stroked="f">
                <v:textbo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E37ADD" w:rsidP="005801A5">
                      <w:pPr>
                        <w:jc w:val="center"/>
                        <w:rPr>
                          <w:b/>
                          <w:bCs/>
                          <w:color w:val="FFFFFF" w:themeColor="background1"/>
                          <w:lang w:val="fr-FR"/>
                        </w:rPr>
                      </w:pPr>
                      <w:hyperlink r:id="rId10"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v:textbox>
                <w10:wrap anchorx="margin"/>
              </v:rect>
            </w:pict>
          </mc:Fallback>
        </mc:AlternateContent>
      </w:r>
      <w:r w:rsidR="0079679F" w:rsidRPr="0079679F">
        <w:rPr>
          <w:sz w:val="32"/>
          <w:szCs w:val="32"/>
        </w:rPr>
        <w:t>Geneva, Switzerland</w:t>
      </w:r>
      <w:r w:rsidR="008159BD">
        <w:br w:type="page"/>
      </w:r>
    </w:p>
    <w:p w14:paraId="73D8B8C4" w14:textId="40E87EAC" w:rsidR="00B365AC" w:rsidRDefault="00B67910" w:rsidP="00E52234">
      <w:pPr>
        <w:jc w:val="both"/>
        <w:rPr>
          <w:color w:val="7B881D" w:themeColor="accent1" w:themeShade="BF"/>
          <w:sz w:val="32"/>
          <w:szCs w:val="32"/>
        </w:rPr>
      </w:pPr>
      <w:r>
        <w:rPr>
          <w:noProof/>
          <w:lang w:eastAsia="en-GB"/>
        </w:rPr>
        <w:lastRenderedPageBreak/>
        <mc:AlternateContent>
          <mc:Choice Requires="wps">
            <w:drawing>
              <wp:anchor distT="0" distB="0" distL="114300" distR="114300" simplePos="0" relativeHeight="251673600" behindDoc="0" locked="0" layoutInCell="1" allowOverlap="1" wp14:anchorId="325071DD" wp14:editId="6C4F8A05">
                <wp:simplePos x="0" y="0"/>
                <wp:positionH relativeFrom="column">
                  <wp:posOffset>-1300480</wp:posOffset>
                </wp:positionH>
                <wp:positionV relativeFrom="paragraph">
                  <wp:posOffset>-1014730</wp:posOffset>
                </wp:positionV>
                <wp:extent cx="9353550" cy="111252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9353550" cy="11125200"/>
                        </a:xfrm>
                        <a:prstGeom prst="rect">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01DDF7" id="Rectangle 13" o:spid="_x0000_s1026" style="position:absolute;margin-left:-102.4pt;margin-top:-79.9pt;width:736.5pt;height:8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" fillcolor="#b9b9bb [1785]" strokecolor="#818183 [3209]" strokeweight=".27778mm"/>
            </w:pict>
          </mc:Fallback>
        </mc:AlternateContent>
      </w:r>
    </w:p>
    <w:p w14:paraId="7D28EA27" w14:textId="77777777" w:rsidR="00B365AC" w:rsidRDefault="00B365AC" w:rsidP="00E52234">
      <w:pPr>
        <w:jc w:val="both"/>
        <w:rPr>
          <w:color w:val="7B881D" w:themeColor="accent1" w:themeShade="BF"/>
          <w:sz w:val="32"/>
          <w:szCs w:val="32"/>
        </w:rPr>
      </w:pPr>
    </w:p>
    <w:p w14:paraId="4CB46288" w14:textId="674BF3B0" w:rsidR="003571D6" w:rsidRDefault="003571D6">
      <w:pPr>
        <w:rPr>
          <w:color w:val="7B881D" w:themeColor="accent1" w:themeShade="BF"/>
          <w:sz w:val="32"/>
          <w:szCs w:val="32"/>
        </w:rPr>
      </w:pPr>
      <w:r>
        <w:rPr>
          <w:color w:val="7B881D" w:themeColor="accent1" w:themeShade="BF"/>
          <w:sz w:val="32"/>
          <w:szCs w:val="32"/>
        </w:rPr>
        <w:br w:type="page"/>
      </w:r>
    </w:p>
    <w:p w14:paraId="67D08C50" w14:textId="77777777" w:rsidR="00B365AC" w:rsidRDefault="00B365AC" w:rsidP="00E52234">
      <w:pPr>
        <w:jc w:val="both"/>
        <w:rPr>
          <w:color w:val="7B881D" w:themeColor="accent1" w:themeShade="BF"/>
          <w:sz w:val="32"/>
          <w:szCs w:val="32"/>
        </w:rPr>
      </w:pPr>
    </w:p>
    <w:p w14:paraId="69EB37CA" w14:textId="77777777" w:rsidR="00B365AC" w:rsidRDefault="00B365AC" w:rsidP="00E52234">
      <w:pPr>
        <w:jc w:val="both"/>
        <w:rPr>
          <w:color w:val="7B881D" w:themeColor="accent1" w:themeShade="BF"/>
          <w:sz w:val="32"/>
          <w:szCs w:val="32"/>
        </w:rPr>
      </w:pPr>
    </w:p>
    <w:p w14:paraId="3BDC2048" w14:textId="77777777" w:rsidR="00B365AC" w:rsidRDefault="00B365AC" w:rsidP="00E52234">
      <w:pPr>
        <w:jc w:val="both"/>
        <w:rPr>
          <w:color w:val="7B881D" w:themeColor="accent1" w:themeShade="BF"/>
          <w:sz w:val="32"/>
          <w:szCs w:val="32"/>
        </w:rPr>
      </w:pPr>
    </w:p>
    <w:p w14:paraId="5A0E4CAF" w14:textId="55350DF4" w:rsidR="00B365AC" w:rsidRDefault="00B365AC" w:rsidP="00E52234">
      <w:pPr>
        <w:jc w:val="both"/>
        <w:rPr>
          <w:color w:val="7B881D" w:themeColor="accent1" w:themeShade="BF"/>
          <w:sz w:val="32"/>
          <w:szCs w:val="32"/>
        </w:rPr>
      </w:pPr>
    </w:p>
    <w:p w14:paraId="3F72E4C8" w14:textId="6F652BDE" w:rsidR="00B365AC" w:rsidRDefault="00B365AC" w:rsidP="00E52234">
      <w:pPr>
        <w:jc w:val="both"/>
        <w:rPr>
          <w:color w:val="7B881D" w:themeColor="accent1" w:themeShade="BF"/>
          <w:sz w:val="32"/>
          <w:szCs w:val="32"/>
        </w:rPr>
      </w:pPr>
      <w:r>
        <w:rPr>
          <w:noProof/>
          <w:color w:val="7B881D" w:themeColor="accent1" w:themeShade="BF"/>
          <w:sz w:val="32"/>
          <w:szCs w:val="32"/>
          <w:lang w:eastAsia="en-GB"/>
        </w:rPr>
        <mc:AlternateContent>
          <mc:Choice Requires="wps">
            <w:drawing>
              <wp:anchor distT="0" distB="0" distL="114300" distR="114300" simplePos="0" relativeHeight="251670528" behindDoc="0" locked="0" layoutInCell="1" allowOverlap="1" wp14:anchorId="131EDA37" wp14:editId="7259C638">
                <wp:simplePos x="0" y="0"/>
                <wp:positionH relativeFrom="column">
                  <wp:posOffset>962025</wp:posOffset>
                </wp:positionH>
                <wp:positionV relativeFrom="paragraph">
                  <wp:posOffset>71120</wp:posOffset>
                </wp:positionV>
                <wp:extent cx="4017010" cy="3762375"/>
                <wp:effectExtent l="38100" t="19050" r="59690" b="104775"/>
                <wp:wrapNone/>
                <wp:docPr id="9" name="Oval 9"/>
                <wp:cNvGraphicFramePr/>
                <a:graphic xmlns:a="http://schemas.openxmlformats.org/drawingml/2006/main">
                  <a:graphicData uri="http://schemas.microsoft.com/office/word/2010/wordprocessingShape">
                    <wps:wsp>
                      <wps:cNvSpPr/>
                      <wps:spPr>
                        <a:xfrm>
                          <a:off x="0" y="0"/>
                          <a:ext cx="4017010" cy="3762375"/>
                        </a:xfrm>
                        <a:prstGeom prst="ellipse">
                          <a:avLst/>
                        </a:prstGeom>
                        <a:ln/>
                      </wps:spPr>
                      <wps:style>
                        <a:lnRef idx="1">
                          <a:schemeClr val="accent3"/>
                        </a:lnRef>
                        <a:fillRef idx="3">
                          <a:schemeClr val="accent3"/>
                        </a:fillRef>
                        <a:effectRef idx="2">
                          <a:schemeClr val="accent3"/>
                        </a:effectRef>
                        <a:fontRef idx="minor">
                          <a:schemeClr val="lt1"/>
                        </a:fontRef>
                      </wps:style>
                      <wps:txb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14D853DA" w14:textId="0EA4AD59" w:rsidR="0098306F" w:rsidRPr="003571D6" w:rsidRDefault="0098306F"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This document is submitted by Geneva International Centre for Justice (GICJ)</w:t>
                            </w:r>
                            <w:r w:rsidR="005731F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as an alternative report for consideration by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Committee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on Economic, Social and Cultural Rights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during its review of the State Party Report of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 State of Israel</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w:t>
                            </w:r>
                          </w:p>
                          <w:p w14:paraId="4A15940F" w14:textId="61944888" w:rsidR="0098306F" w:rsidRPr="003571D6" w:rsidRDefault="004C7483"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September</w:t>
                            </w:r>
                            <w:r w:rsidR="0098306F"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31EDA37" id="Oval 9" o:spid="_x0000_s1028" style="position:absolute;left:0;text-align:left;margin-left:75.75pt;margin-top:5.6pt;width:316.3pt;height:29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" fillcolor="#fe9e00 [3206]" strokecolor="#fe9e00 [3206]" strokeweight=".27778mm">
                <v:fill color2="#cb7d00 [2566]" rotate="t" focusposition="1,1" focussize="-1,-1" colors="0 #fe9e00;58982f #ffa000;1 #fd9400" focus="100%" type="gradientRadial"/>
                <v:shadow on="t" color="black" opacity="29491f" origin=",.5" offset="0"/>
                <v:textbo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14D853DA" w14:textId="0EA4AD59" w:rsidR="0098306F" w:rsidRPr="003571D6" w:rsidRDefault="0098306F"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This document is submitted by Geneva International Centre for Justice (GICJ)</w:t>
                      </w:r>
                      <w:r w:rsidR="005731F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as an alternative report for consideration by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Committee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on Economic, Social and Cultural Rights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during its review of the State Party Report of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 State of Israel</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w:t>
                      </w:r>
                    </w:p>
                    <w:p w14:paraId="4A15940F" w14:textId="61944888" w:rsidR="0098306F" w:rsidRPr="003571D6" w:rsidRDefault="004C7483"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September</w:t>
                      </w:r>
                      <w:r w:rsidR="0098306F"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v:textbox>
              </v:oval>
            </w:pict>
          </mc:Fallback>
        </mc:AlternateContent>
      </w:r>
    </w:p>
    <w:p w14:paraId="1104CE9C" w14:textId="77777777" w:rsidR="00B365AC" w:rsidRDefault="00B365AC" w:rsidP="00E52234">
      <w:pPr>
        <w:jc w:val="both"/>
        <w:rPr>
          <w:color w:val="7B881D" w:themeColor="accent1" w:themeShade="BF"/>
          <w:sz w:val="32"/>
          <w:szCs w:val="32"/>
        </w:rPr>
      </w:pPr>
    </w:p>
    <w:p w14:paraId="6E3DB740" w14:textId="77777777" w:rsidR="00B365AC" w:rsidRDefault="00B365AC" w:rsidP="00E52234">
      <w:pPr>
        <w:jc w:val="both"/>
        <w:rPr>
          <w:color w:val="7B881D" w:themeColor="accent1" w:themeShade="BF"/>
          <w:sz w:val="32"/>
          <w:szCs w:val="32"/>
        </w:rPr>
      </w:pPr>
    </w:p>
    <w:p w14:paraId="6F8A0042" w14:textId="77777777" w:rsidR="00B365AC" w:rsidRDefault="00B365AC" w:rsidP="00E52234">
      <w:pPr>
        <w:jc w:val="both"/>
        <w:rPr>
          <w:color w:val="7B881D" w:themeColor="accent1" w:themeShade="BF"/>
          <w:sz w:val="32"/>
          <w:szCs w:val="32"/>
        </w:rPr>
      </w:pPr>
    </w:p>
    <w:p w14:paraId="4BCD7EF2" w14:textId="77777777" w:rsidR="00B365AC" w:rsidRDefault="00B365AC" w:rsidP="00E52234">
      <w:pPr>
        <w:jc w:val="both"/>
        <w:rPr>
          <w:color w:val="7B881D" w:themeColor="accent1" w:themeShade="BF"/>
          <w:sz w:val="32"/>
          <w:szCs w:val="32"/>
        </w:rPr>
      </w:pPr>
    </w:p>
    <w:p w14:paraId="0311D043" w14:textId="77777777" w:rsidR="00B365AC" w:rsidRDefault="00B365AC" w:rsidP="00E52234">
      <w:pPr>
        <w:jc w:val="both"/>
        <w:rPr>
          <w:color w:val="7B881D" w:themeColor="accent1" w:themeShade="BF"/>
          <w:sz w:val="32"/>
          <w:szCs w:val="32"/>
        </w:rPr>
      </w:pPr>
    </w:p>
    <w:p w14:paraId="13596D79" w14:textId="77777777" w:rsidR="00B365AC" w:rsidRDefault="00B365AC" w:rsidP="00E52234">
      <w:pPr>
        <w:jc w:val="both"/>
        <w:rPr>
          <w:color w:val="7B881D" w:themeColor="accent1" w:themeShade="BF"/>
          <w:sz w:val="32"/>
          <w:szCs w:val="32"/>
        </w:rPr>
      </w:pPr>
    </w:p>
    <w:p w14:paraId="12BB28B5" w14:textId="77777777" w:rsidR="00B365AC" w:rsidRDefault="00B365AC" w:rsidP="00E52234">
      <w:pPr>
        <w:jc w:val="both"/>
        <w:rPr>
          <w:color w:val="7B881D" w:themeColor="accent1" w:themeShade="BF"/>
          <w:sz w:val="32"/>
          <w:szCs w:val="32"/>
        </w:rPr>
      </w:pPr>
    </w:p>
    <w:p w14:paraId="1ADB3DCC" w14:textId="77777777" w:rsidR="00B365AC" w:rsidRDefault="00B365AC" w:rsidP="00E52234">
      <w:pPr>
        <w:jc w:val="both"/>
        <w:rPr>
          <w:color w:val="7B881D" w:themeColor="accent1" w:themeShade="BF"/>
          <w:sz w:val="32"/>
          <w:szCs w:val="32"/>
        </w:rPr>
      </w:pPr>
    </w:p>
    <w:p w14:paraId="5F6152D4" w14:textId="77777777" w:rsidR="00B365AC" w:rsidRDefault="00B365AC" w:rsidP="00E52234">
      <w:pPr>
        <w:jc w:val="both"/>
        <w:rPr>
          <w:color w:val="7B881D" w:themeColor="accent1" w:themeShade="BF"/>
          <w:sz w:val="32"/>
          <w:szCs w:val="32"/>
        </w:rPr>
      </w:pPr>
    </w:p>
    <w:p w14:paraId="5FA23BB6" w14:textId="0947E699" w:rsidR="00776F4C" w:rsidRPr="004C7483" w:rsidRDefault="00B67910" w:rsidP="00E52234">
      <w:pPr>
        <w:jc w:val="both"/>
        <w:rPr>
          <w:color w:val="7B881D" w:themeColor="accent1" w:themeShade="BF"/>
          <w:sz w:val="32"/>
          <w:szCs w:val="32"/>
        </w:rPr>
      </w:pPr>
      <w:r>
        <w:rPr>
          <w:noProof/>
          <w:lang w:eastAsia="en-GB"/>
        </w:rPr>
        <mc:AlternateContent>
          <mc:Choice Requires="wps">
            <w:drawing>
              <wp:anchor distT="0" distB="0" distL="114300" distR="114300" simplePos="0" relativeHeight="251675648" behindDoc="0" locked="0" layoutInCell="1" allowOverlap="1" wp14:anchorId="18C5764F" wp14:editId="33B00B59">
                <wp:simplePos x="0" y="0"/>
                <wp:positionH relativeFrom="page">
                  <wp:posOffset>-742950</wp:posOffset>
                </wp:positionH>
                <wp:positionV relativeFrom="paragraph">
                  <wp:posOffset>3378200</wp:posOffset>
                </wp:positionV>
                <wp:extent cx="8572500" cy="1352550"/>
                <wp:effectExtent l="38100" t="19050" r="57150" b="95250"/>
                <wp:wrapNone/>
                <wp:docPr id="14" name="Rectangle 14"/>
                <wp:cNvGraphicFramePr/>
                <a:graphic xmlns:a="http://schemas.openxmlformats.org/drawingml/2006/main">
                  <a:graphicData uri="http://schemas.microsoft.com/office/word/2010/wordprocessingShape">
                    <wps:wsp>
                      <wps:cNvSpPr/>
                      <wps:spPr>
                        <a:xfrm>
                          <a:off x="0" y="0"/>
                          <a:ext cx="8572500" cy="1352550"/>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955E16" id="Rectangle 14" o:spid="_x0000_s1026" style="position:absolute;margin-left:-58.5pt;margin-top:266pt;width:675pt;height:106.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" fillcolor="#818183 [3209]" strokecolor="#818183 [3209]" strokeweight=".27778mm">
                <v:fill color2="#676768 [2569]" rotate="t" focusposition="1,1" focussize="-1,-1" colors="0 #818183;58982f #818183;1 #747476" focus="100%" type="gradientRadial"/>
                <v:shadow on="t" color="black" opacity="29491f" origin=",.5" offset="0"/>
                <w10:wrap anchorx="page"/>
              </v:rect>
            </w:pict>
          </mc:Fallback>
        </mc:AlternateContent>
      </w:r>
      <w:r w:rsidR="00B365AC">
        <w:rPr>
          <w:color w:val="7B881D" w:themeColor="accent1" w:themeShade="BF"/>
          <w:sz w:val="32"/>
          <w:szCs w:val="32"/>
        </w:rPr>
        <w:br w:type="page"/>
      </w:r>
    </w:p>
    <w:bookmarkStart w:id="1" w:name="_Toc18423922" w:displacedByCustomXml="next"/>
    <w:sdt>
      <w:sdtPr>
        <w:rPr>
          <w:rFonts w:asciiTheme="minorHAnsi" w:eastAsiaTheme="minorHAnsi" w:hAnsiTheme="minorHAnsi" w:cstheme="minorBidi"/>
          <w:b w:val="0"/>
          <w:color w:val="auto"/>
          <w:sz w:val="22"/>
          <w:szCs w:val="22"/>
          <w:lang w:val="en-GB"/>
        </w:rPr>
        <w:id w:val="-506294108"/>
        <w:docPartObj>
          <w:docPartGallery w:val="Table of Contents"/>
          <w:docPartUnique/>
        </w:docPartObj>
      </w:sdtPr>
      <w:sdtEndPr>
        <w:rPr>
          <w:bCs/>
          <w:noProof/>
        </w:rPr>
      </w:sdtEndPr>
      <w:sdtContent>
        <w:p w14:paraId="657BB546" w14:textId="53B64AB3" w:rsidR="00D71DA0" w:rsidRDefault="00D71DA0" w:rsidP="00E52234">
          <w:pPr>
            <w:pStyle w:val="TOCHeading"/>
            <w:jc w:val="center"/>
          </w:pPr>
          <w:r>
            <w:t>Contents</w:t>
          </w:r>
        </w:p>
        <w:p w14:paraId="305CD125" w14:textId="28052B0B" w:rsidR="00D71DA0" w:rsidRDefault="00D71DA0" w:rsidP="00E52234">
          <w:pPr>
            <w:pStyle w:val="TOC1"/>
            <w:tabs>
              <w:tab w:val="right" w:leader="dot" w:pos="9060"/>
            </w:tabs>
            <w:jc w:val="both"/>
            <w:rPr>
              <w:rFonts w:eastAsiaTheme="minorEastAsia"/>
              <w:noProof/>
            </w:rPr>
          </w:pPr>
          <w:r>
            <w:fldChar w:fldCharType="begin"/>
          </w:r>
          <w:r>
            <w:instrText xml:space="preserve"> TOC \o "1-3" \h \z \u </w:instrText>
          </w:r>
          <w:r>
            <w:fldChar w:fldCharType="separate"/>
          </w:r>
          <w:hyperlink w:anchor="_Toc18425086" w:history="1">
            <w:r w:rsidRPr="00CC7EB7">
              <w:rPr>
                <w:rStyle w:val="Hyperlink"/>
                <w:noProof/>
              </w:rPr>
              <w:t>Introduction</w:t>
            </w:r>
            <w:r>
              <w:rPr>
                <w:noProof/>
                <w:webHidden/>
              </w:rPr>
              <w:tab/>
            </w:r>
            <w:r>
              <w:rPr>
                <w:noProof/>
                <w:webHidden/>
              </w:rPr>
              <w:fldChar w:fldCharType="begin"/>
            </w:r>
            <w:r>
              <w:rPr>
                <w:noProof/>
                <w:webHidden/>
              </w:rPr>
              <w:instrText xml:space="preserve"> PAGEREF _Toc18425086 \h </w:instrText>
            </w:r>
            <w:r>
              <w:rPr>
                <w:noProof/>
                <w:webHidden/>
              </w:rPr>
            </w:r>
            <w:r>
              <w:rPr>
                <w:noProof/>
                <w:webHidden/>
              </w:rPr>
              <w:fldChar w:fldCharType="separate"/>
            </w:r>
            <w:r w:rsidR="006B3FE1">
              <w:rPr>
                <w:noProof/>
                <w:webHidden/>
              </w:rPr>
              <w:t>5</w:t>
            </w:r>
            <w:r>
              <w:rPr>
                <w:noProof/>
                <w:webHidden/>
              </w:rPr>
              <w:fldChar w:fldCharType="end"/>
            </w:r>
          </w:hyperlink>
        </w:p>
        <w:p w14:paraId="73D03A9A" w14:textId="6C7C7563" w:rsidR="00D71DA0" w:rsidRDefault="00094557" w:rsidP="00E52234">
          <w:pPr>
            <w:pStyle w:val="TOC1"/>
            <w:tabs>
              <w:tab w:val="right" w:leader="dot" w:pos="9060"/>
            </w:tabs>
            <w:jc w:val="both"/>
            <w:rPr>
              <w:rFonts w:eastAsiaTheme="minorEastAsia"/>
              <w:noProof/>
            </w:rPr>
          </w:pPr>
          <w:hyperlink w:anchor="_Toc18425087" w:history="1">
            <w:r w:rsidR="00D71DA0" w:rsidRPr="00CC7EB7">
              <w:rPr>
                <w:rStyle w:val="Hyperlink"/>
                <w:noProof/>
              </w:rPr>
              <w:t>Art. 11 Right to adequate standards of living</w:t>
            </w:r>
            <w:r w:rsidR="00D71DA0">
              <w:rPr>
                <w:noProof/>
                <w:webHidden/>
              </w:rPr>
              <w:tab/>
            </w:r>
            <w:r w:rsidR="00D71DA0">
              <w:rPr>
                <w:noProof/>
                <w:webHidden/>
              </w:rPr>
              <w:fldChar w:fldCharType="begin"/>
            </w:r>
            <w:r w:rsidR="00D71DA0">
              <w:rPr>
                <w:noProof/>
                <w:webHidden/>
              </w:rPr>
              <w:instrText xml:space="preserve"> PAGEREF _Toc18425087 \h </w:instrText>
            </w:r>
            <w:r w:rsidR="00D71DA0">
              <w:rPr>
                <w:noProof/>
                <w:webHidden/>
              </w:rPr>
            </w:r>
            <w:r w:rsidR="00D71DA0">
              <w:rPr>
                <w:noProof/>
                <w:webHidden/>
              </w:rPr>
              <w:fldChar w:fldCharType="separate"/>
            </w:r>
            <w:r w:rsidR="006B3FE1">
              <w:rPr>
                <w:noProof/>
                <w:webHidden/>
              </w:rPr>
              <w:t>5</w:t>
            </w:r>
            <w:r w:rsidR="00D71DA0">
              <w:rPr>
                <w:noProof/>
                <w:webHidden/>
              </w:rPr>
              <w:fldChar w:fldCharType="end"/>
            </w:r>
          </w:hyperlink>
        </w:p>
        <w:p w14:paraId="16650EB3" w14:textId="6E88FB56" w:rsidR="00D71DA0" w:rsidRDefault="00094557" w:rsidP="00E52234">
          <w:pPr>
            <w:pStyle w:val="TOC2"/>
            <w:tabs>
              <w:tab w:val="right" w:leader="dot" w:pos="9060"/>
            </w:tabs>
            <w:jc w:val="both"/>
            <w:rPr>
              <w:rFonts w:eastAsiaTheme="minorEastAsia"/>
              <w:noProof/>
            </w:rPr>
          </w:pPr>
          <w:hyperlink w:anchor="_Toc18425088" w:history="1">
            <w:r w:rsidR="00D71DA0" w:rsidRPr="00CC7EB7">
              <w:rPr>
                <w:rStyle w:val="Hyperlink"/>
                <w:noProof/>
              </w:rPr>
              <w:t>Forced evictions under international law and Israeli law</w:t>
            </w:r>
            <w:r w:rsidR="00D71DA0">
              <w:rPr>
                <w:noProof/>
                <w:webHidden/>
              </w:rPr>
              <w:tab/>
            </w:r>
            <w:r w:rsidR="00D71DA0">
              <w:rPr>
                <w:noProof/>
                <w:webHidden/>
              </w:rPr>
              <w:fldChar w:fldCharType="begin"/>
            </w:r>
            <w:r w:rsidR="00D71DA0">
              <w:rPr>
                <w:noProof/>
                <w:webHidden/>
              </w:rPr>
              <w:instrText xml:space="preserve"> PAGEREF _Toc18425088 \h </w:instrText>
            </w:r>
            <w:r w:rsidR="00D71DA0">
              <w:rPr>
                <w:noProof/>
                <w:webHidden/>
              </w:rPr>
            </w:r>
            <w:r w:rsidR="00D71DA0">
              <w:rPr>
                <w:noProof/>
                <w:webHidden/>
              </w:rPr>
              <w:fldChar w:fldCharType="separate"/>
            </w:r>
            <w:r w:rsidR="006B3FE1">
              <w:rPr>
                <w:noProof/>
                <w:webHidden/>
              </w:rPr>
              <w:t>5</w:t>
            </w:r>
            <w:r w:rsidR="00D71DA0">
              <w:rPr>
                <w:noProof/>
                <w:webHidden/>
              </w:rPr>
              <w:fldChar w:fldCharType="end"/>
            </w:r>
          </w:hyperlink>
        </w:p>
        <w:p w14:paraId="3DF19A1B" w14:textId="76ACA3DB" w:rsidR="00D71DA0" w:rsidRDefault="00094557" w:rsidP="00E52234">
          <w:pPr>
            <w:pStyle w:val="TOC2"/>
            <w:tabs>
              <w:tab w:val="right" w:leader="dot" w:pos="9060"/>
            </w:tabs>
            <w:jc w:val="both"/>
            <w:rPr>
              <w:rFonts w:eastAsiaTheme="minorEastAsia"/>
              <w:noProof/>
            </w:rPr>
          </w:pPr>
          <w:hyperlink w:anchor="_Toc18425089" w:history="1">
            <w:r w:rsidR="00D71DA0" w:rsidRPr="00CC7EB7">
              <w:rPr>
                <w:rStyle w:val="Hyperlink"/>
                <w:noProof/>
              </w:rPr>
              <w:t>Facts about evictions and demolitions in territories under Israel’s control</w:t>
            </w:r>
            <w:r w:rsidR="00D71DA0">
              <w:rPr>
                <w:noProof/>
                <w:webHidden/>
              </w:rPr>
              <w:tab/>
            </w:r>
            <w:r w:rsidR="00D71DA0">
              <w:rPr>
                <w:noProof/>
                <w:webHidden/>
              </w:rPr>
              <w:fldChar w:fldCharType="begin"/>
            </w:r>
            <w:r w:rsidR="00D71DA0">
              <w:rPr>
                <w:noProof/>
                <w:webHidden/>
              </w:rPr>
              <w:instrText xml:space="preserve"> PAGEREF _Toc18425089 \h </w:instrText>
            </w:r>
            <w:r w:rsidR="00D71DA0">
              <w:rPr>
                <w:noProof/>
                <w:webHidden/>
              </w:rPr>
            </w:r>
            <w:r w:rsidR="00D71DA0">
              <w:rPr>
                <w:noProof/>
                <w:webHidden/>
              </w:rPr>
              <w:fldChar w:fldCharType="separate"/>
            </w:r>
            <w:r w:rsidR="006B3FE1">
              <w:rPr>
                <w:noProof/>
                <w:webHidden/>
              </w:rPr>
              <w:t>7</w:t>
            </w:r>
            <w:r w:rsidR="00D71DA0">
              <w:rPr>
                <w:noProof/>
                <w:webHidden/>
              </w:rPr>
              <w:fldChar w:fldCharType="end"/>
            </w:r>
          </w:hyperlink>
        </w:p>
        <w:p w14:paraId="78B1D6AC" w14:textId="02934263" w:rsidR="00D71DA0" w:rsidRDefault="00094557" w:rsidP="00E52234">
          <w:pPr>
            <w:pStyle w:val="TOC2"/>
            <w:tabs>
              <w:tab w:val="right" w:leader="dot" w:pos="9060"/>
            </w:tabs>
            <w:jc w:val="both"/>
            <w:rPr>
              <w:rFonts w:eastAsiaTheme="minorEastAsia"/>
              <w:noProof/>
            </w:rPr>
          </w:pPr>
          <w:hyperlink w:anchor="_Toc18425090" w:history="1">
            <w:r w:rsidR="00D71DA0" w:rsidRPr="00CC7EB7">
              <w:rPr>
                <w:rStyle w:val="Hyperlink"/>
                <w:noProof/>
              </w:rPr>
              <w:t>Committee on Economic, Social and Cultural Rights’ observations and issues raised</w:t>
            </w:r>
            <w:r w:rsidR="00D71DA0">
              <w:rPr>
                <w:noProof/>
                <w:webHidden/>
              </w:rPr>
              <w:tab/>
            </w:r>
            <w:r w:rsidR="00D71DA0">
              <w:rPr>
                <w:noProof/>
                <w:webHidden/>
              </w:rPr>
              <w:fldChar w:fldCharType="begin"/>
            </w:r>
            <w:r w:rsidR="00D71DA0">
              <w:rPr>
                <w:noProof/>
                <w:webHidden/>
              </w:rPr>
              <w:instrText xml:space="preserve"> PAGEREF _Toc18425090 \h </w:instrText>
            </w:r>
            <w:r w:rsidR="00D71DA0">
              <w:rPr>
                <w:noProof/>
                <w:webHidden/>
              </w:rPr>
            </w:r>
            <w:r w:rsidR="00D71DA0">
              <w:rPr>
                <w:noProof/>
                <w:webHidden/>
              </w:rPr>
              <w:fldChar w:fldCharType="separate"/>
            </w:r>
            <w:r w:rsidR="006B3FE1">
              <w:rPr>
                <w:noProof/>
                <w:webHidden/>
              </w:rPr>
              <w:t>8</w:t>
            </w:r>
            <w:r w:rsidR="00D71DA0">
              <w:rPr>
                <w:noProof/>
                <w:webHidden/>
              </w:rPr>
              <w:fldChar w:fldCharType="end"/>
            </w:r>
          </w:hyperlink>
        </w:p>
        <w:p w14:paraId="59856EA8" w14:textId="05BEF860" w:rsidR="00D71DA0" w:rsidRDefault="00094557" w:rsidP="00E52234">
          <w:pPr>
            <w:pStyle w:val="TOC2"/>
            <w:tabs>
              <w:tab w:val="right" w:leader="dot" w:pos="9060"/>
            </w:tabs>
            <w:jc w:val="both"/>
            <w:rPr>
              <w:rFonts w:eastAsiaTheme="minorEastAsia"/>
              <w:noProof/>
            </w:rPr>
          </w:pPr>
          <w:hyperlink w:anchor="_Toc18425091" w:history="1">
            <w:r w:rsidR="00D71DA0" w:rsidRPr="00CC7EB7">
              <w:rPr>
                <w:rStyle w:val="Hyperlink"/>
                <w:noProof/>
              </w:rPr>
              <w:t>State report and answers to the Committee’s list of issues</w:t>
            </w:r>
            <w:r w:rsidR="00D71DA0">
              <w:rPr>
                <w:noProof/>
                <w:webHidden/>
              </w:rPr>
              <w:tab/>
            </w:r>
            <w:r w:rsidR="00D71DA0">
              <w:rPr>
                <w:noProof/>
                <w:webHidden/>
              </w:rPr>
              <w:fldChar w:fldCharType="begin"/>
            </w:r>
            <w:r w:rsidR="00D71DA0">
              <w:rPr>
                <w:noProof/>
                <w:webHidden/>
              </w:rPr>
              <w:instrText xml:space="preserve"> PAGEREF _Toc18425091 \h </w:instrText>
            </w:r>
            <w:r w:rsidR="00D71DA0">
              <w:rPr>
                <w:noProof/>
                <w:webHidden/>
              </w:rPr>
            </w:r>
            <w:r w:rsidR="00D71DA0">
              <w:rPr>
                <w:noProof/>
                <w:webHidden/>
              </w:rPr>
              <w:fldChar w:fldCharType="separate"/>
            </w:r>
            <w:r w:rsidR="006B3FE1">
              <w:rPr>
                <w:noProof/>
                <w:webHidden/>
              </w:rPr>
              <w:t>8</w:t>
            </w:r>
            <w:r w:rsidR="00D71DA0">
              <w:rPr>
                <w:noProof/>
                <w:webHidden/>
              </w:rPr>
              <w:fldChar w:fldCharType="end"/>
            </w:r>
          </w:hyperlink>
        </w:p>
        <w:p w14:paraId="6EF30BB4" w14:textId="01F5FC18" w:rsidR="00D71DA0" w:rsidRDefault="00094557" w:rsidP="00E52234">
          <w:pPr>
            <w:pStyle w:val="TOC2"/>
            <w:tabs>
              <w:tab w:val="right" w:leader="dot" w:pos="9060"/>
            </w:tabs>
            <w:jc w:val="both"/>
            <w:rPr>
              <w:rFonts w:eastAsiaTheme="minorEastAsia"/>
              <w:noProof/>
            </w:rPr>
          </w:pPr>
          <w:hyperlink w:anchor="_Toc18425092" w:history="1">
            <w:r w:rsidR="00D71DA0" w:rsidRPr="00CC7EB7">
              <w:rPr>
                <w:rStyle w:val="Hyperlink"/>
                <w:noProof/>
              </w:rPr>
              <w:t>Observations and recommendations from GICJ</w:t>
            </w:r>
            <w:r w:rsidR="00D71DA0">
              <w:rPr>
                <w:noProof/>
                <w:webHidden/>
              </w:rPr>
              <w:tab/>
            </w:r>
            <w:r w:rsidR="00D71DA0">
              <w:rPr>
                <w:noProof/>
                <w:webHidden/>
              </w:rPr>
              <w:fldChar w:fldCharType="begin"/>
            </w:r>
            <w:r w:rsidR="00D71DA0">
              <w:rPr>
                <w:noProof/>
                <w:webHidden/>
              </w:rPr>
              <w:instrText xml:space="preserve"> PAGEREF _Toc18425092 \h </w:instrText>
            </w:r>
            <w:r w:rsidR="00D71DA0">
              <w:rPr>
                <w:noProof/>
                <w:webHidden/>
              </w:rPr>
            </w:r>
            <w:r w:rsidR="00D71DA0">
              <w:rPr>
                <w:noProof/>
                <w:webHidden/>
              </w:rPr>
              <w:fldChar w:fldCharType="separate"/>
            </w:r>
            <w:r w:rsidR="006B3FE1">
              <w:rPr>
                <w:noProof/>
                <w:webHidden/>
              </w:rPr>
              <w:t>8</w:t>
            </w:r>
            <w:r w:rsidR="00D71DA0">
              <w:rPr>
                <w:noProof/>
                <w:webHidden/>
              </w:rPr>
              <w:fldChar w:fldCharType="end"/>
            </w:r>
          </w:hyperlink>
        </w:p>
        <w:p w14:paraId="7D14EF13" w14:textId="051D8057" w:rsidR="00D71DA0" w:rsidRDefault="00094557" w:rsidP="00E52234">
          <w:pPr>
            <w:pStyle w:val="TOC1"/>
            <w:tabs>
              <w:tab w:val="right" w:leader="dot" w:pos="9060"/>
            </w:tabs>
            <w:jc w:val="both"/>
            <w:rPr>
              <w:rFonts w:eastAsiaTheme="minorEastAsia"/>
              <w:noProof/>
            </w:rPr>
          </w:pPr>
          <w:hyperlink w:anchor="_Toc18425093" w:history="1">
            <w:r w:rsidR="00D71DA0" w:rsidRPr="00CC7EB7">
              <w:rPr>
                <w:rStyle w:val="Hyperlink"/>
                <w:noProof/>
              </w:rPr>
              <w:t>Other observations and recommendations to the Committee</w:t>
            </w:r>
            <w:r w:rsidR="00D71DA0">
              <w:rPr>
                <w:noProof/>
                <w:webHidden/>
              </w:rPr>
              <w:tab/>
            </w:r>
            <w:r w:rsidR="00D71DA0">
              <w:rPr>
                <w:noProof/>
                <w:webHidden/>
              </w:rPr>
              <w:fldChar w:fldCharType="begin"/>
            </w:r>
            <w:r w:rsidR="00D71DA0">
              <w:rPr>
                <w:noProof/>
                <w:webHidden/>
              </w:rPr>
              <w:instrText xml:space="preserve"> PAGEREF _Toc18425093 \h </w:instrText>
            </w:r>
            <w:r w:rsidR="00D71DA0">
              <w:rPr>
                <w:noProof/>
                <w:webHidden/>
              </w:rPr>
            </w:r>
            <w:r w:rsidR="00D71DA0">
              <w:rPr>
                <w:noProof/>
                <w:webHidden/>
              </w:rPr>
              <w:fldChar w:fldCharType="separate"/>
            </w:r>
            <w:r w:rsidR="006B3FE1">
              <w:rPr>
                <w:noProof/>
                <w:webHidden/>
              </w:rPr>
              <w:t>9</w:t>
            </w:r>
            <w:r w:rsidR="00D71DA0">
              <w:rPr>
                <w:noProof/>
                <w:webHidden/>
              </w:rPr>
              <w:fldChar w:fldCharType="end"/>
            </w:r>
          </w:hyperlink>
        </w:p>
        <w:p w14:paraId="2724A151" w14:textId="132F28A3" w:rsidR="00D71DA0" w:rsidRDefault="00094557" w:rsidP="00E52234">
          <w:pPr>
            <w:pStyle w:val="TOC2"/>
            <w:tabs>
              <w:tab w:val="right" w:leader="dot" w:pos="9060"/>
            </w:tabs>
            <w:jc w:val="both"/>
            <w:rPr>
              <w:rFonts w:eastAsiaTheme="minorEastAsia"/>
              <w:noProof/>
            </w:rPr>
          </w:pPr>
          <w:hyperlink w:anchor="_Toc18425094" w:history="1">
            <w:r w:rsidR="00D71DA0" w:rsidRPr="00CC7EB7">
              <w:rPr>
                <w:rStyle w:val="Hyperlink"/>
                <w:noProof/>
              </w:rPr>
              <w:t>Article 1 Right to self-determination</w:t>
            </w:r>
            <w:r w:rsidR="00D71DA0">
              <w:rPr>
                <w:noProof/>
                <w:webHidden/>
              </w:rPr>
              <w:tab/>
            </w:r>
            <w:r w:rsidR="00D71DA0">
              <w:rPr>
                <w:noProof/>
                <w:webHidden/>
              </w:rPr>
              <w:fldChar w:fldCharType="begin"/>
            </w:r>
            <w:r w:rsidR="00D71DA0">
              <w:rPr>
                <w:noProof/>
                <w:webHidden/>
              </w:rPr>
              <w:instrText xml:space="preserve"> PAGEREF _Toc18425094 \h </w:instrText>
            </w:r>
            <w:r w:rsidR="00D71DA0">
              <w:rPr>
                <w:noProof/>
                <w:webHidden/>
              </w:rPr>
            </w:r>
            <w:r w:rsidR="00D71DA0">
              <w:rPr>
                <w:noProof/>
                <w:webHidden/>
              </w:rPr>
              <w:fldChar w:fldCharType="separate"/>
            </w:r>
            <w:r w:rsidR="006B3FE1">
              <w:rPr>
                <w:noProof/>
                <w:webHidden/>
              </w:rPr>
              <w:t>9</w:t>
            </w:r>
            <w:r w:rsidR="00D71DA0">
              <w:rPr>
                <w:noProof/>
                <w:webHidden/>
              </w:rPr>
              <w:fldChar w:fldCharType="end"/>
            </w:r>
          </w:hyperlink>
        </w:p>
        <w:p w14:paraId="434D6C2E" w14:textId="34D82A1E" w:rsidR="00D71DA0" w:rsidRDefault="00094557" w:rsidP="00E52234">
          <w:pPr>
            <w:pStyle w:val="TOC2"/>
            <w:tabs>
              <w:tab w:val="right" w:leader="dot" w:pos="9060"/>
            </w:tabs>
            <w:jc w:val="both"/>
            <w:rPr>
              <w:rFonts w:eastAsiaTheme="minorEastAsia"/>
              <w:noProof/>
            </w:rPr>
          </w:pPr>
          <w:hyperlink w:anchor="_Toc18425095" w:history="1">
            <w:r w:rsidR="00D71DA0" w:rsidRPr="00CC7EB7">
              <w:rPr>
                <w:rStyle w:val="Hyperlink"/>
                <w:noProof/>
              </w:rPr>
              <w:t>Article 2(2) Non-discrimination</w:t>
            </w:r>
            <w:r w:rsidR="00D71DA0">
              <w:rPr>
                <w:noProof/>
                <w:webHidden/>
              </w:rPr>
              <w:tab/>
            </w:r>
            <w:r w:rsidR="00D71DA0">
              <w:rPr>
                <w:noProof/>
                <w:webHidden/>
              </w:rPr>
              <w:fldChar w:fldCharType="begin"/>
            </w:r>
            <w:r w:rsidR="00D71DA0">
              <w:rPr>
                <w:noProof/>
                <w:webHidden/>
              </w:rPr>
              <w:instrText xml:space="preserve"> PAGEREF _Toc18425095 \h </w:instrText>
            </w:r>
            <w:r w:rsidR="00D71DA0">
              <w:rPr>
                <w:noProof/>
                <w:webHidden/>
              </w:rPr>
            </w:r>
            <w:r w:rsidR="00D71DA0">
              <w:rPr>
                <w:noProof/>
                <w:webHidden/>
              </w:rPr>
              <w:fldChar w:fldCharType="separate"/>
            </w:r>
            <w:r w:rsidR="006B3FE1">
              <w:rPr>
                <w:noProof/>
                <w:webHidden/>
              </w:rPr>
              <w:t>9</w:t>
            </w:r>
            <w:r w:rsidR="00D71DA0">
              <w:rPr>
                <w:noProof/>
                <w:webHidden/>
              </w:rPr>
              <w:fldChar w:fldCharType="end"/>
            </w:r>
          </w:hyperlink>
        </w:p>
        <w:p w14:paraId="0C3BECB1" w14:textId="6D4CC152" w:rsidR="00D71DA0" w:rsidRDefault="00094557" w:rsidP="00E52234">
          <w:pPr>
            <w:pStyle w:val="TOC2"/>
            <w:tabs>
              <w:tab w:val="right" w:leader="dot" w:pos="9060"/>
            </w:tabs>
            <w:jc w:val="both"/>
            <w:rPr>
              <w:rFonts w:eastAsiaTheme="minorEastAsia"/>
              <w:noProof/>
            </w:rPr>
          </w:pPr>
          <w:hyperlink w:anchor="_Toc18425096" w:history="1">
            <w:r w:rsidR="00D71DA0" w:rsidRPr="00CC7EB7">
              <w:rPr>
                <w:rStyle w:val="Hyperlink"/>
                <w:noProof/>
              </w:rPr>
              <w:t>Article 12 Right to Physical and mental health</w:t>
            </w:r>
            <w:r w:rsidR="00D71DA0">
              <w:rPr>
                <w:noProof/>
                <w:webHidden/>
              </w:rPr>
              <w:tab/>
            </w:r>
            <w:r w:rsidR="00D71DA0">
              <w:rPr>
                <w:noProof/>
                <w:webHidden/>
              </w:rPr>
              <w:fldChar w:fldCharType="begin"/>
            </w:r>
            <w:r w:rsidR="00D71DA0">
              <w:rPr>
                <w:noProof/>
                <w:webHidden/>
              </w:rPr>
              <w:instrText xml:space="preserve"> PAGEREF _Toc18425096 \h </w:instrText>
            </w:r>
            <w:r w:rsidR="00D71DA0">
              <w:rPr>
                <w:noProof/>
                <w:webHidden/>
              </w:rPr>
            </w:r>
            <w:r w:rsidR="00D71DA0">
              <w:rPr>
                <w:noProof/>
                <w:webHidden/>
              </w:rPr>
              <w:fldChar w:fldCharType="separate"/>
            </w:r>
            <w:r w:rsidR="006B3FE1">
              <w:rPr>
                <w:noProof/>
                <w:webHidden/>
              </w:rPr>
              <w:t>10</w:t>
            </w:r>
            <w:r w:rsidR="00D71DA0">
              <w:rPr>
                <w:noProof/>
                <w:webHidden/>
              </w:rPr>
              <w:fldChar w:fldCharType="end"/>
            </w:r>
          </w:hyperlink>
        </w:p>
        <w:p w14:paraId="71F3FCD1" w14:textId="2FA8480F" w:rsidR="00D71DA0" w:rsidRDefault="00094557" w:rsidP="00E52234">
          <w:pPr>
            <w:pStyle w:val="TOC2"/>
            <w:tabs>
              <w:tab w:val="right" w:leader="dot" w:pos="9060"/>
            </w:tabs>
            <w:jc w:val="both"/>
            <w:rPr>
              <w:rFonts w:eastAsiaTheme="minorEastAsia"/>
              <w:noProof/>
            </w:rPr>
          </w:pPr>
          <w:hyperlink w:anchor="_Toc18425097" w:history="1">
            <w:r w:rsidR="00D71DA0" w:rsidRPr="00CC7EB7">
              <w:rPr>
                <w:rStyle w:val="Hyperlink"/>
                <w:noProof/>
              </w:rPr>
              <w:t>Article 13 Right to education</w:t>
            </w:r>
            <w:r w:rsidR="00D71DA0">
              <w:rPr>
                <w:noProof/>
                <w:webHidden/>
              </w:rPr>
              <w:tab/>
            </w:r>
            <w:r w:rsidR="00D71DA0">
              <w:rPr>
                <w:noProof/>
                <w:webHidden/>
              </w:rPr>
              <w:fldChar w:fldCharType="begin"/>
            </w:r>
            <w:r w:rsidR="00D71DA0">
              <w:rPr>
                <w:noProof/>
                <w:webHidden/>
              </w:rPr>
              <w:instrText xml:space="preserve"> PAGEREF _Toc18425097 \h </w:instrText>
            </w:r>
            <w:r w:rsidR="00D71DA0">
              <w:rPr>
                <w:noProof/>
                <w:webHidden/>
              </w:rPr>
            </w:r>
            <w:r w:rsidR="00D71DA0">
              <w:rPr>
                <w:noProof/>
                <w:webHidden/>
              </w:rPr>
              <w:fldChar w:fldCharType="separate"/>
            </w:r>
            <w:r w:rsidR="006B3FE1">
              <w:rPr>
                <w:noProof/>
                <w:webHidden/>
              </w:rPr>
              <w:t>10</w:t>
            </w:r>
            <w:r w:rsidR="00D71DA0">
              <w:rPr>
                <w:noProof/>
                <w:webHidden/>
              </w:rPr>
              <w:fldChar w:fldCharType="end"/>
            </w:r>
          </w:hyperlink>
        </w:p>
        <w:p w14:paraId="3836D8CF" w14:textId="0A53CAEF" w:rsidR="00D71DA0" w:rsidRDefault="00094557" w:rsidP="00E52234">
          <w:pPr>
            <w:pStyle w:val="TOC2"/>
            <w:tabs>
              <w:tab w:val="right" w:leader="dot" w:pos="9060"/>
            </w:tabs>
            <w:jc w:val="both"/>
            <w:rPr>
              <w:rFonts w:eastAsiaTheme="minorEastAsia"/>
              <w:noProof/>
            </w:rPr>
          </w:pPr>
          <w:hyperlink w:anchor="_Toc18425098" w:history="1">
            <w:r w:rsidR="00D71DA0" w:rsidRPr="00CC7EB7">
              <w:rPr>
                <w:rStyle w:val="Hyperlink"/>
                <w:noProof/>
              </w:rPr>
              <w:t>Article 15 Cultural Rights</w:t>
            </w:r>
            <w:r w:rsidR="00D71DA0">
              <w:rPr>
                <w:noProof/>
                <w:webHidden/>
              </w:rPr>
              <w:tab/>
            </w:r>
            <w:r w:rsidR="00D71DA0">
              <w:rPr>
                <w:noProof/>
                <w:webHidden/>
              </w:rPr>
              <w:fldChar w:fldCharType="begin"/>
            </w:r>
            <w:r w:rsidR="00D71DA0">
              <w:rPr>
                <w:noProof/>
                <w:webHidden/>
              </w:rPr>
              <w:instrText xml:space="preserve"> PAGEREF _Toc18425098 \h </w:instrText>
            </w:r>
            <w:r w:rsidR="00D71DA0">
              <w:rPr>
                <w:noProof/>
                <w:webHidden/>
              </w:rPr>
            </w:r>
            <w:r w:rsidR="00D71DA0">
              <w:rPr>
                <w:noProof/>
                <w:webHidden/>
              </w:rPr>
              <w:fldChar w:fldCharType="separate"/>
            </w:r>
            <w:r w:rsidR="006B3FE1">
              <w:rPr>
                <w:noProof/>
                <w:webHidden/>
              </w:rPr>
              <w:t>10</w:t>
            </w:r>
            <w:r w:rsidR="00D71DA0">
              <w:rPr>
                <w:noProof/>
                <w:webHidden/>
              </w:rPr>
              <w:fldChar w:fldCharType="end"/>
            </w:r>
          </w:hyperlink>
        </w:p>
        <w:p w14:paraId="55E61858" w14:textId="1E914E1D" w:rsidR="00D71DA0" w:rsidRDefault="00D71DA0" w:rsidP="00E52234">
          <w:pPr>
            <w:jc w:val="both"/>
          </w:pPr>
          <w:r>
            <w:rPr>
              <w:b/>
              <w:bCs/>
              <w:noProof/>
            </w:rPr>
            <w:fldChar w:fldCharType="end"/>
          </w:r>
        </w:p>
      </w:sdtContent>
    </w:sdt>
    <w:p w14:paraId="4A0D9A02" w14:textId="77777777" w:rsidR="00D71DA0" w:rsidRDefault="00D71DA0" w:rsidP="00E52234">
      <w:pPr>
        <w:jc w:val="both"/>
        <w:rPr>
          <w:rFonts w:eastAsiaTheme="majorEastAsia" w:cstheme="majorBidi"/>
          <w:b/>
          <w:color w:val="7B881D" w:themeColor="accent1" w:themeShade="BF"/>
          <w:sz w:val="32"/>
          <w:szCs w:val="32"/>
        </w:rPr>
      </w:pPr>
      <w:r>
        <w:br w:type="page"/>
      </w:r>
    </w:p>
    <w:p w14:paraId="62232462" w14:textId="53B46182" w:rsidR="004C7483" w:rsidRPr="00E4781C" w:rsidRDefault="004C7483" w:rsidP="00E52234">
      <w:pPr>
        <w:pStyle w:val="Heading1"/>
        <w:jc w:val="both"/>
      </w:pPr>
      <w:bookmarkStart w:id="2" w:name="_Toc18425086"/>
      <w:r w:rsidRPr="00E4781C">
        <w:t>Introduction</w:t>
      </w:r>
      <w:bookmarkEnd w:id="2"/>
      <w:bookmarkEnd w:id="1"/>
    </w:p>
    <w:p w14:paraId="7937AFDF"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Geneva International Centre for Justice (GICJ</w:t>
      </w:r>
      <w:r>
        <w:rPr>
          <w:rFonts w:asciiTheme="majorBidi" w:hAnsiTheme="majorBidi" w:cstheme="majorBidi"/>
          <w:sz w:val="24"/>
          <w:szCs w:val="24"/>
        </w:rPr>
        <w:t>)</w:t>
      </w:r>
      <w:r w:rsidRPr="00E4781C">
        <w:rPr>
          <w:rFonts w:asciiTheme="majorBidi" w:hAnsiTheme="majorBidi" w:cstheme="majorBidi"/>
          <w:sz w:val="24"/>
          <w:szCs w:val="24"/>
        </w:rPr>
        <w:t xml:space="preserve"> is a Geneva-based, non-profit and independent organisation, dedicated to the protection and promotion of human rights, and to bringing awareness on human rights violations throughout the world.</w:t>
      </w:r>
    </w:p>
    <w:p w14:paraId="6862E9E8"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GICJ is pleased to present this report in response to the Committee on Economic, Social and </w:t>
      </w:r>
      <w:r>
        <w:rPr>
          <w:rFonts w:asciiTheme="majorBidi" w:hAnsiTheme="majorBidi" w:cstheme="majorBidi"/>
          <w:sz w:val="24"/>
          <w:szCs w:val="24"/>
        </w:rPr>
        <w:t>C</w:t>
      </w:r>
      <w:r w:rsidRPr="00E4781C">
        <w:rPr>
          <w:rFonts w:asciiTheme="majorBidi" w:hAnsiTheme="majorBidi" w:cstheme="majorBidi"/>
          <w:sz w:val="24"/>
          <w:szCs w:val="24"/>
        </w:rPr>
        <w:t>ultural Rights’ (CESCR or the Committee) call for parallel reports on the implementation and respect of the International Covenant on Economic, Social and Cultural Rights (ICESCR or the Covenant) by the State of Israel, for the review of its Fourth Periodic Report, that will take place during the Committee’s 66</w:t>
      </w:r>
      <w:r w:rsidRPr="00E4781C">
        <w:rPr>
          <w:rFonts w:asciiTheme="majorBidi" w:hAnsiTheme="majorBidi" w:cstheme="majorBidi"/>
          <w:sz w:val="24"/>
          <w:szCs w:val="24"/>
          <w:vertAlign w:val="superscript"/>
        </w:rPr>
        <w:t>th</w:t>
      </w:r>
      <w:r w:rsidRPr="00E4781C">
        <w:rPr>
          <w:rFonts w:asciiTheme="majorBidi" w:hAnsiTheme="majorBidi" w:cstheme="majorBidi"/>
          <w:sz w:val="24"/>
          <w:szCs w:val="24"/>
        </w:rPr>
        <w:t xml:space="preserve"> session in Geneva, Switzerland, from 30 September to 18 October 2019.</w:t>
      </w:r>
    </w:p>
    <w:p w14:paraId="35B458B3"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note with grave concern that the State of Israel maintains its position </w:t>
      </w:r>
      <w:r>
        <w:rPr>
          <w:rFonts w:asciiTheme="majorBidi" w:hAnsiTheme="majorBidi" w:cstheme="majorBidi"/>
          <w:sz w:val="24"/>
          <w:szCs w:val="24"/>
        </w:rPr>
        <w:t>that</w:t>
      </w:r>
      <w:r w:rsidRPr="00E4781C">
        <w:rPr>
          <w:rFonts w:asciiTheme="majorBidi" w:hAnsiTheme="majorBidi" w:cstheme="majorBidi"/>
          <w:sz w:val="24"/>
          <w:szCs w:val="24"/>
        </w:rPr>
        <w:t xml:space="preserve"> the Covenant is not applicable in the West Bank but </w:t>
      </w:r>
      <w:r>
        <w:rPr>
          <w:rFonts w:asciiTheme="majorBidi" w:hAnsiTheme="majorBidi" w:cstheme="majorBidi"/>
          <w:sz w:val="24"/>
          <w:szCs w:val="24"/>
        </w:rPr>
        <w:t xml:space="preserve">is </w:t>
      </w:r>
      <w:r w:rsidRPr="00E4781C">
        <w:rPr>
          <w:rFonts w:asciiTheme="majorBidi" w:hAnsiTheme="majorBidi" w:cstheme="majorBidi"/>
          <w:sz w:val="24"/>
          <w:szCs w:val="24"/>
        </w:rPr>
        <w:t xml:space="preserve">applicable in </w:t>
      </w:r>
      <w:r>
        <w:rPr>
          <w:rFonts w:asciiTheme="majorBidi" w:hAnsiTheme="majorBidi" w:cstheme="majorBidi"/>
          <w:sz w:val="24"/>
          <w:szCs w:val="24"/>
        </w:rPr>
        <w:t xml:space="preserve">the whole of </w:t>
      </w:r>
      <w:r w:rsidRPr="00E4781C">
        <w:rPr>
          <w:rFonts w:asciiTheme="majorBidi" w:hAnsiTheme="majorBidi" w:cstheme="majorBidi"/>
          <w:sz w:val="24"/>
          <w:szCs w:val="24"/>
        </w:rPr>
        <w:t>Jerusalem</w:t>
      </w:r>
      <w:r>
        <w:rPr>
          <w:rFonts w:asciiTheme="majorBidi" w:hAnsiTheme="majorBidi" w:cstheme="majorBidi"/>
          <w:sz w:val="24"/>
          <w:szCs w:val="24"/>
        </w:rPr>
        <w:t>.</w:t>
      </w:r>
      <w:r w:rsidRPr="00E4781C">
        <w:rPr>
          <w:rFonts w:asciiTheme="majorBidi" w:hAnsiTheme="majorBidi" w:cstheme="majorBidi"/>
          <w:sz w:val="24"/>
          <w:szCs w:val="24"/>
        </w:rPr>
        <w:t xml:space="preserve"> </w:t>
      </w:r>
      <w:r>
        <w:rPr>
          <w:rFonts w:asciiTheme="majorBidi" w:hAnsiTheme="majorBidi" w:cstheme="majorBidi"/>
          <w:sz w:val="24"/>
          <w:szCs w:val="24"/>
        </w:rPr>
        <w:t xml:space="preserve">We </w:t>
      </w:r>
      <w:r w:rsidRPr="00E4781C">
        <w:rPr>
          <w:rFonts w:asciiTheme="majorBidi" w:hAnsiTheme="majorBidi" w:cstheme="majorBidi"/>
          <w:sz w:val="24"/>
          <w:szCs w:val="24"/>
        </w:rPr>
        <w:t xml:space="preserve">would </w:t>
      </w:r>
      <w:r>
        <w:rPr>
          <w:rFonts w:asciiTheme="majorBidi" w:hAnsiTheme="majorBidi" w:cstheme="majorBidi"/>
          <w:sz w:val="24"/>
          <w:szCs w:val="24"/>
        </w:rPr>
        <w:t xml:space="preserve">point out </w:t>
      </w:r>
      <w:r w:rsidRPr="00E4781C">
        <w:rPr>
          <w:rFonts w:asciiTheme="majorBidi" w:hAnsiTheme="majorBidi" w:cstheme="majorBidi"/>
          <w:sz w:val="24"/>
          <w:szCs w:val="24"/>
        </w:rPr>
        <w:t xml:space="preserve">that under international law, an occupying power must implement and respect its legal obligations in all the areas that are under its supervision. The State cannot choose to apply it to certain areas and not others – </w:t>
      </w:r>
      <w:r>
        <w:rPr>
          <w:rFonts w:asciiTheme="majorBidi" w:hAnsiTheme="majorBidi" w:cstheme="majorBidi"/>
          <w:sz w:val="24"/>
          <w:szCs w:val="24"/>
        </w:rPr>
        <w:t>in this case</w:t>
      </w:r>
      <w:r w:rsidRPr="00E4781C">
        <w:rPr>
          <w:rFonts w:asciiTheme="majorBidi" w:hAnsiTheme="majorBidi" w:cstheme="majorBidi"/>
          <w:sz w:val="24"/>
          <w:szCs w:val="24"/>
        </w:rPr>
        <w:t>, East Jerusalem and the West Bank</w:t>
      </w:r>
      <w:r>
        <w:rPr>
          <w:rFonts w:asciiTheme="majorBidi" w:hAnsiTheme="majorBidi" w:cstheme="majorBidi"/>
          <w:sz w:val="24"/>
          <w:szCs w:val="24"/>
        </w:rPr>
        <w:t xml:space="preserve"> respectively</w:t>
      </w:r>
      <w:r w:rsidRPr="00E4781C">
        <w:rPr>
          <w:rFonts w:asciiTheme="majorBidi" w:hAnsiTheme="majorBidi" w:cstheme="majorBidi"/>
          <w:sz w:val="24"/>
          <w:szCs w:val="24"/>
        </w:rPr>
        <w:t>.</w:t>
      </w:r>
    </w:p>
    <w:p w14:paraId="62BBA8B0"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regret that the State of Israel uses this pretext to avoid answering the Committee’s questions regarding issues in the Occupied Palestinian Territories (OPT).</w:t>
      </w:r>
    </w:p>
    <w:p w14:paraId="544343B9" w14:textId="77777777" w:rsidR="004C7483"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further deplore the lack of involvement of the State of Israel in its relations with the Committee, both through the above-mentioned issue and because of the one-and-a-half </w:t>
      </w:r>
      <w:r>
        <w:rPr>
          <w:rFonts w:asciiTheme="majorBidi" w:hAnsiTheme="majorBidi" w:cstheme="majorBidi"/>
          <w:sz w:val="24"/>
          <w:szCs w:val="24"/>
        </w:rPr>
        <w:t xml:space="preserve">years </w:t>
      </w:r>
      <w:r w:rsidRPr="00E4781C">
        <w:rPr>
          <w:rFonts w:asciiTheme="majorBidi" w:hAnsiTheme="majorBidi" w:cstheme="majorBidi"/>
          <w:sz w:val="24"/>
          <w:szCs w:val="24"/>
        </w:rPr>
        <w:t>delay in submitting its Fourth report.</w:t>
      </w:r>
    </w:p>
    <w:p w14:paraId="3389FD9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Our</w:t>
      </w:r>
      <w:r w:rsidRPr="00E4781C">
        <w:rPr>
          <w:rFonts w:asciiTheme="majorBidi" w:hAnsiTheme="majorBidi" w:cstheme="majorBidi"/>
          <w:sz w:val="24"/>
          <w:szCs w:val="24"/>
        </w:rPr>
        <w:t xml:space="preserve"> report will focus on </w:t>
      </w:r>
      <w:r>
        <w:rPr>
          <w:rFonts w:asciiTheme="majorBidi" w:hAnsiTheme="majorBidi" w:cstheme="majorBidi"/>
          <w:sz w:val="24"/>
          <w:szCs w:val="24"/>
        </w:rPr>
        <w:t>obligations under</w:t>
      </w:r>
      <w:r w:rsidRPr="00E4781C">
        <w:rPr>
          <w:rFonts w:asciiTheme="majorBidi" w:hAnsiTheme="majorBidi" w:cstheme="majorBidi"/>
          <w:sz w:val="24"/>
          <w:szCs w:val="24"/>
        </w:rPr>
        <w:t xml:space="preserve"> article 11 of the Covenant on the right to adequate housing.</w:t>
      </w:r>
    </w:p>
    <w:p w14:paraId="4FD2DE47"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will, at the end of this report, make recommendations on other relevant issues that have not been developed here.</w:t>
      </w:r>
    </w:p>
    <w:p w14:paraId="67A621C2" w14:textId="77777777" w:rsidR="004C7483" w:rsidRPr="00E4781C" w:rsidRDefault="004C7483" w:rsidP="00E52234">
      <w:pPr>
        <w:spacing w:after="120" w:line="240" w:lineRule="auto"/>
        <w:jc w:val="both"/>
        <w:rPr>
          <w:rFonts w:asciiTheme="majorBidi" w:hAnsiTheme="majorBidi" w:cstheme="majorBidi"/>
          <w:sz w:val="24"/>
          <w:szCs w:val="24"/>
        </w:rPr>
      </w:pPr>
    </w:p>
    <w:p w14:paraId="6B69F2C1" w14:textId="77777777" w:rsidR="004C7483" w:rsidRPr="00E4781C" w:rsidRDefault="004C7483" w:rsidP="00E52234">
      <w:pPr>
        <w:pStyle w:val="Heading1"/>
        <w:jc w:val="both"/>
      </w:pPr>
      <w:bookmarkStart w:id="3" w:name="_Toc18423923"/>
      <w:bookmarkStart w:id="4" w:name="_Toc18425087"/>
      <w:r w:rsidRPr="00E4781C">
        <w:t>Art. 11 Right to adequate standards of living</w:t>
      </w:r>
      <w:bookmarkEnd w:id="3"/>
      <w:bookmarkEnd w:id="4"/>
    </w:p>
    <w:p w14:paraId="5A92C9CD"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bookmarkStart w:id="5" w:name="_Hlk16067099"/>
      <w:r w:rsidRPr="00E4781C">
        <w:rPr>
          <w:rFonts w:asciiTheme="majorBidi" w:hAnsiTheme="majorBidi" w:cstheme="majorBidi"/>
          <w:sz w:val="24"/>
          <w:szCs w:val="24"/>
        </w:rPr>
        <w:t>Through the right to</w:t>
      </w:r>
      <w:r>
        <w:rPr>
          <w:rFonts w:asciiTheme="majorBidi" w:hAnsiTheme="majorBidi" w:cstheme="majorBidi"/>
          <w:sz w:val="24"/>
          <w:szCs w:val="24"/>
        </w:rPr>
        <w:t xml:space="preserve"> an</w:t>
      </w:r>
      <w:r w:rsidRPr="00E4781C">
        <w:rPr>
          <w:rFonts w:asciiTheme="majorBidi" w:hAnsiTheme="majorBidi" w:cstheme="majorBidi"/>
          <w:sz w:val="24"/>
          <w:szCs w:val="24"/>
        </w:rPr>
        <w:t xml:space="preserve"> adequate standard of living, the Covenant recognises a right to adequate housing and to “the continuous improvement of living conditions”. The ongoing demolitions, denial</w:t>
      </w:r>
      <w:r>
        <w:rPr>
          <w:rFonts w:asciiTheme="majorBidi" w:hAnsiTheme="majorBidi" w:cstheme="majorBidi"/>
          <w:sz w:val="24"/>
          <w:szCs w:val="24"/>
        </w:rPr>
        <w:t>s</w:t>
      </w:r>
      <w:r w:rsidRPr="00E4781C">
        <w:rPr>
          <w:rFonts w:asciiTheme="majorBidi" w:hAnsiTheme="majorBidi" w:cstheme="majorBidi"/>
          <w:sz w:val="24"/>
          <w:szCs w:val="24"/>
        </w:rPr>
        <w:t xml:space="preserve"> of building permits and other actions undertaken by Israeli forces and authorities undermine the</w:t>
      </w:r>
      <w:r>
        <w:rPr>
          <w:rFonts w:asciiTheme="majorBidi" w:hAnsiTheme="majorBidi" w:cstheme="majorBidi"/>
          <w:sz w:val="24"/>
          <w:szCs w:val="24"/>
        </w:rPr>
        <w:t>se</w:t>
      </w:r>
      <w:r w:rsidRPr="00E4781C">
        <w:rPr>
          <w:rFonts w:asciiTheme="majorBidi" w:hAnsiTheme="majorBidi" w:cstheme="majorBidi"/>
          <w:sz w:val="24"/>
          <w:szCs w:val="24"/>
        </w:rPr>
        <w:t xml:space="preserve"> rights of </w:t>
      </w:r>
      <w:r>
        <w:rPr>
          <w:rFonts w:asciiTheme="majorBidi" w:hAnsiTheme="majorBidi" w:cstheme="majorBidi"/>
          <w:sz w:val="24"/>
          <w:szCs w:val="24"/>
        </w:rPr>
        <w:t xml:space="preserve">the Palestinian </w:t>
      </w:r>
      <w:r w:rsidRPr="00E4781C">
        <w:rPr>
          <w:rFonts w:asciiTheme="majorBidi" w:hAnsiTheme="majorBidi" w:cstheme="majorBidi"/>
          <w:sz w:val="24"/>
          <w:szCs w:val="24"/>
        </w:rPr>
        <w:t>people living in the OPT.</w:t>
      </w:r>
    </w:p>
    <w:p w14:paraId="66D88BBB" w14:textId="77777777" w:rsidR="004C7483" w:rsidRPr="00E4781C" w:rsidRDefault="004C7483" w:rsidP="00E52234">
      <w:pPr>
        <w:spacing w:after="120" w:line="240" w:lineRule="auto"/>
        <w:jc w:val="both"/>
        <w:rPr>
          <w:rFonts w:asciiTheme="majorBidi" w:hAnsiTheme="majorBidi" w:cstheme="majorBidi"/>
          <w:sz w:val="24"/>
          <w:szCs w:val="24"/>
        </w:rPr>
      </w:pPr>
    </w:p>
    <w:p w14:paraId="1C756153" w14:textId="77777777" w:rsidR="004C7483" w:rsidRPr="00E4781C" w:rsidRDefault="004C7483" w:rsidP="00E52234">
      <w:pPr>
        <w:pStyle w:val="Heading2"/>
        <w:jc w:val="both"/>
      </w:pPr>
      <w:bookmarkStart w:id="6" w:name="_Toc18423924"/>
      <w:bookmarkStart w:id="7" w:name="_Toc18425088"/>
      <w:r w:rsidRPr="00E4781C">
        <w:t>Forced evictions under international law and Israeli law</w:t>
      </w:r>
      <w:bookmarkEnd w:id="6"/>
      <w:bookmarkEnd w:id="7"/>
    </w:p>
    <w:p w14:paraId="5E235F34"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Forced eviction is defined by the Committee in its General Comment No. 7 (1997) as “the permanent or temporary removal against their will of individuals, families and/or communities from the homes and/or land which they occupy, without the provision of, and access to, appropriate forms of legal or other protection”.</w:t>
      </w:r>
    </w:p>
    <w:p w14:paraId="0E08349F"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The UN repeatedly </w:t>
      </w:r>
      <w:r>
        <w:rPr>
          <w:rFonts w:asciiTheme="majorBidi" w:hAnsiTheme="majorBidi" w:cstheme="majorBidi"/>
          <w:sz w:val="24"/>
          <w:szCs w:val="24"/>
        </w:rPr>
        <w:t>stated</w:t>
      </w:r>
      <w:r w:rsidRPr="00E4781C">
        <w:rPr>
          <w:rFonts w:asciiTheme="majorBidi" w:hAnsiTheme="majorBidi" w:cstheme="majorBidi"/>
          <w:sz w:val="24"/>
          <w:szCs w:val="24"/>
        </w:rPr>
        <w:t xml:space="preserve"> that forced evictions constitute gross human rights violations and may amount to forced displacement, which is condemned under international humanitarian law.</w:t>
      </w:r>
    </w:p>
    <w:p w14:paraId="6BD76C5C"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Moreover, forced evictions lead to other human rights violations, including </w:t>
      </w:r>
      <w:r>
        <w:rPr>
          <w:rFonts w:asciiTheme="majorBidi" w:hAnsiTheme="majorBidi" w:cstheme="majorBidi"/>
          <w:sz w:val="24"/>
          <w:szCs w:val="24"/>
        </w:rPr>
        <w:t>forced</w:t>
      </w:r>
      <w:r w:rsidRPr="00E4781C">
        <w:rPr>
          <w:rFonts w:asciiTheme="majorBidi" w:hAnsiTheme="majorBidi" w:cstheme="majorBidi"/>
          <w:sz w:val="24"/>
          <w:szCs w:val="24"/>
        </w:rPr>
        <w:t xml:space="preserve"> displacement and ethnic cleansing, and intensify inequalities</w:t>
      </w:r>
      <w:r>
        <w:rPr>
          <w:rFonts w:asciiTheme="majorBidi" w:hAnsiTheme="majorBidi" w:cstheme="majorBidi"/>
          <w:sz w:val="24"/>
          <w:szCs w:val="24"/>
        </w:rPr>
        <w:t xml:space="preserve"> between Palestinian people and settlers</w:t>
      </w:r>
      <w:r w:rsidRPr="00E4781C">
        <w:rPr>
          <w:rFonts w:asciiTheme="majorBidi" w:hAnsiTheme="majorBidi" w:cstheme="majorBidi"/>
          <w:sz w:val="24"/>
          <w:szCs w:val="24"/>
        </w:rPr>
        <w:t xml:space="preserve">. </w:t>
      </w:r>
    </w:p>
    <w:p w14:paraId="4264F2E4"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The 2007 Basic </w:t>
      </w:r>
      <w:r>
        <w:rPr>
          <w:rFonts w:asciiTheme="majorBidi" w:hAnsiTheme="majorBidi" w:cstheme="majorBidi"/>
          <w:sz w:val="24"/>
          <w:szCs w:val="24"/>
        </w:rPr>
        <w:t>P</w:t>
      </w:r>
      <w:r w:rsidRPr="00E4781C">
        <w:rPr>
          <w:rFonts w:asciiTheme="majorBidi" w:hAnsiTheme="majorBidi" w:cstheme="majorBidi"/>
          <w:sz w:val="24"/>
          <w:szCs w:val="24"/>
        </w:rPr>
        <w:t xml:space="preserve">rinciples and </w:t>
      </w:r>
      <w:r>
        <w:rPr>
          <w:rFonts w:asciiTheme="majorBidi" w:hAnsiTheme="majorBidi" w:cstheme="majorBidi"/>
          <w:sz w:val="24"/>
          <w:szCs w:val="24"/>
        </w:rPr>
        <w:t>G</w:t>
      </w:r>
      <w:r w:rsidRPr="00E4781C">
        <w:rPr>
          <w:rFonts w:asciiTheme="majorBidi" w:hAnsiTheme="majorBidi" w:cstheme="majorBidi"/>
          <w:sz w:val="24"/>
          <w:szCs w:val="24"/>
        </w:rPr>
        <w:t xml:space="preserve">uidelines on </w:t>
      </w:r>
      <w:r>
        <w:rPr>
          <w:rFonts w:asciiTheme="majorBidi" w:hAnsiTheme="majorBidi" w:cstheme="majorBidi"/>
          <w:sz w:val="24"/>
          <w:szCs w:val="24"/>
        </w:rPr>
        <w:t>D</w:t>
      </w:r>
      <w:r w:rsidRPr="00E4781C">
        <w:rPr>
          <w:rFonts w:asciiTheme="majorBidi" w:hAnsiTheme="majorBidi" w:cstheme="majorBidi"/>
          <w:sz w:val="24"/>
          <w:szCs w:val="24"/>
        </w:rPr>
        <w:t>evelopment-</w:t>
      </w:r>
      <w:r>
        <w:rPr>
          <w:rFonts w:asciiTheme="majorBidi" w:hAnsiTheme="majorBidi" w:cstheme="majorBidi"/>
          <w:sz w:val="24"/>
          <w:szCs w:val="24"/>
        </w:rPr>
        <w:t>B</w:t>
      </w:r>
      <w:r w:rsidRPr="00E4781C">
        <w:rPr>
          <w:rFonts w:asciiTheme="majorBidi" w:hAnsiTheme="majorBidi" w:cstheme="majorBidi"/>
          <w:sz w:val="24"/>
          <w:szCs w:val="24"/>
        </w:rPr>
        <w:t xml:space="preserve">ased </w:t>
      </w:r>
      <w:r>
        <w:rPr>
          <w:rFonts w:asciiTheme="majorBidi" w:hAnsiTheme="majorBidi" w:cstheme="majorBidi"/>
          <w:sz w:val="24"/>
          <w:szCs w:val="24"/>
        </w:rPr>
        <w:t>E</w:t>
      </w:r>
      <w:r w:rsidRPr="00E4781C">
        <w:rPr>
          <w:rFonts w:asciiTheme="majorBidi" w:hAnsiTheme="majorBidi" w:cstheme="majorBidi"/>
          <w:sz w:val="24"/>
          <w:szCs w:val="24"/>
        </w:rPr>
        <w:t xml:space="preserve">victions and </w:t>
      </w:r>
      <w:r>
        <w:rPr>
          <w:rFonts w:asciiTheme="majorBidi" w:hAnsiTheme="majorBidi" w:cstheme="majorBidi"/>
          <w:sz w:val="24"/>
          <w:szCs w:val="24"/>
        </w:rPr>
        <w:t>D</w:t>
      </w:r>
      <w:r w:rsidRPr="00E4781C">
        <w:rPr>
          <w:rFonts w:asciiTheme="majorBidi" w:hAnsiTheme="majorBidi" w:cstheme="majorBidi"/>
          <w:sz w:val="24"/>
          <w:szCs w:val="24"/>
        </w:rPr>
        <w:t>isplacement</w:t>
      </w:r>
      <w:r w:rsidRPr="00E4781C">
        <w:rPr>
          <w:rStyle w:val="FootnoteReference"/>
          <w:rFonts w:asciiTheme="majorBidi" w:hAnsiTheme="majorBidi" w:cstheme="majorBidi"/>
          <w:sz w:val="24"/>
          <w:szCs w:val="24"/>
        </w:rPr>
        <w:footnoteReference w:id="1"/>
      </w:r>
      <w:r w:rsidRPr="00E4781C">
        <w:rPr>
          <w:rFonts w:asciiTheme="majorBidi" w:hAnsiTheme="majorBidi" w:cstheme="majorBidi"/>
          <w:sz w:val="24"/>
          <w:szCs w:val="24"/>
        </w:rPr>
        <w:t xml:space="preserve"> states that people “threatened with or subject to forced evictions have the right of access to timely remedy” and to compensation, restitution, return, resettlement, and rehabilitation.</w:t>
      </w:r>
    </w:p>
    <w:p w14:paraId="35C6FD34" w14:textId="77777777" w:rsidR="004C7483" w:rsidRPr="00E4781C" w:rsidRDefault="004C7483" w:rsidP="00E52234">
      <w:pPr>
        <w:spacing w:after="120" w:line="240" w:lineRule="auto"/>
        <w:jc w:val="both"/>
        <w:rPr>
          <w:rFonts w:asciiTheme="majorBidi" w:hAnsiTheme="majorBidi" w:cstheme="majorBidi"/>
          <w:sz w:val="24"/>
          <w:szCs w:val="24"/>
        </w:rPr>
      </w:pPr>
    </w:p>
    <w:p w14:paraId="2DEC8EB5"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Israel</w:t>
      </w:r>
      <w:bookmarkEnd w:id="5"/>
      <w:r w:rsidRPr="00E4781C">
        <w:rPr>
          <w:rFonts w:asciiTheme="majorBidi" w:hAnsiTheme="majorBidi" w:cstheme="majorBidi"/>
          <w:sz w:val="24"/>
          <w:szCs w:val="24"/>
        </w:rPr>
        <w:t xml:space="preserve"> has control over the OPT, including East Jerusalem. Nevertheless, it does not apply the same laws to Palestinians </w:t>
      </w:r>
      <w:r>
        <w:rPr>
          <w:rFonts w:asciiTheme="majorBidi" w:hAnsiTheme="majorBidi" w:cstheme="majorBidi"/>
          <w:sz w:val="24"/>
          <w:szCs w:val="24"/>
        </w:rPr>
        <w:t>as it does to</w:t>
      </w:r>
      <w:r w:rsidRPr="00E4781C">
        <w:rPr>
          <w:rFonts w:asciiTheme="majorBidi" w:hAnsiTheme="majorBidi" w:cstheme="majorBidi"/>
          <w:sz w:val="24"/>
          <w:szCs w:val="24"/>
        </w:rPr>
        <w:t xml:space="preserve"> Israelis and </w:t>
      </w:r>
      <w:r>
        <w:rPr>
          <w:rFonts w:asciiTheme="majorBidi" w:hAnsiTheme="majorBidi" w:cstheme="majorBidi"/>
          <w:sz w:val="24"/>
          <w:szCs w:val="24"/>
        </w:rPr>
        <w:t xml:space="preserve">completely </w:t>
      </w:r>
      <w:r w:rsidRPr="00E4781C">
        <w:rPr>
          <w:rFonts w:asciiTheme="majorBidi" w:hAnsiTheme="majorBidi" w:cstheme="majorBidi"/>
          <w:sz w:val="24"/>
          <w:szCs w:val="24"/>
        </w:rPr>
        <w:t>reject</w:t>
      </w:r>
      <w:r>
        <w:rPr>
          <w:rFonts w:asciiTheme="majorBidi" w:hAnsiTheme="majorBidi" w:cstheme="majorBidi"/>
          <w:sz w:val="24"/>
          <w:szCs w:val="24"/>
        </w:rPr>
        <w:t>s</w:t>
      </w:r>
      <w:r w:rsidRPr="00E4781C">
        <w:rPr>
          <w:rFonts w:asciiTheme="majorBidi" w:hAnsiTheme="majorBidi" w:cstheme="majorBidi"/>
          <w:sz w:val="24"/>
          <w:szCs w:val="24"/>
        </w:rPr>
        <w:t xml:space="preserve"> the application of the Covenant in the West Bank.</w:t>
      </w:r>
    </w:p>
    <w:p w14:paraId="672B6EEC"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are particularly concerned with Destruction Order 1797 (18 June 2018) which authorises the demolition of any building in area C of the West Bank that is either not yet completed, completed less than six months earlier, or inhabited for less than 30 days. The demolition can be carried out within 96 hours after delivering demolition orders.</w:t>
      </w:r>
    </w:p>
    <w:p w14:paraId="084B4448"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This facilitate</w:t>
      </w:r>
      <w:r>
        <w:rPr>
          <w:rFonts w:asciiTheme="majorBidi" w:hAnsiTheme="majorBidi" w:cstheme="majorBidi"/>
          <w:sz w:val="24"/>
          <w:szCs w:val="24"/>
        </w:rPr>
        <w:t>s</w:t>
      </w:r>
      <w:r w:rsidRPr="00E4781C">
        <w:rPr>
          <w:rFonts w:asciiTheme="majorBidi" w:hAnsiTheme="majorBidi" w:cstheme="majorBidi"/>
          <w:sz w:val="24"/>
          <w:szCs w:val="24"/>
        </w:rPr>
        <w:t xml:space="preserve"> the destruction of Palestinians</w:t>
      </w:r>
      <w:r>
        <w:rPr>
          <w:rFonts w:asciiTheme="majorBidi" w:hAnsiTheme="majorBidi" w:cstheme="majorBidi"/>
          <w:sz w:val="24"/>
          <w:szCs w:val="24"/>
        </w:rPr>
        <w:t>’</w:t>
      </w:r>
      <w:r w:rsidRPr="00E4781C">
        <w:rPr>
          <w:rFonts w:asciiTheme="majorBidi" w:hAnsiTheme="majorBidi" w:cstheme="majorBidi"/>
          <w:sz w:val="24"/>
          <w:szCs w:val="24"/>
        </w:rPr>
        <w:t xml:space="preserve"> homes that cannot be completed due to a lack of </w:t>
      </w:r>
      <w:r>
        <w:rPr>
          <w:rFonts w:asciiTheme="majorBidi" w:hAnsiTheme="majorBidi" w:cstheme="majorBidi"/>
          <w:sz w:val="24"/>
          <w:szCs w:val="24"/>
        </w:rPr>
        <w:t xml:space="preserve">funding or </w:t>
      </w:r>
      <w:r w:rsidRPr="00E4781C">
        <w:rPr>
          <w:rFonts w:asciiTheme="majorBidi" w:hAnsiTheme="majorBidi" w:cstheme="majorBidi"/>
          <w:sz w:val="24"/>
          <w:szCs w:val="24"/>
        </w:rPr>
        <w:t>authorisations from Israeli authorities, and</w:t>
      </w:r>
      <w:r>
        <w:rPr>
          <w:rFonts w:asciiTheme="majorBidi" w:hAnsiTheme="majorBidi" w:cstheme="majorBidi"/>
          <w:sz w:val="24"/>
          <w:szCs w:val="24"/>
        </w:rPr>
        <w:t xml:space="preserve"> the houses</w:t>
      </w:r>
      <w:r w:rsidRPr="00E4781C">
        <w:rPr>
          <w:rFonts w:asciiTheme="majorBidi" w:hAnsiTheme="majorBidi" w:cstheme="majorBidi"/>
          <w:sz w:val="24"/>
          <w:szCs w:val="24"/>
        </w:rPr>
        <w:t xml:space="preserve"> of Palestinians that have been displaced due to the conflict and are unable to return home.</w:t>
      </w:r>
    </w:p>
    <w:p w14:paraId="4A872AE3" w14:textId="77777777" w:rsidR="004C7483" w:rsidRPr="00E4781C" w:rsidRDefault="004C7483" w:rsidP="00E52234">
      <w:pPr>
        <w:spacing w:after="120" w:line="240" w:lineRule="auto"/>
        <w:jc w:val="both"/>
        <w:rPr>
          <w:rFonts w:asciiTheme="majorBidi" w:hAnsiTheme="majorBidi" w:cstheme="majorBidi"/>
          <w:sz w:val="24"/>
          <w:szCs w:val="24"/>
        </w:rPr>
      </w:pPr>
    </w:p>
    <w:p w14:paraId="3E85312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are further concerned with the </w:t>
      </w:r>
      <w:r>
        <w:rPr>
          <w:rFonts w:asciiTheme="majorBidi" w:hAnsiTheme="majorBidi" w:cstheme="majorBidi"/>
          <w:sz w:val="24"/>
          <w:szCs w:val="24"/>
        </w:rPr>
        <w:t>amended</w:t>
      </w:r>
      <w:r w:rsidRPr="00E4781C">
        <w:rPr>
          <w:rFonts w:asciiTheme="majorBidi" w:hAnsiTheme="majorBidi" w:cstheme="majorBidi"/>
          <w:sz w:val="24"/>
          <w:szCs w:val="24"/>
        </w:rPr>
        <w:t xml:space="preserve"> Basic Law, which modifie</w:t>
      </w:r>
      <w:r>
        <w:rPr>
          <w:rFonts w:asciiTheme="majorBidi" w:hAnsiTheme="majorBidi" w:cstheme="majorBidi"/>
          <w:sz w:val="24"/>
          <w:szCs w:val="24"/>
        </w:rPr>
        <w:t>d</w:t>
      </w:r>
      <w:r w:rsidRPr="00E4781C">
        <w:rPr>
          <w:rFonts w:asciiTheme="majorBidi" w:hAnsiTheme="majorBidi" w:cstheme="majorBidi"/>
          <w:sz w:val="24"/>
          <w:szCs w:val="24"/>
        </w:rPr>
        <w:t xml:space="preserve"> the </w:t>
      </w:r>
      <w:r>
        <w:rPr>
          <w:rFonts w:asciiTheme="majorBidi" w:hAnsiTheme="majorBidi" w:cstheme="majorBidi"/>
          <w:sz w:val="24"/>
          <w:szCs w:val="24"/>
        </w:rPr>
        <w:t>previous</w:t>
      </w:r>
      <w:r w:rsidRPr="00E4781C">
        <w:rPr>
          <w:rFonts w:asciiTheme="majorBidi" w:hAnsiTheme="majorBidi" w:cstheme="majorBidi"/>
          <w:sz w:val="24"/>
          <w:szCs w:val="24"/>
        </w:rPr>
        <w:t xml:space="preserve"> one</w:t>
      </w:r>
      <w:r>
        <w:rPr>
          <w:rFonts w:asciiTheme="majorBidi" w:hAnsiTheme="majorBidi" w:cstheme="majorBidi"/>
          <w:sz w:val="24"/>
          <w:szCs w:val="24"/>
        </w:rPr>
        <w:t xml:space="preserve"> to</w:t>
      </w:r>
      <w:r w:rsidRPr="00E4781C">
        <w:rPr>
          <w:rFonts w:asciiTheme="majorBidi" w:hAnsiTheme="majorBidi" w:cstheme="majorBidi"/>
          <w:sz w:val="24"/>
          <w:szCs w:val="24"/>
        </w:rPr>
        <w:t xml:space="preserve"> add that “the right to exercise national self-determination” in Israel is “unique to the Jewish people</w:t>
      </w:r>
      <w:r>
        <w:rPr>
          <w:rFonts w:asciiTheme="majorBidi" w:hAnsiTheme="majorBidi" w:cstheme="majorBidi"/>
          <w:sz w:val="24"/>
          <w:szCs w:val="24"/>
        </w:rPr>
        <w:t>.</w:t>
      </w:r>
      <w:r w:rsidRPr="00E4781C">
        <w:rPr>
          <w:rFonts w:asciiTheme="majorBidi" w:hAnsiTheme="majorBidi" w:cstheme="majorBidi"/>
          <w:sz w:val="24"/>
          <w:szCs w:val="24"/>
        </w:rPr>
        <w:t xml:space="preserve">” </w:t>
      </w:r>
      <w:r>
        <w:rPr>
          <w:rFonts w:asciiTheme="majorBidi" w:hAnsiTheme="majorBidi" w:cstheme="majorBidi"/>
          <w:sz w:val="24"/>
          <w:szCs w:val="24"/>
        </w:rPr>
        <w:t xml:space="preserve">It also </w:t>
      </w:r>
      <w:r w:rsidRPr="00E4781C">
        <w:rPr>
          <w:rFonts w:asciiTheme="majorBidi" w:hAnsiTheme="majorBidi" w:cstheme="majorBidi"/>
          <w:sz w:val="24"/>
          <w:szCs w:val="24"/>
        </w:rPr>
        <w:t>establishe</w:t>
      </w:r>
      <w:r>
        <w:rPr>
          <w:rFonts w:asciiTheme="majorBidi" w:hAnsiTheme="majorBidi" w:cstheme="majorBidi"/>
          <w:sz w:val="24"/>
          <w:szCs w:val="24"/>
        </w:rPr>
        <w:t>d</w:t>
      </w:r>
      <w:r w:rsidRPr="00E4781C">
        <w:rPr>
          <w:rFonts w:asciiTheme="majorBidi" w:hAnsiTheme="majorBidi" w:cstheme="majorBidi"/>
          <w:sz w:val="24"/>
          <w:szCs w:val="24"/>
        </w:rPr>
        <w:t xml:space="preserve"> Hebrew as Israel’s official language, downgrad</w:t>
      </w:r>
      <w:r>
        <w:rPr>
          <w:rFonts w:asciiTheme="majorBidi" w:hAnsiTheme="majorBidi" w:cstheme="majorBidi"/>
          <w:sz w:val="24"/>
          <w:szCs w:val="24"/>
        </w:rPr>
        <w:t>ing</w:t>
      </w:r>
      <w:r w:rsidRPr="00E4781C">
        <w:rPr>
          <w:rFonts w:asciiTheme="majorBidi" w:hAnsiTheme="majorBidi" w:cstheme="majorBidi"/>
          <w:sz w:val="24"/>
          <w:szCs w:val="24"/>
        </w:rPr>
        <w:t xml:space="preserve"> Arabic to a “special status”</w:t>
      </w:r>
      <w:r>
        <w:rPr>
          <w:rFonts w:asciiTheme="majorBidi" w:hAnsiTheme="majorBidi" w:cstheme="majorBidi"/>
          <w:sz w:val="24"/>
          <w:szCs w:val="24"/>
        </w:rPr>
        <w:t>,</w:t>
      </w:r>
      <w:r w:rsidRPr="00E4781C">
        <w:rPr>
          <w:rFonts w:asciiTheme="majorBidi" w:hAnsiTheme="majorBidi" w:cstheme="majorBidi"/>
          <w:sz w:val="24"/>
          <w:szCs w:val="24"/>
        </w:rPr>
        <w:t xml:space="preserve"> and constitutionally elevate</w:t>
      </w:r>
      <w:r>
        <w:rPr>
          <w:rFonts w:asciiTheme="majorBidi" w:hAnsiTheme="majorBidi" w:cstheme="majorBidi"/>
          <w:sz w:val="24"/>
          <w:szCs w:val="24"/>
        </w:rPr>
        <w:t>d</w:t>
      </w:r>
      <w:r w:rsidRPr="00E4781C">
        <w:rPr>
          <w:rFonts w:asciiTheme="majorBidi" w:hAnsiTheme="majorBidi" w:cstheme="majorBidi"/>
          <w:sz w:val="24"/>
          <w:szCs w:val="24"/>
        </w:rPr>
        <w:t xml:space="preserve"> “Jewish settlement as a national value</w:t>
      </w:r>
      <w:r>
        <w:rPr>
          <w:rFonts w:asciiTheme="majorBidi" w:hAnsiTheme="majorBidi" w:cstheme="majorBidi"/>
          <w:sz w:val="24"/>
          <w:szCs w:val="24"/>
        </w:rPr>
        <w:t>.</w:t>
      </w:r>
      <w:r w:rsidRPr="00E4781C">
        <w:rPr>
          <w:rFonts w:asciiTheme="majorBidi" w:hAnsiTheme="majorBidi" w:cstheme="majorBidi"/>
          <w:sz w:val="24"/>
          <w:szCs w:val="24"/>
        </w:rPr>
        <w:t>”</w:t>
      </w:r>
    </w:p>
    <w:p w14:paraId="16BBE4E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These dispositions infringe upon the right of self-determination of Palestinian people and discriminate against them by taking their language out of Israel’s official languages. It is worrying that such dispositions have</w:t>
      </w:r>
      <w:r>
        <w:rPr>
          <w:rFonts w:asciiTheme="majorBidi" w:hAnsiTheme="majorBidi" w:cstheme="majorBidi"/>
          <w:sz w:val="24"/>
          <w:szCs w:val="24"/>
        </w:rPr>
        <w:t xml:space="preserve"> been given</w:t>
      </w:r>
      <w:r w:rsidRPr="00E4781C">
        <w:rPr>
          <w:rFonts w:asciiTheme="majorBidi" w:hAnsiTheme="majorBidi" w:cstheme="majorBidi"/>
          <w:sz w:val="24"/>
          <w:szCs w:val="24"/>
        </w:rPr>
        <w:t xml:space="preserve"> constitutional </w:t>
      </w:r>
      <w:r>
        <w:rPr>
          <w:rFonts w:asciiTheme="majorBidi" w:hAnsiTheme="majorBidi" w:cstheme="majorBidi"/>
          <w:sz w:val="24"/>
          <w:szCs w:val="24"/>
        </w:rPr>
        <w:t>status</w:t>
      </w:r>
      <w:r w:rsidRPr="00E4781C">
        <w:rPr>
          <w:rFonts w:asciiTheme="majorBidi" w:hAnsiTheme="majorBidi" w:cstheme="majorBidi"/>
          <w:sz w:val="24"/>
          <w:szCs w:val="24"/>
        </w:rPr>
        <w:t xml:space="preserve">. </w:t>
      </w:r>
    </w:p>
    <w:p w14:paraId="41499184" w14:textId="77777777" w:rsidR="004C7483" w:rsidRPr="00E4781C" w:rsidRDefault="004C7483" w:rsidP="00E52234">
      <w:pPr>
        <w:spacing w:after="120" w:line="240" w:lineRule="auto"/>
        <w:jc w:val="both"/>
        <w:rPr>
          <w:rFonts w:asciiTheme="majorBidi" w:hAnsiTheme="majorBidi" w:cstheme="majorBidi"/>
          <w:sz w:val="24"/>
          <w:szCs w:val="24"/>
        </w:rPr>
      </w:pPr>
    </w:p>
    <w:p w14:paraId="3E604ABF"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would like to recall that even though </w:t>
      </w:r>
      <w:r>
        <w:rPr>
          <w:rFonts w:asciiTheme="majorBidi" w:hAnsiTheme="majorBidi" w:cstheme="majorBidi"/>
          <w:sz w:val="24"/>
          <w:szCs w:val="24"/>
        </w:rPr>
        <w:t>an</w:t>
      </w:r>
      <w:r w:rsidRPr="00E4781C">
        <w:rPr>
          <w:rFonts w:asciiTheme="majorBidi" w:hAnsiTheme="majorBidi" w:cstheme="majorBidi"/>
          <w:sz w:val="24"/>
          <w:szCs w:val="24"/>
        </w:rPr>
        <w:t xml:space="preserve"> eviction might be </w:t>
      </w:r>
      <w:r>
        <w:rPr>
          <w:rFonts w:asciiTheme="majorBidi" w:hAnsiTheme="majorBidi" w:cstheme="majorBidi"/>
          <w:sz w:val="24"/>
          <w:szCs w:val="24"/>
        </w:rPr>
        <w:t xml:space="preserve">considered by Israeli authorities as </w:t>
      </w:r>
      <w:r w:rsidRPr="00E4781C">
        <w:rPr>
          <w:rFonts w:asciiTheme="majorBidi" w:hAnsiTheme="majorBidi" w:cstheme="majorBidi"/>
          <w:sz w:val="24"/>
          <w:szCs w:val="24"/>
        </w:rPr>
        <w:t>lawful under Israel law, that does not make it lawful under international law and Israel’s international obligations.</w:t>
      </w:r>
      <w:r w:rsidRPr="00E4781C">
        <w:rPr>
          <w:rStyle w:val="FootnoteReference"/>
          <w:rFonts w:asciiTheme="majorBidi" w:hAnsiTheme="majorBidi" w:cstheme="majorBidi"/>
          <w:sz w:val="24"/>
          <w:szCs w:val="24"/>
        </w:rPr>
        <w:footnoteReference w:id="2"/>
      </w:r>
    </w:p>
    <w:p w14:paraId="0F205A68"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The UN Special Committee to Investigate Israeli Practices recently stated that the continued threat of eviction of the Bedouin community in Khan al-Ahmar Abu al-Helu in area C of the West Bank amounts to forcible transfer under international humanitarian law.</w:t>
      </w:r>
      <w:r w:rsidRPr="00E4781C">
        <w:rPr>
          <w:rStyle w:val="FootnoteReference"/>
          <w:rFonts w:asciiTheme="majorBidi" w:hAnsiTheme="majorBidi" w:cstheme="majorBidi"/>
          <w:sz w:val="24"/>
          <w:szCs w:val="24"/>
        </w:rPr>
        <w:footnoteReference w:id="3"/>
      </w:r>
    </w:p>
    <w:p w14:paraId="6738F32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The same has been stated by the UN Security Council in a broader way regarding Israel’s policy of destroying properties in the West Bank, including East Jerusalem.</w:t>
      </w:r>
      <w:r w:rsidRPr="00E4781C">
        <w:rPr>
          <w:rStyle w:val="FootnoteReference"/>
          <w:rFonts w:asciiTheme="majorBidi" w:hAnsiTheme="majorBidi" w:cstheme="majorBidi"/>
          <w:sz w:val="24"/>
          <w:szCs w:val="24"/>
        </w:rPr>
        <w:footnoteReference w:id="4"/>
      </w:r>
    </w:p>
    <w:p w14:paraId="0ED5729E"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These international obligations and reminders do not seem to deter Israel from forcibly evicting Palestinians from their homes and expanding illegal settlements.</w:t>
      </w:r>
    </w:p>
    <w:p w14:paraId="2D9AE181" w14:textId="77777777" w:rsidR="004C7483" w:rsidRPr="00E4781C" w:rsidRDefault="004C7483" w:rsidP="00E52234">
      <w:pPr>
        <w:spacing w:after="120" w:line="240" w:lineRule="auto"/>
        <w:jc w:val="both"/>
        <w:rPr>
          <w:rFonts w:asciiTheme="majorBidi" w:hAnsiTheme="majorBidi" w:cstheme="majorBidi"/>
          <w:sz w:val="24"/>
          <w:szCs w:val="24"/>
        </w:rPr>
      </w:pPr>
    </w:p>
    <w:p w14:paraId="29C9DDFE" w14:textId="77777777" w:rsidR="004C7483" w:rsidRPr="00E4781C" w:rsidRDefault="004C7483" w:rsidP="00E52234">
      <w:pPr>
        <w:pStyle w:val="Heading2"/>
        <w:jc w:val="both"/>
      </w:pPr>
      <w:bookmarkStart w:id="8" w:name="_Toc18423925"/>
      <w:bookmarkStart w:id="9" w:name="_Toc18425089"/>
      <w:r w:rsidRPr="00E4781C">
        <w:t>Facts about evictions and demolitions in territories under Israel’s control</w:t>
      </w:r>
      <w:bookmarkEnd w:id="8"/>
      <w:bookmarkEnd w:id="9"/>
    </w:p>
    <w:p w14:paraId="405621BB"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Especially in the context of East Jerusalem and in cities at the border of the two States, Israeli authorities use the pretext of illegal construction to destroy </w:t>
      </w:r>
      <w:r>
        <w:rPr>
          <w:rFonts w:asciiTheme="majorBidi" w:hAnsiTheme="majorBidi" w:cstheme="majorBidi"/>
          <w:sz w:val="24"/>
          <w:szCs w:val="24"/>
        </w:rPr>
        <w:t>houses</w:t>
      </w:r>
      <w:r w:rsidRPr="00E4781C">
        <w:rPr>
          <w:rFonts w:asciiTheme="majorBidi" w:hAnsiTheme="majorBidi" w:cstheme="majorBidi"/>
          <w:sz w:val="24"/>
          <w:szCs w:val="24"/>
        </w:rPr>
        <w:t xml:space="preserve">, while denying the right to build </w:t>
      </w:r>
      <w:r>
        <w:rPr>
          <w:rFonts w:asciiTheme="majorBidi" w:hAnsiTheme="majorBidi" w:cstheme="majorBidi"/>
          <w:sz w:val="24"/>
          <w:szCs w:val="24"/>
        </w:rPr>
        <w:t>new ones</w:t>
      </w:r>
      <w:r w:rsidRPr="00E4781C">
        <w:rPr>
          <w:rFonts w:asciiTheme="majorBidi" w:hAnsiTheme="majorBidi" w:cstheme="majorBidi"/>
          <w:sz w:val="24"/>
          <w:szCs w:val="24"/>
        </w:rPr>
        <w:t xml:space="preserve">. In this way, room is created for the expansion of Israeli settlements, which are illegal under international law and condemned by the UN. </w:t>
      </w:r>
    </w:p>
    <w:p w14:paraId="4358CF36"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recall that under the Geneva Convention, an occupying power cannot forcibly transfer population from or to the occupied territories. Forced evictions of Palestinians from their homes, with the objective of expanding Israeli settlements, amounts to forcible transfer</w:t>
      </w:r>
      <w:r>
        <w:rPr>
          <w:rFonts w:asciiTheme="majorBidi" w:hAnsiTheme="majorBidi" w:cstheme="majorBidi"/>
          <w:sz w:val="24"/>
          <w:szCs w:val="24"/>
        </w:rPr>
        <w:t xml:space="preserve"> and crimes against humanity.</w:t>
      </w:r>
      <w:r w:rsidRPr="00E4781C">
        <w:rPr>
          <w:rFonts w:asciiTheme="majorBidi" w:hAnsiTheme="majorBidi" w:cstheme="majorBidi"/>
          <w:sz w:val="24"/>
          <w:szCs w:val="24"/>
        </w:rPr>
        <w:t xml:space="preserve"> </w:t>
      </w:r>
    </w:p>
    <w:p w14:paraId="41122103"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Despite this fact, authorities keep giving authorisations to build new settlements. We are deeply concerned with the advancement of 2400 settlers’ home</w:t>
      </w:r>
      <w:r>
        <w:rPr>
          <w:rFonts w:asciiTheme="majorBidi" w:hAnsiTheme="majorBidi" w:cstheme="majorBidi"/>
          <w:sz w:val="24"/>
          <w:szCs w:val="24"/>
        </w:rPr>
        <w:t>s</w:t>
      </w:r>
      <w:r w:rsidRPr="00E4781C">
        <w:rPr>
          <w:rFonts w:asciiTheme="majorBidi" w:hAnsiTheme="majorBidi" w:cstheme="majorBidi"/>
          <w:sz w:val="24"/>
          <w:szCs w:val="24"/>
        </w:rPr>
        <w:t xml:space="preserve"> in the OPT in early August,  following which Special Rapporteurs recalled to the international community its duty to “stand by their collective promise to protect the rights of the Palestinian people, and to take decisive action to prevent Israel’s planned construction of a record number of housing units in its West Bank settlements.” More recently, the construction of 300 new settler units has been ordered by Israel in the illegal settlement of Dolev, west of Ramallah.</w:t>
      </w:r>
      <w:r w:rsidRPr="00E4781C">
        <w:rPr>
          <w:rStyle w:val="FootnoteReference"/>
          <w:rFonts w:asciiTheme="majorBidi" w:hAnsiTheme="majorBidi" w:cstheme="majorBidi"/>
          <w:sz w:val="24"/>
          <w:szCs w:val="24"/>
        </w:rPr>
        <w:footnoteReference w:id="5"/>
      </w:r>
    </w:p>
    <w:p w14:paraId="6F89341F"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Many </w:t>
      </w:r>
      <w:r>
        <w:rPr>
          <w:rFonts w:asciiTheme="majorBidi" w:hAnsiTheme="majorBidi" w:cstheme="majorBidi"/>
          <w:sz w:val="24"/>
          <w:szCs w:val="24"/>
        </w:rPr>
        <w:t xml:space="preserve">Palestinians and, in some cases, entire neighbourhoods, </w:t>
      </w:r>
      <w:r w:rsidRPr="00E4781C">
        <w:rPr>
          <w:rFonts w:asciiTheme="majorBidi" w:hAnsiTheme="majorBidi" w:cstheme="majorBidi"/>
          <w:sz w:val="24"/>
          <w:szCs w:val="24"/>
        </w:rPr>
        <w:t>have been affected by forced evictions and demolitions. From 1 July to 26 August 2019 only, 30 demolition</w:t>
      </w:r>
      <w:r>
        <w:rPr>
          <w:rFonts w:asciiTheme="majorBidi" w:hAnsiTheme="majorBidi" w:cstheme="majorBidi"/>
          <w:sz w:val="24"/>
          <w:szCs w:val="24"/>
        </w:rPr>
        <w:t xml:space="preserve"> case</w:t>
      </w:r>
      <w:r w:rsidRPr="00E4781C">
        <w:rPr>
          <w:rFonts w:asciiTheme="majorBidi" w:hAnsiTheme="majorBidi" w:cstheme="majorBidi"/>
          <w:sz w:val="24"/>
          <w:szCs w:val="24"/>
        </w:rPr>
        <w:t xml:space="preserve">s have been reported. These demolitions led to forced eviction and displacement of people, who then </w:t>
      </w:r>
      <w:r>
        <w:rPr>
          <w:rFonts w:asciiTheme="majorBidi" w:hAnsiTheme="majorBidi" w:cstheme="majorBidi"/>
          <w:sz w:val="24"/>
          <w:szCs w:val="24"/>
        </w:rPr>
        <w:t xml:space="preserve">had to </w:t>
      </w:r>
      <w:r w:rsidRPr="00E4781C">
        <w:rPr>
          <w:rFonts w:asciiTheme="majorBidi" w:hAnsiTheme="majorBidi" w:cstheme="majorBidi"/>
          <w:sz w:val="24"/>
          <w:szCs w:val="24"/>
        </w:rPr>
        <w:t>rely on</w:t>
      </w:r>
      <w:r>
        <w:rPr>
          <w:rFonts w:asciiTheme="majorBidi" w:hAnsiTheme="majorBidi" w:cstheme="majorBidi"/>
          <w:sz w:val="24"/>
          <w:szCs w:val="24"/>
        </w:rPr>
        <w:t xml:space="preserve"> </w:t>
      </w:r>
      <w:r w:rsidRPr="00E4781C">
        <w:rPr>
          <w:rFonts w:asciiTheme="majorBidi" w:hAnsiTheme="majorBidi" w:cstheme="majorBidi"/>
          <w:sz w:val="24"/>
          <w:szCs w:val="24"/>
        </w:rPr>
        <w:t>solidarity, be homeless or leave their neighbourhood.</w:t>
      </w:r>
    </w:p>
    <w:p w14:paraId="7DA186C3"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Forced evictions do not solely affect people’s right to adequate housing, but many other rights, including to water and sanitation, to health</w:t>
      </w:r>
      <w:r>
        <w:rPr>
          <w:rFonts w:asciiTheme="majorBidi" w:hAnsiTheme="majorBidi" w:cstheme="majorBidi"/>
          <w:sz w:val="24"/>
          <w:szCs w:val="24"/>
        </w:rPr>
        <w:t xml:space="preserve"> (considering that</w:t>
      </w:r>
      <w:r w:rsidRPr="00E4781C">
        <w:rPr>
          <w:rFonts w:asciiTheme="majorBidi" w:hAnsiTheme="majorBidi" w:cstheme="majorBidi"/>
          <w:sz w:val="24"/>
          <w:szCs w:val="24"/>
        </w:rPr>
        <w:t xml:space="preserve"> forced evictions are often violent</w:t>
      </w:r>
      <w:r>
        <w:rPr>
          <w:rFonts w:asciiTheme="majorBidi" w:hAnsiTheme="majorBidi" w:cstheme="majorBidi"/>
          <w:sz w:val="24"/>
          <w:szCs w:val="24"/>
        </w:rPr>
        <w:t>)</w:t>
      </w:r>
      <w:r w:rsidRPr="00E4781C">
        <w:rPr>
          <w:rFonts w:asciiTheme="majorBidi" w:hAnsiTheme="majorBidi" w:cstheme="majorBidi"/>
          <w:sz w:val="24"/>
          <w:szCs w:val="24"/>
        </w:rPr>
        <w:t xml:space="preserve">, and to education. These evictions disproportionately affect vulnerable people, while no compensation or measures </w:t>
      </w:r>
      <w:r>
        <w:rPr>
          <w:rFonts w:asciiTheme="majorBidi" w:hAnsiTheme="majorBidi" w:cstheme="majorBidi"/>
          <w:sz w:val="24"/>
          <w:szCs w:val="24"/>
        </w:rPr>
        <w:t xml:space="preserve">are provided </w:t>
      </w:r>
      <w:r w:rsidRPr="00E4781C">
        <w:rPr>
          <w:rFonts w:asciiTheme="majorBidi" w:hAnsiTheme="majorBidi" w:cstheme="majorBidi"/>
          <w:sz w:val="24"/>
          <w:szCs w:val="24"/>
        </w:rPr>
        <w:t>to help people relocate.</w:t>
      </w:r>
    </w:p>
    <w:p w14:paraId="38BBF0A2" w14:textId="77777777" w:rsidR="004C7483" w:rsidRPr="00E4781C" w:rsidRDefault="004C7483" w:rsidP="00E52234">
      <w:pPr>
        <w:spacing w:after="120" w:line="240" w:lineRule="auto"/>
        <w:jc w:val="both"/>
        <w:rPr>
          <w:rFonts w:asciiTheme="majorBidi" w:hAnsiTheme="majorBidi" w:cstheme="majorBidi"/>
          <w:sz w:val="24"/>
          <w:szCs w:val="24"/>
        </w:rPr>
      </w:pPr>
    </w:p>
    <w:p w14:paraId="1D0B5231" w14:textId="77777777" w:rsidR="004C7483" w:rsidRPr="00E4781C" w:rsidRDefault="004C7483" w:rsidP="00E52234">
      <w:pPr>
        <w:pStyle w:val="Heading2"/>
        <w:jc w:val="both"/>
      </w:pPr>
      <w:bookmarkStart w:id="10" w:name="_Toc18423926"/>
      <w:bookmarkStart w:id="11" w:name="_Toc18425090"/>
      <w:r w:rsidRPr="00E4781C">
        <w:t>Committee on Economic, Social and Cultural Rights’ observations and issues raised</w:t>
      </w:r>
      <w:bookmarkEnd w:id="10"/>
      <w:bookmarkEnd w:id="11"/>
    </w:p>
    <w:p w14:paraId="565CE563"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In its 2011’s concluding observations, the Committee expressed its concern over home demolitions and forced evictions in the West Bank, and urged Israel to stop demolitions as act</w:t>
      </w:r>
      <w:r>
        <w:rPr>
          <w:rFonts w:asciiTheme="majorBidi" w:hAnsiTheme="majorBidi" w:cstheme="majorBidi"/>
          <w:sz w:val="24"/>
          <w:szCs w:val="24"/>
        </w:rPr>
        <w:t>s</w:t>
      </w:r>
      <w:r w:rsidRPr="00E4781C">
        <w:rPr>
          <w:rFonts w:asciiTheme="majorBidi" w:hAnsiTheme="majorBidi" w:cstheme="majorBidi"/>
          <w:sz w:val="24"/>
          <w:szCs w:val="24"/>
        </w:rPr>
        <w:t xml:space="preserve"> of reprisal, ensure the availability of affordable housing, and issue construction permits to prevent demolitions and forced evictions in East Jerusalem.  </w:t>
      </w:r>
    </w:p>
    <w:p w14:paraId="44D8DAA9"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In the list of issues that the government of Israel must respond to, the Committee asked, at paragraph 25,</w:t>
      </w:r>
      <w:r>
        <w:rPr>
          <w:rFonts w:asciiTheme="majorBidi" w:hAnsiTheme="majorBidi" w:cstheme="majorBidi"/>
          <w:sz w:val="24"/>
          <w:szCs w:val="24"/>
        </w:rPr>
        <w:t xml:space="preserve"> for</w:t>
      </w:r>
      <w:r w:rsidRPr="00E4781C">
        <w:rPr>
          <w:rFonts w:asciiTheme="majorBidi" w:hAnsiTheme="majorBidi" w:cstheme="majorBidi"/>
          <w:sz w:val="24"/>
          <w:szCs w:val="24"/>
        </w:rPr>
        <w:t xml:space="preserve"> “(d) Information on the steps taken to reform the housing policy and to ensure the legality of Palestinian buildings in Area C of the West Bank and East Jerusalem; and relevant data, disaggregated by ethnicity, the number of applications for building permits and the number of permits granted in Area C of the West Bank and East Jerusalem, during the reporting period; (e) Information on the measures taken to prevent the destruction of Palestinian housing and property in Area C of the West Bank and East Jerusalem</w:t>
      </w:r>
      <w:r>
        <w:rPr>
          <w:rFonts w:asciiTheme="majorBidi" w:hAnsiTheme="majorBidi" w:cstheme="majorBidi"/>
          <w:sz w:val="24"/>
          <w:szCs w:val="24"/>
        </w:rPr>
        <w:t>.</w:t>
      </w:r>
      <w:r w:rsidRPr="00E4781C">
        <w:rPr>
          <w:rFonts w:asciiTheme="majorBidi" w:hAnsiTheme="majorBidi" w:cstheme="majorBidi"/>
          <w:sz w:val="24"/>
          <w:szCs w:val="24"/>
        </w:rPr>
        <w:t>”</w:t>
      </w:r>
    </w:p>
    <w:p w14:paraId="4E495B1D" w14:textId="77777777" w:rsidR="004C7483" w:rsidRPr="00E4781C" w:rsidRDefault="004C7483" w:rsidP="00E52234">
      <w:pPr>
        <w:spacing w:after="120" w:line="240" w:lineRule="auto"/>
        <w:jc w:val="both"/>
        <w:rPr>
          <w:rFonts w:asciiTheme="majorBidi" w:hAnsiTheme="majorBidi" w:cstheme="majorBidi"/>
          <w:sz w:val="24"/>
          <w:szCs w:val="24"/>
        </w:rPr>
      </w:pPr>
    </w:p>
    <w:p w14:paraId="6F393994" w14:textId="77777777" w:rsidR="004C7483" w:rsidRPr="00E4781C" w:rsidRDefault="004C7483" w:rsidP="00E52234">
      <w:pPr>
        <w:pStyle w:val="Heading2"/>
        <w:jc w:val="both"/>
      </w:pPr>
      <w:bookmarkStart w:id="12" w:name="_Toc18423927"/>
      <w:bookmarkStart w:id="13" w:name="_Toc18425091"/>
      <w:r w:rsidRPr="00E4781C">
        <w:t>State report and answers to the Committee’s list of issues</w:t>
      </w:r>
      <w:bookmarkEnd w:id="12"/>
      <w:bookmarkEnd w:id="13"/>
    </w:p>
    <w:p w14:paraId="0162DF00"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In its report, the government demonstrates an acceleration of construction and regulation of the private rental market.</w:t>
      </w:r>
    </w:p>
    <w:p w14:paraId="4911BCC5"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Regarding the issue at stake in this report, namely the </w:t>
      </w:r>
      <w:r>
        <w:rPr>
          <w:rFonts w:asciiTheme="majorBidi" w:hAnsiTheme="majorBidi" w:cstheme="majorBidi"/>
          <w:sz w:val="24"/>
          <w:szCs w:val="24"/>
        </w:rPr>
        <w:t xml:space="preserve">forced </w:t>
      </w:r>
      <w:r w:rsidRPr="00E4781C">
        <w:rPr>
          <w:rFonts w:asciiTheme="majorBidi" w:hAnsiTheme="majorBidi" w:cstheme="majorBidi"/>
          <w:sz w:val="24"/>
          <w:szCs w:val="24"/>
        </w:rPr>
        <w:t xml:space="preserve">evictions, the government states in its report that it provided tables showing a diminution </w:t>
      </w:r>
      <w:r>
        <w:rPr>
          <w:rFonts w:asciiTheme="majorBidi" w:hAnsiTheme="majorBidi" w:cstheme="majorBidi"/>
          <w:sz w:val="24"/>
          <w:szCs w:val="24"/>
        </w:rPr>
        <w:t xml:space="preserve">in the number </w:t>
      </w:r>
      <w:r w:rsidRPr="00E4781C">
        <w:rPr>
          <w:rFonts w:asciiTheme="majorBidi" w:hAnsiTheme="majorBidi" w:cstheme="majorBidi"/>
          <w:sz w:val="24"/>
          <w:szCs w:val="24"/>
        </w:rPr>
        <w:t>of evictions.</w:t>
      </w:r>
    </w:p>
    <w:p w14:paraId="4883AD21"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are concerned that table No. 38 (Annex II) relates only to “Eviction Orders Relating to Mortgaged Properties (2012-2016)” and that table No. 39 (Annex II) “Number of Persons Evicted from Public Housing Apartments in 2011 – 2014” relates to public housing and is linked to the State report’s paragraph 227 which mentions only eviction for debts and non-payments.</w:t>
      </w:r>
    </w:p>
    <w:p w14:paraId="7E95AEF0"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Therefore, no adequate information and disaggregated data have been provided by Israel.</w:t>
      </w:r>
    </w:p>
    <w:p w14:paraId="4F65393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are further concerned by the mention, in the State report, that illegal structures in the eastern neighbourhoods of Jerusalem harm the local population and do not take into account current planning policies, but that the government does not suggest or state any improvement</w:t>
      </w:r>
      <w:r>
        <w:rPr>
          <w:rFonts w:asciiTheme="majorBidi" w:hAnsiTheme="majorBidi" w:cstheme="majorBidi"/>
          <w:sz w:val="24"/>
          <w:szCs w:val="24"/>
        </w:rPr>
        <w:t>s</w:t>
      </w:r>
      <w:r w:rsidRPr="00E4781C">
        <w:rPr>
          <w:rFonts w:asciiTheme="majorBidi" w:hAnsiTheme="majorBidi" w:cstheme="majorBidi"/>
          <w:sz w:val="24"/>
          <w:szCs w:val="24"/>
        </w:rPr>
        <w:t xml:space="preserve"> that could be or have been made to avoid these illegal structures while ensuring adequate housing for the population.</w:t>
      </w:r>
    </w:p>
    <w:p w14:paraId="795152A3" w14:textId="77777777" w:rsidR="004C7483" w:rsidRPr="00E4781C" w:rsidRDefault="004C7483" w:rsidP="00E52234">
      <w:pPr>
        <w:spacing w:after="120" w:line="240" w:lineRule="auto"/>
        <w:jc w:val="both"/>
        <w:rPr>
          <w:rFonts w:asciiTheme="majorBidi" w:hAnsiTheme="majorBidi" w:cstheme="majorBidi"/>
          <w:sz w:val="24"/>
          <w:szCs w:val="24"/>
        </w:rPr>
      </w:pPr>
    </w:p>
    <w:p w14:paraId="3FDC3EFC" w14:textId="77777777" w:rsidR="004C7483" w:rsidRPr="00E4781C" w:rsidRDefault="004C7483" w:rsidP="00E52234">
      <w:pPr>
        <w:pStyle w:val="Heading2"/>
        <w:jc w:val="both"/>
      </w:pPr>
      <w:bookmarkStart w:id="14" w:name="_Toc18423928"/>
      <w:bookmarkStart w:id="15" w:name="_Toc18425092"/>
      <w:r w:rsidRPr="00E4781C">
        <w:t>Observations and recommendations from GICJ</w:t>
      </w:r>
      <w:bookmarkEnd w:id="14"/>
      <w:bookmarkEnd w:id="15"/>
    </w:p>
    <w:p w14:paraId="7F69287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regret that the government of Israel did not answer all the Committee’s questions regarding the issue of evictions and demolitions.</w:t>
      </w:r>
    </w:p>
    <w:p w14:paraId="0042D5D9"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ask the State of Israel:</w:t>
      </w:r>
    </w:p>
    <w:p w14:paraId="1F128D52" w14:textId="77777777" w:rsidR="004C7483" w:rsidRPr="00B61460"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B61460">
        <w:rPr>
          <w:rFonts w:asciiTheme="majorBidi" w:hAnsiTheme="majorBidi" w:cstheme="majorBidi"/>
          <w:sz w:val="24"/>
          <w:szCs w:val="24"/>
        </w:rPr>
        <w:t>What steps are taken ensure adequate housing for all?</w:t>
      </w:r>
    </w:p>
    <w:p w14:paraId="25C45211"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Are there alternatives to the destruction of properties?</w:t>
      </w:r>
    </w:p>
    <w:p w14:paraId="778D1EC7"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What steps are taken</w:t>
      </w:r>
      <w:r>
        <w:rPr>
          <w:rFonts w:asciiTheme="majorBidi" w:hAnsiTheme="majorBidi" w:cstheme="majorBidi"/>
          <w:sz w:val="24"/>
          <w:szCs w:val="24"/>
        </w:rPr>
        <w:t xml:space="preserve"> to help people relocate</w:t>
      </w:r>
      <w:r w:rsidRPr="00E4781C">
        <w:rPr>
          <w:rFonts w:asciiTheme="majorBidi" w:hAnsiTheme="majorBidi" w:cstheme="majorBidi"/>
          <w:sz w:val="24"/>
          <w:szCs w:val="24"/>
        </w:rPr>
        <w:t xml:space="preserve"> if properties are destroyed or people evicted?</w:t>
      </w:r>
    </w:p>
    <w:p w14:paraId="7BE2B8DE"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What steps are taken, in the case of forced evictions, to compensate people affected?</w:t>
      </w:r>
    </w:p>
    <w:p w14:paraId="43DB1129"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provide disaggregated data on the building permits that are authorised.</w:t>
      </w:r>
    </w:p>
    <w:p w14:paraId="462E3D1E"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provide disaggregated data on evictions and building destructions.</w:t>
      </w:r>
    </w:p>
    <w:p w14:paraId="76EB7EF6" w14:textId="77777777" w:rsidR="004C7483" w:rsidRPr="00581C25"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To i</w:t>
      </w:r>
      <w:r w:rsidRPr="00581C25">
        <w:rPr>
          <w:rFonts w:asciiTheme="majorBidi" w:hAnsiTheme="majorBidi" w:cstheme="majorBidi"/>
          <w:sz w:val="24"/>
          <w:szCs w:val="24"/>
        </w:rPr>
        <w:t>mplement and respect its international obligations, including the Covenant, in all the controlled territories – in this case, in the West Bank.</w:t>
      </w:r>
    </w:p>
    <w:p w14:paraId="4372A61E" w14:textId="77777777" w:rsidR="004C7483"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look for alternatives to forced evictions and destruction of properties.</w:t>
      </w:r>
    </w:p>
    <w:p w14:paraId="205BA564"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To respect all UN resolutions on the special status of Jerusalem.</w:t>
      </w:r>
    </w:p>
    <w:p w14:paraId="76E4B4A8" w14:textId="77777777" w:rsidR="004C7483" w:rsidRPr="00E4781C" w:rsidRDefault="004C7483" w:rsidP="00E52234">
      <w:pPr>
        <w:spacing w:after="120" w:line="240" w:lineRule="auto"/>
        <w:jc w:val="both"/>
        <w:rPr>
          <w:rFonts w:asciiTheme="majorBidi" w:hAnsiTheme="majorBidi" w:cstheme="majorBidi"/>
          <w:sz w:val="24"/>
          <w:szCs w:val="24"/>
        </w:rPr>
      </w:pPr>
    </w:p>
    <w:p w14:paraId="3EF38E3D" w14:textId="77777777" w:rsidR="004C7483" w:rsidRPr="00E4781C" w:rsidRDefault="004C7483" w:rsidP="00E52234">
      <w:pPr>
        <w:pStyle w:val="Heading1"/>
        <w:jc w:val="both"/>
      </w:pPr>
      <w:bookmarkStart w:id="16" w:name="_Toc18423929"/>
      <w:bookmarkStart w:id="17" w:name="_Toc18425093"/>
      <w:r>
        <w:t>Other</w:t>
      </w:r>
      <w:r w:rsidRPr="00E4781C">
        <w:t xml:space="preserve"> observations and recommendations to the Committee</w:t>
      </w:r>
      <w:bookmarkEnd w:id="16"/>
      <w:bookmarkEnd w:id="17"/>
    </w:p>
    <w:p w14:paraId="20A481B8"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will now tackle issues of importance for the review of the State of Israel but that have not been developed in this report.</w:t>
      </w:r>
    </w:p>
    <w:p w14:paraId="6211353A" w14:textId="77777777" w:rsidR="004C7483" w:rsidRPr="00E4781C" w:rsidRDefault="004C7483" w:rsidP="00E52234">
      <w:pPr>
        <w:spacing w:after="120" w:line="240" w:lineRule="auto"/>
        <w:jc w:val="both"/>
        <w:rPr>
          <w:rFonts w:asciiTheme="majorBidi" w:hAnsiTheme="majorBidi" w:cstheme="majorBidi"/>
          <w:sz w:val="24"/>
          <w:szCs w:val="24"/>
        </w:rPr>
      </w:pPr>
    </w:p>
    <w:p w14:paraId="4933D38D" w14:textId="77777777" w:rsidR="004C7483" w:rsidRPr="00E4781C" w:rsidRDefault="004C7483" w:rsidP="00E52234">
      <w:pPr>
        <w:pStyle w:val="Heading2"/>
        <w:jc w:val="both"/>
      </w:pPr>
      <w:bookmarkStart w:id="18" w:name="_Toc18423930"/>
      <w:bookmarkStart w:id="19" w:name="_Toc18425094"/>
      <w:r w:rsidRPr="00E4781C">
        <w:t>Article 1 Right to self-determination</w:t>
      </w:r>
      <w:bookmarkEnd w:id="18"/>
      <w:bookmarkEnd w:id="19"/>
    </w:p>
    <w:p w14:paraId="6447AE20"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are concerned that the </w:t>
      </w:r>
      <w:r>
        <w:rPr>
          <w:rFonts w:asciiTheme="majorBidi" w:hAnsiTheme="majorBidi" w:cstheme="majorBidi"/>
          <w:sz w:val="24"/>
          <w:szCs w:val="24"/>
        </w:rPr>
        <w:t>amended</w:t>
      </w:r>
      <w:r w:rsidRPr="00E4781C">
        <w:rPr>
          <w:rFonts w:asciiTheme="majorBidi" w:hAnsiTheme="majorBidi" w:cstheme="majorBidi"/>
          <w:sz w:val="24"/>
          <w:szCs w:val="24"/>
        </w:rPr>
        <w:t xml:space="preserve"> Basic Law of Israel reserves the right to self-determination to </w:t>
      </w:r>
      <w:r>
        <w:rPr>
          <w:rFonts w:asciiTheme="majorBidi" w:hAnsiTheme="majorBidi" w:cstheme="majorBidi"/>
          <w:sz w:val="24"/>
          <w:szCs w:val="24"/>
        </w:rPr>
        <w:t>Jewish</w:t>
      </w:r>
      <w:r w:rsidRPr="00E4781C">
        <w:rPr>
          <w:rFonts w:asciiTheme="majorBidi" w:hAnsiTheme="majorBidi" w:cstheme="majorBidi"/>
          <w:sz w:val="24"/>
          <w:szCs w:val="24"/>
        </w:rPr>
        <w:t xml:space="preserve"> people.</w:t>
      </w:r>
    </w:p>
    <w:p w14:paraId="2CEFDCA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w:t>
      </w:r>
      <w:r>
        <w:rPr>
          <w:rFonts w:asciiTheme="majorBidi" w:hAnsiTheme="majorBidi" w:cstheme="majorBidi"/>
          <w:sz w:val="24"/>
          <w:szCs w:val="24"/>
        </w:rPr>
        <w:t>ask</w:t>
      </w:r>
      <w:r w:rsidRPr="00E4781C">
        <w:rPr>
          <w:rFonts w:asciiTheme="majorBidi" w:hAnsiTheme="majorBidi" w:cstheme="majorBidi"/>
          <w:sz w:val="24"/>
          <w:szCs w:val="24"/>
        </w:rPr>
        <w:t xml:space="preserve"> the State of Israel:</w:t>
      </w:r>
    </w:p>
    <w:p w14:paraId="08F133D6"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put its Basic Law in line with its international obligations.</w:t>
      </w:r>
    </w:p>
    <w:p w14:paraId="285E568F"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respect the right to self</w:t>
      </w:r>
      <w:r>
        <w:rPr>
          <w:rFonts w:asciiTheme="majorBidi" w:hAnsiTheme="majorBidi" w:cstheme="majorBidi"/>
          <w:sz w:val="24"/>
          <w:szCs w:val="24"/>
        </w:rPr>
        <w:t>-</w:t>
      </w:r>
      <w:r w:rsidRPr="00E4781C">
        <w:rPr>
          <w:rFonts w:asciiTheme="majorBidi" w:hAnsiTheme="majorBidi" w:cstheme="majorBidi"/>
          <w:sz w:val="24"/>
          <w:szCs w:val="24"/>
        </w:rPr>
        <w:t>determination of Palestinian people and restore their rights to their lands.</w:t>
      </w:r>
    </w:p>
    <w:p w14:paraId="462B802B" w14:textId="77777777" w:rsidR="004C7483" w:rsidRPr="00E4781C" w:rsidRDefault="004C7483" w:rsidP="00E52234">
      <w:pPr>
        <w:spacing w:after="120" w:line="240" w:lineRule="auto"/>
        <w:jc w:val="both"/>
        <w:rPr>
          <w:rFonts w:asciiTheme="majorBidi" w:hAnsiTheme="majorBidi" w:cstheme="majorBidi"/>
          <w:i/>
          <w:iCs/>
          <w:sz w:val="24"/>
          <w:szCs w:val="24"/>
        </w:rPr>
      </w:pPr>
    </w:p>
    <w:p w14:paraId="0DE0D1C2" w14:textId="77777777" w:rsidR="004C7483" w:rsidRPr="00E4781C" w:rsidRDefault="004C7483" w:rsidP="00E52234">
      <w:pPr>
        <w:pStyle w:val="Heading2"/>
        <w:jc w:val="both"/>
      </w:pPr>
      <w:bookmarkStart w:id="20" w:name="_Toc18423931"/>
      <w:bookmarkStart w:id="21" w:name="_Toc18425095"/>
      <w:r w:rsidRPr="00E4781C">
        <w:t>Article 2(2) Non-discrimination</w:t>
      </w:r>
      <w:bookmarkEnd w:id="20"/>
      <w:bookmarkEnd w:id="21"/>
    </w:p>
    <w:p w14:paraId="04DBB4AE"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We regret that despite its claim, Israel discriminates against Palestinians, Bedouins, Syrians, refugees and migrants in many ways.</w:t>
      </w:r>
    </w:p>
    <w:p w14:paraId="7BAF2956"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ask the State of Israel:</w:t>
      </w:r>
    </w:p>
    <w:p w14:paraId="09D1B5F1"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What are t</w:t>
      </w:r>
      <w:r w:rsidRPr="00E4781C">
        <w:rPr>
          <w:rFonts w:asciiTheme="majorBidi" w:hAnsiTheme="majorBidi" w:cstheme="majorBidi"/>
          <w:sz w:val="24"/>
          <w:szCs w:val="24"/>
        </w:rPr>
        <w:t xml:space="preserve">he steps taken to </w:t>
      </w:r>
      <w:r>
        <w:rPr>
          <w:rFonts w:asciiTheme="majorBidi" w:hAnsiTheme="majorBidi" w:cstheme="majorBidi"/>
          <w:sz w:val="24"/>
          <w:szCs w:val="24"/>
        </w:rPr>
        <w:t>enable</w:t>
      </w:r>
      <w:r w:rsidRPr="00E4781C">
        <w:rPr>
          <w:rFonts w:asciiTheme="majorBidi" w:hAnsiTheme="majorBidi" w:cstheme="majorBidi"/>
          <w:sz w:val="24"/>
          <w:szCs w:val="24"/>
        </w:rPr>
        <w:t xml:space="preserve"> all ethnic communities </w:t>
      </w:r>
      <w:r>
        <w:rPr>
          <w:rFonts w:asciiTheme="majorBidi" w:hAnsiTheme="majorBidi" w:cstheme="majorBidi"/>
          <w:sz w:val="24"/>
          <w:szCs w:val="24"/>
        </w:rPr>
        <w:t>to fully enjoy their rights, including by speaking their own language?</w:t>
      </w:r>
    </w:p>
    <w:p w14:paraId="4D3D8F07"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provide disaggregated data on the application of the laws.</w:t>
      </w:r>
    </w:p>
    <w:p w14:paraId="4DA4ED63"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To repeal the Basic </w:t>
      </w:r>
      <w:r>
        <w:rPr>
          <w:rFonts w:asciiTheme="majorBidi" w:hAnsiTheme="majorBidi" w:cstheme="majorBidi"/>
          <w:sz w:val="24"/>
          <w:szCs w:val="24"/>
        </w:rPr>
        <w:t>L</w:t>
      </w:r>
      <w:r w:rsidRPr="00E4781C">
        <w:rPr>
          <w:rFonts w:asciiTheme="majorBidi" w:hAnsiTheme="majorBidi" w:cstheme="majorBidi"/>
          <w:sz w:val="24"/>
          <w:szCs w:val="24"/>
        </w:rPr>
        <w:t>aw making a distinction between Jews and other communities.</w:t>
      </w:r>
    </w:p>
    <w:p w14:paraId="4B33D3BE"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To apply the same laws to every communit</w:t>
      </w:r>
      <w:r>
        <w:rPr>
          <w:rFonts w:asciiTheme="majorBidi" w:hAnsiTheme="majorBidi" w:cstheme="majorBidi"/>
          <w:sz w:val="24"/>
          <w:szCs w:val="24"/>
        </w:rPr>
        <w:t>y</w:t>
      </w:r>
      <w:r w:rsidRPr="00E4781C">
        <w:rPr>
          <w:rFonts w:asciiTheme="majorBidi" w:hAnsiTheme="majorBidi" w:cstheme="majorBidi"/>
          <w:sz w:val="24"/>
          <w:szCs w:val="24"/>
        </w:rPr>
        <w:t xml:space="preserve"> without discrimination.</w:t>
      </w:r>
    </w:p>
    <w:p w14:paraId="1E4F05A1" w14:textId="77777777" w:rsidR="004C7483" w:rsidRPr="00E4781C" w:rsidRDefault="004C7483" w:rsidP="00E52234">
      <w:pPr>
        <w:spacing w:after="120" w:line="240" w:lineRule="auto"/>
        <w:jc w:val="both"/>
        <w:rPr>
          <w:rFonts w:asciiTheme="majorBidi" w:hAnsiTheme="majorBidi" w:cstheme="majorBidi"/>
          <w:sz w:val="24"/>
          <w:szCs w:val="24"/>
        </w:rPr>
      </w:pPr>
    </w:p>
    <w:p w14:paraId="5897B0A7" w14:textId="77777777" w:rsidR="004C7483" w:rsidRPr="00E4781C" w:rsidRDefault="004C7483" w:rsidP="00E52234">
      <w:pPr>
        <w:pStyle w:val="Heading2"/>
        <w:jc w:val="both"/>
      </w:pPr>
      <w:bookmarkStart w:id="22" w:name="_Toc18423932"/>
      <w:bookmarkStart w:id="23" w:name="_Toc18425096"/>
      <w:r w:rsidRPr="00E4781C">
        <w:t>Article 12 Right to Physical and mental health</w:t>
      </w:r>
      <w:bookmarkEnd w:id="22"/>
      <w:bookmarkEnd w:id="23"/>
    </w:p>
    <w:p w14:paraId="4E60D53A"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i/>
          <w:iCs/>
          <w:sz w:val="24"/>
          <w:szCs w:val="24"/>
        </w:rPr>
      </w:pPr>
      <w:r w:rsidRPr="00E4781C">
        <w:rPr>
          <w:rFonts w:asciiTheme="majorBidi" w:hAnsiTheme="majorBidi" w:cstheme="majorBidi"/>
          <w:sz w:val="24"/>
          <w:szCs w:val="24"/>
        </w:rPr>
        <w:t>We are concerned about the fact that only 17 percent of the persons injured in the context of demonstrations receive the necessary permit to travel outside of Gaza for medical care</w:t>
      </w:r>
      <w:r>
        <w:rPr>
          <w:rFonts w:asciiTheme="majorBidi" w:hAnsiTheme="majorBidi" w:cstheme="majorBidi"/>
          <w:sz w:val="24"/>
          <w:szCs w:val="24"/>
        </w:rPr>
        <w:t>,</w:t>
      </w:r>
      <w:r w:rsidRPr="00E4781C">
        <w:rPr>
          <w:rStyle w:val="FootnoteReference"/>
          <w:rFonts w:asciiTheme="majorBidi" w:hAnsiTheme="majorBidi" w:cstheme="majorBidi"/>
          <w:sz w:val="24"/>
          <w:szCs w:val="24"/>
        </w:rPr>
        <w:footnoteReference w:id="6"/>
      </w:r>
      <w:r w:rsidRPr="00E4781C">
        <w:rPr>
          <w:rFonts w:asciiTheme="majorBidi" w:hAnsiTheme="majorBidi" w:cstheme="majorBidi"/>
          <w:sz w:val="24"/>
          <w:szCs w:val="24"/>
        </w:rPr>
        <w:t xml:space="preserve"> that dire health conditions in detention are reported</w:t>
      </w:r>
      <w:r>
        <w:rPr>
          <w:rFonts w:asciiTheme="majorBidi" w:hAnsiTheme="majorBidi" w:cstheme="majorBidi"/>
          <w:sz w:val="24"/>
          <w:szCs w:val="24"/>
        </w:rPr>
        <w:t>,</w:t>
      </w:r>
      <w:r w:rsidRPr="00E4781C">
        <w:rPr>
          <w:rStyle w:val="FootnoteReference"/>
          <w:rFonts w:asciiTheme="majorBidi" w:hAnsiTheme="majorBidi" w:cstheme="majorBidi"/>
          <w:sz w:val="24"/>
          <w:szCs w:val="24"/>
        </w:rPr>
        <w:footnoteReference w:id="7"/>
      </w:r>
      <w:r w:rsidRPr="00E4781C">
        <w:rPr>
          <w:rFonts w:asciiTheme="majorBidi" w:hAnsiTheme="majorBidi" w:cstheme="majorBidi"/>
          <w:sz w:val="24"/>
          <w:szCs w:val="24"/>
        </w:rPr>
        <w:t xml:space="preserve"> and that children and people in need </w:t>
      </w:r>
      <w:r>
        <w:rPr>
          <w:rFonts w:asciiTheme="majorBidi" w:hAnsiTheme="majorBidi" w:cstheme="majorBidi"/>
          <w:sz w:val="24"/>
          <w:szCs w:val="24"/>
        </w:rPr>
        <w:t>of</w:t>
      </w:r>
      <w:r w:rsidRPr="00E4781C">
        <w:rPr>
          <w:rFonts w:asciiTheme="majorBidi" w:hAnsiTheme="majorBidi" w:cstheme="majorBidi"/>
          <w:sz w:val="24"/>
          <w:szCs w:val="24"/>
        </w:rPr>
        <w:t xml:space="preserve"> care in the OPT are denied this right.</w:t>
      </w:r>
    </w:p>
    <w:p w14:paraId="73E0F4BF"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ask the State of Israel:</w:t>
      </w:r>
    </w:p>
    <w:p w14:paraId="181A4C0F"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On which basis permits to travel for medical care are </w:t>
      </w:r>
      <w:r>
        <w:rPr>
          <w:rFonts w:asciiTheme="majorBidi" w:hAnsiTheme="majorBidi" w:cstheme="majorBidi"/>
          <w:sz w:val="24"/>
          <w:szCs w:val="24"/>
        </w:rPr>
        <w:t>approved</w:t>
      </w:r>
      <w:r w:rsidRPr="00E4781C">
        <w:rPr>
          <w:rFonts w:asciiTheme="majorBidi" w:hAnsiTheme="majorBidi" w:cstheme="majorBidi"/>
          <w:sz w:val="24"/>
          <w:szCs w:val="24"/>
        </w:rPr>
        <w:t>.</w:t>
      </w:r>
    </w:p>
    <w:p w14:paraId="43E49AEA"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To e</w:t>
      </w:r>
      <w:r w:rsidRPr="00E4781C">
        <w:rPr>
          <w:rFonts w:asciiTheme="majorBidi" w:hAnsiTheme="majorBidi" w:cstheme="majorBidi"/>
          <w:sz w:val="24"/>
          <w:szCs w:val="24"/>
        </w:rPr>
        <w:t xml:space="preserve">nsure an equal access to health care for all people living </w:t>
      </w:r>
      <w:r>
        <w:rPr>
          <w:rFonts w:asciiTheme="majorBidi" w:hAnsiTheme="majorBidi" w:cstheme="majorBidi"/>
          <w:sz w:val="24"/>
          <w:szCs w:val="24"/>
        </w:rPr>
        <w:t>in</w:t>
      </w:r>
      <w:r w:rsidRPr="00E4781C">
        <w:rPr>
          <w:rFonts w:asciiTheme="majorBidi" w:hAnsiTheme="majorBidi" w:cstheme="majorBidi"/>
          <w:sz w:val="24"/>
          <w:szCs w:val="24"/>
        </w:rPr>
        <w:t xml:space="preserve"> territories under Israel’s control.</w:t>
      </w:r>
    </w:p>
    <w:p w14:paraId="3417D714" w14:textId="77777777" w:rsidR="004C7483" w:rsidRPr="00E4781C" w:rsidRDefault="004C7483" w:rsidP="00E52234">
      <w:pPr>
        <w:spacing w:after="120" w:line="240" w:lineRule="auto"/>
        <w:jc w:val="both"/>
        <w:rPr>
          <w:rFonts w:asciiTheme="majorBidi" w:hAnsiTheme="majorBidi" w:cstheme="majorBidi"/>
          <w:sz w:val="24"/>
          <w:szCs w:val="24"/>
        </w:rPr>
      </w:pPr>
    </w:p>
    <w:p w14:paraId="11A2EC77" w14:textId="77777777" w:rsidR="004C7483" w:rsidRPr="00E4781C" w:rsidRDefault="004C7483" w:rsidP="00E52234">
      <w:pPr>
        <w:pStyle w:val="Heading2"/>
        <w:jc w:val="both"/>
      </w:pPr>
      <w:bookmarkStart w:id="24" w:name="_Toc18423933"/>
      <w:bookmarkStart w:id="25" w:name="_Toc18425097"/>
      <w:r w:rsidRPr="00E4781C">
        <w:t>Article 13 Right to education</w:t>
      </w:r>
      <w:bookmarkEnd w:id="24"/>
      <w:bookmarkEnd w:id="25"/>
    </w:p>
    <w:p w14:paraId="32564EAC"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ask the State of Israel:</w:t>
      </w:r>
    </w:p>
    <w:p w14:paraId="3414F43A"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Whether the right to education in the OPT and in Israel is fulfilled with the same conscientiousness.</w:t>
      </w:r>
    </w:p>
    <w:p w14:paraId="22EA2373"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Whether access to schools is facilitated for children that need to go through checkpoint</w:t>
      </w:r>
      <w:r>
        <w:rPr>
          <w:rFonts w:asciiTheme="majorBidi" w:hAnsiTheme="majorBidi" w:cstheme="majorBidi"/>
          <w:sz w:val="24"/>
          <w:szCs w:val="24"/>
        </w:rPr>
        <w:t>s</w:t>
      </w:r>
      <w:r w:rsidRPr="00E4781C">
        <w:rPr>
          <w:rFonts w:asciiTheme="majorBidi" w:hAnsiTheme="majorBidi" w:cstheme="majorBidi"/>
          <w:sz w:val="24"/>
          <w:szCs w:val="24"/>
        </w:rPr>
        <w:t xml:space="preserve"> to go to school.</w:t>
      </w:r>
    </w:p>
    <w:p w14:paraId="0B5EA61B"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To e</w:t>
      </w:r>
      <w:r w:rsidRPr="00E4781C">
        <w:rPr>
          <w:rFonts w:asciiTheme="majorBidi" w:hAnsiTheme="majorBidi" w:cstheme="majorBidi"/>
          <w:sz w:val="24"/>
          <w:szCs w:val="24"/>
        </w:rPr>
        <w:t>nsure equal access to education for all.</w:t>
      </w:r>
    </w:p>
    <w:p w14:paraId="49171D8B"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To e</w:t>
      </w:r>
      <w:r w:rsidRPr="00E4781C">
        <w:rPr>
          <w:rFonts w:asciiTheme="majorBidi" w:hAnsiTheme="majorBidi" w:cstheme="majorBidi"/>
          <w:sz w:val="24"/>
          <w:szCs w:val="24"/>
        </w:rPr>
        <w:t>nsure that equal quality education is provided, without politicisation or discrimination included in the textbooks and through teachers.</w:t>
      </w:r>
    </w:p>
    <w:p w14:paraId="16D53F21" w14:textId="77777777" w:rsidR="004C7483" w:rsidRPr="00E4781C" w:rsidRDefault="004C7483" w:rsidP="00E52234">
      <w:pPr>
        <w:spacing w:after="120" w:line="240" w:lineRule="auto"/>
        <w:jc w:val="both"/>
        <w:rPr>
          <w:rFonts w:asciiTheme="majorBidi" w:hAnsiTheme="majorBidi" w:cstheme="majorBidi"/>
          <w:sz w:val="24"/>
          <w:szCs w:val="24"/>
        </w:rPr>
      </w:pPr>
    </w:p>
    <w:p w14:paraId="0DE3A278" w14:textId="77777777" w:rsidR="004C7483" w:rsidRPr="00E4781C" w:rsidRDefault="004C7483" w:rsidP="00E52234">
      <w:pPr>
        <w:pStyle w:val="Heading2"/>
        <w:jc w:val="both"/>
      </w:pPr>
      <w:bookmarkStart w:id="26" w:name="_Toc18423934"/>
      <w:bookmarkStart w:id="27" w:name="_Toc18425098"/>
      <w:r w:rsidRPr="00E4781C">
        <w:t>Article 15 Cultural Rights</w:t>
      </w:r>
      <w:bookmarkEnd w:id="26"/>
      <w:bookmarkEnd w:id="27"/>
    </w:p>
    <w:p w14:paraId="70DC8206"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We are deeply concerned by the ongoing disrespect shown against the Muslim religion and the attempts to prevent Muslims </w:t>
      </w:r>
      <w:r>
        <w:rPr>
          <w:rFonts w:asciiTheme="majorBidi" w:hAnsiTheme="majorBidi" w:cstheme="majorBidi"/>
          <w:sz w:val="24"/>
          <w:szCs w:val="24"/>
        </w:rPr>
        <w:t>from</w:t>
      </w:r>
      <w:r w:rsidRPr="00E4781C">
        <w:rPr>
          <w:rFonts w:asciiTheme="majorBidi" w:hAnsiTheme="majorBidi" w:cstheme="majorBidi"/>
          <w:sz w:val="24"/>
          <w:szCs w:val="24"/>
        </w:rPr>
        <w:t xml:space="preserve"> exercis</w:t>
      </w:r>
      <w:r>
        <w:rPr>
          <w:rFonts w:asciiTheme="majorBidi" w:hAnsiTheme="majorBidi" w:cstheme="majorBidi"/>
          <w:sz w:val="24"/>
          <w:szCs w:val="24"/>
        </w:rPr>
        <w:t>ing</w:t>
      </w:r>
      <w:r w:rsidRPr="00E4781C">
        <w:rPr>
          <w:rFonts w:asciiTheme="majorBidi" w:hAnsiTheme="majorBidi" w:cstheme="majorBidi"/>
          <w:sz w:val="24"/>
          <w:szCs w:val="24"/>
        </w:rPr>
        <w:t xml:space="preserve"> their freedom of religion.</w:t>
      </w:r>
    </w:p>
    <w:p w14:paraId="5675155E" w14:textId="77777777" w:rsidR="004C7483" w:rsidRPr="00E4781C" w:rsidRDefault="004C7483" w:rsidP="00E52234">
      <w:pPr>
        <w:pStyle w:val="ListParagraph"/>
        <w:numPr>
          <w:ilvl w:val="0"/>
          <w:numId w:val="35"/>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GICJ</w:t>
      </w:r>
      <w:r w:rsidRPr="00E4781C">
        <w:rPr>
          <w:rFonts w:asciiTheme="majorBidi" w:hAnsiTheme="majorBidi" w:cstheme="majorBidi"/>
          <w:sz w:val="24"/>
          <w:szCs w:val="24"/>
        </w:rPr>
        <w:t xml:space="preserve"> recommend</w:t>
      </w:r>
      <w:r>
        <w:rPr>
          <w:rFonts w:asciiTheme="majorBidi" w:hAnsiTheme="majorBidi" w:cstheme="majorBidi"/>
          <w:sz w:val="24"/>
          <w:szCs w:val="24"/>
        </w:rPr>
        <w:t>s</w:t>
      </w:r>
      <w:r w:rsidRPr="00E4781C">
        <w:rPr>
          <w:rFonts w:asciiTheme="majorBidi" w:hAnsiTheme="majorBidi" w:cstheme="majorBidi"/>
          <w:sz w:val="24"/>
          <w:szCs w:val="24"/>
        </w:rPr>
        <w:t xml:space="preserve"> that the Committee </w:t>
      </w:r>
      <w:r>
        <w:rPr>
          <w:rFonts w:asciiTheme="majorBidi" w:hAnsiTheme="majorBidi" w:cstheme="majorBidi"/>
          <w:sz w:val="24"/>
          <w:szCs w:val="24"/>
        </w:rPr>
        <w:t>ask</w:t>
      </w:r>
      <w:r w:rsidRPr="00E4781C">
        <w:rPr>
          <w:rFonts w:asciiTheme="majorBidi" w:hAnsiTheme="majorBidi" w:cstheme="majorBidi"/>
          <w:sz w:val="24"/>
          <w:szCs w:val="24"/>
        </w:rPr>
        <w:t xml:space="preserve"> the State of Israel to:</w:t>
      </w:r>
    </w:p>
    <w:p w14:paraId="64C19448"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Stop the attacks against Muslims and mosques.</w:t>
      </w:r>
    </w:p>
    <w:p w14:paraId="716285E4" w14:textId="77777777" w:rsidR="004C7483" w:rsidRPr="00E4781C" w:rsidRDefault="004C7483" w:rsidP="00E52234">
      <w:pPr>
        <w:pStyle w:val="ListParagraph"/>
        <w:numPr>
          <w:ilvl w:val="1"/>
          <w:numId w:val="35"/>
        </w:numPr>
        <w:spacing w:after="120" w:line="240" w:lineRule="auto"/>
        <w:contextualSpacing w:val="0"/>
        <w:jc w:val="both"/>
        <w:rPr>
          <w:rFonts w:asciiTheme="majorBidi" w:hAnsiTheme="majorBidi" w:cstheme="majorBidi"/>
          <w:sz w:val="24"/>
          <w:szCs w:val="24"/>
        </w:rPr>
      </w:pPr>
      <w:r w:rsidRPr="00E4781C">
        <w:rPr>
          <w:rFonts w:asciiTheme="majorBidi" w:hAnsiTheme="majorBidi" w:cstheme="majorBidi"/>
          <w:sz w:val="24"/>
          <w:szCs w:val="24"/>
        </w:rPr>
        <w:t xml:space="preserve">Ensure that people are free to practice their religion without fear of </w:t>
      </w:r>
      <w:r>
        <w:rPr>
          <w:rFonts w:asciiTheme="majorBidi" w:hAnsiTheme="majorBidi" w:cstheme="majorBidi"/>
          <w:sz w:val="24"/>
          <w:szCs w:val="24"/>
        </w:rPr>
        <w:t>persecution</w:t>
      </w:r>
      <w:r w:rsidRPr="00E4781C">
        <w:rPr>
          <w:rFonts w:asciiTheme="majorBidi" w:hAnsiTheme="majorBidi" w:cstheme="majorBidi"/>
          <w:sz w:val="24"/>
          <w:szCs w:val="24"/>
        </w:rPr>
        <w:t xml:space="preserve"> or attacks.</w:t>
      </w:r>
    </w:p>
    <w:p w14:paraId="6BB75FB5" w14:textId="77777777" w:rsidR="004C7483" w:rsidRPr="00E4781C" w:rsidRDefault="004C7483" w:rsidP="00E52234">
      <w:pPr>
        <w:pStyle w:val="ListParagraph"/>
        <w:spacing w:after="120" w:line="240" w:lineRule="auto"/>
        <w:ind w:left="360"/>
        <w:contextualSpacing w:val="0"/>
        <w:jc w:val="both"/>
        <w:rPr>
          <w:rFonts w:asciiTheme="majorBidi" w:hAnsiTheme="majorBidi" w:cstheme="majorBidi"/>
          <w:sz w:val="24"/>
          <w:szCs w:val="24"/>
        </w:rPr>
      </w:pPr>
    </w:p>
    <w:p w14:paraId="3A09A09A" w14:textId="77777777" w:rsidR="009B3CB7" w:rsidRPr="00A17311" w:rsidRDefault="009B3CB7" w:rsidP="00E52234">
      <w:pPr>
        <w:jc w:val="both"/>
        <w:rPr>
          <w:sz w:val="24"/>
          <w:szCs w:val="24"/>
        </w:rPr>
      </w:pPr>
    </w:p>
    <w:p w14:paraId="04B11C9F" w14:textId="77D22174" w:rsidR="00B365AC" w:rsidRDefault="00B365AC" w:rsidP="00E52234">
      <w:pPr>
        <w:jc w:val="both"/>
      </w:pPr>
    </w:p>
    <w:p w14:paraId="320E626D" w14:textId="77777777" w:rsidR="009B3CB7" w:rsidRDefault="009B3CB7" w:rsidP="00E52234">
      <w:pPr>
        <w:jc w:val="both"/>
      </w:pPr>
      <w:r>
        <w:br w:type="page"/>
      </w:r>
    </w:p>
    <w:p w14:paraId="390B9D87" w14:textId="7B9ECFC4" w:rsidR="008E05F0" w:rsidRDefault="004D7141" w:rsidP="00E52234">
      <w:pPr>
        <w:jc w:val="both"/>
        <w:rPr>
          <w:rFonts w:ascii="Times New Roman" w:hAnsi="Times New Roman"/>
          <w:sz w:val="24"/>
          <w:szCs w:val="24"/>
        </w:rPr>
      </w:pPr>
      <w:r>
        <w:rPr>
          <w:noProof/>
          <w:lang w:eastAsia="en-GB"/>
        </w:rPr>
        <mc:AlternateContent>
          <mc:Choice Requires="wps">
            <w:drawing>
              <wp:anchor distT="0" distB="0" distL="114300" distR="114300" simplePos="0" relativeHeight="251677696" behindDoc="0" locked="0" layoutInCell="1" allowOverlap="1" wp14:anchorId="34543D76" wp14:editId="481790C9">
                <wp:simplePos x="0" y="0"/>
                <wp:positionH relativeFrom="margin">
                  <wp:posOffset>-1205230</wp:posOffset>
                </wp:positionH>
                <wp:positionV relativeFrom="paragraph">
                  <wp:posOffset>-1114425</wp:posOffset>
                </wp:positionV>
                <wp:extent cx="9772650" cy="971550"/>
                <wp:effectExtent l="38100" t="19050" r="57150" b="95250"/>
                <wp:wrapNone/>
                <wp:docPr id="15" name="Rectangle 15"/>
                <wp:cNvGraphicFramePr/>
                <a:graphic xmlns:a="http://schemas.openxmlformats.org/drawingml/2006/main">
                  <a:graphicData uri="http://schemas.microsoft.com/office/word/2010/wordprocessingShape">
                    <wps:wsp>
                      <wps:cNvSpPr/>
                      <wps:spPr>
                        <a:xfrm>
                          <a:off x="0" y="0"/>
                          <a:ext cx="9772650" cy="971550"/>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A4E158" id="Rectangle 15" o:spid="_x0000_s1026" style="position:absolute;margin-left:-94.9pt;margin-top:-87.75pt;width:769.5pt;height:7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" fillcolor="#818183 [3209]" strokecolor="#818183 [3209]" strokeweight=".27778mm">
                <v:fill color2="#676768 [2569]" rotate="t" focusposition="1,1" focussize="-1,-1" colors="0 #818183;58982f #818183;1 #747476" focus="100%" type="gradientRadial"/>
                <v:shadow on="t" color="black" opacity="29491f" origin=",.5" offset="0"/>
                <w10:wrap anchorx="margin"/>
              </v:rect>
            </w:pict>
          </mc:Fallback>
        </mc:AlternateContent>
      </w:r>
      <w:r w:rsidR="00B67910">
        <w:rPr>
          <w:noProof/>
          <w:lang w:eastAsia="en-GB"/>
        </w:rPr>
        <mc:AlternateContent>
          <mc:Choice Requires="wps">
            <w:drawing>
              <wp:anchor distT="0" distB="0" distL="114300" distR="114300" simplePos="0" relativeHeight="251679744" behindDoc="0" locked="0" layoutInCell="1" allowOverlap="1" wp14:anchorId="77CE7A0B" wp14:editId="47EB247C">
                <wp:simplePos x="0" y="0"/>
                <wp:positionH relativeFrom="column">
                  <wp:posOffset>-1148080</wp:posOffset>
                </wp:positionH>
                <wp:positionV relativeFrom="paragraph">
                  <wp:posOffset>8905875</wp:posOffset>
                </wp:positionV>
                <wp:extent cx="8096250" cy="876300"/>
                <wp:effectExtent l="38100" t="19050" r="57150" b="95250"/>
                <wp:wrapNone/>
                <wp:docPr id="16" name="Rectangle 16"/>
                <wp:cNvGraphicFramePr/>
                <a:graphic xmlns:a="http://schemas.openxmlformats.org/drawingml/2006/main">
                  <a:graphicData uri="http://schemas.microsoft.com/office/word/2010/wordprocessingShape">
                    <wps:wsp>
                      <wps:cNvSpPr/>
                      <wps:spPr>
                        <a:xfrm>
                          <a:off x="0" y="0"/>
                          <a:ext cx="8096250" cy="876300"/>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E01550" id="Rectangle 16" o:spid="_x0000_s1026" style="position:absolute;margin-left:-90.4pt;margin-top:701.25pt;width:637.5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" fillcolor="#818183 [3209]" strokecolor="#818183 [3209]" strokeweight=".27778mm">
                <v:fill color2="#676768 [2569]" rotate="t" focusposition="1,1" focussize="-1,-1" colors="0 #818183;58982f #818183;1 #747476" focus="100%" type="gradientRadial"/>
                <v:shadow on="t" color="black" opacity="29491f" origin=",.5" offset="0"/>
              </v:rect>
            </w:pict>
          </mc:Fallback>
        </mc:AlternateContent>
      </w:r>
      <w:r w:rsidR="00C12475">
        <w:rPr>
          <w:noProof/>
          <w:lang w:eastAsia="en-GB"/>
        </w:rPr>
        <mc:AlternateContent>
          <mc:Choice Requires="wps">
            <w:drawing>
              <wp:anchor distT="0" distB="0" distL="114300" distR="114300" simplePos="0" relativeHeight="251671552" behindDoc="0" locked="0" layoutInCell="1" allowOverlap="1" wp14:anchorId="08C8543B" wp14:editId="24839731">
                <wp:simplePos x="0" y="0"/>
                <wp:positionH relativeFrom="margin">
                  <wp:posOffset>226517</wp:posOffset>
                </wp:positionH>
                <wp:positionV relativeFrom="paragraph">
                  <wp:posOffset>2187132</wp:posOffset>
                </wp:positionV>
                <wp:extent cx="5464692" cy="5092479"/>
                <wp:effectExtent l="38100" t="19050" r="60325" b="89535"/>
                <wp:wrapNone/>
                <wp:docPr id="11" name="Oval 11"/>
                <wp:cNvGraphicFramePr/>
                <a:graphic xmlns:a="http://schemas.openxmlformats.org/drawingml/2006/main">
                  <a:graphicData uri="http://schemas.microsoft.com/office/word/2010/wordprocessingShape">
                    <wps:wsp>
                      <wps:cNvSpPr/>
                      <wps:spPr>
                        <a:xfrm>
                          <a:off x="0" y="0"/>
                          <a:ext cx="5464692" cy="5092479"/>
                        </a:xfrm>
                        <a:prstGeom prst="ellipse">
                          <a:avLst/>
                        </a:prstGeom>
                        <a:ln/>
                      </wps:spPr>
                      <wps:style>
                        <a:lnRef idx="1">
                          <a:schemeClr val="accent3"/>
                        </a:lnRef>
                        <a:fillRef idx="3">
                          <a:schemeClr val="accent3"/>
                        </a:fillRef>
                        <a:effectRef idx="2">
                          <a:schemeClr val="accent3"/>
                        </a:effectRef>
                        <a:fontRef idx="minor">
                          <a:schemeClr val="lt1"/>
                        </a:fontRef>
                      </wps:style>
                      <wps:txbx>
                        <w:txbxContent>
                          <w:p w14:paraId="1878455B" w14:textId="44665E9A" w:rsidR="0098306F" w:rsidRPr="003571D6" w:rsidRDefault="0098306F" w:rsidP="005731F3">
                            <w:pPr>
                              <w:jc w:val="center"/>
                              <w:rPr>
                                <w:color w:val="2B2924" w:themeColor="text2" w:themeShade="80"/>
                                <w:sz w:val="28"/>
                                <w:szCs w:val="28"/>
                              </w:rPr>
                            </w:pPr>
                            <w:r w:rsidRPr="003571D6">
                              <w:rPr>
                                <w:color w:val="2B2924" w:themeColor="text2" w:themeShade="80"/>
                                <w:sz w:val="28"/>
                                <w:szCs w:val="28"/>
                              </w:rPr>
                              <w:t>Geneva International Centre for Justice (GICJ) is an international, independent, non-profit, non-governmental organisation based in Geneva-Switzerland. GICJ has been tackling issues of justice and accountability pertaining to Iraq. GICJ maintains partnerships with various NGOs, lawyers and a vast civil society and network within Iraq and the Middle East region. Through these channels, GICJ receives documentation and evidence of human rights violations and abuses in Iraq as they occur and report that to the human rights bodies in Geneva</w:t>
                            </w:r>
                            <w:r w:rsidR="005731F3" w:rsidRPr="003571D6">
                              <w:rPr>
                                <w:color w:val="2B2924" w:themeColor="text2" w:themeShade="80"/>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8C8543B" id="Oval 11" o:spid="_x0000_s1029" style="position:absolute;left:0;text-align:left;margin-left:17.85pt;margin-top:172.2pt;width:430.3pt;height:40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" fillcolor="#fe9e00 [3206]" strokecolor="#fe9e00 [3206]" strokeweight=".27778mm">
                <v:fill color2="#cb7d00 [2566]" rotate="t" focusposition="1,1" focussize="-1,-1" colors="0 #fe9e00;58982f #ffa000;1 #fd9400" focus="100%" type="gradientRadial"/>
                <v:shadow on="t" color="black" opacity="29491f" origin=",.5" offset="0"/>
                <v:textbox>
                  <w:txbxContent>
                    <w:p w14:paraId="1878455B" w14:textId="44665E9A" w:rsidR="0098306F" w:rsidRPr="003571D6" w:rsidRDefault="0098306F" w:rsidP="005731F3">
                      <w:pPr>
                        <w:jc w:val="center"/>
                        <w:rPr>
                          <w:color w:val="2B2924" w:themeColor="text2" w:themeShade="80"/>
                          <w:sz w:val="28"/>
                          <w:szCs w:val="28"/>
                        </w:rPr>
                      </w:pPr>
                      <w:r w:rsidRPr="003571D6">
                        <w:rPr>
                          <w:color w:val="2B2924" w:themeColor="text2" w:themeShade="80"/>
                          <w:sz w:val="28"/>
                          <w:szCs w:val="28"/>
                        </w:rPr>
                        <w:t>Geneva International Centre for Justice (GICJ) is an international, independent, non-profit, non-governmental organisation based in Geneva-Switzerland. GICJ has been tackling issues of justice and accountability pertaining to Iraq. GICJ maintains partnerships with various NGOs, lawyers and a vast civil society and network within Iraq and the Middle East region. Through these channels, GICJ receives documentation and evidence of human rights violations and abuses in Iraq as they occur and report that to the human rights bodies in Geneva</w:t>
                      </w:r>
                      <w:r w:rsidR="005731F3" w:rsidRPr="003571D6">
                        <w:rPr>
                          <w:color w:val="2B2924" w:themeColor="text2" w:themeShade="80"/>
                          <w:sz w:val="28"/>
                          <w:szCs w:val="28"/>
                        </w:rPr>
                        <w:t>.</w:t>
                      </w:r>
                    </w:p>
                  </w:txbxContent>
                </v:textbox>
                <w10:wrap anchorx="margin"/>
              </v:oval>
            </w:pict>
          </mc:Fallback>
        </mc:AlternateContent>
      </w:r>
      <w:r w:rsidR="008E05F0">
        <w:br w:type="page"/>
      </w:r>
    </w:p>
    <w:p w14:paraId="5F7CF569" w14:textId="4C6D7EF8" w:rsidR="008E05F0" w:rsidRDefault="008E05F0" w:rsidP="00E52234">
      <w:pPr>
        <w:pStyle w:val="Body"/>
        <w:numPr>
          <w:ilvl w:val="0"/>
          <w:numId w:val="0"/>
        </w:numPr>
        <w:tabs>
          <w:tab w:val="left" w:pos="1080"/>
        </w:tabs>
        <w:ind w:left="720" w:hanging="360"/>
        <w:jc w:val="both"/>
      </w:pPr>
      <w:r>
        <w:rPr>
          <w:noProof/>
          <w:lang w:eastAsia="en-GB"/>
        </w:rPr>
        <mc:AlternateContent>
          <mc:Choice Requires="wps">
            <w:drawing>
              <wp:anchor distT="0" distB="0" distL="114300" distR="114300" simplePos="0" relativeHeight="251665408" behindDoc="1" locked="0" layoutInCell="1" allowOverlap="1" wp14:anchorId="05027C85" wp14:editId="0E0E8708">
                <wp:simplePos x="0" y="0"/>
                <wp:positionH relativeFrom="margin">
                  <wp:align>center</wp:align>
                </wp:positionH>
                <wp:positionV relativeFrom="paragraph">
                  <wp:posOffset>-1228725</wp:posOffset>
                </wp:positionV>
                <wp:extent cx="9791700" cy="5612524"/>
                <wp:effectExtent l="38100" t="19050" r="57150" b="102870"/>
                <wp:wrapNone/>
                <wp:docPr id="6" name="Rectangle 6"/>
                <wp:cNvGraphicFramePr/>
                <a:graphic xmlns:a="http://schemas.openxmlformats.org/drawingml/2006/main">
                  <a:graphicData uri="http://schemas.microsoft.com/office/word/2010/wordprocessingShape">
                    <wps:wsp>
                      <wps:cNvSpPr/>
                      <wps:spPr>
                        <a:xfrm>
                          <a:off x="0" y="0"/>
                          <a:ext cx="9791700" cy="5612524"/>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AD3E1D" id="Rectangle 6" o:spid="_x0000_s1026" style="position:absolute;margin-left:0;margin-top:-96.75pt;width:771pt;height:441.9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" fillcolor="#818183 [3209]" strokecolor="#818183 [3209]" strokeweight=".27778mm">
                <v:fill color2="#676768 [2569]" rotate="t" focusposition="1,1" focussize="-1,-1" colors="0 #818183;58982f #818183;1 #747476" focus="100%" type="gradientRadial"/>
                <v:shadow on="t" color="black" opacity="29491f" origin=",.5" offset="0"/>
                <w10:wrap anchorx="margin"/>
              </v:rect>
            </w:pict>
          </mc:Fallback>
        </mc:AlternateContent>
      </w:r>
    </w:p>
    <w:p w14:paraId="72651F27" w14:textId="29339D3F" w:rsidR="008E05F0" w:rsidRDefault="008E05F0" w:rsidP="00E52234">
      <w:pPr>
        <w:pStyle w:val="Body"/>
        <w:numPr>
          <w:ilvl w:val="0"/>
          <w:numId w:val="0"/>
        </w:numPr>
        <w:tabs>
          <w:tab w:val="left" w:pos="1080"/>
        </w:tabs>
        <w:ind w:left="720" w:hanging="360"/>
        <w:jc w:val="both"/>
      </w:pPr>
      <w:r>
        <w:rPr>
          <w:noProof/>
          <w:lang w:eastAsia="en-GB"/>
        </w:rPr>
        <w:drawing>
          <wp:anchor distT="0" distB="0" distL="114300" distR="114300" simplePos="0" relativeHeight="251668480" behindDoc="0" locked="0" layoutInCell="1" allowOverlap="1" wp14:anchorId="3D616FDC" wp14:editId="73E22AB6">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0A1754" w14:textId="7499D872" w:rsidR="008E05F0" w:rsidRDefault="008E05F0" w:rsidP="00E52234">
      <w:pPr>
        <w:pStyle w:val="Body"/>
        <w:numPr>
          <w:ilvl w:val="0"/>
          <w:numId w:val="0"/>
        </w:numPr>
        <w:tabs>
          <w:tab w:val="left" w:pos="1080"/>
        </w:tabs>
        <w:ind w:left="720" w:hanging="360"/>
        <w:jc w:val="both"/>
      </w:pPr>
    </w:p>
    <w:p w14:paraId="42E5BA10" w14:textId="0984453C" w:rsidR="008E05F0" w:rsidRDefault="008E05F0" w:rsidP="00E52234">
      <w:pPr>
        <w:pStyle w:val="Body"/>
        <w:numPr>
          <w:ilvl w:val="0"/>
          <w:numId w:val="0"/>
        </w:numPr>
        <w:tabs>
          <w:tab w:val="left" w:pos="1080"/>
        </w:tabs>
        <w:ind w:left="720" w:hanging="360"/>
        <w:jc w:val="both"/>
      </w:pPr>
    </w:p>
    <w:p w14:paraId="16D80694" w14:textId="6B46B611" w:rsidR="008E05F0" w:rsidRDefault="008E05F0" w:rsidP="00E52234">
      <w:pPr>
        <w:pStyle w:val="Body"/>
        <w:numPr>
          <w:ilvl w:val="0"/>
          <w:numId w:val="0"/>
        </w:numPr>
        <w:tabs>
          <w:tab w:val="left" w:pos="1080"/>
        </w:tabs>
        <w:ind w:left="720" w:hanging="360"/>
        <w:jc w:val="both"/>
      </w:pPr>
    </w:p>
    <w:p w14:paraId="0D9F5EC2" w14:textId="3A9C15F8" w:rsidR="008E05F0" w:rsidRDefault="008E05F0" w:rsidP="00E52234">
      <w:pPr>
        <w:pStyle w:val="Body"/>
        <w:numPr>
          <w:ilvl w:val="0"/>
          <w:numId w:val="0"/>
        </w:numPr>
        <w:tabs>
          <w:tab w:val="left" w:pos="1080"/>
        </w:tabs>
        <w:ind w:left="720" w:hanging="360"/>
        <w:jc w:val="both"/>
      </w:pPr>
    </w:p>
    <w:p w14:paraId="291741D5" w14:textId="6208B767" w:rsidR="008E05F0" w:rsidRDefault="008E05F0" w:rsidP="00E52234">
      <w:pPr>
        <w:pStyle w:val="Body"/>
        <w:numPr>
          <w:ilvl w:val="0"/>
          <w:numId w:val="0"/>
        </w:numPr>
        <w:tabs>
          <w:tab w:val="left" w:pos="1080"/>
        </w:tabs>
        <w:ind w:left="720" w:hanging="360"/>
        <w:jc w:val="both"/>
      </w:pPr>
    </w:p>
    <w:p w14:paraId="097D368F" w14:textId="0667270E" w:rsidR="008E05F0" w:rsidRDefault="008E05F0" w:rsidP="00E52234">
      <w:pPr>
        <w:pStyle w:val="Body"/>
        <w:numPr>
          <w:ilvl w:val="0"/>
          <w:numId w:val="0"/>
        </w:numPr>
        <w:tabs>
          <w:tab w:val="left" w:pos="1080"/>
        </w:tabs>
        <w:ind w:left="720" w:hanging="360"/>
        <w:jc w:val="both"/>
      </w:pPr>
    </w:p>
    <w:p w14:paraId="35968A45" w14:textId="327A3C3C" w:rsidR="008E05F0" w:rsidRDefault="008E05F0" w:rsidP="00E52234">
      <w:pPr>
        <w:pStyle w:val="Body"/>
        <w:numPr>
          <w:ilvl w:val="0"/>
          <w:numId w:val="0"/>
        </w:numPr>
        <w:tabs>
          <w:tab w:val="left" w:pos="1080"/>
        </w:tabs>
        <w:ind w:left="720" w:hanging="360"/>
        <w:jc w:val="both"/>
      </w:pPr>
    </w:p>
    <w:p w14:paraId="10BF20BB" w14:textId="55140F08" w:rsidR="008E05F0" w:rsidRDefault="008E05F0" w:rsidP="00E52234">
      <w:pPr>
        <w:pStyle w:val="Body"/>
        <w:numPr>
          <w:ilvl w:val="0"/>
          <w:numId w:val="0"/>
        </w:numPr>
        <w:tabs>
          <w:tab w:val="left" w:pos="1080"/>
        </w:tabs>
        <w:ind w:left="720" w:hanging="360"/>
        <w:jc w:val="both"/>
      </w:pPr>
    </w:p>
    <w:p w14:paraId="28B138EB" w14:textId="49C34F67" w:rsidR="008E05F0" w:rsidRDefault="008E05F0" w:rsidP="00E52234">
      <w:pPr>
        <w:pStyle w:val="Body"/>
        <w:numPr>
          <w:ilvl w:val="0"/>
          <w:numId w:val="0"/>
        </w:numPr>
        <w:tabs>
          <w:tab w:val="left" w:pos="1080"/>
        </w:tabs>
        <w:ind w:left="720" w:hanging="360"/>
        <w:jc w:val="both"/>
      </w:pPr>
    </w:p>
    <w:p w14:paraId="2ADC8459" w14:textId="0DDCD0A0" w:rsidR="008E05F0" w:rsidRDefault="008E05F0" w:rsidP="00E52234">
      <w:pPr>
        <w:pStyle w:val="Body"/>
        <w:numPr>
          <w:ilvl w:val="0"/>
          <w:numId w:val="0"/>
        </w:numPr>
        <w:tabs>
          <w:tab w:val="left" w:pos="1080"/>
        </w:tabs>
        <w:ind w:left="720" w:hanging="360"/>
        <w:jc w:val="both"/>
      </w:pPr>
    </w:p>
    <w:p w14:paraId="46AD84E6" w14:textId="3662317C" w:rsidR="008E05F0" w:rsidRDefault="008E05F0" w:rsidP="00E52234">
      <w:pPr>
        <w:pStyle w:val="Body"/>
        <w:numPr>
          <w:ilvl w:val="0"/>
          <w:numId w:val="0"/>
        </w:numPr>
        <w:tabs>
          <w:tab w:val="left" w:pos="1080"/>
        </w:tabs>
        <w:ind w:left="720" w:hanging="360"/>
        <w:jc w:val="both"/>
      </w:pPr>
    </w:p>
    <w:p w14:paraId="1608C51C" w14:textId="0D34FA19" w:rsidR="008E05F0" w:rsidRDefault="005731F3" w:rsidP="00E52234">
      <w:pPr>
        <w:pStyle w:val="Body"/>
        <w:numPr>
          <w:ilvl w:val="0"/>
          <w:numId w:val="0"/>
        </w:numPr>
        <w:tabs>
          <w:tab w:val="left" w:pos="1080"/>
        </w:tabs>
        <w:ind w:left="720" w:hanging="360"/>
        <w:jc w:val="both"/>
      </w:pPr>
      <w:r>
        <w:rPr>
          <w:noProof/>
          <w:lang w:eastAsia="en-GB"/>
        </w:rPr>
        <mc:AlternateContent>
          <mc:Choice Requires="wps">
            <w:drawing>
              <wp:anchor distT="0" distB="0" distL="114300" distR="114300" simplePos="0" relativeHeight="251656190" behindDoc="1" locked="0" layoutInCell="1" allowOverlap="1" wp14:anchorId="54A74B7B" wp14:editId="3300FCB3">
                <wp:simplePos x="0" y="0"/>
                <wp:positionH relativeFrom="margin">
                  <wp:align>center</wp:align>
                </wp:positionH>
                <wp:positionV relativeFrom="paragraph">
                  <wp:posOffset>483870</wp:posOffset>
                </wp:positionV>
                <wp:extent cx="11049000" cy="3429000"/>
                <wp:effectExtent l="0" t="0" r="0" b="0"/>
                <wp:wrapNone/>
                <wp:docPr id="17" name="Rectangle 17"/>
                <wp:cNvGraphicFramePr/>
                <a:graphic xmlns:a="http://schemas.openxmlformats.org/drawingml/2006/main">
                  <a:graphicData uri="http://schemas.microsoft.com/office/word/2010/wordprocessingShape">
                    <wps:wsp>
                      <wps:cNvSpPr/>
                      <wps:spPr>
                        <a:xfrm>
                          <a:off x="0" y="0"/>
                          <a:ext cx="11049000" cy="342900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8F4649" id="Rectangle 17" o:spid="_x0000_s1026" style="position:absolute;margin-left:0;margin-top:38.1pt;width:870pt;height:270pt;z-index:-2516602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" fillcolor="#a96800 [2150]" stroked="f">
                <v:fill color2="#ffc465 [1942]" rotate="t" angle="180" colors="0 #aa6a00;31457f #ffa107;1 #ffc565" focus="100%" type="gradient"/>
                <w10:wrap anchorx="margin"/>
              </v:rect>
            </w:pict>
          </mc:Fallback>
        </mc:AlternateContent>
      </w:r>
    </w:p>
    <w:p w14:paraId="324D1EFB" w14:textId="7738BD20" w:rsidR="008E05F0" w:rsidRDefault="008E05F0" w:rsidP="00E52234">
      <w:pPr>
        <w:pStyle w:val="Body"/>
        <w:numPr>
          <w:ilvl w:val="0"/>
          <w:numId w:val="0"/>
        </w:numPr>
        <w:tabs>
          <w:tab w:val="left" w:pos="1080"/>
        </w:tabs>
        <w:ind w:left="720" w:hanging="360"/>
        <w:jc w:val="both"/>
      </w:pPr>
    </w:p>
    <w:p w14:paraId="4694E552" w14:textId="56E553F7" w:rsidR="008E05F0" w:rsidRDefault="008E05F0" w:rsidP="00E52234">
      <w:pPr>
        <w:pStyle w:val="Body"/>
        <w:numPr>
          <w:ilvl w:val="0"/>
          <w:numId w:val="0"/>
        </w:numPr>
        <w:tabs>
          <w:tab w:val="left" w:pos="1080"/>
        </w:tabs>
        <w:ind w:left="720" w:hanging="360"/>
        <w:jc w:val="both"/>
      </w:pPr>
    </w:p>
    <w:p w14:paraId="4A33D893" w14:textId="23143F64" w:rsidR="008E05F0" w:rsidRPr="007D3B6D" w:rsidRDefault="008E05F0" w:rsidP="003571D6">
      <w:pPr>
        <w:pStyle w:val="Body"/>
        <w:numPr>
          <w:ilvl w:val="0"/>
          <w:numId w:val="0"/>
        </w:numPr>
        <w:tabs>
          <w:tab w:val="left" w:pos="1080"/>
        </w:tabs>
        <w:spacing w:after="0" w:line="240" w:lineRule="auto"/>
        <w:ind w:left="714" w:hanging="357"/>
        <w:jc w:val="center"/>
        <w:rPr>
          <w:rFonts w:ascii="Century Gothic" w:hAnsi="Century Gothic"/>
          <w:b/>
          <w:bCs/>
          <w:color w:val="FFFFFF" w:themeColor="background1"/>
          <w14:shadow w14:blurRad="50800" w14:dist="38100" w14:dir="5400000" w14:sx="100000" w14:sy="100000" w14:kx="0" w14:ky="0" w14:algn="t">
            <w14:srgbClr w14:val="000000">
              <w14:alpha w14:val="60000"/>
            </w14:srgbClr>
          </w14:shadow>
        </w:rPr>
      </w:pP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Geneva International Centre</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Viner Hand ITC" w:hAnsi="Viner Hand ITC"/>
          <w:color w:val="FFFFFF" w:themeColor="background1"/>
          <w14:shadow w14:blurRad="50800" w14:dist="38100" w14:dir="5400000" w14:sx="100000" w14:sy="100000" w14:kx="0" w14:ky="0" w14:algn="t">
            <w14:srgbClr w14:val="000000">
              <w14:alpha w14:val="60000"/>
            </w14:srgbClr>
          </w14:shadow>
        </w:rPr>
        <w:t>for</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Justice</w:t>
      </w:r>
    </w:p>
    <w:p w14:paraId="6DD2C7F1" w14:textId="03B02788" w:rsidR="008E05F0" w:rsidRPr="007D3B6D" w:rsidRDefault="008E05F0" w:rsidP="003571D6">
      <w:pPr>
        <w:pStyle w:val="Body"/>
        <w:numPr>
          <w:ilvl w:val="0"/>
          <w:numId w:val="0"/>
        </w:numPr>
        <w:tabs>
          <w:tab w:val="left" w:pos="1080"/>
        </w:tabs>
        <w:ind w:left="720" w:hanging="360"/>
        <w:jc w:val="center"/>
        <w:rPr>
          <w:b/>
          <w:bCs/>
          <w:color w:val="FFFFFF" w:themeColor="background1"/>
        </w:rPr>
      </w:pPr>
      <w:r w:rsidRPr="007D3B6D">
        <w:rPr>
          <w:rFonts w:ascii="Century Gothic" w:hAnsi="Century Gothic"/>
          <w:b/>
          <w:bCs/>
          <w:color w:val="FFFFFF" w:themeColor="background1"/>
        </w:rPr>
        <w:t>(GICJ)</w:t>
      </w:r>
    </w:p>
    <w:p w14:paraId="49078DD5" w14:textId="60779971" w:rsidR="008E05F0" w:rsidRPr="00D372D9" w:rsidRDefault="008E05F0" w:rsidP="003571D6">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Postal address:</w:t>
      </w:r>
      <w:r w:rsidRPr="00D372D9">
        <w:rPr>
          <w:rFonts w:ascii="Century Gothic" w:hAnsi="Century Gothic" w:cs="Aharoni"/>
          <w:color w:val="FFFFFF" w:themeColor="background1"/>
          <w:lang w:val="en-US"/>
        </w:rPr>
        <w:t xml:space="preserve">  P.O. Box: GICJ  598 CH-1214 Vernier</w:t>
      </w:r>
      <w:r w:rsidRPr="00D372D9">
        <w:rPr>
          <w:rFonts w:ascii="Century Gothic" w:hAnsi="Century Gothic" w:cs="Aharoni"/>
          <w:color w:val="FFFFFF" w:themeColor="background1"/>
        </w:rPr>
        <w:t>,</w:t>
      </w:r>
      <w:r w:rsidRPr="00D372D9">
        <w:rPr>
          <w:rFonts w:ascii="Century Gothic" w:hAnsi="Century Gothic" w:cs="Aharoni"/>
          <w:color w:val="FFFFFF" w:themeColor="background1"/>
          <w:lang w:val="en-US"/>
        </w:rPr>
        <w:t xml:space="preserve"> Geneva – Switzerland</w:t>
      </w:r>
    </w:p>
    <w:p w14:paraId="616CF6FF" w14:textId="17E949DA"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color w:val="FFFFFF" w:themeColor="background1"/>
        </w:rPr>
        <w:t xml:space="preserve">Email: </w:t>
      </w:r>
      <w:hyperlink r:id="rId12" w:history="1">
        <w:r w:rsidRPr="00D372D9">
          <w:rPr>
            <w:rStyle w:val="Hyperlink"/>
            <w:rFonts w:ascii="Century Gothic" w:hAnsi="Century Gothic" w:cs="Aharoni"/>
            <w:color w:val="FFFFFF" w:themeColor="background1"/>
            <w:u w:val="none"/>
          </w:rPr>
          <w:t>info@gicj.org</w:t>
        </w:r>
      </w:hyperlink>
    </w:p>
    <w:p w14:paraId="41D90C3B" w14:textId="6BC2E192"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color w:val="FFFFFF" w:themeColor="background1"/>
          <w:lang w:val="en-US"/>
        </w:rPr>
        <w:t>Tel: +41 22 788 19 71</w:t>
      </w:r>
    </w:p>
    <w:p w14:paraId="3EB703D5" w14:textId="69C42E50" w:rsidR="008E05F0" w:rsidRPr="00D372D9" w:rsidRDefault="008E05F0" w:rsidP="003571D6">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Office:</w:t>
      </w:r>
      <w:r w:rsidRPr="00D372D9">
        <w:rPr>
          <w:rFonts w:ascii="Century Gothic" w:hAnsi="Century Gothic" w:cs="Aharoni"/>
          <w:color w:val="FFFFFF" w:themeColor="background1"/>
          <w:lang w:val="en-US"/>
        </w:rPr>
        <w:t xml:space="preserve"> 150 Route de Ferney, CH 1211 Geneva 2 – Switzerland</w:t>
      </w:r>
    </w:p>
    <w:p w14:paraId="0E1AD866" w14:textId="5BEB10F7" w:rsidR="008E05F0" w:rsidRPr="00D372D9" w:rsidRDefault="008E05F0" w:rsidP="003571D6">
      <w:pPr>
        <w:jc w:val="center"/>
        <w:rPr>
          <w:rFonts w:ascii="Century Gothic" w:hAnsi="Century Gothic" w:cs="Aharoni"/>
          <w:color w:val="FFFFFF" w:themeColor="background1"/>
          <w:rtl/>
        </w:rPr>
      </w:pPr>
      <w:r w:rsidRPr="00D372D9">
        <w:rPr>
          <w:rFonts w:ascii="Century Gothic" w:hAnsi="Century Gothic" w:cs="Aharoni"/>
          <w:b/>
          <w:bCs/>
          <w:color w:val="FFFFFF" w:themeColor="background1"/>
          <w:lang w:val="en-US"/>
        </w:rPr>
        <w:t>Facebook:</w:t>
      </w:r>
      <w:r w:rsidRPr="00D372D9">
        <w:rPr>
          <w:rFonts w:ascii="Century Gothic" w:hAnsi="Century Gothic" w:cs="Aharoni"/>
          <w:color w:val="FFFFFF" w:themeColor="background1"/>
          <w:lang w:val="en-US"/>
        </w:rPr>
        <w:t xml:space="preserve"> </w:t>
      </w:r>
      <w:hyperlink r:id="rId13" w:history="1">
        <w:r w:rsidRPr="00D372D9">
          <w:rPr>
            <w:rStyle w:val="Hyperlink"/>
            <w:rFonts w:ascii="Century Gothic" w:hAnsi="Century Gothic" w:cs="Aharoni"/>
            <w:color w:val="FFFFFF" w:themeColor="background1"/>
            <w:u w:val="none"/>
          </w:rPr>
          <w:t>https://www.facebook.com/GIC4J</w:t>
        </w:r>
      </w:hyperlink>
    </w:p>
    <w:p w14:paraId="36EC889D" w14:textId="594BC81D"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b/>
          <w:bCs/>
          <w:color w:val="FFFFFF" w:themeColor="background1"/>
        </w:rPr>
        <w:t>Twitter:</w:t>
      </w:r>
      <w:r w:rsidRPr="00D372D9">
        <w:rPr>
          <w:rFonts w:ascii="Century Gothic" w:hAnsi="Century Gothic" w:cs="Aharoni"/>
          <w:color w:val="FFFFFF" w:themeColor="background1"/>
        </w:rPr>
        <w:t xml:space="preserve"> @Geneva4Justice      </w:t>
      </w:r>
      <w:r w:rsidRPr="00D372D9">
        <w:rPr>
          <w:rFonts w:ascii="Century Gothic" w:hAnsi="Century Gothic" w:cs="Aharoni"/>
          <w:b/>
          <w:bCs/>
          <w:color w:val="FFFFFF" w:themeColor="background1"/>
        </w:rPr>
        <w:t>Skype:</w:t>
      </w:r>
      <w:r w:rsidRPr="00D372D9">
        <w:rPr>
          <w:rFonts w:ascii="Century Gothic" w:hAnsi="Century Gothic" w:cs="Aharoni"/>
          <w:color w:val="FFFFFF" w:themeColor="background1"/>
        </w:rPr>
        <w:t xml:space="preserve"> Geneva4Justice</w:t>
      </w:r>
      <w:r w:rsidRPr="00D372D9">
        <w:rPr>
          <w:rFonts w:ascii="Century Gothic" w:hAnsi="Century Gothic" w:cs="Aharoni"/>
          <w:color w:val="FFFFFF" w:themeColor="background1"/>
          <w:rtl/>
        </w:rPr>
        <w:t xml:space="preserve">  </w:t>
      </w:r>
      <w:r w:rsidRPr="00D372D9">
        <w:rPr>
          <w:rFonts w:ascii="Century Gothic" w:hAnsi="Century Gothic" w:cs="Aharoni"/>
          <w:b/>
          <w:bCs/>
          <w:color w:val="FFFFFF" w:themeColor="background1"/>
        </w:rPr>
        <w:t>Instagram:</w:t>
      </w:r>
      <w:r w:rsidRPr="00D372D9">
        <w:rPr>
          <w:rFonts w:ascii="Century Gothic" w:hAnsi="Century Gothic" w:cs="Aharoni"/>
          <w:color w:val="FFFFFF" w:themeColor="background1"/>
        </w:rPr>
        <w:t xml:space="preserve"> geneva4justice</w:t>
      </w:r>
    </w:p>
    <w:p w14:paraId="54491D39" w14:textId="6DC08180" w:rsidR="008E05F0" w:rsidRPr="008E05F0" w:rsidRDefault="002C04E8" w:rsidP="003571D6">
      <w:pPr>
        <w:jc w:val="center"/>
        <w:rPr>
          <w:rFonts w:ascii="Century Gothic" w:hAnsi="Century Gothic" w:cs="Aharoni"/>
          <w:b/>
          <w:bCs/>
          <w:color w:val="2B2924" w:themeColor="text2" w:themeShade="80"/>
        </w:rPr>
      </w:pPr>
      <w:r w:rsidRPr="00D372D9">
        <w:rPr>
          <w:noProof/>
          <w:color w:val="FFFFFF" w:themeColor="background1"/>
          <w:lang w:eastAsia="en-GB"/>
        </w:rPr>
        <mc:AlternateContent>
          <mc:Choice Requires="wps">
            <w:drawing>
              <wp:anchor distT="0" distB="0" distL="114300" distR="114300" simplePos="0" relativeHeight="251680768" behindDoc="0" locked="0" layoutInCell="1" allowOverlap="1" wp14:anchorId="1B454EFF" wp14:editId="1F48955B">
                <wp:simplePos x="0" y="0"/>
                <wp:positionH relativeFrom="margin">
                  <wp:align>center</wp:align>
                </wp:positionH>
                <wp:positionV relativeFrom="paragraph">
                  <wp:posOffset>359410</wp:posOffset>
                </wp:positionV>
                <wp:extent cx="11049000" cy="3429000"/>
                <wp:effectExtent l="38100" t="19050" r="57150" b="95250"/>
                <wp:wrapNone/>
                <wp:docPr id="8" name="Rectangle 8"/>
                <wp:cNvGraphicFramePr/>
                <a:graphic xmlns:a="http://schemas.openxmlformats.org/drawingml/2006/main">
                  <a:graphicData uri="http://schemas.microsoft.com/office/word/2010/wordprocessingShape">
                    <wps:wsp>
                      <wps:cNvSpPr/>
                      <wps:spPr>
                        <a:xfrm>
                          <a:off x="0" y="0"/>
                          <a:ext cx="11049000" cy="3429000"/>
                        </a:xfrm>
                        <a:prstGeom prst="rect">
                          <a:avLst/>
                        </a:prstGeom>
                        <a:solidFill>
                          <a:srgbClr val="545454"/>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998C03" id="Rectangle 8" o:spid="_x0000_s1026" style="position:absolute;margin-left:0;margin-top:28.3pt;width:870pt;height:270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" fillcolor="#545454" strokecolor="#818183 [3209]" strokeweight=".27778mm">
                <v:shadow on="t" color="black" opacity="29491f" origin=",.5" offset="0"/>
                <w10:wrap anchorx="margin"/>
              </v:rect>
            </w:pict>
          </mc:Fallback>
        </mc:AlternateContent>
      </w:r>
      <w:r w:rsidR="008E05F0" w:rsidRPr="00D372D9">
        <w:rPr>
          <w:rFonts w:ascii="Century Gothic" w:hAnsi="Century Gothic" w:cs="Aharoni"/>
          <w:b/>
          <w:bCs/>
          <w:color w:val="FFFFFF" w:themeColor="background1"/>
        </w:rPr>
        <w:t xml:space="preserve">Website: </w:t>
      </w:r>
      <w:r w:rsidR="008E05F0" w:rsidRPr="00D372D9">
        <w:rPr>
          <w:rFonts w:ascii="Century Gothic" w:hAnsi="Century Gothic" w:cs="Aharoni"/>
          <w:color w:val="FFFFFF" w:themeColor="background1"/>
        </w:rPr>
        <w:t>www.gicj.org</w:t>
      </w:r>
    </w:p>
    <w:p w14:paraId="20F15112" w14:textId="43ECCC70" w:rsidR="008E05F0" w:rsidRDefault="008E05F0" w:rsidP="00E52234">
      <w:pPr>
        <w:pStyle w:val="Body"/>
        <w:numPr>
          <w:ilvl w:val="0"/>
          <w:numId w:val="0"/>
        </w:numPr>
        <w:tabs>
          <w:tab w:val="left" w:pos="1080"/>
        </w:tabs>
        <w:ind w:left="720" w:hanging="360"/>
        <w:jc w:val="both"/>
      </w:pPr>
    </w:p>
    <w:p w14:paraId="144BB323" w14:textId="79D47A85" w:rsidR="008E05F0" w:rsidRDefault="008E05F0" w:rsidP="00E52234">
      <w:pPr>
        <w:pStyle w:val="Body"/>
        <w:numPr>
          <w:ilvl w:val="0"/>
          <w:numId w:val="0"/>
        </w:numPr>
        <w:tabs>
          <w:tab w:val="left" w:pos="1080"/>
        </w:tabs>
        <w:ind w:left="720" w:hanging="360"/>
        <w:jc w:val="both"/>
      </w:pPr>
    </w:p>
    <w:p w14:paraId="7D829749" w14:textId="0BE92A38" w:rsidR="008E05F0" w:rsidRPr="00C342C7" w:rsidRDefault="008E05F0" w:rsidP="00E52234">
      <w:pPr>
        <w:pStyle w:val="Body"/>
        <w:numPr>
          <w:ilvl w:val="0"/>
          <w:numId w:val="0"/>
        </w:numPr>
        <w:tabs>
          <w:tab w:val="left" w:pos="1080"/>
        </w:tabs>
        <w:ind w:left="720" w:hanging="360"/>
        <w:jc w:val="both"/>
      </w:pPr>
    </w:p>
    <w:sectPr w:rsidR="008E05F0" w:rsidRPr="00C342C7" w:rsidSect="001625C4">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820AC" w14:textId="77777777" w:rsidR="00E37ADD" w:rsidRDefault="00E37ADD" w:rsidP="00A837AA">
      <w:pPr>
        <w:spacing w:after="0" w:line="240" w:lineRule="auto"/>
      </w:pPr>
      <w:r>
        <w:separator/>
      </w:r>
    </w:p>
  </w:endnote>
  <w:endnote w:type="continuationSeparator" w:id="0">
    <w:p w14:paraId="5DB5E439" w14:textId="77777777" w:rsidR="00E37ADD" w:rsidRDefault="00E37ADD"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Aharoni">
    <w:altName w:val="Segoe UI Semibold"/>
    <w:charset w:val="B1"/>
    <w:family w:val="auto"/>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5D864" w14:textId="77777777" w:rsidR="00E37ADD" w:rsidRDefault="00E37ADD" w:rsidP="00A837AA">
      <w:pPr>
        <w:spacing w:after="0" w:line="240" w:lineRule="auto"/>
      </w:pPr>
      <w:r>
        <w:separator/>
      </w:r>
    </w:p>
  </w:footnote>
  <w:footnote w:type="continuationSeparator" w:id="0">
    <w:p w14:paraId="5FFE9527" w14:textId="77777777" w:rsidR="00E37ADD" w:rsidRDefault="00E37ADD" w:rsidP="00A837AA">
      <w:pPr>
        <w:spacing w:after="0" w:line="240" w:lineRule="auto"/>
      </w:pPr>
      <w:r>
        <w:continuationSeparator/>
      </w:r>
    </w:p>
  </w:footnote>
  <w:footnote w:id="1">
    <w:p w14:paraId="74DF8189" w14:textId="77777777" w:rsidR="004C7483" w:rsidRPr="008C0D52" w:rsidRDefault="004C7483" w:rsidP="004C7483">
      <w:pPr>
        <w:pStyle w:val="FootnoteText"/>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w:t>
      </w:r>
      <w:r>
        <w:rPr>
          <w:rFonts w:asciiTheme="majorBidi" w:hAnsiTheme="majorBidi" w:cstheme="majorBidi"/>
        </w:rPr>
        <w:t xml:space="preserve">Report of the Special Rapporteur on Adequate Housing as a Component of the Right to an Adequate Standard of Living, annex 1, UN Doc. No. </w:t>
      </w:r>
      <w:r w:rsidRPr="008C0D52">
        <w:rPr>
          <w:rFonts w:asciiTheme="majorBidi" w:hAnsiTheme="majorBidi" w:cstheme="majorBidi"/>
        </w:rPr>
        <w:t>A/HRC/4/18</w:t>
      </w:r>
      <w:r w:rsidRPr="008C0D52">
        <w:rPr>
          <w:rFonts w:asciiTheme="majorBidi" w:hAnsiTheme="majorBidi" w:cstheme="majorBidi"/>
          <w:lang w:val="en-US"/>
        </w:rPr>
        <w:t xml:space="preserve"> </w:t>
      </w:r>
      <w:r>
        <w:rPr>
          <w:rFonts w:asciiTheme="majorBidi" w:hAnsiTheme="majorBidi" w:cstheme="majorBidi"/>
          <w:lang w:val="en-US"/>
        </w:rPr>
        <w:t>(5 Feb. 2007).</w:t>
      </w:r>
    </w:p>
  </w:footnote>
  <w:footnote w:id="2">
    <w:p w14:paraId="3D795C6E" w14:textId="77777777" w:rsidR="004C7483" w:rsidRPr="008C0D52" w:rsidRDefault="004C7483" w:rsidP="004C7483">
      <w:pPr>
        <w:pStyle w:val="FootnoteText"/>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“Forced Evictions”, UN Habitat, Fact Sheet No. 25/Rev.1</w:t>
      </w:r>
      <w:r>
        <w:rPr>
          <w:rFonts w:asciiTheme="majorBidi" w:hAnsiTheme="majorBidi" w:cstheme="majorBidi"/>
        </w:rPr>
        <w:t>.</w:t>
      </w:r>
    </w:p>
  </w:footnote>
  <w:footnote w:id="3">
    <w:p w14:paraId="73DBC4F2" w14:textId="77777777" w:rsidR="004C7483" w:rsidRPr="008C0D52" w:rsidRDefault="004C7483" w:rsidP="004C7483">
      <w:pPr>
        <w:pStyle w:val="FootnoteText"/>
        <w:jc w:val="both"/>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End-of-mission statement of the UN Special Committee to Investigate Israeli Practices 24</w:t>
      </w:r>
      <w:r>
        <w:rPr>
          <w:rFonts w:asciiTheme="majorBidi" w:hAnsiTheme="majorBidi" w:cstheme="majorBidi"/>
        </w:rPr>
        <w:t xml:space="preserve"> June </w:t>
      </w:r>
      <w:r w:rsidRPr="008C0D52">
        <w:rPr>
          <w:rFonts w:asciiTheme="majorBidi" w:hAnsiTheme="majorBidi" w:cstheme="majorBidi"/>
        </w:rPr>
        <w:t>2019</w:t>
      </w:r>
      <w:r>
        <w:rPr>
          <w:rFonts w:asciiTheme="majorBidi" w:hAnsiTheme="majorBidi" w:cstheme="majorBidi"/>
        </w:rPr>
        <w:t>.</w:t>
      </w:r>
    </w:p>
    <w:p w14:paraId="511F61B6" w14:textId="77777777" w:rsidR="004C7483" w:rsidRPr="008C0D52" w:rsidRDefault="00094557" w:rsidP="004C7483">
      <w:pPr>
        <w:pStyle w:val="FootnoteText"/>
        <w:jc w:val="both"/>
        <w:rPr>
          <w:rFonts w:asciiTheme="majorBidi" w:hAnsiTheme="majorBidi" w:cstheme="majorBidi"/>
        </w:rPr>
      </w:pPr>
      <w:hyperlink r:id="rId1" w:history="1">
        <w:r w:rsidR="004C7483" w:rsidRPr="008C0D52">
          <w:rPr>
            <w:rStyle w:val="Hyperlink"/>
            <w:rFonts w:asciiTheme="majorBidi" w:hAnsiTheme="majorBidi" w:cstheme="majorBidi"/>
          </w:rPr>
          <w:t>https://www.ohchr.org/EN/NewsEvents/Pages/DisplayNews.aspx?NewsID=24729&amp;LangID=E</w:t>
        </w:r>
      </w:hyperlink>
      <w:r w:rsidR="004C7483">
        <w:rPr>
          <w:rStyle w:val="Hyperlink"/>
          <w:rFonts w:asciiTheme="majorBidi" w:hAnsiTheme="majorBidi" w:cstheme="majorBidi"/>
        </w:rPr>
        <w:t>.</w:t>
      </w:r>
    </w:p>
  </w:footnote>
  <w:footnote w:id="4">
    <w:p w14:paraId="3BF46F3D" w14:textId="77777777" w:rsidR="004C7483" w:rsidRPr="008C0D52" w:rsidRDefault="004C7483" w:rsidP="004C7483">
      <w:pPr>
        <w:pStyle w:val="FootnoteText"/>
        <w:rPr>
          <w:rFonts w:asciiTheme="majorBidi" w:hAnsiTheme="majorBidi" w:cstheme="majorBidi"/>
          <w:lang w:val="en-US"/>
        </w:rPr>
      </w:pPr>
      <w:r w:rsidRPr="008C0D52">
        <w:rPr>
          <w:rStyle w:val="FootnoteReference"/>
          <w:rFonts w:asciiTheme="majorBidi" w:hAnsiTheme="majorBidi" w:cstheme="majorBidi"/>
        </w:rPr>
        <w:footnoteRef/>
      </w:r>
      <w:r w:rsidRPr="008C0D52">
        <w:rPr>
          <w:rFonts w:asciiTheme="majorBidi" w:hAnsiTheme="majorBidi" w:cstheme="majorBidi"/>
        </w:rPr>
        <w:t xml:space="preserve"> </w:t>
      </w:r>
      <w:r>
        <w:rPr>
          <w:rFonts w:asciiTheme="majorBidi" w:hAnsiTheme="majorBidi" w:cstheme="majorBidi"/>
        </w:rPr>
        <w:t xml:space="preserve">Rosemary A. Dicarlo, Under-Secretary-General for Political and Peacebuilding Affairs, “Briefing to the Security Council on the Situation in the Middle East”, </w:t>
      </w:r>
      <w:r w:rsidRPr="008C0D52">
        <w:rPr>
          <w:rFonts w:asciiTheme="majorBidi" w:hAnsiTheme="majorBidi" w:cstheme="majorBidi"/>
          <w:lang w:val="en-US"/>
        </w:rPr>
        <w:t>23</w:t>
      </w:r>
      <w:r>
        <w:rPr>
          <w:rFonts w:asciiTheme="majorBidi" w:hAnsiTheme="majorBidi" w:cstheme="majorBidi"/>
          <w:lang w:val="en-US"/>
        </w:rPr>
        <w:t xml:space="preserve"> July </w:t>
      </w:r>
      <w:r w:rsidRPr="008C0D52">
        <w:rPr>
          <w:rFonts w:asciiTheme="majorBidi" w:hAnsiTheme="majorBidi" w:cstheme="majorBidi"/>
          <w:lang w:val="en-US"/>
        </w:rPr>
        <w:t>2</w:t>
      </w:r>
      <w:r>
        <w:rPr>
          <w:rFonts w:asciiTheme="majorBidi" w:hAnsiTheme="majorBidi" w:cstheme="majorBidi"/>
          <w:lang w:val="en-US"/>
        </w:rPr>
        <w:t>019.</w:t>
      </w:r>
      <w:r w:rsidRPr="008C0D52">
        <w:rPr>
          <w:rFonts w:asciiTheme="majorBidi" w:hAnsiTheme="majorBidi" w:cstheme="majorBidi"/>
          <w:lang w:val="en-US"/>
        </w:rPr>
        <w:t xml:space="preserve"> </w:t>
      </w:r>
      <w:hyperlink r:id="rId2" w:history="1">
        <w:r w:rsidRPr="008C0D52">
          <w:rPr>
            <w:rStyle w:val="Hyperlink"/>
            <w:rFonts w:asciiTheme="majorBidi" w:hAnsiTheme="majorBidi" w:cstheme="majorBidi"/>
          </w:rPr>
          <w:t>https://unsco.unmissions.org/sites/default/files/security_council_briefing_-_23_july_2019_0.pdf</w:t>
        </w:r>
      </w:hyperlink>
    </w:p>
  </w:footnote>
  <w:footnote w:id="5">
    <w:p w14:paraId="2B5C551F" w14:textId="77777777" w:rsidR="004C7483" w:rsidRPr="008C0D52" w:rsidRDefault="004C7483" w:rsidP="004C7483">
      <w:pPr>
        <w:pStyle w:val="FootnoteText"/>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“Newspapers review: Structure demolitions, Gaza attacks focus of dailies”, WAFA, 27 August 2019.</w:t>
      </w:r>
    </w:p>
    <w:p w14:paraId="103A5790" w14:textId="77777777" w:rsidR="004C7483" w:rsidRPr="008C0D52" w:rsidRDefault="00094557" w:rsidP="004C7483">
      <w:pPr>
        <w:pStyle w:val="FootnoteText"/>
        <w:rPr>
          <w:rFonts w:asciiTheme="majorBidi" w:hAnsiTheme="majorBidi" w:cstheme="majorBidi"/>
        </w:rPr>
      </w:pPr>
      <w:hyperlink r:id="rId3" w:history="1">
        <w:r w:rsidR="004C7483" w:rsidRPr="008C0D52">
          <w:rPr>
            <w:rStyle w:val="Hyperlink"/>
            <w:rFonts w:asciiTheme="majorBidi" w:hAnsiTheme="majorBidi" w:cstheme="majorBidi"/>
          </w:rPr>
          <w:t>http://english.wafa.ps/page.aspx?id=RnRUkoa111356052753aRnRUko</w:t>
        </w:r>
      </w:hyperlink>
    </w:p>
  </w:footnote>
  <w:footnote w:id="6">
    <w:p w14:paraId="293DE5DD" w14:textId="77777777" w:rsidR="004C7483" w:rsidRPr="008C0D52" w:rsidRDefault="004C7483" w:rsidP="004C7483">
      <w:pPr>
        <w:pStyle w:val="FootnoteText"/>
        <w:jc w:val="both"/>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End-of-mission statement of the UN Special Committee to Investigate Israeli Practices 24</w:t>
      </w:r>
      <w:r>
        <w:rPr>
          <w:rFonts w:asciiTheme="majorBidi" w:hAnsiTheme="majorBidi" w:cstheme="majorBidi"/>
        </w:rPr>
        <w:t xml:space="preserve"> June </w:t>
      </w:r>
      <w:r w:rsidRPr="008C0D52">
        <w:rPr>
          <w:rFonts w:asciiTheme="majorBidi" w:hAnsiTheme="majorBidi" w:cstheme="majorBidi"/>
        </w:rPr>
        <w:t>2019</w:t>
      </w:r>
      <w:r>
        <w:rPr>
          <w:rFonts w:asciiTheme="majorBidi" w:hAnsiTheme="majorBidi" w:cstheme="majorBidi"/>
        </w:rPr>
        <w:t>.</w:t>
      </w:r>
    </w:p>
    <w:p w14:paraId="46A80BC1" w14:textId="77777777" w:rsidR="004C7483" w:rsidRPr="008C0D52" w:rsidRDefault="00094557" w:rsidP="004C7483">
      <w:pPr>
        <w:pStyle w:val="FootnoteText"/>
        <w:jc w:val="both"/>
        <w:rPr>
          <w:rFonts w:asciiTheme="majorBidi" w:hAnsiTheme="majorBidi" w:cstheme="majorBidi"/>
        </w:rPr>
      </w:pPr>
      <w:hyperlink r:id="rId4" w:history="1">
        <w:r w:rsidR="004C7483" w:rsidRPr="008C0D52">
          <w:rPr>
            <w:rStyle w:val="Hyperlink"/>
            <w:rFonts w:asciiTheme="majorBidi" w:hAnsiTheme="majorBidi" w:cstheme="majorBidi"/>
          </w:rPr>
          <w:t>https://www.ohchr.org/EN/NewsEvents/Pages/DisplayNews.aspx?NewsID=24729&amp;LangID=E</w:t>
        </w:r>
      </w:hyperlink>
    </w:p>
  </w:footnote>
  <w:footnote w:id="7">
    <w:p w14:paraId="37D7B4FE" w14:textId="77777777" w:rsidR="004C7483" w:rsidRDefault="004C7483" w:rsidP="004C7483">
      <w:pPr>
        <w:pStyle w:val="FootnoteText"/>
        <w:rPr>
          <w:rFonts w:asciiTheme="majorBidi" w:hAnsiTheme="majorBidi" w:cstheme="majorBidi"/>
        </w:rPr>
      </w:pPr>
      <w:r w:rsidRPr="008C0D52">
        <w:rPr>
          <w:rStyle w:val="FootnoteReference"/>
          <w:rFonts w:asciiTheme="majorBidi" w:hAnsiTheme="majorBidi" w:cstheme="majorBidi"/>
        </w:rPr>
        <w:footnoteRef/>
      </w:r>
      <w:r w:rsidRPr="008C0D52">
        <w:rPr>
          <w:rFonts w:asciiTheme="majorBidi" w:hAnsiTheme="majorBidi" w:cstheme="majorBidi"/>
        </w:rPr>
        <w:t xml:space="preserve"> </w:t>
      </w:r>
      <w:r>
        <w:rPr>
          <w:rFonts w:asciiTheme="majorBidi" w:hAnsiTheme="majorBidi" w:cstheme="majorBidi"/>
        </w:rPr>
        <w:t>“</w:t>
      </w:r>
      <w:r w:rsidRPr="00C24A47">
        <w:rPr>
          <w:rFonts w:asciiTheme="majorBidi" w:hAnsiTheme="majorBidi" w:cstheme="majorBidi"/>
        </w:rPr>
        <w:t>Palestinian Female Detainee Receives Administrative Detention Orders, Faces Deteriorating Health</w:t>
      </w:r>
      <w:r>
        <w:rPr>
          <w:rFonts w:asciiTheme="majorBidi" w:hAnsiTheme="majorBidi" w:cstheme="majorBidi"/>
        </w:rPr>
        <w:t>”, 30 July 2019, International Middle East Media Center.</w:t>
      </w:r>
    </w:p>
    <w:p w14:paraId="694751DB" w14:textId="77777777" w:rsidR="004C7483" w:rsidRPr="008C0D52" w:rsidRDefault="00094557" w:rsidP="004C7483">
      <w:pPr>
        <w:pStyle w:val="FootnoteText"/>
        <w:rPr>
          <w:rFonts w:asciiTheme="majorBidi" w:hAnsiTheme="majorBidi" w:cstheme="majorBidi"/>
        </w:rPr>
      </w:pPr>
      <w:hyperlink r:id="rId5" w:history="1">
        <w:r w:rsidR="004C7483" w:rsidRPr="00DD5E18">
          <w:rPr>
            <w:rStyle w:val="Hyperlink"/>
            <w:rFonts w:asciiTheme="majorBidi" w:hAnsiTheme="majorBidi" w:cstheme="majorBidi"/>
          </w:rPr>
          <w:t>https://imemc.org/article/palestinian-female-detainee-receives-administrative-detention-orders-faces-deteriorating-health/</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06B38"/>
    <w:multiLevelType w:val="hybridMultilevel"/>
    <w:tmpl w:val="AD8AF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F5D60BD"/>
    <w:multiLevelType w:val="hybridMultilevel"/>
    <w:tmpl w:val="1D9897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3153A4"/>
    <w:multiLevelType w:val="hybridMultilevel"/>
    <w:tmpl w:val="0BDC33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D6158BC"/>
    <w:multiLevelType w:val="hybridMultilevel"/>
    <w:tmpl w:val="8E6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F86406"/>
    <w:multiLevelType w:val="hybridMultilevel"/>
    <w:tmpl w:val="2F0AFB44"/>
    <w:lvl w:ilvl="0" w:tplc="9F46C3B6">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43C5FD2"/>
    <w:multiLevelType w:val="multilevel"/>
    <w:tmpl w:val="1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11"/>
  </w:num>
  <w:num w:numId="4">
    <w:abstractNumId w:val="5"/>
  </w:num>
  <w:num w:numId="5">
    <w:abstractNumId w:val="3"/>
  </w:num>
  <w:num w:numId="6">
    <w:abstractNumId w:val="6"/>
  </w:num>
  <w:num w:numId="7">
    <w:abstractNumId w:val="9"/>
  </w:num>
  <w:num w:numId="8">
    <w:abstractNumId w:val="9"/>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8"/>
  </w:num>
  <w:num w:numId="29">
    <w:abstractNumId w:val="0"/>
  </w:num>
  <w:num w:numId="30">
    <w:abstractNumId w:val="9"/>
  </w:num>
  <w:num w:numId="31">
    <w:abstractNumId w:val="9"/>
  </w:num>
  <w:num w:numId="32">
    <w:abstractNumId w:val="9"/>
  </w:num>
  <w:num w:numId="33">
    <w:abstractNumId w:val="2"/>
  </w:num>
  <w:num w:numId="34">
    <w:abstractNumId w:val="7"/>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3CA"/>
    <w:rsid w:val="00010CAA"/>
    <w:rsid w:val="00013951"/>
    <w:rsid w:val="00014F9C"/>
    <w:rsid w:val="00015257"/>
    <w:rsid w:val="000214E4"/>
    <w:rsid w:val="0002281B"/>
    <w:rsid w:val="00025AF3"/>
    <w:rsid w:val="0003084C"/>
    <w:rsid w:val="00073966"/>
    <w:rsid w:val="000845ED"/>
    <w:rsid w:val="000916EA"/>
    <w:rsid w:val="00094557"/>
    <w:rsid w:val="000A45CC"/>
    <w:rsid w:val="000B7E89"/>
    <w:rsid w:val="000C304A"/>
    <w:rsid w:val="000D18D0"/>
    <w:rsid w:val="000D4494"/>
    <w:rsid w:val="000E0165"/>
    <w:rsid w:val="000E1BD1"/>
    <w:rsid w:val="000F0347"/>
    <w:rsid w:val="000F0BDE"/>
    <w:rsid w:val="000F6487"/>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53F5"/>
    <w:rsid w:val="002A6506"/>
    <w:rsid w:val="002B0BBD"/>
    <w:rsid w:val="002B131C"/>
    <w:rsid w:val="002C04E8"/>
    <w:rsid w:val="002D4C9B"/>
    <w:rsid w:val="002E219B"/>
    <w:rsid w:val="002E2589"/>
    <w:rsid w:val="002F22D4"/>
    <w:rsid w:val="002F3530"/>
    <w:rsid w:val="00300A6A"/>
    <w:rsid w:val="003041C4"/>
    <w:rsid w:val="00313126"/>
    <w:rsid w:val="00315E70"/>
    <w:rsid w:val="003165F8"/>
    <w:rsid w:val="00317B64"/>
    <w:rsid w:val="003274E6"/>
    <w:rsid w:val="003420D5"/>
    <w:rsid w:val="0034292A"/>
    <w:rsid w:val="003527EC"/>
    <w:rsid w:val="003542C3"/>
    <w:rsid w:val="003571D6"/>
    <w:rsid w:val="00376F6E"/>
    <w:rsid w:val="00381D49"/>
    <w:rsid w:val="00384420"/>
    <w:rsid w:val="003900FD"/>
    <w:rsid w:val="003B7534"/>
    <w:rsid w:val="003D6655"/>
    <w:rsid w:val="003E4333"/>
    <w:rsid w:val="003E434F"/>
    <w:rsid w:val="003F0A22"/>
    <w:rsid w:val="003F1349"/>
    <w:rsid w:val="00401D41"/>
    <w:rsid w:val="00405C6B"/>
    <w:rsid w:val="00425513"/>
    <w:rsid w:val="00427C17"/>
    <w:rsid w:val="004301FC"/>
    <w:rsid w:val="00430814"/>
    <w:rsid w:val="00435C7A"/>
    <w:rsid w:val="004366A3"/>
    <w:rsid w:val="00444579"/>
    <w:rsid w:val="004531EB"/>
    <w:rsid w:val="00463F2D"/>
    <w:rsid w:val="00466703"/>
    <w:rsid w:val="00473E20"/>
    <w:rsid w:val="004853FD"/>
    <w:rsid w:val="00486387"/>
    <w:rsid w:val="0049561D"/>
    <w:rsid w:val="004A6740"/>
    <w:rsid w:val="004A6F30"/>
    <w:rsid w:val="004B10A8"/>
    <w:rsid w:val="004B173B"/>
    <w:rsid w:val="004B6150"/>
    <w:rsid w:val="004C7483"/>
    <w:rsid w:val="004D3396"/>
    <w:rsid w:val="004D41F9"/>
    <w:rsid w:val="004D7141"/>
    <w:rsid w:val="004E3953"/>
    <w:rsid w:val="004E7092"/>
    <w:rsid w:val="005043E1"/>
    <w:rsid w:val="00516D4C"/>
    <w:rsid w:val="005241ED"/>
    <w:rsid w:val="0053533C"/>
    <w:rsid w:val="005373EA"/>
    <w:rsid w:val="005547E7"/>
    <w:rsid w:val="00557461"/>
    <w:rsid w:val="0055746A"/>
    <w:rsid w:val="005731F3"/>
    <w:rsid w:val="00573B1B"/>
    <w:rsid w:val="00577C1E"/>
    <w:rsid w:val="005801A5"/>
    <w:rsid w:val="005831E4"/>
    <w:rsid w:val="00592A58"/>
    <w:rsid w:val="005A1261"/>
    <w:rsid w:val="005A14E8"/>
    <w:rsid w:val="005B7DA1"/>
    <w:rsid w:val="005C5BC8"/>
    <w:rsid w:val="005D3FB0"/>
    <w:rsid w:val="005D7DD7"/>
    <w:rsid w:val="005E2945"/>
    <w:rsid w:val="00630C64"/>
    <w:rsid w:val="00632063"/>
    <w:rsid w:val="00632B22"/>
    <w:rsid w:val="00632BD0"/>
    <w:rsid w:val="00634B6B"/>
    <w:rsid w:val="00643E10"/>
    <w:rsid w:val="006461C5"/>
    <w:rsid w:val="00663ADB"/>
    <w:rsid w:val="00672F5C"/>
    <w:rsid w:val="00681B57"/>
    <w:rsid w:val="0069403D"/>
    <w:rsid w:val="006A3125"/>
    <w:rsid w:val="006A31EA"/>
    <w:rsid w:val="006A5B2E"/>
    <w:rsid w:val="006B1519"/>
    <w:rsid w:val="006B3FE1"/>
    <w:rsid w:val="006C7EE7"/>
    <w:rsid w:val="006D0C0E"/>
    <w:rsid w:val="006E2EE6"/>
    <w:rsid w:val="006E5949"/>
    <w:rsid w:val="006E791D"/>
    <w:rsid w:val="006F0985"/>
    <w:rsid w:val="006F11B4"/>
    <w:rsid w:val="006F19E6"/>
    <w:rsid w:val="006F1C12"/>
    <w:rsid w:val="006F212D"/>
    <w:rsid w:val="006F24BE"/>
    <w:rsid w:val="00705E5C"/>
    <w:rsid w:val="0071112C"/>
    <w:rsid w:val="00722E4D"/>
    <w:rsid w:val="007247E7"/>
    <w:rsid w:val="0073232E"/>
    <w:rsid w:val="00742D35"/>
    <w:rsid w:val="00745007"/>
    <w:rsid w:val="00747F84"/>
    <w:rsid w:val="007677A0"/>
    <w:rsid w:val="00776F4C"/>
    <w:rsid w:val="007778A4"/>
    <w:rsid w:val="00781EBC"/>
    <w:rsid w:val="00785FD6"/>
    <w:rsid w:val="00792582"/>
    <w:rsid w:val="00792608"/>
    <w:rsid w:val="0079679F"/>
    <w:rsid w:val="007A12CF"/>
    <w:rsid w:val="007A56C5"/>
    <w:rsid w:val="007A6679"/>
    <w:rsid w:val="007C1E82"/>
    <w:rsid w:val="007C32DD"/>
    <w:rsid w:val="007C555F"/>
    <w:rsid w:val="007C6583"/>
    <w:rsid w:val="007D3B6D"/>
    <w:rsid w:val="007E1840"/>
    <w:rsid w:val="007F0DF6"/>
    <w:rsid w:val="008159BD"/>
    <w:rsid w:val="00823117"/>
    <w:rsid w:val="00823A49"/>
    <w:rsid w:val="00824F87"/>
    <w:rsid w:val="008323CA"/>
    <w:rsid w:val="0084212E"/>
    <w:rsid w:val="00845934"/>
    <w:rsid w:val="00852D41"/>
    <w:rsid w:val="008634AB"/>
    <w:rsid w:val="00887ACC"/>
    <w:rsid w:val="00896CDD"/>
    <w:rsid w:val="008B2D9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306F"/>
    <w:rsid w:val="00984AB4"/>
    <w:rsid w:val="00995F01"/>
    <w:rsid w:val="009B3CB7"/>
    <w:rsid w:val="009D4C89"/>
    <w:rsid w:val="009E180D"/>
    <w:rsid w:val="009E32EF"/>
    <w:rsid w:val="009E3847"/>
    <w:rsid w:val="009F0CC2"/>
    <w:rsid w:val="009F3FDD"/>
    <w:rsid w:val="009F4C79"/>
    <w:rsid w:val="009F526E"/>
    <w:rsid w:val="009F7D20"/>
    <w:rsid w:val="00A038C9"/>
    <w:rsid w:val="00A11949"/>
    <w:rsid w:val="00A17311"/>
    <w:rsid w:val="00A26B5D"/>
    <w:rsid w:val="00A33D82"/>
    <w:rsid w:val="00A35673"/>
    <w:rsid w:val="00A42A95"/>
    <w:rsid w:val="00A42DC8"/>
    <w:rsid w:val="00A5033B"/>
    <w:rsid w:val="00A64FDB"/>
    <w:rsid w:val="00A706CA"/>
    <w:rsid w:val="00A712C1"/>
    <w:rsid w:val="00A75BF2"/>
    <w:rsid w:val="00A75F6C"/>
    <w:rsid w:val="00A837AA"/>
    <w:rsid w:val="00A87CBB"/>
    <w:rsid w:val="00A9369F"/>
    <w:rsid w:val="00AA0715"/>
    <w:rsid w:val="00AA1A55"/>
    <w:rsid w:val="00AA58E0"/>
    <w:rsid w:val="00AB7233"/>
    <w:rsid w:val="00AC1A6F"/>
    <w:rsid w:val="00AE6EBF"/>
    <w:rsid w:val="00AF493E"/>
    <w:rsid w:val="00B010B4"/>
    <w:rsid w:val="00B04D13"/>
    <w:rsid w:val="00B248CB"/>
    <w:rsid w:val="00B25958"/>
    <w:rsid w:val="00B35A79"/>
    <w:rsid w:val="00B365AC"/>
    <w:rsid w:val="00B431A0"/>
    <w:rsid w:val="00B50B90"/>
    <w:rsid w:val="00B517D3"/>
    <w:rsid w:val="00B67910"/>
    <w:rsid w:val="00B701C7"/>
    <w:rsid w:val="00B745BB"/>
    <w:rsid w:val="00B82D27"/>
    <w:rsid w:val="00B9004C"/>
    <w:rsid w:val="00B91DFD"/>
    <w:rsid w:val="00BB1677"/>
    <w:rsid w:val="00BC32B7"/>
    <w:rsid w:val="00BC4BB8"/>
    <w:rsid w:val="00BC6621"/>
    <w:rsid w:val="00BD1ADA"/>
    <w:rsid w:val="00BD3E93"/>
    <w:rsid w:val="00BD4C8E"/>
    <w:rsid w:val="00BE0EA6"/>
    <w:rsid w:val="00BE20A2"/>
    <w:rsid w:val="00BE455F"/>
    <w:rsid w:val="00C12475"/>
    <w:rsid w:val="00C12872"/>
    <w:rsid w:val="00C342C7"/>
    <w:rsid w:val="00C45FBE"/>
    <w:rsid w:val="00C64A24"/>
    <w:rsid w:val="00C72B06"/>
    <w:rsid w:val="00CA15E9"/>
    <w:rsid w:val="00CC1BD1"/>
    <w:rsid w:val="00CF0605"/>
    <w:rsid w:val="00D118A3"/>
    <w:rsid w:val="00D21862"/>
    <w:rsid w:val="00D218A9"/>
    <w:rsid w:val="00D30BA5"/>
    <w:rsid w:val="00D3644F"/>
    <w:rsid w:val="00D372D9"/>
    <w:rsid w:val="00D515C2"/>
    <w:rsid w:val="00D54ACF"/>
    <w:rsid w:val="00D608FB"/>
    <w:rsid w:val="00D64CBE"/>
    <w:rsid w:val="00D6592E"/>
    <w:rsid w:val="00D70B92"/>
    <w:rsid w:val="00D71DA0"/>
    <w:rsid w:val="00D82667"/>
    <w:rsid w:val="00D96609"/>
    <w:rsid w:val="00D97039"/>
    <w:rsid w:val="00DA55F7"/>
    <w:rsid w:val="00DA72CF"/>
    <w:rsid w:val="00DB0F25"/>
    <w:rsid w:val="00DB4227"/>
    <w:rsid w:val="00DC05EB"/>
    <w:rsid w:val="00DF1AC2"/>
    <w:rsid w:val="00E06F78"/>
    <w:rsid w:val="00E2345A"/>
    <w:rsid w:val="00E26432"/>
    <w:rsid w:val="00E33A8F"/>
    <w:rsid w:val="00E37ADD"/>
    <w:rsid w:val="00E52234"/>
    <w:rsid w:val="00E66896"/>
    <w:rsid w:val="00E72CB9"/>
    <w:rsid w:val="00E7690B"/>
    <w:rsid w:val="00E8182E"/>
    <w:rsid w:val="00EA0EAA"/>
    <w:rsid w:val="00EA2BF4"/>
    <w:rsid w:val="00EA36D4"/>
    <w:rsid w:val="00EA5E6A"/>
    <w:rsid w:val="00EB2267"/>
    <w:rsid w:val="00EB2E29"/>
    <w:rsid w:val="00EB3A2B"/>
    <w:rsid w:val="00EB3EB3"/>
    <w:rsid w:val="00EB45F5"/>
    <w:rsid w:val="00EE4F5A"/>
    <w:rsid w:val="00F016A3"/>
    <w:rsid w:val="00F2186F"/>
    <w:rsid w:val="00F21F6F"/>
    <w:rsid w:val="00F2601E"/>
    <w:rsid w:val="00F27DB2"/>
    <w:rsid w:val="00F31C33"/>
    <w:rsid w:val="00F3461C"/>
    <w:rsid w:val="00F458C1"/>
    <w:rsid w:val="00F56E40"/>
    <w:rsid w:val="00F57C6D"/>
    <w:rsid w:val="00F80635"/>
    <w:rsid w:val="00FA004E"/>
    <w:rsid w:val="00FA05A4"/>
    <w:rsid w:val="00FA2692"/>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3CB7"/>
    <w:pPr>
      <w:keepNext/>
      <w:keepLines/>
      <w:spacing w:before="360" w:after="120"/>
      <w:jc w:val="center"/>
      <w:outlineLvl w:val="0"/>
    </w:pPr>
    <w:rPr>
      <w:rFonts w:eastAsiaTheme="majorEastAsia" w:cstheme="majorBidi"/>
      <w:b/>
      <w:color w:val="7B881D" w:themeColor="accent1" w:themeShade="BF"/>
      <w:sz w:val="32"/>
      <w:szCs w:val="32"/>
    </w:rPr>
  </w:style>
  <w:style w:type="paragraph" w:styleId="Heading2">
    <w:name w:val="heading 2"/>
    <w:basedOn w:val="Normal"/>
    <w:next w:val="Normal"/>
    <w:link w:val="Heading2Char"/>
    <w:uiPriority w:val="9"/>
    <w:unhideWhenUsed/>
    <w:qFormat/>
    <w:rsid w:val="00632B22"/>
    <w:pPr>
      <w:keepNext/>
      <w:keepLines/>
      <w:spacing w:before="40" w:after="0"/>
      <w:outlineLvl w:val="1"/>
    </w:pPr>
    <w:rPr>
      <w:rFonts w:asciiTheme="majorHAnsi" w:eastAsiaTheme="majorEastAsia" w:hAnsiTheme="majorHAnsi" w:cstheme="majorBidi"/>
      <w:b/>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9B3CB7"/>
    <w:rPr>
      <w:rFonts w:eastAsiaTheme="majorEastAsia" w:cstheme="majorBidi"/>
      <w:b/>
      <w:color w:val="7B881D" w:themeColor="accent1" w:themeShade="BF"/>
      <w:sz w:val="32"/>
      <w:szCs w:val="32"/>
    </w:rPr>
  </w:style>
  <w:style w:type="character" w:customStyle="1" w:styleId="Heading2Char">
    <w:name w:val="Heading 2 Char"/>
    <w:basedOn w:val="DefaultParagraphFont"/>
    <w:link w:val="Heading2"/>
    <w:uiPriority w:val="9"/>
    <w:rsid w:val="00632B22"/>
    <w:rPr>
      <w:rFonts w:asciiTheme="majorHAnsi" w:eastAsiaTheme="majorEastAsia" w:hAnsiTheme="majorHAnsi" w:cstheme="majorBidi"/>
      <w:b/>
      <w:color w:val="7B881D" w:themeColor="accent1" w:themeShade="BF"/>
      <w:sz w:val="26"/>
      <w:szCs w:val="26"/>
    </w:rPr>
  </w:style>
  <w:style w:type="paragraph" w:customStyle="1" w:styleId="Body">
    <w:name w:val="Body"/>
    <w:basedOn w:val="Normal"/>
    <w:link w:val="BodyChar"/>
    <w:qFormat/>
    <w:rsid w:val="007A12CF"/>
    <w:pPr>
      <w:numPr>
        <w:numId w:val="7"/>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F59E00"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customStyle="1"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 w:type="paragraph" w:customStyle="1" w:styleId="Default">
    <w:name w:val="Default"/>
    <w:rsid w:val="00E06F7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Emphasis">
    <w:name w:val="Emphasis"/>
    <w:basedOn w:val="DefaultParagraphFont"/>
    <w:uiPriority w:val="20"/>
    <w:qFormat/>
    <w:rsid w:val="0098306F"/>
    <w:rPr>
      <w:i/>
      <w:iCs/>
    </w:rPr>
  </w:style>
  <w:style w:type="paragraph" w:styleId="Title">
    <w:name w:val="Title"/>
    <w:basedOn w:val="Normal"/>
    <w:next w:val="Normal"/>
    <w:link w:val="TitleChar"/>
    <w:uiPriority w:val="10"/>
    <w:qFormat/>
    <w:rsid w:val="004C74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483"/>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D71DA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GIC4J"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icj.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icj.org" TargetMode="Externa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nglish.wafa.ps/page.aspx?id=RnRUkoa111356052753aRnRUko" TargetMode="External"/><Relationship Id="rId2" Type="http://schemas.openxmlformats.org/officeDocument/2006/relationships/hyperlink" Target="https://unsco.unmissions.org/sites/default/files/security_council_briefing_-_23_july_2019_0.pdf" TargetMode="External"/><Relationship Id="rId1" Type="http://schemas.openxmlformats.org/officeDocument/2006/relationships/hyperlink" Target="https://www.ohchr.org/EN/NewsEvents/Pages/DisplayNews.aspx?NewsID=24729&amp;LangID=E" TargetMode="External"/><Relationship Id="rId5" Type="http://schemas.openxmlformats.org/officeDocument/2006/relationships/hyperlink" Target="https://imemc.org/article/palestinian-female-detainee-receives-administrative-detention-orders-faces-deteriorating-health/" TargetMode="External"/><Relationship Id="rId4" Type="http://schemas.openxmlformats.org/officeDocument/2006/relationships/hyperlink" Target="https://www.ohchr.org/EN/NewsEvents/Pages/DisplayNews.aspx?NewsID=24729&amp;LangID=E"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1AED3-7636-416B-B11B-608B1962AC55}">
  <ds:schemaRefs>
    <ds:schemaRef ds:uri="http://schemas.openxmlformats.org/officeDocument/2006/bibliography"/>
  </ds:schemaRefs>
</ds:datastoreItem>
</file>

<file path=customXml/itemProps2.xml><?xml version="1.0" encoding="utf-8"?>
<ds:datastoreItem xmlns:ds="http://schemas.openxmlformats.org/officeDocument/2006/customXml" ds:itemID="{7419E313-3C19-469A-BC76-E6CE1B2F2CAF}"/>
</file>

<file path=customXml/itemProps3.xml><?xml version="1.0" encoding="utf-8"?>
<ds:datastoreItem xmlns:ds="http://schemas.openxmlformats.org/officeDocument/2006/customXml" ds:itemID="{9CAD2123-2324-44A7-8B65-0A9F43B22974}"/>
</file>

<file path=customXml/itemProps4.xml><?xml version="1.0" encoding="utf-8"?>
<ds:datastoreItem xmlns:ds="http://schemas.openxmlformats.org/officeDocument/2006/customXml" ds:itemID="{BD66FB95-3F38-4D44-9C98-E33ADFC9B975}"/>
</file>

<file path=docProps/app.xml><?xml version="1.0" encoding="utf-8"?>
<Properties xmlns="http://schemas.openxmlformats.org/officeDocument/2006/extended-properties" xmlns:vt="http://schemas.openxmlformats.org/officeDocument/2006/docPropsVTypes">
  <Template>Normal.dotm</Template>
  <TotalTime>0</TotalTime>
  <Pages>12</Pages>
  <Words>2321</Words>
  <Characters>13232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SONJAK SARF Zala</cp:lastModifiedBy>
  <cp:revision>2</cp:revision>
  <cp:lastPrinted>2019-09-03T17:22:00Z</cp:lastPrinted>
  <dcterms:created xsi:type="dcterms:W3CDTF">2019-09-09T12:47:00Z</dcterms:created>
  <dcterms:modified xsi:type="dcterms:W3CDTF">2019-09-09T12:47:00Z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