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7C16" w14:paraId="2893D6E1" w14:textId="77777777">
        <w:trPr>
          <w:cantSplit/>
          <w:trHeight w:hRule="exact" w:val="851"/>
        </w:trPr>
        <w:tc>
          <w:tcPr>
            <w:tcW w:w="1276" w:type="dxa"/>
            <w:tcBorders>
              <w:bottom w:val="single" w:sz="4" w:space="0" w:color="auto"/>
            </w:tcBorders>
            <w:vAlign w:val="bottom"/>
          </w:tcPr>
          <w:p w14:paraId="4E068A62" w14:textId="77777777" w:rsidR="006D2FB1" w:rsidRDefault="006D2FB1">
            <w:pPr>
              <w:spacing w:after="80"/>
            </w:pPr>
          </w:p>
        </w:tc>
        <w:tc>
          <w:tcPr>
            <w:tcW w:w="2268" w:type="dxa"/>
            <w:tcBorders>
              <w:bottom w:val="single" w:sz="4" w:space="0" w:color="auto"/>
            </w:tcBorders>
            <w:vAlign w:val="bottom"/>
          </w:tcPr>
          <w:p w14:paraId="6BF7B5A1" w14:textId="065CD121"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18FFCE23" w14:textId="77777777" w:rsidR="006D2FB1" w:rsidRDefault="001017A7">
            <w:pPr>
              <w:suppressAutoHyphens w:val="0"/>
              <w:spacing w:after="20"/>
              <w:jc w:val="right"/>
            </w:pPr>
            <w:r>
              <w:rPr>
                <w:sz w:val="40"/>
              </w:rPr>
              <w:t>CEDAW</w:t>
            </w:r>
            <w:r>
              <w:t>/C/TTO/8-9</w:t>
            </w:r>
          </w:p>
        </w:tc>
      </w:tr>
      <w:tr w:rsidR="00327C16" w14:paraId="5535DAC9" w14:textId="77777777">
        <w:trPr>
          <w:cantSplit/>
          <w:trHeight w:hRule="exact" w:val="2835"/>
        </w:trPr>
        <w:tc>
          <w:tcPr>
            <w:tcW w:w="1276" w:type="dxa"/>
            <w:tcBorders>
              <w:top w:val="single" w:sz="4" w:space="0" w:color="auto"/>
              <w:bottom w:val="single" w:sz="12" w:space="0" w:color="auto"/>
            </w:tcBorders>
          </w:tcPr>
          <w:p w14:paraId="4AA73820" w14:textId="31CFA127" w:rsidR="006D2FB1" w:rsidRDefault="006D2FB1">
            <w:pPr>
              <w:spacing w:before="120"/>
              <w:jc w:val="center"/>
            </w:pPr>
          </w:p>
        </w:tc>
        <w:tc>
          <w:tcPr>
            <w:tcW w:w="5528" w:type="dxa"/>
            <w:gridSpan w:val="2"/>
            <w:tcBorders>
              <w:top w:val="single" w:sz="4" w:space="0" w:color="auto"/>
              <w:bottom w:val="single" w:sz="12" w:space="0" w:color="auto"/>
            </w:tcBorders>
          </w:tcPr>
          <w:p w14:paraId="0C20FAEC" w14:textId="3128C0D7" w:rsidR="006D2FB1" w:rsidRDefault="00BB480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6D44C" w14:textId="77777777" w:rsidR="006D2FB1" w:rsidRPr="00EA7257" w:rsidRDefault="001017A7">
            <w:pPr>
              <w:suppressAutoHyphens w:val="0"/>
              <w:spacing w:before="240" w:line="240" w:lineRule="exact"/>
              <w:rPr>
                <w:lang w:val="en-US"/>
              </w:rPr>
            </w:pPr>
            <w:r w:rsidRPr="00EA7257">
              <w:rPr>
                <w:lang w:val="en-US"/>
              </w:rPr>
              <w:t>Distr.: General</w:t>
            </w:r>
          </w:p>
          <w:p w14:paraId="004B5A07" w14:textId="77777777" w:rsidR="006D2FB1" w:rsidRPr="00EA7257" w:rsidRDefault="00446122">
            <w:pPr>
              <w:suppressAutoHyphens w:val="0"/>
              <w:rPr>
                <w:lang w:val="en-US"/>
              </w:rPr>
            </w:pPr>
            <w:r w:rsidRPr="00EA7257">
              <w:rPr>
                <w:lang w:val="en-US"/>
              </w:rPr>
              <w:t>22 June 2026</w:t>
            </w:r>
          </w:p>
          <w:p w14:paraId="65C98007" w14:textId="77777777" w:rsidR="006D2FB1" w:rsidRPr="00EA7257" w:rsidRDefault="006D2FB1">
            <w:pPr>
              <w:suppressAutoHyphens w:val="0"/>
              <w:rPr>
                <w:lang w:val="en-US"/>
              </w:rPr>
            </w:pPr>
          </w:p>
          <w:p w14:paraId="7E41834D" w14:textId="77777777" w:rsidR="006D2FB1" w:rsidRPr="00EA7257" w:rsidRDefault="001017A7">
            <w:pPr>
              <w:suppressAutoHyphens w:val="0"/>
              <w:rPr>
                <w:lang w:val="en-US"/>
              </w:rPr>
            </w:pPr>
            <w:r w:rsidRPr="00EA7257">
              <w:rPr>
                <w:lang w:val="en-US"/>
              </w:rPr>
              <w:t>Original: English</w:t>
            </w:r>
          </w:p>
          <w:p w14:paraId="32572BBE" w14:textId="77777777" w:rsidR="006D2FB1" w:rsidRDefault="00446122">
            <w:pPr>
              <w:suppressAutoHyphens w:val="0"/>
            </w:pPr>
            <w:r>
              <w:t>English, French and Spanish only</w:t>
            </w:r>
          </w:p>
        </w:tc>
      </w:tr>
    </w:tbl>
    <w:p w14:paraId="0E1724CB" w14:textId="77777777" w:rsidR="006D2FB1" w:rsidRDefault="001017A7">
      <w:pPr>
        <w:spacing w:before="120"/>
        <w:rPr>
          <w:b/>
          <w:sz w:val="24"/>
        </w:rPr>
      </w:pPr>
      <w:r>
        <w:rPr>
          <w:b/>
          <w:sz w:val="24"/>
          <w:szCs w:val="24"/>
        </w:rPr>
        <w:t xml:space="preserve">Committee on the Elimination of Discrimination </w:t>
      </w:r>
      <w:r>
        <w:rPr>
          <w:b/>
          <w:sz w:val="24"/>
          <w:szCs w:val="24"/>
        </w:rPr>
        <w:br/>
        <w:t>against Women</w:t>
      </w:r>
    </w:p>
    <w:p w14:paraId="28EB3612" w14:textId="36BDDB4D" w:rsidR="006D2FB1" w:rsidRPr="007E0326" w:rsidRDefault="001017A7">
      <w:pPr>
        <w:pStyle w:val="HMG"/>
      </w:pPr>
      <w:r>
        <w:tab/>
      </w:r>
      <w:r>
        <w:tab/>
      </w:r>
      <w:r w:rsidR="00A065FD">
        <w:t>Combined eighth and ninth reports</w:t>
      </w:r>
      <w:r w:rsidR="00E67615">
        <w:t xml:space="preserve"> </w:t>
      </w:r>
      <w:r>
        <w:t xml:space="preserve">submitted by </w:t>
      </w:r>
      <w:r w:rsidR="001507EF">
        <w:t>Trinidad and Tobago</w:t>
      </w:r>
      <w:r>
        <w:t xml:space="preserve"> under article 18 of the Convention, due in </w:t>
      </w:r>
      <w:r w:rsidR="007E0326">
        <w:t>2024</w:t>
      </w:r>
      <w:r w:rsidRPr="007E0326">
        <w:rPr>
          <w:rStyle w:val="FootnoteReference"/>
          <w:b w:val="0"/>
          <w:sz w:val="20"/>
          <w:vertAlign w:val="baseline"/>
        </w:rPr>
        <w:footnoteReference w:customMarkFollows="1" w:id="2"/>
        <w:t>*</w:t>
      </w:r>
      <w:r w:rsidR="00490503" w:rsidRPr="007E0326">
        <w:rPr>
          <w:rStyle w:val="FootnoteReference"/>
          <w:b w:val="0"/>
          <w:sz w:val="20"/>
        </w:rPr>
        <w:t>,</w:t>
      </w:r>
      <w:r w:rsidR="00490503" w:rsidRPr="007E0326">
        <w:rPr>
          <w:b w:val="0"/>
          <w:sz w:val="20"/>
        </w:rPr>
        <w:t xml:space="preserve"> </w:t>
      </w:r>
      <w:r w:rsidRPr="007E0326">
        <w:rPr>
          <w:rStyle w:val="FootnoteReference"/>
          <w:b w:val="0"/>
          <w:sz w:val="20"/>
          <w:vertAlign w:val="baseline"/>
        </w:rPr>
        <w:footnoteReference w:customMarkFollows="1" w:id="3"/>
        <w:t>**</w:t>
      </w:r>
      <w:r w:rsidR="00490503" w:rsidRPr="007E0326">
        <w:rPr>
          <w:rStyle w:val="FootnoteReference"/>
          <w:b w:val="0"/>
          <w:sz w:val="20"/>
        </w:rPr>
        <w:t>,</w:t>
      </w:r>
      <w:r w:rsidR="00490503" w:rsidRPr="007E0326">
        <w:rPr>
          <w:b w:val="0"/>
          <w:sz w:val="20"/>
        </w:rPr>
        <w:t xml:space="preserve"> </w:t>
      </w:r>
      <w:r w:rsidR="00490503" w:rsidRPr="007E0326">
        <w:rPr>
          <w:rStyle w:val="FootnoteReference"/>
          <w:sz w:val="20"/>
          <w:vertAlign w:val="baseline"/>
        </w:rPr>
        <w:t>*</w:t>
      </w:r>
      <w:r w:rsidRPr="007E0326">
        <w:rPr>
          <w:rStyle w:val="FootnoteReference"/>
          <w:b w:val="0"/>
          <w:sz w:val="20"/>
          <w:vertAlign w:val="baseline"/>
        </w:rPr>
        <w:footnoteReference w:customMarkFollows="1" w:id="4"/>
        <w:t>**</w:t>
      </w:r>
    </w:p>
    <w:p w14:paraId="62861E76" w14:textId="775FDD03" w:rsidR="006D2FB1" w:rsidRDefault="001017A7">
      <w:pPr>
        <w:pStyle w:val="SingleTxtG"/>
        <w:jc w:val="right"/>
      </w:pPr>
      <w:r>
        <w:t>[Date received:</w:t>
      </w:r>
      <w:r>
        <w:rPr>
          <w:color w:val="FF0000"/>
        </w:rPr>
        <w:t xml:space="preserve"> </w:t>
      </w:r>
      <w:r w:rsidR="00586BAB">
        <w:t>18 June 2026</w:t>
      </w:r>
      <w:r>
        <w:t>]</w:t>
      </w:r>
    </w:p>
    <w:p w14:paraId="4418AB6B" w14:textId="48996180" w:rsidR="00586BAB" w:rsidRDefault="00586BAB">
      <w:pPr>
        <w:suppressAutoHyphens w:val="0"/>
        <w:spacing w:after="200" w:line="276" w:lineRule="auto"/>
        <w:rPr>
          <w:rFonts w:eastAsiaTheme="minorHAnsi"/>
          <w:color w:val="0000FF"/>
        </w:rPr>
      </w:pPr>
      <w:r>
        <w:rPr>
          <w:color w:val="0000FF"/>
        </w:rPr>
        <w:br w:type="page"/>
      </w:r>
    </w:p>
    <w:p w14:paraId="4E0132DC" w14:textId="50A6FF3D" w:rsidR="002F1EE7" w:rsidRPr="002F1EE7" w:rsidRDefault="00A01A1F" w:rsidP="00A01A1F">
      <w:pPr>
        <w:pStyle w:val="HChG"/>
        <w:rPr>
          <w:lang w:val="en-US"/>
        </w:rPr>
      </w:pPr>
      <w:r>
        <w:rPr>
          <w:lang w:val="en-US"/>
        </w:rPr>
        <w:lastRenderedPageBreak/>
        <w:tab/>
        <w:t>I.</w:t>
      </w:r>
      <w:r>
        <w:rPr>
          <w:lang w:val="en-US"/>
        </w:rPr>
        <w:tab/>
      </w:r>
      <w:r w:rsidR="002F1EE7" w:rsidRPr="002F1EE7">
        <w:rPr>
          <w:lang w:val="en-US"/>
        </w:rPr>
        <w:t>Introduction</w:t>
      </w:r>
    </w:p>
    <w:p w14:paraId="1F08F46C" w14:textId="77777777" w:rsidR="002F1EE7" w:rsidRPr="002E0211" w:rsidRDefault="002F1EE7">
      <w:pPr>
        <w:pStyle w:val="SingleTxtG"/>
        <w:numPr>
          <w:ilvl w:val="0"/>
          <w:numId w:val="32"/>
        </w:numPr>
        <w:ind w:left="1134" w:firstLine="0"/>
      </w:pPr>
      <w:r w:rsidRPr="002E0211">
        <w:t>The Government of the Republic of Trinidad and Tobago (GORTT) is pleased to respond to the List of Issues Prior to Reporting presented by the Committee on the Elimination of Discrimination Against Women under the International Convention on the Elimination of All Forms of Discrimination Against Women (CEDAW).</w:t>
      </w:r>
    </w:p>
    <w:p w14:paraId="4449A6B2" w14:textId="77777777" w:rsidR="002F1EE7" w:rsidRPr="002F1EE7" w:rsidRDefault="002F1EE7">
      <w:pPr>
        <w:pStyle w:val="SingleTxtG"/>
        <w:numPr>
          <w:ilvl w:val="0"/>
          <w:numId w:val="32"/>
        </w:numPr>
        <w:ind w:left="1134" w:firstLine="0"/>
        <w:rPr>
          <w:lang w:val="en-US"/>
        </w:rPr>
      </w:pPr>
      <w:r w:rsidRPr="002F1EE7">
        <w:rPr>
          <w:lang w:val="en-US"/>
        </w:rPr>
        <w:t xml:space="preserve">The report was prepared by the International Law and Human Rights Unit (ILHRU) in the Office of the Attorney General of </w:t>
      </w:r>
      <w:r w:rsidRPr="005E1C13">
        <w:t>Trinidad</w:t>
      </w:r>
      <w:r w:rsidRPr="002F1EE7">
        <w:rPr>
          <w:lang w:val="en-US"/>
        </w:rPr>
        <w:t xml:space="preserve"> and Tobago in collaboration with the Office of the Prime Minister, Gender Affairs Division (GAD). </w:t>
      </w:r>
    </w:p>
    <w:p w14:paraId="2C42DBBD" w14:textId="77777777" w:rsidR="002F1EE7" w:rsidRPr="002F1EE7" w:rsidRDefault="002F1EE7">
      <w:pPr>
        <w:pStyle w:val="SingleTxtG"/>
        <w:numPr>
          <w:ilvl w:val="0"/>
          <w:numId w:val="32"/>
        </w:numPr>
        <w:ind w:left="1134" w:firstLine="0"/>
      </w:pPr>
      <w:r w:rsidRPr="002F1EE7">
        <w:rPr>
          <w:lang w:val="en-US"/>
        </w:rPr>
        <w:t xml:space="preserve">A consultative approach was adopted by hosting stakeholder consultations with both government stakeholders and civil society organizations; such as Counter Trafficking Unit (CTU), Immigration Division, Special Victims </w:t>
      </w:r>
      <w:r w:rsidRPr="005E1C13">
        <w:t>Department</w:t>
      </w:r>
      <w:r w:rsidRPr="002F1EE7">
        <w:rPr>
          <w:lang w:val="en-US"/>
        </w:rPr>
        <w:t xml:space="preserve"> of the Trinidad and Tobago Police Service (TTPS) all under the auspices of the Ministry of National Security; Child Affairs Division (CAD); Ministry of Health (MoH); Ministry of Labour (MoL); Ministry of Education (MoE); Ministry of Social Development and Family Services (MSDFS); Equal Opportunity Commission (EOC); Office of the Ombudsman; Ministry of Planning and Development; Ministry of Trade and Industry; and the CEDAW Committee of Trinidad and Tobago (CCoTT). </w:t>
      </w:r>
    </w:p>
    <w:p w14:paraId="2CBCA4E2" w14:textId="6CF745CD" w:rsidR="00247DD5" w:rsidRDefault="00476F28" w:rsidP="00247DD5">
      <w:pPr>
        <w:pStyle w:val="HChG"/>
      </w:pPr>
      <w:r>
        <w:tab/>
      </w:r>
      <w:r w:rsidR="00247DD5" w:rsidRPr="00247DD5">
        <w:t>II.</w:t>
      </w:r>
      <w:r w:rsidR="00247DD5" w:rsidRPr="00247DD5">
        <w:tab/>
        <w:t>Replies to the list of issues prior to reporting (</w:t>
      </w:r>
      <w:r>
        <w:t>CEDAW/C/TTO/QPR/8</w:t>
      </w:r>
      <w:r w:rsidR="00247DD5" w:rsidRPr="00247DD5">
        <w:t xml:space="preserve">) </w:t>
      </w:r>
    </w:p>
    <w:p w14:paraId="0BDDCEF1" w14:textId="694C7DED" w:rsidR="002F1EE7" w:rsidRPr="002F1EE7" w:rsidRDefault="00476F28" w:rsidP="00476F28">
      <w:pPr>
        <w:pStyle w:val="H1G"/>
      </w:pPr>
      <w:r>
        <w:tab/>
      </w:r>
      <w:r>
        <w:tab/>
      </w:r>
      <w:r w:rsidR="002F1EE7" w:rsidRPr="002F1EE7">
        <w:t>General information</w:t>
      </w:r>
    </w:p>
    <w:p w14:paraId="5758A9DF" w14:textId="77777777" w:rsidR="002F1EE7" w:rsidRPr="002F1EE7" w:rsidRDefault="002F1EE7">
      <w:pPr>
        <w:pStyle w:val="SingleTxtG"/>
        <w:numPr>
          <w:ilvl w:val="0"/>
          <w:numId w:val="32"/>
        </w:numPr>
        <w:ind w:left="1134" w:firstLine="0"/>
        <w:rPr>
          <w:b/>
          <w:u w:val="single"/>
        </w:rPr>
      </w:pPr>
      <w:r w:rsidRPr="002F1EE7">
        <w:rPr>
          <w:lang w:val="en-US"/>
        </w:rPr>
        <w:t>The</w:t>
      </w:r>
      <w:r w:rsidRPr="002F1EE7">
        <w:rPr>
          <w:lang w:val="en-TT"/>
        </w:rPr>
        <w:t xml:space="preserve"> 2011 Housing and Population Census conducted by the Central Statistical Office indicates that there was a total of 660,196 women living in Trinidad and Tobago across the 21 districts covered by the Census. The break-down of women by ethnic group was as follows: 224,469 African Descent; 231,701 East Indian descent; 51,267 Mixed descent (African and East Indian); 103,749 Mixed descent (other); 3, 657 Caucasian; 1, 883 Chinese; 723 Indigenous; 404 Portuguese; 467 Syrian/Lebanese. A detailed disaggregation based on religion, age, birthplace and disability is hereto attached at </w:t>
      </w:r>
      <w:r w:rsidRPr="00476F28">
        <w:rPr>
          <w:lang w:val="en-TT"/>
        </w:rPr>
        <w:t>Appendix 1.</w:t>
      </w:r>
      <w:r w:rsidRPr="002F1EE7">
        <w:rPr>
          <w:lang w:val="en-TT"/>
        </w:rPr>
        <w:t xml:space="preserve">   </w:t>
      </w:r>
    </w:p>
    <w:p w14:paraId="7D6C9436" w14:textId="77777777" w:rsidR="002F1EE7" w:rsidRPr="002F1EE7" w:rsidRDefault="002F1EE7">
      <w:pPr>
        <w:pStyle w:val="SingleTxtG"/>
        <w:numPr>
          <w:ilvl w:val="0"/>
          <w:numId w:val="32"/>
        </w:numPr>
        <w:ind w:left="1134" w:firstLine="0"/>
        <w:rPr>
          <w:b/>
          <w:u w:val="single"/>
        </w:rPr>
      </w:pPr>
      <w:r w:rsidRPr="002F1EE7">
        <w:rPr>
          <w:lang w:val="en-TT"/>
        </w:rPr>
        <w:t xml:space="preserve">The welfare of the most vulnerable in society continues to be a priority of the government. Women are an important vulnerable </w:t>
      </w:r>
      <w:r w:rsidRPr="005E1C13">
        <w:t>population</w:t>
      </w:r>
      <w:r w:rsidRPr="002F1EE7">
        <w:rPr>
          <w:lang w:val="en-TT"/>
        </w:rPr>
        <w:t xml:space="preserve"> within our society and emphasis has been placed on protecting and empowering women in all areas of life. This emphasis is clearly articulated in the country’s overall national development framework: The National Development Strategy (NDS) 2016-2030, “Vision 2030” which aligns with the United Nations Sustainable Development Goals (SDGs).</w:t>
      </w:r>
    </w:p>
    <w:p w14:paraId="232B5462" w14:textId="77777777" w:rsidR="002F1EE7" w:rsidRPr="002F1EE7" w:rsidRDefault="002F1EE7">
      <w:pPr>
        <w:pStyle w:val="SingleTxtG"/>
        <w:numPr>
          <w:ilvl w:val="0"/>
          <w:numId w:val="32"/>
        </w:numPr>
        <w:ind w:left="1134" w:firstLine="0"/>
        <w:rPr>
          <w:lang w:val="en-TT"/>
        </w:rPr>
      </w:pPr>
      <w:r w:rsidRPr="002F1EE7">
        <w:rPr>
          <w:lang w:val="en-TT"/>
        </w:rPr>
        <w:t>Trinidad and Tobago’s development during 2016-2024 was governed by three main policy documents:</w:t>
      </w:r>
    </w:p>
    <w:p w14:paraId="5050F2B1" w14:textId="1E717C8E" w:rsidR="002F1EE7" w:rsidRPr="00B11383" w:rsidRDefault="00B11383" w:rsidP="00B11383">
      <w:pPr>
        <w:pStyle w:val="SingleTxtG"/>
      </w:pPr>
      <w:r>
        <w:tab/>
        <w:t>(a)</w:t>
      </w:r>
      <w:r>
        <w:tab/>
      </w:r>
      <w:r w:rsidR="002F1EE7" w:rsidRPr="00B11383">
        <w:t>The National Development Strategy (NDS), Vision 2030;</w:t>
      </w:r>
    </w:p>
    <w:p w14:paraId="4C7B47E4" w14:textId="379D07F9" w:rsidR="002F1EE7" w:rsidRPr="00B11383" w:rsidRDefault="00B11383" w:rsidP="00B11383">
      <w:pPr>
        <w:pStyle w:val="SingleTxtG"/>
      </w:pPr>
      <w:r>
        <w:tab/>
        <w:t>(b)</w:t>
      </w:r>
      <w:r>
        <w:tab/>
      </w:r>
      <w:r w:rsidR="002F1EE7" w:rsidRPr="00B11383">
        <w:t>The Roadmap to Recovery Reports (RRRs); and</w:t>
      </w:r>
    </w:p>
    <w:p w14:paraId="3081DCA2" w14:textId="3FD22F7C" w:rsidR="002F1EE7" w:rsidRPr="00B11383" w:rsidRDefault="00B11383" w:rsidP="00B11383">
      <w:pPr>
        <w:pStyle w:val="SingleTxtG"/>
      </w:pPr>
      <w:r>
        <w:tab/>
        <w:t>(c)</w:t>
      </w:r>
      <w:r>
        <w:tab/>
      </w:r>
      <w:r w:rsidR="002F1EE7" w:rsidRPr="00B11383">
        <w:t>Community Recovery Report (CRR).</w:t>
      </w:r>
    </w:p>
    <w:p w14:paraId="00F9EE6C" w14:textId="77777777" w:rsidR="002F1EE7" w:rsidRPr="002F1EE7" w:rsidRDefault="002F1EE7">
      <w:pPr>
        <w:pStyle w:val="SingleTxtG"/>
        <w:numPr>
          <w:ilvl w:val="0"/>
          <w:numId w:val="32"/>
        </w:numPr>
        <w:ind w:left="1134" w:firstLine="0"/>
        <w:rPr>
          <w:lang w:val="en-TT"/>
        </w:rPr>
      </w:pPr>
      <w:r w:rsidRPr="002F1EE7">
        <w:rPr>
          <w:lang w:val="en-TT"/>
        </w:rPr>
        <w:t>The latter Reports arose due to the onset of the COVID-19 pandemic and was intended to assist all sectors of the economy to recover from the negative socio-economic effects of the pandemic. Cabinet, in 2021 agreed to the adoption of the RRRs and the CRR as core policy documents which are in alignment with the Vision 2030.</w:t>
      </w:r>
    </w:p>
    <w:p w14:paraId="1B771506" w14:textId="77777777" w:rsidR="002F1EE7" w:rsidRPr="002F1EE7" w:rsidRDefault="002F1EE7">
      <w:pPr>
        <w:pStyle w:val="SingleTxtG"/>
        <w:numPr>
          <w:ilvl w:val="0"/>
          <w:numId w:val="32"/>
        </w:numPr>
        <w:ind w:left="1134" w:firstLine="0"/>
      </w:pPr>
      <w:r w:rsidRPr="002F1EE7">
        <w:t>The NDS consists of development themes, goals and strategies that align with the UN SDGs. Development Theme I of the NDS: Putting People First: Nurturing Our Greatest Asset aligns directly with SDG Goal 5: “Achieving gender equality and empower all women and girls”. The list of goals under Theme I are as follows:</w:t>
      </w:r>
    </w:p>
    <w:p w14:paraId="426E3CA4" w14:textId="77777777" w:rsidR="002F1EE7" w:rsidRPr="008F1EDA" w:rsidRDefault="002F1EE7" w:rsidP="008F1EDA">
      <w:pPr>
        <w:pStyle w:val="Bullet1G"/>
      </w:pPr>
      <w:r w:rsidRPr="008F1EDA">
        <w:t>Goal 1: Our society will be grounded in the principles of social justice;</w:t>
      </w:r>
    </w:p>
    <w:p w14:paraId="1A193D47" w14:textId="77777777" w:rsidR="002F1EE7" w:rsidRPr="008F1EDA" w:rsidRDefault="002F1EE7" w:rsidP="008F1EDA">
      <w:pPr>
        <w:pStyle w:val="Bullet1G"/>
      </w:pPr>
      <w:r w:rsidRPr="008F1EDA">
        <w:lastRenderedPageBreak/>
        <w:t>Goal 2: Social Services Delivery will be improved to better serve the needs of the vulnerable;</w:t>
      </w:r>
    </w:p>
    <w:p w14:paraId="555098EB" w14:textId="77777777" w:rsidR="002F1EE7" w:rsidRPr="008F1EDA" w:rsidRDefault="002F1EE7" w:rsidP="008F1EDA">
      <w:pPr>
        <w:pStyle w:val="Bullet1G"/>
      </w:pPr>
      <w:r w:rsidRPr="008F1EDA">
        <w:t>Goal 3: Citizens will have access to adequate and affordable housing;</w:t>
      </w:r>
    </w:p>
    <w:p w14:paraId="10075E31" w14:textId="77777777" w:rsidR="002F1EE7" w:rsidRPr="008F1EDA" w:rsidRDefault="002F1EE7" w:rsidP="008F1EDA">
      <w:pPr>
        <w:pStyle w:val="Bullet1G"/>
      </w:pPr>
      <w:r w:rsidRPr="008F1EDA">
        <w:t>Goal 4: The Healthcare System of Trinidad and Tobago will be sustainable and modern and deliver higher standards of healthcare;</w:t>
      </w:r>
    </w:p>
    <w:p w14:paraId="05B54A15" w14:textId="77777777" w:rsidR="002F1EE7" w:rsidRPr="008F1EDA" w:rsidRDefault="002F1EE7" w:rsidP="008F1EDA">
      <w:pPr>
        <w:pStyle w:val="Bullet1G"/>
      </w:pPr>
      <w:r w:rsidRPr="008F1EDA">
        <w:t>Goal 5: The people of Trinidad and Tobago will be empowered to lead healthy lifestyles;</w:t>
      </w:r>
    </w:p>
    <w:p w14:paraId="16E7B7A9" w14:textId="77777777" w:rsidR="002F1EE7" w:rsidRPr="008F1EDA" w:rsidRDefault="002F1EE7" w:rsidP="008F1EDA">
      <w:pPr>
        <w:pStyle w:val="Bullet1G"/>
      </w:pPr>
      <w:r w:rsidRPr="008F1EDA">
        <w:t>Goal 6: The family will be protected and supported; and</w:t>
      </w:r>
    </w:p>
    <w:p w14:paraId="527D926E" w14:textId="77777777" w:rsidR="002F1EE7" w:rsidRPr="008F1EDA" w:rsidRDefault="002F1EE7" w:rsidP="008F1EDA">
      <w:pPr>
        <w:pStyle w:val="Bullet1G"/>
      </w:pPr>
      <w:r w:rsidRPr="008F1EDA">
        <w:t>Goal 7: Trinidad and Tobago will have a modern, relevant education and training system.</w:t>
      </w:r>
    </w:p>
    <w:p w14:paraId="366B91CD" w14:textId="743361CF" w:rsidR="002F1EE7" w:rsidRPr="002F1EE7" w:rsidRDefault="004D09AA" w:rsidP="00F3048C">
      <w:pPr>
        <w:pStyle w:val="H1G"/>
      </w:pPr>
      <w:r>
        <w:tab/>
      </w:r>
      <w:r>
        <w:tab/>
      </w:r>
      <w:r w:rsidR="002F1EE7" w:rsidRPr="002F1EE7">
        <w:t>Question 2 - Women’s rights in relation to the pandemic, recovery efforts, and global crises</w:t>
      </w:r>
    </w:p>
    <w:p w14:paraId="57C539C4" w14:textId="77777777" w:rsidR="002F1EE7" w:rsidRPr="002F1EE7" w:rsidRDefault="002F1EE7">
      <w:pPr>
        <w:pStyle w:val="SingleTxtG"/>
        <w:numPr>
          <w:ilvl w:val="0"/>
          <w:numId w:val="32"/>
        </w:numPr>
        <w:ind w:left="1134" w:firstLine="0"/>
        <w:rPr>
          <w:lang w:val="en-TT"/>
        </w:rPr>
      </w:pPr>
      <w:r w:rsidRPr="002F1EE7">
        <w:rPr>
          <w:lang w:val="en-US"/>
        </w:rPr>
        <w:t xml:space="preserve">The GORTT, recognizing that women are unequally affected by global crises, took immediate action in response to the COVID-19 pandemic by implementing various intervention strategies to interrupt and reduce the transmission of the virus. </w:t>
      </w:r>
    </w:p>
    <w:p w14:paraId="4BC6B6C7" w14:textId="77777777" w:rsidR="002F1EE7" w:rsidRPr="002F1EE7" w:rsidRDefault="002F1EE7">
      <w:pPr>
        <w:pStyle w:val="SingleTxtG"/>
        <w:numPr>
          <w:ilvl w:val="0"/>
          <w:numId w:val="32"/>
        </w:numPr>
        <w:ind w:left="1134" w:firstLine="0"/>
        <w:rPr>
          <w:lang w:val="en-TT"/>
        </w:rPr>
      </w:pPr>
      <w:r w:rsidRPr="002F1EE7">
        <w:rPr>
          <w:lang w:val="en-US"/>
        </w:rPr>
        <w:t xml:space="preserve">Sensitivity to stakeholders’ needs was the key principle underlying the selection of engagement methods. Special attention was given </w:t>
      </w:r>
      <w:r w:rsidRPr="005E1C13">
        <w:t>to</w:t>
      </w:r>
      <w:r w:rsidRPr="002F1EE7">
        <w:rPr>
          <w:lang w:val="en-US"/>
        </w:rPr>
        <w:t xml:space="preserve"> vulnerable groups, in particular women, youth, elderly, persons with disabilities, displaced persons, those with underlying health conditions; and to the cultural sensitivities of diverse ethnic groups.</w:t>
      </w:r>
    </w:p>
    <w:p w14:paraId="4C57EDB4" w14:textId="09AED3AC" w:rsidR="002F1EE7" w:rsidRPr="002F1EE7" w:rsidRDefault="00A25A14" w:rsidP="00A25A14">
      <w:pPr>
        <w:pStyle w:val="H23G"/>
        <w:rPr>
          <w:lang w:val="en-TT"/>
        </w:rPr>
      </w:pPr>
      <w:r>
        <w:rPr>
          <w:lang w:val="en-TT"/>
        </w:rPr>
        <w:tab/>
      </w:r>
      <w:r>
        <w:rPr>
          <w:lang w:val="en-TT"/>
        </w:rPr>
        <w:tab/>
      </w:r>
      <w:r w:rsidR="002F1EE7" w:rsidRPr="002F1EE7">
        <w:rPr>
          <w:lang w:val="en-TT"/>
        </w:rPr>
        <w:t xml:space="preserve">Development </w:t>
      </w:r>
      <w:r w:rsidR="007576CE">
        <w:rPr>
          <w:lang w:val="en-TT"/>
        </w:rPr>
        <w:t>p</w:t>
      </w:r>
      <w:r w:rsidR="002F1EE7" w:rsidRPr="002F1EE7">
        <w:rPr>
          <w:lang w:val="en-TT"/>
        </w:rPr>
        <w:t>olices</w:t>
      </w:r>
    </w:p>
    <w:p w14:paraId="6446FAFD" w14:textId="77777777" w:rsidR="002F1EE7" w:rsidRPr="002F1EE7" w:rsidRDefault="002F1EE7">
      <w:pPr>
        <w:pStyle w:val="SingleTxtG"/>
        <w:numPr>
          <w:ilvl w:val="0"/>
          <w:numId w:val="32"/>
        </w:numPr>
        <w:ind w:left="1134" w:firstLine="0"/>
        <w:rPr>
          <w:lang w:val="en-TT"/>
        </w:rPr>
      </w:pPr>
      <w:r w:rsidRPr="002F1EE7">
        <w:rPr>
          <w:lang w:val="en-US"/>
        </w:rPr>
        <w:t xml:space="preserve">The Roadmap to Recovery Reports (RRRs) as a development policy was prompted by the onset of the pandemic. </w:t>
      </w:r>
      <w:r w:rsidRPr="002F1EE7">
        <w:rPr>
          <w:lang w:val="en-TT"/>
        </w:rPr>
        <w:t xml:space="preserve"> In the RRR Phase II Report, the government outlined its commitment to addressing women’s rights and gender equality issues in relation to the COVID-19 pandemic recovery. A primary objective under Pillar 3, was “Social Protection – Leaving No One Behind while creating greater equality in Trinidad and </w:t>
      </w:r>
      <w:r w:rsidRPr="005E1C13">
        <w:t>Tobago</w:t>
      </w:r>
      <w:r w:rsidRPr="002F1EE7">
        <w:rPr>
          <w:lang w:val="en-TT"/>
        </w:rPr>
        <w:t xml:space="preserve">”. The report recommended funding domestic violence shelters, transitional facilities and family planning programmes at the community level and improving strategies to end gender-based violence. Also, a number of strategies included implementing policies that improve the lives of women and children, such as the National Policy on Gender and Development and the National Child Policy.  A review of the implementation and enforcement of legislation that facilitates and supports behavioural change strategies related to the vulnerable groups was also recommended. </w:t>
      </w:r>
    </w:p>
    <w:p w14:paraId="312012A9" w14:textId="77777777" w:rsidR="002F1EE7" w:rsidRPr="002F1EE7" w:rsidRDefault="002F1EE7">
      <w:pPr>
        <w:pStyle w:val="SingleTxtG"/>
        <w:numPr>
          <w:ilvl w:val="0"/>
          <w:numId w:val="32"/>
        </w:numPr>
        <w:ind w:left="1134" w:firstLine="0"/>
        <w:rPr>
          <w:lang w:val="en-TT"/>
        </w:rPr>
      </w:pPr>
      <w:r w:rsidRPr="002F1EE7">
        <w:rPr>
          <w:lang w:val="en-TT"/>
        </w:rPr>
        <w:t xml:space="preserve">The government also introduced a social safety net programme to address the most vulnerable in our society.  Some other strategies </w:t>
      </w:r>
      <w:r w:rsidRPr="005E1C13">
        <w:t>and</w:t>
      </w:r>
      <w:r w:rsidRPr="002F1EE7">
        <w:rPr>
          <w:lang w:val="en-TT"/>
        </w:rPr>
        <w:t xml:space="preserve"> actions recommended in the RRR were:</w:t>
      </w:r>
    </w:p>
    <w:p w14:paraId="3678A8B3" w14:textId="77777777" w:rsidR="002F1EE7" w:rsidRPr="002F1EE7" w:rsidRDefault="002F1EE7" w:rsidP="005F2D03">
      <w:pPr>
        <w:pStyle w:val="Bullet1G"/>
        <w:rPr>
          <w:lang w:val="en-TT"/>
        </w:rPr>
      </w:pPr>
      <w:r w:rsidRPr="002F1EE7">
        <w:rPr>
          <w:lang w:val="en-TT"/>
        </w:rPr>
        <w:t>Improvement in Social Services programme delivery through:</w:t>
      </w:r>
    </w:p>
    <w:p w14:paraId="4DECA38F" w14:textId="77777777" w:rsidR="002F1EE7" w:rsidRPr="002F1EE7" w:rsidRDefault="002F1EE7" w:rsidP="005F2D03">
      <w:pPr>
        <w:pStyle w:val="Bullet2G"/>
        <w:rPr>
          <w:lang w:val="en-TT"/>
        </w:rPr>
      </w:pPr>
      <w:r w:rsidRPr="002F1EE7">
        <w:rPr>
          <w:lang w:val="en-TT"/>
        </w:rPr>
        <w:t>Development of a national registry of vulnerable persons or families that tracks vulnerable persons in the society; and</w:t>
      </w:r>
    </w:p>
    <w:p w14:paraId="0A4B7833" w14:textId="7F5501E2" w:rsidR="002F1EE7" w:rsidRPr="002F1EE7" w:rsidRDefault="002F1EE7" w:rsidP="005F2D03">
      <w:pPr>
        <w:pStyle w:val="Bullet2G"/>
        <w:rPr>
          <w:lang w:val="en-TT"/>
        </w:rPr>
      </w:pPr>
      <w:r w:rsidRPr="002F1EE7">
        <w:rPr>
          <w:lang w:val="en-TT"/>
        </w:rPr>
        <w:t>Modernising the delivery of services by making use of modern technology</w:t>
      </w:r>
      <w:r w:rsidR="005F2D03">
        <w:rPr>
          <w:lang w:val="en-TT"/>
        </w:rPr>
        <w:t>;</w:t>
      </w:r>
    </w:p>
    <w:p w14:paraId="4A37D519" w14:textId="77777777" w:rsidR="002F1EE7" w:rsidRPr="002F1EE7" w:rsidRDefault="002F1EE7" w:rsidP="005F2D03">
      <w:pPr>
        <w:pStyle w:val="Bullet1G"/>
        <w:rPr>
          <w:lang w:val="en-TT"/>
        </w:rPr>
      </w:pPr>
      <w:r w:rsidRPr="002F1EE7">
        <w:rPr>
          <w:lang w:val="en-TT"/>
        </w:rPr>
        <w:t>Introduction of new programmes such as:</w:t>
      </w:r>
    </w:p>
    <w:p w14:paraId="5AF6F3B3" w14:textId="77777777" w:rsidR="002F1EE7" w:rsidRPr="002F1EE7" w:rsidRDefault="002F1EE7" w:rsidP="005F2D03">
      <w:pPr>
        <w:pStyle w:val="Bullet2G"/>
        <w:rPr>
          <w:lang w:val="en-TT"/>
        </w:rPr>
      </w:pPr>
      <w:r w:rsidRPr="002F1EE7">
        <w:rPr>
          <w:lang w:val="en-TT"/>
        </w:rPr>
        <w:t>Community led entrepreneurial development initiatives through the formation of community cooperatives;</w:t>
      </w:r>
    </w:p>
    <w:p w14:paraId="4EF00F24" w14:textId="77777777" w:rsidR="002F1EE7" w:rsidRPr="002F1EE7" w:rsidRDefault="002F1EE7" w:rsidP="005F2D03">
      <w:pPr>
        <w:pStyle w:val="Bullet2G"/>
        <w:rPr>
          <w:lang w:val="en-TT"/>
        </w:rPr>
      </w:pPr>
      <w:r w:rsidRPr="002F1EE7">
        <w:rPr>
          <w:lang w:val="en-TT"/>
        </w:rPr>
        <w:t xml:space="preserve">Programmes that focus on women, children and single fathers using social care strategies, financial support strategies and policy strategies; and </w:t>
      </w:r>
    </w:p>
    <w:p w14:paraId="6A81AE3E" w14:textId="77777777" w:rsidR="002F1EE7" w:rsidRPr="002F1EE7" w:rsidRDefault="002F1EE7" w:rsidP="005F2D03">
      <w:pPr>
        <w:pStyle w:val="Bullet2G"/>
        <w:rPr>
          <w:lang w:val="en-TT"/>
        </w:rPr>
      </w:pPr>
      <w:r w:rsidRPr="002F1EE7">
        <w:rPr>
          <w:lang w:val="en-TT"/>
        </w:rPr>
        <w:t xml:space="preserve">A Social Insurance programme supported by a system making health care more conveniently accessible in many parts of the country. </w:t>
      </w:r>
    </w:p>
    <w:p w14:paraId="6FDE78BE" w14:textId="513728D1" w:rsidR="002F1EE7" w:rsidRPr="002F1EE7" w:rsidRDefault="00580326" w:rsidP="00580326">
      <w:pPr>
        <w:pStyle w:val="H23G"/>
        <w:rPr>
          <w:lang w:val="en-TT"/>
        </w:rPr>
      </w:pPr>
      <w:r>
        <w:rPr>
          <w:lang w:val="en-US"/>
        </w:rPr>
        <w:lastRenderedPageBreak/>
        <w:tab/>
      </w:r>
      <w:r>
        <w:rPr>
          <w:lang w:val="en-US"/>
        </w:rPr>
        <w:tab/>
      </w:r>
      <w:r w:rsidR="002F1EE7" w:rsidRPr="002F1EE7">
        <w:rPr>
          <w:lang w:val="en-US"/>
        </w:rPr>
        <w:t>Health</w:t>
      </w:r>
    </w:p>
    <w:p w14:paraId="44CAF341" w14:textId="77777777" w:rsidR="002F1EE7" w:rsidRPr="00580326" w:rsidRDefault="002F1EE7">
      <w:pPr>
        <w:pStyle w:val="SingleTxtG"/>
        <w:numPr>
          <w:ilvl w:val="0"/>
          <w:numId w:val="32"/>
        </w:numPr>
        <w:ind w:left="1134" w:firstLine="0"/>
        <w:rPr>
          <w:lang w:val="en-TT"/>
        </w:rPr>
      </w:pPr>
      <w:r w:rsidRPr="00580326">
        <w:rPr>
          <w:lang w:val="en-US"/>
        </w:rPr>
        <w:t>The Public Health Ordinance Chap 12 No.4 was amended to add COVID-19 to its list of Dangerous and Infectious Diseases.  The pursuant regulations, the Public Health [2019 Novel Coronavirus (2019-nCoV)] Regulations were also regularly updated; accompanied by necessary, yet proportional guidelines, to slow transmission of the virus and mitigate post pandemic effects on the society</w:t>
      </w:r>
      <w:r w:rsidRPr="00580326">
        <w:t xml:space="preserve">. Additionally, existing </w:t>
      </w:r>
      <w:r w:rsidRPr="00580326">
        <w:rPr>
          <w:lang w:val="en-US"/>
        </w:rPr>
        <w:t>systems were strengthened to ensure that all other vulnerable groups had continued access to all levels of public health care, free of charge and without any distinction. A parallel health care system was developed to treat with those infected with the virus.</w:t>
      </w:r>
    </w:p>
    <w:p w14:paraId="73405104" w14:textId="77777777" w:rsidR="002F1EE7" w:rsidRPr="002F1EE7" w:rsidRDefault="002F1EE7">
      <w:pPr>
        <w:pStyle w:val="SingleTxtG"/>
        <w:numPr>
          <w:ilvl w:val="0"/>
          <w:numId w:val="32"/>
        </w:numPr>
        <w:ind w:left="1134" w:firstLine="0"/>
        <w:rPr>
          <w:lang w:val="en-US"/>
        </w:rPr>
      </w:pPr>
      <w:r w:rsidRPr="002F1EE7">
        <w:rPr>
          <w:lang w:val="en-US"/>
        </w:rPr>
        <w:t xml:space="preserve">The GORTT, through the Ministry of </w:t>
      </w:r>
      <w:r w:rsidRPr="005E1C13">
        <w:t>Health</w:t>
      </w:r>
      <w:r w:rsidRPr="002F1EE7">
        <w:rPr>
          <w:lang w:val="en-US"/>
        </w:rPr>
        <w:t xml:space="preserve"> (MoH), implemented a whole-of-government approach in responding to the pandemic. The first step undertaken was the development of a Multi-sectoral Committee to treat with COVID-19 and any other emerging infectious diseases. The Committee comprised of stakeholders from several government agencies, chaired by the Chief Medical Officer and reported to the Ministers of Health and National Security; all in accordance with World Health </w:t>
      </w:r>
      <w:r w:rsidRPr="002F1EE7">
        <w:t>Organisation</w:t>
      </w:r>
      <w:r w:rsidRPr="002F1EE7">
        <w:rPr>
          <w:lang w:val="en-US"/>
        </w:rPr>
        <w:t xml:space="preserve"> (WHO) guidelines.</w:t>
      </w:r>
    </w:p>
    <w:p w14:paraId="0570FA85" w14:textId="77777777" w:rsidR="002F1EE7" w:rsidRPr="00580326" w:rsidRDefault="002F1EE7">
      <w:pPr>
        <w:pStyle w:val="SingleTxtG"/>
        <w:numPr>
          <w:ilvl w:val="0"/>
          <w:numId w:val="32"/>
        </w:numPr>
        <w:ind w:left="1134" w:firstLine="0"/>
        <w:rPr>
          <w:lang w:val="en-US"/>
        </w:rPr>
      </w:pPr>
      <w:r w:rsidRPr="00580326">
        <w:rPr>
          <w:lang w:val="en-US"/>
        </w:rPr>
        <w:t xml:space="preserve">The Pandemic Preparedness and Response Plan was also updated with specific reference to COVID-19 with the aim of detecting and responding to the threat posed by the pandemic and strengthening the existing systems for public health preparedness. This Plan allowed for the following: </w:t>
      </w:r>
    </w:p>
    <w:p w14:paraId="5A4781BA" w14:textId="6F6E11B2" w:rsidR="002F1EE7" w:rsidRPr="002F1EE7" w:rsidRDefault="002F1EE7" w:rsidP="007576CE">
      <w:pPr>
        <w:pStyle w:val="Bullet1G"/>
        <w:rPr>
          <w:lang w:val="en-US"/>
        </w:rPr>
      </w:pPr>
      <w:r w:rsidRPr="002F1EE7">
        <w:rPr>
          <w:lang w:val="en-US"/>
        </w:rPr>
        <w:t xml:space="preserve">A flexible and agile approach to the public health response; </w:t>
      </w:r>
    </w:p>
    <w:p w14:paraId="0448AC5E" w14:textId="63367C56" w:rsidR="002F1EE7" w:rsidRPr="002F1EE7" w:rsidRDefault="002F1EE7" w:rsidP="007576CE">
      <w:pPr>
        <w:pStyle w:val="Bullet1G"/>
        <w:rPr>
          <w:lang w:val="en-US"/>
        </w:rPr>
      </w:pPr>
      <w:r w:rsidRPr="002F1EE7">
        <w:rPr>
          <w:lang w:val="en-US"/>
        </w:rPr>
        <w:t xml:space="preserve">The building of infection prevention and control (IPC) capacities such as training of care staff, and ensuring availability of IPC supplies (hand hygiene and environmental cleaning and disinfection materials, personal protective equipment), or factoring in these needs into regional and national supply chains to avoid stock-outs; and </w:t>
      </w:r>
    </w:p>
    <w:p w14:paraId="730945EC" w14:textId="1BD8B446" w:rsidR="002F1EE7" w:rsidRPr="002F1EE7" w:rsidRDefault="002F1EE7" w:rsidP="007576CE">
      <w:pPr>
        <w:pStyle w:val="Bullet1G"/>
        <w:rPr>
          <w:lang w:val="en-US"/>
        </w:rPr>
      </w:pPr>
      <w:r w:rsidRPr="002F1EE7">
        <w:rPr>
          <w:lang w:val="en-US"/>
        </w:rPr>
        <w:t xml:space="preserve">Facilitating health access, including immunization through community and primary healthcare. </w:t>
      </w:r>
    </w:p>
    <w:p w14:paraId="4BFCFF36" w14:textId="49A79275" w:rsidR="002F1EE7" w:rsidRPr="002F1EE7" w:rsidRDefault="007576CE" w:rsidP="007576CE">
      <w:pPr>
        <w:pStyle w:val="H23G"/>
        <w:rPr>
          <w:lang w:val="en-TT"/>
        </w:rPr>
      </w:pPr>
      <w:r>
        <w:rPr>
          <w:lang w:val="en-TT"/>
        </w:rPr>
        <w:tab/>
      </w:r>
      <w:r>
        <w:rPr>
          <w:lang w:val="en-TT"/>
        </w:rPr>
        <w:tab/>
      </w:r>
      <w:r w:rsidR="002F1EE7" w:rsidRPr="002F1EE7">
        <w:rPr>
          <w:lang w:val="en-TT"/>
        </w:rPr>
        <w:t xml:space="preserve">Social </w:t>
      </w:r>
      <w:r>
        <w:rPr>
          <w:lang w:val="en-TT"/>
        </w:rPr>
        <w:t>s</w:t>
      </w:r>
      <w:r w:rsidR="002F1EE7" w:rsidRPr="002F1EE7">
        <w:rPr>
          <w:lang w:val="en-TT"/>
        </w:rPr>
        <w:t>ervices</w:t>
      </w:r>
    </w:p>
    <w:p w14:paraId="43D79847" w14:textId="77777777" w:rsidR="002F1EE7" w:rsidRPr="002F1EE7" w:rsidRDefault="002F1EE7">
      <w:pPr>
        <w:pStyle w:val="SingleTxtG"/>
        <w:numPr>
          <w:ilvl w:val="0"/>
          <w:numId w:val="32"/>
        </w:numPr>
        <w:ind w:left="1134" w:firstLine="0"/>
      </w:pPr>
      <w:r w:rsidRPr="002F1EE7">
        <w:t>In fiscal 2020, GORTT, through the Ministry of Social Development and Family Services (MSDFS) and other Agencies, implemented several emergency social measures to treat with the socio-economic repercussions of COVID-19. All offerings were advertised to the general public and were equally opened to women and men to access relief. This was necessary given the significant number of citizens who were retrenched, terminated or whose income was reduced as a result of the pandemic. These measures included:</w:t>
      </w:r>
    </w:p>
    <w:p w14:paraId="40F9B795" w14:textId="77777777" w:rsidR="002F1EE7" w:rsidRPr="002F1EE7" w:rsidRDefault="002F1EE7" w:rsidP="007576CE">
      <w:pPr>
        <w:pStyle w:val="Bullet1G"/>
      </w:pPr>
      <w:r w:rsidRPr="002F1EE7">
        <w:t>Income support;</w:t>
      </w:r>
    </w:p>
    <w:p w14:paraId="47049629" w14:textId="77777777" w:rsidR="002F1EE7" w:rsidRPr="002F1EE7" w:rsidRDefault="002F1EE7" w:rsidP="007576CE">
      <w:pPr>
        <w:pStyle w:val="Bullet1G"/>
      </w:pPr>
      <w:r w:rsidRPr="002F1EE7">
        <w:t>Food support;</w:t>
      </w:r>
    </w:p>
    <w:p w14:paraId="1601843B" w14:textId="77777777" w:rsidR="002F1EE7" w:rsidRPr="002F1EE7" w:rsidRDefault="002F1EE7" w:rsidP="007576CE">
      <w:pPr>
        <w:pStyle w:val="Bullet1G"/>
      </w:pPr>
      <w:r w:rsidRPr="002F1EE7">
        <w:t>Rental assistance;</w:t>
      </w:r>
    </w:p>
    <w:p w14:paraId="533A7D09" w14:textId="77777777" w:rsidR="002F1EE7" w:rsidRPr="002F1EE7" w:rsidRDefault="002F1EE7" w:rsidP="007576CE">
      <w:pPr>
        <w:pStyle w:val="Bullet1G"/>
      </w:pPr>
      <w:r w:rsidRPr="002F1EE7">
        <w:t>Additional cash transfer to existing clients;</w:t>
      </w:r>
    </w:p>
    <w:p w14:paraId="05DBA58E" w14:textId="77777777" w:rsidR="002F1EE7" w:rsidRPr="002F1EE7" w:rsidRDefault="002F1EE7" w:rsidP="007576CE">
      <w:pPr>
        <w:pStyle w:val="Bullet1G"/>
      </w:pPr>
      <w:r w:rsidRPr="002F1EE7">
        <w:t>Provision of food hampers to poor and vulnerable families;</w:t>
      </w:r>
    </w:p>
    <w:p w14:paraId="566ADF8C" w14:textId="3CA29B37" w:rsidR="002F1EE7" w:rsidRPr="002F1EE7" w:rsidRDefault="002F1EE7" w:rsidP="007576CE">
      <w:pPr>
        <w:pStyle w:val="Bullet1G"/>
      </w:pPr>
      <w:r w:rsidRPr="002F1EE7">
        <w:t>Provision of food hampers in partnership with Faith Based Organization</w:t>
      </w:r>
      <w:r w:rsidR="007576CE">
        <w:t>.</w:t>
      </w:r>
    </w:p>
    <w:p w14:paraId="2010A1B3" w14:textId="77777777" w:rsidR="002F1EE7" w:rsidRPr="002F1EE7" w:rsidRDefault="002F1EE7">
      <w:pPr>
        <w:pStyle w:val="SingleTxtG"/>
        <w:numPr>
          <w:ilvl w:val="0"/>
          <w:numId w:val="32"/>
        </w:numPr>
        <w:ind w:left="1134" w:firstLine="0"/>
      </w:pPr>
      <w:r w:rsidRPr="002F1EE7">
        <w:t xml:space="preserve">Given the pandemic’s resultant economic fallout, the MSDFS continues to provide financial assistance to aid vulnerable persons/households including single female headed households in meeting their basic needs. </w:t>
      </w:r>
    </w:p>
    <w:p w14:paraId="69ACF923" w14:textId="77777777" w:rsidR="002F1EE7" w:rsidRPr="002F1EE7" w:rsidRDefault="002F1EE7">
      <w:pPr>
        <w:pStyle w:val="SingleTxtG"/>
        <w:numPr>
          <w:ilvl w:val="0"/>
          <w:numId w:val="32"/>
        </w:numPr>
        <w:ind w:left="1134" w:firstLine="0"/>
      </w:pPr>
      <w:r w:rsidRPr="002F1EE7">
        <w:t xml:space="preserve">In preparation for future crises, the MSDFS has focused its operations on systemic improvements to aid its ability to respond quickly, effectively and increase its reach as well as allow for evidence-based prediction to facilitate more proactive, customized, and gender-specific approaches. The Ministry is therefore continuing to digitize of its records and its processes using updated technology as part of its transformation trajectory. This shift will allow for greater gender focused impact assessments and less generalized assumptions. </w:t>
      </w:r>
    </w:p>
    <w:p w14:paraId="15D7BC04" w14:textId="39902A06" w:rsidR="002F1EE7" w:rsidRPr="002F1EE7" w:rsidRDefault="00D77489" w:rsidP="00D77489">
      <w:pPr>
        <w:pStyle w:val="H23G"/>
      </w:pPr>
      <w:r>
        <w:lastRenderedPageBreak/>
        <w:tab/>
      </w:r>
      <w:r>
        <w:tab/>
      </w:r>
      <w:r w:rsidR="002F1EE7" w:rsidRPr="002F1EE7">
        <w:t>Employment</w:t>
      </w:r>
    </w:p>
    <w:p w14:paraId="1054AC90" w14:textId="77777777" w:rsidR="002F1EE7" w:rsidRPr="002F1EE7" w:rsidRDefault="002F1EE7">
      <w:pPr>
        <w:pStyle w:val="SingleTxtG"/>
        <w:numPr>
          <w:ilvl w:val="0"/>
          <w:numId w:val="32"/>
        </w:numPr>
        <w:ind w:left="1134" w:firstLine="0"/>
      </w:pPr>
      <w:r w:rsidRPr="002F1EE7">
        <w:t>The Ministry of Labour (MoL) also undertook measures to face the COVID-19 pandemic and its long-term impact including the following:</w:t>
      </w:r>
    </w:p>
    <w:p w14:paraId="1B6CD241" w14:textId="77777777" w:rsidR="002F1EE7" w:rsidRPr="00A250E4" w:rsidRDefault="002F1EE7" w:rsidP="00A250E4">
      <w:pPr>
        <w:pStyle w:val="Bullet1G"/>
      </w:pPr>
      <w:r w:rsidRPr="00A250E4">
        <w:t xml:space="preserve">The MoL, with the assistance of the Ministry of Health, the Chief Personnel Officer and the Ministry of National Security, formulated the National Policy Guidelines on Preparing Workplaces in Trinidad and Tobago for COVID-19 dated July 31, 2020. On August 6, 2020, Cabinet approved the Policy and noted that the objectives of the Policy are to minimize the spread of COVID-19 by keeping employees safe and well at work, in keeping with the following Policy Goals: </w:t>
      </w:r>
    </w:p>
    <w:p w14:paraId="38CAB518" w14:textId="1DDF6F4B" w:rsidR="002F1EE7" w:rsidRPr="00A250E4" w:rsidRDefault="002244B2" w:rsidP="00A250E4">
      <w:pPr>
        <w:pStyle w:val="Bullet2G"/>
      </w:pPr>
      <w:r>
        <w:t>P</w:t>
      </w:r>
      <w:r w:rsidR="002F1EE7" w:rsidRPr="00A250E4">
        <w:t>reparedness, prevention, mitigation, response and recovery from the spread of COVID-19;</w:t>
      </w:r>
    </w:p>
    <w:p w14:paraId="53923D5F" w14:textId="3AAB0414" w:rsidR="002F1EE7" w:rsidRPr="00A250E4" w:rsidRDefault="002244B2" w:rsidP="00A250E4">
      <w:pPr>
        <w:pStyle w:val="Bullet2G"/>
      </w:pPr>
      <w:r>
        <w:t>T</w:t>
      </w:r>
      <w:r w:rsidR="002F1EE7" w:rsidRPr="00A250E4">
        <w:t>o ensure that safety and health at workplaces in Trinidad and Tobago are maintained;</w:t>
      </w:r>
    </w:p>
    <w:p w14:paraId="2C4955AE" w14:textId="1731C2C5" w:rsidR="002F1EE7" w:rsidRPr="00A250E4" w:rsidRDefault="002244B2" w:rsidP="00A250E4">
      <w:pPr>
        <w:pStyle w:val="Bullet2G"/>
      </w:pPr>
      <w:r>
        <w:t>T</w:t>
      </w:r>
      <w:r w:rsidR="002F1EE7" w:rsidRPr="00A250E4">
        <w:t>o ensure business continuity;</w:t>
      </w:r>
    </w:p>
    <w:p w14:paraId="1468CAD5" w14:textId="6F4311DD" w:rsidR="002F1EE7" w:rsidRPr="00A250E4" w:rsidRDefault="002244B2" w:rsidP="00A250E4">
      <w:pPr>
        <w:pStyle w:val="Bullet2G"/>
      </w:pPr>
      <w:r>
        <w:t>T</w:t>
      </w:r>
      <w:r w:rsidR="002F1EE7" w:rsidRPr="00A250E4">
        <w:t xml:space="preserve">o define the workplace roles and responsibilities of Employees, Employers, Trade Unions and state agencies; and </w:t>
      </w:r>
    </w:p>
    <w:p w14:paraId="1339FFF5" w14:textId="026E43E5" w:rsidR="002F1EE7" w:rsidRPr="00A250E4" w:rsidRDefault="002244B2" w:rsidP="00A250E4">
      <w:pPr>
        <w:pStyle w:val="Bullet2G"/>
      </w:pPr>
      <w:r>
        <w:t>T</w:t>
      </w:r>
      <w:r w:rsidR="002F1EE7" w:rsidRPr="00A250E4">
        <w:t>o manage the effects of COVID-19 on workplaces and/ or businesses in Trinidad and Tobago</w:t>
      </w:r>
      <w:r>
        <w:t>;</w:t>
      </w:r>
    </w:p>
    <w:p w14:paraId="0018F124" w14:textId="77777777" w:rsidR="002F1EE7" w:rsidRPr="00A250E4" w:rsidRDefault="002F1EE7" w:rsidP="00A250E4">
      <w:pPr>
        <w:pStyle w:val="Bullet1G"/>
      </w:pPr>
      <w:r w:rsidRPr="00A250E4">
        <w:t>A COVID-19 Resource Centre, which provides guidelines on Working from Home and Returning to Work Safely, was established by the Occupational Safety and Health Agency (OSHA). Additionally, through the OSHA, vlogs and a webinar series were conducted for all persons in the manufacturing, wholesale/retail, human health, transportation and storage and education sectors.</w:t>
      </w:r>
      <w:bookmarkStart w:id="0" w:name="_Hlk165904266"/>
    </w:p>
    <w:bookmarkEnd w:id="0"/>
    <w:p w14:paraId="6A5D0610" w14:textId="7FC803FF" w:rsidR="002F1EE7" w:rsidRPr="002F1EE7" w:rsidRDefault="002244B2" w:rsidP="002244B2">
      <w:pPr>
        <w:pStyle w:val="H1G"/>
      </w:pPr>
      <w:r>
        <w:tab/>
      </w:r>
      <w:r>
        <w:tab/>
      </w:r>
      <w:r w:rsidR="002F1EE7" w:rsidRPr="002F1EE7">
        <w:t>Question 3 - Legal status and visibility of the Convention</w:t>
      </w:r>
    </w:p>
    <w:p w14:paraId="0DBE7E84" w14:textId="54E91078" w:rsidR="002F1EE7" w:rsidRPr="002F1EE7" w:rsidRDefault="000E4C9A" w:rsidP="00745431">
      <w:pPr>
        <w:pStyle w:val="H23G"/>
      </w:pPr>
      <w:r>
        <w:tab/>
      </w:r>
      <w:r>
        <w:tab/>
      </w:r>
      <w:r w:rsidR="002F1EE7" w:rsidRPr="002F1EE7">
        <w:t>Legislative measures to fully incorporate the Convention</w:t>
      </w:r>
    </w:p>
    <w:p w14:paraId="6008343D" w14:textId="77777777" w:rsidR="002F1EE7" w:rsidRPr="000E4C9A" w:rsidRDefault="002F1EE7">
      <w:pPr>
        <w:pStyle w:val="SingleTxtG"/>
        <w:numPr>
          <w:ilvl w:val="0"/>
          <w:numId w:val="32"/>
        </w:numPr>
        <w:ind w:left="1134" w:firstLine="0"/>
      </w:pPr>
      <w:r w:rsidRPr="002F1EE7">
        <w:t xml:space="preserve">As a dualist state, international conventions must first be incorporated into domestic legislation of Trinidad and Tobago to become enforceable. Regarding CEDAW, there is no one piece of legislation that incorporates this Convention. In fact, the rights and obligations under CEDAW are incorporated and implemented through many pieces of legislation based on the subject matter. For example, the offences of trafficking in women and exploitation of </w:t>
      </w:r>
      <w:r w:rsidRPr="000E4C9A">
        <w:t xml:space="preserve">prostitution of women established in Article 6 of the Convention, are criminalised under the Trafficking in Persons Act, Chapter 12:10 (TIPs) and the Sexual Offences Act, Chapter 11:28. </w:t>
      </w:r>
    </w:p>
    <w:p w14:paraId="7B47557B" w14:textId="77777777" w:rsidR="002F1EE7" w:rsidRPr="002F1EE7" w:rsidRDefault="002F1EE7">
      <w:pPr>
        <w:pStyle w:val="SingleTxtG"/>
        <w:numPr>
          <w:ilvl w:val="0"/>
          <w:numId w:val="32"/>
        </w:numPr>
        <w:ind w:left="1134" w:firstLine="0"/>
      </w:pPr>
      <w:r w:rsidRPr="002F1EE7">
        <w:t>Individual government agencies are designated as line Ministries, responsible for the implementation of international conventions obligations.  The Gender Affairs Division (GAD) is responsible for women rights. While the International Law and Human Rights Unit (ILHRU) in the Office of the Attorney General is responsible for reporting on the implementation of international human rights conventions.</w:t>
      </w:r>
    </w:p>
    <w:p w14:paraId="7F90EA8E" w14:textId="21365A59" w:rsidR="002F1EE7" w:rsidRPr="002F1EE7" w:rsidRDefault="000E4C9A" w:rsidP="000E4C9A">
      <w:pPr>
        <w:pStyle w:val="H23G"/>
      </w:pPr>
      <w:bookmarkStart w:id="1" w:name="_Hlk155022656"/>
      <w:r>
        <w:tab/>
      </w:r>
      <w:r>
        <w:tab/>
      </w:r>
      <w:r w:rsidR="002F1EE7" w:rsidRPr="002F1EE7">
        <w:t>Dissemination of information about the Convention</w:t>
      </w:r>
    </w:p>
    <w:bookmarkEnd w:id="1"/>
    <w:p w14:paraId="75835061" w14:textId="77777777" w:rsidR="002F1EE7" w:rsidRPr="002F1EE7" w:rsidRDefault="002F1EE7">
      <w:pPr>
        <w:pStyle w:val="SingleTxtG"/>
        <w:numPr>
          <w:ilvl w:val="0"/>
          <w:numId w:val="32"/>
        </w:numPr>
        <w:ind w:left="1134" w:firstLine="0"/>
      </w:pPr>
      <w:r w:rsidRPr="002F1EE7">
        <w:t xml:space="preserve">The Gender Affairs Division, as the national machinery responsible for all matters in relation to gender, has taken relevant steps to disseminate information specifically about the CEDAW Convention and issues affecting women addressed therein. </w:t>
      </w:r>
    </w:p>
    <w:p w14:paraId="6F50E4CC" w14:textId="77777777" w:rsidR="002F1EE7" w:rsidRPr="002F1EE7" w:rsidRDefault="002F1EE7">
      <w:pPr>
        <w:pStyle w:val="SingleTxtG"/>
        <w:numPr>
          <w:ilvl w:val="0"/>
          <w:numId w:val="32"/>
        </w:numPr>
        <w:ind w:left="1134" w:firstLine="0"/>
      </w:pPr>
      <w:bookmarkStart w:id="2" w:name="_Hlk158162133"/>
      <w:r w:rsidRPr="002F1EE7">
        <w:t>Upon the conclusion of Trinidad and Tobago’s Constructive Dialogue in 2016, the GAD uploaded the Combined Fourth to Seventh Periodic Report under CEDAW and the Committee’s Concluding Observation onto its website and social media platforms. Additionally, the Concluding Observations along with the Convention, were dispatched to all government ministries. A brochure outlining the CEDAW Convention and reporting process was distributed at strategic events.</w:t>
      </w:r>
    </w:p>
    <w:bookmarkEnd w:id="2"/>
    <w:p w14:paraId="0D665827" w14:textId="77777777" w:rsidR="002F1EE7" w:rsidRPr="002F1EE7" w:rsidRDefault="002F1EE7">
      <w:pPr>
        <w:pStyle w:val="SingleTxtG"/>
        <w:numPr>
          <w:ilvl w:val="0"/>
          <w:numId w:val="32"/>
        </w:numPr>
        <w:ind w:left="1134" w:firstLine="0"/>
      </w:pPr>
      <w:r w:rsidRPr="002F1EE7">
        <w:lastRenderedPageBreak/>
        <w:t>Further, the GORTT, through the GAD collaborated with the NGO, the CEDAW Committee of Trinidad and Tobago (CCoTT) to host a training programme on the Convention.</w:t>
      </w:r>
    </w:p>
    <w:p w14:paraId="707D8417" w14:textId="77777777" w:rsidR="002F1EE7" w:rsidRPr="002F1EE7" w:rsidRDefault="002F1EE7">
      <w:pPr>
        <w:pStyle w:val="SingleTxtG"/>
        <w:numPr>
          <w:ilvl w:val="0"/>
          <w:numId w:val="32"/>
        </w:numPr>
        <w:ind w:left="1134" w:firstLine="0"/>
      </w:pPr>
      <w:bookmarkStart w:id="3" w:name="_Hlk158162340"/>
      <w:r w:rsidRPr="002F1EE7">
        <w:t>Moreover, in 2018 and 2019 stakeholder meetings were hosted to follow up on possible implementation of recommendations emanating from the Concluding Observations on the Combined Fourth to Seventh Periodic Report.</w:t>
      </w:r>
    </w:p>
    <w:bookmarkEnd w:id="3"/>
    <w:p w14:paraId="57F1A5C0" w14:textId="77777777" w:rsidR="002F1EE7" w:rsidRPr="002F1EE7" w:rsidRDefault="002F1EE7">
      <w:pPr>
        <w:pStyle w:val="SingleTxtG"/>
        <w:numPr>
          <w:ilvl w:val="0"/>
          <w:numId w:val="32"/>
        </w:numPr>
        <w:ind w:left="1134" w:firstLine="0"/>
      </w:pPr>
      <w:r w:rsidRPr="002F1EE7">
        <w:t>Regarding capacity-building for judicial officers, the Judicial Education Institute of Trinidad and Tobago (JEITT) is responsible for continuous training and development of judicial officers and raising their awareness on various topics that affect the human rights of members of society; including gender equality and the elimination of discrimination against women.</w:t>
      </w:r>
    </w:p>
    <w:p w14:paraId="36451892" w14:textId="77777777" w:rsidR="002F1EE7" w:rsidRPr="002F1EE7" w:rsidRDefault="002F1EE7">
      <w:pPr>
        <w:pStyle w:val="SingleTxtG"/>
        <w:numPr>
          <w:ilvl w:val="0"/>
          <w:numId w:val="32"/>
        </w:numPr>
        <w:ind w:left="1134" w:firstLine="0"/>
      </w:pPr>
      <w:r w:rsidRPr="002F1EE7">
        <w:t>As part of its mandate, the JEITT has produced several guidelines including the “</w:t>
      </w:r>
      <w:r w:rsidRPr="002F1EE7">
        <w:rPr>
          <w:i/>
          <w:iCs/>
        </w:rPr>
        <w:t>Justice Through a Gender Lens: Gender Equality Protocol for Judicial Officers</w:t>
      </w:r>
      <w:r w:rsidRPr="002F1EE7">
        <w:t>”. The publication is a practical guide geared towards fostering and improving gender sensitive adjudication in Trinidad and Tobago. It is a result of a project by the Judiciary of the Republic of Trinidad and Tobago, the Judicial Education Institute of Trinidad and Tobago (JEITT), The Judicial Reform and Institutional Strengthening (JURIST) Project, UN Women, the Caribbean Association of Judicial Officers (CAJO), the Caribbean Court of Justice (CCJ), and the Trinidad and Tobago Association of Women Judges. This Protocol combines a social and historical framework, international treaty principles, local legislation mandates, and regional and local case law to provide key and critical instructions to ensure that each step of adjudication and proceedings, especially in particular types of matters, is analysed through a lens of equality and non-discrimination.</w:t>
      </w:r>
    </w:p>
    <w:p w14:paraId="23C20609" w14:textId="77777777" w:rsidR="002F1EE7" w:rsidRPr="002F1EE7" w:rsidRDefault="002F1EE7">
      <w:pPr>
        <w:pStyle w:val="SingleTxtG"/>
        <w:numPr>
          <w:ilvl w:val="0"/>
          <w:numId w:val="32"/>
        </w:numPr>
        <w:ind w:left="1134" w:firstLine="0"/>
      </w:pPr>
      <w:r w:rsidRPr="002F1EE7">
        <w:t xml:space="preserve">The GAD, through the Spotlight Initiative, also conducted training for judicial officers and other stakeholders responsible the protection of victims. These included </w:t>
      </w:r>
      <w:r w:rsidRPr="002F1EE7">
        <w:rPr>
          <w:i/>
          <w:iCs/>
        </w:rPr>
        <w:t>inter alia</w:t>
      </w:r>
      <w:r w:rsidRPr="002F1EE7">
        <w:t>:</w:t>
      </w:r>
    </w:p>
    <w:p w14:paraId="656E4C47" w14:textId="6422F3C7" w:rsidR="002F1EE7" w:rsidRPr="009E7A1F" w:rsidRDefault="002F1EE7" w:rsidP="009E7A1F">
      <w:pPr>
        <w:pStyle w:val="Bullet1G"/>
      </w:pPr>
      <w:r w:rsidRPr="009E7A1F">
        <w:t>Training to re-engineer the attitudes of Judicial staff and members of the Law Association to provide a more sensitive gender-responsive environment in the Family and Children’s Courts for survivors</w:t>
      </w:r>
      <w:r w:rsidR="009E7A1F">
        <w:t>;</w:t>
      </w:r>
    </w:p>
    <w:p w14:paraId="369D7A41" w14:textId="77777777" w:rsidR="002F1EE7" w:rsidRPr="009E7A1F" w:rsidRDefault="002F1EE7" w:rsidP="009E7A1F">
      <w:pPr>
        <w:pStyle w:val="Bullet1G"/>
      </w:pPr>
      <w:r w:rsidRPr="009E7A1F">
        <w:t>Training of 75 judges and judicial officers, as well as more than 200 interdisciplinary team members on strengthening access to justice and case management of domestic violence matters; and</w:t>
      </w:r>
    </w:p>
    <w:p w14:paraId="7759F9F9" w14:textId="77777777" w:rsidR="002F1EE7" w:rsidRPr="009E7A1F" w:rsidRDefault="002F1EE7" w:rsidP="009E7A1F">
      <w:pPr>
        <w:pStyle w:val="Bullet1G"/>
      </w:pPr>
      <w:r w:rsidRPr="009E7A1F">
        <w:t>Launch of child protection information management system “PRIMERO”, an innovative, globally recognised case management system. This system will help to ensure that fewer children in need of care and protection fall through the cracks of the system.</w:t>
      </w:r>
    </w:p>
    <w:p w14:paraId="5D84990A" w14:textId="28FD5574" w:rsidR="002F1EE7" w:rsidRPr="002F1EE7" w:rsidRDefault="000E4C9A" w:rsidP="000E4C9A">
      <w:pPr>
        <w:pStyle w:val="H23G"/>
      </w:pPr>
      <w:r>
        <w:tab/>
      </w:r>
      <w:r>
        <w:tab/>
      </w:r>
      <w:r w:rsidR="002F1EE7" w:rsidRPr="002F1EE7">
        <w:t>National Action Plan for implementation of concluding observations</w:t>
      </w:r>
    </w:p>
    <w:p w14:paraId="42F00015" w14:textId="255F6FBA" w:rsidR="002F1EE7" w:rsidRPr="002F1EE7" w:rsidRDefault="002F1EE7">
      <w:pPr>
        <w:pStyle w:val="SingleTxtG"/>
        <w:numPr>
          <w:ilvl w:val="0"/>
          <w:numId w:val="32"/>
        </w:numPr>
        <w:ind w:left="1134" w:firstLine="0"/>
      </w:pPr>
      <w:r w:rsidRPr="002F1EE7">
        <w:t>The Draft National Action Plan was not formally adopted, however, Trinidad and Tobago has taken several legislative and policy steps to advance the protection of women in alignment with the concluding observations and recommendations. These are as follows:</w:t>
      </w:r>
    </w:p>
    <w:p w14:paraId="0C3FEB3E" w14:textId="77777777" w:rsidR="002F1EE7" w:rsidRPr="002F1EE7" w:rsidRDefault="002F1EE7" w:rsidP="009E7A1F">
      <w:pPr>
        <w:pStyle w:val="Bullet1G"/>
      </w:pPr>
      <w:r w:rsidRPr="002F1EE7">
        <w:t xml:space="preserve">Adoption of a National Policy on Sexual Harassment; </w:t>
      </w:r>
    </w:p>
    <w:p w14:paraId="0B305330" w14:textId="77777777" w:rsidR="002F1EE7" w:rsidRPr="002F1EE7" w:rsidRDefault="002F1EE7" w:rsidP="009E7A1F">
      <w:pPr>
        <w:pStyle w:val="Bullet1G"/>
      </w:pPr>
      <w:r w:rsidRPr="002F1EE7">
        <w:t xml:space="preserve">Introduction of the Sexual Offences (Amendment) Act 2019 which strengthens the provisions dealing with the registration of sex offenders under the Sexual Offences Act 1986; </w:t>
      </w:r>
    </w:p>
    <w:p w14:paraId="57F40B9D" w14:textId="77777777" w:rsidR="002F1EE7" w:rsidRPr="002F1EE7" w:rsidRDefault="002F1EE7" w:rsidP="009E7A1F">
      <w:pPr>
        <w:pStyle w:val="Bullet1G"/>
      </w:pPr>
      <w:r w:rsidRPr="002F1EE7">
        <w:t xml:space="preserve">Introduction of the Domestic Violence (Amendment) Act, 2020 which significantly reforms the Domestic Violence Act, 1999; and </w:t>
      </w:r>
    </w:p>
    <w:p w14:paraId="486E6232" w14:textId="77777777" w:rsidR="002F1EE7" w:rsidRPr="002F1EE7" w:rsidRDefault="002F1EE7" w:rsidP="009E7A1F">
      <w:pPr>
        <w:pStyle w:val="Bullet1G"/>
      </w:pPr>
      <w:r w:rsidRPr="002F1EE7">
        <w:t>Amendment of the Administration of Justice (Electronic Monitoring) Act, 2012.</w:t>
      </w:r>
    </w:p>
    <w:p w14:paraId="73ED065B" w14:textId="2BBA604E" w:rsidR="002F1EE7" w:rsidRPr="002F1EE7" w:rsidRDefault="00EB24A7" w:rsidP="009E7A1F">
      <w:pPr>
        <w:pStyle w:val="H1G"/>
      </w:pPr>
      <w:r>
        <w:tab/>
      </w:r>
      <w:r>
        <w:tab/>
      </w:r>
      <w:r w:rsidR="002F1EE7" w:rsidRPr="002F1EE7">
        <w:t>Question 4 - Optional Protocol</w:t>
      </w:r>
    </w:p>
    <w:p w14:paraId="6719D142" w14:textId="77777777" w:rsidR="002F1EE7" w:rsidRPr="002F1EE7" w:rsidRDefault="002F1EE7">
      <w:pPr>
        <w:pStyle w:val="SingleTxtG"/>
        <w:numPr>
          <w:ilvl w:val="0"/>
          <w:numId w:val="32"/>
        </w:numPr>
        <w:ind w:left="1134" w:firstLine="0"/>
      </w:pPr>
      <w:r w:rsidRPr="002F1EE7">
        <w:t>Trinidad and Tobago is currently not a party to the Optional Protocol.</w:t>
      </w:r>
    </w:p>
    <w:p w14:paraId="4898315A" w14:textId="03285E3F" w:rsidR="002F1EE7" w:rsidRPr="002F1EE7" w:rsidRDefault="00EB24A7" w:rsidP="00EB24A7">
      <w:pPr>
        <w:pStyle w:val="H1G"/>
      </w:pPr>
      <w:r>
        <w:lastRenderedPageBreak/>
        <w:tab/>
      </w:r>
      <w:r>
        <w:tab/>
      </w:r>
      <w:r w:rsidR="002F1EE7" w:rsidRPr="002F1EE7">
        <w:t>Question 5 - Definition of discrimination; legislative and policy framework</w:t>
      </w:r>
    </w:p>
    <w:p w14:paraId="11AA13CD" w14:textId="5BBCAE09" w:rsidR="002F1EE7" w:rsidRPr="002F1EE7" w:rsidRDefault="00080748" w:rsidP="00EB24A7">
      <w:pPr>
        <w:pStyle w:val="H23G"/>
      </w:pPr>
      <w:r>
        <w:tab/>
      </w:r>
      <w:r>
        <w:tab/>
      </w:r>
      <w:r w:rsidR="002F1EE7" w:rsidRPr="002F1EE7">
        <w:t>Definition of discrimination against women</w:t>
      </w:r>
    </w:p>
    <w:p w14:paraId="44C66B9A" w14:textId="77777777" w:rsidR="002F1EE7" w:rsidRPr="002F1EE7" w:rsidRDefault="002F1EE7">
      <w:pPr>
        <w:pStyle w:val="SingleTxtG"/>
        <w:numPr>
          <w:ilvl w:val="0"/>
          <w:numId w:val="32"/>
        </w:numPr>
        <w:ind w:left="1134" w:firstLine="0"/>
      </w:pPr>
      <w:r w:rsidRPr="002F1EE7">
        <w:t xml:space="preserve">As aforementioned, as a dualist state, international conventions must first be incorporated into the domestic legislation of Trinidad and Tobago before becoming enforceable. Regarding CEDAW, there is no singular piece of legislation that incorporates this Convention. That means, there is no singular piece of legislation that explicitly defines discrimination against women in accordance with </w:t>
      </w:r>
      <w:r w:rsidRPr="002F1EE7">
        <w:rPr>
          <w:b/>
          <w:bCs/>
        </w:rPr>
        <w:t>Article 1 of the Convention</w:t>
      </w:r>
      <w:r w:rsidRPr="002F1EE7">
        <w:t>.  In fact, the rights and obligations under CEDAW are incorporated and implemented throughout many pieces of legislation based on the subject matter.</w:t>
      </w:r>
    </w:p>
    <w:p w14:paraId="1B942AB3" w14:textId="2FD68650" w:rsidR="002F1EE7" w:rsidRPr="002F1EE7" w:rsidRDefault="00080748" w:rsidP="00EB24A7">
      <w:pPr>
        <w:pStyle w:val="H23G"/>
      </w:pPr>
      <w:r>
        <w:tab/>
      </w:r>
      <w:r>
        <w:tab/>
      </w:r>
      <w:r w:rsidR="002F1EE7" w:rsidRPr="002F1EE7">
        <w:t>Amendment/ repeal of discriminatory provisions</w:t>
      </w:r>
    </w:p>
    <w:p w14:paraId="1E36C50F" w14:textId="77777777" w:rsidR="002F1EE7" w:rsidRPr="00080748" w:rsidRDefault="002F1EE7">
      <w:pPr>
        <w:pStyle w:val="SingleTxtG"/>
        <w:numPr>
          <w:ilvl w:val="0"/>
          <w:numId w:val="32"/>
        </w:numPr>
        <w:ind w:left="1134" w:firstLine="0"/>
      </w:pPr>
      <w:r w:rsidRPr="00080748">
        <w:t>Widows’ and Orphans’ Pension Act, Chapter 23:54 and the Industrial Relations Act, Chapter 88:01 have yet to be amended or repealed by the GORTT.</w:t>
      </w:r>
    </w:p>
    <w:p w14:paraId="4D773030" w14:textId="77777777" w:rsidR="002F1EE7" w:rsidRPr="00080748" w:rsidRDefault="002F1EE7">
      <w:pPr>
        <w:pStyle w:val="SingleTxtG"/>
        <w:numPr>
          <w:ilvl w:val="0"/>
          <w:numId w:val="32"/>
        </w:numPr>
        <w:ind w:left="1134" w:firstLine="0"/>
      </w:pPr>
      <w:r w:rsidRPr="00080748">
        <w:t xml:space="preserve">Effective 8th January 2008, domestic workers and casual agricultural workers were considered employees under the National Insurance Act, Chapter 32:01. Section 30 (1) of the Act requires employers to register each employee, including domestic workers and casual agricultural workers with the National Insurance Board. However, where an employee receives less than one hundred and twenty dollars ($120 TTD) a week, they are not considered eligible for registration. An employee who fails to provide the employer with the complete and correct information required for registration shall be liable on summary conviction to a fine of five hundred dollars, pursuant to section 30 (7) of the Act. Every registered person is issued with a National Insurance Registration Card. </w:t>
      </w:r>
    </w:p>
    <w:p w14:paraId="0D73340B" w14:textId="0E0E5B51" w:rsidR="002F1EE7" w:rsidRPr="002F1EE7" w:rsidRDefault="00080748" w:rsidP="00EB24A7">
      <w:pPr>
        <w:pStyle w:val="H23G"/>
      </w:pPr>
      <w:r>
        <w:tab/>
      </w:r>
      <w:r>
        <w:tab/>
      </w:r>
      <w:r w:rsidR="002F1EE7" w:rsidRPr="002F1EE7">
        <w:t>Develop an inventory of discriminatory laws</w:t>
      </w:r>
    </w:p>
    <w:p w14:paraId="17A04AD0" w14:textId="77777777" w:rsidR="002F1EE7" w:rsidRPr="002F1EE7" w:rsidRDefault="002F1EE7">
      <w:pPr>
        <w:pStyle w:val="SingleTxtG"/>
        <w:numPr>
          <w:ilvl w:val="0"/>
          <w:numId w:val="32"/>
        </w:numPr>
        <w:ind w:left="1134" w:firstLine="0"/>
      </w:pPr>
      <w:r w:rsidRPr="002F1EE7">
        <w:t>The Committee previously recommended that Trinidad and Tobago develop an inventory of all laws that discriminate against women with a view to amending or repealing them. The GORTT accepted the offer of technical and financial assistance by the United Nations (UN) Women and the Commonwealth Secretariat to pursue the Discriminatory Laws Project. The government was advised that the Report is expected to be finalized in 2024.</w:t>
      </w:r>
    </w:p>
    <w:p w14:paraId="1743C66B" w14:textId="2B145917" w:rsidR="002F1EE7" w:rsidRPr="002F1EE7" w:rsidRDefault="00080748" w:rsidP="00EB24A7">
      <w:pPr>
        <w:pStyle w:val="H23G"/>
      </w:pPr>
      <w:r>
        <w:tab/>
      </w:r>
      <w:r>
        <w:tab/>
      </w:r>
      <w:r w:rsidR="002F1EE7" w:rsidRPr="002F1EE7">
        <w:t>Adopt and operationalize draft national gender policy</w:t>
      </w:r>
    </w:p>
    <w:p w14:paraId="1E1FBB22" w14:textId="77777777" w:rsidR="002F1EE7" w:rsidRPr="00080748" w:rsidRDefault="002F1EE7">
      <w:pPr>
        <w:pStyle w:val="SingleTxtG"/>
        <w:numPr>
          <w:ilvl w:val="0"/>
          <w:numId w:val="32"/>
        </w:numPr>
        <w:ind w:left="1134" w:firstLine="0"/>
      </w:pPr>
      <w:r w:rsidRPr="00080748">
        <w:t>The Draft National Policy on Gender and Development of the Republic of Trinidad and Tobago (Green Paper) was opened for public consultation. However, it has not yet been laid as a White Paper.</w:t>
      </w:r>
    </w:p>
    <w:p w14:paraId="3078A943" w14:textId="09181FA4" w:rsidR="002F1EE7" w:rsidRPr="002F1EE7" w:rsidRDefault="002F1EE7">
      <w:pPr>
        <w:pStyle w:val="SingleTxtG"/>
        <w:numPr>
          <w:ilvl w:val="0"/>
          <w:numId w:val="32"/>
        </w:numPr>
        <w:ind w:left="1134" w:firstLine="0"/>
      </w:pPr>
      <w:r w:rsidRPr="002F1EE7">
        <w:t xml:space="preserve">Despite this, the Draft National Policy was approved for use as an official government policy throughout the public service. Consequently, the GAD employed the services of a Policy Coordinator to implement the Policy’s Action Plan covering the following   key thematic areas: </w:t>
      </w:r>
    </w:p>
    <w:p w14:paraId="200244C3" w14:textId="13E0C4AC" w:rsidR="002F1EE7" w:rsidRPr="002F1EE7" w:rsidRDefault="002F1EE7" w:rsidP="002510A7">
      <w:pPr>
        <w:pStyle w:val="Bullet1G"/>
      </w:pPr>
      <w:r w:rsidRPr="002F1EE7">
        <w:t>Labour and Employment</w:t>
      </w:r>
      <w:r w:rsidR="002510A7">
        <w:t>;</w:t>
      </w:r>
    </w:p>
    <w:p w14:paraId="1214A304" w14:textId="30E5A605" w:rsidR="002F1EE7" w:rsidRPr="002F1EE7" w:rsidRDefault="002F1EE7" w:rsidP="002510A7">
      <w:pPr>
        <w:pStyle w:val="Bullet1G"/>
      </w:pPr>
      <w:r w:rsidRPr="002F1EE7">
        <w:t>Poverty Alleviation and Social Protection</w:t>
      </w:r>
      <w:r w:rsidR="002510A7">
        <w:t>;</w:t>
      </w:r>
      <w:r w:rsidRPr="002F1EE7">
        <w:t xml:space="preserve"> </w:t>
      </w:r>
    </w:p>
    <w:p w14:paraId="3CBE9071" w14:textId="751ED5BF" w:rsidR="002F1EE7" w:rsidRPr="002F1EE7" w:rsidRDefault="002F1EE7" w:rsidP="002510A7">
      <w:pPr>
        <w:pStyle w:val="Bullet1G"/>
      </w:pPr>
      <w:r w:rsidRPr="002F1EE7">
        <w:t>Climate Change and Natural Resource Management</w:t>
      </w:r>
      <w:r w:rsidR="002510A7">
        <w:t>;</w:t>
      </w:r>
      <w:r w:rsidRPr="002F1EE7">
        <w:t xml:space="preserve"> </w:t>
      </w:r>
    </w:p>
    <w:p w14:paraId="75B81D88" w14:textId="3AFAE89D" w:rsidR="002F1EE7" w:rsidRPr="002F1EE7" w:rsidRDefault="002F1EE7" w:rsidP="002510A7">
      <w:pPr>
        <w:pStyle w:val="Bullet1G"/>
      </w:pPr>
      <w:r w:rsidRPr="002F1EE7">
        <w:t>Gender-Based Violence and Human Security</w:t>
      </w:r>
      <w:r w:rsidR="002510A7">
        <w:t>;</w:t>
      </w:r>
      <w:r w:rsidRPr="002F1EE7">
        <w:t xml:space="preserve"> </w:t>
      </w:r>
    </w:p>
    <w:p w14:paraId="3351EC7C" w14:textId="46BA9BFD" w:rsidR="002F1EE7" w:rsidRPr="002F1EE7" w:rsidRDefault="002F1EE7" w:rsidP="002510A7">
      <w:pPr>
        <w:pStyle w:val="Bullet1G"/>
      </w:pPr>
      <w:r w:rsidRPr="002F1EE7">
        <w:t>Education and Human Capital Development</w:t>
      </w:r>
      <w:r w:rsidR="002510A7">
        <w:t>;</w:t>
      </w:r>
      <w:r w:rsidRPr="002F1EE7">
        <w:t xml:space="preserve"> </w:t>
      </w:r>
    </w:p>
    <w:p w14:paraId="68EA111C" w14:textId="7FFF014A" w:rsidR="002F1EE7" w:rsidRPr="002F1EE7" w:rsidRDefault="002F1EE7" w:rsidP="002510A7">
      <w:pPr>
        <w:pStyle w:val="Bullet1G"/>
      </w:pPr>
      <w:r w:rsidRPr="002F1EE7">
        <w:t>Health and Well-being</w:t>
      </w:r>
      <w:r w:rsidR="002510A7">
        <w:t>.</w:t>
      </w:r>
    </w:p>
    <w:p w14:paraId="571885B7" w14:textId="77777777" w:rsidR="002F1EE7" w:rsidRPr="002F1EE7" w:rsidRDefault="002F1EE7">
      <w:pPr>
        <w:pStyle w:val="SingleTxtG"/>
        <w:numPr>
          <w:ilvl w:val="0"/>
          <w:numId w:val="32"/>
        </w:numPr>
        <w:ind w:left="1134" w:firstLine="0"/>
      </w:pPr>
      <w:r w:rsidRPr="002F1EE7">
        <w:t xml:space="preserve">The use of the Policy throughout government ministries has yielded legislative amendment to ensure gender sensitive language, as well as, policy development and strengthened institutional capacity projects and programmes that are all aligned with the Policy’s Thematic Areas. </w:t>
      </w:r>
    </w:p>
    <w:p w14:paraId="2C841FF6" w14:textId="77777777" w:rsidR="002F1EE7" w:rsidRPr="002510A7" w:rsidRDefault="002F1EE7">
      <w:pPr>
        <w:pStyle w:val="SingleTxtG"/>
        <w:numPr>
          <w:ilvl w:val="0"/>
          <w:numId w:val="32"/>
        </w:numPr>
        <w:ind w:left="1134" w:firstLine="0"/>
      </w:pPr>
      <w:r w:rsidRPr="002F1EE7">
        <w:t xml:space="preserve">Significantly, legislative amendments were made to the </w:t>
      </w:r>
      <w:r w:rsidRPr="002510A7">
        <w:t>Domestic Violence Act 1999 and the Sexual Offences 1986 w</w:t>
      </w:r>
      <w:r w:rsidRPr="002F1EE7">
        <w:t xml:space="preserve">hich are discussed under access to justice. Additionally, the </w:t>
      </w:r>
      <w:r w:rsidRPr="002F1EE7">
        <w:lastRenderedPageBreak/>
        <w:t xml:space="preserve">amendment of the </w:t>
      </w:r>
      <w:r w:rsidRPr="002510A7">
        <w:t>National Insurance Act, Chapter 32:01 to ensure inclusion of, inter alia, domestic workers.</w:t>
      </w:r>
    </w:p>
    <w:p w14:paraId="78E2C37B" w14:textId="77777777" w:rsidR="002F1EE7" w:rsidRPr="002510A7" w:rsidRDefault="002F1EE7">
      <w:pPr>
        <w:pStyle w:val="SingleTxtG"/>
        <w:numPr>
          <w:ilvl w:val="0"/>
          <w:numId w:val="32"/>
        </w:numPr>
        <w:ind w:left="1134" w:firstLine="0"/>
      </w:pPr>
      <w:bookmarkStart w:id="4" w:name="_Hlk157254774"/>
      <w:r w:rsidRPr="002510A7">
        <w:t xml:space="preserve">Additionally, in 2021, the Trinidad and Tobago Police Service (TTPS) joined the GORTT concerted efforts to address the issue of violence against women and girls by strengthening its institutional capacity with the launch of a specialised investigative unit called the Special Victims Department (SVD). </w:t>
      </w:r>
      <w:bookmarkEnd w:id="4"/>
    </w:p>
    <w:p w14:paraId="6EFBBDB6" w14:textId="77777777" w:rsidR="002F1EE7" w:rsidRPr="002510A7" w:rsidRDefault="002F1EE7">
      <w:pPr>
        <w:pStyle w:val="SingleTxtG"/>
        <w:numPr>
          <w:ilvl w:val="0"/>
          <w:numId w:val="32"/>
        </w:numPr>
        <w:ind w:left="1134" w:firstLine="0"/>
      </w:pPr>
      <w:r w:rsidRPr="002510A7">
        <w:t>Some significant policy measures instituted since 2018 were: (1) the development of a National Workplace Policy on Sexual Harassment and (2) the development of policies to ensure equal opportunity in the workplace.</w:t>
      </w:r>
    </w:p>
    <w:p w14:paraId="7382D7A4" w14:textId="77777777" w:rsidR="002F1EE7" w:rsidRPr="002F1EE7" w:rsidRDefault="002F1EE7">
      <w:pPr>
        <w:pStyle w:val="SingleTxtG"/>
        <w:numPr>
          <w:ilvl w:val="0"/>
          <w:numId w:val="32"/>
        </w:numPr>
        <w:ind w:left="1134" w:firstLine="0"/>
      </w:pPr>
      <w:r w:rsidRPr="002F1EE7">
        <w:t xml:space="preserve">Additional measures taken within the public sector to implement the Policy were: </w:t>
      </w:r>
    </w:p>
    <w:p w14:paraId="7D97A004" w14:textId="2CF51642" w:rsidR="002F1EE7" w:rsidRPr="002F1EE7" w:rsidRDefault="005F6C98" w:rsidP="005F6C98">
      <w:pPr>
        <w:pStyle w:val="Bullet1G"/>
      </w:pPr>
      <w:r>
        <w:t>A</w:t>
      </w:r>
      <w:r w:rsidR="002F1EE7" w:rsidRPr="002F1EE7">
        <w:t xml:space="preserve">doption of institutionalised guidelines for the effective functioning of shelters, crisis centres and temporary safe houses for victims/survivors of domestic violence and their children; including the provision of care for boys over twelve who are often unable to be accommodated; </w:t>
      </w:r>
    </w:p>
    <w:p w14:paraId="3CE2B9F5" w14:textId="75356BA1" w:rsidR="002F1EE7" w:rsidRPr="002F1EE7" w:rsidRDefault="005F6C98" w:rsidP="005F6C98">
      <w:pPr>
        <w:pStyle w:val="Bullet1G"/>
      </w:pPr>
      <w:r>
        <w:t>S</w:t>
      </w:r>
      <w:r w:rsidR="002F1EE7" w:rsidRPr="002F1EE7">
        <w:t xml:space="preserve">trengthened victims’ advocacy and support programmes; </w:t>
      </w:r>
    </w:p>
    <w:p w14:paraId="6104B342" w14:textId="42A80543" w:rsidR="002F1EE7" w:rsidRPr="002F1EE7" w:rsidRDefault="005F6C98" w:rsidP="005F6C98">
      <w:pPr>
        <w:pStyle w:val="Bullet1G"/>
      </w:pPr>
      <w:r>
        <w:t>I</w:t>
      </w:r>
      <w:r w:rsidR="002F1EE7" w:rsidRPr="002F1EE7">
        <w:t>nstitutional arrangements between law enforcement and judicial agencies;</w:t>
      </w:r>
    </w:p>
    <w:p w14:paraId="0C5DE138" w14:textId="75830FC0" w:rsidR="002F1EE7" w:rsidRPr="002F1EE7" w:rsidRDefault="005F6C98" w:rsidP="005F6C98">
      <w:pPr>
        <w:pStyle w:val="Bullet1G"/>
      </w:pPr>
      <w:r>
        <w:t>S</w:t>
      </w:r>
      <w:r w:rsidR="002F1EE7" w:rsidRPr="002F1EE7">
        <w:t>ocial sector and public health services that empower victims/survivors to access and negotiate all stages of the judicial process, with a view to securing effective remedies; and</w:t>
      </w:r>
    </w:p>
    <w:p w14:paraId="0895C696" w14:textId="61933176" w:rsidR="002F1EE7" w:rsidRPr="002F1EE7" w:rsidRDefault="005F6C98" w:rsidP="005F6C98">
      <w:pPr>
        <w:pStyle w:val="Bullet1G"/>
      </w:pPr>
      <w:r>
        <w:t>C</w:t>
      </w:r>
      <w:r w:rsidR="002F1EE7" w:rsidRPr="002F1EE7">
        <w:t>onducted public sensitisation to ensure that persons do not encounter violence, stigma and discrimination; and experience equitable access to services, inclusion and participation in all aspects of national life in recognition of the inherent dignity, equal and inalienable rights of humans.</w:t>
      </w:r>
    </w:p>
    <w:p w14:paraId="3C031888" w14:textId="502027C0" w:rsidR="002F1EE7" w:rsidRPr="002F1EE7" w:rsidRDefault="00EF3F7A" w:rsidP="00EF3F7A">
      <w:pPr>
        <w:pStyle w:val="H1G"/>
      </w:pPr>
      <w:r>
        <w:tab/>
      </w:r>
      <w:r>
        <w:tab/>
      </w:r>
      <w:r w:rsidR="002F1EE7" w:rsidRPr="002F1EE7">
        <w:t xml:space="preserve">Question 6 - Access to </w:t>
      </w:r>
      <w:r w:rsidR="005F6C98">
        <w:t>j</w:t>
      </w:r>
      <w:r w:rsidR="002F1EE7" w:rsidRPr="002F1EE7">
        <w:t>ustice</w:t>
      </w:r>
    </w:p>
    <w:p w14:paraId="5DD0ED40" w14:textId="77777777" w:rsidR="002F1EE7" w:rsidRPr="002F1EE7" w:rsidRDefault="002F1EE7">
      <w:pPr>
        <w:pStyle w:val="SingleTxtG"/>
        <w:numPr>
          <w:ilvl w:val="0"/>
          <w:numId w:val="32"/>
        </w:numPr>
        <w:ind w:left="1134" w:firstLine="0"/>
      </w:pPr>
      <w:r w:rsidRPr="002F1EE7">
        <w:t>The GORTT remains committed to protecting and bolstering the right of women to effective and equal access to justice as enshrined in the 1976 Republican Constitution. In this regard, significant improvements have been made to the legislative and procedural frameworks to safeguard the administration of justice and access to same, especially for women.</w:t>
      </w:r>
    </w:p>
    <w:p w14:paraId="0378F517" w14:textId="77777777" w:rsidR="002F1EE7" w:rsidRPr="002F1EE7" w:rsidRDefault="002F1EE7">
      <w:pPr>
        <w:pStyle w:val="SingleTxtG"/>
        <w:numPr>
          <w:ilvl w:val="0"/>
          <w:numId w:val="32"/>
        </w:numPr>
        <w:ind w:left="1134" w:firstLine="0"/>
      </w:pPr>
      <w:r w:rsidRPr="002F1EE7">
        <w:t xml:space="preserve">On 7th July, 2020, </w:t>
      </w:r>
      <w:r w:rsidRPr="00EF3F7A">
        <w:t>the Domestic Violence (Amendment) Act, 2020</w:t>
      </w:r>
      <w:r w:rsidRPr="002F1EE7">
        <w:t xml:space="preserve"> entered into force providing additional protection from domestic violence for a wider scope of persons and increased access to justice for applicants for Protection Orders. The DV (Amendment) Act, 2020 has been one of the most significant pieces of legislation to address GBV/DV enacted during the period under consideration. </w:t>
      </w:r>
    </w:p>
    <w:p w14:paraId="26E5F09D" w14:textId="77777777" w:rsidR="002F1EE7" w:rsidRPr="002F1EE7" w:rsidRDefault="002F1EE7">
      <w:pPr>
        <w:pStyle w:val="SingleTxtG"/>
        <w:numPr>
          <w:ilvl w:val="0"/>
          <w:numId w:val="32"/>
        </w:numPr>
        <w:ind w:left="1134" w:firstLine="0"/>
      </w:pPr>
      <w:r w:rsidRPr="002F1EE7">
        <w:t xml:space="preserve">Key reforms introduced by the </w:t>
      </w:r>
      <w:r w:rsidRPr="005E1C13">
        <w:t>Domestic</w:t>
      </w:r>
      <w:r w:rsidRPr="002F1EE7">
        <w:rPr>
          <w:b/>
          <w:bCs/>
        </w:rPr>
        <w:t xml:space="preserve"> </w:t>
      </w:r>
      <w:r w:rsidRPr="00EF3F7A">
        <w:t>Violence (Amendment) Act, 2020</w:t>
      </w:r>
      <w:r w:rsidRPr="002F1EE7">
        <w:t xml:space="preserve"> include:</w:t>
      </w:r>
    </w:p>
    <w:p w14:paraId="5E4C81D0" w14:textId="77777777" w:rsidR="002F1EE7" w:rsidRPr="002F1EE7" w:rsidRDefault="002F1EE7" w:rsidP="0030346E">
      <w:pPr>
        <w:pStyle w:val="Bullet1G"/>
      </w:pPr>
      <w:r w:rsidRPr="002F1EE7">
        <w:t xml:space="preserve">Extending protection to new categories of person such as persons in existing or former dating relationships and persons who have agreed to marry irrespective of whether the agreement has been terminated;  </w:t>
      </w:r>
    </w:p>
    <w:p w14:paraId="381CED0B" w14:textId="77777777" w:rsidR="002F1EE7" w:rsidRPr="002F1EE7" w:rsidRDefault="002F1EE7" w:rsidP="0030346E">
      <w:pPr>
        <w:pStyle w:val="Bullet1G"/>
      </w:pPr>
      <w:r w:rsidRPr="002F1EE7">
        <w:t xml:space="preserve">Widening the scope of some categories of persons entitled to protection, such as, children and dependants;   </w:t>
      </w:r>
    </w:p>
    <w:p w14:paraId="48BE88BA" w14:textId="77777777" w:rsidR="002F1EE7" w:rsidRPr="002F1EE7" w:rsidRDefault="002F1EE7" w:rsidP="0030346E">
      <w:pPr>
        <w:pStyle w:val="Bullet1G"/>
      </w:pPr>
      <w:r w:rsidRPr="002F1EE7">
        <w:t xml:space="preserve">Inclusion of a definition of “relative” to both consolidate familial relationships entitled to protection under the parent Act and to extend this protection to other familial relationships in recognition of the cultural realities of the extended family which exists in Trinidad and Tobago; </w:t>
      </w:r>
    </w:p>
    <w:p w14:paraId="50901738" w14:textId="77777777" w:rsidR="002F1EE7" w:rsidRPr="002F1EE7" w:rsidRDefault="002F1EE7" w:rsidP="0030346E">
      <w:pPr>
        <w:pStyle w:val="Bullet1G"/>
      </w:pPr>
      <w:r w:rsidRPr="002F1EE7">
        <w:t xml:space="preserve">Repeal of the provision that prohibited a person in a visiting relationship from applying for a Protection Order before the expiration of 12 months in recognition of the need for protection from the inception of such intimate partner relationships; </w:t>
      </w:r>
    </w:p>
    <w:p w14:paraId="42D79C68" w14:textId="77777777" w:rsidR="002F1EE7" w:rsidRPr="002F1EE7" w:rsidRDefault="002F1EE7" w:rsidP="0030346E">
      <w:pPr>
        <w:pStyle w:val="Bullet1G"/>
      </w:pPr>
      <w:r w:rsidRPr="002F1EE7">
        <w:t xml:space="preserve">Strengthened definition of “emotional or psychological abuse” to apply to: </w:t>
      </w:r>
    </w:p>
    <w:p w14:paraId="64980C2F" w14:textId="41281F56" w:rsidR="002F1EE7" w:rsidRPr="002F1EE7" w:rsidRDefault="0030346E" w:rsidP="0030346E">
      <w:pPr>
        <w:pStyle w:val="Bullet2G"/>
      </w:pPr>
      <w:r>
        <w:lastRenderedPageBreak/>
        <w:t>A</w:t>
      </w:r>
      <w:r w:rsidR="002F1EE7" w:rsidRPr="002F1EE7">
        <w:t xml:space="preserve"> single act or omission</w:t>
      </w:r>
      <w:r>
        <w:t>;</w:t>
      </w:r>
      <w:r w:rsidR="002F1EE7" w:rsidRPr="002F1EE7">
        <w:t xml:space="preserve"> </w:t>
      </w:r>
    </w:p>
    <w:p w14:paraId="38184F13" w14:textId="3B470FD1" w:rsidR="002F1EE7" w:rsidRPr="002F1EE7" w:rsidRDefault="0030346E" w:rsidP="0030346E">
      <w:pPr>
        <w:pStyle w:val="Bullet2G"/>
      </w:pPr>
      <w:r>
        <w:t>T</w:t>
      </w:r>
      <w:r w:rsidR="002F1EE7" w:rsidRPr="002F1EE7">
        <w:t>he electronic dissemination of intimate images</w:t>
      </w:r>
      <w:r>
        <w:t>;</w:t>
      </w:r>
      <w:r w:rsidR="002F1EE7" w:rsidRPr="002F1EE7">
        <w:t xml:space="preserve"> </w:t>
      </w:r>
    </w:p>
    <w:p w14:paraId="179E6A3D" w14:textId="3A10FB67" w:rsidR="002F1EE7" w:rsidRPr="002F1EE7" w:rsidRDefault="0030346E" w:rsidP="0030346E">
      <w:pPr>
        <w:pStyle w:val="Bullet2G"/>
      </w:pPr>
      <w:r>
        <w:t>A</w:t>
      </w:r>
      <w:r w:rsidR="002F1EE7" w:rsidRPr="002F1EE7">
        <w:t>ll forms of controlling, threatening, intimidating or coercive behaviour</w:t>
      </w:r>
      <w:r>
        <w:t>;</w:t>
      </w:r>
    </w:p>
    <w:p w14:paraId="335E73F0" w14:textId="38896E98" w:rsidR="002F1EE7" w:rsidRPr="002F1EE7" w:rsidRDefault="0030346E" w:rsidP="0030346E">
      <w:pPr>
        <w:pStyle w:val="Bullet2G"/>
      </w:pPr>
      <w:r>
        <w:t>A</w:t>
      </w:r>
      <w:r w:rsidR="002F1EE7" w:rsidRPr="002F1EE7">
        <w:t>ny act or omission or threatened act or omission that causes a person to fear for their safety or the safety of a child or dependant</w:t>
      </w:r>
      <w:r>
        <w:t>;</w:t>
      </w:r>
      <w:r w:rsidR="002F1EE7" w:rsidRPr="002F1EE7">
        <w:t xml:space="preserve"> and </w:t>
      </w:r>
    </w:p>
    <w:p w14:paraId="4992867E" w14:textId="72D06E65" w:rsidR="002F1EE7" w:rsidRPr="002F1EE7" w:rsidRDefault="0030346E" w:rsidP="0030346E">
      <w:pPr>
        <w:pStyle w:val="Bullet2G"/>
      </w:pPr>
      <w:r>
        <w:t>C</w:t>
      </w:r>
      <w:r w:rsidR="002F1EE7" w:rsidRPr="002F1EE7">
        <w:t xml:space="preserve">onduct that constitutes exposure of a child to domestic violence; </w:t>
      </w:r>
    </w:p>
    <w:p w14:paraId="153E747B" w14:textId="77777777" w:rsidR="002F1EE7" w:rsidRPr="002F1EE7" w:rsidRDefault="002F1EE7" w:rsidP="0030346E">
      <w:pPr>
        <w:pStyle w:val="Bullet1G"/>
      </w:pPr>
      <w:r w:rsidRPr="002F1EE7">
        <w:t xml:space="preserve">Introduction of strict time frames for the service of court documents thereby improving an applicant’s access to justice; </w:t>
      </w:r>
    </w:p>
    <w:p w14:paraId="18074AF5" w14:textId="77777777" w:rsidR="002F1EE7" w:rsidRPr="002F1EE7" w:rsidRDefault="002F1EE7" w:rsidP="0030346E">
      <w:pPr>
        <w:pStyle w:val="Bullet1G"/>
      </w:pPr>
      <w:r w:rsidRPr="002F1EE7">
        <w:t>Allowing a child who is sixteen years and over, with Court oversight, to make an application for a Protection Order on their own behalf;</w:t>
      </w:r>
    </w:p>
    <w:p w14:paraId="6AD35C4A" w14:textId="77777777" w:rsidR="002F1EE7" w:rsidRPr="002F1EE7" w:rsidRDefault="002F1EE7" w:rsidP="0030346E">
      <w:pPr>
        <w:pStyle w:val="Bullet1G"/>
      </w:pPr>
      <w:r w:rsidRPr="002F1EE7">
        <w:t xml:space="preserve">Provision for Emergency Protection Orders in situations where the Courts cannot be accessed or where it is not practicable to do so and where the victim has suffered or is in imminent danger of serious physical injury. An emergency application by a senior police officer (on behalf of an adult) and the Children’s Authority (on behalf of a child) may be made by telephone, video conference or other appropriate electronic means;  </w:t>
      </w:r>
    </w:p>
    <w:p w14:paraId="49886111" w14:textId="77777777" w:rsidR="002F1EE7" w:rsidRPr="002F1EE7" w:rsidRDefault="002F1EE7" w:rsidP="0030346E">
      <w:pPr>
        <w:pStyle w:val="Bullet1G"/>
      </w:pPr>
      <w:r w:rsidRPr="002F1EE7">
        <w:t xml:space="preserve">Provision for the National Domestic Violence Register to be maintained in electronic form and to be made accessible to police officers in all police stations. Further, entries are now required to be made of all Orders thus enabling improved monitoring of victims and perpetrators and a quick response by the police in the event of escalation of violence and/ or breach;  </w:t>
      </w:r>
    </w:p>
    <w:p w14:paraId="1000AF75" w14:textId="77777777" w:rsidR="002F1EE7" w:rsidRPr="002F1EE7" w:rsidRDefault="002F1EE7" w:rsidP="0030346E">
      <w:pPr>
        <w:pStyle w:val="Bullet1G"/>
      </w:pPr>
      <w:r w:rsidRPr="002F1EE7">
        <w:t>Mandatory reporting of suspected domestic violence against (i) a child and (ii) an adult who due to physical or mental disability, age or infirmity is dependent on another person;</w:t>
      </w:r>
    </w:p>
    <w:p w14:paraId="0557CCA9" w14:textId="77777777" w:rsidR="002F1EE7" w:rsidRPr="002F1EE7" w:rsidRDefault="002F1EE7" w:rsidP="0030346E">
      <w:pPr>
        <w:pStyle w:val="Bullet1G"/>
      </w:pPr>
      <w:r w:rsidRPr="002F1EE7">
        <w:t>Significant increases in the penalties for the offence of breach of a Protection Order; and</w:t>
      </w:r>
    </w:p>
    <w:p w14:paraId="145328DE" w14:textId="77777777" w:rsidR="002F1EE7" w:rsidRPr="002F1EE7" w:rsidRDefault="002F1EE7" w:rsidP="0030346E">
      <w:pPr>
        <w:pStyle w:val="Bullet1G"/>
      </w:pPr>
      <w:r w:rsidRPr="002F1EE7">
        <w:t>The Act also removes the $15,000.00 cap on the quantum of compensation that a victim of domestic violence can receive for loss incurred as a direct result of domestic violence. The Court may now award any compensation as it deems fit.</w:t>
      </w:r>
    </w:p>
    <w:p w14:paraId="013BA839" w14:textId="77777777" w:rsidR="002F1EE7" w:rsidRPr="002F1EE7" w:rsidRDefault="002F1EE7">
      <w:pPr>
        <w:pStyle w:val="SingleTxtG"/>
        <w:numPr>
          <w:ilvl w:val="0"/>
          <w:numId w:val="32"/>
        </w:numPr>
        <w:ind w:left="1134" w:firstLine="0"/>
      </w:pPr>
      <w:r w:rsidRPr="002F1EE7">
        <w:t>In 2021, the Trinidad and Tobago Police Service (TTPS), launched the Special Victims Department (SVD) which amalgamates the Gender-based Violence Unit (GBVU), the Sexual Offence Unit (SOU) and the Child Protection Unit (CPU). The SVD acts as a special investigative unit for cases involving gender-based violence, domestic violence, breach of protection orders, rape and other forms of sexual violence. All officers attached received gender training to ensure that victims/survivors of gender-based violence are assisted with sensitivity and care, and to increase the quality of reporting of sexual offences. The SVD can be utilized not only by victims, but also members of the public who may have information regarding such cases. The SVD offers complete protection and anonymity to persons who make reports. Persons can utilize the TTPS mobile application (999) to report such crimes.</w:t>
      </w:r>
    </w:p>
    <w:p w14:paraId="70DECD46" w14:textId="77777777" w:rsidR="002F1EE7" w:rsidRPr="002F1EE7" w:rsidRDefault="002F1EE7">
      <w:pPr>
        <w:pStyle w:val="SingleTxtG"/>
        <w:numPr>
          <w:ilvl w:val="0"/>
          <w:numId w:val="32"/>
        </w:numPr>
        <w:ind w:left="1134" w:firstLine="0"/>
        <w:rPr>
          <w:lang w:val="en-US"/>
        </w:rPr>
      </w:pPr>
      <w:r w:rsidRPr="002F1EE7">
        <w:t>In Trinidad and Tobago, it remains that an individual, inclusive of women, whose</w:t>
      </w:r>
      <w:r w:rsidRPr="002F1EE7">
        <w:rPr>
          <w:lang w:val="en-US"/>
        </w:rPr>
        <w:t xml:space="preserve"> Constitutional rights have been violated or are likely to be violated, may apply to the High Court for redress. The High Court has original jurisdiction in Constitutional matters, with the provision to appeal to the Court of Appeal and further right of appeal to the </w:t>
      </w:r>
      <w:r w:rsidRPr="005E1C13">
        <w:t>Judicial</w:t>
      </w:r>
      <w:r w:rsidRPr="002F1EE7">
        <w:rPr>
          <w:lang w:val="en-US"/>
        </w:rPr>
        <w:t xml:space="preserve"> Committee of the Privy Council. In addition to the Constitution, other legislation provides the general legal framework for the protection of human rights. </w:t>
      </w:r>
    </w:p>
    <w:p w14:paraId="7E5578AA" w14:textId="77777777" w:rsidR="002F1EE7" w:rsidRPr="002F1EE7" w:rsidRDefault="002F1EE7">
      <w:pPr>
        <w:pStyle w:val="SingleTxtG"/>
        <w:numPr>
          <w:ilvl w:val="0"/>
          <w:numId w:val="32"/>
        </w:numPr>
        <w:ind w:left="1134" w:firstLine="0"/>
        <w:rPr>
          <w:lang w:val="en-US"/>
        </w:rPr>
      </w:pPr>
      <w:r w:rsidRPr="0030346E">
        <w:rPr>
          <w:lang w:val="en-US"/>
        </w:rPr>
        <w:t>The Judicial Review Act, Chap. 7:08</w:t>
      </w:r>
      <w:r w:rsidRPr="0030346E">
        <w:rPr>
          <w:i/>
          <w:iCs/>
          <w:lang w:val="en-US"/>
        </w:rPr>
        <w:t>,</w:t>
      </w:r>
      <w:r w:rsidRPr="0030346E">
        <w:rPr>
          <w:lang w:val="en-US"/>
        </w:rPr>
        <w:t xml:space="preserve"> </w:t>
      </w:r>
      <w:r w:rsidRPr="002F1EE7">
        <w:rPr>
          <w:lang w:val="en-US"/>
        </w:rPr>
        <w:t xml:space="preserve">provides a remedy for the violation of human rights if no alternatives are available, and if a person’s rights have been violated by a body or authority exercising a public duty or function. The High Court must give permission before proceedings are brought under Judicial Review. The High Court can </w:t>
      </w:r>
      <w:r w:rsidRPr="005E1C13">
        <w:t>then</w:t>
      </w:r>
      <w:r w:rsidRPr="002F1EE7">
        <w:rPr>
          <w:lang w:val="en-US"/>
        </w:rPr>
        <w:t xml:space="preserve"> conduct a review of the decision or conduct of the public authority to determine whether or not the authority acted within its powers and in accordance with the principles of natural justice. The Court </w:t>
      </w:r>
      <w:r w:rsidRPr="002F1EE7">
        <w:rPr>
          <w:lang w:val="en-US"/>
        </w:rPr>
        <w:lastRenderedPageBreak/>
        <w:t>can also award damages on an application of Judicial Review, if such damages would have been recoverable in an ordinary action begun by claim form or Constitutional motion.</w:t>
      </w:r>
    </w:p>
    <w:p w14:paraId="00310391" w14:textId="77777777" w:rsidR="002F1EE7" w:rsidRPr="002F1EE7" w:rsidRDefault="002F1EE7">
      <w:pPr>
        <w:pStyle w:val="SingleTxtG"/>
        <w:numPr>
          <w:ilvl w:val="0"/>
          <w:numId w:val="32"/>
        </w:numPr>
        <w:ind w:left="1134" w:firstLine="0"/>
        <w:rPr>
          <w:lang w:val="en-US"/>
        </w:rPr>
      </w:pPr>
      <w:r w:rsidRPr="002F1EE7">
        <w:t xml:space="preserve">Where a citizen, including a woman, is in need of legal representation in the Magistrates’ Court, High Court and Court of Appeal of Trinidad &amp; Tobago, legal aid services are available in accordance with </w:t>
      </w:r>
      <w:r w:rsidRPr="0030346E">
        <w:t>The Legal Aid and Advice Act, Chapter 7:07.</w:t>
      </w:r>
      <w:r w:rsidRPr="002F1EE7">
        <w:t xml:space="preserve"> Once a suitable application is made and the nominal fee attached is paid, an attorney is assigned to the matter by the</w:t>
      </w:r>
      <w:r w:rsidRPr="002F1EE7">
        <w:rPr>
          <w:b/>
          <w:bCs/>
        </w:rPr>
        <w:t xml:space="preserve"> </w:t>
      </w:r>
      <w:r w:rsidRPr="002F1EE7">
        <w:t xml:space="preserve">Legal Aid and Advisory Authority (LAAA). Notably, pursuant to </w:t>
      </w:r>
      <w:r w:rsidRPr="002F1EE7">
        <w:rPr>
          <w:b/>
          <w:bCs/>
        </w:rPr>
        <w:t xml:space="preserve">Section </w:t>
      </w:r>
      <w:r w:rsidRPr="0030346E">
        <w:t>16A of the Act</w:t>
      </w:r>
      <w:r w:rsidRPr="002F1EE7">
        <w:t>, legal aid is available in domestic violence cases and may be provided in urgent matters.</w:t>
      </w:r>
    </w:p>
    <w:p w14:paraId="2295BDA2" w14:textId="77777777" w:rsidR="002F1EE7" w:rsidRPr="002F1EE7" w:rsidRDefault="002F1EE7">
      <w:pPr>
        <w:pStyle w:val="SingleTxtG"/>
        <w:numPr>
          <w:ilvl w:val="0"/>
          <w:numId w:val="32"/>
        </w:numPr>
        <w:ind w:left="1134" w:firstLine="0"/>
        <w:rPr>
          <w:lang w:val="en-US"/>
        </w:rPr>
      </w:pPr>
      <w:r w:rsidRPr="0030346E">
        <w:t>Section 26 of the Equal Opportunity Act, 2000</w:t>
      </w:r>
      <w:r w:rsidRPr="002F1EE7">
        <w:t>, established the Equal Opportunity</w:t>
      </w:r>
      <w:r w:rsidRPr="002F1EE7">
        <w:rPr>
          <w:lang w:val="en-US"/>
        </w:rPr>
        <w:t xml:space="preserve"> Commission (EOC) for the purpose of receiving and investigating complaints of discrimination under the EOA from members of the public; and where possible, try to conciliate those disputes. Where a complaint cannot be resolved, </w:t>
      </w:r>
      <w:r w:rsidRPr="0030346E">
        <w:rPr>
          <w:lang w:val="en-US"/>
        </w:rPr>
        <w:t>section 41 of the EOA</w:t>
      </w:r>
      <w:r w:rsidRPr="002F1EE7">
        <w:rPr>
          <w:lang w:val="en-US"/>
        </w:rPr>
        <w:t xml:space="preserve"> creates, the Equal Opportunity Tribunal (EOT), as a superior Court of record chaired by a Judge, that is mandated to hear and adjudicate upon unresolved disputes, once the complainant consents to having the matter referred to be heard and determined by the Tribunal. </w:t>
      </w:r>
    </w:p>
    <w:p w14:paraId="2D3FCDDC" w14:textId="77777777" w:rsidR="002F1EE7" w:rsidRPr="002F1EE7" w:rsidRDefault="002F1EE7">
      <w:pPr>
        <w:pStyle w:val="SingleTxtG"/>
        <w:numPr>
          <w:ilvl w:val="0"/>
          <w:numId w:val="32"/>
        </w:numPr>
        <w:ind w:left="1134" w:firstLine="0"/>
        <w:rPr>
          <w:lang w:val="en-US"/>
        </w:rPr>
      </w:pPr>
      <w:r w:rsidRPr="002F1EE7">
        <w:rPr>
          <w:lang w:val="en-US"/>
        </w:rPr>
        <w:t xml:space="preserve">The independence of the Commission is reflected in its composition. The Commission comprises five Commissioners including a Chairman and a Vice-Chairman appointed by the President, after consultation with the Prime Minister and the Leader of the Opposition. </w:t>
      </w:r>
      <w:r w:rsidRPr="0030346E">
        <w:rPr>
          <w:bCs/>
          <w:lang w:val="en-US"/>
        </w:rPr>
        <w:t>Section 26 of the Act</w:t>
      </w:r>
      <w:r w:rsidRPr="002F1EE7">
        <w:rPr>
          <w:lang w:val="en-US"/>
        </w:rPr>
        <w:t xml:space="preserve"> states that a Commissioner shall be a person with training and experience in the field of the law, industrial relations, sociology or administration and who has served in either of these fields for a period of not less than ten years or who has served in a </w:t>
      </w:r>
      <w:r w:rsidRPr="005E1C13">
        <w:t>combination</w:t>
      </w:r>
      <w:r w:rsidRPr="002F1EE7">
        <w:rPr>
          <w:lang w:val="en-US"/>
        </w:rPr>
        <w:t xml:space="preserve"> of these fields for a period which in the aggregate is not less than ten years. There is also a panel of advisors to the Commission comprising representatives of every principal religion in Trinidad and Tobago. The EOA mandates that the members of the Commission reflect as far as possible, a balance of race and gender.</w:t>
      </w:r>
    </w:p>
    <w:p w14:paraId="59F00769" w14:textId="77777777" w:rsidR="002F1EE7" w:rsidRPr="002F1EE7" w:rsidRDefault="002F1EE7">
      <w:pPr>
        <w:pStyle w:val="SingleTxtG"/>
        <w:numPr>
          <w:ilvl w:val="0"/>
          <w:numId w:val="32"/>
        </w:numPr>
        <w:ind w:left="1134" w:firstLine="0"/>
        <w:rPr>
          <w:lang w:val="en-US"/>
        </w:rPr>
      </w:pPr>
      <w:r w:rsidRPr="002F1EE7">
        <w:t>Noteworthy, the Commission records the demographic information of</w:t>
      </w:r>
      <w:r w:rsidRPr="002F1EE7">
        <w:rPr>
          <w:lang w:val="en-US"/>
        </w:rPr>
        <w:t xml:space="preserve"> complainants on the grounds of Sex, Age and Race/Ethnicity.</w:t>
      </w:r>
    </w:p>
    <w:p w14:paraId="403BDF3C" w14:textId="77777777" w:rsidR="002F1EE7" w:rsidRPr="002F1EE7" w:rsidRDefault="002F1EE7">
      <w:pPr>
        <w:pStyle w:val="SingleTxtG"/>
        <w:numPr>
          <w:ilvl w:val="0"/>
          <w:numId w:val="32"/>
        </w:numPr>
        <w:ind w:left="1134" w:firstLine="0"/>
        <w:rPr>
          <w:lang w:val="en-US"/>
        </w:rPr>
      </w:pPr>
      <w:r w:rsidRPr="002F1EE7">
        <w:rPr>
          <w:lang w:val="en-US"/>
        </w:rPr>
        <w:t xml:space="preserve">The Office of the Ombudsman is an independent oversight body, established pursuant to </w:t>
      </w:r>
      <w:r w:rsidRPr="0030346E">
        <w:rPr>
          <w:bCs/>
          <w:lang w:val="en-US"/>
        </w:rPr>
        <w:t>section 91(1) of the Constitution and</w:t>
      </w:r>
      <w:r w:rsidRPr="0030346E">
        <w:rPr>
          <w:bCs/>
          <w:i/>
          <w:iCs/>
          <w:lang w:val="en-US"/>
        </w:rPr>
        <w:t xml:space="preserve"> </w:t>
      </w:r>
      <w:r w:rsidRPr="0030346E">
        <w:rPr>
          <w:bCs/>
          <w:lang w:val="en-US"/>
        </w:rPr>
        <w:t>The Ombudsman Act, Chap. 2:52,</w:t>
      </w:r>
      <w:r w:rsidRPr="002F1EE7">
        <w:rPr>
          <w:lang w:val="en-US"/>
        </w:rPr>
        <w:t xml:space="preserve"> with authority to receive complaints of maladministration by public authorities. The Office performs the dual role of providing fair and impartial investigative service to members of the public who believe that they have been adversely affected by a decision or action of a government department and public authorities; and assisting public sector agencies to improve their decision-</w:t>
      </w:r>
      <w:r w:rsidRPr="005E1C13">
        <w:t>making</w:t>
      </w:r>
      <w:r w:rsidRPr="002F1EE7">
        <w:rPr>
          <w:lang w:val="en-US"/>
        </w:rPr>
        <w:t xml:space="preserve"> and administrative practices and procedures. The Ombudsman may refer matters to the authority competent to take disciplinary action or other proceedings where there is evidence of any breach of duty, misconduct or criminal offence on the part of any officer or employee of any government department or authority.</w:t>
      </w:r>
    </w:p>
    <w:p w14:paraId="321102FE" w14:textId="77777777" w:rsidR="002F1EE7" w:rsidRPr="0030346E" w:rsidRDefault="002F1EE7">
      <w:pPr>
        <w:pStyle w:val="SingleTxtG"/>
        <w:numPr>
          <w:ilvl w:val="0"/>
          <w:numId w:val="32"/>
        </w:numPr>
        <w:ind w:left="1134" w:firstLine="0"/>
        <w:rPr>
          <w:lang w:val="en-US"/>
        </w:rPr>
      </w:pPr>
      <w:r w:rsidRPr="002F1EE7">
        <w:rPr>
          <w:lang w:val="en-US"/>
        </w:rPr>
        <w:t xml:space="preserve">To ensure the independence of the Office, the Ombudsman holds office for a five-year period and is appointed by the President, acting in consultation with the Prime Minister and the Leader of the Opposition. He is answerable only to Parliament, to which he makes annual reports on the performance of the Office’s functions including </w:t>
      </w:r>
      <w:r w:rsidRPr="005E1C13">
        <w:t>statistics</w:t>
      </w:r>
      <w:r w:rsidRPr="002F1EE7">
        <w:rPr>
          <w:lang w:val="en-US"/>
        </w:rPr>
        <w:t xml:space="preserve"> of the complaints received and the results of his investigations in accordance with </w:t>
      </w:r>
      <w:r w:rsidRPr="0030346E">
        <w:rPr>
          <w:lang w:val="en-US"/>
        </w:rPr>
        <w:t xml:space="preserve">section 96(5) of the Constitution. </w:t>
      </w:r>
    </w:p>
    <w:p w14:paraId="6748FC65" w14:textId="77777777" w:rsidR="002F1EE7" w:rsidRPr="002F1EE7" w:rsidRDefault="002F1EE7">
      <w:pPr>
        <w:pStyle w:val="SingleTxtG"/>
        <w:numPr>
          <w:ilvl w:val="0"/>
          <w:numId w:val="32"/>
        </w:numPr>
        <w:ind w:left="1134" w:firstLine="0"/>
        <w:rPr>
          <w:lang w:val="en-US"/>
        </w:rPr>
      </w:pPr>
      <w:r w:rsidRPr="002F1EE7">
        <w:rPr>
          <w:lang w:val="en-US"/>
        </w:rPr>
        <w:t xml:space="preserve">All persons with a complaint falling </w:t>
      </w:r>
      <w:r w:rsidRPr="005E1C13">
        <w:t>within</w:t>
      </w:r>
      <w:r w:rsidRPr="002F1EE7">
        <w:rPr>
          <w:lang w:val="en-US"/>
        </w:rPr>
        <w:t xml:space="preserve"> the jurisdiction of the Office have access to the services</w:t>
      </w:r>
      <w:r w:rsidRPr="002F1EE7">
        <w:t xml:space="preserve"> provided by the Office, regardless of race, age, sex or gender. Access is facilitated at any three locations, via telephone, email and through the Office’s website. An investigator is always on duty to take complaints and all investigators attached to the Office have been trained in mediation and conflict resolution. </w:t>
      </w:r>
    </w:p>
    <w:p w14:paraId="1CD67B02" w14:textId="77777777" w:rsidR="002F1EE7" w:rsidRPr="002F1EE7" w:rsidRDefault="002F1EE7">
      <w:pPr>
        <w:pStyle w:val="SingleTxtG"/>
        <w:numPr>
          <w:ilvl w:val="0"/>
          <w:numId w:val="32"/>
        </w:numPr>
        <w:ind w:left="1134" w:firstLine="0"/>
        <w:rPr>
          <w:lang w:val="en-US"/>
        </w:rPr>
      </w:pPr>
      <w:r w:rsidRPr="002F1EE7">
        <w:rPr>
          <w:lang w:val="en-US"/>
        </w:rPr>
        <w:t xml:space="preserve">The Police Complaints Authority, as established by the </w:t>
      </w:r>
      <w:r w:rsidRPr="0030346E">
        <w:rPr>
          <w:bCs/>
          <w:lang w:val="en-US"/>
        </w:rPr>
        <w:t xml:space="preserve">Police Complaints Authority Act, Chap. 15:05, </w:t>
      </w:r>
      <w:r w:rsidRPr="002F1EE7">
        <w:rPr>
          <w:lang w:val="en-US"/>
        </w:rPr>
        <w:t xml:space="preserve">is an independent body charged with the responsibility to investigate criminal offences involving police officers, police corruption and serious police misconduct. The Authority receives complaints on the conduct of any Police Officer and monitors the investigation of complaints by the Complaints Division. The Complaints Division, set up by </w:t>
      </w:r>
      <w:r w:rsidRPr="002F1EE7">
        <w:rPr>
          <w:lang w:val="en-US"/>
        </w:rPr>
        <w:lastRenderedPageBreak/>
        <w:t xml:space="preserve">the Commissioner of Police and staffed by Police Officers, investigates and resolves </w:t>
      </w:r>
      <w:r w:rsidRPr="002F1EE7">
        <w:rPr>
          <w:i/>
          <w:iCs/>
          <w:lang w:val="en-US"/>
        </w:rPr>
        <w:t>bona fide</w:t>
      </w:r>
      <w:r w:rsidRPr="002F1EE7">
        <w:rPr>
          <w:lang w:val="en-US"/>
        </w:rPr>
        <w:t xml:space="preserve"> complaints by way of </w:t>
      </w:r>
      <w:r w:rsidRPr="002F1EE7">
        <w:t>counselling</w:t>
      </w:r>
      <w:r w:rsidRPr="002F1EE7">
        <w:rPr>
          <w:lang w:val="en-US"/>
        </w:rPr>
        <w:t>, instituting disciplinary proceedings or by criminal proceedings in Court.</w:t>
      </w:r>
    </w:p>
    <w:p w14:paraId="61C6F52B" w14:textId="3CA856B4" w:rsidR="002F1EE7" w:rsidRPr="002F1EE7" w:rsidRDefault="0030346E" w:rsidP="0030346E">
      <w:pPr>
        <w:pStyle w:val="H1G"/>
      </w:pPr>
      <w:r>
        <w:tab/>
      </w:r>
      <w:r>
        <w:tab/>
      </w:r>
      <w:r w:rsidR="002F1EE7" w:rsidRPr="002F1EE7">
        <w:t xml:space="preserve">Question 7 – National </w:t>
      </w:r>
      <w:r w:rsidRPr="002F1EE7">
        <w:t>human rights institution</w:t>
      </w:r>
    </w:p>
    <w:p w14:paraId="28B86BDB" w14:textId="77777777" w:rsidR="002F1EE7" w:rsidRPr="002F1EE7" w:rsidRDefault="002F1EE7">
      <w:pPr>
        <w:pStyle w:val="SingleTxtG"/>
        <w:numPr>
          <w:ilvl w:val="0"/>
          <w:numId w:val="32"/>
        </w:numPr>
        <w:ind w:left="1134" w:firstLine="0"/>
        <w:rPr>
          <w:lang w:val="en-US"/>
        </w:rPr>
      </w:pPr>
      <w:r w:rsidRPr="002F1EE7">
        <w:t>The government has indicated its intention to consider the possibility of establishing a National Human Rights Institution (NHRI) which is properly accredited under the Paris Principles.</w:t>
      </w:r>
    </w:p>
    <w:p w14:paraId="364503B6" w14:textId="5AF8111B" w:rsidR="002F1EE7" w:rsidRPr="002F1EE7" w:rsidRDefault="0030346E" w:rsidP="0030346E">
      <w:pPr>
        <w:pStyle w:val="H1G"/>
      </w:pPr>
      <w:r>
        <w:tab/>
      </w:r>
      <w:r>
        <w:tab/>
      </w:r>
      <w:r w:rsidR="002F1EE7" w:rsidRPr="002F1EE7">
        <w:t xml:space="preserve">Question 8 – National </w:t>
      </w:r>
      <w:r>
        <w:t>m</w:t>
      </w:r>
      <w:r w:rsidR="002F1EE7" w:rsidRPr="002F1EE7">
        <w:t>achinery for advancement of women</w:t>
      </w:r>
    </w:p>
    <w:p w14:paraId="10AC2EDE" w14:textId="77777777" w:rsidR="002F1EE7" w:rsidRPr="002F1EE7" w:rsidRDefault="002F1EE7">
      <w:pPr>
        <w:pStyle w:val="SingleTxtG"/>
        <w:numPr>
          <w:ilvl w:val="0"/>
          <w:numId w:val="32"/>
        </w:numPr>
        <w:ind w:left="1134" w:firstLine="0"/>
      </w:pPr>
      <w:r w:rsidRPr="002F1EE7">
        <w:t>The Gender Affairs Division, (GAD) is the national machinery responsible for all matters in relation to gender and child development. The Division works collaboratively with other Ministries and state agencies, civil society and academia to promote gender equity and equality. The central objectives of the Division are:</w:t>
      </w:r>
    </w:p>
    <w:p w14:paraId="388EB4A5" w14:textId="284E32E8" w:rsidR="002F1EE7" w:rsidRPr="002F1EE7" w:rsidRDefault="00D47F4E" w:rsidP="00D47F4E">
      <w:pPr>
        <w:pStyle w:val="Bullet1G"/>
      </w:pPr>
      <w:r>
        <w:t>I</w:t>
      </w:r>
      <w:r w:rsidR="002F1EE7" w:rsidRPr="002F1EE7">
        <w:t xml:space="preserve">mprovement of quality of life for men and women, boys and girls through gender sensitisation and gender mainstreaming; </w:t>
      </w:r>
    </w:p>
    <w:p w14:paraId="55B4E80B" w14:textId="3A35698A" w:rsidR="002F1EE7" w:rsidRPr="002F1EE7" w:rsidRDefault="00D47F4E" w:rsidP="00D47F4E">
      <w:pPr>
        <w:pStyle w:val="Bullet1G"/>
      </w:pPr>
      <w:r>
        <w:t>R</w:t>
      </w:r>
      <w:r w:rsidR="002F1EE7" w:rsidRPr="002F1EE7">
        <w:t xml:space="preserve">esearch and dissemination of information on gender specific issues; </w:t>
      </w:r>
    </w:p>
    <w:p w14:paraId="1836E07D" w14:textId="68B3AB94" w:rsidR="002F1EE7" w:rsidRPr="002F1EE7" w:rsidRDefault="00D47F4E" w:rsidP="00D47F4E">
      <w:pPr>
        <w:pStyle w:val="Bullet1G"/>
      </w:pPr>
      <w:r>
        <w:t>C</w:t>
      </w:r>
      <w:r w:rsidR="002F1EE7" w:rsidRPr="002F1EE7">
        <w:t xml:space="preserve">hanging gender discriminatory social consciousness and traditions; </w:t>
      </w:r>
    </w:p>
    <w:p w14:paraId="0C4EE3DF" w14:textId="1A238F61" w:rsidR="002F1EE7" w:rsidRPr="002F1EE7" w:rsidRDefault="00D47F4E" w:rsidP="00D47F4E">
      <w:pPr>
        <w:pStyle w:val="Bullet1G"/>
      </w:pPr>
      <w:r>
        <w:t>E</w:t>
      </w:r>
      <w:r w:rsidR="002F1EE7" w:rsidRPr="002F1EE7">
        <w:t>stablishment of consultative mechanisms within government, international and regional agencies, academia, NGOs and private sector partners in advancing gender equality;</w:t>
      </w:r>
    </w:p>
    <w:p w14:paraId="498887ED" w14:textId="777BC540" w:rsidR="002F1EE7" w:rsidRPr="002F1EE7" w:rsidRDefault="002F1EE7" w:rsidP="00D47F4E">
      <w:pPr>
        <w:pStyle w:val="Bullet1G"/>
      </w:pPr>
      <w:r w:rsidRPr="002F1EE7">
        <w:t xml:space="preserve"> </w:t>
      </w:r>
      <w:r w:rsidR="00D47F4E">
        <w:t>P</w:t>
      </w:r>
      <w:r w:rsidRPr="002F1EE7">
        <w:t>olicy development; and</w:t>
      </w:r>
    </w:p>
    <w:p w14:paraId="15D3657E" w14:textId="613AFAB4" w:rsidR="002F1EE7" w:rsidRPr="002F1EE7" w:rsidRDefault="00D47F4E" w:rsidP="00D47F4E">
      <w:pPr>
        <w:pStyle w:val="Bullet1G"/>
      </w:pPr>
      <w:r>
        <w:t>The</w:t>
      </w:r>
      <w:r w:rsidR="002F1EE7" w:rsidRPr="002F1EE7">
        <w:t xml:space="preserve"> prevention, punishment and eradication of gender-based violence.</w:t>
      </w:r>
    </w:p>
    <w:p w14:paraId="37B41A57" w14:textId="2EB0BF88" w:rsidR="002F1EE7" w:rsidRPr="002F1EE7" w:rsidRDefault="002F1EE7">
      <w:pPr>
        <w:pStyle w:val="SingleTxtG"/>
        <w:numPr>
          <w:ilvl w:val="0"/>
          <w:numId w:val="32"/>
        </w:numPr>
        <w:ind w:left="1134" w:firstLine="0"/>
      </w:pPr>
      <w:r w:rsidRPr="002F1EE7">
        <w:t>To achieve the stated objectives, the GAD has developed projects and programmes, through local efforts as well as collaboration with international stakeholders to address issues, affecting women, men and families. These issues include the following:</w:t>
      </w:r>
    </w:p>
    <w:p w14:paraId="13635EF7" w14:textId="77777777" w:rsidR="002F1EE7" w:rsidRPr="002F1EE7" w:rsidRDefault="002F1EE7" w:rsidP="002404B2">
      <w:pPr>
        <w:pStyle w:val="Bullet1G"/>
      </w:pPr>
      <w:r w:rsidRPr="002F1EE7">
        <w:t>Gender based violence - The GAD continues to design, implement and execute programmes via its Domestic Violence Unit to address the crucial problem of Domestic Violence in our society;</w:t>
      </w:r>
    </w:p>
    <w:p w14:paraId="663ED7A9" w14:textId="77777777" w:rsidR="002F1EE7" w:rsidRPr="002F1EE7" w:rsidRDefault="002F1EE7" w:rsidP="002404B2">
      <w:pPr>
        <w:pStyle w:val="Bullet1G"/>
      </w:pPr>
      <w:r w:rsidRPr="002F1EE7">
        <w:t>Addressing masculinities - male programming to promote gender equity by taking into account the needs of men and boys, their perspective and expectations, as well as facilitating a level of awareness, which deconstructs societal stereotyping;</w:t>
      </w:r>
    </w:p>
    <w:p w14:paraId="13E45580" w14:textId="77777777" w:rsidR="002F1EE7" w:rsidRPr="002F1EE7" w:rsidRDefault="002F1EE7" w:rsidP="002404B2">
      <w:pPr>
        <w:pStyle w:val="Bullet1G"/>
      </w:pPr>
      <w:r w:rsidRPr="002F1EE7">
        <w:t>Addressing issues of economic inequality in policies affecting women in all communities and forms of work, while ensuring access to resources;</w:t>
      </w:r>
    </w:p>
    <w:p w14:paraId="39B0C094" w14:textId="77777777" w:rsidR="002F1EE7" w:rsidRPr="002F1EE7" w:rsidRDefault="002F1EE7" w:rsidP="002404B2">
      <w:pPr>
        <w:pStyle w:val="Bullet1G"/>
      </w:pPr>
      <w:r w:rsidRPr="002F1EE7">
        <w:t>Gender sensitization activities for key target groups, including the members of the media, protective services, the private sector, and the health sector among others; and</w:t>
      </w:r>
    </w:p>
    <w:p w14:paraId="4CD8C6A1" w14:textId="77777777" w:rsidR="002F1EE7" w:rsidRPr="002F1EE7" w:rsidRDefault="002F1EE7" w:rsidP="002404B2">
      <w:pPr>
        <w:pStyle w:val="Bullet1G"/>
      </w:pPr>
      <w:r w:rsidRPr="002F1EE7">
        <w:t>Provide technical and financial resources to NGOs to assist in promotion and execution of specific projects and programmes.</w:t>
      </w:r>
    </w:p>
    <w:p w14:paraId="117853FF" w14:textId="2985F481" w:rsidR="002F1EE7" w:rsidRPr="002F1EE7" w:rsidRDefault="00385656" w:rsidP="00385656">
      <w:pPr>
        <w:pStyle w:val="H23G"/>
      </w:pPr>
      <w:r>
        <w:tab/>
      </w:r>
      <w:r>
        <w:tab/>
      </w:r>
      <w:r w:rsidR="002F1EE7" w:rsidRPr="002F1EE7">
        <w:t>Inter-ministerial Committee cooperation and coordination</w:t>
      </w:r>
    </w:p>
    <w:p w14:paraId="503B26FE" w14:textId="77777777" w:rsidR="002F1EE7" w:rsidRPr="002F1EE7" w:rsidRDefault="002F1EE7">
      <w:pPr>
        <w:pStyle w:val="SingleTxtG"/>
        <w:numPr>
          <w:ilvl w:val="0"/>
          <w:numId w:val="32"/>
        </w:numPr>
        <w:ind w:left="1134" w:firstLine="0"/>
        <w:rPr>
          <w:b/>
          <w:bCs/>
        </w:rPr>
      </w:pPr>
      <w:r w:rsidRPr="002F1EE7">
        <w:t xml:space="preserve"> Consideration was given to the establishment of an inter-ministerial committee on gender equality and a national commission on gender equality and women’s empowerment. However, these entities were not established as it was determined that other mechanisms existed to address these issues.</w:t>
      </w:r>
    </w:p>
    <w:p w14:paraId="0DCB2DB8" w14:textId="77777777" w:rsidR="002F1EE7" w:rsidRPr="002F1EE7" w:rsidRDefault="002F1EE7">
      <w:pPr>
        <w:pStyle w:val="SingleTxtG"/>
        <w:numPr>
          <w:ilvl w:val="0"/>
          <w:numId w:val="32"/>
        </w:numPr>
        <w:ind w:left="1134" w:firstLine="0"/>
        <w:rPr>
          <w:b/>
          <w:bCs/>
        </w:rPr>
      </w:pPr>
      <w:r w:rsidRPr="002F1EE7">
        <w:t>The GAD, collaborates with other government ministries and agencies, inclusive of, the International Law and Human Rights Unit, Office of the Attorney General, and the Equal Opportunity Commission (EOC), to advance the protection of women’s rights in Trinidad and Tobago.</w:t>
      </w:r>
    </w:p>
    <w:p w14:paraId="5E059A1E" w14:textId="41DD9214" w:rsidR="002F1EE7" w:rsidRPr="002F1EE7" w:rsidRDefault="00B62A48" w:rsidP="002404B2">
      <w:pPr>
        <w:pStyle w:val="H23G"/>
      </w:pPr>
      <w:r>
        <w:lastRenderedPageBreak/>
        <w:tab/>
      </w:r>
      <w:r>
        <w:tab/>
      </w:r>
      <w:r w:rsidR="002F1EE7" w:rsidRPr="002F1EE7">
        <w:t>Budgetary allocations to Gender Affairs Division (GAD)</w:t>
      </w:r>
    </w:p>
    <w:p w14:paraId="17F66989" w14:textId="77777777" w:rsidR="002F1EE7" w:rsidRPr="002F1EE7" w:rsidRDefault="002F1EE7">
      <w:pPr>
        <w:pStyle w:val="SingleTxtG"/>
        <w:numPr>
          <w:ilvl w:val="0"/>
          <w:numId w:val="32"/>
        </w:numPr>
        <w:ind w:left="1134" w:firstLine="0"/>
      </w:pPr>
      <w:r w:rsidRPr="002F1EE7">
        <w:t>The budgetary allocation for the GAD is made available through key financial votes summarized under main categories inter alia:</w:t>
      </w:r>
    </w:p>
    <w:p w14:paraId="633B712D" w14:textId="0CF00B61" w:rsidR="002F1EE7" w:rsidRPr="002F1EE7" w:rsidRDefault="002F1EE7" w:rsidP="00B62A48">
      <w:pPr>
        <w:pStyle w:val="Bullet1G"/>
        <w:rPr>
          <w:lang w:val="en-US"/>
        </w:rPr>
      </w:pPr>
      <w:r w:rsidRPr="00043254">
        <w:rPr>
          <w:lang w:val="en-US"/>
        </w:rPr>
        <w:t xml:space="preserve">Employment </w:t>
      </w:r>
      <w:r w:rsidRPr="002F1EE7">
        <w:rPr>
          <w:lang w:val="en-US"/>
        </w:rPr>
        <w:t>– contributions to Human Resources for the operation of the GAD and execution of work nationally, regionally and internationally</w:t>
      </w:r>
      <w:r w:rsidR="00043254">
        <w:rPr>
          <w:lang w:val="en-US"/>
        </w:rPr>
        <w:t>:</w:t>
      </w:r>
    </w:p>
    <w:p w14:paraId="7A71C554" w14:textId="084A7C50" w:rsidR="002F1EE7" w:rsidRPr="002F1EE7" w:rsidRDefault="002F1EE7" w:rsidP="00043254">
      <w:pPr>
        <w:pStyle w:val="Bullet2G"/>
        <w:rPr>
          <w:lang w:val="en-US"/>
        </w:rPr>
      </w:pPr>
      <w:r w:rsidRPr="002F1EE7">
        <w:rPr>
          <w:lang w:val="en-US"/>
        </w:rPr>
        <w:t>Salaries and Cost of Living Allowance (for established staff)</w:t>
      </w:r>
      <w:r w:rsidR="00043254">
        <w:rPr>
          <w:lang w:val="en-US"/>
        </w:rPr>
        <w:t>;</w:t>
      </w:r>
    </w:p>
    <w:p w14:paraId="79AC1CA0" w14:textId="2C8FB14D" w:rsidR="002F1EE7" w:rsidRPr="002F1EE7" w:rsidRDefault="002F1EE7" w:rsidP="00043254">
      <w:pPr>
        <w:pStyle w:val="Bullet2G"/>
      </w:pPr>
      <w:r w:rsidRPr="002F1EE7">
        <w:t>Travelling and Subsistence (for established staff)</w:t>
      </w:r>
      <w:r w:rsidR="00043254">
        <w:t>;</w:t>
      </w:r>
    </w:p>
    <w:p w14:paraId="5AD322BB" w14:textId="6F4EBBE1" w:rsidR="002F1EE7" w:rsidRPr="002F1EE7" w:rsidRDefault="002F1EE7" w:rsidP="00043254">
      <w:pPr>
        <w:pStyle w:val="Bullet2G"/>
      </w:pPr>
      <w:r w:rsidRPr="002F1EE7">
        <w:t>Contract Employment (contracted staff)</w:t>
      </w:r>
      <w:r w:rsidR="00043254">
        <w:t>;</w:t>
      </w:r>
    </w:p>
    <w:p w14:paraId="70E83C78" w14:textId="3A8A9003" w:rsidR="002F1EE7" w:rsidRPr="002F1EE7" w:rsidRDefault="002F1EE7" w:rsidP="00043254">
      <w:pPr>
        <w:pStyle w:val="Bullet2G"/>
      </w:pPr>
      <w:r w:rsidRPr="002F1EE7">
        <w:t>Short Term Engagement (for staff engaged for short term contractual arrangements e.g., 1-3 months, 3- 6 months, week or days.)</w:t>
      </w:r>
      <w:r w:rsidR="00043254">
        <w:t>;</w:t>
      </w:r>
    </w:p>
    <w:p w14:paraId="1864ADF3" w14:textId="1C98DA6D" w:rsidR="002F1EE7" w:rsidRPr="002F1EE7" w:rsidRDefault="002F1EE7" w:rsidP="00B62A48">
      <w:pPr>
        <w:pStyle w:val="Bullet1G"/>
        <w:rPr>
          <w:lang w:val="en-US"/>
        </w:rPr>
      </w:pPr>
      <w:r w:rsidRPr="00043254">
        <w:rPr>
          <w:lang w:val="en-US"/>
        </w:rPr>
        <w:t>Utilities and other Maintenance-</w:t>
      </w:r>
      <w:r w:rsidRPr="002F1EE7">
        <w:rPr>
          <w:lang w:val="en-US"/>
        </w:rPr>
        <w:t xml:space="preserve"> this category outline the votes to cover, utilities, maintenance and other expenses associated with facilities, services under or related to GAD in the execution of its works</w:t>
      </w:r>
      <w:r w:rsidR="00043254">
        <w:rPr>
          <w:lang w:val="en-US"/>
        </w:rPr>
        <w:t>;</w:t>
      </w:r>
    </w:p>
    <w:p w14:paraId="6971FB8C" w14:textId="3A5C71BE" w:rsidR="002F1EE7" w:rsidRPr="002F1EE7" w:rsidRDefault="002F1EE7" w:rsidP="00B62A48">
      <w:pPr>
        <w:pStyle w:val="Bullet1G"/>
        <w:rPr>
          <w:lang w:val="en-US"/>
        </w:rPr>
      </w:pPr>
      <w:r w:rsidRPr="002F1EE7">
        <w:rPr>
          <w:lang w:val="en-US"/>
        </w:rPr>
        <w:t>Operation of the GAD, Programming &amp; Capacity Building</w:t>
      </w:r>
      <w:r w:rsidR="00043254">
        <w:rPr>
          <w:lang w:val="en-US"/>
        </w:rPr>
        <w:t>:</w:t>
      </w:r>
    </w:p>
    <w:p w14:paraId="54CC1382" w14:textId="77777777" w:rsidR="002F1EE7" w:rsidRPr="002F1EE7" w:rsidRDefault="002F1EE7" w:rsidP="00043254">
      <w:pPr>
        <w:pStyle w:val="Bullet2G"/>
        <w:rPr>
          <w:lang w:val="en-US"/>
        </w:rPr>
      </w:pPr>
      <w:r w:rsidRPr="002F1EE7">
        <w:rPr>
          <w:lang w:val="en-US"/>
        </w:rPr>
        <w:t>Contributions to Non-Profit Institutions– These resources are allocated under contribution to Non-Profit Institutions (Gender Affairs) Vote which supports the Division’s activities and promotes gender mainstreaming and gender-responsive budgeting in the national community. Funding for all main and new programmes, projects and initiatives of the GAD are provided for under this vote;</w:t>
      </w:r>
    </w:p>
    <w:p w14:paraId="3415406A" w14:textId="77777777" w:rsidR="002F1EE7" w:rsidRPr="002F1EE7" w:rsidRDefault="002F1EE7" w:rsidP="00043254">
      <w:pPr>
        <w:pStyle w:val="Bullet2G"/>
        <w:rPr>
          <w:lang w:val="en-US"/>
        </w:rPr>
      </w:pPr>
      <w:r w:rsidRPr="002F1EE7">
        <w:rPr>
          <w:lang w:val="en-US"/>
        </w:rPr>
        <w:t xml:space="preserve">Materials and Supplies; </w:t>
      </w:r>
    </w:p>
    <w:p w14:paraId="2E54E259" w14:textId="77777777" w:rsidR="002F1EE7" w:rsidRPr="002F1EE7" w:rsidRDefault="002F1EE7" w:rsidP="00043254">
      <w:pPr>
        <w:pStyle w:val="Bullet2G"/>
        <w:rPr>
          <w:lang w:val="en-US"/>
        </w:rPr>
      </w:pPr>
      <w:r w:rsidRPr="002F1EE7">
        <w:rPr>
          <w:lang w:val="en-US"/>
        </w:rPr>
        <w:t xml:space="preserve">Overseas Travel- this financial vote provides resources to attend meetings, conferences, conventions etc. on gender and development issues for capacity building; </w:t>
      </w:r>
    </w:p>
    <w:p w14:paraId="097C40E2" w14:textId="77777777" w:rsidR="002F1EE7" w:rsidRPr="002F1EE7" w:rsidRDefault="002F1EE7" w:rsidP="00043254">
      <w:pPr>
        <w:pStyle w:val="Bullet2G"/>
        <w:rPr>
          <w:lang w:val="en-US"/>
        </w:rPr>
      </w:pPr>
      <w:r w:rsidRPr="002F1EE7">
        <w:rPr>
          <w:lang w:val="en-US"/>
        </w:rPr>
        <w:t>Promotions Publicity and Printing; and</w:t>
      </w:r>
    </w:p>
    <w:p w14:paraId="7ED1DBB0" w14:textId="40BEE696" w:rsidR="002F1EE7" w:rsidRPr="002F1EE7" w:rsidRDefault="002F1EE7" w:rsidP="00043254">
      <w:pPr>
        <w:pStyle w:val="Bullet2G"/>
        <w:rPr>
          <w:lang w:val="en-US"/>
        </w:rPr>
      </w:pPr>
      <w:r w:rsidRPr="002F1EE7">
        <w:rPr>
          <w:lang w:val="en-US"/>
        </w:rPr>
        <w:t>Hosting of Conferences, Seminars and Other Functions</w:t>
      </w:r>
      <w:r w:rsidR="00043254">
        <w:rPr>
          <w:lang w:val="en-US"/>
        </w:rPr>
        <w:t>.</w:t>
      </w:r>
    </w:p>
    <w:p w14:paraId="38DA3564" w14:textId="77777777" w:rsidR="002F1EE7" w:rsidRPr="002F1EE7" w:rsidRDefault="002F1EE7" w:rsidP="00043254">
      <w:pPr>
        <w:pStyle w:val="Heading1"/>
        <w:jc w:val="center"/>
      </w:pPr>
      <w:r w:rsidRPr="002F1EE7">
        <w:t>Table 1: Showing budgetary allocation for Gender Affairs Division</w:t>
      </w:r>
    </w:p>
    <w:p w14:paraId="263F1EBD" w14:textId="77777777" w:rsidR="002F1EE7" w:rsidRPr="002F1EE7" w:rsidRDefault="002F1EE7" w:rsidP="002F1EE7">
      <w:pPr>
        <w:pStyle w:val="SingleTxtG"/>
        <w:rPr>
          <w:i/>
          <w:iCs/>
        </w:rPr>
      </w:pPr>
      <w:r w:rsidRPr="002F1EE7">
        <w:rPr>
          <w:noProof/>
          <w:lang w:val="en-US"/>
        </w:rPr>
        <w:drawing>
          <wp:inline distT="0" distB="0" distL="0" distR="0" wp14:anchorId="69935B62" wp14:editId="5525B4EA">
            <wp:extent cx="5388610" cy="2971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12" t="26351" r="-747" b="-271"/>
                    <a:stretch/>
                  </pic:blipFill>
                  <pic:spPr bwMode="auto">
                    <a:xfrm>
                      <a:off x="0" y="0"/>
                      <a:ext cx="5397002" cy="2976428"/>
                    </a:xfrm>
                    <a:prstGeom prst="rect">
                      <a:avLst/>
                    </a:prstGeom>
                    <a:noFill/>
                    <a:ln>
                      <a:noFill/>
                    </a:ln>
                    <a:extLst>
                      <a:ext uri="{53640926-AAD7-44D8-BBD7-CCE9431645EC}">
                        <a14:shadowObscured xmlns:a14="http://schemas.microsoft.com/office/drawing/2010/main"/>
                      </a:ext>
                    </a:extLst>
                  </pic:spPr>
                </pic:pic>
              </a:graphicData>
            </a:graphic>
          </wp:inline>
        </w:drawing>
      </w:r>
    </w:p>
    <w:p w14:paraId="5E8AF13B" w14:textId="36742EA0" w:rsidR="002F1EE7" w:rsidRPr="002F1EE7" w:rsidRDefault="00515F1A" w:rsidP="002F1EE7">
      <w:pPr>
        <w:pStyle w:val="SingleTxtG"/>
      </w:pPr>
      <w:r>
        <w:rPr>
          <w:i/>
          <w:iCs/>
        </w:rPr>
        <w:tab/>
      </w:r>
      <w:r w:rsidR="002F1EE7" w:rsidRPr="002F1EE7">
        <w:rPr>
          <w:i/>
          <w:iCs/>
        </w:rPr>
        <w:t>Source: GAD</w:t>
      </w:r>
    </w:p>
    <w:p w14:paraId="490EEBEB" w14:textId="488B077D" w:rsidR="002F1EE7" w:rsidRPr="002F1EE7" w:rsidRDefault="00411BF2" w:rsidP="00A222F3">
      <w:pPr>
        <w:pStyle w:val="H23G"/>
      </w:pPr>
      <w:r>
        <w:lastRenderedPageBreak/>
        <w:tab/>
      </w:r>
      <w:r>
        <w:tab/>
      </w:r>
      <w:r w:rsidR="002F1EE7" w:rsidRPr="002F1EE7">
        <w:t>Steps taken to assess the impact of moving the national machinery for advancement of women to Office of the Prime Minister</w:t>
      </w:r>
    </w:p>
    <w:p w14:paraId="5C7D7E12" w14:textId="77777777" w:rsidR="002F1EE7" w:rsidRPr="002F1EE7" w:rsidRDefault="002F1EE7">
      <w:pPr>
        <w:pStyle w:val="SingleTxtG"/>
        <w:numPr>
          <w:ilvl w:val="0"/>
          <w:numId w:val="32"/>
        </w:numPr>
        <w:ind w:left="1134" w:firstLine="0"/>
      </w:pPr>
      <w:r w:rsidRPr="002F1EE7">
        <w:t xml:space="preserve">The Gender Affairs Division (GAD) as the national machinery for the advancement of women, was moved to the Office of the Prime Minister in April 2016. While no comprehensive study has been conducted to assess the impact of this move, the inclusion of the GAD in this office has yielded, not only heightened awareness of the CEDAW Convention, but initiated significant improvements in the national legislative, policy and programming framework meant to protect the rights of women and girls.  </w:t>
      </w:r>
    </w:p>
    <w:p w14:paraId="07560B0C" w14:textId="77777777" w:rsidR="002F1EE7" w:rsidRPr="002F1EE7" w:rsidRDefault="002F1EE7">
      <w:pPr>
        <w:pStyle w:val="SingleTxtG"/>
        <w:numPr>
          <w:ilvl w:val="0"/>
          <w:numId w:val="32"/>
        </w:numPr>
        <w:ind w:left="1134" w:firstLine="0"/>
      </w:pPr>
      <w:r w:rsidRPr="002F1EE7">
        <w:t>A notable achievement of the GAD was its presentation of the Draft National Policy on Gender and Development which was laid in Parliament as a Green Paper in 2018.  The Policy was approved for use throughout the public sector and serves as a guide for all government ministries and state agencies. To ensure that the language of their policies is gender sensitive and inclusive, and that their ministries have Gender Focal Points assigned.  The Policy was informed by the provisions of CEDAW; the Convention on the Rights of the Child (CRC); the Belem do Para Convention; the Beijing Declaration and Platform for Action; the Commonwealth Plan of Action for Gender Equity; the Inter-American Commission of Women (CIM) Plan of Action; the CARICOM Plan of Action on Gender and Development; and the UN SDGs.</w:t>
      </w:r>
    </w:p>
    <w:p w14:paraId="16DE480D" w14:textId="77777777" w:rsidR="002F1EE7" w:rsidRPr="002F1EE7" w:rsidRDefault="002F1EE7">
      <w:pPr>
        <w:pStyle w:val="SingleTxtG"/>
        <w:numPr>
          <w:ilvl w:val="0"/>
          <w:numId w:val="32"/>
        </w:numPr>
        <w:ind w:left="1134" w:firstLine="0"/>
      </w:pPr>
      <w:r w:rsidRPr="002F1EE7">
        <w:t xml:space="preserve">Additionally, GAD supported amendments to the </w:t>
      </w:r>
      <w:r w:rsidRPr="00411BF2">
        <w:t xml:space="preserve">Child Marriage Act, the Domestic Violence Act, Sexual Offences Act, Firearms (Amendment) Act (pursuant to Legal Notice 203 of 2021, persons over eighteen may apply for Pepper Spray Permit), Administration of Justice (Electronic Monitoring) </w:t>
      </w:r>
      <w:r w:rsidRPr="002F1EE7">
        <w:rPr>
          <w:b/>
          <w:bCs/>
        </w:rPr>
        <w:t>Act</w:t>
      </w:r>
      <w:r w:rsidRPr="002F1EE7">
        <w:t xml:space="preserve"> and specific policies to combat Sexual Harassment in the Workplace.</w:t>
      </w:r>
    </w:p>
    <w:p w14:paraId="654BBA17" w14:textId="77777777" w:rsidR="002F1EE7" w:rsidRPr="002F1EE7" w:rsidRDefault="002F1EE7">
      <w:pPr>
        <w:pStyle w:val="SingleTxtG"/>
        <w:numPr>
          <w:ilvl w:val="0"/>
          <w:numId w:val="32"/>
        </w:numPr>
        <w:ind w:left="1134" w:firstLine="0"/>
      </w:pPr>
      <w:r w:rsidRPr="002F1EE7">
        <w:t xml:space="preserve">Moreover, the GAD has successfully partnered with international development stakeholders to launch the Spotlight Initiative to support gender equality efforts in Trinidad and Tobago. As a result of the Initiative, the GAD has undertaken several successful activities producing quantifiable results. Some key initiatives are as follows: </w:t>
      </w:r>
    </w:p>
    <w:p w14:paraId="252F029D" w14:textId="77777777" w:rsidR="002F1EE7" w:rsidRPr="002F1EE7" w:rsidRDefault="002F1EE7" w:rsidP="00411BF2">
      <w:pPr>
        <w:pStyle w:val="Bullet1G"/>
      </w:pPr>
      <w:r w:rsidRPr="002F1EE7">
        <w:t>Training of 220 police officers in gender-responsive policing - The Police Academy committed to permanently include the training into its curriculum ensuring sustainability, more effective management of GBV cases and better survivor experiences while making police reports;</w:t>
      </w:r>
    </w:p>
    <w:p w14:paraId="1783F6FC" w14:textId="77777777" w:rsidR="002F1EE7" w:rsidRPr="002F1EE7" w:rsidRDefault="002F1EE7" w:rsidP="00411BF2">
      <w:pPr>
        <w:pStyle w:val="Bullet1G"/>
      </w:pPr>
      <w:r w:rsidRPr="002F1EE7">
        <w:t>Support to the Domestic Violence Registry on Gender Based Violence (GBV);</w:t>
      </w:r>
    </w:p>
    <w:p w14:paraId="3CA6F2FF" w14:textId="77777777" w:rsidR="002F1EE7" w:rsidRPr="002F1EE7" w:rsidRDefault="002F1EE7" w:rsidP="00411BF2">
      <w:pPr>
        <w:pStyle w:val="Bullet1G"/>
      </w:pPr>
      <w:r w:rsidRPr="002F1EE7">
        <w:t>Training of 200+ health care and social workers from the 5 Regional Health Authorities on the provision of quality health care for women subjected to Intimate Partner Violence and Sexual Violence based on global best practices;</w:t>
      </w:r>
    </w:p>
    <w:p w14:paraId="6BC4E51E" w14:textId="77777777" w:rsidR="002F1EE7" w:rsidRPr="002F1EE7" w:rsidRDefault="002F1EE7" w:rsidP="00411BF2">
      <w:pPr>
        <w:pStyle w:val="Bullet1G"/>
      </w:pPr>
      <w:r w:rsidRPr="002F1EE7">
        <w:t xml:space="preserve">Development of a Health Information System - workshops were convened to review existing methods of data collection on domestic and sexual violence; and to identify indicators and variables to be recommended for inclusion in the health information system and consider suggested steps to integrate health with other information systems on domestic and sexual violence; </w:t>
      </w:r>
    </w:p>
    <w:p w14:paraId="7B96B0D9" w14:textId="77777777" w:rsidR="002F1EE7" w:rsidRPr="002F1EE7" w:rsidRDefault="002F1EE7" w:rsidP="00411BF2">
      <w:pPr>
        <w:pStyle w:val="Bullet1G"/>
      </w:pPr>
      <w:r w:rsidRPr="002F1EE7">
        <w:t>Launch of child protection information management system, PRIMERO, an innovative, globally recognised case management system. This system will help to ensure that fewer children in need of care and protection fall through the cracks of the system;</w:t>
      </w:r>
    </w:p>
    <w:p w14:paraId="5F0B65E6" w14:textId="77777777" w:rsidR="002F1EE7" w:rsidRPr="002F1EE7" w:rsidRDefault="002F1EE7" w:rsidP="00411BF2">
      <w:pPr>
        <w:pStyle w:val="Bullet1G"/>
      </w:pPr>
      <w:r w:rsidRPr="002F1EE7">
        <w:t>Implementation of social norms and sexual education programmes for youth in and out of school; and</w:t>
      </w:r>
    </w:p>
    <w:p w14:paraId="53510624" w14:textId="77777777" w:rsidR="002F1EE7" w:rsidRPr="002F1EE7" w:rsidRDefault="002F1EE7" w:rsidP="00411BF2">
      <w:pPr>
        <w:pStyle w:val="Bullet1G"/>
        <w:rPr>
          <w:b/>
          <w:bCs/>
          <w:u w:val="single"/>
        </w:rPr>
      </w:pPr>
      <w:r w:rsidRPr="002F1EE7">
        <w:t xml:space="preserve">Training of 580+ adolescents including from the refugee and migrant population, in gender sensitivity, leadership, advocacy, communication, technology skills, and project management, in 30+ schools across the country. These students have now implemented projects to address problems experienced in their schools and communities including bullying, school violence, child abuse and anger management. </w:t>
      </w:r>
    </w:p>
    <w:p w14:paraId="5B4FADB5" w14:textId="02F981CE" w:rsidR="002F1EE7" w:rsidRPr="002F1EE7" w:rsidRDefault="00831BE7" w:rsidP="00831BE7">
      <w:pPr>
        <w:pStyle w:val="H1G"/>
      </w:pPr>
      <w:r>
        <w:lastRenderedPageBreak/>
        <w:tab/>
      </w:r>
      <w:r>
        <w:tab/>
      </w:r>
      <w:r>
        <w:tab/>
      </w:r>
      <w:r w:rsidR="002F1EE7" w:rsidRPr="002F1EE7">
        <w:t xml:space="preserve">Question 9 – Temporary </w:t>
      </w:r>
      <w:r>
        <w:t>s</w:t>
      </w:r>
      <w:r w:rsidR="002F1EE7" w:rsidRPr="002F1EE7">
        <w:t>pecial measures</w:t>
      </w:r>
    </w:p>
    <w:p w14:paraId="1AC7D9B7" w14:textId="77777777" w:rsidR="002F1EE7" w:rsidRPr="002F1EE7" w:rsidRDefault="002F1EE7">
      <w:pPr>
        <w:pStyle w:val="SingleTxtG"/>
        <w:numPr>
          <w:ilvl w:val="0"/>
          <w:numId w:val="32"/>
        </w:numPr>
        <w:ind w:left="1134" w:firstLine="0"/>
      </w:pPr>
      <w:r w:rsidRPr="002F1EE7">
        <w:t>Trinidad and Tobago does not have any legal provisions to allow for the adoption of special measures at this time.</w:t>
      </w:r>
    </w:p>
    <w:p w14:paraId="66BC69D4" w14:textId="493B55C5" w:rsidR="002F1EE7" w:rsidRPr="002F1EE7" w:rsidRDefault="00831BE7" w:rsidP="00831BE7">
      <w:pPr>
        <w:pStyle w:val="H1G"/>
      </w:pPr>
      <w:r>
        <w:tab/>
      </w:r>
      <w:r>
        <w:tab/>
      </w:r>
      <w:r w:rsidR="002F1EE7" w:rsidRPr="002F1EE7">
        <w:t>Question 10 – Stereotypes</w:t>
      </w:r>
    </w:p>
    <w:p w14:paraId="6534DBD4" w14:textId="49AC099F" w:rsidR="002F1EE7" w:rsidRPr="002F1EE7" w:rsidRDefault="00831BE7" w:rsidP="00831BE7">
      <w:pPr>
        <w:pStyle w:val="H23G"/>
      </w:pPr>
      <w:r>
        <w:tab/>
      </w:r>
      <w:r>
        <w:tab/>
      </w:r>
      <w:r w:rsidR="002F1EE7" w:rsidRPr="002F1EE7">
        <w:t>Public education programmes</w:t>
      </w:r>
    </w:p>
    <w:p w14:paraId="37E250D9" w14:textId="77777777" w:rsidR="002F1EE7" w:rsidRPr="002F1EE7" w:rsidRDefault="002F1EE7">
      <w:pPr>
        <w:pStyle w:val="SingleTxtG"/>
        <w:numPr>
          <w:ilvl w:val="0"/>
          <w:numId w:val="32"/>
        </w:numPr>
        <w:ind w:left="1134" w:firstLine="0"/>
      </w:pPr>
      <w:r w:rsidRPr="002F1EE7">
        <w:t>Further, the Gender and Child Affairs Divisions (GCAD) continue to collaborate with civil society organizations as part of the expansion of public education on gender in the rural areas.  The Network of Rural Women Producers of Trinidad and Tobago (NRWPTT) has collaborated with the GAD in thirty (30) different rural communities across the country.  Some projects and programmes are as follows:</w:t>
      </w:r>
    </w:p>
    <w:p w14:paraId="00445FD7" w14:textId="7B2F5AB3" w:rsidR="002F1EE7" w:rsidRPr="00650921" w:rsidRDefault="00650921" w:rsidP="00650921">
      <w:pPr>
        <w:pStyle w:val="SingleTxtG"/>
      </w:pPr>
      <w:r>
        <w:tab/>
        <w:t>(a)</w:t>
      </w:r>
      <w:r>
        <w:tab/>
      </w:r>
      <w:r w:rsidR="002F1EE7" w:rsidRPr="00650921">
        <w:t>UN Women Foundations Training - launched in 2018, targets young persons between 13 - 24 years and is designed to create an appreciation of core gender concepts; such as gender socialization, gender equality and human rights. The overarching goal of the Programme is to accelerate action towards preventing GBV. To-date 7 programmes have been conducted at the State supported Community Residences (CRs) for Children and Youth Institutions; and</w:t>
      </w:r>
    </w:p>
    <w:p w14:paraId="35228792" w14:textId="3622DE46" w:rsidR="002F1EE7" w:rsidRPr="00650921" w:rsidRDefault="00650921" w:rsidP="00650921">
      <w:pPr>
        <w:pStyle w:val="SingleTxtG"/>
      </w:pPr>
      <w:r>
        <w:tab/>
        <w:t>(b)</w:t>
      </w:r>
      <w:r>
        <w:tab/>
      </w:r>
      <w:r w:rsidR="002F1EE7" w:rsidRPr="00650921">
        <w:t>Annual funding has also been allocated to cover the costs of community outreaches and client capacity building.</w:t>
      </w:r>
    </w:p>
    <w:p w14:paraId="0DFB313B" w14:textId="77777777" w:rsidR="002F1EE7" w:rsidRPr="002F1EE7" w:rsidRDefault="002F1EE7">
      <w:pPr>
        <w:pStyle w:val="SingleTxtG"/>
        <w:numPr>
          <w:ilvl w:val="0"/>
          <w:numId w:val="32"/>
        </w:numPr>
        <w:ind w:left="1134" w:firstLine="0"/>
      </w:pPr>
      <w:r w:rsidRPr="002F1EE7">
        <w:t>In 2023, the GAD conducted a nation-wide Women’s Economic Empowerment Outreach programme specifically targeting women survivors of gender-based violence and introducing participants to entrepreneurial and financial services in the private and public sectors. Two (2) outreaches were conducted in Trinidad and 1 in Tobago which specifically targeted women in rural areas.</w:t>
      </w:r>
    </w:p>
    <w:p w14:paraId="22F91F65" w14:textId="77777777" w:rsidR="002F1EE7" w:rsidRPr="002F1EE7" w:rsidRDefault="002F1EE7">
      <w:pPr>
        <w:pStyle w:val="SingleTxtG"/>
        <w:numPr>
          <w:ilvl w:val="0"/>
          <w:numId w:val="32"/>
        </w:numPr>
        <w:ind w:left="1134" w:firstLine="0"/>
      </w:pPr>
      <w:r w:rsidRPr="002F1EE7">
        <w:t xml:space="preserve">Moreover, the Equal Opportunity Commission (EOC) undertakes public education programmes focused on informing the public or special groups, about discrimination within the parameters of the EOA and the work of the Commission. This outreach takes the form of newspaper publications, media engagements and both in-person and virtual training sessions. </w:t>
      </w:r>
    </w:p>
    <w:p w14:paraId="191CD089" w14:textId="6C56C395" w:rsidR="002F1EE7" w:rsidRPr="002F1EE7" w:rsidRDefault="00831BE7" w:rsidP="00831BE7">
      <w:pPr>
        <w:pStyle w:val="H23G"/>
      </w:pPr>
      <w:r>
        <w:tab/>
      </w:r>
      <w:r>
        <w:tab/>
      </w:r>
      <w:r w:rsidR="002F1EE7" w:rsidRPr="002F1EE7">
        <w:t>Cooperation with media to raise awareness</w:t>
      </w:r>
    </w:p>
    <w:p w14:paraId="0178E014" w14:textId="77777777" w:rsidR="002F1EE7" w:rsidRPr="002F1EE7" w:rsidRDefault="002F1EE7">
      <w:pPr>
        <w:pStyle w:val="SingleTxtG"/>
        <w:numPr>
          <w:ilvl w:val="0"/>
          <w:numId w:val="32"/>
        </w:numPr>
        <w:ind w:left="1134" w:firstLine="0"/>
        <w:rPr>
          <w:lang w:val="en-US"/>
        </w:rPr>
      </w:pPr>
      <w:r w:rsidRPr="002F1EE7">
        <w:t xml:space="preserve">The government remains committed to working with media partners to raise the awareness of the general public on women’s rights issues. </w:t>
      </w:r>
      <w:r w:rsidRPr="002F1EE7">
        <w:rPr>
          <w:lang w:val="en-US"/>
        </w:rPr>
        <w:t>The Gender Affairs Division (GAD), conducted a 1-day training entitled “</w:t>
      </w:r>
      <w:r w:rsidRPr="005E1C13">
        <w:t>Communicating</w:t>
      </w:r>
      <w:r w:rsidRPr="002F1EE7">
        <w:rPr>
          <w:i/>
          <w:iCs/>
          <w:lang w:val="en-US"/>
        </w:rPr>
        <w:t xml:space="preserve"> for Gender Justice: A Gender Sensitivity Workshop</w:t>
      </w:r>
      <w:r w:rsidRPr="002F1EE7">
        <w:rPr>
          <w:lang w:val="en-US"/>
        </w:rPr>
        <w:t>” on January 29</w:t>
      </w:r>
      <w:r w:rsidRPr="002F1EE7">
        <w:rPr>
          <w:vertAlign w:val="superscript"/>
          <w:lang w:val="en-US"/>
        </w:rPr>
        <w:t>th</w:t>
      </w:r>
      <w:r w:rsidRPr="002F1EE7">
        <w:rPr>
          <w:lang w:val="en-US"/>
        </w:rPr>
        <w:t xml:space="preserve">, 2020. Participants included 14 Media Houses and Corporate Communications Units in Ministries. </w:t>
      </w:r>
    </w:p>
    <w:p w14:paraId="4B31A1F2" w14:textId="77777777" w:rsidR="002F1EE7" w:rsidRPr="002F1EE7" w:rsidRDefault="002F1EE7">
      <w:pPr>
        <w:pStyle w:val="SingleTxtG"/>
        <w:numPr>
          <w:ilvl w:val="0"/>
          <w:numId w:val="32"/>
        </w:numPr>
        <w:ind w:left="1134" w:firstLine="0"/>
      </w:pPr>
      <w:r w:rsidRPr="002F1EE7">
        <w:t xml:space="preserve">Media houses are invited to cover all public events hosted by the Gender, Child and NACC Divisions and informational media packages are always provided. Following each event, a media release accompanied by appropriate images and video footage is disseminated to all media houses to facilitate coverage. These releases are also published to the Division’s website and social media platforms to maximize reach.  </w:t>
      </w:r>
    </w:p>
    <w:p w14:paraId="117BB2D4" w14:textId="77777777" w:rsidR="002F1EE7" w:rsidRPr="002F1EE7" w:rsidRDefault="002F1EE7">
      <w:pPr>
        <w:pStyle w:val="SingleTxtG"/>
        <w:numPr>
          <w:ilvl w:val="0"/>
          <w:numId w:val="32"/>
        </w:numPr>
        <w:ind w:left="1134" w:firstLine="0"/>
      </w:pPr>
      <w:r w:rsidRPr="002F1EE7">
        <w:t>Additionally, the GAD, under the Spotlight Initiative, funded by the European Union, supported several public partnerships with national media organisations. In 2022, a partnership with a civil society organisation in semi-urban and rural communities led to the publication 15 articles on ending gender-based violence in communities. Further, pre-edited news stories with television media were created to highlight national gender and development issues, organised around International Women’s Day and the Sixteen Days of Activism.</w:t>
      </w:r>
    </w:p>
    <w:p w14:paraId="6D249E84" w14:textId="7762F0EA" w:rsidR="002F1EE7" w:rsidRPr="002F1EE7" w:rsidRDefault="00831BE7" w:rsidP="00831BE7">
      <w:pPr>
        <w:pStyle w:val="H23G"/>
      </w:pPr>
      <w:r>
        <w:tab/>
      </w:r>
      <w:r>
        <w:tab/>
      </w:r>
      <w:r w:rsidR="002F1EE7" w:rsidRPr="002F1EE7">
        <w:t>Monitoring and assessing impact of above measures</w:t>
      </w:r>
    </w:p>
    <w:p w14:paraId="30E20E3D" w14:textId="77777777" w:rsidR="002F1EE7" w:rsidRPr="002F1EE7" w:rsidRDefault="002F1EE7">
      <w:pPr>
        <w:pStyle w:val="SingleTxtG"/>
        <w:numPr>
          <w:ilvl w:val="0"/>
          <w:numId w:val="32"/>
        </w:numPr>
        <w:ind w:left="1134" w:firstLine="0"/>
      </w:pPr>
      <w:r w:rsidRPr="002F1EE7">
        <w:t xml:space="preserve">At the design stage of all GAD’s initiatives, the Monitoring and Evaluation (M&amp;E) team under the Policy, Research and Planning Unit works closely within the Division to ensure that objectives and expected outcomes are aligned to the GAD’s Strategic Plan and the Sustainable Development Goals (SDGs). The M&amp;E team also assists the GAD in </w:t>
      </w:r>
      <w:r w:rsidRPr="002F1EE7">
        <w:lastRenderedPageBreak/>
        <w:t xml:space="preserve">developing and administering monitoring and evaluation tools including pre and post-tests, satisfaction surveys and log frame. Notwithstanding the limitations, feedback has been positive. </w:t>
      </w:r>
    </w:p>
    <w:p w14:paraId="6A2CFCBA" w14:textId="77777777" w:rsidR="002F1EE7" w:rsidRPr="002F1EE7" w:rsidRDefault="002F1EE7">
      <w:pPr>
        <w:pStyle w:val="SingleTxtG"/>
        <w:numPr>
          <w:ilvl w:val="0"/>
          <w:numId w:val="32"/>
        </w:numPr>
        <w:ind w:left="1134" w:firstLine="0"/>
      </w:pPr>
      <w:r w:rsidRPr="002F1EE7">
        <w:t>The last “Defining Masculine Excellence Programme” was held in 2017. Since then, new measures seeking to eliminate gender stereotypes and harmful practices were developed. This includes the “</w:t>
      </w:r>
      <w:r w:rsidRPr="002F1EE7">
        <w:rPr>
          <w:i/>
          <w:iCs/>
        </w:rPr>
        <w:t>HeForShe Global Initiative</w:t>
      </w:r>
      <w:r w:rsidRPr="002F1EE7">
        <w:t xml:space="preserve">” (the Barbershop) which began in 2018; and targets males aged 14 years and older aiming to create a setting for male-to-male discussions about behaviours, attitudes and negative gender stereotypes. This approach was used based on theories and evidence, which suggest that early interventions in the lives of men and boys can reduce or prevent domestic violence. The programme also identifies organizations, which provide support and other services for men and boys. The GAD also embarked on another men’s programme titled the </w:t>
      </w:r>
      <w:r w:rsidRPr="002F1EE7">
        <w:rPr>
          <w:i/>
          <w:iCs/>
        </w:rPr>
        <w:t>SARAH (Safeguarding and Rescuing Humans from Trafficking)</w:t>
      </w:r>
      <w:r w:rsidRPr="002F1EE7">
        <w:t xml:space="preserve"> a pilot project involving men from two agencies in the energy sector seeking to bring awareness to the issue of sexual exploitation. This initiative was in collaboration with the Ministry of National Security’s Counter-Trafficking Unit. </w:t>
      </w:r>
    </w:p>
    <w:p w14:paraId="1E34025E" w14:textId="6E8C022B" w:rsidR="002F1EE7" w:rsidRPr="002F1EE7" w:rsidRDefault="00650921" w:rsidP="00650921">
      <w:pPr>
        <w:pStyle w:val="H1G"/>
      </w:pPr>
      <w:r>
        <w:tab/>
      </w:r>
      <w:r>
        <w:tab/>
      </w:r>
      <w:r w:rsidR="002F1EE7" w:rsidRPr="002F1EE7">
        <w:t>Question 11 – Gender-based violence against women</w:t>
      </w:r>
    </w:p>
    <w:p w14:paraId="4C4B9143" w14:textId="32977152" w:rsidR="002F1EE7" w:rsidRPr="002F1EE7" w:rsidRDefault="00146741" w:rsidP="00146741">
      <w:pPr>
        <w:pStyle w:val="H23G"/>
      </w:pPr>
      <w:r>
        <w:tab/>
      </w:r>
      <w:r>
        <w:tab/>
      </w:r>
      <w:r w:rsidR="002F1EE7" w:rsidRPr="002F1EE7">
        <w:t>Investigation of gender-based violence cases</w:t>
      </w:r>
    </w:p>
    <w:p w14:paraId="0A108B43" w14:textId="77777777" w:rsidR="002F1EE7" w:rsidRPr="002F1EE7" w:rsidRDefault="002F1EE7">
      <w:pPr>
        <w:pStyle w:val="SingleTxtG"/>
        <w:numPr>
          <w:ilvl w:val="0"/>
          <w:numId w:val="32"/>
        </w:numPr>
        <w:ind w:left="1134" w:firstLine="0"/>
      </w:pPr>
      <w:r w:rsidRPr="002F1EE7">
        <w:t>The Trinidad and Tobago Police Service (TTPS) has been working diligently to ensure that cases of domestic violence and all forms of gender-based violence are thoroughly investigated and prosecuted.</w:t>
      </w:r>
    </w:p>
    <w:p w14:paraId="279CD2A1" w14:textId="77777777" w:rsidR="002F1EE7" w:rsidRPr="002F1EE7" w:rsidRDefault="002F1EE7">
      <w:pPr>
        <w:pStyle w:val="SingleTxtG"/>
        <w:numPr>
          <w:ilvl w:val="0"/>
          <w:numId w:val="32"/>
        </w:numPr>
        <w:ind w:left="1134" w:firstLine="0"/>
      </w:pPr>
      <w:r w:rsidRPr="002F1EE7">
        <w:t xml:space="preserve">The TTPS as the primary investigative mechanism, has established the Special Victims Department (SVD) as part of the GORTT’s concerted efforts to address the issue of violence against women and girls. As aforementioned, the SVD is an amalgamation of three units; the Gender-based Violence Unit (GBVU), the Sexual Offence Unit (SOU) and the Child Protection Unit (CPU). The SVD investigates all received reports of violence against women and girls, especially, domestic, gender-based, intimate partner and sexual violence, breaches of protection orders and rape. All officers attached are trained to </w:t>
      </w:r>
      <w:r w:rsidRPr="002F1EE7">
        <w:rPr>
          <w:lang w:val="en-US"/>
        </w:rPr>
        <w:t>effectively and sensitively respond to reports of violence and to take the appropriate criminal procedure measures to prosecute suspects.</w:t>
      </w:r>
    </w:p>
    <w:p w14:paraId="0361E11B" w14:textId="77777777" w:rsidR="002F1EE7" w:rsidRPr="002F1EE7" w:rsidRDefault="002F1EE7">
      <w:pPr>
        <w:pStyle w:val="SingleTxtG"/>
        <w:numPr>
          <w:ilvl w:val="0"/>
          <w:numId w:val="32"/>
        </w:numPr>
        <w:ind w:left="1134" w:firstLine="0"/>
      </w:pPr>
      <w:r w:rsidRPr="002F1EE7">
        <w:t xml:space="preserve">Additionally, the Crime and Problem Analysis (CAPA) Branch of the TTPS collects data on crimes committed against females disaggregated by sex, age, ethnicity, and type of offence.  </w:t>
      </w:r>
    </w:p>
    <w:p w14:paraId="36E54989" w14:textId="77777777" w:rsidR="002F1EE7" w:rsidRPr="002F1EE7" w:rsidRDefault="002F1EE7">
      <w:pPr>
        <w:pStyle w:val="SingleTxtG"/>
        <w:numPr>
          <w:ilvl w:val="0"/>
          <w:numId w:val="32"/>
        </w:numPr>
        <w:ind w:left="1134" w:firstLine="0"/>
        <w:rPr>
          <w:lang w:val="en-US"/>
        </w:rPr>
      </w:pPr>
      <w:r w:rsidRPr="002F1EE7">
        <w:t>Further, lending to the multi-sectoral approach to curbing and eliminating violence against women and girls,</w:t>
      </w:r>
      <w:r w:rsidRPr="002F1EE7">
        <w:rPr>
          <w:lang w:val="en-US"/>
        </w:rPr>
        <w:t xml:space="preserve"> the Gender Affairs Division (GAD) in partnership with the TTPS, continue to work together to ensure reliable and up-to-date </w:t>
      </w:r>
      <w:r w:rsidRPr="005E1C13">
        <w:t>data</w:t>
      </w:r>
      <w:r w:rsidRPr="002F1EE7">
        <w:rPr>
          <w:lang w:val="en-US"/>
        </w:rPr>
        <w:t xml:space="preserve"> on all forms of gender-based violence. On 15 April 2016, The Central Registry on Domestic Violence (CRDV) was launched as a repository of statistical data specifically for domestic violence incidents. The data contained in the CRDV was collected from CAPA, and other critical data sources, to allow for a more reliable and comprehensive analysis of gender-based violence in Trinidad and Tobago. The objectives of the CRDV were to: </w:t>
      </w:r>
    </w:p>
    <w:p w14:paraId="1542EB42" w14:textId="299F8DFC" w:rsidR="002F1EE7" w:rsidRPr="00146741" w:rsidRDefault="00146741" w:rsidP="00146741">
      <w:pPr>
        <w:pStyle w:val="SingleTxtG"/>
      </w:pPr>
      <w:r>
        <w:tab/>
        <w:t>(a)</w:t>
      </w:r>
      <w:r>
        <w:tab/>
      </w:r>
      <w:r w:rsidR="002F1EE7" w:rsidRPr="00146741">
        <w:t>Synthesise and interpret data findings on domestic violence from relevant sources;</w:t>
      </w:r>
    </w:p>
    <w:p w14:paraId="4347F853" w14:textId="26D8E2F0" w:rsidR="002F1EE7" w:rsidRPr="00146741" w:rsidRDefault="00146741" w:rsidP="00146741">
      <w:pPr>
        <w:pStyle w:val="SingleTxtG"/>
      </w:pPr>
      <w:r>
        <w:tab/>
        <w:t>(b)</w:t>
      </w:r>
      <w:r>
        <w:tab/>
      </w:r>
      <w:r w:rsidR="002F1EE7" w:rsidRPr="00146741">
        <w:t>Report on domestic violence incidents and inform programme and policy design and service delivery;</w:t>
      </w:r>
    </w:p>
    <w:p w14:paraId="3B0E6E94" w14:textId="7769436B" w:rsidR="002F1EE7" w:rsidRPr="00146741" w:rsidRDefault="00146741" w:rsidP="00146741">
      <w:pPr>
        <w:pStyle w:val="SingleTxtG"/>
      </w:pPr>
      <w:r>
        <w:tab/>
        <w:t>(c)</w:t>
      </w:r>
      <w:r>
        <w:tab/>
      </w:r>
      <w:r w:rsidR="002F1EE7" w:rsidRPr="00146741">
        <w:t xml:space="preserve">Provide a more cohesive and efficient approach to the data management and monitoring of domestic violence incidents;    </w:t>
      </w:r>
    </w:p>
    <w:p w14:paraId="33B50938" w14:textId="39E34114" w:rsidR="002F1EE7" w:rsidRPr="00146741" w:rsidRDefault="00146741" w:rsidP="00146741">
      <w:pPr>
        <w:pStyle w:val="SingleTxtG"/>
      </w:pPr>
      <w:r>
        <w:tab/>
        <w:t>(d)</w:t>
      </w:r>
      <w:r>
        <w:tab/>
      </w:r>
      <w:r w:rsidR="002F1EE7" w:rsidRPr="00146741">
        <w:t>Serve as the principal repository for information on domestic violence nationally;</w:t>
      </w:r>
    </w:p>
    <w:p w14:paraId="432F80EF" w14:textId="04B88CDF" w:rsidR="002F1EE7" w:rsidRPr="00146741" w:rsidRDefault="00146741" w:rsidP="00146741">
      <w:pPr>
        <w:pStyle w:val="SingleTxtG"/>
      </w:pPr>
      <w:r>
        <w:tab/>
        <w:t>(e)</w:t>
      </w:r>
      <w:r>
        <w:tab/>
      </w:r>
      <w:r w:rsidR="002F1EE7" w:rsidRPr="00146741">
        <w:t>Analyse domestic violence trends in mapping, forecasting, and appropriately informing decision-making processes; and</w:t>
      </w:r>
    </w:p>
    <w:p w14:paraId="107237A1" w14:textId="15698592" w:rsidR="002F1EE7" w:rsidRPr="00146741" w:rsidRDefault="00146741" w:rsidP="00146741">
      <w:pPr>
        <w:pStyle w:val="SingleTxtG"/>
      </w:pPr>
      <w:r>
        <w:lastRenderedPageBreak/>
        <w:tab/>
        <w:t>(f)</w:t>
      </w:r>
      <w:r>
        <w:tab/>
      </w:r>
      <w:r w:rsidR="002F1EE7" w:rsidRPr="00146741">
        <w:t>Reduce duplication of services in the timely and appropriate response to domestic violence clients’ needs.</w:t>
      </w:r>
    </w:p>
    <w:p w14:paraId="35631D70" w14:textId="77777777" w:rsidR="002F1EE7" w:rsidRPr="002F1EE7" w:rsidRDefault="002F1EE7">
      <w:pPr>
        <w:pStyle w:val="SingleTxtG"/>
        <w:numPr>
          <w:ilvl w:val="0"/>
          <w:numId w:val="32"/>
        </w:numPr>
        <w:ind w:left="1134" w:firstLine="0"/>
        <w:rPr>
          <w:lang w:val="en-US"/>
        </w:rPr>
      </w:pPr>
      <w:r w:rsidRPr="002F1EE7">
        <w:rPr>
          <w:lang w:val="en-US"/>
        </w:rPr>
        <w:t xml:space="preserve">The CRDV is currently being upgraded and expanded to collect data on wider gender-based violence. This prompted a renaming to the Central Registry on Gender-Based Violence (CRGBV) in October, 2022. </w:t>
      </w:r>
    </w:p>
    <w:p w14:paraId="11A51454" w14:textId="77777777" w:rsidR="002F1EE7" w:rsidRPr="002F1EE7" w:rsidRDefault="002F1EE7">
      <w:pPr>
        <w:pStyle w:val="SingleTxtG"/>
        <w:numPr>
          <w:ilvl w:val="0"/>
          <w:numId w:val="32"/>
        </w:numPr>
        <w:ind w:left="1134" w:firstLine="0"/>
        <w:rPr>
          <w:lang w:val="en-US"/>
        </w:rPr>
      </w:pPr>
      <w:r w:rsidRPr="002F1EE7">
        <w:rPr>
          <w:lang w:val="en-US"/>
        </w:rPr>
        <w:t>The CRGBV will enable the GAD to collect and disseminate data from multiple sources allowing for seamless integration of information from partner agencies; and support the development of a Case Management and Referral Pathway System. The CRGBV will facilitate greater efficiency in service mapping and incident-tracking in real time through a Geographic Information System (GIS) and reduce the likelihood of survivors’ re-</w:t>
      </w:r>
      <w:r w:rsidRPr="002F1EE7">
        <w:t>traumatisation</w:t>
      </w:r>
      <w:r w:rsidRPr="002F1EE7">
        <w:rPr>
          <w:lang w:val="en-US"/>
        </w:rPr>
        <w:t xml:space="preserve"> by preventing the need for survivors to retell their stories.</w:t>
      </w:r>
      <w:r w:rsidRPr="002F1EE7">
        <w:t xml:space="preserve"> </w:t>
      </w:r>
      <w:r w:rsidRPr="002F1EE7">
        <w:rPr>
          <w:lang w:val="en-US"/>
        </w:rPr>
        <w:t>Ultimately, the CRGBV will inform evidence-based policy and programme development.</w:t>
      </w:r>
    </w:p>
    <w:p w14:paraId="58FB2D91" w14:textId="77777777" w:rsidR="002F1EE7" w:rsidRPr="002F1EE7" w:rsidRDefault="002F1EE7">
      <w:pPr>
        <w:pStyle w:val="SingleTxtG"/>
        <w:numPr>
          <w:ilvl w:val="0"/>
          <w:numId w:val="32"/>
        </w:numPr>
        <w:ind w:left="1134" w:firstLine="0"/>
        <w:rPr>
          <w:lang w:val="en-US"/>
        </w:rPr>
      </w:pPr>
      <w:r w:rsidRPr="002F1EE7">
        <w:rPr>
          <w:lang w:val="en-US"/>
        </w:rPr>
        <w:t xml:space="preserve">Training of government agencies and civil society is currently be conducted to build capacity in using the functions of the Registry.  The GAD is in the process of developing Memoranda of Understanding (MOU) with key stakeholders on </w:t>
      </w:r>
      <w:r w:rsidRPr="005E1C13">
        <w:t>data</w:t>
      </w:r>
      <w:r w:rsidRPr="002F1EE7">
        <w:rPr>
          <w:lang w:val="en-US"/>
        </w:rPr>
        <w:t xml:space="preserve"> management processes and protocols to safeguard and protect against data breaches and improve the collection and dissemination of critical data. </w:t>
      </w:r>
    </w:p>
    <w:p w14:paraId="7BB8545C" w14:textId="786133E2" w:rsidR="002F1EE7" w:rsidRPr="002F1EE7" w:rsidRDefault="00D21AEF" w:rsidP="00D21AEF">
      <w:pPr>
        <w:pStyle w:val="H23G"/>
        <w:rPr>
          <w:lang w:val="en-US"/>
        </w:rPr>
      </w:pPr>
      <w:r>
        <w:rPr>
          <w:lang w:val="en-US"/>
        </w:rPr>
        <w:tab/>
      </w:r>
      <w:r>
        <w:rPr>
          <w:lang w:val="en-US"/>
        </w:rPr>
        <w:tab/>
      </w:r>
      <w:r w:rsidR="002F1EE7" w:rsidRPr="002F1EE7">
        <w:rPr>
          <w:lang w:val="en-US"/>
        </w:rPr>
        <w:t>Demand for shelters by victims of violence</w:t>
      </w:r>
    </w:p>
    <w:p w14:paraId="698947ED" w14:textId="77777777" w:rsidR="002F1EE7" w:rsidRPr="002F1EE7" w:rsidRDefault="002F1EE7">
      <w:pPr>
        <w:pStyle w:val="SingleTxtG"/>
        <w:numPr>
          <w:ilvl w:val="0"/>
          <w:numId w:val="32"/>
        </w:numPr>
        <w:ind w:left="1134" w:firstLine="0"/>
      </w:pPr>
      <w:r w:rsidRPr="002F1EE7">
        <w:t xml:space="preserve"> In September 2022, the GAD, recognising the importance of undertaking a needs assessment of the demand for women’s shelters, established Inter-ministerial Committee on Violence, Housing Sub-Committee to achieve this mandate. The goal of the Housing Sub-Committee was to understand the requirements, review the current context and make recommendations for the implementation of concrete strategies aimed at meeting the housing needs of persons affected by domestic violence in Trinidad and Tobago. To-date, the Sub-Committee has prepared a working paper on the issue.</w:t>
      </w:r>
    </w:p>
    <w:p w14:paraId="5E6D0FAD" w14:textId="77777777" w:rsidR="002F1EE7" w:rsidRPr="002F1EE7" w:rsidRDefault="002F1EE7">
      <w:pPr>
        <w:pStyle w:val="SingleTxtG"/>
        <w:numPr>
          <w:ilvl w:val="0"/>
          <w:numId w:val="32"/>
        </w:numPr>
        <w:ind w:left="1134" w:firstLine="0"/>
      </w:pPr>
      <w:r w:rsidRPr="002F1EE7">
        <w:t>The GAD also conducted an assessment of the number of domestic violence shelters for survivors of gender-based violence across Trinidad, their occupancy rates, and their capacity. As of 2023, there were a total of three shelters and four transitional homes operational. It was noted that both the shelters and the transitional homes are highly utilized and were almost at full capacity at the time of the assessment.</w:t>
      </w:r>
    </w:p>
    <w:p w14:paraId="17346E7C" w14:textId="7BACCA0D" w:rsidR="002F1EE7" w:rsidRPr="002F1EE7" w:rsidRDefault="00D21AEF" w:rsidP="00D21AEF">
      <w:pPr>
        <w:pStyle w:val="H23G"/>
      </w:pPr>
      <w:r>
        <w:tab/>
      </w:r>
      <w:r>
        <w:tab/>
      </w:r>
      <w:r w:rsidR="002F1EE7" w:rsidRPr="002F1EE7">
        <w:t>Amendment to the Sexual Offences Act</w:t>
      </w:r>
    </w:p>
    <w:p w14:paraId="517F4C9C" w14:textId="77777777" w:rsidR="002F1EE7" w:rsidRPr="002F1EE7" w:rsidRDefault="002F1EE7">
      <w:pPr>
        <w:pStyle w:val="SingleTxtG"/>
        <w:numPr>
          <w:ilvl w:val="0"/>
          <w:numId w:val="32"/>
        </w:numPr>
        <w:ind w:left="1134" w:firstLine="0"/>
      </w:pPr>
      <w:r w:rsidRPr="00153CBB">
        <w:t>The Sexual Offences Act Chapter 11:28, was amended by Act No. 19 of 2019 and proclaimed by the President taking effect 1 January 2020; and again in 2021 by Act No. 13</w:t>
      </w:r>
      <w:r w:rsidRPr="002F1EE7">
        <w:rPr>
          <w:b/>
          <w:bCs/>
        </w:rPr>
        <w:t xml:space="preserve"> </w:t>
      </w:r>
      <w:r w:rsidRPr="00153CBB">
        <w:t>of 2021</w:t>
      </w:r>
      <w:r w:rsidRPr="002F1EE7">
        <w:t xml:space="preserve"> which was assented to and is awaiting Proclamation by the President. The cumulative effect of these amendments was the re-establishment of</w:t>
      </w:r>
      <w:r w:rsidRPr="002F1EE7">
        <w:rPr>
          <w:b/>
        </w:rPr>
        <w:t xml:space="preserve"> </w:t>
      </w:r>
      <w:r w:rsidRPr="002F1EE7">
        <w:t xml:space="preserve">the National Sex Offender Register and the Public Sex Offender Website. </w:t>
      </w:r>
    </w:p>
    <w:p w14:paraId="03955589" w14:textId="77777777" w:rsidR="002F1EE7" w:rsidRPr="002F1EE7" w:rsidRDefault="002F1EE7">
      <w:pPr>
        <w:pStyle w:val="SingleTxtG"/>
        <w:numPr>
          <w:ilvl w:val="0"/>
          <w:numId w:val="32"/>
        </w:numPr>
        <w:ind w:left="1134" w:firstLine="0"/>
      </w:pPr>
      <w:r w:rsidRPr="00153CBB">
        <w:t xml:space="preserve">Section 46 of the consolidated Sexual Offences Act, Chapter 11:28 </w:t>
      </w:r>
      <w:r w:rsidRPr="002F1EE7">
        <w:t>distinguishes between the National Sex Offender Register and the Public Sex Offender Website</w:t>
      </w:r>
      <w:r w:rsidRPr="002F1EE7">
        <w:rPr>
          <w:vertAlign w:val="superscript"/>
        </w:rPr>
        <w:footnoteReference w:id="5"/>
      </w:r>
      <w:r w:rsidRPr="002F1EE7">
        <w:t xml:space="preserve">. While the Commissioner of Police (CoP) has responsibility for the management and maintenance of both the National Register and corresponding Public Website; the former is for the police service’s internal use only, as this register includes more detailed information on the offender than the corresponding Public Website. The National Register contains the offenders’ names, addresses, photographs and offences committed, whereas, the Website does not allow the public to access the offenders’ specific address but only their locality. </w:t>
      </w:r>
    </w:p>
    <w:p w14:paraId="5D3C6D77" w14:textId="77777777" w:rsidR="002F1EE7" w:rsidRPr="002F1EE7" w:rsidRDefault="002F1EE7">
      <w:pPr>
        <w:pStyle w:val="SingleTxtG"/>
        <w:numPr>
          <w:ilvl w:val="0"/>
          <w:numId w:val="32"/>
        </w:numPr>
        <w:ind w:left="1134" w:firstLine="0"/>
      </w:pPr>
      <w:r w:rsidRPr="002F1EE7">
        <w:t>The National Register only contains information regarding offenders who are citizens or residents of Trinidad and Tobago, convicted of registrable offences by a Court either domestically or internationally on or after 25</w:t>
      </w:r>
      <w:r w:rsidRPr="002F1EE7">
        <w:rPr>
          <w:vertAlign w:val="superscript"/>
        </w:rPr>
        <w:t>th</w:t>
      </w:r>
      <w:r w:rsidRPr="002F1EE7">
        <w:t xml:space="preserve"> September 2000; and does not apply to persons who were under the age of eighteen (18) years or suffering from mental illness at the time the offence was committed.</w:t>
      </w:r>
    </w:p>
    <w:p w14:paraId="2AE8205F" w14:textId="77777777" w:rsidR="002F1EE7" w:rsidRPr="002F1EE7" w:rsidRDefault="002F1EE7">
      <w:pPr>
        <w:pStyle w:val="SingleTxtG"/>
        <w:numPr>
          <w:ilvl w:val="0"/>
          <w:numId w:val="32"/>
        </w:numPr>
        <w:ind w:left="1134" w:firstLine="0"/>
      </w:pPr>
      <w:r w:rsidRPr="002F1EE7">
        <w:lastRenderedPageBreak/>
        <w:t>The Public Sex Offender website lists the dates of conviction for each registered offender, therefore making repeat offenders easily discernible to the public.</w:t>
      </w:r>
    </w:p>
    <w:p w14:paraId="66A3C88F" w14:textId="41E23B98" w:rsidR="002F1EE7" w:rsidRPr="002F1EE7" w:rsidRDefault="00153CBB" w:rsidP="00153CBB">
      <w:pPr>
        <w:pStyle w:val="H23G"/>
      </w:pPr>
      <w:r>
        <w:tab/>
      </w:r>
      <w:r>
        <w:tab/>
      </w:r>
      <w:r w:rsidR="002F1EE7" w:rsidRPr="002F1EE7">
        <w:t>Effective enforcement of Protection Orders</w:t>
      </w:r>
    </w:p>
    <w:p w14:paraId="3451FF60" w14:textId="77777777" w:rsidR="002F1EE7" w:rsidRPr="002F1EE7" w:rsidRDefault="002F1EE7">
      <w:pPr>
        <w:pStyle w:val="SingleTxtG"/>
        <w:numPr>
          <w:ilvl w:val="0"/>
          <w:numId w:val="32"/>
        </w:numPr>
        <w:ind w:left="1134" w:firstLine="0"/>
      </w:pPr>
      <w:r w:rsidRPr="002F1EE7">
        <w:t xml:space="preserve">Protection Orders are issued by the Court in accordance with the provisions of the </w:t>
      </w:r>
      <w:r w:rsidRPr="00153CBB">
        <w:t>Domestic Violence Act, Chapter 45:56 (as</w:t>
      </w:r>
      <w:r w:rsidRPr="002F1EE7">
        <w:rPr>
          <w:b/>
          <w:bCs/>
        </w:rPr>
        <w:t xml:space="preserve"> </w:t>
      </w:r>
      <w:r w:rsidRPr="005E1C13">
        <w:t>amended</w:t>
      </w:r>
      <w:r w:rsidRPr="002F1EE7">
        <w:rPr>
          <w:b/>
          <w:bCs/>
        </w:rPr>
        <w:t>).</w:t>
      </w:r>
      <w:r w:rsidRPr="002F1EE7">
        <w:t xml:space="preserve"> Breach of the Order may result in penalties, fines and possible imprisonment. Once a Protection Order is breached the matter becomes criminal; to be investigated by the police. </w:t>
      </w:r>
    </w:p>
    <w:p w14:paraId="5B1DFDBB" w14:textId="0411E84D" w:rsidR="002F1EE7" w:rsidRPr="002F1EE7" w:rsidRDefault="00153CBB" w:rsidP="00153CBB">
      <w:pPr>
        <w:pStyle w:val="H23G"/>
      </w:pPr>
      <w:r>
        <w:tab/>
      </w:r>
      <w:r>
        <w:tab/>
      </w:r>
      <w:r w:rsidR="002F1EE7" w:rsidRPr="002F1EE7">
        <w:t>Gender-sensitive training for law enforcement officers</w:t>
      </w:r>
    </w:p>
    <w:p w14:paraId="289BE4B9" w14:textId="77777777" w:rsidR="002F1EE7" w:rsidRPr="002F1EE7" w:rsidRDefault="002F1EE7">
      <w:pPr>
        <w:pStyle w:val="SingleTxtG"/>
        <w:numPr>
          <w:ilvl w:val="0"/>
          <w:numId w:val="32"/>
        </w:numPr>
        <w:ind w:left="1134" w:firstLine="0"/>
      </w:pPr>
      <w:r w:rsidRPr="002F1EE7">
        <w:t>The TTPS has a Domestic Violence Procedural Manual for Police Officers which was developed in collaboration with key stakeholders, inclusive of the GAD. This Manual is meant to guide police officers of all ranks in responding to and investigate complaints of domestic violence effectively and sensitively, and to take the appropriate criminal procedure measures to prosecute the suspect and thereby protect the victim of domestic violence.</w:t>
      </w:r>
    </w:p>
    <w:p w14:paraId="11B1A78E" w14:textId="77777777" w:rsidR="002F1EE7" w:rsidRPr="002F1EE7" w:rsidRDefault="002F1EE7">
      <w:pPr>
        <w:pStyle w:val="SingleTxtG"/>
        <w:numPr>
          <w:ilvl w:val="0"/>
          <w:numId w:val="32"/>
        </w:numPr>
        <w:ind w:left="1134" w:firstLine="0"/>
        <w:rPr>
          <w:lang w:val="en-US"/>
        </w:rPr>
      </w:pPr>
      <w:r w:rsidRPr="002F1EE7">
        <w:t xml:space="preserve">Additionally, the TTPS, through its Police Training Academy, has taken requisite steps to implement </w:t>
      </w:r>
      <w:r w:rsidRPr="002F1EE7">
        <w:rPr>
          <w:lang w:val="en-US"/>
        </w:rPr>
        <w:t xml:space="preserve">mandatory gender-sensitivity training for new recruits to ensure that they are equip to treat with domestic violence cases. This training module was developed through the Spotlight Initiative via UNDP in collaboration with the Special Victims Department of the TTPS. Additionally, the TTPS is in the process of training all officers in Gender Responsive Policing and report that to-date they have trained approximately six hundred (600) police officers. </w:t>
      </w:r>
    </w:p>
    <w:p w14:paraId="296A6EBA" w14:textId="6A6F0002" w:rsidR="002F1EE7" w:rsidRPr="002F1EE7" w:rsidRDefault="00153CBB" w:rsidP="00153CBB">
      <w:pPr>
        <w:pStyle w:val="H1G"/>
      </w:pPr>
      <w:r>
        <w:tab/>
      </w:r>
      <w:r>
        <w:tab/>
      </w:r>
      <w:r w:rsidR="002F1EE7" w:rsidRPr="002F1EE7">
        <w:t>Question 12- Trafficking and exploitation of prostitution</w:t>
      </w:r>
    </w:p>
    <w:p w14:paraId="73268C31" w14:textId="1B37527D" w:rsidR="002F1EE7" w:rsidRPr="002F1EE7" w:rsidRDefault="00850D87" w:rsidP="00153CBB">
      <w:pPr>
        <w:pStyle w:val="H23G"/>
      </w:pPr>
      <w:r>
        <w:tab/>
      </w:r>
      <w:r>
        <w:tab/>
      </w:r>
      <w:r w:rsidR="002F1EE7" w:rsidRPr="002F1EE7">
        <w:t>Addressing root causes of trafficking and services provided to victims</w:t>
      </w:r>
    </w:p>
    <w:p w14:paraId="28DD1D9A" w14:textId="77777777" w:rsidR="002F1EE7" w:rsidRPr="002F1EE7" w:rsidRDefault="002F1EE7">
      <w:pPr>
        <w:pStyle w:val="SingleTxtG"/>
        <w:numPr>
          <w:ilvl w:val="0"/>
          <w:numId w:val="32"/>
        </w:numPr>
        <w:ind w:left="1134" w:firstLine="0"/>
      </w:pPr>
      <w:r w:rsidRPr="002F1EE7">
        <w:t xml:space="preserve">The Government of the Republic of Trinidad and Tobago (GORTT) recognizes human trafficking as one of the most serious crimes affecting the Latin American and Caribbean region and our country. As such, the government remains dedicated to the eradication of human trafficking and to the provision of protection and support to survivors. </w:t>
      </w:r>
      <w:r w:rsidRPr="00850D87">
        <w:t>The National Plan of Action Against Trafficking in Persons 2021-2025</w:t>
      </w:r>
      <w:r w:rsidRPr="002F1EE7">
        <w:t xml:space="preserve"> was approved by Cabinet in October of 2022. The Counter Trafficking Unit (CTU) of the Ministry of National Security (MNS) is responsible for implementing the plan which outlines the government’s response to:</w:t>
      </w:r>
    </w:p>
    <w:p w14:paraId="45C562B4" w14:textId="471406E3" w:rsidR="002F1EE7" w:rsidRPr="00850D87" w:rsidRDefault="00850D87" w:rsidP="00850D87">
      <w:pPr>
        <w:pStyle w:val="SingleTxtG"/>
      </w:pPr>
      <w:r>
        <w:tab/>
        <w:t>(a)</w:t>
      </w:r>
      <w:r>
        <w:tab/>
      </w:r>
      <w:r w:rsidR="002F1EE7" w:rsidRPr="00850D87">
        <w:t>Prevention – deals with public awareness to state and not state agencies, first responders, frontline officers and the general public;</w:t>
      </w:r>
    </w:p>
    <w:p w14:paraId="4068715A" w14:textId="7F00B79C" w:rsidR="002F1EE7" w:rsidRPr="00850D87" w:rsidRDefault="00850D87" w:rsidP="00850D87">
      <w:pPr>
        <w:pStyle w:val="SingleTxtG"/>
      </w:pPr>
      <w:r>
        <w:tab/>
        <w:t>(b)</w:t>
      </w:r>
      <w:r>
        <w:tab/>
      </w:r>
      <w:r w:rsidR="002F1EE7" w:rsidRPr="00850D87">
        <w:t>Protection- to create safe spaces, psych-social support, and vocational training to assist with re-integration into society; and</w:t>
      </w:r>
    </w:p>
    <w:p w14:paraId="01D15AFF" w14:textId="26CB610D" w:rsidR="002F1EE7" w:rsidRPr="00850D87" w:rsidRDefault="00850D87" w:rsidP="00850D87">
      <w:pPr>
        <w:pStyle w:val="SingleTxtG"/>
      </w:pPr>
      <w:r>
        <w:tab/>
        <w:t>(c)</w:t>
      </w:r>
      <w:r>
        <w:tab/>
      </w:r>
      <w:r w:rsidR="002F1EE7" w:rsidRPr="00850D87">
        <w:t>Prosecution – geared to training the authorized officers on evidence collection, judiciary practices, writing National Policies, develop best practices.</w:t>
      </w:r>
    </w:p>
    <w:p w14:paraId="2E93B0E9" w14:textId="77777777" w:rsidR="002F1EE7" w:rsidRPr="002F1EE7" w:rsidRDefault="002F1EE7">
      <w:pPr>
        <w:pStyle w:val="SingleTxtG"/>
        <w:numPr>
          <w:ilvl w:val="0"/>
          <w:numId w:val="32"/>
        </w:numPr>
        <w:ind w:left="1134" w:firstLine="0"/>
      </w:pPr>
      <w:r w:rsidRPr="002F1EE7">
        <w:t xml:space="preserve">Consistent with the GORTT’s multi-sectoral approach to addressing national issues, </w:t>
      </w:r>
      <w:r w:rsidRPr="00850D87">
        <w:t>The National Task Force against Trafficking in Persons</w:t>
      </w:r>
      <w:r w:rsidRPr="002F1EE7">
        <w:t xml:space="preserve"> was established to collaborate with the CTU on anti-trafficking initiatives. This Task Force includes various ministries such as Gender and Child Affairs Division, Labour, National Security, Foreign and CARICOM Affairs, Social Development and Family Services, and Finance, alongside agencies like the Trinidad and Tobago Police Service, Children's Authority, and the Department of Public Prosecution, as well as civil society organizations. Quarterly activity reports are submitted to the Task Force, and Annual Reports detailing the government's anti-trafficking efforts are released through open hearings and press releases.</w:t>
      </w:r>
    </w:p>
    <w:p w14:paraId="78C540C6" w14:textId="77777777" w:rsidR="002F1EE7" w:rsidRPr="002F1EE7" w:rsidRDefault="002F1EE7">
      <w:pPr>
        <w:pStyle w:val="SingleTxtG"/>
        <w:numPr>
          <w:ilvl w:val="0"/>
          <w:numId w:val="32"/>
        </w:numPr>
        <w:ind w:left="1134" w:firstLine="0"/>
      </w:pPr>
      <w:r w:rsidRPr="002F1EE7">
        <w:t xml:space="preserve">For 2023, one of the main activities undertaken by the CTU was specialized training and capacity building to increase proactive identification, screening and protection of possible victims by State agencies.  The CTU conducted internal training for officers and collaborated with specialized international agencies such as the International Organization for Migration (IOM) and the United Nations Office on Drugs and Crime (UNODC) to train </w:t>
      </w:r>
      <w:r w:rsidRPr="002F1EE7">
        <w:lastRenderedPageBreak/>
        <w:t xml:space="preserve">relevant frontline agencies and law enforcement agencies on TIP indicators and the identification of possible Victims Of Trafficking (VOTs). Anti-trafficking training was also provided to 150 members of women Non-Governmental Organizations. </w:t>
      </w:r>
    </w:p>
    <w:p w14:paraId="0198AD58" w14:textId="77777777" w:rsidR="002F1EE7" w:rsidRPr="002F1EE7" w:rsidRDefault="002F1EE7">
      <w:pPr>
        <w:pStyle w:val="SingleTxtG"/>
        <w:numPr>
          <w:ilvl w:val="0"/>
          <w:numId w:val="32"/>
        </w:numPr>
        <w:ind w:left="1134" w:firstLine="0"/>
      </w:pPr>
      <w:r w:rsidRPr="002F1EE7">
        <w:t>The government has benefitted from collaboration with the IOM, partner stakeholders, and civil society organizations to enhance capacities for implementing a Regional Action Plan focused on addressing Migrant Smuggling and Human Trafficking in the Caribbean. Outcome reports were generated following multiple high-level meetings in 2018.</w:t>
      </w:r>
    </w:p>
    <w:p w14:paraId="57E146CD" w14:textId="77777777" w:rsidR="002F1EE7" w:rsidRPr="002F1EE7" w:rsidRDefault="002F1EE7">
      <w:pPr>
        <w:pStyle w:val="SingleTxtG"/>
        <w:numPr>
          <w:ilvl w:val="0"/>
          <w:numId w:val="32"/>
        </w:numPr>
        <w:ind w:left="1134" w:firstLine="0"/>
      </w:pPr>
      <w:r w:rsidRPr="002F1EE7">
        <w:t xml:space="preserve">The provision of assistance to VOTs is guided by the legislative provisions of </w:t>
      </w:r>
      <w:r w:rsidRPr="00850D87">
        <w:t>Sections 32-44 of the Trafficking in Persons Act Chap 12:10 (TiPs Act).  In accordance with Section 32 of the TiPs Act, in the investigation and prosecution of offences, VOTs are given protection to prevent recapture, to</w:t>
      </w:r>
      <w:r w:rsidRPr="002F1EE7">
        <w:t xml:space="preserve"> secure from threats, reprisals and intimidation by the traffickers and their associates. VOTs are also afforded the opportunity to consult with an attorney-at-law or other appropriate persons.    </w:t>
      </w:r>
    </w:p>
    <w:p w14:paraId="7C9F894D" w14:textId="77777777" w:rsidR="002F1EE7" w:rsidRPr="002F1EE7" w:rsidRDefault="002F1EE7">
      <w:pPr>
        <w:pStyle w:val="SingleTxtG"/>
        <w:numPr>
          <w:ilvl w:val="0"/>
          <w:numId w:val="32"/>
        </w:numPr>
        <w:ind w:left="1134" w:firstLine="0"/>
      </w:pPr>
      <w:r w:rsidRPr="002F1EE7">
        <w:t>Protection Measures for victims of human trafficking are provided by the State agencies that sit on the Working Committee for the Delivery of Care of Victims of Trafficking, as well as non-governmental and international organisations. Resources and support available to VOTs include:</w:t>
      </w:r>
    </w:p>
    <w:p w14:paraId="0F633B19" w14:textId="77777777" w:rsidR="002F1EE7" w:rsidRPr="00850D87" w:rsidRDefault="002F1EE7" w:rsidP="00850D87">
      <w:pPr>
        <w:pStyle w:val="Bullet1G"/>
      </w:pPr>
      <w:r w:rsidRPr="00850D87">
        <w:t>Shelter (HDC homes for adults; Office of the Prime Minister accommodation for Female Child Victims of Trafficking);</w:t>
      </w:r>
    </w:p>
    <w:p w14:paraId="6CDEE5C0" w14:textId="77777777" w:rsidR="002F1EE7" w:rsidRPr="00850D87" w:rsidRDefault="002F1EE7" w:rsidP="00850D87">
      <w:pPr>
        <w:pStyle w:val="Bullet1G"/>
      </w:pPr>
      <w:r w:rsidRPr="00850D87">
        <w:t>Victim care services available include basic health and dental care, including maternity care;</w:t>
      </w:r>
    </w:p>
    <w:p w14:paraId="3E20F561" w14:textId="77777777" w:rsidR="002F1EE7" w:rsidRPr="00850D87" w:rsidRDefault="002F1EE7" w:rsidP="00850D87">
      <w:pPr>
        <w:pStyle w:val="Bullet1G"/>
      </w:pPr>
      <w:r w:rsidRPr="00850D87">
        <w:t>Psychological counselling;</w:t>
      </w:r>
    </w:p>
    <w:p w14:paraId="1172632E" w14:textId="77777777" w:rsidR="002F1EE7" w:rsidRPr="00850D87" w:rsidRDefault="002F1EE7" w:rsidP="00850D87">
      <w:pPr>
        <w:pStyle w:val="Bullet1G"/>
      </w:pPr>
      <w:r w:rsidRPr="00850D87">
        <w:t>Food hampers;</w:t>
      </w:r>
    </w:p>
    <w:p w14:paraId="6C53A67D" w14:textId="77777777" w:rsidR="002F1EE7" w:rsidRPr="00850D87" w:rsidRDefault="002F1EE7" w:rsidP="00850D87">
      <w:pPr>
        <w:pStyle w:val="Bullet1G"/>
      </w:pPr>
      <w:r w:rsidRPr="00850D87">
        <w:t>Employment guidance: resume assistance and job referrals;</w:t>
      </w:r>
    </w:p>
    <w:p w14:paraId="6026EDE3" w14:textId="77777777" w:rsidR="002F1EE7" w:rsidRPr="00850D87" w:rsidRDefault="002F1EE7" w:rsidP="00850D87">
      <w:pPr>
        <w:pStyle w:val="Bullet1G"/>
      </w:pPr>
      <w:r w:rsidRPr="00850D87">
        <w:t>Life skills guidance: assistance opening bank accounts, language skills;</w:t>
      </w:r>
    </w:p>
    <w:p w14:paraId="50810DA2" w14:textId="77777777" w:rsidR="002F1EE7" w:rsidRPr="00850D87" w:rsidRDefault="002F1EE7" w:rsidP="00850D87">
      <w:pPr>
        <w:pStyle w:val="Bullet1G"/>
      </w:pPr>
      <w:r w:rsidRPr="00850D87">
        <w:t>Interpreting and translation;</w:t>
      </w:r>
    </w:p>
    <w:p w14:paraId="01F4D679" w14:textId="77777777" w:rsidR="002F1EE7" w:rsidRPr="00850D87" w:rsidRDefault="002F1EE7" w:rsidP="00850D87">
      <w:pPr>
        <w:pStyle w:val="Bullet1G"/>
      </w:pPr>
      <w:r w:rsidRPr="00850D87">
        <w:t xml:space="preserve">Voluntary repatriation; </w:t>
      </w:r>
    </w:p>
    <w:p w14:paraId="28D49289" w14:textId="77777777" w:rsidR="002F1EE7" w:rsidRPr="00850D87" w:rsidRDefault="002F1EE7" w:rsidP="00850D87">
      <w:pPr>
        <w:pStyle w:val="Bullet1G"/>
      </w:pPr>
      <w:r w:rsidRPr="00850D87">
        <w:t>Attendance at court virtually;</w:t>
      </w:r>
    </w:p>
    <w:p w14:paraId="7E065C8C" w14:textId="77777777" w:rsidR="002F1EE7" w:rsidRPr="00850D87" w:rsidRDefault="002F1EE7" w:rsidP="00850D87">
      <w:pPr>
        <w:pStyle w:val="Bullet1G"/>
      </w:pPr>
      <w:r w:rsidRPr="00850D87">
        <w:t xml:space="preserve">Assistance with registration of babies; </w:t>
      </w:r>
    </w:p>
    <w:p w14:paraId="55196257" w14:textId="77777777" w:rsidR="002F1EE7" w:rsidRPr="00850D87" w:rsidRDefault="002F1EE7" w:rsidP="00850D87">
      <w:pPr>
        <w:pStyle w:val="Bullet1G"/>
      </w:pPr>
      <w:r w:rsidRPr="00850D87">
        <w:t>Renewing of passports; and</w:t>
      </w:r>
    </w:p>
    <w:p w14:paraId="49DE8AA2" w14:textId="77777777" w:rsidR="002F1EE7" w:rsidRPr="00850D87" w:rsidRDefault="002F1EE7" w:rsidP="00850D87">
      <w:pPr>
        <w:pStyle w:val="Bullet1G"/>
      </w:pPr>
      <w:r w:rsidRPr="00850D87">
        <w:t>Financial Compensation as a victim of a crime under Schedule 1 of crimes in the Criminal Injuries Compensation Act, 21 1999. (Criminal Injuries Control Board, offences under the Trafficking in Persons Act are included in Schedule 1).</w:t>
      </w:r>
    </w:p>
    <w:p w14:paraId="3A990224" w14:textId="77777777" w:rsidR="002F1EE7" w:rsidRPr="002F1EE7" w:rsidRDefault="002F1EE7">
      <w:pPr>
        <w:pStyle w:val="SingleTxtG"/>
        <w:numPr>
          <w:ilvl w:val="0"/>
          <w:numId w:val="32"/>
        </w:numPr>
        <w:ind w:left="1134" w:firstLine="0"/>
        <w:rPr>
          <w:b/>
          <w:bCs/>
        </w:rPr>
      </w:pPr>
      <w:r w:rsidRPr="002F1EE7">
        <w:t>The GORTT, through various ministries have embarked upon the establishment and operationalisation of shelters for both adults and child survivors of trafficking.  Particularly the Ministry of Social Development and Family Services (MSDFS) in the case of the former and the Gender Affairs Division in the case of the latter.</w:t>
      </w:r>
    </w:p>
    <w:p w14:paraId="19488796" w14:textId="77777777" w:rsidR="002F1EE7" w:rsidRPr="002F1EE7" w:rsidRDefault="002F1EE7">
      <w:pPr>
        <w:pStyle w:val="SingleTxtG"/>
        <w:numPr>
          <w:ilvl w:val="0"/>
          <w:numId w:val="32"/>
        </w:numPr>
        <w:ind w:left="1134" w:firstLine="0"/>
        <w:rPr>
          <w:b/>
          <w:bCs/>
        </w:rPr>
      </w:pPr>
      <w:r w:rsidRPr="002F1EE7">
        <w:t xml:space="preserve"> A key project identified by the MSDFS, in keeping with the National Plan of Action Against Trafficking in Persons, is the operationalisation of the Couva Transitional Facility for Victims of Trafficking. This facility is intended to provide emergency shelter for migrant women who are VOTs. The facility will cater to approximately 20 women between the ages of 18-54 years who are VOTs. Clients will be referred through the Counter Trafficking Unit (CTU) of the Ministry of National Security; while case management will be facilitated by the National Family Services Division (NFSD) of the MSDFS. It is anticipated that a suitable NGO operator will be selected to manage and operate the facility which will provide temporary accommodation and counselling. </w:t>
      </w:r>
    </w:p>
    <w:p w14:paraId="4E4453C4" w14:textId="77777777" w:rsidR="002F1EE7" w:rsidRPr="002F1EE7" w:rsidRDefault="002F1EE7">
      <w:pPr>
        <w:pStyle w:val="SingleTxtG"/>
        <w:numPr>
          <w:ilvl w:val="0"/>
          <w:numId w:val="32"/>
        </w:numPr>
        <w:ind w:left="1134" w:firstLine="0"/>
      </w:pPr>
      <w:r w:rsidRPr="002F1EE7">
        <w:t>Additionally, 10 social workers attached to NFSD were trained to conduct social assessments for victims of human trafficking at the request of the CTU.</w:t>
      </w:r>
    </w:p>
    <w:p w14:paraId="0FB61872" w14:textId="77777777" w:rsidR="002F1EE7" w:rsidRPr="00A35274" w:rsidRDefault="002F1EE7">
      <w:pPr>
        <w:pStyle w:val="SingleTxtG"/>
        <w:numPr>
          <w:ilvl w:val="0"/>
          <w:numId w:val="32"/>
        </w:numPr>
        <w:ind w:left="1134" w:firstLine="0"/>
      </w:pPr>
      <w:r w:rsidRPr="00A35274">
        <w:lastRenderedPageBreak/>
        <w:t xml:space="preserve">Further, the MSDFS has also drafted a Manual on Victims of Human Trafficking for Social Services Providers in collaboration with key stakeholder ministries and agencies. The Manual provides comprehensive information on the importance of adopting a victim- centred approach.  As such, the victims’ need for care and protection; appropriate agencies to contact; other basic needs such as food, clothing and shelter; the need for legal representation; the repatriation and reintegration of the victim. Further, the role and importance of collaboration and cooperation between law enforcement, other government agencies and NGO service providers and referral international bodies for victims is also included. In 2022, the MSDFS submitted the Manual to Cabinet for its approval. </w:t>
      </w:r>
    </w:p>
    <w:p w14:paraId="1204D29A" w14:textId="77777777" w:rsidR="002F1EE7" w:rsidRPr="002F1EE7" w:rsidRDefault="002F1EE7">
      <w:pPr>
        <w:pStyle w:val="SingleTxtG"/>
        <w:numPr>
          <w:ilvl w:val="0"/>
          <w:numId w:val="32"/>
        </w:numPr>
        <w:ind w:left="1134" w:firstLine="0"/>
      </w:pPr>
      <w:r w:rsidRPr="002F1EE7">
        <w:t xml:space="preserve">The MSDFS also provides subventions to 2 NGOs for the purpose of counselling for victims of rape and all forms of sexual violence. These services are provided by the Rape Crisis Society of Trinidad and Tobago (RCSTT) and the Family Planning Association of Trinidad and Tobago (FPATT) and include psycho-social support and clinical interventions for sexual health testing. Notably, women are able to receive the services at a subsidized cost or no cost. Furthermore, both the RCSTT and FPATT offer bi-lingual counselling services for the migrant population. </w:t>
      </w:r>
    </w:p>
    <w:p w14:paraId="2A8761C0" w14:textId="77777777" w:rsidR="002F1EE7" w:rsidRPr="002F1EE7" w:rsidRDefault="002F1EE7">
      <w:pPr>
        <w:pStyle w:val="SingleTxtG"/>
        <w:numPr>
          <w:ilvl w:val="0"/>
          <w:numId w:val="32"/>
        </w:numPr>
        <w:ind w:left="1134" w:firstLine="0"/>
      </w:pPr>
      <w:r w:rsidRPr="002F1EE7">
        <w:t>Additionally, the MSDFS in collaboration with the United Nations Population Fund and the Coalition Against Domestic Violence collaborated on an “</w:t>
      </w:r>
      <w:r w:rsidRPr="002F1EE7">
        <w:rPr>
          <w:i/>
          <w:iCs/>
        </w:rPr>
        <w:t>Assessment of the Case Management Services for gender-based violence survivors in Trinidad and Tobago</w:t>
      </w:r>
      <w:r w:rsidRPr="002F1EE7">
        <w:t xml:space="preserve">.” This resulted in the development of standard operating procedure for Gender Based Violence Case Management for Domestic Violence Survivors. </w:t>
      </w:r>
    </w:p>
    <w:p w14:paraId="5C2365C5" w14:textId="77777777" w:rsidR="002F1EE7" w:rsidRPr="00A35274" w:rsidRDefault="002F1EE7">
      <w:pPr>
        <w:pStyle w:val="SingleTxtG"/>
        <w:numPr>
          <w:ilvl w:val="0"/>
          <w:numId w:val="32"/>
        </w:numPr>
        <w:ind w:left="1134" w:firstLine="0"/>
        <w:rPr>
          <w:lang w:val="en-TT"/>
        </w:rPr>
      </w:pPr>
      <w:r w:rsidRPr="002F1EE7">
        <w:t xml:space="preserve"> Regarding child victims, the </w:t>
      </w:r>
      <w:r w:rsidRPr="002F1EE7">
        <w:rPr>
          <w:lang w:val="en-TT"/>
        </w:rPr>
        <w:t xml:space="preserve">Children’s Authority of Trinidad and Tobago plays an instrumental role in providing protection, in accordance with </w:t>
      </w:r>
      <w:r w:rsidRPr="00A35274">
        <w:rPr>
          <w:lang w:val="en-TT"/>
        </w:rPr>
        <w:t>Section 44 the TiPs Act.</w:t>
      </w:r>
    </w:p>
    <w:p w14:paraId="17FBF732" w14:textId="77777777" w:rsidR="002F1EE7" w:rsidRPr="002F1EE7" w:rsidRDefault="002F1EE7">
      <w:pPr>
        <w:pStyle w:val="SingleTxtG"/>
        <w:numPr>
          <w:ilvl w:val="0"/>
          <w:numId w:val="32"/>
        </w:numPr>
        <w:ind w:left="1134" w:firstLine="0"/>
        <w:rPr>
          <w:lang w:val="en-TT"/>
        </w:rPr>
      </w:pPr>
      <w:r w:rsidRPr="002F1EE7">
        <w:rPr>
          <w:lang w:val="en-TT"/>
        </w:rPr>
        <w:t xml:space="preserve">The Gender and Child </w:t>
      </w:r>
      <w:r w:rsidRPr="005E1C13">
        <w:t>Affairs</w:t>
      </w:r>
      <w:r w:rsidRPr="002F1EE7">
        <w:rPr>
          <w:lang w:val="en-TT"/>
        </w:rPr>
        <w:t xml:space="preserve"> Division (GCAD) also plays a pivotal role in protection of child victims. Children who are VOTs were placed in the care of St. Jude’s School for Girls. Arising out of concerns about the conditions at this location, the GCA established and operationalised the Transition Home for Migrant Girls, an off-site facility managed by St. Jude’s School for Girls. This offered relevant, needs-based programming for children who are victims of human trafficking and witnesses in police matters. Through this intervention, basic needs such as foods, clothing, medication, medical expenses, transportation and recreation are borne by the State. Since 2022, bi-lingual case management services have been made available. Those services include monitoring, psychosocial interventions, Spanish speaking psychologists provided by the IOM and Families in Action; and referrals to other essential resources. With the relocation of the St. Jude’s School for Girls to a new facility, the migrant girls were reintegrated but are separately accommodated. </w:t>
      </w:r>
    </w:p>
    <w:p w14:paraId="18636E0A" w14:textId="77777777" w:rsidR="002F1EE7" w:rsidRPr="002F1EE7" w:rsidRDefault="002F1EE7">
      <w:pPr>
        <w:pStyle w:val="SingleTxtG"/>
        <w:numPr>
          <w:ilvl w:val="0"/>
          <w:numId w:val="32"/>
        </w:numPr>
        <w:ind w:left="1134" w:firstLine="0"/>
        <w:rPr>
          <w:lang w:val="en-TT"/>
        </w:rPr>
      </w:pPr>
      <w:r w:rsidRPr="002F1EE7">
        <w:rPr>
          <w:lang w:val="en-TT"/>
        </w:rPr>
        <w:t xml:space="preserve">The provision of services for migrant girls has strengthened the National Child Protection system by alleviating the burden of care for migrant children, with particular needs, alongside local Wards of the State. The Home also provides the undermentioned basic education service for migrant children, in </w:t>
      </w:r>
      <w:r w:rsidRPr="005E1C13">
        <w:t>support</w:t>
      </w:r>
      <w:r w:rsidRPr="002F1EE7">
        <w:rPr>
          <w:lang w:val="en-TT"/>
        </w:rPr>
        <w:t xml:space="preserve"> of their development and training needs:</w:t>
      </w:r>
    </w:p>
    <w:p w14:paraId="39813A58" w14:textId="77777777" w:rsidR="002F1EE7" w:rsidRPr="00E031E1" w:rsidRDefault="002F1EE7" w:rsidP="00E031E1">
      <w:pPr>
        <w:pStyle w:val="Bullet1G"/>
      </w:pPr>
      <w:r w:rsidRPr="00E031E1">
        <w:t>Tutoring in English language;</w:t>
      </w:r>
    </w:p>
    <w:p w14:paraId="2DA80B1A" w14:textId="5A11643E" w:rsidR="002F1EE7" w:rsidRPr="00E031E1" w:rsidRDefault="002F1EE7" w:rsidP="00E031E1">
      <w:pPr>
        <w:pStyle w:val="Bullet1G"/>
      </w:pPr>
      <w:r w:rsidRPr="00E031E1">
        <w:t>Facilitating them with opportunities</w:t>
      </w:r>
      <w:r w:rsidR="00E031E1">
        <w:t>;</w:t>
      </w:r>
    </w:p>
    <w:p w14:paraId="22BEA2B6" w14:textId="77777777" w:rsidR="002F1EE7" w:rsidRPr="00E031E1" w:rsidRDefault="002F1EE7" w:rsidP="00E031E1">
      <w:pPr>
        <w:pStyle w:val="Bullet1G"/>
      </w:pPr>
      <w:r w:rsidRPr="00E031E1">
        <w:t>To complete secondary school level examinations that would conclude studies which have started in Venezuela;</w:t>
      </w:r>
    </w:p>
    <w:p w14:paraId="0674F7CA" w14:textId="77777777" w:rsidR="002F1EE7" w:rsidRPr="00E031E1" w:rsidRDefault="002F1EE7" w:rsidP="00E031E1">
      <w:pPr>
        <w:pStyle w:val="Bullet1G"/>
      </w:pPr>
      <w:r w:rsidRPr="00E031E1">
        <w:t>To engage in art, dance, sports and/or drama classes which serve both therapeutic and recreational needs; and</w:t>
      </w:r>
    </w:p>
    <w:p w14:paraId="5052A16D" w14:textId="77777777" w:rsidR="002F1EE7" w:rsidRPr="00E031E1" w:rsidRDefault="002F1EE7" w:rsidP="00E031E1">
      <w:pPr>
        <w:pStyle w:val="Bullet1G"/>
      </w:pPr>
      <w:r w:rsidRPr="00E031E1">
        <w:t>To access vocational training.</w:t>
      </w:r>
    </w:p>
    <w:p w14:paraId="7B076F80" w14:textId="77777777" w:rsidR="002F1EE7" w:rsidRPr="002F1EE7" w:rsidRDefault="002F1EE7">
      <w:pPr>
        <w:pStyle w:val="SingleTxtG"/>
        <w:numPr>
          <w:ilvl w:val="0"/>
          <w:numId w:val="32"/>
        </w:numPr>
        <w:ind w:left="1134" w:firstLine="0"/>
        <w:rPr>
          <w:lang w:val="en-TT"/>
        </w:rPr>
      </w:pPr>
      <w:r w:rsidRPr="002F1EE7">
        <w:rPr>
          <w:lang w:val="en-TT"/>
        </w:rPr>
        <w:t xml:space="preserve">Additionally, instances where other foreign language speakers have been identified as survivors of trafficking, a number of remedies and </w:t>
      </w:r>
      <w:r w:rsidRPr="005E1C13">
        <w:t>protection</w:t>
      </w:r>
      <w:r w:rsidRPr="002F1EE7">
        <w:rPr>
          <w:lang w:val="en-TT"/>
        </w:rPr>
        <w:t xml:space="preserve"> measures are utilized, in the best interests of the child.</w:t>
      </w:r>
    </w:p>
    <w:p w14:paraId="2527B4B0" w14:textId="77777777" w:rsidR="002F1EE7" w:rsidRPr="002F1EE7" w:rsidRDefault="002F1EE7">
      <w:pPr>
        <w:pStyle w:val="SingleTxtG"/>
        <w:numPr>
          <w:ilvl w:val="0"/>
          <w:numId w:val="32"/>
        </w:numPr>
        <w:ind w:left="1134" w:firstLine="0"/>
        <w:rPr>
          <w:lang w:val="en-TT"/>
        </w:rPr>
      </w:pPr>
      <w:r w:rsidRPr="002F1EE7">
        <w:rPr>
          <w:lang w:val="en-TT"/>
        </w:rPr>
        <w:t xml:space="preserve">Regarding legal services, where a child has been identified as a potential survivor of trafficking, the Children’s Authority files a Wardship application, which is the legal framework from which their care and protection will flow. These proceedings are heard in </w:t>
      </w:r>
      <w:r w:rsidRPr="002F1EE7">
        <w:rPr>
          <w:lang w:val="en-TT"/>
        </w:rPr>
        <w:lastRenderedPageBreak/>
        <w:t>the Family and Children Division’s Children Court and all information regarding the child are sealed to protect their privacy.</w:t>
      </w:r>
    </w:p>
    <w:p w14:paraId="0DF18685" w14:textId="77777777" w:rsidR="002F1EE7" w:rsidRPr="002F1EE7" w:rsidRDefault="002F1EE7">
      <w:pPr>
        <w:pStyle w:val="SingleTxtG"/>
        <w:numPr>
          <w:ilvl w:val="0"/>
          <w:numId w:val="32"/>
        </w:numPr>
        <w:ind w:left="1134" w:firstLine="0"/>
        <w:rPr>
          <w:lang w:val="en-TT"/>
        </w:rPr>
      </w:pPr>
      <w:r w:rsidRPr="002F1EE7">
        <w:rPr>
          <w:lang w:val="en-TT"/>
        </w:rPr>
        <w:t xml:space="preserve">The United States Agency for International Development (USAID) partnered with the IOM Port-Of-Spain’s office to support migrant girls in Trinidad and Tobago by providing fifteen (15) laptops and other vocational items valued at approximately US$10,000.00. </w:t>
      </w:r>
    </w:p>
    <w:p w14:paraId="094B3E21" w14:textId="77777777" w:rsidR="002F1EE7" w:rsidRPr="002F1EE7" w:rsidRDefault="002F1EE7">
      <w:pPr>
        <w:pStyle w:val="SingleTxtG"/>
        <w:numPr>
          <w:ilvl w:val="0"/>
          <w:numId w:val="32"/>
        </w:numPr>
        <w:ind w:left="1134" w:firstLine="0"/>
      </w:pPr>
      <w:r w:rsidRPr="002F1EE7">
        <w:rPr>
          <w:lang w:val="en-TT"/>
        </w:rPr>
        <w:t xml:space="preserve">Further, USAID in collaboration with IOM POS and GORTT, launched the </w:t>
      </w:r>
      <w:r w:rsidRPr="00E031E1">
        <w:t xml:space="preserve">Heal, Empower Rise Counter Trafficking in Persons (HER CTIP) Project </w:t>
      </w:r>
      <w:r w:rsidRPr="002F1EE7">
        <w:t>to fortify the victim support framework in Trinidad and Tobago. The objective is to support the establishment of six residential facilities across the country to provide accommodation to survivors of trafficking. Support encompasses technical and infrastructural assistance, facilitating improved access to essential support services for potential, presumed, and confirmed trafficking victims, particularly women and girls.</w:t>
      </w:r>
    </w:p>
    <w:p w14:paraId="2C072D13" w14:textId="77777777" w:rsidR="002F1EE7" w:rsidRPr="002F1EE7" w:rsidRDefault="002F1EE7">
      <w:pPr>
        <w:pStyle w:val="SingleTxtG"/>
        <w:numPr>
          <w:ilvl w:val="0"/>
          <w:numId w:val="32"/>
        </w:numPr>
        <w:ind w:left="1134" w:firstLine="0"/>
      </w:pPr>
      <w:r w:rsidRPr="002F1EE7">
        <w:t xml:space="preserve">With a total budget of US$950,000.00, the HER CTIP Project also aims to provide in-person and online learning and livelihood training to young VOTs under 18 years. These services will be offered across various facilities in Trinidad and Tobago, enabling survivors to rebuild their lives effectively. </w:t>
      </w:r>
    </w:p>
    <w:p w14:paraId="317B33DB" w14:textId="4418A2F5" w:rsidR="002F1EE7" w:rsidRPr="002F1EE7" w:rsidRDefault="0037199F" w:rsidP="0037199F">
      <w:pPr>
        <w:pStyle w:val="H23G"/>
      </w:pPr>
      <w:r>
        <w:tab/>
      </w:r>
      <w:r>
        <w:tab/>
      </w:r>
      <w:r w:rsidR="002F1EE7" w:rsidRPr="002F1EE7">
        <w:t>Awareness-raising programmes to encourage reporting of trafficking offences</w:t>
      </w:r>
    </w:p>
    <w:p w14:paraId="5E8132B2" w14:textId="77777777" w:rsidR="002F1EE7" w:rsidRPr="002F1EE7" w:rsidRDefault="002F1EE7">
      <w:pPr>
        <w:pStyle w:val="SingleTxtG"/>
        <w:numPr>
          <w:ilvl w:val="0"/>
          <w:numId w:val="32"/>
        </w:numPr>
        <w:ind w:left="1134" w:firstLine="0"/>
      </w:pPr>
      <w:r w:rsidRPr="002F1EE7">
        <w:t>In line with the CTU's public education mandate, the unit provides training to stakeholders, partners, and collaborates with local, regional, and international organizations, NGOs, churches, faith-based organizations, and the media to educate and raise awareness about recognizing human trafficking.</w:t>
      </w:r>
    </w:p>
    <w:p w14:paraId="3CAE1486" w14:textId="77777777" w:rsidR="002F1EE7" w:rsidRPr="002F1EE7" w:rsidRDefault="002F1EE7">
      <w:pPr>
        <w:pStyle w:val="SingleTxtG"/>
        <w:numPr>
          <w:ilvl w:val="0"/>
          <w:numId w:val="32"/>
        </w:numPr>
        <w:ind w:left="1134" w:firstLine="0"/>
      </w:pPr>
      <w:r w:rsidRPr="002F1EE7">
        <w:t xml:space="preserve">Notably, in 2019, a collaborative effort between the GAD and the CTU resulted in the launch of </w:t>
      </w:r>
      <w:r w:rsidRPr="0037199F">
        <w:t>Project Safeguarding and Rescuing All Humans from Trafficking (SARAH).</w:t>
      </w:r>
      <w:r w:rsidRPr="002F1EE7">
        <w:t xml:space="preserve"> The programme aims to raise awareness about the relationship between gender norms, stereotypes, and issues of human trafficking and sexual exploitation. It focuses on males aged 18 and older. CTU has since assumed responsibility for its continued implementation.</w:t>
      </w:r>
    </w:p>
    <w:p w14:paraId="6D58DB72" w14:textId="77777777" w:rsidR="002F1EE7" w:rsidRPr="002F1EE7" w:rsidRDefault="002F1EE7">
      <w:pPr>
        <w:pStyle w:val="SingleTxtG"/>
        <w:numPr>
          <w:ilvl w:val="0"/>
          <w:numId w:val="32"/>
        </w:numPr>
        <w:ind w:left="1134" w:firstLine="0"/>
      </w:pPr>
      <w:r w:rsidRPr="002F1EE7">
        <w:t>Throughout 2022, CTU conducted training programs aimed at equipping stakeholders with the expertise needed for effective screening of human trafficking indicators. Over 900 individuals participated in these sensitization sessions, receiving the necessary tools for preliminary screening of both nationals and non-nationals for trafficking indicators. Groups including, 400 Trinidad and Tobago Coast Guard Officers; Customs and Excise Officers; and over 90 representatives from Cooperative Credit Union League of Trinidad and Tobago. These sessions covered topics such as understanding human trafficking, identifying potential victims, self-protection measures, and reporting suspected cases.</w:t>
      </w:r>
    </w:p>
    <w:p w14:paraId="42B7B4C5" w14:textId="77777777" w:rsidR="002F1EE7" w:rsidRPr="002F1EE7" w:rsidRDefault="002F1EE7">
      <w:pPr>
        <w:pStyle w:val="SingleTxtG"/>
        <w:numPr>
          <w:ilvl w:val="0"/>
          <w:numId w:val="32"/>
        </w:numPr>
        <w:ind w:left="1134" w:firstLine="0"/>
      </w:pPr>
      <w:r w:rsidRPr="002F1EE7">
        <w:t xml:space="preserve">Further, the CTU also collaborated with the Curriculum Development Division of the Ministry of Education (MoE), to conduct a training session with sixty (60) officers. Public Service Announcements published by the CTU are now accessible through the MoE's LMS e-learning platform, allowing students and teachers engaged in online classes to view these educational videos. Sensitization sessions were also hosted with secondary school students. </w:t>
      </w:r>
    </w:p>
    <w:p w14:paraId="124DD7DC" w14:textId="77777777" w:rsidR="002F1EE7" w:rsidRPr="002F1EE7" w:rsidRDefault="002F1EE7">
      <w:pPr>
        <w:pStyle w:val="SingleTxtG"/>
        <w:numPr>
          <w:ilvl w:val="0"/>
          <w:numId w:val="32"/>
        </w:numPr>
        <w:ind w:left="1134" w:firstLine="0"/>
      </w:pPr>
      <w:r w:rsidRPr="002F1EE7">
        <w:t>Sensitization sessions were also conducted with the Children’s Authority, involving 137 individuals. Participants included the Investigations and Interventions Unit, the Licensing and Monitoring Unit, the Child Support Centre, the Child Justice Unit, and the Adoption Unit.</w:t>
      </w:r>
    </w:p>
    <w:p w14:paraId="04DC46FA" w14:textId="77777777" w:rsidR="002F1EE7" w:rsidRPr="002F1EE7" w:rsidRDefault="002F1EE7">
      <w:pPr>
        <w:pStyle w:val="SingleTxtG"/>
        <w:numPr>
          <w:ilvl w:val="0"/>
          <w:numId w:val="32"/>
        </w:numPr>
        <w:ind w:left="1134" w:firstLine="0"/>
      </w:pPr>
      <w:r w:rsidRPr="002F1EE7">
        <w:t>The government conducted a series of awareness campaigns on both sex and labour trafficking, targeting children and the general public. These efforts utilized various platforms such as social media, airport advertisements, billboard ads, and the promotion of the hotline through flyers distributed in cinemas. Movies about trafficking were screened at law and immigration services on local television stations, aligned with World Day against Trafficking. The Ministry of Labour produced videos and a radio ad addressing labour trafficking and conducted outreach in schools, summer camps, and community councils to discuss child labour trafficking. Cases of forced labour were referred to the labour inspectorate for investigation, with the inspectorate engaging employers about unpaid wages.</w:t>
      </w:r>
    </w:p>
    <w:p w14:paraId="18E69084" w14:textId="046046DA" w:rsidR="002F1EE7" w:rsidRPr="002F1EE7" w:rsidRDefault="0037199F" w:rsidP="0037199F">
      <w:pPr>
        <w:pStyle w:val="H23G"/>
      </w:pPr>
      <w:r>
        <w:lastRenderedPageBreak/>
        <w:tab/>
      </w:r>
      <w:r>
        <w:tab/>
      </w:r>
      <w:r w:rsidR="002F1EE7" w:rsidRPr="002F1EE7">
        <w:t>Establish and provide adequate resources for specialized units to assist VOTs within shelters</w:t>
      </w:r>
    </w:p>
    <w:p w14:paraId="6042E547" w14:textId="77777777" w:rsidR="002F1EE7" w:rsidRPr="002F1EE7" w:rsidRDefault="002F1EE7">
      <w:pPr>
        <w:pStyle w:val="SingleTxtG"/>
        <w:numPr>
          <w:ilvl w:val="0"/>
          <w:numId w:val="32"/>
        </w:numPr>
        <w:ind w:left="1134" w:firstLine="0"/>
      </w:pPr>
      <w:r w:rsidRPr="002F1EE7">
        <w:t>The Counter Trafficking Unit (CTU), has the mandate of treating with victims of human trafficking.</w:t>
      </w:r>
      <w:r w:rsidRPr="002F1EE7">
        <w:rPr>
          <w:b/>
          <w:bCs/>
        </w:rPr>
        <w:t xml:space="preserve"> </w:t>
      </w:r>
      <w:r w:rsidRPr="002F1EE7">
        <w:t xml:space="preserve"> The CTU focuses on effective identification of victims and witnesses, prevention of trafficking, protection, and prosecution, all through effective partnerships. The CTU conducts screenings and interviews to identify potential victims of trafficking (VOTs). Victims are then referred to appropriate agencies for support and care. Specially trained and positively vetted police officers within the CTU gather evidence, investigate, and prosecute cases of human trafficking.</w:t>
      </w:r>
    </w:p>
    <w:p w14:paraId="446D3085" w14:textId="77777777" w:rsidR="002F1EE7" w:rsidRPr="002F1EE7" w:rsidRDefault="002F1EE7">
      <w:pPr>
        <w:pStyle w:val="SingleTxtG"/>
        <w:numPr>
          <w:ilvl w:val="0"/>
          <w:numId w:val="32"/>
        </w:numPr>
        <w:ind w:left="1134" w:firstLine="0"/>
      </w:pPr>
      <w:r w:rsidRPr="002F1EE7">
        <w:t>As aforementioned, the multi-stakeholder, National Task Force against Trafficking in Persons collaborates with the CTU on anti-trafficking initiatives, including the provision of assistance to VOTs in shelters as detailed in (A) above.</w:t>
      </w:r>
    </w:p>
    <w:p w14:paraId="7A37EF44" w14:textId="77777777" w:rsidR="002F1EE7" w:rsidRPr="002F1EE7" w:rsidRDefault="002F1EE7">
      <w:pPr>
        <w:pStyle w:val="SingleTxtG"/>
        <w:numPr>
          <w:ilvl w:val="0"/>
          <w:numId w:val="32"/>
        </w:numPr>
        <w:ind w:left="1134" w:firstLine="0"/>
      </w:pPr>
      <w:r w:rsidRPr="002F1EE7">
        <w:t xml:space="preserve">The GAD also provides resources for organizations which provide assistance to women and girls who are victims of trafficking within existing shelters. </w:t>
      </w:r>
    </w:p>
    <w:p w14:paraId="76D4848B" w14:textId="27811B3E" w:rsidR="002F1EE7" w:rsidRPr="002F1EE7" w:rsidRDefault="0037199F" w:rsidP="0037199F">
      <w:pPr>
        <w:pStyle w:val="H23G"/>
      </w:pPr>
      <w:r>
        <w:tab/>
      </w:r>
      <w:r>
        <w:tab/>
      </w:r>
      <w:r w:rsidR="002F1EE7" w:rsidRPr="002F1EE7">
        <w:t>Enforcement of anti-trafficking legislation</w:t>
      </w:r>
    </w:p>
    <w:p w14:paraId="51EDC8EC" w14:textId="77777777" w:rsidR="002F1EE7" w:rsidRPr="002F1EE7" w:rsidRDefault="002F1EE7">
      <w:pPr>
        <w:pStyle w:val="SingleTxtG"/>
        <w:numPr>
          <w:ilvl w:val="0"/>
          <w:numId w:val="32"/>
        </w:numPr>
        <w:ind w:left="1134" w:firstLine="0"/>
      </w:pPr>
      <w:r w:rsidRPr="002F1EE7">
        <w:t xml:space="preserve">The Counter-Trafficking Unit (CTU) is responsible for enforcement of anti-trafficking legislation by investigating, prosecuting and punishing perpetrators. </w:t>
      </w:r>
      <w:r w:rsidRPr="002F1EE7">
        <w:rPr>
          <w:lang w:val="en-US"/>
        </w:rPr>
        <w:t>On Thursday 4</w:t>
      </w:r>
      <w:r w:rsidRPr="002F1EE7">
        <w:rPr>
          <w:vertAlign w:val="superscript"/>
          <w:lang w:val="en-US"/>
        </w:rPr>
        <w:t>th</w:t>
      </w:r>
      <w:r w:rsidRPr="002F1EE7">
        <w:rPr>
          <w:lang w:val="en-US"/>
        </w:rPr>
        <w:t xml:space="preserve"> November 2023 Anthony Michael Smith was convicted of five (5) counts of Trafficking of a child for the purpose of sexual exploitation. He was sentenced to 15 years for each count to be served concurrently. The CTU continues to investigate all reports of trafficking with a view of proffering charges against perpetrators of this crime. </w:t>
      </w:r>
    </w:p>
    <w:p w14:paraId="3E1945D5" w14:textId="323EB153" w:rsidR="002F1EE7" w:rsidRPr="002F1EE7" w:rsidRDefault="0037199F" w:rsidP="0037199F">
      <w:pPr>
        <w:pStyle w:val="H23G"/>
      </w:pPr>
      <w:r>
        <w:tab/>
      </w:r>
      <w:r>
        <w:tab/>
      </w:r>
      <w:r w:rsidR="002F1EE7" w:rsidRPr="002F1EE7">
        <w:t>Rehabilitation and reintegration opportunities for women and girls</w:t>
      </w:r>
    </w:p>
    <w:p w14:paraId="6A98C37C" w14:textId="77777777" w:rsidR="002F1EE7" w:rsidRPr="002F1EE7" w:rsidRDefault="002F1EE7">
      <w:pPr>
        <w:pStyle w:val="SingleTxtG"/>
        <w:numPr>
          <w:ilvl w:val="0"/>
          <w:numId w:val="32"/>
        </w:numPr>
        <w:ind w:left="1134" w:firstLine="0"/>
      </w:pPr>
      <w:r w:rsidRPr="002F1EE7">
        <w:t>To-date, the GORTT has provided assistance to victims of sexual exploitation and labour trafficking in the form of medical care; accommodation; basic necessities for adults; language classes and life skills training; psychosocial support; pre-natal care and parenting classes; support for family members; access to social workers; interpretation and translation services; drug rehabilitation; pandemic response support; and passport support. These measures are implemented in partnership with NGOs and international organisations geared primarily towards comprehensive care support and alternative forms of livelihood for victims of sex trafficking and sexual exploitation. </w:t>
      </w:r>
    </w:p>
    <w:p w14:paraId="1900AE2E" w14:textId="0FB5313C" w:rsidR="002F1EE7" w:rsidRPr="002F1EE7" w:rsidRDefault="0037199F" w:rsidP="0037199F">
      <w:pPr>
        <w:pStyle w:val="H23G"/>
      </w:pPr>
      <w:r>
        <w:tab/>
      </w:r>
      <w:r>
        <w:tab/>
      </w:r>
      <w:r w:rsidR="002F1EE7" w:rsidRPr="002F1EE7">
        <w:t>Bilateral, Regional and International cooperation on trafficking</w:t>
      </w:r>
    </w:p>
    <w:p w14:paraId="4A26D801" w14:textId="77777777" w:rsidR="002F1EE7" w:rsidRPr="002F1EE7" w:rsidRDefault="002F1EE7">
      <w:pPr>
        <w:pStyle w:val="SingleTxtG"/>
        <w:numPr>
          <w:ilvl w:val="0"/>
          <w:numId w:val="32"/>
        </w:numPr>
        <w:ind w:left="1134" w:firstLine="0"/>
      </w:pPr>
      <w:r w:rsidRPr="002F1EE7">
        <w:t xml:space="preserve">The CTU continues to engage in bilateral, regional and international agreements aimed at countering trafficking. During the period 22 May – 26 May 2023, the CTU embarked on 4 coordinated operations within the jurisdiction of Trinidad and Tobago with representatives from several international organisations including CARICOM IMPACS, INTERPOL, IOM, and UNODC among others. This resulted in the arrest of several suspected traffickers who were identified during earlier investigations. </w:t>
      </w:r>
    </w:p>
    <w:p w14:paraId="6A174C6C" w14:textId="77777777" w:rsidR="002F1EE7" w:rsidRPr="002F1EE7" w:rsidRDefault="002F1EE7">
      <w:pPr>
        <w:pStyle w:val="SingleTxtG"/>
        <w:numPr>
          <w:ilvl w:val="0"/>
          <w:numId w:val="32"/>
        </w:numPr>
        <w:ind w:left="1134" w:firstLine="0"/>
        <w:rPr>
          <w:b/>
          <w:bCs/>
          <w:u w:val="single"/>
        </w:rPr>
      </w:pPr>
      <w:r w:rsidRPr="002F1EE7">
        <w:t xml:space="preserve">Additionally, during the period 28 November – 01 December 2023, the CTU through a coordinated effort with INTERPOL undertook an operation that resulted in a major Human Trafficking/Child Prostitution ring being uncovered in the island of Tobago where 3 Latin American female minors were rescued and 3 foreign national (2 Dominican Republican females and 1 male Colombian) suspects were arrested. They were all subsequently charged for offences under the Trafficking in Persons Act and the Children’s Act and have since been remanded without bail. </w:t>
      </w:r>
    </w:p>
    <w:p w14:paraId="7AAB754A" w14:textId="44A1BA8E" w:rsidR="002F1EE7" w:rsidRPr="002F1EE7" w:rsidRDefault="00F17946" w:rsidP="00F17946">
      <w:pPr>
        <w:pStyle w:val="H1G"/>
      </w:pPr>
      <w:r>
        <w:tab/>
      </w:r>
      <w:r>
        <w:tab/>
      </w:r>
      <w:r w:rsidR="002F1EE7" w:rsidRPr="002F1EE7">
        <w:t xml:space="preserve">Question 13 – Statistical data on Trafficking </w:t>
      </w:r>
    </w:p>
    <w:p w14:paraId="1EBF9F6E" w14:textId="77777777" w:rsidR="002F1EE7" w:rsidRPr="002F1EE7" w:rsidRDefault="002F1EE7" w:rsidP="00F17946">
      <w:pPr>
        <w:pStyle w:val="Heading1"/>
        <w:jc w:val="center"/>
      </w:pPr>
      <w:r w:rsidRPr="002F1EE7">
        <w:t>Table 2: showing trafficking statistics from 2016-2023</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0"/>
        <w:gridCol w:w="800"/>
        <w:gridCol w:w="800"/>
        <w:gridCol w:w="800"/>
        <w:gridCol w:w="800"/>
        <w:gridCol w:w="800"/>
        <w:gridCol w:w="800"/>
        <w:gridCol w:w="800"/>
        <w:gridCol w:w="800"/>
      </w:tblGrid>
      <w:tr w:rsidR="002F1EE7" w:rsidRPr="00F52247" w14:paraId="09CA444F" w14:textId="77777777" w:rsidTr="00F52247">
        <w:trPr>
          <w:tblHeader/>
        </w:trPr>
        <w:tc>
          <w:tcPr>
            <w:tcW w:w="1268" w:type="dxa"/>
            <w:tcBorders>
              <w:top w:val="single" w:sz="4" w:space="0" w:color="auto"/>
              <w:bottom w:val="single" w:sz="12" w:space="0" w:color="auto"/>
            </w:tcBorders>
            <w:vAlign w:val="bottom"/>
          </w:tcPr>
          <w:p w14:paraId="38540911"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left"/>
              <w:rPr>
                <w:i/>
                <w:sz w:val="16"/>
                <w:lang w:val="en-TT"/>
              </w:rPr>
            </w:pPr>
            <w:r w:rsidRPr="00F52247">
              <w:rPr>
                <w:i/>
                <w:sz w:val="16"/>
                <w:lang w:val="en-TT"/>
              </w:rPr>
              <w:t>Year</w:t>
            </w:r>
          </w:p>
        </w:tc>
        <w:tc>
          <w:tcPr>
            <w:tcW w:w="1045" w:type="dxa"/>
            <w:tcBorders>
              <w:top w:val="single" w:sz="4" w:space="0" w:color="auto"/>
              <w:bottom w:val="single" w:sz="12" w:space="0" w:color="auto"/>
            </w:tcBorders>
            <w:vAlign w:val="bottom"/>
          </w:tcPr>
          <w:p w14:paraId="0AEC9D4E"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2016</w:t>
            </w:r>
          </w:p>
        </w:tc>
        <w:tc>
          <w:tcPr>
            <w:tcW w:w="1045" w:type="dxa"/>
            <w:tcBorders>
              <w:top w:val="single" w:sz="4" w:space="0" w:color="auto"/>
              <w:bottom w:val="single" w:sz="12" w:space="0" w:color="auto"/>
            </w:tcBorders>
            <w:vAlign w:val="bottom"/>
          </w:tcPr>
          <w:p w14:paraId="325B81CB"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2017</w:t>
            </w:r>
          </w:p>
        </w:tc>
        <w:tc>
          <w:tcPr>
            <w:tcW w:w="1045" w:type="dxa"/>
            <w:tcBorders>
              <w:top w:val="single" w:sz="4" w:space="0" w:color="auto"/>
              <w:bottom w:val="single" w:sz="12" w:space="0" w:color="auto"/>
            </w:tcBorders>
            <w:vAlign w:val="bottom"/>
          </w:tcPr>
          <w:p w14:paraId="7B8F1505"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2018</w:t>
            </w:r>
          </w:p>
        </w:tc>
        <w:tc>
          <w:tcPr>
            <w:tcW w:w="1045" w:type="dxa"/>
            <w:tcBorders>
              <w:top w:val="single" w:sz="4" w:space="0" w:color="auto"/>
              <w:bottom w:val="single" w:sz="12" w:space="0" w:color="auto"/>
            </w:tcBorders>
            <w:vAlign w:val="bottom"/>
          </w:tcPr>
          <w:p w14:paraId="3B265D93"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2019</w:t>
            </w:r>
          </w:p>
        </w:tc>
        <w:tc>
          <w:tcPr>
            <w:tcW w:w="1045" w:type="dxa"/>
            <w:tcBorders>
              <w:top w:val="single" w:sz="4" w:space="0" w:color="auto"/>
              <w:bottom w:val="single" w:sz="12" w:space="0" w:color="auto"/>
            </w:tcBorders>
            <w:vAlign w:val="bottom"/>
          </w:tcPr>
          <w:p w14:paraId="49E09483"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2020</w:t>
            </w:r>
          </w:p>
        </w:tc>
        <w:tc>
          <w:tcPr>
            <w:tcW w:w="1045" w:type="dxa"/>
            <w:tcBorders>
              <w:top w:val="single" w:sz="4" w:space="0" w:color="auto"/>
              <w:bottom w:val="single" w:sz="12" w:space="0" w:color="auto"/>
            </w:tcBorders>
            <w:vAlign w:val="bottom"/>
          </w:tcPr>
          <w:p w14:paraId="47AE43B3"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2021</w:t>
            </w:r>
          </w:p>
        </w:tc>
        <w:tc>
          <w:tcPr>
            <w:tcW w:w="1045" w:type="dxa"/>
            <w:tcBorders>
              <w:top w:val="single" w:sz="4" w:space="0" w:color="auto"/>
              <w:bottom w:val="single" w:sz="12" w:space="0" w:color="auto"/>
            </w:tcBorders>
            <w:vAlign w:val="bottom"/>
          </w:tcPr>
          <w:p w14:paraId="03680944"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2022</w:t>
            </w:r>
          </w:p>
        </w:tc>
        <w:tc>
          <w:tcPr>
            <w:tcW w:w="1045" w:type="dxa"/>
            <w:tcBorders>
              <w:top w:val="single" w:sz="4" w:space="0" w:color="auto"/>
              <w:bottom w:val="single" w:sz="12" w:space="0" w:color="auto"/>
            </w:tcBorders>
            <w:vAlign w:val="bottom"/>
          </w:tcPr>
          <w:p w14:paraId="49382402" w14:textId="77777777" w:rsidR="002F1EE7" w:rsidRPr="00F52247" w:rsidRDefault="002F1EE7" w:rsidP="00F52247">
            <w:pPr>
              <w:pStyle w:val="SingleTxtG"/>
              <w:tabs>
                <w:tab w:val="clear" w:pos="1701"/>
                <w:tab w:val="clear" w:pos="2268"/>
                <w:tab w:val="clear" w:pos="2835"/>
              </w:tabs>
              <w:suppressAutoHyphens w:val="0"/>
              <w:spacing w:before="80" w:after="80" w:line="200" w:lineRule="exact"/>
              <w:ind w:left="0" w:right="0"/>
              <w:jc w:val="right"/>
              <w:rPr>
                <w:i/>
                <w:sz w:val="16"/>
                <w:lang w:val="en-TT"/>
              </w:rPr>
            </w:pPr>
            <w:r w:rsidRPr="00F52247">
              <w:rPr>
                <w:i/>
                <w:sz w:val="16"/>
                <w:lang w:val="en-TT"/>
              </w:rPr>
              <w:t>2023</w:t>
            </w:r>
          </w:p>
        </w:tc>
      </w:tr>
      <w:tr w:rsidR="002F1EE7" w:rsidRPr="00F52247" w14:paraId="2B58261D" w14:textId="77777777" w:rsidTr="00F52247">
        <w:tc>
          <w:tcPr>
            <w:tcW w:w="1268" w:type="dxa"/>
            <w:tcBorders>
              <w:top w:val="single" w:sz="12" w:space="0" w:color="auto"/>
            </w:tcBorders>
          </w:tcPr>
          <w:p w14:paraId="2FAB4D89"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left"/>
              <w:rPr>
                <w:sz w:val="18"/>
                <w:lang w:val="en-TT"/>
              </w:rPr>
            </w:pPr>
            <w:r w:rsidRPr="00F52247">
              <w:rPr>
                <w:sz w:val="18"/>
                <w:lang w:val="en-TT"/>
              </w:rPr>
              <w:t>Victims Identified</w:t>
            </w:r>
          </w:p>
        </w:tc>
        <w:tc>
          <w:tcPr>
            <w:tcW w:w="1045" w:type="dxa"/>
            <w:tcBorders>
              <w:top w:val="single" w:sz="12" w:space="0" w:color="auto"/>
            </w:tcBorders>
            <w:vAlign w:val="bottom"/>
          </w:tcPr>
          <w:p w14:paraId="59CA5B82"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13</w:t>
            </w:r>
          </w:p>
        </w:tc>
        <w:tc>
          <w:tcPr>
            <w:tcW w:w="1045" w:type="dxa"/>
            <w:tcBorders>
              <w:top w:val="single" w:sz="12" w:space="0" w:color="auto"/>
            </w:tcBorders>
            <w:vAlign w:val="bottom"/>
          </w:tcPr>
          <w:p w14:paraId="432562CB"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14</w:t>
            </w:r>
          </w:p>
        </w:tc>
        <w:tc>
          <w:tcPr>
            <w:tcW w:w="1045" w:type="dxa"/>
            <w:tcBorders>
              <w:top w:val="single" w:sz="12" w:space="0" w:color="auto"/>
            </w:tcBorders>
            <w:vAlign w:val="bottom"/>
          </w:tcPr>
          <w:p w14:paraId="0C4BD40D"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23</w:t>
            </w:r>
          </w:p>
        </w:tc>
        <w:tc>
          <w:tcPr>
            <w:tcW w:w="1045" w:type="dxa"/>
            <w:tcBorders>
              <w:top w:val="single" w:sz="12" w:space="0" w:color="auto"/>
            </w:tcBorders>
            <w:vAlign w:val="bottom"/>
          </w:tcPr>
          <w:p w14:paraId="5412A314"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41</w:t>
            </w:r>
          </w:p>
        </w:tc>
        <w:tc>
          <w:tcPr>
            <w:tcW w:w="1045" w:type="dxa"/>
            <w:tcBorders>
              <w:top w:val="single" w:sz="12" w:space="0" w:color="auto"/>
            </w:tcBorders>
            <w:vAlign w:val="bottom"/>
          </w:tcPr>
          <w:p w14:paraId="6A07247C"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9</w:t>
            </w:r>
          </w:p>
        </w:tc>
        <w:tc>
          <w:tcPr>
            <w:tcW w:w="1045" w:type="dxa"/>
            <w:tcBorders>
              <w:top w:val="single" w:sz="12" w:space="0" w:color="auto"/>
            </w:tcBorders>
            <w:vAlign w:val="bottom"/>
          </w:tcPr>
          <w:p w14:paraId="2F0F8A4E"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30</w:t>
            </w:r>
          </w:p>
        </w:tc>
        <w:tc>
          <w:tcPr>
            <w:tcW w:w="1045" w:type="dxa"/>
            <w:tcBorders>
              <w:top w:val="single" w:sz="12" w:space="0" w:color="auto"/>
            </w:tcBorders>
            <w:vAlign w:val="bottom"/>
          </w:tcPr>
          <w:p w14:paraId="0239A356"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15</w:t>
            </w:r>
          </w:p>
        </w:tc>
        <w:tc>
          <w:tcPr>
            <w:tcW w:w="1045" w:type="dxa"/>
            <w:tcBorders>
              <w:top w:val="single" w:sz="12" w:space="0" w:color="auto"/>
            </w:tcBorders>
            <w:vAlign w:val="bottom"/>
          </w:tcPr>
          <w:p w14:paraId="783BDB47"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34</w:t>
            </w:r>
          </w:p>
        </w:tc>
      </w:tr>
      <w:tr w:rsidR="002F1EE7" w:rsidRPr="00F52247" w14:paraId="1517BBAE" w14:textId="77777777" w:rsidTr="00F52247">
        <w:tc>
          <w:tcPr>
            <w:tcW w:w="1268" w:type="dxa"/>
          </w:tcPr>
          <w:p w14:paraId="6FBADF8E"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left"/>
              <w:rPr>
                <w:sz w:val="18"/>
                <w:lang w:val="en-TT"/>
              </w:rPr>
            </w:pPr>
            <w:r w:rsidRPr="00F52247">
              <w:rPr>
                <w:sz w:val="18"/>
                <w:lang w:val="en-TT"/>
              </w:rPr>
              <w:lastRenderedPageBreak/>
              <w:t>Cases Investigated</w:t>
            </w:r>
          </w:p>
        </w:tc>
        <w:tc>
          <w:tcPr>
            <w:tcW w:w="1045" w:type="dxa"/>
            <w:vAlign w:val="bottom"/>
          </w:tcPr>
          <w:p w14:paraId="6F1F2D30"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46</w:t>
            </w:r>
          </w:p>
        </w:tc>
        <w:tc>
          <w:tcPr>
            <w:tcW w:w="1045" w:type="dxa"/>
            <w:vAlign w:val="bottom"/>
          </w:tcPr>
          <w:p w14:paraId="1A158C24"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38</w:t>
            </w:r>
          </w:p>
        </w:tc>
        <w:tc>
          <w:tcPr>
            <w:tcW w:w="1045" w:type="dxa"/>
            <w:vAlign w:val="bottom"/>
          </w:tcPr>
          <w:p w14:paraId="47AE04BD"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31</w:t>
            </w:r>
          </w:p>
        </w:tc>
        <w:tc>
          <w:tcPr>
            <w:tcW w:w="1045" w:type="dxa"/>
            <w:vAlign w:val="bottom"/>
          </w:tcPr>
          <w:p w14:paraId="79F8A152"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23</w:t>
            </w:r>
          </w:p>
        </w:tc>
        <w:tc>
          <w:tcPr>
            <w:tcW w:w="1045" w:type="dxa"/>
            <w:vAlign w:val="bottom"/>
          </w:tcPr>
          <w:p w14:paraId="5251BEC0"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9</w:t>
            </w:r>
          </w:p>
        </w:tc>
        <w:tc>
          <w:tcPr>
            <w:tcW w:w="1045" w:type="dxa"/>
            <w:vAlign w:val="bottom"/>
          </w:tcPr>
          <w:p w14:paraId="250F9E3F"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29</w:t>
            </w:r>
          </w:p>
        </w:tc>
        <w:tc>
          <w:tcPr>
            <w:tcW w:w="1045" w:type="dxa"/>
            <w:vAlign w:val="bottom"/>
          </w:tcPr>
          <w:p w14:paraId="6336B033"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8</w:t>
            </w:r>
          </w:p>
        </w:tc>
        <w:tc>
          <w:tcPr>
            <w:tcW w:w="1045" w:type="dxa"/>
            <w:vAlign w:val="bottom"/>
          </w:tcPr>
          <w:p w14:paraId="44128226"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77</w:t>
            </w:r>
          </w:p>
        </w:tc>
      </w:tr>
      <w:tr w:rsidR="002F1EE7" w:rsidRPr="00F52247" w14:paraId="0D36E445" w14:textId="77777777" w:rsidTr="00F52247">
        <w:tc>
          <w:tcPr>
            <w:tcW w:w="1268" w:type="dxa"/>
            <w:tcBorders>
              <w:bottom w:val="single" w:sz="12" w:space="0" w:color="auto"/>
            </w:tcBorders>
          </w:tcPr>
          <w:p w14:paraId="4A87CDD0"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left"/>
              <w:rPr>
                <w:sz w:val="18"/>
                <w:lang w:val="en-TT"/>
              </w:rPr>
            </w:pPr>
            <w:r w:rsidRPr="00F52247">
              <w:rPr>
                <w:sz w:val="18"/>
                <w:lang w:val="en-TT"/>
              </w:rPr>
              <w:t>Convictions</w:t>
            </w:r>
          </w:p>
        </w:tc>
        <w:tc>
          <w:tcPr>
            <w:tcW w:w="1045" w:type="dxa"/>
            <w:tcBorders>
              <w:bottom w:val="single" w:sz="12" w:space="0" w:color="auto"/>
            </w:tcBorders>
            <w:vAlign w:val="bottom"/>
          </w:tcPr>
          <w:p w14:paraId="56EF88F7"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3E6654DB"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76D22953"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77885833"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44AC90E4"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2B3F581E"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38242FD8"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0</w:t>
            </w:r>
          </w:p>
        </w:tc>
        <w:tc>
          <w:tcPr>
            <w:tcW w:w="1045" w:type="dxa"/>
            <w:tcBorders>
              <w:bottom w:val="single" w:sz="12" w:space="0" w:color="auto"/>
            </w:tcBorders>
            <w:vAlign w:val="bottom"/>
          </w:tcPr>
          <w:p w14:paraId="5F4C4D1B" w14:textId="77777777" w:rsidR="002F1EE7" w:rsidRPr="00F52247" w:rsidRDefault="002F1EE7" w:rsidP="00F52247">
            <w:pPr>
              <w:pStyle w:val="SingleTxtG"/>
              <w:tabs>
                <w:tab w:val="clear" w:pos="1701"/>
                <w:tab w:val="clear" w:pos="2268"/>
                <w:tab w:val="clear" w:pos="2835"/>
              </w:tabs>
              <w:suppressAutoHyphens w:val="0"/>
              <w:spacing w:before="40" w:after="40" w:line="220" w:lineRule="exact"/>
              <w:ind w:left="0" w:right="0"/>
              <w:jc w:val="right"/>
              <w:rPr>
                <w:sz w:val="18"/>
                <w:lang w:val="en-TT"/>
              </w:rPr>
            </w:pPr>
            <w:r w:rsidRPr="00F52247">
              <w:rPr>
                <w:sz w:val="18"/>
                <w:lang w:val="en-TT"/>
              </w:rPr>
              <w:t>1</w:t>
            </w:r>
          </w:p>
        </w:tc>
      </w:tr>
    </w:tbl>
    <w:p w14:paraId="0DDFEE48" w14:textId="77777777" w:rsidR="002F1EE7" w:rsidRPr="002F1EE7" w:rsidRDefault="002F1EE7" w:rsidP="002F1EE7">
      <w:pPr>
        <w:pStyle w:val="SingleTxtG"/>
        <w:rPr>
          <w:i/>
          <w:iCs/>
          <w:lang w:val="en-TT"/>
        </w:rPr>
      </w:pPr>
      <w:r w:rsidRPr="002F1EE7">
        <w:rPr>
          <w:i/>
          <w:iCs/>
          <w:lang w:val="en-TT"/>
        </w:rPr>
        <w:t>Source: Counter-Trafficking Unit, Ministry of National Security</w:t>
      </w:r>
    </w:p>
    <w:p w14:paraId="385EC40D" w14:textId="46102D2B" w:rsidR="002F1EE7" w:rsidRPr="002F1EE7" w:rsidRDefault="000026F7" w:rsidP="000026F7">
      <w:pPr>
        <w:pStyle w:val="H1G"/>
      </w:pPr>
      <w:r>
        <w:tab/>
      </w:r>
      <w:r>
        <w:tab/>
      </w:r>
      <w:r w:rsidR="002F1EE7" w:rsidRPr="002F1EE7">
        <w:t>Question 14 – Participation in political and public life</w:t>
      </w:r>
    </w:p>
    <w:p w14:paraId="2693F6E6" w14:textId="77777777" w:rsidR="002F1EE7" w:rsidRPr="002F1EE7" w:rsidRDefault="002F1EE7">
      <w:pPr>
        <w:pStyle w:val="SingleTxtG"/>
        <w:numPr>
          <w:ilvl w:val="0"/>
          <w:numId w:val="32"/>
        </w:numPr>
        <w:ind w:left="1134" w:firstLine="0"/>
      </w:pPr>
      <w:r w:rsidRPr="002F1EE7">
        <w:t xml:space="preserve">Global research has indicated that women involved in politics serve to prioritize issues that affect other women, children and the society at large. The GORTT remains committed to increasing women’s overall participation in national leadership and decision making, and accelerating the achievement of gender equality and equity in political participation and representation of women in public life. </w:t>
      </w:r>
    </w:p>
    <w:p w14:paraId="0E67F20B" w14:textId="77777777" w:rsidR="002F1EE7" w:rsidRPr="002F1EE7" w:rsidRDefault="002F1EE7">
      <w:pPr>
        <w:pStyle w:val="SingleTxtG"/>
        <w:numPr>
          <w:ilvl w:val="0"/>
          <w:numId w:val="32"/>
        </w:numPr>
        <w:ind w:left="1134" w:firstLine="0"/>
      </w:pPr>
      <w:r w:rsidRPr="002F1EE7">
        <w:t>At this time, the GORTT is not pursing special measures or legislation on quotas to address representation of women in Parliament. However, through public education, training workshops and sensitization session, the GORTT continues to promote and encourage women’s participation in politics, parliament and other positions of leadership in public life.</w:t>
      </w:r>
    </w:p>
    <w:p w14:paraId="2E562DA9" w14:textId="77777777" w:rsidR="002F1EE7" w:rsidRPr="002F1EE7" w:rsidRDefault="002F1EE7">
      <w:pPr>
        <w:pStyle w:val="SingleTxtG"/>
        <w:numPr>
          <w:ilvl w:val="0"/>
          <w:numId w:val="32"/>
        </w:numPr>
        <w:ind w:left="1134" w:firstLine="0"/>
      </w:pPr>
      <w:r w:rsidRPr="002F1EE7">
        <w:t xml:space="preserve">In Trinidad and Tobago, women are increasingly represented at the highest levels of political participation. Significant progress has been made in integrating women as co-participants in the political and legislative process. We have had a female Prime Minister, female Presidents of the Senate, female Speakers of the House, and two female Presidents in succession. In 2018, Trinidad and Tobago achieved an important milestone with the inauguration of its first female President, Her Excellency Madam Justice Paula Mae Weekes. As further evidence of our country’s commitment to the advancement of women leadership, the second consecutive female President was inaugurated in March of 2023. Her Excellency, Ms. Christine Kangaloo will serve as President of the Republic of Trinidad and Tobago for a term of five years. Ms. Kangaloo previously served as the President of the Senate from 2015 to January 2023. </w:t>
      </w:r>
    </w:p>
    <w:p w14:paraId="36174262" w14:textId="77777777" w:rsidR="002F1EE7" w:rsidRPr="002F1EE7" w:rsidRDefault="002F1EE7">
      <w:pPr>
        <w:pStyle w:val="SingleTxtG"/>
        <w:numPr>
          <w:ilvl w:val="0"/>
          <w:numId w:val="32"/>
        </w:numPr>
        <w:ind w:left="1134" w:firstLine="0"/>
      </w:pPr>
      <w:r w:rsidRPr="002F1EE7">
        <w:t>Moreover, Trinidad and Tobago has several other female high office holders both domestically and internationally.  At present, women comprise 34.2% of our entire Parliament. In the Senate, they comprise 41.9% of the membership. In the House of Representatives, they comprise 28.5% of the membership. Both figures exceed the 26.2% global average of women representatives in national parliaments. Notably, On March 23rd 2023, Trinidad and Tobago launched the Parliamentary Group of Women Legislators.</w:t>
      </w:r>
    </w:p>
    <w:p w14:paraId="6CD8D311" w14:textId="77777777" w:rsidR="002F1EE7" w:rsidRPr="002F1EE7" w:rsidRDefault="002F1EE7">
      <w:pPr>
        <w:pStyle w:val="SingleTxtG"/>
        <w:numPr>
          <w:ilvl w:val="0"/>
          <w:numId w:val="32"/>
        </w:numPr>
        <w:ind w:left="1134" w:firstLine="0"/>
      </w:pPr>
      <w:r w:rsidRPr="002F1EE7">
        <w:t>Estimates for 2019</w:t>
      </w:r>
      <w:r w:rsidRPr="002F1EE7">
        <w:rPr>
          <w:vertAlign w:val="superscript"/>
        </w:rPr>
        <w:footnoteReference w:id="6"/>
      </w:r>
      <w:r w:rsidRPr="002F1EE7">
        <w:t xml:space="preserve"> indicate that female representation in local government is increasing wit 36% of women represented in local government councils, an increase from the previous term (2016), which stood at 30.4%. </w:t>
      </w:r>
    </w:p>
    <w:p w14:paraId="30805C2F" w14:textId="77777777" w:rsidR="002F1EE7" w:rsidRPr="002F1EE7" w:rsidRDefault="002F1EE7">
      <w:pPr>
        <w:pStyle w:val="SingleTxtG"/>
        <w:numPr>
          <w:ilvl w:val="0"/>
          <w:numId w:val="32"/>
        </w:numPr>
        <w:ind w:left="1134" w:firstLine="0"/>
      </w:pPr>
      <w:r w:rsidRPr="002F1EE7">
        <w:t>Within the realm of national security, in February 2023, Mrs. Erla Harewood- Christopher was appointed as Trinidad and Tobago’s first female Commission of Police (CoP).</w:t>
      </w:r>
    </w:p>
    <w:p w14:paraId="5F247324" w14:textId="75A1AB5A" w:rsidR="002F1EE7" w:rsidRPr="002F1EE7" w:rsidRDefault="002F1EE7">
      <w:pPr>
        <w:pStyle w:val="SingleTxtG"/>
        <w:numPr>
          <w:ilvl w:val="0"/>
          <w:numId w:val="32"/>
        </w:numPr>
        <w:ind w:left="1134" w:firstLine="0"/>
      </w:pPr>
      <w:r w:rsidRPr="002F1EE7">
        <w:t>The country also established the Women Parliamentarians of Trinidad and Tobago (WPTT) which held its inaugural Annual General Meeting in November 2023. The mission of this group is to create a collaborative network to promote women’s access, representation and influence in Parliament and other political decision-making space</w:t>
      </w:r>
      <w:r w:rsidR="000026F7">
        <w:t>.</w:t>
      </w:r>
    </w:p>
    <w:p w14:paraId="0F41FD48" w14:textId="77777777" w:rsidR="002F1EE7" w:rsidRPr="002F1EE7" w:rsidRDefault="002F1EE7">
      <w:pPr>
        <w:pStyle w:val="SingleTxtG"/>
        <w:numPr>
          <w:ilvl w:val="0"/>
          <w:numId w:val="32"/>
        </w:numPr>
        <w:ind w:left="1134" w:firstLine="0"/>
      </w:pPr>
      <w:r w:rsidRPr="002F1EE7">
        <w:t xml:space="preserve">As at 2024, in the Judiciary of the Supreme Court of Trinidad and Tobago: fifteen (15) of the eighteen (18) Court of Appeal Judges; thirty (30) of the forty-five (45) High Court Judges; and sixteen (16) of the eighteen (18) Masters of the Court are women. </w:t>
      </w:r>
    </w:p>
    <w:p w14:paraId="62F41C1E" w14:textId="763B093F" w:rsidR="002F1EE7" w:rsidRPr="002F1EE7" w:rsidRDefault="005E624A" w:rsidP="000026F7">
      <w:pPr>
        <w:pStyle w:val="H1G"/>
      </w:pPr>
      <w:r>
        <w:lastRenderedPageBreak/>
        <w:tab/>
      </w:r>
      <w:r>
        <w:tab/>
      </w:r>
      <w:r w:rsidR="002F1EE7" w:rsidRPr="002F1EE7">
        <w:t>Question 15 – Nationality</w:t>
      </w:r>
    </w:p>
    <w:p w14:paraId="49E7A867" w14:textId="77777777" w:rsidR="002F1EE7" w:rsidRPr="005E624A" w:rsidRDefault="002F1EE7">
      <w:pPr>
        <w:pStyle w:val="SingleTxtG"/>
        <w:numPr>
          <w:ilvl w:val="0"/>
          <w:numId w:val="32"/>
        </w:numPr>
        <w:ind w:left="1134" w:firstLine="0"/>
        <w:rPr>
          <w:u w:val="single"/>
        </w:rPr>
      </w:pPr>
      <w:r w:rsidRPr="002F1EE7">
        <w:t xml:space="preserve">In Trinidad and Tobago, the registration of all live births, including those within rural communities are mandated pursuant to </w:t>
      </w:r>
      <w:r w:rsidRPr="005E624A">
        <w:t>Section 16 of the Births and Death Registration Act, Chapter 44:01.</w:t>
      </w:r>
      <w:r w:rsidRPr="002F1EE7">
        <w:t xml:space="preserve"> This section indicates that it is primarily the responsibility of the mother and father of the child; and in default of the parents, any occupier of a home in which a child is born alive, to register that child’s birth with the Births Registry within 42 days. In the instance where the 42 days have passed without registration, the Registrar may give written notice to the parents to have the child registered within a specified time, in accordance with </w:t>
      </w:r>
      <w:r w:rsidRPr="005E624A">
        <w:t xml:space="preserve">Section 17 of the Act. </w:t>
      </w:r>
    </w:p>
    <w:p w14:paraId="0E8B323A" w14:textId="77777777" w:rsidR="002F1EE7" w:rsidRPr="005E624A" w:rsidRDefault="002F1EE7">
      <w:pPr>
        <w:pStyle w:val="SingleTxtG"/>
        <w:numPr>
          <w:ilvl w:val="0"/>
          <w:numId w:val="32"/>
        </w:numPr>
        <w:ind w:left="1134" w:firstLine="0"/>
        <w:rPr>
          <w:u w:val="single"/>
        </w:rPr>
      </w:pPr>
      <w:r w:rsidRPr="005E624A">
        <w:t xml:space="preserve">In the instance where more than three months but less than twelve months have passed without a child being registered, the Registrar may by written notice allow the parents, or other person responsible for registering the child to make a solemn declaration before the Superintendent Registrar on the particulars of the child’s birth in accordance with Section 19 of the Act. </w:t>
      </w:r>
    </w:p>
    <w:p w14:paraId="1DF02BA5" w14:textId="537A4764" w:rsidR="002F1EE7" w:rsidRPr="002F1EE7" w:rsidRDefault="005E624A" w:rsidP="005E624A">
      <w:pPr>
        <w:pStyle w:val="H1G"/>
      </w:pPr>
      <w:r>
        <w:tab/>
      </w:r>
      <w:r>
        <w:tab/>
      </w:r>
      <w:r w:rsidR="002F1EE7" w:rsidRPr="002F1EE7">
        <w:t>Question 16 – Education</w:t>
      </w:r>
    </w:p>
    <w:p w14:paraId="21C70B72" w14:textId="7D607873" w:rsidR="002F1EE7" w:rsidRPr="002F1EE7" w:rsidRDefault="005E624A" w:rsidP="005E624A">
      <w:pPr>
        <w:pStyle w:val="H23G"/>
      </w:pPr>
      <w:r>
        <w:tab/>
      </w:r>
      <w:r>
        <w:tab/>
      </w:r>
      <w:r w:rsidR="002F1EE7" w:rsidRPr="002F1EE7">
        <w:t>Efforts to address education crisis exacerbated by COVID-19</w:t>
      </w:r>
    </w:p>
    <w:p w14:paraId="6C0ED839" w14:textId="77777777" w:rsidR="002F1EE7" w:rsidRPr="002F1EE7" w:rsidRDefault="002F1EE7">
      <w:pPr>
        <w:pStyle w:val="SingleTxtG"/>
        <w:numPr>
          <w:ilvl w:val="0"/>
          <w:numId w:val="32"/>
        </w:numPr>
        <w:ind w:left="1134" w:firstLine="0"/>
      </w:pPr>
      <w:r w:rsidRPr="002F1EE7">
        <w:t>COVID-19 created an interim shift to online and hybrid learning methodologies. This period of almost two years without face-to-face teaching highlighted a learning gap among students that needed to be urgently addressed. This prompted the identification of 106 Schools of Focus (26 secondary &amp; 80 primary) for initiating the Ministry’s Remediation Programme in 2022. Secondary schools were provided with an adapted curriculum for Forms 1 to 3 students. The 80 primary schools have also benefitted from the After School Education Programme catering for the Std. 3, 4 &amp; 5 students. Dedicated Social work and Guidance personnel and Learning Support Assistants were also assigned to these primary schools.</w:t>
      </w:r>
    </w:p>
    <w:p w14:paraId="1614FF0F" w14:textId="77777777" w:rsidR="002F1EE7" w:rsidRPr="002F1EE7" w:rsidRDefault="002F1EE7">
      <w:pPr>
        <w:pStyle w:val="SingleTxtG"/>
        <w:numPr>
          <w:ilvl w:val="0"/>
          <w:numId w:val="32"/>
        </w:numPr>
        <w:ind w:left="1134" w:firstLine="0"/>
      </w:pPr>
      <w:r w:rsidRPr="002F1EE7">
        <w:t xml:space="preserve">In 2022, the Vacation Revision Programme was also introduced for SEA students. District Leadership Teams (DLTs) provided support to principals, teachers, students and parents through visits and monitoring of the implementation of their remediation programme. </w:t>
      </w:r>
    </w:p>
    <w:p w14:paraId="3E49A248" w14:textId="77777777" w:rsidR="002F1EE7" w:rsidRPr="002F1EE7" w:rsidRDefault="002F1EE7">
      <w:pPr>
        <w:pStyle w:val="SingleTxtG"/>
        <w:numPr>
          <w:ilvl w:val="0"/>
          <w:numId w:val="32"/>
        </w:numPr>
        <w:ind w:left="1134" w:firstLine="0"/>
      </w:pPr>
      <w:r w:rsidRPr="002F1EE7">
        <w:rPr>
          <w:lang w:val="en-TT"/>
        </w:rPr>
        <w:t xml:space="preserve">Measures implemented by the Student Support Services Division (SSSD), to address the education crisis brought on by increased dropouts and learning issues, and exacerbated by the COVID-19 pandemic are as follows: </w:t>
      </w:r>
    </w:p>
    <w:p w14:paraId="29E36CB0" w14:textId="77777777" w:rsidR="002F1EE7" w:rsidRPr="005E624A" w:rsidRDefault="002F1EE7" w:rsidP="005E624A">
      <w:pPr>
        <w:pStyle w:val="Bullet1G"/>
      </w:pPr>
      <w:r w:rsidRPr="005E624A">
        <w:t>Parenting in education sessions;</w:t>
      </w:r>
    </w:p>
    <w:p w14:paraId="14CD6F30" w14:textId="77777777" w:rsidR="002F1EE7" w:rsidRPr="005E624A" w:rsidRDefault="002F1EE7" w:rsidP="005E624A">
      <w:pPr>
        <w:pStyle w:val="Bullet1G"/>
      </w:pPr>
      <w:r w:rsidRPr="005E624A">
        <w:t>Home visits and Family Intervention;</w:t>
      </w:r>
    </w:p>
    <w:p w14:paraId="282F3059" w14:textId="77777777" w:rsidR="002F1EE7" w:rsidRPr="005E624A" w:rsidRDefault="002F1EE7" w:rsidP="005E624A">
      <w:pPr>
        <w:pStyle w:val="Bullet1G"/>
      </w:pPr>
      <w:r w:rsidRPr="005E624A">
        <w:t xml:space="preserve">Crisis intervention; </w:t>
      </w:r>
    </w:p>
    <w:p w14:paraId="355E8ABE" w14:textId="77777777" w:rsidR="002F1EE7" w:rsidRPr="005E624A" w:rsidRDefault="002F1EE7" w:rsidP="005E624A">
      <w:pPr>
        <w:pStyle w:val="Bullet1G"/>
      </w:pPr>
      <w:r w:rsidRPr="005E624A">
        <w:t>Teacher information sessions;</w:t>
      </w:r>
    </w:p>
    <w:p w14:paraId="06FD6EA6" w14:textId="77777777" w:rsidR="002F1EE7" w:rsidRPr="005E624A" w:rsidRDefault="002F1EE7" w:rsidP="005E624A">
      <w:pPr>
        <w:pStyle w:val="Bullet1G"/>
      </w:pPr>
      <w:r w:rsidRPr="005E624A">
        <w:t xml:space="preserve">Consultations; </w:t>
      </w:r>
    </w:p>
    <w:p w14:paraId="438A7EB1" w14:textId="77777777" w:rsidR="002F1EE7" w:rsidRPr="005E624A" w:rsidRDefault="002F1EE7" w:rsidP="005E624A">
      <w:pPr>
        <w:pStyle w:val="Bullet1G"/>
      </w:pPr>
      <w:r w:rsidRPr="005E624A">
        <w:t>Individual and group counselling specific to academic support; and</w:t>
      </w:r>
    </w:p>
    <w:p w14:paraId="332B2278" w14:textId="77777777" w:rsidR="002F1EE7" w:rsidRPr="005E624A" w:rsidRDefault="002F1EE7" w:rsidP="005E624A">
      <w:pPr>
        <w:pStyle w:val="Bullet1G"/>
      </w:pPr>
      <w:r w:rsidRPr="005E624A">
        <w:t>Career development.</w:t>
      </w:r>
    </w:p>
    <w:p w14:paraId="6B3FCE7F" w14:textId="04D7BBD4" w:rsidR="002F1EE7" w:rsidRPr="002F1EE7" w:rsidRDefault="005E624A" w:rsidP="005E624A">
      <w:pPr>
        <w:pStyle w:val="H23G"/>
        <w:rPr>
          <w:lang w:val="en-TT"/>
        </w:rPr>
      </w:pPr>
      <w:r>
        <w:rPr>
          <w:lang w:val="en-TT"/>
        </w:rPr>
        <w:tab/>
      </w:r>
      <w:r>
        <w:rPr>
          <w:lang w:val="en-TT"/>
        </w:rPr>
        <w:tab/>
      </w:r>
      <w:r w:rsidR="002F1EE7" w:rsidRPr="002F1EE7">
        <w:rPr>
          <w:lang w:val="en-TT"/>
        </w:rPr>
        <w:t>Migrant children</w:t>
      </w:r>
    </w:p>
    <w:p w14:paraId="09E1C05F" w14:textId="77777777" w:rsidR="002F1EE7" w:rsidRPr="002F1EE7" w:rsidRDefault="002F1EE7">
      <w:pPr>
        <w:pStyle w:val="SingleTxtG"/>
        <w:numPr>
          <w:ilvl w:val="0"/>
          <w:numId w:val="32"/>
        </w:numPr>
        <w:ind w:left="1134" w:firstLine="0"/>
        <w:rPr>
          <w:lang w:val="en-TT"/>
        </w:rPr>
      </w:pPr>
      <w:r w:rsidRPr="002F1EE7">
        <w:rPr>
          <w:lang w:val="en-TT"/>
        </w:rPr>
        <w:t xml:space="preserve">With respect to </w:t>
      </w:r>
      <w:r w:rsidRPr="002F1EE7">
        <w:rPr>
          <w:bCs/>
          <w:lang w:val="en-TT"/>
        </w:rPr>
        <w:t>migrant children,</w:t>
      </w:r>
      <w:r w:rsidRPr="002F1EE7">
        <w:rPr>
          <w:lang w:val="en-TT"/>
        </w:rPr>
        <w:t xml:space="preserve"> the Ministry has collaborated with the Catholic Education Board of Management in the provision of curricular support to NGOs currently providing education services to migrant children. </w:t>
      </w:r>
    </w:p>
    <w:p w14:paraId="2138C5CA" w14:textId="77777777" w:rsidR="002F1EE7" w:rsidRPr="005E624A" w:rsidRDefault="002F1EE7">
      <w:pPr>
        <w:pStyle w:val="SingleTxtG"/>
        <w:numPr>
          <w:ilvl w:val="0"/>
          <w:numId w:val="32"/>
        </w:numPr>
        <w:ind w:left="1134" w:firstLine="0"/>
        <w:rPr>
          <w:lang w:val="en-TT"/>
        </w:rPr>
      </w:pPr>
      <w:r w:rsidRPr="002F1EE7">
        <w:t xml:space="preserve">Cabinet has agreed to the amendment of the Immigration Regulations made under </w:t>
      </w:r>
      <w:r w:rsidRPr="005E624A">
        <w:t>section 44 of the Immigration Act, Chap. 18:01, to empower the Minister of National Security to exempt persons who are children of migrants of the Bolivarian Republic of Venezuela and below the age of 18 years at the time of their application under the Migrant Registration Framework (MRF), from the provisions of Regulation 9(6) of the Immigration Regulations.</w:t>
      </w:r>
    </w:p>
    <w:p w14:paraId="588BA154" w14:textId="77777777" w:rsidR="002F1EE7" w:rsidRPr="002F1EE7" w:rsidRDefault="002F1EE7">
      <w:pPr>
        <w:pStyle w:val="SingleTxtG"/>
        <w:numPr>
          <w:ilvl w:val="0"/>
          <w:numId w:val="32"/>
        </w:numPr>
        <w:ind w:left="1134" w:firstLine="0"/>
        <w:rPr>
          <w:lang w:val="en-US"/>
        </w:rPr>
      </w:pPr>
      <w:r w:rsidRPr="002F1EE7">
        <w:rPr>
          <w:lang w:val="en-US"/>
        </w:rPr>
        <w:lastRenderedPageBreak/>
        <w:t>In preparation for enrolment of these children, the Ministry has planned for the accommodation of primary aged children in 20 schools identified by the Catholic Education Board of Management. The children to be accommodated are all enrolled in the Equal Place programme being run by the Living Water Community. These children are initially exposed to English Language learning, then are taught the National Primary Curriculum in a combination of English and Spanish, with a focus on increasing competence in English.</w:t>
      </w:r>
    </w:p>
    <w:p w14:paraId="76B573DD" w14:textId="77777777" w:rsidR="002F1EE7" w:rsidRPr="002F1EE7" w:rsidRDefault="002F1EE7">
      <w:pPr>
        <w:pStyle w:val="SingleTxtG"/>
        <w:numPr>
          <w:ilvl w:val="0"/>
          <w:numId w:val="32"/>
        </w:numPr>
        <w:ind w:left="1134" w:firstLine="0"/>
        <w:rPr>
          <w:lang w:val="en-US"/>
        </w:rPr>
      </w:pPr>
      <w:r w:rsidRPr="002F1EE7">
        <w:rPr>
          <w:lang w:val="en-US"/>
        </w:rPr>
        <w:t xml:space="preserve">Once registered in schools, migrant children will have access to all support services provided to any child with an identified need: school transport, school meals, textbooks. Further services may be provided by the Student </w:t>
      </w:r>
      <w:r w:rsidRPr="005E1C13">
        <w:t>Support</w:t>
      </w:r>
      <w:r w:rsidRPr="002F1EE7">
        <w:rPr>
          <w:lang w:val="en-US"/>
        </w:rPr>
        <w:t xml:space="preserve"> Services Division as may be deemed necessary.</w:t>
      </w:r>
    </w:p>
    <w:p w14:paraId="47DE5EBF" w14:textId="77777777" w:rsidR="002F1EE7" w:rsidRPr="002F1EE7" w:rsidRDefault="002F1EE7">
      <w:pPr>
        <w:pStyle w:val="SingleTxtG"/>
        <w:numPr>
          <w:ilvl w:val="0"/>
          <w:numId w:val="32"/>
        </w:numPr>
        <w:ind w:left="1134" w:firstLine="0"/>
        <w:rPr>
          <w:lang w:val="en-US"/>
        </w:rPr>
      </w:pPr>
      <w:r w:rsidRPr="002F1EE7">
        <w:rPr>
          <w:lang w:val="en-US"/>
        </w:rPr>
        <w:t xml:space="preserve">Preparation of staff in these identified </w:t>
      </w:r>
      <w:r w:rsidRPr="005E1C13">
        <w:t>school</w:t>
      </w:r>
      <w:r w:rsidRPr="002F1EE7">
        <w:rPr>
          <w:lang w:val="en-US"/>
        </w:rPr>
        <w:t xml:space="preserve"> were facilitated on February 15 and 16, 2021 via online sensitization of principals and teachers, conducted on: </w:t>
      </w:r>
    </w:p>
    <w:p w14:paraId="38E5A871" w14:textId="77777777" w:rsidR="002F1EE7" w:rsidRPr="005E624A" w:rsidRDefault="002F1EE7" w:rsidP="005E624A">
      <w:pPr>
        <w:pStyle w:val="Bullet1G"/>
      </w:pPr>
      <w:r w:rsidRPr="005E624A">
        <w:t>Human, Migrant and Child Rights;</w:t>
      </w:r>
    </w:p>
    <w:p w14:paraId="5D7BD5D5" w14:textId="77777777" w:rsidR="002F1EE7" w:rsidRPr="005E624A" w:rsidRDefault="002F1EE7" w:rsidP="005E624A">
      <w:pPr>
        <w:pStyle w:val="Bullet1G"/>
      </w:pPr>
      <w:r w:rsidRPr="005E624A">
        <w:t>Impact of Trauma on Learning;</w:t>
      </w:r>
    </w:p>
    <w:p w14:paraId="72C743F6" w14:textId="77777777" w:rsidR="002F1EE7" w:rsidRPr="005E624A" w:rsidRDefault="002F1EE7" w:rsidP="005E624A">
      <w:pPr>
        <w:pStyle w:val="Bullet1G"/>
      </w:pPr>
      <w:r w:rsidRPr="005E624A">
        <w:t>Managing Educational Communities;</w:t>
      </w:r>
    </w:p>
    <w:p w14:paraId="618730AC" w14:textId="77777777" w:rsidR="002F1EE7" w:rsidRPr="005E624A" w:rsidRDefault="002F1EE7" w:rsidP="005E624A">
      <w:pPr>
        <w:pStyle w:val="Bullet1G"/>
      </w:pPr>
      <w:r w:rsidRPr="005E624A">
        <w:t>Teaching in multicultural settings;</w:t>
      </w:r>
    </w:p>
    <w:p w14:paraId="1A631D83" w14:textId="77777777" w:rsidR="002F1EE7" w:rsidRPr="005E624A" w:rsidRDefault="002F1EE7" w:rsidP="005E624A">
      <w:pPr>
        <w:pStyle w:val="Bullet1G"/>
      </w:pPr>
      <w:r w:rsidRPr="005E624A">
        <w:t>Supporting the education of migrant children; and</w:t>
      </w:r>
    </w:p>
    <w:p w14:paraId="676FFB10" w14:textId="77777777" w:rsidR="002F1EE7" w:rsidRPr="005E624A" w:rsidRDefault="002F1EE7" w:rsidP="005E624A">
      <w:pPr>
        <w:pStyle w:val="Bullet1G"/>
      </w:pPr>
      <w:r w:rsidRPr="005E624A">
        <w:t>Child safeguards.</w:t>
      </w:r>
    </w:p>
    <w:p w14:paraId="4DFF71CC" w14:textId="77777777" w:rsidR="002F1EE7" w:rsidRPr="002F1EE7" w:rsidRDefault="002F1EE7">
      <w:pPr>
        <w:pStyle w:val="SingleTxtG"/>
        <w:numPr>
          <w:ilvl w:val="0"/>
          <w:numId w:val="32"/>
        </w:numPr>
        <w:ind w:left="1134" w:firstLine="0"/>
        <w:rPr>
          <w:lang w:val="en-US"/>
        </w:rPr>
      </w:pPr>
      <w:r w:rsidRPr="002F1EE7">
        <w:rPr>
          <w:lang w:val="en-US"/>
        </w:rPr>
        <w:t>Presenters were members of the Education Working Group from UNICEF, UNHCR, CEBM, PADF and Living Water Community.</w:t>
      </w:r>
    </w:p>
    <w:p w14:paraId="113A1868" w14:textId="77777777" w:rsidR="002F1EE7" w:rsidRPr="002F1EE7" w:rsidRDefault="002F1EE7">
      <w:pPr>
        <w:pStyle w:val="SingleTxtG"/>
        <w:numPr>
          <w:ilvl w:val="0"/>
          <w:numId w:val="32"/>
        </w:numPr>
        <w:ind w:left="1134" w:firstLine="0"/>
        <w:rPr>
          <w:lang w:val="en-US"/>
        </w:rPr>
      </w:pPr>
      <w:r w:rsidRPr="002F1EE7">
        <w:rPr>
          <w:lang w:val="en-US"/>
        </w:rPr>
        <w:t>Additionally, 131 teachers from the Catholic Education Board of Management from approximately 50 Roman Catholic primary schools across Trinidad and Tobago were trained in using a Content and Language Integrated Learning (CLIL) methodology that brings together a focus on content of all subject areas and vocabulary and structures of Spanish.  Participating teachers were also exposed to Introductory Approaches and Methods to Teaching English as Second Language (ESL) to Young Learners (this introduction does not constitute formal training in the Teaching of English as a Second Language [TESOL] which is an area regulated by certification).</w:t>
      </w:r>
    </w:p>
    <w:p w14:paraId="7CC70560" w14:textId="5E505A4C" w:rsidR="002F1EE7" w:rsidRPr="002F1EE7" w:rsidRDefault="005E624A" w:rsidP="005E624A">
      <w:pPr>
        <w:pStyle w:val="H23G"/>
      </w:pPr>
      <w:r>
        <w:tab/>
      </w:r>
      <w:r>
        <w:tab/>
      </w:r>
      <w:r w:rsidR="002F1EE7" w:rsidRPr="002F1EE7">
        <w:t>Access to sexual and reproductive health</w:t>
      </w:r>
    </w:p>
    <w:p w14:paraId="7A262B88" w14:textId="77777777" w:rsidR="002F1EE7" w:rsidRPr="002F1EE7" w:rsidRDefault="002F1EE7">
      <w:pPr>
        <w:pStyle w:val="SingleTxtG"/>
        <w:numPr>
          <w:ilvl w:val="0"/>
          <w:numId w:val="32"/>
        </w:numPr>
        <w:ind w:left="1134" w:firstLine="0"/>
      </w:pPr>
      <w:r w:rsidRPr="002F1EE7">
        <w:t xml:space="preserve">In 2020, the Ministry of Health (MoH) finalised the </w:t>
      </w:r>
      <w:r w:rsidRPr="005E624A">
        <w:t>National Sexual and Reproductive Health (SHR) Policy,</w:t>
      </w:r>
      <w:r w:rsidRPr="002F1EE7">
        <w:t xml:space="preserve"> which seeks to guarantee universal access to comprehensive SRH to all persons in need and requiring it, that is of the highest standard though the provision of an integrated service delivery system. To this end, the GORTT commits to incorporate the full set of sexual and reproductive health service into universal health coverage, with special attention to the most underserved population. SRH services include a broad range of services to cover the needs of women and girls such as contraception, safe miscarriage care, maternal health care (antenatal, delivery and post-natal), prevention and treatment of infertility, STIs, prevention and treatment of all sexually transmitted infections, including HIV, reproductive cancers, comprehensive sexuality education (CSE), and services to address sexual and gender-based violence.</w:t>
      </w:r>
    </w:p>
    <w:p w14:paraId="15D9ECFD" w14:textId="77777777" w:rsidR="002F1EE7" w:rsidRPr="002F1EE7" w:rsidRDefault="002F1EE7">
      <w:pPr>
        <w:pStyle w:val="SingleTxtG"/>
        <w:numPr>
          <w:ilvl w:val="0"/>
          <w:numId w:val="32"/>
        </w:numPr>
        <w:ind w:left="1134" w:firstLine="0"/>
      </w:pPr>
      <w:r w:rsidRPr="002F1EE7">
        <w:t>With respect to access to comprehensive information on SRH, the MoH has developed patient information brochures on a wide range of SRH issues, including modern contraception. These have been distributed in public health facilities, and are also available online on the MoH website and social media pages. Further, the MoH introduced contraceptive implants to the public health system in 2021, which was supported by production and dissemination of information on modern forms of contraception.</w:t>
      </w:r>
    </w:p>
    <w:p w14:paraId="22EBB10E" w14:textId="77777777" w:rsidR="002F1EE7" w:rsidRPr="002F1EE7" w:rsidRDefault="002F1EE7">
      <w:pPr>
        <w:pStyle w:val="SingleTxtG"/>
        <w:numPr>
          <w:ilvl w:val="0"/>
          <w:numId w:val="32"/>
        </w:numPr>
        <w:ind w:left="1134" w:firstLine="0"/>
      </w:pPr>
      <w:r w:rsidRPr="002F1EE7">
        <w:t>Additionally, the National SRH Policy speaks to the provision of comprehensive age-appropriate sexuality education information and services for in and out of school adolescents and youth (including adolescents and youth in institutions). Through the Ministry of Education’s (MoE) Health and Family Life Education (HFLE) programme, age appropriate CSE will be delivered.</w:t>
      </w:r>
    </w:p>
    <w:p w14:paraId="220BE6DE" w14:textId="6F96D935" w:rsidR="002F1EE7" w:rsidRPr="002F1EE7" w:rsidRDefault="007E29E2" w:rsidP="005E624A">
      <w:pPr>
        <w:pStyle w:val="H23G"/>
      </w:pPr>
      <w:r>
        <w:lastRenderedPageBreak/>
        <w:tab/>
      </w:r>
      <w:r>
        <w:tab/>
      </w:r>
      <w:r w:rsidR="002F1EE7" w:rsidRPr="002F1EE7">
        <w:t>Assessment of Adolescent Mothers Programme</w:t>
      </w:r>
    </w:p>
    <w:p w14:paraId="3DA4A0E0" w14:textId="77777777" w:rsidR="002F1EE7" w:rsidRPr="002F1EE7" w:rsidRDefault="002F1EE7">
      <w:pPr>
        <w:pStyle w:val="SingleTxtG"/>
        <w:numPr>
          <w:ilvl w:val="0"/>
          <w:numId w:val="32"/>
        </w:numPr>
        <w:ind w:left="1134" w:firstLine="0"/>
      </w:pPr>
      <w:r w:rsidRPr="002F1EE7">
        <w:t xml:space="preserve">The GORTT recognises the importance of supporting adolescent mothers and providing earlier intervention when students become intended mothers to ensure that they are still able to complete secondary education. To-date, there has been no assessment of the Adolescent Mothers Programme. However, The Social Work Unit in the Ministry of Education (MoE), recognizes the need for social work intervention when our students become intended mothers. </w:t>
      </w:r>
    </w:p>
    <w:p w14:paraId="2D1926F8" w14:textId="77777777" w:rsidR="002F1EE7" w:rsidRPr="002F1EE7" w:rsidRDefault="002F1EE7">
      <w:pPr>
        <w:pStyle w:val="SingleTxtG"/>
        <w:numPr>
          <w:ilvl w:val="0"/>
          <w:numId w:val="32"/>
        </w:numPr>
        <w:ind w:left="1134" w:firstLine="0"/>
      </w:pPr>
      <w:r w:rsidRPr="002F1EE7">
        <w:t>The Adolescent Mothers Programme, specifically the CHOICES Programme is offered in three districts of the country: the Port of Spain, St. George East and North Eastern districts. When a school social worker (SSW) is informed of a teen mother the following actions are taken:</w:t>
      </w:r>
    </w:p>
    <w:p w14:paraId="38F8B2C3" w14:textId="77777777" w:rsidR="002F1EE7" w:rsidRPr="007E29E2" w:rsidRDefault="002F1EE7" w:rsidP="007E29E2">
      <w:pPr>
        <w:pStyle w:val="Bullet1G"/>
      </w:pPr>
      <w:r w:rsidRPr="007E29E2">
        <w:t>The matter is reported to the Child Protection Unit if student is under 18 years;</w:t>
      </w:r>
    </w:p>
    <w:p w14:paraId="37EEC54C" w14:textId="77777777" w:rsidR="002F1EE7" w:rsidRPr="007E29E2" w:rsidRDefault="002F1EE7" w:rsidP="007E29E2">
      <w:pPr>
        <w:pStyle w:val="Bullet1G"/>
      </w:pPr>
      <w:r w:rsidRPr="007E29E2">
        <w:t>The SSW interviews and assesses the student, collecting social history;</w:t>
      </w:r>
    </w:p>
    <w:p w14:paraId="5E13C202" w14:textId="77777777" w:rsidR="002F1EE7" w:rsidRPr="007E29E2" w:rsidRDefault="002F1EE7" w:rsidP="007E29E2">
      <w:pPr>
        <w:pStyle w:val="Bullet1G"/>
      </w:pPr>
      <w:r w:rsidRPr="007E29E2">
        <w:t>After preparing the student for disclosure, the SSW informs essential parties, including the principal and/or parents;</w:t>
      </w:r>
    </w:p>
    <w:p w14:paraId="3706B8EB" w14:textId="77777777" w:rsidR="002F1EE7" w:rsidRPr="007E29E2" w:rsidRDefault="002F1EE7" w:rsidP="007E29E2">
      <w:pPr>
        <w:pStyle w:val="Bullet1G"/>
      </w:pPr>
      <w:r w:rsidRPr="007E29E2">
        <w:t>The SSW consults with the Guidance officer to ensure continued education with minimal disruption;</w:t>
      </w:r>
    </w:p>
    <w:p w14:paraId="17F0E252" w14:textId="77777777" w:rsidR="002F1EE7" w:rsidRPr="007E29E2" w:rsidRDefault="002F1EE7" w:rsidP="007E29E2">
      <w:pPr>
        <w:pStyle w:val="Bullet1G"/>
      </w:pPr>
      <w:r w:rsidRPr="007E29E2">
        <w:t>Family intervention sessions are arranged with parents and students;</w:t>
      </w:r>
    </w:p>
    <w:p w14:paraId="0F271A31" w14:textId="77777777" w:rsidR="002F1EE7" w:rsidRPr="007E29E2" w:rsidRDefault="002F1EE7" w:rsidP="007E29E2">
      <w:pPr>
        <w:pStyle w:val="Bullet1G"/>
      </w:pPr>
      <w:r w:rsidRPr="007E29E2">
        <w:t>Collaboration with the medical social worker attached to maternity occurs;</w:t>
      </w:r>
    </w:p>
    <w:p w14:paraId="6A247854" w14:textId="77777777" w:rsidR="002F1EE7" w:rsidRPr="007E29E2" w:rsidRDefault="002F1EE7" w:rsidP="007E29E2">
      <w:pPr>
        <w:pStyle w:val="Bullet1G"/>
      </w:pPr>
      <w:r w:rsidRPr="007E29E2">
        <w:t>Ongoing monitoring ensures the student's physical and mental health, attendance at prenatal clinics;</w:t>
      </w:r>
    </w:p>
    <w:p w14:paraId="14292701" w14:textId="77777777" w:rsidR="002F1EE7" w:rsidRPr="007E29E2" w:rsidRDefault="002F1EE7" w:rsidP="007E29E2">
      <w:pPr>
        <w:pStyle w:val="Bullet1G"/>
      </w:pPr>
      <w:r w:rsidRPr="007E29E2">
        <w:t>If the baby’s father is a student, counselling sessions are also held to ensure that he too is supported and remains in school;</w:t>
      </w:r>
    </w:p>
    <w:p w14:paraId="09CA07D7" w14:textId="77777777" w:rsidR="002F1EE7" w:rsidRPr="007E29E2" w:rsidRDefault="002F1EE7" w:rsidP="007E29E2">
      <w:pPr>
        <w:pStyle w:val="Bullet1G"/>
      </w:pPr>
      <w:r w:rsidRPr="007E29E2">
        <w:t xml:space="preserve">The SSW networks with other NGOs, Social Welfare, and governmental ministries to support student; </w:t>
      </w:r>
    </w:p>
    <w:p w14:paraId="269B789B" w14:textId="77777777" w:rsidR="002F1EE7" w:rsidRPr="007E29E2" w:rsidRDefault="002F1EE7" w:rsidP="007E29E2">
      <w:pPr>
        <w:pStyle w:val="Bullet1G"/>
      </w:pPr>
      <w:r w:rsidRPr="007E29E2">
        <w:t xml:space="preserve">After birth, the SSW plans for re-entry and reintegration into school with principal, parents, and student or facilitates transfer to another school or chooses an alternate educational programme such as CCC, Servol etc; </w:t>
      </w:r>
    </w:p>
    <w:p w14:paraId="356EA04F" w14:textId="77777777" w:rsidR="002F1EE7" w:rsidRPr="007E29E2" w:rsidRDefault="002F1EE7" w:rsidP="007E29E2">
      <w:pPr>
        <w:pStyle w:val="Bullet1G"/>
      </w:pPr>
      <w:r w:rsidRPr="007E29E2">
        <w:t>Grandparents are encouraged to provide to support the student(s) in caring for the baby;</w:t>
      </w:r>
    </w:p>
    <w:p w14:paraId="7008D3E8" w14:textId="77777777" w:rsidR="002F1EE7" w:rsidRPr="007E29E2" w:rsidRDefault="002F1EE7" w:rsidP="007E29E2">
      <w:pPr>
        <w:pStyle w:val="Bullet1G"/>
      </w:pPr>
      <w:r w:rsidRPr="007E29E2">
        <w:t>If no support is available, the SSW helps the client manage time as well as encourages part time employment to assist once feasible; and</w:t>
      </w:r>
    </w:p>
    <w:p w14:paraId="1DB669FD" w14:textId="77777777" w:rsidR="002F1EE7" w:rsidRPr="007E29E2" w:rsidRDefault="002F1EE7" w:rsidP="007E29E2">
      <w:pPr>
        <w:pStyle w:val="Bullet1G"/>
      </w:pPr>
      <w:r w:rsidRPr="007E29E2">
        <w:t>Continuous advocacy is done to ensure student(s) maximise their learning potential.</w:t>
      </w:r>
    </w:p>
    <w:p w14:paraId="5770174A" w14:textId="77777777" w:rsidR="002F1EE7" w:rsidRPr="002F1EE7" w:rsidRDefault="002F1EE7">
      <w:pPr>
        <w:pStyle w:val="SingleTxtG"/>
        <w:numPr>
          <w:ilvl w:val="0"/>
          <w:numId w:val="32"/>
        </w:numPr>
        <w:ind w:left="1134" w:firstLine="0"/>
      </w:pPr>
      <w:r w:rsidRPr="002F1EE7">
        <w:t>CHOICES facilitates students lacking parental support. These students typically leave the programme as early as possible to prioritize returning to school. Attendees benefit from the maternal role preparation and often stay for day-care and preschool services. Students and parents generally express gratitude for the programme's excellent services.</w:t>
      </w:r>
    </w:p>
    <w:p w14:paraId="13C22F80" w14:textId="5F9076AA" w:rsidR="002F1EE7" w:rsidRPr="002F1EE7" w:rsidRDefault="00C35327" w:rsidP="00C35327">
      <w:pPr>
        <w:pStyle w:val="H23G"/>
      </w:pPr>
      <w:r>
        <w:tab/>
      </w:r>
      <w:r>
        <w:tab/>
      </w:r>
      <w:r w:rsidR="002F1EE7" w:rsidRPr="002F1EE7">
        <w:t>Facilitate re-entry into school</w:t>
      </w:r>
    </w:p>
    <w:p w14:paraId="1BA4F7D4" w14:textId="77777777" w:rsidR="002F1EE7" w:rsidRPr="002F1EE7" w:rsidRDefault="002F1EE7">
      <w:pPr>
        <w:pStyle w:val="SingleTxtG"/>
        <w:numPr>
          <w:ilvl w:val="0"/>
          <w:numId w:val="32"/>
        </w:numPr>
        <w:ind w:left="1134" w:firstLine="0"/>
      </w:pPr>
      <w:r w:rsidRPr="002F1EE7">
        <w:t>The Student Support Services Division (SSSD) of the MoE, through the Guidance and Counselling, and School Social Work units, provides academic and psychosocial support to facilitate the re-entry and transitioning process. This is also done to help the young mother balance school and the demands of parenting.</w:t>
      </w:r>
    </w:p>
    <w:p w14:paraId="5DA1A74E" w14:textId="0C2828AA" w:rsidR="002F1EE7" w:rsidRPr="002F1EE7" w:rsidRDefault="00C35327" w:rsidP="00C35327">
      <w:pPr>
        <w:pStyle w:val="H23G"/>
      </w:pPr>
      <w:r>
        <w:tab/>
      </w:r>
      <w:r>
        <w:tab/>
      </w:r>
      <w:r w:rsidR="002F1EE7" w:rsidRPr="002F1EE7">
        <w:t>Non-traditional fields of study</w:t>
      </w:r>
    </w:p>
    <w:p w14:paraId="1D9C38A0" w14:textId="77777777" w:rsidR="002F1EE7" w:rsidRPr="002F1EE7" w:rsidRDefault="002F1EE7">
      <w:pPr>
        <w:pStyle w:val="SingleTxtG"/>
        <w:numPr>
          <w:ilvl w:val="0"/>
          <w:numId w:val="32"/>
        </w:numPr>
        <w:ind w:left="1134" w:firstLine="0"/>
      </w:pPr>
      <w:r w:rsidRPr="002F1EE7">
        <w:t>The SSSD, through the Guidance and Counselling unit, provides career development in three broad areas:</w:t>
      </w:r>
    </w:p>
    <w:p w14:paraId="0D350B13" w14:textId="288DF24F" w:rsidR="002F1EE7" w:rsidRPr="00C35327" w:rsidRDefault="00C35327" w:rsidP="00C35327">
      <w:pPr>
        <w:pStyle w:val="SingleTxtG"/>
      </w:pPr>
      <w:r>
        <w:tab/>
        <w:t>(a)</w:t>
      </w:r>
      <w:r>
        <w:tab/>
      </w:r>
      <w:r w:rsidR="002F1EE7" w:rsidRPr="00C35327">
        <w:t>Understanding of self;</w:t>
      </w:r>
    </w:p>
    <w:p w14:paraId="46F68D2D" w14:textId="4AB8DB72" w:rsidR="002F1EE7" w:rsidRPr="00C35327" w:rsidRDefault="00C35327" w:rsidP="00C35327">
      <w:pPr>
        <w:pStyle w:val="SingleTxtG"/>
      </w:pPr>
      <w:r>
        <w:tab/>
        <w:t>(b)</w:t>
      </w:r>
      <w:r>
        <w:tab/>
      </w:r>
      <w:r w:rsidR="002F1EE7" w:rsidRPr="00C35327">
        <w:t>Understanding the changing world of work; and</w:t>
      </w:r>
    </w:p>
    <w:p w14:paraId="7B92D6CE" w14:textId="577BDBC5" w:rsidR="002F1EE7" w:rsidRPr="00C35327" w:rsidRDefault="00C35327" w:rsidP="00C35327">
      <w:pPr>
        <w:pStyle w:val="SingleTxtG"/>
      </w:pPr>
      <w:r>
        <w:lastRenderedPageBreak/>
        <w:tab/>
        <w:t>(c)</w:t>
      </w:r>
      <w:r>
        <w:tab/>
      </w:r>
      <w:r w:rsidR="002F1EE7" w:rsidRPr="00C35327">
        <w:t>Using the information gained to make informed decisions.</w:t>
      </w:r>
    </w:p>
    <w:p w14:paraId="4B478669" w14:textId="77777777" w:rsidR="002F1EE7" w:rsidRPr="002F1EE7" w:rsidRDefault="002F1EE7">
      <w:pPr>
        <w:pStyle w:val="SingleTxtG"/>
        <w:numPr>
          <w:ilvl w:val="0"/>
          <w:numId w:val="32"/>
        </w:numPr>
        <w:ind w:left="1134" w:firstLine="0"/>
      </w:pPr>
      <w:r w:rsidRPr="002F1EE7">
        <w:t xml:space="preserve">From these sessions, the outcomes are as follows: </w:t>
      </w:r>
    </w:p>
    <w:p w14:paraId="11FC4170" w14:textId="77777777" w:rsidR="002F1EE7" w:rsidRPr="002F1EE7" w:rsidRDefault="002F1EE7" w:rsidP="001E756E">
      <w:pPr>
        <w:pStyle w:val="Bullet1G"/>
      </w:pPr>
      <w:r w:rsidRPr="002F1EE7">
        <w:t>Development of a career profile for form three (3) students, and</w:t>
      </w:r>
    </w:p>
    <w:p w14:paraId="1567309E" w14:textId="77777777" w:rsidR="002F1EE7" w:rsidRPr="002F1EE7" w:rsidRDefault="002F1EE7" w:rsidP="001E756E">
      <w:pPr>
        <w:pStyle w:val="Bullet1G"/>
      </w:pPr>
      <w:r w:rsidRPr="002F1EE7">
        <w:t>Development of a five (5) year career plan for forms 3 to 6 students.</w:t>
      </w:r>
    </w:p>
    <w:p w14:paraId="2DC8C8A1" w14:textId="77777777" w:rsidR="002F1EE7" w:rsidRPr="002F1EE7" w:rsidRDefault="002F1EE7">
      <w:pPr>
        <w:pStyle w:val="SingleTxtG"/>
        <w:numPr>
          <w:ilvl w:val="0"/>
          <w:numId w:val="32"/>
        </w:numPr>
        <w:ind w:left="1134" w:firstLine="0"/>
      </w:pPr>
      <w:r w:rsidRPr="002F1EE7">
        <w:t xml:space="preserve">This encourages young persons to look at traditional as well as non-traditional careers. Some areas of non-traditional fields include the follows: </w:t>
      </w:r>
    </w:p>
    <w:p w14:paraId="0AC598E4" w14:textId="204168EF" w:rsidR="002F1EE7" w:rsidRPr="001E7D5B" w:rsidRDefault="002F1EE7" w:rsidP="001E7D5B">
      <w:pPr>
        <w:pStyle w:val="Bullet1G"/>
      </w:pPr>
      <w:r w:rsidRPr="001E7D5B">
        <w:t>Agriculture</w:t>
      </w:r>
      <w:r w:rsidR="001E7D5B">
        <w:t>;</w:t>
      </w:r>
    </w:p>
    <w:p w14:paraId="5987127B" w14:textId="65646CC7" w:rsidR="002F1EE7" w:rsidRPr="001E7D5B" w:rsidRDefault="002F1EE7" w:rsidP="001E7D5B">
      <w:pPr>
        <w:pStyle w:val="Bullet1G"/>
      </w:pPr>
      <w:r w:rsidRPr="001E7D5B">
        <w:t>Engineering</w:t>
      </w:r>
      <w:r w:rsidR="001E7D5B">
        <w:t>;</w:t>
      </w:r>
    </w:p>
    <w:p w14:paraId="2DDCE69B" w14:textId="58AE0D25" w:rsidR="002F1EE7" w:rsidRPr="001E7D5B" w:rsidRDefault="002F1EE7" w:rsidP="001E7D5B">
      <w:pPr>
        <w:pStyle w:val="Bullet1G"/>
      </w:pPr>
      <w:r w:rsidRPr="001E7D5B">
        <w:t>Construction Management</w:t>
      </w:r>
      <w:r w:rsidR="001E7D5B">
        <w:t>;</w:t>
      </w:r>
    </w:p>
    <w:p w14:paraId="0E878DB2" w14:textId="283B3223" w:rsidR="002F1EE7" w:rsidRPr="001E7D5B" w:rsidRDefault="002F1EE7" w:rsidP="001E7D5B">
      <w:pPr>
        <w:pStyle w:val="Bullet1G"/>
      </w:pPr>
      <w:r w:rsidRPr="001E7D5B">
        <w:t>Tourism</w:t>
      </w:r>
      <w:r w:rsidR="001E7D5B">
        <w:t>;</w:t>
      </w:r>
    </w:p>
    <w:p w14:paraId="0153A0C9" w14:textId="01FF3F90" w:rsidR="002F1EE7" w:rsidRPr="001E7D5B" w:rsidRDefault="002F1EE7" w:rsidP="001E7D5B">
      <w:pPr>
        <w:pStyle w:val="Bullet1G"/>
      </w:pPr>
      <w:r w:rsidRPr="001E7D5B">
        <w:t>Aviation</w:t>
      </w:r>
      <w:r w:rsidR="001E7D5B">
        <w:t>;</w:t>
      </w:r>
    </w:p>
    <w:p w14:paraId="004BFE90" w14:textId="3836186E" w:rsidR="002F1EE7" w:rsidRPr="001E7D5B" w:rsidRDefault="002F1EE7" w:rsidP="001E7D5B">
      <w:pPr>
        <w:pStyle w:val="Bullet1G"/>
      </w:pPr>
      <w:r w:rsidRPr="001E7D5B">
        <w:t>Automotive Technology</w:t>
      </w:r>
      <w:r w:rsidR="001E7D5B">
        <w:t>;</w:t>
      </w:r>
    </w:p>
    <w:p w14:paraId="7E718EFC" w14:textId="0E5418BF" w:rsidR="002F1EE7" w:rsidRPr="001E7D5B" w:rsidRDefault="002F1EE7" w:rsidP="001E7D5B">
      <w:pPr>
        <w:pStyle w:val="Bullet1G"/>
      </w:pPr>
      <w:r w:rsidRPr="001E7D5B">
        <w:t>Marine and environment</w:t>
      </w:r>
      <w:r w:rsidR="001E7D5B">
        <w:t>;</w:t>
      </w:r>
    </w:p>
    <w:p w14:paraId="6587597C" w14:textId="4B460744" w:rsidR="002F1EE7" w:rsidRPr="001E7D5B" w:rsidRDefault="002F1EE7" w:rsidP="001E7D5B">
      <w:pPr>
        <w:pStyle w:val="Bullet1G"/>
      </w:pPr>
      <w:r w:rsidRPr="001E7D5B">
        <w:t>ICT/Computers</w:t>
      </w:r>
      <w:r w:rsidR="001E7D5B">
        <w:t>;</w:t>
      </w:r>
    </w:p>
    <w:p w14:paraId="1480C8D6" w14:textId="77777777" w:rsidR="002F1EE7" w:rsidRPr="001E7D5B" w:rsidRDefault="002F1EE7" w:rsidP="001E7D5B">
      <w:pPr>
        <w:pStyle w:val="Bullet1G"/>
      </w:pPr>
      <w:r w:rsidRPr="001E7D5B">
        <w:t>Career and academic advisement are provided to males and females where necessary.</w:t>
      </w:r>
    </w:p>
    <w:p w14:paraId="03113DE4" w14:textId="77777777" w:rsidR="002F1EE7" w:rsidRPr="002F1EE7" w:rsidRDefault="002F1EE7">
      <w:pPr>
        <w:pStyle w:val="SingleTxtG"/>
        <w:numPr>
          <w:ilvl w:val="0"/>
          <w:numId w:val="32"/>
        </w:numPr>
        <w:ind w:left="1134" w:firstLine="0"/>
      </w:pPr>
      <w:r w:rsidRPr="002F1EE7">
        <w:t>The Secondary School HFLE curriculum encourages students to choose careers based on their personal interests.  All secondary students are exposed to various career choices and are given the opportunity to justify a career choice from the given options. Under the theme of self and interpersonal relationships and the topic of financial management the following content is covered at the Form 1 level: choices about education, career, job skills, talents, abilities, and creativity, life goals and ambition, a positive attitude or outlook, and job satisfaction. At the Form 3 level, under the theme of self and interpersonal relationships, the following content is addressed: identification of types of goals: short-term goals, long-term goals, and steps necessary for achieving goals.</w:t>
      </w:r>
    </w:p>
    <w:p w14:paraId="179C1662" w14:textId="27ABB646" w:rsidR="002F1EE7" w:rsidRPr="002F1EE7" w:rsidRDefault="00C351F0" w:rsidP="00C351F0">
      <w:pPr>
        <w:pStyle w:val="H23G"/>
      </w:pPr>
      <w:r>
        <w:tab/>
      </w:r>
      <w:r>
        <w:tab/>
      </w:r>
      <w:r w:rsidR="002F1EE7" w:rsidRPr="002F1EE7">
        <w:t>Age appropriate sexual and reproductive health rights education</w:t>
      </w:r>
    </w:p>
    <w:p w14:paraId="5A1358FC" w14:textId="77777777" w:rsidR="002F1EE7" w:rsidRPr="002F1EE7" w:rsidRDefault="002F1EE7">
      <w:pPr>
        <w:pStyle w:val="SingleTxtG"/>
        <w:numPr>
          <w:ilvl w:val="0"/>
          <w:numId w:val="32"/>
        </w:numPr>
        <w:ind w:left="1134" w:firstLine="0"/>
      </w:pPr>
      <w:r w:rsidRPr="002F1EE7">
        <w:t xml:space="preserve">The Health and Family Life Education Curriculum (HFLE) at the Secondary level, teaches students how to demonstrate an understanding of the concept of human sexuality as an integral part of the total person that finds expression throughout the life cycle. Under the theme of sexuality and sexual health, the curriculum: </w:t>
      </w:r>
    </w:p>
    <w:p w14:paraId="33499BE8" w14:textId="7B4EA7DE" w:rsidR="002F1EE7" w:rsidRPr="00C351F0" w:rsidRDefault="00C351F0" w:rsidP="00C351F0">
      <w:pPr>
        <w:pStyle w:val="SingleTxtG"/>
      </w:pPr>
      <w:r>
        <w:tab/>
        <w:t>(a)</w:t>
      </w:r>
      <w:r>
        <w:tab/>
      </w:r>
      <w:r w:rsidR="002F1EE7" w:rsidRPr="00C351F0">
        <w:t xml:space="preserve">Analyses the influence of socio-cultural and economic factors as well as personal beliefs on the expression of sexuality and sexual choices; </w:t>
      </w:r>
    </w:p>
    <w:p w14:paraId="29EEDD63" w14:textId="54DE0768" w:rsidR="002F1EE7" w:rsidRPr="00C351F0" w:rsidRDefault="00C351F0" w:rsidP="00C351F0">
      <w:pPr>
        <w:pStyle w:val="SingleTxtG"/>
      </w:pPr>
      <w:r>
        <w:tab/>
        <w:t>(b)</w:t>
      </w:r>
      <w:r>
        <w:tab/>
      </w:r>
      <w:r w:rsidR="002F1EE7" w:rsidRPr="00C351F0">
        <w:t>Builds individual capacity to recognise the basic criteria and conditions for optimal reproductive health;</w:t>
      </w:r>
    </w:p>
    <w:p w14:paraId="4BAFEB17" w14:textId="73E75221" w:rsidR="002F1EE7" w:rsidRPr="00C351F0" w:rsidRDefault="00C351F0" w:rsidP="00C351F0">
      <w:pPr>
        <w:pStyle w:val="SingleTxtG"/>
      </w:pPr>
      <w:r>
        <w:tab/>
        <w:t>(c)</w:t>
      </w:r>
      <w:r>
        <w:tab/>
      </w:r>
      <w:r w:rsidR="002F1EE7" w:rsidRPr="00C351F0">
        <w:t xml:space="preserve">Develops action competence to reduce vulnerability to priority problems, including HIV/AIDS, cervical cancer, and STIs; and </w:t>
      </w:r>
    </w:p>
    <w:p w14:paraId="36DAC02D" w14:textId="0E4A312C" w:rsidR="002F1EE7" w:rsidRPr="00C351F0" w:rsidRDefault="00C351F0" w:rsidP="00C351F0">
      <w:pPr>
        <w:pStyle w:val="SingleTxtG"/>
      </w:pPr>
      <w:r>
        <w:tab/>
        <w:t>(d)</w:t>
      </w:r>
      <w:r>
        <w:tab/>
      </w:r>
      <w:r w:rsidR="002F1EE7" w:rsidRPr="00C351F0">
        <w:t>Develops knowledge and skills to access age-appropriate sources of health information.</w:t>
      </w:r>
    </w:p>
    <w:p w14:paraId="293AB285" w14:textId="23356B9E" w:rsidR="002F1EE7" w:rsidRPr="002F1EE7" w:rsidRDefault="00C351F0" w:rsidP="00C351F0">
      <w:pPr>
        <w:pStyle w:val="H1G"/>
      </w:pPr>
      <w:r>
        <w:tab/>
      </w:r>
      <w:r>
        <w:tab/>
      </w:r>
      <w:r w:rsidR="002F1EE7" w:rsidRPr="002F1EE7">
        <w:t xml:space="preserve">Question 17 – Employment </w:t>
      </w:r>
    </w:p>
    <w:p w14:paraId="4BDF5C5A" w14:textId="7661D1FC" w:rsidR="002F1EE7" w:rsidRPr="002F1EE7" w:rsidRDefault="002F1EE7" w:rsidP="00C351F0">
      <w:pPr>
        <w:pStyle w:val="H23G"/>
      </w:pPr>
      <w:r w:rsidRPr="002F1EE7">
        <w:t xml:space="preserve">- </w:t>
      </w:r>
      <w:r w:rsidR="00C351F0">
        <w:tab/>
      </w:r>
      <w:r w:rsidR="00C351F0">
        <w:tab/>
      </w:r>
      <w:r w:rsidRPr="002F1EE7">
        <w:t>Transform and reduce the informal sector of employment</w:t>
      </w:r>
    </w:p>
    <w:p w14:paraId="52E6CB56" w14:textId="77777777" w:rsidR="002F1EE7" w:rsidRPr="002F1EE7" w:rsidRDefault="002F1EE7">
      <w:pPr>
        <w:pStyle w:val="SingleTxtG"/>
        <w:numPr>
          <w:ilvl w:val="0"/>
          <w:numId w:val="32"/>
        </w:numPr>
        <w:ind w:left="1134" w:firstLine="0"/>
        <w:rPr>
          <w:iCs/>
          <w:lang w:val="en-TT"/>
        </w:rPr>
      </w:pPr>
      <w:r w:rsidRPr="002F1EE7">
        <w:rPr>
          <w:iCs/>
          <w:lang w:val="en-TT"/>
        </w:rPr>
        <w:t xml:space="preserve">The Ministry of Labour (MoL) continues to take steps to protect the rights of all workers and provide minimum standards on their treatment. As such, in an effort to reduce informality the MoL has sought to implement the </w:t>
      </w:r>
      <w:r w:rsidRPr="005E1C13">
        <w:t>following</w:t>
      </w:r>
      <w:r w:rsidRPr="002F1EE7">
        <w:rPr>
          <w:iCs/>
          <w:lang w:val="en-TT"/>
        </w:rPr>
        <w:t xml:space="preserve"> measures: </w:t>
      </w:r>
    </w:p>
    <w:p w14:paraId="392C7987" w14:textId="77777777" w:rsidR="002F1EE7" w:rsidRPr="002F1EE7" w:rsidRDefault="002F1EE7">
      <w:pPr>
        <w:pStyle w:val="SingleTxtG"/>
        <w:numPr>
          <w:ilvl w:val="0"/>
          <w:numId w:val="32"/>
        </w:numPr>
        <w:ind w:left="1134" w:firstLine="0"/>
        <w:rPr>
          <w:iCs/>
          <w:lang w:val="en-TT"/>
        </w:rPr>
      </w:pPr>
      <w:r w:rsidRPr="00C351F0">
        <w:rPr>
          <w:bCs/>
          <w:i/>
          <w:lang w:val="en-US"/>
        </w:rPr>
        <w:t>National Workplace Policies:</w:t>
      </w:r>
      <w:r w:rsidRPr="002F1EE7">
        <w:rPr>
          <w:iCs/>
          <w:lang w:val="en-US"/>
        </w:rPr>
        <w:t xml:space="preserve"> </w:t>
      </w:r>
      <w:r w:rsidRPr="002F1EE7">
        <w:rPr>
          <w:iCs/>
          <w:lang w:val="en-TT"/>
        </w:rPr>
        <w:t xml:space="preserve">The MoL also has Policies that address workplace issues such as the National Workplace </w:t>
      </w:r>
      <w:r w:rsidRPr="005E1C13">
        <w:t>Policy</w:t>
      </w:r>
      <w:r w:rsidRPr="002F1EE7">
        <w:rPr>
          <w:iCs/>
          <w:lang w:val="en-TT"/>
        </w:rPr>
        <w:t xml:space="preserve"> on Sexual Harassment (NWPSH) and the National Workplace Policy on HIV and AIDS. The MOL continues to implement and </w:t>
      </w:r>
      <w:r w:rsidRPr="002F1EE7">
        <w:rPr>
          <w:iCs/>
          <w:lang w:val="en-TT"/>
        </w:rPr>
        <w:lastRenderedPageBreak/>
        <w:t xml:space="preserve">conduct awareness, sensitisation, education and advocacy sessions on these policies throughout Trinidad and Tobago inclusive of workspaces within the informal economy. </w:t>
      </w:r>
    </w:p>
    <w:p w14:paraId="611A215F" w14:textId="77777777" w:rsidR="002F1EE7" w:rsidRPr="002F1EE7" w:rsidRDefault="002F1EE7">
      <w:pPr>
        <w:pStyle w:val="SingleTxtG"/>
        <w:numPr>
          <w:ilvl w:val="0"/>
          <w:numId w:val="32"/>
        </w:numPr>
        <w:ind w:left="1134" w:firstLine="0"/>
        <w:rPr>
          <w:iCs/>
          <w:lang w:val="en-TT"/>
        </w:rPr>
      </w:pPr>
      <w:r w:rsidRPr="00C351F0">
        <w:rPr>
          <w:bCs/>
          <w:i/>
          <w:lang w:val="en-TT"/>
        </w:rPr>
        <w:t>Labour Inspections:</w:t>
      </w:r>
      <w:r w:rsidRPr="002F1EE7">
        <w:rPr>
          <w:iCs/>
          <w:lang w:val="en-TT"/>
        </w:rPr>
        <w:t xml:space="preserve"> The Labour Inspectorate Unit (LIU) is responsible for enforcing several pieces of legislation including the </w:t>
      </w:r>
      <w:r w:rsidRPr="00C351F0">
        <w:rPr>
          <w:iCs/>
          <w:lang w:val="en-TT"/>
        </w:rPr>
        <w:t>Minimum Wages (Household Assistants) Order, 1991. In executing this responsibility, the LIU could positively impact the transition of female domestic workers from the informal to the formal sector</w:t>
      </w:r>
      <w:r w:rsidRPr="002F1EE7">
        <w:rPr>
          <w:iCs/>
          <w:lang w:val="en-TT"/>
        </w:rPr>
        <w:t xml:space="preserve">.  </w:t>
      </w:r>
    </w:p>
    <w:p w14:paraId="251DFB6E" w14:textId="77777777" w:rsidR="002F1EE7" w:rsidRPr="002F1EE7" w:rsidRDefault="002F1EE7">
      <w:pPr>
        <w:pStyle w:val="SingleTxtG"/>
        <w:numPr>
          <w:ilvl w:val="0"/>
          <w:numId w:val="32"/>
        </w:numPr>
        <w:ind w:left="1134" w:firstLine="0"/>
        <w:rPr>
          <w:iCs/>
          <w:lang w:val="en-TT"/>
        </w:rPr>
      </w:pPr>
      <w:r w:rsidRPr="006306BE">
        <w:rPr>
          <w:bCs/>
          <w:i/>
          <w:lang w:val="en-US"/>
        </w:rPr>
        <w:t>Promoting Rights and Responsibilities in the Workplace:</w:t>
      </w:r>
      <w:r w:rsidRPr="002F1EE7">
        <w:rPr>
          <w:b/>
          <w:iCs/>
          <w:lang w:val="en-US"/>
        </w:rPr>
        <w:t xml:space="preserve"> </w:t>
      </w:r>
      <w:r w:rsidRPr="002F1EE7">
        <w:rPr>
          <w:iCs/>
          <w:lang w:val="en-TT"/>
        </w:rPr>
        <w:t xml:space="preserve">The challenge of enforcing labour legislation in the case </w:t>
      </w:r>
      <w:r w:rsidRPr="005E1C13">
        <w:t>of</w:t>
      </w:r>
      <w:r w:rsidRPr="002F1EE7">
        <w:rPr>
          <w:iCs/>
          <w:lang w:val="en-TT"/>
        </w:rPr>
        <w:t xml:space="preserve"> informality, is that these informal workers can be invisible to the Labour Inspectorate. Further, informal workers may not be aware of the protection available to them or that they can file a complaint despite their status. To address this misconception, the MoL provides information and advice about the benefits of formal employment, such as access to minimum wage, and other terms and conditions of employment such as overtime, sick leave and vacation leave. Also, employers and workers in the informal sector may not recognise the benefits in the accessing social security through National Insurance Services (NIS). Labour Inspectors also help to raise awareness of these benefits and explain to workers and employers and how to access them.</w:t>
      </w:r>
    </w:p>
    <w:p w14:paraId="5A814732" w14:textId="77777777" w:rsidR="002F1EE7" w:rsidRPr="002F1EE7" w:rsidRDefault="002F1EE7">
      <w:pPr>
        <w:pStyle w:val="SingleTxtG"/>
        <w:numPr>
          <w:ilvl w:val="0"/>
          <w:numId w:val="32"/>
        </w:numPr>
        <w:ind w:left="1134" w:firstLine="0"/>
        <w:rPr>
          <w:iCs/>
          <w:lang w:val="en-TT"/>
        </w:rPr>
      </w:pPr>
      <w:r w:rsidRPr="002F1EE7">
        <w:rPr>
          <w:iCs/>
          <w:lang w:val="en-TT"/>
        </w:rPr>
        <w:t xml:space="preserve">Specifically, in the case of domestic workers, the MoL conducted an initiative to get domestic work recognised by the public as a form of work. Labour Inspectors also work with domestic workers on an ongoing basis to help them understand their rights. This has helped to improve the working conditions of domestic workers and has also made it easier for them to access legal recourse if they are exploited. </w:t>
      </w:r>
    </w:p>
    <w:p w14:paraId="73580D68" w14:textId="77777777" w:rsidR="002F1EE7" w:rsidRPr="002F1EE7" w:rsidRDefault="002F1EE7">
      <w:pPr>
        <w:pStyle w:val="SingleTxtG"/>
        <w:numPr>
          <w:ilvl w:val="0"/>
          <w:numId w:val="32"/>
        </w:numPr>
        <w:ind w:left="1134" w:firstLine="0"/>
        <w:rPr>
          <w:iCs/>
          <w:lang w:val="en-TT"/>
        </w:rPr>
      </w:pPr>
      <w:r w:rsidRPr="002F1EE7">
        <w:rPr>
          <w:iCs/>
          <w:lang w:val="en-TT"/>
        </w:rPr>
        <w:t xml:space="preserve">During the period October 2022 to June 2023, the Ministry through the Labour Inspectorate Unit (LIU) provided information </w:t>
      </w:r>
      <w:r w:rsidRPr="005E1C13">
        <w:t>and</w:t>
      </w:r>
      <w:r w:rsidRPr="002F1EE7">
        <w:rPr>
          <w:iCs/>
          <w:lang w:val="en-TT"/>
        </w:rPr>
        <w:t xml:space="preserve"> advice about labour rights and responsibilities to 186 walk-in clients as well as via telephone to 410 clients.</w:t>
      </w:r>
    </w:p>
    <w:p w14:paraId="77C42769" w14:textId="2AB4F8EA" w:rsidR="002F1EE7" w:rsidRPr="002F1EE7" w:rsidRDefault="005375CC" w:rsidP="006306BE">
      <w:pPr>
        <w:pStyle w:val="H23G"/>
      </w:pPr>
      <w:r>
        <w:tab/>
      </w:r>
      <w:r>
        <w:tab/>
      </w:r>
      <w:r w:rsidR="002F1EE7" w:rsidRPr="002F1EE7">
        <w:t>Amendment of the Industrial Relations Act to include domestic workers as a worker</w:t>
      </w:r>
    </w:p>
    <w:p w14:paraId="3B28E553" w14:textId="77777777" w:rsidR="002F1EE7" w:rsidRPr="002F1EE7" w:rsidRDefault="002F1EE7">
      <w:pPr>
        <w:pStyle w:val="SingleTxtG"/>
        <w:numPr>
          <w:ilvl w:val="0"/>
          <w:numId w:val="32"/>
        </w:numPr>
        <w:ind w:left="1134" w:firstLine="0"/>
      </w:pPr>
      <w:r w:rsidRPr="002F1EE7">
        <w:t>Amendment to the</w:t>
      </w:r>
      <w:r w:rsidRPr="002F1EE7">
        <w:rPr>
          <w:b/>
        </w:rPr>
        <w:t xml:space="preserve"> Industrial Relations Act Chapter 88:01</w:t>
      </w:r>
      <w:r w:rsidRPr="002F1EE7">
        <w:t xml:space="preserve"> (IRA) remains an urgent legislative priority at the MoL. Stakeholder consultations on the Industrial Relations Act were conducted both in Trinidad and Tobago by the MoL in 2016. Following the receipt of comments, further stakeholder engagement was conducted through the Labour Legislation Reform Project Tripartite Working Group. The Report of the Working Group formed the basis for the preparation of the Draft Policy Paper for the Amendment of the Industrial Relations Act, Chapter 88:01, which was submitted to Cabinet in January 2017 for consideration and approval. Cabinet referred the matter to the National Tripartite Advisory Council (NTAC) in November 2017. </w:t>
      </w:r>
    </w:p>
    <w:p w14:paraId="32B8BBB5" w14:textId="77777777" w:rsidR="002F1EE7" w:rsidRPr="005375CC" w:rsidRDefault="002F1EE7">
      <w:pPr>
        <w:pStyle w:val="SingleTxtG"/>
        <w:numPr>
          <w:ilvl w:val="0"/>
          <w:numId w:val="32"/>
        </w:numPr>
        <w:ind w:left="1134" w:firstLine="0"/>
      </w:pPr>
      <w:r w:rsidRPr="002F1EE7">
        <w:rPr>
          <w:bCs/>
          <w:iCs/>
          <w:lang w:val="en-TT"/>
        </w:rPr>
        <w:t>Further</w:t>
      </w:r>
      <w:r w:rsidRPr="002F1EE7">
        <w:t xml:space="preserve"> to a request from the NTAC, the Tripartite Working Group was reconvened in September 2019 to provide recommendations in respect of the inclusion of Domestic Workers as "Workers" under the Industrial Relations Act. The report which was submitted to the Honourable Minister, included a recommendation to define "Domestic Work" as “work performed in or for a household or households”; and "Domestic Worker" as “any person engaged in domestic work within an employment relationship”. Distinction was made that “a person who performs domestic work only occasionally or sporadically and not on an occupational basis is not a domestic worker”. These definitions are in accordance with </w:t>
      </w:r>
      <w:r w:rsidRPr="005375CC">
        <w:t>International Labour Organisation, Convention No. 189 on Domestic Workers.</w:t>
      </w:r>
    </w:p>
    <w:p w14:paraId="1E774666" w14:textId="77777777" w:rsidR="002F1EE7" w:rsidRPr="002F1EE7" w:rsidRDefault="002F1EE7">
      <w:pPr>
        <w:pStyle w:val="SingleTxtG"/>
        <w:numPr>
          <w:ilvl w:val="0"/>
          <w:numId w:val="32"/>
        </w:numPr>
        <w:ind w:left="1134" w:firstLine="0"/>
      </w:pPr>
      <w:r w:rsidRPr="002F1EE7">
        <w:t>It was deemed crucial to include these definitions since doing so would give domestic workers some protection and the opportunity to benefit from access to labour rights. In addition, as stipulated by Part V of the Industrial Relations Act, to guarantee that any aggrieved domestic workers have a channel through which to take their trade issues before the Industrial Court. A Draft Policy Position Paper on the Industrial Relations Act addressing these and other concerns was submitted to Cabinet in November 10, 2022 and is awaiting feedback.</w:t>
      </w:r>
    </w:p>
    <w:p w14:paraId="50D6ABC4" w14:textId="2CE45586" w:rsidR="002F1EE7" w:rsidRPr="002F1EE7" w:rsidRDefault="005375CC" w:rsidP="005375CC">
      <w:pPr>
        <w:pStyle w:val="H23G"/>
      </w:pPr>
      <w:r>
        <w:tab/>
      </w:r>
      <w:r>
        <w:tab/>
      </w:r>
      <w:r w:rsidR="002F1EE7" w:rsidRPr="002F1EE7">
        <w:t>Ratification of ILO Domestic Workers Convention, 2011 (No. 189)</w:t>
      </w:r>
    </w:p>
    <w:p w14:paraId="568861C8" w14:textId="77777777" w:rsidR="002F1EE7" w:rsidRPr="002F1EE7" w:rsidRDefault="002F1EE7">
      <w:pPr>
        <w:pStyle w:val="SingleTxtG"/>
        <w:numPr>
          <w:ilvl w:val="0"/>
          <w:numId w:val="32"/>
        </w:numPr>
        <w:ind w:left="1134" w:firstLine="0"/>
      </w:pPr>
      <w:r w:rsidRPr="002F1EE7">
        <w:t>In 2020, the ILO 144 Tripartite Consultative Committee recommended to the government that Trinidad and Tobago should ratify Convention No. 189.</w:t>
      </w:r>
    </w:p>
    <w:p w14:paraId="56D8924C" w14:textId="02D1820B" w:rsidR="002F1EE7" w:rsidRPr="002F1EE7" w:rsidRDefault="005375CC" w:rsidP="005375CC">
      <w:pPr>
        <w:pStyle w:val="H23G"/>
      </w:pPr>
      <w:r>
        <w:lastRenderedPageBreak/>
        <w:tab/>
      </w:r>
      <w:r>
        <w:tab/>
      </w:r>
      <w:r w:rsidR="002F1EE7" w:rsidRPr="002F1EE7">
        <w:t xml:space="preserve">Adoption of sexual harassment legislation </w:t>
      </w:r>
    </w:p>
    <w:p w14:paraId="4D71462D" w14:textId="77777777" w:rsidR="002F1EE7" w:rsidRPr="002F1EE7" w:rsidRDefault="002F1EE7">
      <w:pPr>
        <w:pStyle w:val="SingleTxtG"/>
        <w:numPr>
          <w:ilvl w:val="0"/>
          <w:numId w:val="32"/>
        </w:numPr>
        <w:ind w:left="1134" w:firstLine="0"/>
      </w:pPr>
      <w:r w:rsidRPr="002F1EE7">
        <w:t xml:space="preserve">The GORTT recognizes that sexual harassment is a violation of fundamental human rights and adversely affects the working environment, undermines gender equality at work, creates unfair practices in employment, and negatively impacts the dignity and wellbeing of all workers, their homes, organisations, and the community as a whole. </w:t>
      </w:r>
    </w:p>
    <w:p w14:paraId="00A58508" w14:textId="77777777" w:rsidR="002F1EE7" w:rsidRPr="002F1EE7" w:rsidRDefault="002F1EE7">
      <w:pPr>
        <w:pStyle w:val="SingleTxtG"/>
        <w:numPr>
          <w:ilvl w:val="0"/>
          <w:numId w:val="32"/>
        </w:numPr>
        <w:ind w:left="1134" w:firstLine="0"/>
      </w:pPr>
      <w:r w:rsidRPr="002F1EE7">
        <w:t>In the absence of specific legislation, Trinidad and Tobago is guided by international law standards and relevant local legislation such as:</w:t>
      </w:r>
    </w:p>
    <w:p w14:paraId="68ED2566" w14:textId="77777777" w:rsidR="002F1EE7" w:rsidRPr="005375CC" w:rsidRDefault="002F1EE7" w:rsidP="005375CC">
      <w:pPr>
        <w:pStyle w:val="Bullet1G"/>
      </w:pPr>
      <w:r w:rsidRPr="005375CC">
        <w:t>Convention on the Elimination of all Forms of Discrimination Against Women (CEDAW);</w:t>
      </w:r>
    </w:p>
    <w:p w14:paraId="6CC09B4F" w14:textId="77777777" w:rsidR="002F1EE7" w:rsidRPr="005375CC" w:rsidRDefault="002F1EE7" w:rsidP="005375CC">
      <w:pPr>
        <w:pStyle w:val="Bullet1G"/>
      </w:pPr>
      <w:r w:rsidRPr="005375CC">
        <w:t xml:space="preserve">International Labour Organisation (ILO) Convention (No.111) 1958 on Discrimination in Respect of Employment; </w:t>
      </w:r>
    </w:p>
    <w:p w14:paraId="34132886" w14:textId="77777777" w:rsidR="002F1EE7" w:rsidRPr="005375CC" w:rsidRDefault="002F1EE7" w:rsidP="005375CC">
      <w:pPr>
        <w:pStyle w:val="Bullet1G"/>
      </w:pPr>
      <w:r w:rsidRPr="005375CC">
        <w:t xml:space="preserve">Constitution of the Republic of Trinidad and Tobago Act, Chapter 1:01; </w:t>
      </w:r>
    </w:p>
    <w:p w14:paraId="5E067C36" w14:textId="77777777" w:rsidR="002F1EE7" w:rsidRPr="005375CC" w:rsidRDefault="002F1EE7" w:rsidP="005375CC">
      <w:pPr>
        <w:pStyle w:val="Bullet1G"/>
      </w:pPr>
      <w:r w:rsidRPr="005375CC">
        <w:t xml:space="preserve">Equal Opportunity Act, of the Laws of Trinidad and Tobago, Chapter 22:03; </w:t>
      </w:r>
    </w:p>
    <w:p w14:paraId="39D81429" w14:textId="77777777" w:rsidR="002F1EE7" w:rsidRPr="005375CC" w:rsidRDefault="002F1EE7" w:rsidP="005375CC">
      <w:pPr>
        <w:pStyle w:val="Bullet1G"/>
      </w:pPr>
      <w:r w:rsidRPr="005375CC">
        <w:t xml:space="preserve">Occupational Safety and Health Act Chapter 88:08; </w:t>
      </w:r>
    </w:p>
    <w:p w14:paraId="318A3BFE" w14:textId="77777777" w:rsidR="002F1EE7" w:rsidRPr="005375CC" w:rsidRDefault="002F1EE7" w:rsidP="005375CC">
      <w:pPr>
        <w:pStyle w:val="Bullet1G"/>
      </w:pPr>
      <w:r w:rsidRPr="005375CC">
        <w:t>Sexual Offences Act, Chapter 11:28; and</w:t>
      </w:r>
    </w:p>
    <w:p w14:paraId="1F2C439C" w14:textId="77777777" w:rsidR="002F1EE7" w:rsidRPr="005375CC" w:rsidRDefault="002F1EE7" w:rsidP="005375CC">
      <w:pPr>
        <w:pStyle w:val="Bullet1G"/>
      </w:pPr>
      <w:r w:rsidRPr="005375CC">
        <w:t>National Workplace Policy on Sexual Harassment.</w:t>
      </w:r>
    </w:p>
    <w:p w14:paraId="7A233705" w14:textId="77777777" w:rsidR="002F1EE7" w:rsidRPr="002F1EE7" w:rsidRDefault="002F1EE7">
      <w:pPr>
        <w:pStyle w:val="SingleTxtG"/>
        <w:numPr>
          <w:ilvl w:val="0"/>
          <w:numId w:val="32"/>
        </w:numPr>
        <w:ind w:left="1134" w:firstLine="0"/>
      </w:pPr>
      <w:r w:rsidRPr="002F1EE7">
        <w:t>Noteworthy that in the interim of specific legislation being developed, the CAAD of the MoL, engages in several activities to address sexual harassment in the workplace. These include:</w:t>
      </w:r>
    </w:p>
    <w:p w14:paraId="3402B6FA" w14:textId="17F00789" w:rsidR="002F1EE7" w:rsidRPr="00EA5B89" w:rsidRDefault="00EA5B89" w:rsidP="00EA5B89">
      <w:pPr>
        <w:pStyle w:val="SingleTxtG"/>
      </w:pPr>
      <w:r>
        <w:tab/>
        <w:t>(a)</w:t>
      </w:r>
      <w:r>
        <w:tab/>
      </w:r>
      <w:r w:rsidR="002F1EE7" w:rsidRPr="00EA5B89">
        <w:t>National Trilingual Sexual Harassment in the Workplace (Toll-free) Helpline - 800-CAAD;</w:t>
      </w:r>
    </w:p>
    <w:p w14:paraId="673255EE" w14:textId="429299A4" w:rsidR="002F1EE7" w:rsidRPr="00EA5B89" w:rsidRDefault="00EA5B89" w:rsidP="00EA5B89">
      <w:pPr>
        <w:pStyle w:val="SingleTxtG"/>
      </w:pPr>
      <w:r>
        <w:tab/>
        <w:t>(b)</w:t>
      </w:r>
      <w:r>
        <w:tab/>
      </w:r>
      <w:r w:rsidR="002F1EE7" w:rsidRPr="00EA5B89">
        <w:t>Qualitative- Conciliation and Labour Relations Officers (CLROs) (gender, age, industry, nature of harassment, steps taken, policy awareness, time gap between occurrence and seeking redress)</w:t>
      </w:r>
      <w:r w:rsidR="00BA238E">
        <w:t>;</w:t>
      </w:r>
    </w:p>
    <w:p w14:paraId="111785BF" w14:textId="4CC3C4DC" w:rsidR="002F1EE7" w:rsidRPr="00EA5B89" w:rsidRDefault="00EA5B89" w:rsidP="00EA5B89">
      <w:pPr>
        <w:pStyle w:val="SingleTxtG"/>
      </w:pPr>
      <w:r>
        <w:tab/>
        <w:t>(c)</w:t>
      </w:r>
      <w:r>
        <w:tab/>
      </w:r>
      <w:r w:rsidR="002F1EE7" w:rsidRPr="00EA5B89">
        <w:t>Dedicated Email address for SH matters - shcaad@gov.tt;</w:t>
      </w:r>
    </w:p>
    <w:p w14:paraId="4E72B4A5" w14:textId="4F3E3288" w:rsidR="002F1EE7" w:rsidRPr="00EA5B89" w:rsidRDefault="00EA5B89" w:rsidP="00EA5B89">
      <w:pPr>
        <w:pStyle w:val="SingleTxtG"/>
      </w:pPr>
      <w:r>
        <w:tab/>
        <w:t>(d)</w:t>
      </w:r>
      <w:r>
        <w:tab/>
      </w:r>
      <w:r w:rsidR="002F1EE7" w:rsidRPr="00EA5B89">
        <w:t>Trade Dispute Register;</w:t>
      </w:r>
    </w:p>
    <w:p w14:paraId="218909FD" w14:textId="564AEC51" w:rsidR="002F1EE7" w:rsidRPr="00EA5B89" w:rsidRDefault="00EA5B89" w:rsidP="00EA5B89">
      <w:pPr>
        <w:pStyle w:val="SingleTxtG"/>
      </w:pPr>
      <w:r>
        <w:tab/>
        <w:t>(e)</w:t>
      </w:r>
      <w:r>
        <w:tab/>
      </w:r>
      <w:r w:rsidR="002F1EE7" w:rsidRPr="00EA5B89">
        <w:t>Requests for Extensions of Time Register - CAAD email/document management records, CLROs;</w:t>
      </w:r>
    </w:p>
    <w:p w14:paraId="215105E7" w14:textId="4D9FF92F" w:rsidR="002F1EE7" w:rsidRPr="00EA5B89" w:rsidRDefault="00EA5B89" w:rsidP="00EA5B89">
      <w:pPr>
        <w:pStyle w:val="SingleTxtG"/>
      </w:pPr>
      <w:r>
        <w:tab/>
        <w:t>(f)</w:t>
      </w:r>
      <w:r>
        <w:tab/>
      </w:r>
      <w:r w:rsidR="002F1EE7" w:rsidRPr="00EA5B89">
        <w:t>Walk-in Client Forms;</w:t>
      </w:r>
    </w:p>
    <w:p w14:paraId="3C5C4456" w14:textId="3C859717" w:rsidR="002F1EE7" w:rsidRPr="00EA5B89" w:rsidRDefault="00EA5B89" w:rsidP="00EA5B89">
      <w:pPr>
        <w:pStyle w:val="SingleTxtG"/>
      </w:pPr>
      <w:r>
        <w:tab/>
        <w:t>(g)</w:t>
      </w:r>
      <w:r>
        <w:tab/>
      </w:r>
      <w:r w:rsidR="002F1EE7" w:rsidRPr="00EA5B89">
        <w:t>Call-in Client Forms from MoL direct landline, excluding Helpline;</w:t>
      </w:r>
    </w:p>
    <w:p w14:paraId="3AB673C7" w14:textId="292DC045" w:rsidR="002F1EE7" w:rsidRPr="00EA5B89" w:rsidRDefault="00EA5B89" w:rsidP="00EA5B89">
      <w:pPr>
        <w:pStyle w:val="SingleTxtG"/>
      </w:pPr>
      <w:r>
        <w:tab/>
        <w:t>(h)</w:t>
      </w:r>
      <w:r>
        <w:tab/>
      </w:r>
      <w:r w:rsidR="002F1EE7" w:rsidRPr="00EA5B89">
        <w:t>National Sexual Harassment in the Workplace Survey and Study (Public and private sectors). This is to be undertaken in order to obtain baseline information on SH matters in Trinidad and Tobago and is carded for June 2024; and</w:t>
      </w:r>
    </w:p>
    <w:p w14:paraId="04847FA6" w14:textId="3C87E710" w:rsidR="002F1EE7" w:rsidRPr="00EA5B89" w:rsidRDefault="00EA5B89" w:rsidP="00EA5B89">
      <w:pPr>
        <w:pStyle w:val="SingleTxtG"/>
      </w:pPr>
      <w:r>
        <w:tab/>
        <w:t>(i)</w:t>
      </w:r>
      <w:r>
        <w:tab/>
      </w:r>
      <w:r w:rsidR="002F1EE7" w:rsidRPr="00EA5B89">
        <w:t>Sexual Harassment Employer Logs.</w:t>
      </w:r>
    </w:p>
    <w:p w14:paraId="2B202050" w14:textId="7705CDD4" w:rsidR="002F1EE7" w:rsidRPr="002F1EE7" w:rsidRDefault="002F1EE7">
      <w:pPr>
        <w:pStyle w:val="SingleTxtG"/>
        <w:numPr>
          <w:ilvl w:val="0"/>
          <w:numId w:val="32"/>
        </w:numPr>
        <w:ind w:left="1134" w:firstLine="0"/>
      </w:pPr>
      <w:r w:rsidRPr="002F1EE7">
        <w:t>The CAAD has adopted the following measures that encourage compliance and ensure keen service delivery, including</w:t>
      </w:r>
      <w:r w:rsidR="005F1FF7">
        <w:t>:</w:t>
      </w:r>
    </w:p>
    <w:p w14:paraId="0A845D21" w14:textId="21A0DBCD" w:rsidR="002F1EE7" w:rsidRPr="005F1FF7" w:rsidRDefault="005F1FF7" w:rsidP="005F1FF7">
      <w:pPr>
        <w:pStyle w:val="SingleTxtG"/>
      </w:pPr>
      <w:r>
        <w:tab/>
        <w:t>(a)</w:t>
      </w:r>
      <w:r>
        <w:tab/>
      </w:r>
      <w:r w:rsidR="002F1EE7" w:rsidRPr="005F1FF7">
        <w:t>Radio, television and social media campaign, "Know it...Stop it", aimed at increasing awareness and gaining the trust of the working population through sensitization on the NWPSH;</w:t>
      </w:r>
    </w:p>
    <w:p w14:paraId="12F57A15" w14:textId="79ABCFC2" w:rsidR="002F1EE7" w:rsidRPr="005F1FF7" w:rsidRDefault="005F1FF7" w:rsidP="005F1FF7">
      <w:pPr>
        <w:pStyle w:val="SingleTxtG"/>
      </w:pPr>
      <w:r>
        <w:tab/>
        <w:t>(b)</w:t>
      </w:r>
      <w:r>
        <w:tab/>
      </w:r>
      <w:r w:rsidR="002F1EE7" w:rsidRPr="005F1FF7">
        <w:t>Workplace SH testimonial features, including a series of graphics depicting scenarios of Sexual Harassment in the Workplace that are more relatable and understandable to the public;</w:t>
      </w:r>
    </w:p>
    <w:p w14:paraId="6E5928DB" w14:textId="05E89796" w:rsidR="002F1EE7" w:rsidRPr="005F1FF7" w:rsidRDefault="005F1FF7" w:rsidP="005F1FF7">
      <w:pPr>
        <w:pStyle w:val="SingleTxtG"/>
      </w:pPr>
      <w:r>
        <w:tab/>
        <w:t>(c)</w:t>
      </w:r>
      <w:r>
        <w:tab/>
      </w:r>
      <w:r w:rsidR="002F1EE7" w:rsidRPr="005F1FF7">
        <w:t>Partnership with the International Organization for Migration (IOM), and translation of radio and television advertisements and SH Brochures to Spanish, to ensure that Spanish speaking migrants could also access this information;</w:t>
      </w:r>
    </w:p>
    <w:p w14:paraId="6D81405C" w14:textId="34537D2C" w:rsidR="002F1EE7" w:rsidRPr="005F1FF7" w:rsidRDefault="005F1FF7" w:rsidP="005F1FF7">
      <w:pPr>
        <w:pStyle w:val="SingleTxtG"/>
      </w:pPr>
      <w:r>
        <w:lastRenderedPageBreak/>
        <w:tab/>
        <w:t>(d)</w:t>
      </w:r>
      <w:r>
        <w:tab/>
      </w:r>
      <w:r w:rsidR="002F1EE7" w:rsidRPr="005F1FF7">
        <w:t>Ongoing One-on-One Training and Outreach sessions on NWPSH for employers within the public and private sectors, including the Trinidad and Tobago Association for the Hearing Impaired, to include more vulnerable groups; and</w:t>
      </w:r>
    </w:p>
    <w:p w14:paraId="128EEB5B" w14:textId="4D0722C9" w:rsidR="002F1EE7" w:rsidRPr="005F1FF7" w:rsidRDefault="005F1FF7" w:rsidP="005F1FF7">
      <w:pPr>
        <w:pStyle w:val="SingleTxtG"/>
      </w:pPr>
      <w:r>
        <w:tab/>
        <w:t>(e)</w:t>
      </w:r>
      <w:r>
        <w:tab/>
      </w:r>
      <w:r w:rsidR="002F1EE7" w:rsidRPr="005F1FF7">
        <w:t>In addition to internal training on the subject, CLROs also received sensitivity training facilitated by the Rape Crisis Centre, equipping officers with the tools, knowledge and skills for handling SH matters.</w:t>
      </w:r>
    </w:p>
    <w:p w14:paraId="4981FF8B" w14:textId="77777777" w:rsidR="002F1EE7" w:rsidRPr="002F1EE7" w:rsidRDefault="002F1EE7">
      <w:pPr>
        <w:pStyle w:val="SingleTxtG"/>
        <w:numPr>
          <w:ilvl w:val="0"/>
          <w:numId w:val="32"/>
        </w:numPr>
        <w:ind w:left="1134" w:firstLine="0"/>
      </w:pPr>
      <w:r w:rsidRPr="002F1EE7">
        <w:t>Finally, regarding the conduct of regular labour inspections aimed at enforcing compliance with labour laws, it should be noted that the Labour Inspectorate Unit (LIU) is the competent unit tasked with ensuring that organisations comply with labour legislation. As such, the LIU engages in regular inspection visits to ensure compliance with the following pieces of legislation:</w:t>
      </w:r>
    </w:p>
    <w:p w14:paraId="1B3543B3" w14:textId="5C077AB9" w:rsidR="002F1EE7" w:rsidRPr="00CC0CF9" w:rsidRDefault="002F1EE7" w:rsidP="00920A7C">
      <w:pPr>
        <w:pStyle w:val="Bullet1G"/>
      </w:pPr>
      <w:r w:rsidRPr="00CC0CF9">
        <w:t>Minimum Wages Act – Chap 88:04</w:t>
      </w:r>
      <w:r w:rsidR="00E00256" w:rsidRPr="00CC0CF9">
        <w:t>;</w:t>
      </w:r>
    </w:p>
    <w:p w14:paraId="3BE203ED" w14:textId="77777777" w:rsidR="00920A7C" w:rsidRDefault="002F1EE7" w:rsidP="00920A7C">
      <w:pPr>
        <w:pStyle w:val="Bullet2G"/>
      </w:pPr>
      <w:r w:rsidRPr="00CC0CF9">
        <w:t>Minimum Wages Order 2014 (as amended in 2019)</w:t>
      </w:r>
      <w:r w:rsidR="00E00256" w:rsidRPr="00CC0CF9">
        <w:t>;</w:t>
      </w:r>
    </w:p>
    <w:p w14:paraId="06D89F4D" w14:textId="4CDFAC4E" w:rsidR="002F1EE7" w:rsidRPr="00CC0CF9" w:rsidRDefault="002F1EE7" w:rsidP="00920A7C">
      <w:pPr>
        <w:pStyle w:val="Bullet2G"/>
      </w:pPr>
      <w:r w:rsidRPr="00CC0CF9">
        <w:t>Minimum Wages Household Assistants Order 1991</w:t>
      </w:r>
      <w:r w:rsidR="00E00256" w:rsidRPr="00CC0CF9">
        <w:t>;</w:t>
      </w:r>
    </w:p>
    <w:p w14:paraId="3F63FD60" w14:textId="6DBEE178" w:rsidR="002F1EE7" w:rsidRPr="00CC0CF9" w:rsidRDefault="002F1EE7" w:rsidP="00920A7C">
      <w:pPr>
        <w:pStyle w:val="Bullet2G"/>
      </w:pPr>
      <w:r w:rsidRPr="00CC0CF9">
        <w:t>Minimum Wages Catering Industry Order 1991</w:t>
      </w:r>
      <w:r w:rsidR="00E00256" w:rsidRPr="00CC0CF9">
        <w:t>;</w:t>
      </w:r>
    </w:p>
    <w:p w14:paraId="79FC32C0" w14:textId="3934834E" w:rsidR="002F1EE7" w:rsidRPr="00CC0CF9" w:rsidRDefault="002F1EE7" w:rsidP="00920A7C">
      <w:pPr>
        <w:pStyle w:val="Bullet2G"/>
      </w:pPr>
      <w:r w:rsidRPr="00CC0CF9">
        <w:t>Minimum Wages Shop Assistants Order 1991</w:t>
      </w:r>
      <w:r w:rsidR="00E00256" w:rsidRPr="00CC0CF9">
        <w:t>;</w:t>
      </w:r>
    </w:p>
    <w:p w14:paraId="5B33D8A6" w14:textId="2734B4C7" w:rsidR="002F1EE7" w:rsidRPr="00CC0CF9" w:rsidRDefault="002F1EE7" w:rsidP="00920A7C">
      <w:pPr>
        <w:pStyle w:val="Bullet2G"/>
      </w:pPr>
      <w:r w:rsidRPr="00CC0CF9">
        <w:t>Minimum Wages Security Industry Employees Order 1995</w:t>
      </w:r>
      <w:r w:rsidR="00E00256" w:rsidRPr="00CC0CF9">
        <w:t>;</w:t>
      </w:r>
    </w:p>
    <w:p w14:paraId="6F0B3D88" w14:textId="0F7190AB" w:rsidR="002F1EE7" w:rsidRPr="00CC0CF9" w:rsidRDefault="002F1EE7" w:rsidP="00920A7C">
      <w:pPr>
        <w:pStyle w:val="Bullet2G"/>
      </w:pPr>
      <w:r w:rsidRPr="00CC0CF9">
        <w:t>Wages Regulation Agricultural Undertakings Order 1964</w:t>
      </w:r>
      <w:r w:rsidR="00E00256" w:rsidRPr="00CC0CF9">
        <w:t>;</w:t>
      </w:r>
    </w:p>
    <w:p w14:paraId="1D447375" w14:textId="27852E6C" w:rsidR="002F1EE7" w:rsidRPr="00CC0CF9" w:rsidRDefault="002F1EE7" w:rsidP="00920A7C">
      <w:pPr>
        <w:pStyle w:val="Bullet2G"/>
      </w:pPr>
      <w:r w:rsidRPr="00CC0CF9">
        <w:t>Wages Regulation (Laundry Undertakings) Order 1962</w:t>
      </w:r>
      <w:r w:rsidR="00920A7C">
        <w:t>;</w:t>
      </w:r>
    </w:p>
    <w:p w14:paraId="46667CE2" w14:textId="49B35F19" w:rsidR="002F1EE7" w:rsidRPr="00CC0CF9" w:rsidRDefault="002F1EE7" w:rsidP="00920A7C">
      <w:pPr>
        <w:pStyle w:val="Bullet1G"/>
      </w:pPr>
      <w:r w:rsidRPr="00CC0CF9">
        <w:t>Maternity Protection Act - Chap 45.57</w:t>
      </w:r>
      <w:r w:rsidR="00920A7C">
        <w:t>;</w:t>
      </w:r>
    </w:p>
    <w:p w14:paraId="64D1D5C6" w14:textId="01540CCA" w:rsidR="002F1EE7" w:rsidRPr="00CC0CF9" w:rsidRDefault="002F1EE7" w:rsidP="00920A7C">
      <w:pPr>
        <w:pStyle w:val="Bullet1G"/>
      </w:pPr>
      <w:r w:rsidRPr="00CC0CF9">
        <w:t>Children's Act 2012 (Part XIV – Employment of Young Persons)</w:t>
      </w:r>
      <w:r w:rsidR="00920A7C">
        <w:t>.</w:t>
      </w:r>
    </w:p>
    <w:p w14:paraId="4775C413" w14:textId="77777777" w:rsidR="002F1EE7" w:rsidRPr="002F1EE7" w:rsidRDefault="002F1EE7">
      <w:pPr>
        <w:pStyle w:val="SingleTxtG"/>
        <w:numPr>
          <w:ilvl w:val="0"/>
          <w:numId w:val="32"/>
        </w:numPr>
        <w:ind w:left="1134" w:firstLine="0"/>
        <w:rPr>
          <w:lang w:val="en-US"/>
        </w:rPr>
      </w:pPr>
      <w:r w:rsidRPr="002F1EE7">
        <w:rPr>
          <w:lang w:val="en-US"/>
        </w:rPr>
        <w:t xml:space="preserve">Presently, the Unit has a team of 14 Labour Inspectors. The following table provides the number of </w:t>
      </w:r>
      <w:r w:rsidRPr="005E1C13">
        <w:t>inspection</w:t>
      </w:r>
      <w:r w:rsidRPr="002F1EE7">
        <w:rPr>
          <w:lang w:val="en-US"/>
        </w:rPr>
        <w:t xml:space="preserve"> visits conducted and arrears recovered for workers in relation to workers not having been paid the minimum wage, during the period January 2022 to September 2023.</w:t>
      </w:r>
    </w:p>
    <w:p w14:paraId="0D937747" w14:textId="77777777" w:rsidR="002F1EE7" w:rsidRPr="002F1EE7" w:rsidRDefault="002F1EE7" w:rsidP="00920A7C">
      <w:pPr>
        <w:pStyle w:val="Heading1"/>
        <w:jc w:val="center"/>
        <w:rPr>
          <w:lang w:val="en-US"/>
        </w:rPr>
      </w:pPr>
      <w:r w:rsidRPr="002F1EE7">
        <w:rPr>
          <w:lang w:val="en-US"/>
        </w:rPr>
        <w:t>Table 3: Number of Labour Inspections</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2457"/>
        <w:gridCol w:w="2457"/>
      </w:tblGrid>
      <w:tr w:rsidR="002F1EE7" w:rsidRPr="00906CA8" w14:paraId="4773DABF" w14:textId="77777777" w:rsidTr="00906CA8">
        <w:trPr>
          <w:tblHeader/>
        </w:trPr>
        <w:tc>
          <w:tcPr>
            <w:tcW w:w="2880" w:type="dxa"/>
            <w:tcBorders>
              <w:top w:val="single" w:sz="4" w:space="0" w:color="auto"/>
              <w:bottom w:val="single" w:sz="12" w:space="0" w:color="auto"/>
            </w:tcBorders>
            <w:noWrap/>
            <w:vAlign w:val="bottom"/>
            <w:hideMark/>
          </w:tcPr>
          <w:p w14:paraId="6D538AD9" w14:textId="77777777" w:rsidR="002F1EE7" w:rsidRPr="00906CA8" w:rsidRDefault="002F1EE7" w:rsidP="00906CA8">
            <w:pPr>
              <w:pStyle w:val="SingleTxtG"/>
              <w:tabs>
                <w:tab w:val="clear" w:pos="1701"/>
                <w:tab w:val="clear" w:pos="2268"/>
                <w:tab w:val="clear" w:pos="2835"/>
              </w:tabs>
              <w:suppressAutoHyphens w:val="0"/>
              <w:spacing w:before="80" w:after="80" w:line="200" w:lineRule="exact"/>
              <w:ind w:left="0" w:right="0"/>
              <w:jc w:val="left"/>
              <w:rPr>
                <w:i/>
                <w:sz w:val="16"/>
              </w:rPr>
            </w:pPr>
            <w:r w:rsidRPr="00906CA8">
              <w:rPr>
                <w:i/>
                <w:sz w:val="16"/>
              </w:rPr>
              <w:t>Year</w:t>
            </w:r>
          </w:p>
        </w:tc>
        <w:tc>
          <w:tcPr>
            <w:tcW w:w="2881" w:type="dxa"/>
            <w:tcBorders>
              <w:top w:val="single" w:sz="4" w:space="0" w:color="auto"/>
              <w:bottom w:val="single" w:sz="12" w:space="0" w:color="auto"/>
            </w:tcBorders>
            <w:noWrap/>
            <w:vAlign w:val="bottom"/>
            <w:hideMark/>
          </w:tcPr>
          <w:p w14:paraId="39029F8B" w14:textId="77777777" w:rsidR="002F1EE7" w:rsidRPr="00906CA8" w:rsidRDefault="002F1EE7" w:rsidP="00906CA8">
            <w:pPr>
              <w:pStyle w:val="SingleTxtG"/>
              <w:tabs>
                <w:tab w:val="clear" w:pos="1701"/>
                <w:tab w:val="clear" w:pos="2268"/>
                <w:tab w:val="clear" w:pos="2835"/>
              </w:tabs>
              <w:suppressAutoHyphens w:val="0"/>
              <w:spacing w:before="80" w:after="80" w:line="200" w:lineRule="exact"/>
              <w:ind w:left="0" w:right="0"/>
              <w:jc w:val="right"/>
              <w:rPr>
                <w:i/>
                <w:sz w:val="16"/>
              </w:rPr>
            </w:pPr>
            <w:r w:rsidRPr="00906CA8">
              <w:rPr>
                <w:i/>
                <w:sz w:val="16"/>
              </w:rPr>
              <w:t>Inspection Visits</w:t>
            </w:r>
          </w:p>
        </w:tc>
        <w:tc>
          <w:tcPr>
            <w:tcW w:w="2881" w:type="dxa"/>
            <w:tcBorders>
              <w:top w:val="single" w:sz="4" w:space="0" w:color="auto"/>
              <w:bottom w:val="single" w:sz="12" w:space="0" w:color="auto"/>
            </w:tcBorders>
            <w:noWrap/>
            <w:vAlign w:val="bottom"/>
            <w:hideMark/>
          </w:tcPr>
          <w:p w14:paraId="34AF62F3" w14:textId="77777777" w:rsidR="002F1EE7" w:rsidRPr="00906CA8" w:rsidRDefault="002F1EE7" w:rsidP="00906CA8">
            <w:pPr>
              <w:pStyle w:val="SingleTxtG"/>
              <w:tabs>
                <w:tab w:val="clear" w:pos="1701"/>
                <w:tab w:val="clear" w:pos="2268"/>
                <w:tab w:val="clear" w:pos="2835"/>
              </w:tabs>
              <w:suppressAutoHyphens w:val="0"/>
              <w:spacing w:before="80" w:after="80" w:line="200" w:lineRule="exact"/>
              <w:ind w:left="0" w:right="0"/>
              <w:jc w:val="right"/>
              <w:rPr>
                <w:i/>
                <w:sz w:val="16"/>
              </w:rPr>
            </w:pPr>
            <w:r w:rsidRPr="00906CA8">
              <w:rPr>
                <w:i/>
                <w:sz w:val="16"/>
              </w:rPr>
              <w:t>Arrears Recovered</w:t>
            </w:r>
          </w:p>
        </w:tc>
      </w:tr>
      <w:tr w:rsidR="002F1EE7" w:rsidRPr="00906CA8" w14:paraId="0CC4DB97" w14:textId="77777777" w:rsidTr="00906CA8">
        <w:tc>
          <w:tcPr>
            <w:tcW w:w="2880" w:type="dxa"/>
            <w:tcBorders>
              <w:top w:val="single" w:sz="12" w:space="0" w:color="auto"/>
            </w:tcBorders>
            <w:noWrap/>
            <w:hideMark/>
          </w:tcPr>
          <w:p w14:paraId="429B9C64"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sz w:val="18"/>
              </w:rPr>
            </w:pPr>
            <w:r w:rsidRPr="00906CA8">
              <w:rPr>
                <w:sz w:val="18"/>
              </w:rPr>
              <w:t>2022</w:t>
            </w:r>
          </w:p>
        </w:tc>
        <w:tc>
          <w:tcPr>
            <w:tcW w:w="2881" w:type="dxa"/>
            <w:tcBorders>
              <w:top w:val="single" w:sz="12" w:space="0" w:color="auto"/>
            </w:tcBorders>
            <w:noWrap/>
            <w:vAlign w:val="bottom"/>
            <w:hideMark/>
          </w:tcPr>
          <w:p w14:paraId="66CB7B59"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753</w:t>
            </w:r>
          </w:p>
        </w:tc>
        <w:tc>
          <w:tcPr>
            <w:tcW w:w="2881" w:type="dxa"/>
            <w:tcBorders>
              <w:top w:val="single" w:sz="12" w:space="0" w:color="auto"/>
            </w:tcBorders>
            <w:noWrap/>
            <w:vAlign w:val="bottom"/>
            <w:hideMark/>
          </w:tcPr>
          <w:p w14:paraId="2747E910"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$559,453.79</w:t>
            </w:r>
          </w:p>
        </w:tc>
      </w:tr>
      <w:tr w:rsidR="002F1EE7" w:rsidRPr="00906CA8" w14:paraId="336C6077" w14:textId="77777777" w:rsidTr="00906CA8">
        <w:tc>
          <w:tcPr>
            <w:tcW w:w="2880" w:type="dxa"/>
            <w:tcBorders>
              <w:bottom w:val="single" w:sz="12" w:space="0" w:color="auto"/>
            </w:tcBorders>
            <w:noWrap/>
            <w:hideMark/>
          </w:tcPr>
          <w:p w14:paraId="7728DBFC"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sz w:val="18"/>
              </w:rPr>
            </w:pPr>
            <w:r w:rsidRPr="00906CA8">
              <w:rPr>
                <w:sz w:val="18"/>
              </w:rPr>
              <w:t>2023 (Up to Sept.)</w:t>
            </w:r>
          </w:p>
        </w:tc>
        <w:tc>
          <w:tcPr>
            <w:tcW w:w="2881" w:type="dxa"/>
            <w:tcBorders>
              <w:bottom w:val="single" w:sz="12" w:space="0" w:color="auto"/>
            </w:tcBorders>
            <w:noWrap/>
            <w:vAlign w:val="bottom"/>
            <w:hideMark/>
          </w:tcPr>
          <w:p w14:paraId="758C5239"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865</w:t>
            </w:r>
          </w:p>
        </w:tc>
        <w:tc>
          <w:tcPr>
            <w:tcW w:w="2881" w:type="dxa"/>
            <w:tcBorders>
              <w:bottom w:val="single" w:sz="12" w:space="0" w:color="auto"/>
            </w:tcBorders>
            <w:noWrap/>
            <w:vAlign w:val="bottom"/>
            <w:hideMark/>
          </w:tcPr>
          <w:p w14:paraId="233B4254"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$834,272.53</w:t>
            </w:r>
          </w:p>
        </w:tc>
      </w:tr>
    </w:tbl>
    <w:p w14:paraId="5FBD87CD" w14:textId="77777777" w:rsidR="002F1EE7" w:rsidRPr="002F1EE7" w:rsidRDefault="002F1EE7" w:rsidP="002F1EE7">
      <w:pPr>
        <w:pStyle w:val="SingleTxtG"/>
        <w:rPr>
          <w:i/>
        </w:rPr>
      </w:pPr>
      <w:r w:rsidRPr="002F1EE7">
        <w:rPr>
          <w:i/>
        </w:rPr>
        <w:t>Source: Labour Inspection Unit</w:t>
      </w:r>
    </w:p>
    <w:p w14:paraId="440A0C9D" w14:textId="77777777" w:rsidR="002F1EE7" w:rsidRPr="002F1EE7" w:rsidRDefault="002F1EE7">
      <w:pPr>
        <w:pStyle w:val="SingleTxtG"/>
        <w:numPr>
          <w:ilvl w:val="0"/>
          <w:numId w:val="32"/>
        </w:numPr>
        <w:ind w:left="1134" w:firstLine="0"/>
      </w:pPr>
      <w:r w:rsidRPr="002F1EE7">
        <w:t xml:space="preserve">The MoL also received 231 complaints and conducted 664 inspection visits to ascertain enforcement of terms and conditions of employment with respect to the national minimum wage and maternity leave. </w:t>
      </w:r>
    </w:p>
    <w:p w14:paraId="26F4BF9A" w14:textId="77777777" w:rsidR="002F1EE7" w:rsidRPr="002F1EE7" w:rsidRDefault="002F1EE7">
      <w:pPr>
        <w:pStyle w:val="SingleTxtG"/>
        <w:numPr>
          <w:ilvl w:val="0"/>
          <w:numId w:val="32"/>
        </w:numPr>
        <w:ind w:left="1134" w:firstLine="0"/>
      </w:pPr>
      <w:r w:rsidRPr="002F1EE7">
        <w:t xml:space="preserve">Data on women’s participation in the labour force for the period 2020-2022, disaggregated data by age, industry, geographic location (administrative area), level of educational attainment and occupation appears </w:t>
      </w:r>
      <w:r w:rsidRPr="00920A7C">
        <w:t>in Appendix II.</w:t>
      </w:r>
      <w:r w:rsidRPr="002F1EE7">
        <w:t xml:space="preserve">     </w:t>
      </w:r>
    </w:p>
    <w:p w14:paraId="1311D206" w14:textId="386C3D39" w:rsidR="002F1EE7" w:rsidRPr="002F1EE7" w:rsidRDefault="00920A7C" w:rsidP="00920A7C">
      <w:pPr>
        <w:pStyle w:val="H1G"/>
      </w:pPr>
      <w:r>
        <w:tab/>
      </w:r>
      <w:r>
        <w:tab/>
      </w:r>
      <w:r>
        <w:tab/>
      </w:r>
      <w:r w:rsidR="002F1EE7" w:rsidRPr="002F1EE7">
        <w:t>Question 18 – Health</w:t>
      </w:r>
    </w:p>
    <w:p w14:paraId="2DB2F258" w14:textId="14926062" w:rsidR="002F1EE7" w:rsidRPr="002F1EE7" w:rsidRDefault="00474477" w:rsidP="00920A7C">
      <w:pPr>
        <w:pStyle w:val="H23G"/>
      </w:pPr>
      <w:bookmarkStart w:id="5" w:name="_Hlk158124477"/>
      <w:r>
        <w:tab/>
      </w:r>
      <w:r>
        <w:tab/>
      </w:r>
      <w:r w:rsidR="002F1EE7" w:rsidRPr="002F1EE7">
        <w:t xml:space="preserve">Scale up the provision of free antiretroviral treatment to persons living with HIV and pregnant women in order to </w:t>
      </w:r>
      <w:bookmarkStart w:id="6" w:name="_Hlk158032734"/>
      <w:r w:rsidR="002F1EE7" w:rsidRPr="002F1EE7">
        <w:t>prevent mother-to-child transmission</w:t>
      </w:r>
      <w:bookmarkEnd w:id="5"/>
      <w:bookmarkEnd w:id="6"/>
      <w:r w:rsidR="002F1EE7" w:rsidRPr="002F1EE7">
        <w:t xml:space="preserve">; </w:t>
      </w:r>
    </w:p>
    <w:p w14:paraId="4507DC5B" w14:textId="77777777" w:rsidR="002F1EE7" w:rsidRPr="002F1EE7" w:rsidRDefault="002F1EE7">
      <w:pPr>
        <w:pStyle w:val="SingleTxtG"/>
        <w:numPr>
          <w:ilvl w:val="0"/>
          <w:numId w:val="32"/>
        </w:numPr>
        <w:ind w:left="1134" w:firstLine="0"/>
      </w:pPr>
      <w:r w:rsidRPr="002F1EE7">
        <w:t>Steps taken to scale up the provision of free antiretroviral treatment to all women and men living with HIV and to pregnant women in order to prevent mother-to-child transmission include the following:</w:t>
      </w:r>
    </w:p>
    <w:p w14:paraId="066C55A1" w14:textId="0381E1F8" w:rsidR="002F1EE7" w:rsidRPr="002F1EE7" w:rsidRDefault="00474477" w:rsidP="00474477">
      <w:pPr>
        <w:pStyle w:val="H23G"/>
      </w:pPr>
      <w:r>
        <w:tab/>
      </w:r>
      <w:r>
        <w:tab/>
      </w:r>
      <w:r w:rsidR="002F1EE7" w:rsidRPr="002F1EE7">
        <w:t>Implementation of Treat-All policy</w:t>
      </w:r>
    </w:p>
    <w:p w14:paraId="051DA72E" w14:textId="77777777" w:rsidR="002F1EE7" w:rsidRPr="002F1EE7" w:rsidRDefault="002F1EE7">
      <w:pPr>
        <w:pStyle w:val="SingleTxtG"/>
        <w:numPr>
          <w:ilvl w:val="0"/>
          <w:numId w:val="32"/>
        </w:numPr>
        <w:ind w:left="1134" w:firstLine="0"/>
      </w:pPr>
      <w:r w:rsidRPr="002F1EE7">
        <w:t xml:space="preserve">In 2017, Trinidad and Tobago adopted a “Treat All”, which allows for treatment of all persons who test positive for HIV, regardless of their CD4 Count, and Returning to Care </w:t>
      </w:r>
      <w:r w:rsidRPr="002F1EE7">
        <w:lastRenderedPageBreak/>
        <w:t>persons who were on antiretroviral medicines and lost to follow-up. Treatment for HIV/AIDS and STIs are provided to both nationals and non-nationals at no cost to the individual, through the public health system, thereby facilitating universal access. Post Exposure Prophylaxis drugs are also available at all eligible sites and with all authorised personnel to eliminate seroconversion of HIV. Overall, 60% of adults and children are receiving ART. Just over half (57%) of women and just under two-thirds of men (64%) 15 years and over are receiving ART</w:t>
      </w:r>
      <w:r w:rsidRPr="002F1EE7">
        <w:rPr>
          <w:vertAlign w:val="superscript"/>
        </w:rPr>
        <w:footnoteReference w:id="7"/>
      </w:r>
      <w:r w:rsidRPr="002F1EE7">
        <w:t>. The implementation of free treatment has contributed significantly to the decline in AIDS related deaths. The gender discrepancy in access has also been noted and is being examined more closely.</w:t>
      </w:r>
    </w:p>
    <w:p w14:paraId="5D6EE1ED" w14:textId="77777777" w:rsidR="002F1EE7" w:rsidRPr="002F1EE7" w:rsidRDefault="002F1EE7">
      <w:pPr>
        <w:pStyle w:val="SingleTxtG"/>
        <w:numPr>
          <w:ilvl w:val="0"/>
          <w:numId w:val="32"/>
        </w:numPr>
        <w:ind w:left="1134" w:firstLine="0"/>
      </w:pPr>
      <w:r w:rsidRPr="002F1EE7">
        <w:t xml:space="preserve">Efforts have been made to increase the provision of this free treatment including: the development of robust secondary prevention plans at treatment sites; monitoring and implementation of return to care and lost to follow-up strategies at treatment sites; implementation of differentiated care models, and interventions to reduce loss to follow and increase return to care. Programmes such as patient tracers have been implemented with great success at the largest treatment site. For example, the recruitment and training of social workers as patient tracers resulted in 85% of patients who defaulted being returned to care and over 90% being reinitiated on ART. </w:t>
      </w:r>
    </w:p>
    <w:p w14:paraId="4029A175" w14:textId="1D4A3ADB" w:rsidR="002F1EE7" w:rsidRPr="002F1EE7" w:rsidRDefault="00474477" w:rsidP="00474477">
      <w:pPr>
        <w:pStyle w:val="H23G"/>
      </w:pPr>
      <w:r>
        <w:tab/>
      </w:r>
      <w:r>
        <w:tab/>
      </w:r>
      <w:r w:rsidR="002F1EE7" w:rsidRPr="002F1EE7">
        <w:t>HIV Testing</w:t>
      </w:r>
    </w:p>
    <w:p w14:paraId="1823CAE5" w14:textId="77777777" w:rsidR="002F1EE7" w:rsidRPr="002F1EE7" w:rsidRDefault="002F1EE7">
      <w:pPr>
        <w:pStyle w:val="SingleTxtG"/>
        <w:numPr>
          <w:ilvl w:val="0"/>
          <w:numId w:val="32"/>
        </w:numPr>
        <w:ind w:left="1134" w:firstLine="0"/>
      </w:pPr>
      <w:r w:rsidRPr="002F1EE7">
        <w:t xml:space="preserve">HIV testing and knowing one’s status is the first step toward treatment and viral suppression. In this regard the government embarked on making HIV self-testing kits available to the population. These kits contribute towards achieving the national target of 95% of persons living with HIV know their status by being voluntarily tested. </w:t>
      </w:r>
    </w:p>
    <w:p w14:paraId="302B5EF3" w14:textId="1082E0BF" w:rsidR="002F1EE7" w:rsidRPr="002F1EE7" w:rsidRDefault="00474477" w:rsidP="00474477">
      <w:pPr>
        <w:pStyle w:val="H23G"/>
      </w:pPr>
      <w:r>
        <w:tab/>
      </w:r>
      <w:r>
        <w:tab/>
      </w:r>
      <w:r w:rsidR="002F1EE7" w:rsidRPr="002F1EE7">
        <w:t>Prevention of mother to child transmission (PMTCT)</w:t>
      </w:r>
    </w:p>
    <w:p w14:paraId="0AE66D1E" w14:textId="77777777" w:rsidR="002F1EE7" w:rsidRPr="002F1EE7" w:rsidRDefault="002F1EE7">
      <w:pPr>
        <w:pStyle w:val="SingleTxtG"/>
        <w:numPr>
          <w:ilvl w:val="0"/>
          <w:numId w:val="32"/>
        </w:numPr>
        <w:ind w:left="1134" w:firstLine="0"/>
      </w:pPr>
      <w:r w:rsidRPr="002F1EE7">
        <w:t>Trinidad and Tobago has made significant progress in its prevention of mother-to-child transmission (PMTCT) programmes. Coverage of pregnant women who receive ARV for prevention of mother to child transmission is estimated to be 92%</w:t>
      </w:r>
      <w:r w:rsidRPr="002F1EE7">
        <w:rPr>
          <w:vertAlign w:val="superscript"/>
        </w:rPr>
        <w:footnoteReference w:id="8"/>
      </w:r>
      <w:r w:rsidRPr="002F1EE7">
        <w:t xml:space="preserve">. </w:t>
      </w:r>
    </w:p>
    <w:p w14:paraId="7E78900D" w14:textId="77777777" w:rsidR="002F1EE7" w:rsidRPr="002F1EE7" w:rsidRDefault="002F1EE7">
      <w:pPr>
        <w:pStyle w:val="SingleTxtG"/>
        <w:numPr>
          <w:ilvl w:val="0"/>
          <w:numId w:val="32"/>
        </w:numPr>
        <w:ind w:left="1134" w:firstLine="0"/>
      </w:pPr>
      <w:r w:rsidRPr="002F1EE7">
        <w:t>Steps taken to improve PMTCT included: improvements in the PMTCT cohort register, mentoring in the PMTCT programme, feedback and teach back mechanisms and implementing the PMTCT Plus approach which seeks to integrate PMTCT with SRH services and strengthen protective measures among the vulnerable. All first attendees to antenatal clinics are offered an HIV test twice during their pregnancy. Expectant mothers found HIV positive are referred for treatment and with current therapy can effectively prevent transmission to the unborn. Coming out of the COVID-19 pandemic experience the need for the integration of food and nutrition support within prevention of vertical transmission programmes was established.</w:t>
      </w:r>
    </w:p>
    <w:p w14:paraId="6704A9F3" w14:textId="761666EF" w:rsidR="002F1EE7" w:rsidRPr="002F1EE7" w:rsidRDefault="00474477" w:rsidP="00474477">
      <w:pPr>
        <w:pStyle w:val="H23G"/>
      </w:pPr>
      <w:r>
        <w:rPr>
          <w:lang w:val="en-US"/>
        </w:rPr>
        <w:tab/>
      </w:r>
      <w:r>
        <w:rPr>
          <w:lang w:val="en-US"/>
        </w:rPr>
        <w:tab/>
      </w:r>
      <w:r w:rsidR="002F1EE7" w:rsidRPr="002F1EE7">
        <w:rPr>
          <w:lang w:val="en-US"/>
        </w:rPr>
        <w:t>Re-Establishment and Implementation of the HIV Helpline (800-4HIV (448) in collaboration with the Ministry of Health and International Training and Education Center for Health</w:t>
      </w:r>
    </w:p>
    <w:p w14:paraId="5F4F92AE" w14:textId="50CEE3CB" w:rsidR="002F1EE7" w:rsidRPr="002F1EE7" w:rsidRDefault="00474477" w:rsidP="00474477">
      <w:pPr>
        <w:pStyle w:val="H23G"/>
      </w:pPr>
      <w:r>
        <w:tab/>
      </w:r>
      <w:r>
        <w:tab/>
      </w:r>
      <w:r w:rsidR="002F1EE7" w:rsidRPr="002F1EE7">
        <w:t xml:space="preserve">Addressing the root causes of the high prevalence of HIV and AIDS </w:t>
      </w:r>
    </w:p>
    <w:p w14:paraId="0ABB0969" w14:textId="77777777" w:rsidR="002F1EE7" w:rsidRPr="002F1EE7" w:rsidRDefault="002F1EE7">
      <w:pPr>
        <w:pStyle w:val="SingleTxtG"/>
        <w:numPr>
          <w:ilvl w:val="0"/>
          <w:numId w:val="32"/>
        </w:numPr>
        <w:ind w:left="1134" w:firstLine="0"/>
      </w:pPr>
      <w:r w:rsidRPr="002F1EE7">
        <w:t>The NACC continues to address the root causes of the high prevalence of HIV and AIDS among women and girls between 15 and 24 years of age through the following steps and initiatives:</w:t>
      </w:r>
    </w:p>
    <w:p w14:paraId="4464BFB6" w14:textId="07EC4C73" w:rsidR="002F1EE7" w:rsidRPr="002F1EE7" w:rsidRDefault="00474477" w:rsidP="00474477">
      <w:pPr>
        <w:pStyle w:val="H23G"/>
      </w:pPr>
      <w:r>
        <w:tab/>
      </w:r>
      <w:r>
        <w:tab/>
      </w:r>
      <w:r w:rsidR="002F1EE7" w:rsidRPr="002F1EE7">
        <w:t>Developing preventative strategies and Providing an Enabling Environment</w:t>
      </w:r>
    </w:p>
    <w:p w14:paraId="681B764B" w14:textId="77777777" w:rsidR="002F1EE7" w:rsidRPr="002F1EE7" w:rsidRDefault="002F1EE7">
      <w:pPr>
        <w:pStyle w:val="SingleTxtG"/>
        <w:numPr>
          <w:ilvl w:val="0"/>
          <w:numId w:val="32"/>
        </w:numPr>
        <w:ind w:left="1134" w:firstLine="0"/>
      </w:pPr>
      <w:r w:rsidRPr="002F1EE7">
        <w:t>Since 2018 the NACC has been engaged in development of the National Policy on HIV and AIDS. The new Strategic Plan for HIV was also initiated in 2022. The Green Paper on HIV and AIDS has identified the root causes or drivers of HIV prevalence among girls and young women 15-24 years as:</w:t>
      </w:r>
    </w:p>
    <w:p w14:paraId="0095F889" w14:textId="50C273D5" w:rsidR="002F1EE7" w:rsidRPr="002F1EE7" w:rsidRDefault="002F1EE7" w:rsidP="00232F76">
      <w:pPr>
        <w:pStyle w:val="Bullet1G"/>
      </w:pPr>
      <w:r w:rsidRPr="002F1EE7">
        <w:lastRenderedPageBreak/>
        <w:t>Early age of sexual debut</w:t>
      </w:r>
      <w:r w:rsidR="00232F76">
        <w:t>;</w:t>
      </w:r>
    </w:p>
    <w:p w14:paraId="146C58B8" w14:textId="0034C461" w:rsidR="002F1EE7" w:rsidRPr="002F1EE7" w:rsidRDefault="002F1EE7" w:rsidP="00232F76">
      <w:pPr>
        <w:pStyle w:val="Bullet1G"/>
      </w:pPr>
      <w:r w:rsidRPr="002F1EE7">
        <w:t>Lack of access of sexually active minors to SRH services due to legal restrictions requiring parental consent</w:t>
      </w:r>
      <w:r w:rsidR="009561B7">
        <w:t>;</w:t>
      </w:r>
    </w:p>
    <w:p w14:paraId="1B94401F" w14:textId="035E5C0A" w:rsidR="002F1EE7" w:rsidRPr="002F1EE7" w:rsidRDefault="002F1EE7" w:rsidP="00232F76">
      <w:pPr>
        <w:pStyle w:val="Bullet1G"/>
      </w:pPr>
      <w:r w:rsidRPr="002F1EE7">
        <w:t>Insufficient and inconsistent condom use</w:t>
      </w:r>
      <w:r w:rsidR="009561B7">
        <w:t>;</w:t>
      </w:r>
    </w:p>
    <w:p w14:paraId="216CA9DC" w14:textId="55FD91D9" w:rsidR="002F1EE7" w:rsidRPr="002F1EE7" w:rsidRDefault="002F1EE7" w:rsidP="00232F76">
      <w:pPr>
        <w:pStyle w:val="Bullet1G"/>
      </w:pPr>
      <w:r w:rsidRPr="002F1EE7">
        <w:t>Unprotected sex and multiple sexual partners</w:t>
      </w:r>
      <w:r w:rsidR="009561B7">
        <w:t>;</w:t>
      </w:r>
    </w:p>
    <w:p w14:paraId="60BD2EC8" w14:textId="7BD10C1A" w:rsidR="002F1EE7" w:rsidRPr="002F1EE7" w:rsidRDefault="002F1EE7" w:rsidP="00232F76">
      <w:pPr>
        <w:pStyle w:val="Bullet1G"/>
      </w:pPr>
      <w:r w:rsidRPr="002F1EE7">
        <w:t>Transactional and intergenerational sex</w:t>
      </w:r>
      <w:r w:rsidR="009561B7">
        <w:t>;</w:t>
      </w:r>
    </w:p>
    <w:p w14:paraId="54B88649" w14:textId="1DCA4C71" w:rsidR="002F1EE7" w:rsidRPr="002F1EE7" w:rsidRDefault="002F1EE7" w:rsidP="00232F76">
      <w:pPr>
        <w:pStyle w:val="Bullet1G"/>
      </w:pPr>
      <w:r w:rsidRPr="002F1EE7">
        <w:t>Cultural drivers eg homophobic attitudes</w:t>
      </w:r>
      <w:r w:rsidR="009561B7">
        <w:t>;</w:t>
      </w:r>
    </w:p>
    <w:p w14:paraId="46047596" w14:textId="74E33C6D" w:rsidR="002F1EE7" w:rsidRPr="002F1EE7" w:rsidRDefault="002F1EE7" w:rsidP="00232F76">
      <w:pPr>
        <w:pStyle w:val="Bullet1G"/>
      </w:pPr>
      <w:r w:rsidRPr="002F1EE7">
        <w:t>Gender inequality, GBV and Norms and values</w:t>
      </w:r>
      <w:r w:rsidR="009561B7">
        <w:t>;</w:t>
      </w:r>
    </w:p>
    <w:p w14:paraId="341FD7E1" w14:textId="4C921656" w:rsidR="002F1EE7" w:rsidRPr="002F1EE7" w:rsidRDefault="002F1EE7" w:rsidP="00232F76">
      <w:pPr>
        <w:pStyle w:val="Bullet1G"/>
      </w:pPr>
      <w:r w:rsidRPr="002F1EE7">
        <w:t>Poverty and social vulnerability</w:t>
      </w:r>
      <w:r w:rsidR="009561B7">
        <w:t>;</w:t>
      </w:r>
    </w:p>
    <w:p w14:paraId="44A9AB27" w14:textId="1B6FBB15" w:rsidR="002F1EE7" w:rsidRPr="002F1EE7" w:rsidRDefault="002F1EE7" w:rsidP="00232F76">
      <w:pPr>
        <w:pStyle w:val="Bullet1G"/>
      </w:pPr>
      <w:r w:rsidRPr="002F1EE7">
        <w:t>Stigma and discrimination</w:t>
      </w:r>
      <w:r w:rsidR="009561B7">
        <w:t>.</w:t>
      </w:r>
    </w:p>
    <w:p w14:paraId="7AA87527" w14:textId="77777777" w:rsidR="002F1EE7" w:rsidRPr="002F1EE7" w:rsidRDefault="002F1EE7">
      <w:pPr>
        <w:pStyle w:val="SingleTxtG"/>
        <w:numPr>
          <w:ilvl w:val="0"/>
          <w:numId w:val="32"/>
        </w:numPr>
        <w:ind w:left="1134" w:firstLine="0"/>
      </w:pPr>
      <w:r w:rsidRPr="002F1EE7">
        <w:t xml:space="preserve"> Further, the NACC has utilized social and traditional media to educate the general public about the drivers and root causes of the epidemic.</w:t>
      </w:r>
    </w:p>
    <w:p w14:paraId="2BA346A4" w14:textId="77777777" w:rsidR="002F1EE7" w:rsidRPr="002F1EE7" w:rsidRDefault="002F1EE7">
      <w:pPr>
        <w:pStyle w:val="SingleTxtG"/>
        <w:numPr>
          <w:ilvl w:val="0"/>
          <w:numId w:val="32"/>
        </w:numPr>
        <w:ind w:left="1134" w:firstLine="0"/>
      </w:pPr>
      <w:r w:rsidRPr="002F1EE7">
        <w:t>A legal environment assessment (LEA) was conducted in 2018 which highlighted some of the gaps in legislation which created barriers to access and uptake of services by key and priority groups such as women and children.</w:t>
      </w:r>
    </w:p>
    <w:p w14:paraId="0A3152AC" w14:textId="77777777" w:rsidR="002F1EE7" w:rsidRPr="002F1EE7" w:rsidRDefault="002F1EE7">
      <w:pPr>
        <w:pStyle w:val="SingleTxtG"/>
        <w:numPr>
          <w:ilvl w:val="0"/>
          <w:numId w:val="32"/>
        </w:numPr>
        <w:ind w:left="1134" w:firstLine="0"/>
      </w:pPr>
      <w:r w:rsidRPr="002F1EE7">
        <w:t xml:space="preserve">In 2019 the NACC also commissioned a study focusing on the </w:t>
      </w:r>
      <w:r w:rsidRPr="00C80326">
        <w:rPr>
          <w:bCs/>
          <w:iCs/>
        </w:rPr>
        <w:t xml:space="preserve">Legal Barriers that affect Adolescent Access to Sexual and Reproductive Health Services in Trinidad and Tobago- A Qualitative Study. </w:t>
      </w:r>
      <w:r w:rsidRPr="002F1EE7">
        <w:t xml:space="preserve">The study aims were to: </w:t>
      </w:r>
    </w:p>
    <w:p w14:paraId="213D49A8" w14:textId="59940117" w:rsidR="002F1EE7" w:rsidRPr="00C80326" w:rsidRDefault="00C80326" w:rsidP="00C80326">
      <w:pPr>
        <w:pStyle w:val="Bullet1G"/>
      </w:pPr>
      <w:r>
        <w:t>I</w:t>
      </w:r>
      <w:r w:rsidR="002F1EE7" w:rsidRPr="00C80326">
        <w:t>dentify adolescents’ views and experiences in accessing SRH information and services</w:t>
      </w:r>
      <w:r>
        <w:t>;</w:t>
      </w:r>
      <w:r w:rsidR="002F1EE7" w:rsidRPr="00C80326">
        <w:t xml:space="preserve"> </w:t>
      </w:r>
    </w:p>
    <w:p w14:paraId="473F7C36" w14:textId="409C64EA" w:rsidR="002F1EE7" w:rsidRPr="00C80326" w:rsidRDefault="00C80326" w:rsidP="00C80326">
      <w:pPr>
        <w:pStyle w:val="Bullet1G"/>
      </w:pPr>
      <w:r>
        <w:t>G</w:t>
      </w:r>
      <w:r w:rsidR="002F1EE7" w:rsidRPr="00C80326">
        <w:t>enerate understanding of how adolescents’ experiences with accessing SRH services have affected them across a diverse socioeconomic spectrum; including but not limited to education and family</w:t>
      </w:r>
      <w:r>
        <w:t>;</w:t>
      </w:r>
    </w:p>
    <w:p w14:paraId="698CF6B6" w14:textId="064DF348" w:rsidR="002F1EE7" w:rsidRPr="00C80326" w:rsidRDefault="00C80326" w:rsidP="00C80326">
      <w:pPr>
        <w:pStyle w:val="Bullet1G"/>
      </w:pPr>
      <w:r>
        <w:t>B</w:t>
      </w:r>
      <w:r w:rsidR="002F1EE7" w:rsidRPr="00C80326">
        <w:t>uild understanding of how lack of access to SRH services, information and commodities have impacted sexual and reproductive health outcomes</w:t>
      </w:r>
      <w:r>
        <w:t>.</w:t>
      </w:r>
      <w:r w:rsidR="002F1EE7" w:rsidRPr="00C80326">
        <w:t xml:space="preserve"> </w:t>
      </w:r>
    </w:p>
    <w:p w14:paraId="6B30B493" w14:textId="56FCE229" w:rsidR="002F1EE7" w:rsidRPr="002F1EE7" w:rsidRDefault="002B5723" w:rsidP="002B5723">
      <w:pPr>
        <w:pStyle w:val="H23G"/>
      </w:pPr>
      <w:r>
        <w:tab/>
      </w:r>
      <w:r>
        <w:tab/>
      </w:r>
      <w:r w:rsidR="002F1EE7" w:rsidRPr="002F1EE7">
        <w:t xml:space="preserve">Legalization of </w:t>
      </w:r>
      <w:r>
        <w:t>a</w:t>
      </w:r>
      <w:r w:rsidR="002F1EE7" w:rsidRPr="002F1EE7">
        <w:t>bortion</w:t>
      </w:r>
    </w:p>
    <w:p w14:paraId="468C64A3" w14:textId="77777777" w:rsidR="002F1EE7" w:rsidRPr="002F1EE7" w:rsidRDefault="002F1EE7">
      <w:pPr>
        <w:pStyle w:val="SingleTxtG"/>
        <w:numPr>
          <w:ilvl w:val="0"/>
          <w:numId w:val="32"/>
        </w:numPr>
        <w:ind w:left="1134" w:firstLine="0"/>
      </w:pPr>
      <w:r w:rsidRPr="002F1EE7">
        <w:t xml:space="preserve">The recommendation in question 18 (c) is not currently under consideration by the GORTT. There is need for extensive public consultation on this issue before any legislative changes occur. </w:t>
      </w:r>
    </w:p>
    <w:p w14:paraId="259CC07C" w14:textId="22B9D906" w:rsidR="002F1EE7" w:rsidRPr="002F1EE7" w:rsidRDefault="002B5723" w:rsidP="002B5723">
      <w:pPr>
        <w:pStyle w:val="H1G"/>
      </w:pPr>
      <w:r>
        <w:tab/>
      </w:r>
      <w:r>
        <w:tab/>
      </w:r>
      <w:r w:rsidR="002F1EE7" w:rsidRPr="002F1EE7">
        <w:t xml:space="preserve">Question 19 – Disaggregated </w:t>
      </w:r>
      <w:r>
        <w:t>d</w:t>
      </w:r>
      <w:r w:rsidR="002F1EE7" w:rsidRPr="002F1EE7">
        <w:t>ata on abortion</w:t>
      </w:r>
    </w:p>
    <w:p w14:paraId="09911E8E" w14:textId="77777777" w:rsidR="002F1EE7" w:rsidRPr="002F1EE7" w:rsidRDefault="002F1EE7">
      <w:pPr>
        <w:pStyle w:val="SingleTxtG"/>
        <w:numPr>
          <w:ilvl w:val="0"/>
          <w:numId w:val="32"/>
        </w:numPr>
        <w:ind w:left="1134" w:firstLine="0"/>
      </w:pPr>
      <w:r w:rsidRPr="002F1EE7">
        <w:t xml:space="preserve">The GORTT is unable to provide this data. While the Ministry of Health does collect data on maternal mortality that information is not disaggregated in the manner requested. </w:t>
      </w:r>
    </w:p>
    <w:p w14:paraId="0AD6C7F1" w14:textId="2CFA2915" w:rsidR="002F1EE7" w:rsidRPr="002F1EE7" w:rsidRDefault="002B5723" w:rsidP="002B5723">
      <w:pPr>
        <w:pStyle w:val="H1G"/>
      </w:pPr>
      <w:r>
        <w:tab/>
      </w:r>
      <w:r>
        <w:tab/>
      </w:r>
      <w:r w:rsidR="002F1EE7" w:rsidRPr="002F1EE7">
        <w:t>Question 20 – Economic empowerment of women</w:t>
      </w:r>
    </w:p>
    <w:p w14:paraId="6CC131D4" w14:textId="5FADFD36" w:rsidR="002F1EE7" w:rsidRPr="002F1EE7" w:rsidRDefault="002B5723" w:rsidP="002B5723">
      <w:pPr>
        <w:pStyle w:val="H23G"/>
      </w:pPr>
      <w:r>
        <w:tab/>
      </w:r>
      <w:r>
        <w:tab/>
      </w:r>
      <w:r w:rsidR="002F1EE7" w:rsidRPr="002F1EE7">
        <w:t>Poverty reduction and financial credit and loans</w:t>
      </w:r>
    </w:p>
    <w:p w14:paraId="4AA18495" w14:textId="77777777" w:rsidR="002F1EE7" w:rsidRPr="002F1EE7" w:rsidRDefault="002F1EE7">
      <w:pPr>
        <w:pStyle w:val="SingleTxtG"/>
        <w:numPr>
          <w:ilvl w:val="0"/>
          <w:numId w:val="32"/>
        </w:numPr>
        <w:ind w:left="1134" w:firstLine="0"/>
      </w:pPr>
      <w:r w:rsidRPr="002F1EE7">
        <w:t xml:space="preserve">Economic empowerment involves providing access to finances, investments, property and educational opportunities. To this end, the GORTT remains dedicated to implementing various initiatives and programmes towards economic development and empowerment of women as part of the holistic development of Trinidad and Tobago. </w:t>
      </w:r>
    </w:p>
    <w:p w14:paraId="015F4A9E" w14:textId="77777777" w:rsidR="002F1EE7" w:rsidRPr="002B5723" w:rsidRDefault="002F1EE7">
      <w:pPr>
        <w:pStyle w:val="SingleTxtG"/>
        <w:numPr>
          <w:ilvl w:val="0"/>
          <w:numId w:val="32"/>
        </w:numPr>
        <w:ind w:left="1134" w:firstLine="0"/>
      </w:pPr>
      <w:r w:rsidRPr="002F1EE7">
        <w:t xml:space="preserve">In an attempt to provide financial empowerment for all vulnerable groups in our society, including women, the GORTT, through the Ministry of Labour, increased the minimum wage from $17.50 TTD to $20.50 per hour. </w:t>
      </w:r>
      <w:r w:rsidRPr="002B5723">
        <w:t xml:space="preserve">The Minimum Wage (Amendment) Order 2023 became effective on the 1 January 2024. </w:t>
      </w:r>
    </w:p>
    <w:p w14:paraId="00046978" w14:textId="77777777" w:rsidR="002F1EE7" w:rsidRPr="002F1EE7" w:rsidRDefault="002F1EE7">
      <w:pPr>
        <w:pStyle w:val="SingleTxtG"/>
        <w:numPr>
          <w:ilvl w:val="0"/>
          <w:numId w:val="32"/>
        </w:numPr>
        <w:ind w:left="1134" w:firstLine="0"/>
      </w:pPr>
      <w:r w:rsidRPr="002F1EE7">
        <w:t xml:space="preserve">Regarding funding opportunities, the Sowing Empowerment through Entrepreneurial Development (SEED) Programme offered by the MSDFS allows eligible persons the </w:t>
      </w:r>
      <w:r w:rsidRPr="002F1EE7">
        <w:lastRenderedPageBreak/>
        <w:t>opportunity to start or expand a business as well as access to training to hone their capabilities. Funding for this grant is up to $15,000 TTD. In fiscal 2023, women-led businesses accessed 84.7% of the funding provided under this program to the tune of $165,189.56.</w:t>
      </w:r>
    </w:p>
    <w:p w14:paraId="1CDD42BA" w14:textId="77777777" w:rsidR="002F1EE7" w:rsidRPr="002F1EE7" w:rsidRDefault="002F1EE7">
      <w:pPr>
        <w:pStyle w:val="SingleTxtG"/>
        <w:numPr>
          <w:ilvl w:val="0"/>
          <w:numId w:val="32"/>
        </w:numPr>
        <w:ind w:left="1134" w:firstLine="0"/>
      </w:pPr>
      <w:r w:rsidRPr="002F1EE7">
        <w:t>Moreover, the GORTT, through the Spotlight Initiative has implemented a comprehensive catalogue of services to enhance the economic empowerment of survivors of family violence which includes financial and non-financial services offered by government agencies, NGOs, FBOs and private sector.</w:t>
      </w:r>
    </w:p>
    <w:p w14:paraId="4232FE76" w14:textId="5B3B3488" w:rsidR="002F1EE7" w:rsidRPr="002F1EE7" w:rsidRDefault="00A06345" w:rsidP="00A06345">
      <w:pPr>
        <w:pStyle w:val="H23G"/>
      </w:pPr>
      <w:r>
        <w:tab/>
      </w:r>
      <w:r>
        <w:tab/>
      </w:r>
      <w:r w:rsidR="002F1EE7" w:rsidRPr="002F1EE7">
        <w:t>Discriminatory practices of private banks</w:t>
      </w:r>
    </w:p>
    <w:p w14:paraId="3958BE86" w14:textId="77777777" w:rsidR="002F1EE7" w:rsidRPr="002F1EE7" w:rsidRDefault="002F1EE7">
      <w:pPr>
        <w:pStyle w:val="SingleTxtG"/>
        <w:numPr>
          <w:ilvl w:val="0"/>
          <w:numId w:val="32"/>
        </w:numPr>
        <w:ind w:left="1134" w:firstLine="0"/>
      </w:pPr>
      <w:r w:rsidRPr="002F1EE7">
        <w:t xml:space="preserve">Women’s rights to access lending facilitates at private banks are recognised in Trinidad and Tobago. However, no investigations have been conducted into the extent to which discriminatory practices exist. </w:t>
      </w:r>
    </w:p>
    <w:p w14:paraId="23CC219B" w14:textId="5F4526FC" w:rsidR="002F1EE7" w:rsidRPr="002F1EE7" w:rsidRDefault="00A06345" w:rsidP="00A06345">
      <w:pPr>
        <w:pStyle w:val="H1G"/>
      </w:pPr>
      <w:r>
        <w:tab/>
      </w:r>
      <w:r>
        <w:tab/>
      </w:r>
      <w:r w:rsidR="002F1EE7" w:rsidRPr="002F1EE7">
        <w:t>Question 21 – Rural women</w:t>
      </w:r>
    </w:p>
    <w:p w14:paraId="69320156" w14:textId="77777777" w:rsidR="002F1EE7" w:rsidRPr="00A06345" w:rsidRDefault="002F1EE7">
      <w:pPr>
        <w:pStyle w:val="SingleTxtG"/>
        <w:numPr>
          <w:ilvl w:val="0"/>
          <w:numId w:val="32"/>
        </w:numPr>
        <w:ind w:left="1134" w:firstLine="0"/>
        <w:rPr>
          <w:u w:val="single"/>
        </w:rPr>
      </w:pPr>
      <w:r w:rsidRPr="002F1EE7">
        <w:t xml:space="preserve">The GORTT remains committed to improving the quality of life and economic well-being of women and girls living in rural areas. The government separated the Ministry of Rural Development and Local Government (MORDLG) to focus on the mandate of the rural infrastructural development considering the need of rural communities and existing vulnerable groups, of which women are a part. Sex disaggregated data on rural women appear in </w:t>
      </w:r>
      <w:r w:rsidRPr="00A06345">
        <w:t>Appendix III.</w:t>
      </w:r>
    </w:p>
    <w:p w14:paraId="0A1DCAC9" w14:textId="77777777" w:rsidR="002F1EE7" w:rsidRPr="002F1EE7" w:rsidRDefault="002F1EE7">
      <w:pPr>
        <w:pStyle w:val="SingleTxtG"/>
        <w:numPr>
          <w:ilvl w:val="0"/>
          <w:numId w:val="32"/>
        </w:numPr>
        <w:ind w:left="1134" w:firstLine="0"/>
        <w:rPr>
          <w:b/>
          <w:bCs/>
          <w:u w:val="single"/>
        </w:rPr>
      </w:pPr>
      <w:r w:rsidRPr="002F1EE7">
        <w:t>As articulated in Vision 2030, such emphasis on rural development will serve to ensure greater opportunities and foster social and economic inclusion for the nation’s most vulnerable. Some of these opportunities include:</w:t>
      </w:r>
    </w:p>
    <w:p w14:paraId="33F9268F" w14:textId="77777777" w:rsidR="002F1EE7" w:rsidRPr="00A06345" w:rsidRDefault="002F1EE7" w:rsidP="00A06345">
      <w:pPr>
        <w:pStyle w:val="Bullet1G"/>
      </w:pPr>
      <w:r w:rsidRPr="00A06345">
        <w:t xml:space="preserve">Improving access to healthcare services in remote, rural areas and promote greater use of mobile clinics; </w:t>
      </w:r>
    </w:p>
    <w:p w14:paraId="784915DC" w14:textId="77777777" w:rsidR="002F1EE7" w:rsidRPr="00A06345" w:rsidRDefault="002F1EE7" w:rsidP="00A06345">
      <w:pPr>
        <w:pStyle w:val="Bullet1G"/>
      </w:pPr>
      <w:r w:rsidRPr="00A06345">
        <w:t xml:space="preserve">Continued upgrade of District Healthcare Facilities to further decentralised services for wider offerings. </w:t>
      </w:r>
    </w:p>
    <w:p w14:paraId="3EEA9FDF" w14:textId="2809A864" w:rsidR="002F1EE7" w:rsidRPr="002F1EE7" w:rsidRDefault="00A06345" w:rsidP="00A06345">
      <w:pPr>
        <w:pStyle w:val="H23G"/>
      </w:pPr>
      <w:r>
        <w:tab/>
      </w:r>
      <w:r>
        <w:tab/>
      </w:r>
      <w:r w:rsidR="002F1EE7" w:rsidRPr="002F1EE7">
        <w:t>Local Area Economic Development</w:t>
      </w:r>
    </w:p>
    <w:p w14:paraId="4A040C1F" w14:textId="77777777" w:rsidR="002F1EE7" w:rsidRPr="002F1EE7" w:rsidRDefault="002F1EE7">
      <w:pPr>
        <w:pStyle w:val="SingleTxtG"/>
        <w:numPr>
          <w:ilvl w:val="0"/>
          <w:numId w:val="32"/>
        </w:numPr>
        <w:ind w:left="1134" w:firstLine="0"/>
        <w:rPr>
          <w:b/>
          <w:bCs/>
          <w:u w:val="single"/>
        </w:rPr>
      </w:pPr>
      <w:r w:rsidRPr="002F1EE7">
        <w:t xml:space="preserve"> The MORDLG’s Local Area Economic Development Plans for each of the 14 Municipal Corporations include opportunities for employment and entrepreneurship for women and girls; recognizing the challenges faced; and specifically addressing disparities in participation by youth and women.</w:t>
      </w:r>
    </w:p>
    <w:p w14:paraId="181E3CCF" w14:textId="77777777" w:rsidR="002F1EE7" w:rsidRPr="002F1EE7" w:rsidRDefault="002F1EE7">
      <w:pPr>
        <w:pStyle w:val="SingleTxtG"/>
        <w:numPr>
          <w:ilvl w:val="0"/>
          <w:numId w:val="32"/>
        </w:numPr>
        <w:ind w:left="1134" w:firstLine="0"/>
        <w:rPr>
          <w:b/>
          <w:bCs/>
          <w:u w:val="single"/>
        </w:rPr>
      </w:pPr>
      <w:r w:rsidRPr="002F1EE7">
        <w:t xml:space="preserve">A major undertaking of the MORDLG for fiscal 2023-2024, is the development of 10-year Municipal Development Plans (MDPs), 10-year Municipal Investment Plans (MIPs) and to update Local Area Profiles (LAPs) for all 14 Municipal Corporations.  These will bolster economic development in rural communities by creating greater opportunities for women, among other groups. These planned initiatives will also complement the government’s plans to continue building economic activity at the community level, as articulated in the Roadmap to Recovery Reports (RRRs). They are intended to benefit number of NGOs and other civil society groups for example, the Alliance of Rural Communities of Trinidad and Tobago; Moruga Hill Rice Farmers; and the Network of Rural Women by providing a platform for discussion on key issues and challenges faced by rural women entrepreneurs. </w:t>
      </w:r>
    </w:p>
    <w:p w14:paraId="7ED761B4" w14:textId="77777777" w:rsidR="002F1EE7" w:rsidRPr="002F1EE7" w:rsidRDefault="002F1EE7">
      <w:pPr>
        <w:pStyle w:val="SingleTxtG"/>
        <w:numPr>
          <w:ilvl w:val="0"/>
          <w:numId w:val="32"/>
        </w:numPr>
        <w:ind w:left="1134" w:firstLine="0"/>
      </w:pPr>
      <w:r w:rsidRPr="002F1EE7">
        <w:t xml:space="preserve">In fiscal 2023, approval was granted for the MSDFS to partner with the Office of Disaster Preparedness and Management (ODPM) to develop a shock Responsive Social Protection Policy for Trinidad and Tobago. This policy will take into consideration the impact of disasters on poor and vulnerable women as well as other marginalized groups. </w:t>
      </w:r>
    </w:p>
    <w:p w14:paraId="6079B569" w14:textId="4614DF11" w:rsidR="002F1EE7" w:rsidRPr="002F1EE7" w:rsidRDefault="00A06345" w:rsidP="00A06345">
      <w:pPr>
        <w:pStyle w:val="H23G"/>
      </w:pPr>
      <w:r>
        <w:tab/>
      </w:r>
      <w:r>
        <w:tab/>
      </w:r>
      <w:r w:rsidR="002F1EE7" w:rsidRPr="002F1EE7">
        <w:t>Education</w:t>
      </w:r>
    </w:p>
    <w:p w14:paraId="383178C7" w14:textId="77777777" w:rsidR="002F1EE7" w:rsidRPr="002F1EE7" w:rsidRDefault="002F1EE7">
      <w:pPr>
        <w:pStyle w:val="SingleTxtG"/>
        <w:numPr>
          <w:ilvl w:val="0"/>
          <w:numId w:val="32"/>
        </w:numPr>
        <w:ind w:left="1134" w:firstLine="0"/>
      </w:pPr>
      <w:r w:rsidRPr="002F1EE7">
        <w:t xml:space="preserve">Overall, females in rural communities have access and can benefit from nationally funded programmes, geared towards increasing access and equality. These programmes </w:t>
      </w:r>
      <w:r w:rsidRPr="002F1EE7">
        <w:lastRenderedPageBreak/>
        <w:t xml:space="preserve">include MoE’s </w:t>
      </w:r>
      <w:r w:rsidRPr="002F1EE7">
        <w:rPr>
          <w:i/>
          <w:iCs/>
        </w:rPr>
        <w:t xml:space="preserve">Digital </w:t>
      </w:r>
      <w:r w:rsidRPr="005E1C13">
        <w:t>Transformation</w:t>
      </w:r>
      <w:r w:rsidRPr="002F1EE7">
        <w:rPr>
          <w:i/>
          <w:iCs/>
        </w:rPr>
        <w:t xml:space="preserve"> Programme </w:t>
      </w:r>
      <w:r w:rsidRPr="002F1EE7">
        <w:t>which has increased support to vulnerable and marginalised students, such as those living in rural communities. This programme provides ICT devices to students in need and improves electronic infrastructure in schools.</w:t>
      </w:r>
    </w:p>
    <w:p w14:paraId="79DA716B" w14:textId="77777777" w:rsidR="002F1EE7" w:rsidRPr="002F1EE7" w:rsidRDefault="002F1EE7">
      <w:pPr>
        <w:pStyle w:val="SingleTxtG"/>
        <w:numPr>
          <w:ilvl w:val="0"/>
          <w:numId w:val="32"/>
        </w:numPr>
        <w:ind w:left="1134" w:firstLine="0"/>
      </w:pPr>
      <w:r w:rsidRPr="002F1EE7">
        <w:t xml:space="preserve">Additionally, for students that may be economically disadvantaged, the government has established a $1,000 TTD </w:t>
      </w:r>
      <w:r w:rsidRPr="002F1EE7">
        <w:rPr>
          <w:i/>
          <w:iCs/>
        </w:rPr>
        <w:t>School Supplies and Book Grant</w:t>
      </w:r>
      <w:r w:rsidRPr="002F1EE7">
        <w:t xml:space="preserve"> for Fiscal 2024. Other more established educational funding include: various scholarships and bursaries for students to access local and international tertiary education. The </w:t>
      </w:r>
      <w:r w:rsidRPr="002F1EE7">
        <w:rPr>
          <w:i/>
          <w:iCs/>
        </w:rPr>
        <w:t xml:space="preserve">Government Assisted Tuition Expenses </w:t>
      </w:r>
      <w:r w:rsidRPr="002F1EE7">
        <w:t xml:space="preserve">(GATE) funds national tertiary education. </w:t>
      </w:r>
    </w:p>
    <w:p w14:paraId="057721EE" w14:textId="0408C058" w:rsidR="002F1EE7" w:rsidRPr="002F1EE7" w:rsidRDefault="00A06345" w:rsidP="00A06345">
      <w:pPr>
        <w:pStyle w:val="H23G"/>
      </w:pPr>
      <w:r>
        <w:tab/>
      </w:r>
      <w:r>
        <w:tab/>
      </w:r>
      <w:r w:rsidR="002F1EE7" w:rsidRPr="002F1EE7">
        <w:t>Health</w:t>
      </w:r>
    </w:p>
    <w:p w14:paraId="465D4AFA" w14:textId="77777777" w:rsidR="002F1EE7" w:rsidRPr="002F1EE7" w:rsidRDefault="002F1EE7">
      <w:pPr>
        <w:pStyle w:val="SingleTxtG"/>
        <w:numPr>
          <w:ilvl w:val="0"/>
          <w:numId w:val="32"/>
        </w:numPr>
        <w:ind w:left="1134" w:firstLine="0"/>
      </w:pPr>
      <w:r w:rsidRPr="002F1EE7">
        <w:t xml:space="preserve">Health care services such as primary health care (including family planning and modern contraceptive); prenatal, perinatal; postnatal, and obstetric services; HIV prevention and treatment; counselling on nutrition and infant and young child feeding; and prevention and treatment of NCDs are provided at no cost at the point of service delivery, at over 100 public health facilities (health centres, district facilities, hospitals) located in both rural and urban areas across Trinidad and Tobago. </w:t>
      </w:r>
    </w:p>
    <w:p w14:paraId="49BE089A" w14:textId="77777777" w:rsidR="002F1EE7" w:rsidRPr="002F1EE7" w:rsidRDefault="002F1EE7">
      <w:pPr>
        <w:pStyle w:val="SingleTxtG"/>
        <w:numPr>
          <w:ilvl w:val="0"/>
          <w:numId w:val="32"/>
        </w:numPr>
        <w:ind w:left="1134" w:firstLine="0"/>
      </w:pPr>
      <w:r w:rsidRPr="002F1EE7">
        <w:t>Under the area of sexual, reproductive, maternal, new born, child, and adolescent health (SRMNCAH), the MoH has placed importance on developing and implementing data collection system to identify and quantify inequality and inequity gaps so that health systems, programmes, strategies and interventions can be redesigned with a view achieving health equity.</w:t>
      </w:r>
    </w:p>
    <w:p w14:paraId="744EEB09" w14:textId="77777777" w:rsidR="002F1EE7" w:rsidRPr="002F1EE7" w:rsidRDefault="002F1EE7">
      <w:pPr>
        <w:pStyle w:val="SingleTxtG"/>
        <w:numPr>
          <w:ilvl w:val="0"/>
          <w:numId w:val="32"/>
        </w:numPr>
        <w:ind w:left="1134" w:firstLine="0"/>
      </w:pPr>
      <w:r w:rsidRPr="002F1EE7">
        <w:t>With respect to access to modern contraceptives, the MoH introduced contraceptive implants to the public health system in 2021. While initially offered at select facilities, through a train-the-trainer approach, the MoH has increased the number of sites where implants and other modern contraceptives can be accessed, and continues to build capacity among health care workers to increase access.</w:t>
      </w:r>
    </w:p>
    <w:p w14:paraId="7B4008DB" w14:textId="193CB561" w:rsidR="002F1EE7" w:rsidRPr="002F1EE7" w:rsidRDefault="00A06345" w:rsidP="00A06345">
      <w:pPr>
        <w:pStyle w:val="H23G"/>
      </w:pPr>
      <w:r>
        <w:tab/>
      </w:r>
      <w:r>
        <w:tab/>
      </w:r>
      <w:r w:rsidR="002F1EE7" w:rsidRPr="002F1EE7">
        <w:t>Employment</w:t>
      </w:r>
    </w:p>
    <w:p w14:paraId="62A0B257" w14:textId="77777777" w:rsidR="002F1EE7" w:rsidRPr="002F1EE7" w:rsidRDefault="002F1EE7">
      <w:pPr>
        <w:pStyle w:val="SingleTxtG"/>
        <w:numPr>
          <w:ilvl w:val="0"/>
          <w:numId w:val="32"/>
        </w:numPr>
        <w:ind w:left="1134" w:firstLine="0"/>
        <w:rPr>
          <w:lang w:val="en-TT"/>
        </w:rPr>
      </w:pPr>
      <w:r w:rsidRPr="002F1EE7">
        <w:rPr>
          <w:lang w:val="en-TT"/>
        </w:rPr>
        <w:t>The Ministry of Labour assists with providing employment for persons, including rural women through the On-the-Job Training Programme (OJT) and National Employment Services (NES). The OJT Programme is a pre-employment programme which offers participants between the ages of 16-35 an induction into the world of work and focuses on their acquisition of practical occupational skills and experience within organisations (private, public and non-governmental) in Trinidad and Tobago. In 2022, the OJT Programme facilitated the placement and development of 2,317 trainees. Of the total, 1,724 were female trainees. In 2022, the OJT Programme commemorated its 20th Anniversary.</w:t>
      </w:r>
    </w:p>
    <w:p w14:paraId="316D6ACE" w14:textId="77777777" w:rsidR="002F1EE7" w:rsidRPr="002F1EE7" w:rsidRDefault="002F1EE7">
      <w:pPr>
        <w:pStyle w:val="SingleTxtG"/>
        <w:numPr>
          <w:ilvl w:val="0"/>
          <w:numId w:val="32"/>
        </w:numPr>
        <w:ind w:left="1134" w:firstLine="0"/>
        <w:rPr>
          <w:lang w:val="en-TT"/>
        </w:rPr>
      </w:pPr>
      <w:r w:rsidRPr="002F1EE7">
        <w:rPr>
          <w:lang w:val="en-TT"/>
        </w:rPr>
        <w:t>The OJT Programme gives equal opportunities to young men and women, including rural women. Notably, a majority of the trainees enrolled in the programme are female, who can use this as a medium to gain practical job experience which they can use in order to further their careers. Additionally, because of the structured compensation package of the OJT Programme, women receive equal wages for equal work and experience as compared to their male counterparts.</w:t>
      </w:r>
    </w:p>
    <w:p w14:paraId="21F6225E" w14:textId="77777777" w:rsidR="002F1EE7" w:rsidRPr="002F1EE7" w:rsidRDefault="002F1EE7">
      <w:pPr>
        <w:pStyle w:val="SingleTxtG"/>
        <w:numPr>
          <w:ilvl w:val="0"/>
          <w:numId w:val="32"/>
        </w:numPr>
        <w:ind w:left="1134" w:firstLine="0"/>
        <w:rPr>
          <w:lang w:val="en-TT"/>
        </w:rPr>
      </w:pPr>
      <w:r w:rsidRPr="002F1EE7">
        <w:rPr>
          <w:lang w:val="en-TT"/>
        </w:rPr>
        <w:t>The National Employment Service (NES) is government’s free public employment service that provides job matching services, counselling to job-seekers as well as assistance in preparing for the world of work and improving job-seekers’ employability by providing guidance in résumé writing, interview skills and professional dress.</w:t>
      </w:r>
    </w:p>
    <w:p w14:paraId="31BC4D00" w14:textId="77777777" w:rsidR="002F1EE7" w:rsidRPr="002F1EE7" w:rsidRDefault="002F1EE7">
      <w:pPr>
        <w:pStyle w:val="SingleTxtG"/>
        <w:numPr>
          <w:ilvl w:val="0"/>
          <w:numId w:val="32"/>
        </w:numPr>
        <w:ind w:left="1134" w:firstLine="0"/>
        <w:rPr>
          <w:lang w:val="en-TT"/>
        </w:rPr>
      </w:pPr>
      <w:r w:rsidRPr="002F1EE7">
        <w:rPr>
          <w:lang w:val="en-TT"/>
        </w:rPr>
        <w:t xml:space="preserve">Additionally, the NES </w:t>
      </w:r>
      <w:r w:rsidRPr="005E1C13">
        <w:t>continues</w:t>
      </w:r>
      <w:r w:rsidRPr="002F1EE7">
        <w:rPr>
          <w:lang w:val="en-TT"/>
        </w:rPr>
        <w:t xml:space="preserve"> to partner with community-based and faith-based organisations as well as other Government Ministries, Divisions and Agencies to conduct World of Work (WoW) Seminars.  This is usually done as requested by these organizations as well as for secondary schools. Sessions are held virtually, face-to-face or hybrid with secondary schools, local government councillors, church/ youth/community groups and in collaboration with other Ministries/Agencies. The WoW Seminars have provided an avenue to disseminate information in group settings on subjects relating to career guidance, résumé writing, interview techniques and understanding of one’s self.</w:t>
      </w:r>
    </w:p>
    <w:p w14:paraId="57C001D1" w14:textId="2FD0033F" w:rsidR="002F1EE7" w:rsidRPr="002F1EE7" w:rsidRDefault="00A06345" w:rsidP="00A06345">
      <w:pPr>
        <w:pStyle w:val="H23G"/>
      </w:pPr>
      <w:r>
        <w:lastRenderedPageBreak/>
        <w:tab/>
      </w:r>
      <w:r>
        <w:tab/>
      </w:r>
      <w:r w:rsidR="002F1EE7" w:rsidRPr="002F1EE7">
        <w:t>Women’s representation in Local Government</w:t>
      </w:r>
    </w:p>
    <w:p w14:paraId="7C12919A" w14:textId="77777777" w:rsidR="002F1EE7" w:rsidRPr="002F1EE7" w:rsidRDefault="002F1EE7">
      <w:pPr>
        <w:pStyle w:val="SingleTxtG"/>
        <w:numPr>
          <w:ilvl w:val="0"/>
          <w:numId w:val="32"/>
        </w:numPr>
        <w:ind w:left="1134" w:firstLine="0"/>
      </w:pPr>
      <w:r w:rsidRPr="002F1EE7">
        <w:t>Participation in the decision-making process is a critical feature of advancing women’s rights and fostering a more active role for women in the development of communities at the local level. Estimates for 2019</w:t>
      </w:r>
      <w:r w:rsidRPr="002F1EE7">
        <w:rPr>
          <w:vertAlign w:val="superscript"/>
        </w:rPr>
        <w:footnoteReference w:id="9"/>
      </w:r>
      <w:r w:rsidRPr="002F1EE7">
        <w:t xml:space="preserve"> indicate that female representation in local government is increasing with 36% of women represented in local government councils, an increase from the previous term (2016), which stood at 30.4%.  Further improvement is necessary to attain 50%, as equal representation at the Local Government level is essential for raising awareness, fostering advocacy of women’s rights and the sustainable development of communities. </w:t>
      </w:r>
    </w:p>
    <w:p w14:paraId="220B71DD" w14:textId="2C6348B8" w:rsidR="002F1EE7" w:rsidRPr="002F1EE7" w:rsidRDefault="00A06345" w:rsidP="00A06345">
      <w:pPr>
        <w:pStyle w:val="H1G"/>
      </w:pPr>
      <w:r>
        <w:tab/>
      </w:r>
      <w:r>
        <w:tab/>
      </w:r>
      <w:r w:rsidR="002F1EE7" w:rsidRPr="002F1EE7">
        <w:t>Question 22 – Disaster risk reduction and climate change</w:t>
      </w:r>
    </w:p>
    <w:p w14:paraId="2C1BFF6E" w14:textId="2A6A970A" w:rsidR="002F1EE7" w:rsidRPr="002F1EE7" w:rsidRDefault="00A06345" w:rsidP="00A06345">
      <w:pPr>
        <w:pStyle w:val="H23G"/>
      </w:pPr>
      <w:r>
        <w:tab/>
      </w:r>
      <w:r>
        <w:tab/>
      </w:r>
      <w:r w:rsidR="002F1EE7" w:rsidRPr="002F1EE7">
        <w:t>Climate change</w:t>
      </w:r>
    </w:p>
    <w:p w14:paraId="4922F820" w14:textId="77777777" w:rsidR="002F1EE7" w:rsidRPr="002F1EE7" w:rsidRDefault="002F1EE7">
      <w:pPr>
        <w:pStyle w:val="SingleTxtG"/>
        <w:numPr>
          <w:ilvl w:val="0"/>
          <w:numId w:val="32"/>
        </w:numPr>
        <w:ind w:left="1134" w:firstLine="0"/>
        <w:rPr>
          <w:lang w:val="en-US"/>
        </w:rPr>
      </w:pPr>
      <w:r w:rsidRPr="002F1EE7">
        <w:rPr>
          <w:lang w:val="en-US"/>
        </w:rPr>
        <w:t>Trinidad</w:t>
      </w:r>
      <w:r w:rsidRPr="002F1EE7">
        <w:t xml:space="preserve"> and Tobago is a party to international conventions such as the United Nations Framework Convention on Climate Change (UNFCCC) and the Paris Agreement</w:t>
      </w:r>
      <w:r w:rsidRPr="002F1EE7">
        <w:rPr>
          <w:lang w:val="en-US"/>
        </w:rPr>
        <w:t xml:space="preserve"> that both incorporate gender perspectives into the areas of climate change and the environmental sector. </w:t>
      </w:r>
      <w:r w:rsidRPr="002F1EE7">
        <w:t xml:space="preserve">As a State party, Trinidad and Tobago developed its National Climate Change Policy in 2011, and submitted its Nationally Determined Contribution in July 2015. Building upon its international obligations, </w:t>
      </w:r>
      <w:r w:rsidRPr="002F1EE7">
        <w:rPr>
          <w:lang w:val="en-US"/>
        </w:rPr>
        <w:t xml:space="preserve">Trinidad and Tobago continues to deliver on its commitment to address issues of gender in the context of climate change. </w:t>
      </w:r>
    </w:p>
    <w:p w14:paraId="557285D0" w14:textId="77777777" w:rsidR="002F1EE7" w:rsidRPr="002F1EE7" w:rsidRDefault="002F1EE7">
      <w:pPr>
        <w:pStyle w:val="SingleTxtG"/>
        <w:numPr>
          <w:ilvl w:val="0"/>
          <w:numId w:val="32"/>
        </w:numPr>
        <w:ind w:left="1134" w:firstLine="0"/>
        <w:rPr>
          <w:lang w:val="en-US"/>
        </w:rPr>
      </w:pPr>
      <w:r w:rsidRPr="002F1EE7">
        <w:rPr>
          <w:lang w:val="en-US"/>
        </w:rPr>
        <w:t xml:space="preserve">As such, Trinidad and Tobago collaborated with the United Nations Development Programme (UNDP) under the Nationally Determined Contribution (NDC) Support Programme to conduct a Gender Analysis to </w:t>
      </w:r>
      <w:r w:rsidRPr="005E1C13">
        <w:t>identify</w:t>
      </w:r>
      <w:r w:rsidRPr="002F1EE7">
        <w:rPr>
          <w:lang w:val="en-US"/>
        </w:rPr>
        <w:t xml:space="preserve"> gender issues and opportunities that will support the gender mainstreaming into climate action. The Gender Analysis specifically identified gaps in policy, planning frameworks, and governance mechanisms for incorporating gender equality considerations in climate change mitigation initiatives. It also explored the enabling factors and opportunities for addressing these gaps. The Gender Analysis provides recommendations to support a gender-responsive NDC implementation and has informed Trinidad and Tobago’s NDC Gender Action Plan (GAP). </w:t>
      </w:r>
    </w:p>
    <w:p w14:paraId="647456BD" w14:textId="619E1817" w:rsidR="002F1EE7" w:rsidRPr="002F1EE7" w:rsidRDefault="00A06345" w:rsidP="00A06345">
      <w:pPr>
        <w:pStyle w:val="H23G"/>
        <w:rPr>
          <w:lang w:val="en-US"/>
        </w:rPr>
      </w:pPr>
      <w:r>
        <w:rPr>
          <w:lang w:val="en-US"/>
        </w:rPr>
        <w:tab/>
      </w:r>
      <w:r>
        <w:rPr>
          <w:lang w:val="en-US"/>
        </w:rPr>
        <w:tab/>
      </w:r>
      <w:r w:rsidR="002F1EE7" w:rsidRPr="002F1EE7">
        <w:rPr>
          <w:lang w:val="en-US"/>
        </w:rPr>
        <w:t>Disaster management</w:t>
      </w:r>
    </w:p>
    <w:p w14:paraId="5E307CA1" w14:textId="77777777" w:rsidR="002F1EE7" w:rsidRPr="002F1EE7" w:rsidRDefault="002F1EE7">
      <w:pPr>
        <w:pStyle w:val="SingleTxtG"/>
        <w:numPr>
          <w:ilvl w:val="0"/>
          <w:numId w:val="32"/>
        </w:numPr>
        <w:ind w:left="1134" w:firstLine="0"/>
        <w:rPr>
          <w:bCs/>
        </w:rPr>
      </w:pPr>
      <w:r w:rsidRPr="002F1EE7">
        <w:rPr>
          <w:lang w:val="en-US"/>
        </w:rPr>
        <w:t xml:space="preserve">The GORTT’s commitment to comprehensive disaster management has been articulated in the National Development Strategy (NDS) and the Roadmap to Recovery Reports (RRRs). </w:t>
      </w:r>
      <w:r w:rsidRPr="002F1EE7">
        <w:rPr>
          <w:bCs/>
          <w:lang w:val="en-US"/>
        </w:rPr>
        <w:t xml:space="preserve">This planning </w:t>
      </w:r>
      <w:r w:rsidRPr="005E1C13">
        <w:t>framework</w:t>
      </w:r>
      <w:r w:rsidRPr="002F1EE7">
        <w:rPr>
          <w:bCs/>
          <w:lang w:val="en-US"/>
        </w:rPr>
        <w:t xml:space="preserve"> </w:t>
      </w:r>
      <w:r w:rsidRPr="002F1EE7">
        <w:rPr>
          <w:bCs/>
        </w:rPr>
        <w:t xml:space="preserve">recognizes: the wide range of country risks; the importance of advancing disaster preparedness and management; and the need to build resilience of citizens particularly that of vulnerable groups, of which women are a part. </w:t>
      </w:r>
      <w:r w:rsidRPr="002F1EE7">
        <w:rPr>
          <w:lang w:val="en-US"/>
        </w:rPr>
        <w:t xml:space="preserve">The country’s commitment is further evidenced in its involvement in global and regional efforts established to promote disaster risk management and climate change adaptation. Trinidad and Tobago is party to a range of international conventions, and regional and international agendas such as the 2030 Agenda for Sustainable Development inclusive of the Sendai Framework for Disaster Risk Reduction 2015 – 2030; the Paris Agreement on Climate Change 2015; the Addis Ababa Action Agenda of the Third International Conference on Financing for Development (Addis Ababa Action Agenda); and the CDEMA Regional Comprehensive Disaster Management Strategy and Results Framework (2014-2024). </w:t>
      </w:r>
    </w:p>
    <w:p w14:paraId="3C88C4EA" w14:textId="41369A4F" w:rsidR="002F1EE7" w:rsidRPr="002F1EE7" w:rsidRDefault="00A06345" w:rsidP="00A06345">
      <w:pPr>
        <w:pStyle w:val="H4G"/>
        <w:rPr>
          <w:b/>
        </w:rPr>
      </w:pPr>
      <w:r>
        <w:tab/>
      </w:r>
      <w:r>
        <w:tab/>
      </w:r>
      <w:r w:rsidR="002F1EE7" w:rsidRPr="002F1EE7">
        <w:t>Disaster management capacity strengthened for vulnerable groups</w:t>
      </w:r>
    </w:p>
    <w:p w14:paraId="65F7212B" w14:textId="77777777" w:rsidR="002F1EE7" w:rsidRPr="002F1EE7" w:rsidRDefault="002F1EE7">
      <w:pPr>
        <w:pStyle w:val="SingleTxtG"/>
        <w:numPr>
          <w:ilvl w:val="0"/>
          <w:numId w:val="32"/>
        </w:numPr>
        <w:ind w:left="1134" w:firstLine="0"/>
      </w:pPr>
      <w:r w:rsidRPr="002F1EE7">
        <w:rPr>
          <w:bCs/>
        </w:rPr>
        <w:t xml:space="preserve">The GORTT has committed </w:t>
      </w:r>
      <w:r w:rsidRPr="002F1EE7">
        <w:t>to undertaking efforts to strengthen the capacities of communities and key stakeholders across various sectors to enable effective mitigation, preparedness, response, and recovery.  This will enhance the capacity of vulnerable group to treat with disaster management issues. It should be noted that women in communities form an integral part of the Community Emergency Reponses Teams (CERTs) and are empowered to play an active role in disaster management. Some of the activities undertaken in the communities involve:</w:t>
      </w:r>
    </w:p>
    <w:p w14:paraId="54C0587E" w14:textId="77777777" w:rsidR="002F1EE7" w:rsidRPr="002F1EE7" w:rsidRDefault="002F1EE7" w:rsidP="00A06345">
      <w:pPr>
        <w:pStyle w:val="Bullet1G"/>
      </w:pPr>
      <w:r w:rsidRPr="002F1EE7">
        <w:lastRenderedPageBreak/>
        <w:t xml:space="preserve">CERT - involves community evacuation drills/simulations/exercises (oil &amp; gas/multi-hazard (flooding/tsunami etc)), identifying and implementing mechanism(s) via community engagement strategies that allow(s) for the meaningful participation of vulnerable and minority groups such as women, children, older persons, persons with disabilities and migrants in disaster management activities; and </w:t>
      </w:r>
    </w:p>
    <w:p w14:paraId="6333141F" w14:textId="77777777" w:rsidR="002F1EE7" w:rsidRPr="002F1EE7" w:rsidRDefault="002F1EE7" w:rsidP="00A06345">
      <w:pPr>
        <w:pStyle w:val="Bullet1G"/>
      </w:pPr>
      <w:r w:rsidRPr="002F1EE7">
        <w:t>The development of local level or community Disaster Risk Reduction plans to facilitate the active engagement and participation of the community including women and girls.</w:t>
      </w:r>
    </w:p>
    <w:p w14:paraId="12ADD9DF" w14:textId="485B7F27" w:rsidR="002F1EE7" w:rsidRPr="002F1EE7" w:rsidRDefault="00A06345" w:rsidP="00A06345">
      <w:pPr>
        <w:pStyle w:val="H1G"/>
      </w:pPr>
      <w:r>
        <w:tab/>
      </w:r>
      <w:r>
        <w:tab/>
      </w:r>
      <w:r w:rsidR="002F1EE7" w:rsidRPr="002F1EE7">
        <w:t>Question 23 – Disadvantaged groups of women</w:t>
      </w:r>
    </w:p>
    <w:p w14:paraId="328C0A1E" w14:textId="77777777" w:rsidR="002F1EE7" w:rsidRPr="002F1EE7" w:rsidRDefault="002F1EE7">
      <w:pPr>
        <w:pStyle w:val="SingleTxtG"/>
        <w:numPr>
          <w:ilvl w:val="0"/>
          <w:numId w:val="32"/>
        </w:numPr>
        <w:ind w:left="1134" w:firstLine="0"/>
      </w:pPr>
      <w:r w:rsidRPr="002F1EE7">
        <w:t xml:space="preserve">The National Social Development Programme (NSDP) is a social intervention that provides mechanisms for eligible citizens of Trinidad and Tobago to improve their standard of living and quality of life. This is provided through grant services to improve the infrastructure and physical living conditions of their dwelling homes in the areas of minor structural repairs, improvement to sanitary plumbing facilities and electrical wiring installations. </w:t>
      </w:r>
    </w:p>
    <w:p w14:paraId="0ACDEE01" w14:textId="77777777" w:rsidR="002F1EE7" w:rsidRPr="002F1EE7" w:rsidRDefault="002F1EE7">
      <w:pPr>
        <w:pStyle w:val="SingleTxtG"/>
        <w:numPr>
          <w:ilvl w:val="0"/>
          <w:numId w:val="32"/>
        </w:numPr>
        <w:ind w:left="1134" w:firstLine="0"/>
      </w:pPr>
      <w:r w:rsidRPr="002F1EE7">
        <w:t>The Programme seeks to target specifically the poor and vulnerable groups in society including but not limited to senior citizens, persons with disabilities, unemployed persons and single-parent households. Table 2 provides a breakdown of female applicants for fiscal 2023.</w:t>
      </w:r>
    </w:p>
    <w:p w14:paraId="6B6B742F" w14:textId="77777777" w:rsidR="002F1EE7" w:rsidRPr="002F1EE7" w:rsidRDefault="002F1EE7" w:rsidP="005B6813">
      <w:pPr>
        <w:pStyle w:val="Heading1"/>
        <w:jc w:val="center"/>
      </w:pPr>
      <w:r w:rsidRPr="002F1EE7">
        <w:t>Table 5: Other Support provided to Women through NSDP</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9"/>
        <w:gridCol w:w="2331"/>
        <w:gridCol w:w="2430"/>
      </w:tblGrid>
      <w:tr w:rsidR="002F1EE7" w:rsidRPr="00906CA8" w14:paraId="548C74FB" w14:textId="77777777" w:rsidTr="00906CA8">
        <w:trPr>
          <w:tblHeader/>
        </w:trPr>
        <w:tc>
          <w:tcPr>
            <w:tcW w:w="3409" w:type="dxa"/>
            <w:tcBorders>
              <w:top w:val="single" w:sz="4" w:space="0" w:color="auto"/>
              <w:bottom w:val="single" w:sz="12" w:space="0" w:color="auto"/>
            </w:tcBorders>
            <w:vAlign w:val="bottom"/>
          </w:tcPr>
          <w:p w14:paraId="1455197A" w14:textId="77777777" w:rsidR="002F1EE7" w:rsidRPr="00906CA8" w:rsidRDefault="002F1EE7" w:rsidP="00906CA8">
            <w:pPr>
              <w:pStyle w:val="SingleTxtG"/>
              <w:tabs>
                <w:tab w:val="clear" w:pos="1701"/>
                <w:tab w:val="clear" w:pos="2268"/>
                <w:tab w:val="clear" w:pos="2835"/>
              </w:tabs>
              <w:suppressAutoHyphens w:val="0"/>
              <w:spacing w:before="80" w:after="80" w:line="200" w:lineRule="exact"/>
              <w:ind w:left="0" w:right="0"/>
              <w:jc w:val="left"/>
              <w:rPr>
                <w:i/>
                <w:sz w:val="16"/>
              </w:rPr>
            </w:pPr>
            <w:r w:rsidRPr="00906CA8">
              <w:rPr>
                <w:i/>
                <w:sz w:val="16"/>
              </w:rPr>
              <w:t>Grant</w:t>
            </w:r>
          </w:p>
        </w:tc>
        <w:tc>
          <w:tcPr>
            <w:tcW w:w="3045" w:type="dxa"/>
            <w:tcBorders>
              <w:top w:val="single" w:sz="4" w:space="0" w:color="auto"/>
              <w:bottom w:val="single" w:sz="12" w:space="0" w:color="auto"/>
            </w:tcBorders>
            <w:vAlign w:val="bottom"/>
          </w:tcPr>
          <w:p w14:paraId="1FBF0E1A" w14:textId="77777777" w:rsidR="002F1EE7" w:rsidRPr="00906CA8" w:rsidRDefault="002F1EE7" w:rsidP="00906CA8">
            <w:pPr>
              <w:pStyle w:val="SingleTxtG"/>
              <w:tabs>
                <w:tab w:val="clear" w:pos="1701"/>
                <w:tab w:val="clear" w:pos="2268"/>
                <w:tab w:val="clear" w:pos="2835"/>
              </w:tabs>
              <w:suppressAutoHyphens w:val="0"/>
              <w:spacing w:before="80" w:after="80" w:line="200" w:lineRule="exact"/>
              <w:ind w:left="0" w:right="0"/>
              <w:jc w:val="right"/>
              <w:rPr>
                <w:i/>
                <w:sz w:val="16"/>
              </w:rPr>
            </w:pPr>
            <w:r w:rsidRPr="00906CA8">
              <w:rPr>
                <w:i/>
                <w:sz w:val="16"/>
              </w:rPr>
              <w:t>No. Female Applicants</w:t>
            </w:r>
          </w:p>
        </w:tc>
        <w:tc>
          <w:tcPr>
            <w:tcW w:w="3174" w:type="dxa"/>
            <w:tcBorders>
              <w:top w:val="single" w:sz="4" w:space="0" w:color="auto"/>
              <w:bottom w:val="single" w:sz="12" w:space="0" w:color="auto"/>
            </w:tcBorders>
            <w:vAlign w:val="bottom"/>
          </w:tcPr>
          <w:p w14:paraId="7F8CB86F" w14:textId="77777777" w:rsidR="002F1EE7" w:rsidRPr="00906CA8" w:rsidRDefault="002F1EE7" w:rsidP="00906CA8">
            <w:pPr>
              <w:pStyle w:val="SingleTxtG"/>
              <w:tabs>
                <w:tab w:val="clear" w:pos="1701"/>
                <w:tab w:val="clear" w:pos="2268"/>
                <w:tab w:val="clear" w:pos="2835"/>
              </w:tabs>
              <w:suppressAutoHyphens w:val="0"/>
              <w:spacing w:before="80" w:after="80" w:line="200" w:lineRule="exact"/>
              <w:ind w:left="0" w:right="0"/>
              <w:jc w:val="right"/>
              <w:rPr>
                <w:i/>
                <w:sz w:val="16"/>
              </w:rPr>
            </w:pPr>
            <w:r w:rsidRPr="00906CA8">
              <w:rPr>
                <w:i/>
                <w:sz w:val="16"/>
              </w:rPr>
              <w:t>Expenditure for Female Applicants</w:t>
            </w:r>
          </w:p>
        </w:tc>
      </w:tr>
      <w:tr w:rsidR="002F1EE7" w:rsidRPr="00906CA8" w14:paraId="017EB6D0" w14:textId="77777777" w:rsidTr="00906CA8">
        <w:tc>
          <w:tcPr>
            <w:tcW w:w="3409" w:type="dxa"/>
            <w:tcBorders>
              <w:top w:val="single" w:sz="12" w:space="0" w:color="auto"/>
            </w:tcBorders>
          </w:tcPr>
          <w:p w14:paraId="2B70A85D"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sz w:val="18"/>
              </w:rPr>
            </w:pPr>
            <w:r w:rsidRPr="00906CA8">
              <w:rPr>
                <w:sz w:val="18"/>
              </w:rPr>
              <w:t>Minor house Repair Assistance</w:t>
            </w:r>
          </w:p>
        </w:tc>
        <w:tc>
          <w:tcPr>
            <w:tcW w:w="3045" w:type="dxa"/>
            <w:tcBorders>
              <w:top w:val="single" w:sz="12" w:space="0" w:color="auto"/>
            </w:tcBorders>
            <w:vAlign w:val="bottom"/>
          </w:tcPr>
          <w:p w14:paraId="1BF7AFD6"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26</w:t>
            </w:r>
          </w:p>
        </w:tc>
        <w:tc>
          <w:tcPr>
            <w:tcW w:w="3174" w:type="dxa"/>
            <w:tcBorders>
              <w:top w:val="single" w:sz="12" w:space="0" w:color="auto"/>
            </w:tcBorders>
            <w:vAlign w:val="bottom"/>
          </w:tcPr>
          <w:p w14:paraId="08215320"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$408,181.16</w:t>
            </w:r>
          </w:p>
        </w:tc>
      </w:tr>
      <w:tr w:rsidR="002F1EE7" w:rsidRPr="00906CA8" w14:paraId="55A4A74B" w14:textId="77777777" w:rsidTr="00906CA8">
        <w:tc>
          <w:tcPr>
            <w:tcW w:w="3409" w:type="dxa"/>
          </w:tcPr>
          <w:p w14:paraId="75380846"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sz w:val="18"/>
              </w:rPr>
            </w:pPr>
            <w:r w:rsidRPr="00906CA8">
              <w:rPr>
                <w:sz w:val="18"/>
              </w:rPr>
              <w:t>Sanitary Plumbing Assistance</w:t>
            </w:r>
          </w:p>
        </w:tc>
        <w:tc>
          <w:tcPr>
            <w:tcW w:w="3045" w:type="dxa"/>
            <w:vAlign w:val="bottom"/>
          </w:tcPr>
          <w:p w14:paraId="01A266E9"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13</w:t>
            </w:r>
          </w:p>
        </w:tc>
        <w:tc>
          <w:tcPr>
            <w:tcW w:w="3174" w:type="dxa"/>
            <w:vAlign w:val="bottom"/>
          </w:tcPr>
          <w:p w14:paraId="4E52B2DD"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$160,167.04</w:t>
            </w:r>
          </w:p>
        </w:tc>
      </w:tr>
      <w:tr w:rsidR="002F1EE7" w:rsidRPr="00906CA8" w14:paraId="5EED8674" w14:textId="77777777" w:rsidTr="00906CA8">
        <w:tc>
          <w:tcPr>
            <w:tcW w:w="3409" w:type="dxa"/>
          </w:tcPr>
          <w:p w14:paraId="28B2D9D7"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sz w:val="18"/>
              </w:rPr>
            </w:pPr>
            <w:r w:rsidRPr="00906CA8">
              <w:rPr>
                <w:sz w:val="18"/>
              </w:rPr>
              <w:t>House Wiring Assistance</w:t>
            </w:r>
          </w:p>
        </w:tc>
        <w:tc>
          <w:tcPr>
            <w:tcW w:w="3045" w:type="dxa"/>
            <w:vAlign w:val="bottom"/>
          </w:tcPr>
          <w:p w14:paraId="705BCEAA"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9</w:t>
            </w:r>
          </w:p>
        </w:tc>
        <w:tc>
          <w:tcPr>
            <w:tcW w:w="3174" w:type="dxa"/>
            <w:vAlign w:val="bottom"/>
          </w:tcPr>
          <w:p w14:paraId="0D144D7E"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$110,651.09</w:t>
            </w:r>
          </w:p>
        </w:tc>
      </w:tr>
      <w:tr w:rsidR="002F1EE7" w:rsidRPr="00906CA8" w14:paraId="6B29B292" w14:textId="77777777" w:rsidTr="00906CA8">
        <w:tc>
          <w:tcPr>
            <w:tcW w:w="3409" w:type="dxa"/>
          </w:tcPr>
          <w:p w14:paraId="594C0C5F"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sz w:val="18"/>
              </w:rPr>
            </w:pPr>
            <w:r w:rsidRPr="00906CA8">
              <w:rPr>
                <w:sz w:val="18"/>
              </w:rPr>
              <w:t>Sowing Empowerment through Entrepreneurial Development Programme (SEED)</w:t>
            </w:r>
          </w:p>
        </w:tc>
        <w:tc>
          <w:tcPr>
            <w:tcW w:w="3045" w:type="dxa"/>
            <w:vAlign w:val="bottom"/>
          </w:tcPr>
          <w:p w14:paraId="5583787E"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13</w:t>
            </w:r>
          </w:p>
        </w:tc>
        <w:tc>
          <w:tcPr>
            <w:tcW w:w="3174" w:type="dxa"/>
            <w:vAlign w:val="bottom"/>
          </w:tcPr>
          <w:p w14:paraId="2FB26DC4"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sz w:val="18"/>
              </w:rPr>
            </w:pPr>
            <w:r w:rsidRPr="00906CA8">
              <w:rPr>
                <w:sz w:val="18"/>
              </w:rPr>
              <w:t>$165,189.56</w:t>
            </w:r>
          </w:p>
        </w:tc>
      </w:tr>
      <w:tr w:rsidR="002F1EE7" w:rsidRPr="00906CA8" w14:paraId="3C86B37B" w14:textId="77777777" w:rsidTr="00906CA8">
        <w:tc>
          <w:tcPr>
            <w:tcW w:w="3409" w:type="dxa"/>
            <w:tcBorders>
              <w:bottom w:val="single" w:sz="12" w:space="0" w:color="auto"/>
            </w:tcBorders>
          </w:tcPr>
          <w:p w14:paraId="39B477FC"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left"/>
              <w:rPr>
                <w:b/>
                <w:bCs/>
                <w:sz w:val="18"/>
              </w:rPr>
            </w:pPr>
            <w:r w:rsidRPr="00906CA8">
              <w:rPr>
                <w:b/>
                <w:bCs/>
                <w:sz w:val="18"/>
              </w:rPr>
              <w:t>TOTAL</w:t>
            </w:r>
          </w:p>
        </w:tc>
        <w:tc>
          <w:tcPr>
            <w:tcW w:w="3045" w:type="dxa"/>
            <w:tcBorders>
              <w:bottom w:val="single" w:sz="12" w:space="0" w:color="auto"/>
            </w:tcBorders>
            <w:vAlign w:val="bottom"/>
          </w:tcPr>
          <w:p w14:paraId="5B6BDC95"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b/>
                <w:bCs/>
                <w:sz w:val="18"/>
              </w:rPr>
            </w:pPr>
            <w:r w:rsidRPr="00906CA8">
              <w:rPr>
                <w:b/>
                <w:bCs/>
                <w:sz w:val="18"/>
              </w:rPr>
              <w:t>61</w:t>
            </w:r>
          </w:p>
        </w:tc>
        <w:tc>
          <w:tcPr>
            <w:tcW w:w="3174" w:type="dxa"/>
            <w:tcBorders>
              <w:bottom w:val="single" w:sz="12" w:space="0" w:color="auto"/>
            </w:tcBorders>
            <w:vAlign w:val="bottom"/>
          </w:tcPr>
          <w:p w14:paraId="53FA1865" w14:textId="77777777" w:rsidR="002F1EE7" w:rsidRPr="00906CA8" w:rsidRDefault="002F1EE7" w:rsidP="00906CA8">
            <w:pPr>
              <w:pStyle w:val="SingleTxtG"/>
              <w:tabs>
                <w:tab w:val="clear" w:pos="1701"/>
                <w:tab w:val="clear" w:pos="2268"/>
                <w:tab w:val="clear" w:pos="2835"/>
              </w:tabs>
              <w:suppressAutoHyphens w:val="0"/>
              <w:spacing w:before="40" w:after="40" w:line="220" w:lineRule="exact"/>
              <w:ind w:left="0" w:right="0"/>
              <w:jc w:val="right"/>
              <w:rPr>
                <w:b/>
                <w:bCs/>
                <w:sz w:val="18"/>
              </w:rPr>
            </w:pPr>
            <w:r w:rsidRPr="00906CA8">
              <w:rPr>
                <w:b/>
                <w:bCs/>
                <w:sz w:val="18"/>
              </w:rPr>
              <w:t>$844,188.85</w:t>
            </w:r>
          </w:p>
        </w:tc>
      </w:tr>
    </w:tbl>
    <w:p w14:paraId="16A058E4" w14:textId="77777777" w:rsidR="002F1EE7" w:rsidRPr="002F1EE7" w:rsidRDefault="002F1EE7" w:rsidP="002F1EE7">
      <w:pPr>
        <w:pStyle w:val="SingleTxtG"/>
        <w:rPr>
          <w:i/>
          <w:iCs/>
        </w:rPr>
      </w:pPr>
      <w:r w:rsidRPr="002F1EE7">
        <w:rPr>
          <w:i/>
          <w:iCs/>
        </w:rPr>
        <w:t>Source: MSDFS</w:t>
      </w:r>
    </w:p>
    <w:p w14:paraId="3FC49F6B" w14:textId="77777777" w:rsidR="002F1EE7" w:rsidRPr="002F1EE7" w:rsidRDefault="002F1EE7">
      <w:pPr>
        <w:pStyle w:val="SingleTxtG"/>
        <w:numPr>
          <w:ilvl w:val="0"/>
          <w:numId w:val="32"/>
        </w:numPr>
        <w:ind w:left="1134" w:firstLine="0"/>
      </w:pPr>
      <w:r w:rsidRPr="002F1EE7">
        <w:t>With respect to adolescent mothers, the MoH has implemented measure to address adolescents sexual and reproductive health:</w:t>
      </w:r>
    </w:p>
    <w:p w14:paraId="7524A28F" w14:textId="77777777" w:rsidR="002F1EE7" w:rsidRPr="002F1EE7" w:rsidRDefault="002F1EE7" w:rsidP="00BA0CE8">
      <w:pPr>
        <w:pStyle w:val="Bullet1G"/>
      </w:pPr>
      <w:r w:rsidRPr="002F1EE7">
        <w:t>In 2019, a Joint Select Committee on Social Services and Public Administration commenced an inquiry into the prevalence of teenage pregnancy and the state’s capacity to minimise its occurrence and provide services and assistance to teenage parents;</w:t>
      </w:r>
    </w:p>
    <w:p w14:paraId="197D4E39" w14:textId="77777777" w:rsidR="002F1EE7" w:rsidRPr="002F1EE7" w:rsidRDefault="002F1EE7" w:rsidP="00BA0CE8">
      <w:pPr>
        <w:pStyle w:val="Bullet1G"/>
      </w:pPr>
      <w:r w:rsidRPr="002F1EE7">
        <w:t>Implementation of the National SRH Policy, which seeks to reduce adolescent pregnancy through the provision of comprehensive adolescent SRH information and services;</w:t>
      </w:r>
    </w:p>
    <w:p w14:paraId="772EA75D" w14:textId="77777777" w:rsidR="002F1EE7" w:rsidRPr="002F1EE7" w:rsidRDefault="002F1EE7" w:rsidP="00BA0CE8">
      <w:pPr>
        <w:pStyle w:val="Bullet1G"/>
      </w:pPr>
      <w:r w:rsidRPr="002F1EE7">
        <w:t>Establishment of Adolescent Health Clinics and provision of adolescent health services through the School Health Programme;</w:t>
      </w:r>
    </w:p>
    <w:p w14:paraId="53D77FA3" w14:textId="77777777" w:rsidR="002F1EE7" w:rsidRPr="002F1EE7" w:rsidRDefault="002F1EE7" w:rsidP="00BA0CE8">
      <w:pPr>
        <w:pStyle w:val="Bullet1G"/>
      </w:pPr>
      <w:r w:rsidRPr="002F1EE7">
        <w:t>Establishment of the National Sexual, Reproductive, Maternal, New born, Child and Adolescent Health (SRMNCAH) Committee, a multi-sectoral committee which includes experts in adolescent health; and</w:t>
      </w:r>
    </w:p>
    <w:p w14:paraId="0D487CF0" w14:textId="77777777" w:rsidR="002F1EE7" w:rsidRPr="002F1EE7" w:rsidRDefault="002F1EE7" w:rsidP="00BA0CE8">
      <w:pPr>
        <w:pStyle w:val="Bullet1G"/>
      </w:pPr>
      <w:r w:rsidRPr="002F1EE7">
        <w:t>Introduce data collection tools to obtain timely data on adolescent birth rates from the public and private health sectors:</w:t>
      </w:r>
    </w:p>
    <w:p w14:paraId="30EDCC2B" w14:textId="77777777" w:rsidR="002F1EE7" w:rsidRPr="002F1EE7" w:rsidRDefault="002F1EE7" w:rsidP="00A4507D">
      <w:pPr>
        <w:pStyle w:val="Bullet2G"/>
      </w:pPr>
      <w:r w:rsidRPr="002F1EE7">
        <w:t>Provisional data indicates from 2012 to 2022, adolescent pregnancy deceased by 16.5%, with an average annual percent decrease of 6.4%;</w:t>
      </w:r>
    </w:p>
    <w:p w14:paraId="2DBE6451" w14:textId="77777777" w:rsidR="002F1EE7" w:rsidRPr="002F1EE7" w:rsidRDefault="002F1EE7" w:rsidP="00A4507D">
      <w:pPr>
        <w:pStyle w:val="Bullet2G"/>
      </w:pPr>
      <w:r w:rsidRPr="002F1EE7">
        <w:lastRenderedPageBreak/>
        <w:t>Conduct of the MICS in 2022 to obtain updated data on adolescent pregnancy with social equity subgroups to garner more information on the impact of the social determinants of health on adolescent pregnancy; and</w:t>
      </w:r>
    </w:p>
    <w:p w14:paraId="7C1B30F8" w14:textId="77777777" w:rsidR="002F1EE7" w:rsidRPr="002F1EE7" w:rsidRDefault="002F1EE7" w:rsidP="00A4507D">
      <w:pPr>
        <w:pStyle w:val="Bullet2G"/>
      </w:pPr>
      <w:r w:rsidRPr="002F1EE7">
        <w:t>Long-Acting Reversible Contraceptives (LARCs) are offered to adolescent mothers postpartum.</w:t>
      </w:r>
    </w:p>
    <w:p w14:paraId="3F764877" w14:textId="38071716" w:rsidR="002F1EE7" w:rsidRPr="002F1EE7" w:rsidRDefault="00A4507D" w:rsidP="00A4507D">
      <w:pPr>
        <w:pStyle w:val="H1G"/>
      </w:pPr>
      <w:r>
        <w:tab/>
      </w:r>
      <w:r>
        <w:tab/>
      </w:r>
      <w:r w:rsidR="002F1EE7" w:rsidRPr="002F1EE7">
        <w:t xml:space="preserve">Question 24 – Marriage and </w:t>
      </w:r>
      <w:r w:rsidR="00D124F9">
        <w:t>f</w:t>
      </w:r>
      <w:r w:rsidR="002F1EE7" w:rsidRPr="002F1EE7">
        <w:t xml:space="preserve">amily </w:t>
      </w:r>
      <w:r w:rsidR="00D124F9">
        <w:t>r</w:t>
      </w:r>
      <w:r w:rsidR="002F1EE7" w:rsidRPr="002F1EE7">
        <w:t>elations</w:t>
      </w:r>
    </w:p>
    <w:p w14:paraId="37C6CA68" w14:textId="77777777" w:rsidR="002F1EE7" w:rsidRPr="002F1EE7" w:rsidRDefault="002F1EE7">
      <w:pPr>
        <w:pStyle w:val="SingleTxtG"/>
        <w:numPr>
          <w:ilvl w:val="0"/>
          <w:numId w:val="32"/>
        </w:numPr>
        <w:ind w:left="1134" w:firstLine="0"/>
      </w:pPr>
      <w:r w:rsidRPr="002F1EE7">
        <w:t>The GORTT acknowledges that the family is the foundation of the society and contributes to its growth, development and stability. As such, the creation of strong and resilient family units, equipped to provide a solid underpinning for the cognitive, social and emotional development of children continues to be a leading priority.  A multi-sectoral approach has been adopted in treating with issues that touch and concern different aspects of family life, including possible negative consequences of the dissolution of marriage.</w:t>
      </w:r>
    </w:p>
    <w:p w14:paraId="71ADCC7B" w14:textId="77777777" w:rsidR="002F1EE7" w:rsidRPr="00D124F9" w:rsidRDefault="002F1EE7">
      <w:pPr>
        <w:pStyle w:val="SingleTxtG"/>
        <w:numPr>
          <w:ilvl w:val="0"/>
          <w:numId w:val="32"/>
        </w:numPr>
        <w:ind w:left="1134" w:firstLine="0"/>
        <w:rPr>
          <w:bCs/>
        </w:rPr>
      </w:pPr>
      <w:r w:rsidRPr="002F1EE7">
        <w:rPr>
          <w:lang w:val="en-US"/>
        </w:rPr>
        <w:t xml:space="preserve">A key accomplishment evidencing same, is Trinidad and Tobago’s acceptance of the recommendation to abolish </w:t>
      </w:r>
      <w:r w:rsidRPr="005E1C13">
        <w:t>child</w:t>
      </w:r>
      <w:r w:rsidRPr="002F1EE7">
        <w:rPr>
          <w:lang w:val="en-US"/>
        </w:rPr>
        <w:t xml:space="preserve"> marriage across all relevant pieces of legislation by raising the minimum legal age to eighteen (18) years. On the 2 October 2017, the historic proclamation of the </w:t>
      </w:r>
      <w:r w:rsidRPr="00D124F9">
        <w:rPr>
          <w:bCs/>
          <w:lang w:val="en-US"/>
        </w:rPr>
        <w:t xml:space="preserve">Miscellaneous Provisions (Marriage) Act, 2017 immediately harmonized and unified the legal age to contract to marriage in Trinidad and Tobago to eighteen (18) years for both males and females under the Marriage Act, Chap 45:01, the Muslim Marriage and Divorce Act, Chap. 45:02, the Hindu Marriage Act, Chap. 45:03, the Orisa Marriage Act, Chap. 45:04 and the Matrimonial Proceedings and Property Act, Chap. 45:5. </w:t>
      </w:r>
    </w:p>
    <w:p w14:paraId="6543F51B" w14:textId="77777777" w:rsidR="002F1EE7" w:rsidRPr="002F1EE7" w:rsidRDefault="002F1EE7">
      <w:pPr>
        <w:pStyle w:val="SingleTxtG"/>
        <w:numPr>
          <w:ilvl w:val="0"/>
          <w:numId w:val="32"/>
        </w:numPr>
        <w:ind w:left="1134" w:firstLine="0"/>
      </w:pPr>
      <w:r w:rsidRPr="002F1EE7">
        <w:t xml:space="preserve">The Children's Authority of Trinidad and Tobago is primarily responsible for intervention in matters of under aged marriage on a case-by-case basis.  In 2018, there were two such cases that resulted in abuse to the female married child.  The Children’s Authority’s role was to sensitize the child and her family about the law related to abuse and child marriage. </w:t>
      </w:r>
    </w:p>
    <w:p w14:paraId="6EEA38CA" w14:textId="77777777" w:rsidR="002F1EE7" w:rsidRPr="002F1EE7" w:rsidRDefault="002F1EE7">
      <w:pPr>
        <w:pStyle w:val="SingleTxtG"/>
        <w:numPr>
          <w:ilvl w:val="0"/>
          <w:numId w:val="32"/>
        </w:numPr>
        <w:ind w:left="1134" w:firstLine="0"/>
        <w:rPr>
          <w:lang w:val="en-US"/>
        </w:rPr>
      </w:pPr>
      <w:r w:rsidRPr="002F1EE7">
        <w:t xml:space="preserve">The Child Affairs Division (CAD) regularly hosts </w:t>
      </w:r>
      <w:r w:rsidRPr="002F1EE7">
        <w:rPr>
          <w:lang w:val="en-US"/>
        </w:rPr>
        <w:t>sensitization on child protection issues. Specific reference is made to child sexual abuse, and child marriage is referenced as an illustration of one form of child sexual abuse.</w:t>
      </w:r>
    </w:p>
    <w:p w14:paraId="2C213A3A" w14:textId="77777777" w:rsidR="002F1EE7" w:rsidRPr="002F1EE7" w:rsidRDefault="002F1EE7">
      <w:pPr>
        <w:pStyle w:val="SingleTxtG"/>
        <w:numPr>
          <w:ilvl w:val="0"/>
          <w:numId w:val="32"/>
        </w:numPr>
        <w:ind w:left="1134" w:firstLine="0"/>
      </w:pPr>
      <w:r w:rsidRPr="002F1EE7">
        <w:t xml:space="preserve">Notably, in May 2017, the MSDFS published </w:t>
      </w:r>
      <w:r w:rsidRPr="00D124F9">
        <w:t>the National Parenting Policy</w:t>
      </w:r>
      <w:r w:rsidRPr="002F1EE7">
        <w:t xml:space="preserve"> with the primary objective of promoting inclusive healthy functioning families that contribute to the building of strong communities in Trinidad and Tobago. Further, the Policy aims to develop effective multi-sectorial services to support parents in performing their parenting duties, irrespective of family form; in order to promote the holistic development of children at all ages. This Policy works in tandem with the National Parenting Programme.</w:t>
      </w:r>
    </w:p>
    <w:p w14:paraId="17C94F6F" w14:textId="77777777" w:rsidR="002F1EE7" w:rsidRPr="002F1EE7" w:rsidRDefault="002F1EE7">
      <w:pPr>
        <w:pStyle w:val="SingleTxtG"/>
        <w:numPr>
          <w:ilvl w:val="0"/>
          <w:numId w:val="32"/>
        </w:numPr>
        <w:ind w:left="1134" w:firstLine="0"/>
      </w:pPr>
      <w:r w:rsidRPr="002F1EE7">
        <w:t>In July 2022, GAD hosted a virtual town hall meeting to increase awareness on violence reduction, gender equality and healthy partnerships after divorce. The event specifically targeted men and promoted healthy social practices.</w:t>
      </w:r>
    </w:p>
    <w:p w14:paraId="0C3B1901" w14:textId="65168A98" w:rsidR="002F1EE7" w:rsidRPr="002F1EE7" w:rsidRDefault="00526394" w:rsidP="00526394">
      <w:pPr>
        <w:pStyle w:val="H1G"/>
      </w:pPr>
      <w:r>
        <w:tab/>
      </w:r>
      <w:r>
        <w:tab/>
      </w:r>
      <w:r w:rsidR="002F1EE7" w:rsidRPr="002F1EE7">
        <w:t>Question 25 – Additional information</w:t>
      </w:r>
    </w:p>
    <w:p w14:paraId="523AE2A0" w14:textId="77777777" w:rsidR="002F1EE7" w:rsidRPr="002F1EE7" w:rsidRDefault="002F1EE7">
      <w:pPr>
        <w:pStyle w:val="SingleTxtG"/>
        <w:numPr>
          <w:ilvl w:val="0"/>
          <w:numId w:val="32"/>
        </w:numPr>
        <w:ind w:left="1134" w:firstLine="0"/>
      </w:pPr>
      <w:r w:rsidRPr="002F1EE7">
        <w:t xml:space="preserve">The GORTT has undertaken several legislative, policy and institutional measures to improve the situation of women and girls in Trinidad and Tobago. Some of which include, </w:t>
      </w:r>
      <w:r w:rsidRPr="002F1EE7">
        <w:rPr>
          <w:i/>
          <w:iCs/>
        </w:rPr>
        <w:t>inter alia</w:t>
      </w:r>
      <w:r w:rsidRPr="002F1EE7">
        <w:t>:</w:t>
      </w:r>
    </w:p>
    <w:p w14:paraId="17026282" w14:textId="6B4EC44A" w:rsidR="002F1EE7" w:rsidRPr="002F1EE7" w:rsidRDefault="00526394" w:rsidP="00526394">
      <w:pPr>
        <w:pStyle w:val="H23G"/>
      </w:pPr>
      <w:r>
        <w:tab/>
      </w:r>
      <w:r>
        <w:tab/>
      </w:r>
      <w:r w:rsidR="002F1EE7" w:rsidRPr="002F1EE7">
        <w:t>Legislation</w:t>
      </w:r>
    </w:p>
    <w:p w14:paraId="5189CCBF" w14:textId="77777777" w:rsidR="002F1EE7" w:rsidRPr="002F1EE7" w:rsidRDefault="002F1EE7">
      <w:pPr>
        <w:pStyle w:val="SingleTxtG"/>
        <w:numPr>
          <w:ilvl w:val="0"/>
          <w:numId w:val="32"/>
        </w:numPr>
        <w:ind w:left="1134" w:firstLine="0"/>
      </w:pPr>
      <w:r w:rsidRPr="002F1EE7">
        <w:t xml:space="preserve">In May 2017, </w:t>
      </w:r>
      <w:r w:rsidRPr="00526394">
        <w:t>the Family and Children Division Act, 2016, came into force establishing a Family and Children Division of the High Court to address</w:t>
      </w:r>
      <w:r w:rsidRPr="002F1EE7">
        <w:t xml:space="preserve"> “family matters” including, but not limited to, maintenance, guardianship, custody and access, wardship and adoption; and “children matters” including but not limited to, any matter where a child under 18 is charged with an offence, an application for a Protection Order where  the child is a victim or an affected bystander and any matter where the child is the subject of a drug-related </w:t>
      </w:r>
      <w:r w:rsidRPr="002F1EE7">
        <w:lastRenderedPageBreak/>
        <w:t xml:space="preserve">matter.   Two Children Courts located in Port of Spain (North Trinidad) and Fyzabad (South Trinidad) commenced sittings on 28 February 2018. </w:t>
      </w:r>
    </w:p>
    <w:p w14:paraId="19565C4D" w14:textId="5CF3A0BB" w:rsidR="002F1EE7" w:rsidRPr="002F1EE7" w:rsidRDefault="00526394" w:rsidP="00526394">
      <w:pPr>
        <w:pStyle w:val="H23G"/>
      </w:pPr>
      <w:r>
        <w:tab/>
      </w:r>
      <w:r>
        <w:tab/>
      </w:r>
      <w:r w:rsidR="002F1EE7" w:rsidRPr="002F1EE7">
        <w:t>Policy Development</w:t>
      </w:r>
    </w:p>
    <w:p w14:paraId="211FB211" w14:textId="77777777" w:rsidR="002F1EE7" w:rsidRPr="00526394" w:rsidRDefault="002F1EE7">
      <w:pPr>
        <w:pStyle w:val="SingleTxtG"/>
        <w:numPr>
          <w:ilvl w:val="0"/>
          <w:numId w:val="32"/>
        </w:numPr>
        <w:ind w:left="1134" w:firstLine="0"/>
        <w:rPr>
          <w:bCs/>
        </w:rPr>
      </w:pPr>
      <w:r w:rsidRPr="00526394">
        <w:rPr>
          <w:bCs/>
        </w:rPr>
        <w:t>The National Strategic Plan on Gender-Based Violence and Sexual Violence -NSAPGBV&amp;SV 2023-2027: Under the Spotlight, the NSAP on GBV and SV 2023-2027 in Trinidad and Tobago was reviewed and revised Initiative. Cabinet approved the NSAP on GBV and SV 2023-2027 on June 29, 2023. The Action Plan will serve as the primary government tool in the implementation and coordination of policies and programmes aimed at reducing gender-based violence and sexual violence. The NSAP is currently being prepared for publication in various formats, including for people living with disabilities.</w:t>
      </w:r>
    </w:p>
    <w:p w14:paraId="6D391097" w14:textId="77777777" w:rsidR="002F1EE7" w:rsidRPr="002F1EE7" w:rsidRDefault="002F1EE7">
      <w:pPr>
        <w:pStyle w:val="SingleTxtG"/>
        <w:numPr>
          <w:ilvl w:val="0"/>
          <w:numId w:val="32"/>
        </w:numPr>
        <w:ind w:left="1134" w:firstLine="0"/>
      </w:pPr>
      <w:r w:rsidRPr="00526394">
        <w:rPr>
          <w:bCs/>
        </w:rPr>
        <w:t>National Clinical and Policy Guidelines on Intimate Partner Violence and Sexual Violence: Trinidad and Tobago: This Policy Guidelines was published in 2022 and launched on March 8</w:t>
      </w:r>
      <w:r w:rsidRPr="00526394">
        <w:rPr>
          <w:bCs/>
          <w:vertAlign w:val="superscript"/>
        </w:rPr>
        <w:t>th</w:t>
      </w:r>
      <w:r w:rsidRPr="00526394">
        <w:rPr>
          <w:bCs/>
        </w:rPr>
        <w:t xml:space="preserve"> 2023.</w:t>
      </w:r>
      <w:r w:rsidRPr="00526394">
        <w:rPr>
          <w:bCs/>
          <w:lang w:val="en-TT"/>
        </w:rPr>
        <w:t xml:space="preserve"> </w:t>
      </w:r>
      <w:r w:rsidRPr="00526394">
        <w:rPr>
          <w:bCs/>
        </w:rPr>
        <w:t>The development of National Clinical and Policy Guidelines on Intimate Partner Violence (IPV) and Sexual Violence (SV) is regarded as a critical response to the levels of these types of violence in Trinidad and Tobago. The National Clinical and Policy Guidelines are aligned with the Health Module of the Essential Services Package (ESP) of the United Nations Joint Global Programme on Essential Services for Women and Girls Subject to Violence (4).  This is guided by World Health Organization (WHO) evidence-based recommendations for the care of women subjected to IPV and SV. The Guidelines provide actions and recommendations</w:t>
      </w:r>
      <w:r w:rsidRPr="002F1EE7">
        <w:t xml:space="preserve"> for the clinical care of women subjected to IPV and SV. Specific goals include: </w:t>
      </w:r>
    </w:p>
    <w:p w14:paraId="413E6A2A" w14:textId="25F2068D" w:rsidR="002F1EE7" w:rsidRPr="004D1A0A" w:rsidRDefault="002F1EE7" w:rsidP="004D1A0A">
      <w:pPr>
        <w:pStyle w:val="Bullet1G"/>
      </w:pPr>
      <w:r w:rsidRPr="004D1A0A">
        <w:t>Strengthening the capacity of health-care providers to deliver a minimum package of clinical services for women subjected to violence</w:t>
      </w:r>
      <w:r w:rsidR="004D1A0A">
        <w:t>;</w:t>
      </w:r>
    </w:p>
    <w:p w14:paraId="127BAA19" w14:textId="0620AE4A" w:rsidR="002F1EE7" w:rsidRPr="004D1A0A" w:rsidRDefault="002F1EE7" w:rsidP="004D1A0A">
      <w:pPr>
        <w:pStyle w:val="Bullet1G"/>
      </w:pPr>
      <w:r w:rsidRPr="004D1A0A">
        <w:t>Developing standards of care and assist health-care providers to better identify and respond to the needs of women subjected to violence</w:t>
      </w:r>
      <w:r w:rsidR="004D1A0A">
        <w:t>;</w:t>
      </w:r>
    </w:p>
    <w:p w14:paraId="2D393695" w14:textId="77777777" w:rsidR="002F1EE7" w:rsidRPr="004D1A0A" w:rsidRDefault="002F1EE7" w:rsidP="004D1A0A">
      <w:pPr>
        <w:pStyle w:val="Bullet1G"/>
      </w:pPr>
      <w:r w:rsidRPr="004D1A0A">
        <w:t>Strengthening the health systems response and the delivery of high-quality care for women subjected to violence.</w:t>
      </w:r>
    </w:p>
    <w:p w14:paraId="36AA8F33" w14:textId="77777777" w:rsidR="002F1EE7" w:rsidRPr="002F1EE7" w:rsidRDefault="002F1EE7">
      <w:pPr>
        <w:pStyle w:val="SingleTxtG"/>
        <w:numPr>
          <w:ilvl w:val="0"/>
          <w:numId w:val="32"/>
        </w:numPr>
        <w:ind w:left="1134" w:firstLine="0"/>
      </w:pPr>
      <w:r w:rsidRPr="00817F2A">
        <w:rPr>
          <w:bCs/>
          <w:i/>
          <w:iCs/>
        </w:rPr>
        <w:t>National Child Registry (NCR):</w:t>
      </w:r>
      <w:r w:rsidRPr="002F1EE7">
        <w:rPr>
          <w:b/>
        </w:rPr>
        <w:t xml:space="preserve"> </w:t>
      </w:r>
      <w:r w:rsidRPr="002F1EE7">
        <w:t>The GCA launched the National Child Registry (NCR), on 28 October 2022, which seeks to collate data on children from critical sectors (e.g. education, health, social services, and national security); and monitor and track children’s developmental milestones through crucial and time-sensitive data. The NCR will also serve as an early warning system for children who may be at risk and in urgent need of care and protection:</w:t>
      </w:r>
    </w:p>
    <w:p w14:paraId="48446FDE" w14:textId="77777777" w:rsidR="002F1EE7" w:rsidRPr="00817F2A" w:rsidRDefault="002F1EE7" w:rsidP="00817F2A">
      <w:pPr>
        <w:pStyle w:val="Bullet1G"/>
      </w:pPr>
      <w:r w:rsidRPr="00817F2A">
        <w:t>Over 90 % of MOU’s signed with governmental Agencies to Share Data;</w:t>
      </w:r>
    </w:p>
    <w:p w14:paraId="04847769" w14:textId="77777777" w:rsidR="002F1EE7" w:rsidRPr="00817F2A" w:rsidRDefault="002F1EE7" w:rsidP="00817F2A">
      <w:pPr>
        <w:pStyle w:val="Bullet1G"/>
      </w:pPr>
      <w:r w:rsidRPr="00817F2A">
        <w:t>Data is presently being uploaded in both Trinidad and Tobago unto the system.</w:t>
      </w:r>
    </w:p>
    <w:p w14:paraId="4E989E61" w14:textId="77777777" w:rsidR="002F1EE7" w:rsidRPr="002F1EE7" w:rsidRDefault="002F1EE7">
      <w:pPr>
        <w:pStyle w:val="SingleTxtG"/>
        <w:numPr>
          <w:ilvl w:val="0"/>
          <w:numId w:val="32"/>
        </w:numPr>
        <w:ind w:left="1134" w:firstLine="0"/>
      </w:pPr>
      <w:r w:rsidRPr="00817F2A">
        <w:t xml:space="preserve">Child Rights Ambassadors (CRA) Programme, </w:t>
      </w:r>
      <w:r w:rsidRPr="002F1EE7">
        <w:t>supported by UNICEF, seeks to provide a platform for children to advocate on issues affecting them. The programme is delivered in different formats during each cycle. Fundamentally, participants are educated on the Convention on the Rights of the Child (CRC). This is then presented using creative child-friendly methods such as animation, videography and graphic design.</w:t>
      </w:r>
    </w:p>
    <w:p w14:paraId="4BE0B6E6" w14:textId="77777777" w:rsidR="002F1EE7" w:rsidRPr="002F1EE7" w:rsidRDefault="002F1EE7">
      <w:pPr>
        <w:pStyle w:val="SingleTxtG"/>
        <w:numPr>
          <w:ilvl w:val="0"/>
          <w:numId w:val="32"/>
        </w:numPr>
        <w:ind w:left="1134" w:firstLine="0"/>
      </w:pPr>
      <w:r w:rsidRPr="00817F2A">
        <w:t xml:space="preserve">SIP-VAW (Violence Against Women): </w:t>
      </w:r>
      <w:r w:rsidRPr="002F1EE7">
        <w:t>Trinidad and Tobago has the first Health Information System to record cases of gender-based violence and sexual violence, SIP-VAW (Violence Against Women), based on the Perinatal Information System (PIS) Plus.</w:t>
      </w:r>
    </w:p>
    <w:p w14:paraId="06D57757" w14:textId="3794E8CB" w:rsidR="002F1EE7" w:rsidRPr="002F1EE7" w:rsidRDefault="002F1EE7" w:rsidP="00A27666">
      <w:pPr>
        <w:pStyle w:val="Bullet1G"/>
      </w:pPr>
      <w:r w:rsidRPr="002F1EE7">
        <w:t>SIP Plus is the web version of the Perinatal Information System (PIS) and is a tool to improve maternal, perinatal and sexual and reproductive health through the timely use of information collected during the care process and available in real time. We would also be able to analyse the data instantly to identify, for example, trends in care, high-risk conditions or any issues affecting a segment of the population</w:t>
      </w:r>
      <w:r w:rsidR="004B0BB0">
        <w:t>;</w:t>
      </w:r>
    </w:p>
    <w:p w14:paraId="464FF9A8" w14:textId="0FCA567F" w:rsidR="002F1EE7" w:rsidRPr="002F1EE7" w:rsidRDefault="002F1EE7" w:rsidP="00A27666">
      <w:pPr>
        <w:pStyle w:val="Bullet1G"/>
      </w:pPr>
      <w:r w:rsidRPr="002F1EE7">
        <w:t>On 2 May,2023 the first training workshop for health personnel on the use of the clinical history in SIP Plus was held for personnel from the five health regions of the country</w:t>
      </w:r>
      <w:r w:rsidR="004B0BB0">
        <w:t>;</w:t>
      </w:r>
    </w:p>
    <w:p w14:paraId="05296C97" w14:textId="77777777" w:rsidR="002F1EE7" w:rsidRPr="002F1EE7" w:rsidRDefault="002F1EE7" w:rsidP="00A27666">
      <w:pPr>
        <w:pStyle w:val="Bullet1G"/>
      </w:pPr>
      <w:r w:rsidRPr="002F1EE7">
        <w:lastRenderedPageBreak/>
        <w:t>SIP Plus will allow for the standardization of the care of clients and reduce the amount of time that it takes for clients to obtain their medical records.</w:t>
      </w:r>
    </w:p>
    <w:p w14:paraId="6A1F1044" w14:textId="77777777" w:rsidR="002F1EE7" w:rsidRPr="002F1EE7" w:rsidRDefault="002F1EE7">
      <w:pPr>
        <w:pStyle w:val="SingleTxtG"/>
        <w:numPr>
          <w:ilvl w:val="0"/>
          <w:numId w:val="32"/>
        </w:numPr>
        <w:ind w:left="1134" w:firstLine="0"/>
      </w:pPr>
      <w:r w:rsidRPr="004B0BB0">
        <w:t>Women, Peace and Security (WPS) Initiative -</w:t>
      </w:r>
      <w:r w:rsidRPr="002F1EE7">
        <w:t xml:space="preserve"> On April 20</w:t>
      </w:r>
      <w:r w:rsidRPr="002F1EE7">
        <w:rPr>
          <w:vertAlign w:val="superscript"/>
        </w:rPr>
        <w:t>th</w:t>
      </w:r>
      <w:r w:rsidRPr="002F1EE7">
        <w:t xml:space="preserve"> 2023, Cabinet agreed to Trinidad and Tobago joining the United Nations (UN) Women Peace and Security Focal Points Network (WPSFPN) which supports UN Member States and regional organisations in implementing the WPS Agenda. The WPS Agenda recognizes the role women play as active agents of peace and stability, and seeks to further support and expand upon the many positive ways that women are, and can lead effective responses to security challenges.</w:t>
      </w:r>
    </w:p>
    <w:p w14:paraId="133D897C" w14:textId="77777777" w:rsidR="002F1EE7" w:rsidRPr="002F1EE7" w:rsidRDefault="002F1EE7">
      <w:pPr>
        <w:pStyle w:val="SingleTxtG"/>
        <w:numPr>
          <w:ilvl w:val="0"/>
          <w:numId w:val="32"/>
        </w:numPr>
        <w:ind w:left="1134" w:firstLine="0"/>
      </w:pPr>
      <w:r w:rsidRPr="002F1EE7">
        <w:t xml:space="preserve">The Women, Peace and Security (WPS) Advisory Group was constituted in January 2024 and charged with the responsibility of developing the first Women, Peace and Security National Action Plan (WPS-NAP) for Trinidad and Tobago. Appointees included representatives from social services, education, legal, judicial, and health sectors, as well as UN Women. </w:t>
      </w:r>
    </w:p>
    <w:p w14:paraId="5BD73183" w14:textId="77777777" w:rsidR="002F1EE7" w:rsidRPr="002F1EE7" w:rsidRDefault="002F1EE7">
      <w:pPr>
        <w:pStyle w:val="SingleTxtG"/>
        <w:numPr>
          <w:ilvl w:val="0"/>
          <w:numId w:val="32"/>
        </w:numPr>
        <w:ind w:left="1134" w:firstLine="0"/>
      </w:pPr>
      <w:r w:rsidRPr="002F1EE7">
        <w:t>Trinidad and Tobago wishes to inform that on 28 April 2025, National General Elections was held in accordance with the Constitution of the Republic of Trinidad and Tobago. The United National Congress (UNC) obtained the majority vote, winning 26 seats, to the oppositions’ 13 seats. The Honourable, Mrs. Kamla Persad-Bissessar became Prime Minister for the second time, since first serving in 2010 - 2015. The Tobago People's Party (TPP) won both Tobago seats in the central government. In keeping with the new administration’s dedication to enhancing the well-being and protection of women and children and other vulnerable groups in the country, both the Gender Affairs and Child Affairs Divisions were realigned under the Ministry of the People, Social Development and Family Services (MPSDFS), formerly, the Ministry of the Social Development and Family Services. The Minister of the People, Social Development and Family Services is The Honourable Vandana Mohit, MP, while the Parliamentary Secretary is Senator the Honourable, Dr. Natalie Chaitan-Maharaj.</w:t>
      </w:r>
    </w:p>
    <w:p w14:paraId="3F3E4F61" w14:textId="5DCC47D1" w:rsidR="006D2FB1" w:rsidRPr="0017538D" w:rsidRDefault="0017538D" w:rsidP="0017538D">
      <w:pPr>
        <w:pStyle w:val="SingleTxtG"/>
        <w:jc w:val="center"/>
        <w:rPr>
          <w:u w:val="single"/>
        </w:rPr>
      </w:pPr>
      <w:r>
        <w:rPr>
          <w:u w:val="single"/>
        </w:rPr>
        <w:tab/>
      </w:r>
      <w:r>
        <w:rPr>
          <w:u w:val="single"/>
        </w:rPr>
        <w:tab/>
      </w:r>
      <w:r>
        <w:rPr>
          <w:u w:val="single"/>
        </w:rPr>
        <w:tab/>
      </w:r>
    </w:p>
    <w:sectPr w:rsidR="006D2FB1" w:rsidRPr="0017538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C4941" w14:textId="77777777" w:rsidR="001017A7" w:rsidRDefault="001017A7">
      <w:pPr>
        <w:spacing w:line="240" w:lineRule="auto"/>
      </w:pPr>
    </w:p>
  </w:endnote>
  <w:endnote w:type="continuationSeparator" w:id="0">
    <w:p w14:paraId="5EC976AF" w14:textId="77777777" w:rsidR="001017A7" w:rsidRDefault="001017A7">
      <w:pPr>
        <w:pStyle w:val="Footer"/>
      </w:pPr>
    </w:p>
  </w:endnote>
  <w:endnote w:type="continuationNotice" w:id="1">
    <w:p w14:paraId="7C2F0A58" w14:textId="77777777" w:rsidR="001017A7" w:rsidRDefault="001017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EDE2A" w14:textId="77777777" w:rsidR="006D2FB1" w:rsidRDefault="001017A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6294D"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150DB" w14:textId="77777777" w:rsidR="006D2FB1" w:rsidRDefault="001017A7">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0DF23B63" wp14:editId="20DCF598">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327C16" w14:paraId="1D9192D9" w14:textId="77777777">
      <w:tc>
        <w:tcPr>
          <w:tcW w:w="1848" w:type="dxa"/>
          <w:vAlign w:val="bottom"/>
        </w:tcPr>
        <w:p w14:paraId="2107CDFB" w14:textId="77777777" w:rsidR="006D2FB1" w:rsidRDefault="001017A7">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57C69DA3" wp14:editId="799A52C0">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4375E9A7"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74BB46E0"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9E427" w14:textId="77777777" w:rsidR="001017A7" w:rsidRDefault="001017A7">
      <w:pPr>
        <w:pStyle w:val="Footer"/>
        <w:tabs>
          <w:tab w:val="right" w:pos="2155"/>
        </w:tabs>
        <w:spacing w:after="80" w:line="240" w:lineRule="atLeast"/>
        <w:ind w:left="680"/>
        <w:rPr>
          <w:u w:val="single"/>
        </w:rPr>
      </w:pPr>
      <w:r>
        <w:rPr>
          <w:u w:val="single"/>
        </w:rPr>
        <w:tab/>
      </w:r>
    </w:p>
  </w:footnote>
  <w:footnote w:type="continuationSeparator" w:id="0">
    <w:p w14:paraId="37B317FB" w14:textId="77777777" w:rsidR="001017A7" w:rsidRDefault="001017A7">
      <w:pPr>
        <w:pStyle w:val="Footer"/>
        <w:tabs>
          <w:tab w:val="right" w:pos="2155"/>
        </w:tabs>
        <w:spacing w:after="80" w:line="240" w:lineRule="atLeast"/>
        <w:ind w:left="680"/>
        <w:rPr>
          <w:u w:val="single"/>
        </w:rPr>
      </w:pPr>
      <w:r>
        <w:rPr>
          <w:u w:val="single"/>
        </w:rPr>
        <w:tab/>
      </w:r>
    </w:p>
  </w:footnote>
  <w:footnote w:type="continuationNotice" w:id="1">
    <w:p w14:paraId="17BBD54F" w14:textId="77777777" w:rsidR="001017A7" w:rsidRDefault="001017A7">
      <w:pPr>
        <w:spacing w:line="240" w:lineRule="auto"/>
        <w:rPr>
          <w:sz w:val="2"/>
          <w:szCs w:val="2"/>
        </w:rPr>
      </w:pPr>
    </w:p>
  </w:footnote>
  <w:footnote w:id="2">
    <w:p w14:paraId="3065761A" w14:textId="77777777" w:rsidR="00490503" w:rsidRPr="001970BD" w:rsidRDefault="001017A7" w:rsidP="00490503">
      <w:pPr>
        <w:pStyle w:val="FootnoteText"/>
      </w:pPr>
      <w:r>
        <w:tab/>
      </w:r>
      <w:r w:rsidRPr="002E233B">
        <w:rPr>
          <w:rStyle w:val="FootnoteReference"/>
          <w:sz w:val="20"/>
          <w:vertAlign w:val="baseline"/>
        </w:rPr>
        <w:t>*</w:t>
      </w:r>
      <w:r w:rsidRPr="001970BD">
        <w:rPr>
          <w:sz w:val="20"/>
        </w:rPr>
        <w:tab/>
      </w:r>
      <w:r w:rsidRPr="001970BD">
        <w:t xml:space="preserve">The present document is being issued without formal editing. </w:t>
      </w:r>
    </w:p>
    <w:p w14:paraId="3F70A215" w14:textId="5FF47DB2" w:rsidR="00490503" w:rsidRPr="001970BD" w:rsidRDefault="001017A7" w:rsidP="00490503">
      <w:pPr>
        <w:pStyle w:val="FootnoteText"/>
        <w:rPr>
          <w:sz w:val="20"/>
        </w:rPr>
      </w:pPr>
      <w:r w:rsidRPr="001970BD">
        <w:tab/>
      </w:r>
      <w:r w:rsidRPr="001970BD">
        <w:rPr>
          <w:rStyle w:val="FootnoteReference"/>
          <w:sz w:val="20"/>
          <w:vertAlign w:val="baseline"/>
        </w:rPr>
        <w:t>**</w:t>
      </w:r>
      <w:r w:rsidRPr="001970BD">
        <w:rPr>
          <w:sz w:val="20"/>
        </w:rPr>
        <w:tab/>
      </w:r>
      <w:r w:rsidRPr="001970BD">
        <w:t>The present document was submitted pursuant to the simplified reporting procedure. It contains the responses of the State party to the Committee’s list of issues prior to reporting (CEDAW/C/</w:t>
      </w:r>
      <w:r w:rsidR="001970BD" w:rsidRPr="001970BD">
        <w:t>TTO</w:t>
      </w:r>
      <w:r w:rsidRPr="001970BD">
        <w:t>/QPR/</w:t>
      </w:r>
      <w:r w:rsidR="001970BD" w:rsidRPr="001970BD">
        <w:t>8</w:t>
      </w:r>
      <w:r w:rsidRPr="001970BD">
        <w:t>).</w:t>
      </w:r>
    </w:p>
  </w:footnote>
  <w:footnote w:id="3">
    <w:p w14:paraId="5F06C2EA" w14:textId="42971003" w:rsidR="00490503" w:rsidRPr="001970BD" w:rsidRDefault="001017A7" w:rsidP="00490503">
      <w:pPr>
        <w:pStyle w:val="FootnoteText"/>
        <w:rPr>
          <w:lang w:val="en-US"/>
        </w:rPr>
      </w:pPr>
      <w:r w:rsidRPr="001970BD">
        <w:tab/>
      </w:r>
      <w:r w:rsidRPr="001970BD">
        <w:rPr>
          <w:rStyle w:val="FootnoteReference"/>
          <w:sz w:val="20"/>
          <w:vertAlign w:val="baseline"/>
        </w:rPr>
        <w:t>***</w:t>
      </w:r>
      <w:r w:rsidRPr="001970BD">
        <w:rPr>
          <w:rStyle w:val="FootnoteReference"/>
          <w:sz w:val="20"/>
        </w:rPr>
        <w:tab/>
      </w:r>
      <w:r w:rsidRPr="001970BD">
        <w:rPr>
          <w:lang w:val="en-US"/>
        </w:rPr>
        <w:t>The annex</w:t>
      </w:r>
      <w:r w:rsidR="00586BAB" w:rsidRPr="001970BD">
        <w:rPr>
          <w:lang w:val="en-US"/>
        </w:rPr>
        <w:t xml:space="preserve"> </w:t>
      </w:r>
      <w:r w:rsidRPr="001970BD">
        <w:rPr>
          <w:lang w:val="en-US"/>
        </w:rPr>
        <w:t>to the present document may be accessed from the web page of the Committee.</w:t>
      </w:r>
    </w:p>
  </w:footnote>
  <w:footnote w:id="4">
    <w:p w14:paraId="21706932" w14:textId="77777777" w:rsidR="00490503" w:rsidRPr="0040591D" w:rsidRDefault="00490503" w:rsidP="00490503">
      <w:pPr>
        <w:pStyle w:val="FootnoteText"/>
        <w:ind w:left="0" w:firstLine="0"/>
        <w:rPr>
          <w:lang w:val="en-US"/>
        </w:rPr>
      </w:pPr>
    </w:p>
  </w:footnote>
  <w:footnote w:id="5">
    <w:p w14:paraId="229A4795" w14:textId="59F17DAD" w:rsidR="002F1EE7" w:rsidRPr="00030DAA" w:rsidRDefault="007D2CB0" w:rsidP="007D2CB0">
      <w:pPr>
        <w:pStyle w:val="FootnoteText"/>
        <w:rPr>
          <w:lang w:val="en-US"/>
        </w:rPr>
      </w:pPr>
      <w:r>
        <w:tab/>
      </w:r>
      <w:r w:rsidR="002F1EE7">
        <w:rPr>
          <w:rStyle w:val="FootnoteReference"/>
        </w:rPr>
        <w:footnoteRef/>
      </w:r>
      <w:r w:rsidR="00DE6DCF">
        <w:tab/>
      </w:r>
      <w:hyperlink r:id="rId1" w:history="1">
        <w:r w:rsidRPr="00BA25D9">
          <w:rPr>
            <w:rStyle w:val="Hyperlink"/>
          </w:rPr>
          <w:t>https://sexoffenders.gov.tt/</w:t>
        </w:r>
      </w:hyperlink>
      <w:r>
        <w:t>.</w:t>
      </w:r>
    </w:p>
  </w:footnote>
  <w:footnote w:id="6">
    <w:p w14:paraId="13B8D90D" w14:textId="77777777" w:rsidR="002F1EE7" w:rsidRPr="00561AFC" w:rsidRDefault="002F1EE7" w:rsidP="002F1EE7">
      <w:pPr>
        <w:pStyle w:val="FootnoteText"/>
        <w:rPr>
          <w:lang w:val="en-US"/>
        </w:rPr>
      </w:pPr>
      <w:r>
        <w:rPr>
          <w:rStyle w:val="FootnoteReference"/>
        </w:rPr>
        <w:footnoteRef/>
      </w:r>
      <w:r>
        <w:t xml:space="preserve"> </w:t>
      </w:r>
      <w:hyperlink r:id="rId2" w:history="1">
        <w:r w:rsidRPr="00610A46">
          <w:rPr>
            <w:rStyle w:val="Hyperlink"/>
            <w:lang w:val="en-US"/>
          </w:rPr>
          <w:t>https://ciwil.org/womens-representation-at-local-government-election</w:t>
        </w:r>
      </w:hyperlink>
      <w:r>
        <w:rPr>
          <w:lang w:val="en-US"/>
        </w:rPr>
        <w:t xml:space="preserve"> </w:t>
      </w:r>
    </w:p>
  </w:footnote>
  <w:footnote w:id="7">
    <w:p w14:paraId="356B8ADC" w14:textId="39659381" w:rsidR="002F1EE7" w:rsidRPr="00AC6DE7" w:rsidRDefault="002F6210" w:rsidP="002F1EE7">
      <w:pPr>
        <w:pStyle w:val="FootnoteText"/>
        <w:rPr>
          <w:lang w:val="en-US"/>
        </w:rPr>
      </w:pPr>
      <w:r>
        <w:rPr>
          <w:lang w:val="en-US"/>
        </w:rPr>
        <w:tab/>
      </w:r>
      <w:r w:rsidR="002F1EE7">
        <w:rPr>
          <w:rStyle w:val="FootnoteReference"/>
        </w:rPr>
        <w:footnoteRef/>
      </w:r>
      <w:r>
        <w:rPr>
          <w:lang w:val="en-US"/>
        </w:rPr>
        <w:tab/>
      </w:r>
      <w:r w:rsidR="002F1EE7" w:rsidRPr="009C0FE0">
        <w:t>(UNAIDS Country Factsheet, 2022).</w:t>
      </w:r>
      <w:r w:rsidR="002F1EE7">
        <w:t xml:space="preserve"> </w:t>
      </w:r>
    </w:p>
  </w:footnote>
  <w:footnote w:id="8">
    <w:p w14:paraId="79BAEA2B" w14:textId="78C002E1" w:rsidR="002F1EE7" w:rsidRPr="000058AD" w:rsidRDefault="002F6210" w:rsidP="002F1EE7">
      <w:pPr>
        <w:pStyle w:val="FootnoteText"/>
        <w:rPr>
          <w:lang w:val="en-US"/>
        </w:rPr>
      </w:pPr>
      <w:r>
        <w:tab/>
      </w:r>
      <w:r w:rsidR="002F1EE7">
        <w:rPr>
          <w:rStyle w:val="FootnoteReference"/>
        </w:rPr>
        <w:footnoteRef/>
      </w:r>
      <w:r>
        <w:tab/>
      </w:r>
      <w:r w:rsidR="002F1EE7" w:rsidRPr="006A008A">
        <w:t>(UNAIDS Country Factsheet, 2022).</w:t>
      </w:r>
      <w:r w:rsidR="002F1EE7">
        <w:t xml:space="preserve"> </w:t>
      </w:r>
    </w:p>
  </w:footnote>
  <w:footnote w:id="9">
    <w:p w14:paraId="12B66212" w14:textId="77777777" w:rsidR="002F1EE7" w:rsidRPr="00561AFC" w:rsidRDefault="002F1EE7" w:rsidP="002F1EE7">
      <w:pPr>
        <w:pStyle w:val="FootnoteText"/>
        <w:rPr>
          <w:lang w:val="en-US"/>
        </w:rPr>
      </w:pPr>
      <w:r>
        <w:rPr>
          <w:rStyle w:val="FootnoteReference"/>
        </w:rPr>
        <w:footnoteRef/>
      </w:r>
      <w:r>
        <w:t xml:space="preserve"> </w:t>
      </w:r>
      <w:hyperlink r:id="rId3" w:history="1">
        <w:r w:rsidRPr="00610A46">
          <w:rPr>
            <w:rStyle w:val="Hyperlink"/>
            <w:lang w:val="en-US"/>
          </w:rPr>
          <w:t>https://ciwil.org/womens-representation-at-local-government-election</w:t>
        </w:r>
      </w:hyperlink>
      <w:r>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3AD7" w14:textId="77777777" w:rsidR="006D2FB1" w:rsidRDefault="00446122">
    <w:pPr>
      <w:pStyle w:val="Header"/>
    </w:pPr>
    <w:r>
      <w:t>CEDAW/C/TTO/8-9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A822B" w14:textId="77777777" w:rsidR="006D2FB1" w:rsidRDefault="00446122">
    <w:pPr>
      <w:pStyle w:val="Header"/>
      <w:jc w:val="right"/>
    </w:pPr>
    <w:r>
      <w:t>CEDAW/C/TTO/8-9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E444A71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702A76" w:tentative="1">
      <w:start w:val="1"/>
      <w:numFmt w:val="lowerLetter"/>
      <w:lvlText w:val="%2."/>
      <w:lvlJc w:val="left"/>
      <w:pPr>
        <w:tabs>
          <w:tab w:val="num" w:pos="1440"/>
        </w:tabs>
        <w:ind w:left="1440" w:hanging="360"/>
      </w:pPr>
    </w:lvl>
    <w:lvl w:ilvl="2" w:tplc="5F7A4BAA" w:tentative="1">
      <w:start w:val="1"/>
      <w:numFmt w:val="lowerRoman"/>
      <w:lvlText w:val="%3."/>
      <w:lvlJc w:val="right"/>
      <w:pPr>
        <w:tabs>
          <w:tab w:val="num" w:pos="2160"/>
        </w:tabs>
        <w:ind w:left="2160" w:hanging="180"/>
      </w:pPr>
    </w:lvl>
    <w:lvl w:ilvl="3" w:tplc="40D6AEFC" w:tentative="1">
      <w:start w:val="1"/>
      <w:numFmt w:val="decimal"/>
      <w:lvlText w:val="%4."/>
      <w:lvlJc w:val="left"/>
      <w:pPr>
        <w:tabs>
          <w:tab w:val="num" w:pos="2880"/>
        </w:tabs>
        <w:ind w:left="2880" w:hanging="360"/>
      </w:pPr>
    </w:lvl>
    <w:lvl w:ilvl="4" w:tplc="71E49524" w:tentative="1">
      <w:start w:val="1"/>
      <w:numFmt w:val="lowerLetter"/>
      <w:lvlText w:val="%5."/>
      <w:lvlJc w:val="left"/>
      <w:pPr>
        <w:tabs>
          <w:tab w:val="num" w:pos="3600"/>
        </w:tabs>
        <w:ind w:left="3600" w:hanging="360"/>
      </w:pPr>
    </w:lvl>
    <w:lvl w:ilvl="5" w:tplc="F6F84F8E" w:tentative="1">
      <w:start w:val="1"/>
      <w:numFmt w:val="lowerRoman"/>
      <w:lvlText w:val="%6."/>
      <w:lvlJc w:val="right"/>
      <w:pPr>
        <w:tabs>
          <w:tab w:val="num" w:pos="4320"/>
        </w:tabs>
        <w:ind w:left="4320" w:hanging="180"/>
      </w:pPr>
    </w:lvl>
    <w:lvl w:ilvl="6" w:tplc="688C27FC" w:tentative="1">
      <w:start w:val="1"/>
      <w:numFmt w:val="decimal"/>
      <w:lvlText w:val="%7."/>
      <w:lvlJc w:val="left"/>
      <w:pPr>
        <w:tabs>
          <w:tab w:val="num" w:pos="5040"/>
        </w:tabs>
        <w:ind w:left="5040" w:hanging="360"/>
      </w:pPr>
    </w:lvl>
    <w:lvl w:ilvl="7" w:tplc="59769C76" w:tentative="1">
      <w:start w:val="1"/>
      <w:numFmt w:val="lowerLetter"/>
      <w:lvlText w:val="%8."/>
      <w:lvlJc w:val="left"/>
      <w:pPr>
        <w:tabs>
          <w:tab w:val="num" w:pos="5760"/>
        </w:tabs>
        <w:ind w:left="5760" w:hanging="360"/>
      </w:pPr>
    </w:lvl>
    <w:lvl w:ilvl="8" w:tplc="FDCE90F6" w:tentative="1">
      <w:start w:val="1"/>
      <w:numFmt w:val="lowerRoman"/>
      <w:lvlText w:val="%9."/>
      <w:lvlJc w:val="right"/>
      <w:pPr>
        <w:tabs>
          <w:tab w:val="num" w:pos="6480"/>
        </w:tabs>
        <w:ind w:left="6480" w:hanging="180"/>
      </w:pPr>
    </w:lvl>
  </w:abstractNum>
  <w:abstractNum w:abstractNumId="1" w15:restartNumberingAfterBreak="0">
    <w:nsid w:val="10E005F5"/>
    <w:multiLevelType w:val="hybridMultilevel"/>
    <w:tmpl w:val="1D70CF40"/>
    <w:lvl w:ilvl="0" w:tplc="80E07118">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 w15:restartNumberingAfterBreak="0">
    <w:nsid w:val="115B07A5"/>
    <w:multiLevelType w:val="hybridMultilevel"/>
    <w:tmpl w:val="24F65128"/>
    <w:lvl w:ilvl="0" w:tplc="D656254E">
      <w:start w:val="1"/>
      <w:numFmt w:val="decimal"/>
      <w:lvlText w:val="%1."/>
      <w:lvlJc w:val="left"/>
      <w:pPr>
        <w:ind w:left="1080" w:hanging="360"/>
      </w:pPr>
      <w:rPr>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28F1C4F"/>
    <w:multiLevelType w:val="hybridMultilevel"/>
    <w:tmpl w:val="76BC8BD8"/>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CD1497"/>
    <w:multiLevelType w:val="hybridMultilevel"/>
    <w:tmpl w:val="05F4D220"/>
    <w:lvl w:ilvl="0" w:tplc="5D808FD0">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E3DDA"/>
    <w:multiLevelType w:val="hybridMultilevel"/>
    <w:tmpl w:val="FF2CF77C"/>
    <w:lvl w:ilvl="0" w:tplc="F78A303E">
      <w:start w:val="1"/>
      <w:numFmt w:val="upp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D81687"/>
    <w:multiLevelType w:val="hybridMultilevel"/>
    <w:tmpl w:val="E12035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4C02F0"/>
    <w:multiLevelType w:val="hybridMultilevel"/>
    <w:tmpl w:val="C3D2C488"/>
    <w:lvl w:ilvl="0" w:tplc="2C090001">
      <w:start w:val="1"/>
      <w:numFmt w:val="bullet"/>
      <w:lvlText w:val=""/>
      <w:lvlJc w:val="left"/>
      <w:pPr>
        <w:ind w:left="720" w:hanging="360"/>
      </w:pPr>
      <w:rPr>
        <w:rFonts w:ascii="Symbol" w:hAnsi="Symbol" w:hint="default"/>
      </w:rPr>
    </w:lvl>
    <w:lvl w:ilvl="1" w:tplc="2C090003">
      <w:start w:val="1"/>
      <w:numFmt w:val="bullet"/>
      <w:lvlText w:val="o"/>
      <w:lvlJc w:val="left"/>
      <w:pPr>
        <w:ind w:left="1440" w:hanging="360"/>
      </w:pPr>
      <w:rPr>
        <w:rFonts w:ascii="Courier New" w:hAnsi="Courier New" w:cs="Courier New" w:hint="default"/>
      </w:rPr>
    </w:lvl>
    <w:lvl w:ilvl="2" w:tplc="2C090005">
      <w:start w:val="1"/>
      <w:numFmt w:val="bullet"/>
      <w:lvlText w:val=""/>
      <w:lvlJc w:val="left"/>
      <w:pPr>
        <w:ind w:left="2160" w:hanging="360"/>
      </w:pPr>
      <w:rPr>
        <w:rFonts w:ascii="Wingdings" w:hAnsi="Wingdings" w:hint="default"/>
      </w:rPr>
    </w:lvl>
    <w:lvl w:ilvl="3" w:tplc="2C090001">
      <w:start w:val="1"/>
      <w:numFmt w:val="bullet"/>
      <w:lvlText w:val=""/>
      <w:lvlJc w:val="left"/>
      <w:pPr>
        <w:ind w:left="2880" w:hanging="360"/>
      </w:pPr>
      <w:rPr>
        <w:rFonts w:ascii="Symbol" w:hAnsi="Symbol" w:hint="default"/>
      </w:rPr>
    </w:lvl>
    <w:lvl w:ilvl="4" w:tplc="2C090003" w:tentative="1">
      <w:start w:val="1"/>
      <w:numFmt w:val="bullet"/>
      <w:lvlText w:val="o"/>
      <w:lvlJc w:val="left"/>
      <w:pPr>
        <w:ind w:left="3600" w:hanging="360"/>
      </w:pPr>
      <w:rPr>
        <w:rFonts w:ascii="Courier New" w:hAnsi="Courier New" w:cs="Courier New" w:hint="default"/>
      </w:rPr>
    </w:lvl>
    <w:lvl w:ilvl="5" w:tplc="2C090005" w:tentative="1">
      <w:start w:val="1"/>
      <w:numFmt w:val="bullet"/>
      <w:lvlText w:val=""/>
      <w:lvlJc w:val="left"/>
      <w:pPr>
        <w:ind w:left="4320" w:hanging="360"/>
      </w:pPr>
      <w:rPr>
        <w:rFonts w:ascii="Wingdings" w:hAnsi="Wingdings" w:hint="default"/>
      </w:rPr>
    </w:lvl>
    <w:lvl w:ilvl="6" w:tplc="2C090001" w:tentative="1">
      <w:start w:val="1"/>
      <w:numFmt w:val="bullet"/>
      <w:lvlText w:val=""/>
      <w:lvlJc w:val="left"/>
      <w:pPr>
        <w:ind w:left="5040" w:hanging="360"/>
      </w:pPr>
      <w:rPr>
        <w:rFonts w:ascii="Symbol" w:hAnsi="Symbol" w:hint="default"/>
      </w:rPr>
    </w:lvl>
    <w:lvl w:ilvl="7" w:tplc="2C090003" w:tentative="1">
      <w:start w:val="1"/>
      <w:numFmt w:val="bullet"/>
      <w:lvlText w:val="o"/>
      <w:lvlJc w:val="left"/>
      <w:pPr>
        <w:ind w:left="5760" w:hanging="360"/>
      </w:pPr>
      <w:rPr>
        <w:rFonts w:ascii="Courier New" w:hAnsi="Courier New" w:cs="Courier New" w:hint="default"/>
      </w:rPr>
    </w:lvl>
    <w:lvl w:ilvl="8" w:tplc="2C090005" w:tentative="1">
      <w:start w:val="1"/>
      <w:numFmt w:val="bullet"/>
      <w:lvlText w:val=""/>
      <w:lvlJc w:val="left"/>
      <w:pPr>
        <w:ind w:left="6480" w:hanging="360"/>
      </w:pPr>
      <w:rPr>
        <w:rFonts w:ascii="Wingdings" w:hAnsi="Wingdings" w:hint="default"/>
      </w:rPr>
    </w:lvl>
  </w:abstractNum>
  <w:abstractNum w:abstractNumId="8" w15:restartNumberingAfterBreak="0">
    <w:nsid w:val="1FFB06FE"/>
    <w:multiLevelType w:val="hybridMultilevel"/>
    <w:tmpl w:val="046E4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A15214"/>
    <w:multiLevelType w:val="hybridMultilevel"/>
    <w:tmpl w:val="063ECE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2D57939"/>
    <w:multiLevelType w:val="hybridMultilevel"/>
    <w:tmpl w:val="B64294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7E12C4F"/>
    <w:multiLevelType w:val="hybridMultilevel"/>
    <w:tmpl w:val="3B1042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15B2A"/>
    <w:multiLevelType w:val="hybridMultilevel"/>
    <w:tmpl w:val="462C8396"/>
    <w:lvl w:ilvl="0" w:tplc="FD44A8D2">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A9D046F"/>
    <w:multiLevelType w:val="hybridMultilevel"/>
    <w:tmpl w:val="F22E94E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B3F4FFC"/>
    <w:multiLevelType w:val="hybridMultilevel"/>
    <w:tmpl w:val="85080C46"/>
    <w:lvl w:ilvl="0" w:tplc="C896C996">
      <w:numFmt w:val="bullet"/>
      <w:lvlText w:val="-"/>
      <w:lvlJc w:val="left"/>
      <w:pPr>
        <w:ind w:left="1080" w:hanging="360"/>
      </w:pPr>
      <w:rPr>
        <w:rFonts w:ascii="Calibri Light" w:eastAsiaTheme="minorHAnsi"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E11D26"/>
    <w:multiLevelType w:val="hybridMultilevel"/>
    <w:tmpl w:val="E0F6F918"/>
    <w:lvl w:ilvl="0" w:tplc="0409000F">
      <w:start w:val="1"/>
      <w:numFmt w:val="decimal"/>
      <w:lvlText w:val="%1."/>
      <w:lvlJc w:val="left"/>
      <w:pPr>
        <w:ind w:left="2214" w:hanging="360"/>
      </w:pPr>
    </w:lvl>
    <w:lvl w:ilvl="1" w:tplc="04090019" w:tentative="1">
      <w:start w:val="1"/>
      <w:numFmt w:val="lowerLetter"/>
      <w:lvlText w:val="%2."/>
      <w:lvlJc w:val="left"/>
      <w:pPr>
        <w:ind w:left="2934" w:hanging="360"/>
      </w:pPr>
    </w:lvl>
    <w:lvl w:ilvl="2" w:tplc="0409001B" w:tentative="1">
      <w:start w:val="1"/>
      <w:numFmt w:val="lowerRoman"/>
      <w:lvlText w:val="%3."/>
      <w:lvlJc w:val="right"/>
      <w:pPr>
        <w:ind w:left="3654" w:hanging="180"/>
      </w:pPr>
    </w:lvl>
    <w:lvl w:ilvl="3" w:tplc="0409000F" w:tentative="1">
      <w:start w:val="1"/>
      <w:numFmt w:val="decimal"/>
      <w:lvlText w:val="%4."/>
      <w:lvlJc w:val="left"/>
      <w:pPr>
        <w:ind w:left="4374" w:hanging="360"/>
      </w:pPr>
    </w:lvl>
    <w:lvl w:ilvl="4" w:tplc="04090019" w:tentative="1">
      <w:start w:val="1"/>
      <w:numFmt w:val="lowerLetter"/>
      <w:lvlText w:val="%5."/>
      <w:lvlJc w:val="left"/>
      <w:pPr>
        <w:ind w:left="5094" w:hanging="360"/>
      </w:pPr>
    </w:lvl>
    <w:lvl w:ilvl="5" w:tplc="0409001B" w:tentative="1">
      <w:start w:val="1"/>
      <w:numFmt w:val="lowerRoman"/>
      <w:lvlText w:val="%6."/>
      <w:lvlJc w:val="right"/>
      <w:pPr>
        <w:ind w:left="5814" w:hanging="180"/>
      </w:pPr>
    </w:lvl>
    <w:lvl w:ilvl="6" w:tplc="0409000F" w:tentative="1">
      <w:start w:val="1"/>
      <w:numFmt w:val="decimal"/>
      <w:lvlText w:val="%7."/>
      <w:lvlJc w:val="left"/>
      <w:pPr>
        <w:ind w:left="6534" w:hanging="360"/>
      </w:pPr>
    </w:lvl>
    <w:lvl w:ilvl="7" w:tplc="04090019" w:tentative="1">
      <w:start w:val="1"/>
      <w:numFmt w:val="lowerLetter"/>
      <w:lvlText w:val="%8."/>
      <w:lvlJc w:val="left"/>
      <w:pPr>
        <w:ind w:left="7254" w:hanging="360"/>
      </w:pPr>
    </w:lvl>
    <w:lvl w:ilvl="8" w:tplc="0409001B" w:tentative="1">
      <w:start w:val="1"/>
      <w:numFmt w:val="lowerRoman"/>
      <w:lvlText w:val="%9."/>
      <w:lvlJc w:val="right"/>
      <w:pPr>
        <w:ind w:left="7974" w:hanging="180"/>
      </w:pPr>
    </w:lvl>
  </w:abstractNum>
  <w:abstractNum w:abstractNumId="16" w15:restartNumberingAfterBreak="0">
    <w:nsid w:val="2E9F3F85"/>
    <w:multiLevelType w:val="hybridMultilevel"/>
    <w:tmpl w:val="B32E5F6E"/>
    <w:lvl w:ilvl="0" w:tplc="2C09000F">
      <w:start w:val="1"/>
      <w:numFmt w:val="decimal"/>
      <w:lvlText w:val="%1."/>
      <w:lvlJc w:val="left"/>
      <w:pPr>
        <w:ind w:left="720" w:hanging="360"/>
      </w:pPr>
      <w:rPr>
        <w:rFonts w:hint="default"/>
      </w:rPr>
    </w:lvl>
    <w:lvl w:ilvl="1" w:tplc="2C090019">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17" w15:restartNumberingAfterBreak="0">
    <w:nsid w:val="34E154F0"/>
    <w:multiLevelType w:val="hybridMultilevel"/>
    <w:tmpl w:val="89A2A1AC"/>
    <w:lvl w:ilvl="0" w:tplc="F4B68F54">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ACF4EB2"/>
    <w:multiLevelType w:val="hybridMultilevel"/>
    <w:tmpl w:val="CB6C816A"/>
    <w:lvl w:ilvl="0" w:tplc="26C6C5C2">
      <w:start w:val="1"/>
      <w:numFmt w:val="bullet"/>
      <w:pStyle w:val="Bullet2G"/>
      <w:lvlText w:val="•"/>
      <w:lvlJc w:val="left"/>
      <w:pPr>
        <w:tabs>
          <w:tab w:val="num" w:pos="2268"/>
        </w:tabs>
        <w:ind w:left="2268" w:hanging="170"/>
      </w:pPr>
      <w:rPr>
        <w:rFonts w:ascii="Times New Roman" w:hAnsi="Times New Roman" w:cs="Times New Roman" w:hint="default"/>
      </w:rPr>
    </w:lvl>
    <w:lvl w:ilvl="1" w:tplc="4EFA579C" w:tentative="1">
      <w:start w:val="1"/>
      <w:numFmt w:val="bullet"/>
      <w:lvlText w:val="o"/>
      <w:lvlJc w:val="left"/>
      <w:pPr>
        <w:tabs>
          <w:tab w:val="num" w:pos="3708"/>
        </w:tabs>
        <w:ind w:left="3708" w:hanging="360"/>
      </w:pPr>
      <w:rPr>
        <w:rFonts w:ascii="Courier New" w:hAnsi="Courier New" w:hint="default"/>
      </w:rPr>
    </w:lvl>
    <w:lvl w:ilvl="2" w:tplc="5276F8DC" w:tentative="1">
      <w:start w:val="1"/>
      <w:numFmt w:val="bullet"/>
      <w:lvlText w:val=""/>
      <w:lvlJc w:val="left"/>
      <w:pPr>
        <w:tabs>
          <w:tab w:val="num" w:pos="4428"/>
        </w:tabs>
        <w:ind w:left="4428" w:hanging="360"/>
      </w:pPr>
      <w:rPr>
        <w:rFonts w:ascii="Wingdings" w:hAnsi="Wingdings" w:hint="default"/>
      </w:rPr>
    </w:lvl>
    <w:lvl w:ilvl="3" w:tplc="B05C598C" w:tentative="1">
      <w:start w:val="1"/>
      <w:numFmt w:val="bullet"/>
      <w:lvlText w:val=""/>
      <w:lvlJc w:val="left"/>
      <w:pPr>
        <w:tabs>
          <w:tab w:val="num" w:pos="5148"/>
        </w:tabs>
        <w:ind w:left="5148" w:hanging="360"/>
      </w:pPr>
      <w:rPr>
        <w:rFonts w:ascii="Symbol" w:hAnsi="Symbol" w:hint="default"/>
      </w:rPr>
    </w:lvl>
    <w:lvl w:ilvl="4" w:tplc="A8EC161C" w:tentative="1">
      <w:start w:val="1"/>
      <w:numFmt w:val="bullet"/>
      <w:lvlText w:val="o"/>
      <w:lvlJc w:val="left"/>
      <w:pPr>
        <w:tabs>
          <w:tab w:val="num" w:pos="5868"/>
        </w:tabs>
        <w:ind w:left="5868" w:hanging="360"/>
      </w:pPr>
      <w:rPr>
        <w:rFonts w:ascii="Courier New" w:hAnsi="Courier New" w:hint="default"/>
      </w:rPr>
    </w:lvl>
    <w:lvl w:ilvl="5" w:tplc="ABF0BED2" w:tentative="1">
      <w:start w:val="1"/>
      <w:numFmt w:val="bullet"/>
      <w:lvlText w:val=""/>
      <w:lvlJc w:val="left"/>
      <w:pPr>
        <w:tabs>
          <w:tab w:val="num" w:pos="6588"/>
        </w:tabs>
        <w:ind w:left="6588" w:hanging="360"/>
      </w:pPr>
      <w:rPr>
        <w:rFonts w:ascii="Wingdings" w:hAnsi="Wingdings" w:hint="default"/>
      </w:rPr>
    </w:lvl>
    <w:lvl w:ilvl="6" w:tplc="FE1E76BC" w:tentative="1">
      <w:start w:val="1"/>
      <w:numFmt w:val="bullet"/>
      <w:lvlText w:val=""/>
      <w:lvlJc w:val="left"/>
      <w:pPr>
        <w:tabs>
          <w:tab w:val="num" w:pos="7308"/>
        </w:tabs>
        <w:ind w:left="7308" w:hanging="360"/>
      </w:pPr>
      <w:rPr>
        <w:rFonts w:ascii="Symbol" w:hAnsi="Symbol" w:hint="default"/>
      </w:rPr>
    </w:lvl>
    <w:lvl w:ilvl="7" w:tplc="8C146582" w:tentative="1">
      <w:start w:val="1"/>
      <w:numFmt w:val="bullet"/>
      <w:lvlText w:val="o"/>
      <w:lvlJc w:val="left"/>
      <w:pPr>
        <w:tabs>
          <w:tab w:val="num" w:pos="8028"/>
        </w:tabs>
        <w:ind w:left="8028" w:hanging="360"/>
      </w:pPr>
      <w:rPr>
        <w:rFonts w:ascii="Courier New" w:hAnsi="Courier New" w:hint="default"/>
      </w:rPr>
    </w:lvl>
    <w:lvl w:ilvl="8" w:tplc="AF4CA29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F3033A"/>
    <w:multiLevelType w:val="hybridMultilevel"/>
    <w:tmpl w:val="CF94FBC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72658C"/>
    <w:multiLevelType w:val="hybridMultilevel"/>
    <w:tmpl w:val="D2409A7A"/>
    <w:lvl w:ilvl="0" w:tplc="04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F594322"/>
    <w:multiLevelType w:val="hybridMultilevel"/>
    <w:tmpl w:val="6882DE90"/>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2" w15:restartNumberingAfterBreak="0">
    <w:nsid w:val="57A229F9"/>
    <w:multiLevelType w:val="hybridMultilevel"/>
    <w:tmpl w:val="F22E94E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9DB7F47"/>
    <w:multiLevelType w:val="hybridMultilevel"/>
    <w:tmpl w:val="53E0416C"/>
    <w:lvl w:ilvl="0" w:tplc="E05A5D9C">
      <w:start w:val="1"/>
      <w:numFmt w:val="lowerLetter"/>
      <w:lvlText w:val="%1."/>
      <w:lvlJc w:val="left"/>
      <w:pPr>
        <w:ind w:left="1440" w:hanging="360"/>
      </w:pPr>
      <w:rPr>
        <w:rFonts w:hint="default"/>
        <w:color w:val="auto"/>
      </w:r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FF3B0A"/>
    <w:multiLevelType w:val="hybridMultilevel"/>
    <w:tmpl w:val="DEC0254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4C0BE5"/>
    <w:multiLevelType w:val="hybridMultilevel"/>
    <w:tmpl w:val="CA04A630"/>
    <w:lvl w:ilvl="0" w:tplc="7646CC8C">
      <w:start w:val="1"/>
      <w:numFmt w:val="bullet"/>
      <w:lvlText w:val=""/>
      <w:lvlJc w:val="left"/>
      <w:pPr>
        <w:ind w:left="1440" w:hanging="360"/>
      </w:pPr>
      <w:rPr>
        <w:rFonts w:ascii="Webdings" w:hAnsi="Webdings" w:hint="default"/>
        <w:color w:val="FF000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68AD07B2"/>
    <w:multiLevelType w:val="hybridMultilevel"/>
    <w:tmpl w:val="7FEE3222"/>
    <w:lvl w:ilvl="0" w:tplc="B5E82F8A">
      <w:start w:val="1"/>
      <w:numFmt w:val="bullet"/>
      <w:pStyle w:val="Bullet1G"/>
      <w:lvlText w:val="•"/>
      <w:lvlJc w:val="left"/>
      <w:pPr>
        <w:tabs>
          <w:tab w:val="num" w:pos="1701"/>
        </w:tabs>
        <w:ind w:left="1701" w:hanging="170"/>
      </w:pPr>
      <w:rPr>
        <w:rFonts w:ascii="Times New Roman" w:hAnsi="Times New Roman" w:cs="Times New Roman" w:hint="default"/>
      </w:rPr>
    </w:lvl>
    <w:lvl w:ilvl="1" w:tplc="4B7063C8" w:tentative="1">
      <w:start w:val="1"/>
      <w:numFmt w:val="bullet"/>
      <w:lvlText w:val="o"/>
      <w:lvlJc w:val="left"/>
      <w:pPr>
        <w:tabs>
          <w:tab w:val="num" w:pos="3141"/>
        </w:tabs>
        <w:ind w:left="3141" w:hanging="360"/>
      </w:pPr>
      <w:rPr>
        <w:rFonts w:ascii="Courier New" w:hAnsi="Courier New" w:hint="default"/>
      </w:rPr>
    </w:lvl>
    <w:lvl w:ilvl="2" w:tplc="70FCF8B0" w:tentative="1">
      <w:start w:val="1"/>
      <w:numFmt w:val="bullet"/>
      <w:lvlText w:val=""/>
      <w:lvlJc w:val="left"/>
      <w:pPr>
        <w:tabs>
          <w:tab w:val="num" w:pos="3861"/>
        </w:tabs>
        <w:ind w:left="3861" w:hanging="360"/>
      </w:pPr>
      <w:rPr>
        <w:rFonts w:ascii="Wingdings" w:hAnsi="Wingdings" w:hint="default"/>
      </w:rPr>
    </w:lvl>
    <w:lvl w:ilvl="3" w:tplc="F8E631C2" w:tentative="1">
      <w:start w:val="1"/>
      <w:numFmt w:val="bullet"/>
      <w:lvlText w:val=""/>
      <w:lvlJc w:val="left"/>
      <w:pPr>
        <w:tabs>
          <w:tab w:val="num" w:pos="4581"/>
        </w:tabs>
        <w:ind w:left="4581" w:hanging="360"/>
      </w:pPr>
      <w:rPr>
        <w:rFonts w:ascii="Symbol" w:hAnsi="Symbol" w:hint="default"/>
      </w:rPr>
    </w:lvl>
    <w:lvl w:ilvl="4" w:tplc="7130BDCE" w:tentative="1">
      <w:start w:val="1"/>
      <w:numFmt w:val="bullet"/>
      <w:lvlText w:val="o"/>
      <w:lvlJc w:val="left"/>
      <w:pPr>
        <w:tabs>
          <w:tab w:val="num" w:pos="5301"/>
        </w:tabs>
        <w:ind w:left="5301" w:hanging="360"/>
      </w:pPr>
      <w:rPr>
        <w:rFonts w:ascii="Courier New" w:hAnsi="Courier New" w:hint="default"/>
      </w:rPr>
    </w:lvl>
    <w:lvl w:ilvl="5" w:tplc="2CAE877A" w:tentative="1">
      <w:start w:val="1"/>
      <w:numFmt w:val="bullet"/>
      <w:lvlText w:val=""/>
      <w:lvlJc w:val="left"/>
      <w:pPr>
        <w:tabs>
          <w:tab w:val="num" w:pos="6021"/>
        </w:tabs>
        <w:ind w:left="6021" w:hanging="360"/>
      </w:pPr>
      <w:rPr>
        <w:rFonts w:ascii="Wingdings" w:hAnsi="Wingdings" w:hint="default"/>
      </w:rPr>
    </w:lvl>
    <w:lvl w:ilvl="6" w:tplc="F41C8996" w:tentative="1">
      <w:start w:val="1"/>
      <w:numFmt w:val="bullet"/>
      <w:lvlText w:val=""/>
      <w:lvlJc w:val="left"/>
      <w:pPr>
        <w:tabs>
          <w:tab w:val="num" w:pos="6741"/>
        </w:tabs>
        <w:ind w:left="6741" w:hanging="360"/>
      </w:pPr>
      <w:rPr>
        <w:rFonts w:ascii="Symbol" w:hAnsi="Symbol" w:hint="default"/>
      </w:rPr>
    </w:lvl>
    <w:lvl w:ilvl="7" w:tplc="A3C2DE52" w:tentative="1">
      <w:start w:val="1"/>
      <w:numFmt w:val="bullet"/>
      <w:lvlText w:val="o"/>
      <w:lvlJc w:val="left"/>
      <w:pPr>
        <w:tabs>
          <w:tab w:val="num" w:pos="7461"/>
        </w:tabs>
        <w:ind w:left="7461" w:hanging="360"/>
      </w:pPr>
      <w:rPr>
        <w:rFonts w:ascii="Courier New" w:hAnsi="Courier New" w:hint="default"/>
      </w:rPr>
    </w:lvl>
    <w:lvl w:ilvl="8" w:tplc="78606986"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4C03708"/>
    <w:multiLevelType w:val="hybridMultilevel"/>
    <w:tmpl w:val="E4A2A1C0"/>
    <w:lvl w:ilvl="0" w:tplc="C896C996">
      <w:numFmt w:val="bullet"/>
      <w:lvlText w:val="-"/>
      <w:lvlJc w:val="left"/>
      <w:pPr>
        <w:ind w:left="1080" w:hanging="360"/>
      </w:pPr>
      <w:rPr>
        <w:rFonts w:ascii="Calibri Light" w:eastAsiaTheme="minorHAnsi" w:hAnsi="Calibri Light" w:cs="Calibri Ligh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6D0617A"/>
    <w:multiLevelType w:val="hybridMultilevel"/>
    <w:tmpl w:val="9050E066"/>
    <w:lvl w:ilvl="0" w:tplc="04090003">
      <w:start w:val="1"/>
      <w:numFmt w:val="bullet"/>
      <w:lvlText w:val="o"/>
      <w:lvlJc w:val="left"/>
      <w:pPr>
        <w:ind w:left="2214" w:hanging="360"/>
      </w:pPr>
      <w:rPr>
        <w:rFonts w:ascii="Courier New" w:hAnsi="Courier New" w:cs="Courier New"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C464FD9"/>
    <w:multiLevelType w:val="hybridMultilevel"/>
    <w:tmpl w:val="FD8A3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7039290">
    <w:abstractNumId w:val="27"/>
  </w:num>
  <w:num w:numId="2" w16cid:durableId="1159422300">
    <w:abstractNumId w:val="18"/>
  </w:num>
  <w:num w:numId="3" w16cid:durableId="1747651607">
    <w:abstractNumId w:val="0"/>
  </w:num>
  <w:num w:numId="4" w16cid:durableId="1173105226">
    <w:abstractNumId w:val="24"/>
  </w:num>
  <w:num w:numId="5" w16cid:durableId="1901742488">
    <w:abstractNumId w:val="30"/>
  </w:num>
  <w:num w:numId="6" w16cid:durableId="576214431">
    <w:abstractNumId w:val="20"/>
  </w:num>
  <w:num w:numId="7" w16cid:durableId="1538271485">
    <w:abstractNumId w:val="19"/>
  </w:num>
  <w:num w:numId="8" w16cid:durableId="1024134649">
    <w:abstractNumId w:val="17"/>
  </w:num>
  <w:num w:numId="9" w16cid:durableId="1841848478">
    <w:abstractNumId w:val="3"/>
  </w:num>
  <w:num w:numId="10" w16cid:durableId="1509710889">
    <w:abstractNumId w:val="22"/>
  </w:num>
  <w:num w:numId="11" w16cid:durableId="1416587867">
    <w:abstractNumId w:val="13"/>
  </w:num>
  <w:num w:numId="12" w16cid:durableId="1243372031">
    <w:abstractNumId w:val="16"/>
  </w:num>
  <w:num w:numId="13" w16cid:durableId="1306592898">
    <w:abstractNumId w:val="2"/>
  </w:num>
  <w:num w:numId="14" w16cid:durableId="1736466838">
    <w:abstractNumId w:val="25"/>
  </w:num>
  <w:num w:numId="15" w16cid:durableId="665668138">
    <w:abstractNumId w:val="6"/>
  </w:num>
  <w:num w:numId="16" w16cid:durableId="501050887">
    <w:abstractNumId w:val="26"/>
  </w:num>
  <w:num w:numId="17" w16cid:durableId="846137948">
    <w:abstractNumId w:val="5"/>
  </w:num>
  <w:num w:numId="18" w16cid:durableId="1457673575">
    <w:abstractNumId w:val="12"/>
  </w:num>
  <w:num w:numId="19" w16cid:durableId="513302157">
    <w:abstractNumId w:val="10"/>
  </w:num>
  <w:num w:numId="20" w16cid:durableId="1504201995">
    <w:abstractNumId w:val="14"/>
  </w:num>
  <w:num w:numId="21" w16cid:durableId="136923024">
    <w:abstractNumId w:val="28"/>
  </w:num>
  <w:num w:numId="22" w16cid:durableId="1235898674">
    <w:abstractNumId w:val="15"/>
  </w:num>
  <w:num w:numId="23" w16cid:durableId="273904668">
    <w:abstractNumId w:val="29"/>
  </w:num>
  <w:num w:numId="24" w16cid:durableId="1527478103">
    <w:abstractNumId w:val="21"/>
  </w:num>
  <w:num w:numId="25" w16cid:durableId="1432512744">
    <w:abstractNumId w:val="9"/>
  </w:num>
  <w:num w:numId="26" w16cid:durableId="1448619015">
    <w:abstractNumId w:val="7"/>
  </w:num>
  <w:num w:numId="27" w16cid:durableId="956832204">
    <w:abstractNumId w:val="31"/>
  </w:num>
  <w:num w:numId="28" w16cid:durableId="116725446">
    <w:abstractNumId w:val="8"/>
  </w:num>
  <w:num w:numId="29" w16cid:durableId="1731801010">
    <w:abstractNumId w:val="11"/>
  </w:num>
  <w:num w:numId="30" w16cid:durableId="361173131">
    <w:abstractNumId w:val="23"/>
  </w:num>
  <w:num w:numId="31" w16cid:durableId="144665400">
    <w:abstractNumId w:val="4"/>
  </w:num>
  <w:num w:numId="32" w16cid:durableId="392237994">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026F7"/>
    <w:rsid w:val="00030085"/>
    <w:rsid w:val="00043254"/>
    <w:rsid w:val="00080748"/>
    <w:rsid w:val="000925BB"/>
    <w:rsid w:val="000C6253"/>
    <w:rsid w:val="000E4C9A"/>
    <w:rsid w:val="001017A7"/>
    <w:rsid w:val="00132480"/>
    <w:rsid w:val="00146741"/>
    <w:rsid w:val="001507EF"/>
    <w:rsid w:val="00153CBB"/>
    <w:rsid w:val="0017538D"/>
    <w:rsid w:val="00180F99"/>
    <w:rsid w:val="00182561"/>
    <w:rsid w:val="001970BD"/>
    <w:rsid w:val="001E756E"/>
    <w:rsid w:val="001E7D5B"/>
    <w:rsid w:val="002244B2"/>
    <w:rsid w:val="00232F76"/>
    <w:rsid w:val="002404B2"/>
    <w:rsid w:val="00247DD5"/>
    <w:rsid w:val="002510A7"/>
    <w:rsid w:val="002844AB"/>
    <w:rsid w:val="002B5723"/>
    <w:rsid w:val="002E0211"/>
    <w:rsid w:val="002E04D8"/>
    <w:rsid w:val="002E233B"/>
    <w:rsid w:val="002F1EE7"/>
    <w:rsid w:val="002F6210"/>
    <w:rsid w:val="0030346E"/>
    <w:rsid w:val="00327C16"/>
    <w:rsid w:val="0037199F"/>
    <w:rsid w:val="00385656"/>
    <w:rsid w:val="003F3801"/>
    <w:rsid w:val="0040591D"/>
    <w:rsid w:val="00411BF2"/>
    <w:rsid w:val="00446122"/>
    <w:rsid w:val="00474477"/>
    <w:rsid w:val="00476F28"/>
    <w:rsid w:val="00490503"/>
    <w:rsid w:val="00491AAF"/>
    <w:rsid w:val="00497777"/>
    <w:rsid w:val="004B0BB0"/>
    <w:rsid w:val="004D09AA"/>
    <w:rsid w:val="004D1A0A"/>
    <w:rsid w:val="004E7115"/>
    <w:rsid w:val="00515F1A"/>
    <w:rsid w:val="00526394"/>
    <w:rsid w:val="005375CC"/>
    <w:rsid w:val="00545951"/>
    <w:rsid w:val="00580326"/>
    <w:rsid w:val="00586BAB"/>
    <w:rsid w:val="005B6813"/>
    <w:rsid w:val="005E1C13"/>
    <w:rsid w:val="005E624A"/>
    <w:rsid w:val="005F1FF7"/>
    <w:rsid w:val="005F2D03"/>
    <w:rsid w:val="005F6C98"/>
    <w:rsid w:val="006306BE"/>
    <w:rsid w:val="00650921"/>
    <w:rsid w:val="00655FD9"/>
    <w:rsid w:val="006D2FB1"/>
    <w:rsid w:val="00745431"/>
    <w:rsid w:val="007576CE"/>
    <w:rsid w:val="007918FF"/>
    <w:rsid w:val="007C08F8"/>
    <w:rsid w:val="007D2CB0"/>
    <w:rsid w:val="007E0326"/>
    <w:rsid w:val="007E29E2"/>
    <w:rsid w:val="007E725A"/>
    <w:rsid w:val="00817F2A"/>
    <w:rsid w:val="00831BE7"/>
    <w:rsid w:val="00850D87"/>
    <w:rsid w:val="008F1EDA"/>
    <w:rsid w:val="00906CA8"/>
    <w:rsid w:val="00910A07"/>
    <w:rsid w:val="00920A7C"/>
    <w:rsid w:val="00951757"/>
    <w:rsid w:val="009561B7"/>
    <w:rsid w:val="009769CE"/>
    <w:rsid w:val="009E7A1F"/>
    <w:rsid w:val="00A01A1F"/>
    <w:rsid w:val="00A06345"/>
    <w:rsid w:val="00A065FD"/>
    <w:rsid w:val="00A17804"/>
    <w:rsid w:val="00A222F3"/>
    <w:rsid w:val="00A250E4"/>
    <w:rsid w:val="00A25A14"/>
    <w:rsid w:val="00A27666"/>
    <w:rsid w:val="00A35274"/>
    <w:rsid w:val="00A4507D"/>
    <w:rsid w:val="00AD5CD3"/>
    <w:rsid w:val="00AD7FA8"/>
    <w:rsid w:val="00B11383"/>
    <w:rsid w:val="00B62A48"/>
    <w:rsid w:val="00BA0CE8"/>
    <w:rsid w:val="00BA238E"/>
    <w:rsid w:val="00BA4B9E"/>
    <w:rsid w:val="00BB480F"/>
    <w:rsid w:val="00C05977"/>
    <w:rsid w:val="00C351F0"/>
    <w:rsid w:val="00C35327"/>
    <w:rsid w:val="00C80326"/>
    <w:rsid w:val="00C87A20"/>
    <w:rsid w:val="00CB068C"/>
    <w:rsid w:val="00CC0CF9"/>
    <w:rsid w:val="00D124F9"/>
    <w:rsid w:val="00D21AEF"/>
    <w:rsid w:val="00D47F4E"/>
    <w:rsid w:val="00D77489"/>
    <w:rsid w:val="00DB5792"/>
    <w:rsid w:val="00DE5958"/>
    <w:rsid w:val="00DE6DCF"/>
    <w:rsid w:val="00E00256"/>
    <w:rsid w:val="00E031E1"/>
    <w:rsid w:val="00E67615"/>
    <w:rsid w:val="00EA5B89"/>
    <w:rsid w:val="00EA7257"/>
    <w:rsid w:val="00EB24A7"/>
    <w:rsid w:val="00ED5F12"/>
    <w:rsid w:val="00EF3F7A"/>
    <w:rsid w:val="00F17946"/>
    <w:rsid w:val="00F3048C"/>
    <w:rsid w:val="00F5224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E7A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uiPriority w:val="39"/>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uiPriority w:val="99"/>
    <w:unhideWhenUsed/>
    <w:rsid w:val="002F1EE7"/>
    <w:pPr>
      <w:spacing w:line="240" w:lineRule="auto"/>
    </w:pPr>
    <w:rPr>
      <w:rFonts w:eastAsia="Calibri"/>
      <w:spacing w:val="4"/>
      <w:w w:val="103"/>
      <w:kern w:val="14"/>
      <w:sz w:val="32"/>
      <w:szCs w:val="22"/>
      <w:lang w:val="en-TT"/>
    </w:rPr>
  </w:style>
  <w:style w:type="character" w:customStyle="1" w:styleId="CommentTextChar">
    <w:name w:val="Comment Text Char"/>
    <w:basedOn w:val="DefaultParagraphFont"/>
    <w:link w:val="CommentText"/>
    <w:uiPriority w:val="99"/>
    <w:rsid w:val="002F1EE7"/>
    <w:rPr>
      <w:rFonts w:ascii="Times New Roman" w:eastAsia="Calibri" w:hAnsi="Times New Roman" w:cs="Times New Roman"/>
      <w:spacing w:val="4"/>
      <w:w w:val="103"/>
      <w:kern w:val="14"/>
      <w:sz w:val="32"/>
      <w:lang w:val="en-TT"/>
    </w:rPr>
  </w:style>
  <w:style w:type="paragraph" w:styleId="ListParagraph">
    <w:name w:val="List Paragraph"/>
    <w:aliases w:val="Bullet 1,Bullet List,Bullets 1,Dot pt,F5 List Paragraph,FooterText,IAD list,Indicator Text,List Paragraph Char Char Char,List Paragraph1,List with no spacing,Main numbered paragraph,No Spacing1,Numbered List Paragraph,Numbered Para 1"/>
    <w:basedOn w:val="Normal"/>
    <w:link w:val="ListParagraphChar"/>
    <w:uiPriority w:val="34"/>
    <w:qFormat/>
    <w:rsid w:val="002F1EE7"/>
    <w:pPr>
      <w:suppressAutoHyphens w:val="0"/>
      <w:spacing w:after="160" w:line="259"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2F1EE7"/>
    <w:rPr>
      <w:sz w:val="16"/>
      <w:szCs w:val="16"/>
    </w:rPr>
  </w:style>
  <w:style w:type="paragraph" w:styleId="CommentSubject">
    <w:name w:val="annotation subject"/>
    <w:basedOn w:val="CommentText"/>
    <w:next w:val="CommentText"/>
    <w:link w:val="CommentSubjectChar"/>
    <w:uiPriority w:val="99"/>
    <w:semiHidden/>
    <w:unhideWhenUsed/>
    <w:rsid w:val="002F1EE7"/>
    <w:pPr>
      <w:suppressAutoHyphens w:val="0"/>
      <w:spacing w:after="160"/>
    </w:pPr>
    <w:rPr>
      <w:rFonts w:asciiTheme="minorHAnsi" w:eastAsiaTheme="minorHAnsi" w:hAnsiTheme="minorHAnsi" w:cstheme="minorBidi"/>
      <w:b/>
      <w:bCs/>
      <w:spacing w:val="0"/>
      <w:w w:val="100"/>
      <w:kern w:val="0"/>
      <w:sz w:val="20"/>
      <w:szCs w:val="20"/>
      <w:lang w:val="en-GB"/>
    </w:rPr>
  </w:style>
  <w:style w:type="character" w:customStyle="1" w:styleId="CommentSubjectChar">
    <w:name w:val="Comment Subject Char"/>
    <w:basedOn w:val="CommentTextChar"/>
    <w:link w:val="CommentSubject"/>
    <w:uiPriority w:val="99"/>
    <w:semiHidden/>
    <w:rsid w:val="002F1EE7"/>
    <w:rPr>
      <w:rFonts w:ascii="Times New Roman" w:eastAsia="Calibri" w:hAnsi="Times New Roman" w:cs="Times New Roman"/>
      <w:b/>
      <w:bCs/>
      <w:spacing w:val="4"/>
      <w:w w:val="103"/>
      <w:kern w:val="14"/>
      <w:sz w:val="20"/>
      <w:szCs w:val="20"/>
      <w:lang w:val="en-GB"/>
    </w:rPr>
  </w:style>
  <w:style w:type="character" w:customStyle="1" w:styleId="UnresolvedMention1">
    <w:name w:val="Unresolved Mention1"/>
    <w:basedOn w:val="DefaultParagraphFont"/>
    <w:uiPriority w:val="99"/>
    <w:semiHidden/>
    <w:unhideWhenUsed/>
    <w:rsid w:val="002F1EE7"/>
    <w:rPr>
      <w:color w:val="605E5C"/>
      <w:shd w:val="clear" w:color="auto" w:fill="E1DFDD"/>
    </w:rPr>
  </w:style>
  <w:style w:type="character" w:customStyle="1" w:styleId="ListParagraphChar">
    <w:name w:val="List Paragraph Char"/>
    <w:aliases w:val="Bullet 1 Char,Bullet List Char,Bullets 1 Char,Dot pt Char,F5 List Paragraph Char,FooterText Char,IAD list Char,Indicator Text Char,List Paragraph Char Char Char Char,List Paragraph1 Char,List with no spacing Char,No Spacing1 Char"/>
    <w:link w:val="ListParagraph"/>
    <w:uiPriority w:val="34"/>
    <w:locked/>
    <w:rsid w:val="002F1EE7"/>
    <w:rPr>
      <w:lang w:val="en-GB"/>
    </w:rPr>
  </w:style>
  <w:style w:type="paragraph" w:styleId="NoSpacing">
    <w:name w:val="No Spacing"/>
    <w:link w:val="NoSpacingChar"/>
    <w:uiPriority w:val="1"/>
    <w:qFormat/>
    <w:rsid w:val="002F1EE7"/>
    <w:pPr>
      <w:spacing w:after="0" w:line="240" w:lineRule="auto"/>
    </w:pPr>
    <w:rPr>
      <w:lang w:val="en-US"/>
    </w:rPr>
  </w:style>
  <w:style w:type="character" w:customStyle="1" w:styleId="NoSpacingChar">
    <w:name w:val="No Spacing Char"/>
    <w:link w:val="NoSpacing"/>
    <w:uiPriority w:val="1"/>
    <w:rsid w:val="002F1EE7"/>
    <w:rPr>
      <w:lang w:val="en-US"/>
    </w:rPr>
  </w:style>
  <w:style w:type="paragraph" w:styleId="PlainText">
    <w:name w:val="Plain Text"/>
    <w:basedOn w:val="Normal"/>
    <w:link w:val="PlainTextChar"/>
    <w:uiPriority w:val="99"/>
    <w:unhideWhenUsed/>
    <w:rsid w:val="002F1EE7"/>
    <w:pPr>
      <w:suppressAutoHyphens w:val="0"/>
      <w:spacing w:line="240" w:lineRule="auto"/>
    </w:pPr>
    <w:rPr>
      <w:rFonts w:ascii="Consolas" w:eastAsiaTheme="minorHAnsi" w:hAnsi="Consolas" w:cstheme="minorBidi"/>
      <w:sz w:val="21"/>
      <w:szCs w:val="21"/>
      <w:lang w:val="en-TT"/>
    </w:rPr>
  </w:style>
  <w:style w:type="character" w:customStyle="1" w:styleId="PlainTextChar">
    <w:name w:val="Plain Text Char"/>
    <w:basedOn w:val="DefaultParagraphFont"/>
    <w:link w:val="PlainText"/>
    <w:uiPriority w:val="99"/>
    <w:rsid w:val="002F1EE7"/>
    <w:rPr>
      <w:rFonts w:ascii="Consolas" w:hAnsi="Consolas"/>
      <w:sz w:val="21"/>
      <w:szCs w:val="21"/>
      <w:lang w:val="en-TT"/>
    </w:rPr>
  </w:style>
  <w:style w:type="numbering" w:customStyle="1" w:styleId="NoList1">
    <w:name w:val="No List1"/>
    <w:next w:val="NoList"/>
    <w:uiPriority w:val="99"/>
    <w:semiHidden/>
    <w:unhideWhenUsed/>
    <w:rsid w:val="002F1EE7"/>
  </w:style>
  <w:style w:type="character" w:styleId="UnresolvedMention">
    <w:name w:val="Unresolved Mention"/>
    <w:basedOn w:val="DefaultParagraphFont"/>
    <w:uiPriority w:val="99"/>
    <w:semiHidden/>
    <w:unhideWhenUsed/>
    <w:rsid w:val="007D2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iwil.org/womens-representation-at-local-government-election" TargetMode="External"/><Relationship Id="rId2" Type="http://schemas.openxmlformats.org/officeDocument/2006/relationships/hyperlink" Target="https://ciwil.org/womens-representation-at-local-government-election" TargetMode="External"/><Relationship Id="rId1" Type="http://schemas.openxmlformats.org/officeDocument/2006/relationships/hyperlink" Target="https://sexoffenders.gov.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2026-06-19T13:20:35+00:00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8B12E161-14C6-4188-8AE5-A4C84274B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EA623-4B24-4155-B57C-9FE5856082B6}">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38</Pages>
  <Words>18974</Words>
  <Characters>108158</Characters>
  <Application>Microsoft Office Word</Application>
  <DocSecurity>0</DocSecurity>
  <Lines>901</Lines>
  <Paragraphs>253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CEDAW/C/TTO/8-9</dc:title>
  <dc:creator>Gloria</dc:creator>
  <cp:lastModifiedBy>Jamila Devi Seerathun</cp:lastModifiedBy>
  <cp:revision>3</cp:revision>
  <cp:lastPrinted>2017-04-21T12:16:00Z</cp:lastPrinted>
  <dcterms:created xsi:type="dcterms:W3CDTF">2026-06-22T08:08:00Z</dcterms:created>
  <dcterms:modified xsi:type="dcterms:W3CDTF">2026-06-22T08:09:00Z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Trinidad and Tobago</vt:lpwstr>
  </property>
  <property fmtid="{D5CDD505-2E9C-101B-9397-08002B2CF9AE}" pid="8" name="countw">
    <vt:lpwstr>Trinidad and Tobago</vt:lpwstr>
  </property>
  <property fmtid="{D5CDD505-2E9C-101B-9397-08002B2CF9AE}" pid="9" name="countwd">
    <vt:lpwstr>Trinidad and Tobago</vt:lpwstr>
  </property>
  <property fmtid="{D5CDD505-2E9C-101B-9397-08002B2CF9AE}" pid="10" name="date">
    <vt:lpwstr>22 June 2026</vt:lpwstr>
  </property>
  <property fmtid="{D5CDD505-2E9C-101B-9397-08002B2CF9AE}" pid="11" name="Date-Generated">
    <vt:filetime>2026-06-19T13:16:33Z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159000</vt:r8>
  </property>
  <property fmtid="{D5CDD505-2E9C-101B-9397-08002B2CF9AE}" pid="21" name="Org">
    <vt:lpwstr>OHCHR</vt:lpwstr>
  </property>
  <property fmtid="{D5CDD505-2E9C-101B-9397-08002B2CF9AE}" pid="22" name="prep">
    <vt:lpwstr> combined eighth and ninth reports of Trinidad and Tobago</vt:lpwstr>
  </property>
  <property fmtid="{D5CDD505-2E9C-101B-9397-08002B2CF9AE}" pid="23" name="preps">
    <vt:lpwstr> combined eighth and ninth reports of Trinidad and Tobago</vt:lpwstr>
  </property>
  <property fmtid="{D5CDD505-2E9C-101B-9397-08002B2CF9AE}" pid="24" name="prepw">
    <vt:lpwstr> combined eighth and ninth reports</vt:lpwstr>
  </property>
  <property fmtid="{D5CDD505-2E9C-101B-9397-08002B2CF9AE}" pid="25" name="prepwc">
    <vt:lpwstr>Combined eighth and ninth reports </vt:lpwstr>
  </property>
  <property fmtid="{D5CDD505-2E9C-101B-9397-08002B2CF9AE}" pid="26" name="prepws">
    <vt:lpwstr>Combined eighth and ninth reports </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C/TTO/8-9</vt:lpwstr>
  </property>
  <property fmtid="{D5CDD505-2E9C-101B-9397-08002B2CF9AE}" pid="32" name="symh">
    <vt:lpwstr>CEDAW/C/TTO/8-9</vt:lpwstr>
  </property>
  <property fmtid="{D5CDD505-2E9C-101B-9397-08002B2CF9AE}" pid="33" name="Title">
    <vt:lpwstr>CEDAW/C/TTO/8-9</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0x010100A3CFA62B47352B44BFD11BEB9CD9FD5A</vt:lpwstr>
  </property>
</Properties>
</file>