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AC560" w14:textId="77777777" w:rsidR="003F4722" w:rsidRDefault="003F4722"/>
    <w:p w14:paraId="2112E804" w14:textId="77777777" w:rsidR="003F4722" w:rsidRDefault="003F4722"/>
    <w:p w14:paraId="6D5BA9C2" w14:textId="77777777" w:rsidR="003F4722" w:rsidRDefault="003F4722"/>
    <w:p w14:paraId="708C5C2D" w14:textId="77777777" w:rsidR="003F4722" w:rsidRDefault="00672405">
      <w:pPr>
        <w:pStyle w:val="Heading1"/>
        <w:keepNext w:val="0"/>
        <w:keepLines w:val="0"/>
        <w:widowControl w:val="0"/>
        <w:spacing w:before="240" w:after="240" w:line="240" w:lineRule="auto"/>
        <w:jc w:val="center"/>
        <w:rPr>
          <w:rFonts w:ascii="Times New Roman" w:eastAsia="Times New Roman" w:hAnsi="Times New Roman" w:cs="Times New Roman"/>
          <w:b/>
          <w:bCs/>
          <w:sz w:val="38"/>
          <w:szCs w:val="38"/>
        </w:rPr>
      </w:pPr>
      <w:r>
        <w:rPr>
          <w:rFonts w:ascii="Times New Roman" w:eastAsia="Times New Roman" w:hAnsi="Times New Roman" w:cs="Times New Roman"/>
          <w:b/>
          <w:bCs/>
          <w:sz w:val="38"/>
          <w:szCs w:val="38"/>
        </w:rPr>
        <w:t>Jurisdicción militar y falta de control judicial independiente ante la desaparición forzada en Cuba: responsabilidad de mando, investigación de agentes estatales y garantías desde la detención</w:t>
      </w:r>
    </w:p>
    <w:p w14:paraId="53B92F58" w14:textId="77777777" w:rsidR="003F4722" w:rsidRDefault="003F4722">
      <w:pPr>
        <w:rPr>
          <w:sz w:val="18"/>
          <w:szCs w:val="18"/>
        </w:rPr>
      </w:pPr>
    </w:p>
    <w:p w14:paraId="025A2CB2" w14:textId="77777777" w:rsidR="003F4722" w:rsidRDefault="00672405">
      <w:pPr>
        <w:pStyle w:val="Heading2"/>
        <w:keepNext w:val="0"/>
        <w:keepLines w:val="0"/>
        <w:widowControl w:val="0"/>
        <w:spacing w:before="0" w:after="0" w:line="240" w:lineRule="auto"/>
        <w:jc w:val="center"/>
        <w:rPr>
          <w:rFonts w:ascii="Times New Roman" w:eastAsia="Times New Roman" w:hAnsi="Times New Roman" w:cs="Times New Roman"/>
          <w:b/>
          <w:bCs/>
          <w:sz w:val="34"/>
          <w:szCs w:val="34"/>
        </w:rPr>
      </w:pPr>
      <w:r>
        <w:rPr>
          <w:rFonts w:ascii="Times New Roman" w:eastAsia="Times New Roman" w:hAnsi="Times New Roman" w:cs="Times New Roman"/>
          <w:b/>
          <w:bCs/>
          <w:sz w:val="34"/>
          <w:szCs w:val="34"/>
        </w:rPr>
        <w:t>Lista de Temas Prioritarios sobre Cuba</w:t>
      </w:r>
    </w:p>
    <w:p w14:paraId="58716774" w14:textId="77777777" w:rsidR="003F4722" w:rsidRDefault="00672405">
      <w:pPr>
        <w:pStyle w:val="Heading3"/>
        <w:keepNext w:val="0"/>
        <w:keepLines w:val="0"/>
        <w:widowControl w:val="0"/>
        <w:spacing w:before="0" w:after="0" w:line="240" w:lineRule="auto"/>
        <w:jc w:val="center"/>
        <w:rPr>
          <w:rFonts w:ascii="Times New Roman" w:eastAsia="Times New Roman" w:hAnsi="Times New Roman" w:cs="Times New Roman"/>
          <w:b/>
          <w:bCs/>
          <w:color w:val="000000"/>
          <w:sz w:val="34"/>
          <w:szCs w:val="34"/>
        </w:rPr>
      </w:pPr>
      <w:r>
        <w:rPr>
          <w:rFonts w:ascii="Times New Roman" w:eastAsia="Times New Roman" w:hAnsi="Times New Roman" w:cs="Times New Roman"/>
          <w:b/>
          <w:bCs/>
          <w:color w:val="000000"/>
          <w:sz w:val="34"/>
          <w:szCs w:val="34"/>
        </w:rPr>
        <w:t>31.º período de sesiones del CED</w:t>
      </w:r>
    </w:p>
    <w:p w14:paraId="119AAF3A" w14:textId="77777777" w:rsidR="003F4722" w:rsidRDefault="003F4722">
      <w:pPr>
        <w:widowControl w:val="0"/>
        <w:spacing w:line="240" w:lineRule="auto"/>
        <w:rPr>
          <w:rFonts w:ascii="Times New Roman" w:eastAsia="Times New Roman" w:hAnsi="Times New Roman" w:cs="Times New Roman"/>
          <w:sz w:val="18"/>
          <w:szCs w:val="18"/>
        </w:rPr>
      </w:pPr>
    </w:p>
    <w:p w14:paraId="764105A1" w14:textId="77777777" w:rsidR="003F4722" w:rsidRDefault="003F4722">
      <w:pPr>
        <w:widowControl w:val="0"/>
        <w:spacing w:line="240" w:lineRule="auto"/>
        <w:rPr>
          <w:rFonts w:ascii="Times New Roman" w:eastAsia="Times New Roman" w:hAnsi="Times New Roman" w:cs="Times New Roman"/>
          <w:sz w:val="18"/>
          <w:szCs w:val="18"/>
        </w:rPr>
      </w:pPr>
    </w:p>
    <w:p w14:paraId="3781EF38" w14:textId="77777777" w:rsidR="003F4722" w:rsidRDefault="003F4722">
      <w:pPr>
        <w:widowControl w:val="0"/>
        <w:spacing w:line="240" w:lineRule="auto"/>
        <w:rPr>
          <w:rFonts w:ascii="Times New Roman" w:eastAsia="Times New Roman" w:hAnsi="Times New Roman" w:cs="Times New Roman"/>
          <w:sz w:val="18"/>
          <w:szCs w:val="18"/>
        </w:rPr>
      </w:pPr>
    </w:p>
    <w:p w14:paraId="0EC30965" w14:textId="77777777" w:rsidR="003F4722" w:rsidRDefault="00672405">
      <w:pPr>
        <w:widowControl w:val="0"/>
        <w:spacing w:line="240" w:lineRule="auto"/>
        <w:jc w:val="center"/>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rPr>
        <w:t>Presentada en relación con la información complementaria de Cuba bajo el artículo 29(4) de la Convención Internacional para la Protección de Todas las Personas contra las Desapariciones Forzadas</w:t>
      </w:r>
    </w:p>
    <w:p w14:paraId="6B4C1732" w14:textId="77777777" w:rsidR="003F4722" w:rsidRDefault="003F4722">
      <w:pPr>
        <w:widowControl w:val="0"/>
        <w:spacing w:line="240" w:lineRule="auto"/>
        <w:jc w:val="center"/>
        <w:rPr>
          <w:rFonts w:ascii="Times New Roman" w:eastAsia="Times New Roman" w:hAnsi="Times New Roman" w:cs="Times New Roman"/>
          <w:i/>
          <w:iCs/>
          <w:sz w:val="28"/>
          <w:szCs w:val="28"/>
        </w:rPr>
      </w:pPr>
    </w:p>
    <w:p w14:paraId="6122B925" w14:textId="77777777" w:rsidR="003F4722" w:rsidRDefault="003F4722">
      <w:pPr>
        <w:widowControl w:val="0"/>
        <w:spacing w:line="240" w:lineRule="auto"/>
        <w:rPr>
          <w:rFonts w:ascii="Times New Roman" w:eastAsia="Times New Roman" w:hAnsi="Times New Roman" w:cs="Times New Roman"/>
          <w:sz w:val="18"/>
          <w:szCs w:val="18"/>
        </w:rPr>
      </w:pPr>
    </w:p>
    <w:p w14:paraId="0C25B482" w14:textId="77777777" w:rsidR="003F4722" w:rsidRDefault="00672405">
      <w:pPr>
        <w:widowControl w:val="0"/>
        <w:spacing w:line="240" w:lineRule="auto"/>
        <w:jc w:val="center"/>
        <w:rPr>
          <w:rFonts w:ascii="Times New Roman" w:eastAsia="Times New Roman" w:hAnsi="Times New Roman" w:cs="Times New Roman"/>
          <w:b/>
          <w:bCs/>
          <w:i/>
          <w:iCs/>
          <w:sz w:val="44"/>
          <w:szCs w:val="44"/>
        </w:rPr>
      </w:pPr>
      <w:r>
        <w:rPr>
          <w:rFonts w:ascii="Times New Roman" w:eastAsia="Times New Roman" w:hAnsi="Times New Roman" w:cs="Times New Roman"/>
          <w:b/>
          <w:bCs/>
          <w:i/>
          <w:iCs/>
          <w:sz w:val="44"/>
          <w:szCs w:val="44"/>
        </w:rPr>
        <w:t>Junio de 2026</w:t>
      </w:r>
    </w:p>
    <w:p w14:paraId="1D8AA091" w14:textId="77777777" w:rsidR="003F4722" w:rsidRDefault="003F4722">
      <w:pPr>
        <w:widowControl w:val="0"/>
        <w:spacing w:line="240" w:lineRule="auto"/>
        <w:rPr>
          <w:rFonts w:ascii="Times New Roman" w:eastAsia="Times New Roman" w:hAnsi="Times New Roman" w:cs="Times New Roman"/>
          <w:b/>
          <w:bCs/>
          <w:i/>
          <w:iCs/>
          <w:sz w:val="44"/>
          <w:szCs w:val="44"/>
        </w:rPr>
      </w:pPr>
    </w:p>
    <w:p w14:paraId="6A3E9D23" w14:textId="77777777" w:rsidR="003F4722" w:rsidRDefault="003F4722">
      <w:pPr>
        <w:widowControl w:val="0"/>
        <w:spacing w:after="225" w:line="240" w:lineRule="auto"/>
        <w:jc w:val="center"/>
        <w:rPr>
          <w:rFonts w:ascii="Times New Roman" w:eastAsia="Times New Roman" w:hAnsi="Times New Roman" w:cs="Times New Roman"/>
        </w:rPr>
      </w:pPr>
    </w:p>
    <w:p w14:paraId="7F1F25F9" w14:textId="77777777" w:rsidR="003F4722" w:rsidRDefault="003F4722">
      <w:pPr>
        <w:widowControl w:val="0"/>
        <w:spacing w:after="225" w:line="240" w:lineRule="auto"/>
        <w:jc w:val="center"/>
        <w:rPr>
          <w:rFonts w:ascii="Times New Roman" w:eastAsia="Times New Roman" w:hAnsi="Times New Roman" w:cs="Times New Roman"/>
        </w:rPr>
      </w:pPr>
    </w:p>
    <w:p w14:paraId="6900AEA0" w14:textId="77777777" w:rsidR="003F4722" w:rsidRDefault="00672405">
      <w:pPr>
        <w:pStyle w:val="Heading2"/>
        <w:keepNext w:val="0"/>
        <w:keepLines w:val="0"/>
        <w:widowControl w:val="0"/>
        <w:spacing w:before="0" w:after="225" w:line="240" w:lineRule="auto"/>
        <w:rPr>
          <w:b/>
          <w:bCs/>
          <w:sz w:val="36"/>
          <w:szCs w:val="36"/>
        </w:rPr>
      </w:pPr>
      <w:r>
        <w:br w:type="page"/>
      </w:r>
    </w:p>
    <w:p w14:paraId="5A3822FD" w14:textId="77777777" w:rsidR="003F4722" w:rsidRDefault="003F4722">
      <w:pPr>
        <w:pStyle w:val="Heading2"/>
        <w:keepNext w:val="0"/>
        <w:keepLines w:val="0"/>
        <w:widowControl w:val="0"/>
        <w:spacing w:before="0" w:after="225" w:line="240" w:lineRule="auto"/>
        <w:rPr>
          <w:b/>
          <w:bCs/>
          <w:sz w:val="36"/>
          <w:szCs w:val="36"/>
        </w:rPr>
      </w:pPr>
    </w:p>
    <w:p w14:paraId="36A32F35" w14:textId="77777777" w:rsidR="003F4722" w:rsidRDefault="003F4722">
      <w:pPr>
        <w:rPr>
          <w:rFonts w:ascii="Times New Roman" w:eastAsia="Times New Roman" w:hAnsi="Times New Roman" w:cs="Times New Roman"/>
          <w:sz w:val="28"/>
          <w:szCs w:val="28"/>
        </w:rPr>
      </w:pPr>
    </w:p>
    <w:sdt>
      <w:sdtPr>
        <w:id w:val="56147514"/>
        <w:docPartObj>
          <w:docPartGallery w:val="Table of Contents"/>
          <w:docPartUnique/>
        </w:docPartObj>
      </w:sdtPr>
      <w:sdtEndPr/>
      <w:sdtContent>
        <w:p w14:paraId="2D56E24A" w14:textId="77777777" w:rsidR="003F4722" w:rsidRDefault="00672405">
          <w:pPr>
            <w:widowControl w:val="0"/>
            <w:tabs>
              <w:tab w:val="right" w:pos="12000"/>
            </w:tabs>
            <w:spacing w:before="60" w:line="240" w:lineRule="auto"/>
            <w:ind w:left="360"/>
            <w:rPr>
              <w:color w:val="000000"/>
            </w:rPr>
          </w:pPr>
          <w:r>
            <w:fldChar w:fldCharType="begin"/>
          </w:r>
          <w:r>
            <w:instrText xml:space="preserve"> TOC \h \u \z \t "Heading 1,1,Heading 2,2,Heading 3,3,Heading 4,4,Heading 5,5,Heading 6,6,"</w:instrText>
          </w:r>
          <w:r>
            <w:fldChar w:fldCharType="separate"/>
          </w:r>
          <w:hyperlink w:anchor="_eynp7cq392wi">
            <w:r>
              <w:rPr>
                <w:rFonts w:ascii="Times New Roman" w:eastAsia="Times New Roman" w:hAnsi="Times New Roman" w:cs="Times New Roman"/>
                <w:b/>
                <w:bCs/>
                <w:color w:val="000000"/>
                <w:sz w:val="24"/>
                <w:szCs w:val="24"/>
              </w:rPr>
              <w:t>Contribución al Comité contra la Desaparición Forzada para la elaboración de la Lista de Temas Prioritarios sobre Cuba</w:t>
            </w:r>
            <w:r>
              <w:rPr>
                <w:rFonts w:ascii="Times New Roman" w:eastAsia="Times New Roman" w:hAnsi="Times New Roman" w:cs="Times New Roman"/>
                <w:b/>
                <w:bCs/>
                <w:color w:val="000000"/>
                <w:sz w:val="24"/>
                <w:szCs w:val="24"/>
              </w:rPr>
              <w:tab/>
              <w:t>3</w:t>
            </w:r>
          </w:hyperlink>
        </w:p>
        <w:p w14:paraId="79340925" w14:textId="77777777" w:rsidR="003F4722" w:rsidRDefault="00672405">
          <w:pPr>
            <w:widowControl w:val="0"/>
            <w:tabs>
              <w:tab w:val="right" w:pos="12000"/>
            </w:tabs>
            <w:spacing w:before="60" w:line="240" w:lineRule="auto"/>
            <w:ind w:left="360"/>
            <w:rPr>
              <w:color w:val="000000"/>
            </w:rPr>
          </w:pPr>
          <w:hyperlink>
            <w:r>
              <w:rPr>
                <w:rFonts w:ascii="Times New Roman" w:eastAsia="Times New Roman" w:hAnsi="Times New Roman" w:cs="Times New Roman"/>
                <w:b/>
                <w:bCs/>
                <w:color w:val="000000"/>
                <w:sz w:val="24"/>
                <w:szCs w:val="24"/>
              </w:rPr>
              <w:t>I. Presentación de la alianza</w:t>
            </w:r>
            <w:r>
              <w:rPr>
                <w:rFonts w:ascii="Times New Roman" w:eastAsia="Times New Roman" w:hAnsi="Times New Roman" w:cs="Times New Roman"/>
                <w:b/>
                <w:bCs/>
                <w:color w:val="000000"/>
                <w:sz w:val="24"/>
                <w:szCs w:val="24"/>
              </w:rPr>
              <w:tab/>
              <w:t>3</w:t>
            </w:r>
          </w:hyperlink>
        </w:p>
        <w:p w14:paraId="5C4FCF98" w14:textId="77777777" w:rsidR="003F4722" w:rsidRDefault="00672405">
          <w:pPr>
            <w:widowControl w:val="0"/>
            <w:tabs>
              <w:tab w:val="right" w:pos="12000"/>
            </w:tabs>
            <w:spacing w:before="60" w:line="240" w:lineRule="auto"/>
            <w:ind w:left="360"/>
            <w:rPr>
              <w:color w:val="000000"/>
            </w:rPr>
          </w:pPr>
          <w:hyperlink>
            <w:r>
              <w:rPr>
                <w:rFonts w:ascii="Times New Roman" w:eastAsia="Times New Roman" w:hAnsi="Times New Roman" w:cs="Times New Roman"/>
                <w:b/>
                <w:bCs/>
                <w:color w:val="000000"/>
                <w:sz w:val="24"/>
                <w:szCs w:val="24"/>
              </w:rPr>
              <w:t>II. Introducción</w:t>
            </w:r>
            <w:r>
              <w:rPr>
                <w:rFonts w:ascii="Times New Roman" w:eastAsia="Times New Roman" w:hAnsi="Times New Roman" w:cs="Times New Roman"/>
                <w:b/>
                <w:bCs/>
                <w:color w:val="000000"/>
                <w:sz w:val="24"/>
                <w:szCs w:val="24"/>
              </w:rPr>
              <w:tab/>
              <w:t>4</w:t>
            </w:r>
          </w:hyperlink>
        </w:p>
        <w:p w14:paraId="7CDBDD7F" w14:textId="77777777" w:rsidR="003F4722" w:rsidRDefault="00672405">
          <w:pPr>
            <w:widowControl w:val="0"/>
            <w:tabs>
              <w:tab w:val="right" w:pos="12000"/>
            </w:tabs>
            <w:spacing w:before="60" w:line="240" w:lineRule="auto"/>
            <w:ind w:left="360"/>
            <w:rPr>
              <w:color w:val="000000"/>
            </w:rPr>
          </w:pPr>
          <w:hyperlink>
            <w:r>
              <w:rPr>
                <w:rFonts w:ascii="Times New Roman" w:eastAsia="Times New Roman" w:hAnsi="Times New Roman" w:cs="Times New Roman"/>
                <w:b/>
                <w:bCs/>
                <w:color w:val="000000"/>
                <w:sz w:val="24"/>
                <w:szCs w:val="24"/>
              </w:rPr>
              <w:t>III. Temas prioritarios sugeridos</w:t>
            </w:r>
            <w:r>
              <w:rPr>
                <w:rFonts w:ascii="Times New Roman" w:eastAsia="Times New Roman" w:hAnsi="Times New Roman" w:cs="Times New Roman"/>
                <w:b/>
                <w:bCs/>
                <w:color w:val="000000"/>
                <w:sz w:val="24"/>
                <w:szCs w:val="24"/>
              </w:rPr>
              <w:tab/>
              <w:t>5</w:t>
            </w:r>
          </w:hyperlink>
        </w:p>
        <w:p w14:paraId="19CD44D4" w14:textId="77777777" w:rsidR="003F4722" w:rsidRDefault="00672405">
          <w:pPr>
            <w:widowControl w:val="0"/>
            <w:tabs>
              <w:tab w:val="right" w:pos="12000"/>
            </w:tabs>
            <w:spacing w:before="60" w:line="240" w:lineRule="auto"/>
            <w:ind w:left="360"/>
            <w:rPr>
              <w:color w:val="000000"/>
            </w:rPr>
          </w:pPr>
          <w:hyperlink>
            <w:r>
              <w:rPr>
                <w:rFonts w:ascii="Times New Roman" w:eastAsia="Times New Roman" w:hAnsi="Times New Roman" w:cs="Times New Roman"/>
                <w:b/>
                <w:bCs/>
                <w:color w:val="000000"/>
                <w:sz w:val="24"/>
                <w:szCs w:val="24"/>
              </w:rPr>
              <w:t>IV. Preguntas sugeridas al Estado parte</w:t>
            </w:r>
            <w:r>
              <w:rPr>
                <w:rFonts w:ascii="Times New Roman" w:eastAsia="Times New Roman" w:hAnsi="Times New Roman" w:cs="Times New Roman"/>
                <w:b/>
                <w:bCs/>
                <w:color w:val="000000"/>
                <w:sz w:val="24"/>
                <w:szCs w:val="24"/>
              </w:rPr>
              <w:tab/>
              <w:t>6</w:t>
            </w:r>
          </w:hyperlink>
        </w:p>
        <w:p w14:paraId="72D63DDF" w14:textId="77777777" w:rsidR="003F4722" w:rsidRDefault="00672405">
          <w:pPr>
            <w:widowControl w:val="0"/>
            <w:tabs>
              <w:tab w:val="right" w:pos="12000"/>
            </w:tabs>
            <w:spacing w:before="60" w:line="240" w:lineRule="auto"/>
            <w:ind w:left="720"/>
            <w:rPr>
              <w:color w:val="000000"/>
            </w:rPr>
          </w:pPr>
          <w:hyperlink>
            <w:r>
              <w:rPr>
                <w:rFonts w:ascii="Times New Roman" w:eastAsia="Times New Roman" w:hAnsi="Times New Roman" w:cs="Times New Roman"/>
                <w:b/>
                <w:bCs/>
                <w:color w:val="000000"/>
                <w:sz w:val="24"/>
                <w:szCs w:val="24"/>
              </w:rPr>
              <w:t>1. Sobre la responsabilidad del superior jerárquico (relacionadas con el artículo 6 de la Convención)</w:t>
            </w:r>
            <w:r>
              <w:rPr>
                <w:rFonts w:ascii="Times New Roman" w:eastAsia="Times New Roman" w:hAnsi="Times New Roman" w:cs="Times New Roman"/>
                <w:b/>
                <w:bCs/>
                <w:color w:val="000000"/>
                <w:sz w:val="24"/>
                <w:szCs w:val="24"/>
              </w:rPr>
              <w:tab/>
              <w:t>6</w:t>
            </w:r>
          </w:hyperlink>
        </w:p>
        <w:p w14:paraId="20109172" w14:textId="77777777" w:rsidR="003F4722" w:rsidRDefault="00672405">
          <w:pPr>
            <w:widowControl w:val="0"/>
            <w:tabs>
              <w:tab w:val="right" w:pos="12000"/>
            </w:tabs>
            <w:spacing w:before="60" w:line="240" w:lineRule="auto"/>
            <w:ind w:left="720"/>
            <w:rPr>
              <w:color w:val="000000"/>
            </w:rPr>
          </w:pPr>
          <w:hyperlink>
            <w:r>
              <w:rPr>
                <w:rFonts w:ascii="Times New Roman" w:eastAsia="Times New Roman" w:hAnsi="Times New Roman" w:cs="Times New Roman"/>
                <w:b/>
                <w:bCs/>
                <w:color w:val="000000"/>
                <w:sz w:val="24"/>
                <w:szCs w:val="24"/>
              </w:rPr>
              <w:t>2. Sobre la competencia de la jurisdicción militar y el riesgo de impunidad (vinculadas con los artículos 11 y 12 de la Convención)</w:t>
            </w:r>
            <w:r>
              <w:rPr>
                <w:rFonts w:ascii="Times New Roman" w:eastAsia="Times New Roman" w:hAnsi="Times New Roman" w:cs="Times New Roman"/>
                <w:b/>
                <w:bCs/>
                <w:color w:val="000000"/>
                <w:sz w:val="24"/>
                <w:szCs w:val="24"/>
              </w:rPr>
              <w:tab/>
              <w:t>6</w:t>
            </w:r>
          </w:hyperlink>
        </w:p>
        <w:p w14:paraId="36A87897" w14:textId="77777777" w:rsidR="003F4722" w:rsidRDefault="00672405">
          <w:pPr>
            <w:widowControl w:val="0"/>
            <w:tabs>
              <w:tab w:val="right" w:pos="12000"/>
            </w:tabs>
            <w:spacing w:before="60" w:line="240" w:lineRule="auto"/>
            <w:ind w:left="720"/>
            <w:rPr>
              <w:color w:val="000000"/>
            </w:rPr>
          </w:pPr>
          <w:hyperlink w:anchor="_tcv1xsfmemws">
            <w:r>
              <w:rPr>
                <w:rFonts w:ascii="Times New Roman" w:eastAsia="Times New Roman" w:hAnsi="Times New Roman" w:cs="Times New Roman"/>
                <w:color w:val="000000"/>
                <w:sz w:val="24"/>
                <w:szCs w:val="24"/>
              </w:rPr>
              <w:t>3. Sobre las garantías desde la detención, acceso a abogado y prisión provisional (relacionada con el artículo 17 de la Convención)</w:t>
            </w:r>
            <w:r>
              <w:rPr>
                <w:rFonts w:ascii="Times New Roman" w:eastAsia="Times New Roman" w:hAnsi="Times New Roman" w:cs="Times New Roman"/>
                <w:color w:val="000000"/>
                <w:sz w:val="24"/>
                <w:szCs w:val="24"/>
              </w:rPr>
              <w:tab/>
              <w:t>7</w:t>
            </w:r>
          </w:hyperlink>
        </w:p>
        <w:p w14:paraId="7826F8D7" w14:textId="77777777" w:rsidR="003F4722" w:rsidRDefault="00672405">
          <w:pPr>
            <w:widowControl w:val="0"/>
            <w:tabs>
              <w:tab w:val="right" w:pos="12000"/>
            </w:tabs>
            <w:spacing w:before="60" w:line="240" w:lineRule="auto"/>
            <w:ind w:left="720"/>
            <w:rPr>
              <w:color w:val="000000"/>
            </w:rPr>
          </w:pPr>
          <w:hyperlink>
            <w:r>
              <w:rPr>
                <w:rFonts w:ascii="Times New Roman" w:eastAsia="Times New Roman" w:hAnsi="Times New Roman" w:cs="Times New Roman"/>
                <w:b/>
                <w:bCs/>
                <w:color w:val="000000"/>
                <w:sz w:val="24"/>
                <w:szCs w:val="24"/>
              </w:rPr>
              <w:t>5. Sobre el principio de No Devolución (vinculadas con el artículo 16 de la Convención)</w:t>
            </w:r>
            <w:r>
              <w:rPr>
                <w:rFonts w:ascii="Times New Roman" w:eastAsia="Times New Roman" w:hAnsi="Times New Roman" w:cs="Times New Roman"/>
                <w:b/>
                <w:bCs/>
                <w:color w:val="000000"/>
                <w:sz w:val="24"/>
                <w:szCs w:val="24"/>
              </w:rPr>
              <w:tab/>
              <w:t>8</w:t>
            </w:r>
          </w:hyperlink>
        </w:p>
        <w:p w14:paraId="0A2554F5" w14:textId="77777777" w:rsidR="003F4722" w:rsidRDefault="00672405">
          <w:pPr>
            <w:widowControl w:val="0"/>
            <w:tabs>
              <w:tab w:val="right" w:pos="12000"/>
            </w:tabs>
            <w:spacing w:before="60" w:line="240" w:lineRule="auto"/>
            <w:ind w:left="360"/>
            <w:rPr>
              <w:color w:val="000000"/>
            </w:rPr>
          </w:pPr>
          <w:hyperlink>
            <w:r>
              <w:rPr>
                <w:rFonts w:ascii="Times New Roman" w:eastAsia="Times New Roman" w:hAnsi="Times New Roman" w:cs="Times New Roman"/>
                <w:b/>
                <w:bCs/>
                <w:color w:val="000000"/>
                <w:sz w:val="24"/>
                <w:szCs w:val="24"/>
              </w:rPr>
              <w:t>6. Razones para incluir estos tópicos en la Lista de Temas Prioritarios</w:t>
            </w:r>
            <w:r>
              <w:rPr>
                <w:rFonts w:ascii="Times New Roman" w:eastAsia="Times New Roman" w:hAnsi="Times New Roman" w:cs="Times New Roman"/>
                <w:b/>
                <w:bCs/>
                <w:color w:val="000000"/>
                <w:sz w:val="24"/>
                <w:szCs w:val="24"/>
              </w:rPr>
              <w:tab/>
              <w:t>8</w:t>
            </w:r>
          </w:hyperlink>
        </w:p>
        <w:p w14:paraId="5538F06D" w14:textId="77777777" w:rsidR="003F4722" w:rsidRDefault="00672405">
          <w:pPr>
            <w:widowControl w:val="0"/>
            <w:tabs>
              <w:tab w:val="right" w:pos="12000"/>
            </w:tabs>
            <w:spacing w:before="60" w:line="240" w:lineRule="auto"/>
            <w:ind w:left="360"/>
            <w:rPr>
              <w:color w:val="000000"/>
            </w:rPr>
          </w:pPr>
          <w:hyperlink>
            <w:r>
              <w:rPr>
                <w:rFonts w:ascii="Times New Roman" w:eastAsia="Times New Roman" w:hAnsi="Times New Roman" w:cs="Times New Roman"/>
                <w:b/>
                <w:bCs/>
                <w:color w:val="000000"/>
                <w:sz w:val="24"/>
                <w:szCs w:val="24"/>
              </w:rPr>
              <w:t>VI. Referencias</w:t>
            </w:r>
            <w:r>
              <w:rPr>
                <w:rFonts w:ascii="Times New Roman" w:eastAsia="Times New Roman" w:hAnsi="Times New Roman" w:cs="Times New Roman"/>
                <w:b/>
                <w:bCs/>
                <w:color w:val="000000"/>
                <w:sz w:val="24"/>
                <w:szCs w:val="24"/>
              </w:rPr>
              <w:tab/>
              <w:t>9</w:t>
            </w:r>
          </w:hyperlink>
          <w:r>
            <w:fldChar w:fldCharType="end"/>
          </w:r>
        </w:p>
      </w:sdtContent>
    </w:sdt>
    <w:p w14:paraId="046C72FF" w14:textId="77777777" w:rsidR="003F4722" w:rsidRDefault="003F4722">
      <w:pPr>
        <w:pStyle w:val="Heading2"/>
        <w:keepNext w:val="0"/>
        <w:keepLines w:val="0"/>
        <w:widowControl w:val="0"/>
        <w:spacing w:before="0" w:after="225" w:line="240" w:lineRule="auto"/>
        <w:rPr>
          <w:rFonts w:ascii="Times New Roman" w:eastAsia="Times New Roman" w:hAnsi="Times New Roman" w:cs="Times New Roman"/>
          <w:b/>
          <w:bCs/>
          <w:sz w:val="28"/>
          <w:szCs w:val="28"/>
        </w:rPr>
      </w:pPr>
    </w:p>
    <w:p w14:paraId="4F845B9B" w14:textId="77777777" w:rsidR="003F4722" w:rsidRDefault="003F4722">
      <w:pPr>
        <w:pStyle w:val="Heading2"/>
        <w:keepNext w:val="0"/>
        <w:keepLines w:val="0"/>
        <w:widowControl w:val="0"/>
        <w:spacing w:before="0" w:after="225" w:line="240" w:lineRule="auto"/>
        <w:rPr>
          <w:b/>
          <w:bCs/>
          <w:sz w:val="36"/>
          <w:szCs w:val="36"/>
        </w:rPr>
      </w:pPr>
    </w:p>
    <w:p w14:paraId="23BB2147" w14:textId="77777777" w:rsidR="003F4722" w:rsidRDefault="003F4722">
      <w:pPr>
        <w:pStyle w:val="Heading2"/>
        <w:keepNext w:val="0"/>
        <w:keepLines w:val="0"/>
        <w:widowControl w:val="0"/>
        <w:spacing w:before="0" w:after="225" w:line="240" w:lineRule="auto"/>
        <w:rPr>
          <w:b/>
          <w:bCs/>
          <w:sz w:val="36"/>
          <w:szCs w:val="36"/>
        </w:rPr>
      </w:pPr>
    </w:p>
    <w:p w14:paraId="5CF85DB5" w14:textId="77777777" w:rsidR="003F4722" w:rsidRDefault="003F4722">
      <w:pPr>
        <w:pStyle w:val="Heading2"/>
        <w:keepNext w:val="0"/>
        <w:keepLines w:val="0"/>
        <w:widowControl w:val="0"/>
        <w:spacing w:before="0" w:after="225" w:line="240" w:lineRule="auto"/>
        <w:rPr>
          <w:b/>
          <w:bCs/>
          <w:sz w:val="36"/>
          <w:szCs w:val="36"/>
        </w:rPr>
      </w:pPr>
    </w:p>
    <w:p w14:paraId="3F2FDC72" w14:textId="77777777" w:rsidR="003F4722" w:rsidRDefault="003F4722"/>
    <w:p w14:paraId="2A28C646" w14:textId="77777777" w:rsidR="003F4722" w:rsidRDefault="003F4722"/>
    <w:p w14:paraId="794B427E" w14:textId="77777777" w:rsidR="003F4722" w:rsidRDefault="003F4722"/>
    <w:p w14:paraId="5742DE86" w14:textId="77777777" w:rsidR="003F4722" w:rsidRDefault="003F4722"/>
    <w:p w14:paraId="3B5F932C" w14:textId="77777777" w:rsidR="003F4722" w:rsidRDefault="003F4722"/>
    <w:p w14:paraId="5C9DC651" w14:textId="77777777" w:rsidR="003F4722" w:rsidRDefault="003F4722"/>
    <w:p w14:paraId="2BCDE845" w14:textId="77777777" w:rsidR="003F4722" w:rsidRDefault="003F4722"/>
    <w:p w14:paraId="1554668D" w14:textId="77777777" w:rsidR="003F4722" w:rsidRDefault="003F4722"/>
    <w:p w14:paraId="61EEEDA3" w14:textId="77777777" w:rsidR="003F4722" w:rsidRDefault="003F4722"/>
    <w:p w14:paraId="261F6BD2" w14:textId="77777777" w:rsidR="003F4722" w:rsidRDefault="003F4722"/>
    <w:p w14:paraId="1E781675" w14:textId="77777777" w:rsidR="003F4722" w:rsidRDefault="003F4722">
      <w:pPr>
        <w:pStyle w:val="Heading2"/>
        <w:keepNext w:val="0"/>
        <w:keepLines w:val="0"/>
        <w:widowControl w:val="0"/>
        <w:spacing w:before="180" w:after="200" w:line="240" w:lineRule="auto"/>
        <w:jc w:val="center"/>
        <w:rPr>
          <w:rFonts w:ascii="Times New Roman" w:eastAsia="Times New Roman" w:hAnsi="Times New Roman" w:cs="Times New Roman"/>
          <w:b/>
          <w:bCs/>
          <w:sz w:val="30"/>
          <w:szCs w:val="30"/>
        </w:rPr>
      </w:pPr>
      <w:bookmarkStart w:id="0" w:name="_37ytczv50jni" w:colFirst="0" w:colLast="0"/>
      <w:bookmarkEnd w:id="0"/>
    </w:p>
    <w:p w14:paraId="00023EB4" w14:textId="77777777" w:rsidR="003F4722" w:rsidRDefault="003F4722">
      <w:pPr>
        <w:pStyle w:val="Heading2"/>
        <w:keepNext w:val="0"/>
        <w:keepLines w:val="0"/>
        <w:widowControl w:val="0"/>
        <w:spacing w:before="180" w:after="200" w:line="240" w:lineRule="auto"/>
        <w:jc w:val="center"/>
        <w:rPr>
          <w:rFonts w:ascii="Times New Roman" w:eastAsia="Times New Roman" w:hAnsi="Times New Roman" w:cs="Times New Roman"/>
          <w:b/>
          <w:bCs/>
          <w:sz w:val="30"/>
          <w:szCs w:val="30"/>
        </w:rPr>
      </w:pPr>
      <w:bookmarkStart w:id="1" w:name="_p0vo2engjrex" w:colFirst="0" w:colLast="0"/>
      <w:bookmarkEnd w:id="1"/>
    </w:p>
    <w:p w14:paraId="712C3BB5" w14:textId="77777777" w:rsidR="003F4722" w:rsidRDefault="00672405">
      <w:pPr>
        <w:pStyle w:val="Heading2"/>
        <w:keepNext w:val="0"/>
        <w:keepLines w:val="0"/>
        <w:widowControl w:val="0"/>
        <w:spacing w:before="180" w:after="200" w:line="240" w:lineRule="auto"/>
        <w:jc w:val="center"/>
      </w:pPr>
      <w:bookmarkStart w:id="2" w:name="_eynp7cq392wi" w:colFirst="0" w:colLast="0"/>
      <w:bookmarkEnd w:id="2"/>
      <w:r>
        <w:rPr>
          <w:rFonts w:ascii="Times New Roman" w:eastAsia="Times New Roman" w:hAnsi="Times New Roman" w:cs="Times New Roman"/>
          <w:b/>
          <w:bCs/>
          <w:sz w:val="30"/>
          <w:szCs w:val="30"/>
        </w:rPr>
        <w:lastRenderedPageBreak/>
        <w:t>Contribución al Comité contra la Desaparición Forzada para la Elaboración de la Lista de Temas Prioritarios sobre Cuba</w:t>
      </w:r>
    </w:p>
    <w:p w14:paraId="48FB7110" w14:textId="77777777" w:rsidR="003F4722" w:rsidRDefault="00672405">
      <w:pPr>
        <w:pStyle w:val="Heading2"/>
        <w:keepNext w:val="0"/>
        <w:keepLines w:val="0"/>
        <w:widowControl w:val="0"/>
        <w:spacing w:before="0" w:after="20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I. Presentación de la alianza </w:t>
      </w:r>
    </w:p>
    <w:p w14:paraId="712D4036" w14:textId="77777777" w:rsidR="003F4722" w:rsidRDefault="00672405">
      <w:pPr>
        <w:spacing w:before="180" w:after="18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Cubalex</w:t>
      </w:r>
      <w:proofErr w:type="spellEnd"/>
      <w:r>
        <w:rPr>
          <w:rFonts w:ascii="Times New Roman" w:eastAsia="Times New Roman" w:hAnsi="Times New Roman" w:cs="Times New Roman"/>
          <w:sz w:val="24"/>
          <w:szCs w:val="24"/>
        </w:rPr>
        <w:t xml:space="preserve"> es una organización apartidista de derechos humanos fundada en La Habana en 2010 como centro independiente de asesoría jurídica. Tras el allanamiento de su sede en 2016, la confiscación de equipos y expedientes, y el exilio forzado de su equipo en 2017, continuó su labor desde el exterior como entidad sin fines de lucro registrada en Estados Unidos. Con más de quince años de experiencia, brinda asesoría legal gratuita, documenta violaciones de derechos humanos y representa casos ante mecanismos internacion</w:t>
      </w:r>
      <w:r>
        <w:rPr>
          <w:rFonts w:ascii="Times New Roman" w:eastAsia="Times New Roman" w:hAnsi="Times New Roman" w:cs="Times New Roman"/>
          <w:sz w:val="24"/>
          <w:szCs w:val="24"/>
        </w:rPr>
        <w:t>ales y regionales, incluyendo la CIDH, órganos de tratados y procedimientos especiales de la ONU. Su trabajo se desarrolla especialmente en contextos de represión política, cierre del espacio cívico y discriminación estructural en Cuba, y ha participado en procesos ante CEDAW, CAT, CRC, CERD y en los EPU de Cuba de 2013, 2018, 2023 y 2024.</w:t>
      </w:r>
    </w:p>
    <w:p w14:paraId="700549CE" w14:textId="77777777" w:rsidR="003F4722" w:rsidRDefault="00672405">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Mesa de Diálogo de la Juventud Cubana (MDJC) es una plataforma de articulación juvenil que promueve la participación cívica, el debate plural y la construcción de propuestas para una sociedad más inclusiva. Impulsa espacios de diálogo intergeneracional y acciones de incidencia sobre derechos civiles, políticos y sociales que incluye a jóvenes líderes, activistas y artistas urbanos. La MDJC fue creada en el 2014 y ha sido registrada en el 2023 como asociación ante la imposibilidad de hacerlo dentro de la </w:t>
      </w:r>
      <w:r>
        <w:rPr>
          <w:rFonts w:ascii="Times New Roman" w:eastAsia="Times New Roman" w:hAnsi="Times New Roman" w:cs="Times New Roman"/>
          <w:sz w:val="24"/>
          <w:szCs w:val="24"/>
        </w:rPr>
        <w:t>isla. Sus informes sobre la juventud han ayudado a medir la situación y el sentir de las juventudes cubanas. Ha participado en procesos ante la CIDH, el EPU, CEDAW, CERD, entre los años 2016 y 2026.</w:t>
      </w:r>
    </w:p>
    <w:p w14:paraId="15ED5D26" w14:textId="77777777" w:rsidR="003F4722" w:rsidRDefault="00672405">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Museo Virtual de la Memoria contra la Violencia Basada en Género (Museo V) es una iniciativa de la sociedad civil cubana que visibiliza las distintas formas de violencia basada en género que afectan a las mujeres en toda su diversidad. Creada en 2022 para dar espacio a artistas que, por su discurso político, quedaron excluidos del discurso oficial. Es una asociación registrada en España y se ha combinado desde su creación la denuncia, la creación artística y la reivindicación de voces negras y de persona</w:t>
      </w:r>
      <w:r>
        <w:rPr>
          <w:rFonts w:ascii="Times New Roman" w:eastAsia="Times New Roman" w:hAnsi="Times New Roman" w:cs="Times New Roman"/>
          <w:sz w:val="24"/>
          <w:szCs w:val="24"/>
        </w:rPr>
        <w:t xml:space="preserve">s </w:t>
      </w:r>
      <w:proofErr w:type="spellStart"/>
      <w:r>
        <w:rPr>
          <w:rFonts w:ascii="Times New Roman" w:eastAsia="Times New Roman" w:hAnsi="Times New Roman" w:cs="Times New Roman"/>
          <w:sz w:val="24"/>
          <w:szCs w:val="24"/>
        </w:rPr>
        <w:t>sexodisidentes</w:t>
      </w:r>
      <w:proofErr w:type="spellEnd"/>
      <w:r>
        <w:rPr>
          <w:rFonts w:ascii="Times New Roman" w:eastAsia="Times New Roman" w:hAnsi="Times New Roman" w:cs="Times New Roman"/>
          <w:sz w:val="24"/>
          <w:szCs w:val="24"/>
        </w:rPr>
        <w:t>. Como Museo V ha participado en procesos ante el EPU, la CIDH, la CEDAW y el CERD, entre el 2023 y el 2026.</w:t>
      </w:r>
    </w:p>
    <w:p w14:paraId="4E1B3147" w14:textId="77777777" w:rsidR="003F4722" w:rsidRDefault="00672405">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Museo de la Disidencia en Cuba es un proyecto de investigación y memoria que documenta las diversas expresiones históricas y contemporáneas de disidencia en el país. Fundada en 2016 por el artista Luis Manuel Otero Alcántara y la curadora Yanelys </w:t>
      </w:r>
      <w:proofErr w:type="spellStart"/>
      <w:r>
        <w:rPr>
          <w:rFonts w:ascii="Times New Roman" w:eastAsia="Times New Roman" w:hAnsi="Times New Roman" w:cs="Times New Roman"/>
          <w:sz w:val="24"/>
          <w:szCs w:val="24"/>
        </w:rPr>
        <w:t>Nuñez</w:t>
      </w:r>
      <w:proofErr w:type="spellEnd"/>
      <w:r>
        <w:rPr>
          <w:rFonts w:ascii="Times New Roman" w:eastAsia="Times New Roman" w:hAnsi="Times New Roman" w:cs="Times New Roman"/>
          <w:sz w:val="24"/>
          <w:szCs w:val="24"/>
        </w:rPr>
        <w:t xml:space="preserve"> Leyva, se ha mantenido en la observancia y denuncia constante de la situación de los artistas y activistas políticos dentro de Cuba. </w:t>
      </w:r>
    </w:p>
    <w:p w14:paraId="043E4CA9" w14:textId="77777777" w:rsidR="003F4722" w:rsidRDefault="00672405">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Observatorio de Género de Alas Tensas (OGAT) es una plataforma independiente que monitorea y denuncia desde 2019 los feminicidios y otras formas de violencia hacia las mujeres cubanas. Como iniciativa de la sociedad civil, ha participado en diálogos interactivos y acciones de incidencia ante el Parlamento Europeo, el Foro Permanente de Afrodescendientes, el Examen Periódico Universal (EPU), la CIDH, la CEDAW y el CERD.</w:t>
      </w:r>
    </w:p>
    <w:p w14:paraId="650F9708" w14:textId="77777777" w:rsidR="003F4722" w:rsidRDefault="003F4722">
      <w:pPr>
        <w:spacing w:after="160" w:line="240" w:lineRule="auto"/>
        <w:jc w:val="both"/>
        <w:rPr>
          <w:rFonts w:ascii="Times New Roman" w:eastAsia="Times New Roman" w:hAnsi="Times New Roman" w:cs="Times New Roman"/>
          <w:sz w:val="24"/>
          <w:szCs w:val="24"/>
        </w:rPr>
      </w:pPr>
    </w:p>
    <w:p w14:paraId="2221EB1F" w14:textId="77777777" w:rsidR="003F4722" w:rsidRDefault="00672405">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Las organizaciones firmantes autorizan al Comité contra la Desaparición Forzada a publicar este informe en su página web y a utilizarlo como insumo en el proceso de elaboración de la Lista de Temas Prioritarios relativa a Cuba.</w:t>
      </w:r>
    </w:p>
    <w:p w14:paraId="0A45B63E" w14:textId="77777777" w:rsidR="003F4722" w:rsidRDefault="003F4722">
      <w:pPr>
        <w:widowControl w:val="0"/>
        <w:spacing w:after="200" w:line="240" w:lineRule="auto"/>
        <w:jc w:val="both"/>
        <w:rPr>
          <w:rFonts w:ascii="Times New Roman" w:eastAsia="Times New Roman" w:hAnsi="Times New Roman" w:cs="Times New Roman"/>
          <w:sz w:val="24"/>
          <w:szCs w:val="24"/>
        </w:rPr>
      </w:pPr>
    </w:p>
    <w:p w14:paraId="2F6D21EB" w14:textId="77777777" w:rsidR="003F4722" w:rsidRDefault="00672405">
      <w:pPr>
        <w:pStyle w:val="Heading2"/>
        <w:keepNext w:val="0"/>
        <w:keepLines w:val="0"/>
        <w:widowControl w:val="0"/>
        <w:spacing w:before="0" w:after="200" w:line="24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II. Introducción</w:t>
      </w:r>
    </w:p>
    <w:p w14:paraId="08BB1375" w14:textId="77777777" w:rsidR="003F4722" w:rsidRDefault="00672405">
      <w:pPr>
        <w:widowControl w:val="0"/>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presente contribución se presenta en el marco del proceso de elaboración de la Lista de Temas Prioritarios relativa a Cuba, conforme al artículo 29, párrafo 4, de la Convención Internacional para la Protección de Todas las Personas contra las Desapariciones Forzadas (en lo adelante la Convención). Su objetivo es aportar información relevante, específica y verificable para que el Comité identifique cuestiones que deberían ser abordadas de manera prioritaria en el próximo diálogo constructivo con el Estado</w:t>
      </w:r>
      <w:r>
        <w:rPr>
          <w:rFonts w:ascii="Times New Roman" w:eastAsia="Times New Roman" w:hAnsi="Times New Roman" w:cs="Times New Roman"/>
          <w:sz w:val="24"/>
          <w:szCs w:val="24"/>
        </w:rPr>
        <w:t xml:space="preserve"> cubano. Esta contribución se centra en la información complementaria presentada por Cuba en respuesta a las observaciones finales del Comité, en particular respecto de los párrafos 14, 18, 20, 22, 24, 26 y 28 de las observaciones finales CED/C/CUB/CO/1.</w:t>
      </w:r>
      <w:r>
        <w:rPr>
          <w:rFonts w:ascii="Times New Roman" w:eastAsia="Times New Roman" w:hAnsi="Times New Roman" w:cs="Times New Roman"/>
          <w:sz w:val="24"/>
          <w:szCs w:val="24"/>
          <w:vertAlign w:val="superscript"/>
        </w:rPr>
        <w:footnoteReference w:id="1"/>
      </w:r>
    </w:p>
    <w:p w14:paraId="0BE6363D" w14:textId="77777777" w:rsidR="003F4722" w:rsidRDefault="00672405">
      <w:pPr>
        <w:widowControl w:val="0"/>
        <w:spacing w:after="200" w:line="24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dichos párrafos, el Comité recomendó al Estado adoptar medidas legislativas para incorporar la responsabilidad penal de los superiores; asegurar que la investigación y el juzgamiento de las desapariciones forzadas queden expresamente excluidos de la jurisdicción militar; establecer mecanismos para que las fuerzas del orden bajo sospecha no participen en las investigaciones; prohibir expresamente la expulsión, devolución o extradición ante riesgo de desaparición; y garantizar el acceso a un abogado desde </w:t>
      </w:r>
      <w:r>
        <w:rPr>
          <w:rFonts w:ascii="Times New Roman" w:eastAsia="Times New Roman" w:hAnsi="Times New Roman" w:cs="Times New Roman"/>
          <w:sz w:val="24"/>
          <w:szCs w:val="24"/>
        </w:rPr>
        <w:t>el inicio de la privación de libertad y el control judicial inmediato de la prisión provisional.</w:t>
      </w:r>
      <w:r>
        <w:rPr>
          <w:rFonts w:ascii="Times New Roman" w:eastAsia="Times New Roman" w:hAnsi="Times New Roman" w:cs="Times New Roman"/>
          <w:sz w:val="24"/>
          <w:szCs w:val="24"/>
          <w:vertAlign w:val="superscript"/>
        </w:rPr>
        <w:footnoteReference w:id="2"/>
      </w:r>
    </w:p>
    <w:p w14:paraId="19BB879F" w14:textId="77777777" w:rsidR="003F4722" w:rsidRDefault="00672405">
      <w:pPr>
        <w:widowControl w:val="0"/>
        <w:spacing w:after="200" w:line="24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su información complementaria, el Estado cubano sostiene que su régimen general de responsabilidad penal es aplicable a todos los delitos y que las figuras de encubrimiento, omisión y negligencia penalizan al superior que tolere el ilícito. Asimismo, afirma que la jurisdicción militar forma parte de un sistema judicial único encabezado por el Tribunal Supremo Popular, que los tribunales militares imparten justicia de manera soberana sobre personal de los ministerios del Interior (MININT) y las Fuerzas Ar</w:t>
      </w:r>
      <w:r>
        <w:rPr>
          <w:rFonts w:ascii="Times New Roman" w:eastAsia="Times New Roman" w:hAnsi="Times New Roman" w:cs="Times New Roman"/>
          <w:sz w:val="24"/>
          <w:szCs w:val="24"/>
        </w:rPr>
        <w:t>madas Revolucionarias (MINFAR) aun cuando intervengan civiles, y que el acceso a la defensa se garantiza una vez instruido de cargo el imputado. Informa también que entre 2022 y junio de 2024 la prisión provisional fue impuesta por el Fiscal a 11.219 imputados, realizándose 270 controles judiciales en la jurisdicción militar (29 de ellos declarados con lugar), y que se interpusieron 15 habeas corpus ante tribunales militares, de los cuales 3 fueron declarados con lugar.</w:t>
      </w:r>
      <w:r>
        <w:rPr>
          <w:rFonts w:ascii="Times New Roman" w:eastAsia="Times New Roman" w:hAnsi="Times New Roman" w:cs="Times New Roman"/>
          <w:sz w:val="24"/>
          <w:szCs w:val="24"/>
          <w:vertAlign w:val="superscript"/>
        </w:rPr>
        <w:footnoteReference w:id="3"/>
      </w:r>
    </w:p>
    <w:p w14:paraId="4A4EA0D9" w14:textId="77777777" w:rsidR="003F4722" w:rsidRDefault="00672405">
      <w:pPr>
        <w:widowControl w:val="0"/>
        <w:spacing w:after="200" w:line="24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se desconoce las reformas normativas introducidas por las Leyes No. 140, 143 y 147 de 2021, así como por la Ley No. 151/2022. Sin embargo, se considera que la información presentada por el Estado no demuestra la existencia de garantías judiciales independientes ni la compatibilidad técnica del ordenamiento jurídico interno con la Convención. El </w:t>
      </w:r>
      <w:r>
        <w:rPr>
          <w:rFonts w:ascii="Times New Roman" w:eastAsia="Times New Roman" w:hAnsi="Times New Roman" w:cs="Times New Roman"/>
          <w:sz w:val="24"/>
          <w:szCs w:val="24"/>
        </w:rPr>
        <w:lastRenderedPageBreak/>
        <w:t>mantenimiento de la competencia militar para conocer de violaciones de derechos humanos cometidas por agentes del MININT y el MINFAR, la delegación de la prisión provisional en la figura del Fiscal durante la fase investigativa y la falta de un tipo penal que reconozca los elementos específicos de la responsabilidad de mando generan un entorno propicio para la impunidad y vacían de contenido las salvaguardas preventivas frente a la desaparición forzada, especialmente las de corta duración.</w:t>
      </w:r>
      <w:r>
        <w:rPr>
          <w:rFonts w:ascii="Times New Roman" w:eastAsia="Times New Roman" w:hAnsi="Times New Roman" w:cs="Times New Roman"/>
          <w:sz w:val="24"/>
          <w:szCs w:val="24"/>
          <w:vertAlign w:val="superscript"/>
        </w:rPr>
        <w:footnoteReference w:id="4"/>
      </w:r>
    </w:p>
    <w:p w14:paraId="457D869D" w14:textId="77777777" w:rsidR="003F4722" w:rsidRDefault="00672405">
      <w:pPr>
        <w:pStyle w:val="Heading2"/>
        <w:keepNext w:val="0"/>
        <w:keepLines w:val="0"/>
        <w:widowControl w:val="0"/>
        <w:spacing w:before="0" w:after="20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III. Temas prioritarios sugeridos</w:t>
      </w:r>
    </w:p>
    <w:p w14:paraId="7BA21072" w14:textId="77777777" w:rsidR="003F4722" w:rsidRDefault="00672405">
      <w:pPr>
        <w:widowControl w:val="0"/>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recomienda que el Comité incluya cuatro temas prioritarios en la Lista de Temas relativa a Cuba:</w:t>
      </w:r>
    </w:p>
    <w:p w14:paraId="135DD656" w14:textId="77777777" w:rsidR="003F4722" w:rsidRDefault="00672405">
      <w:pPr>
        <w:widowControl w:val="0"/>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primer tema es la insuficiencia del régimen general de autoría y participación frente a la responsabilidad del superior jerárquico. El Estado argumenta que las normas generales del Código Penal y las figuras de omisión de denunciar o encubrimiento bastan para sancionar a los mandos. Sin embargo, este enfoque penaliza la conducta posterior o la complicidad tradicional, pero no tipifica de forma autónoma el deber específico del superior de saber, prevenir, impedir, investigar o sancionar las conductas de s</w:t>
      </w:r>
      <w:r>
        <w:rPr>
          <w:rFonts w:ascii="Times New Roman" w:eastAsia="Times New Roman" w:hAnsi="Times New Roman" w:cs="Times New Roman"/>
          <w:sz w:val="24"/>
          <w:szCs w:val="24"/>
        </w:rPr>
        <w:t>us subordinados, tal como lo exige el artículo 6, párrafo 1, apartado b) de la Convención.</w:t>
      </w:r>
    </w:p>
    <w:p w14:paraId="11F44A88" w14:textId="77777777" w:rsidR="003F4722" w:rsidRDefault="00672405">
      <w:pPr>
        <w:widowControl w:val="0"/>
        <w:spacing w:after="20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segundo tema es el mantenimiento de la competencia de la jurisdicción militar para investigar y juzgar delitos convencionales y abusos cometidos por agentes estatales del MININT, la Policía Nacional Revolucionaria (PNR), del Departamento de Seguridad del Estado (DSE) o las Fuerzas Armadas Revolucionarias (FAR). Cuba sostiene que sus tribunales militares se rigen por principios homologados de uniformidad y debido proceso. No obstante, por su propia naturaleza e integración institucional, los órganos de ju</w:t>
      </w:r>
      <w:r>
        <w:rPr>
          <w:rFonts w:ascii="Times New Roman" w:eastAsia="Times New Roman" w:hAnsi="Times New Roman" w:cs="Times New Roman"/>
          <w:sz w:val="24"/>
          <w:szCs w:val="24"/>
        </w:rPr>
        <w:t>sticia militar carecen de la independencia e imparcialidad requeridas por los estándares internacionales para investigar a sus propios agentes, lo que perpetúa un riesgo estructural de opacidad y denegación de justicia para las víctimas y sus familiares.</w:t>
      </w:r>
    </w:p>
    <w:p w14:paraId="63DBFA1A" w14:textId="77777777" w:rsidR="003F4722" w:rsidRDefault="00672405">
      <w:pPr>
        <w:widowControl w:val="0"/>
        <w:spacing w:after="20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tercer tema es la restricción del derecho a la defensa técnica desde el inicio real de la privación de libertad y la ausencia de control de la detención por una autoridad judicial independiente. Al supeditar el acceso a un abogado al acto formal de la "instrucción de cargo" y mantener la facultad de decretar la prisión provisional en manos de la Fiscalía (órgano acusador) durante la fase de instrucción preliminar, el sistema procesal cubano debilita la supervisión inmediata de la libertad física y despoj</w:t>
      </w:r>
      <w:r>
        <w:rPr>
          <w:rFonts w:ascii="Times New Roman" w:eastAsia="Times New Roman" w:hAnsi="Times New Roman" w:cs="Times New Roman"/>
          <w:sz w:val="24"/>
          <w:szCs w:val="24"/>
        </w:rPr>
        <w:t>a al detenido de una tutela judicial efectiva en las horas más críticas de la detención.</w:t>
      </w:r>
    </w:p>
    <w:p w14:paraId="0916A837" w14:textId="77777777" w:rsidR="003F4722" w:rsidRDefault="00672405">
      <w:pPr>
        <w:widowControl w:val="0"/>
        <w:spacing w:after="20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Finalmente, el cuarto tema es la ausencia de una prohibición expresa y taxativa del principio de no devolución ante riesgos fundados de desaparición forzada. El Estado invoca cláusulas generales de asistencia jurídica internacional, regulaciones de asilo político de corte ideológico y causales generales de denegación de extradición en la Ley del Proceso Penal. Sin </w:t>
      </w:r>
      <w:r>
        <w:rPr>
          <w:rFonts w:ascii="Times New Roman" w:eastAsia="Times New Roman" w:hAnsi="Times New Roman" w:cs="Times New Roman"/>
          <w:sz w:val="24"/>
          <w:szCs w:val="24"/>
        </w:rPr>
        <w:lastRenderedPageBreak/>
        <w:t>embargo, estas previsiones no constituyen un mandato de protección procesal específico que obligue a evaluar de manera sistemática, individualizada e independiente el riesgo de que una persona sea sometida a desaparición forzada o detención incomunicada al ser devuelta, expulsada o trasladada.</w:t>
      </w:r>
    </w:p>
    <w:p w14:paraId="4540079E" w14:textId="77777777" w:rsidR="003F4722" w:rsidRDefault="003F4722">
      <w:pPr>
        <w:widowControl w:val="0"/>
        <w:spacing w:after="200" w:line="240" w:lineRule="auto"/>
        <w:ind w:firstLine="708"/>
        <w:jc w:val="both"/>
        <w:rPr>
          <w:rFonts w:ascii="Times New Roman" w:eastAsia="Times New Roman" w:hAnsi="Times New Roman" w:cs="Times New Roman"/>
          <w:sz w:val="24"/>
          <w:szCs w:val="24"/>
        </w:rPr>
      </w:pPr>
    </w:p>
    <w:p w14:paraId="447116BC" w14:textId="77777777" w:rsidR="003F4722" w:rsidRDefault="00672405">
      <w:pPr>
        <w:pStyle w:val="Heading2"/>
        <w:keepNext w:val="0"/>
        <w:keepLines w:val="0"/>
        <w:widowControl w:val="0"/>
        <w:spacing w:before="0" w:after="20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IV. Preguntas sugeridas al Estado parte</w:t>
      </w:r>
    </w:p>
    <w:p w14:paraId="4181F813" w14:textId="77777777" w:rsidR="003F4722" w:rsidRDefault="00672405">
      <w:pPr>
        <w:pStyle w:val="Heading3"/>
        <w:keepNext w:val="0"/>
        <w:keepLines w:val="0"/>
        <w:widowControl w:val="0"/>
        <w:spacing w:before="0" w:after="200" w:line="240" w:lineRule="auto"/>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1. Sobre la responsabilidad del superior jerárquico (relacionadas con el artículo 6 de la Convención)</w:t>
      </w:r>
    </w:p>
    <w:p w14:paraId="3216B936" w14:textId="77777777" w:rsidR="003F4722" w:rsidRDefault="00672405">
      <w:pPr>
        <w:widowControl w:val="0"/>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Sírvase explicar si la legislación penal cubana contempla una norma expresa y autónoma que establezca la responsabilidad penal del superior jerárquico de conformidad con los estándares específicos del artículo 6, párrafo 1, apartado b) de la Convención, distinguiéndose de las formas generales de autoría, participación o de los delitos de encubrimiento (artículo 203 del Código Penal) e incumplimiento del deber de denunciar (artículo 204 del Código Penal).</w:t>
      </w:r>
    </w:p>
    <w:p w14:paraId="2CCC0AF6" w14:textId="77777777" w:rsidR="003F4722" w:rsidRDefault="00672405">
      <w:pPr>
        <w:widowControl w:val="0"/>
        <w:spacing w:after="20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Sírvase precisar qué mecanismos procesales y metodologías de investigación penal se emplean para determinar la responsabilidad de un superior jerárquico cuando, al ejercer el mando y control efectivo de sus subordinados, hace caso omiso de información que indique claramente que estos estaban cometiendo o se proponían cometer un acto de desaparición forzada.</w:t>
      </w:r>
    </w:p>
    <w:p w14:paraId="2ACD37A4" w14:textId="77777777" w:rsidR="003F4722" w:rsidRDefault="00672405">
      <w:pPr>
        <w:widowControl w:val="0"/>
        <w:spacing w:after="20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Sírvase proporcionar datos estadísticos desagregados desde 2017 a 2026 sobre el número de mandos superiores, directores de centros o jefes de unidades de las FAR y el MININT que han sido objeto de investigaciones penales, la apertura de expedientes disciplinarios o remociones de cargo por omisión, negligencia o incumplimiento de sus deberes de prevención frente a detenciones ilegales, incomunicaciones o falsificación de registros cometidas por personal subordinado a ellos.</w:t>
      </w:r>
    </w:p>
    <w:p w14:paraId="1DDC51DE" w14:textId="77777777" w:rsidR="003F4722" w:rsidRDefault="003F4722">
      <w:pPr>
        <w:widowControl w:val="0"/>
        <w:spacing w:after="200" w:line="240" w:lineRule="auto"/>
        <w:ind w:firstLine="708"/>
        <w:jc w:val="both"/>
        <w:rPr>
          <w:rFonts w:ascii="Times New Roman" w:eastAsia="Times New Roman" w:hAnsi="Times New Roman" w:cs="Times New Roman"/>
          <w:sz w:val="24"/>
          <w:szCs w:val="24"/>
        </w:rPr>
      </w:pPr>
    </w:p>
    <w:p w14:paraId="283D6979" w14:textId="77777777" w:rsidR="003F4722" w:rsidRDefault="00672405">
      <w:pPr>
        <w:pStyle w:val="Heading3"/>
        <w:keepNext w:val="0"/>
        <w:keepLines w:val="0"/>
        <w:widowControl w:val="0"/>
        <w:spacing w:before="0" w:after="200" w:line="240" w:lineRule="auto"/>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2. Sobre la competencia de la jurisdicción militar y el riesgo de impunidad (vinculadas con los artículos 11 y 12 de la Convención)</w:t>
      </w:r>
    </w:p>
    <w:p w14:paraId="570406CB" w14:textId="77777777" w:rsidR="003F4722" w:rsidRDefault="00672405">
      <w:pPr>
        <w:widowControl w:val="0"/>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Sírvase exponer la fundamentación jurídica del Estado para someter delitos que constituyen graves violaciones de los derechos humanos, como la desaparición forzada y las privaciones ilegales de libertad, a la jurisdicción de los tribunales militares al amparo de los establecido en la Ley No. 140/2021, considerando que los estándares internacionales establecen que dicha jurisdicción debe limitarse estrictamente a delitos de naturaleza militar y no ofrece las garantías de independencia para conocer de estos c</w:t>
      </w:r>
      <w:r>
        <w:rPr>
          <w:rFonts w:ascii="Times New Roman" w:eastAsia="Times New Roman" w:hAnsi="Times New Roman" w:cs="Times New Roman"/>
          <w:sz w:val="24"/>
          <w:szCs w:val="24"/>
        </w:rPr>
        <w:t>asos.</w:t>
      </w:r>
    </w:p>
    <w:p w14:paraId="508590A8" w14:textId="77777777" w:rsidR="003F4722" w:rsidRDefault="00672405">
      <w:pPr>
        <w:widowControl w:val="0"/>
        <w:spacing w:after="20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Sírvase detallar qué autoridad, con base en qué procedimiento y criterios objetivos determina de forma independiente si la jurisdicción militar debe declinar su competencia en favor de los tribunales populares ordinarios cuando se investigan presuntos abusos o desapariciones forzadas de corta duración atribuidos a miembros del MININT o las FAR.</w:t>
      </w:r>
    </w:p>
    <w:p w14:paraId="2F0B60FD" w14:textId="77777777" w:rsidR="003F4722" w:rsidRDefault="00672405">
      <w:pPr>
        <w:widowControl w:val="0"/>
        <w:spacing w:after="20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Sírvase informar qué mecanismos legales y operativos existen en el ordenamiento procesal penal militar para garantizar que los cuerpos de seguridad, inteligencia o dependencias del MININT no intervengan, directa ni indirectamente, en la tramitación, recolección de evidencia o instrucción de quejas y denuncias de desaparición forzada cuando sus propios oficiales se encuentran bajo sospecha de estar implicados.</w:t>
      </w:r>
    </w:p>
    <w:p w14:paraId="62948939" w14:textId="77777777" w:rsidR="003F4722" w:rsidRDefault="003F4722">
      <w:pPr>
        <w:widowControl w:val="0"/>
        <w:spacing w:after="200" w:line="240" w:lineRule="auto"/>
        <w:ind w:firstLine="708"/>
        <w:jc w:val="both"/>
        <w:rPr>
          <w:rFonts w:ascii="Times New Roman" w:eastAsia="Times New Roman" w:hAnsi="Times New Roman" w:cs="Times New Roman"/>
          <w:sz w:val="28"/>
          <w:szCs w:val="28"/>
        </w:rPr>
      </w:pPr>
    </w:p>
    <w:p w14:paraId="77613C33" w14:textId="77777777" w:rsidR="003F4722" w:rsidRDefault="00672405">
      <w:pPr>
        <w:pStyle w:val="Heading3"/>
        <w:keepNext w:val="0"/>
        <w:keepLines w:val="0"/>
        <w:widowControl w:val="0"/>
        <w:spacing w:before="0" w:after="200" w:line="240" w:lineRule="auto"/>
        <w:jc w:val="both"/>
        <w:rPr>
          <w:rFonts w:ascii="Times New Roman" w:eastAsia="Times New Roman" w:hAnsi="Times New Roman" w:cs="Times New Roman"/>
          <w:b/>
          <w:bCs/>
          <w:color w:val="000000"/>
        </w:rPr>
      </w:pPr>
      <w:bookmarkStart w:id="3" w:name="_tcv1xsfmemws" w:colFirst="0" w:colLast="0"/>
      <w:bookmarkEnd w:id="3"/>
      <w:r>
        <w:rPr>
          <w:rFonts w:ascii="Times New Roman" w:eastAsia="Times New Roman" w:hAnsi="Times New Roman" w:cs="Times New Roman"/>
          <w:b/>
          <w:bCs/>
          <w:color w:val="000000"/>
        </w:rPr>
        <w:t>3. Sobre las garantías desde la detención, acceso a abogado y prisión provisional (relacionada con el artículo 17 de la Convención)</w:t>
      </w:r>
    </w:p>
    <w:p w14:paraId="684F7154" w14:textId="77777777" w:rsidR="003F4722" w:rsidRDefault="00672405">
      <w:pPr>
        <w:widowControl w:val="0"/>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Sírvase indicar el plazo máximo e improrrogable que, de acuerdo con la Ley del Proceso Penal, puede transcurrir desde el momento exacto en que se ejecuta la privación física de la libertad de una persona hasta que se realiza el acto formal de "instrucción de cargo", que habilita el derecho a designar abogado defensor según el artículo 12.1 de dicha norma; y aclare qué garantías sustantivas protegen al detenido durante el período previo a dicha instrucción.</w:t>
      </w:r>
    </w:p>
    <w:p w14:paraId="4ABB86A5" w14:textId="77777777" w:rsidR="003F4722" w:rsidRDefault="00672405">
      <w:pPr>
        <w:widowControl w:val="0"/>
        <w:spacing w:after="20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Sírvase proporcionar datos estadísticos desagregados sobre el número de personas que, desde 2022 a la fecha, han permanecido bajo detención cautelar por un lapso superior a las 72 horas sin haber contado con la asistencia presencial y comunicación privada de un abogado defensor independiente de su elección.</w:t>
      </w:r>
    </w:p>
    <w:p w14:paraId="17294DB2" w14:textId="77777777" w:rsidR="003F4722" w:rsidRDefault="00672405">
      <w:pPr>
        <w:widowControl w:val="0"/>
        <w:spacing w:after="20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Respecto de los 11.219 imputados a quienes el Fiscal impuso la medida cautelar de prisión provisional entre 2022 y junio de 2024, sírvase precisar cuántas solicitudes de control judicial (artículo 351 de la Ley del Proceso Penal) fueron interpuestas por los imputados o sus defensores ante los tribunales populares ordinarios para revisar dicha medida, y cuántas de ellas concluyeron en la revocación o modificación de la prisión provisional.</w:t>
      </w:r>
    </w:p>
    <w:p w14:paraId="269672C4" w14:textId="77777777" w:rsidR="003F4722" w:rsidRDefault="00672405">
      <w:pPr>
        <w:widowControl w:val="0"/>
        <w:spacing w:after="20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Sírvase informar en cuántas ocasiones, desglosado por año desde 2022 a la fecha, se dispuso de oficio la modificación o revocación de la prisión provisional en la fase investigativa por variar o cesar los motivos que justificaron su adopción.</w:t>
      </w:r>
    </w:p>
    <w:p w14:paraId="74BD9F85" w14:textId="77777777" w:rsidR="003F4722" w:rsidRDefault="003F4722">
      <w:pPr>
        <w:widowControl w:val="0"/>
        <w:spacing w:after="200" w:line="240" w:lineRule="auto"/>
        <w:ind w:firstLine="708"/>
        <w:jc w:val="both"/>
        <w:rPr>
          <w:rFonts w:ascii="Times New Roman" w:eastAsia="Times New Roman" w:hAnsi="Times New Roman" w:cs="Times New Roman"/>
          <w:sz w:val="24"/>
          <w:szCs w:val="24"/>
        </w:rPr>
      </w:pPr>
    </w:p>
    <w:p w14:paraId="299D94BF" w14:textId="77777777" w:rsidR="003F4722" w:rsidRDefault="00672405">
      <w:pPr>
        <w:widowControl w:val="0"/>
        <w:spacing w:after="200" w:line="240" w:lineRule="auto"/>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 xml:space="preserve">4. </w:t>
      </w:r>
      <w:r>
        <w:rPr>
          <w:rFonts w:ascii="Times New Roman" w:eastAsia="Times New Roman" w:hAnsi="Times New Roman" w:cs="Times New Roman"/>
          <w:b/>
          <w:bCs/>
          <w:color w:val="000000"/>
          <w:sz w:val="28"/>
          <w:szCs w:val="28"/>
        </w:rPr>
        <w:t>Sobre la efectividad del recurso de Hábeas Corpus (</w:t>
      </w:r>
      <w:r>
        <w:rPr>
          <w:rFonts w:ascii="Times New Roman" w:eastAsia="Times New Roman" w:hAnsi="Times New Roman" w:cs="Times New Roman"/>
          <w:b/>
          <w:bCs/>
          <w:sz w:val="28"/>
          <w:szCs w:val="28"/>
        </w:rPr>
        <w:t>relacionadas con el a</w:t>
      </w:r>
      <w:r>
        <w:rPr>
          <w:rFonts w:ascii="Times New Roman" w:eastAsia="Times New Roman" w:hAnsi="Times New Roman" w:cs="Times New Roman"/>
          <w:b/>
          <w:bCs/>
          <w:color w:val="000000"/>
          <w:sz w:val="28"/>
          <w:szCs w:val="28"/>
        </w:rPr>
        <w:t>rt</w:t>
      </w:r>
      <w:r>
        <w:rPr>
          <w:rFonts w:ascii="Times New Roman" w:eastAsia="Times New Roman" w:hAnsi="Times New Roman" w:cs="Times New Roman"/>
          <w:b/>
          <w:bCs/>
          <w:sz w:val="28"/>
          <w:szCs w:val="28"/>
        </w:rPr>
        <w:t>ículo</w:t>
      </w:r>
      <w:r>
        <w:rPr>
          <w:rFonts w:ascii="Times New Roman" w:eastAsia="Times New Roman" w:hAnsi="Times New Roman" w:cs="Times New Roman"/>
          <w:b/>
          <w:bCs/>
          <w:color w:val="000000"/>
          <w:sz w:val="28"/>
          <w:szCs w:val="28"/>
        </w:rPr>
        <w:t xml:space="preserve"> 17 de la Conven</w:t>
      </w:r>
      <w:r>
        <w:rPr>
          <w:rFonts w:ascii="Times New Roman" w:eastAsia="Times New Roman" w:hAnsi="Times New Roman" w:cs="Times New Roman"/>
          <w:b/>
          <w:bCs/>
          <w:sz w:val="28"/>
          <w:szCs w:val="28"/>
        </w:rPr>
        <w:t>ción</w:t>
      </w:r>
      <w:r>
        <w:rPr>
          <w:rFonts w:ascii="Times New Roman" w:eastAsia="Times New Roman" w:hAnsi="Times New Roman" w:cs="Times New Roman"/>
          <w:b/>
          <w:bCs/>
          <w:color w:val="000000"/>
          <w:sz w:val="28"/>
          <w:szCs w:val="28"/>
        </w:rPr>
        <w:t>)</w:t>
      </w:r>
    </w:p>
    <w:p w14:paraId="1D603EBA" w14:textId="77777777" w:rsidR="003F4722" w:rsidRDefault="003F4722">
      <w:pPr>
        <w:widowControl w:val="0"/>
        <w:spacing w:after="200" w:line="240" w:lineRule="auto"/>
        <w:jc w:val="both"/>
        <w:rPr>
          <w:rFonts w:ascii="Times New Roman" w:eastAsia="Times New Roman" w:hAnsi="Times New Roman" w:cs="Times New Roman"/>
          <w:sz w:val="24"/>
          <w:szCs w:val="24"/>
        </w:rPr>
      </w:pPr>
    </w:p>
    <w:p w14:paraId="10532929" w14:textId="77777777" w:rsidR="003F4722" w:rsidRDefault="00672405">
      <w:pPr>
        <w:widowControl w:val="0"/>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 relación a los 15 procedimientos de </w:t>
      </w:r>
      <w:r>
        <w:rPr>
          <w:rFonts w:ascii="Times New Roman" w:eastAsia="Times New Roman" w:hAnsi="Times New Roman" w:cs="Times New Roman"/>
          <w:i/>
          <w:iCs/>
          <w:sz w:val="24"/>
          <w:szCs w:val="24"/>
        </w:rPr>
        <w:t xml:space="preserve">habeas corpus </w:t>
      </w:r>
      <w:r>
        <w:rPr>
          <w:rFonts w:ascii="Times New Roman" w:eastAsia="Times New Roman" w:hAnsi="Times New Roman" w:cs="Times New Roman"/>
          <w:sz w:val="24"/>
          <w:szCs w:val="24"/>
        </w:rPr>
        <w:t>presentados ante la jurisdicción militar desde la vigencia del nuevo Código Penal, sírvase detallar en cuántos se dispuso la celebración de una audiencia oral y pública, y en cuántos se verificó la comparecencia física y directa de la persona privada de libertad por los jueces militares.</w:t>
      </w:r>
    </w:p>
    <w:p w14:paraId="615EB739" w14:textId="77777777" w:rsidR="003F4722" w:rsidRDefault="00672405">
      <w:pPr>
        <w:widowControl w:val="0"/>
        <w:spacing w:after="20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Sírvase proporcionar el número total de solicitudes de </w:t>
      </w:r>
      <w:r>
        <w:rPr>
          <w:rFonts w:ascii="Times New Roman" w:eastAsia="Times New Roman" w:hAnsi="Times New Roman" w:cs="Times New Roman"/>
          <w:i/>
          <w:iCs/>
          <w:sz w:val="24"/>
          <w:szCs w:val="24"/>
        </w:rPr>
        <w:t>habeas corpus</w:t>
      </w:r>
      <w:r>
        <w:rPr>
          <w:rFonts w:ascii="Times New Roman" w:eastAsia="Times New Roman" w:hAnsi="Times New Roman" w:cs="Times New Roman"/>
          <w:sz w:val="24"/>
          <w:szCs w:val="24"/>
        </w:rPr>
        <w:t xml:space="preserve"> presentadas ante los tribunales de la jurisdicción civil ordinaria entre 2017 y 2026 motivadas por el ocultamiento del paradero, incomunicación de reclusos o traslados penitenciarios no informados a la familia; y precise cuántas de ellas se admitieron a trámite y se declararon con lugar.</w:t>
      </w:r>
    </w:p>
    <w:p w14:paraId="09A801CB" w14:textId="77777777" w:rsidR="003F4722" w:rsidRDefault="00672405">
      <w:pPr>
        <w:widowControl w:val="0"/>
        <w:spacing w:after="20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Sírvase aclarar si los tribunales de justicia pueden denegar un recurso de </w:t>
      </w:r>
      <w:r>
        <w:rPr>
          <w:rFonts w:ascii="Times New Roman" w:eastAsia="Times New Roman" w:hAnsi="Times New Roman" w:cs="Times New Roman"/>
          <w:i/>
          <w:iCs/>
          <w:sz w:val="24"/>
          <w:szCs w:val="24"/>
        </w:rPr>
        <w:t>habeas corpus</w:t>
      </w:r>
      <w:r>
        <w:rPr>
          <w:rFonts w:ascii="Times New Roman" w:eastAsia="Times New Roman" w:hAnsi="Times New Roman" w:cs="Times New Roman"/>
          <w:sz w:val="24"/>
          <w:szCs w:val="24"/>
        </w:rPr>
        <w:t xml:space="preserve"> solo con base en los informes de la autoridad policial, penitenciaria o militar recurrida, o en la existencia de una medida de prisión provisional emitida por la fiscalía, sin realizar verificaciones independientes sobre alegaciones de incomunicación, tortura o tratos análogos.</w:t>
      </w:r>
    </w:p>
    <w:p w14:paraId="0D59746F" w14:textId="77777777" w:rsidR="003F4722" w:rsidRDefault="003F4722">
      <w:pPr>
        <w:widowControl w:val="0"/>
        <w:spacing w:after="200" w:line="240" w:lineRule="auto"/>
        <w:ind w:firstLine="708"/>
        <w:jc w:val="both"/>
        <w:rPr>
          <w:rFonts w:ascii="Times New Roman" w:eastAsia="Times New Roman" w:hAnsi="Times New Roman" w:cs="Times New Roman"/>
          <w:sz w:val="24"/>
          <w:szCs w:val="24"/>
        </w:rPr>
      </w:pPr>
    </w:p>
    <w:p w14:paraId="3BD475D4" w14:textId="77777777" w:rsidR="003F4722" w:rsidRDefault="00672405">
      <w:pPr>
        <w:pStyle w:val="Heading3"/>
        <w:keepNext w:val="0"/>
        <w:keepLines w:val="0"/>
        <w:widowControl w:val="0"/>
        <w:spacing w:before="0" w:after="200" w:line="240" w:lineRule="auto"/>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5. Sobre el principio de No Devolución (vinculadas con el artículo 16 de la Convención)</w:t>
      </w:r>
    </w:p>
    <w:p w14:paraId="60B925FF" w14:textId="77777777" w:rsidR="003F4722" w:rsidRDefault="00672405">
      <w:pPr>
        <w:widowControl w:val="0"/>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Sírvase informar si existe una disposición expresa en la legislación migratoria, de extranjería o penal procesal del Estado que prohíba taxativamente la expulsión, devolución, extradición o traslado forzoso de cualquier persona hacia otro Estado cuando existan razones fundadas para creer que estaría en peligro de ser sometida a desaparición forzada.</w:t>
      </w:r>
    </w:p>
    <w:p w14:paraId="39F39BA0" w14:textId="77777777" w:rsidR="003F4722" w:rsidRDefault="00672405">
      <w:pPr>
        <w:widowControl w:val="0"/>
        <w:spacing w:after="20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 respecto a las 3 solicitudes de extradición tramitadas por el Ministerio de Justicia (MINJUS) durante los años 2023 y 2024, sírvase precisar el procedimiento técnico e individualizado mediante el cual la autoridad central evaluó el riesgo de desaparición forzada, incomunicación o tratos inhumanos en el Estado requirente, y qué mecanismos de seguimiento se establecieron para verificar las garantías ofrecidas.</w:t>
      </w:r>
    </w:p>
    <w:p w14:paraId="51A629DB" w14:textId="77777777" w:rsidR="003F4722" w:rsidRDefault="00672405">
      <w:pPr>
        <w:widowControl w:val="0"/>
        <w:spacing w:after="20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Sírvase indicar cuántas solicitudes de cooperación, extradición o traslado forzoso de extranjeros o personas sin ciudadanía han sido denegadas por el Estado cubano desde 2017 basándose de forma específica en el cumplimiento del principio de no devolución ante el riesgo de desaparición forzada de la persona reclamada.</w:t>
      </w:r>
    </w:p>
    <w:p w14:paraId="6EA0A380" w14:textId="77777777" w:rsidR="003F4722" w:rsidRDefault="00672405">
      <w:pPr>
        <w:pStyle w:val="Heading2"/>
        <w:keepNext w:val="0"/>
        <w:keepLines w:val="0"/>
        <w:widowControl w:val="0"/>
        <w:spacing w:before="0" w:after="20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6. Razones para incluir estos tópicos en la Lista de Temas Prioritarios</w:t>
      </w:r>
    </w:p>
    <w:p w14:paraId="23AD69C0" w14:textId="77777777" w:rsidR="003F4722" w:rsidRDefault="00672405">
      <w:pPr>
        <w:widowControl w:val="0"/>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considera que estas preguntas deben incluirse en la Lista de Temas Prioritarios porque la respuesta complementaria del Estado cubano pretende diluir las obligaciones específicas de la Convención en conceptos generales del derecho interno que carecen de efectividad preventiva. La afirmación de que el régimen de participación penal común cubre la responsabilidad de mando no es suficiente si el Estado no tipifica la omisión del deber de control del superior como una infracción autónoma vinculada al nexo cau</w:t>
      </w:r>
      <w:r>
        <w:rPr>
          <w:rFonts w:ascii="Times New Roman" w:eastAsia="Times New Roman" w:hAnsi="Times New Roman" w:cs="Times New Roman"/>
          <w:sz w:val="24"/>
          <w:szCs w:val="24"/>
        </w:rPr>
        <w:t>sal de la desaparición, permitiendo que la cadena de mando eluda su responsabilidad internacional.</w:t>
      </w:r>
    </w:p>
    <w:p w14:paraId="4EBEB527" w14:textId="77777777" w:rsidR="003F4722" w:rsidRDefault="00672405">
      <w:pPr>
        <w:widowControl w:val="0"/>
        <w:spacing w:after="20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Asimismo, el mantenimiento de los tribunales militares para juzgar a miembros del MININT o las FAR involucrados en hechos delictivos lesiona gravemente el derecho a un recurso efectivo. La fiscalía y los tribunales militares cubanos se estructuran bajo una lógica de disciplina y subordinación orgánica que resulta incompatible con la fiscalización de violaciones de los derechos humanos. Si el propio aparato militar es el encargado de instruir y fallar los casos de ocultamiento de información o detención no r</w:t>
      </w:r>
      <w:r>
        <w:rPr>
          <w:rFonts w:ascii="Times New Roman" w:eastAsia="Times New Roman" w:hAnsi="Times New Roman" w:cs="Times New Roman"/>
          <w:sz w:val="24"/>
          <w:szCs w:val="24"/>
        </w:rPr>
        <w:t>econocida cometidos por sus agentes, se elimina el control civil independiente y se vacía de contenido la obligación de investigar con exhaustividad e imparcialidad.</w:t>
      </w:r>
    </w:p>
    <w:p w14:paraId="0538812C" w14:textId="77777777" w:rsidR="003F4722" w:rsidRDefault="00672405">
      <w:pPr>
        <w:widowControl w:val="0"/>
        <w:spacing w:after="20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igual forma, la centralización de la prisión provisional en la </w:t>
      </w:r>
      <w:proofErr w:type="gramStart"/>
      <w:r>
        <w:rPr>
          <w:rFonts w:ascii="Times New Roman" w:eastAsia="Times New Roman" w:hAnsi="Times New Roman" w:cs="Times New Roman"/>
          <w:sz w:val="24"/>
          <w:szCs w:val="24"/>
        </w:rPr>
        <w:t>Fiscalía General</w:t>
      </w:r>
      <w:proofErr w:type="gramEnd"/>
      <w:r>
        <w:rPr>
          <w:rFonts w:ascii="Times New Roman" w:eastAsia="Times New Roman" w:hAnsi="Times New Roman" w:cs="Times New Roman"/>
          <w:sz w:val="24"/>
          <w:szCs w:val="24"/>
        </w:rPr>
        <w:t xml:space="preserve"> de la República (FGR) durante la instrucción preliminar desnaturaliza el control judicial inmediato exigido por el artículo 17 de la Convención. Un </w:t>
      </w:r>
      <w:r>
        <w:rPr>
          <w:rFonts w:ascii="Times New Roman" w:eastAsia="Times New Roman" w:hAnsi="Times New Roman" w:cs="Times New Roman"/>
          <w:i/>
          <w:iCs/>
          <w:sz w:val="24"/>
          <w:szCs w:val="24"/>
        </w:rPr>
        <w:t>habeas corpus</w:t>
      </w:r>
      <w:r>
        <w:rPr>
          <w:rFonts w:ascii="Times New Roman" w:eastAsia="Times New Roman" w:hAnsi="Times New Roman" w:cs="Times New Roman"/>
          <w:sz w:val="24"/>
          <w:szCs w:val="24"/>
        </w:rPr>
        <w:t xml:space="preserve"> que se resuelve de manera </w:t>
      </w:r>
      <w:r>
        <w:rPr>
          <w:rFonts w:ascii="Times New Roman" w:eastAsia="Times New Roman" w:hAnsi="Times New Roman" w:cs="Times New Roman"/>
          <w:sz w:val="24"/>
          <w:szCs w:val="24"/>
        </w:rPr>
        <w:lastRenderedPageBreak/>
        <w:t>formalista ante tribunales que asumen como válidos los informes de los captores, o que se declara sin lugar por el hecho de que la FGR ratificó la imposición de la medida cautelar de prisión provisional, pierde toda capacidad para frustrar desapariciones forzadas de corta duración. Finalmente, el Estado de</w:t>
      </w:r>
      <w:r>
        <w:rPr>
          <w:rFonts w:ascii="Times New Roman" w:eastAsia="Times New Roman" w:hAnsi="Times New Roman" w:cs="Times New Roman"/>
          <w:sz w:val="24"/>
          <w:szCs w:val="24"/>
        </w:rPr>
        <w:t>be aportar datos desagregados y verificables sobre los flujos de detención y extradición, abandonando las justificaciones genéricas de supletoriedad legislativa para demostrar el cumplimiento estricto de las garantías convencionales.</w:t>
      </w:r>
    </w:p>
    <w:p w14:paraId="63C02CF4" w14:textId="77777777" w:rsidR="003F4722" w:rsidRDefault="003F4722">
      <w:pPr>
        <w:widowControl w:val="0"/>
        <w:spacing w:after="200" w:line="240" w:lineRule="auto"/>
        <w:ind w:firstLine="708"/>
        <w:jc w:val="both"/>
        <w:rPr>
          <w:rFonts w:ascii="Times New Roman" w:eastAsia="Times New Roman" w:hAnsi="Times New Roman" w:cs="Times New Roman"/>
          <w:sz w:val="24"/>
          <w:szCs w:val="24"/>
        </w:rPr>
      </w:pPr>
    </w:p>
    <w:p w14:paraId="5E8980C7" w14:textId="77777777" w:rsidR="003F4722" w:rsidRDefault="00672405">
      <w:pPr>
        <w:pStyle w:val="Heading2"/>
        <w:keepNext w:val="0"/>
        <w:keepLines w:val="0"/>
        <w:widowControl w:val="0"/>
        <w:spacing w:before="0" w:after="20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VI. Referencias</w:t>
      </w:r>
    </w:p>
    <w:p w14:paraId="5C1E40F6" w14:textId="77777777" w:rsidR="003F4722" w:rsidRDefault="00672405">
      <w:pPr>
        <w:numPr>
          <w:ilvl w:val="0"/>
          <w:numId w:val="1"/>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Asambleas Nacional del Poder Popular (ANPP). (2021). </w:t>
      </w:r>
      <w:r>
        <w:rPr>
          <w:rFonts w:ascii="Times New Roman" w:eastAsia="Times New Roman" w:hAnsi="Times New Roman" w:cs="Times New Roman"/>
          <w:i/>
          <w:iCs/>
          <w:sz w:val="24"/>
          <w:szCs w:val="24"/>
        </w:rPr>
        <w:t>Ley 140/2021 “De los Tribunales de Justicia”</w:t>
      </w:r>
      <w:r>
        <w:rPr>
          <w:rFonts w:ascii="Times New Roman" w:eastAsia="Times New Roman" w:hAnsi="Times New Roman" w:cs="Times New Roman"/>
          <w:sz w:val="24"/>
          <w:szCs w:val="24"/>
        </w:rPr>
        <w:t xml:space="preserve"> (Gaceta Oficial No.137 Ordinaria, GOC-2021-1070-O137). Gaceta Oficial de la República de Cuba. (2021).</w:t>
      </w:r>
    </w:p>
    <w:p w14:paraId="0FAF0213" w14:textId="77777777" w:rsidR="003F4722" w:rsidRDefault="00672405">
      <w:pPr>
        <w:numPr>
          <w:ilvl w:val="0"/>
          <w:numId w:val="1"/>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ANPP. (2021). </w:t>
      </w:r>
      <w:r>
        <w:rPr>
          <w:rFonts w:ascii="Times New Roman" w:eastAsia="Times New Roman" w:hAnsi="Times New Roman" w:cs="Times New Roman"/>
          <w:i/>
          <w:iCs/>
          <w:sz w:val="24"/>
          <w:szCs w:val="24"/>
        </w:rPr>
        <w:t xml:space="preserve">Ley 143/2021 “Del Proceso Penal” </w:t>
      </w:r>
      <w:r>
        <w:rPr>
          <w:rFonts w:ascii="Times New Roman" w:eastAsia="Times New Roman" w:hAnsi="Times New Roman" w:cs="Times New Roman"/>
          <w:sz w:val="24"/>
          <w:szCs w:val="24"/>
        </w:rPr>
        <w:t>(Gaceta Oficial No. 140 Ordinaria, GOC-2021-1073-O140). Gaceta Oficial de la República de Cuba (2021).</w:t>
      </w:r>
    </w:p>
    <w:p w14:paraId="47EF4B2C" w14:textId="77777777" w:rsidR="003F4722" w:rsidRDefault="00672405">
      <w:pPr>
        <w:numPr>
          <w:ilvl w:val="0"/>
          <w:numId w:val="1"/>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ANPP. (2021). </w:t>
      </w:r>
      <w:r>
        <w:rPr>
          <w:rFonts w:ascii="Times New Roman" w:eastAsia="Times New Roman" w:hAnsi="Times New Roman" w:cs="Times New Roman"/>
          <w:i/>
          <w:iCs/>
          <w:sz w:val="24"/>
          <w:szCs w:val="24"/>
        </w:rPr>
        <w:t>Ley 147/2021 “Del Proceso Penal Militar”</w:t>
      </w:r>
      <w:r>
        <w:rPr>
          <w:rFonts w:ascii="Times New Roman" w:eastAsia="Times New Roman" w:hAnsi="Times New Roman" w:cs="Times New Roman"/>
          <w:sz w:val="24"/>
          <w:szCs w:val="24"/>
        </w:rPr>
        <w:t xml:space="preserve"> (Gaceta Oficial No. 12 Extraordinaria de 1ro. de febrero de 2022, GOC-2022-106-EX12).</w:t>
      </w:r>
    </w:p>
    <w:p w14:paraId="4223C0A2" w14:textId="77777777" w:rsidR="003F4722" w:rsidRDefault="00672405">
      <w:pPr>
        <w:numPr>
          <w:ilvl w:val="0"/>
          <w:numId w:val="1"/>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ANPP. (2022). </w:t>
      </w:r>
      <w:r>
        <w:rPr>
          <w:rFonts w:ascii="Times New Roman" w:eastAsia="Times New Roman" w:hAnsi="Times New Roman" w:cs="Times New Roman"/>
          <w:i/>
          <w:iCs/>
          <w:sz w:val="24"/>
          <w:szCs w:val="24"/>
        </w:rPr>
        <w:t>Ley No. 151/2022 “Código Penal”</w:t>
      </w:r>
      <w:r>
        <w:rPr>
          <w:rFonts w:ascii="Times New Roman" w:eastAsia="Times New Roman" w:hAnsi="Times New Roman" w:cs="Times New Roman"/>
          <w:sz w:val="24"/>
          <w:szCs w:val="24"/>
        </w:rPr>
        <w:t xml:space="preserve"> (Gaceta Oficial de la República de Cuba, No. 93 Ordinaria, GOC-2022-861-O93). Gaceta Oficial de la República de Cuba. (2024). </w:t>
      </w:r>
    </w:p>
    <w:p w14:paraId="70A1E509" w14:textId="77777777" w:rsidR="003F4722" w:rsidRDefault="00672405">
      <w:pPr>
        <w:widowControl w:val="0"/>
        <w:numPr>
          <w:ilvl w:val="0"/>
          <w:numId w:val="1"/>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Comité contra la Desaparición Forzada. (2017). Observaciones finales sobre el informe presentado por Cuba en virtud del artículo 29, párrafo 1, de la Convención (CED/C/CUB/CO/1). Naciones Unidas.</w:t>
      </w:r>
    </w:p>
    <w:p w14:paraId="0DDC707A" w14:textId="77777777" w:rsidR="003F4722" w:rsidRDefault="00672405">
      <w:pPr>
        <w:widowControl w:val="0"/>
        <w:numPr>
          <w:ilvl w:val="0"/>
          <w:numId w:val="1"/>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Comité contra la Desaparición Forzada. (2024). Información complementaria presentada por Cuba con arreglo al artículo 29, párrafo 4, de la Convención (CED/C/CUB/AI/1). Naciones Unidas.</w:t>
      </w:r>
    </w:p>
    <w:p w14:paraId="5CD3A281" w14:textId="77777777" w:rsidR="003F4722" w:rsidRDefault="00672405">
      <w:pPr>
        <w:widowControl w:val="0"/>
        <w:numPr>
          <w:ilvl w:val="0"/>
          <w:numId w:val="1"/>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Naciones Unidas. (2006). Convención Internacional para la Protección de Todas las Personas contra las Desapariciones Forzadas.</w:t>
      </w:r>
    </w:p>
    <w:p w14:paraId="3E0E12D1" w14:textId="77777777" w:rsidR="003F4722" w:rsidRDefault="003F4722">
      <w:pPr>
        <w:spacing w:after="200"/>
      </w:pPr>
    </w:p>
    <w:sectPr w:rsidR="003F4722">
      <w:headerReference w:type="default" r:id="rId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DFD5C" w14:textId="77777777" w:rsidR="00672405" w:rsidRDefault="00672405">
      <w:pPr>
        <w:spacing w:line="240" w:lineRule="auto"/>
      </w:pPr>
      <w:r>
        <w:separator/>
      </w:r>
    </w:p>
  </w:endnote>
  <w:endnote w:type="continuationSeparator" w:id="0">
    <w:p w14:paraId="4BEEB1BF" w14:textId="77777777" w:rsidR="00672405" w:rsidRDefault="006724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8E7044D6-2AEF-4DC9-A7CD-23D18C160F4C}"/>
  </w:font>
  <w:font w:name="Cambria">
    <w:panose1 w:val="02040503050406030204"/>
    <w:charset w:val="00"/>
    <w:family w:val="roman"/>
    <w:pitch w:val="variable"/>
    <w:sig w:usb0="E00006FF" w:usb1="420024FF" w:usb2="02000000" w:usb3="00000000" w:csb0="0000019F" w:csb1="00000000"/>
    <w:embedRegular r:id="rId2" w:fontKey="{FD007CA8-C905-431F-ACB3-FB2052C530F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FBFF5" w14:textId="77777777" w:rsidR="003F4722" w:rsidRDefault="00672405">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0C436D">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1D021" w14:textId="77777777" w:rsidR="00672405" w:rsidRDefault="00672405">
      <w:pPr>
        <w:spacing w:line="240" w:lineRule="auto"/>
      </w:pPr>
      <w:r>
        <w:separator/>
      </w:r>
    </w:p>
  </w:footnote>
  <w:footnote w:type="continuationSeparator" w:id="0">
    <w:p w14:paraId="11C42A4A" w14:textId="77777777" w:rsidR="00672405" w:rsidRDefault="00672405">
      <w:pPr>
        <w:spacing w:line="240" w:lineRule="auto"/>
      </w:pPr>
      <w:r>
        <w:continuationSeparator/>
      </w:r>
    </w:p>
  </w:footnote>
  <w:footnote w:id="1">
    <w:p w14:paraId="70B22260" w14:textId="77777777" w:rsidR="003F4722" w:rsidRDefault="00672405">
      <w:pPr>
        <w:spacing w:line="240" w:lineRule="auto"/>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Naciones Unidas. (2006).</w:t>
      </w:r>
      <w:hyperlink r:id="rId1">
        <w:r>
          <w:rPr>
            <w:rFonts w:ascii="Times New Roman" w:eastAsia="Times New Roman" w:hAnsi="Times New Roman" w:cs="Times New Roman"/>
            <w:sz w:val="16"/>
            <w:szCs w:val="16"/>
          </w:rPr>
          <w:t xml:space="preserve"> </w:t>
        </w:r>
      </w:hyperlink>
      <w:hyperlink r:id="rId2">
        <w:r>
          <w:rPr>
            <w:rFonts w:ascii="Times New Roman" w:eastAsia="Times New Roman" w:hAnsi="Times New Roman" w:cs="Times New Roman"/>
            <w:i/>
            <w:iCs/>
            <w:color w:val="1155CC"/>
            <w:sz w:val="16"/>
            <w:szCs w:val="16"/>
            <w:u w:val="single"/>
          </w:rPr>
          <w:t>Convención Internacional para la Protección de Todas las Personas contra las Desapariciones Forzadas</w:t>
        </w:r>
      </w:hyperlink>
      <w:r>
        <w:rPr>
          <w:rFonts w:ascii="Times New Roman" w:eastAsia="Times New Roman" w:hAnsi="Times New Roman" w:cs="Times New Roman"/>
          <w:sz w:val="16"/>
          <w:szCs w:val="16"/>
        </w:rPr>
        <w:t xml:space="preserve">. </w:t>
      </w:r>
    </w:p>
  </w:footnote>
  <w:footnote w:id="2">
    <w:p w14:paraId="7CDDBE1F" w14:textId="77777777" w:rsidR="003F4722" w:rsidRDefault="00672405">
      <w:pPr>
        <w:spacing w:line="240" w:lineRule="auto"/>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Comité contra la Desaparición Forzada. (2017). </w:t>
      </w:r>
      <w:r>
        <w:rPr>
          <w:rFonts w:ascii="Times New Roman" w:eastAsia="Times New Roman" w:hAnsi="Times New Roman" w:cs="Times New Roman"/>
          <w:i/>
          <w:iCs/>
          <w:sz w:val="16"/>
          <w:szCs w:val="16"/>
        </w:rPr>
        <w:t>Observaciones finales sobre el informe presentado por Cuba en virtud del artículo 29, párrafo 1, de la Convención</w:t>
      </w:r>
      <w:r>
        <w:rPr>
          <w:rFonts w:ascii="Times New Roman" w:eastAsia="Times New Roman" w:hAnsi="Times New Roman" w:cs="Times New Roman"/>
          <w:sz w:val="16"/>
          <w:szCs w:val="16"/>
        </w:rPr>
        <w:t xml:space="preserve"> (CED/C/CUB/CO/1). Naciones Unidas. </w:t>
      </w:r>
    </w:p>
  </w:footnote>
  <w:footnote w:id="3">
    <w:p w14:paraId="61D3B833" w14:textId="77777777" w:rsidR="003F4722" w:rsidRDefault="00672405">
      <w:pPr>
        <w:spacing w:line="240" w:lineRule="auto"/>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Comité contra la Desaparición Forzada. (2024). </w:t>
      </w:r>
      <w:r>
        <w:rPr>
          <w:rFonts w:ascii="Times New Roman" w:eastAsia="Times New Roman" w:hAnsi="Times New Roman" w:cs="Times New Roman"/>
          <w:i/>
          <w:iCs/>
          <w:sz w:val="16"/>
          <w:szCs w:val="16"/>
        </w:rPr>
        <w:t>Información complementaria presentada por Cuba con arreglo al artículo 29, párrafo 4, de la Convención</w:t>
      </w:r>
      <w:r>
        <w:rPr>
          <w:rFonts w:ascii="Times New Roman" w:eastAsia="Times New Roman" w:hAnsi="Times New Roman" w:cs="Times New Roman"/>
          <w:sz w:val="16"/>
          <w:szCs w:val="16"/>
        </w:rPr>
        <w:t xml:space="preserve"> (CED/C/CUB/AI/1). Naciones Unidas. </w:t>
      </w:r>
    </w:p>
  </w:footnote>
  <w:footnote w:id="4">
    <w:p w14:paraId="124E6FFF" w14:textId="77777777" w:rsidR="003F4722" w:rsidRDefault="00672405">
      <w:pPr>
        <w:spacing w:line="240" w:lineRule="auto"/>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Asambleas Nacional del Poder Popular (ANPP). (2021). </w:t>
      </w:r>
      <w:r>
        <w:rPr>
          <w:rFonts w:ascii="Times New Roman" w:eastAsia="Times New Roman" w:hAnsi="Times New Roman" w:cs="Times New Roman"/>
          <w:i/>
          <w:iCs/>
          <w:sz w:val="16"/>
          <w:szCs w:val="16"/>
        </w:rPr>
        <w:t>Ley 140/2021 “De los Tribunales de Justicia”</w:t>
      </w:r>
      <w:r>
        <w:rPr>
          <w:rFonts w:ascii="Times New Roman" w:eastAsia="Times New Roman" w:hAnsi="Times New Roman" w:cs="Times New Roman"/>
          <w:sz w:val="16"/>
          <w:szCs w:val="16"/>
        </w:rPr>
        <w:t xml:space="preserve"> (Gaceta Oficial No.137 Ordinaria, GOC-2021-1070-O137). Gaceta Oficial de la República de Cuba. (2021); ANPP. (2021). </w:t>
      </w:r>
      <w:r>
        <w:rPr>
          <w:rFonts w:ascii="Times New Roman" w:eastAsia="Times New Roman" w:hAnsi="Times New Roman" w:cs="Times New Roman"/>
          <w:i/>
          <w:iCs/>
          <w:sz w:val="16"/>
          <w:szCs w:val="16"/>
        </w:rPr>
        <w:t xml:space="preserve">Ley 143/2021 “Del Proceso Penal” </w:t>
      </w:r>
      <w:r>
        <w:rPr>
          <w:rFonts w:ascii="Times New Roman" w:eastAsia="Times New Roman" w:hAnsi="Times New Roman" w:cs="Times New Roman"/>
          <w:sz w:val="16"/>
          <w:szCs w:val="16"/>
        </w:rPr>
        <w:t xml:space="preserve">(Gaceta Oficial No. 140 Ordinaria, GOC-2021-1073-O140). Gaceta Oficial de la República de Cuba (2021); ANPP. (2021). </w:t>
      </w:r>
      <w:r>
        <w:rPr>
          <w:rFonts w:ascii="Times New Roman" w:eastAsia="Times New Roman" w:hAnsi="Times New Roman" w:cs="Times New Roman"/>
          <w:i/>
          <w:iCs/>
          <w:sz w:val="16"/>
          <w:szCs w:val="16"/>
        </w:rPr>
        <w:t>Ley 147/2021 “Del Proceso Penal Militar”</w:t>
      </w:r>
      <w:r>
        <w:rPr>
          <w:rFonts w:ascii="Times New Roman" w:eastAsia="Times New Roman" w:hAnsi="Times New Roman" w:cs="Times New Roman"/>
          <w:sz w:val="16"/>
          <w:szCs w:val="16"/>
        </w:rPr>
        <w:t xml:space="preserve"> (Gaceta Oficial No. 12 Extraordinaria de 1ro. de febrero de 2022, GOC-2022-106-EX12); y ANPP. (2022). </w:t>
      </w:r>
      <w:r>
        <w:rPr>
          <w:rFonts w:ascii="Times New Roman" w:eastAsia="Times New Roman" w:hAnsi="Times New Roman" w:cs="Times New Roman"/>
          <w:i/>
          <w:iCs/>
          <w:sz w:val="16"/>
          <w:szCs w:val="16"/>
        </w:rPr>
        <w:t>Ley</w:t>
      </w:r>
      <w:r>
        <w:rPr>
          <w:rFonts w:ascii="Times New Roman" w:eastAsia="Times New Roman" w:hAnsi="Times New Roman" w:cs="Times New Roman"/>
          <w:i/>
          <w:iCs/>
          <w:sz w:val="16"/>
          <w:szCs w:val="16"/>
        </w:rPr>
        <w:t xml:space="preserve"> No. 151/2022 “Código Penal”</w:t>
      </w:r>
      <w:r>
        <w:rPr>
          <w:rFonts w:ascii="Times New Roman" w:eastAsia="Times New Roman" w:hAnsi="Times New Roman" w:cs="Times New Roman"/>
          <w:sz w:val="16"/>
          <w:szCs w:val="16"/>
        </w:rPr>
        <w:t xml:space="preserve"> (Gaceta Oficial de la República de Cuba, No. 93 Ordinaria, GOC-2022-861-O93). Gaceta Oficial de la República de Cuba. (2024).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2128A" w14:textId="77777777" w:rsidR="003F4722" w:rsidRDefault="00672405">
    <w:pPr>
      <w:jc w:val="center"/>
    </w:pPr>
    <w:r>
      <w:rPr>
        <w:noProof/>
      </w:rPr>
      <w:drawing>
        <wp:inline distT="114300" distB="114300" distL="114300" distR="114300" wp14:anchorId="12DE5C5D" wp14:editId="778A1BFF">
          <wp:extent cx="3314700" cy="1181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19258" b="22013"/>
                  <a:stretch>
                    <a:fillRect/>
                  </a:stretch>
                </pic:blipFill>
                <pic:spPr>
                  <a:xfrm>
                    <a:off x="0" y="0"/>
                    <a:ext cx="3314700" cy="1181100"/>
                  </a:xfrm>
                  <a:prstGeom prst="rect">
                    <a:avLst/>
                  </a:prstGeom>
                  <a:ln/>
                </pic:spPr>
              </pic:pic>
            </a:graphicData>
          </a:graphic>
        </wp:inline>
      </w:drawing>
    </w:r>
    <w:r>
      <w:rPr>
        <w:noProof/>
      </w:rPr>
      <w:drawing>
        <wp:inline distT="114300" distB="114300" distL="114300" distR="114300" wp14:anchorId="0860F908" wp14:editId="0B3E50E5">
          <wp:extent cx="638175" cy="7334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l="17925" t="13333" r="18868" b="13333"/>
                  <a:stretch>
                    <a:fillRect/>
                  </a:stretch>
                </pic:blipFill>
                <pic:spPr>
                  <a:xfrm>
                    <a:off x="0" y="0"/>
                    <a:ext cx="638175" cy="73342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06BA1"/>
    <w:multiLevelType w:val="multilevel"/>
    <w:tmpl w:val="A2D2BD92"/>
    <w:lvl w:ilvl="0">
      <w:start w:val="1"/>
      <w:numFmt w:val="bullet"/>
      <w:lvlText w:val="●"/>
      <w:lvlJc w:val="left"/>
      <w:pPr>
        <w:ind w:left="60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41422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722"/>
    <w:rsid w:val="000C436D"/>
    <w:rsid w:val="003C4C3D"/>
    <w:rsid w:val="003F4722"/>
    <w:rsid w:val="00672405"/>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B80C8"/>
  <w15:docId w15:val="{5B0117FE-F2D0-44F3-B9AD-137F6A415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419"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2" Type="http://schemas.openxmlformats.org/officeDocument/2006/relationships/hyperlink" Target="https://www.ohchr.org/sites/default/files/disappearance-convention.pdf" TargetMode="External"/><Relationship Id="rId1" Type="http://schemas.openxmlformats.org/officeDocument/2006/relationships/hyperlink" Target="https://www.ohchr.org/sites/default/files/disappearance-convention.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9</Pages>
  <Words>3160</Words>
  <Characters>18016</Characters>
  <Application>Microsoft Office Word</Application>
  <DocSecurity>0</DocSecurity>
  <Lines>150</Lines>
  <Paragraphs>42</Paragraphs>
  <ScaleCrop>false</ScaleCrop>
  <Company/>
  <LinksUpToDate>false</LinksUpToDate>
  <CharactersWithSpaces>21134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Perrine Deja</dc:creator>
  <cp:lastModifiedBy>Perrine Deja</cp:lastModifiedBy>
  <cp:revision>2</cp:revision>
  <dcterms:created xsi:type="dcterms:W3CDTF">2026-07-01T09:56:00Z</dcterms:created>
  <dcterms:modified xsi:type="dcterms:W3CDTF">2026-07-01T09:56:00Z</dcterms:modified>
</cp:coreProperties>
</file>