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73938" w14:textId="3590EE29" w:rsidR="0093556B" w:rsidRDefault="006C5BE9" w:rsidP="006313BE">
      <w:pPr>
        <w:pStyle w:val="Header"/>
        <w:tabs>
          <w:tab w:val="clear" w:pos="4703"/>
          <w:tab w:val="clear" w:pos="9406"/>
          <w:tab w:val="left" w:pos="4485"/>
        </w:tabs>
        <w:spacing w:after="0" w:line="240" w:lineRule="auto"/>
        <w:jc w:val="both"/>
        <w:rPr>
          <w:rFonts w:ascii="Cambria" w:hAnsi="Cambria"/>
          <w:sz w:val="22"/>
          <w:szCs w:val="22"/>
        </w:rPr>
      </w:pPr>
      <w:r w:rsidRPr="006313BE">
        <w:rPr>
          <w:rFonts w:ascii="Cambria" w:hAnsi="Cambria"/>
          <w:noProof/>
          <w:sz w:val="22"/>
          <w:szCs w:val="22"/>
          <w:lang w:val="pt-PT" w:eastAsia="pt-PT"/>
        </w:rPr>
        <w:drawing>
          <wp:anchor distT="0" distB="0" distL="114300" distR="114300" simplePos="0" relativeHeight="251660288" behindDoc="1" locked="0" layoutInCell="1" allowOverlap="1" wp14:anchorId="3C48952E" wp14:editId="7DB46E2E">
            <wp:simplePos x="0" y="0"/>
            <wp:positionH relativeFrom="column">
              <wp:posOffset>1883410</wp:posOffset>
            </wp:positionH>
            <wp:positionV relativeFrom="paragraph">
              <wp:posOffset>-644525</wp:posOffset>
            </wp:positionV>
            <wp:extent cx="2329815" cy="1646555"/>
            <wp:effectExtent l="0" t="0" r="0" b="0"/>
            <wp:wrapNone/>
            <wp:docPr id="5" name="Picture 5" descr="OMCV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MCV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9815" cy="1646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8BDD19" w14:textId="03BA3C84" w:rsidR="005A1FA5" w:rsidRPr="006313BE" w:rsidRDefault="005A1FA5" w:rsidP="006313BE">
      <w:pPr>
        <w:pStyle w:val="Header"/>
        <w:tabs>
          <w:tab w:val="clear" w:pos="4703"/>
          <w:tab w:val="clear" w:pos="9406"/>
          <w:tab w:val="left" w:pos="4485"/>
        </w:tabs>
        <w:spacing w:after="0" w:line="240" w:lineRule="auto"/>
        <w:jc w:val="both"/>
        <w:rPr>
          <w:rFonts w:ascii="Cambria" w:hAnsi="Cambria"/>
          <w:sz w:val="22"/>
          <w:szCs w:val="22"/>
        </w:rPr>
      </w:pPr>
      <w:r w:rsidRPr="006313BE">
        <w:rPr>
          <w:rFonts w:ascii="Cambria" w:hAnsi="Cambria"/>
          <w:noProof/>
          <w:sz w:val="22"/>
          <w:szCs w:val="22"/>
          <w:lang w:val="pt-PT" w:eastAsia="pt-PT"/>
        </w:rPr>
        <w:drawing>
          <wp:anchor distT="0" distB="0" distL="114300" distR="114300" simplePos="0" relativeHeight="251661312" behindDoc="1" locked="0" layoutInCell="1" allowOverlap="1" wp14:anchorId="478FE71E" wp14:editId="066672F9">
            <wp:simplePos x="0" y="0"/>
            <wp:positionH relativeFrom="column">
              <wp:posOffset>4154170</wp:posOffset>
            </wp:positionH>
            <wp:positionV relativeFrom="paragraph">
              <wp:posOffset>-443865</wp:posOffset>
            </wp:positionV>
            <wp:extent cx="1805940" cy="975995"/>
            <wp:effectExtent l="0" t="0" r="3810" b="0"/>
            <wp:wrapNone/>
            <wp:docPr id="4" name="Picture 4" descr="ACLCVBG (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LCVBG (0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5940" cy="975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13BE">
        <w:rPr>
          <w:rFonts w:ascii="Cambria" w:hAnsi="Cambria"/>
          <w:noProof/>
          <w:sz w:val="22"/>
          <w:szCs w:val="22"/>
          <w:lang w:val="pt-PT" w:eastAsia="pt-PT"/>
        </w:rPr>
        <w:drawing>
          <wp:anchor distT="0" distB="0" distL="114300" distR="114300" simplePos="0" relativeHeight="251663360" behindDoc="1" locked="0" layoutInCell="1" allowOverlap="1" wp14:anchorId="76A248D4" wp14:editId="320EF168">
            <wp:simplePos x="0" y="0"/>
            <wp:positionH relativeFrom="column">
              <wp:posOffset>-304800</wp:posOffset>
            </wp:positionH>
            <wp:positionV relativeFrom="paragraph">
              <wp:posOffset>-459105</wp:posOffset>
            </wp:positionV>
            <wp:extent cx="2309495" cy="1005205"/>
            <wp:effectExtent l="0" t="0" r="0" b="4445"/>
            <wp:wrapNone/>
            <wp:docPr id="3" name="Picture 3" descr="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imary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09495" cy="100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ADCEE4" w14:textId="7EEA280D" w:rsidR="005A1FA5" w:rsidRPr="006313BE" w:rsidRDefault="005A1FA5" w:rsidP="006313BE">
      <w:pPr>
        <w:pStyle w:val="Header"/>
        <w:tabs>
          <w:tab w:val="clear" w:pos="4703"/>
          <w:tab w:val="clear" w:pos="9406"/>
          <w:tab w:val="left" w:pos="4485"/>
        </w:tabs>
        <w:spacing w:after="0" w:line="240" w:lineRule="auto"/>
        <w:jc w:val="both"/>
        <w:rPr>
          <w:rFonts w:ascii="Cambria" w:hAnsi="Cambria"/>
          <w:sz w:val="22"/>
          <w:szCs w:val="22"/>
        </w:rPr>
      </w:pPr>
    </w:p>
    <w:p w14:paraId="3AE6CD41" w14:textId="1C7E5509" w:rsidR="005A1FA5" w:rsidRPr="006313BE" w:rsidRDefault="005A1FA5" w:rsidP="006313BE">
      <w:pPr>
        <w:pStyle w:val="Header"/>
        <w:tabs>
          <w:tab w:val="clear" w:pos="4703"/>
          <w:tab w:val="clear" w:pos="9406"/>
          <w:tab w:val="left" w:pos="4485"/>
        </w:tabs>
        <w:spacing w:after="0" w:line="240" w:lineRule="auto"/>
        <w:jc w:val="both"/>
        <w:rPr>
          <w:rFonts w:ascii="Cambria" w:hAnsi="Cambria"/>
          <w:sz w:val="22"/>
          <w:szCs w:val="22"/>
        </w:rPr>
      </w:pPr>
    </w:p>
    <w:p w14:paraId="435D1AF1" w14:textId="0EC5E5F0" w:rsidR="005A1FA5" w:rsidRPr="006313BE" w:rsidRDefault="005A1FA5" w:rsidP="006313BE">
      <w:pPr>
        <w:pStyle w:val="Header"/>
        <w:tabs>
          <w:tab w:val="clear" w:pos="4703"/>
          <w:tab w:val="clear" w:pos="9406"/>
          <w:tab w:val="left" w:pos="4485"/>
        </w:tabs>
        <w:spacing w:after="0" w:line="240" w:lineRule="auto"/>
        <w:jc w:val="both"/>
        <w:rPr>
          <w:rFonts w:ascii="Cambria" w:hAnsi="Cambria"/>
          <w:sz w:val="22"/>
          <w:szCs w:val="22"/>
        </w:rPr>
      </w:pPr>
    </w:p>
    <w:p w14:paraId="65DF71B4" w14:textId="03FD7E21" w:rsidR="005A1FA5" w:rsidRPr="006313BE" w:rsidRDefault="00E66428" w:rsidP="006313BE">
      <w:pPr>
        <w:pStyle w:val="Header"/>
        <w:tabs>
          <w:tab w:val="left" w:pos="4485"/>
        </w:tabs>
        <w:spacing w:after="0" w:line="240" w:lineRule="auto"/>
        <w:jc w:val="both"/>
        <w:rPr>
          <w:rFonts w:ascii="Cambria" w:hAnsi="Cambria"/>
          <w:b/>
          <w:bCs/>
          <w:sz w:val="22"/>
          <w:szCs w:val="22"/>
        </w:rPr>
      </w:pPr>
      <w:r w:rsidRPr="00E66428">
        <w:rPr>
          <w:rFonts w:ascii="Cambria" w:hAnsi="Cambria"/>
          <w:i/>
          <w:iCs/>
          <w:noProof/>
          <w:sz w:val="22"/>
          <w:szCs w:val="22"/>
          <w:lang w:val="pt-PT" w:eastAsia="pt-PT"/>
        </w:rPr>
        <mc:AlternateContent>
          <mc:Choice Requires="wps">
            <w:drawing>
              <wp:anchor distT="45720" distB="45720" distL="114300" distR="114300" simplePos="0" relativeHeight="251667456" behindDoc="0" locked="0" layoutInCell="1" allowOverlap="1" wp14:anchorId="71209AF0" wp14:editId="0CC5F249">
                <wp:simplePos x="0" y="0"/>
                <wp:positionH relativeFrom="column">
                  <wp:posOffset>4212771</wp:posOffset>
                </wp:positionH>
                <wp:positionV relativeFrom="paragraph">
                  <wp:posOffset>19594</wp:posOffset>
                </wp:positionV>
                <wp:extent cx="1785257" cy="925286"/>
                <wp:effectExtent l="0" t="0" r="5715" b="825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257" cy="925286"/>
                        </a:xfrm>
                        <a:prstGeom prst="rect">
                          <a:avLst/>
                        </a:prstGeom>
                        <a:solidFill>
                          <a:srgbClr val="FFFFFF"/>
                        </a:solidFill>
                        <a:ln w="9525">
                          <a:noFill/>
                          <a:miter lim="800000"/>
                          <a:headEnd/>
                          <a:tailEnd/>
                        </a:ln>
                      </wps:spPr>
                      <wps:txbx>
                        <w:txbxContent>
                          <w:p w14:paraId="5033A3FC" w14:textId="0F27D549" w:rsidR="00E66428" w:rsidRPr="00E66428" w:rsidRDefault="00A44ADC" w:rsidP="00E66428">
                            <w:pPr>
                              <w:jc w:val="center"/>
                              <w:rPr>
                                <w:rFonts w:ascii="Cambria" w:hAnsi="Cambria"/>
                                <w:b/>
                                <w:sz w:val="24"/>
                                <w:szCs w:val="22"/>
                                <w:lang w:val="es-CO"/>
                              </w:rPr>
                            </w:pPr>
                            <w:r>
                              <w:rPr>
                                <w:noProof/>
                                <w:lang w:val="pt-PT" w:eastAsia="pt-PT"/>
                              </w:rPr>
                              <w:drawing>
                                <wp:inline distT="0" distB="0" distL="0" distR="0" wp14:anchorId="75F5ED53" wp14:editId="043C0F69">
                                  <wp:extent cx="821055" cy="824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1055" cy="82486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209AF0" id="_x0000_t202" coordsize="21600,21600" o:spt="202" path="m,l,21600r21600,l21600,xe">
                <v:stroke joinstyle="miter"/>
                <v:path gradientshapeok="t" o:connecttype="rect"/>
              </v:shapetype>
              <v:shape id="Text Box 2" o:spid="_x0000_s1026" type="#_x0000_t202" style="position:absolute;left:0;text-align:left;margin-left:331.7pt;margin-top:1.55pt;width:140.55pt;height:72.8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" stroked="f">
                <v:textbox>
                  <w:txbxContent>
                    <w:p w14:paraId="5033A3FC" w14:textId="0F27D549" w:rsidR="00E66428" w:rsidRPr="00E66428" w:rsidRDefault="00A44ADC" w:rsidP="00E66428">
                      <w:pPr>
                        <w:jc w:val="center"/>
                        <w:rPr>
                          <w:rFonts w:ascii="Cambria" w:hAnsi="Cambria"/>
                          <w:b/>
                          <w:sz w:val="24"/>
                          <w:szCs w:val="22"/>
                          <w:lang w:val="es-CO"/>
                        </w:rPr>
                      </w:pPr>
                      <w:r>
                        <w:rPr>
                          <w:noProof/>
                          <w:lang w:val="pt-PT" w:eastAsia="pt-PT"/>
                        </w:rPr>
                        <w:drawing>
                          <wp:inline distT="0" distB="0" distL="0" distR="0" wp14:anchorId="75F5ED53" wp14:editId="043C0F69">
                            <wp:extent cx="821055" cy="8248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1055" cy="824865"/>
                                    </a:xfrm>
                                    <a:prstGeom prst="rect">
                                      <a:avLst/>
                                    </a:prstGeom>
                                    <a:noFill/>
                                    <a:ln>
                                      <a:noFill/>
                                    </a:ln>
                                  </pic:spPr>
                                </pic:pic>
                              </a:graphicData>
                            </a:graphic>
                          </wp:inline>
                        </w:drawing>
                      </w:r>
                    </w:p>
                  </w:txbxContent>
                </v:textbox>
              </v:shape>
            </w:pict>
          </mc:Fallback>
        </mc:AlternateContent>
      </w:r>
    </w:p>
    <w:p w14:paraId="481A04A5" w14:textId="36A02712" w:rsidR="005A1FA5" w:rsidRPr="006313BE" w:rsidRDefault="005A1FA5" w:rsidP="006313BE">
      <w:pPr>
        <w:pStyle w:val="Header"/>
        <w:tabs>
          <w:tab w:val="left" w:pos="4485"/>
        </w:tabs>
        <w:spacing w:after="0" w:line="240" w:lineRule="auto"/>
        <w:jc w:val="both"/>
        <w:rPr>
          <w:rFonts w:ascii="Cambria" w:hAnsi="Cambria"/>
          <w:b/>
          <w:sz w:val="22"/>
          <w:szCs w:val="22"/>
        </w:rPr>
      </w:pPr>
      <w:r w:rsidRPr="006313BE">
        <w:rPr>
          <w:rFonts w:ascii="Cambria" w:hAnsi="Cambria"/>
          <w:noProof/>
          <w:sz w:val="22"/>
          <w:szCs w:val="22"/>
          <w:lang w:val="pt-PT" w:eastAsia="pt-PT"/>
        </w:rPr>
        <w:drawing>
          <wp:anchor distT="0" distB="0" distL="114300" distR="114300" simplePos="0" relativeHeight="251662336" behindDoc="1" locked="0" layoutInCell="1" allowOverlap="1" wp14:anchorId="4AD0F28A" wp14:editId="20A33CB9">
            <wp:simplePos x="0" y="0"/>
            <wp:positionH relativeFrom="column">
              <wp:posOffset>-144780</wp:posOffset>
            </wp:positionH>
            <wp:positionV relativeFrom="paragraph">
              <wp:posOffset>80645</wp:posOffset>
            </wp:positionV>
            <wp:extent cx="2077720" cy="680720"/>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77720" cy="680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310A41" w14:textId="1F2D5C75" w:rsidR="005A1FA5" w:rsidRPr="006313BE" w:rsidRDefault="006C5BE9" w:rsidP="006313BE">
      <w:pPr>
        <w:pStyle w:val="Header"/>
        <w:tabs>
          <w:tab w:val="left" w:pos="4485"/>
        </w:tabs>
        <w:spacing w:after="0" w:line="240" w:lineRule="auto"/>
        <w:jc w:val="both"/>
        <w:rPr>
          <w:rFonts w:ascii="Cambria" w:hAnsi="Cambria"/>
          <w:b/>
          <w:sz w:val="22"/>
          <w:szCs w:val="22"/>
        </w:rPr>
      </w:pPr>
      <w:r w:rsidRPr="00E66428">
        <w:rPr>
          <w:rFonts w:ascii="Cambria" w:hAnsi="Cambria"/>
          <w:i/>
          <w:iCs/>
          <w:noProof/>
          <w:sz w:val="22"/>
          <w:szCs w:val="22"/>
          <w:lang w:val="pt-PT" w:eastAsia="pt-PT"/>
        </w:rPr>
        <mc:AlternateContent>
          <mc:Choice Requires="wps">
            <w:drawing>
              <wp:anchor distT="45720" distB="45720" distL="114300" distR="114300" simplePos="0" relativeHeight="251669504" behindDoc="0" locked="0" layoutInCell="1" allowOverlap="1" wp14:anchorId="071AE082" wp14:editId="632C1B6D">
                <wp:simplePos x="0" y="0"/>
                <wp:positionH relativeFrom="column">
                  <wp:posOffset>2209800</wp:posOffset>
                </wp:positionH>
                <wp:positionV relativeFrom="paragraph">
                  <wp:posOffset>10795</wp:posOffset>
                </wp:positionV>
                <wp:extent cx="1785257" cy="1404620"/>
                <wp:effectExtent l="0" t="0" r="5715" b="889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257" cy="1404620"/>
                        </a:xfrm>
                        <a:prstGeom prst="rect">
                          <a:avLst/>
                        </a:prstGeom>
                        <a:solidFill>
                          <a:srgbClr val="FFFFFF"/>
                        </a:solidFill>
                        <a:ln w="9525">
                          <a:noFill/>
                          <a:miter lim="800000"/>
                          <a:headEnd/>
                          <a:tailEnd/>
                        </a:ln>
                      </wps:spPr>
                      <wps:txbx>
                        <w:txbxContent>
                          <w:p w14:paraId="5C4F0B0E" w14:textId="1A78BDF6" w:rsidR="00E66428" w:rsidRPr="00A44ADC" w:rsidRDefault="00A44ADC" w:rsidP="00E66428">
                            <w:pPr>
                              <w:jc w:val="center"/>
                              <w:rPr>
                                <w:lang w:val="es-CO"/>
                              </w:rPr>
                            </w:pPr>
                            <w:r>
                              <w:rPr>
                                <w:noProof/>
                                <w:lang w:val="pt-PT" w:eastAsia="pt-PT"/>
                              </w:rPr>
                              <w:drawing>
                                <wp:inline distT="0" distB="0" distL="0" distR="0" wp14:anchorId="603656BA" wp14:editId="00625956">
                                  <wp:extent cx="1593215" cy="586105"/>
                                  <wp:effectExtent l="0" t="0" r="698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3215" cy="58610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1AE082" id="_x0000_s1027" type="#_x0000_t202" style="position:absolute;left:0;text-align:left;margin-left:174pt;margin-top:.85pt;width:140.5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" stroked="f">
                <v:textbox style="mso-fit-shape-to-text:t">
                  <w:txbxContent>
                    <w:p w14:paraId="5C4F0B0E" w14:textId="1A78BDF6" w:rsidR="00E66428" w:rsidRPr="00A44ADC" w:rsidRDefault="00A44ADC" w:rsidP="00E66428">
                      <w:pPr>
                        <w:jc w:val="center"/>
                        <w:rPr>
                          <w:lang w:val="es-CO"/>
                        </w:rPr>
                      </w:pPr>
                      <w:r>
                        <w:rPr>
                          <w:noProof/>
                          <w:lang w:val="pt-PT" w:eastAsia="pt-PT"/>
                        </w:rPr>
                        <w:drawing>
                          <wp:inline distT="0" distB="0" distL="0" distR="0" wp14:anchorId="603656BA" wp14:editId="00625956">
                            <wp:extent cx="1593215" cy="586105"/>
                            <wp:effectExtent l="0" t="0" r="698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93215" cy="586105"/>
                                    </a:xfrm>
                                    <a:prstGeom prst="rect">
                                      <a:avLst/>
                                    </a:prstGeom>
                                    <a:noFill/>
                                    <a:ln>
                                      <a:noFill/>
                                    </a:ln>
                                  </pic:spPr>
                                </pic:pic>
                              </a:graphicData>
                            </a:graphic>
                          </wp:inline>
                        </w:drawing>
                      </w:r>
                    </w:p>
                  </w:txbxContent>
                </v:textbox>
              </v:shape>
            </w:pict>
          </mc:Fallback>
        </mc:AlternateContent>
      </w:r>
    </w:p>
    <w:p w14:paraId="5963310F" w14:textId="4BB00F35" w:rsidR="005A1FA5" w:rsidRPr="006313BE" w:rsidRDefault="005A1FA5" w:rsidP="006313BE">
      <w:pPr>
        <w:pStyle w:val="Header"/>
        <w:tabs>
          <w:tab w:val="left" w:pos="4485"/>
        </w:tabs>
        <w:spacing w:after="0" w:line="240" w:lineRule="auto"/>
        <w:jc w:val="both"/>
        <w:rPr>
          <w:rFonts w:ascii="Cambria" w:hAnsi="Cambria"/>
          <w:b/>
          <w:sz w:val="22"/>
          <w:szCs w:val="22"/>
        </w:rPr>
      </w:pPr>
    </w:p>
    <w:p w14:paraId="4D5DF74C" w14:textId="621F15B4" w:rsidR="005A1FA5" w:rsidRPr="006313BE" w:rsidRDefault="005A1FA5" w:rsidP="006313BE">
      <w:pPr>
        <w:pStyle w:val="Header"/>
        <w:tabs>
          <w:tab w:val="left" w:pos="4485"/>
        </w:tabs>
        <w:spacing w:after="0" w:line="240" w:lineRule="auto"/>
        <w:jc w:val="both"/>
        <w:rPr>
          <w:rFonts w:ascii="Cambria" w:hAnsi="Cambria"/>
          <w:b/>
          <w:sz w:val="22"/>
          <w:szCs w:val="22"/>
        </w:rPr>
      </w:pPr>
    </w:p>
    <w:p w14:paraId="28E4F933" w14:textId="753A8E44" w:rsidR="005A1FA5" w:rsidRPr="006313BE" w:rsidRDefault="005A1FA5" w:rsidP="006313BE">
      <w:pPr>
        <w:pStyle w:val="Header"/>
        <w:tabs>
          <w:tab w:val="left" w:pos="4485"/>
        </w:tabs>
        <w:spacing w:after="0" w:line="240" w:lineRule="auto"/>
        <w:jc w:val="both"/>
        <w:rPr>
          <w:rFonts w:ascii="Cambria" w:hAnsi="Cambria"/>
          <w:b/>
          <w:sz w:val="22"/>
          <w:szCs w:val="22"/>
        </w:rPr>
      </w:pPr>
    </w:p>
    <w:p w14:paraId="7338E427" w14:textId="21CBC85F" w:rsidR="005A1FA5" w:rsidRPr="006313BE" w:rsidRDefault="005A1FA5" w:rsidP="006313BE">
      <w:pPr>
        <w:pStyle w:val="Header"/>
        <w:tabs>
          <w:tab w:val="left" w:pos="4485"/>
        </w:tabs>
        <w:spacing w:after="0" w:line="240" w:lineRule="auto"/>
        <w:jc w:val="both"/>
        <w:rPr>
          <w:rFonts w:ascii="Cambria" w:hAnsi="Cambria"/>
          <w:b/>
          <w:sz w:val="22"/>
          <w:szCs w:val="22"/>
        </w:rPr>
      </w:pPr>
    </w:p>
    <w:p w14:paraId="7564B324" w14:textId="2C74FD7D" w:rsidR="005A1FA5" w:rsidRDefault="00E66428" w:rsidP="006313BE">
      <w:pPr>
        <w:pStyle w:val="Header"/>
        <w:tabs>
          <w:tab w:val="left" w:pos="4485"/>
        </w:tabs>
        <w:spacing w:after="0" w:line="240" w:lineRule="auto"/>
        <w:jc w:val="both"/>
        <w:rPr>
          <w:rFonts w:ascii="Cambria" w:hAnsi="Cambria"/>
          <w:b/>
          <w:sz w:val="22"/>
          <w:szCs w:val="22"/>
          <w:lang w:val="es-CO"/>
        </w:rPr>
      </w:pPr>
      <w:r w:rsidRPr="00E66428">
        <w:rPr>
          <w:rFonts w:ascii="Cambria" w:hAnsi="Cambria"/>
          <w:i/>
          <w:iCs/>
          <w:noProof/>
          <w:sz w:val="22"/>
          <w:szCs w:val="22"/>
          <w:lang w:val="pt-PT" w:eastAsia="pt-PT"/>
        </w:rPr>
        <mc:AlternateContent>
          <mc:Choice Requires="wps">
            <w:drawing>
              <wp:anchor distT="45720" distB="45720" distL="114300" distR="114300" simplePos="0" relativeHeight="251671552" behindDoc="0" locked="0" layoutInCell="1" allowOverlap="1" wp14:anchorId="5B1B4D99" wp14:editId="6B8771A8">
                <wp:simplePos x="0" y="0"/>
                <wp:positionH relativeFrom="margin">
                  <wp:align>left</wp:align>
                </wp:positionH>
                <wp:positionV relativeFrom="paragraph">
                  <wp:posOffset>103051</wp:posOffset>
                </wp:positionV>
                <wp:extent cx="1785257" cy="968829"/>
                <wp:effectExtent l="0" t="0" r="5715" b="31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257" cy="968829"/>
                        </a:xfrm>
                        <a:prstGeom prst="rect">
                          <a:avLst/>
                        </a:prstGeom>
                        <a:solidFill>
                          <a:srgbClr val="FFFFFF"/>
                        </a:solidFill>
                        <a:ln w="9525">
                          <a:noFill/>
                          <a:miter lim="800000"/>
                          <a:headEnd/>
                          <a:tailEnd/>
                        </a:ln>
                      </wps:spPr>
                      <wps:txbx>
                        <w:txbxContent>
                          <w:p w14:paraId="5B738180" w14:textId="2CD20F38" w:rsidR="00E66428" w:rsidRPr="00E66428" w:rsidRDefault="00A44ADC" w:rsidP="00E66428">
                            <w:pPr>
                              <w:jc w:val="center"/>
                            </w:pPr>
                            <w:r>
                              <w:rPr>
                                <w:noProof/>
                                <w:lang w:val="pt-PT" w:eastAsia="pt-PT"/>
                              </w:rPr>
                              <w:drawing>
                                <wp:inline distT="0" distB="0" distL="0" distR="0" wp14:anchorId="3DAA150D" wp14:editId="11511931">
                                  <wp:extent cx="1593215" cy="718820"/>
                                  <wp:effectExtent l="0" t="0" r="698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93215" cy="71882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1B4D99" id="_x0000_s1028" type="#_x0000_t202" style="position:absolute;left:0;text-align:left;margin-left:0;margin-top:8.1pt;width:140.55pt;height:76.3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" stroked="f">
                <v:textbox>
                  <w:txbxContent>
                    <w:p w14:paraId="5B738180" w14:textId="2CD20F38" w:rsidR="00E66428" w:rsidRPr="00E66428" w:rsidRDefault="00A44ADC" w:rsidP="00E66428">
                      <w:pPr>
                        <w:jc w:val="center"/>
                      </w:pPr>
                      <w:r>
                        <w:rPr>
                          <w:noProof/>
                        </w:rPr>
                        <w:drawing>
                          <wp:inline distT="0" distB="0" distL="0" distR="0" wp14:anchorId="3DAA150D" wp14:editId="11511931">
                            <wp:extent cx="1593215" cy="718820"/>
                            <wp:effectExtent l="0" t="0" r="698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93215" cy="718820"/>
                                    </a:xfrm>
                                    <a:prstGeom prst="rect">
                                      <a:avLst/>
                                    </a:prstGeom>
                                    <a:noFill/>
                                    <a:ln>
                                      <a:noFill/>
                                    </a:ln>
                                  </pic:spPr>
                                </pic:pic>
                              </a:graphicData>
                            </a:graphic>
                          </wp:inline>
                        </w:drawing>
                      </w:r>
                    </w:p>
                  </w:txbxContent>
                </v:textbox>
                <w10:wrap anchorx="margin"/>
              </v:shape>
            </w:pict>
          </mc:Fallback>
        </mc:AlternateContent>
      </w:r>
      <w:r w:rsidRPr="00E66428">
        <w:rPr>
          <w:rFonts w:ascii="Cambria" w:hAnsi="Cambria"/>
          <w:i/>
          <w:iCs/>
          <w:noProof/>
          <w:sz w:val="22"/>
          <w:szCs w:val="22"/>
          <w:lang w:val="pt-PT" w:eastAsia="pt-PT"/>
        </w:rPr>
        <mc:AlternateContent>
          <mc:Choice Requires="wps">
            <w:drawing>
              <wp:anchor distT="45720" distB="45720" distL="114300" distR="114300" simplePos="0" relativeHeight="251673600" behindDoc="0" locked="0" layoutInCell="1" allowOverlap="1" wp14:anchorId="74684EF1" wp14:editId="06F4C17A">
                <wp:simplePos x="0" y="0"/>
                <wp:positionH relativeFrom="column">
                  <wp:posOffset>4212771</wp:posOffset>
                </wp:positionH>
                <wp:positionV relativeFrom="paragraph">
                  <wp:posOffset>92165</wp:posOffset>
                </wp:positionV>
                <wp:extent cx="1785257" cy="1404620"/>
                <wp:effectExtent l="0" t="0" r="571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257" cy="1404620"/>
                        </a:xfrm>
                        <a:prstGeom prst="rect">
                          <a:avLst/>
                        </a:prstGeom>
                        <a:solidFill>
                          <a:srgbClr val="FFFFFF"/>
                        </a:solidFill>
                        <a:ln w="9525">
                          <a:noFill/>
                          <a:miter lim="800000"/>
                          <a:headEnd/>
                          <a:tailEnd/>
                        </a:ln>
                      </wps:spPr>
                      <wps:txbx>
                        <w:txbxContent>
                          <w:p w14:paraId="5B7F8E58" w14:textId="10C92083" w:rsidR="00E66428" w:rsidRPr="00A44ADC" w:rsidRDefault="00A44ADC" w:rsidP="00E66428">
                            <w:pPr>
                              <w:jc w:val="center"/>
                              <w:rPr>
                                <w:lang w:val="es-CO"/>
                              </w:rPr>
                            </w:pPr>
                            <w:r>
                              <w:rPr>
                                <w:noProof/>
                                <w:lang w:val="pt-PT" w:eastAsia="pt-PT"/>
                              </w:rPr>
                              <w:drawing>
                                <wp:inline distT="0" distB="0" distL="0" distR="0" wp14:anchorId="3FAD00DC" wp14:editId="17BB8AD1">
                                  <wp:extent cx="1295400" cy="1000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100012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684EF1" id="_x0000_s1029" type="#_x0000_t202" style="position:absolute;left:0;text-align:left;margin-left:331.7pt;margin-top:7.25pt;width:140.5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" stroked="f">
                <v:textbox style="mso-fit-shape-to-text:t">
                  <w:txbxContent>
                    <w:p w14:paraId="5B7F8E58" w14:textId="10C92083" w:rsidR="00E66428" w:rsidRPr="00A44ADC" w:rsidRDefault="00A44ADC" w:rsidP="00E66428">
                      <w:pPr>
                        <w:jc w:val="center"/>
                        <w:rPr>
                          <w:lang w:val="es-CO"/>
                        </w:rPr>
                      </w:pPr>
                      <w:r>
                        <w:rPr>
                          <w:noProof/>
                          <w:lang w:val="pt-PT" w:eastAsia="pt-PT"/>
                        </w:rPr>
                        <w:drawing>
                          <wp:inline distT="0" distB="0" distL="0" distR="0" wp14:anchorId="3FAD00DC" wp14:editId="17BB8AD1">
                            <wp:extent cx="1295400" cy="10001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1000125"/>
                                    </a:xfrm>
                                    <a:prstGeom prst="rect">
                                      <a:avLst/>
                                    </a:prstGeom>
                                    <a:noFill/>
                                    <a:ln>
                                      <a:noFill/>
                                    </a:ln>
                                  </pic:spPr>
                                </pic:pic>
                              </a:graphicData>
                            </a:graphic>
                          </wp:inline>
                        </w:drawing>
                      </w:r>
                    </w:p>
                  </w:txbxContent>
                </v:textbox>
              </v:shape>
            </w:pict>
          </mc:Fallback>
        </mc:AlternateContent>
      </w:r>
    </w:p>
    <w:p w14:paraId="5FF80107" w14:textId="632B1AC9" w:rsidR="00E66428" w:rsidRDefault="00E66428" w:rsidP="006313BE">
      <w:pPr>
        <w:pStyle w:val="Header"/>
        <w:tabs>
          <w:tab w:val="left" w:pos="4485"/>
        </w:tabs>
        <w:spacing w:after="0" w:line="240" w:lineRule="auto"/>
        <w:jc w:val="both"/>
        <w:rPr>
          <w:rFonts w:ascii="Cambria" w:hAnsi="Cambria"/>
          <w:b/>
          <w:sz w:val="22"/>
          <w:szCs w:val="22"/>
          <w:lang w:val="es-CO"/>
        </w:rPr>
      </w:pPr>
    </w:p>
    <w:p w14:paraId="3162D108" w14:textId="7BF994DC" w:rsidR="00E66428" w:rsidRDefault="00E66428" w:rsidP="006313BE">
      <w:pPr>
        <w:pStyle w:val="Header"/>
        <w:tabs>
          <w:tab w:val="left" w:pos="4485"/>
        </w:tabs>
        <w:spacing w:after="0" w:line="240" w:lineRule="auto"/>
        <w:jc w:val="both"/>
        <w:rPr>
          <w:rFonts w:ascii="Cambria" w:hAnsi="Cambria"/>
          <w:b/>
          <w:sz w:val="22"/>
          <w:szCs w:val="22"/>
          <w:lang w:val="es-CO"/>
        </w:rPr>
      </w:pPr>
    </w:p>
    <w:p w14:paraId="2EC6A7DF" w14:textId="1622DC5F" w:rsidR="00E66428" w:rsidRDefault="00E66428" w:rsidP="006313BE">
      <w:pPr>
        <w:pStyle w:val="Header"/>
        <w:tabs>
          <w:tab w:val="left" w:pos="4485"/>
        </w:tabs>
        <w:spacing w:after="0" w:line="240" w:lineRule="auto"/>
        <w:jc w:val="both"/>
        <w:rPr>
          <w:rFonts w:ascii="Cambria" w:hAnsi="Cambria"/>
          <w:b/>
          <w:sz w:val="22"/>
          <w:szCs w:val="22"/>
          <w:lang w:val="es-CO"/>
        </w:rPr>
      </w:pPr>
    </w:p>
    <w:p w14:paraId="526CF17E" w14:textId="38794577" w:rsidR="00E66428" w:rsidRDefault="00E66428" w:rsidP="006313BE">
      <w:pPr>
        <w:pStyle w:val="Header"/>
        <w:tabs>
          <w:tab w:val="left" w:pos="4485"/>
        </w:tabs>
        <w:spacing w:after="0" w:line="240" w:lineRule="auto"/>
        <w:jc w:val="both"/>
        <w:rPr>
          <w:rFonts w:ascii="Cambria" w:hAnsi="Cambria"/>
          <w:b/>
          <w:sz w:val="22"/>
          <w:szCs w:val="22"/>
          <w:lang w:val="es-CO"/>
        </w:rPr>
      </w:pPr>
    </w:p>
    <w:p w14:paraId="1F6AC624" w14:textId="5E4019BC" w:rsidR="00E66428" w:rsidRDefault="00E66428" w:rsidP="006313BE">
      <w:pPr>
        <w:pStyle w:val="Header"/>
        <w:tabs>
          <w:tab w:val="left" w:pos="4485"/>
        </w:tabs>
        <w:spacing w:after="0" w:line="240" w:lineRule="auto"/>
        <w:jc w:val="both"/>
        <w:rPr>
          <w:rFonts w:ascii="Cambria" w:hAnsi="Cambria"/>
          <w:b/>
          <w:sz w:val="22"/>
          <w:szCs w:val="22"/>
          <w:lang w:val="es-CO"/>
        </w:rPr>
      </w:pPr>
    </w:p>
    <w:p w14:paraId="5C282626" w14:textId="0B4C6C61" w:rsidR="00E66428" w:rsidRDefault="00E66428" w:rsidP="006313BE">
      <w:pPr>
        <w:pStyle w:val="Header"/>
        <w:tabs>
          <w:tab w:val="left" w:pos="4485"/>
        </w:tabs>
        <w:spacing w:after="0" w:line="240" w:lineRule="auto"/>
        <w:jc w:val="both"/>
        <w:rPr>
          <w:rFonts w:ascii="Cambria" w:hAnsi="Cambria"/>
          <w:b/>
          <w:sz w:val="22"/>
          <w:szCs w:val="22"/>
          <w:lang w:val="es-CO"/>
        </w:rPr>
      </w:pPr>
    </w:p>
    <w:p w14:paraId="0DE68049" w14:textId="5ED42917" w:rsidR="00E66428" w:rsidRDefault="00E66428" w:rsidP="006313BE">
      <w:pPr>
        <w:pStyle w:val="Header"/>
        <w:tabs>
          <w:tab w:val="left" w:pos="4485"/>
        </w:tabs>
        <w:spacing w:after="0" w:line="240" w:lineRule="auto"/>
        <w:jc w:val="both"/>
        <w:rPr>
          <w:rFonts w:ascii="Cambria" w:hAnsi="Cambria"/>
          <w:b/>
          <w:sz w:val="22"/>
          <w:szCs w:val="22"/>
          <w:lang w:val="es-CO"/>
        </w:rPr>
      </w:pPr>
    </w:p>
    <w:p w14:paraId="0C393685" w14:textId="77777777" w:rsidR="00E66428" w:rsidRPr="006313BE" w:rsidRDefault="00E66428" w:rsidP="006313BE">
      <w:pPr>
        <w:pStyle w:val="Header"/>
        <w:tabs>
          <w:tab w:val="left" w:pos="4485"/>
        </w:tabs>
        <w:spacing w:after="0" w:line="240" w:lineRule="auto"/>
        <w:jc w:val="both"/>
        <w:rPr>
          <w:rFonts w:ascii="Cambria" w:hAnsi="Cambria"/>
          <w:b/>
          <w:sz w:val="22"/>
          <w:szCs w:val="22"/>
          <w:lang w:val="es-CO"/>
        </w:rPr>
      </w:pPr>
    </w:p>
    <w:p w14:paraId="3339726D" w14:textId="36F209A4" w:rsidR="005A1FA5" w:rsidRPr="006313BE" w:rsidRDefault="005A1FA5" w:rsidP="006313BE">
      <w:pPr>
        <w:pStyle w:val="Header"/>
        <w:tabs>
          <w:tab w:val="left" w:pos="4485"/>
        </w:tabs>
        <w:spacing w:after="0" w:line="240" w:lineRule="auto"/>
        <w:jc w:val="center"/>
        <w:rPr>
          <w:rFonts w:ascii="Cambria" w:hAnsi="Cambria"/>
          <w:b/>
          <w:sz w:val="22"/>
          <w:szCs w:val="22"/>
        </w:rPr>
      </w:pPr>
      <w:r w:rsidRPr="006313BE">
        <w:rPr>
          <w:rFonts w:ascii="Cambria" w:hAnsi="Cambria"/>
          <w:b/>
          <w:sz w:val="22"/>
          <w:szCs w:val="22"/>
        </w:rPr>
        <w:t>Joint Shadow Report Submitted to the 127</w:t>
      </w:r>
      <w:r w:rsidRPr="006313BE">
        <w:rPr>
          <w:rFonts w:ascii="Cambria" w:hAnsi="Cambria"/>
          <w:b/>
          <w:sz w:val="22"/>
          <w:szCs w:val="22"/>
          <w:vertAlign w:val="superscript"/>
        </w:rPr>
        <w:t>th</w:t>
      </w:r>
      <w:r w:rsidRPr="006313BE">
        <w:rPr>
          <w:rFonts w:ascii="Cambria" w:hAnsi="Cambria"/>
          <w:b/>
          <w:sz w:val="22"/>
          <w:szCs w:val="22"/>
        </w:rPr>
        <w:t xml:space="preserve"> Session of the Human Rights Committee in relation to the Initial State Party Report prepared by:</w:t>
      </w:r>
    </w:p>
    <w:p w14:paraId="3DE78D4C" w14:textId="77777777" w:rsidR="005A1FA5" w:rsidRPr="006313BE" w:rsidRDefault="005A1FA5" w:rsidP="006313BE">
      <w:pPr>
        <w:pStyle w:val="Header"/>
        <w:tabs>
          <w:tab w:val="left" w:pos="4485"/>
        </w:tabs>
        <w:spacing w:after="0" w:line="240" w:lineRule="auto"/>
        <w:jc w:val="center"/>
        <w:rPr>
          <w:rFonts w:ascii="Cambria" w:hAnsi="Cambria"/>
          <w:b/>
          <w:bCs/>
          <w:sz w:val="22"/>
          <w:szCs w:val="22"/>
        </w:rPr>
      </w:pPr>
    </w:p>
    <w:p w14:paraId="7724844F" w14:textId="49092FF1" w:rsidR="005A1FA5" w:rsidRPr="006313BE" w:rsidRDefault="005A1FA5" w:rsidP="006313BE">
      <w:pPr>
        <w:pStyle w:val="Header"/>
        <w:tabs>
          <w:tab w:val="left" w:pos="4485"/>
        </w:tabs>
        <w:spacing w:after="0" w:line="240" w:lineRule="auto"/>
        <w:jc w:val="center"/>
        <w:rPr>
          <w:rFonts w:ascii="Cambria" w:hAnsi="Cambria"/>
          <w:b/>
          <w:bCs/>
          <w:sz w:val="22"/>
          <w:szCs w:val="22"/>
        </w:rPr>
      </w:pPr>
      <w:r w:rsidRPr="006313BE">
        <w:rPr>
          <w:rFonts w:ascii="Cambria" w:hAnsi="Cambria"/>
          <w:b/>
          <w:bCs/>
          <w:sz w:val="22"/>
          <w:szCs w:val="22"/>
        </w:rPr>
        <w:t>Cabo Verde</w:t>
      </w:r>
    </w:p>
    <w:p w14:paraId="20514CD5" w14:textId="69FD547A" w:rsidR="005A1FA5" w:rsidRPr="006313BE" w:rsidRDefault="005A1FA5" w:rsidP="006313BE">
      <w:pPr>
        <w:pStyle w:val="Header"/>
        <w:tabs>
          <w:tab w:val="left" w:pos="4485"/>
        </w:tabs>
        <w:spacing w:after="0" w:line="240" w:lineRule="auto"/>
        <w:jc w:val="both"/>
        <w:rPr>
          <w:rFonts w:ascii="Cambria" w:hAnsi="Cambria"/>
          <w:b/>
          <w:bCs/>
          <w:sz w:val="22"/>
          <w:szCs w:val="22"/>
        </w:rPr>
      </w:pPr>
    </w:p>
    <w:p w14:paraId="369EC900" w14:textId="3787A7E7" w:rsidR="005A1FA5" w:rsidRPr="006313BE" w:rsidRDefault="005A1FA5" w:rsidP="006313BE">
      <w:pPr>
        <w:pStyle w:val="Header"/>
        <w:tabs>
          <w:tab w:val="left" w:pos="4485"/>
        </w:tabs>
        <w:spacing w:after="0" w:line="240" w:lineRule="auto"/>
        <w:jc w:val="right"/>
        <w:rPr>
          <w:rFonts w:ascii="Cambria" w:hAnsi="Cambria"/>
          <w:i/>
          <w:iCs/>
          <w:sz w:val="22"/>
          <w:szCs w:val="22"/>
        </w:rPr>
      </w:pPr>
      <w:r w:rsidRPr="006313BE">
        <w:rPr>
          <w:rFonts w:ascii="Cambria" w:hAnsi="Cambria"/>
          <w:i/>
          <w:iCs/>
          <w:sz w:val="22"/>
          <w:szCs w:val="22"/>
        </w:rPr>
        <w:t>September 2019</w:t>
      </w:r>
    </w:p>
    <w:p w14:paraId="4EF4B386" w14:textId="77777777" w:rsidR="005A1FA5" w:rsidRPr="006313BE" w:rsidRDefault="005A1FA5" w:rsidP="006313BE">
      <w:pPr>
        <w:pStyle w:val="Header"/>
        <w:tabs>
          <w:tab w:val="left" w:pos="4485"/>
        </w:tabs>
        <w:spacing w:after="0" w:line="240" w:lineRule="auto"/>
        <w:jc w:val="both"/>
        <w:rPr>
          <w:rFonts w:ascii="Cambria" w:hAnsi="Cambria"/>
          <w:iCs/>
          <w:sz w:val="22"/>
          <w:szCs w:val="22"/>
        </w:rPr>
      </w:pPr>
    </w:p>
    <w:p w14:paraId="5B1E2DAB" w14:textId="4E9A3DA5" w:rsidR="005A1FA5" w:rsidRPr="006313BE" w:rsidRDefault="005A1FA5" w:rsidP="006313BE">
      <w:pPr>
        <w:pStyle w:val="Header"/>
        <w:tabs>
          <w:tab w:val="left" w:pos="4485"/>
        </w:tabs>
        <w:spacing w:after="0" w:line="240" w:lineRule="auto"/>
        <w:jc w:val="both"/>
        <w:rPr>
          <w:rFonts w:ascii="Cambria" w:hAnsi="Cambria"/>
          <w:b/>
          <w:bCs/>
          <w:sz w:val="22"/>
          <w:szCs w:val="22"/>
          <w:u w:val="single"/>
        </w:rPr>
      </w:pPr>
      <w:r w:rsidRPr="006313BE">
        <w:rPr>
          <w:rFonts w:ascii="Cambria" w:hAnsi="Cambria"/>
          <w:b/>
          <w:bCs/>
          <w:sz w:val="22"/>
          <w:szCs w:val="22"/>
          <w:u w:val="single"/>
        </w:rPr>
        <w:t>Statement of Interest</w:t>
      </w:r>
    </w:p>
    <w:p w14:paraId="0E3BCA1F" w14:textId="77777777" w:rsidR="005A1FA5" w:rsidRPr="006313BE" w:rsidRDefault="005A1FA5" w:rsidP="006313BE">
      <w:pPr>
        <w:pStyle w:val="Header"/>
        <w:tabs>
          <w:tab w:val="left" w:pos="4485"/>
        </w:tabs>
        <w:spacing w:after="0" w:line="240" w:lineRule="auto"/>
        <w:jc w:val="both"/>
        <w:rPr>
          <w:rFonts w:ascii="Cambria" w:hAnsi="Cambria"/>
          <w:b/>
          <w:bCs/>
          <w:sz w:val="22"/>
          <w:szCs w:val="22"/>
          <w:u w:val="single"/>
        </w:rPr>
      </w:pPr>
    </w:p>
    <w:p w14:paraId="0F15C0B9" w14:textId="30194111" w:rsidR="005A1FA5" w:rsidRPr="00E66428" w:rsidRDefault="005A1FA5" w:rsidP="006313BE">
      <w:pPr>
        <w:pStyle w:val="ListParagraph"/>
        <w:numPr>
          <w:ilvl w:val="0"/>
          <w:numId w:val="1"/>
        </w:numPr>
        <w:contextualSpacing w:val="0"/>
        <w:jc w:val="both"/>
        <w:rPr>
          <w:i/>
          <w:lang w:val="pt-PT"/>
        </w:rPr>
      </w:pPr>
      <w:r w:rsidRPr="0093556B">
        <w:rPr>
          <w:lang w:val="pt-PT"/>
        </w:rPr>
        <w:t>This is a joint shadow report prepared by the Equal Rights Trust (the Trust), in partnership with Organização das Mulheres de Cabo Verde (OMCV), Associação Cabo-verdiana de Promoção e Inclusão das Mulheres com Deficiência (APIMUD), Associação Cabo-verdiana de Luta Contra Violencia Baseado no Género (ACLCVBG), Associação de Apoio ao Desenvolvimento Integral da Criança Deficiente (AADICD)</w:t>
      </w:r>
      <w:r w:rsidR="00E66428" w:rsidRPr="0093556B">
        <w:rPr>
          <w:lang w:val="pt-PT"/>
        </w:rPr>
        <w:t>,</w:t>
      </w:r>
      <w:r w:rsidRPr="0093556B">
        <w:rPr>
          <w:lang w:val="pt-PT"/>
        </w:rPr>
        <w:t xml:space="preserve"> </w:t>
      </w:r>
      <w:bookmarkStart w:id="0" w:name="_Hlk19615751"/>
      <w:r w:rsidRPr="0093556B">
        <w:rPr>
          <w:lang w:val="pt-PT"/>
        </w:rPr>
        <w:t>Associação Caboverdiana de Surdos</w:t>
      </w:r>
      <w:bookmarkEnd w:id="0"/>
      <w:r w:rsidRPr="0093556B">
        <w:rPr>
          <w:lang w:val="pt-PT"/>
        </w:rPr>
        <w:t xml:space="preserve">, </w:t>
      </w:r>
      <w:r w:rsidRPr="00E66428">
        <w:rPr>
          <w:iCs/>
          <w:lang w:val="pt-PT"/>
        </w:rPr>
        <w:t xml:space="preserve">Renascença Africana Associação das Mulheres da Africa Ocidental (RAMAO), </w:t>
      </w:r>
      <w:r w:rsidRPr="0093556B">
        <w:rPr>
          <w:iCs/>
          <w:lang w:val="pt-PT"/>
        </w:rPr>
        <w:t>Associação Pró Morro</w:t>
      </w:r>
      <w:r w:rsidRPr="00E66428">
        <w:rPr>
          <w:iCs/>
          <w:lang w:val="pt-PT"/>
        </w:rPr>
        <w:t xml:space="preserve">, and Associação Cabo-verdiana de </w:t>
      </w:r>
      <w:r w:rsidRPr="00E66428">
        <w:rPr>
          <w:rFonts w:cs="Times New Roman"/>
          <w:iCs/>
          <w:lang w:val="pt-PT"/>
        </w:rPr>
        <w:t xml:space="preserve">Auto-promoção da Mulher (Morabi) to the Human Rights Committee (the Committee) </w:t>
      </w:r>
      <w:r w:rsidRPr="0093556B">
        <w:rPr>
          <w:lang w:val="pt-PT"/>
        </w:rPr>
        <w:t xml:space="preserve">in respect of its review of Cabo Verde. </w:t>
      </w:r>
    </w:p>
    <w:p w14:paraId="508F3453" w14:textId="77777777" w:rsidR="005A1FA5" w:rsidRPr="006313BE" w:rsidRDefault="005A1FA5" w:rsidP="006313BE">
      <w:pPr>
        <w:pStyle w:val="Header"/>
        <w:tabs>
          <w:tab w:val="clear" w:pos="4703"/>
          <w:tab w:val="center" w:pos="567"/>
        </w:tabs>
        <w:spacing w:after="0" w:line="240" w:lineRule="auto"/>
        <w:ind w:left="567"/>
        <w:jc w:val="both"/>
        <w:rPr>
          <w:rFonts w:ascii="Cambria" w:hAnsi="Cambria"/>
          <w:sz w:val="22"/>
          <w:szCs w:val="22"/>
          <w:lang w:val="pt-PT"/>
        </w:rPr>
      </w:pPr>
    </w:p>
    <w:p w14:paraId="20D73A0F" w14:textId="77777777" w:rsidR="005A1FA5" w:rsidRPr="006313BE" w:rsidRDefault="005A1FA5" w:rsidP="006313BE">
      <w:pPr>
        <w:pStyle w:val="Header"/>
        <w:numPr>
          <w:ilvl w:val="0"/>
          <w:numId w:val="1"/>
        </w:numPr>
        <w:tabs>
          <w:tab w:val="clear" w:pos="4703"/>
          <w:tab w:val="center" w:pos="567"/>
        </w:tabs>
        <w:spacing w:after="0" w:line="240" w:lineRule="auto"/>
        <w:jc w:val="both"/>
        <w:rPr>
          <w:rFonts w:ascii="Cambria" w:hAnsi="Cambria"/>
          <w:sz w:val="22"/>
          <w:szCs w:val="22"/>
        </w:rPr>
      </w:pPr>
      <w:r w:rsidRPr="006313BE">
        <w:rPr>
          <w:rFonts w:ascii="Cambria" w:hAnsi="Cambria"/>
          <w:sz w:val="22"/>
          <w:szCs w:val="22"/>
        </w:rPr>
        <w:t xml:space="preserve">This collaborative submission has been produced in the context of a three-year initiative funded by the European Union and implemented by the Equal Rights Trust in partnership and collaboration with local civil society organisations and trade unions in Cabo Verde. The objective of the project is to improve the monitoring and effective implementation of Cabo Verde’s international obligations in respect of the rights to equality and non-discrimination arising under all UN human rights instruments, including the International Covenant on Civil and Political Rights (the Covenant).  </w:t>
      </w:r>
    </w:p>
    <w:p w14:paraId="7BDB061F" w14:textId="77777777" w:rsidR="005A1FA5" w:rsidRPr="006313BE" w:rsidRDefault="005A1FA5" w:rsidP="006313BE">
      <w:pPr>
        <w:pStyle w:val="Header"/>
        <w:tabs>
          <w:tab w:val="clear" w:pos="4703"/>
          <w:tab w:val="center" w:pos="567"/>
        </w:tabs>
        <w:spacing w:after="0" w:line="240" w:lineRule="auto"/>
        <w:jc w:val="both"/>
        <w:rPr>
          <w:rFonts w:ascii="Cambria" w:hAnsi="Cambria"/>
          <w:sz w:val="22"/>
          <w:szCs w:val="22"/>
        </w:rPr>
      </w:pPr>
    </w:p>
    <w:p w14:paraId="1C86C7B4" w14:textId="14F4543B" w:rsidR="005A1FA5" w:rsidRPr="006313BE" w:rsidRDefault="005A1FA5" w:rsidP="006313BE">
      <w:pPr>
        <w:pStyle w:val="Header"/>
        <w:numPr>
          <w:ilvl w:val="0"/>
          <w:numId w:val="1"/>
        </w:numPr>
        <w:tabs>
          <w:tab w:val="clear" w:pos="4703"/>
          <w:tab w:val="center" w:pos="567"/>
        </w:tabs>
        <w:spacing w:after="0" w:line="240" w:lineRule="auto"/>
        <w:jc w:val="both"/>
        <w:rPr>
          <w:rFonts w:ascii="Cambria" w:hAnsi="Cambria"/>
          <w:sz w:val="22"/>
          <w:szCs w:val="22"/>
        </w:rPr>
      </w:pPr>
      <w:r w:rsidRPr="006313BE">
        <w:rPr>
          <w:rFonts w:ascii="Cambria" w:hAnsi="Cambria"/>
          <w:sz w:val="22"/>
          <w:szCs w:val="22"/>
        </w:rPr>
        <w:t xml:space="preserve">The </w:t>
      </w:r>
      <w:r w:rsidR="005E5351" w:rsidRPr="006313BE">
        <w:rPr>
          <w:rFonts w:ascii="Cambria" w:hAnsi="Cambria"/>
          <w:sz w:val="22"/>
          <w:szCs w:val="22"/>
        </w:rPr>
        <w:t xml:space="preserve">Equal Rights </w:t>
      </w:r>
      <w:r w:rsidRPr="006313BE">
        <w:rPr>
          <w:rFonts w:ascii="Cambria" w:hAnsi="Cambria"/>
          <w:sz w:val="22"/>
          <w:szCs w:val="22"/>
        </w:rPr>
        <w:t>Trust is an independent international organisation whose mission is to eliminate discrimination and ensure that everyone can participate in society on an equal basis. We work in partnership with equality defenders around the world to secure the adoption and implementation of equality laws. Over the last decade, we have supported partners in more than 45 countries to combat discrimination and promote equality through law reform and improved implementation.</w:t>
      </w:r>
    </w:p>
    <w:p w14:paraId="79A8025A" w14:textId="77777777" w:rsidR="005A1FA5" w:rsidRPr="006313BE" w:rsidRDefault="005A1FA5" w:rsidP="006313BE">
      <w:pPr>
        <w:pStyle w:val="Header"/>
        <w:tabs>
          <w:tab w:val="clear" w:pos="4703"/>
          <w:tab w:val="center" w:pos="567"/>
        </w:tabs>
        <w:spacing w:after="0" w:line="240" w:lineRule="auto"/>
        <w:jc w:val="both"/>
        <w:rPr>
          <w:rFonts w:ascii="Cambria" w:hAnsi="Cambria"/>
          <w:sz w:val="22"/>
          <w:szCs w:val="22"/>
        </w:rPr>
      </w:pPr>
    </w:p>
    <w:p w14:paraId="3D6F3F37" w14:textId="77777777" w:rsidR="005A1FA5" w:rsidRPr="006313BE" w:rsidRDefault="005A1FA5" w:rsidP="006313BE">
      <w:pPr>
        <w:pStyle w:val="Header"/>
        <w:numPr>
          <w:ilvl w:val="0"/>
          <w:numId w:val="1"/>
        </w:numPr>
        <w:tabs>
          <w:tab w:val="clear" w:pos="4703"/>
          <w:tab w:val="center" w:pos="567"/>
        </w:tabs>
        <w:spacing w:after="0" w:line="240" w:lineRule="auto"/>
        <w:jc w:val="both"/>
        <w:rPr>
          <w:rFonts w:ascii="Cambria" w:hAnsi="Cambria"/>
          <w:sz w:val="22"/>
          <w:szCs w:val="22"/>
        </w:rPr>
      </w:pPr>
      <w:r w:rsidRPr="006313BE">
        <w:rPr>
          <w:rFonts w:ascii="Cambria" w:hAnsi="Cambria"/>
          <w:sz w:val="22"/>
          <w:szCs w:val="22"/>
        </w:rPr>
        <w:t xml:space="preserve">OMCV is a Cabo Verde-based women’s rights organisation established in 1981. A non-governmental organisation, it works throughout the country to promote women’s rights through advocacy and by raising awareness around issues including sexual and reproductive health rights, HIV/AIDS and gender-based violence. OMCV provides professional and vocational training to women in Cabo Verde and runs a microfinance program to support economic empowerment. It also </w:t>
      </w:r>
      <w:proofErr w:type="gramStart"/>
      <w:r w:rsidRPr="006313BE">
        <w:rPr>
          <w:rFonts w:ascii="Cambria" w:hAnsi="Cambria"/>
          <w:sz w:val="22"/>
          <w:szCs w:val="22"/>
        </w:rPr>
        <w:t>provides assistance to</w:t>
      </w:r>
      <w:proofErr w:type="gramEnd"/>
      <w:r w:rsidRPr="006313BE">
        <w:rPr>
          <w:rFonts w:ascii="Cambria" w:hAnsi="Cambria"/>
          <w:sz w:val="22"/>
          <w:szCs w:val="22"/>
        </w:rPr>
        <w:t xml:space="preserve"> victims of gender-based violence. </w:t>
      </w:r>
    </w:p>
    <w:p w14:paraId="6FD8F905" w14:textId="77777777" w:rsidR="005A1FA5" w:rsidRPr="006313BE" w:rsidRDefault="005A1FA5" w:rsidP="006313BE">
      <w:pPr>
        <w:pStyle w:val="Header"/>
        <w:tabs>
          <w:tab w:val="center" w:pos="567"/>
          <w:tab w:val="left" w:pos="4485"/>
        </w:tabs>
        <w:spacing w:after="0" w:line="240" w:lineRule="auto"/>
        <w:jc w:val="both"/>
        <w:rPr>
          <w:rFonts w:ascii="Cambria" w:hAnsi="Cambria"/>
          <w:sz w:val="22"/>
          <w:szCs w:val="22"/>
        </w:rPr>
      </w:pPr>
    </w:p>
    <w:p w14:paraId="71D61F10" w14:textId="77777777" w:rsidR="005A1FA5" w:rsidRPr="006313BE" w:rsidRDefault="005A1FA5" w:rsidP="006313BE">
      <w:pPr>
        <w:pStyle w:val="Header"/>
        <w:numPr>
          <w:ilvl w:val="0"/>
          <w:numId w:val="1"/>
        </w:numPr>
        <w:tabs>
          <w:tab w:val="center" w:pos="567"/>
          <w:tab w:val="left" w:pos="4485"/>
        </w:tabs>
        <w:spacing w:after="0" w:line="240" w:lineRule="auto"/>
        <w:jc w:val="both"/>
        <w:rPr>
          <w:rFonts w:ascii="Cambria" w:hAnsi="Cambria"/>
          <w:sz w:val="22"/>
          <w:szCs w:val="22"/>
        </w:rPr>
      </w:pPr>
      <w:r w:rsidRPr="006313BE">
        <w:rPr>
          <w:rFonts w:ascii="Cambria" w:hAnsi="Cambria"/>
          <w:sz w:val="22"/>
          <w:szCs w:val="22"/>
        </w:rPr>
        <w:t xml:space="preserve">APIMUD is a non-governmental organisation which works to promote the rights of women and girls with disabilities. This includes work to empower this group and ensure active participation in society. The organisation was established in 2015 and works with members of the target group on all islands of the country. Activities include training workshops, awareness-raising, work to promote access to employment and healthcare, as well as psychological support. </w:t>
      </w:r>
    </w:p>
    <w:p w14:paraId="3E729888" w14:textId="77777777" w:rsidR="005A1FA5" w:rsidRPr="006313BE" w:rsidRDefault="005A1FA5" w:rsidP="006313BE">
      <w:pPr>
        <w:pStyle w:val="Header"/>
        <w:tabs>
          <w:tab w:val="center" w:pos="567"/>
          <w:tab w:val="left" w:pos="4485"/>
        </w:tabs>
        <w:spacing w:after="0" w:line="240" w:lineRule="auto"/>
        <w:jc w:val="both"/>
        <w:rPr>
          <w:rFonts w:ascii="Cambria" w:hAnsi="Cambria"/>
          <w:sz w:val="22"/>
          <w:szCs w:val="22"/>
        </w:rPr>
      </w:pPr>
    </w:p>
    <w:p w14:paraId="4D526CA7" w14:textId="1120D3BE" w:rsidR="005A1FA5" w:rsidRPr="006313BE" w:rsidRDefault="005A1FA5" w:rsidP="006313BE">
      <w:pPr>
        <w:pStyle w:val="Header"/>
        <w:numPr>
          <w:ilvl w:val="0"/>
          <w:numId w:val="1"/>
        </w:numPr>
        <w:tabs>
          <w:tab w:val="center" w:pos="567"/>
          <w:tab w:val="left" w:pos="4485"/>
        </w:tabs>
        <w:spacing w:after="0" w:line="240" w:lineRule="auto"/>
        <w:jc w:val="both"/>
        <w:rPr>
          <w:rFonts w:ascii="Cambria" w:hAnsi="Cambria"/>
          <w:sz w:val="22"/>
          <w:szCs w:val="22"/>
        </w:rPr>
      </w:pPr>
      <w:r w:rsidRPr="006313BE">
        <w:rPr>
          <w:rFonts w:ascii="Cambria" w:hAnsi="Cambria"/>
          <w:sz w:val="22"/>
          <w:szCs w:val="22"/>
        </w:rPr>
        <w:t xml:space="preserve">ACLCVBG is a non-governmental organisation which works across the country to promote human rights, citizenship, education and to combat all forms of violence and discrimination. Activities also include support for </w:t>
      </w:r>
      <w:r w:rsidR="00420889" w:rsidRPr="006313BE">
        <w:rPr>
          <w:rFonts w:ascii="Cambria" w:hAnsi="Cambria"/>
          <w:sz w:val="22"/>
          <w:szCs w:val="22"/>
        </w:rPr>
        <w:t xml:space="preserve">survivors </w:t>
      </w:r>
      <w:r w:rsidRPr="006313BE">
        <w:rPr>
          <w:rFonts w:ascii="Cambria" w:hAnsi="Cambria"/>
          <w:sz w:val="22"/>
          <w:szCs w:val="22"/>
        </w:rPr>
        <w:t xml:space="preserve">of gender-based violence through assistance in judicial proceedings, as well as promoting the implementation </w:t>
      </w:r>
      <w:r w:rsidR="00420889" w:rsidRPr="006313BE">
        <w:rPr>
          <w:rFonts w:ascii="Cambria" w:hAnsi="Cambria"/>
          <w:sz w:val="22"/>
          <w:szCs w:val="22"/>
        </w:rPr>
        <w:t xml:space="preserve">of gender-based violence policies </w:t>
      </w:r>
      <w:r w:rsidRPr="006313BE">
        <w:rPr>
          <w:rFonts w:ascii="Cambria" w:hAnsi="Cambria"/>
          <w:sz w:val="22"/>
          <w:szCs w:val="22"/>
        </w:rPr>
        <w:t xml:space="preserve">by the Government. It also provides support to public and private institutions which implement gender-based violence policies on the ground. </w:t>
      </w:r>
    </w:p>
    <w:p w14:paraId="2B2B78A7" w14:textId="77777777" w:rsidR="00420889" w:rsidRPr="006313BE" w:rsidRDefault="00420889" w:rsidP="009058E1"/>
    <w:p w14:paraId="744786E3" w14:textId="77777777" w:rsidR="0021514D" w:rsidRPr="006313BE" w:rsidRDefault="005A1FA5" w:rsidP="006313BE">
      <w:pPr>
        <w:pStyle w:val="Header"/>
        <w:numPr>
          <w:ilvl w:val="0"/>
          <w:numId w:val="1"/>
        </w:numPr>
        <w:tabs>
          <w:tab w:val="center" w:pos="567"/>
          <w:tab w:val="left" w:pos="4485"/>
        </w:tabs>
        <w:spacing w:after="0" w:line="240" w:lineRule="auto"/>
        <w:jc w:val="both"/>
        <w:rPr>
          <w:rFonts w:ascii="Cambria" w:hAnsi="Cambria"/>
          <w:sz w:val="22"/>
          <w:szCs w:val="22"/>
        </w:rPr>
      </w:pPr>
      <w:proofErr w:type="spellStart"/>
      <w:r w:rsidRPr="006313BE">
        <w:rPr>
          <w:rFonts w:ascii="Cambria" w:hAnsi="Cambria"/>
          <w:sz w:val="22"/>
          <w:szCs w:val="22"/>
        </w:rPr>
        <w:t>Associação</w:t>
      </w:r>
      <w:proofErr w:type="spellEnd"/>
      <w:r w:rsidRPr="006313BE">
        <w:rPr>
          <w:rFonts w:ascii="Cambria" w:hAnsi="Cambria"/>
          <w:sz w:val="22"/>
          <w:szCs w:val="22"/>
        </w:rPr>
        <w:t xml:space="preserve"> </w:t>
      </w:r>
      <w:proofErr w:type="spellStart"/>
      <w:r w:rsidRPr="006313BE">
        <w:rPr>
          <w:rFonts w:ascii="Cambria" w:hAnsi="Cambria"/>
          <w:sz w:val="22"/>
          <w:szCs w:val="22"/>
        </w:rPr>
        <w:t>Caboverdiana</w:t>
      </w:r>
      <w:proofErr w:type="spellEnd"/>
      <w:r w:rsidRPr="006313BE">
        <w:rPr>
          <w:rFonts w:ascii="Cambria" w:hAnsi="Cambria"/>
          <w:sz w:val="22"/>
          <w:szCs w:val="22"/>
        </w:rPr>
        <w:t xml:space="preserve"> de </w:t>
      </w:r>
      <w:proofErr w:type="spellStart"/>
      <w:r w:rsidRPr="006313BE">
        <w:rPr>
          <w:rFonts w:ascii="Cambria" w:hAnsi="Cambria"/>
          <w:sz w:val="22"/>
          <w:szCs w:val="22"/>
        </w:rPr>
        <w:t>Surdos</w:t>
      </w:r>
      <w:proofErr w:type="spellEnd"/>
      <w:r w:rsidRPr="006313BE">
        <w:rPr>
          <w:rFonts w:ascii="Cambria" w:hAnsi="Cambria"/>
          <w:sz w:val="22"/>
          <w:szCs w:val="22"/>
        </w:rPr>
        <w:t xml:space="preserve"> is a non-governmental organisation created in 2012 to work with NGOs and </w:t>
      </w:r>
      <w:r w:rsidR="00420889" w:rsidRPr="006313BE">
        <w:rPr>
          <w:rFonts w:ascii="Cambria" w:hAnsi="Cambria"/>
          <w:sz w:val="22"/>
          <w:szCs w:val="22"/>
        </w:rPr>
        <w:t xml:space="preserve">marginalised </w:t>
      </w:r>
      <w:r w:rsidRPr="006313BE">
        <w:rPr>
          <w:rFonts w:ascii="Cambria" w:hAnsi="Cambria"/>
          <w:sz w:val="22"/>
          <w:szCs w:val="22"/>
        </w:rPr>
        <w:t xml:space="preserve">populations </w:t>
      </w:r>
      <w:r w:rsidR="00420889" w:rsidRPr="006313BE">
        <w:rPr>
          <w:rFonts w:ascii="Cambria" w:hAnsi="Cambria"/>
          <w:sz w:val="22"/>
          <w:szCs w:val="22"/>
        </w:rPr>
        <w:t>– persons with hearing disabilities</w:t>
      </w:r>
      <w:r w:rsidRPr="006313BE">
        <w:rPr>
          <w:rFonts w:ascii="Cambria" w:hAnsi="Cambria"/>
          <w:sz w:val="22"/>
          <w:szCs w:val="22"/>
        </w:rPr>
        <w:t xml:space="preserve"> in particular</w:t>
      </w:r>
      <w:r w:rsidR="00420889" w:rsidRPr="006313BE">
        <w:rPr>
          <w:rFonts w:ascii="Cambria" w:hAnsi="Cambria"/>
          <w:sz w:val="22"/>
          <w:szCs w:val="22"/>
        </w:rPr>
        <w:t xml:space="preserve"> –</w:t>
      </w:r>
      <w:r w:rsidRPr="006313BE">
        <w:rPr>
          <w:rFonts w:ascii="Cambria" w:hAnsi="Cambria"/>
          <w:sz w:val="22"/>
          <w:szCs w:val="22"/>
        </w:rPr>
        <w:t xml:space="preserve"> including awareness-raising campaigns about the human rights of persons with hearing disabilities, education, and psychosocial support to this population. </w:t>
      </w:r>
    </w:p>
    <w:p w14:paraId="770E97D7" w14:textId="77777777" w:rsidR="0021514D" w:rsidRPr="0093556B" w:rsidRDefault="0021514D" w:rsidP="006313BE">
      <w:pPr>
        <w:pStyle w:val="ListParagraph"/>
        <w:contextualSpacing w:val="0"/>
        <w:rPr>
          <w:iCs/>
          <w:lang w:val="en-US"/>
        </w:rPr>
      </w:pPr>
    </w:p>
    <w:p w14:paraId="151B9589" w14:textId="12756070" w:rsidR="005A1FA5" w:rsidRPr="006313BE" w:rsidRDefault="005A1FA5" w:rsidP="006313BE">
      <w:pPr>
        <w:pStyle w:val="Header"/>
        <w:numPr>
          <w:ilvl w:val="0"/>
          <w:numId w:val="1"/>
        </w:numPr>
        <w:tabs>
          <w:tab w:val="center" w:pos="567"/>
          <w:tab w:val="left" w:pos="4485"/>
        </w:tabs>
        <w:spacing w:after="0" w:line="240" w:lineRule="auto"/>
        <w:jc w:val="both"/>
        <w:rPr>
          <w:rFonts w:ascii="Cambria" w:hAnsi="Cambria"/>
          <w:sz w:val="22"/>
          <w:szCs w:val="22"/>
        </w:rPr>
      </w:pPr>
      <w:proofErr w:type="spellStart"/>
      <w:r w:rsidRPr="0093556B">
        <w:rPr>
          <w:rFonts w:ascii="Cambria" w:hAnsi="Cambria"/>
          <w:iCs/>
          <w:sz w:val="22"/>
          <w:szCs w:val="22"/>
          <w:lang w:val="en-US"/>
        </w:rPr>
        <w:t>Renascença</w:t>
      </w:r>
      <w:proofErr w:type="spellEnd"/>
      <w:r w:rsidRPr="0093556B">
        <w:rPr>
          <w:rFonts w:ascii="Cambria" w:hAnsi="Cambria"/>
          <w:iCs/>
          <w:sz w:val="22"/>
          <w:szCs w:val="22"/>
          <w:lang w:val="en-US"/>
        </w:rPr>
        <w:t xml:space="preserve"> Africana </w:t>
      </w:r>
      <w:proofErr w:type="spellStart"/>
      <w:r w:rsidRPr="0093556B">
        <w:rPr>
          <w:rFonts w:ascii="Cambria" w:hAnsi="Cambria"/>
          <w:iCs/>
          <w:sz w:val="22"/>
          <w:szCs w:val="22"/>
          <w:lang w:val="en-US"/>
        </w:rPr>
        <w:t>Associação</w:t>
      </w:r>
      <w:proofErr w:type="spellEnd"/>
      <w:r w:rsidRPr="0093556B">
        <w:rPr>
          <w:rFonts w:ascii="Cambria" w:hAnsi="Cambria"/>
          <w:iCs/>
          <w:sz w:val="22"/>
          <w:szCs w:val="22"/>
          <w:lang w:val="en-US"/>
        </w:rPr>
        <w:t xml:space="preserve"> das </w:t>
      </w:r>
      <w:proofErr w:type="spellStart"/>
      <w:r w:rsidRPr="0093556B">
        <w:rPr>
          <w:rFonts w:ascii="Cambria" w:hAnsi="Cambria"/>
          <w:iCs/>
          <w:sz w:val="22"/>
          <w:szCs w:val="22"/>
          <w:lang w:val="en-US"/>
        </w:rPr>
        <w:t>Mulheres</w:t>
      </w:r>
      <w:proofErr w:type="spellEnd"/>
      <w:r w:rsidRPr="0093556B">
        <w:rPr>
          <w:rFonts w:ascii="Cambria" w:hAnsi="Cambria"/>
          <w:iCs/>
          <w:sz w:val="22"/>
          <w:szCs w:val="22"/>
          <w:lang w:val="en-US"/>
        </w:rPr>
        <w:t xml:space="preserve"> da Africa </w:t>
      </w:r>
      <w:proofErr w:type="spellStart"/>
      <w:r w:rsidRPr="0093556B">
        <w:rPr>
          <w:rFonts w:ascii="Cambria" w:hAnsi="Cambria"/>
          <w:iCs/>
          <w:sz w:val="22"/>
          <w:szCs w:val="22"/>
          <w:lang w:val="en-US"/>
        </w:rPr>
        <w:t>Ocidental</w:t>
      </w:r>
      <w:proofErr w:type="spellEnd"/>
      <w:r w:rsidRPr="0093556B">
        <w:rPr>
          <w:rFonts w:ascii="Cambria" w:hAnsi="Cambria"/>
          <w:iCs/>
          <w:sz w:val="22"/>
          <w:szCs w:val="22"/>
          <w:lang w:val="en-US"/>
        </w:rPr>
        <w:t xml:space="preserve"> (RAMAO) is a cell of the West African Women’s Association created at the 1983 Conak</w:t>
      </w:r>
      <w:r w:rsidR="00420889" w:rsidRPr="0093556B">
        <w:rPr>
          <w:rFonts w:ascii="Cambria" w:hAnsi="Cambria"/>
          <w:iCs/>
          <w:sz w:val="22"/>
          <w:szCs w:val="22"/>
          <w:lang w:val="en-US"/>
        </w:rPr>
        <w:t>r</w:t>
      </w:r>
      <w:r w:rsidRPr="0093556B">
        <w:rPr>
          <w:rFonts w:ascii="Cambria" w:hAnsi="Cambria"/>
          <w:iCs/>
          <w:sz w:val="22"/>
          <w:szCs w:val="22"/>
          <w:lang w:val="en-US"/>
        </w:rPr>
        <w:t>y Summit of African Heads of State and Governments. Its mission is the protection of the rights of women, including activities and programs for socio-economic development, social inclusion, the reduction of poverty, and the promotion of the integration of a gender-based perspective into Cabo Verde’s development policies.</w:t>
      </w:r>
    </w:p>
    <w:p w14:paraId="5E445474" w14:textId="77777777" w:rsidR="005A1FA5" w:rsidRPr="006313BE" w:rsidRDefault="005A1FA5" w:rsidP="006313BE">
      <w:pPr>
        <w:pStyle w:val="ListParagraph"/>
        <w:contextualSpacing w:val="0"/>
        <w:jc w:val="both"/>
      </w:pPr>
    </w:p>
    <w:p w14:paraId="62351E0C" w14:textId="77777777" w:rsidR="0021514D" w:rsidRPr="006313BE" w:rsidRDefault="005A1FA5" w:rsidP="006313BE">
      <w:pPr>
        <w:pStyle w:val="Header"/>
        <w:numPr>
          <w:ilvl w:val="0"/>
          <w:numId w:val="1"/>
        </w:numPr>
        <w:tabs>
          <w:tab w:val="center" w:pos="567"/>
          <w:tab w:val="left" w:pos="4485"/>
        </w:tabs>
        <w:spacing w:after="0" w:line="240" w:lineRule="auto"/>
        <w:jc w:val="both"/>
        <w:rPr>
          <w:rFonts w:ascii="Cambria" w:hAnsi="Cambria"/>
          <w:sz w:val="22"/>
          <w:szCs w:val="22"/>
        </w:rPr>
      </w:pPr>
      <w:r w:rsidRPr="006313BE">
        <w:rPr>
          <w:rFonts w:ascii="Cambria" w:hAnsi="Cambria"/>
          <w:sz w:val="22"/>
          <w:szCs w:val="22"/>
        </w:rPr>
        <w:t xml:space="preserve">Pro </w:t>
      </w:r>
      <w:proofErr w:type="spellStart"/>
      <w:r w:rsidRPr="006313BE">
        <w:rPr>
          <w:rFonts w:ascii="Cambria" w:hAnsi="Cambria"/>
          <w:sz w:val="22"/>
          <w:szCs w:val="22"/>
        </w:rPr>
        <w:t>Morr</w:t>
      </w:r>
      <w:r w:rsidR="006556A7" w:rsidRPr="006313BE">
        <w:rPr>
          <w:rFonts w:ascii="Cambria" w:hAnsi="Cambria"/>
          <w:sz w:val="22"/>
          <w:szCs w:val="22"/>
        </w:rPr>
        <w:t>ó</w:t>
      </w:r>
      <w:proofErr w:type="spellEnd"/>
      <w:r w:rsidRPr="006313BE">
        <w:rPr>
          <w:rFonts w:ascii="Cambria" w:hAnsi="Cambria"/>
          <w:sz w:val="22"/>
          <w:szCs w:val="22"/>
        </w:rPr>
        <w:t xml:space="preserve"> Associatio</w:t>
      </w:r>
      <w:r w:rsidR="0021514D" w:rsidRPr="006313BE">
        <w:rPr>
          <w:rFonts w:ascii="Cambria" w:hAnsi="Cambria"/>
          <w:sz w:val="22"/>
          <w:szCs w:val="22"/>
        </w:rPr>
        <w:t>n</w:t>
      </w:r>
      <w:r w:rsidRPr="006313BE">
        <w:rPr>
          <w:rFonts w:ascii="Cambria" w:hAnsi="Cambria"/>
          <w:sz w:val="22"/>
          <w:szCs w:val="22"/>
        </w:rPr>
        <w:t xml:space="preserve"> is a non-governmental organization created in 2008, focusing on recreational and educational activities for children and young persons, employment and vocational training, social and community integration, and the promotion of volunteering, culture, peace and citizenship. It also conducts home visits to neglected elderly persons. </w:t>
      </w:r>
    </w:p>
    <w:p w14:paraId="2ACE94F7" w14:textId="77777777" w:rsidR="0021514D" w:rsidRPr="006313BE" w:rsidRDefault="0021514D" w:rsidP="006313BE">
      <w:pPr>
        <w:pStyle w:val="ListParagraph"/>
        <w:contextualSpacing w:val="0"/>
        <w:rPr>
          <w:iCs/>
          <w:lang w:val="pt-PT"/>
        </w:rPr>
      </w:pPr>
    </w:p>
    <w:p w14:paraId="3A80ABD2" w14:textId="6EBDAD1F" w:rsidR="005A1FA5" w:rsidRPr="006313BE" w:rsidRDefault="005A1FA5" w:rsidP="006313BE">
      <w:pPr>
        <w:pStyle w:val="Header"/>
        <w:numPr>
          <w:ilvl w:val="0"/>
          <w:numId w:val="1"/>
        </w:numPr>
        <w:tabs>
          <w:tab w:val="center" w:pos="567"/>
          <w:tab w:val="left" w:pos="4485"/>
        </w:tabs>
        <w:spacing w:after="0" w:line="240" w:lineRule="auto"/>
        <w:jc w:val="both"/>
        <w:rPr>
          <w:rFonts w:ascii="Cambria" w:hAnsi="Cambria"/>
          <w:sz w:val="22"/>
          <w:szCs w:val="22"/>
        </w:rPr>
      </w:pPr>
      <w:proofErr w:type="spellStart"/>
      <w:r w:rsidRPr="0093556B">
        <w:rPr>
          <w:rFonts w:ascii="Cambria" w:hAnsi="Cambria"/>
          <w:iCs/>
          <w:sz w:val="22"/>
          <w:szCs w:val="22"/>
          <w:lang w:val="en-US"/>
        </w:rPr>
        <w:t>Associação</w:t>
      </w:r>
      <w:proofErr w:type="spellEnd"/>
      <w:r w:rsidRPr="0093556B">
        <w:rPr>
          <w:rFonts w:ascii="Cambria" w:hAnsi="Cambria"/>
          <w:iCs/>
          <w:sz w:val="22"/>
          <w:szCs w:val="22"/>
          <w:lang w:val="en-US"/>
        </w:rPr>
        <w:t xml:space="preserve"> Cabo-</w:t>
      </w:r>
      <w:proofErr w:type="spellStart"/>
      <w:r w:rsidRPr="0093556B">
        <w:rPr>
          <w:rFonts w:ascii="Cambria" w:hAnsi="Cambria"/>
          <w:iCs/>
          <w:sz w:val="22"/>
          <w:szCs w:val="22"/>
          <w:lang w:val="en-US"/>
        </w:rPr>
        <w:t>verdiana</w:t>
      </w:r>
      <w:proofErr w:type="spellEnd"/>
      <w:r w:rsidRPr="0093556B">
        <w:rPr>
          <w:rFonts w:ascii="Cambria" w:hAnsi="Cambria"/>
          <w:iCs/>
          <w:sz w:val="22"/>
          <w:szCs w:val="22"/>
          <w:lang w:val="en-US"/>
        </w:rPr>
        <w:t xml:space="preserve"> de Auto-</w:t>
      </w:r>
      <w:proofErr w:type="spellStart"/>
      <w:r w:rsidRPr="0093556B">
        <w:rPr>
          <w:rFonts w:ascii="Cambria" w:hAnsi="Cambria"/>
          <w:iCs/>
          <w:sz w:val="22"/>
          <w:szCs w:val="22"/>
          <w:lang w:val="en-US"/>
        </w:rPr>
        <w:t>promoção</w:t>
      </w:r>
      <w:proofErr w:type="spellEnd"/>
      <w:r w:rsidRPr="0093556B">
        <w:rPr>
          <w:rFonts w:ascii="Cambria" w:hAnsi="Cambria"/>
          <w:iCs/>
          <w:sz w:val="22"/>
          <w:szCs w:val="22"/>
          <w:lang w:val="en-US"/>
        </w:rPr>
        <w:t xml:space="preserve"> da </w:t>
      </w:r>
      <w:proofErr w:type="spellStart"/>
      <w:r w:rsidRPr="0093556B">
        <w:rPr>
          <w:rFonts w:ascii="Cambria" w:hAnsi="Cambria"/>
          <w:iCs/>
          <w:sz w:val="22"/>
          <w:szCs w:val="22"/>
          <w:lang w:val="en-US"/>
        </w:rPr>
        <w:t>Mulher</w:t>
      </w:r>
      <w:proofErr w:type="spellEnd"/>
      <w:r w:rsidRPr="0093556B">
        <w:rPr>
          <w:rFonts w:ascii="Cambria" w:hAnsi="Cambria"/>
          <w:iCs/>
          <w:sz w:val="22"/>
          <w:szCs w:val="22"/>
          <w:lang w:val="en-US"/>
        </w:rPr>
        <w:t xml:space="preserve"> (</w:t>
      </w:r>
      <w:proofErr w:type="spellStart"/>
      <w:r w:rsidRPr="0093556B">
        <w:rPr>
          <w:rFonts w:ascii="Cambria" w:hAnsi="Cambria"/>
          <w:iCs/>
          <w:sz w:val="22"/>
          <w:szCs w:val="22"/>
          <w:lang w:val="en-US"/>
        </w:rPr>
        <w:t>Morabi</w:t>
      </w:r>
      <w:proofErr w:type="spellEnd"/>
      <w:r w:rsidRPr="0093556B">
        <w:rPr>
          <w:rFonts w:ascii="Cambria" w:hAnsi="Cambria"/>
          <w:iCs/>
          <w:sz w:val="22"/>
          <w:szCs w:val="22"/>
          <w:lang w:val="en-US"/>
        </w:rPr>
        <w:t xml:space="preserve">) is a non-profit, non-governmental organization created in 1991. Its mission is to promote the social and economic integration of </w:t>
      </w:r>
      <w:proofErr w:type="spellStart"/>
      <w:r w:rsidR="0010321E" w:rsidRPr="0093556B">
        <w:rPr>
          <w:rFonts w:ascii="Cambria" w:hAnsi="Cambria"/>
          <w:iCs/>
          <w:sz w:val="22"/>
          <w:szCs w:val="22"/>
          <w:lang w:val="en-US"/>
        </w:rPr>
        <w:t>marginalised</w:t>
      </w:r>
      <w:proofErr w:type="spellEnd"/>
      <w:r w:rsidR="0010321E" w:rsidRPr="0093556B">
        <w:rPr>
          <w:rFonts w:ascii="Cambria" w:hAnsi="Cambria"/>
          <w:iCs/>
          <w:sz w:val="22"/>
          <w:szCs w:val="22"/>
          <w:lang w:val="en-US"/>
        </w:rPr>
        <w:t xml:space="preserve"> </w:t>
      </w:r>
      <w:r w:rsidRPr="0093556B">
        <w:rPr>
          <w:rFonts w:ascii="Cambria" w:hAnsi="Cambria"/>
          <w:iCs/>
          <w:sz w:val="22"/>
          <w:szCs w:val="22"/>
          <w:lang w:val="en-US"/>
        </w:rPr>
        <w:t xml:space="preserve">groups from a gender perspective, particularly targeting heads of households, unemployed young women and single mothers in both rural and urban areas. </w:t>
      </w:r>
      <w:r w:rsidR="0010321E" w:rsidRPr="0093556B">
        <w:rPr>
          <w:rFonts w:ascii="Cambria" w:hAnsi="Cambria"/>
          <w:iCs/>
          <w:sz w:val="22"/>
          <w:szCs w:val="22"/>
          <w:lang w:val="en-US"/>
        </w:rPr>
        <w:t>It has</w:t>
      </w:r>
      <w:r w:rsidRPr="0093556B">
        <w:rPr>
          <w:rFonts w:ascii="Cambria" w:hAnsi="Cambria"/>
          <w:iCs/>
          <w:sz w:val="22"/>
          <w:szCs w:val="22"/>
          <w:lang w:val="en-US"/>
        </w:rPr>
        <w:t xml:space="preserve"> developed programs and projects for community awareness-raising, education, vocational training, and financing in order to improve the quality of life of women. </w:t>
      </w:r>
    </w:p>
    <w:p w14:paraId="374E0D5D" w14:textId="3A41F426" w:rsidR="001C5357" w:rsidRPr="006313BE" w:rsidRDefault="001C5357" w:rsidP="006313BE">
      <w:pPr>
        <w:spacing w:after="0" w:line="240" w:lineRule="auto"/>
        <w:jc w:val="both"/>
        <w:rPr>
          <w:rFonts w:ascii="Cambria" w:hAnsi="Cambria"/>
          <w:sz w:val="22"/>
          <w:szCs w:val="22"/>
        </w:rPr>
      </w:pPr>
    </w:p>
    <w:p w14:paraId="08919092" w14:textId="77777777" w:rsidR="005A1FA5" w:rsidRPr="006313BE" w:rsidRDefault="005A1FA5" w:rsidP="006313BE">
      <w:pPr>
        <w:pStyle w:val="Header"/>
        <w:tabs>
          <w:tab w:val="center" w:pos="567"/>
          <w:tab w:val="left" w:pos="4485"/>
        </w:tabs>
        <w:spacing w:after="0" w:line="240" w:lineRule="auto"/>
        <w:jc w:val="both"/>
        <w:rPr>
          <w:rFonts w:ascii="Cambria" w:hAnsi="Cambria"/>
          <w:b/>
          <w:bCs/>
          <w:sz w:val="22"/>
          <w:szCs w:val="22"/>
          <w:u w:val="single"/>
        </w:rPr>
      </w:pPr>
      <w:r w:rsidRPr="006313BE">
        <w:rPr>
          <w:rFonts w:ascii="Cambria" w:hAnsi="Cambria"/>
          <w:b/>
          <w:bCs/>
          <w:sz w:val="22"/>
          <w:szCs w:val="22"/>
          <w:u w:val="single"/>
        </w:rPr>
        <w:t>Introduction</w:t>
      </w:r>
    </w:p>
    <w:p w14:paraId="5363EB08" w14:textId="77777777" w:rsidR="005A1FA5" w:rsidRPr="006313BE" w:rsidRDefault="005A1FA5" w:rsidP="006313BE">
      <w:pPr>
        <w:pStyle w:val="Header"/>
        <w:tabs>
          <w:tab w:val="center" w:pos="567"/>
          <w:tab w:val="left" w:pos="4485"/>
        </w:tabs>
        <w:spacing w:after="0" w:line="240" w:lineRule="auto"/>
        <w:jc w:val="both"/>
        <w:rPr>
          <w:rFonts w:ascii="Cambria" w:hAnsi="Cambria"/>
          <w:sz w:val="22"/>
          <w:szCs w:val="22"/>
        </w:rPr>
      </w:pPr>
    </w:p>
    <w:p w14:paraId="14A8ECC8" w14:textId="66AD727F" w:rsidR="0021514D" w:rsidRPr="006313BE" w:rsidRDefault="005A1FA5" w:rsidP="006313BE">
      <w:pPr>
        <w:pStyle w:val="Header"/>
        <w:numPr>
          <w:ilvl w:val="0"/>
          <w:numId w:val="2"/>
        </w:numPr>
        <w:tabs>
          <w:tab w:val="center" w:pos="567"/>
          <w:tab w:val="left" w:pos="4485"/>
        </w:tabs>
        <w:spacing w:after="0" w:line="240" w:lineRule="auto"/>
        <w:jc w:val="both"/>
        <w:rPr>
          <w:rFonts w:ascii="Cambria" w:hAnsi="Cambria"/>
          <w:sz w:val="22"/>
          <w:szCs w:val="22"/>
        </w:rPr>
      </w:pPr>
      <w:r w:rsidRPr="006313BE">
        <w:rPr>
          <w:rFonts w:ascii="Cambria" w:hAnsi="Cambria"/>
          <w:sz w:val="22"/>
          <w:szCs w:val="22"/>
        </w:rPr>
        <w:t xml:space="preserve">This joint submission </w:t>
      </w:r>
      <w:r w:rsidR="0010321E" w:rsidRPr="006313BE">
        <w:rPr>
          <w:rFonts w:ascii="Cambria" w:hAnsi="Cambria"/>
          <w:sz w:val="22"/>
          <w:szCs w:val="22"/>
        </w:rPr>
        <w:t xml:space="preserve">presents </w:t>
      </w:r>
      <w:r w:rsidRPr="006313BE">
        <w:rPr>
          <w:rFonts w:ascii="Cambria" w:hAnsi="Cambria"/>
          <w:sz w:val="22"/>
          <w:szCs w:val="22"/>
        </w:rPr>
        <w:t xml:space="preserve">evidence </w:t>
      </w:r>
      <w:r w:rsidR="0010321E" w:rsidRPr="006313BE">
        <w:rPr>
          <w:rFonts w:ascii="Cambria" w:hAnsi="Cambria"/>
          <w:sz w:val="22"/>
          <w:szCs w:val="22"/>
        </w:rPr>
        <w:t xml:space="preserve">collected by the above-mentioned Cabo Verdean civil society organisations on </w:t>
      </w:r>
      <w:r w:rsidRPr="006313BE">
        <w:rPr>
          <w:rFonts w:ascii="Cambria" w:hAnsi="Cambria"/>
          <w:sz w:val="22"/>
          <w:szCs w:val="22"/>
        </w:rPr>
        <w:t xml:space="preserve">Cabo Verde’s implementation of the right to non-discrimination. </w:t>
      </w:r>
      <w:r w:rsidR="00E11B57" w:rsidRPr="006313BE">
        <w:rPr>
          <w:rFonts w:ascii="Cambria" w:hAnsi="Cambria"/>
          <w:sz w:val="22"/>
          <w:szCs w:val="22"/>
        </w:rPr>
        <w:t xml:space="preserve">Thus, this submission is concerned with Cabo Verde’s performance under </w:t>
      </w:r>
      <w:r w:rsidR="00E11B57" w:rsidRPr="006313BE">
        <w:rPr>
          <w:rFonts w:ascii="Cambria" w:hAnsi="Cambria"/>
          <w:sz w:val="22"/>
          <w:szCs w:val="22"/>
        </w:rPr>
        <w:lastRenderedPageBreak/>
        <w:t>two Articles of the Covenant: first, Article 2(1), which requires that state parties respect and ensure the enjoyment of the rights provided in the Covenant without distinction; and second, Article 26 of the Covenant which, as the Committee has stated, provides an “autonomous right”</w:t>
      </w:r>
      <w:r w:rsidR="006556A7" w:rsidRPr="006313BE">
        <w:rPr>
          <w:rFonts w:ascii="Cambria" w:hAnsi="Cambria"/>
          <w:sz w:val="22"/>
          <w:szCs w:val="22"/>
        </w:rPr>
        <w:t xml:space="preserve"> to non-discrimination</w:t>
      </w:r>
      <w:r w:rsidR="00E11B57" w:rsidRPr="006313BE">
        <w:rPr>
          <w:rStyle w:val="FootnoteReference"/>
          <w:rFonts w:ascii="Cambria" w:hAnsi="Cambria"/>
          <w:sz w:val="22"/>
          <w:szCs w:val="22"/>
        </w:rPr>
        <w:t xml:space="preserve"> </w:t>
      </w:r>
      <w:r w:rsidR="00E11B57" w:rsidRPr="006313BE">
        <w:rPr>
          <w:rStyle w:val="FootnoteReference"/>
          <w:rFonts w:ascii="Cambria" w:hAnsi="Cambria"/>
          <w:sz w:val="22"/>
          <w:szCs w:val="22"/>
        </w:rPr>
        <w:footnoteReference w:id="1"/>
      </w:r>
      <w:r w:rsidR="00E11B57" w:rsidRPr="006313BE">
        <w:rPr>
          <w:rFonts w:ascii="Cambria" w:hAnsi="Cambria"/>
          <w:sz w:val="22"/>
          <w:szCs w:val="22"/>
        </w:rPr>
        <w:t>.</w:t>
      </w:r>
    </w:p>
    <w:p w14:paraId="270E4E86" w14:textId="77777777" w:rsidR="00F55757" w:rsidRPr="006313BE" w:rsidRDefault="00F55757" w:rsidP="006313BE">
      <w:pPr>
        <w:pStyle w:val="Header"/>
        <w:tabs>
          <w:tab w:val="center" w:pos="567"/>
          <w:tab w:val="left" w:pos="4485"/>
        </w:tabs>
        <w:spacing w:after="0" w:line="240" w:lineRule="auto"/>
        <w:ind w:left="567"/>
        <w:jc w:val="both"/>
        <w:rPr>
          <w:rFonts w:ascii="Cambria" w:hAnsi="Cambria"/>
          <w:sz w:val="22"/>
          <w:szCs w:val="22"/>
        </w:rPr>
      </w:pPr>
    </w:p>
    <w:p w14:paraId="6D51FB84" w14:textId="77777777" w:rsidR="00D51D9F" w:rsidRPr="006313BE" w:rsidRDefault="00E11B57" w:rsidP="006313BE">
      <w:pPr>
        <w:pStyle w:val="Header"/>
        <w:numPr>
          <w:ilvl w:val="0"/>
          <w:numId w:val="2"/>
        </w:numPr>
        <w:tabs>
          <w:tab w:val="center" w:pos="567"/>
          <w:tab w:val="left" w:pos="4485"/>
        </w:tabs>
        <w:spacing w:after="0" w:line="240" w:lineRule="auto"/>
        <w:jc w:val="both"/>
        <w:rPr>
          <w:rFonts w:ascii="Cambria" w:hAnsi="Cambria"/>
          <w:sz w:val="22"/>
          <w:szCs w:val="22"/>
        </w:rPr>
      </w:pPr>
      <w:r w:rsidRPr="006313BE">
        <w:rPr>
          <w:rFonts w:ascii="Cambria" w:hAnsi="Cambria"/>
          <w:sz w:val="22"/>
          <w:szCs w:val="22"/>
        </w:rPr>
        <w:t xml:space="preserve">In assessing </w:t>
      </w:r>
      <w:r w:rsidR="00491955" w:rsidRPr="006313BE">
        <w:rPr>
          <w:rFonts w:ascii="Cambria" w:hAnsi="Cambria"/>
          <w:sz w:val="22"/>
          <w:szCs w:val="22"/>
        </w:rPr>
        <w:t>Cabo Verde’s adherence to its obligations under Articles 2(1) and 26 of the Covenant, the submission relies, in part, on the interpretation of these provisions which has been provided by the Committee in its General Comment No. 18.</w:t>
      </w:r>
      <w:r w:rsidR="00491955" w:rsidRPr="006313BE">
        <w:rPr>
          <w:rStyle w:val="FootnoteReference"/>
          <w:rFonts w:ascii="Cambria" w:hAnsi="Cambria"/>
          <w:sz w:val="22"/>
          <w:szCs w:val="22"/>
        </w:rPr>
        <w:footnoteReference w:id="2"/>
      </w:r>
      <w:r w:rsidR="00491955" w:rsidRPr="006313BE">
        <w:rPr>
          <w:rFonts w:ascii="Cambria" w:hAnsi="Cambria"/>
          <w:sz w:val="22"/>
          <w:szCs w:val="22"/>
        </w:rPr>
        <w:t xml:space="preserve">  The submission also relies upon the Declaration on principles of Equality (the Declaration</w:t>
      </w:r>
      <w:r w:rsidR="0010321E" w:rsidRPr="006313BE">
        <w:rPr>
          <w:rFonts w:ascii="Cambria" w:hAnsi="Cambria"/>
          <w:sz w:val="22"/>
          <w:szCs w:val="22"/>
        </w:rPr>
        <w:t>)</w:t>
      </w:r>
      <w:r w:rsidR="00491955" w:rsidRPr="006313BE">
        <w:rPr>
          <w:rStyle w:val="FootnoteReference"/>
          <w:rFonts w:ascii="Cambria" w:hAnsi="Cambria"/>
          <w:sz w:val="22"/>
          <w:szCs w:val="22"/>
        </w:rPr>
        <w:footnoteReference w:id="3"/>
      </w:r>
      <w:r w:rsidR="00491955" w:rsidRPr="006313BE">
        <w:rPr>
          <w:rFonts w:ascii="Cambria" w:hAnsi="Cambria"/>
          <w:sz w:val="22"/>
          <w:szCs w:val="22"/>
        </w:rPr>
        <w:t xml:space="preserve"> a document of international best practice</w:t>
      </w:r>
      <w:r w:rsidR="0010321E" w:rsidRPr="006313BE">
        <w:rPr>
          <w:rFonts w:ascii="Cambria" w:hAnsi="Cambria"/>
          <w:sz w:val="22"/>
          <w:szCs w:val="22"/>
        </w:rPr>
        <w:t xml:space="preserve"> which</w:t>
      </w:r>
      <w:r w:rsidR="00491955" w:rsidRPr="006313BE">
        <w:rPr>
          <w:rFonts w:ascii="Cambria" w:hAnsi="Cambria"/>
          <w:sz w:val="22"/>
          <w:szCs w:val="22"/>
        </w:rPr>
        <w:t xml:space="preserve"> was drafted and adopted in 2008 by 128 human rights and equality advocates and experts, and has been described as “the current international understanding of Principles on Equality”.</w:t>
      </w:r>
      <w:r w:rsidR="00491955" w:rsidRPr="006313BE">
        <w:rPr>
          <w:rStyle w:val="FootnoteReference"/>
          <w:rFonts w:ascii="Cambria" w:hAnsi="Cambria"/>
          <w:sz w:val="22"/>
          <w:szCs w:val="22"/>
        </w:rPr>
        <w:footnoteReference w:id="4"/>
      </w:r>
    </w:p>
    <w:p w14:paraId="73D45139" w14:textId="77777777" w:rsidR="00D51D9F" w:rsidRPr="006313BE" w:rsidRDefault="00D51D9F" w:rsidP="006313BE">
      <w:pPr>
        <w:pStyle w:val="Header"/>
        <w:tabs>
          <w:tab w:val="center" w:pos="567"/>
          <w:tab w:val="left" w:pos="4485"/>
        </w:tabs>
        <w:spacing w:after="0" w:line="240" w:lineRule="auto"/>
        <w:jc w:val="both"/>
        <w:rPr>
          <w:rFonts w:ascii="Cambria" w:hAnsi="Cambria"/>
          <w:sz w:val="22"/>
          <w:szCs w:val="22"/>
        </w:rPr>
      </w:pPr>
    </w:p>
    <w:p w14:paraId="7F617E12" w14:textId="1AA4DBEE" w:rsidR="00C45DD6" w:rsidRPr="006313BE" w:rsidRDefault="00C45DD6" w:rsidP="006313BE">
      <w:pPr>
        <w:pStyle w:val="Header"/>
        <w:numPr>
          <w:ilvl w:val="0"/>
          <w:numId w:val="2"/>
        </w:numPr>
        <w:tabs>
          <w:tab w:val="center" w:pos="567"/>
          <w:tab w:val="left" w:pos="4485"/>
        </w:tabs>
        <w:spacing w:after="0" w:line="240" w:lineRule="auto"/>
        <w:jc w:val="both"/>
        <w:rPr>
          <w:rFonts w:ascii="Cambria" w:hAnsi="Cambria"/>
          <w:sz w:val="22"/>
          <w:szCs w:val="22"/>
        </w:rPr>
      </w:pPr>
      <w:r w:rsidRPr="006313BE">
        <w:rPr>
          <w:rFonts w:ascii="Cambria" w:hAnsi="Cambria"/>
          <w:sz w:val="22"/>
          <w:szCs w:val="22"/>
        </w:rPr>
        <w:t>I</w:t>
      </w:r>
      <w:r w:rsidR="0010321E" w:rsidRPr="006313BE">
        <w:rPr>
          <w:rFonts w:ascii="Cambria" w:hAnsi="Cambria"/>
          <w:sz w:val="22"/>
          <w:szCs w:val="22"/>
        </w:rPr>
        <w:t>n preparing this submission, the Equal Rights T</w:t>
      </w:r>
      <w:r w:rsidR="00491955" w:rsidRPr="006313BE">
        <w:rPr>
          <w:rFonts w:ascii="Cambria" w:hAnsi="Cambria"/>
          <w:sz w:val="22"/>
          <w:szCs w:val="22"/>
        </w:rPr>
        <w:t xml:space="preserve">rust </w:t>
      </w:r>
      <w:r w:rsidR="004122DD" w:rsidRPr="006313BE">
        <w:rPr>
          <w:rFonts w:ascii="Cambria" w:hAnsi="Cambria"/>
          <w:sz w:val="22"/>
          <w:szCs w:val="22"/>
        </w:rPr>
        <w:t xml:space="preserve">has compiled information from the </w:t>
      </w:r>
      <w:r w:rsidR="00491955" w:rsidRPr="006313BE">
        <w:rPr>
          <w:rFonts w:ascii="Cambria" w:hAnsi="Cambria"/>
          <w:sz w:val="22"/>
          <w:szCs w:val="22"/>
        </w:rPr>
        <w:t>research carried out by its partners</w:t>
      </w:r>
      <w:r w:rsidR="004122DD" w:rsidRPr="006313BE">
        <w:rPr>
          <w:rFonts w:ascii="Cambria" w:hAnsi="Cambria"/>
          <w:sz w:val="22"/>
          <w:szCs w:val="22"/>
        </w:rPr>
        <w:t xml:space="preserve"> </w:t>
      </w:r>
      <w:r w:rsidR="0010321E" w:rsidRPr="006313BE">
        <w:rPr>
          <w:rFonts w:ascii="Cambria" w:hAnsi="Cambria"/>
          <w:sz w:val="22"/>
          <w:szCs w:val="22"/>
        </w:rPr>
        <w:t xml:space="preserve">both </w:t>
      </w:r>
      <w:r w:rsidR="004122DD" w:rsidRPr="006313BE">
        <w:rPr>
          <w:rFonts w:ascii="Cambria" w:hAnsi="Cambria"/>
          <w:sz w:val="22"/>
          <w:szCs w:val="22"/>
        </w:rPr>
        <w:t xml:space="preserve">through </w:t>
      </w:r>
      <w:r w:rsidR="0010321E" w:rsidRPr="006313BE">
        <w:rPr>
          <w:rFonts w:ascii="Cambria" w:hAnsi="Cambria"/>
          <w:sz w:val="22"/>
          <w:szCs w:val="22"/>
        </w:rPr>
        <w:t>their ongoing work and through consultation with their target groups</w:t>
      </w:r>
      <w:r w:rsidR="00491955" w:rsidRPr="006313BE">
        <w:rPr>
          <w:rFonts w:ascii="Cambria" w:hAnsi="Cambria"/>
          <w:sz w:val="22"/>
          <w:szCs w:val="22"/>
        </w:rPr>
        <w:t xml:space="preserve">. </w:t>
      </w:r>
      <w:r w:rsidR="00186B8D" w:rsidRPr="006313BE">
        <w:rPr>
          <w:rFonts w:ascii="Cambria" w:hAnsi="Cambria"/>
          <w:sz w:val="22"/>
          <w:szCs w:val="22"/>
        </w:rPr>
        <w:t>This</w:t>
      </w:r>
      <w:r w:rsidR="004122DD" w:rsidRPr="006313BE">
        <w:rPr>
          <w:rFonts w:ascii="Cambria" w:hAnsi="Cambria"/>
          <w:sz w:val="22"/>
          <w:szCs w:val="22"/>
        </w:rPr>
        <w:t xml:space="preserve"> submission </w:t>
      </w:r>
      <w:r w:rsidR="00186B8D" w:rsidRPr="006313BE">
        <w:rPr>
          <w:rFonts w:ascii="Cambria" w:hAnsi="Cambria"/>
          <w:sz w:val="22"/>
          <w:szCs w:val="22"/>
        </w:rPr>
        <w:t xml:space="preserve">provides evidence </w:t>
      </w:r>
      <w:r w:rsidR="004122DD" w:rsidRPr="006313BE">
        <w:rPr>
          <w:rFonts w:ascii="Cambria" w:hAnsi="Cambria"/>
          <w:sz w:val="22"/>
          <w:szCs w:val="22"/>
        </w:rPr>
        <w:t>of discriminatory violation</w:t>
      </w:r>
      <w:r w:rsidR="00186B8D" w:rsidRPr="006313BE">
        <w:rPr>
          <w:rFonts w:ascii="Cambria" w:hAnsi="Cambria"/>
          <w:sz w:val="22"/>
          <w:szCs w:val="22"/>
        </w:rPr>
        <w:t>s</w:t>
      </w:r>
      <w:r w:rsidR="004122DD" w:rsidRPr="006313BE">
        <w:rPr>
          <w:rFonts w:ascii="Cambria" w:hAnsi="Cambria"/>
          <w:sz w:val="22"/>
          <w:szCs w:val="22"/>
        </w:rPr>
        <w:t xml:space="preserve"> of </w:t>
      </w:r>
      <w:r w:rsidR="00186B8D" w:rsidRPr="006313BE">
        <w:rPr>
          <w:rFonts w:ascii="Cambria" w:hAnsi="Cambria"/>
          <w:sz w:val="22"/>
          <w:szCs w:val="22"/>
        </w:rPr>
        <w:t>the</w:t>
      </w:r>
      <w:r w:rsidR="004122DD" w:rsidRPr="006313BE">
        <w:rPr>
          <w:rFonts w:ascii="Cambria" w:hAnsi="Cambria"/>
          <w:sz w:val="22"/>
          <w:szCs w:val="22"/>
        </w:rPr>
        <w:t xml:space="preserve"> rights provided by the Covenant</w:t>
      </w:r>
      <w:r w:rsidR="000F639D" w:rsidRPr="006313BE">
        <w:rPr>
          <w:rFonts w:ascii="Cambria" w:hAnsi="Cambria"/>
          <w:sz w:val="22"/>
          <w:szCs w:val="22"/>
        </w:rPr>
        <w:t xml:space="preserve">. </w:t>
      </w:r>
      <w:r w:rsidR="004122DD" w:rsidRPr="006313BE">
        <w:rPr>
          <w:rFonts w:ascii="Cambria" w:hAnsi="Cambria"/>
          <w:sz w:val="22"/>
          <w:szCs w:val="22"/>
        </w:rPr>
        <w:t xml:space="preserve"> In addition, </w:t>
      </w:r>
      <w:r w:rsidRPr="006313BE">
        <w:rPr>
          <w:rFonts w:ascii="Cambria" w:hAnsi="Cambria"/>
          <w:sz w:val="22"/>
          <w:szCs w:val="22"/>
        </w:rPr>
        <w:t>it presents evidence of</w:t>
      </w:r>
      <w:r w:rsidR="004122DD" w:rsidRPr="006313BE">
        <w:rPr>
          <w:rFonts w:ascii="Cambria" w:hAnsi="Cambria"/>
          <w:sz w:val="22"/>
          <w:szCs w:val="22"/>
        </w:rPr>
        <w:t xml:space="preserve"> patterns of discrimination in areas of life which are not the subject </w:t>
      </w:r>
      <w:r w:rsidR="003D1623" w:rsidRPr="006313BE">
        <w:rPr>
          <w:rFonts w:ascii="Cambria" w:hAnsi="Cambria"/>
          <w:sz w:val="22"/>
          <w:szCs w:val="22"/>
        </w:rPr>
        <w:t xml:space="preserve">of </w:t>
      </w:r>
      <w:r w:rsidR="004122DD" w:rsidRPr="006313BE">
        <w:rPr>
          <w:rFonts w:ascii="Cambria" w:hAnsi="Cambria"/>
          <w:sz w:val="22"/>
          <w:szCs w:val="22"/>
        </w:rPr>
        <w:t xml:space="preserve">protection under other Covenant rights, but which nevertheless enjoy protection under </w:t>
      </w:r>
      <w:r w:rsidRPr="006313BE">
        <w:rPr>
          <w:rFonts w:ascii="Cambria" w:hAnsi="Cambria"/>
          <w:sz w:val="22"/>
          <w:szCs w:val="22"/>
        </w:rPr>
        <w:t>A</w:t>
      </w:r>
      <w:r w:rsidR="004122DD" w:rsidRPr="006313BE">
        <w:rPr>
          <w:rFonts w:ascii="Cambria" w:hAnsi="Cambria"/>
          <w:sz w:val="22"/>
          <w:szCs w:val="22"/>
        </w:rPr>
        <w:t xml:space="preserve">rticle 26. </w:t>
      </w:r>
      <w:r w:rsidR="00F55757" w:rsidRPr="006313BE">
        <w:rPr>
          <w:rFonts w:ascii="Cambria" w:hAnsi="Cambria"/>
          <w:sz w:val="22"/>
          <w:szCs w:val="22"/>
        </w:rPr>
        <w:t>The</w:t>
      </w:r>
      <w:r w:rsidR="004122DD" w:rsidRPr="006313BE">
        <w:rPr>
          <w:rFonts w:ascii="Cambria" w:hAnsi="Cambria"/>
          <w:sz w:val="22"/>
          <w:szCs w:val="22"/>
        </w:rPr>
        <w:t xml:space="preserve"> submission is structured in </w:t>
      </w:r>
      <w:r w:rsidR="00F55757" w:rsidRPr="006313BE">
        <w:rPr>
          <w:rFonts w:ascii="Cambria" w:hAnsi="Cambria"/>
          <w:sz w:val="22"/>
          <w:szCs w:val="22"/>
        </w:rPr>
        <w:t>3</w:t>
      </w:r>
      <w:r w:rsidR="004122DD" w:rsidRPr="006313BE">
        <w:rPr>
          <w:rFonts w:ascii="Cambria" w:hAnsi="Cambria"/>
          <w:sz w:val="22"/>
          <w:szCs w:val="22"/>
        </w:rPr>
        <w:t xml:space="preserve"> sections</w:t>
      </w:r>
      <w:r w:rsidR="000F639D" w:rsidRPr="006313BE">
        <w:rPr>
          <w:rFonts w:ascii="Cambria" w:hAnsi="Cambria"/>
          <w:sz w:val="22"/>
          <w:szCs w:val="22"/>
        </w:rPr>
        <w:t xml:space="preserve">. The first </w:t>
      </w:r>
      <w:r w:rsidR="00F55757" w:rsidRPr="006313BE">
        <w:rPr>
          <w:rFonts w:ascii="Cambria" w:hAnsi="Cambria"/>
          <w:sz w:val="22"/>
          <w:szCs w:val="22"/>
        </w:rPr>
        <w:t xml:space="preserve">refers to the failures of Cabo Verde’s legal framework to meet the requirements of Articles 2 and 26 of the Covenant; the second </w:t>
      </w:r>
      <w:r w:rsidR="000F639D" w:rsidRPr="006313BE">
        <w:rPr>
          <w:rFonts w:ascii="Cambria" w:hAnsi="Cambria"/>
          <w:sz w:val="22"/>
          <w:szCs w:val="22"/>
        </w:rPr>
        <w:t>deals with evidence of violations to Article 2(1) in connection wit</w:t>
      </w:r>
      <w:r w:rsidRPr="006313BE">
        <w:rPr>
          <w:rFonts w:ascii="Cambria" w:hAnsi="Cambria"/>
          <w:sz w:val="22"/>
          <w:szCs w:val="22"/>
        </w:rPr>
        <w:t>h</w:t>
      </w:r>
      <w:r w:rsidR="000F639D" w:rsidRPr="006313BE">
        <w:rPr>
          <w:rFonts w:ascii="Cambria" w:hAnsi="Cambria"/>
          <w:sz w:val="22"/>
          <w:szCs w:val="22"/>
        </w:rPr>
        <w:t xml:space="preserve"> other Covenant Articles;</w:t>
      </w:r>
      <w:r w:rsidR="00F55757" w:rsidRPr="006313BE">
        <w:rPr>
          <w:rFonts w:ascii="Cambria" w:hAnsi="Cambria"/>
          <w:sz w:val="22"/>
          <w:szCs w:val="22"/>
        </w:rPr>
        <w:t xml:space="preserve"> and</w:t>
      </w:r>
      <w:r w:rsidR="000F639D" w:rsidRPr="006313BE">
        <w:rPr>
          <w:rFonts w:ascii="Cambria" w:hAnsi="Cambria"/>
          <w:sz w:val="22"/>
          <w:szCs w:val="22"/>
        </w:rPr>
        <w:t xml:space="preserve"> </w:t>
      </w:r>
      <w:r w:rsidR="00F55757" w:rsidRPr="006313BE">
        <w:rPr>
          <w:rFonts w:ascii="Cambria" w:hAnsi="Cambria"/>
          <w:sz w:val="22"/>
          <w:szCs w:val="22"/>
        </w:rPr>
        <w:t>the third provides</w:t>
      </w:r>
      <w:r w:rsidR="000F639D" w:rsidRPr="006313BE">
        <w:rPr>
          <w:rFonts w:ascii="Cambria" w:hAnsi="Cambria"/>
          <w:sz w:val="22"/>
          <w:szCs w:val="22"/>
        </w:rPr>
        <w:t xml:space="preserve"> evidence of patterns of discrimination in violation of Article 26 of the Covenant.</w:t>
      </w:r>
    </w:p>
    <w:p w14:paraId="440EA071" w14:textId="5044BF37" w:rsidR="00C45DD6" w:rsidRPr="006313BE" w:rsidRDefault="00C45DD6" w:rsidP="006313BE">
      <w:pPr>
        <w:pStyle w:val="ListParagraph"/>
        <w:contextualSpacing w:val="0"/>
      </w:pPr>
    </w:p>
    <w:p w14:paraId="4283ECBA" w14:textId="456ECEB5" w:rsidR="003A702D" w:rsidRPr="006313BE" w:rsidRDefault="00C45DD6" w:rsidP="006313BE">
      <w:pPr>
        <w:spacing w:after="0" w:line="240" w:lineRule="auto"/>
        <w:jc w:val="both"/>
        <w:rPr>
          <w:rFonts w:ascii="Cambria" w:hAnsi="Cambria"/>
          <w:b/>
          <w:bCs/>
          <w:sz w:val="22"/>
          <w:szCs w:val="22"/>
        </w:rPr>
      </w:pPr>
      <w:r w:rsidRPr="006313BE">
        <w:rPr>
          <w:rFonts w:ascii="Cambria" w:hAnsi="Cambria"/>
          <w:b/>
          <w:bCs/>
          <w:sz w:val="22"/>
          <w:szCs w:val="22"/>
        </w:rPr>
        <w:t>Part 1</w:t>
      </w:r>
      <w:r w:rsidR="008E2BE5" w:rsidRPr="006313BE">
        <w:rPr>
          <w:rFonts w:ascii="Cambria" w:hAnsi="Cambria"/>
          <w:b/>
          <w:bCs/>
          <w:sz w:val="22"/>
          <w:szCs w:val="22"/>
        </w:rPr>
        <w:t xml:space="preserve">: Legal framework on equality and non-discrimination: </w:t>
      </w:r>
      <w:r w:rsidR="003A702D" w:rsidRPr="006313BE">
        <w:rPr>
          <w:rFonts w:ascii="Cambria" w:hAnsi="Cambria"/>
          <w:b/>
          <w:bCs/>
          <w:sz w:val="22"/>
          <w:szCs w:val="22"/>
        </w:rPr>
        <w:t>Articles 2 and 26 of the Covenant</w:t>
      </w:r>
    </w:p>
    <w:p w14:paraId="22C10F41" w14:textId="6372F9BE" w:rsidR="00440E63" w:rsidRPr="006313BE" w:rsidRDefault="00440E63" w:rsidP="006313BE">
      <w:pPr>
        <w:spacing w:after="0" w:line="240" w:lineRule="auto"/>
        <w:jc w:val="both"/>
        <w:rPr>
          <w:rFonts w:ascii="Cambria" w:hAnsi="Cambria"/>
          <w:b/>
          <w:bCs/>
          <w:sz w:val="22"/>
          <w:szCs w:val="22"/>
        </w:rPr>
      </w:pPr>
    </w:p>
    <w:p w14:paraId="03E3B53A" w14:textId="4F72A5F5" w:rsidR="003C6213" w:rsidRPr="006313BE" w:rsidRDefault="003C6213" w:rsidP="006313BE">
      <w:pPr>
        <w:pStyle w:val="ListParagraph"/>
        <w:numPr>
          <w:ilvl w:val="0"/>
          <w:numId w:val="2"/>
        </w:numPr>
        <w:contextualSpacing w:val="0"/>
        <w:jc w:val="both"/>
        <w:rPr>
          <w:i/>
          <w:iCs/>
        </w:rPr>
      </w:pPr>
      <w:r w:rsidRPr="006313BE">
        <w:rPr>
          <w:color w:val="000000"/>
          <w:shd w:val="clear" w:color="auto" w:fill="FFFFFF"/>
        </w:rPr>
        <w:t xml:space="preserve">Article 26 of the Covenant establishes that “the law shall prohibit any discrimination and guarantee to all persons equal and effective protection against discrimination on any ground […]”. </w:t>
      </w:r>
      <w:r w:rsidRPr="006313BE">
        <w:t>T</w:t>
      </w:r>
      <w:r w:rsidR="008E2BE5" w:rsidRPr="006313BE">
        <w:t>he Committee has interpreted this</w:t>
      </w:r>
      <w:r w:rsidRPr="006313BE">
        <w:t xml:space="preserve"> Article </w:t>
      </w:r>
      <w:r w:rsidR="008E2BE5" w:rsidRPr="006313BE">
        <w:t>as giving rise to</w:t>
      </w:r>
      <w:r w:rsidRPr="006313BE">
        <w:t xml:space="preserve"> legislative obligations regarding the prohibition of discrimination in law or in fact in any field regulated and protected by public authorities.</w:t>
      </w:r>
      <w:r w:rsidRPr="006313BE">
        <w:rPr>
          <w:rStyle w:val="FootnoteReference"/>
        </w:rPr>
        <w:footnoteReference w:id="5"/>
      </w:r>
      <w:r w:rsidRPr="006313BE">
        <w:t xml:space="preserve"> Thus, i</w:t>
      </w:r>
      <w:r w:rsidRPr="006313BE">
        <w:rPr>
          <w:color w:val="000000"/>
          <w:shd w:val="clear" w:color="auto" w:fill="FFFFFF"/>
        </w:rPr>
        <w:t xml:space="preserve">n order to ensure the effective exercise of the right </w:t>
      </w:r>
      <w:r w:rsidR="00392330" w:rsidRPr="006313BE">
        <w:rPr>
          <w:color w:val="000000"/>
          <w:shd w:val="clear" w:color="auto" w:fill="FFFFFF"/>
        </w:rPr>
        <w:t>to</w:t>
      </w:r>
      <w:r w:rsidRPr="006313BE">
        <w:rPr>
          <w:color w:val="000000"/>
          <w:shd w:val="clear" w:color="auto" w:fill="FFFFFF"/>
        </w:rPr>
        <w:t xml:space="preserve"> non-discrimination</w:t>
      </w:r>
      <w:r w:rsidR="008E2BE5" w:rsidRPr="006313BE">
        <w:rPr>
          <w:color w:val="000000"/>
          <w:shd w:val="clear" w:color="auto" w:fill="FFFFFF"/>
        </w:rPr>
        <w:t xml:space="preserve"> as protected by Article 26</w:t>
      </w:r>
      <w:r w:rsidRPr="006313BE">
        <w:rPr>
          <w:color w:val="000000"/>
          <w:shd w:val="clear" w:color="auto" w:fill="FFFFFF"/>
        </w:rPr>
        <w:t>, states must enact and enforce specific, comprehensive anti</w:t>
      </w:r>
      <w:r w:rsidR="008E2BE5" w:rsidRPr="006313BE">
        <w:rPr>
          <w:color w:val="000000"/>
          <w:shd w:val="clear" w:color="auto" w:fill="FFFFFF"/>
        </w:rPr>
        <w:t>-</w:t>
      </w:r>
      <w:r w:rsidRPr="006313BE">
        <w:rPr>
          <w:color w:val="000000"/>
          <w:shd w:val="clear" w:color="auto" w:fill="FFFFFF"/>
        </w:rPr>
        <w:t>discrimination l</w:t>
      </w:r>
      <w:r w:rsidR="008E2BE5" w:rsidRPr="006313BE">
        <w:rPr>
          <w:color w:val="000000"/>
          <w:shd w:val="clear" w:color="auto" w:fill="FFFFFF"/>
        </w:rPr>
        <w:t>egislation</w:t>
      </w:r>
      <w:r w:rsidRPr="006313BE">
        <w:rPr>
          <w:color w:val="000000"/>
          <w:shd w:val="clear" w:color="auto" w:fill="FFFFFF"/>
        </w:rPr>
        <w:t xml:space="preserve"> </w:t>
      </w:r>
      <w:r w:rsidR="008E2BE5" w:rsidRPr="006313BE">
        <w:rPr>
          <w:color w:val="000000"/>
          <w:shd w:val="clear" w:color="auto" w:fill="FFFFFF"/>
        </w:rPr>
        <w:t xml:space="preserve">- legislation </w:t>
      </w:r>
      <w:r w:rsidRPr="006313BE">
        <w:rPr>
          <w:color w:val="000000"/>
          <w:shd w:val="clear" w:color="auto" w:fill="FFFFFF"/>
        </w:rPr>
        <w:t>which address</w:t>
      </w:r>
      <w:r w:rsidR="008E2BE5" w:rsidRPr="006313BE">
        <w:rPr>
          <w:color w:val="000000"/>
          <w:shd w:val="clear" w:color="auto" w:fill="FFFFFF"/>
        </w:rPr>
        <w:t>es all forms of</w:t>
      </w:r>
      <w:r w:rsidRPr="006313BE">
        <w:rPr>
          <w:color w:val="000000"/>
          <w:shd w:val="clear" w:color="auto" w:fill="FFFFFF"/>
        </w:rPr>
        <w:t xml:space="preserve"> discrimination</w:t>
      </w:r>
      <w:r w:rsidR="008E2BE5" w:rsidRPr="006313BE">
        <w:rPr>
          <w:color w:val="000000"/>
          <w:shd w:val="clear" w:color="auto" w:fill="FFFFFF"/>
        </w:rPr>
        <w:t>,</w:t>
      </w:r>
      <w:r w:rsidRPr="006313BE">
        <w:rPr>
          <w:color w:val="000000"/>
          <w:shd w:val="clear" w:color="auto" w:fill="FFFFFF"/>
        </w:rPr>
        <w:t xml:space="preserve"> on all grounds </w:t>
      </w:r>
      <w:r w:rsidR="008E2BE5" w:rsidRPr="006313BE">
        <w:rPr>
          <w:color w:val="000000"/>
          <w:shd w:val="clear" w:color="auto" w:fill="FFFFFF"/>
        </w:rPr>
        <w:t xml:space="preserve">recognised at international law, </w:t>
      </w:r>
      <w:r w:rsidRPr="006313BE">
        <w:rPr>
          <w:color w:val="000000"/>
          <w:shd w:val="clear" w:color="auto" w:fill="FFFFFF"/>
        </w:rPr>
        <w:t>and in all areas of life regulated by law.</w:t>
      </w:r>
      <w:r w:rsidRPr="006313BE">
        <w:rPr>
          <w:rStyle w:val="FootnoteReference"/>
          <w:color w:val="000000"/>
          <w:shd w:val="clear" w:color="auto" w:fill="FFFFFF"/>
        </w:rPr>
        <w:footnoteReference w:id="6"/>
      </w:r>
      <w:r w:rsidRPr="006313BE">
        <w:t xml:space="preserve"> </w:t>
      </w:r>
    </w:p>
    <w:p w14:paraId="51AC2578" w14:textId="77777777" w:rsidR="003C6213" w:rsidRPr="006313BE" w:rsidRDefault="003C6213" w:rsidP="006313BE">
      <w:pPr>
        <w:pStyle w:val="ListParagraph"/>
        <w:ind w:firstLine="0"/>
        <w:contextualSpacing w:val="0"/>
        <w:jc w:val="both"/>
        <w:rPr>
          <w:color w:val="000000"/>
          <w:shd w:val="clear" w:color="auto" w:fill="FFFFFF"/>
        </w:rPr>
      </w:pPr>
    </w:p>
    <w:p w14:paraId="5EE3F9E7" w14:textId="7FAC4595" w:rsidR="003C6213" w:rsidRDefault="003C6213" w:rsidP="006313BE">
      <w:pPr>
        <w:pStyle w:val="ListParagraph"/>
        <w:numPr>
          <w:ilvl w:val="0"/>
          <w:numId w:val="2"/>
        </w:numPr>
        <w:contextualSpacing w:val="0"/>
        <w:jc w:val="both"/>
        <w:rPr>
          <w:color w:val="000000"/>
          <w:shd w:val="clear" w:color="auto" w:fill="FFFFFF"/>
        </w:rPr>
      </w:pPr>
      <w:r w:rsidRPr="006313BE">
        <w:rPr>
          <w:color w:val="000000"/>
          <w:shd w:val="clear" w:color="auto" w:fill="FFFFFF"/>
        </w:rPr>
        <w:t xml:space="preserve">Furthermore, Article 2 of the Covenant establishes that state parties undertake to respect and ensure to all individuals within their territory and jurisdiction the rights </w:t>
      </w:r>
      <w:r w:rsidR="008E2BE5" w:rsidRPr="006313BE">
        <w:rPr>
          <w:color w:val="000000"/>
          <w:shd w:val="clear" w:color="auto" w:fill="FFFFFF"/>
        </w:rPr>
        <w:t xml:space="preserve">guaranteed by the Covenant </w:t>
      </w:r>
      <w:r w:rsidRPr="006313BE">
        <w:rPr>
          <w:color w:val="000000"/>
          <w:shd w:val="clear" w:color="auto" w:fill="FFFFFF"/>
        </w:rPr>
        <w:t>without distinction of any kind. In the absence of specific, comprehensive anti</w:t>
      </w:r>
      <w:r w:rsidR="008E2BE5" w:rsidRPr="006313BE">
        <w:rPr>
          <w:color w:val="000000"/>
          <w:shd w:val="clear" w:color="auto" w:fill="FFFFFF"/>
        </w:rPr>
        <w:t>-</w:t>
      </w:r>
      <w:r w:rsidRPr="006313BE">
        <w:rPr>
          <w:color w:val="000000"/>
          <w:shd w:val="clear" w:color="auto" w:fill="FFFFFF"/>
        </w:rPr>
        <w:t>discrimination l</w:t>
      </w:r>
      <w:r w:rsidR="008E2BE5" w:rsidRPr="006313BE">
        <w:rPr>
          <w:color w:val="000000"/>
          <w:shd w:val="clear" w:color="auto" w:fill="FFFFFF"/>
        </w:rPr>
        <w:t>egislation</w:t>
      </w:r>
      <w:r w:rsidRPr="006313BE">
        <w:rPr>
          <w:color w:val="000000"/>
          <w:shd w:val="clear" w:color="auto" w:fill="FFFFFF"/>
        </w:rPr>
        <w:t>, the objectives of Article 2 may not be achieve</w:t>
      </w:r>
      <w:r w:rsidR="008E2BE5" w:rsidRPr="006313BE">
        <w:rPr>
          <w:color w:val="000000"/>
          <w:shd w:val="clear" w:color="auto" w:fill="FFFFFF"/>
        </w:rPr>
        <w:t>;</w:t>
      </w:r>
      <w:r w:rsidR="00D27025" w:rsidRPr="006313BE">
        <w:rPr>
          <w:color w:val="000000"/>
          <w:shd w:val="clear" w:color="auto" w:fill="FFFFFF"/>
        </w:rPr>
        <w:t xml:space="preserve"> that is, </w:t>
      </w:r>
      <w:r w:rsidR="008E2BE5" w:rsidRPr="006313BE">
        <w:rPr>
          <w:color w:val="000000"/>
          <w:shd w:val="clear" w:color="auto" w:fill="FFFFFF"/>
        </w:rPr>
        <w:t>individuals will not have the legal framework to challenge discrimination which denies, limits or impedes their enjoyment of Covenant rights.</w:t>
      </w:r>
    </w:p>
    <w:p w14:paraId="19D5C49D" w14:textId="77777777" w:rsidR="00E66428" w:rsidRPr="00E66428" w:rsidRDefault="00E66428" w:rsidP="00E66428">
      <w:pPr>
        <w:pStyle w:val="ListParagraph"/>
        <w:ind w:firstLine="0"/>
        <w:contextualSpacing w:val="0"/>
        <w:jc w:val="both"/>
        <w:rPr>
          <w:i/>
          <w:iCs/>
        </w:rPr>
      </w:pPr>
    </w:p>
    <w:p w14:paraId="6AF70721" w14:textId="61732816" w:rsidR="003C6213" w:rsidRPr="006313BE" w:rsidRDefault="003C6213" w:rsidP="006313BE">
      <w:pPr>
        <w:pStyle w:val="ListParagraph"/>
        <w:numPr>
          <w:ilvl w:val="0"/>
          <w:numId w:val="2"/>
        </w:numPr>
        <w:contextualSpacing w:val="0"/>
        <w:jc w:val="both"/>
        <w:rPr>
          <w:i/>
          <w:iCs/>
        </w:rPr>
      </w:pPr>
      <w:r w:rsidRPr="006313BE">
        <w:t xml:space="preserve">As </w:t>
      </w:r>
      <w:r w:rsidR="0067540E" w:rsidRPr="006313BE">
        <w:t>set out in the Declaration of Principles on Equality, and as well-</w:t>
      </w:r>
      <w:r w:rsidRPr="006313BE">
        <w:t>recognised by</w:t>
      </w:r>
      <w:r w:rsidR="0067540E" w:rsidRPr="006313BE">
        <w:t xml:space="preserve"> various of the Committee’s sister </w:t>
      </w:r>
      <w:r w:rsidRPr="006313BE">
        <w:t>Treaty Bodies,</w:t>
      </w:r>
      <w:r w:rsidRPr="006313BE">
        <w:rPr>
          <w:vertAlign w:val="superscript"/>
        </w:rPr>
        <w:t xml:space="preserve"> </w:t>
      </w:r>
      <w:r w:rsidRPr="006313BE">
        <w:rPr>
          <w:vertAlign w:val="superscript"/>
        </w:rPr>
        <w:footnoteReference w:id="7"/>
      </w:r>
      <w:r w:rsidRPr="006313BE">
        <w:t xml:space="preserve"> in order to be genuinely comprehensive, equality legislation must prohibit direct and indirect discrimination,</w:t>
      </w:r>
      <w:r w:rsidRPr="006313BE">
        <w:rPr>
          <w:rStyle w:val="FootnoteReference"/>
        </w:rPr>
        <w:footnoteReference w:id="8"/>
      </w:r>
      <w:r w:rsidRPr="006313BE">
        <w:t xml:space="preserve"> harassment</w:t>
      </w:r>
      <w:bookmarkStart w:id="2" w:name="_Hlk18059182"/>
      <w:r w:rsidRPr="006313BE">
        <w:rPr>
          <w:rStyle w:val="FootnoteReference"/>
        </w:rPr>
        <w:footnoteReference w:id="9"/>
      </w:r>
      <w:bookmarkEnd w:id="2"/>
      <w:r w:rsidRPr="006313BE">
        <w:t xml:space="preserve"> and failure to make reasonable accommodation,</w:t>
      </w:r>
      <w:bookmarkStart w:id="3" w:name="_Hlk18059293"/>
      <w:r w:rsidRPr="006313BE">
        <w:rPr>
          <w:rStyle w:val="FootnoteReference"/>
        </w:rPr>
        <w:footnoteReference w:id="10"/>
      </w:r>
      <w:bookmarkEnd w:id="3"/>
      <w:r w:rsidRPr="006313BE">
        <w:t xml:space="preserve"> on an extensive and open-ended list of grounds,</w:t>
      </w:r>
      <w:bookmarkStart w:id="4" w:name="_Hlk18059369"/>
      <w:r w:rsidRPr="006313BE">
        <w:rPr>
          <w:rStyle w:val="FootnoteReference"/>
        </w:rPr>
        <w:footnoteReference w:id="11"/>
      </w:r>
      <w:bookmarkEnd w:id="4"/>
      <w:r w:rsidRPr="006313BE">
        <w:t xml:space="preserve"> in all areas of life regulated by law.</w:t>
      </w:r>
      <w:bookmarkStart w:id="5" w:name="_Hlk18059417"/>
      <w:r w:rsidRPr="006313BE">
        <w:rPr>
          <w:rStyle w:val="FootnoteReference"/>
        </w:rPr>
        <w:footnoteReference w:id="12"/>
      </w:r>
      <w:bookmarkEnd w:id="5"/>
      <w:r w:rsidRPr="006313BE">
        <w:t xml:space="preserve">  It must also ensure that the procedure for bringing claims of discrimination is accessible, through measures including the transfer of the burden of proof,</w:t>
      </w:r>
      <w:bookmarkStart w:id="6" w:name="_Hlk18059504"/>
      <w:r w:rsidRPr="006313BE">
        <w:rPr>
          <w:rStyle w:val="FootnoteReference"/>
        </w:rPr>
        <w:footnoteReference w:id="13"/>
      </w:r>
      <w:bookmarkEnd w:id="6"/>
      <w:r w:rsidRPr="006313BE">
        <w:t xml:space="preserve"> and provide for the adoption of positive action measures in cases of substantive inequality.</w:t>
      </w:r>
      <w:bookmarkStart w:id="7" w:name="_Hlk18059572"/>
      <w:r w:rsidRPr="006313BE">
        <w:rPr>
          <w:rStyle w:val="FootnoteReference"/>
        </w:rPr>
        <w:footnoteReference w:id="14"/>
      </w:r>
      <w:r w:rsidRPr="006313BE">
        <w:t xml:space="preserve"> </w:t>
      </w:r>
      <w:bookmarkEnd w:id="7"/>
    </w:p>
    <w:p w14:paraId="21D972A1" w14:textId="77777777" w:rsidR="003C6213" w:rsidRPr="006313BE" w:rsidRDefault="003C6213" w:rsidP="006313BE">
      <w:pPr>
        <w:pStyle w:val="ListParagraph"/>
        <w:ind w:firstLine="0"/>
        <w:contextualSpacing w:val="0"/>
        <w:jc w:val="both"/>
        <w:rPr>
          <w:i/>
          <w:iCs/>
        </w:rPr>
      </w:pPr>
    </w:p>
    <w:p w14:paraId="7F82F1DE" w14:textId="77777777" w:rsidR="0067540E" w:rsidRPr="006313BE" w:rsidRDefault="003C6213" w:rsidP="006313BE">
      <w:pPr>
        <w:pStyle w:val="ListParagraph"/>
        <w:numPr>
          <w:ilvl w:val="0"/>
          <w:numId w:val="2"/>
        </w:numPr>
        <w:contextualSpacing w:val="0"/>
        <w:jc w:val="both"/>
        <w:rPr>
          <w:shd w:val="clear" w:color="auto" w:fill="FFFFFF"/>
        </w:rPr>
      </w:pPr>
      <w:r w:rsidRPr="006313BE">
        <w:rPr>
          <w:shd w:val="clear" w:color="auto" w:fill="FFFFFF"/>
        </w:rPr>
        <w:t>Cabo Verde does not have comprehensive anti</w:t>
      </w:r>
      <w:r w:rsidR="0067540E" w:rsidRPr="006313BE">
        <w:rPr>
          <w:shd w:val="clear" w:color="auto" w:fill="FFFFFF"/>
        </w:rPr>
        <w:t>-</w:t>
      </w:r>
      <w:r w:rsidRPr="006313BE">
        <w:rPr>
          <w:shd w:val="clear" w:color="auto" w:fill="FFFFFF"/>
        </w:rPr>
        <w:t>discrimination legislation prohibiting all forms of discrimination on all grounds, in all areas of life, and providing for the adoption of positive action measures. The Constitution provides a general prohibition of discrimination on limited grounds,</w:t>
      </w:r>
      <w:r w:rsidRPr="006313BE">
        <w:rPr>
          <w:rStyle w:val="FootnoteReference"/>
        </w:rPr>
        <w:footnoteReference w:id="15"/>
      </w:r>
      <w:r w:rsidRPr="006313BE">
        <w:rPr>
          <w:shd w:val="clear" w:color="auto" w:fill="FFFFFF"/>
        </w:rPr>
        <w:t xml:space="preserve"> </w:t>
      </w:r>
      <w:r w:rsidRPr="006313BE">
        <w:t>establishing “as grounds for discriminatory treatment those based on race, sex, descent, language, origin, religion, social and economic conditions, or political or ideological beliefs”</w:t>
      </w:r>
      <w:r w:rsidRPr="006313BE">
        <w:rPr>
          <w:rStyle w:val="FootnoteReference"/>
        </w:rPr>
        <w:footnoteReference w:id="16"/>
      </w:r>
      <w:r w:rsidRPr="006313BE">
        <w:rPr>
          <w:shd w:val="clear" w:color="auto" w:fill="FFFFFF"/>
        </w:rPr>
        <w:t xml:space="preserve">. </w:t>
      </w:r>
      <w:r w:rsidRPr="006313BE">
        <w:t xml:space="preserve">Although the Constitutional Court has interpreted </w:t>
      </w:r>
      <w:r w:rsidR="003642F6" w:rsidRPr="006313BE">
        <w:t>this prohibition</w:t>
      </w:r>
      <w:r w:rsidRPr="006313BE">
        <w:t xml:space="preserve"> </w:t>
      </w:r>
      <w:r w:rsidR="00D13729" w:rsidRPr="006313BE">
        <w:t>as a</w:t>
      </w:r>
      <w:r w:rsidRPr="006313BE">
        <w:t>n open-ended,</w:t>
      </w:r>
      <w:r w:rsidRPr="006313BE">
        <w:rPr>
          <w:rStyle w:val="FootnoteReference"/>
        </w:rPr>
        <w:footnoteReference w:id="17"/>
      </w:r>
      <w:r w:rsidRPr="006313BE">
        <w:t xml:space="preserve"> the scope of protection afforded by this provision is </w:t>
      </w:r>
      <w:r w:rsidR="0067540E" w:rsidRPr="006313BE">
        <w:t xml:space="preserve">nevertheless </w:t>
      </w:r>
      <w:r w:rsidRPr="006313BE">
        <w:t xml:space="preserve">narrower than is demanded by international best practice standards. </w:t>
      </w:r>
    </w:p>
    <w:p w14:paraId="5D85BEF8" w14:textId="77777777" w:rsidR="0067540E" w:rsidRPr="006313BE" w:rsidRDefault="0067540E" w:rsidP="006313BE">
      <w:pPr>
        <w:pStyle w:val="ListParagraph"/>
        <w:contextualSpacing w:val="0"/>
      </w:pPr>
    </w:p>
    <w:p w14:paraId="63C78036" w14:textId="77777777" w:rsidR="0067540E" w:rsidRPr="006313BE" w:rsidRDefault="0067540E" w:rsidP="006313BE">
      <w:pPr>
        <w:pStyle w:val="ListParagraph"/>
        <w:numPr>
          <w:ilvl w:val="0"/>
          <w:numId w:val="2"/>
        </w:numPr>
        <w:contextualSpacing w:val="0"/>
        <w:jc w:val="both"/>
      </w:pPr>
      <w:r w:rsidRPr="006313BE">
        <w:t>Beyond the Constitution, o</w:t>
      </w:r>
      <w:r w:rsidR="003C6213" w:rsidRPr="006313BE">
        <w:rPr>
          <w:shd w:val="clear" w:color="auto" w:fill="FFFFFF"/>
        </w:rPr>
        <w:t xml:space="preserve">ther laws </w:t>
      </w:r>
      <w:r w:rsidR="003C6213" w:rsidRPr="006313BE">
        <w:t>–</w:t>
      </w:r>
      <w:r w:rsidR="003C6213" w:rsidRPr="006313BE">
        <w:rPr>
          <w:shd w:val="clear" w:color="auto" w:fill="FFFFFF"/>
        </w:rPr>
        <w:t xml:space="preserve"> </w:t>
      </w:r>
      <w:r w:rsidR="003C6213" w:rsidRPr="006313BE">
        <w:t>such as Law 40/VIII/2013 on the rights of persons with disabilities and Special Law nr. 84/VII/2011 of January 10 combating gender-based violence – are limited to providing protection either only to certain groups or in certain areas of life.</w:t>
      </w:r>
      <w:r w:rsidR="003C6213" w:rsidRPr="006313BE">
        <w:rPr>
          <w:rStyle w:val="FootnoteReference"/>
        </w:rPr>
        <w:footnoteReference w:id="18"/>
      </w:r>
      <w:r w:rsidR="003C6213" w:rsidRPr="006313BE">
        <w:t xml:space="preserve"> </w:t>
      </w:r>
      <w:r w:rsidRPr="006313BE">
        <w:t>It should also be noted that t</w:t>
      </w:r>
      <w:r w:rsidR="003C6213" w:rsidRPr="006313BE">
        <w:t>he Criminal Code of Cape Verde, as highlighted by the State Party in its Initial Report,</w:t>
      </w:r>
      <w:r w:rsidR="003C6213" w:rsidRPr="006313BE">
        <w:rPr>
          <w:rStyle w:val="FootnoteReference"/>
        </w:rPr>
        <w:footnoteReference w:id="19"/>
      </w:r>
      <w:r w:rsidR="003C6213" w:rsidRPr="006313BE">
        <w:t xml:space="preserve"> prohibits discrimination with a punishment of imprisonment for up to two years or a fine of 100 to 300 days.</w:t>
      </w:r>
      <w:r w:rsidR="00D13729" w:rsidRPr="006313BE">
        <w:t xml:space="preserve"> </w:t>
      </w:r>
      <w:r w:rsidRPr="006313BE">
        <w:t>However, a</w:t>
      </w:r>
      <w:r w:rsidR="003C6213" w:rsidRPr="006313BE">
        <w:t xml:space="preserve">s the Equal Rights </w:t>
      </w:r>
      <w:r w:rsidR="003C6213" w:rsidRPr="006313BE">
        <w:lastRenderedPageBreak/>
        <w:t xml:space="preserve">Trust has noted elsewhere, international best practice requires that discrimination be treated as a matter of civil law rather than criminal law, for </w:t>
      </w:r>
      <w:proofErr w:type="gramStart"/>
      <w:r w:rsidR="003C6213" w:rsidRPr="006313BE">
        <w:t>a number of</w:t>
      </w:r>
      <w:proofErr w:type="gramEnd"/>
      <w:r w:rsidR="003C6213" w:rsidRPr="006313BE">
        <w:t xml:space="preserve"> reasons</w:t>
      </w:r>
      <w:r w:rsidRPr="006313BE">
        <w:t>.</w:t>
      </w:r>
      <w:r w:rsidR="003C6213" w:rsidRPr="006313BE">
        <w:rPr>
          <w:rStyle w:val="FootnoteReference"/>
          <w:rFonts w:eastAsia="DengXian" w:cs="Times New Roman"/>
          <w:lang w:eastAsia="en-GB"/>
        </w:rPr>
        <w:footnoteReference w:id="20"/>
      </w:r>
      <w:r w:rsidRPr="006313BE">
        <w:t xml:space="preserve"> </w:t>
      </w:r>
    </w:p>
    <w:p w14:paraId="778E8755" w14:textId="77777777" w:rsidR="0067540E" w:rsidRPr="006313BE" w:rsidRDefault="0067540E" w:rsidP="006313BE">
      <w:pPr>
        <w:pStyle w:val="ListParagraph"/>
        <w:contextualSpacing w:val="0"/>
      </w:pPr>
    </w:p>
    <w:p w14:paraId="4E73B372" w14:textId="4D87AE2D" w:rsidR="003C6213" w:rsidRPr="006313BE" w:rsidRDefault="0067540E" w:rsidP="006313BE">
      <w:pPr>
        <w:pStyle w:val="ListParagraph"/>
        <w:numPr>
          <w:ilvl w:val="0"/>
          <w:numId w:val="2"/>
        </w:numPr>
        <w:contextualSpacing w:val="0"/>
        <w:jc w:val="both"/>
        <w:rPr>
          <w:shd w:val="clear" w:color="auto" w:fill="FFFFFF"/>
        </w:rPr>
      </w:pPr>
      <w:r w:rsidRPr="006313BE">
        <w:t>Thus, taken together, these Laws do not compensate for the absence of specific, comprehensive equality legislation. Indeed, the</w:t>
      </w:r>
      <w:r w:rsidR="003C6213" w:rsidRPr="006313BE">
        <w:t xml:space="preserve"> existing leg</w:t>
      </w:r>
      <w:r w:rsidRPr="006313BE">
        <w:t>al framework</w:t>
      </w:r>
      <w:r w:rsidR="003C6213" w:rsidRPr="006313BE">
        <w:t xml:space="preserve"> is problematic </w:t>
      </w:r>
      <w:r w:rsidRPr="006313BE">
        <w:t>for a number of reasons. F</w:t>
      </w:r>
      <w:r w:rsidR="003C6213" w:rsidRPr="006313BE">
        <w:t>irst, given the general character of the constitutional prohibition of discrimination, there is a risk of duty-bearers and courts interpreting the provision in ways which are inconsistent with international standards. Second, even if the constitutional provision met the highest international standards, it would not obviate the need for specific, comprehensive legislation defining and prohibiting all forms of discrimination, as well as providing the procedural guarantees which are required for the effective protection against discrimination on all grounds and in all areas of life regulated by law – such as provisions on access to justice, protection from victimisation, and rules on standing, evidence and proof, among others.</w:t>
      </w:r>
      <w:r w:rsidR="003C6213" w:rsidRPr="006313BE">
        <w:rPr>
          <w:rFonts w:eastAsia="DengXian" w:cs="Times New Roman"/>
          <w:vertAlign w:val="superscript"/>
          <w:lang w:eastAsia="en-GB"/>
        </w:rPr>
        <w:t xml:space="preserve"> </w:t>
      </w:r>
      <w:r w:rsidR="003C6213" w:rsidRPr="006313BE">
        <w:rPr>
          <w:rFonts w:eastAsia="DengXian" w:cs="Times New Roman"/>
          <w:vertAlign w:val="superscript"/>
          <w:lang w:eastAsia="en-GB"/>
        </w:rPr>
        <w:footnoteReference w:id="21"/>
      </w:r>
      <w:r w:rsidR="003C6213" w:rsidRPr="006313BE">
        <w:t xml:space="preserve"> </w:t>
      </w:r>
    </w:p>
    <w:p w14:paraId="47B80A7C" w14:textId="77777777" w:rsidR="003C6213" w:rsidRPr="006313BE" w:rsidRDefault="003C6213" w:rsidP="006313BE">
      <w:pPr>
        <w:pStyle w:val="ListParagraph"/>
        <w:ind w:firstLine="0"/>
        <w:contextualSpacing w:val="0"/>
        <w:jc w:val="both"/>
        <w:rPr>
          <w:rFonts w:eastAsia="DengXian" w:cs="Times New Roman"/>
          <w:lang w:eastAsia="en-GB"/>
        </w:rPr>
      </w:pPr>
    </w:p>
    <w:p w14:paraId="7A770A5D" w14:textId="0EA6F2BD" w:rsidR="003C6213" w:rsidRPr="006313BE" w:rsidRDefault="003C6213" w:rsidP="006313BE">
      <w:pPr>
        <w:pStyle w:val="Default"/>
        <w:numPr>
          <w:ilvl w:val="0"/>
          <w:numId w:val="2"/>
        </w:numPr>
        <w:jc w:val="both"/>
        <w:rPr>
          <w:sz w:val="22"/>
          <w:szCs w:val="22"/>
          <w:u w:val="single"/>
        </w:rPr>
      </w:pPr>
      <w:r w:rsidRPr="006313BE">
        <w:rPr>
          <w:sz w:val="22"/>
          <w:szCs w:val="22"/>
        </w:rPr>
        <w:t xml:space="preserve">Therefore, in absence of comprehensive antidiscrimination legislation, the protection against discrimination on all grounds and in all areas of life In Cabo Verde is limited and deficient, as evidenced by </w:t>
      </w:r>
      <w:r w:rsidR="0067540E" w:rsidRPr="006313BE">
        <w:rPr>
          <w:i/>
          <w:iCs/>
          <w:sz w:val="22"/>
          <w:szCs w:val="22"/>
        </w:rPr>
        <w:t xml:space="preserve">inter alia </w:t>
      </w:r>
      <w:r w:rsidRPr="006313BE">
        <w:rPr>
          <w:sz w:val="22"/>
          <w:szCs w:val="22"/>
        </w:rPr>
        <w:t xml:space="preserve">the patterns of discrimination set out below. In order to meet its obligations under Articles 2 and 26 of the Covenant, and to effectively address said patterns, Cabo Verde should enact equality law prohibiting </w:t>
      </w:r>
      <w:r w:rsidR="0067540E" w:rsidRPr="006313BE">
        <w:rPr>
          <w:sz w:val="22"/>
          <w:szCs w:val="22"/>
        </w:rPr>
        <w:t xml:space="preserve">all forms of </w:t>
      </w:r>
      <w:r w:rsidRPr="006313BE">
        <w:rPr>
          <w:sz w:val="22"/>
          <w:szCs w:val="22"/>
        </w:rPr>
        <w:t>discrimination on all grounds</w:t>
      </w:r>
      <w:r w:rsidR="0067540E" w:rsidRPr="006313BE">
        <w:rPr>
          <w:sz w:val="22"/>
          <w:szCs w:val="22"/>
        </w:rPr>
        <w:t xml:space="preserve"> recognised at international law,</w:t>
      </w:r>
      <w:r w:rsidRPr="006313BE">
        <w:rPr>
          <w:sz w:val="22"/>
          <w:szCs w:val="22"/>
        </w:rPr>
        <w:t xml:space="preserve"> in all areas of life governed by law, providing a full range of procedural guarantees which are necessary for the effective functioning of equality law in practice</w:t>
      </w:r>
      <w:r w:rsidR="0067540E" w:rsidRPr="006313BE">
        <w:rPr>
          <w:sz w:val="22"/>
          <w:szCs w:val="22"/>
        </w:rPr>
        <w:t>, and requiring the adoption of positive action measures in cases of substantive inequality.</w:t>
      </w:r>
    </w:p>
    <w:p w14:paraId="5EE27D63" w14:textId="77777777" w:rsidR="006E4456" w:rsidRPr="006313BE" w:rsidRDefault="006E4456" w:rsidP="006313BE">
      <w:pPr>
        <w:tabs>
          <w:tab w:val="left" w:pos="4485"/>
          <w:tab w:val="center" w:pos="4703"/>
          <w:tab w:val="right" w:pos="9406"/>
        </w:tabs>
        <w:spacing w:after="0" w:line="240" w:lineRule="auto"/>
        <w:rPr>
          <w:rFonts w:ascii="Cambria" w:hAnsi="Cambria"/>
          <w:i/>
          <w:i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F3864" w:themeFill="accent1" w:themeFillShade="80"/>
        <w:tblLook w:val="04A0" w:firstRow="1" w:lastRow="0" w:firstColumn="1" w:lastColumn="0" w:noHBand="0" w:noVBand="1"/>
      </w:tblPr>
      <w:tblGrid>
        <w:gridCol w:w="9016"/>
      </w:tblGrid>
      <w:tr w:rsidR="006E4456" w:rsidRPr="006313BE" w14:paraId="55FE11F9" w14:textId="77777777" w:rsidTr="00510968">
        <w:tc>
          <w:tcPr>
            <w:tcW w:w="9016" w:type="dxa"/>
            <w:shd w:val="clear" w:color="auto" w:fill="1F3864" w:themeFill="accent1" w:themeFillShade="80"/>
          </w:tcPr>
          <w:p w14:paraId="4CC80611" w14:textId="2E7908E0" w:rsidR="003C6213" w:rsidRDefault="003C6213" w:rsidP="006313BE">
            <w:pPr>
              <w:spacing w:after="0" w:line="240" w:lineRule="auto"/>
              <w:jc w:val="both"/>
              <w:rPr>
                <w:rFonts w:ascii="Cambria" w:hAnsi="Cambria"/>
                <w:b/>
                <w:bCs/>
                <w:sz w:val="22"/>
                <w:szCs w:val="22"/>
              </w:rPr>
            </w:pPr>
            <w:bookmarkStart w:id="8" w:name="_Hlk20155620"/>
            <w:r w:rsidRPr="006313BE">
              <w:rPr>
                <w:rFonts w:ascii="Cambria" w:hAnsi="Cambria"/>
                <w:b/>
                <w:bCs/>
                <w:sz w:val="22"/>
                <w:szCs w:val="22"/>
              </w:rPr>
              <w:t xml:space="preserve">Recommendation 1: </w:t>
            </w:r>
          </w:p>
          <w:p w14:paraId="74564666" w14:textId="77777777" w:rsidR="00E66428" w:rsidRPr="006313BE" w:rsidRDefault="00E66428" w:rsidP="006313BE">
            <w:pPr>
              <w:spacing w:after="0" w:line="240" w:lineRule="auto"/>
              <w:jc w:val="both"/>
              <w:rPr>
                <w:rFonts w:ascii="Cambria" w:hAnsi="Cambria"/>
                <w:b/>
                <w:bCs/>
                <w:sz w:val="22"/>
                <w:szCs w:val="22"/>
              </w:rPr>
            </w:pPr>
          </w:p>
          <w:p w14:paraId="28C594C5" w14:textId="6D75820D" w:rsidR="003C6213" w:rsidRPr="006313BE" w:rsidRDefault="003C6213" w:rsidP="006313BE">
            <w:pPr>
              <w:tabs>
                <w:tab w:val="left" w:pos="8540"/>
              </w:tabs>
              <w:spacing w:after="0" w:line="240" w:lineRule="auto"/>
              <w:ind w:left="177" w:right="130"/>
              <w:jc w:val="both"/>
              <w:rPr>
                <w:rFonts w:ascii="Cambria" w:hAnsi="Cambria"/>
                <w:b/>
                <w:bCs/>
                <w:i/>
                <w:iCs/>
                <w:sz w:val="22"/>
                <w:szCs w:val="22"/>
                <w:u w:val="single"/>
              </w:rPr>
            </w:pPr>
            <w:r w:rsidRPr="006313BE">
              <w:rPr>
                <w:rFonts w:ascii="Cambria" w:hAnsi="Cambria"/>
                <w:b/>
                <w:bCs/>
                <w:i/>
                <w:iCs/>
                <w:sz w:val="22"/>
                <w:szCs w:val="22"/>
                <w:u w:val="single"/>
              </w:rPr>
              <w:t xml:space="preserve">We urge the Committee to </w:t>
            </w:r>
            <w:r w:rsidR="000A7270" w:rsidRPr="006313BE">
              <w:rPr>
                <w:rFonts w:ascii="Cambria" w:hAnsi="Cambria"/>
                <w:b/>
                <w:bCs/>
                <w:i/>
                <w:iCs/>
                <w:sz w:val="22"/>
                <w:szCs w:val="22"/>
                <w:u w:val="single"/>
              </w:rPr>
              <w:t xml:space="preserve">recommend that </w:t>
            </w:r>
            <w:r w:rsidRPr="006313BE">
              <w:rPr>
                <w:rFonts w:ascii="Cambria" w:hAnsi="Cambria"/>
                <w:b/>
                <w:bCs/>
                <w:i/>
                <w:iCs/>
                <w:sz w:val="22"/>
                <w:szCs w:val="22"/>
                <w:u w:val="single"/>
              </w:rPr>
              <w:t>Cabo Verde adopt specific</w:t>
            </w:r>
            <w:r w:rsidR="000A7270" w:rsidRPr="006313BE">
              <w:rPr>
                <w:rFonts w:ascii="Cambria" w:hAnsi="Cambria"/>
                <w:b/>
                <w:bCs/>
                <w:i/>
                <w:iCs/>
                <w:sz w:val="22"/>
                <w:szCs w:val="22"/>
                <w:u w:val="single"/>
              </w:rPr>
              <w:t xml:space="preserve">, </w:t>
            </w:r>
            <w:r w:rsidRPr="006313BE">
              <w:rPr>
                <w:rFonts w:ascii="Cambria" w:hAnsi="Cambria"/>
                <w:b/>
                <w:bCs/>
                <w:i/>
                <w:iCs/>
                <w:sz w:val="22"/>
                <w:szCs w:val="22"/>
                <w:u w:val="single"/>
              </w:rPr>
              <w:t xml:space="preserve">comprehensive equality law. </w:t>
            </w:r>
          </w:p>
          <w:p w14:paraId="3EE9214F" w14:textId="2B8941C2" w:rsidR="003C6213" w:rsidRDefault="003C6213" w:rsidP="006313BE">
            <w:pPr>
              <w:tabs>
                <w:tab w:val="left" w:pos="8540"/>
              </w:tabs>
              <w:spacing w:after="0" w:line="240" w:lineRule="auto"/>
              <w:ind w:left="177" w:right="130"/>
              <w:jc w:val="both"/>
              <w:rPr>
                <w:rFonts w:ascii="Cambria" w:hAnsi="Cambria"/>
                <w:sz w:val="22"/>
                <w:szCs w:val="22"/>
              </w:rPr>
            </w:pPr>
            <w:r w:rsidRPr="006313BE">
              <w:rPr>
                <w:rFonts w:ascii="Cambria" w:hAnsi="Cambria"/>
                <w:sz w:val="22"/>
                <w:szCs w:val="22"/>
              </w:rPr>
              <w:t xml:space="preserve">Such legislation should be in line with international best practice standards and should </w:t>
            </w:r>
            <w:r w:rsidRPr="006313BE">
              <w:rPr>
                <w:rFonts w:ascii="Cambria" w:hAnsi="Cambria"/>
                <w:i/>
                <w:iCs/>
                <w:sz w:val="22"/>
                <w:szCs w:val="22"/>
              </w:rPr>
              <w:t xml:space="preserve">inter alia </w:t>
            </w:r>
            <w:r w:rsidRPr="006313BE">
              <w:rPr>
                <w:rFonts w:ascii="Cambria" w:hAnsi="Cambria"/>
                <w:sz w:val="22"/>
                <w:szCs w:val="22"/>
              </w:rPr>
              <w:t xml:space="preserve">prohibit all forms of discrimination, on all grounds recognised at international law and in all areas of life regulated by law; require the adoption of positive action measures to address substantive inequalities; and provide the procedural safeguards necessary for the effective functioning of the rights protected therein. In this regard, the State Party should consult with and seek input from civil society. </w:t>
            </w:r>
          </w:p>
          <w:p w14:paraId="4BAC70E3" w14:textId="77777777" w:rsidR="00064259" w:rsidRPr="006313BE" w:rsidRDefault="00064259" w:rsidP="006313BE">
            <w:pPr>
              <w:tabs>
                <w:tab w:val="left" w:pos="8540"/>
              </w:tabs>
              <w:spacing w:after="0" w:line="240" w:lineRule="auto"/>
              <w:ind w:left="177" w:right="130"/>
              <w:jc w:val="both"/>
              <w:rPr>
                <w:rFonts w:ascii="Cambria" w:hAnsi="Cambria"/>
                <w:sz w:val="22"/>
                <w:szCs w:val="22"/>
              </w:rPr>
            </w:pPr>
          </w:p>
          <w:p w14:paraId="10AFA214" w14:textId="2CD7ACC5" w:rsidR="003C6213" w:rsidRDefault="003C6213" w:rsidP="006313BE">
            <w:pPr>
              <w:tabs>
                <w:tab w:val="left" w:pos="8540"/>
              </w:tabs>
              <w:spacing w:after="0" w:line="240" w:lineRule="auto"/>
              <w:ind w:right="130"/>
              <w:jc w:val="both"/>
              <w:rPr>
                <w:rFonts w:ascii="Cambria" w:hAnsi="Cambria"/>
                <w:b/>
                <w:bCs/>
                <w:sz w:val="22"/>
                <w:szCs w:val="22"/>
              </w:rPr>
            </w:pPr>
            <w:r w:rsidRPr="006313BE">
              <w:rPr>
                <w:rFonts w:ascii="Cambria" w:hAnsi="Cambria"/>
                <w:b/>
                <w:bCs/>
                <w:sz w:val="22"/>
                <w:szCs w:val="22"/>
              </w:rPr>
              <w:t xml:space="preserve">Recommendation 2: </w:t>
            </w:r>
          </w:p>
          <w:p w14:paraId="690BC2D4" w14:textId="77777777" w:rsidR="00E66428" w:rsidRPr="006313BE" w:rsidRDefault="00E66428" w:rsidP="006313BE">
            <w:pPr>
              <w:tabs>
                <w:tab w:val="left" w:pos="8540"/>
              </w:tabs>
              <w:spacing w:after="0" w:line="240" w:lineRule="auto"/>
              <w:ind w:right="130"/>
              <w:jc w:val="both"/>
              <w:rPr>
                <w:rFonts w:ascii="Cambria" w:hAnsi="Cambria"/>
                <w:b/>
                <w:bCs/>
                <w:sz w:val="22"/>
                <w:szCs w:val="22"/>
              </w:rPr>
            </w:pPr>
          </w:p>
          <w:p w14:paraId="5C0C113C" w14:textId="7EB997CC" w:rsidR="00064259" w:rsidRPr="00064259" w:rsidRDefault="003C6213" w:rsidP="00064259">
            <w:pPr>
              <w:tabs>
                <w:tab w:val="left" w:pos="8540"/>
              </w:tabs>
              <w:spacing w:after="0" w:line="240" w:lineRule="auto"/>
              <w:ind w:left="177" w:right="130"/>
              <w:jc w:val="both"/>
              <w:rPr>
                <w:rFonts w:ascii="Cambria" w:hAnsi="Cambria"/>
                <w:b/>
                <w:bCs/>
                <w:i/>
                <w:iCs/>
                <w:sz w:val="22"/>
                <w:szCs w:val="22"/>
                <w:u w:val="single"/>
              </w:rPr>
            </w:pPr>
            <w:r w:rsidRPr="006313BE">
              <w:rPr>
                <w:rFonts w:ascii="Cambria" w:hAnsi="Cambria"/>
                <w:b/>
                <w:bCs/>
                <w:i/>
                <w:iCs/>
                <w:sz w:val="22"/>
                <w:szCs w:val="22"/>
                <w:u w:val="single"/>
              </w:rPr>
              <w:t>We call on the Committee to recommend that the State Party to make amendments to existing laws, and public policies to bring them in line with the right</w:t>
            </w:r>
            <w:r w:rsidR="000A7270" w:rsidRPr="006313BE">
              <w:rPr>
                <w:rFonts w:ascii="Cambria" w:hAnsi="Cambria"/>
                <w:b/>
                <w:bCs/>
                <w:i/>
                <w:iCs/>
                <w:sz w:val="22"/>
                <w:szCs w:val="22"/>
                <w:u w:val="single"/>
              </w:rPr>
              <w:t>s</w:t>
            </w:r>
            <w:r w:rsidRPr="006313BE">
              <w:rPr>
                <w:rFonts w:ascii="Cambria" w:hAnsi="Cambria"/>
                <w:b/>
                <w:bCs/>
                <w:i/>
                <w:iCs/>
                <w:sz w:val="22"/>
                <w:szCs w:val="22"/>
                <w:u w:val="single"/>
              </w:rPr>
              <w:t xml:space="preserve"> to equality and non-discrimination protected under the Covenant. </w:t>
            </w:r>
            <w:bookmarkEnd w:id="8"/>
          </w:p>
        </w:tc>
      </w:tr>
    </w:tbl>
    <w:p w14:paraId="2C25E549" w14:textId="2664E431" w:rsidR="00555B19" w:rsidRPr="006313BE" w:rsidRDefault="00555B19" w:rsidP="006313BE">
      <w:pPr>
        <w:spacing w:after="0" w:line="240" w:lineRule="auto"/>
        <w:jc w:val="both"/>
        <w:rPr>
          <w:rFonts w:ascii="Cambria" w:hAnsi="Cambria"/>
          <w:b/>
          <w:bCs/>
          <w:sz w:val="22"/>
          <w:szCs w:val="22"/>
        </w:rPr>
      </w:pPr>
    </w:p>
    <w:p w14:paraId="77FAC57C" w14:textId="11C420AA" w:rsidR="00491955" w:rsidRPr="006313BE" w:rsidRDefault="004122DD" w:rsidP="006313BE">
      <w:pPr>
        <w:spacing w:after="0" w:line="240" w:lineRule="auto"/>
        <w:jc w:val="both"/>
        <w:rPr>
          <w:rFonts w:ascii="Cambria" w:hAnsi="Cambria"/>
          <w:b/>
          <w:bCs/>
          <w:sz w:val="22"/>
          <w:szCs w:val="22"/>
        </w:rPr>
      </w:pPr>
      <w:r w:rsidRPr="006313BE">
        <w:rPr>
          <w:rFonts w:ascii="Cambria" w:hAnsi="Cambria"/>
          <w:b/>
          <w:bCs/>
          <w:sz w:val="22"/>
          <w:szCs w:val="22"/>
        </w:rPr>
        <w:t xml:space="preserve">Part </w:t>
      </w:r>
      <w:r w:rsidR="009C3514" w:rsidRPr="006313BE">
        <w:rPr>
          <w:rFonts w:ascii="Cambria" w:hAnsi="Cambria"/>
          <w:b/>
          <w:bCs/>
          <w:sz w:val="22"/>
          <w:szCs w:val="22"/>
        </w:rPr>
        <w:t>2</w:t>
      </w:r>
      <w:r w:rsidRPr="006313BE">
        <w:rPr>
          <w:rFonts w:ascii="Cambria" w:hAnsi="Cambria"/>
          <w:b/>
          <w:bCs/>
          <w:sz w:val="22"/>
          <w:szCs w:val="22"/>
        </w:rPr>
        <w:t>: Evidence of Violations of Article 2(1) in connection with other Covenant Articles</w:t>
      </w:r>
    </w:p>
    <w:p w14:paraId="36CF5689" w14:textId="77777777" w:rsidR="00C45DD6" w:rsidRPr="006313BE" w:rsidRDefault="00C45DD6" w:rsidP="006313BE">
      <w:pPr>
        <w:spacing w:after="0" w:line="240" w:lineRule="auto"/>
        <w:jc w:val="both"/>
        <w:rPr>
          <w:rFonts w:ascii="Cambria" w:hAnsi="Cambria"/>
          <w:b/>
          <w:bCs/>
          <w:sz w:val="22"/>
          <w:szCs w:val="22"/>
        </w:rPr>
      </w:pPr>
    </w:p>
    <w:p w14:paraId="7523581A" w14:textId="176B880F" w:rsidR="00491955" w:rsidRPr="006313BE" w:rsidRDefault="00C45DD6" w:rsidP="006313BE">
      <w:pPr>
        <w:pStyle w:val="Header"/>
        <w:numPr>
          <w:ilvl w:val="0"/>
          <w:numId w:val="2"/>
        </w:numPr>
        <w:tabs>
          <w:tab w:val="center" w:pos="567"/>
          <w:tab w:val="left" w:pos="4485"/>
        </w:tabs>
        <w:spacing w:after="0" w:line="240" w:lineRule="auto"/>
        <w:jc w:val="both"/>
        <w:rPr>
          <w:rFonts w:ascii="Cambria" w:hAnsi="Cambria"/>
          <w:sz w:val="22"/>
          <w:szCs w:val="22"/>
        </w:rPr>
      </w:pPr>
      <w:r w:rsidRPr="006313BE">
        <w:rPr>
          <w:rFonts w:ascii="Cambria" w:hAnsi="Cambria"/>
          <w:sz w:val="22"/>
          <w:szCs w:val="22"/>
        </w:rPr>
        <w:t>I</w:t>
      </w:r>
      <w:r w:rsidR="00DD1AA1" w:rsidRPr="006313BE">
        <w:rPr>
          <w:rFonts w:ascii="Cambria" w:hAnsi="Cambria"/>
          <w:sz w:val="22"/>
          <w:szCs w:val="22"/>
        </w:rPr>
        <w:t>nformation gathered from the research carried out by the Trust’s partners reveals patterns of discrimination on various grounds</w:t>
      </w:r>
      <w:r w:rsidR="00DD1AA1" w:rsidRPr="006313BE">
        <w:rPr>
          <w:rFonts w:ascii="Cambria" w:hAnsi="Cambria"/>
          <w:color w:val="FF0000"/>
          <w:sz w:val="22"/>
          <w:szCs w:val="22"/>
        </w:rPr>
        <w:t xml:space="preserve"> </w:t>
      </w:r>
      <w:r w:rsidR="00DD1AA1" w:rsidRPr="006313BE">
        <w:rPr>
          <w:rFonts w:ascii="Cambria" w:hAnsi="Cambria"/>
          <w:sz w:val="22"/>
          <w:szCs w:val="22"/>
        </w:rPr>
        <w:t xml:space="preserve">in respect of rights protected by the Covenant. This section examines evidence of discriminatory violations of: </w:t>
      </w:r>
      <w:r w:rsidR="00DD1AA1" w:rsidRPr="006313BE">
        <w:rPr>
          <w:rFonts w:ascii="Cambria" w:hAnsi="Cambria"/>
          <w:color w:val="000000" w:themeColor="text1"/>
          <w:sz w:val="22"/>
          <w:szCs w:val="22"/>
        </w:rPr>
        <w:t xml:space="preserve">Article 7 (the right to be free from torture or cruel, inhuman or degrading treatment or punishment); Article 14 (the </w:t>
      </w:r>
      <w:r w:rsidR="00DD1AA1" w:rsidRPr="006313BE">
        <w:rPr>
          <w:rFonts w:ascii="Cambria" w:hAnsi="Cambria"/>
          <w:color w:val="000000" w:themeColor="text1"/>
          <w:sz w:val="22"/>
          <w:szCs w:val="22"/>
        </w:rPr>
        <w:lastRenderedPageBreak/>
        <w:t>right to a fair trial and access to courts);</w:t>
      </w:r>
      <w:r w:rsidR="00F55757" w:rsidRPr="006313BE">
        <w:rPr>
          <w:rFonts w:ascii="Cambria" w:hAnsi="Cambria"/>
          <w:color w:val="000000" w:themeColor="text1"/>
          <w:sz w:val="22"/>
          <w:szCs w:val="22"/>
        </w:rPr>
        <w:t xml:space="preserve"> and</w:t>
      </w:r>
      <w:r w:rsidR="00DD1AA1" w:rsidRPr="006313BE">
        <w:rPr>
          <w:rFonts w:ascii="Cambria" w:hAnsi="Cambria"/>
          <w:color w:val="000000" w:themeColor="text1"/>
          <w:sz w:val="22"/>
          <w:szCs w:val="22"/>
        </w:rPr>
        <w:t xml:space="preserve"> Article </w:t>
      </w:r>
      <w:r w:rsidR="009D01E0" w:rsidRPr="006313BE">
        <w:rPr>
          <w:rFonts w:ascii="Cambria" w:hAnsi="Cambria"/>
          <w:color w:val="000000" w:themeColor="text1"/>
          <w:sz w:val="22"/>
          <w:szCs w:val="22"/>
        </w:rPr>
        <w:t>18 (the right to freedom of thought, conscience, and religion)</w:t>
      </w:r>
      <w:r w:rsidR="00F55757" w:rsidRPr="006313BE">
        <w:rPr>
          <w:rFonts w:ascii="Cambria" w:hAnsi="Cambria"/>
          <w:color w:val="000000" w:themeColor="text1"/>
          <w:sz w:val="22"/>
          <w:szCs w:val="22"/>
        </w:rPr>
        <w:t>.</w:t>
      </w:r>
    </w:p>
    <w:p w14:paraId="34ECD7FE" w14:textId="2E414EED" w:rsidR="009D01E0" w:rsidRPr="006313BE" w:rsidRDefault="009D01E0" w:rsidP="006313BE">
      <w:pPr>
        <w:pStyle w:val="Default"/>
        <w:jc w:val="both"/>
        <w:rPr>
          <w:sz w:val="22"/>
          <w:szCs w:val="22"/>
        </w:rPr>
      </w:pPr>
    </w:p>
    <w:p w14:paraId="5FAF32A8" w14:textId="0E1AF41C" w:rsidR="00A9165E" w:rsidRPr="006313BE" w:rsidRDefault="00AE0CB6" w:rsidP="006313BE">
      <w:pPr>
        <w:pStyle w:val="Default"/>
        <w:jc w:val="both"/>
        <w:rPr>
          <w:b/>
          <w:bCs/>
          <w:i/>
          <w:iCs/>
          <w:sz w:val="22"/>
          <w:szCs w:val="22"/>
        </w:rPr>
      </w:pPr>
      <w:r w:rsidRPr="006313BE">
        <w:rPr>
          <w:b/>
          <w:bCs/>
          <w:i/>
          <w:iCs/>
          <w:sz w:val="22"/>
          <w:szCs w:val="22"/>
        </w:rPr>
        <w:t xml:space="preserve">Article 2(1) and Article 7: </w:t>
      </w:r>
      <w:r w:rsidR="00D916D3" w:rsidRPr="006313BE">
        <w:rPr>
          <w:b/>
          <w:bCs/>
          <w:i/>
          <w:iCs/>
          <w:sz w:val="22"/>
          <w:szCs w:val="22"/>
        </w:rPr>
        <w:t>Denial of</w:t>
      </w:r>
      <w:r w:rsidR="00A9165E" w:rsidRPr="006313BE">
        <w:rPr>
          <w:b/>
          <w:bCs/>
          <w:i/>
          <w:iCs/>
          <w:sz w:val="22"/>
          <w:szCs w:val="22"/>
        </w:rPr>
        <w:t xml:space="preserve"> right to be free from torture or cruel, inhuman or degrading treatment or punishment</w:t>
      </w:r>
      <w:r w:rsidR="00D916D3" w:rsidRPr="006313BE">
        <w:rPr>
          <w:b/>
          <w:bCs/>
          <w:i/>
          <w:iCs/>
          <w:sz w:val="22"/>
          <w:szCs w:val="22"/>
        </w:rPr>
        <w:t xml:space="preserve"> </w:t>
      </w:r>
      <w:proofErr w:type="gramStart"/>
      <w:r w:rsidR="00D916D3" w:rsidRPr="006313BE">
        <w:rPr>
          <w:b/>
          <w:bCs/>
          <w:i/>
          <w:iCs/>
          <w:sz w:val="22"/>
          <w:szCs w:val="22"/>
        </w:rPr>
        <w:t>on the basis of</w:t>
      </w:r>
      <w:proofErr w:type="gramEnd"/>
      <w:r w:rsidR="00D916D3" w:rsidRPr="006313BE">
        <w:rPr>
          <w:b/>
          <w:bCs/>
          <w:i/>
          <w:iCs/>
          <w:sz w:val="22"/>
          <w:szCs w:val="22"/>
        </w:rPr>
        <w:t xml:space="preserve"> gender, sexual orientation or disability</w:t>
      </w:r>
    </w:p>
    <w:p w14:paraId="5379C1B3" w14:textId="0108D2B6" w:rsidR="00A9165E" w:rsidRPr="006313BE" w:rsidRDefault="00A9165E" w:rsidP="006313BE">
      <w:pPr>
        <w:pStyle w:val="Default"/>
        <w:jc w:val="both"/>
        <w:rPr>
          <w:b/>
          <w:bCs/>
          <w:sz w:val="22"/>
          <w:szCs w:val="22"/>
        </w:rPr>
      </w:pPr>
    </w:p>
    <w:p w14:paraId="69B0F663" w14:textId="5655AD6D" w:rsidR="004D7C16" w:rsidRPr="006313BE" w:rsidRDefault="00A9165E" w:rsidP="006313BE">
      <w:pPr>
        <w:pStyle w:val="Default"/>
        <w:numPr>
          <w:ilvl w:val="0"/>
          <w:numId w:val="2"/>
        </w:numPr>
        <w:jc w:val="both"/>
        <w:rPr>
          <w:b/>
          <w:bCs/>
          <w:sz w:val="22"/>
          <w:szCs w:val="22"/>
        </w:rPr>
      </w:pPr>
      <w:r w:rsidRPr="006313BE">
        <w:rPr>
          <w:sz w:val="22"/>
          <w:szCs w:val="22"/>
        </w:rPr>
        <w:t xml:space="preserve">As the Equal Rights Trust has noted elsewhere, </w:t>
      </w:r>
      <w:r w:rsidR="004D7C16" w:rsidRPr="006313BE">
        <w:rPr>
          <w:sz w:val="22"/>
          <w:szCs w:val="22"/>
        </w:rPr>
        <w:t>“discrimination and stereotypes may mean that the torture or other ill-treatment of persons with vulnerabilities is accepted by the wider community, and the marginalised status of victims may mean that they are less able or willing to seek assistance, which fosters a climate of impunity”.</w:t>
      </w:r>
      <w:r w:rsidR="004D7C16" w:rsidRPr="006313BE">
        <w:rPr>
          <w:rStyle w:val="FootnoteReference"/>
          <w:sz w:val="22"/>
          <w:szCs w:val="22"/>
        </w:rPr>
        <w:footnoteReference w:id="22"/>
      </w:r>
      <w:r w:rsidR="004D7C16" w:rsidRPr="006313BE">
        <w:rPr>
          <w:sz w:val="22"/>
          <w:szCs w:val="22"/>
        </w:rPr>
        <w:t xml:space="preserve"> In this sense, tackling discrimination is essential for the prevention of impunity for torture and other ill treatment. </w:t>
      </w:r>
    </w:p>
    <w:p w14:paraId="2FEB0E35" w14:textId="678CD866" w:rsidR="00BA63FC" w:rsidRPr="006313BE" w:rsidRDefault="00BA63FC" w:rsidP="006313BE">
      <w:pPr>
        <w:pStyle w:val="Default"/>
        <w:jc w:val="both"/>
        <w:rPr>
          <w:sz w:val="22"/>
          <w:szCs w:val="22"/>
        </w:rPr>
      </w:pPr>
    </w:p>
    <w:p w14:paraId="2156B665" w14:textId="28686FC5" w:rsidR="00BA63FC" w:rsidRPr="006313BE" w:rsidRDefault="00BA63FC" w:rsidP="006313BE">
      <w:pPr>
        <w:pStyle w:val="Default"/>
        <w:jc w:val="both"/>
        <w:rPr>
          <w:b/>
          <w:bCs/>
          <w:i/>
          <w:iCs/>
          <w:sz w:val="22"/>
          <w:szCs w:val="22"/>
        </w:rPr>
      </w:pPr>
      <w:r w:rsidRPr="006313BE">
        <w:rPr>
          <w:i/>
          <w:iCs/>
          <w:sz w:val="22"/>
          <w:szCs w:val="22"/>
        </w:rPr>
        <w:t>Gender-based Violence</w:t>
      </w:r>
    </w:p>
    <w:p w14:paraId="6C59A5D1" w14:textId="77777777" w:rsidR="004D7C16" w:rsidRPr="006313BE" w:rsidRDefault="004D7C16" w:rsidP="006313BE">
      <w:pPr>
        <w:pStyle w:val="Default"/>
        <w:jc w:val="both"/>
        <w:rPr>
          <w:b/>
          <w:bCs/>
          <w:sz w:val="22"/>
          <w:szCs w:val="22"/>
        </w:rPr>
      </w:pPr>
    </w:p>
    <w:p w14:paraId="2F6D9E25" w14:textId="03F71DE5" w:rsidR="007737B6" w:rsidRPr="006313BE" w:rsidRDefault="00C45DD6" w:rsidP="006313BE">
      <w:pPr>
        <w:pStyle w:val="Default"/>
        <w:numPr>
          <w:ilvl w:val="0"/>
          <w:numId w:val="2"/>
        </w:numPr>
        <w:jc w:val="both"/>
        <w:rPr>
          <w:b/>
          <w:bCs/>
          <w:sz w:val="22"/>
          <w:szCs w:val="22"/>
        </w:rPr>
      </w:pPr>
      <w:r w:rsidRPr="006313BE">
        <w:rPr>
          <w:sz w:val="22"/>
          <w:szCs w:val="22"/>
        </w:rPr>
        <w:t>As recognised by the Special Rapporteur on torture and other cruel, inhuman or degrading treatment or punishment, “full integration of a gender perspective into any analysis of torture and ill-treatment is critical to ensuring that violations rooted in discriminatory social norms around gender and sexuality are fully recognized, addressed and remedied”.</w:t>
      </w:r>
      <w:r w:rsidRPr="006313BE">
        <w:rPr>
          <w:rStyle w:val="FootnoteReference"/>
          <w:sz w:val="22"/>
          <w:szCs w:val="22"/>
        </w:rPr>
        <w:footnoteReference w:id="23"/>
      </w:r>
      <w:r w:rsidRPr="006313BE">
        <w:rPr>
          <w:sz w:val="22"/>
          <w:szCs w:val="22"/>
        </w:rPr>
        <w:t xml:space="preserve"> </w:t>
      </w:r>
      <w:r w:rsidR="004D7C16" w:rsidRPr="006313BE">
        <w:rPr>
          <w:sz w:val="22"/>
          <w:szCs w:val="22"/>
        </w:rPr>
        <w:t>A</w:t>
      </w:r>
      <w:r w:rsidR="00A9165E" w:rsidRPr="006313BE">
        <w:rPr>
          <w:sz w:val="22"/>
          <w:szCs w:val="22"/>
        </w:rPr>
        <w:t xml:space="preserve"> gender-sensitive approach to torture and ill-treatment leads to the recognition of domestic violence and other forms of violence against women as torture and ill-treatment.</w:t>
      </w:r>
      <w:r w:rsidR="00A9165E" w:rsidRPr="006313BE">
        <w:rPr>
          <w:rStyle w:val="FootnoteReference"/>
          <w:sz w:val="22"/>
          <w:szCs w:val="22"/>
        </w:rPr>
        <w:footnoteReference w:id="24"/>
      </w:r>
      <w:r w:rsidR="00A9165E" w:rsidRPr="006313BE">
        <w:rPr>
          <w:sz w:val="22"/>
          <w:szCs w:val="22"/>
        </w:rPr>
        <w:t xml:space="preserve"> </w:t>
      </w:r>
      <w:r w:rsidR="007737B6" w:rsidRPr="006313BE">
        <w:rPr>
          <w:sz w:val="22"/>
          <w:szCs w:val="22"/>
        </w:rPr>
        <w:t xml:space="preserve">Taking into account the particular vulnerabilities of women guards against a tendency to minimise acts </w:t>
      </w:r>
      <w:r w:rsidR="008662AB" w:rsidRPr="006313BE">
        <w:rPr>
          <w:sz w:val="22"/>
          <w:szCs w:val="22"/>
        </w:rPr>
        <w:t xml:space="preserve">of violence </w:t>
      </w:r>
      <w:r w:rsidR="007737B6" w:rsidRPr="006313BE">
        <w:rPr>
          <w:sz w:val="22"/>
          <w:szCs w:val="22"/>
        </w:rPr>
        <w:t>and allows for additional avenues of legal redress that are invoked by the prohibition of torture and other ill-treatment.</w:t>
      </w:r>
      <w:r w:rsidR="007737B6" w:rsidRPr="006313BE">
        <w:rPr>
          <w:rStyle w:val="FootnoteReference"/>
          <w:sz w:val="22"/>
          <w:szCs w:val="22"/>
        </w:rPr>
        <w:footnoteReference w:id="25"/>
      </w:r>
      <w:r w:rsidR="007737B6" w:rsidRPr="006313BE">
        <w:rPr>
          <w:sz w:val="22"/>
          <w:szCs w:val="22"/>
        </w:rPr>
        <w:t xml:space="preserve"> </w:t>
      </w:r>
    </w:p>
    <w:p w14:paraId="15C0A42E" w14:textId="77777777" w:rsidR="008305FF" w:rsidRPr="006313BE" w:rsidRDefault="008305FF" w:rsidP="006313BE">
      <w:pPr>
        <w:pStyle w:val="ListParagraph"/>
        <w:contextualSpacing w:val="0"/>
        <w:jc w:val="both"/>
      </w:pPr>
    </w:p>
    <w:p w14:paraId="55BCB2F9" w14:textId="2875B666" w:rsidR="00780721" w:rsidRPr="006313BE" w:rsidRDefault="00FC398D" w:rsidP="006313BE">
      <w:pPr>
        <w:pStyle w:val="Default"/>
        <w:numPr>
          <w:ilvl w:val="0"/>
          <w:numId w:val="2"/>
        </w:numPr>
        <w:jc w:val="both"/>
        <w:rPr>
          <w:sz w:val="22"/>
          <w:szCs w:val="22"/>
        </w:rPr>
      </w:pPr>
      <w:r w:rsidRPr="006313BE">
        <w:rPr>
          <w:sz w:val="22"/>
          <w:szCs w:val="22"/>
        </w:rPr>
        <w:t>The</w:t>
      </w:r>
      <w:r w:rsidR="008305FF" w:rsidRPr="006313BE">
        <w:rPr>
          <w:sz w:val="22"/>
          <w:szCs w:val="22"/>
        </w:rPr>
        <w:t xml:space="preserve"> state has obligations to exercise due diligence and take measures to protect a particular person or persons from the acts of</w:t>
      </w:r>
      <w:r w:rsidR="008662AB" w:rsidRPr="006313BE">
        <w:rPr>
          <w:sz w:val="22"/>
          <w:szCs w:val="22"/>
        </w:rPr>
        <w:t xml:space="preserve"> torture or ill-treatment of</w:t>
      </w:r>
      <w:r w:rsidR="008305FF" w:rsidRPr="006313BE">
        <w:rPr>
          <w:sz w:val="22"/>
          <w:szCs w:val="22"/>
        </w:rPr>
        <w:t xml:space="preserve"> private individuals.</w:t>
      </w:r>
      <w:r w:rsidR="008305FF" w:rsidRPr="006313BE">
        <w:rPr>
          <w:rStyle w:val="FootnoteReference"/>
          <w:sz w:val="22"/>
          <w:szCs w:val="22"/>
        </w:rPr>
        <w:footnoteReference w:id="26"/>
      </w:r>
      <w:r w:rsidR="008305FF" w:rsidRPr="006313BE">
        <w:rPr>
          <w:sz w:val="22"/>
          <w:szCs w:val="22"/>
        </w:rPr>
        <w:t xml:space="preserve"> State failures to protect women from gender-based violence have been found to fall short of these requirements.</w:t>
      </w:r>
      <w:r w:rsidR="0057630D" w:rsidRPr="006313BE">
        <w:rPr>
          <w:rStyle w:val="FootnoteReference"/>
          <w:sz w:val="22"/>
          <w:szCs w:val="22"/>
        </w:rPr>
        <w:footnoteReference w:id="27"/>
      </w:r>
      <w:r w:rsidR="008305FF" w:rsidRPr="006313BE">
        <w:rPr>
          <w:sz w:val="22"/>
          <w:szCs w:val="22"/>
        </w:rPr>
        <w:t xml:space="preserve"> </w:t>
      </w:r>
      <w:r w:rsidR="0057630D" w:rsidRPr="006313BE">
        <w:rPr>
          <w:sz w:val="22"/>
          <w:szCs w:val="22"/>
        </w:rPr>
        <w:t xml:space="preserve">In addition to individual circumstances where there is a known risk of harm to a particular person, the principle of due diligence may be applied at a systematic level, such that </w:t>
      </w:r>
      <w:r w:rsidR="008662AB" w:rsidRPr="006313BE">
        <w:rPr>
          <w:sz w:val="22"/>
          <w:szCs w:val="22"/>
        </w:rPr>
        <w:t>the</w:t>
      </w:r>
      <w:r w:rsidR="0057630D" w:rsidRPr="006313BE">
        <w:rPr>
          <w:sz w:val="22"/>
          <w:szCs w:val="22"/>
        </w:rPr>
        <w:t xml:space="preserve"> state is responsible for the acts of private individuals when it has failed generally to meet its obligation to prevent torture</w:t>
      </w:r>
      <w:r w:rsidR="00780721" w:rsidRPr="006313BE">
        <w:rPr>
          <w:sz w:val="22"/>
          <w:szCs w:val="22"/>
        </w:rPr>
        <w:t xml:space="preserve"> to the extent that there is a risk to all persons in a group</w:t>
      </w:r>
      <w:r w:rsidR="0057630D" w:rsidRPr="006313BE">
        <w:rPr>
          <w:sz w:val="22"/>
          <w:szCs w:val="22"/>
        </w:rPr>
        <w:t>.</w:t>
      </w:r>
      <w:r w:rsidR="0057630D" w:rsidRPr="006313BE">
        <w:rPr>
          <w:rStyle w:val="FootnoteReference"/>
          <w:sz w:val="22"/>
          <w:szCs w:val="22"/>
        </w:rPr>
        <w:footnoteReference w:id="28"/>
      </w:r>
      <w:r w:rsidR="0057630D" w:rsidRPr="006313BE">
        <w:rPr>
          <w:sz w:val="22"/>
          <w:szCs w:val="22"/>
        </w:rPr>
        <w:t xml:space="preserve"> </w:t>
      </w:r>
      <w:r w:rsidR="00A04120" w:rsidRPr="006313BE">
        <w:rPr>
          <w:sz w:val="22"/>
          <w:szCs w:val="22"/>
        </w:rPr>
        <w:t>Thus, there is an obligation to implement and enforce legislation relating to violence against women, as well as additional measures including counselling centres, legal assistance, shelters, healthcare, hotlines, and financial aid.</w:t>
      </w:r>
      <w:r w:rsidR="00A04120" w:rsidRPr="006313BE">
        <w:rPr>
          <w:rStyle w:val="FootnoteReference"/>
          <w:sz w:val="22"/>
          <w:szCs w:val="22"/>
        </w:rPr>
        <w:footnoteReference w:id="29"/>
      </w:r>
    </w:p>
    <w:p w14:paraId="6E958BAC" w14:textId="77777777" w:rsidR="00780721" w:rsidRPr="006313BE" w:rsidRDefault="00780721" w:rsidP="006313BE">
      <w:pPr>
        <w:pStyle w:val="ListParagraph"/>
        <w:contextualSpacing w:val="0"/>
        <w:jc w:val="both"/>
      </w:pPr>
    </w:p>
    <w:p w14:paraId="3E75E675" w14:textId="17E85808" w:rsidR="00780721" w:rsidRPr="006313BE" w:rsidRDefault="00780721" w:rsidP="006313BE">
      <w:pPr>
        <w:pStyle w:val="Default"/>
        <w:numPr>
          <w:ilvl w:val="0"/>
          <w:numId w:val="2"/>
        </w:numPr>
        <w:jc w:val="both"/>
        <w:rPr>
          <w:sz w:val="22"/>
          <w:szCs w:val="22"/>
        </w:rPr>
      </w:pPr>
      <w:r w:rsidRPr="006313BE">
        <w:rPr>
          <w:sz w:val="22"/>
          <w:szCs w:val="22"/>
        </w:rPr>
        <w:lastRenderedPageBreak/>
        <w:t xml:space="preserve">Regarding its obligations towards women, Cabo Verde has </w:t>
      </w:r>
      <w:r w:rsidR="00BA63FC" w:rsidRPr="006313BE">
        <w:rPr>
          <w:sz w:val="22"/>
          <w:szCs w:val="22"/>
        </w:rPr>
        <w:t>acknowledged</w:t>
      </w:r>
      <w:r w:rsidRPr="006313BE">
        <w:rPr>
          <w:sz w:val="22"/>
          <w:szCs w:val="22"/>
        </w:rPr>
        <w:t xml:space="preserve"> in its Initial Report to the Committee that gender-based violence is a priority issue which requires the adoption of preventive, punitive, and sensitizing measures.</w:t>
      </w:r>
      <w:r w:rsidRPr="006313BE">
        <w:rPr>
          <w:rStyle w:val="FootnoteReference"/>
          <w:sz w:val="22"/>
          <w:szCs w:val="22"/>
        </w:rPr>
        <w:footnoteReference w:id="30"/>
      </w:r>
      <w:r w:rsidRPr="006313BE">
        <w:rPr>
          <w:sz w:val="22"/>
          <w:szCs w:val="22"/>
        </w:rPr>
        <w:t xml:space="preserve"> </w:t>
      </w:r>
      <w:r w:rsidR="00BA63FC" w:rsidRPr="006313BE">
        <w:rPr>
          <w:sz w:val="22"/>
          <w:szCs w:val="22"/>
        </w:rPr>
        <w:t>The</w:t>
      </w:r>
      <w:r w:rsidRPr="006313BE">
        <w:rPr>
          <w:sz w:val="22"/>
          <w:szCs w:val="22"/>
        </w:rPr>
        <w:t xml:space="preserve"> state enacted legislation criminali</w:t>
      </w:r>
      <w:r w:rsidR="00BA63FC" w:rsidRPr="006313BE">
        <w:rPr>
          <w:sz w:val="22"/>
          <w:szCs w:val="22"/>
        </w:rPr>
        <w:t>s</w:t>
      </w:r>
      <w:r w:rsidRPr="006313BE">
        <w:rPr>
          <w:sz w:val="22"/>
          <w:szCs w:val="22"/>
        </w:rPr>
        <w:t xml:space="preserve">ing gender-based violence in 2011, which was regulated by Decree-Law 8/2015. </w:t>
      </w:r>
      <w:r w:rsidR="00BA63FC" w:rsidRPr="006313BE">
        <w:rPr>
          <w:sz w:val="22"/>
          <w:szCs w:val="22"/>
        </w:rPr>
        <w:t>The l</w:t>
      </w:r>
      <w:r w:rsidRPr="006313BE">
        <w:rPr>
          <w:sz w:val="22"/>
          <w:szCs w:val="22"/>
        </w:rPr>
        <w:t>egislation orders the State and City Councils to create Victim Support Centres and Safe Houses for women who have been victims of domestic violence. In addition, in 2015, the State Party established the Gender-based Violence Victim Support Fund.</w:t>
      </w:r>
    </w:p>
    <w:p w14:paraId="5DED008D" w14:textId="77777777" w:rsidR="00CF698E" w:rsidRPr="006313BE" w:rsidRDefault="00CF698E" w:rsidP="006313BE">
      <w:pPr>
        <w:pStyle w:val="Default"/>
        <w:jc w:val="both"/>
        <w:rPr>
          <w:sz w:val="22"/>
          <w:szCs w:val="22"/>
        </w:rPr>
      </w:pPr>
    </w:p>
    <w:p w14:paraId="5D63E5FE" w14:textId="4BE32D4C" w:rsidR="00BA63FC" w:rsidRPr="006C5BE9" w:rsidRDefault="00780721" w:rsidP="006C5BE9">
      <w:pPr>
        <w:pStyle w:val="Default"/>
        <w:numPr>
          <w:ilvl w:val="0"/>
          <w:numId w:val="2"/>
        </w:numPr>
        <w:jc w:val="both"/>
        <w:rPr>
          <w:sz w:val="22"/>
          <w:szCs w:val="22"/>
        </w:rPr>
      </w:pPr>
      <w:r w:rsidRPr="006313BE">
        <w:rPr>
          <w:sz w:val="22"/>
          <w:szCs w:val="22"/>
        </w:rPr>
        <w:t xml:space="preserve">However, </w:t>
      </w:r>
      <w:r w:rsidR="00BA63FC" w:rsidRPr="006313BE">
        <w:rPr>
          <w:sz w:val="22"/>
          <w:szCs w:val="22"/>
        </w:rPr>
        <w:t>a number of the organisations involved in preparing this submission have found that the</w:t>
      </w:r>
      <w:r w:rsidR="004B722F" w:rsidRPr="006313BE">
        <w:rPr>
          <w:sz w:val="22"/>
          <w:szCs w:val="22"/>
        </w:rPr>
        <w:t xml:space="preserve"> legal framework has been ineff</w:t>
      </w:r>
      <w:r w:rsidR="00BA63FC" w:rsidRPr="006313BE">
        <w:rPr>
          <w:sz w:val="22"/>
          <w:szCs w:val="22"/>
        </w:rPr>
        <w:t>ective</w:t>
      </w:r>
      <w:r w:rsidR="004B722F" w:rsidRPr="006313BE">
        <w:rPr>
          <w:sz w:val="22"/>
          <w:szCs w:val="22"/>
        </w:rPr>
        <w:t xml:space="preserve"> in practice. </w:t>
      </w:r>
      <w:r w:rsidR="00BA63FC" w:rsidRPr="006313BE">
        <w:rPr>
          <w:sz w:val="22"/>
          <w:szCs w:val="22"/>
        </w:rPr>
        <w:t xml:space="preserve">In particular, the partners note that there are not sufficient mechanisms or institutions in Cabo Verde to prevent violence, protect women and ensure adequate attention to survivors. </w:t>
      </w:r>
      <w:r w:rsidR="004B722F" w:rsidRPr="006313BE">
        <w:rPr>
          <w:sz w:val="22"/>
          <w:szCs w:val="22"/>
        </w:rPr>
        <w:t xml:space="preserve">According to </w:t>
      </w:r>
      <w:r w:rsidRPr="006313BE">
        <w:rPr>
          <w:sz w:val="22"/>
          <w:szCs w:val="22"/>
        </w:rPr>
        <w:t>APIMUD, women persistently face psychological violence, bullying, emotional abuse, domestic violence, and other forms of gender-based violence. As revealed by the</w:t>
      </w:r>
      <w:r w:rsidR="006C5BE9">
        <w:rPr>
          <w:sz w:val="22"/>
          <w:szCs w:val="22"/>
        </w:rPr>
        <w:t xml:space="preserve"> International Confe</w:t>
      </w:r>
      <w:bookmarkStart w:id="11" w:name="_GoBack"/>
      <w:bookmarkEnd w:id="11"/>
      <w:r w:rsidR="006C5BE9">
        <w:rPr>
          <w:sz w:val="22"/>
          <w:szCs w:val="22"/>
        </w:rPr>
        <w:t xml:space="preserve">rence about Gender-Based Violence promoted by ACLCVBG, Victim Support Centres and Safe Houses have not been established by the Government in the terms stipulated by the law. Victims remain without access to Safe Houses. In addition, </w:t>
      </w:r>
      <w:r w:rsidR="00CF698E" w:rsidRPr="006C5BE9">
        <w:rPr>
          <w:sz w:val="22"/>
          <w:szCs w:val="22"/>
        </w:rPr>
        <w:t xml:space="preserve">Support Centres are not available in all 22 municipalities and are therefore not available to all women. In practice, not all centres provide multidisciplinary assistance </w:t>
      </w:r>
      <w:r w:rsidR="00BA63FC" w:rsidRPr="006C5BE9">
        <w:rPr>
          <w:sz w:val="22"/>
          <w:szCs w:val="22"/>
        </w:rPr>
        <w:t xml:space="preserve">(including both legal and psychological support) </w:t>
      </w:r>
      <w:r w:rsidR="00CF698E" w:rsidRPr="006C5BE9">
        <w:rPr>
          <w:sz w:val="22"/>
          <w:szCs w:val="22"/>
        </w:rPr>
        <w:t xml:space="preserve">to gender-based violence </w:t>
      </w:r>
      <w:r w:rsidR="00BA63FC" w:rsidRPr="006C5BE9">
        <w:rPr>
          <w:sz w:val="22"/>
          <w:szCs w:val="22"/>
        </w:rPr>
        <w:t>survivors</w:t>
      </w:r>
      <w:r w:rsidR="00CF698E" w:rsidRPr="006C5BE9">
        <w:rPr>
          <w:sz w:val="22"/>
          <w:szCs w:val="22"/>
        </w:rPr>
        <w:t xml:space="preserve">. Furthermore, these centres do not function properly in practice. </w:t>
      </w:r>
      <w:r w:rsidR="00BA63FC" w:rsidRPr="006C5BE9">
        <w:rPr>
          <w:sz w:val="22"/>
          <w:szCs w:val="22"/>
        </w:rPr>
        <w:t xml:space="preserve"> It is also notable that most funds that have been allocated to combat gender-based violence have been provided by international partners, as opposed to direct investments from the State Budget.</w:t>
      </w:r>
      <w:r w:rsidR="00BA63FC" w:rsidRPr="006313BE">
        <w:rPr>
          <w:rStyle w:val="FootnoteReference"/>
          <w:sz w:val="22"/>
          <w:szCs w:val="22"/>
        </w:rPr>
        <w:footnoteReference w:id="31"/>
      </w:r>
      <w:r w:rsidR="00BA63FC" w:rsidRPr="006C5BE9">
        <w:rPr>
          <w:sz w:val="22"/>
          <w:szCs w:val="22"/>
        </w:rPr>
        <w:t xml:space="preserve"> </w:t>
      </w:r>
    </w:p>
    <w:p w14:paraId="39FCF195" w14:textId="77777777" w:rsidR="00BA63FC" w:rsidRPr="006313BE" w:rsidRDefault="00BA63FC" w:rsidP="006313BE">
      <w:pPr>
        <w:pStyle w:val="Default"/>
        <w:ind w:left="567"/>
        <w:jc w:val="both"/>
        <w:rPr>
          <w:sz w:val="22"/>
          <w:szCs w:val="22"/>
        </w:rPr>
      </w:pPr>
    </w:p>
    <w:p w14:paraId="695F6BDA" w14:textId="030270C6" w:rsidR="00CF698E" w:rsidRPr="006313BE" w:rsidRDefault="00CF698E" w:rsidP="006313BE">
      <w:pPr>
        <w:pStyle w:val="Default"/>
        <w:numPr>
          <w:ilvl w:val="0"/>
          <w:numId w:val="2"/>
        </w:numPr>
        <w:jc w:val="both"/>
        <w:rPr>
          <w:sz w:val="22"/>
          <w:szCs w:val="22"/>
        </w:rPr>
      </w:pPr>
      <w:r w:rsidRPr="006313BE">
        <w:rPr>
          <w:sz w:val="22"/>
          <w:szCs w:val="22"/>
        </w:rPr>
        <w:t xml:space="preserve">ACLCVBG has noted with concern that professionals in charge of providing support services do not </w:t>
      </w:r>
      <w:r w:rsidR="00BA63FC" w:rsidRPr="006313BE">
        <w:rPr>
          <w:sz w:val="22"/>
          <w:szCs w:val="22"/>
        </w:rPr>
        <w:t>exhibit</w:t>
      </w:r>
      <w:r w:rsidRPr="006313BE">
        <w:rPr>
          <w:sz w:val="22"/>
          <w:szCs w:val="22"/>
        </w:rPr>
        <w:t xml:space="preserve"> sensitivity in their treatment of </w:t>
      </w:r>
      <w:r w:rsidR="00BA63FC" w:rsidRPr="006313BE">
        <w:rPr>
          <w:sz w:val="22"/>
          <w:szCs w:val="22"/>
        </w:rPr>
        <w:t>survivors</w:t>
      </w:r>
      <w:r w:rsidRPr="006313BE">
        <w:rPr>
          <w:sz w:val="22"/>
          <w:szCs w:val="22"/>
        </w:rPr>
        <w:t>, often having no knowledge of the law or believing it is normal to mistreat a woman</w:t>
      </w:r>
      <w:r w:rsidR="00BA63FC" w:rsidRPr="006313BE">
        <w:rPr>
          <w:sz w:val="22"/>
          <w:szCs w:val="22"/>
        </w:rPr>
        <w:t>.</w:t>
      </w:r>
    </w:p>
    <w:p w14:paraId="55C1A8E7" w14:textId="77777777" w:rsidR="00CF698E" w:rsidRPr="006313BE" w:rsidRDefault="00CF698E" w:rsidP="006313BE">
      <w:pPr>
        <w:pStyle w:val="Default"/>
        <w:ind w:left="567"/>
        <w:jc w:val="both"/>
        <w:rPr>
          <w:sz w:val="22"/>
          <w:szCs w:val="22"/>
        </w:rPr>
      </w:pPr>
    </w:p>
    <w:p w14:paraId="51446576" w14:textId="0BB9F4E3" w:rsidR="008C1DFA" w:rsidRPr="006313BE" w:rsidRDefault="008C1DFA" w:rsidP="006313BE">
      <w:pPr>
        <w:pStyle w:val="Default"/>
        <w:numPr>
          <w:ilvl w:val="0"/>
          <w:numId w:val="2"/>
        </w:numPr>
        <w:jc w:val="both"/>
        <w:rPr>
          <w:sz w:val="22"/>
          <w:szCs w:val="22"/>
        </w:rPr>
      </w:pPr>
      <w:r w:rsidRPr="006313BE">
        <w:rPr>
          <w:sz w:val="22"/>
          <w:szCs w:val="22"/>
        </w:rPr>
        <w:t>Although the State Party has made efforts to integrate gender equality in school curricula in order to prevent gender-based violence, NGOs have expressed their concern that only a small number of teachers are trained and have proper awareness of these issues. Professionals in the media, justice, and health services are not properly trained either.</w:t>
      </w:r>
      <w:r w:rsidRPr="006313BE">
        <w:rPr>
          <w:rStyle w:val="FootnoteReference"/>
          <w:sz w:val="22"/>
          <w:szCs w:val="22"/>
        </w:rPr>
        <w:footnoteReference w:id="32"/>
      </w:r>
      <w:r w:rsidRPr="006313BE">
        <w:rPr>
          <w:sz w:val="22"/>
          <w:szCs w:val="22"/>
        </w:rPr>
        <w:t xml:space="preserve"> </w:t>
      </w:r>
    </w:p>
    <w:p w14:paraId="02F42CE7" w14:textId="77777777" w:rsidR="008C1DFA" w:rsidRPr="006313BE" w:rsidRDefault="008C1DFA" w:rsidP="006313BE">
      <w:pPr>
        <w:pStyle w:val="Default"/>
        <w:ind w:left="567"/>
        <w:jc w:val="both"/>
        <w:rPr>
          <w:sz w:val="22"/>
          <w:szCs w:val="22"/>
        </w:rPr>
      </w:pPr>
    </w:p>
    <w:p w14:paraId="4A9491CC" w14:textId="64ACBC25" w:rsidR="00BA63FC" w:rsidRPr="006313BE" w:rsidRDefault="00BA63FC" w:rsidP="006313BE">
      <w:pPr>
        <w:pStyle w:val="Default"/>
        <w:jc w:val="both"/>
        <w:rPr>
          <w:i/>
          <w:iCs/>
          <w:sz w:val="22"/>
          <w:szCs w:val="22"/>
        </w:rPr>
      </w:pPr>
      <w:r w:rsidRPr="006313BE">
        <w:rPr>
          <w:i/>
          <w:iCs/>
          <w:sz w:val="22"/>
          <w:szCs w:val="22"/>
        </w:rPr>
        <w:t>Other forms of discriminatory torture and ill-treatment</w:t>
      </w:r>
    </w:p>
    <w:p w14:paraId="40AA0A30" w14:textId="77777777" w:rsidR="00BA63FC" w:rsidRPr="006313BE" w:rsidRDefault="00BA63FC" w:rsidP="006313BE">
      <w:pPr>
        <w:pStyle w:val="ListParagraph"/>
        <w:contextualSpacing w:val="0"/>
      </w:pPr>
    </w:p>
    <w:p w14:paraId="32964E61" w14:textId="77777777" w:rsidR="00BA63FC" w:rsidRPr="006313BE" w:rsidRDefault="00BA63FC" w:rsidP="006313BE">
      <w:pPr>
        <w:pStyle w:val="Default"/>
        <w:numPr>
          <w:ilvl w:val="0"/>
          <w:numId w:val="2"/>
        </w:numPr>
        <w:jc w:val="both"/>
        <w:rPr>
          <w:sz w:val="22"/>
          <w:szCs w:val="22"/>
        </w:rPr>
      </w:pPr>
      <w:r w:rsidRPr="006313BE">
        <w:rPr>
          <w:sz w:val="22"/>
          <w:szCs w:val="22"/>
        </w:rPr>
        <w:t xml:space="preserve">Alongside these concerns regarding the efficacy of efforts to eliminate gender-based violence, organisations which have contributed to this submission have identified a range of other forms of discriminatory torture and ill-treatment. </w:t>
      </w:r>
    </w:p>
    <w:p w14:paraId="05BC3FF7" w14:textId="0B896FE5" w:rsidR="00BA63FC" w:rsidRPr="006313BE" w:rsidRDefault="00BA63FC" w:rsidP="006313BE">
      <w:pPr>
        <w:pStyle w:val="Default"/>
        <w:ind w:left="567"/>
        <w:jc w:val="both"/>
        <w:rPr>
          <w:sz w:val="22"/>
          <w:szCs w:val="22"/>
        </w:rPr>
      </w:pPr>
      <w:r w:rsidRPr="006313BE">
        <w:rPr>
          <w:sz w:val="22"/>
          <w:szCs w:val="22"/>
        </w:rPr>
        <w:t xml:space="preserve"> </w:t>
      </w:r>
    </w:p>
    <w:p w14:paraId="0C105C00" w14:textId="2F4A4B57" w:rsidR="00FE3750" w:rsidRPr="006313BE" w:rsidRDefault="00FE3750" w:rsidP="006313BE">
      <w:pPr>
        <w:pStyle w:val="Default"/>
        <w:numPr>
          <w:ilvl w:val="0"/>
          <w:numId w:val="2"/>
        </w:numPr>
        <w:jc w:val="both"/>
        <w:rPr>
          <w:color w:val="000000" w:themeColor="text1"/>
          <w:sz w:val="22"/>
          <w:szCs w:val="22"/>
        </w:rPr>
      </w:pPr>
      <w:r w:rsidRPr="006313BE">
        <w:rPr>
          <w:color w:val="000000" w:themeColor="text1"/>
          <w:sz w:val="22"/>
          <w:szCs w:val="22"/>
        </w:rPr>
        <w:t xml:space="preserve">OMCV has documented that women with disabilities and women living with HIV have been forced to undergo tubal litigations without their consent. </w:t>
      </w:r>
      <w:proofErr w:type="spellStart"/>
      <w:r w:rsidRPr="006313BE">
        <w:rPr>
          <w:color w:val="000000" w:themeColor="text1"/>
          <w:sz w:val="22"/>
          <w:szCs w:val="22"/>
        </w:rPr>
        <w:t>Morabi</w:t>
      </w:r>
      <w:proofErr w:type="spellEnd"/>
      <w:r w:rsidRPr="006313BE">
        <w:rPr>
          <w:color w:val="000000" w:themeColor="text1"/>
          <w:sz w:val="22"/>
          <w:szCs w:val="22"/>
        </w:rPr>
        <w:t xml:space="preserve"> notes that persons with disabilities and persons living with HIV are frequently seen, both by society and by professionals in healthcare, as unable to make their own decisions about sexuality and reproduction. </w:t>
      </w:r>
    </w:p>
    <w:p w14:paraId="4F140550" w14:textId="77777777" w:rsidR="00FE3750" w:rsidRPr="006313BE" w:rsidRDefault="00FE3750" w:rsidP="006313BE">
      <w:pPr>
        <w:pStyle w:val="Default"/>
        <w:jc w:val="both"/>
        <w:rPr>
          <w:color w:val="000000" w:themeColor="text1"/>
          <w:sz w:val="22"/>
          <w:szCs w:val="22"/>
        </w:rPr>
      </w:pPr>
    </w:p>
    <w:p w14:paraId="328DDBBE" w14:textId="017FED66" w:rsidR="001977B3" w:rsidRDefault="00FE3750" w:rsidP="006313BE">
      <w:pPr>
        <w:pStyle w:val="Default"/>
        <w:numPr>
          <w:ilvl w:val="0"/>
          <w:numId w:val="2"/>
        </w:numPr>
        <w:jc w:val="both"/>
        <w:rPr>
          <w:color w:val="000000" w:themeColor="text1"/>
          <w:sz w:val="22"/>
          <w:szCs w:val="22"/>
        </w:rPr>
      </w:pPr>
      <w:r w:rsidRPr="006313BE">
        <w:rPr>
          <w:color w:val="000000" w:themeColor="text1"/>
          <w:sz w:val="22"/>
          <w:szCs w:val="22"/>
        </w:rPr>
        <w:lastRenderedPageBreak/>
        <w:t>It is well-established that</w:t>
      </w:r>
      <w:r w:rsidR="001977B3" w:rsidRPr="006313BE">
        <w:rPr>
          <w:color w:val="000000" w:themeColor="text1"/>
          <w:sz w:val="22"/>
          <w:szCs w:val="22"/>
        </w:rPr>
        <w:t xml:space="preserve"> healthcare must only be provided with the free and informed consent of the patient. The existence of a disability is not a sufficient reason to deny a person’s legal capacity,</w:t>
      </w:r>
      <w:r w:rsidR="001977B3" w:rsidRPr="006313BE">
        <w:rPr>
          <w:rStyle w:val="FootnoteReference"/>
          <w:color w:val="000000" w:themeColor="text1"/>
          <w:sz w:val="22"/>
          <w:szCs w:val="22"/>
        </w:rPr>
        <w:footnoteReference w:id="33"/>
      </w:r>
      <w:r w:rsidR="001977B3" w:rsidRPr="006313BE">
        <w:rPr>
          <w:color w:val="000000" w:themeColor="text1"/>
          <w:sz w:val="22"/>
          <w:szCs w:val="22"/>
        </w:rPr>
        <w:t xml:space="preserve"> and states must put into place measures to support </w:t>
      </w:r>
      <w:r w:rsidR="001905F9" w:rsidRPr="006313BE">
        <w:rPr>
          <w:color w:val="000000" w:themeColor="text1"/>
          <w:sz w:val="22"/>
          <w:szCs w:val="22"/>
        </w:rPr>
        <w:t>decision-making</w:t>
      </w:r>
      <w:r w:rsidR="001977B3" w:rsidRPr="006313BE">
        <w:rPr>
          <w:color w:val="000000" w:themeColor="text1"/>
          <w:sz w:val="22"/>
          <w:szCs w:val="22"/>
        </w:rPr>
        <w:t xml:space="preserve"> regarding medical treatments and procedures. </w:t>
      </w:r>
      <w:r w:rsidRPr="006313BE">
        <w:rPr>
          <w:color w:val="000000" w:themeColor="text1"/>
          <w:sz w:val="22"/>
          <w:szCs w:val="22"/>
        </w:rPr>
        <w:t>Certain medical procedures may be presented as being in the “best interest” of persons with disabilities but are actually based on discriminatory notions about what is in a person’s best interest.</w:t>
      </w:r>
      <w:r w:rsidRPr="006313BE">
        <w:rPr>
          <w:rStyle w:val="FootnoteReference"/>
          <w:color w:val="000000" w:themeColor="text1"/>
          <w:sz w:val="22"/>
          <w:szCs w:val="22"/>
        </w:rPr>
        <w:footnoteReference w:id="34"/>
      </w:r>
      <w:r w:rsidRPr="006313BE">
        <w:rPr>
          <w:color w:val="000000" w:themeColor="text1"/>
          <w:sz w:val="22"/>
          <w:szCs w:val="22"/>
        </w:rPr>
        <w:t xml:space="preserve">  Furthermore, as recognized by the Special Rapporteur on torture, medical procedures of an intrusive and irreversible nature may constitute torture or ill-treatment when enforced or administered without the free and informed consent of the person concerned.</w:t>
      </w:r>
      <w:r w:rsidRPr="006313BE">
        <w:rPr>
          <w:color w:val="000000" w:themeColor="text1"/>
          <w:sz w:val="22"/>
          <w:szCs w:val="22"/>
          <w:vertAlign w:val="superscript"/>
        </w:rPr>
        <w:footnoteReference w:id="35"/>
      </w:r>
    </w:p>
    <w:p w14:paraId="23C30221" w14:textId="77777777" w:rsidR="00E66428" w:rsidRPr="006313BE" w:rsidRDefault="00E66428" w:rsidP="00E66428">
      <w:pPr>
        <w:pStyle w:val="Default"/>
        <w:jc w:val="both"/>
        <w:rPr>
          <w:color w:val="000000" w:themeColor="text1"/>
          <w:sz w:val="22"/>
          <w:szCs w:val="22"/>
        </w:rPr>
      </w:pPr>
    </w:p>
    <w:p w14:paraId="74E0AD6A" w14:textId="02A20602" w:rsidR="00A04120" w:rsidRPr="006313BE" w:rsidRDefault="00A04120" w:rsidP="006313BE">
      <w:pPr>
        <w:pStyle w:val="Default"/>
        <w:numPr>
          <w:ilvl w:val="0"/>
          <w:numId w:val="2"/>
        </w:numPr>
        <w:jc w:val="both"/>
        <w:rPr>
          <w:color w:val="000000" w:themeColor="text1"/>
          <w:sz w:val="22"/>
          <w:szCs w:val="22"/>
        </w:rPr>
      </w:pPr>
      <w:r w:rsidRPr="006313BE">
        <w:rPr>
          <w:color w:val="000000" w:themeColor="text1"/>
          <w:sz w:val="22"/>
          <w:szCs w:val="22"/>
        </w:rPr>
        <w:t xml:space="preserve">In addition, NGO’s have noted with concern that women with disabilities are particularly vulnerable to concurrent forms of violence and risks against their lives (physical, verbal, economic, and sexual). These vulnerabilities have not yet been addressed by the State Party. For instance, women with disabilities who have been victims of gender-based violence </w:t>
      </w:r>
      <w:r w:rsidR="00FE3750" w:rsidRPr="006313BE">
        <w:rPr>
          <w:color w:val="000000" w:themeColor="text1"/>
          <w:sz w:val="22"/>
          <w:szCs w:val="22"/>
        </w:rPr>
        <w:t xml:space="preserve">may </w:t>
      </w:r>
      <w:r w:rsidRPr="006313BE">
        <w:rPr>
          <w:color w:val="000000" w:themeColor="text1"/>
          <w:sz w:val="22"/>
          <w:szCs w:val="22"/>
        </w:rPr>
        <w:t>suffer from</w:t>
      </w:r>
      <w:r w:rsidR="001905F9" w:rsidRPr="006313BE">
        <w:rPr>
          <w:color w:val="000000" w:themeColor="text1"/>
          <w:sz w:val="22"/>
          <w:szCs w:val="22"/>
        </w:rPr>
        <w:t xml:space="preserve"> further</w:t>
      </w:r>
      <w:r w:rsidRPr="006313BE">
        <w:rPr>
          <w:color w:val="000000" w:themeColor="text1"/>
          <w:sz w:val="22"/>
          <w:szCs w:val="22"/>
        </w:rPr>
        <w:t xml:space="preserve"> discrimination at Victim Support Centres, both in terms of physical accessibility and </w:t>
      </w:r>
      <w:r w:rsidR="00FE3750" w:rsidRPr="006313BE">
        <w:rPr>
          <w:color w:val="000000" w:themeColor="text1"/>
          <w:sz w:val="22"/>
          <w:szCs w:val="22"/>
        </w:rPr>
        <w:t xml:space="preserve">failure to make </w:t>
      </w:r>
      <w:r w:rsidRPr="006313BE">
        <w:rPr>
          <w:color w:val="000000" w:themeColor="text1"/>
          <w:sz w:val="22"/>
          <w:szCs w:val="22"/>
        </w:rPr>
        <w:t>linguistic or communication adjustments, despite the fact that existing legislation requires all public departments and services to be adapted to the needs of persons with disabilities.</w:t>
      </w:r>
    </w:p>
    <w:p w14:paraId="1CCD1B8C" w14:textId="77777777" w:rsidR="00FE3750" w:rsidRPr="006313BE" w:rsidRDefault="00FE3750" w:rsidP="006313BE">
      <w:pPr>
        <w:pStyle w:val="Default"/>
        <w:ind w:left="567"/>
        <w:jc w:val="both"/>
        <w:rPr>
          <w:color w:val="000000" w:themeColor="text1"/>
          <w:sz w:val="22"/>
          <w:szCs w:val="22"/>
        </w:rPr>
      </w:pPr>
    </w:p>
    <w:p w14:paraId="1CDDC382" w14:textId="1B92F9C4" w:rsidR="00FE3750" w:rsidRDefault="00FE3750" w:rsidP="006313BE">
      <w:pPr>
        <w:pStyle w:val="Default"/>
        <w:numPr>
          <w:ilvl w:val="0"/>
          <w:numId w:val="2"/>
        </w:numPr>
        <w:jc w:val="both"/>
        <w:rPr>
          <w:sz w:val="22"/>
          <w:szCs w:val="22"/>
        </w:rPr>
      </w:pPr>
      <w:r w:rsidRPr="006313BE">
        <w:rPr>
          <w:sz w:val="22"/>
          <w:szCs w:val="22"/>
        </w:rPr>
        <w:t xml:space="preserve">OMCV has also found that persons belonging to the LGBTI community regularly suffer from violence against them on the grounds of their sexual orientation or gender. In its Initial Report, the State Party does not mention any measures taken to prevent violence against this vulnerable population. </w:t>
      </w:r>
    </w:p>
    <w:p w14:paraId="7084926E" w14:textId="77777777" w:rsidR="00E66428" w:rsidRPr="006313BE" w:rsidRDefault="00E66428" w:rsidP="00E66428">
      <w:pPr>
        <w:pStyle w:val="Default"/>
        <w:jc w:val="both"/>
        <w:rPr>
          <w:sz w:val="22"/>
          <w:szCs w:val="22"/>
        </w:rPr>
      </w:pPr>
    </w:p>
    <w:p w14:paraId="52C6F487" w14:textId="5D21C7CA" w:rsidR="00A04120" w:rsidRPr="006313BE" w:rsidRDefault="00A04120" w:rsidP="006313BE">
      <w:pPr>
        <w:pStyle w:val="Default"/>
        <w:jc w:val="both"/>
        <w:rPr>
          <w:b/>
          <w:bCs/>
          <w:i/>
          <w:iCs/>
          <w:sz w:val="22"/>
          <w:szCs w:val="22"/>
        </w:rPr>
      </w:pPr>
      <w:r w:rsidRPr="006313BE">
        <w:rPr>
          <w:b/>
          <w:bCs/>
          <w:i/>
          <w:iCs/>
          <w:sz w:val="22"/>
          <w:szCs w:val="22"/>
        </w:rPr>
        <w:t xml:space="preserve">Article 2(1) and Article 14: </w:t>
      </w:r>
      <w:r w:rsidR="00D916D3" w:rsidRPr="006313BE">
        <w:rPr>
          <w:b/>
          <w:bCs/>
          <w:i/>
          <w:iCs/>
          <w:sz w:val="22"/>
          <w:szCs w:val="22"/>
        </w:rPr>
        <w:t>Denial of the</w:t>
      </w:r>
      <w:r w:rsidRPr="006313BE">
        <w:rPr>
          <w:b/>
          <w:bCs/>
          <w:i/>
          <w:iCs/>
          <w:sz w:val="22"/>
          <w:szCs w:val="22"/>
        </w:rPr>
        <w:t xml:space="preserve"> right to a fair trial and access to courts</w:t>
      </w:r>
      <w:r w:rsidR="00D916D3" w:rsidRPr="006313BE">
        <w:rPr>
          <w:b/>
          <w:bCs/>
          <w:i/>
          <w:iCs/>
          <w:sz w:val="22"/>
          <w:szCs w:val="22"/>
        </w:rPr>
        <w:t xml:space="preserve"> </w:t>
      </w:r>
      <w:proofErr w:type="gramStart"/>
      <w:r w:rsidR="00D916D3" w:rsidRPr="006313BE">
        <w:rPr>
          <w:b/>
          <w:bCs/>
          <w:i/>
          <w:iCs/>
          <w:sz w:val="22"/>
          <w:szCs w:val="22"/>
        </w:rPr>
        <w:t>on the basis of</w:t>
      </w:r>
      <w:proofErr w:type="gramEnd"/>
      <w:r w:rsidR="00D916D3" w:rsidRPr="006313BE">
        <w:rPr>
          <w:b/>
          <w:bCs/>
          <w:i/>
          <w:iCs/>
          <w:sz w:val="22"/>
          <w:szCs w:val="22"/>
        </w:rPr>
        <w:t xml:space="preserve"> gender, disability, or socio-economic conditions</w:t>
      </w:r>
    </w:p>
    <w:p w14:paraId="070C06D5" w14:textId="77777777" w:rsidR="00A04120" w:rsidRPr="006313BE" w:rsidRDefault="00A04120" w:rsidP="006313BE">
      <w:pPr>
        <w:pStyle w:val="Default"/>
        <w:jc w:val="both"/>
        <w:rPr>
          <w:b/>
          <w:bCs/>
          <w:sz w:val="22"/>
          <w:szCs w:val="22"/>
        </w:rPr>
      </w:pPr>
    </w:p>
    <w:p w14:paraId="60F83705" w14:textId="6CB781FC" w:rsidR="00B94473" w:rsidRPr="006313BE" w:rsidRDefault="00B94473" w:rsidP="006313BE">
      <w:pPr>
        <w:pStyle w:val="Default"/>
        <w:numPr>
          <w:ilvl w:val="0"/>
          <w:numId w:val="2"/>
        </w:numPr>
        <w:jc w:val="both"/>
        <w:rPr>
          <w:sz w:val="22"/>
          <w:szCs w:val="22"/>
        </w:rPr>
      </w:pPr>
      <w:r w:rsidRPr="006313BE">
        <w:rPr>
          <w:sz w:val="22"/>
          <w:szCs w:val="22"/>
        </w:rPr>
        <w:t>As the Committee has noted, “the right to equality before the courts and tribunals and to a fair trial is a key element of human rights protection and serves as a procedural means to safeguard the rule of law”.</w:t>
      </w:r>
      <w:r w:rsidRPr="006313BE">
        <w:rPr>
          <w:rStyle w:val="FootnoteReference"/>
          <w:sz w:val="22"/>
          <w:szCs w:val="22"/>
        </w:rPr>
        <w:t xml:space="preserve"> </w:t>
      </w:r>
      <w:r w:rsidRPr="006313BE">
        <w:rPr>
          <w:rStyle w:val="FootnoteReference"/>
          <w:sz w:val="22"/>
          <w:szCs w:val="22"/>
        </w:rPr>
        <w:footnoteReference w:id="36"/>
      </w:r>
      <w:r w:rsidRPr="006313BE">
        <w:rPr>
          <w:sz w:val="22"/>
          <w:szCs w:val="22"/>
        </w:rPr>
        <w:t xml:space="preserve"> This includes, in addition to the principles </w:t>
      </w:r>
      <w:r w:rsidR="006313BE" w:rsidRPr="006313BE">
        <w:rPr>
          <w:sz w:val="22"/>
          <w:szCs w:val="22"/>
        </w:rPr>
        <w:t>explicitly included i</w:t>
      </w:r>
      <w:r w:rsidRPr="006313BE">
        <w:rPr>
          <w:sz w:val="22"/>
          <w:szCs w:val="22"/>
        </w:rPr>
        <w:t xml:space="preserve">n Article 14, obligations regarding equal access </w:t>
      </w:r>
      <w:r w:rsidR="006313BE" w:rsidRPr="006313BE">
        <w:rPr>
          <w:sz w:val="22"/>
          <w:szCs w:val="22"/>
        </w:rPr>
        <w:t xml:space="preserve">to justice </w:t>
      </w:r>
      <w:r w:rsidRPr="006313BE">
        <w:rPr>
          <w:sz w:val="22"/>
          <w:szCs w:val="22"/>
        </w:rPr>
        <w:t>and equality of arms;</w:t>
      </w:r>
      <w:r w:rsidRPr="006313BE">
        <w:rPr>
          <w:rStyle w:val="FootnoteReference"/>
          <w:sz w:val="22"/>
          <w:szCs w:val="22"/>
        </w:rPr>
        <w:footnoteReference w:id="37"/>
      </w:r>
      <w:r w:rsidRPr="006313BE">
        <w:rPr>
          <w:sz w:val="22"/>
          <w:szCs w:val="22"/>
        </w:rPr>
        <w:t xml:space="preserve"> the guarantee that the parties to judicial proceedings are treated without any discrimination;</w:t>
      </w:r>
      <w:r w:rsidRPr="006313BE">
        <w:rPr>
          <w:rStyle w:val="FootnoteReference"/>
          <w:sz w:val="22"/>
          <w:szCs w:val="22"/>
        </w:rPr>
        <w:footnoteReference w:id="38"/>
      </w:r>
      <w:r w:rsidRPr="006313BE">
        <w:rPr>
          <w:sz w:val="22"/>
          <w:szCs w:val="22"/>
        </w:rPr>
        <w:t xml:space="preserve"> the availability of legal assistance in judicial proceedings where individuals do not have sufficient means to pay for it;</w:t>
      </w:r>
      <w:r w:rsidRPr="006313BE">
        <w:rPr>
          <w:rStyle w:val="FootnoteReference"/>
          <w:sz w:val="22"/>
          <w:szCs w:val="22"/>
        </w:rPr>
        <w:footnoteReference w:id="39"/>
      </w:r>
      <w:r w:rsidRPr="006313BE">
        <w:rPr>
          <w:sz w:val="22"/>
          <w:szCs w:val="22"/>
        </w:rPr>
        <w:t xml:space="preserve"> the free assistance of an interpreter where a party would be otherwise unable to participate in the proceedings on equal terms;</w:t>
      </w:r>
      <w:r w:rsidRPr="006313BE">
        <w:rPr>
          <w:rStyle w:val="FootnoteReference"/>
          <w:sz w:val="22"/>
          <w:szCs w:val="22"/>
        </w:rPr>
        <w:footnoteReference w:id="40"/>
      </w:r>
      <w:r w:rsidRPr="006313BE">
        <w:rPr>
          <w:sz w:val="22"/>
          <w:szCs w:val="22"/>
        </w:rPr>
        <w:t xml:space="preserve"> and guarantees of an expeditious judicial procedure with no undue delays.</w:t>
      </w:r>
      <w:r w:rsidRPr="006313BE">
        <w:rPr>
          <w:rStyle w:val="FootnoteReference"/>
          <w:sz w:val="22"/>
          <w:szCs w:val="22"/>
        </w:rPr>
        <w:footnoteReference w:id="41"/>
      </w:r>
      <w:r w:rsidRPr="006313BE">
        <w:rPr>
          <w:sz w:val="22"/>
          <w:szCs w:val="22"/>
        </w:rPr>
        <w:t xml:space="preserve"> </w:t>
      </w:r>
    </w:p>
    <w:p w14:paraId="37B6B24D" w14:textId="77777777" w:rsidR="00510968" w:rsidRPr="006313BE" w:rsidRDefault="00510968" w:rsidP="006313BE">
      <w:pPr>
        <w:pStyle w:val="Default"/>
        <w:ind w:left="567"/>
        <w:jc w:val="both"/>
        <w:rPr>
          <w:sz w:val="22"/>
          <w:szCs w:val="22"/>
        </w:rPr>
      </w:pPr>
    </w:p>
    <w:p w14:paraId="06A1ED63" w14:textId="2AD4DA9A" w:rsidR="001977B3" w:rsidRPr="006313BE" w:rsidRDefault="00B94473" w:rsidP="006313BE">
      <w:pPr>
        <w:pStyle w:val="Default"/>
        <w:numPr>
          <w:ilvl w:val="0"/>
          <w:numId w:val="2"/>
        </w:numPr>
        <w:jc w:val="both"/>
        <w:rPr>
          <w:sz w:val="22"/>
          <w:szCs w:val="22"/>
        </w:rPr>
      </w:pPr>
      <w:r w:rsidRPr="006313BE">
        <w:rPr>
          <w:sz w:val="22"/>
          <w:szCs w:val="22"/>
        </w:rPr>
        <w:lastRenderedPageBreak/>
        <w:t>Thus, a</w:t>
      </w:r>
      <w:r w:rsidR="0026009E" w:rsidRPr="006313BE">
        <w:rPr>
          <w:sz w:val="22"/>
          <w:szCs w:val="22"/>
        </w:rPr>
        <w:t>s recognised by the State Party, t</w:t>
      </w:r>
      <w:r w:rsidR="00A04120" w:rsidRPr="006313BE">
        <w:rPr>
          <w:sz w:val="22"/>
          <w:szCs w:val="22"/>
        </w:rPr>
        <w:t>he right to access to justice involves not only access to the courts for the protection of rights, but access to legal information and counselling, and speedy and effective judicial procedures to ensure the timely protection against threats of violations to rights, freedoms, or guarantees.</w:t>
      </w:r>
      <w:r w:rsidR="0026009E" w:rsidRPr="006313BE">
        <w:rPr>
          <w:rStyle w:val="FootnoteReference"/>
          <w:sz w:val="22"/>
          <w:szCs w:val="22"/>
        </w:rPr>
        <w:footnoteReference w:id="42"/>
      </w:r>
      <w:r w:rsidR="0026009E" w:rsidRPr="006313BE">
        <w:rPr>
          <w:sz w:val="22"/>
          <w:szCs w:val="22"/>
        </w:rPr>
        <w:t xml:space="preserve"> </w:t>
      </w:r>
    </w:p>
    <w:p w14:paraId="3697294A" w14:textId="77777777" w:rsidR="006313BE" w:rsidRPr="006313BE" w:rsidRDefault="006313BE" w:rsidP="006313BE">
      <w:pPr>
        <w:pStyle w:val="ListParagraph"/>
        <w:contextualSpacing w:val="0"/>
      </w:pPr>
    </w:p>
    <w:p w14:paraId="42D31345" w14:textId="73511AB3" w:rsidR="006313BE" w:rsidRPr="006313BE" w:rsidRDefault="006313BE" w:rsidP="006313BE">
      <w:pPr>
        <w:pStyle w:val="Default"/>
        <w:jc w:val="both"/>
        <w:rPr>
          <w:i/>
          <w:iCs/>
          <w:sz w:val="22"/>
          <w:szCs w:val="22"/>
        </w:rPr>
      </w:pPr>
      <w:r w:rsidRPr="006313BE">
        <w:rPr>
          <w:i/>
          <w:iCs/>
          <w:sz w:val="22"/>
          <w:szCs w:val="22"/>
        </w:rPr>
        <w:t>Access to justice for women</w:t>
      </w:r>
    </w:p>
    <w:p w14:paraId="1D48E978" w14:textId="77777777" w:rsidR="001977B3" w:rsidRPr="006313BE" w:rsidRDefault="001977B3" w:rsidP="006313BE">
      <w:pPr>
        <w:pStyle w:val="Default"/>
        <w:ind w:left="567"/>
        <w:jc w:val="both"/>
        <w:rPr>
          <w:sz w:val="22"/>
          <w:szCs w:val="22"/>
        </w:rPr>
      </w:pPr>
    </w:p>
    <w:p w14:paraId="29301D62" w14:textId="2284E2CE" w:rsidR="001977B3" w:rsidRPr="006313BE" w:rsidRDefault="006313BE" w:rsidP="006313BE">
      <w:pPr>
        <w:pStyle w:val="Default"/>
        <w:numPr>
          <w:ilvl w:val="0"/>
          <w:numId w:val="2"/>
        </w:numPr>
        <w:jc w:val="both"/>
        <w:rPr>
          <w:sz w:val="22"/>
          <w:szCs w:val="22"/>
        </w:rPr>
      </w:pPr>
      <w:r w:rsidRPr="006313BE">
        <w:rPr>
          <w:sz w:val="22"/>
          <w:szCs w:val="22"/>
        </w:rPr>
        <w:t>As the</w:t>
      </w:r>
      <w:r w:rsidR="00A74137" w:rsidRPr="006313BE">
        <w:rPr>
          <w:sz w:val="22"/>
          <w:szCs w:val="22"/>
        </w:rPr>
        <w:t xml:space="preserve"> Special Rapporteur on Violence against Women</w:t>
      </w:r>
      <w:r w:rsidRPr="006313BE">
        <w:rPr>
          <w:sz w:val="22"/>
          <w:szCs w:val="22"/>
        </w:rPr>
        <w:t xml:space="preserve"> has observed</w:t>
      </w:r>
      <w:r w:rsidR="00A74137" w:rsidRPr="006313BE">
        <w:rPr>
          <w:sz w:val="22"/>
          <w:szCs w:val="22"/>
        </w:rPr>
        <w:t xml:space="preserve">, </w:t>
      </w:r>
      <w:r w:rsidR="001977B3" w:rsidRPr="006313BE">
        <w:rPr>
          <w:sz w:val="22"/>
          <w:szCs w:val="22"/>
        </w:rPr>
        <w:t>the right to access to justice includes</w:t>
      </w:r>
      <w:r w:rsidR="0026009E" w:rsidRPr="006313BE">
        <w:rPr>
          <w:sz w:val="22"/>
          <w:szCs w:val="22"/>
        </w:rPr>
        <w:t xml:space="preserve"> obligations by the state to ensure that the police, prosecutors, and the judiciary have appropriate gender-sensitive training and act promptly to investigate, prosecute, and punish violence against women.</w:t>
      </w:r>
      <w:r w:rsidR="0026009E" w:rsidRPr="006313BE">
        <w:rPr>
          <w:rStyle w:val="FootnoteReference"/>
          <w:sz w:val="22"/>
          <w:szCs w:val="22"/>
        </w:rPr>
        <w:footnoteReference w:id="43"/>
      </w:r>
      <w:r w:rsidR="0026009E" w:rsidRPr="006313BE">
        <w:rPr>
          <w:sz w:val="22"/>
          <w:szCs w:val="22"/>
        </w:rPr>
        <w:t xml:space="preserve"> In addition,</w:t>
      </w:r>
      <w:r w:rsidR="00A74137" w:rsidRPr="006313BE">
        <w:rPr>
          <w:sz w:val="22"/>
          <w:szCs w:val="22"/>
        </w:rPr>
        <w:t xml:space="preserve"> as highlighted by the Committee on the Elimination of Discrimination against Women,</w:t>
      </w:r>
      <w:r w:rsidR="0026009E" w:rsidRPr="006313BE">
        <w:rPr>
          <w:sz w:val="22"/>
          <w:szCs w:val="22"/>
        </w:rPr>
        <w:t xml:space="preserve"> states must ensure access to justice by providing legal aid which is accessible, sustainable, and responsive to women’s needs</w:t>
      </w:r>
      <w:r w:rsidR="00345C74" w:rsidRPr="006313BE">
        <w:rPr>
          <w:sz w:val="22"/>
          <w:szCs w:val="22"/>
        </w:rPr>
        <w:t>,</w:t>
      </w:r>
      <w:r w:rsidR="00345C74" w:rsidRPr="006313BE">
        <w:rPr>
          <w:rStyle w:val="FootnoteReference"/>
          <w:sz w:val="22"/>
          <w:szCs w:val="22"/>
        </w:rPr>
        <w:footnoteReference w:id="44"/>
      </w:r>
      <w:r w:rsidR="00345C74" w:rsidRPr="006313BE">
        <w:rPr>
          <w:sz w:val="22"/>
          <w:szCs w:val="22"/>
        </w:rPr>
        <w:t xml:space="preserve"> such that all these services are provided in a “timely, continuous and effective manner at all stages of judicial or quasi-judicial proceedings”.</w:t>
      </w:r>
      <w:r w:rsidR="00345C74" w:rsidRPr="006313BE">
        <w:rPr>
          <w:rStyle w:val="FootnoteReference"/>
          <w:sz w:val="22"/>
          <w:szCs w:val="22"/>
        </w:rPr>
        <w:footnoteReference w:id="45"/>
      </w:r>
    </w:p>
    <w:p w14:paraId="569FD627" w14:textId="77777777" w:rsidR="001977B3" w:rsidRPr="006313BE" w:rsidRDefault="001977B3" w:rsidP="006313BE">
      <w:pPr>
        <w:pStyle w:val="ListParagraph"/>
        <w:contextualSpacing w:val="0"/>
      </w:pPr>
    </w:p>
    <w:p w14:paraId="58B5EF07" w14:textId="5FAFAA81" w:rsidR="001977B3" w:rsidRPr="006313BE" w:rsidRDefault="001977B3" w:rsidP="006313BE">
      <w:pPr>
        <w:pStyle w:val="Default"/>
        <w:numPr>
          <w:ilvl w:val="0"/>
          <w:numId w:val="2"/>
        </w:numPr>
        <w:jc w:val="both"/>
        <w:rPr>
          <w:sz w:val="22"/>
          <w:szCs w:val="22"/>
        </w:rPr>
      </w:pPr>
      <w:r w:rsidRPr="006313BE">
        <w:rPr>
          <w:sz w:val="22"/>
          <w:szCs w:val="22"/>
        </w:rPr>
        <w:t>As mentioned previously, ACLCVBG has noted that Victim Support Centres in Cabo Verde do not function properly, and that professionals in education, justice, healthcare, and the media are not trained properly to</w:t>
      </w:r>
      <w:r w:rsidR="009234A0" w:rsidRPr="006313BE">
        <w:rPr>
          <w:sz w:val="22"/>
          <w:szCs w:val="22"/>
        </w:rPr>
        <w:t xml:space="preserve"> act promptly against</w:t>
      </w:r>
      <w:r w:rsidRPr="006313BE">
        <w:rPr>
          <w:sz w:val="22"/>
          <w:szCs w:val="22"/>
        </w:rPr>
        <w:t xml:space="preserve"> gender-based violence. </w:t>
      </w:r>
      <w:r w:rsidR="009234A0" w:rsidRPr="006313BE">
        <w:rPr>
          <w:sz w:val="22"/>
          <w:szCs w:val="22"/>
        </w:rPr>
        <w:t xml:space="preserve">Victims who </w:t>
      </w:r>
      <w:r w:rsidR="00FE3750" w:rsidRPr="006313BE">
        <w:rPr>
          <w:sz w:val="22"/>
          <w:szCs w:val="22"/>
        </w:rPr>
        <w:t>use</w:t>
      </w:r>
      <w:r w:rsidR="009234A0" w:rsidRPr="006313BE">
        <w:rPr>
          <w:sz w:val="22"/>
          <w:szCs w:val="22"/>
        </w:rPr>
        <w:t xml:space="preserve"> the services of </w:t>
      </w:r>
      <w:r w:rsidR="00FE3750" w:rsidRPr="006313BE">
        <w:rPr>
          <w:sz w:val="22"/>
          <w:szCs w:val="22"/>
        </w:rPr>
        <w:t>organisations involved in preparing this submission</w:t>
      </w:r>
      <w:r w:rsidR="009234A0" w:rsidRPr="006313BE">
        <w:rPr>
          <w:sz w:val="22"/>
          <w:szCs w:val="22"/>
        </w:rPr>
        <w:t xml:space="preserve"> have complained about the quality of support given to them in institutions such as the </w:t>
      </w:r>
      <w:r w:rsidR="00FE3750" w:rsidRPr="006313BE">
        <w:rPr>
          <w:sz w:val="22"/>
          <w:szCs w:val="22"/>
        </w:rPr>
        <w:t>p</w:t>
      </w:r>
      <w:r w:rsidR="009234A0" w:rsidRPr="006313BE">
        <w:rPr>
          <w:sz w:val="22"/>
          <w:szCs w:val="22"/>
        </w:rPr>
        <w:t>olice and health services (particularly in hospitals). This is due to the lack of systematic capacity-building strategies directed to professionals who deal directly with victims of gender based-violence.</w:t>
      </w:r>
      <w:r w:rsidR="009234A0" w:rsidRPr="006313BE">
        <w:rPr>
          <w:rStyle w:val="FootnoteReference"/>
          <w:sz w:val="22"/>
          <w:szCs w:val="22"/>
        </w:rPr>
        <w:footnoteReference w:id="46"/>
      </w:r>
      <w:r w:rsidR="009234A0" w:rsidRPr="006313BE">
        <w:rPr>
          <w:sz w:val="22"/>
          <w:szCs w:val="22"/>
        </w:rPr>
        <w:t xml:space="preserve"> </w:t>
      </w:r>
    </w:p>
    <w:p w14:paraId="09841824" w14:textId="77777777" w:rsidR="009234A0" w:rsidRPr="006313BE" w:rsidRDefault="009234A0" w:rsidP="006313BE">
      <w:pPr>
        <w:pStyle w:val="ListParagraph"/>
        <w:contextualSpacing w:val="0"/>
      </w:pPr>
    </w:p>
    <w:p w14:paraId="6915EF24" w14:textId="466A0E19" w:rsidR="009234A0" w:rsidRPr="006313BE" w:rsidRDefault="009234A0" w:rsidP="006313BE">
      <w:pPr>
        <w:pStyle w:val="Default"/>
        <w:numPr>
          <w:ilvl w:val="0"/>
          <w:numId w:val="2"/>
        </w:numPr>
        <w:jc w:val="both"/>
        <w:rPr>
          <w:sz w:val="22"/>
          <w:szCs w:val="22"/>
        </w:rPr>
      </w:pPr>
      <w:r w:rsidRPr="006313BE">
        <w:rPr>
          <w:sz w:val="22"/>
          <w:szCs w:val="22"/>
        </w:rPr>
        <w:t>Furthermore, in meetings of the SOL Network (an inter</w:t>
      </w:r>
      <w:r w:rsidR="00FE3750" w:rsidRPr="006313BE">
        <w:rPr>
          <w:sz w:val="22"/>
          <w:szCs w:val="22"/>
        </w:rPr>
        <w:t>-</w:t>
      </w:r>
      <w:r w:rsidRPr="006313BE">
        <w:rPr>
          <w:sz w:val="22"/>
          <w:szCs w:val="22"/>
        </w:rPr>
        <w:t>institutional gender-based violence victim support network), it has been highlighted that complaints which reach the Public Prosecutor’s Office are often distorted, thus compromising their framing as gender-based violence.</w:t>
      </w:r>
      <w:r w:rsidRPr="006313BE">
        <w:rPr>
          <w:rStyle w:val="FootnoteReference"/>
          <w:sz w:val="22"/>
          <w:szCs w:val="22"/>
        </w:rPr>
        <w:footnoteReference w:id="47"/>
      </w:r>
      <w:r w:rsidRPr="006313BE">
        <w:rPr>
          <w:sz w:val="22"/>
          <w:szCs w:val="22"/>
        </w:rPr>
        <w:t xml:space="preserve"> </w:t>
      </w:r>
    </w:p>
    <w:p w14:paraId="28132F7D" w14:textId="77777777" w:rsidR="009234A0" w:rsidRPr="006313BE" w:rsidRDefault="009234A0" w:rsidP="006313BE">
      <w:pPr>
        <w:pStyle w:val="ListParagraph"/>
        <w:contextualSpacing w:val="0"/>
      </w:pPr>
    </w:p>
    <w:p w14:paraId="673CC7C1" w14:textId="5EFDB23B" w:rsidR="00AE0CB6" w:rsidRPr="006313BE" w:rsidRDefault="009234A0" w:rsidP="006313BE">
      <w:pPr>
        <w:pStyle w:val="Default"/>
        <w:numPr>
          <w:ilvl w:val="0"/>
          <w:numId w:val="2"/>
        </w:numPr>
        <w:jc w:val="both"/>
        <w:rPr>
          <w:sz w:val="22"/>
          <w:szCs w:val="22"/>
        </w:rPr>
      </w:pPr>
      <w:r w:rsidRPr="006313BE">
        <w:rPr>
          <w:sz w:val="22"/>
          <w:szCs w:val="22"/>
        </w:rPr>
        <w:t>In addition, NGOs have noted with concern that in the model of attention at Victim Support Centres, legal support free of charge is limited to legal advice.</w:t>
      </w:r>
      <w:r w:rsidR="00CC492E" w:rsidRPr="006313BE">
        <w:rPr>
          <w:sz w:val="22"/>
          <w:szCs w:val="22"/>
        </w:rPr>
        <w:t xml:space="preserve"> In its Initial Report, the State Party notes that any natural or legal person who demonstrates not having the economic means to cover all or part of the normal costs of </w:t>
      </w:r>
      <w:r w:rsidR="001905F9" w:rsidRPr="006313BE">
        <w:rPr>
          <w:sz w:val="22"/>
          <w:szCs w:val="22"/>
        </w:rPr>
        <w:t>judicial</w:t>
      </w:r>
      <w:r w:rsidR="00CC492E" w:rsidRPr="006313BE">
        <w:rPr>
          <w:sz w:val="22"/>
          <w:szCs w:val="22"/>
        </w:rPr>
        <w:t xml:space="preserve"> proceedings </w:t>
      </w:r>
      <w:r w:rsidR="00EE0304" w:rsidRPr="006313BE">
        <w:rPr>
          <w:sz w:val="22"/>
          <w:szCs w:val="22"/>
        </w:rPr>
        <w:t xml:space="preserve">is </w:t>
      </w:r>
      <w:r w:rsidR="00CC492E" w:rsidRPr="006313BE">
        <w:rPr>
          <w:sz w:val="22"/>
          <w:szCs w:val="22"/>
        </w:rPr>
        <w:t>entitled to legal aid.</w:t>
      </w:r>
      <w:r w:rsidR="00CC492E" w:rsidRPr="006313BE">
        <w:rPr>
          <w:rStyle w:val="FootnoteReference"/>
          <w:sz w:val="22"/>
          <w:szCs w:val="22"/>
        </w:rPr>
        <w:footnoteReference w:id="48"/>
      </w:r>
      <w:r w:rsidR="00CC492E" w:rsidRPr="006313BE">
        <w:rPr>
          <w:sz w:val="22"/>
          <w:szCs w:val="22"/>
        </w:rPr>
        <w:t xml:space="preserve"> However, in practice, judicial </w:t>
      </w:r>
      <w:r w:rsidRPr="006313BE">
        <w:rPr>
          <w:sz w:val="22"/>
          <w:szCs w:val="22"/>
        </w:rPr>
        <w:t>assistance in court</w:t>
      </w:r>
      <w:r w:rsidR="00EE0304" w:rsidRPr="006313BE">
        <w:rPr>
          <w:sz w:val="22"/>
          <w:szCs w:val="22"/>
        </w:rPr>
        <w:t>s</w:t>
      </w:r>
      <w:r w:rsidRPr="006313BE">
        <w:rPr>
          <w:sz w:val="22"/>
          <w:szCs w:val="22"/>
        </w:rPr>
        <w:t xml:space="preserve"> is exclusively provided by the Bar Association (an entity with very limited geographical presence), which is unable to cover the needs of women across the country. This constitutes a barrier in access to justice, particularly considering the fact that those who require these services cannot afford judicial assistance by themselves. In this sense, there are great gender and economic barriers in access to justice.</w:t>
      </w:r>
      <w:r w:rsidRPr="006313BE">
        <w:rPr>
          <w:rStyle w:val="FootnoteReference"/>
          <w:sz w:val="22"/>
          <w:szCs w:val="22"/>
        </w:rPr>
        <w:footnoteReference w:id="49"/>
      </w:r>
      <w:r w:rsidRPr="006313BE">
        <w:rPr>
          <w:sz w:val="22"/>
          <w:szCs w:val="22"/>
        </w:rPr>
        <w:t xml:space="preserve"> </w:t>
      </w:r>
    </w:p>
    <w:p w14:paraId="3171492F" w14:textId="64CF7551" w:rsidR="006313BE" w:rsidRPr="006313BE" w:rsidRDefault="006313BE" w:rsidP="006313BE">
      <w:pPr>
        <w:spacing w:after="0" w:line="240" w:lineRule="auto"/>
        <w:rPr>
          <w:rFonts w:ascii="Cambria" w:hAnsi="Cambria"/>
          <w:sz w:val="22"/>
          <w:szCs w:val="22"/>
        </w:rPr>
      </w:pPr>
    </w:p>
    <w:p w14:paraId="05D4A2FC" w14:textId="54D4A284" w:rsidR="006313BE" w:rsidRDefault="006313BE" w:rsidP="006313BE">
      <w:pPr>
        <w:spacing w:after="0" w:line="240" w:lineRule="auto"/>
        <w:rPr>
          <w:rFonts w:ascii="Cambria" w:hAnsi="Cambria"/>
          <w:i/>
          <w:iCs/>
          <w:sz w:val="22"/>
          <w:szCs w:val="22"/>
        </w:rPr>
      </w:pPr>
      <w:r w:rsidRPr="006313BE">
        <w:rPr>
          <w:rFonts w:ascii="Cambria" w:hAnsi="Cambria"/>
          <w:i/>
          <w:iCs/>
          <w:sz w:val="22"/>
          <w:szCs w:val="22"/>
        </w:rPr>
        <w:lastRenderedPageBreak/>
        <w:t>Access to justice for persons with disabilities</w:t>
      </w:r>
    </w:p>
    <w:p w14:paraId="7C6B8E12" w14:textId="77777777" w:rsidR="006313BE" w:rsidRPr="006313BE" w:rsidRDefault="006313BE" w:rsidP="006313BE">
      <w:pPr>
        <w:spacing w:after="0" w:line="240" w:lineRule="auto"/>
        <w:rPr>
          <w:rFonts w:ascii="Cambria" w:hAnsi="Cambria"/>
          <w:i/>
          <w:iCs/>
          <w:sz w:val="22"/>
          <w:szCs w:val="22"/>
        </w:rPr>
      </w:pPr>
    </w:p>
    <w:p w14:paraId="5BDE2A41" w14:textId="305C1E9A" w:rsidR="009234A0" w:rsidRPr="006313BE" w:rsidRDefault="006313BE" w:rsidP="006313BE">
      <w:pPr>
        <w:pStyle w:val="Default"/>
        <w:numPr>
          <w:ilvl w:val="0"/>
          <w:numId w:val="2"/>
        </w:numPr>
        <w:jc w:val="both"/>
        <w:rPr>
          <w:sz w:val="22"/>
          <w:szCs w:val="22"/>
        </w:rPr>
      </w:pPr>
      <w:r w:rsidRPr="0093556B">
        <w:rPr>
          <w:sz w:val="22"/>
          <w:szCs w:val="22"/>
          <w:lang w:val="en-US"/>
        </w:rPr>
        <w:t>As noted by the Committee, the principle of equality between the parties established by Article 14 requires reasonable adjustments where a party could not otherwise participate in the proceedings on equal terms.</w:t>
      </w:r>
      <w:r w:rsidRPr="006313BE">
        <w:rPr>
          <w:rStyle w:val="FootnoteReference"/>
          <w:sz w:val="22"/>
          <w:szCs w:val="22"/>
          <w:lang w:val="pt-PT"/>
        </w:rPr>
        <w:footnoteReference w:id="50"/>
      </w:r>
      <w:r w:rsidRPr="0093556B">
        <w:rPr>
          <w:sz w:val="22"/>
          <w:szCs w:val="22"/>
          <w:lang w:val="en-US"/>
        </w:rPr>
        <w:t xml:space="preserve"> </w:t>
      </w:r>
      <w:r w:rsidR="009234A0" w:rsidRPr="006313BE">
        <w:rPr>
          <w:sz w:val="22"/>
          <w:szCs w:val="22"/>
        </w:rPr>
        <w:t xml:space="preserve">Regarding persons with disabilities, </w:t>
      </w:r>
      <w:proofErr w:type="spellStart"/>
      <w:r w:rsidR="009234A0" w:rsidRPr="0093556B">
        <w:rPr>
          <w:sz w:val="22"/>
          <w:szCs w:val="22"/>
          <w:lang w:val="en-US"/>
        </w:rPr>
        <w:t>Associação</w:t>
      </w:r>
      <w:proofErr w:type="spellEnd"/>
      <w:r w:rsidR="009234A0" w:rsidRPr="0093556B">
        <w:rPr>
          <w:sz w:val="22"/>
          <w:szCs w:val="22"/>
          <w:lang w:val="en-US"/>
        </w:rPr>
        <w:t xml:space="preserve"> </w:t>
      </w:r>
      <w:proofErr w:type="spellStart"/>
      <w:r w:rsidR="009234A0" w:rsidRPr="0093556B">
        <w:rPr>
          <w:sz w:val="22"/>
          <w:szCs w:val="22"/>
          <w:lang w:val="en-US"/>
        </w:rPr>
        <w:t>Caboverdiana</w:t>
      </w:r>
      <w:proofErr w:type="spellEnd"/>
      <w:r w:rsidR="009234A0" w:rsidRPr="0093556B">
        <w:rPr>
          <w:sz w:val="22"/>
          <w:szCs w:val="22"/>
          <w:lang w:val="en-US"/>
        </w:rPr>
        <w:t xml:space="preserve"> de </w:t>
      </w:r>
      <w:proofErr w:type="spellStart"/>
      <w:r w:rsidR="009234A0" w:rsidRPr="0093556B">
        <w:rPr>
          <w:sz w:val="22"/>
          <w:szCs w:val="22"/>
          <w:lang w:val="en-US"/>
        </w:rPr>
        <w:t>Surdos</w:t>
      </w:r>
      <w:proofErr w:type="spellEnd"/>
      <w:r w:rsidR="009234A0" w:rsidRPr="0093556B">
        <w:rPr>
          <w:sz w:val="22"/>
          <w:szCs w:val="22"/>
          <w:lang w:val="en-US"/>
        </w:rPr>
        <w:t xml:space="preserve">, APIMUD, and </w:t>
      </w:r>
      <w:proofErr w:type="spellStart"/>
      <w:r w:rsidR="009234A0" w:rsidRPr="0093556B">
        <w:rPr>
          <w:sz w:val="22"/>
          <w:szCs w:val="22"/>
          <w:lang w:val="en-US"/>
        </w:rPr>
        <w:t>Morabi</w:t>
      </w:r>
      <w:proofErr w:type="spellEnd"/>
      <w:r w:rsidR="009234A0" w:rsidRPr="0093556B">
        <w:rPr>
          <w:sz w:val="22"/>
          <w:szCs w:val="22"/>
          <w:lang w:val="en-US"/>
        </w:rPr>
        <w:t xml:space="preserve"> report great challenges in the exercise of the right to a fair trial and access to courts. On the one hand, the lack of physical infrastructure and precarious conditions of </w:t>
      </w:r>
      <w:proofErr w:type="spellStart"/>
      <w:r w:rsidR="009234A0" w:rsidRPr="0093556B">
        <w:rPr>
          <w:sz w:val="22"/>
          <w:szCs w:val="22"/>
          <w:lang w:val="en-US"/>
        </w:rPr>
        <w:t>accesibility</w:t>
      </w:r>
      <w:proofErr w:type="spellEnd"/>
      <w:r w:rsidR="009234A0" w:rsidRPr="0093556B">
        <w:rPr>
          <w:sz w:val="22"/>
          <w:szCs w:val="22"/>
          <w:lang w:val="en-US"/>
        </w:rPr>
        <w:t xml:space="preserve"> hinder persons with disabilities from entering courts and judicial </w:t>
      </w:r>
      <w:proofErr w:type="spellStart"/>
      <w:r w:rsidR="009234A0" w:rsidRPr="0093556B">
        <w:rPr>
          <w:sz w:val="22"/>
          <w:szCs w:val="22"/>
          <w:lang w:val="en-US"/>
        </w:rPr>
        <w:t>establisments</w:t>
      </w:r>
      <w:proofErr w:type="spellEnd"/>
      <w:r w:rsidR="009234A0" w:rsidRPr="0093556B">
        <w:rPr>
          <w:sz w:val="22"/>
          <w:szCs w:val="22"/>
          <w:lang w:val="en-US"/>
        </w:rPr>
        <w:t xml:space="preserve">. On the other hand, there are no adjustments to allow for the communication of persons with disabilities during judicial procedures (for instance, there are no interpreters at court for deaf persons and no braille documents for blind or visually </w:t>
      </w:r>
      <w:proofErr w:type="spellStart"/>
      <w:r w:rsidR="009234A0" w:rsidRPr="0093556B">
        <w:rPr>
          <w:sz w:val="22"/>
          <w:szCs w:val="22"/>
          <w:lang w:val="en-US"/>
        </w:rPr>
        <w:t>iimpaired</w:t>
      </w:r>
      <w:proofErr w:type="spellEnd"/>
      <w:r w:rsidR="009234A0" w:rsidRPr="0093556B">
        <w:rPr>
          <w:sz w:val="22"/>
          <w:szCs w:val="22"/>
          <w:lang w:val="en-US"/>
        </w:rPr>
        <w:t xml:space="preserve"> persons). </w:t>
      </w:r>
    </w:p>
    <w:p w14:paraId="7730F07E" w14:textId="77777777" w:rsidR="000332F0" w:rsidRPr="006313BE" w:rsidRDefault="000332F0" w:rsidP="006313BE">
      <w:pPr>
        <w:pStyle w:val="ListParagraph"/>
        <w:contextualSpacing w:val="0"/>
      </w:pPr>
    </w:p>
    <w:p w14:paraId="16CAC36E" w14:textId="6CF2C7C2" w:rsidR="001977B3" w:rsidRPr="006313BE" w:rsidRDefault="007D32EC" w:rsidP="006313BE">
      <w:pPr>
        <w:pStyle w:val="Default"/>
        <w:numPr>
          <w:ilvl w:val="0"/>
          <w:numId w:val="2"/>
        </w:numPr>
        <w:jc w:val="both"/>
        <w:rPr>
          <w:sz w:val="22"/>
          <w:szCs w:val="22"/>
        </w:rPr>
      </w:pPr>
      <w:r w:rsidRPr="006313BE">
        <w:rPr>
          <w:sz w:val="22"/>
          <w:szCs w:val="22"/>
        </w:rPr>
        <w:t xml:space="preserve">APIMUD, </w:t>
      </w:r>
      <w:proofErr w:type="spellStart"/>
      <w:r w:rsidRPr="0093556B">
        <w:rPr>
          <w:sz w:val="22"/>
          <w:szCs w:val="22"/>
          <w:lang w:val="en-US"/>
        </w:rPr>
        <w:t>Associação</w:t>
      </w:r>
      <w:proofErr w:type="spellEnd"/>
      <w:r w:rsidRPr="0093556B">
        <w:rPr>
          <w:sz w:val="22"/>
          <w:szCs w:val="22"/>
          <w:lang w:val="en-US"/>
        </w:rPr>
        <w:t xml:space="preserve"> </w:t>
      </w:r>
      <w:proofErr w:type="spellStart"/>
      <w:r w:rsidRPr="0093556B">
        <w:rPr>
          <w:sz w:val="22"/>
          <w:szCs w:val="22"/>
          <w:lang w:val="en-US"/>
        </w:rPr>
        <w:t>Caboverdiana</w:t>
      </w:r>
      <w:proofErr w:type="spellEnd"/>
      <w:r w:rsidRPr="0093556B">
        <w:rPr>
          <w:sz w:val="22"/>
          <w:szCs w:val="22"/>
          <w:lang w:val="en-US"/>
        </w:rPr>
        <w:t xml:space="preserve"> de </w:t>
      </w:r>
      <w:proofErr w:type="spellStart"/>
      <w:r w:rsidRPr="0093556B">
        <w:rPr>
          <w:sz w:val="22"/>
          <w:szCs w:val="22"/>
          <w:lang w:val="en-US"/>
        </w:rPr>
        <w:t>Surdos</w:t>
      </w:r>
      <w:proofErr w:type="spellEnd"/>
      <w:r w:rsidRPr="006313BE">
        <w:rPr>
          <w:sz w:val="22"/>
          <w:szCs w:val="22"/>
        </w:rPr>
        <w:t xml:space="preserve">, </w:t>
      </w:r>
      <w:proofErr w:type="spellStart"/>
      <w:r w:rsidRPr="006313BE">
        <w:rPr>
          <w:sz w:val="22"/>
          <w:szCs w:val="22"/>
        </w:rPr>
        <w:t>Morabi</w:t>
      </w:r>
      <w:proofErr w:type="spellEnd"/>
      <w:r w:rsidRPr="006313BE">
        <w:rPr>
          <w:sz w:val="22"/>
          <w:szCs w:val="22"/>
        </w:rPr>
        <w:t xml:space="preserve"> and OMCV </w:t>
      </w:r>
      <w:r w:rsidR="000332F0" w:rsidRPr="006313BE">
        <w:rPr>
          <w:sz w:val="22"/>
          <w:szCs w:val="22"/>
        </w:rPr>
        <w:t xml:space="preserve">have also noted that employees in the judiciary are not trained to deal with different types of disabilities and reinforce patterns that cause discrimination. In addition, they highlight the overall lack of information and awareness about the human rights of persons with disabilities in connection with their exercise of the right to </w:t>
      </w:r>
      <w:r w:rsidR="00165286" w:rsidRPr="006313BE">
        <w:rPr>
          <w:sz w:val="22"/>
          <w:szCs w:val="22"/>
        </w:rPr>
        <w:t>equality before the courts</w:t>
      </w:r>
      <w:r w:rsidR="000332F0" w:rsidRPr="006313BE">
        <w:rPr>
          <w:sz w:val="22"/>
          <w:szCs w:val="22"/>
        </w:rPr>
        <w:t xml:space="preserve">. </w:t>
      </w:r>
    </w:p>
    <w:p w14:paraId="0712030C" w14:textId="77777777" w:rsidR="000332F0" w:rsidRPr="006313BE" w:rsidRDefault="000332F0" w:rsidP="006313BE">
      <w:pPr>
        <w:pStyle w:val="ListParagraph"/>
        <w:contextualSpacing w:val="0"/>
      </w:pPr>
    </w:p>
    <w:p w14:paraId="7A5C47EC" w14:textId="427731D8" w:rsidR="000332F0" w:rsidRPr="006313BE" w:rsidRDefault="000332F0" w:rsidP="006313BE">
      <w:pPr>
        <w:pStyle w:val="Default"/>
        <w:numPr>
          <w:ilvl w:val="0"/>
          <w:numId w:val="2"/>
        </w:numPr>
        <w:jc w:val="both"/>
        <w:rPr>
          <w:sz w:val="22"/>
          <w:szCs w:val="22"/>
        </w:rPr>
      </w:pPr>
      <w:r w:rsidRPr="006313BE">
        <w:rPr>
          <w:sz w:val="22"/>
          <w:szCs w:val="22"/>
        </w:rPr>
        <w:t xml:space="preserve">In its Initial Report, Cabo Verde </w:t>
      </w:r>
      <w:r w:rsidR="00EE0304" w:rsidRPr="006313BE">
        <w:rPr>
          <w:sz w:val="22"/>
          <w:szCs w:val="22"/>
        </w:rPr>
        <w:t>acknowledges</w:t>
      </w:r>
      <w:r w:rsidRPr="006313BE">
        <w:rPr>
          <w:sz w:val="22"/>
          <w:szCs w:val="22"/>
        </w:rPr>
        <w:t xml:space="preserve"> that delays in legal proceedings have be</w:t>
      </w:r>
      <w:r w:rsidR="000327C9" w:rsidRPr="006313BE">
        <w:rPr>
          <w:sz w:val="22"/>
          <w:szCs w:val="22"/>
        </w:rPr>
        <w:t>e</w:t>
      </w:r>
      <w:r w:rsidRPr="006313BE">
        <w:rPr>
          <w:sz w:val="22"/>
          <w:szCs w:val="22"/>
        </w:rPr>
        <w:t>n recognized</w:t>
      </w:r>
      <w:r w:rsidR="000327C9" w:rsidRPr="006313BE">
        <w:rPr>
          <w:sz w:val="22"/>
          <w:szCs w:val="22"/>
        </w:rPr>
        <w:t xml:space="preserve"> as a major challenge</w:t>
      </w:r>
      <w:r w:rsidRPr="006313BE">
        <w:rPr>
          <w:sz w:val="22"/>
          <w:szCs w:val="22"/>
        </w:rPr>
        <w:t xml:space="preserve"> by both the Bar Association and the Superior Council of the Judiciary.</w:t>
      </w:r>
      <w:r w:rsidRPr="006313BE">
        <w:rPr>
          <w:rStyle w:val="FootnoteReference"/>
          <w:sz w:val="22"/>
          <w:szCs w:val="22"/>
        </w:rPr>
        <w:footnoteReference w:id="51"/>
      </w:r>
      <w:r w:rsidRPr="006313BE">
        <w:rPr>
          <w:sz w:val="22"/>
          <w:szCs w:val="22"/>
        </w:rPr>
        <w:t xml:space="preserve"> Among the measures taken to address this issue, </w:t>
      </w:r>
      <w:r w:rsidR="000327C9" w:rsidRPr="006313BE">
        <w:rPr>
          <w:sz w:val="22"/>
          <w:szCs w:val="22"/>
        </w:rPr>
        <w:t>the State Party</w:t>
      </w:r>
      <w:r w:rsidRPr="006313BE">
        <w:rPr>
          <w:sz w:val="22"/>
          <w:szCs w:val="22"/>
        </w:rPr>
        <w:t xml:space="preserve"> highlights the introduction of new technologies and legislative reforms that “that harmonize the right of access to justice and the system’s ability to provide a timely and effective response to the endless demands”</w:t>
      </w:r>
      <w:r w:rsidRPr="006313BE">
        <w:rPr>
          <w:rStyle w:val="FootnoteReference"/>
          <w:sz w:val="22"/>
          <w:szCs w:val="22"/>
        </w:rPr>
        <w:footnoteReference w:id="52"/>
      </w:r>
      <w:r w:rsidRPr="006313BE">
        <w:rPr>
          <w:sz w:val="22"/>
          <w:szCs w:val="22"/>
        </w:rPr>
        <w:t xml:space="preserve">, as well as the creation of a mechanism for accelerating delayed processes in 2015. </w:t>
      </w:r>
    </w:p>
    <w:p w14:paraId="41402976" w14:textId="77777777" w:rsidR="000332F0" w:rsidRPr="006313BE" w:rsidRDefault="000332F0" w:rsidP="006313BE">
      <w:pPr>
        <w:pStyle w:val="ListParagraph"/>
        <w:contextualSpacing w:val="0"/>
      </w:pPr>
    </w:p>
    <w:p w14:paraId="07208EC6" w14:textId="7F3704D3" w:rsidR="000332F0" w:rsidRPr="006313BE" w:rsidRDefault="000332F0" w:rsidP="006313BE">
      <w:pPr>
        <w:pStyle w:val="Default"/>
        <w:numPr>
          <w:ilvl w:val="0"/>
          <w:numId w:val="2"/>
        </w:numPr>
        <w:jc w:val="both"/>
        <w:rPr>
          <w:sz w:val="22"/>
          <w:szCs w:val="22"/>
        </w:rPr>
      </w:pPr>
      <w:r w:rsidRPr="006313BE">
        <w:rPr>
          <w:sz w:val="22"/>
          <w:szCs w:val="22"/>
        </w:rPr>
        <w:t xml:space="preserve">However, even after the creation of this mechanism, OMCV has noted that the slowness of judicial proceedings, generalized delays in justice (particularly in cases of gender-based violence, which have been reported by their users), and lack of adequate support to victims are still </w:t>
      </w:r>
      <w:r w:rsidR="00CC492E" w:rsidRPr="006313BE">
        <w:rPr>
          <w:sz w:val="22"/>
          <w:szCs w:val="22"/>
        </w:rPr>
        <w:t>great barriers to the access to justice in Cabo Verde</w:t>
      </w:r>
      <w:r w:rsidRPr="006313BE">
        <w:rPr>
          <w:sz w:val="22"/>
          <w:szCs w:val="22"/>
        </w:rPr>
        <w:t xml:space="preserve">. </w:t>
      </w:r>
      <w:r w:rsidR="00CC492E" w:rsidRPr="006313BE">
        <w:rPr>
          <w:sz w:val="22"/>
          <w:szCs w:val="22"/>
        </w:rPr>
        <w:t xml:space="preserve">Socio-economic conditions and a generalized lack of information about human rights also constitute obstacles to the rights to a fair trial and access to courts, which the State Party has failed to address. </w:t>
      </w:r>
    </w:p>
    <w:p w14:paraId="1B3477BA" w14:textId="609069AF" w:rsidR="000332F0" w:rsidRPr="006313BE" w:rsidRDefault="000332F0" w:rsidP="006313BE">
      <w:pPr>
        <w:pStyle w:val="Default"/>
        <w:jc w:val="both"/>
        <w:rPr>
          <w:sz w:val="22"/>
          <w:szCs w:val="22"/>
        </w:rPr>
      </w:pPr>
    </w:p>
    <w:p w14:paraId="1F33478D" w14:textId="73E9E27E" w:rsidR="000332F0" w:rsidRPr="006313BE" w:rsidRDefault="000332F0" w:rsidP="006313BE">
      <w:pPr>
        <w:pStyle w:val="Default"/>
        <w:jc w:val="both"/>
        <w:rPr>
          <w:b/>
          <w:bCs/>
          <w:sz w:val="22"/>
          <w:szCs w:val="22"/>
        </w:rPr>
      </w:pPr>
      <w:r w:rsidRPr="006313BE">
        <w:rPr>
          <w:b/>
          <w:bCs/>
          <w:sz w:val="22"/>
          <w:szCs w:val="22"/>
        </w:rPr>
        <w:t xml:space="preserve">Article 2(1) and Article 18: </w:t>
      </w:r>
      <w:r w:rsidR="00D916D3" w:rsidRPr="006313BE">
        <w:rPr>
          <w:b/>
          <w:bCs/>
          <w:sz w:val="22"/>
          <w:szCs w:val="22"/>
        </w:rPr>
        <w:t>Discrimination and</w:t>
      </w:r>
      <w:r w:rsidRPr="006313BE">
        <w:rPr>
          <w:b/>
          <w:bCs/>
          <w:sz w:val="22"/>
          <w:szCs w:val="22"/>
        </w:rPr>
        <w:t xml:space="preserve"> the right to freedom of thought, conscience, and religion</w:t>
      </w:r>
    </w:p>
    <w:p w14:paraId="46768F93" w14:textId="4D6EC687" w:rsidR="000332F0" w:rsidRPr="006313BE" w:rsidRDefault="000332F0" w:rsidP="006313BE">
      <w:pPr>
        <w:pStyle w:val="Default"/>
        <w:jc w:val="both"/>
        <w:rPr>
          <w:b/>
          <w:bCs/>
          <w:sz w:val="22"/>
          <w:szCs w:val="22"/>
        </w:rPr>
      </w:pPr>
    </w:p>
    <w:p w14:paraId="7878C608" w14:textId="2A31676F" w:rsidR="000332F0" w:rsidRPr="006313BE" w:rsidRDefault="00CC492E" w:rsidP="006313BE">
      <w:pPr>
        <w:pStyle w:val="Default"/>
        <w:numPr>
          <w:ilvl w:val="0"/>
          <w:numId w:val="2"/>
        </w:numPr>
        <w:jc w:val="both"/>
        <w:rPr>
          <w:b/>
          <w:bCs/>
          <w:sz w:val="22"/>
          <w:szCs w:val="22"/>
        </w:rPr>
      </w:pPr>
      <w:r w:rsidRPr="006313BE">
        <w:rPr>
          <w:sz w:val="22"/>
          <w:szCs w:val="22"/>
        </w:rPr>
        <w:t xml:space="preserve">In </w:t>
      </w:r>
      <w:r w:rsidR="006313BE">
        <w:rPr>
          <w:sz w:val="22"/>
          <w:szCs w:val="22"/>
        </w:rPr>
        <w:t>its report to the Committee,</w:t>
      </w:r>
      <w:r w:rsidRPr="006313BE">
        <w:rPr>
          <w:sz w:val="22"/>
          <w:szCs w:val="22"/>
        </w:rPr>
        <w:t xml:space="preserve"> Cabo Verde highlights that the separation of the Church and the State is a guiding principle. Given the plurality of </w:t>
      </w:r>
      <w:r w:rsidR="00165286" w:rsidRPr="006313BE">
        <w:rPr>
          <w:sz w:val="22"/>
          <w:szCs w:val="22"/>
        </w:rPr>
        <w:t>religion in C</w:t>
      </w:r>
      <w:r w:rsidRPr="006313BE">
        <w:rPr>
          <w:sz w:val="22"/>
          <w:szCs w:val="22"/>
        </w:rPr>
        <w:t xml:space="preserve">abo Verdean society, </w:t>
      </w:r>
      <w:r w:rsidR="00165286" w:rsidRPr="006313BE">
        <w:rPr>
          <w:sz w:val="22"/>
          <w:szCs w:val="22"/>
        </w:rPr>
        <w:t xml:space="preserve">the state notes that it </w:t>
      </w:r>
      <w:r w:rsidRPr="006313BE">
        <w:rPr>
          <w:sz w:val="22"/>
          <w:szCs w:val="22"/>
        </w:rPr>
        <w:t>has made efforts to guarantee the freedom of religious practice and a tolerant environment for all religions</w:t>
      </w:r>
      <w:r w:rsidR="006313BE" w:rsidRPr="006313BE">
        <w:rPr>
          <w:sz w:val="22"/>
          <w:szCs w:val="22"/>
        </w:rPr>
        <w:t>.</w:t>
      </w:r>
      <w:r w:rsidR="00C941EC" w:rsidRPr="006313BE">
        <w:rPr>
          <w:rStyle w:val="FootnoteReference"/>
          <w:sz w:val="22"/>
          <w:szCs w:val="22"/>
        </w:rPr>
        <w:footnoteReference w:id="53"/>
      </w:r>
      <w:r w:rsidRPr="006313BE">
        <w:rPr>
          <w:sz w:val="22"/>
          <w:szCs w:val="22"/>
        </w:rPr>
        <w:t xml:space="preserve"> </w:t>
      </w:r>
    </w:p>
    <w:p w14:paraId="1A98F1B0" w14:textId="77777777" w:rsidR="00165286" w:rsidRPr="006313BE" w:rsidRDefault="00165286" w:rsidP="006313BE">
      <w:pPr>
        <w:pStyle w:val="Default"/>
        <w:ind w:left="567"/>
        <w:jc w:val="both"/>
        <w:rPr>
          <w:b/>
          <w:bCs/>
          <w:sz w:val="22"/>
          <w:szCs w:val="22"/>
        </w:rPr>
      </w:pPr>
    </w:p>
    <w:p w14:paraId="3BE707EA" w14:textId="7581BB05" w:rsidR="00CC492E" w:rsidRPr="006313BE" w:rsidRDefault="00165286" w:rsidP="006313BE">
      <w:pPr>
        <w:pStyle w:val="Default"/>
        <w:numPr>
          <w:ilvl w:val="0"/>
          <w:numId w:val="2"/>
        </w:numPr>
        <w:jc w:val="both"/>
        <w:rPr>
          <w:sz w:val="22"/>
          <w:szCs w:val="22"/>
        </w:rPr>
      </w:pPr>
      <w:r w:rsidRPr="006313BE">
        <w:rPr>
          <w:sz w:val="22"/>
          <w:szCs w:val="22"/>
        </w:rPr>
        <w:t>In preparing for the present submission,</w:t>
      </w:r>
      <w:r w:rsidR="00CC492E" w:rsidRPr="006313BE">
        <w:rPr>
          <w:sz w:val="22"/>
          <w:szCs w:val="22"/>
        </w:rPr>
        <w:t xml:space="preserve"> RAMAO </w:t>
      </w:r>
      <w:r w:rsidRPr="006313BE">
        <w:rPr>
          <w:sz w:val="22"/>
          <w:szCs w:val="22"/>
        </w:rPr>
        <w:t xml:space="preserve">has noted </w:t>
      </w:r>
      <w:r w:rsidR="00CC492E" w:rsidRPr="006313BE">
        <w:rPr>
          <w:sz w:val="22"/>
          <w:szCs w:val="22"/>
        </w:rPr>
        <w:t xml:space="preserve">that there is widespread </w:t>
      </w:r>
      <w:r w:rsidRPr="006313BE">
        <w:rPr>
          <w:sz w:val="22"/>
          <w:szCs w:val="22"/>
        </w:rPr>
        <w:t xml:space="preserve">social </w:t>
      </w:r>
      <w:r w:rsidR="00CC492E" w:rsidRPr="006313BE">
        <w:rPr>
          <w:sz w:val="22"/>
          <w:szCs w:val="22"/>
        </w:rPr>
        <w:t>prejudice against Muslim</w:t>
      </w:r>
      <w:r w:rsidRPr="006313BE">
        <w:rPr>
          <w:sz w:val="22"/>
          <w:szCs w:val="22"/>
        </w:rPr>
        <w:t xml:space="preserve">s and </w:t>
      </w:r>
      <w:r w:rsidR="00D916D3" w:rsidRPr="006313BE">
        <w:rPr>
          <w:sz w:val="22"/>
          <w:szCs w:val="22"/>
        </w:rPr>
        <w:t>in particular, the</w:t>
      </w:r>
      <w:r w:rsidR="00CC492E" w:rsidRPr="006313BE">
        <w:rPr>
          <w:sz w:val="22"/>
          <w:szCs w:val="22"/>
        </w:rPr>
        <w:t xml:space="preserve"> enjoyment of the rights of Muslim </w:t>
      </w:r>
      <w:r w:rsidR="00D916D3" w:rsidRPr="006313BE">
        <w:rPr>
          <w:sz w:val="22"/>
          <w:szCs w:val="22"/>
        </w:rPr>
        <w:t xml:space="preserve">women. </w:t>
      </w:r>
    </w:p>
    <w:p w14:paraId="533B4ADC" w14:textId="77777777" w:rsidR="00165286" w:rsidRPr="006313BE" w:rsidRDefault="00165286" w:rsidP="006313BE">
      <w:pPr>
        <w:pStyle w:val="Default"/>
        <w:jc w:val="both"/>
        <w:rPr>
          <w:b/>
          <w:bCs/>
          <w:sz w:val="22"/>
          <w:szCs w:val="22"/>
        </w:rPr>
      </w:pPr>
    </w:p>
    <w:p w14:paraId="2D65C76C" w14:textId="0FA75AF6" w:rsidR="00D916D3" w:rsidRPr="006313BE" w:rsidRDefault="00D916D3" w:rsidP="006313BE">
      <w:pPr>
        <w:pStyle w:val="Default"/>
        <w:numPr>
          <w:ilvl w:val="0"/>
          <w:numId w:val="2"/>
        </w:numPr>
        <w:jc w:val="both"/>
        <w:rPr>
          <w:b/>
          <w:bCs/>
          <w:sz w:val="22"/>
          <w:szCs w:val="22"/>
        </w:rPr>
      </w:pPr>
      <w:r w:rsidRPr="006313BE">
        <w:rPr>
          <w:sz w:val="22"/>
          <w:szCs w:val="22"/>
        </w:rPr>
        <w:t xml:space="preserve">On the other hand, APIMUD notes that the lack of physical accessibility to religious buildings and places of worship </w:t>
      </w:r>
      <w:r w:rsidR="00165286" w:rsidRPr="006313BE">
        <w:rPr>
          <w:sz w:val="22"/>
          <w:szCs w:val="22"/>
        </w:rPr>
        <w:t xml:space="preserve">means </w:t>
      </w:r>
      <w:r w:rsidRPr="006313BE">
        <w:rPr>
          <w:sz w:val="22"/>
          <w:szCs w:val="22"/>
        </w:rPr>
        <w:t xml:space="preserve">that persons with disabilities cannot exercise the </w:t>
      </w:r>
      <w:r w:rsidRPr="006313BE">
        <w:rPr>
          <w:sz w:val="22"/>
          <w:szCs w:val="22"/>
        </w:rPr>
        <w:lastRenderedPageBreak/>
        <w:t>right to freedom of religion on equal grounds as the rest of society.</w:t>
      </w:r>
      <w:r w:rsidR="00165286" w:rsidRPr="006313BE">
        <w:rPr>
          <w:sz w:val="22"/>
          <w:szCs w:val="22"/>
        </w:rPr>
        <w:t xml:space="preserve"> It has also noted that t</w:t>
      </w:r>
      <w:r w:rsidRPr="006313BE">
        <w:rPr>
          <w:sz w:val="22"/>
          <w:szCs w:val="22"/>
        </w:rPr>
        <w:t xml:space="preserve">here </w:t>
      </w:r>
      <w:r w:rsidR="00165286" w:rsidRPr="006313BE">
        <w:rPr>
          <w:sz w:val="22"/>
          <w:szCs w:val="22"/>
        </w:rPr>
        <w:t>is</w:t>
      </w:r>
      <w:r w:rsidRPr="006313BE">
        <w:rPr>
          <w:sz w:val="22"/>
          <w:szCs w:val="22"/>
        </w:rPr>
        <w:t xml:space="preserve"> a lack of religious institutions for </w:t>
      </w:r>
      <w:r w:rsidR="00C941EC" w:rsidRPr="006313BE">
        <w:rPr>
          <w:sz w:val="22"/>
          <w:szCs w:val="22"/>
        </w:rPr>
        <w:t>persons with hearing and visual disabilities.</w:t>
      </w:r>
    </w:p>
    <w:p w14:paraId="74D2D1BE" w14:textId="3D67F7D9" w:rsidR="00F96EFC" w:rsidRPr="006313BE" w:rsidRDefault="00F96EFC" w:rsidP="006313BE">
      <w:pPr>
        <w:pStyle w:val="Default"/>
        <w:jc w:val="both"/>
        <w:rPr>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F3864" w:themeFill="accent1" w:themeFillShade="80"/>
        <w:tblLook w:val="04A0" w:firstRow="1" w:lastRow="0" w:firstColumn="1" w:lastColumn="0" w:noHBand="0" w:noVBand="1"/>
      </w:tblPr>
      <w:tblGrid>
        <w:gridCol w:w="9016"/>
      </w:tblGrid>
      <w:tr w:rsidR="00F55757" w:rsidRPr="006313BE" w14:paraId="49145FC2" w14:textId="77777777" w:rsidTr="00ED0C24">
        <w:tc>
          <w:tcPr>
            <w:tcW w:w="9016" w:type="dxa"/>
            <w:shd w:val="clear" w:color="auto" w:fill="1F3864" w:themeFill="accent1" w:themeFillShade="80"/>
          </w:tcPr>
          <w:p w14:paraId="4281DFBA" w14:textId="4459D016" w:rsidR="00F55757" w:rsidRDefault="00F55757" w:rsidP="006313BE">
            <w:pPr>
              <w:pStyle w:val="Default"/>
              <w:jc w:val="both"/>
              <w:rPr>
                <w:b/>
                <w:bCs/>
                <w:color w:val="FFFFFF" w:themeColor="background1"/>
                <w:sz w:val="22"/>
                <w:szCs w:val="22"/>
                <w:u w:val="single"/>
              </w:rPr>
            </w:pPr>
            <w:r w:rsidRPr="006313BE">
              <w:rPr>
                <w:b/>
                <w:bCs/>
                <w:color w:val="FFFFFF" w:themeColor="background1"/>
                <w:sz w:val="22"/>
                <w:szCs w:val="22"/>
                <w:u w:val="single"/>
              </w:rPr>
              <w:t>Recommendations</w:t>
            </w:r>
          </w:p>
          <w:p w14:paraId="4490AFC3" w14:textId="77777777" w:rsidR="006313BE" w:rsidRPr="006313BE" w:rsidRDefault="006313BE" w:rsidP="006313BE">
            <w:pPr>
              <w:pStyle w:val="Default"/>
              <w:jc w:val="both"/>
              <w:rPr>
                <w:b/>
                <w:bCs/>
                <w:color w:val="FFFFFF" w:themeColor="background1"/>
                <w:sz w:val="22"/>
                <w:szCs w:val="22"/>
                <w:u w:val="single"/>
              </w:rPr>
            </w:pPr>
          </w:p>
          <w:p w14:paraId="0B70CB8C" w14:textId="33CA5673" w:rsidR="00F55757" w:rsidRPr="006313BE" w:rsidRDefault="00F55757" w:rsidP="006313BE">
            <w:pPr>
              <w:pStyle w:val="Default"/>
              <w:jc w:val="both"/>
              <w:rPr>
                <w:b/>
                <w:bCs/>
                <w:i/>
                <w:iCs/>
                <w:color w:val="FFFFFF" w:themeColor="background1"/>
                <w:sz w:val="22"/>
                <w:szCs w:val="22"/>
              </w:rPr>
            </w:pPr>
            <w:r w:rsidRPr="006313BE">
              <w:rPr>
                <w:b/>
                <w:bCs/>
                <w:i/>
                <w:iCs/>
                <w:color w:val="FFFFFF" w:themeColor="background1"/>
                <w:sz w:val="22"/>
                <w:szCs w:val="22"/>
              </w:rPr>
              <w:t>With respect to Article 2(1) and Articles 7, 14 and 18 of the Covenant</w:t>
            </w:r>
            <w:r w:rsidR="00064259">
              <w:rPr>
                <w:b/>
                <w:bCs/>
                <w:i/>
                <w:iCs/>
                <w:color w:val="FFFFFF" w:themeColor="background1"/>
                <w:sz w:val="22"/>
                <w:szCs w:val="22"/>
              </w:rPr>
              <w:t>, we urge the Committee to recommend that Cabo Verde:</w:t>
            </w:r>
          </w:p>
          <w:p w14:paraId="013D7FB2" w14:textId="2878373E" w:rsidR="00F55757" w:rsidRPr="006313BE" w:rsidRDefault="00F55757" w:rsidP="006313BE">
            <w:pPr>
              <w:pStyle w:val="Default"/>
              <w:numPr>
                <w:ilvl w:val="0"/>
                <w:numId w:val="6"/>
              </w:numPr>
              <w:jc w:val="both"/>
              <w:rPr>
                <w:b/>
                <w:bCs/>
                <w:color w:val="FFFFFF" w:themeColor="background1"/>
                <w:sz w:val="22"/>
                <w:szCs w:val="22"/>
              </w:rPr>
            </w:pPr>
            <w:r w:rsidRPr="006313BE">
              <w:rPr>
                <w:color w:val="FFFFFF" w:themeColor="background1"/>
                <w:sz w:val="22"/>
                <w:szCs w:val="22"/>
              </w:rPr>
              <w:t xml:space="preserve">Investigate all reports of </w:t>
            </w:r>
            <w:r w:rsidR="006313BE">
              <w:rPr>
                <w:color w:val="FFFFFF" w:themeColor="background1"/>
                <w:sz w:val="22"/>
                <w:szCs w:val="22"/>
              </w:rPr>
              <w:t xml:space="preserve">discriminatory </w:t>
            </w:r>
            <w:r w:rsidRPr="006313BE">
              <w:rPr>
                <w:color w:val="FFFFFF" w:themeColor="background1"/>
                <w:sz w:val="22"/>
                <w:szCs w:val="22"/>
              </w:rPr>
              <w:t>denial</w:t>
            </w:r>
            <w:r w:rsidR="006313BE">
              <w:rPr>
                <w:color w:val="FFFFFF" w:themeColor="background1"/>
                <w:sz w:val="22"/>
                <w:szCs w:val="22"/>
              </w:rPr>
              <w:t>, restriction or limitation</w:t>
            </w:r>
            <w:r w:rsidRPr="006313BE">
              <w:rPr>
                <w:color w:val="FFFFFF" w:themeColor="background1"/>
                <w:sz w:val="22"/>
                <w:szCs w:val="22"/>
              </w:rPr>
              <w:t xml:space="preserve"> of the right to be free from torture or cruel, inhuman, or degrading treatment or punishment; the right to a fair trial and access to courts; </w:t>
            </w:r>
            <w:r w:rsidR="006313BE">
              <w:rPr>
                <w:color w:val="FFFFFF" w:themeColor="background1"/>
                <w:sz w:val="22"/>
                <w:szCs w:val="22"/>
              </w:rPr>
              <w:t xml:space="preserve">and </w:t>
            </w:r>
            <w:r w:rsidRPr="006313BE">
              <w:rPr>
                <w:color w:val="FFFFFF" w:themeColor="background1"/>
                <w:sz w:val="22"/>
                <w:szCs w:val="22"/>
              </w:rPr>
              <w:t xml:space="preserve">the </w:t>
            </w:r>
            <w:r w:rsidR="006313BE">
              <w:rPr>
                <w:color w:val="FFFFFF" w:themeColor="background1"/>
                <w:sz w:val="22"/>
                <w:szCs w:val="22"/>
              </w:rPr>
              <w:t xml:space="preserve">right to </w:t>
            </w:r>
            <w:r w:rsidRPr="006313BE">
              <w:rPr>
                <w:color w:val="FFFFFF" w:themeColor="background1"/>
                <w:sz w:val="22"/>
                <w:szCs w:val="22"/>
              </w:rPr>
              <w:t xml:space="preserve">freedom of </w:t>
            </w:r>
            <w:r w:rsidR="006313BE">
              <w:rPr>
                <w:color w:val="FFFFFF" w:themeColor="background1"/>
                <w:sz w:val="22"/>
                <w:szCs w:val="22"/>
              </w:rPr>
              <w:t>conscience and r</w:t>
            </w:r>
            <w:r w:rsidRPr="006313BE">
              <w:rPr>
                <w:color w:val="FFFFFF" w:themeColor="background1"/>
                <w:sz w:val="22"/>
                <w:szCs w:val="22"/>
              </w:rPr>
              <w:t>eligion; take appropriate action against those responsible, and provide appropriate remedy to the victims;</w:t>
            </w:r>
          </w:p>
          <w:p w14:paraId="6F962205" w14:textId="60B90B50" w:rsidR="00F55757" w:rsidRPr="006313BE" w:rsidRDefault="00F55757" w:rsidP="006313BE">
            <w:pPr>
              <w:pStyle w:val="Default"/>
              <w:numPr>
                <w:ilvl w:val="0"/>
                <w:numId w:val="6"/>
              </w:numPr>
              <w:jc w:val="both"/>
              <w:rPr>
                <w:b/>
                <w:bCs/>
                <w:color w:val="FFFFFF" w:themeColor="background1"/>
                <w:sz w:val="22"/>
                <w:szCs w:val="22"/>
              </w:rPr>
            </w:pPr>
            <w:r w:rsidRPr="006313BE">
              <w:rPr>
                <w:color w:val="FFFFFF" w:themeColor="background1"/>
                <w:sz w:val="22"/>
                <w:szCs w:val="22"/>
              </w:rPr>
              <w:t>Take immediate</w:t>
            </w:r>
            <w:r w:rsidR="006313BE">
              <w:rPr>
                <w:color w:val="FFFFFF" w:themeColor="background1"/>
                <w:sz w:val="22"/>
                <w:szCs w:val="22"/>
              </w:rPr>
              <w:t>, proactive</w:t>
            </w:r>
            <w:r w:rsidRPr="006313BE">
              <w:rPr>
                <w:color w:val="FFFFFF" w:themeColor="background1"/>
                <w:sz w:val="22"/>
                <w:szCs w:val="22"/>
              </w:rPr>
              <w:t xml:space="preserve"> steps to prevent future violations of Articles 7, 14</w:t>
            </w:r>
            <w:r w:rsidR="006313BE">
              <w:rPr>
                <w:color w:val="FFFFFF" w:themeColor="background1"/>
                <w:sz w:val="22"/>
                <w:szCs w:val="22"/>
              </w:rPr>
              <w:t xml:space="preserve"> and </w:t>
            </w:r>
            <w:r w:rsidRPr="006313BE">
              <w:rPr>
                <w:color w:val="FFFFFF" w:themeColor="background1"/>
                <w:sz w:val="22"/>
                <w:szCs w:val="22"/>
              </w:rPr>
              <w:t>18, including but not limited to their discriminatory restriction or limitation;</w:t>
            </w:r>
          </w:p>
          <w:p w14:paraId="6DA409AF" w14:textId="77777777" w:rsidR="00F55757" w:rsidRPr="006313BE" w:rsidRDefault="00F55757" w:rsidP="006313BE">
            <w:pPr>
              <w:tabs>
                <w:tab w:val="left" w:pos="8540"/>
              </w:tabs>
              <w:spacing w:after="0" w:line="240" w:lineRule="auto"/>
              <w:ind w:left="177" w:right="130"/>
              <w:jc w:val="both"/>
              <w:rPr>
                <w:rFonts w:ascii="Cambria" w:hAnsi="Cambria"/>
                <w:sz w:val="22"/>
                <w:szCs w:val="22"/>
              </w:rPr>
            </w:pPr>
          </w:p>
        </w:tc>
      </w:tr>
    </w:tbl>
    <w:p w14:paraId="589C1DDE" w14:textId="77777777" w:rsidR="00F55757" w:rsidRPr="006313BE" w:rsidRDefault="00F55757" w:rsidP="006313BE">
      <w:pPr>
        <w:pStyle w:val="Default"/>
        <w:jc w:val="both"/>
        <w:rPr>
          <w:sz w:val="22"/>
          <w:szCs w:val="22"/>
        </w:rPr>
      </w:pPr>
    </w:p>
    <w:p w14:paraId="5A1316D6" w14:textId="595D0EC4" w:rsidR="00F96EFC" w:rsidRPr="006313BE" w:rsidRDefault="00F96EFC" w:rsidP="006313BE">
      <w:pPr>
        <w:pStyle w:val="Default"/>
        <w:jc w:val="both"/>
        <w:rPr>
          <w:b/>
          <w:bCs/>
          <w:sz w:val="22"/>
          <w:szCs w:val="22"/>
        </w:rPr>
      </w:pPr>
      <w:r w:rsidRPr="006313BE">
        <w:rPr>
          <w:b/>
          <w:bCs/>
          <w:sz w:val="22"/>
          <w:szCs w:val="22"/>
        </w:rPr>
        <w:t xml:space="preserve">Part </w:t>
      </w:r>
      <w:r w:rsidR="009C3514" w:rsidRPr="006313BE">
        <w:rPr>
          <w:b/>
          <w:bCs/>
          <w:sz w:val="22"/>
          <w:szCs w:val="22"/>
        </w:rPr>
        <w:t>3</w:t>
      </w:r>
      <w:r w:rsidRPr="006313BE">
        <w:rPr>
          <w:b/>
          <w:bCs/>
          <w:sz w:val="22"/>
          <w:szCs w:val="22"/>
        </w:rPr>
        <w:t>: Evidence of patterns and incidents of discrimination in violation of article 26</w:t>
      </w:r>
    </w:p>
    <w:p w14:paraId="2A5CB36A" w14:textId="77777777" w:rsidR="00165286" w:rsidRPr="006313BE" w:rsidRDefault="00165286" w:rsidP="006313BE">
      <w:pPr>
        <w:pStyle w:val="Default"/>
        <w:jc w:val="both"/>
        <w:rPr>
          <w:b/>
          <w:bCs/>
          <w:sz w:val="22"/>
          <w:szCs w:val="22"/>
        </w:rPr>
      </w:pPr>
    </w:p>
    <w:p w14:paraId="60A1F584" w14:textId="22593B47" w:rsidR="00F96EFC" w:rsidRPr="006313BE" w:rsidRDefault="00F003CB" w:rsidP="006313BE">
      <w:pPr>
        <w:pStyle w:val="Default"/>
        <w:numPr>
          <w:ilvl w:val="0"/>
          <w:numId w:val="2"/>
        </w:numPr>
        <w:jc w:val="both"/>
        <w:rPr>
          <w:b/>
          <w:bCs/>
          <w:sz w:val="22"/>
          <w:szCs w:val="22"/>
        </w:rPr>
      </w:pPr>
      <w:r w:rsidRPr="006313BE">
        <w:rPr>
          <w:sz w:val="22"/>
          <w:szCs w:val="22"/>
        </w:rPr>
        <w:t>As noted by the Committee, Article 26 of the Covenant provides an autonomous right to non-discrimination which “prohibits discrimination in law or in fact in any field regulated and protected by public authorities” and which “is not limited to those rights which are provided for in the Covenant”</w:t>
      </w:r>
      <w:r w:rsidRPr="006313BE">
        <w:rPr>
          <w:rStyle w:val="FootnoteReference"/>
          <w:sz w:val="22"/>
          <w:szCs w:val="22"/>
        </w:rPr>
        <w:footnoteReference w:id="54"/>
      </w:r>
      <w:r w:rsidRPr="006313BE">
        <w:rPr>
          <w:sz w:val="22"/>
          <w:szCs w:val="22"/>
        </w:rPr>
        <w:t>.</w:t>
      </w:r>
    </w:p>
    <w:p w14:paraId="5443D734" w14:textId="77777777" w:rsidR="00C941EC" w:rsidRPr="006313BE" w:rsidRDefault="00C941EC" w:rsidP="006313BE">
      <w:pPr>
        <w:pStyle w:val="Default"/>
        <w:ind w:left="567"/>
        <w:jc w:val="both"/>
        <w:rPr>
          <w:b/>
          <w:bCs/>
          <w:sz w:val="22"/>
          <w:szCs w:val="22"/>
        </w:rPr>
      </w:pPr>
    </w:p>
    <w:p w14:paraId="440CBE34" w14:textId="7EA3D0C5" w:rsidR="00F003CB" w:rsidRPr="006313BE" w:rsidRDefault="00F003CB" w:rsidP="006313BE">
      <w:pPr>
        <w:pStyle w:val="Default"/>
        <w:numPr>
          <w:ilvl w:val="0"/>
          <w:numId w:val="2"/>
        </w:numPr>
        <w:jc w:val="both"/>
        <w:rPr>
          <w:b/>
          <w:bCs/>
          <w:sz w:val="22"/>
          <w:szCs w:val="22"/>
        </w:rPr>
      </w:pPr>
      <w:r w:rsidRPr="006313BE">
        <w:rPr>
          <w:sz w:val="22"/>
          <w:szCs w:val="22"/>
        </w:rPr>
        <w:t>In addition to the evidence of discriminatory denial or limitation of other Covenant rights</w:t>
      </w:r>
      <w:r w:rsidR="00831BF8" w:rsidRPr="006313BE">
        <w:rPr>
          <w:sz w:val="22"/>
          <w:szCs w:val="22"/>
        </w:rPr>
        <w:t xml:space="preserve"> presented above</w:t>
      </w:r>
      <w:r w:rsidRPr="006313BE">
        <w:rPr>
          <w:sz w:val="22"/>
          <w:szCs w:val="22"/>
        </w:rPr>
        <w:t xml:space="preserve">, </w:t>
      </w:r>
      <w:r w:rsidR="00831BF8" w:rsidRPr="006313BE">
        <w:rPr>
          <w:sz w:val="22"/>
          <w:szCs w:val="22"/>
        </w:rPr>
        <w:t>organisations which have contributed to this</w:t>
      </w:r>
      <w:r w:rsidRPr="006313BE">
        <w:rPr>
          <w:sz w:val="22"/>
          <w:szCs w:val="22"/>
        </w:rPr>
        <w:t xml:space="preserve"> submission </w:t>
      </w:r>
      <w:r w:rsidR="00831BF8" w:rsidRPr="006313BE">
        <w:rPr>
          <w:sz w:val="22"/>
          <w:szCs w:val="22"/>
        </w:rPr>
        <w:t xml:space="preserve">have presented evidence of </w:t>
      </w:r>
      <w:r w:rsidRPr="006313BE">
        <w:rPr>
          <w:sz w:val="22"/>
          <w:szCs w:val="22"/>
        </w:rPr>
        <w:t>patterns of discrimination and inequality regarding persons living with HIV</w:t>
      </w:r>
      <w:r w:rsidR="006865EC" w:rsidRPr="006313BE">
        <w:rPr>
          <w:sz w:val="22"/>
          <w:szCs w:val="22"/>
        </w:rPr>
        <w:t xml:space="preserve"> </w:t>
      </w:r>
      <w:r w:rsidRPr="006313BE">
        <w:rPr>
          <w:sz w:val="22"/>
          <w:szCs w:val="22"/>
        </w:rPr>
        <w:t>and persons with disabilities</w:t>
      </w:r>
      <w:r w:rsidR="00831BF8" w:rsidRPr="006313BE">
        <w:rPr>
          <w:sz w:val="22"/>
          <w:szCs w:val="22"/>
        </w:rPr>
        <w:t xml:space="preserve"> which indicate</w:t>
      </w:r>
      <w:r w:rsidRPr="006313BE">
        <w:rPr>
          <w:sz w:val="22"/>
          <w:szCs w:val="22"/>
        </w:rPr>
        <w:t xml:space="preserve"> a systematic failure on the part of the State Party to effectively respect, protect, and fulfil the right to non-discrimination</w:t>
      </w:r>
      <w:r w:rsidR="00831BF8" w:rsidRPr="006313BE">
        <w:rPr>
          <w:sz w:val="22"/>
          <w:szCs w:val="22"/>
        </w:rPr>
        <w:t xml:space="preserve"> for these groups,</w:t>
      </w:r>
      <w:r w:rsidRPr="006313BE">
        <w:rPr>
          <w:sz w:val="22"/>
          <w:szCs w:val="22"/>
        </w:rPr>
        <w:t xml:space="preserve"> as provided by Article 26.</w:t>
      </w:r>
    </w:p>
    <w:p w14:paraId="73575912" w14:textId="77777777" w:rsidR="00165286" w:rsidRPr="006313BE" w:rsidRDefault="00165286" w:rsidP="006313BE">
      <w:pPr>
        <w:pStyle w:val="Default"/>
        <w:ind w:left="567"/>
        <w:jc w:val="both"/>
        <w:rPr>
          <w:b/>
          <w:bCs/>
          <w:sz w:val="22"/>
          <w:szCs w:val="22"/>
        </w:rPr>
      </w:pPr>
    </w:p>
    <w:p w14:paraId="00057C75" w14:textId="7758E5D6" w:rsidR="00F003CB" w:rsidRPr="006313BE" w:rsidRDefault="00F003CB" w:rsidP="006313BE">
      <w:pPr>
        <w:pStyle w:val="Default"/>
        <w:numPr>
          <w:ilvl w:val="0"/>
          <w:numId w:val="2"/>
        </w:numPr>
        <w:jc w:val="both"/>
        <w:rPr>
          <w:b/>
          <w:bCs/>
          <w:sz w:val="22"/>
          <w:szCs w:val="22"/>
        </w:rPr>
      </w:pPr>
      <w:r w:rsidRPr="006313BE">
        <w:rPr>
          <w:sz w:val="22"/>
          <w:szCs w:val="22"/>
        </w:rPr>
        <w:t xml:space="preserve">This part of the submission highlights examples of discrimination in areas which are not the subject of other Covenant rights, exemplifying the range of challenges to which the Cabo Verdean government must respond to fulfil its Article 26 obligations. </w:t>
      </w:r>
    </w:p>
    <w:p w14:paraId="3317E94C" w14:textId="77777777" w:rsidR="00165286" w:rsidRPr="006313BE" w:rsidRDefault="00165286" w:rsidP="006313BE">
      <w:pPr>
        <w:pStyle w:val="Default"/>
        <w:jc w:val="both"/>
        <w:rPr>
          <w:b/>
          <w:bCs/>
          <w:sz w:val="22"/>
          <w:szCs w:val="22"/>
        </w:rPr>
      </w:pPr>
    </w:p>
    <w:p w14:paraId="6CEB99F2" w14:textId="58FEE591" w:rsidR="00F003CB" w:rsidRPr="006313BE" w:rsidRDefault="00F003CB" w:rsidP="006313BE">
      <w:pPr>
        <w:pStyle w:val="Default"/>
        <w:jc w:val="both"/>
        <w:rPr>
          <w:b/>
          <w:bCs/>
          <w:i/>
          <w:iCs/>
          <w:sz w:val="22"/>
          <w:szCs w:val="22"/>
        </w:rPr>
      </w:pPr>
      <w:r w:rsidRPr="006313BE">
        <w:rPr>
          <w:b/>
          <w:bCs/>
          <w:i/>
          <w:iCs/>
          <w:sz w:val="22"/>
          <w:szCs w:val="22"/>
        </w:rPr>
        <w:t xml:space="preserve">Discrimination against persons </w:t>
      </w:r>
      <w:r w:rsidR="006313BE">
        <w:rPr>
          <w:b/>
          <w:bCs/>
          <w:i/>
          <w:iCs/>
          <w:sz w:val="22"/>
          <w:szCs w:val="22"/>
        </w:rPr>
        <w:t xml:space="preserve">living </w:t>
      </w:r>
      <w:r w:rsidRPr="006313BE">
        <w:rPr>
          <w:b/>
          <w:bCs/>
          <w:i/>
          <w:iCs/>
          <w:sz w:val="22"/>
          <w:szCs w:val="22"/>
        </w:rPr>
        <w:t>with HIV</w:t>
      </w:r>
    </w:p>
    <w:p w14:paraId="369C2253" w14:textId="77777777" w:rsidR="00831BF8" w:rsidRPr="006313BE" w:rsidRDefault="00831BF8" w:rsidP="006313BE">
      <w:pPr>
        <w:pStyle w:val="Default"/>
        <w:jc w:val="both"/>
        <w:rPr>
          <w:b/>
          <w:bCs/>
          <w:sz w:val="22"/>
          <w:szCs w:val="22"/>
          <w:u w:val="single"/>
        </w:rPr>
      </w:pPr>
    </w:p>
    <w:p w14:paraId="7D8AA7F9" w14:textId="0F4EAE74" w:rsidR="00F003CB" w:rsidRPr="006313BE" w:rsidRDefault="00F003CB" w:rsidP="006313BE">
      <w:pPr>
        <w:pStyle w:val="Default"/>
        <w:numPr>
          <w:ilvl w:val="0"/>
          <w:numId w:val="2"/>
        </w:numPr>
        <w:jc w:val="both"/>
        <w:rPr>
          <w:sz w:val="22"/>
          <w:szCs w:val="22"/>
        </w:rPr>
      </w:pPr>
      <w:r w:rsidRPr="006313BE">
        <w:rPr>
          <w:sz w:val="22"/>
          <w:szCs w:val="22"/>
        </w:rPr>
        <w:t xml:space="preserve">There is no specific </w:t>
      </w:r>
      <w:r w:rsidR="00831BF8" w:rsidRPr="006313BE">
        <w:rPr>
          <w:sz w:val="22"/>
          <w:szCs w:val="22"/>
        </w:rPr>
        <w:t>legislation which guarantees the right to non-discrimination for</w:t>
      </w:r>
      <w:r w:rsidRPr="006313BE">
        <w:rPr>
          <w:sz w:val="22"/>
          <w:szCs w:val="22"/>
        </w:rPr>
        <w:t xml:space="preserve"> persons living with HIV. </w:t>
      </w:r>
      <w:r w:rsidR="000C50D2" w:rsidRPr="006313BE">
        <w:rPr>
          <w:sz w:val="22"/>
          <w:szCs w:val="22"/>
        </w:rPr>
        <w:t>In its Initial Report, the State Party does not mention any measures undertaken to ensure the rights of this population without discrimination.</w:t>
      </w:r>
      <w:r w:rsidR="00831BF8" w:rsidRPr="006313BE">
        <w:rPr>
          <w:rStyle w:val="FootnoteReference"/>
          <w:sz w:val="22"/>
          <w:szCs w:val="22"/>
        </w:rPr>
        <w:footnoteReference w:id="55"/>
      </w:r>
    </w:p>
    <w:p w14:paraId="34822022" w14:textId="77777777" w:rsidR="00831BF8" w:rsidRPr="006313BE" w:rsidRDefault="00831BF8" w:rsidP="006313BE">
      <w:pPr>
        <w:pStyle w:val="Default"/>
        <w:ind w:left="567"/>
        <w:jc w:val="both"/>
        <w:rPr>
          <w:sz w:val="22"/>
          <w:szCs w:val="22"/>
        </w:rPr>
      </w:pPr>
    </w:p>
    <w:p w14:paraId="1AA78693" w14:textId="54BC0159" w:rsidR="00F003CB" w:rsidRPr="006313BE" w:rsidRDefault="00F003CB" w:rsidP="006313BE">
      <w:pPr>
        <w:pStyle w:val="Default"/>
        <w:numPr>
          <w:ilvl w:val="0"/>
          <w:numId w:val="2"/>
        </w:numPr>
        <w:jc w:val="both"/>
        <w:rPr>
          <w:sz w:val="22"/>
          <w:szCs w:val="22"/>
        </w:rPr>
      </w:pPr>
      <w:r w:rsidRPr="006313BE">
        <w:rPr>
          <w:sz w:val="22"/>
          <w:szCs w:val="22"/>
        </w:rPr>
        <w:t xml:space="preserve">Interviews undertaken by </w:t>
      </w:r>
      <w:r w:rsidR="00D3566F" w:rsidRPr="006313BE">
        <w:rPr>
          <w:sz w:val="22"/>
          <w:szCs w:val="22"/>
        </w:rPr>
        <w:t>A</w:t>
      </w:r>
      <w:proofErr w:type="spellStart"/>
      <w:r w:rsidRPr="0093556B">
        <w:rPr>
          <w:iCs/>
          <w:sz w:val="22"/>
          <w:szCs w:val="22"/>
          <w:lang w:val="en-US"/>
        </w:rPr>
        <w:t>ssociação</w:t>
      </w:r>
      <w:proofErr w:type="spellEnd"/>
      <w:r w:rsidRPr="0093556B">
        <w:rPr>
          <w:iCs/>
          <w:sz w:val="22"/>
          <w:szCs w:val="22"/>
          <w:lang w:val="en-US"/>
        </w:rPr>
        <w:t xml:space="preserve"> </w:t>
      </w:r>
      <w:proofErr w:type="spellStart"/>
      <w:r w:rsidRPr="0093556B">
        <w:rPr>
          <w:iCs/>
          <w:sz w:val="22"/>
          <w:szCs w:val="22"/>
          <w:lang w:val="en-US"/>
        </w:rPr>
        <w:t>Caboverdiana</w:t>
      </w:r>
      <w:proofErr w:type="spellEnd"/>
      <w:r w:rsidRPr="0093556B">
        <w:rPr>
          <w:iCs/>
          <w:sz w:val="22"/>
          <w:szCs w:val="22"/>
          <w:lang w:val="en-US"/>
        </w:rPr>
        <w:t xml:space="preserve"> de </w:t>
      </w:r>
      <w:proofErr w:type="spellStart"/>
      <w:r w:rsidRPr="0093556B">
        <w:rPr>
          <w:iCs/>
          <w:sz w:val="22"/>
          <w:szCs w:val="22"/>
          <w:lang w:val="en-US"/>
        </w:rPr>
        <w:t>Surdos</w:t>
      </w:r>
      <w:proofErr w:type="spellEnd"/>
      <w:r w:rsidRPr="0093556B">
        <w:rPr>
          <w:iCs/>
          <w:sz w:val="22"/>
          <w:szCs w:val="22"/>
          <w:lang w:val="en-US"/>
        </w:rPr>
        <w:t xml:space="preserve"> and </w:t>
      </w:r>
      <w:proofErr w:type="spellStart"/>
      <w:r w:rsidRPr="0093556B">
        <w:rPr>
          <w:iCs/>
          <w:sz w:val="22"/>
          <w:szCs w:val="22"/>
          <w:lang w:val="en-US"/>
        </w:rPr>
        <w:t>Morabi</w:t>
      </w:r>
      <w:proofErr w:type="spellEnd"/>
      <w:r w:rsidRPr="0093556B">
        <w:rPr>
          <w:b/>
          <w:bCs/>
          <w:i/>
          <w:sz w:val="22"/>
          <w:szCs w:val="22"/>
          <w:lang w:val="en-US"/>
        </w:rPr>
        <w:t xml:space="preserve"> </w:t>
      </w:r>
      <w:r w:rsidR="00C941EC" w:rsidRPr="0093556B">
        <w:rPr>
          <w:iCs/>
          <w:sz w:val="22"/>
          <w:szCs w:val="22"/>
          <w:lang w:val="en-US"/>
        </w:rPr>
        <w:t>reveal significant</w:t>
      </w:r>
      <w:r w:rsidRPr="006313BE">
        <w:rPr>
          <w:sz w:val="22"/>
          <w:szCs w:val="22"/>
        </w:rPr>
        <w:t xml:space="preserve"> stigma and prejudice against persons living with HIV, both </w:t>
      </w:r>
      <w:r w:rsidR="00831BF8" w:rsidRPr="006313BE">
        <w:rPr>
          <w:sz w:val="22"/>
          <w:szCs w:val="22"/>
        </w:rPr>
        <w:t>with</w:t>
      </w:r>
      <w:r w:rsidRPr="006313BE">
        <w:rPr>
          <w:sz w:val="22"/>
          <w:szCs w:val="22"/>
        </w:rPr>
        <w:t>in their families and in society as a whole</w:t>
      </w:r>
      <w:r w:rsidR="00831BF8" w:rsidRPr="006313BE">
        <w:rPr>
          <w:sz w:val="22"/>
          <w:szCs w:val="22"/>
        </w:rPr>
        <w:t>; this prejudice can lead to discrimination in various areas of life</w:t>
      </w:r>
      <w:r w:rsidRPr="006313BE">
        <w:rPr>
          <w:sz w:val="22"/>
          <w:szCs w:val="22"/>
        </w:rPr>
        <w:t xml:space="preserve">. </w:t>
      </w:r>
      <w:r w:rsidR="00831BF8" w:rsidRPr="006313BE">
        <w:rPr>
          <w:sz w:val="22"/>
          <w:szCs w:val="22"/>
        </w:rPr>
        <w:t>For example, a</w:t>
      </w:r>
      <w:r w:rsidRPr="006313BE">
        <w:rPr>
          <w:sz w:val="22"/>
          <w:szCs w:val="22"/>
        </w:rPr>
        <w:t xml:space="preserve"> study by the University of Cabo Verde and Centro de </w:t>
      </w:r>
      <w:proofErr w:type="spellStart"/>
      <w:r w:rsidRPr="006313BE">
        <w:rPr>
          <w:sz w:val="22"/>
          <w:szCs w:val="22"/>
        </w:rPr>
        <w:t>Investigação</w:t>
      </w:r>
      <w:proofErr w:type="spellEnd"/>
      <w:r w:rsidRPr="006313BE">
        <w:rPr>
          <w:sz w:val="22"/>
          <w:szCs w:val="22"/>
        </w:rPr>
        <w:t xml:space="preserve"> e </w:t>
      </w:r>
      <w:proofErr w:type="spellStart"/>
      <w:r w:rsidRPr="006313BE">
        <w:rPr>
          <w:sz w:val="22"/>
          <w:szCs w:val="22"/>
        </w:rPr>
        <w:t>Formação</w:t>
      </w:r>
      <w:proofErr w:type="spellEnd"/>
      <w:r w:rsidRPr="006313BE">
        <w:rPr>
          <w:sz w:val="22"/>
          <w:szCs w:val="22"/>
        </w:rPr>
        <w:t xml:space="preserve"> </w:t>
      </w:r>
      <w:proofErr w:type="spellStart"/>
      <w:r w:rsidRPr="006313BE">
        <w:rPr>
          <w:sz w:val="22"/>
          <w:szCs w:val="22"/>
        </w:rPr>
        <w:t>em</w:t>
      </w:r>
      <w:proofErr w:type="spellEnd"/>
      <w:r w:rsidRPr="006313BE">
        <w:rPr>
          <w:sz w:val="22"/>
          <w:szCs w:val="22"/>
        </w:rPr>
        <w:t xml:space="preserve"> </w:t>
      </w:r>
      <w:proofErr w:type="spellStart"/>
      <w:r w:rsidRPr="006313BE">
        <w:rPr>
          <w:sz w:val="22"/>
          <w:szCs w:val="22"/>
        </w:rPr>
        <w:t>Género</w:t>
      </w:r>
      <w:proofErr w:type="spellEnd"/>
      <w:r w:rsidRPr="006313BE">
        <w:rPr>
          <w:sz w:val="22"/>
          <w:szCs w:val="22"/>
        </w:rPr>
        <w:t xml:space="preserve"> e </w:t>
      </w:r>
      <w:proofErr w:type="spellStart"/>
      <w:r w:rsidRPr="006313BE">
        <w:rPr>
          <w:sz w:val="22"/>
          <w:szCs w:val="22"/>
        </w:rPr>
        <w:t>Família</w:t>
      </w:r>
      <w:proofErr w:type="spellEnd"/>
      <w:r w:rsidRPr="006313BE">
        <w:rPr>
          <w:sz w:val="22"/>
          <w:szCs w:val="22"/>
        </w:rPr>
        <w:t xml:space="preserve"> funded by UN Women on the access to reproductive healthcare for women living with HIV documented an instance where a patient had to disclose their HIV status in order to access healthcare for their child.</w:t>
      </w:r>
      <w:r w:rsidRPr="006313BE">
        <w:rPr>
          <w:sz w:val="22"/>
          <w:szCs w:val="22"/>
          <w:vertAlign w:val="superscript"/>
        </w:rPr>
        <w:footnoteReference w:id="56"/>
      </w:r>
      <w:r w:rsidRPr="006313BE">
        <w:rPr>
          <w:sz w:val="22"/>
          <w:szCs w:val="22"/>
        </w:rPr>
        <w:t xml:space="preserve">  </w:t>
      </w:r>
    </w:p>
    <w:p w14:paraId="374408B2" w14:textId="76932458" w:rsidR="00F003CB" w:rsidRPr="006313BE" w:rsidRDefault="00F003CB" w:rsidP="006313BE">
      <w:pPr>
        <w:pStyle w:val="Default"/>
        <w:jc w:val="both"/>
        <w:rPr>
          <w:b/>
          <w:bCs/>
          <w:sz w:val="22"/>
          <w:szCs w:val="22"/>
        </w:rPr>
      </w:pPr>
    </w:p>
    <w:p w14:paraId="05E63C3C" w14:textId="777BC73E" w:rsidR="000C50D2" w:rsidRPr="006313BE" w:rsidRDefault="000C50D2" w:rsidP="006313BE">
      <w:pPr>
        <w:pStyle w:val="Default"/>
        <w:jc w:val="both"/>
        <w:rPr>
          <w:b/>
          <w:bCs/>
          <w:i/>
          <w:iCs/>
          <w:sz w:val="22"/>
          <w:szCs w:val="22"/>
        </w:rPr>
      </w:pPr>
      <w:r w:rsidRPr="006313BE">
        <w:rPr>
          <w:b/>
          <w:bCs/>
          <w:i/>
          <w:iCs/>
          <w:sz w:val="22"/>
          <w:szCs w:val="22"/>
        </w:rPr>
        <w:t xml:space="preserve">Discrimination against persons with disabilities </w:t>
      </w:r>
    </w:p>
    <w:p w14:paraId="629787B6" w14:textId="77777777" w:rsidR="00831BF8" w:rsidRPr="006313BE" w:rsidRDefault="00831BF8" w:rsidP="006313BE">
      <w:pPr>
        <w:pStyle w:val="Default"/>
        <w:jc w:val="both"/>
        <w:rPr>
          <w:sz w:val="22"/>
          <w:szCs w:val="22"/>
          <w:u w:val="single"/>
        </w:rPr>
      </w:pPr>
    </w:p>
    <w:p w14:paraId="205C3E30" w14:textId="7E262F07" w:rsidR="000C50D2" w:rsidRPr="006313BE" w:rsidRDefault="000C50D2" w:rsidP="006313BE">
      <w:pPr>
        <w:pStyle w:val="Default"/>
        <w:numPr>
          <w:ilvl w:val="0"/>
          <w:numId w:val="2"/>
        </w:numPr>
        <w:jc w:val="both"/>
        <w:rPr>
          <w:sz w:val="22"/>
          <w:szCs w:val="22"/>
          <w:u w:val="single"/>
        </w:rPr>
      </w:pPr>
      <w:r w:rsidRPr="006313BE">
        <w:rPr>
          <w:sz w:val="22"/>
          <w:szCs w:val="22"/>
        </w:rPr>
        <w:t xml:space="preserve">Although the Cabo </w:t>
      </w:r>
      <w:r w:rsidR="00831BF8" w:rsidRPr="006313BE">
        <w:rPr>
          <w:sz w:val="22"/>
          <w:szCs w:val="22"/>
        </w:rPr>
        <w:t xml:space="preserve">Verdean </w:t>
      </w:r>
      <w:r w:rsidRPr="006313BE">
        <w:rPr>
          <w:sz w:val="22"/>
          <w:szCs w:val="22"/>
        </w:rPr>
        <w:t xml:space="preserve">Constitution </w:t>
      </w:r>
      <w:r w:rsidR="00831BF8" w:rsidRPr="006313BE">
        <w:rPr>
          <w:sz w:val="22"/>
          <w:szCs w:val="22"/>
        </w:rPr>
        <w:t xml:space="preserve">guarantees </w:t>
      </w:r>
      <w:r w:rsidRPr="006313BE">
        <w:rPr>
          <w:sz w:val="22"/>
          <w:szCs w:val="22"/>
        </w:rPr>
        <w:t>special protection to the legitimate rights and interests of persons with disabilities,</w:t>
      </w:r>
      <w:r w:rsidRPr="006313BE">
        <w:rPr>
          <w:rStyle w:val="FootnoteReference"/>
          <w:sz w:val="22"/>
          <w:szCs w:val="22"/>
        </w:rPr>
        <w:footnoteReference w:id="57"/>
      </w:r>
      <w:r w:rsidRPr="006313BE">
        <w:rPr>
          <w:sz w:val="22"/>
          <w:szCs w:val="22"/>
        </w:rPr>
        <w:t xml:space="preserve"> widespread </w:t>
      </w:r>
      <w:r w:rsidR="00831BF8" w:rsidRPr="006313BE">
        <w:rPr>
          <w:sz w:val="22"/>
          <w:szCs w:val="22"/>
        </w:rPr>
        <w:t>prejudice</w:t>
      </w:r>
      <w:r w:rsidRPr="006313BE">
        <w:rPr>
          <w:sz w:val="22"/>
          <w:szCs w:val="22"/>
        </w:rPr>
        <w:t xml:space="preserve"> towards persons with disabilities </w:t>
      </w:r>
      <w:r w:rsidR="00831BF8" w:rsidRPr="006313BE">
        <w:rPr>
          <w:sz w:val="22"/>
          <w:szCs w:val="22"/>
        </w:rPr>
        <w:t>translates</w:t>
      </w:r>
      <w:r w:rsidRPr="006313BE">
        <w:rPr>
          <w:sz w:val="22"/>
          <w:szCs w:val="22"/>
        </w:rPr>
        <w:t xml:space="preserve"> into barriers which limit their access to healthcare and education.</w:t>
      </w:r>
    </w:p>
    <w:p w14:paraId="3D4EB384" w14:textId="77777777" w:rsidR="00831BF8" w:rsidRPr="006313BE" w:rsidRDefault="00831BF8" w:rsidP="006313BE">
      <w:pPr>
        <w:pStyle w:val="Default"/>
        <w:ind w:left="567"/>
        <w:jc w:val="both"/>
        <w:rPr>
          <w:sz w:val="22"/>
          <w:szCs w:val="22"/>
          <w:u w:val="single"/>
        </w:rPr>
      </w:pPr>
    </w:p>
    <w:p w14:paraId="119B5AA1" w14:textId="3E4BC38F" w:rsidR="000C50D2" w:rsidRPr="006313BE" w:rsidRDefault="000C50D2" w:rsidP="006313BE">
      <w:pPr>
        <w:pStyle w:val="Default"/>
        <w:numPr>
          <w:ilvl w:val="0"/>
          <w:numId w:val="2"/>
        </w:numPr>
        <w:jc w:val="both"/>
        <w:rPr>
          <w:sz w:val="22"/>
          <w:szCs w:val="22"/>
          <w:u w:val="single"/>
        </w:rPr>
      </w:pPr>
      <w:r w:rsidRPr="006313BE">
        <w:rPr>
          <w:sz w:val="22"/>
          <w:szCs w:val="22"/>
        </w:rPr>
        <w:t xml:space="preserve">There is a generalized lack of accessibility to educational and health services for persons with disabilities. Persons with physical disabilities may not easily access said institutions due to the lack of ramps and other infrastructure. </w:t>
      </w:r>
      <w:r w:rsidR="00831BF8" w:rsidRPr="006313BE">
        <w:rPr>
          <w:sz w:val="22"/>
          <w:szCs w:val="22"/>
        </w:rPr>
        <w:t xml:space="preserve">Regarding blind and deaf people, no interpreters or braille are available. </w:t>
      </w:r>
      <w:r w:rsidRPr="006313BE">
        <w:rPr>
          <w:sz w:val="22"/>
          <w:szCs w:val="22"/>
        </w:rPr>
        <w:t xml:space="preserve">OMCV has reported a case of a teacher who refused to teach a student with disability because he was not “properly trained in working with </w:t>
      </w:r>
      <w:r w:rsidRPr="006313BE">
        <w:rPr>
          <w:i/>
          <w:iCs/>
          <w:sz w:val="22"/>
          <w:szCs w:val="22"/>
        </w:rPr>
        <w:t xml:space="preserve">disabled </w:t>
      </w:r>
      <w:r w:rsidRPr="006313BE">
        <w:rPr>
          <w:sz w:val="22"/>
          <w:szCs w:val="22"/>
        </w:rPr>
        <w:t xml:space="preserve">people”. </w:t>
      </w:r>
    </w:p>
    <w:p w14:paraId="3BC745F1" w14:textId="77777777" w:rsidR="00831BF8" w:rsidRPr="006313BE" w:rsidRDefault="00831BF8" w:rsidP="006313BE">
      <w:pPr>
        <w:pStyle w:val="Default"/>
        <w:jc w:val="both"/>
        <w:rPr>
          <w:sz w:val="22"/>
          <w:szCs w:val="22"/>
          <w:u w:val="single"/>
        </w:rPr>
      </w:pPr>
    </w:p>
    <w:p w14:paraId="60973231" w14:textId="28763708" w:rsidR="000F639D" w:rsidRPr="00E66428" w:rsidRDefault="000C50D2" w:rsidP="006313BE">
      <w:pPr>
        <w:pStyle w:val="Default"/>
        <w:numPr>
          <w:ilvl w:val="0"/>
          <w:numId w:val="2"/>
        </w:numPr>
        <w:jc w:val="both"/>
        <w:rPr>
          <w:sz w:val="22"/>
          <w:szCs w:val="22"/>
          <w:u w:val="single"/>
        </w:rPr>
      </w:pPr>
      <w:r w:rsidRPr="006313BE">
        <w:rPr>
          <w:sz w:val="22"/>
          <w:szCs w:val="22"/>
        </w:rPr>
        <w:t>Regarding sexual and reproductive rights, persons with disabilities are often treated as incapable of making their own decisions. In addition, poor training of medical staff</w:t>
      </w:r>
      <w:r w:rsidR="000F639D" w:rsidRPr="006313BE">
        <w:rPr>
          <w:sz w:val="22"/>
          <w:szCs w:val="22"/>
        </w:rPr>
        <w:t xml:space="preserve">, </w:t>
      </w:r>
      <w:r w:rsidR="00597C44" w:rsidRPr="006313BE">
        <w:rPr>
          <w:sz w:val="22"/>
          <w:szCs w:val="22"/>
        </w:rPr>
        <w:t xml:space="preserve">together </w:t>
      </w:r>
      <w:r w:rsidR="000F639D" w:rsidRPr="006313BE">
        <w:rPr>
          <w:sz w:val="22"/>
          <w:szCs w:val="22"/>
        </w:rPr>
        <w:t>with a</w:t>
      </w:r>
      <w:r w:rsidR="00597C44" w:rsidRPr="006313BE">
        <w:rPr>
          <w:sz w:val="22"/>
          <w:szCs w:val="22"/>
        </w:rPr>
        <w:t xml:space="preserve"> general</w:t>
      </w:r>
      <w:r w:rsidR="000F639D" w:rsidRPr="006313BE">
        <w:rPr>
          <w:sz w:val="22"/>
          <w:szCs w:val="22"/>
        </w:rPr>
        <w:t xml:space="preserve"> lack of information and proper means of communication (including reasonable adjustments), reinforces discrimination in access to health services in general and sexual and reproductive health in particular. </w:t>
      </w:r>
    </w:p>
    <w:p w14:paraId="5A2A0426" w14:textId="77777777" w:rsidR="00E66428" w:rsidRPr="006313BE" w:rsidRDefault="00E66428" w:rsidP="00E66428">
      <w:pPr>
        <w:pStyle w:val="Default"/>
        <w:jc w:val="both"/>
        <w:rPr>
          <w:sz w:val="22"/>
          <w:szCs w:val="22"/>
          <w:u w:val="single"/>
        </w:rPr>
      </w:pPr>
    </w:p>
    <w:p w14:paraId="039BBAD3" w14:textId="060214E3" w:rsidR="00F55757" w:rsidRPr="00E66428" w:rsidRDefault="009E6D36" w:rsidP="006313BE">
      <w:pPr>
        <w:pStyle w:val="Default"/>
        <w:jc w:val="both"/>
        <w:rPr>
          <w:b/>
          <w:bCs/>
          <w:i/>
          <w:iCs/>
          <w:sz w:val="22"/>
          <w:szCs w:val="22"/>
        </w:rPr>
      </w:pPr>
      <w:r w:rsidRPr="00E66428">
        <w:rPr>
          <w:b/>
          <w:bCs/>
          <w:i/>
          <w:iCs/>
          <w:sz w:val="22"/>
          <w:szCs w:val="22"/>
        </w:rPr>
        <w:t xml:space="preserve">Discrimination </w:t>
      </w:r>
      <w:proofErr w:type="gramStart"/>
      <w:r w:rsidRPr="00E66428">
        <w:rPr>
          <w:b/>
          <w:bCs/>
          <w:i/>
          <w:iCs/>
          <w:sz w:val="22"/>
          <w:szCs w:val="22"/>
        </w:rPr>
        <w:t>on</w:t>
      </w:r>
      <w:r w:rsidR="00176996" w:rsidRPr="00E66428">
        <w:rPr>
          <w:b/>
          <w:bCs/>
          <w:i/>
          <w:iCs/>
          <w:sz w:val="22"/>
          <w:szCs w:val="22"/>
        </w:rPr>
        <w:t xml:space="preserve"> the basis of</w:t>
      </w:r>
      <w:proofErr w:type="gramEnd"/>
      <w:r w:rsidR="00176996" w:rsidRPr="00E66428">
        <w:rPr>
          <w:b/>
          <w:bCs/>
          <w:i/>
          <w:iCs/>
          <w:sz w:val="22"/>
          <w:szCs w:val="22"/>
        </w:rPr>
        <w:t xml:space="preserve"> </w:t>
      </w:r>
      <w:r w:rsidR="00E66428" w:rsidRPr="00E66428">
        <w:rPr>
          <w:b/>
          <w:bCs/>
          <w:i/>
          <w:iCs/>
          <w:sz w:val="22"/>
          <w:szCs w:val="22"/>
        </w:rPr>
        <w:t xml:space="preserve">gender, </w:t>
      </w:r>
      <w:r w:rsidR="00176996" w:rsidRPr="00E66428">
        <w:rPr>
          <w:b/>
          <w:bCs/>
          <w:i/>
          <w:iCs/>
          <w:sz w:val="22"/>
          <w:szCs w:val="22"/>
        </w:rPr>
        <w:t xml:space="preserve">sexual orientation and gender identity </w:t>
      </w:r>
    </w:p>
    <w:p w14:paraId="18E7EFBB" w14:textId="77777777" w:rsidR="00E66428" w:rsidRPr="006313BE" w:rsidRDefault="00E66428" w:rsidP="006313BE">
      <w:pPr>
        <w:pStyle w:val="Default"/>
        <w:jc w:val="both"/>
        <w:rPr>
          <w:sz w:val="22"/>
          <w:szCs w:val="22"/>
        </w:rPr>
      </w:pPr>
    </w:p>
    <w:p w14:paraId="3F1DBCFB" w14:textId="7FFB2386" w:rsidR="00176996" w:rsidRPr="006313BE" w:rsidRDefault="00F55757" w:rsidP="006313BE">
      <w:pPr>
        <w:pStyle w:val="Default"/>
        <w:numPr>
          <w:ilvl w:val="0"/>
          <w:numId w:val="2"/>
        </w:numPr>
        <w:jc w:val="both"/>
        <w:rPr>
          <w:sz w:val="22"/>
          <w:szCs w:val="22"/>
        </w:rPr>
      </w:pPr>
      <w:r w:rsidRPr="006313BE">
        <w:rPr>
          <w:sz w:val="22"/>
          <w:szCs w:val="22"/>
        </w:rPr>
        <w:t xml:space="preserve">In addition to the </w:t>
      </w:r>
      <w:r w:rsidR="00176996" w:rsidRPr="006313BE">
        <w:rPr>
          <w:sz w:val="22"/>
          <w:szCs w:val="22"/>
        </w:rPr>
        <w:t xml:space="preserve">patterns of discrimination </w:t>
      </w:r>
      <w:r w:rsidR="00E66428">
        <w:rPr>
          <w:sz w:val="22"/>
          <w:szCs w:val="22"/>
        </w:rPr>
        <w:t xml:space="preserve">affecting women and LGBTI persons </w:t>
      </w:r>
      <w:r w:rsidR="00176996" w:rsidRPr="006313BE">
        <w:rPr>
          <w:sz w:val="22"/>
          <w:szCs w:val="22"/>
        </w:rPr>
        <w:t xml:space="preserve">identified above, </w:t>
      </w:r>
      <w:r w:rsidR="00E66428">
        <w:rPr>
          <w:sz w:val="22"/>
          <w:szCs w:val="22"/>
        </w:rPr>
        <w:t xml:space="preserve">it must be noted that discriminatory violence – both </w:t>
      </w:r>
      <w:r w:rsidR="00176996" w:rsidRPr="006313BE">
        <w:rPr>
          <w:sz w:val="22"/>
          <w:szCs w:val="22"/>
        </w:rPr>
        <w:t xml:space="preserve">gender-based violence and violence against the LGBTI population </w:t>
      </w:r>
      <w:r w:rsidR="00E66428">
        <w:rPr>
          <w:sz w:val="22"/>
          <w:szCs w:val="22"/>
        </w:rPr>
        <w:t xml:space="preserve">– is </w:t>
      </w:r>
      <w:r w:rsidR="00176996" w:rsidRPr="006313BE">
        <w:rPr>
          <w:sz w:val="22"/>
          <w:szCs w:val="22"/>
        </w:rPr>
        <w:t xml:space="preserve">rooted in </w:t>
      </w:r>
      <w:r w:rsidR="00064259">
        <w:rPr>
          <w:sz w:val="22"/>
          <w:szCs w:val="22"/>
        </w:rPr>
        <w:t xml:space="preserve">social prejudice and </w:t>
      </w:r>
      <w:r w:rsidR="00176996" w:rsidRPr="006313BE">
        <w:rPr>
          <w:sz w:val="22"/>
          <w:szCs w:val="22"/>
        </w:rPr>
        <w:t>wider patterns of discrimination which constitute</w:t>
      </w:r>
      <w:r w:rsidR="00064259">
        <w:rPr>
          <w:sz w:val="22"/>
          <w:szCs w:val="22"/>
        </w:rPr>
        <w:t xml:space="preserve"> </w:t>
      </w:r>
      <w:r w:rsidR="00176996" w:rsidRPr="006313BE">
        <w:rPr>
          <w:sz w:val="22"/>
          <w:szCs w:val="22"/>
        </w:rPr>
        <w:t xml:space="preserve">violations to the autonomous right to non-discrimination established in Article 26 of the Covenant. </w:t>
      </w:r>
    </w:p>
    <w:p w14:paraId="344605C3" w14:textId="77777777" w:rsidR="00176996" w:rsidRPr="006313BE" w:rsidRDefault="00176996" w:rsidP="00E66428">
      <w:pPr>
        <w:pStyle w:val="Default"/>
        <w:ind w:left="567"/>
        <w:jc w:val="both"/>
        <w:rPr>
          <w:sz w:val="22"/>
          <w:szCs w:val="22"/>
        </w:rPr>
      </w:pPr>
    </w:p>
    <w:p w14:paraId="35443F13" w14:textId="14D0BE70" w:rsidR="003E430F" w:rsidRPr="006313BE" w:rsidRDefault="003E430F" w:rsidP="006313BE">
      <w:pPr>
        <w:pStyle w:val="Default"/>
        <w:jc w:val="both"/>
        <w:rPr>
          <w:b/>
          <w:bCs/>
          <w:sz w:val="22"/>
          <w:szCs w:val="22"/>
        </w:rPr>
      </w:pPr>
      <w:r w:rsidRPr="006313BE">
        <w:rPr>
          <w:b/>
          <w:bCs/>
          <w:sz w:val="22"/>
          <w:szCs w:val="22"/>
        </w:rPr>
        <w:t>With respect to Articles 26 of the Covenant:</w:t>
      </w:r>
    </w:p>
    <w:p w14:paraId="3DB20C1B" w14:textId="37C9BC57" w:rsidR="000C50D2" w:rsidRDefault="00176996" w:rsidP="006313BE">
      <w:pPr>
        <w:pStyle w:val="Default"/>
        <w:numPr>
          <w:ilvl w:val="0"/>
          <w:numId w:val="7"/>
        </w:numPr>
        <w:jc w:val="both"/>
        <w:rPr>
          <w:sz w:val="22"/>
          <w:szCs w:val="22"/>
          <w:u w:val="single"/>
        </w:rPr>
      </w:pPr>
      <w:r w:rsidRPr="006313BE">
        <w:rPr>
          <w:sz w:val="22"/>
          <w:szCs w:val="22"/>
          <w:u w:val="single"/>
        </w:rPr>
        <w:t xml:space="preserve">In addition to the adoption of a comprehensive anti-discrimination law, we urge the Committee to make a recommendation to Cabo Verde to investigate and analyse patterns of discrimination which constitute violations to Article 26 of the Covenant. </w:t>
      </w:r>
    </w:p>
    <w:p w14:paraId="5438A407" w14:textId="46DEB45C" w:rsidR="00064259" w:rsidRDefault="00064259" w:rsidP="00064259">
      <w:pPr>
        <w:pStyle w:val="Default"/>
        <w:jc w:val="both"/>
        <w:rPr>
          <w:b/>
          <w:bCs/>
          <w:color w:val="FFFFFF" w:themeColor="background1"/>
          <w:sz w:val="22"/>
          <w:szCs w:val="22"/>
          <w:u w:val="single"/>
        </w:rPr>
      </w:pPr>
      <w:r w:rsidRPr="006313BE">
        <w:rPr>
          <w:b/>
          <w:bCs/>
          <w:color w:val="FFFFFF" w:themeColor="background1"/>
          <w:sz w:val="22"/>
          <w:szCs w:val="22"/>
          <w:u w:val="single"/>
        </w:rPr>
        <w:t>Recommendations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1F3864" w:themeFill="accent1" w:themeFillShade="80"/>
        <w:tblLook w:val="04A0" w:firstRow="1" w:lastRow="0" w:firstColumn="1" w:lastColumn="0" w:noHBand="0" w:noVBand="1"/>
      </w:tblPr>
      <w:tblGrid>
        <w:gridCol w:w="9016"/>
      </w:tblGrid>
      <w:tr w:rsidR="00064259" w:rsidRPr="006313BE" w14:paraId="33BB36A1" w14:textId="77777777" w:rsidTr="00384D94">
        <w:tc>
          <w:tcPr>
            <w:tcW w:w="9016" w:type="dxa"/>
            <w:shd w:val="clear" w:color="auto" w:fill="1F3864" w:themeFill="accent1" w:themeFillShade="80"/>
          </w:tcPr>
          <w:p w14:paraId="1AD9E151" w14:textId="77777777" w:rsidR="00064259" w:rsidRDefault="00064259" w:rsidP="00384D94">
            <w:pPr>
              <w:pStyle w:val="Default"/>
              <w:jc w:val="both"/>
              <w:rPr>
                <w:b/>
                <w:bCs/>
                <w:color w:val="FFFFFF" w:themeColor="background1"/>
                <w:sz w:val="22"/>
                <w:szCs w:val="22"/>
                <w:u w:val="single"/>
              </w:rPr>
            </w:pPr>
            <w:r w:rsidRPr="006313BE">
              <w:rPr>
                <w:b/>
                <w:bCs/>
                <w:color w:val="FFFFFF" w:themeColor="background1"/>
                <w:sz w:val="22"/>
                <w:szCs w:val="22"/>
                <w:u w:val="single"/>
              </w:rPr>
              <w:t>Recommendations</w:t>
            </w:r>
          </w:p>
          <w:p w14:paraId="33A5A74F" w14:textId="77777777" w:rsidR="00064259" w:rsidRPr="006313BE" w:rsidRDefault="00064259" w:rsidP="00384D94">
            <w:pPr>
              <w:pStyle w:val="Default"/>
              <w:jc w:val="both"/>
              <w:rPr>
                <w:b/>
                <w:bCs/>
                <w:color w:val="FFFFFF" w:themeColor="background1"/>
                <w:sz w:val="22"/>
                <w:szCs w:val="22"/>
                <w:u w:val="single"/>
              </w:rPr>
            </w:pPr>
          </w:p>
          <w:p w14:paraId="7FAEC83C" w14:textId="77777777" w:rsidR="00064259" w:rsidRDefault="00064259" w:rsidP="00064259">
            <w:pPr>
              <w:tabs>
                <w:tab w:val="left" w:pos="8540"/>
              </w:tabs>
              <w:spacing w:after="0" w:line="240" w:lineRule="auto"/>
              <w:ind w:left="177" w:right="130"/>
              <w:jc w:val="both"/>
              <w:rPr>
                <w:b/>
                <w:bCs/>
                <w:i/>
                <w:iCs/>
                <w:color w:val="FFFFFF" w:themeColor="background1"/>
                <w:sz w:val="22"/>
                <w:szCs w:val="22"/>
              </w:rPr>
            </w:pPr>
            <w:r w:rsidRPr="006313BE">
              <w:rPr>
                <w:rFonts w:ascii="Cambria" w:hAnsi="Cambria"/>
                <w:b/>
                <w:bCs/>
                <w:i/>
                <w:iCs/>
                <w:color w:val="FFFFFF" w:themeColor="background1"/>
                <w:sz w:val="22"/>
                <w:szCs w:val="22"/>
              </w:rPr>
              <w:t xml:space="preserve">With respect to Article </w:t>
            </w:r>
            <w:r>
              <w:rPr>
                <w:b/>
                <w:bCs/>
                <w:i/>
                <w:iCs/>
                <w:color w:val="FFFFFF" w:themeColor="background1"/>
                <w:sz w:val="22"/>
                <w:szCs w:val="22"/>
              </w:rPr>
              <w:t xml:space="preserve">26 </w:t>
            </w:r>
            <w:r w:rsidRPr="006313BE">
              <w:rPr>
                <w:rFonts w:ascii="Cambria" w:hAnsi="Cambria"/>
                <w:b/>
                <w:bCs/>
                <w:i/>
                <w:iCs/>
                <w:color w:val="FFFFFF" w:themeColor="background1"/>
                <w:sz w:val="22"/>
                <w:szCs w:val="22"/>
              </w:rPr>
              <w:t>of the Covenant</w:t>
            </w:r>
            <w:r>
              <w:rPr>
                <w:b/>
                <w:bCs/>
                <w:i/>
                <w:iCs/>
                <w:color w:val="FFFFFF" w:themeColor="background1"/>
                <w:sz w:val="22"/>
                <w:szCs w:val="22"/>
              </w:rPr>
              <w:t>, we urge the Committee to recommend that Cabo Verde:</w:t>
            </w:r>
          </w:p>
          <w:p w14:paraId="2C80F533" w14:textId="77777777" w:rsidR="00064259" w:rsidRDefault="00064259" w:rsidP="00064259">
            <w:pPr>
              <w:pStyle w:val="ListParagraph"/>
              <w:numPr>
                <w:ilvl w:val="1"/>
                <w:numId w:val="2"/>
              </w:numPr>
              <w:tabs>
                <w:tab w:val="left" w:pos="8540"/>
              </w:tabs>
              <w:ind w:left="890" w:right="130"/>
              <w:jc w:val="both"/>
            </w:pPr>
            <w:r w:rsidRPr="00064259">
              <w:t xml:space="preserve">Adopt specific, comprehensive equality law. Such legislation should be in line with international best practice standards and should </w:t>
            </w:r>
            <w:r w:rsidRPr="00064259">
              <w:rPr>
                <w:i/>
                <w:iCs/>
              </w:rPr>
              <w:t xml:space="preserve">inter alia </w:t>
            </w:r>
            <w:r w:rsidRPr="00064259">
              <w:t xml:space="preserve">prohibit all forms of discrimination, on all grounds recognised at international law and in all areas of life regulated by law; require the adoption of positive action measures to address substantive inequalities; and provide the procedural safeguards necessary for the effective functioning of the rights protected therein. In this regard, the State Party should consult with and seek input from civil society. </w:t>
            </w:r>
          </w:p>
          <w:p w14:paraId="34654FC8" w14:textId="77777777" w:rsidR="00064259" w:rsidRDefault="00064259" w:rsidP="00064259">
            <w:pPr>
              <w:pStyle w:val="ListParagraph"/>
              <w:numPr>
                <w:ilvl w:val="1"/>
                <w:numId w:val="2"/>
              </w:numPr>
              <w:tabs>
                <w:tab w:val="left" w:pos="8540"/>
              </w:tabs>
              <w:ind w:left="890" w:right="130"/>
              <w:jc w:val="both"/>
            </w:pPr>
            <w:r>
              <w:t>Collaborate with civil society to undertake a comprehensive assessment of patterns of discrimination which persist in Cabo Verde, and to develop appropriate legislative and policy responses.</w:t>
            </w:r>
          </w:p>
          <w:p w14:paraId="361DE3DC" w14:textId="1968B0E8" w:rsidR="00064259" w:rsidRPr="00064259" w:rsidRDefault="00064259" w:rsidP="00064259">
            <w:pPr>
              <w:pStyle w:val="ListParagraph"/>
              <w:numPr>
                <w:ilvl w:val="1"/>
                <w:numId w:val="2"/>
              </w:numPr>
              <w:tabs>
                <w:tab w:val="left" w:pos="8540"/>
              </w:tabs>
              <w:ind w:left="890" w:right="130"/>
              <w:jc w:val="both"/>
            </w:pPr>
            <w:r>
              <w:lastRenderedPageBreak/>
              <w:t>Undertake educational and awareness-raising campaigns designed to promote the rights to equality and non-discrimination, foster tolerance and mutual understanding and to combat prejudice and stigma.</w:t>
            </w:r>
          </w:p>
        </w:tc>
      </w:tr>
      <w:tr w:rsidR="00064259" w:rsidRPr="006313BE" w14:paraId="292F3F55" w14:textId="77777777" w:rsidTr="00384D94">
        <w:tc>
          <w:tcPr>
            <w:tcW w:w="9016" w:type="dxa"/>
            <w:shd w:val="clear" w:color="auto" w:fill="1F3864" w:themeFill="accent1" w:themeFillShade="80"/>
          </w:tcPr>
          <w:p w14:paraId="658E8FCB" w14:textId="77777777" w:rsidR="00064259" w:rsidRPr="006313BE" w:rsidRDefault="00064259" w:rsidP="00384D94">
            <w:pPr>
              <w:pStyle w:val="Default"/>
              <w:jc w:val="both"/>
              <w:rPr>
                <w:b/>
                <w:bCs/>
                <w:color w:val="FFFFFF" w:themeColor="background1"/>
                <w:sz w:val="22"/>
                <w:szCs w:val="22"/>
                <w:u w:val="single"/>
              </w:rPr>
            </w:pPr>
          </w:p>
        </w:tc>
      </w:tr>
    </w:tbl>
    <w:p w14:paraId="68BA08FB" w14:textId="77777777" w:rsidR="00064259" w:rsidRPr="006313BE" w:rsidRDefault="00064259" w:rsidP="00064259">
      <w:pPr>
        <w:pStyle w:val="Default"/>
        <w:jc w:val="both"/>
        <w:rPr>
          <w:b/>
          <w:bCs/>
          <w:color w:val="FFFFFF" w:themeColor="background1"/>
          <w:sz w:val="22"/>
          <w:szCs w:val="22"/>
        </w:rPr>
      </w:pPr>
    </w:p>
    <w:p w14:paraId="514B386F" w14:textId="77777777" w:rsidR="00064259" w:rsidRPr="006313BE" w:rsidRDefault="00064259" w:rsidP="00064259">
      <w:pPr>
        <w:pStyle w:val="Default"/>
        <w:jc w:val="both"/>
        <w:rPr>
          <w:sz w:val="22"/>
          <w:szCs w:val="22"/>
          <w:u w:val="single"/>
        </w:rPr>
      </w:pPr>
    </w:p>
    <w:sectPr w:rsidR="00064259" w:rsidRPr="006313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1BAA5" w14:textId="77777777" w:rsidR="00C35F54" w:rsidRDefault="00C35F54" w:rsidP="005A1FA5">
      <w:pPr>
        <w:spacing w:after="0" w:line="240" w:lineRule="auto"/>
      </w:pPr>
      <w:r>
        <w:separator/>
      </w:r>
    </w:p>
  </w:endnote>
  <w:endnote w:type="continuationSeparator" w:id="0">
    <w:p w14:paraId="6DA3511C" w14:textId="77777777" w:rsidR="00C35F54" w:rsidRDefault="00C35F54" w:rsidP="005A1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4F12F" w14:textId="77777777" w:rsidR="00C35F54" w:rsidRDefault="00C35F54" w:rsidP="005A1FA5">
      <w:pPr>
        <w:spacing w:after="0" w:line="240" w:lineRule="auto"/>
      </w:pPr>
      <w:r>
        <w:separator/>
      </w:r>
    </w:p>
  </w:footnote>
  <w:footnote w:type="continuationSeparator" w:id="0">
    <w:p w14:paraId="11FD8C31" w14:textId="77777777" w:rsidR="00C35F54" w:rsidRDefault="00C35F54" w:rsidP="005A1FA5">
      <w:pPr>
        <w:spacing w:after="0" w:line="240" w:lineRule="auto"/>
      </w:pPr>
      <w:r>
        <w:continuationSeparator/>
      </w:r>
    </w:p>
  </w:footnote>
  <w:footnote w:id="1">
    <w:p w14:paraId="0487D929"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Human Rights Committee, General Comment No. 18: Non-discrimination, 1989, Para 12.</w:t>
      </w:r>
    </w:p>
  </w:footnote>
  <w:footnote w:id="2">
    <w:p w14:paraId="0FEF44A5" w14:textId="2D3C2612"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r w:rsidRPr="00E66428">
        <w:rPr>
          <w:rFonts w:ascii="Cambria" w:hAnsi="Cambria"/>
          <w:i/>
          <w:iCs/>
        </w:rPr>
        <w:t>Ibid.</w:t>
      </w:r>
    </w:p>
  </w:footnote>
  <w:footnote w:id="3">
    <w:p w14:paraId="7AC8EB28" w14:textId="66568A49"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Declaration of Principles on Equality, The Equal Rights Trust, London, 2008. </w:t>
      </w:r>
    </w:p>
  </w:footnote>
  <w:footnote w:id="4">
    <w:p w14:paraId="3A2E3156" w14:textId="44F7D50E"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rPr>
        <w:t>Naz</w:t>
      </w:r>
      <w:proofErr w:type="spellEnd"/>
      <w:r w:rsidRPr="00E66428">
        <w:rPr>
          <w:rFonts w:ascii="Cambria" w:hAnsi="Cambria"/>
        </w:rPr>
        <w:t xml:space="preserve"> Foundation v. Government of NCT of Delhi and Others WP(C) No.7455/2001, Para. 93.</w:t>
      </w:r>
    </w:p>
  </w:footnote>
  <w:footnote w:id="5">
    <w:p w14:paraId="1B3BC3A7"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1, para. 12. </w:t>
      </w:r>
    </w:p>
  </w:footnote>
  <w:footnote w:id="6">
    <w:p w14:paraId="5ECD9304"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 Principle 8, p. 8.</w:t>
      </w:r>
    </w:p>
  </w:footnote>
  <w:footnote w:id="7">
    <w:p w14:paraId="0F8DE6E2"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 Principles 5 and 13; Committee on Economic, Social and Cultural Rights, </w:t>
      </w:r>
      <w:r w:rsidRPr="00E66428">
        <w:rPr>
          <w:rFonts w:ascii="Cambria" w:hAnsi="Cambria"/>
          <w:i/>
        </w:rPr>
        <w:t>General Comment No. 20: Non-discrimination in economic, social and cultural rights (art. 2, para. 2, of the International Covenant on Economic, Social and Cultural Rights)</w:t>
      </w:r>
      <w:r w:rsidRPr="00E66428">
        <w:rPr>
          <w:rFonts w:ascii="Cambria" w:hAnsi="Cambria"/>
        </w:rPr>
        <w:t xml:space="preserve">, UN Doc. E/C.12/GC/20, 2009, Paras 7, 10 and 28; Committee on the Rights of Persons with Disabilities, </w:t>
      </w:r>
      <w:r w:rsidRPr="00E66428">
        <w:rPr>
          <w:rFonts w:ascii="Cambria" w:hAnsi="Cambria"/>
          <w:i/>
          <w:iCs/>
        </w:rPr>
        <w:t>General Comment on equality and non-discrimination</w:t>
      </w:r>
      <w:r w:rsidRPr="00E66428">
        <w:rPr>
          <w:rFonts w:ascii="Cambria" w:hAnsi="Cambria"/>
        </w:rPr>
        <w:t>, 26 April 2018, CRPD/C/GC/6.</w:t>
      </w:r>
    </w:p>
  </w:footnote>
  <w:footnote w:id="8">
    <w:p w14:paraId="51DF2B31" w14:textId="77777777" w:rsidR="00510968" w:rsidRPr="00E66428" w:rsidRDefault="00510968" w:rsidP="00E66428">
      <w:pPr>
        <w:pStyle w:val="FootnoteText"/>
        <w:spacing w:line="240" w:lineRule="auto"/>
        <w:rPr>
          <w:rFonts w:ascii="Cambria" w:hAnsi="Cambria"/>
          <w:color w:val="FF0000"/>
        </w:rPr>
      </w:pPr>
      <w:r w:rsidRPr="00E66428">
        <w:rPr>
          <w:rStyle w:val="FootnoteReference"/>
          <w:rFonts w:ascii="Cambria" w:hAnsi="Cambria"/>
        </w:rPr>
        <w:footnoteRef/>
      </w:r>
      <w:r w:rsidRPr="00E66428">
        <w:rPr>
          <w:rFonts w:ascii="Cambria" w:hAnsi="Cambria"/>
        </w:rPr>
        <w:t xml:space="preserve"> </w:t>
      </w:r>
      <w:bookmarkStart w:id="1" w:name="_Hlk18059162"/>
      <w:r w:rsidRPr="00E66428">
        <w:rPr>
          <w:rFonts w:ascii="Cambria" w:hAnsi="Cambria"/>
        </w:rPr>
        <w:t xml:space="preserve">See above, note 7, Committee on Economic, Social and Cultural Rights, Para 10; see above note 2, Principle 5. </w:t>
      </w:r>
      <w:bookmarkEnd w:id="1"/>
    </w:p>
  </w:footnote>
  <w:footnote w:id="9">
    <w:p w14:paraId="7988CE64" w14:textId="77777777" w:rsidR="00510968" w:rsidRPr="00E66428" w:rsidRDefault="00510968" w:rsidP="00E66428">
      <w:pPr>
        <w:pStyle w:val="FootnoteText"/>
        <w:spacing w:line="240" w:lineRule="auto"/>
        <w:rPr>
          <w:rFonts w:ascii="Cambria" w:hAnsi="Cambria"/>
          <w:i/>
          <w:iCs/>
          <w:color w:val="FF0000"/>
        </w:rPr>
      </w:pPr>
      <w:r w:rsidRPr="00E66428">
        <w:rPr>
          <w:rStyle w:val="FootnoteReference"/>
          <w:rFonts w:ascii="Cambria" w:hAnsi="Cambria"/>
        </w:rPr>
        <w:footnoteRef/>
      </w:r>
      <w:r w:rsidRPr="00E66428">
        <w:rPr>
          <w:rFonts w:ascii="Cambria" w:hAnsi="Cambria"/>
        </w:rPr>
        <w:t xml:space="preserve"> Committee on the Rights of Persons with Disabilities, </w:t>
      </w:r>
      <w:r w:rsidRPr="00E66428">
        <w:rPr>
          <w:rFonts w:ascii="Cambria" w:hAnsi="Cambria"/>
          <w:i/>
          <w:iCs/>
        </w:rPr>
        <w:t>General Comment No. 6 (2018) on Equality and Non-Discrimination</w:t>
      </w:r>
      <w:r w:rsidRPr="00E66428">
        <w:rPr>
          <w:rFonts w:ascii="Cambria" w:hAnsi="Cambria"/>
        </w:rPr>
        <w:t xml:space="preserve">, UN Doc. CRPD/C/GC/6, para. 18; see above note 2, Principle 5. </w:t>
      </w:r>
      <w:r w:rsidRPr="00E66428">
        <w:rPr>
          <w:rFonts w:ascii="Cambria" w:hAnsi="Cambria"/>
          <w:i/>
          <w:iCs/>
        </w:rPr>
        <w:t xml:space="preserve"> </w:t>
      </w:r>
    </w:p>
  </w:footnote>
  <w:footnote w:id="10">
    <w:p w14:paraId="1062B922" w14:textId="77777777" w:rsidR="00510968" w:rsidRPr="00E66428" w:rsidRDefault="00510968" w:rsidP="00E66428">
      <w:pPr>
        <w:pStyle w:val="FootnoteText"/>
        <w:spacing w:line="240" w:lineRule="auto"/>
        <w:rPr>
          <w:rFonts w:ascii="Cambria" w:hAnsi="Cambria"/>
          <w:color w:val="FF0000"/>
        </w:rPr>
      </w:pPr>
      <w:r w:rsidRPr="00E66428">
        <w:rPr>
          <w:rStyle w:val="FootnoteReference"/>
          <w:rFonts w:ascii="Cambria" w:hAnsi="Cambria"/>
        </w:rPr>
        <w:footnoteRef/>
      </w:r>
      <w:r w:rsidRPr="00E66428">
        <w:rPr>
          <w:rFonts w:ascii="Cambria" w:hAnsi="Cambria"/>
        </w:rPr>
        <w:t xml:space="preserve"> </w:t>
      </w:r>
      <w:r w:rsidRPr="00E66428">
        <w:rPr>
          <w:rFonts w:ascii="Cambria" w:hAnsi="Cambria"/>
          <w:i/>
          <w:iCs/>
        </w:rPr>
        <w:t xml:space="preserve">Ibid, </w:t>
      </w:r>
      <w:r w:rsidRPr="00E66428">
        <w:rPr>
          <w:rFonts w:ascii="Cambria" w:hAnsi="Cambria"/>
        </w:rPr>
        <w:t xml:space="preserve">and above note 2, Principle 13. </w:t>
      </w:r>
    </w:p>
  </w:footnote>
  <w:footnote w:id="11">
    <w:p w14:paraId="366508EC" w14:textId="77777777" w:rsidR="00510968" w:rsidRPr="00E66428" w:rsidRDefault="00510968" w:rsidP="00E66428">
      <w:pPr>
        <w:pStyle w:val="FootnoteText"/>
        <w:spacing w:line="240" w:lineRule="auto"/>
        <w:rPr>
          <w:rFonts w:ascii="Cambria" w:hAnsi="Cambria"/>
          <w:color w:val="FF0000"/>
        </w:rPr>
      </w:pPr>
      <w:r w:rsidRPr="00E66428">
        <w:rPr>
          <w:rStyle w:val="FootnoteReference"/>
          <w:rFonts w:ascii="Cambria" w:hAnsi="Cambria"/>
        </w:rPr>
        <w:footnoteRef/>
      </w:r>
      <w:r w:rsidRPr="00E66428">
        <w:rPr>
          <w:rFonts w:ascii="Cambria" w:hAnsi="Cambria"/>
        </w:rPr>
        <w:t xml:space="preserve"> See above, note 7, Committee on Economic, Social and Cultural Rights, Paras 15-35; see above note 2, Principle 5.</w:t>
      </w:r>
    </w:p>
  </w:footnote>
  <w:footnote w:id="12">
    <w:p w14:paraId="5D1408B8"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 Principle 8. </w:t>
      </w:r>
    </w:p>
  </w:footnote>
  <w:footnote w:id="13">
    <w:p w14:paraId="649F6384" w14:textId="77777777" w:rsidR="00510968" w:rsidRPr="00E66428" w:rsidRDefault="00510968" w:rsidP="00E66428">
      <w:pPr>
        <w:pStyle w:val="FootnoteText"/>
        <w:spacing w:line="240" w:lineRule="auto"/>
        <w:rPr>
          <w:rFonts w:ascii="Cambria" w:hAnsi="Cambria"/>
          <w:color w:val="FF0000"/>
        </w:rPr>
      </w:pPr>
      <w:r w:rsidRPr="00E66428">
        <w:rPr>
          <w:rStyle w:val="FootnoteReference"/>
          <w:rFonts w:ascii="Cambria" w:hAnsi="Cambria"/>
        </w:rPr>
        <w:footnoteRef/>
      </w:r>
      <w:r w:rsidRPr="00E66428">
        <w:rPr>
          <w:rFonts w:ascii="Cambria" w:hAnsi="Cambria"/>
        </w:rPr>
        <w:t xml:space="preserve"> </w:t>
      </w:r>
      <w:r w:rsidRPr="00E66428">
        <w:rPr>
          <w:rFonts w:ascii="Cambria" w:hAnsi="Cambria"/>
          <w:i/>
          <w:iCs/>
        </w:rPr>
        <w:t xml:space="preserve">Ibid, </w:t>
      </w:r>
      <w:r w:rsidRPr="00E66428">
        <w:rPr>
          <w:rFonts w:ascii="Cambria" w:hAnsi="Cambria"/>
        </w:rPr>
        <w:t xml:space="preserve">Principles 18 and 21. </w:t>
      </w:r>
    </w:p>
  </w:footnote>
  <w:footnote w:id="14">
    <w:p w14:paraId="51B9B5A4"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7, Committee on Economic, Social and Cultural Rights, Para 9; and above, note 2, Principle 3. </w:t>
      </w:r>
    </w:p>
  </w:footnote>
  <w:footnote w:id="15">
    <w:p w14:paraId="54B5A32A" w14:textId="38E46EBD"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Constitution of the Republic of Cabo Verde, Article 24. </w:t>
      </w:r>
    </w:p>
  </w:footnote>
  <w:footnote w:id="16">
    <w:p w14:paraId="57416DA1"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United Nations Human Rights Committee, </w:t>
      </w:r>
      <w:r w:rsidRPr="00E66428">
        <w:rPr>
          <w:rFonts w:ascii="Cambria" w:hAnsi="Cambria"/>
          <w:i/>
        </w:rPr>
        <w:t>Initial Report submitted by Cabo Verde under article 40 of the Covenant, due in 1994</w:t>
      </w:r>
      <w:r w:rsidRPr="00E66428">
        <w:rPr>
          <w:rFonts w:ascii="Cambria" w:hAnsi="Cambria"/>
        </w:rPr>
        <w:t>, UN Doc. CCPR/C/CPV/1, 9 September 2018, Para 15.</w:t>
      </w:r>
    </w:p>
  </w:footnote>
  <w:footnote w:id="17">
    <w:p w14:paraId="04179E7F"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rPr>
        <w:t>Ibíd</w:t>
      </w:r>
      <w:proofErr w:type="spellEnd"/>
      <w:r w:rsidRPr="00E66428">
        <w:rPr>
          <w:rFonts w:ascii="Cambria" w:hAnsi="Cambria"/>
        </w:rPr>
        <w:t xml:space="preserve">, Paras. 15 and 16. </w:t>
      </w:r>
    </w:p>
  </w:footnote>
  <w:footnote w:id="18">
    <w:p w14:paraId="32C3DF89" w14:textId="033E20E0"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UN International Human Rights Instruments, </w:t>
      </w:r>
      <w:r w:rsidRPr="00E66428">
        <w:rPr>
          <w:rFonts w:ascii="Cambria" w:hAnsi="Cambria"/>
          <w:i/>
        </w:rPr>
        <w:t xml:space="preserve">Common core document forming part of the reports of State Parties: Cabo Verde </w:t>
      </w:r>
      <w:r w:rsidRPr="00E66428">
        <w:rPr>
          <w:rFonts w:ascii="Cambria" w:hAnsi="Cambria"/>
        </w:rPr>
        <w:t xml:space="preserve">HRI/CORE/CPV/2017, 16 November 2017, Paras 227 and 235 respectively. </w:t>
      </w:r>
    </w:p>
  </w:footnote>
  <w:footnote w:id="19">
    <w:p w14:paraId="1F636A75"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16, Para. 17. </w:t>
      </w:r>
    </w:p>
  </w:footnote>
  <w:footnote w:id="20">
    <w:p w14:paraId="43F7BC42" w14:textId="77777777" w:rsidR="00510968" w:rsidRPr="00E66428" w:rsidRDefault="00510968" w:rsidP="00E66428">
      <w:pPr>
        <w:pStyle w:val="FootnoteText"/>
        <w:spacing w:line="240" w:lineRule="auto"/>
        <w:rPr>
          <w:rFonts w:ascii="Cambria" w:eastAsia="Cambria" w:hAnsi="Cambria"/>
        </w:rPr>
      </w:pPr>
      <w:r w:rsidRPr="00E66428">
        <w:rPr>
          <w:rStyle w:val="FootnoteReference"/>
          <w:rFonts w:ascii="Cambria" w:hAnsi="Cambria"/>
        </w:rPr>
        <w:footnoteRef/>
      </w:r>
      <w:r w:rsidRPr="00E66428">
        <w:rPr>
          <w:rFonts w:ascii="Cambria" w:hAnsi="Cambria"/>
        </w:rPr>
        <w:t xml:space="preserve"> For further discussion of the reasons why criminal prohibition of discrimination contradicts international best practice, see Equal Rights Trust, </w:t>
      </w:r>
      <w:r w:rsidRPr="00E66428">
        <w:rPr>
          <w:rFonts w:ascii="Cambria" w:hAnsi="Cambria"/>
          <w:i/>
          <w:iCs/>
        </w:rPr>
        <w:t>A Past Still Present: Addressing Discrimination and Inequality in Egypt</w:t>
      </w:r>
      <w:r w:rsidRPr="00E66428">
        <w:rPr>
          <w:rFonts w:ascii="Cambria" w:hAnsi="Cambria"/>
        </w:rPr>
        <w:t>, 2018, pp. 53-54.</w:t>
      </w:r>
    </w:p>
  </w:footnote>
  <w:footnote w:id="21">
    <w:p w14:paraId="11FDFAD5"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 Principles 18-23.</w:t>
      </w:r>
    </w:p>
  </w:footnote>
  <w:footnote w:id="22">
    <w:p w14:paraId="4108B7EC" w14:textId="55863A8F"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Equal Rights Trust, </w:t>
      </w:r>
      <w:r w:rsidRPr="00E66428">
        <w:rPr>
          <w:rFonts w:ascii="Cambria" w:hAnsi="Cambria"/>
          <w:i/>
          <w:iCs/>
        </w:rPr>
        <w:t xml:space="preserve">Shouting Through the Walls: Discriminatory Torture and Ill-Treatment. Case Studies from Jordan. </w:t>
      </w:r>
      <w:r w:rsidRPr="00E66428">
        <w:rPr>
          <w:rFonts w:ascii="Cambria" w:hAnsi="Cambria"/>
        </w:rPr>
        <w:t xml:space="preserve"> 2017, p. 11, available at: </w:t>
      </w:r>
      <w:hyperlink r:id="rId1" w:history="1">
        <w:r w:rsidRPr="00E66428">
          <w:rPr>
            <w:rStyle w:val="Hyperlink"/>
            <w:rFonts w:ascii="Cambria" w:hAnsi="Cambria"/>
            <w:color w:val="auto"/>
            <w:u w:val="none"/>
          </w:rPr>
          <w:t>https://www.equalrightstrust.org/ertdocumentbank/Jordan%20report_ENG_0.pdf</w:t>
        </w:r>
      </w:hyperlink>
    </w:p>
  </w:footnote>
  <w:footnote w:id="23">
    <w:p w14:paraId="3A427F5B" w14:textId="7777777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Human Rights Council</w:t>
      </w:r>
      <w:r w:rsidRPr="00E66428">
        <w:rPr>
          <w:rFonts w:ascii="Cambria" w:hAnsi="Cambria"/>
          <w:i/>
          <w:iCs/>
        </w:rPr>
        <w:t>, Report of the Special Rapporteur on torture and other cruel, inhuman or degrading treatment or punishment</w:t>
      </w:r>
      <w:r w:rsidRPr="00E66428">
        <w:rPr>
          <w:rFonts w:ascii="Cambria" w:hAnsi="Cambria"/>
        </w:rPr>
        <w:t>, UN Doc. A/HRC/31/57, 5 January 2016, para 6.</w:t>
      </w:r>
    </w:p>
  </w:footnote>
  <w:footnote w:id="24">
    <w:p w14:paraId="28210E42" w14:textId="2A919C63"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22.</w:t>
      </w:r>
    </w:p>
  </w:footnote>
  <w:footnote w:id="25">
    <w:p w14:paraId="10D40D8C" w14:textId="7EC011BA" w:rsidR="00510968" w:rsidRPr="00E66428" w:rsidRDefault="00510968" w:rsidP="00E66428">
      <w:pPr>
        <w:pStyle w:val="FootnoteText"/>
        <w:spacing w:line="240" w:lineRule="auto"/>
        <w:rPr>
          <w:rFonts w:ascii="Cambria" w:hAnsi="Cambria"/>
          <w:i/>
          <w:iCs/>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i/>
          <w:iCs/>
        </w:rPr>
        <w:t>Ibíd</w:t>
      </w:r>
      <w:proofErr w:type="spellEnd"/>
      <w:r w:rsidRPr="00E66428">
        <w:rPr>
          <w:rFonts w:ascii="Cambria" w:hAnsi="Cambria"/>
          <w:i/>
          <w:iCs/>
        </w:rPr>
        <w:t xml:space="preserve">. </w:t>
      </w:r>
    </w:p>
  </w:footnote>
  <w:footnote w:id="26">
    <w:p w14:paraId="1E7C0F04" w14:textId="040A97D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22, p. 18. </w:t>
      </w:r>
    </w:p>
  </w:footnote>
  <w:footnote w:id="27">
    <w:p w14:paraId="1D5B751D" w14:textId="3CF52475"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bookmarkStart w:id="9" w:name="_Hlk20153256"/>
      <w:r w:rsidRPr="00E66428">
        <w:rPr>
          <w:rFonts w:ascii="Cambria" w:hAnsi="Cambria"/>
        </w:rPr>
        <w:t xml:space="preserve">Committee Against Torture, General Comment No. 2: Implementation of article 2 by States parties, UN Doc. CAT/C/GC/2, 2008, Para. 18. </w:t>
      </w:r>
      <w:bookmarkEnd w:id="9"/>
    </w:p>
  </w:footnote>
  <w:footnote w:id="28">
    <w:p w14:paraId="2ED87398" w14:textId="3986AD0B"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22, p. 19. </w:t>
      </w:r>
    </w:p>
  </w:footnote>
  <w:footnote w:id="29">
    <w:p w14:paraId="7B081E04" w14:textId="433A8584"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bookmarkStart w:id="10" w:name="_Hlk20153337"/>
      <w:r w:rsidRPr="00E66428">
        <w:rPr>
          <w:rFonts w:ascii="Cambria" w:hAnsi="Cambria"/>
        </w:rPr>
        <w:t xml:space="preserve">Human Rights Council, Report of the Special Rapporteur on Violence Against Women, its Causes and Consequences, Rashida </w:t>
      </w:r>
      <w:proofErr w:type="spellStart"/>
      <w:r w:rsidRPr="00E66428">
        <w:rPr>
          <w:rFonts w:ascii="Cambria" w:hAnsi="Cambria"/>
        </w:rPr>
        <w:t>Manjoo</w:t>
      </w:r>
      <w:proofErr w:type="spellEnd"/>
      <w:r w:rsidRPr="00E66428">
        <w:rPr>
          <w:rFonts w:ascii="Cambria" w:hAnsi="Cambria"/>
        </w:rPr>
        <w:t>, UN Doc A/HRC/23/49, 14 May 2013</w:t>
      </w:r>
      <w:bookmarkEnd w:id="10"/>
      <w:r w:rsidRPr="00E66428">
        <w:rPr>
          <w:rFonts w:ascii="Cambria" w:hAnsi="Cambria"/>
        </w:rPr>
        <w:t>, Para 70.</w:t>
      </w:r>
    </w:p>
  </w:footnote>
  <w:footnote w:id="30">
    <w:p w14:paraId="567AD7E9" w14:textId="306D0948" w:rsidR="00510968" w:rsidRPr="00E66428" w:rsidRDefault="00510968" w:rsidP="00E66428">
      <w:pPr>
        <w:spacing w:line="240" w:lineRule="auto"/>
        <w:rPr>
          <w:rFonts w:ascii="Cambria" w:eastAsiaTheme="minorHAnsi" w:hAnsi="Cambria"/>
        </w:rPr>
      </w:pPr>
      <w:r w:rsidRPr="00E66428">
        <w:rPr>
          <w:rStyle w:val="FootnoteReference"/>
          <w:rFonts w:ascii="Cambria" w:hAnsi="Cambria"/>
        </w:rPr>
        <w:footnoteRef/>
      </w:r>
      <w:r w:rsidRPr="00E66428">
        <w:rPr>
          <w:rFonts w:ascii="Cambria" w:hAnsi="Cambria"/>
        </w:rPr>
        <w:t xml:space="preserve"> See above, note 16, Para 30.</w:t>
      </w:r>
    </w:p>
  </w:footnote>
  <w:footnote w:id="31">
    <w:p w14:paraId="5C7B394F" w14:textId="77777777" w:rsidR="00510968" w:rsidRPr="00E66428" w:rsidRDefault="00510968" w:rsidP="00E66428">
      <w:pPr>
        <w:pStyle w:val="FootnoteText"/>
        <w:spacing w:line="240" w:lineRule="auto"/>
        <w:rPr>
          <w:rFonts w:ascii="Cambria" w:hAnsi="Cambria" w:cs="Segoe UI"/>
          <w:color w:val="000000"/>
          <w:shd w:val="clear" w:color="auto" w:fill="FFFFFF"/>
        </w:rPr>
      </w:pPr>
      <w:r w:rsidRPr="00E66428">
        <w:rPr>
          <w:rStyle w:val="FootnoteReference"/>
          <w:rFonts w:ascii="Cambria" w:hAnsi="Cambria"/>
        </w:rPr>
        <w:footnoteRef/>
      </w:r>
      <w:r w:rsidRPr="00E66428">
        <w:rPr>
          <w:rFonts w:ascii="Cambria" w:hAnsi="Cambria"/>
        </w:rPr>
        <w:t xml:space="preserve"> </w:t>
      </w:r>
      <w:r w:rsidRPr="00E66428">
        <w:rPr>
          <w:rFonts w:ascii="Cambria" w:hAnsi="Cambria" w:cs="Segoe UI"/>
          <w:color w:val="000000"/>
          <w:shd w:val="clear" w:color="auto" w:fill="FFFFFF"/>
        </w:rPr>
        <w:t xml:space="preserve">Joint report of ACLCGBV, APIMUD, </w:t>
      </w:r>
      <w:proofErr w:type="spellStart"/>
      <w:r w:rsidRPr="00E66428">
        <w:rPr>
          <w:rFonts w:ascii="Cambria" w:hAnsi="Cambria" w:cs="Segoe UI"/>
          <w:color w:val="000000"/>
          <w:shd w:val="clear" w:color="auto" w:fill="FFFFFF"/>
        </w:rPr>
        <w:t>Associação</w:t>
      </w:r>
      <w:proofErr w:type="spellEnd"/>
      <w:r w:rsidRPr="00E66428">
        <w:rPr>
          <w:rFonts w:ascii="Cambria" w:hAnsi="Cambria" w:cs="Segoe UI"/>
          <w:color w:val="000000"/>
          <w:shd w:val="clear" w:color="auto" w:fill="FFFFFF"/>
        </w:rPr>
        <w:t xml:space="preserve"> LGBTI, ATD-CV, MORABI, OMCV, </w:t>
      </w:r>
      <w:r w:rsidRPr="00E66428">
        <w:rPr>
          <w:rFonts w:ascii="Cambria" w:hAnsi="Cambria" w:cs="Segoe UI"/>
          <w:i/>
          <w:iCs/>
          <w:color w:val="000000"/>
          <w:shd w:val="clear" w:color="auto" w:fill="FFFFFF"/>
        </w:rPr>
        <w:t>Shadow report for the 73</w:t>
      </w:r>
      <w:r w:rsidRPr="00E66428">
        <w:rPr>
          <w:rFonts w:ascii="Cambria" w:hAnsi="Cambria" w:cs="Segoe UI"/>
          <w:i/>
          <w:iCs/>
          <w:color w:val="000000"/>
          <w:shd w:val="clear" w:color="auto" w:fill="FFFFFF"/>
          <w:vertAlign w:val="superscript"/>
        </w:rPr>
        <w:t>rd</w:t>
      </w:r>
      <w:r w:rsidRPr="00E66428">
        <w:rPr>
          <w:rFonts w:ascii="Cambria" w:hAnsi="Cambria" w:cs="Segoe UI"/>
          <w:i/>
          <w:iCs/>
          <w:color w:val="000000"/>
          <w:shd w:val="clear" w:color="auto" w:fill="FFFFFF"/>
        </w:rPr>
        <w:t xml:space="preserve"> Session of the Committee on the Elimination of All Forms of Discrimination Against Women on the </w:t>
      </w:r>
      <w:proofErr w:type="spellStart"/>
      <w:r w:rsidRPr="00E66428">
        <w:rPr>
          <w:rFonts w:ascii="Cambria" w:hAnsi="Cambria" w:cs="Segoe UI"/>
          <w:i/>
          <w:iCs/>
          <w:color w:val="000000"/>
          <w:shd w:val="clear" w:color="auto" w:fill="FFFFFF"/>
        </w:rPr>
        <w:t>IXth</w:t>
      </w:r>
      <w:proofErr w:type="spellEnd"/>
      <w:r w:rsidRPr="00E66428">
        <w:rPr>
          <w:rFonts w:ascii="Cambria" w:hAnsi="Cambria" w:cs="Segoe UI"/>
          <w:i/>
          <w:iCs/>
          <w:color w:val="000000"/>
          <w:shd w:val="clear" w:color="auto" w:fill="FFFFFF"/>
        </w:rPr>
        <w:t xml:space="preserve"> Periodic Report of Cabo Verde, </w:t>
      </w:r>
      <w:r w:rsidRPr="00E66428">
        <w:rPr>
          <w:rFonts w:ascii="Cambria" w:hAnsi="Cambria" w:cs="Segoe UI"/>
          <w:color w:val="000000"/>
          <w:shd w:val="clear" w:color="auto" w:fill="FFFFFF"/>
        </w:rPr>
        <w:t xml:space="preserve">June 2019, available at: </w:t>
      </w:r>
      <w:hyperlink r:id="rId2" w:history="1">
        <w:r w:rsidRPr="00E66428">
          <w:rPr>
            <w:rStyle w:val="Hyperlink"/>
            <w:rFonts w:ascii="Cambria" w:hAnsi="Cambria"/>
          </w:rPr>
          <w:t>https://tbinternet.ohchr.org/_layouts/15/treatybodyexternal/Download.aspx?symbolno=INT%2fCEDAW%2fCSS%2fCPV%2f35148&amp;Lang=en</w:t>
        </w:r>
      </w:hyperlink>
    </w:p>
  </w:footnote>
  <w:footnote w:id="32">
    <w:p w14:paraId="0BA5E4D9" w14:textId="0B3A7F4E" w:rsidR="00510968" w:rsidRPr="00E66428" w:rsidRDefault="00510968" w:rsidP="00E66428">
      <w:pPr>
        <w:pStyle w:val="FootnoteText"/>
        <w:spacing w:line="240" w:lineRule="auto"/>
        <w:rPr>
          <w:rFonts w:ascii="Cambria" w:hAnsi="Cambria"/>
          <w:i/>
          <w:iCs/>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i/>
          <w:iCs/>
        </w:rPr>
        <w:t>Ibíd</w:t>
      </w:r>
      <w:proofErr w:type="spellEnd"/>
      <w:r w:rsidRPr="00E66428">
        <w:rPr>
          <w:rFonts w:ascii="Cambria" w:hAnsi="Cambria"/>
          <w:i/>
          <w:iCs/>
        </w:rPr>
        <w:t xml:space="preserve">. </w:t>
      </w:r>
    </w:p>
  </w:footnote>
  <w:footnote w:id="33">
    <w:p w14:paraId="6FBE9325" w14:textId="5BAE98F0"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bookmarkStart w:id="12" w:name="_Hlk20153449"/>
      <w:r w:rsidRPr="00E66428">
        <w:rPr>
          <w:rFonts w:ascii="Cambria" w:hAnsi="Cambria"/>
        </w:rPr>
        <w:t>UNGA, Report of the Special Rapporteur on torture and other cruel, inhuman or degrading treatment or punishment, Juan E. Mendez, UN Doc. A/HRC/22/53, 1 February 2013</w:t>
      </w:r>
      <w:bookmarkEnd w:id="12"/>
      <w:r w:rsidRPr="00E66428">
        <w:rPr>
          <w:rFonts w:ascii="Cambria" w:hAnsi="Cambria"/>
        </w:rPr>
        <w:t>, Para. 32.</w:t>
      </w:r>
    </w:p>
  </w:footnote>
  <w:footnote w:id="34">
    <w:p w14:paraId="51F99EBF" w14:textId="4124FEFB"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22, p. 16. </w:t>
      </w:r>
    </w:p>
  </w:footnote>
  <w:footnote w:id="35">
    <w:p w14:paraId="704BDE06" w14:textId="37C8D278"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23. </w:t>
      </w:r>
    </w:p>
  </w:footnote>
  <w:footnote w:id="36">
    <w:p w14:paraId="2D63AFC8" w14:textId="77777777" w:rsidR="00B94473" w:rsidRPr="00E66428" w:rsidRDefault="00B94473" w:rsidP="00E66428">
      <w:pPr>
        <w:pStyle w:val="FootnoteText"/>
        <w:spacing w:line="240" w:lineRule="auto"/>
        <w:rPr>
          <w:rFonts w:ascii="Cambria" w:hAnsi="Cambria"/>
          <w:lang w:val="es-CO"/>
        </w:rPr>
      </w:pPr>
      <w:r w:rsidRPr="00E66428">
        <w:rPr>
          <w:rStyle w:val="FootnoteReference"/>
          <w:rFonts w:ascii="Cambria" w:hAnsi="Cambria"/>
        </w:rPr>
        <w:footnoteRef/>
      </w:r>
      <w:r w:rsidRPr="00E66428">
        <w:rPr>
          <w:rFonts w:ascii="Cambria" w:hAnsi="Cambria"/>
        </w:rPr>
        <w:t xml:space="preserve"> </w:t>
      </w:r>
      <w:bookmarkStart w:id="13" w:name="_Hlk20153730"/>
      <w:r w:rsidRPr="00E66428">
        <w:rPr>
          <w:rFonts w:ascii="Cambria" w:hAnsi="Cambria"/>
        </w:rPr>
        <w:t xml:space="preserve">Human Rights Committee, General Comment No. 32: Article 14: Right to Equality Before Courts and Tribunals and to a Fair Trial, UN Doc. </w:t>
      </w:r>
      <w:r w:rsidRPr="00E66428">
        <w:rPr>
          <w:rFonts w:ascii="Cambria" w:hAnsi="Cambria"/>
          <w:lang w:val="es-CO"/>
        </w:rPr>
        <w:t>CCPR/C/GC/32, 23 August 2007, Para. 2.</w:t>
      </w:r>
      <w:bookmarkEnd w:id="13"/>
    </w:p>
  </w:footnote>
  <w:footnote w:id="37">
    <w:p w14:paraId="21AF652F" w14:textId="68E4D4A7" w:rsidR="00B94473" w:rsidRPr="00A44ADC" w:rsidRDefault="00B94473" w:rsidP="00E66428">
      <w:pPr>
        <w:pStyle w:val="FootnoteText"/>
        <w:spacing w:line="240" w:lineRule="auto"/>
        <w:rPr>
          <w:rFonts w:ascii="Cambria" w:hAnsi="Cambria"/>
          <w:lang w:val="es-CO"/>
        </w:rPr>
      </w:pPr>
      <w:r w:rsidRPr="00E66428">
        <w:rPr>
          <w:rStyle w:val="FootnoteReference"/>
          <w:rFonts w:ascii="Cambria" w:hAnsi="Cambria"/>
        </w:rPr>
        <w:footnoteRef/>
      </w:r>
      <w:r w:rsidRPr="00A44ADC">
        <w:rPr>
          <w:rFonts w:ascii="Cambria" w:hAnsi="Cambria"/>
          <w:lang w:val="es-CO"/>
        </w:rPr>
        <w:t xml:space="preserve"> </w:t>
      </w:r>
      <w:r w:rsidRPr="00E66428">
        <w:rPr>
          <w:rFonts w:ascii="Cambria" w:hAnsi="Cambria"/>
          <w:i/>
          <w:iCs/>
          <w:lang w:val="es-CO"/>
        </w:rPr>
        <w:t xml:space="preserve">Ibíd., </w:t>
      </w:r>
      <w:r w:rsidRPr="00E66428">
        <w:rPr>
          <w:rFonts w:ascii="Cambria" w:hAnsi="Cambria"/>
          <w:lang w:val="es-CO"/>
        </w:rPr>
        <w:t>Para. 8.</w:t>
      </w:r>
    </w:p>
  </w:footnote>
  <w:footnote w:id="38">
    <w:p w14:paraId="645B53E3" w14:textId="7EF09B85" w:rsidR="00B94473" w:rsidRPr="00E66428" w:rsidRDefault="00B94473" w:rsidP="00E66428">
      <w:pPr>
        <w:pStyle w:val="FootnoteText"/>
        <w:spacing w:line="240" w:lineRule="auto"/>
        <w:rPr>
          <w:rFonts w:ascii="Cambria" w:hAnsi="Cambria"/>
          <w:lang w:val="es-CO"/>
        </w:rPr>
      </w:pPr>
      <w:r w:rsidRPr="00E66428">
        <w:rPr>
          <w:rStyle w:val="FootnoteReference"/>
          <w:rFonts w:ascii="Cambria" w:hAnsi="Cambria"/>
        </w:rPr>
        <w:footnoteRef/>
      </w:r>
      <w:r w:rsidRPr="00E66428">
        <w:rPr>
          <w:rFonts w:ascii="Cambria" w:hAnsi="Cambria"/>
          <w:i/>
          <w:iCs/>
          <w:lang w:val="es-CO"/>
        </w:rPr>
        <w:t xml:space="preserve"> Ibíd.</w:t>
      </w:r>
      <w:r w:rsidRPr="00E66428">
        <w:rPr>
          <w:rFonts w:ascii="Cambria" w:hAnsi="Cambria"/>
          <w:lang w:val="es-CO"/>
        </w:rPr>
        <w:t xml:space="preserve"> </w:t>
      </w:r>
    </w:p>
  </w:footnote>
  <w:footnote w:id="39">
    <w:p w14:paraId="1EAE0934" w14:textId="77777777" w:rsidR="00B94473" w:rsidRPr="00E66428" w:rsidRDefault="00B94473" w:rsidP="00E66428">
      <w:pPr>
        <w:pStyle w:val="FootnoteText"/>
        <w:spacing w:line="240" w:lineRule="auto"/>
        <w:rPr>
          <w:rFonts w:ascii="Cambria" w:hAnsi="Cambria"/>
          <w:lang w:val="es-CO"/>
        </w:rPr>
      </w:pPr>
      <w:r w:rsidRPr="00E66428">
        <w:rPr>
          <w:rStyle w:val="FootnoteReference"/>
          <w:rFonts w:ascii="Cambria" w:hAnsi="Cambria"/>
        </w:rPr>
        <w:footnoteRef/>
      </w:r>
      <w:r w:rsidRPr="00E66428">
        <w:rPr>
          <w:rFonts w:ascii="Cambria" w:hAnsi="Cambria"/>
          <w:lang w:val="es-CO"/>
        </w:rPr>
        <w:t xml:space="preserve"> </w:t>
      </w:r>
      <w:r w:rsidRPr="00E66428">
        <w:rPr>
          <w:rFonts w:ascii="Cambria" w:hAnsi="Cambria"/>
          <w:i/>
          <w:iCs/>
          <w:lang w:val="es-CO"/>
        </w:rPr>
        <w:t xml:space="preserve">Ibíd., </w:t>
      </w:r>
      <w:r w:rsidRPr="00E66428">
        <w:rPr>
          <w:rFonts w:ascii="Cambria" w:hAnsi="Cambria"/>
          <w:lang w:val="es-CO"/>
        </w:rPr>
        <w:t>Para. 10.</w:t>
      </w:r>
    </w:p>
  </w:footnote>
  <w:footnote w:id="40">
    <w:p w14:paraId="15A3CC49" w14:textId="77777777" w:rsidR="00B94473" w:rsidRPr="00E66428" w:rsidRDefault="00B94473" w:rsidP="00E66428">
      <w:pPr>
        <w:pStyle w:val="FootnoteText"/>
        <w:spacing w:line="240" w:lineRule="auto"/>
        <w:rPr>
          <w:rFonts w:ascii="Cambria" w:hAnsi="Cambria"/>
          <w:lang w:val="es-CO"/>
        </w:rPr>
      </w:pPr>
      <w:r w:rsidRPr="00E66428">
        <w:rPr>
          <w:rStyle w:val="FootnoteReference"/>
          <w:rFonts w:ascii="Cambria" w:hAnsi="Cambria"/>
        </w:rPr>
        <w:footnoteRef/>
      </w:r>
      <w:r w:rsidRPr="00E66428">
        <w:rPr>
          <w:rFonts w:ascii="Cambria" w:hAnsi="Cambria"/>
          <w:lang w:val="es-CO"/>
        </w:rPr>
        <w:t xml:space="preserve"> </w:t>
      </w:r>
      <w:r w:rsidRPr="00E66428">
        <w:rPr>
          <w:rFonts w:ascii="Cambria" w:hAnsi="Cambria"/>
          <w:i/>
          <w:iCs/>
          <w:lang w:val="es-CO"/>
        </w:rPr>
        <w:t xml:space="preserve">Ibíd., </w:t>
      </w:r>
      <w:r w:rsidRPr="00E66428">
        <w:rPr>
          <w:rFonts w:ascii="Cambria" w:hAnsi="Cambria"/>
          <w:lang w:val="es-CO"/>
        </w:rPr>
        <w:t>Para. 13.</w:t>
      </w:r>
    </w:p>
  </w:footnote>
  <w:footnote w:id="41">
    <w:p w14:paraId="47E0CF6E" w14:textId="77777777" w:rsidR="00B94473" w:rsidRPr="00A44ADC" w:rsidRDefault="00B94473" w:rsidP="00E66428">
      <w:pPr>
        <w:pStyle w:val="FootnoteText"/>
        <w:spacing w:line="240" w:lineRule="auto"/>
        <w:rPr>
          <w:rFonts w:ascii="Cambria" w:hAnsi="Cambria"/>
          <w:lang w:val="es-CO"/>
        </w:rPr>
      </w:pPr>
      <w:r w:rsidRPr="00E66428">
        <w:rPr>
          <w:rStyle w:val="FootnoteReference"/>
          <w:rFonts w:ascii="Cambria" w:hAnsi="Cambria"/>
        </w:rPr>
        <w:footnoteRef/>
      </w:r>
      <w:r w:rsidRPr="00A44ADC">
        <w:rPr>
          <w:rFonts w:ascii="Cambria" w:hAnsi="Cambria"/>
          <w:lang w:val="es-CO"/>
        </w:rPr>
        <w:t xml:space="preserve"> </w:t>
      </w:r>
      <w:r w:rsidRPr="00A44ADC">
        <w:rPr>
          <w:rFonts w:ascii="Cambria" w:hAnsi="Cambria"/>
          <w:i/>
          <w:iCs/>
          <w:lang w:val="es-CO"/>
        </w:rPr>
        <w:t xml:space="preserve">Ibíd., </w:t>
      </w:r>
      <w:r w:rsidRPr="00A44ADC">
        <w:rPr>
          <w:rFonts w:ascii="Cambria" w:hAnsi="Cambria"/>
          <w:lang w:val="es-CO"/>
        </w:rPr>
        <w:t>Para. 27.</w:t>
      </w:r>
    </w:p>
  </w:footnote>
  <w:footnote w:id="42">
    <w:p w14:paraId="2FB315B9" w14:textId="01260F3B"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A44ADC">
        <w:rPr>
          <w:rFonts w:ascii="Cambria" w:hAnsi="Cambria"/>
          <w:lang w:val="es-CO"/>
        </w:rPr>
        <w:t xml:space="preserve"> </w:t>
      </w:r>
      <w:proofErr w:type="spellStart"/>
      <w:r w:rsidRPr="00A44ADC">
        <w:rPr>
          <w:rFonts w:ascii="Cambria" w:hAnsi="Cambria"/>
          <w:lang w:val="es-CO"/>
        </w:rPr>
        <w:t>See</w:t>
      </w:r>
      <w:proofErr w:type="spellEnd"/>
      <w:r w:rsidRPr="00A44ADC">
        <w:rPr>
          <w:rFonts w:ascii="Cambria" w:hAnsi="Cambria"/>
          <w:lang w:val="es-CO"/>
        </w:rPr>
        <w:t xml:space="preserve"> </w:t>
      </w:r>
      <w:proofErr w:type="spellStart"/>
      <w:r w:rsidRPr="00A44ADC">
        <w:rPr>
          <w:rFonts w:ascii="Cambria" w:hAnsi="Cambria"/>
          <w:lang w:val="es-CO"/>
        </w:rPr>
        <w:t>above</w:t>
      </w:r>
      <w:proofErr w:type="spellEnd"/>
      <w:r w:rsidRPr="00A44ADC">
        <w:rPr>
          <w:rFonts w:ascii="Cambria" w:hAnsi="Cambria"/>
          <w:lang w:val="es-CO"/>
        </w:rPr>
        <w:t xml:space="preserve">, note </w:t>
      </w:r>
      <w:r w:rsidR="00A74137" w:rsidRPr="00A44ADC">
        <w:rPr>
          <w:rFonts w:ascii="Cambria" w:hAnsi="Cambria"/>
          <w:lang w:val="es-CO"/>
        </w:rPr>
        <w:t>16</w:t>
      </w:r>
      <w:r w:rsidRPr="00A44ADC">
        <w:rPr>
          <w:rFonts w:ascii="Cambria" w:hAnsi="Cambria"/>
          <w:lang w:val="es-CO"/>
        </w:rPr>
        <w:t xml:space="preserve">, para. </w:t>
      </w:r>
      <w:r w:rsidRPr="00E66428">
        <w:rPr>
          <w:rFonts w:ascii="Cambria" w:hAnsi="Cambria"/>
        </w:rPr>
        <w:t>142.</w:t>
      </w:r>
    </w:p>
  </w:footnote>
  <w:footnote w:id="43">
    <w:p w14:paraId="6063F790" w14:textId="389BF4B0"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w:t>
      </w:r>
      <w:r w:rsidR="00A74137" w:rsidRPr="00E66428">
        <w:rPr>
          <w:rFonts w:ascii="Cambria" w:hAnsi="Cambria"/>
        </w:rPr>
        <w:t>,</w:t>
      </w:r>
      <w:r w:rsidRPr="00E66428">
        <w:rPr>
          <w:rFonts w:ascii="Cambria" w:hAnsi="Cambria"/>
        </w:rPr>
        <w:t xml:space="preserve"> note 10, para. 69.</w:t>
      </w:r>
    </w:p>
  </w:footnote>
  <w:footnote w:id="44">
    <w:p w14:paraId="011EB243" w14:textId="6366C213"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bookmarkStart w:id="14" w:name="_Hlk20155219"/>
      <w:r w:rsidRPr="00E66428">
        <w:rPr>
          <w:rFonts w:ascii="Cambria" w:hAnsi="Cambria"/>
        </w:rPr>
        <w:t xml:space="preserve">Committee on the Elimination of Discrimination against Women, </w:t>
      </w:r>
      <w:r w:rsidRPr="00E66428">
        <w:rPr>
          <w:rFonts w:ascii="Cambria" w:hAnsi="Cambria"/>
          <w:i/>
          <w:iCs/>
        </w:rPr>
        <w:t>General Recommendation No. 33 on Women’s Access to Justice</w:t>
      </w:r>
      <w:r w:rsidRPr="00E66428">
        <w:rPr>
          <w:rFonts w:ascii="Cambria" w:hAnsi="Cambria"/>
        </w:rPr>
        <w:t>, UN Doc. CEDAW/C/GC/33, 3 August 2015, para 37.</w:t>
      </w:r>
      <w:bookmarkEnd w:id="14"/>
    </w:p>
  </w:footnote>
  <w:footnote w:id="45">
    <w:p w14:paraId="58BEFD80" w14:textId="0D25920C" w:rsidR="00510968" w:rsidRPr="00E66428" w:rsidRDefault="00510968" w:rsidP="00E66428">
      <w:pPr>
        <w:pStyle w:val="FootnoteText"/>
        <w:spacing w:line="240" w:lineRule="auto"/>
        <w:rPr>
          <w:rFonts w:ascii="Cambria" w:hAnsi="Cambria"/>
          <w:i/>
          <w:iCs/>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i/>
          <w:iCs/>
        </w:rPr>
        <w:t>Ibíd</w:t>
      </w:r>
      <w:proofErr w:type="spellEnd"/>
      <w:r w:rsidRPr="00E66428">
        <w:rPr>
          <w:rFonts w:ascii="Cambria" w:hAnsi="Cambria"/>
          <w:i/>
          <w:iCs/>
        </w:rPr>
        <w:t xml:space="preserve">. </w:t>
      </w:r>
    </w:p>
  </w:footnote>
  <w:footnote w:id="46">
    <w:p w14:paraId="17907064" w14:textId="5206E412"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w:t>
      </w:r>
      <w:r w:rsidR="00A74137" w:rsidRPr="00E66428">
        <w:rPr>
          <w:rFonts w:ascii="Cambria" w:hAnsi="Cambria"/>
        </w:rPr>
        <w:t>,</w:t>
      </w:r>
      <w:r w:rsidRPr="00E66428">
        <w:rPr>
          <w:rFonts w:ascii="Cambria" w:hAnsi="Cambria"/>
        </w:rPr>
        <w:t xml:space="preserve"> note </w:t>
      </w:r>
      <w:r w:rsidR="00A74137" w:rsidRPr="00E66428">
        <w:rPr>
          <w:rFonts w:ascii="Cambria" w:hAnsi="Cambria"/>
        </w:rPr>
        <w:t>31</w:t>
      </w:r>
      <w:r w:rsidRPr="00E66428">
        <w:rPr>
          <w:rFonts w:ascii="Cambria" w:hAnsi="Cambria"/>
        </w:rPr>
        <w:t>.</w:t>
      </w:r>
    </w:p>
  </w:footnote>
  <w:footnote w:id="47">
    <w:p w14:paraId="739D4275" w14:textId="53C81B44" w:rsidR="00510968" w:rsidRPr="00E66428" w:rsidRDefault="00510968" w:rsidP="00E66428">
      <w:pPr>
        <w:pStyle w:val="FootnoteText"/>
        <w:spacing w:line="240" w:lineRule="auto"/>
        <w:rPr>
          <w:rFonts w:ascii="Cambria" w:hAnsi="Cambria"/>
          <w:i/>
          <w:iCs/>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i/>
          <w:iCs/>
        </w:rPr>
        <w:t>Ibíd</w:t>
      </w:r>
      <w:proofErr w:type="spellEnd"/>
      <w:r w:rsidRPr="00E66428">
        <w:rPr>
          <w:rFonts w:ascii="Cambria" w:hAnsi="Cambria"/>
          <w:i/>
          <w:iCs/>
        </w:rPr>
        <w:t>.</w:t>
      </w:r>
    </w:p>
  </w:footnote>
  <w:footnote w:id="48">
    <w:p w14:paraId="1AAAEAFC" w14:textId="3EBA0CBD"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w:t>
      </w:r>
      <w:r w:rsidR="00A74137" w:rsidRPr="00E66428">
        <w:rPr>
          <w:rFonts w:ascii="Cambria" w:hAnsi="Cambria"/>
        </w:rPr>
        <w:t>,</w:t>
      </w:r>
      <w:r w:rsidRPr="00E66428">
        <w:rPr>
          <w:rFonts w:ascii="Cambria" w:hAnsi="Cambria"/>
        </w:rPr>
        <w:t xml:space="preserve"> note 16, </w:t>
      </w:r>
      <w:r w:rsidR="00F55757" w:rsidRPr="00E66428">
        <w:rPr>
          <w:rFonts w:ascii="Cambria" w:hAnsi="Cambria"/>
        </w:rPr>
        <w:t>P</w:t>
      </w:r>
      <w:r w:rsidRPr="00E66428">
        <w:rPr>
          <w:rFonts w:ascii="Cambria" w:hAnsi="Cambria"/>
        </w:rPr>
        <w:t xml:space="preserve">ara. 166. </w:t>
      </w:r>
    </w:p>
  </w:footnote>
  <w:footnote w:id="49">
    <w:p w14:paraId="7946AAFF" w14:textId="731746E9" w:rsidR="00510968" w:rsidRPr="00E66428" w:rsidRDefault="00510968" w:rsidP="00E66428">
      <w:pPr>
        <w:pStyle w:val="FootnoteText"/>
        <w:spacing w:line="240" w:lineRule="auto"/>
        <w:rPr>
          <w:rFonts w:ascii="Cambria" w:hAnsi="Cambria"/>
          <w:i/>
          <w:iCs/>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i/>
          <w:iCs/>
        </w:rPr>
        <w:t>Ibíd</w:t>
      </w:r>
      <w:proofErr w:type="spellEnd"/>
      <w:r w:rsidRPr="00E66428">
        <w:rPr>
          <w:rFonts w:ascii="Cambria" w:hAnsi="Cambria"/>
          <w:i/>
          <w:iCs/>
        </w:rPr>
        <w:t>.</w:t>
      </w:r>
    </w:p>
  </w:footnote>
  <w:footnote w:id="50">
    <w:p w14:paraId="507EC83E" w14:textId="77777777" w:rsidR="006313BE" w:rsidRPr="00E66428" w:rsidRDefault="006313BE"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36, Para. 13. </w:t>
      </w:r>
    </w:p>
  </w:footnote>
  <w:footnote w:id="51">
    <w:p w14:paraId="32F0B853" w14:textId="65B9CA29"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16, </w:t>
      </w:r>
      <w:r w:rsidR="00F55757" w:rsidRPr="00E66428">
        <w:rPr>
          <w:rFonts w:ascii="Cambria" w:hAnsi="Cambria"/>
        </w:rPr>
        <w:t>P</w:t>
      </w:r>
      <w:r w:rsidRPr="00E66428">
        <w:rPr>
          <w:rFonts w:ascii="Cambria" w:hAnsi="Cambria"/>
        </w:rPr>
        <w:t xml:space="preserve">aras. 151 and 163. </w:t>
      </w:r>
    </w:p>
  </w:footnote>
  <w:footnote w:id="52">
    <w:p w14:paraId="49F97D76" w14:textId="01CA9DB7"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w:t>
      </w:r>
      <w:proofErr w:type="spellStart"/>
      <w:r w:rsidRPr="00E66428">
        <w:rPr>
          <w:rFonts w:ascii="Cambria" w:hAnsi="Cambria"/>
          <w:i/>
          <w:iCs/>
        </w:rPr>
        <w:t>Ibíd</w:t>
      </w:r>
      <w:proofErr w:type="spellEnd"/>
      <w:r w:rsidRPr="00E66428">
        <w:rPr>
          <w:rFonts w:ascii="Cambria" w:hAnsi="Cambria"/>
          <w:i/>
          <w:iCs/>
        </w:rPr>
        <w:t xml:space="preserve">, </w:t>
      </w:r>
      <w:r w:rsidR="00F55757" w:rsidRPr="00E66428">
        <w:rPr>
          <w:rFonts w:ascii="Cambria" w:hAnsi="Cambria"/>
        </w:rPr>
        <w:t>P</w:t>
      </w:r>
      <w:r w:rsidRPr="00E66428">
        <w:rPr>
          <w:rFonts w:ascii="Cambria" w:hAnsi="Cambria"/>
        </w:rPr>
        <w:t>ara. 151.</w:t>
      </w:r>
    </w:p>
  </w:footnote>
  <w:footnote w:id="53">
    <w:p w14:paraId="6D1B3688" w14:textId="2A4F912A"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1</w:t>
      </w:r>
      <w:r w:rsidR="00F55757" w:rsidRPr="00E66428">
        <w:rPr>
          <w:rFonts w:ascii="Cambria" w:hAnsi="Cambria"/>
        </w:rPr>
        <w:t>6</w:t>
      </w:r>
      <w:r w:rsidRPr="00E66428">
        <w:rPr>
          <w:rFonts w:ascii="Cambria" w:hAnsi="Cambria"/>
        </w:rPr>
        <w:t xml:space="preserve">, </w:t>
      </w:r>
      <w:r w:rsidR="00F55757" w:rsidRPr="00E66428">
        <w:rPr>
          <w:rFonts w:ascii="Cambria" w:hAnsi="Cambria"/>
        </w:rPr>
        <w:t>P</w:t>
      </w:r>
      <w:r w:rsidRPr="00E66428">
        <w:rPr>
          <w:rFonts w:ascii="Cambria" w:hAnsi="Cambria"/>
        </w:rPr>
        <w:t xml:space="preserve">ara. 191. </w:t>
      </w:r>
    </w:p>
  </w:footnote>
  <w:footnote w:id="54">
    <w:p w14:paraId="0581BCE8" w14:textId="71788865"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w:t>
      </w:r>
      <w:r w:rsidR="00F55757" w:rsidRPr="00E66428">
        <w:rPr>
          <w:rFonts w:ascii="Cambria" w:hAnsi="Cambria"/>
        </w:rPr>
        <w:t>,</w:t>
      </w:r>
      <w:r w:rsidRPr="00E66428">
        <w:rPr>
          <w:rFonts w:ascii="Cambria" w:hAnsi="Cambria"/>
        </w:rPr>
        <w:t xml:space="preserve"> note 1, </w:t>
      </w:r>
      <w:r w:rsidR="00F55757" w:rsidRPr="00E66428">
        <w:rPr>
          <w:rFonts w:ascii="Cambria" w:hAnsi="Cambria"/>
        </w:rPr>
        <w:t>P</w:t>
      </w:r>
      <w:r w:rsidRPr="00E66428">
        <w:rPr>
          <w:rFonts w:ascii="Cambria" w:hAnsi="Cambria"/>
        </w:rPr>
        <w:t>ara. 12.</w:t>
      </w:r>
    </w:p>
  </w:footnote>
  <w:footnote w:id="55">
    <w:p w14:paraId="5D640404" w14:textId="02FAFAEA" w:rsidR="00510968" w:rsidRPr="00A44ADC" w:rsidRDefault="00510968" w:rsidP="00E66428">
      <w:pPr>
        <w:pStyle w:val="FootnoteText"/>
        <w:spacing w:line="240" w:lineRule="auto"/>
        <w:rPr>
          <w:rFonts w:ascii="Cambria" w:hAnsi="Cambria"/>
        </w:rPr>
      </w:pPr>
      <w:r w:rsidRPr="00E66428">
        <w:rPr>
          <w:rStyle w:val="FootnoteReference"/>
          <w:rFonts w:ascii="Cambria" w:hAnsi="Cambria"/>
        </w:rPr>
        <w:footnoteRef/>
      </w:r>
      <w:r w:rsidRPr="00A44ADC">
        <w:rPr>
          <w:rFonts w:ascii="Cambria" w:hAnsi="Cambria"/>
        </w:rPr>
        <w:t xml:space="preserve"> See above</w:t>
      </w:r>
      <w:r w:rsidR="00F55757" w:rsidRPr="00A44ADC">
        <w:rPr>
          <w:rFonts w:ascii="Cambria" w:hAnsi="Cambria"/>
        </w:rPr>
        <w:t>,</w:t>
      </w:r>
      <w:r w:rsidRPr="00A44ADC">
        <w:rPr>
          <w:rFonts w:ascii="Cambria" w:hAnsi="Cambria"/>
        </w:rPr>
        <w:t xml:space="preserve"> note 1</w:t>
      </w:r>
      <w:r w:rsidR="00F55757" w:rsidRPr="00A44ADC">
        <w:rPr>
          <w:rFonts w:ascii="Cambria" w:hAnsi="Cambria"/>
        </w:rPr>
        <w:t xml:space="preserve">6. </w:t>
      </w:r>
    </w:p>
  </w:footnote>
  <w:footnote w:id="56">
    <w:p w14:paraId="27E27F0F" w14:textId="0AB44887" w:rsidR="00510968" w:rsidRPr="00E66428" w:rsidRDefault="00510968" w:rsidP="00E66428">
      <w:pPr>
        <w:pStyle w:val="FootnoteText"/>
        <w:spacing w:line="240" w:lineRule="auto"/>
        <w:rPr>
          <w:rFonts w:ascii="Cambria" w:hAnsi="Cambria"/>
          <w:lang w:val="es-ES"/>
        </w:rPr>
      </w:pPr>
      <w:r w:rsidRPr="00E66428">
        <w:rPr>
          <w:rStyle w:val="FootnoteReference"/>
          <w:rFonts w:ascii="Cambria" w:hAnsi="Cambria"/>
        </w:rPr>
        <w:footnoteRef/>
      </w:r>
      <w:r w:rsidRPr="00E66428">
        <w:rPr>
          <w:rFonts w:ascii="Cambria" w:hAnsi="Cambria"/>
          <w:lang w:val="es-ES"/>
        </w:rPr>
        <w:t xml:space="preserve"> </w:t>
      </w:r>
      <w:proofErr w:type="spellStart"/>
      <w:r w:rsidRPr="00E66428">
        <w:rPr>
          <w:rFonts w:ascii="Cambria" w:hAnsi="Cambria"/>
          <w:lang w:val="es-ES"/>
        </w:rPr>
        <w:t>Universidade</w:t>
      </w:r>
      <w:proofErr w:type="spellEnd"/>
      <w:r w:rsidRPr="00E66428">
        <w:rPr>
          <w:rFonts w:ascii="Cambria" w:hAnsi="Cambria"/>
          <w:lang w:val="es-ES"/>
        </w:rPr>
        <w:t xml:space="preserve"> de Cabo Verde and Centro de </w:t>
      </w:r>
      <w:proofErr w:type="spellStart"/>
      <w:r w:rsidRPr="00E66428">
        <w:rPr>
          <w:rFonts w:ascii="Cambria" w:hAnsi="Cambria"/>
          <w:lang w:val="es-ES"/>
        </w:rPr>
        <w:t>Investigação</w:t>
      </w:r>
      <w:proofErr w:type="spellEnd"/>
      <w:r w:rsidRPr="00E66428">
        <w:rPr>
          <w:rFonts w:ascii="Cambria" w:hAnsi="Cambria"/>
          <w:lang w:val="es-ES"/>
        </w:rPr>
        <w:t xml:space="preserve"> e </w:t>
      </w:r>
      <w:proofErr w:type="spellStart"/>
      <w:r w:rsidRPr="00E66428">
        <w:rPr>
          <w:rFonts w:ascii="Cambria" w:hAnsi="Cambria"/>
          <w:lang w:val="es-ES"/>
        </w:rPr>
        <w:t>Formação</w:t>
      </w:r>
      <w:proofErr w:type="spellEnd"/>
      <w:r w:rsidRPr="00E66428">
        <w:rPr>
          <w:rFonts w:ascii="Cambria" w:hAnsi="Cambria"/>
          <w:lang w:val="es-ES"/>
        </w:rPr>
        <w:t xml:space="preserve"> em Género e </w:t>
      </w:r>
      <w:proofErr w:type="spellStart"/>
      <w:r w:rsidRPr="00E66428">
        <w:rPr>
          <w:rFonts w:ascii="Cambria" w:hAnsi="Cambria"/>
          <w:lang w:val="es-ES"/>
        </w:rPr>
        <w:t>Família</w:t>
      </w:r>
      <w:proofErr w:type="spellEnd"/>
      <w:r w:rsidRPr="00E66428">
        <w:rPr>
          <w:rFonts w:ascii="Cambria" w:hAnsi="Cambria"/>
          <w:lang w:val="es-ES"/>
        </w:rPr>
        <w:t xml:space="preserve">, </w:t>
      </w:r>
      <w:proofErr w:type="spellStart"/>
      <w:r w:rsidRPr="00E66428">
        <w:rPr>
          <w:rFonts w:ascii="Cambria" w:hAnsi="Cambria"/>
          <w:i/>
          <w:lang w:val="es-ES"/>
        </w:rPr>
        <w:t>Estudo</w:t>
      </w:r>
      <w:proofErr w:type="spellEnd"/>
      <w:r w:rsidRPr="00E66428">
        <w:rPr>
          <w:rFonts w:ascii="Cambria" w:hAnsi="Cambria"/>
          <w:i/>
          <w:lang w:val="es-ES"/>
        </w:rPr>
        <w:t xml:space="preserve"> sobre o </w:t>
      </w:r>
      <w:proofErr w:type="spellStart"/>
      <w:r w:rsidRPr="00E66428">
        <w:rPr>
          <w:rFonts w:ascii="Cambria" w:hAnsi="Cambria"/>
          <w:i/>
          <w:lang w:val="es-ES"/>
        </w:rPr>
        <w:t>acesso</w:t>
      </w:r>
      <w:proofErr w:type="spellEnd"/>
      <w:r w:rsidRPr="00E66428">
        <w:rPr>
          <w:rFonts w:ascii="Cambria" w:hAnsi="Cambria"/>
          <w:i/>
          <w:lang w:val="es-ES"/>
        </w:rPr>
        <w:t xml:space="preserve"> </w:t>
      </w:r>
      <w:proofErr w:type="spellStart"/>
      <w:r w:rsidRPr="00E66428">
        <w:rPr>
          <w:rFonts w:ascii="Cambria" w:hAnsi="Cambria"/>
          <w:i/>
          <w:lang w:val="es-ES"/>
        </w:rPr>
        <w:t>aos</w:t>
      </w:r>
      <w:proofErr w:type="spellEnd"/>
      <w:r w:rsidRPr="00E66428">
        <w:rPr>
          <w:rFonts w:ascii="Cambria" w:hAnsi="Cambria"/>
          <w:i/>
          <w:lang w:val="es-ES"/>
        </w:rPr>
        <w:t xml:space="preserve"> cuidados de </w:t>
      </w:r>
      <w:proofErr w:type="spellStart"/>
      <w:r w:rsidRPr="00E66428">
        <w:rPr>
          <w:rFonts w:ascii="Cambria" w:hAnsi="Cambria"/>
          <w:i/>
          <w:lang w:val="es-ES"/>
        </w:rPr>
        <w:t>saúde</w:t>
      </w:r>
      <w:proofErr w:type="spellEnd"/>
      <w:r w:rsidRPr="00E66428">
        <w:rPr>
          <w:rFonts w:ascii="Cambria" w:hAnsi="Cambria"/>
          <w:i/>
          <w:lang w:val="es-ES"/>
        </w:rPr>
        <w:t xml:space="preserve"> </w:t>
      </w:r>
      <w:proofErr w:type="spellStart"/>
      <w:r w:rsidRPr="00E66428">
        <w:rPr>
          <w:rFonts w:ascii="Cambria" w:hAnsi="Cambria"/>
          <w:i/>
          <w:lang w:val="es-ES"/>
        </w:rPr>
        <w:t>reprodutiva</w:t>
      </w:r>
      <w:proofErr w:type="spellEnd"/>
      <w:r w:rsidRPr="00E66428">
        <w:rPr>
          <w:rFonts w:ascii="Cambria" w:hAnsi="Cambria"/>
          <w:i/>
          <w:lang w:val="es-ES"/>
        </w:rPr>
        <w:t xml:space="preserve"> prestados </w:t>
      </w:r>
      <w:proofErr w:type="spellStart"/>
      <w:r w:rsidRPr="00E66428">
        <w:rPr>
          <w:rFonts w:ascii="Cambria" w:hAnsi="Cambria"/>
          <w:i/>
          <w:lang w:val="es-ES"/>
        </w:rPr>
        <w:t>às</w:t>
      </w:r>
      <w:proofErr w:type="spellEnd"/>
      <w:r w:rsidRPr="00E66428">
        <w:rPr>
          <w:rFonts w:ascii="Cambria" w:hAnsi="Cambria"/>
          <w:i/>
          <w:lang w:val="es-ES"/>
        </w:rPr>
        <w:t xml:space="preserve"> </w:t>
      </w:r>
      <w:proofErr w:type="spellStart"/>
      <w:r w:rsidRPr="00E66428">
        <w:rPr>
          <w:rFonts w:ascii="Cambria" w:hAnsi="Cambria"/>
          <w:i/>
          <w:lang w:val="es-ES"/>
        </w:rPr>
        <w:t>mulheres</w:t>
      </w:r>
      <w:proofErr w:type="spellEnd"/>
      <w:r w:rsidRPr="00E66428">
        <w:rPr>
          <w:rFonts w:ascii="Cambria" w:hAnsi="Cambria"/>
          <w:i/>
          <w:lang w:val="es-ES"/>
        </w:rPr>
        <w:t xml:space="preserve"> </w:t>
      </w:r>
      <w:proofErr w:type="spellStart"/>
      <w:r w:rsidRPr="00E66428">
        <w:rPr>
          <w:rFonts w:ascii="Cambria" w:hAnsi="Cambria"/>
          <w:i/>
          <w:lang w:val="es-ES"/>
        </w:rPr>
        <w:t>com</w:t>
      </w:r>
      <w:proofErr w:type="spellEnd"/>
      <w:r w:rsidRPr="00E66428">
        <w:rPr>
          <w:rFonts w:ascii="Cambria" w:hAnsi="Cambria"/>
          <w:i/>
          <w:lang w:val="es-ES"/>
        </w:rPr>
        <w:t xml:space="preserve"> </w:t>
      </w:r>
      <w:proofErr w:type="spellStart"/>
      <w:r w:rsidRPr="00E66428">
        <w:rPr>
          <w:rFonts w:ascii="Cambria" w:hAnsi="Cambria"/>
          <w:i/>
          <w:lang w:val="es-ES"/>
        </w:rPr>
        <w:t>Deficiência</w:t>
      </w:r>
      <w:proofErr w:type="spellEnd"/>
      <w:r w:rsidRPr="00E66428">
        <w:rPr>
          <w:rFonts w:ascii="Cambria" w:hAnsi="Cambria"/>
          <w:i/>
          <w:lang w:val="es-ES"/>
        </w:rPr>
        <w:t xml:space="preserve"> e VIH</w:t>
      </w:r>
      <w:r w:rsidRPr="00E66428">
        <w:rPr>
          <w:rFonts w:ascii="Cambria" w:hAnsi="Cambria"/>
          <w:lang w:val="es-ES"/>
        </w:rPr>
        <w:t xml:space="preserve">, 2017, p. 41. </w:t>
      </w:r>
    </w:p>
    <w:p w14:paraId="414F2654" w14:textId="77777777" w:rsidR="00A4575A" w:rsidRPr="00E66428" w:rsidRDefault="00A4575A" w:rsidP="00E66428">
      <w:pPr>
        <w:pStyle w:val="FootnoteText"/>
        <w:spacing w:line="240" w:lineRule="auto"/>
        <w:rPr>
          <w:rFonts w:ascii="Cambria" w:hAnsi="Cambria"/>
          <w:lang w:val="es-ES"/>
        </w:rPr>
      </w:pPr>
    </w:p>
  </w:footnote>
  <w:footnote w:id="57">
    <w:p w14:paraId="7241F25C" w14:textId="0ABE289F" w:rsidR="00510968" w:rsidRPr="00E66428" w:rsidRDefault="00510968" w:rsidP="00E66428">
      <w:pPr>
        <w:pStyle w:val="FootnoteText"/>
        <w:spacing w:line="240" w:lineRule="auto"/>
        <w:rPr>
          <w:rFonts w:ascii="Cambria" w:hAnsi="Cambria"/>
        </w:rPr>
      </w:pPr>
      <w:r w:rsidRPr="00E66428">
        <w:rPr>
          <w:rStyle w:val="FootnoteReference"/>
          <w:rFonts w:ascii="Cambria" w:hAnsi="Cambria"/>
        </w:rPr>
        <w:footnoteRef/>
      </w:r>
      <w:r w:rsidRPr="00E66428">
        <w:rPr>
          <w:rFonts w:ascii="Cambria" w:hAnsi="Cambria"/>
        </w:rPr>
        <w:t xml:space="preserve"> See above note 16, para. 14.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B3441"/>
    <w:multiLevelType w:val="hybridMultilevel"/>
    <w:tmpl w:val="C024B93E"/>
    <w:lvl w:ilvl="0" w:tplc="7570DA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520F52"/>
    <w:multiLevelType w:val="hybridMultilevel"/>
    <w:tmpl w:val="FBAECBDE"/>
    <w:lvl w:ilvl="0" w:tplc="8C76317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2C30137"/>
    <w:multiLevelType w:val="hybridMultilevel"/>
    <w:tmpl w:val="92F2C258"/>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3" w15:restartNumberingAfterBreak="0">
    <w:nsid w:val="16AB5122"/>
    <w:multiLevelType w:val="hybridMultilevel"/>
    <w:tmpl w:val="DCB802DA"/>
    <w:lvl w:ilvl="0" w:tplc="C346F914">
      <w:start w:val="1"/>
      <w:numFmt w:val="decimal"/>
      <w:lvlText w:val="%1."/>
      <w:lvlJc w:val="left"/>
      <w:pPr>
        <w:ind w:left="567" w:hanging="567"/>
      </w:pPr>
      <w:rPr>
        <w:b w:val="0"/>
        <w:i w:val="0"/>
      </w:rPr>
    </w:lvl>
    <w:lvl w:ilvl="1" w:tplc="08090019">
      <w:start w:val="1"/>
      <w:numFmt w:val="lowerLetter"/>
      <w:lvlText w:val="%2."/>
      <w:lvlJc w:val="left"/>
      <w:pPr>
        <w:ind w:left="1506" w:hanging="360"/>
      </w:pPr>
    </w:lvl>
    <w:lvl w:ilvl="2" w:tplc="3F0CFC5E">
      <w:start w:val="1"/>
      <w:numFmt w:val="lowerLetter"/>
      <w:lvlText w:val="(%3)"/>
      <w:lvlJc w:val="left"/>
      <w:pPr>
        <w:ind w:left="2766" w:hanging="72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4" w15:restartNumberingAfterBreak="0">
    <w:nsid w:val="28423455"/>
    <w:multiLevelType w:val="hybridMultilevel"/>
    <w:tmpl w:val="E9BEB726"/>
    <w:lvl w:ilvl="0" w:tplc="CA2EF3A8">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ED42D6"/>
    <w:multiLevelType w:val="hybridMultilevel"/>
    <w:tmpl w:val="ACC6C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E44851"/>
    <w:multiLevelType w:val="hybridMultilevel"/>
    <w:tmpl w:val="BC6AB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82A66D9"/>
    <w:multiLevelType w:val="hybridMultilevel"/>
    <w:tmpl w:val="E9BEB726"/>
    <w:lvl w:ilvl="0" w:tplc="CA2EF3A8">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280841"/>
    <w:multiLevelType w:val="hybridMultilevel"/>
    <w:tmpl w:val="1B82AD58"/>
    <w:lvl w:ilvl="0" w:tplc="024212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BC1F25"/>
    <w:multiLevelType w:val="hybridMultilevel"/>
    <w:tmpl w:val="E9BEB726"/>
    <w:lvl w:ilvl="0" w:tplc="CA2EF3A8">
      <w:start w:val="1"/>
      <w:numFmt w:val="low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912C91"/>
    <w:multiLevelType w:val="hybridMultilevel"/>
    <w:tmpl w:val="31AC16F2"/>
    <w:lvl w:ilvl="0" w:tplc="AD566EE0">
      <w:start w:val="1"/>
      <w:numFmt w:val="decimal"/>
      <w:lvlText w:val="%1."/>
      <w:lvlJc w:val="left"/>
      <w:pPr>
        <w:ind w:left="567" w:hanging="567"/>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4A63D6"/>
    <w:multiLevelType w:val="hybridMultilevel"/>
    <w:tmpl w:val="C696134C"/>
    <w:lvl w:ilvl="0" w:tplc="68306E7A">
      <w:start w:val="1"/>
      <w:numFmt w:val="decimal"/>
      <w:lvlText w:val="%1."/>
      <w:lvlJc w:val="left"/>
      <w:pPr>
        <w:ind w:left="624" w:hanging="567"/>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55D04EFF"/>
    <w:multiLevelType w:val="hybridMultilevel"/>
    <w:tmpl w:val="FBD6C4D8"/>
    <w:lvl w:ilvl="0" w:tplc="292CD7B6">
      <w:start w:val="1"/>
      <w:numFmt w:val="lowerLetter"/>
      <w:lvlText w:val="%1."/>
      <w:lvlJc w:val="left"/>
      <w:pPr>
        <w:ind w:left="720" w:hanging="360"/>
      </w:pPr>
      <w:rPr>
        <w:rFonts w:hint="default"/>
        <w:color w:val="000000" w:themeColor="text1"/>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596951"/>
    <w:multiLevelType w:val="hybridMultilevel"/>
    <w:tmpl w:val="35A0B7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6"/>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12"/>
  </w:num>
  <w:num w:numId="8">
    <w:abstractNumId w:val="8"/>
  </w:num>
  <w:num w:numId="9">
    <w:abstractNumId w:val="0"/>
  </w:num>
  <w:num w:numId="10">
    <w:abstractNumId w:val="1"/>
  </w:num>
  <w:num w:numId="11">
    <w:abstractNumId w:val="2"/>
  </w:num>
  <w:num w:numId="12">
    <w:abstractNumId w:val="13"/>
  </w:num>
  <w:num w:numId="13">
    <w:abstractNumId w:val="10"/>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FA5"/>
    <w:rsid w:val="0001264A"/>
    <w:rsid w:val="000327C9"/>
    <w:rsid w:val="000332F0"/>
    <w:rsid w:val="0004783D"/>
    <w:rsid w:val="00064259"/>
    <w:rsid w:val="000A7270"/>
    <w:rsid w:val="000C50D2"/>
    <w:rsid w:val="000F639D"/>
    <w:rsid w:val="00102E74"/>
    <w:rsid w:val="0010321E"/>
    <w:rsid w:val="00121390"/>
    <w:rsid w:val="00156729"/>
    <w:rsid w:val="00165286"/>
    <w:rsid w:val="00176996"/>
    <w:rsid w:val="00186B8D"/>
    <w:rsid w:val="00187327"/>
    <w:rsid w:val="001905F9"/>
    <w:rsid w:val="001977B3"/>
    <w:rsid w:val="001C1F5B"/>
    <w:rsid w:val="001C5357"/>
    <w:rsid w:val="0021514D"/>
    <w:rsid w:val="00242809"/>
    <w:rsid w:val="002510EB"/>
    <w:rsid w:val="0026009E"/>
    <w:rsid w:val="00306EE9"/>
    <w:rsid w:val="00345C74"/>
    <w:rsid w:val="003642F6"/>
    <w:rsid w:val="003741DA"/>
    <w:rsid w:val="00392330"/>
    <w:rsid w:val="003A702D"/>
    <w:rsid w:val="003C6213"/>
    <w:rsid w:val="003D1623"/>
    <w:rsid w:val="003E430F"/>
    <w:rsid w:val="004122DD"/>
    <w:rsid w:val="00420889"/>
    <w:rsid w:val="00440E63"/>
    <w:rsid w:val="00452E9E"/>
    <w:rsid w:val="00491955"/>
    <w:rsid w:val="004B722F"/>
    <w:rsid w:val="004D7C16"/>
    <w:rsid w:val="00510968"/>
    <w:rsid w:val="00555B19"/>
    <w:rsid w:val="0057630D"/>
    <w:rsid w:val="00597C44"/>
    <w:rsid w:val="005A1FA5"/>
    <w:rsid w:val="005D2EE8"/>
    <w:rsid w:val="005E5351"/>
    <w:rsid w:val="005F6594"/>
    <w:rsid w:val="00615AAF"/>
    <w:rsid w:val="006313BE"/>
    <w:rsid w:val="006556A7"/>
    <w:rsid w:val="00655875"/>
    <w:rsid w:val="0067110E"/>
    <w:rsid w:val="006737A7"/>
    <w:rsid w:val="0067540E"/>
    <w:rsid w:val="006865EC"/>
    <w:rsid w:val="006C5BE9"/>
    <w:rsid w:val="006D404F"/>
    <w:rsid w:val="006E433B"/>
    <w:rsid w:val="006E4456"/>
    <w:rsid w:val="00715C77"/>
    <w:rsid w:val="00723C2A"/>
    <w:rsid w:val="00743A3B"/>
    <w:rsid w:val="00760642"/>
    <w:rsid w:val="007737B6"/>
    <w:rsid w:val="00780721"/>
    <w:rsid w:val="007A4781"/>
    <w:rsid w:val="007D32EC"/>
    <w:rsid w:val="007D485A"/>
    <w:rsid w:val="008305FF"/>
    <w:rsid w:val="00831BF8"/>
    <w:rsid w:val="008662AB"/>
    <w:rsid w:val="008C1DFA"/>
    <w:rsid w:val="008E2BE5"/>
    <w:rsid w:val="009058E1"/>
    <w:rsid w:val="009234A0"/>
    <w:rsid w:val="0093556B"/>
    <w:rsid w:val="009B14CD"/>
    <w:rsid w:val="009C3514"/>
    <w:rsid w:val="009D01E0"/>
    <w:rsid w:val="009E6D36"/>
    <w:rsid w:val="00A04120"/>
    <w:rsid w:val="00A44ADC"/>
    <w:rsid w:val="00A4575A"/>
    <w:rsid w:val="00A56A7F"/>
    <w:rsid w:val="00A74137"/>
    <w:rsid w:val="00A9165E"/>
    <w:rsid w:val="00AC5431"/>
    <w:rsid w:val="00AE0CB6"/>
    <w:rsid w:val="00B94473"/>
    <w:rsid w:val="00BA63FC"/>
    <w:rsid w:val="00C35F54"/>
    <w:rsid w:val="00C45DD6"/>
    <w:rsid w:val="00C941EC"/>
    <w:rsid w:val="00CB0795"/>
    <w:rsid w:val="00CC492E"/>
    <w:rsid w:val="00CF698E"/>
    <w:rsid w:val="00D13729"/>
    <w:rsid w:val="00D27025"/>
    <w:rsid w:val="00D3566F"/>
    <w:rsid w:val="00D51D9F"/>
    <w:rsid w:val="00D7336B"/>
    <w:rsid w:val="00D8385D"/>
    <w:rsid w:val="00D916D3"/>
    <w:rsid w:val="00DD1AA1"/>
    <w:rsid w:val="00E02074"/>
    <w:rsid w:val="00E11B57"/>
    <w:rsid w:val="00E22EBF"/>
    <w:rsid w:val="00E433B7"/>
    <w:rsid w:val="00E66428"/>
    <w:rsid w:val="00EE0304"/>
    <w:rsid w:val="00F003CB"/>
    <w:rsid w:val="00F55757"/>
    <w:rsid w:val="00F9262F"/>
    <w:rsid w:val="00F96EFC"/>
    <w:rsid w:val="00FC398D"/>
    <w:rsid w:val="00FC751B"/>
    <w:rsid w:val="00FE37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042E6"/>
  <w15:chartTrackingRefBased/>
  <w15:docId w15:val="{335B1D95-8644-4A18-A9BC-E1A4670FE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FA5"/>
    <w:pPr>
      <w:spacing w:after="120" w:line="264" w:lineRule="auto"/>
    </w:pPr>
    <w:rPr>
      <w:rFonts w:ascii="Calibri" w:eastAsia="DengXian" w:hAnsi="Calibri"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A1FA5"/>
    <w:pPr>
      <w:tabs>
        <w:tab w:val="center" w:pos="4703"/>
        <w:tab w:val="right" w:pos="9406"/>
      </w:tabs>
    </w:pPr>
  </w:style>
  <w:style w:type="character" w:customStyle="1" w:styleId="HeaderChar">
    <w:name w:val="Header Char"/>
    <w:basedOn w:val="DefaultParagraphFont"/>
    <w:link w:val="Header"/>
    <w:rsid w:val="005A1FA5"/>
    <w:rPr>
      <w:rFonts w:ascii="Calibri" w:eastAsia="DengXian" w:hAnsi="Calibri" w:cs="Times New Roman"/>
      <w:sz w:val="20"/>
      <w:szCs w:val="20"/>
      <w:lang w:eastAsia="en-GB"/>
    </w:rPr>
  </w:style>
  <w:style w:type="paragraph" w:styleId="ListParagraph">
    <w:name w:val="List Paragraph"/>
    <w:aliases w:val="Superíndice,Fundamentacion,paul2,Fase,BULLET Liste,Premier"/>
    <w:basedOn w:val="Normal"/>
    <w:uiPriority w:val="34"/>
    <w:qFormat/>
    <w:rsid w:val="005A1FA5"/>
    <w:pPr>
      <w:spacing w:after="0" w:line="240" w:lineRule="auto"/>
      <w:ind w:left="567" w:hanging="425"/>
      <w:contextualSpacing/>
    </w:pPr>
    <w:rPr>
      <w:rFonts w:ascii="Cambria" w:eastAsiaTheme="minorHAnsi" w:hAnsi="Cambria" w:cstheme="minorBidi"/>
      <w:sz w:val="22"/>
      <w:szCs w:val="22"/>
      <w:lang w:eastAsia="en-US"/>
    </w:rPr>
  </w:style>
  <w:style w:type="character" w:styleId="CommentReference">
    <w:name w:val="annotation reference"/>
    <w:basedOn w:val="DefaultParagraphFont"/>
    <w:uiPriority w:val="99"/>
    <w:semiHidden/>
    <w:unhideWhenUsed/>
    <w:rsid w:val="005A1FA5"/>
    <w:rPr>
      <w:sz w:val="16"/>
      <w:szCs w:val="16"/>
    </w:rPr>
  </w:style>
  <w:style w:type="paragraph" w:styleId="CommentText">
    <w:name w:val="annotation text"/>
    <w:basedOn w:val="Normal"/>
    <w:link w:val="CommentTextChar"/>
    <w:uiPriority w:val="99"/>
    <w:semiHidden/>
    <w:unhideWhenUsed/>
    <w:rsid w:val="005A1FA5"/>
    <w:pPr>
      <w:spacing w:line="240" w:lineRule="auto"/>
    </w:pPr>
  </w:style>
  <w:style w:type="character" w:customStyle="1" w:styleId="CommentTextChar">
    <w:name w:val="Comment Text Char"/>
    <w:basedOn w:val="DefaultParagraphFont"/>
    <w:link w:val="CommentText"/>
    <w:uiPriority w:val="99"/>
    <w:semiHidden/>
    <w:rsid w:val="005A1FA5"/>
    <w:rPr>
      <w:rFonts w:ascii="Calibri" w:eastAsia="DengXian" w:hAnsi="Calibri"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A1FA5"/>
    <w:rPr>
      <w:b/>
      <w:bCs/>
    </w:rPr>
  </w:style>
  <w:style w:type="character" w:customStyle="1" w:styleId="CommentSubjectChar">
    <w:name w:val="Comment Subject Char"/>
    <w:basedOn w:val="CommentTextChar"/>
    <w:link w:val="CommentSubject"/>
    <w:uiPriority w:val="99"/>
    <w:semiHidden/>
    <w:rsid w:val="005A1FA5"/>
    <w:rPr>
      <w:rFonts w:ascii="Calibri" w:eastAsia="DengXian" w:hAnsi="Calibri" w:cs="Times New Roman"/>
      <w:b/>
      <w:bCs/>
      <w:sz w:val="20"/>
      <w:szCs w:val="20"/>
      <w:lang w:eastAsia="en-GB"/>
    </w:rPr>
  </w:style>
  <w:style w:type="paragraph" w:styleId="BalloonText">
    <w:name w:val="Balloon Text"/>
    <w:basedOn w:val="Normal"/>
    <w:link w:val="BalloonTextChar"/>
    <w:uiPriority w:val="99"/>
    <w:semiHidden/>
    <w:unhideWhenUsed/>
    <w:rsid w:val="005A1F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1FA5"/>
    <w:rPr>
      <w:rFonts w:ascii="Segoe UI" w:eastAsia="DengXian" w:hAnsi="Segoe UI" w:cs="Segoe UI"/>
      <w:sz w:val="18"/>
      <w:szCs w:val="18"/>
      <w:lang w:eastAsia="en-GB"/>
    </w:rPr>
  </w:style>
  <w:style w:type="paragraph" w:styleId="FootnoteText">
    <w:name w:val="footnote text"/>
    <w:aliases w:val="Char,Footnote,Footnote Text Char Char1 Char,Footnote Text Char Char1 Char Char Char,Footnote Text Char Char1 Char1,Footnote Text Char Char2 Char,Footnote Text Char1 Char,Footnote Text Char1 Char Char Char,fn, Car"/>
    <w:basedOn w:val="Normal"/>
    <w:link w:val="FootnoteTextChar"/>
    <w:uiPriority w:val="99"/>
    <w:qFormat/>
    <w:rsid w:val="005A1FA5"/>
  </w:style>
  <w:style w:type="character" w:customStyle="1" w:styleId="FootnoteTextChar">
    <w:name w:val="Footnote Text Char"/>
    <w:aliases w:val="Char Char,Footnote Char,Footnote Text Char Char1 Char Char,Footnote Text Char Char1 Char Char Char Char,Footnote Text Char Char1 Char1 Char,Footnote Text Char Char2 Char Char,Footnote Text Char1 Char Char,fn Char, Car Char"/>
    <w:basedOn w:val="DefaultParagraphFont"/>
    <w:link w:val="FootnoteText"/>
    <w:uiPriority w:val="34"/>
    <w:qFormat/>
    <w:rsid w:val="005A1FA5"/>
    <w:rPr>
      <w:rFonts w:ascii="Calibri" w:eastAsia="DengXian" w:hAnsi="Calibri" w:cs="Times New Roman"/>
      <w:sz w:val="20"/>
      <w:szCs w:val="20"/>
      <w:lang w:eastAsia="en-GB"/>
    </w:rPr>
  </w:style>
  <w:style w:type="character" w:styleId="FootnoteReference">
    <w:name w:val="footnote reference"/>
    <w:aliases w:val="4_G,Times 10 Point, Exposant 3 Point,Footnote symbol,Footnote reference number,Exposant 3 Point,EN Footnote Reference,note TESI,16 Point,Superscript 6 Point,ftref,Rimando nota a piè di pagina1,Footnotes refss,Footnote Refernece,FZ"/>
    <w:link w:val="AppelnotedebasdepageCharCharCharCharCharCharChar"/>
    <w:uiPriority w:val="99"/>
    <w:qFormat/>
    <w:rsid w:val="005A1FA5"/>
    <w:rPr>
      <w:vertAlign w:val="superscript"/>
    </w:rPr>
  </w:style>
  <w:style w:type="paragraph" w:customStyle="1" w:styleId="AppelnotedebasdepageCharCharCharCharCharCharChar">
    <w:name w:val="Appel note de bas de page Char Char Char Char Char Char Char"/>
    <w:basedOn w:val="Normal"/>
    <w:link w:val="FootnoteReference"/>
    <w:uiPriority w:val="99"/>
    <w:rsid w:val="005A1FA5"/>
    <w:pPr>
      <w:jc w:val="both"/>
    </w:pPr>
    <w:rPr>
      <w:rFonts w:asciiTheme="minorHAnsi" w:eastAsiaTheme="minorHAnsi" w:hAnsiTheme="minorHAnsi" w:cstheme="minorBidi"/>
      <w:sz w:val="22"/>
      <w:szCs w:val="22"/>
      <w:vertAlign w:val="superscript"/>
      <w:lang w:eastAsia="en-US"/>
    </w:rPr>
  </w:style>
  <w:style w:type="paragraph" w:customStyle="1" w:styleId="Default">
    <w:name w:val="Default"/>
    <w:rsid w:val="009D01E0"/>
    <w:pPr>
      <w:autoSpaceDE w:val="0"/>
      <w:autoSpaceDN w:val="0"/>
      <w:adjustRightInd w:val="0"/>
      <w:spacing w:after="0" w:line="240" w:lineRule="auto"/>
    </w:pPr>
    <w:rPr>
      <w:rFonts w:ascii="Cambria" w:hAnsi="Cambria" w:cs="Cambria"/>
      <w:color w:val="000000"/>
      <w:sz w:val="24"/>
      <w:szCs w:val="24"/>
    </w:rPr>
  </w:style>
  <w:style w:type="character" w:styleId="Hyperlink">
    <w:name w:val="Hyperlink"/>
    <w:basedOn w:val="DefaultParagraphFont"/>
    <w:uiPriority w:val="99"/>
    <w:unhideWhenUsed/>
    <w:rsid w:val="007737B6"/>
    <w:rPr>
      <w:color w:val="0000FF"/>
      <w:u w:val="single"/>
    </w:rPr>
  </w:style>
  <w:style w:type="character" w:customStyle="1" w:styleId="FootnoteERTChar">
    <w:name w:val="Footnote ERT Char"/>
    <w:link w:val="FootnoteERT"/>
    <w:locked/>
    <w:rsid w:val="001977B3"/>
    <w:rPr>
      <w:rFonts w:ascii="Times New Roman" w:eastAsia="Times New Roman" w:hAnsi="Times New Roman" w:cs="Times New Roman"/>
    </w:rPr>
  </w:style>
  <w:style w:type="paragraph" w:customStyle="1" w:styleId="FootnoteERT">
    <w:name w:val="Footnote ERT"/>
    <w:basedOn w:val="FootnoteText"/>
    <w:link w:val="FootnoteERTChar"/>
    <w:qFormat/>
    <w:rsid w:val="001977B3"/>
    <w:pPr>
      <w:spacing w:after="200" w:line="240" w:lineRule="auto"/>
      <w:jc w:val="both"/>
    </w:pPr>
    <w:rPr>
      <w:rFonts w:ascii="Times New Roman" w:eastAsia="Times New Roman" w:hAnsi="Times New Roman"/>
      <w:sz w:val="22"/>
      <w:szCs w:val="22"/>
      <w:lang w:eastAsia="en-US"/>
    </w:rPr>
  </w:style>
  <w:style w:type="table" w:styleId="TableGrid">
    <w:name w:val="Table Grid"/>
    <w:basedOn w:val="TableNormal"/>
    <w:uiPriority w:val="39"/>
    <w:rsid w:val="006E4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arCar1CarCarCar">
    <w:name w:val="BVI fnr Car Car1 Car Car Car"/>
    <w:aliases w:val="BVI fnr Car Car Car Car1 Car Car Car,BVI fnr Car Car Car Car1 Car1 Car,BVI fnr Car Car Car Car Car Car Car Car Car,BVI fnr Car Car Car Car1 Car Car Car Car Car, BVI fnr Car Car Car Car1 Car Car Car"/>
    <w:basedOn w:val="Normal"/>
    <w:uiPriority w:val="99"/>
    <w:rsid w:val="001C1F5B"/>
    <w:pPr>
      <w:spacing w:after="160" w:line="240" w:lineRule="exact"/>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01660">
      <w:bodyDiv w:val="1"/>
      <w:marLeft w:val="0"/>
      <w:marRight w:val="0"/>
      <w:marTop w:val="0"/>
      <w:marBottom w:val="0"/>
      <w:divBdr>
        <w:top w:val="none" w:sz="0" w:space="0" w:color="auto"/>
        <w:left w:val="none" w:sz="0" w:space="0" w:color="auto"/>
        <w:bottom w:val="none" w:sz="0" w:space="0" w:color="auto"/>
        <w:right w:val="none" w:sz="0" w:space="0" w:color="auto"/>
      </w:divBdr>
    </w:div>
    <w:div w:id="37820802">
      <w:bodyDiv w:val="1"/>
      <w:marLeft w:val="0"/>
      <w:marRight w:val="0"/>
      <w:marTop w:val="0"/>
      <w:marBottom w:val="0"/>
      <w:divBdr>
        <w:top w:val="none" w:sz="0" w:space="0" w:color="auto"/>
        <w:left w:val="none" w:sz="0" w:space="0" w:color="auto"/>
        <w:bottom w:val="none" w:sz="0" w:space="0" w:color="auto"/>
        <w:right w:val="none" w:sz="0" w:space="0" w:color="auto"/>
      </w:divBdr>
    </w:div>
    <w:div w:id="79060664">
      <w:bodyDiv w:val="1"/>
      <w:marLeft w:val="0"/>
      <w:marRight w:val="0"/>
      <w:marTop w:val="0"/>
      <w:marBottom w:val="0"/>
      <w:divBdr>
        <w:top w:val="none" w:sz="0" w:space="0" w:color="auto"/>
        <w:left w:val="none" w:sz="0" w:space="0" w:color="auto"/>
        <w:bottom w:val="none" w:sz="0" w:space="0" w:color="auto"/>
        <w:right w:val="none" w:sz="0" w:space="0" w:color="auto"/>
      </w:divBdr>
    </w:div>
    <w:div w:id="427044136">
      <w:bodyDiv w:val="1"/>
      <w:marLeft w:val="0"/>
      <w:marRight w:val="0"/>
      <w:marTop w:val="0"/>
      <w:marBottom w:val="0"/>
      <w:divBdr>
        <w:top w:val="none" w:sz="0" w:space="0" w:color="auto"/>
        <w:left w:val="none" w:sz="0" w:space="0" w:color="auto"/>
        <w:bottom w:val="none" w:sz="0" w:space="0" w:color="auto"/>
        <w:right w:val="none" w:sz="0" w:space="0" w:color="auto"/>
      </w:divBdr>
    </w:div>
    <w:div w:id="590897056">
      <w:bodyDiv w:val="1"/>
      <w:marLeft w:val="0"/>
      <w:marRight w:val="0"/>
      <w:marTop w:val="0"/>
      <w:marBottom w:val="0"/>
      <w:divBdr>
        <w:top w:val="none" w:sz="0" w:space="0" w:color="auto"/>
        <w:left w:val="none" w:sz="0" w:space="0" w:color="auto"/>
        <w:bottom w:val="none" w:sz="0" w:space="0" w:color="auto"/>
        <w:right w:val="none" w:sz="0" w:space="0" w:color="auto"/>
      </w:divBdr>
    </w:div>
    <w:div w:id="768743652">
      <w:bodyDiv w:val="1"/>
      <w:marLeft w:val="0"/>
      <w:marRight w:val="0"/>
      <w:marTop w:val="0"/>
      <w:marBottom w:val="0"/>
      <w:divBdr>
        <w:top w:val="none" w:sz="0" w:space="0" w:color="auto"/>
        <w:left w:val="none" w:sz="0" w:space="0" w:color="auto"/>
        <w:bottom w:val="none" w:sz="0" w:space="0" w:color="auto"/>
        <w:right w:val="none" w:sz="0" w:space="0" w:color="auto"/>
      </w:divBdr>
    </w:div>
    <w:div w:id="948779347">
      <w:bodyDiv w:val="1"/>
      <w:marLeft w:val="0"/>
      <w:marRight w:val="0"/>
      <w:marTop w:val="0"/>
      <w:marBottom w:val="0"/>
      <w:divBdr>
        <w:top w:val="none" w:sz="0" w:space="0" w:color="auto"/>
        <w:left w:val="none" w:sz="0" w:space="0" w:color="auto"/>
        <w:bottom w:val="none" w:sz="0" w:space="0" w:color="auto"/>
        <w:right w:val="none" w:sz="0" w:space="0" w:color="auto"/>
      </w:divBdr>
    </w:div>
    <w:div w:id="984120339">
      <w:bodyDiv w:val="1"/>
      <w:marLeft w:val="0"/>
      <w:marRight w:val="0"/>
      <w:marTop w:val="0"/>
      <w:marBottom w:val="0"/>
      <w:divBdr>
        <w:top w:val="none" w:sz="0" w:space="0" w:color="auto"/>
        <w:left w:val="none" w:sz="0" w:space="0" w:color="auto"/>
        <w:bottom w:val="none" w:sz="0" w:space="0" w:color="auto"/>
        <w:right w:val="none" w:sz="0" w:space="0" w:color="auto"/>
      </w:divBdr>
    </w:div>
    <w:div w:id="1116021768">
      <w:bodyDiv w:val="1"/>
      <w:marLeft w:val="0"/>
      <w:marRight w:val="0"/>
      <w:marTop w:val="0"/>
      <w:marBottom w:val="0"/>
      <w:divBdr>
        <w:top w:val="none" w:sz="0" w:space="0" w:color="auto"/>
        <w:left w:val="none" w:sz="0" w:space="0" w:color="auto"/>
        <w:bottom w:val="none" w:sz="0" w:space="0" w:color="auto"/>
        <w:right w:val="none" w:sz="0" w:space="0" w:color="auto"/>
      </w:divBdr>
    </w:div>
    <w:div w:id="1746102829">
      <w:bodyDiv w:val="1"/>
      <w:marLeft w:val="0"/>
      <w:marRight w:val="0"/>
      <w:marTop w:val="0"/>
      <w:marBottom w:val="0"/>
      <w:divBdr>
        <w:top w:val="none" w:sz="0" w:space="0" w:color="auto"/>
        <w:left w:val="none" w:sz="0" w:space="0" w:color="auto"/>
        <w:bottom w:val="none" w:sz="0" w:space="0" w:color="auto"/>
        <w:right w:val="none" w:sz="0" w:space="0" w:color="auto"/>
      </w:divBdr>
    </w:div>
    <w:div w:id="193004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0.png"/><Relationship Id="rId10" Type="http://schemas.openxmlformats.org/officeDocument/2006/relationships/image" Target="media/image3.jpe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DAW%2fCSS%2fCPV%2f35148&amp;Lang=en" TargetMode="External"/><Relationship Id="rId1" Type="http://schemas.openxmlformats.org/officeDocument/2006/relationships/hyperlink" Target="https://www.equalrightstrust.org/ertdocumentbank/Jordan%20report_ENG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48F836-3F2E-4F2D-ADFD-097274440F9A}">
  <ds:schemaRefs>
    <ds:schemaRef ds:uri="http://schemas.openxmlformats.org/officeDocument/2006/bibliography"/>
  </ds:schemaRefs>
</ds:datastoreItem>
</file>

<file path=customXml/itemProps2.xml><?xml version="1.0" encoding="utf-8"?>
<ds:datastoreItem xmlns:ds="http://schemas.openxmlformats.org/officeDocument/2006/customXml" ds:itemID="{A9FDFC05-0511-4919-9004-8A3C17FB6BBF}"/>
</file>

<file path=customXml/itemProps3.xml><?xml version="1.0" encoding="utf-8"?>
<ds:datastoreItem xmlns:ds="http://schemas.openxmlformats.org/officeDocument/2006/customXml" ds:itemID="{B6026ADB-4E62-43D8-8523-F2BF3180F6A0}"/>
</file>

<file path=customXml/itemProps4.xml><?xml version="1.0" encoding="utf-8"?>
<ds:datastoreItem xmlns:ds="http://schemas.openxmlformats.org/officeDocument/2006/customXml" ds:itemID="{C620A2FE-EEFC-459F-828C-B80A0E8F3094}"/>
</file>

<file path=docProps/app.xml><?xml version="1.0" encoding="utf-8"?>
<Properties xmlns="http://schemas.openxmlformats.org/officeDocument/2006/extended-properties" xmlns:vt="http://schemas.openxmlformats.org/officeDocument/2006/docPropsVTypes">
  <Template>Normal</Template>
  <TotalTime>1</TotalTime>
  <Pages>13</Pages>
  <Words>5051</Words>
  <Characters>28793</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Savita Narain</dc:creator>
  <cp:keywords/>
  <dc:description/>
  <cp:lastModifiedBy>Savita Narain</cp:lastModifiedBy>
  <cp:revision>2</cp:revision>
  <dcterms:created xsi:type="dcterms:W3CDTF">2019-09-26T09:04:00Z</dcterms:created>
  <dcterms:modified xsi:type="dcterms:W3CDTF">2019-09-26T09:04:00Z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