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52A82" w:rsidRDefault="007D58B8">
      <w:pPr>
        <w:jc w:val="center"/>
        <w:rPr>
          <w:rFonts w:ascii="Calibri" w:eastAsia="Calibri" w:hAnsi="Calibri" w:cs="Calibri"/>
          <w:b/>
          <w:sz w:val="24"/>
          <w:szCs w:val="24"/>
          <w:u w:val="single"/>
        </w:rPr>
      </w:pPr>
      <w:r>
        <w:rPr>
          <w:rFonts w:ascii="Calibri" w:eastAsia="Calibri" w:hAnsi="Calibri" w:cs="Calibri"/>
          <w:b/>
          <w:sz w:val="24"/>
          <w:szCs w:val="24"/>
          <w:u w:val="single"/>
        </w:rPr>
        <w:t xml:space="preserve">International Service for Human </w:t>
      </w:r>
      <w:proofErr w:type="spellStart"/>
      <w:r>
        <w:rPr>
          <w:rFonts w:ascii="Calibri" w:eastAsia="Calibri" w:hAnsi="Calibri" w:cs="Calibri"/>
          <w:b/>
          <w:sz w:val="24"/>
          <w:szCs w:val="24"/>
          <w:u w:val="single"/>
        </w:rPr>
        <w:t>Rights</w:t>
      </w:r>
      <w:proofErr w:type="spellEnd"/>
      <w:r>
        <w:rPr>
          <w:rFonts w:ascii="Calibri" w:eastAsia="Calibri" w:hAnsi="Calibri" w:cs="Calibri"/>
          <w:b/>
          <w:sz w:val="24"/>
          <w:szCs w:val="24"/>
          <w:u w:val="single"/>
        </w:rPr>
        <w:t xml:space="preserve"> et La Vérité pour Adama</w:t>
      </w:r>
    </w:p>
    <w:p w14:paraId="00000002" w14:textId="77777777" w:rsidR="00952A82" w:rsidRDefault="007D58B8">
      <w:pPr>
        <w:jc w:val="center"/>
        <w:rPr>
          <w:rFonts w:ascii="Calibri" w:eastAsia="Calibri" w:hAnsi="Calibri" w:cs="Calibri"/>
          <w:b/>
          <w:sz w:val="24"/>
          <w:szCs w:val="24"/>
          <w:u w:val="single"/>
        </w:rPr>
      </w:pPr>
      <w:r>
        <w:rPr>
          <w:rFonts w:ascii="Calibri" w:eastAsia="Calibri" w:hAnsi="Calibri" w:cs="Calibri"/>
          <w:b/>
          <w:sz w:val="24"/>
          <w:szCs w:val="24"/>
          <w:u w:val="single"/>
        </w:rPr>
        <w:t>Rapport au Comité contre la torture à l’occasion de l’examen de la France</w:t>
      </w:r>
    </w:p>
    <w:p w14:paraId="00000003" w14:textId="77777777" w:rsidR="00952A82" w:rsidRDefault="007D58B8">
      <w:pPr>
        <w:jc w:val="center"/>
        <w:rPr>
          <w:rFonts w:ascii="Calibri" w:eastAsia="Calibri" w:hAnsi="Calibri" w:cs="Calibri"/>
          <w:b/>
          <w:sz w:val="24"/>
          <w:szCs w:val="24"/>
          <w:u w:val="single"/>
        </w:rPr>
      </w:pPr>
      <w:r>
        <w:rPr>
          <w:rFonts w:ascii="Calibri" w:eastAsia="Calibri" w:hAnsi="Calibri" w:cs="Calibri"/>
          <w:b/>
          <w:sz w:val="24"/>
          <w:szCs w:val="24"/>
          <w:u w:val="single"/>
        </w:rPr>
        <w:t xml:space="preserve"> 82ème session</w:t>
      </w:r>
    </w:p>
    <w:p w14:paraId="00000004" w14:textId="77777777" w:rsidR="00952A82" w:rsidRDefault="00952A82">
      <w:pPr>
        <w:jc w:val="both"/>
        <w:rPr>
          <w:rFonts w:ascii="Calibri" w:eastAsia="Calibri" w:hAnsi="Calibri" w:cs="Calibri"/>
          <w:sz w:val="24"/>
          <w:szCs w:val="24"/>
        </w:rPr>
      </w:pPr>
    </w:p>
    <w:p w14:paraId="00000005" w14:textId="77777777" w:rsidR="00952A82" w:rsidRDefault="007D58B8">
      <w:pPr>
        <w:jc w:val="both"/>
        <w:rPr>
          <w:rFonts w:ascii="Calibri" w:eastAsia="Calibri" w:hAnsi="Calibri" w:cs="Calibri"/>
          <w:sz w:val="24"/>
          <w:szCs w:val="24"/>
        </w:rPr>
      </w:pPr>
      <w:r>
        <w:rPr>
          <w:rFonts w:ascii="Calibri" w:eastAsia="Calibri" w:hAnsi="Calibri" w:cs="Calibri"/>
          <w:sz w:val="24"/>
          <w:szCs w:val="24"/>
        </w:rPr>
        <w:t xml:space="preserve">Cette contribution entend attirer l’attention du Comité contre la torture (CAT) sur le cas d’un jeune homme français d’ascendance africaine, </w:t>
      </w:r>
      <w:r>
        <w:rPr>
          <w:rFonts w:ascii="Calibri" w:eastAsia="Calibri" w:hAnsi="Calibri" w:cs="Calibri"/>
          <w:b/>
          <w:sz w:val="24"/>
          <w:szCs w:val="24"/>
        </w:rPr>
        <w:t>Adama Traoré</w:t>
      </w:r>
      <w:r>
        <w:rPr>
          <w:rFonts w:ascii="Calibri" w:eastAsia="Calibri" w:hAnsi="Calibri" w:cs="Calibri"/>
          <w:sz w:val="24"/>
          <w:szCs w:val="24"/>
        </w:rPr>
        <w:t xml:space="preserve">, victime de violences policières ayant entraîné sa mort le 19 juillet 2016. L’affaire de M. Traoré s’est soldée par une décision de non-lieu, malgré l’établissement du lien de causalité entre son décès et l’intervention des forces de l’ordre. Ces violences mortelles s’inscrivent dans un contexte bien précis, celui de l’usage excessif de la force à l’encontre de personnes issues de minorités afro-descendantes, celui de l’impunité des forces de l’ordre, en bref, un contexte dans lequel les pratiques racistes sont systémiques et trop souvent balayées d’un revers de main. Le cas de M. Traoré met en lumière la pratique de traitements cruels et inhumains qui contreviennent aux principes de la Convention. </w:t>
      </w:r>
    </w:p>
    <w:p w14:paraId="00000006" w14:textId="77777777" w:rsidR="00952A82" w:rsidRDefault="00952A82">
      <w:pPr>
        <w:jc w:val="both"/>
        <w:rPr>
          <w:rFonts w:ascii="Calibri" w:eastAsia="Calibri" w:hAnsi="Calibri" w:cs="Calibri"/>
          <w:sz w:val="24"/>
          <w:szCs w:val="24"/>
        </w:rPr>
      </w:pPr>
    </w:p>
    <w:p w14:paraId="00000007" w14:textId="77777777" w:rsidR="00952A82" w:rsidRDefault="007D58B8">
      <w:pPr>
        <w:jc w:val="both"/>
        <w:rPr>
          <w:rFonts w:ascii="Calibri" w:eastAsia="Calibri" w:hAnsi="Calibri" w:cs="Calibri"/>
          <w:sz w:val="24"/>
          <w:szCs w:val="24"/>
        </w:rPr>
      </w:pPr>
      <w:r>
        <w:rPr>
          <w:rFonts w:ascii="Calibri" w:eastAsia="Calibri" w:hAnsi="Calibri" w:cs="Calibri"/>
          <w:sz w:val="24"/>
          <w:szCs w:val="24"/>
        </w:rPr>
        <w:t xml:space="preserve">L’histoire d’Adama Traoré illustre parfaitement les manquements dont fait preuve l’Etat français en vertu des obligations qui lui incombent en matière de protection contre la torture, les traitements cruels, inhumains ou dégradants. </w:t>
      </w:r>
    </w:p>
    <w:p w14:paraId="00000008" w14:textId="77777777" w:rsidR="00952A82" w:rsidRDefault="00952A82">
      <w:pPr>
        <w:jc w:val="both"/>
        <w:rPr>
          <w:rFonts w:ascii="Calibri" w:eastAsia="Calibri" w:hAnsi="Calibri" w:cs="Calibri"/>
          <w:sz w:val="24"/>
          <w:szCs w:val="24"/>
        </w:rPr>
      </w:pPr>
    </w:p>
    <w:p w14:paraId="00000009" w14:textId="77777777" w:rsidR="00952A82" w:rsidRDefault="007D58B8">
      <w:pPr>
        <w:jc w:val="both"/>
        <w:rPr>
          <w:rFonts w:ascii="Calibri" w:eastAsia="Calibri" w:hAnsi="Calibri" w:cs="Calibri"/>
          <w:sz w:val="24"/>
          <w:szCs w:val="24"/>
        </w:rPr>
      </w:pPr>
      <w:r>
        <w:rPr>
          <w:rFonts w:ascii="Calibri" w:eastAsia="Calibri" w:hAnsi="Calibri" w:cs="Calibri"/>
          <w:sz w:val="24"/>
          <w:szCs w:val="24"/>
        </w:rPr>
        <w:t xml:space="preserve">Les faits se sont déroulés le 19 juillet 2016. Alors qu'Adama est dans la rue accompagné de son frère </w:t>
      </w:r>
      <w:proofErr w:type="spellStart"/>
      <w:r>
        <w:rPr>
          <w:rFonts w:ascii="Calibri" w:eastAsia="Calibri" w:hAnsi="Calibri" w:cs="Calibri"/>
          <w:sz w:val="24"/>
          <w:szCs w:val="24"/>
        </w:rPr>
        <w:t>Bagui</w:t>
      </w:r>
      <w:proofErr w:type="spellEnd"/>
      <w:r>
        <w:rPr>
          <w:rFonts w:ascii="Calibri" w:eastAsia="Calibri" w:hAnsi="Calibri" w:cs="Calibri"/>
          <w:sz w:val="24"/>
          <w:szCs w:val="24"/>
        </w:rPr>
        <w:t xml:space="preserve">, il est témoin de l'interpellation de ce dernier par la gendarmerie. Ne souhaitant pas se retrouver impliqué dans une garde à vue pour des faits qui ne le concernent pas, Adama </w:t>
      </w:r>
      <w:proofErr w:type="gramStart"/>
      <w:r>
        <w:rPr>
          <w:rFonts w:ascii="Calibri" w:eastAsia="Calibri" w:hAnsi="Calibri" w:cs="Calibri"/>
          <w:sz w:val="24"/>
          <w:szCs w:val="24"/>
        </w:rPr>
        <w:t>fait</w:t>
      </w:r>
      <w:proofErr w:type="gramEnd"/>
      <w:r>
        <w:rPr>
          <w:rFonts w:ascii="Calibri" w:eastAsia="Calibri" w:hAnsi="Calibri" w:cs="Calibri"/>
          <w:sz w:val="24"/>
          <w:szCs w:val="24"/>
        </w:rPr>
        <w:t xml:space="preserve"> demi-tour. Le voyant courir, les gendarmes prennent en chasse le jeune homme. Un agent des forces de l'ordre, en civil et sans brassard, finit par rattraper le jeune homme et le menotte. Un passant a cru qu'Adama était victime d'une agression, car sans uniforme, il était impossible de deviner la fonction du gendarme en question. C’est dans ce contexte que le passant intervient, pensant porter secours à Adama qui, pris de panique, fuit et se réfugie dans un appartement. Trois agents de la gendarmerie finissent par retrouver </w:t>
      </w:r>
      <w:proofErr w:type="spellStart"/>
      <w:r>
        <w:rPr>
          <w:rFonts w:ascii="Calibri" w:eastAsia="Calibri" w:hAnsi="Calibri" w:cs="Calibri"/>
          <w:sz w:val="24"/>
          <w:szCs w:val="24"/>
        </w:rPr>
        <w:t>M.Traoré</w:t>
      </w:r>
      <w:proofErr w:type="spellEnd"/>
      <w:r>
        <w:rPr>
          <w:rFonts w:ascii="Calibri" w:eastAsia="Calibri" w:hAnsi="Calibri" w:cs="Calibri"/>
          <w:sz w:val="24"/>
          <w:szCs w:val="24"/>
        </w:rPr>
        <w:t xml:space="preserve"> et se mettent à trois, de tout leur poids, sur lui, afin de l’immobiliser et effectuer un plaquage ventral.</w:t>
      </w:r>
    </w:p>
    <w:p w14:paraId="0000000A" w14:textId="77777777" w:rsidR="00952A82" w:rsidRDefault="00952A82">
      <w:pPr>
        <w:jc w:val="both"/>
        <w:rPr>
          <w:rFonts w:ascii="Calibri" w:eastAsia="Calibri" w:hAnsi="Calibri" w:cs="Calibri"/>
          <w:sz w:val="24"/>
          <w:szCs w:val="24"/>
        </w:rPr>
      </w:pPr>
    </w:p>
    <w:p w14:paraId="0000000B" w14:textId="77777777" w:rsidR="00952A82" w:rsidRDefault="007D58B8">
      <w:pPr>
        <w:jc w:val="both"/>
        <w:rPr>
          <w:rFonts w:ascii="Calibri" w:eastAsia="Calibri" w:hAnsi="Calibri" w:cs="Calibri"/>
          <w:sz w:val="24"/>
          <w:szCs w:val="24"/>
        </w:rPr>
      </w:pPr>
      <w:proofErr w:type="gramStart"/>
      <w:r>
        <w:rPr>
          <w:rFonts w:ascii="Calibri" w:eastAsia="Calibri" w:hAnsi="Calibri" w:cs="Calibri"/>
          <w:sz w:val="24"/>
          <w:szCs w:val="24"/>
        </w:rPr>
        <w:t>Suite à</w:t>
      </w:r>
      <w:proofErr w:type="gramEnd"/>
      <w:r>
        <w:rPr>
          <w:rFonts w:ascii="Calibri" w:eastAsia="Calibri" w:hAnsi="Calibri" w:cs="Calibri"/>
          <w:sz w:val="24"/>
          <w:szCs w:val="24"/>
        </w:rPr>
        <w:t xml:space="preserve"> cela, Adama a été transporté en véhicule à la gendarmerie. Il a pourtant, selon les dires des gendarmes, mentionné avoir « des difficultés à respirer ». Il s’est uriné dessus dans la voiture et a eu un moment d’absence. Néanmoins, alors que l’hôpital n’est qu’à quelques minutes de la gendarmerie, les gendarmes décident tout de même de prendre la direction de cette dernière. Adama a été débarqué de la voiture et allongé au sol, dans la cour de gendarmerie, toujours menotté. Les pompiers ont été contactés car Adama était inerte et ses yeux révulsés. Selon le chef des pompiers, il gisait face contre terre et était accusé de simuler un malaise par les gendarmes. C’est finalement dans cette cour de gendarmerie, à même le sol, qu’Adama Traoré, le jour de ses 24 ans, a été déclaré mort. </w:t>
      </w:r>
    </w:p>
    <w:p w14:paraId="0000000C" w14:textId="77777777" w:rsidR="00952A82" w:rsidRDefault="00952A82">
      <w:pPr>
        <w:jc w:val="both"/>
        <w:rPr>
          <w:rFonts w:ascii="Calibri" w:eastAsia="Calibri" w:hAnsi="Calibri" w:cs="Calibri"/>
          <w:sz w:val="24"/>
          <w:szCs w:val="24"/>
        </w:rPr>
      </w:pPr>
    </w:p>
    <w:p w14:paraId="0000000D" w14:textId="77777777" w:rsidR="00952A82" w:rsidRDefault="007D58B8">
      <w:pPr>
        <w:jc w:val="both"/>
        <w:rPr>
          <w:rFonts w:ascii="Calibri" w:eastAsia="Calibri" w:hAnsi="Calibri" w:cs="Calibri"/>
          <w:sz w:val="24"/>
          <w:szCs w:val="24"/>
        </w:rPr>
      </w:pPr>
      <w:r>
        <w:rPr>
          <w:rFonts w:ascii="Calibri" w:eastAsia="Calibri" w:hAnsi="Calibri" w:cs="Calibri"/>
          <w:sz w:val="24"/>
          <w:szCs w:val="24"/>
        </w:rPr>
        <w:lastRenderedPageBreak/>
        <w:t>Après plus de sept ans de procédure, dont un appel à la Chambre de l’instruction, la justice a prononcé un non-lieu en mai 2024, exonérant de toute responsabilité pénale les trois gendarmes mis en cause. En l’absence de toute reconstitution des faits qui aurait pu concourir à la manifestation de la vérité, il a été décrété que si le lien de causalité entre les manœuvres réalisées par les militaires de la gendarmerie et le décès de Monsieur Traore est établi, l'usage de la force, quant à lui, serait proportionné, légitime et nécessaire. Force est de constater que cette décision renforce donc le sentiment d’impunité et d’injustice des victimes de violences policières et racistes en France, et constitue un manquement grave aux obligations de l’État français en vertu de la Convention contre la torture, qui impose de prévenir, enquêter et sanctionner tout recours à la torture ou à des traitements cruels, inhumains ou dégradants.</w:t>
      </w:r>
    </w:p>
    <w:p w14:paraId="0000000E" w14:textId="77777777" w:rsidR="00952A82" w:rsidRDefault="00952A82">
      <w:pPr>
        <w:rPr>
          <w:rFonts w:ascii="Calibri" w:eastAsia="Calibri" w:hAnsi="Calibri" w:cs="Calibri"/>
          <w:sz w:val="24"/>
          <w:szCs w:val="24"/>
        </w:rPr>
      </w:pPr>
    </w:p>
    <w:p w14:paraId="0000000F" w14:textId="77777777" w:rsidR="00952A82" w:rsidRDefault="007D58B8">
      <w:pPr>
        <w:jc w:val="both"/>
        <w:rPr>
          <w:rFonts w:ascii="Calibri" w:eastAsia="Calibri" w:hAnsi="Calibri" w:cs="Calibri"/>
          <w:sz w:val="24"/>
          <w:szCs w:val="24"/>
        </w:rPr>
      </w:pPr>
      <w:r>
        <w:rPr>
          <w:rFonts w:ascii="Calibri" w:eastAsia="Calibri" w:hAnsi="Calibri" w:cs="Calibri"/>
          <w:sz w:val="24"/>
          <w:szCs w:val="24"/>
        </w:rPr>
        <w:t xml:space="preserve">Pour rappel, le CAT s’était alerté d’un certain nombre de points relatifs aux violences policières lors de ses précédentes </w:t>
      </w:r>
      <w:hyperlink r:id="rId8">
        <w:r>
          <w:rPr>
            <w:rFonts w:ascii="Calibri" w:eastAsia="Calibri" w:hAnsi="Calibri" w:cs="Calibri"/>
            <w:color w:val="1155CC"/>
            <w:sz w:val="24"/>
            <w:szCs w:val="24"/>
            <w:u w:val="single"/>
          </w:rPr>
          <w:t>observations finales</w:t>
        </w:r>
      </w:hyperlink>
      <w:r>
        <w:rPr>
          <w:rFonts w:ascii="Calibri" w:eastAsia="Calibri" w:hAnsi="Calibri" w:cs="Calibri"/>
          <w:sz w:val="24"/>
          <w:szCs w:val="24"/>
        </w:rPr>
        <w:t xml:space="preserve">, publiées le 10 juin 2016 soit un quasiment un mois avant la mort de Monsieur Traoré. L’on peut relever en ce sens:“ </w:t>
      </w:r>
      <w:r>
        <w:rPr>
          <w:rFonts w:ascii="Calibri" w:eastAsia="Calibri" w:hAnsi="Calibri" w:cs="Calibri"/>
          <w:i/>
          <w:sz w:val="24"/>
          <w:szCs w:val="24"/>
        </w:rPr>
        <w:t>Le Comité est préoccupé par les allégations d’usage excessif de la force par les fonctionnaires de police et de gendarmerie ayant, dans certains cas, entraîné des blessures graves ou des décès</w:t>
      </w:r>
      <w:r>
        <w:rPr>
          <w:rFonts w:ascii="Calibri" w:eastAsia="Calibri" w:hAnsi="Calibri" w:cs="Calibri"/>
          <w:sz w:val="24"/>
          <w:szCs w:val="24"/>
        </w:rPr>
        <w:t>”</w:t>
      </w:r>
      <w:r>
        <w:rPr>
          <w:rFonts w:ascii="Calibri" w:eastAsia="Calibri" w:hAnsi="Calibri" w:cs="Calibri"/>
          <w:sz w:val="24"/>
          <w:szCs w:val="24"/>
          <w:vertAlign w:val="superscript"/>
        </w:rPr>
        <w:footnoteReference w:id="1"/>
      </w:r>
      <w:r>
        <w:rPr>
          <w:rFonts w:ascii="Calibri" w:eastAsia="Calibri" w:hAnsi="Calibri" w:cs="Calibri"/>
          <w:sz w:val="24"/>
          <w:szCs w:val="24"/>
        </w:rPr>
        <w:t xml:space="preserve"> ainsi que  “</w:t>
      </w:r>
      <w:r>
        <w:rPr>
          <w:rFonts w:ascii="Calibri" w:eastAsia="Calibri" w:hAnsi="Calibri" w:cs="Calibri"/>
          <w:i/>
          <w:sz w:val="24"/>
          <w:szCs w:val="24"/>
        </w:rPr>
        <w:t>Il est également préoccupé par des informations faisant état d’un nombre important de non-lieux et de classements sans suite, de sanctions administratives peu sévères ou non proportionnelles à la gravité des faits et du peu de sanctions judiciaires prononcées contre les fonctionnaires de police et de gendarmerie</w:t>
      </w:r>
      <w:r>
        <w:rPr>
          <w:rFonts w:ascii="Calibri" w:eastAsia="Calibri" w:hAnsi="Calibri" w:cs="Calibri"/>
          <w:sz w:val="24"/>
          <w:szCs w:val="24"/>
        </w:rPr>
        <w:t>.”</w:t>
      </w:r>
      <w:r>
        <w:rPr>
          <w:rFonts w:ascii="Calibri" w:eastAsia="Calibri" w:hAnsi="Calibri" w:cs="Calibri"/>
          <w:sz w:val="24"/>
          <w:szCs w:val="24"/>
          <w:vertAlign w:val="superscript"/>
        </w:rPr>
        <w:footnoteReference w:id="2"/>
      </w:r>
      <w:r>
        <w:rPr>
          <w:rFonts w:ascii="Calibri" w:eastAsia="Calibri" w:hAnsi="Calibri" w:cs="Calibri"/>
          <w:sz w:val="24"/>
          <w:szCs w:val="24"/>
        </w:rPr>
        <w:t xml:space="preserve"> C’est dans ce contexte que les experts ont, entre autres, recommandé à la France de renforcer la lutte contre tout usage excessif de la force par la police et la gendarmerie. Ils lui ont enjoint de veiller à ce que des enquêtes impartiales soient menées afin d’engager des poursuites et, en cas de condamnation d’ordonner des peines proportionnelles à la gravité des faits. </w:t>
      </w:r>
    </w:p>
    <w:p w14:paraId="00000010" w14:textId="77777777" w:rsidR="00952A82" w:rsidRDefault="00952A82">
      <w:pPr>
        <w:jc w:val="both"/>
        <w:rPr>
          <w:rFonts w:ascii="Calibri" w:eastAsia="Calibri" w:hAnsi="Calibri" w:cs="Calibri"/>
          <w:sz w:val="24"/>
          <w:szCs w:val="24"/>
        </w:rPr>
      </w:pPr>
    </w:p>
    <w:p w14:paraId="00000011" w14:textId="77777777" w:rsidR="00952A82" w:rsidRDefault="007D58B8">
      <w:pPr>
        <w:jc w:val="both"/>
        <w:rPr>
          <w:rFonts w:ascii="Calibri" w:eastAsia="Calibri" w:hAnsi="Calibri" w:cs="Calibri"/>
          <w:sz w:val="24"/>
          <w:szCs w:val="24"/>
        </w:rPr>
      </w:pPr>
      <w:r>
        <w:rPr>
          <w:rFonts w:ascii="Calibri" w:eastAsia="Calibri" w:hAnsi="Calibri" w:cs="Calibri"/>
          <w:sz w:val="24"/>
          <w:szCs w:val="24"/>
        </w:rPr>
        <w:t xml:space="preserve">En l’espèce, </w:t>
      </w:r>
      <w:r>
        <w:rPr>
          <w:rFonts w:ascii="Calibri" w:eastAsia="Calibri" w:hAnsi="Calibri" w:cs="Calibri"/>
          <w:b/>
          <w:sz w:val="24"/>
          <w:szCs w:val="24"/>
        </w:rPr>
        <w:t xml:space="preserve">Assa Traoré, </w:t>
      </w:r>
      <w:r>
        <w:rPr>
          <w:rFonts w:ascii="Calibri" w:eastAsia="Calibri" w:hAnsi="Calibri" w:cs="Calibri"/>
          <w:sz w:val="24"/>
          <w:szCs w:val="24"/>
        </w:rPr>
        <w:t>sœur de la victime</w:t>
      </w:r>
      <w:r>
        <w:rPr>
          <w:rFonts w:ascii="Calibri" w:eastAsia="Calibri" w:hAnsi="Calibri" w:cs="Calibri"/>
          <w:b/>
          <w:sz w:val="24"/>
          <w:szCs w:val="24"/>
        </w:rPr>
        <w:t>,</w:t>
      </w:r>
      <w:r>
        <w:rPr>
          <w:rFonts w:ascii="Calibri" w:eastAsia="Calibri" w:hAnsi="Calibri" w:cs="Calibri"/>
          <w:sz w:val="24"/>
          <w:szCs w:val="24"/>
        </w:rPr>
        <w:t xml:space="preserve"> se retrouve face à une décision de non-lieu malgré la reconnaissance du lien de causalité entre la mort d’Adama Traoré et le comportement des gendarmes. Il lui a été refusé d’effectuer dans le cadre de l’enquête une reconstitution des faits, élément qui aurait très largement pu concourir à la manifestation de la vérité afin de jauger si l’usage de la force était effectivement proportionné, nécessaire et légitime, ou bien s’il était excessif.</w:t>
      </w:r>
    </w:p>
    <w:p w14:paraId="00000012" w14:textId="77777777" w:rsidR="00952A82" w:rsidRDefault="00952A82">
      <w:pPr>
        <w:jc w:val="both"/>
        <w:rPr>
          <w:rFonts w:ascii="Calibri" w:eastAsia="Calibri" w:hAnsi="Calibri" w:cs="Calibri"/>
          <w:sz w:val="24"/>
          <w:szCs w:val="24"/>
        </w:rPr>
      </w:pPr>
    </w:p>
    <w:p w14:paraId="00000013" w14:textId="77777777" w:rsidR="00952A82" w:rsidRDefault="007D58B8">
      <w:pPr>
        <w:spacing w:after="160" w:line="279" w:lineRule="auto"/>
        <w:jc w:val="both"/>
        <w:rPr>
          <w:rFonts w:ascii="Calibri" w:eastAsia="Calibri" w:hAnsi="Calibri" w:cs="Calibri"/>
          <w:sz w:val="24"/>
          <w:szCs w:val="24"/>
        </w:rPr>
      </w:pPr>
      <w:r>
        <w:rPr>
          <w:rFonts w:ascii="Calibri" w:eastAsia="Calibri" w:hAnsi="Calibri" w:cs="Calibri"/>
          <w:sz w:val="24"/>
          <w:szCs w:val="24"/>
        </w:rPr>
        <w:lastRenderedPageBreak/>
        <w:t xml:space="preserve">De plus, Mme Traoré continue de subir </w:t>
      </w:r>
      <w:hyperlink r:id="rId9">
        <w:r>
          <w:rPr>
            <w:rFonts w:ascii="Calibri" w:eastAsia="Calibri" w:hAnsi="Calibri" w:cs="Calibri"/>
            <w:color w:val="1155CC"/>
            <w:sz w:val="24"/>
            <w:szCs w:val="24"/>
            <w:u w:val="single"/>
          </w:rPr>
          <w:t>de harcèlement judiciaire</w:t>
        </w:r>
      </w:hyperlink>
      <w:r>
        <w:rPr>
          <w:rFonts w:ascii="Calibri" w:eastAsia="Calibri" w:hAnsi="Calibri" w:cs="Calibri"/>
          <w:sz w:val="24"/>
          <w:szCs w:val="24"/>
          <w:vertAlign w:val="superscript"/>
        </w:rPr>
        <w:footnoteReference w:id="3"/>
      </w:r>
      <w:r>
        <w:rPr>
          <w:rFonts w:ascii="Calibri" w:eastAsia="Calibri" w:hAnsi="Calibri" w:cs="Calibri"/>
          <w:sz w:val="24"/>
          <w:szCs w:val="24"/>
        </w:rPr>
        <w:t xml:space="preserve"> et un </w:t>
      </w:r>
      <w:r>
        <w:rPr>
          <w:rFonts w:ascii="Calibri" w:eastAsia="Calibri" w:hAnsi="Calibri" w:cs="Calibri"/>
          <w:b/>
          <w:sz w:val="24"/>
          <w:szCs w:val="24"/>
        </w:rPr>
        <w:t>harcèlement en ligne incessant</w:t>
      </w:r>
      <w:r>
        <w:rPr>
          <w:rFonts w:ascii="Calibri" w:eastAsia="Calibri" w:hAnsi="Calibri" w:cs="Calibri"/>
          <w:sz w:val="24"/>
          <w:szCs w:val="24"/>
        </w:rPr>
        <w:t xml:space="preserve"> en raison de son combat pour son frère, et ce, malgré les recommandations du CAT</w:t>
      </w:r>
      <w:r>
        <w:rPr>
          <w:rFonts w:ascii="Calibri" w:eastAsia="Calibri" w:hAnsi="Calibri" w:cs="Calibri"/>
          <w:sz w:val="24"/>
          <w:szCs w:val="24"/>
          <w:vertAlign w:val="superscript"/>
        </w:rPr>
        <w:footnoteReference w:id="4"/>
      </w:r>
      <w:r>
        <w:rPr>
          <w:rFonts w:ascii="Calibri" w:eastAsia="Calibri" w:hAnsi="Calibri" w:cs="Calibri"/>
          <w:sz w:val="24"/>
          <w:szCs w:val="24"/>
        </w:rPr>
        <w:t xml:space="preserve"> concernant les représailles.</w:t>
      </w:r>
    </w:p>
    <w:p w14:paraId="00000014" w14:textId="77777777" w:rsidR="00952A82" w:rsidRDefault="007D58B8">
      <w:pPr>
        <w:spacing w:after="160" w:line="279" w:lineRule="auto"/>
        <w:jc w:val="both"/>
        <w:rPr>
          <w:rFonts w:ascii="Calibri" w:eastAsia="Calibri" w:hAnsi="Calibri" w:cs="Calibri"/>
          <w:sz w:val="24"/>
          <w:szCs w:val="24"/>
        </w:rPr>
      </w:pPr>
      <w:r>
        <w:rPr>
          <w:rFonts w:ascii="Calibri" w:eastAsia="Calibri" w:hAnsi="Calibri" w:cs="Calibri"/>
          <w:sz w:val="24"/>
          <w:szCs w:val="24"/>
        </w:rPr>
        <w:t>La problématique des violences policières en France n’est pas une préoccupation isolée. En effet, d’autres mécanismes des Nations unies tels que, l’</w:t>
      </w:r>
      <w:proofErr w:type="spellStart"/>
      <w:r>
        <w:fldChar w:fldCharType="begin"/>
      </w:r>
      <w:r>
        <w:instrText>HYPERLINK "https://www.ohchr.org/en/racism/agenda-towards-transformative-change-racial-justice-and-equality" \h</w:instrText>
      </w:r>
      <w:r>
        <w:fldChar w:fldCharType="separate"/>
      </w:r>
      <w:r>
        <w:rPr>
          <w:rFonts w:ascii="Calibri" w:eastAsia="Calibri" w:hAnsi="Calibri" w:cs="Calibri"/>
          <w:color w:val="1155CC"/>
          <w:sz w:val="24"/>
          <w:szCs w:val="24"/>
          <w:u w:val="single"/>
        </w:rPr>
        <w:t>Haut Commissariat</w:t>
      </w:r>
      <w:proofErr w:type="spellEnd"/>
      <w:r>
        <w:fldChar w:fldCharType="end"/>
      </w:r>
      <w:r>
        <w:rPr>
          <w:rFonts w:ascii="Calibri" w:eastAsia="Calibri" w:hAnsi="Calibri" w:cs="Calibri"/>
          <w:sz w:val="24"/>
          <w:szCs w:val="24"/>
        </w:rPr>
        <w:t>,  le CERD</w:t>
      </w:r>
      <w:r>
        <w:rPr>
          <w:rFonts w:ascii="Calibri" w:eastAsia="Calibri" w:hAnsi="Calibri" w:cs="Calibri"/>
          <w:sz w:val="24"/>
          <w:szCs w:val="24"/>
          <w:vertAlign w:val="superscript"/>
        </w:rPr>
        <w:footnoteReference w:id="5"/>
      </w:r>
      <w:r>
        <w:rPr>
          <w:rFonts w:ascii="Calibri" w:eastAsia="Calibri" w:hAnsi="Calibri" w:cs="Calibri"/>
          <w:sz w:val="24"/>
          <w:szCs w:val="24"/>
        </w:rPr>
        <w:t xml:space="preserve"> et le </w:t>
      </w:r>
      <w:hyperlink r:id="rId10">
        <w:r>
          <w:rPr>
            <w:rFonts w:ascii="Calibri" w:eastAsia="Calibri" w:hAnsi="Calibri" w:cs="Calibri"/>
            <w:color w:val="1155CC"/>
            <w:sz w:val="24"/>
            <w:szCs w:val="24"/>
            <w:u w:val="single"/>
          </w:rPr>
          <w:t>Comité des droits de l’Homme</w:t>
        </w:r>
      </w:hyperlink>
      <w:r>
        <w:rPr>
          <w:rFonts w:ascii="Calibri" w:eastAsia="Calibri" w:hAnsi="Calibri" w:cs="Calibri"/>
          <w:sz w:val="24"/>
          <w:szCs w:val="24"/>
        </w:rPr>
        <w:t xml:space="preserve"> ont également abordé la question et ont formulé diverses recommandations en ce sens. Très récemment, le Comité des droits de l'Homme des Nations Unies a publié ses </w:t>
      </w:r>
      <w:hyperlink r:id="rId11">
        <w:r>
          <w:rPr>
            <w:rFonts w:ascii="Calibri" w:eastAsia="Calibri" w:hAnsi="Calibri" w:cs="Calibri"/>
            <w:color w:val="1155CC"/>
            <w:sz w:val="24"/>
            <w:szCs w:val="24"/>
            <w:u w:val="single"/>
          </w:rPr>
          <w:t>observations finales</w:t>
        </w:r>
      </w:hyperlink>
      <w:r>
        <w:rPr>
          <w:rFonts w:ascii="Calibri" w:eastAsia="Calibri" w:hAnsi="Calibri" w:cs="Calibri"/>
          <w:sz w:val="24"/>
          <w:szCs w:val="24"/>
        </w:rPr>
        <w:t xml:space="preserve"> concernant l'examen périodique de la France et, une fois de plus, les experts ont explicitement mentionné l'affaire Adama Traoré en ce qui concerne l'usage excessif de la force par les forces de l'ordre et l'impunité apparente dont ont bénéficié les gendarmes mis en cause dans le cas d'espèce</w:t>
      </w:r>
      <w:r>
        <w:rPr>
          <w:rFonts w:ascii="Calibri" w:eastAsia="Calibri" w:hAnsi="Calibri" w:cs="Calibri"/>
          <w:sz w:val="24"/>
          <w:szCs w:val="24"/>
          <w:vertAlign w:val="superscript"/>
        </w:rPr>
        <w:footnoteReference w:id="6"/>
      </w:r>
      <w:r>
        <w:rPr>
          <w:rFonts w:ascii="Calibri" w:eastAsia="Calibri" w:hAnsi="Calibri" w:cs="Calibri"/>
          <w:sz w:val="24"/>
          <w:szCs w:val="24"/>
        </w:rPr>
        <w:t>.</w:t>
      </w:r>
    </w:p>
    <w:p w14:paraId="00000015" w14:textId="77777777" w:rsidR="00952A82" w:rsidRDefault="00952A82">
      <w:pPr>
        <w:spacing w:line="240" w:lineRule="auto"/>
        <w:jc w:val="both"/>
        <w:rPr>
          <w:rFonts w:ascii="Calibri" w:eastAsia="Calibri" w:hAnsi="Calibri" w:cs="Calibri"/>
          <w:sz w:val="24"/>
          <w:szCs w:val="24"/>
        </w:rPr>
      </w:pPr>
    </w:p>
    <w:p w14:paraId="00000016" w14:textId="77777777" w:rsidR="00952A82" w:rsidRDefault="007D58B8">
      <w:pPr>
        <w:rPr>
          <w:rFonts w:ascii="Calibri" w:eastAsia="Calibri" w:hAnsi="Calibri" w:cs="Calibri"/>
          <w:b/>
          <w:sz w:val="24"/>
          <w:szCs w:val="24"/>
        </w:rPr>
      </w:pPr>
      <w:r>
        <w:rPr>
          <w:rFonts w:ascii="Calibri" w:eastAsia="Calibri" w:hAnsi="Calibri" w:cs="Calibri"/>
          <w:b/>
          <w:sz w:val="24"/>
          <w:szCs w:val="24"/>
        </w:rPr>
        <w:t xml:space="preserve">Dans ce contexte, nous exhortons le Comité contre la torture de: </w:t>
      </w:r>
    </w:p>
    <w:p w14:paraId="00000017" w14:textId="77777777" w:rsidR="00952A82" w:rsidRDefault="00952A82">
      <w:pPr>
        <w:rPr>
          <w:rFonts w:ascii="Calibri" w:eastAsia="Calibri" w:hAnsi="Calibri" w:cs="Calibri"/>
          <w:b/>
          <w:sz w:val="24"/>
          <w:szCs w:val="24"/>
        </w:rPr>
      </w:pPr>
    </w:p>
    <w:p w14:paraId="00000018" w14:textId="77777777" w:rsidR="00952A82" w:rsidRDefault="007D58B8">
      <w:pPr>
        <w:numPr>
          <w:ilvl w:val="0"/>
          <w:numId w:val="1"/>
        </w:numPr>
        <w:jc w:val="both"/>
        <w:rPr>
          <w:rFonts w:ascii="Calibri" w:eastAsia="Calibri" w:hAnsi="Calibri" w:cs="Calibri"/>
          <w:b/>
          <w:sz w:val="24"/>
          <w:szCs w:val="24"/>
        </w:rPr>
      </w:pPr>
      <w:r>
        <w:rPr>
          <w:rFonts w:ascii="Calibri" w:eastAsia="Calibri" w:hAnsi="Calibri" w:cs="Calibri"/>
          <w:b/>
          <w:sz w:val="24"/>
          <w:szCs w:val="24"/>
        </w:rPr>
        <w:t xml:space="preserve">Soulever l’affaire d'Adama Traoré lors du dialogue interactif avec l'Etat partie et demander à l'Etat partie de fournir des informations au Comité sur les mesures qu'il a prises pour conclure l’enquête dans l’affaire portant sur le décès d’Adama lors de son interpellation, afin que les responsables soient traduits en justice et sanctionnés de manière appropriée; </w:t>
      </w:r>
    </w:p>
    <w:p w14:paraId="00000019" w14:textId="77777777" w:rsidR="00952A82" w:rsidRDefault="007D58B8">
      <w:pPr>
        <w:numPr>
          <w:ilvl w:val="0"/>
          <w:numId w:val="1"/>
        </w:numPr>
        <w:jc w:val="both"/>
        <w:rPr>
          <w:rFonts w:ascii="Calibri" w:eastAsia="Calibri" w:hAnsi="Calibri" w:cs="Calibri"/>
          <w:b/>
          <w:sz w:val="24"/>
          <w:szCs w:val="24"/>
        </w:rPr>
      </w:pPr>
      <w:r>
        <w:rPr>
          <w:rFonts w:ascii="Calibri" w:eastAsia="Calibri" w:hAnsi="Calibri" w:cs="Calibri"/>
          <w:b/>
          <w:sz w:val="24"/>
          <w:szCs w:val="24"/>
        </w:rPr>
        <w:t>Mettre fin aux pratiques de techniques d’immobilisation comme le plaquage ventral lors d’opérations de police;</w:t>
      </w:r>
    </w:p>
    <w:p w14:paraId="0000001A" w14:textId="77777777" w:rsidR="00952A82" w:rsidRDefault="007D58B8">
      <w:pPr>
        <w:numPr>
          <w:ilvl w:val="0"/>
          <w:numId w:val="1"/>
        </w:numPr>
        <w:jc w:val="both"/>
        <w:rPr>
          <w:rFonts w:ascii="Calibri" w:eastAsia="Calibri" w:hAnsi="Calibri" w:cs="Calibri"/>
          <w:b/>
          <w:sz w:val="24"/>
          <w:szCs w:val="24"/>
        </w:rPr>
      </w:pPr>
      <w:r>
        <w:rPr>
          <w:rFonts w:ascii="Calibri" w:eastAsia="Calibri" w:hAnsi="Calibri" w:cs="Calibri"/>
          <w:b/>
          <w:sz w:val="24"/>
          <w:szCs w:val="24"/>
        </w:rPr>
        <w:t>Garantir l’accès à la justice des victimes et familles de victimes de violences policières;</w:t>
      </w:r>
    </w:p>
    <w:p w14:paraId="0000001B" w14:textId="77777777" w:rsidR="00952A82" w:rsidRDefault="007D58B8">
      <w:pPr>
        <w:numPr>
          <w:ilvl w:val="0"/>
          <w:numId w:val="1"/>
        </w:numPr>
        <w:jc w:val="both"/>
        <w:rPr>
          <w:rFonts w:ascii="Calibri" w:eastAsia="Calibri" w:hAnsi="Calibri" w:cs="Calibri"/>
          <w:b/>
          <w:sz w:val="24"/>
          <w:szCs w:val="24"/>
        </w:rPr>
      </w:pPr>
      <w:r>
        <w:rPr>
          <w:rFonts w:ascii="Calibri" w:eastAsia="Calibri" w:hAnsi="Calibri" w:cs="Calibri"/>
          <w:b/>
          <w:sz w:val="24"/>
          <w:szCs w:val="24"/>
        </w:rPr>
        <w:t xml:space="preserve">Recommander à l'État partie </w:t>
      </w:r>
      <w:proofErr w:type="spellStart"/>
      <w:proofErr w:type="gramStart"/>
      <w:r>
        <w:rPr>
          <w:rFonts w:ascii="Calibri" w:eastAsia="Calibri" w:hAnsi="Calibri" w:cs="Calibri"/>
          <w:b/>
          <w:sz w:val="24"/>
          <w:szCs w:val="24"/>
        </w:rPr>
        <w:t>a</w:t>
      </w:r>
      <w:proofErr w:type="spellEnd"/>
      <w:proofErr w:type="gramEnd"/>
      <w:r>
        <w:rPr>
          <w:rFonts w:ascii="Calibri" w:eastAsia="Calibri" w:hAnsi="Calibri" w:cs="Calibri"/>
          <w:b/>
          <w:sz w:val="24"/>
          <w:szCs w:val="24"/>
        </w:rPr>
        <w:t xml:space="preserve"> respecter ses obligations au titre de la Convention contre la torture notamment au regard des dispositions des articles 2, 11, 12 et 14;</w:t>
      </w:r>
    </w:p>
    <w:p w14:paraId="0000001C" w14:textId="77777777" w:rsidR="00952A82" w:rsidRDefault="007D58B8">
      <w:pPr>
        <w:numPr>
          <w:ilvl w:val="0"/>
          <w:numId w:val="1"/>
        </w:numPr>
        <w:jc w:val="both"/>
        <w:rPr>
          <w:rFonts w:ascii="Calibri" w:eastAsia="Calibri" w:hAnsi="Calibri" w:cs="Calibri"/>
          <w:b/>
          <w:sz w:val="24"/>
          <w:szCs w:val="24"/>
        </w:rPr>
      </w:pPr>
      <w:r>
        <w:rPr>
          <w:rFonts w:ascii="Calibri" w:eastAsia="Calibri" w:hAnsi="Calibri" w:cs="Calibri"/>
          <w:b/>
          <w:sz w:val="24"/>
          <w:szCs w:val="24"/>
        </w:rPr>
        <w:t xml:space="preserve">Mettre fin à l’impunité en matière de violences policières et assurer des enquêtes réellement libres et impartiales en cas de décès ou blessure de toute personne entre les mains de la police; </w:t>
      </w:r>
    </w:p>
    <w:p w14:paraId="0000001D" w14:textId="77777777" w:rsidR="00952A82" w:rsidRDefault="00952A82">
      <w:pPr>
        <w:jc w:val="both"/>
        <w:rPr>
          <w:rFonts w:ascii="Calibri" w:eastAsia="Calibri" w:hAnsi="Calibri" w:cs="Calibri"/>
          <w:b/>
          <w:sz w:val="24"/>
          <w:szCs w:val="24"/>
        </w:rPr>
      </w:pPr>
    </w:p>
    <w:p w14:paraId="0000001E" w14:textId="77777777" w:rsidR="00952A82" w:rsidRDefault="00952A82">
      <w:pPr>
        <w:jc w:val="both"/>
        <w:rPr>
          <w:rFonts w:ascii="Calibri" w:eastAsia="Calibri" w:hAnsi="Calibri" w:cs="Calibri"/>
          <w:color w:val="9900FF"/>
          <w:sz w:val="24"/>
          <w:szCs w:val="24"/>
        </w:rPr>
      </w:pPr>
    </w:p>
    <w:p w14:paraId="0000001F" w14:textId="77777777" w:rsidR="00952A82" w:rsidRDefault="00952A82">
      <w:pPr>
        <w:jc w:val="both"/>
        <w:rPr>
          <w:color w:val="9900FF"/>
        </w:rPr>
      </w:pPr>
    </w:p>
    <w:p w14:paraId="00000020" w14:textId="77777777" w:rsidR="00952A82" w:rsidRDefault="00952A82">
      <w:pPr>
        <w:jc w:val="both"/>
      </w:pPr>
    </w:p>
    <w:p w14:paraId="00000021" w14:textId="77777777" w:rsidR="00952A82" w:rsidRDefault="00952A82">
      <w:pPr>
        <w:jc w:val="both"/>
      </w:pPr>
    </w:p>
    <w:sectPr w:rsidR="00952A8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D3714" w14:textId="77777777" w:rsidR="007D58B8" w:rsidRDefault="007D58B8">
      <w:pPr>
        <w:spacing w:line="240" w:lineRule="auto"/>
      </w:pPr>
      <w:r>
        <w:separator/>
      </w:r>
    </w:p>
  </w:endnote>
  <w:endnote w:type="continuationSeparator" w:id="0">
    <w:p w14:paraId="56820F70" w14:textId="77777777" w:rsidR="007D58B8" w:rsidRDefault="007D58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6C6A3" w14:textId="77777777" w:rsidR="007D58B8" w:rsidRDefault="007D58B8">
      <w:pPr>
        <w:spacing w:line="240" w:lineRule="auto"/>
      </w:pPr>
      <w:r>
        <w:separator/>
      </w:r>
    </w:p>
  </w:footnote>
  <w:footnote w:type="continuationSeparator" w:id="0">
    <w:p w14:paraId="1E8D51ED" w14:textId="77777777" w:rsidR="007D58B8" w:rsidRDefault="007D58B8">
      <w:pPr>
        <w:spacing w:line="240" w:lineRule="auto"/>
      </w:pPr>
      <w:r>
        <w:continuationSeparator/>
      </w:r>
    </w:p>
  </w:footnote>
  <w:footnote w:id="1">
    <w:p w14:paraId="00000022" w14:textId="77777777" w:rsidR="00952A82" w:rsidRDefault="007D58B8">
      <w:pPr>
        <w:spacing w:line="240" w:lineRule="auto"/>
        <w:jc w:val="both"/>
        <w:rPr>
          <w:sz w:val="18"/>
          <w:szCs w:val="18"/>
        </w:rPr>
      </w:pPr>
      <w:r>
        <w:rPr>
          <w:vertAlign w:val="superscript"/>
        </w:rPr>
        <w:footnoteRef/>
      </w:r>
      <w:r>
        <w:rPr>
          <w:sz w:val="18"/>
          <w:szCs w:val="18"/>
        </w:rPr>
        <w:t xml:space="preserve"> Comité contre la torture (10 juin 2016), </w:t>
      </w:r>
      <w:hyperlink r:id="rId1">
        <w:r>
          <w:rPr>
            <w:i/>
            <w:color w:val="1155CC"/>
            <w:sz w:val="18"/>
            <w:szCs w:val="18"/>
            <w:u w:val="single"/>
          </w:rPr>
          <w:t>Observations finales concernant le septième rapport</w:t>
        </w:r>
      </w:hyperlink>
      <w:hyperlink r:id="rId2">
        <w:r>
          <w:rPr>
            <w:i/>
            <w:sz w:val="18"/>
            <w:szCs w:val="18"/>
          </w:rPr>
          <w:t xml:space="preserve"> </w:t>
        </w:r>
      </w:hyperlink>
      <w:hyperlink r:id="rId3">
        <w:r>
          <w:rPr>
            <w:i/>
            <w:color w:val="1155CC"/>
            <w:sz w:val="18"/>
            <w:szCs w:val="18"/>
            <w:u w:val="single"/>
          </w:rPr>
          <w:t>périodique de la France</w:t>
        </w:r>
      </w:hyperlink>
      <w:r>
        <w:rPr>
          <w:sz w:val="18"/>
          <w:szCs w:val="18"/>
        </w:rPr>
        <w:t xml:space="preserve">, p3 §16  </w:t>
      </w:r>
    </w:p>
  </w:footnote>
  <w:footnote w:id="2">
    <w:p w14:paraId="00000023" w14:textId="77777777" w:rsidR="00952A82" w:rsidRDefault="007D58B8">
      <w:pPr>
        <w:spacing w:line="240" w:lineRule="auto"/>
        <w:rPr>
          <w:i/>
          <w:sz w:val="18"/>
          <w:szCs w:val="18"/>
        </w:rPr>
      </w:pPr>
      <w:r>
        <w:rPr>
          <w:vertAlign w:val="superscript"/>
        </w:rPr>
        <w:footnoteRef/>
      </w:r>
      <w:r>
        <w:rPr>
          <w:sz w:val="18"/>
          <w:szCs w:val="18"/>
        </w:rPr>
        <w:t xml:space="preserve"> </w:t>
      </w:r>
      <w:r>
        <w:rPr>
          <w:i/>
          <w:sz w:val="18"/>
          <w:szCs w:val="18"/>
        </w:rPr>
        <w:t>Ibid</w:t>
      </w:r>
    </w:p>
  </w:footnote>
  <w:footnote w:id="3">
    <w:p w14:paraId="00000027" w14:textId="77777777" w:rsidR="00952A82" w:rsidRDefault="007D58B8">
      <w:r>
        <w:rPr>
          <w:vertAlign w:val="superscript"/>
        </w:rPr>
        <w:footnoteRef/>
      </w:r>
      <w:r>
        <w:t xml:space="preserve">Voir la </w:t>
      </w:r>
      <w:hyperlink r:id="rId4">
        <w:r>
          <w:rPr>
            <w:color w:val="1155CC"/>
            <w:u w:val="single"/>
          </w:rPr>
          <w:t xml:space="preserve">lettre </w:t>
        </w:r>
      </w:hyperlink>
      <w:r>
        <w:t>des procédures spéciales des Nations unies à la France (2021). Mise à jour :</w:t>
      </w:r>
    </w:p>
    <w:p w14:paraId="00000028" w14:textId="77777777" w:rsidR="00952A82" w:rsidRDefault="007D58B8">
      <w:r>
        <w:t>Dans cette</w:t>
      </w:r>
      <w:hyperlink r:id="rId5">
        <w:r>
          <w:rPr>
            <w:color w:val="1155CC"/>
            <w:u w:val="single"/>
          </w:rPr>
          <w:t xml:space="preserve"> vidéo,</w:t>
        </w:r>
      </w:hyperlink>
      <w:r>
        <w:t xml:space="preserve"> Assa Traoré explique comment elle a été condamnée par la Cour d'appel de Paris pour avoir violé la présomption d'innocence des gendarmes. Le 6 mai 2025, il y a une audience où elle est poursuivie en diffamation.</w:t>
      </w:r>
    </w:p>
  </w:footnote>
  <w:footnote w:id="4">
    <w:p w14:paraId="00000025" w14:textId="77777777" w:rsidR="00952A82" w:rsidRDefault="007D58B8">
      <w:pPr>
        <w:spacing w:line="240" w:lineRule="auto"/>
        <w:rPr>
          <w:sz w:val="18"/>
          <w:szCs w:val="18"/>
        </w:rPr>
      </w:pPr>
      <w:r>
        <w:rPr>
          <w:vertAlign w:val="superscript"/>
        </w:rPr>
        <w:footnoteRef/>
      </w:r>
      <w:r>
        <w:rPr>
          <w:sz w:val="20"/>
          <w:szCs w:val="20"/>
        </w:rPr>
        <w:t xml:space="preserve"> </w:t>
      </w:r>
      <w:r>
        <w:rPr>
          <w:sz w:val="18"/>
          <w:szCs w:val="18"/>
        </w:rPr>
        <w:t xml:space="preserve">Comité contre la torture, </w:t>
      </w:r>
      <w:r>
        <w:rPr>
          <w:i/>
          <w:sz w:val="18"/>
          <w:szCs w:val="18"/>
        </w:rPr>
        <w:t>op.cit.</w:t>
      </w:r>
      <w:r>
        <w:rPr>
          <w:sz w:val="18"/>
          <w:szCs w:val="18"/>
        </w:rPr>
        <w:t>, p3 §17) a)</w:t>
      </w:r>
    </w:p>
  </w:footnote>
  <w:footnote w:id="5">
    <w:p w14:paraId="00000026" w14:textId="77777777" w:rsidR="00952A82" w:rsidRDefault="007D58B8">
      <w:pPr>
        <w:spacing w:line="240" w:lineRule="auto"/>
        <w:rPr>
          <w:sz w:val="20"/>
          <w:szCs w:val="20"/>
        </w:rPr>
      </w:pPr>
      <w:r>
        <w:rPr>
          <w:vertAlign w:val="superscript"/>
        </w:rPr>
        <w:footnoteRef/>
      </w:r>
      <w:r>
        <w:rPr>
          <w:sz w:val="20"/>
          <w:szCs w:val="20"/>
        </w:rPr>
        <w:t xml:space="preserve"> </w:t>
      </w:r>
      <w:r>
        <w:rPr>
          <w:sz w:val="18"/>
          <w:szCs w:val="18"/>
        </w:rPr>
        <w:t>Comité pour l’élimination de la discrimination raciale (14 décembre 2022),</w:t>
      </w:r>
      <w:hyperlink r:id="rId6">
        <w:r>
          <w:rPr>
            <w:color w:val="1155CC"/>
            <w:sz w:val="18"/>
            <w:szCs w:val="18"/>
            <w:u w:val="single"/>
          </w:rPr>
          <w:t xml:space="preserve"> Observations finales concernant le rapport de la France valant vingt-deuxième et vingt-troisième rapports périodiques</w:t>
        </w:r>
      </w:hyperlink>
      <w:r>
        <w:rPr>
          <w:sz w:val="18"/>
          <w:szCs w:val="18"/>
        </w:rPr>
        <w:t>, p7 §25 §26 §27</w:t>
      </w:r>
    </w:p>
  </w:footnote>
  <w:footnote w:id="6">
    <w:p w14:paraId="00000024" w14:textId="77777777" w:rsidR="00952A82" w:rsidRDefault="007D58B8">
      <w:pPr>
        <w:spacing w:line="240" w:lineRule="auto"/>
        <w:jc w:val="both"/>
        <w:rPr>
          <w:sz w:val="18"/>
          <w:szCs w:val="18"/>
        </w:rPr>
      </w:pPr>
      <w:r>
        <w:rPr>
          <w:vertAlign w:val="superscript"/>
        </w:rPr>
        <w:footnoteRef/>
      </w:r>
      <w:r>
        <w:rPr>
          <w:sz w:val="18"/>
          <w:szCs w:val="18"/>
        </w:rPr>
        <w:t xml:space="preserve"> Comité des droits de l’Homme (3 décembre 2024),</w:t>
      </w:r>
      <w:hyperlink r:id="rId7">
        <w:r>
          <w:rPr>
            <w:color w:val="1155CC"/>
            <w:sz w:val="18"/>
            <w:szCs w:val="18"/>
            <w:u w:val="single"/>
          </w:rPr>
          <w:t xml:space="preserve"> Observations finales concernant le sixième rapport périodique de la France</w:t>
        </w:r>
      </w:hyperlink>
      <w:r>
        <w:rPr>
          <w:sz w:val="18"/>
          <w:szCs w:val="18"/>
        </w:rPr>
        <w:t>, p5 §18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0460A7"/>
    <w:multiLevelType w:val="multilevel"/>
    <w:tmpl w:val="87901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8556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A82"/>
    <w:rsid w:val="005B2EB6"/>
    <w:rsid w:val="007D58B8"/>
    <w:rsid w:val="00952A82"/>
    <w:rsid w:val="00DF1A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939012-CA48-420F-89A6-E23765E80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AT/C/FRA/CO/7&amp;Lang=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CPR%2FC%2FFRA%2FCO%2F6&amp;Lang=fr"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ishr.ch/latest-updates/human-rights-committee-demands-accountability-for-adama-traore-victims-of-police-violence-in-france/" TargetMode="External"/><Relationship Id="rId4" Type="http://schemas.openxmlformats.org/officeDocument/2006/relationships/settings" Target="settings.xml"/><Relationship Id="rId9" Type="http://schemas.openxmlformats.org/officeDocument/2006/relationships/hyperlink" Target="https://spcommreports.ohchr.org/TMResultsBase/DownLoadPublicCommunicationFile?gId=26793"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AT/C/FRA/CO/7&amp;Lang=En" TargetMode="External"/><Relationship Id="rId7" Type="http://schemas.openxmlformats.org/officeDocument/2006/relationships/hyperlink" Target="https://tbinternet.ohchr.org/_layouts/15/treatybodyexternal/Download.aspx?symbolno=CCPR%2FC%2FFRA%2FCO%2F6&amp;Lang=fr" TargetMode="External"/><Relationship Id="rId2" Type="http://schemas.openxmlformats.org/officeDocument/2006/relationships/hyperlink" Target="https://tbinternet.ohchr.org/_layouts/15/TreatyBodyExternal/Download.aspx?symbolno=CAT/C/FRA/CO/7&amp;Lang=En" TargetMode="External"/><Relationship Id="rId1" Type="http://schemas.openxmlformats.org/officeDocument/2006/relationships/hyperlink" Target="https://tbinternet.ohchr.org/_layouts/15/TreatyBodyExternal/Download.aspx?symbolno=CAT/C/FRA/CO/7&amp;Lang=En" TargetMode="External"/><Relationship Id="rId6" Type="http://schemas.openxmlformats.org/officeDocument/2006/relationships/hyperlink" Target="https://tbinternet.ohchr.org/_layouts/15/treatybodyexternal/Download.aspx?symbolno=CERD%2FC%2FFRA%2FCO%2F22-23&amp;Lang=en" TargetMode="External"/><Relationship Id="rId5" Type="http://schemas.openxmlformats.org/officeDocument/2006/relationships/hyperlink" Target="https://www.facebook.com/La-v%C3%A9rit%C3%A9-pour-Adama-160752057668634/videos/888633205669190" TargetMode="External"/><Relationship Id="rId4" Type="http://schemas.openxmlformats.org/officeDocument/2006/relationships/hyperlink" Target="https://spcommreports.ohchr.org/TMResultsBase/DownLoadPublicCommunicationFile?gId=267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XYP1XAiQkt0iCk76t1FdRwRZQ==">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2025-03-18T07:42:42+00:00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2025-03-18T07:42:42+00:00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2025-03-18T07:42:42+00:00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0BE0486-0004-4C3F-BA0E-378727363A26}"/>
</file>

<file path=customXml/itemProps3.xml><?xml version="1.0" encoding="utf-8"?>
<ds:datastoreItem xmlns:ds="http://schemas.openxmlformats.org/officeDocument/2006/customXml" ds:itemID="{36160611-C3C8-458F-9A27-2EA6BF4EC263}"/>
</file>

<file path=customXml/itemProps4.xml><?xml version="1.0" encoding="utf-8"?>
<ds:datastoreItem xmlns:ds="http://schemas.openxmlformats.org/officeDocument/2006/customXml" ds:itemID="{FF236369-CA88-4542-9017-A7CF9D7069E4}"/>
</file>

<file path=docProps/app.xml><?xml version="1.0" encoding="utf-8"?>
<Properties xmlns="http://schemas.openxmlformats.org/officeDocument/2006/extended-properties" xmlns:vt="http://schemas.openxmlformats.org/officeDocument/2006/docPropsVTypes">
  <Template>Normal.dotm</Template>
  <TotalTime>0</TotalTime>
  <Pages>3</Pages>
  <Words>1211</Words>
  <Characters>6908</Characters>
  <Application>Microsoft Office Word</Application>
  <DocSecurity>4</DocSecurity>
  <Lines>57</Lines>
  <Paragraphs>16</Paragraphs>
  <ScaleCrop>false</ScaleCrop>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 El Hosseiny</dc:creator>
  <cp:lastModifiedBy>Youssef Hamdan</cp:lastModifiedBy>
  <cp:revision>2</cp:revision>
  <dcterms:created xsi:type="dcterms:W3CDTF">2025-03-11T13:40:00Z</dcterms:created>
  <dcterms:modified xsi:type="dcterms:W3CDTF">2025-03-11T13:40:00Z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