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1.xml" ContentType="application/vnd.openxmlformats-officedocument.wordprocessingml.header+xml"/>
  <Override PartName="/word/header10.xml" ContentType="application/vnd.openxmlformats-officedocument.wordprocessingml.header+xml"/>
  <Override PartName="/word/header9.xml" ContentType="application/vnd.openxmlformats-officedocument.wordprocessingml.header+xml"/>
  <Override PartName="/word/header8.xml" ContentType="application/vnd.openxmlformats-officedocument.wordprocessingml.header+xml"/>
  <Override PartName="/word/header7.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8.xml" ContentType="application/vnd.openxmlformats-officedocument.wordprocessingml.header+xml"/>
  <Override PartName="/word/header17.xml" ContentType="application/vnd.openxmlformats-officedocument.wordprocessingml.header+xml"/>
  <Override PartName="/word/header16.xml" ContentType="application/vnd.openxmlformats-officedocument.wordprocessingml.header+xml"/>
  <Override PartName="/word/header15.xml" ContentType="application/vnd.openxmlformats-officedocument.wordprocessingml.header+xml"/>
  <Override PartName="/word/header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152B8" w14:textId="06D4FE79" w:rsidR="005F0CC1" w:rsidRPr="005F0CC1" w:rsidRDefault="005F0CC1" w:rsidP="005F0CC1">
      <w:pPr>
        <w:pStyle w:val="Title-subsections"/>
        <w:spacing w:before="0" w:after="1440" w:line="276" w:lineRule="auto"/>
        <w:rPr>
          <w:rFonts w:ascii="Georgia" w:hAnsi="Georgia"/>
          <w:b w:val="0"/>
          <w:sz w:val="36"/>
          <w:szCs w:val="36"/>
        </w:rPr>
      </w:pPr>
      <w:bookmarkStart w:id="0" w:name="_Toc4061363"/>
      <w:r w:rsidRPr="005F0CC1">
        <w:rPr>
          <w:rFonts w:ascii="Georgia" w:hAnsi="Georgia"/>
          <w:b w:val="0"/>
          <w:sz w:val="36"/>
          <w:szCs w:val="36"/>
        </w:rPr>
        <w:t>Equality and Human Rights Commission</w:t>
      </w:r>
      <w:bookmarkEnd w:id="0"/>
    </w:p>
    <w:p w14:paraId="79237612" w14:textId="7B58EFB8" w:rsidR="005F0CC1" w:rsidRDefault="005F0CC1" w:rsidP="005F0CC1">
      <w:pPr>
        <w:pStyle w:val="Title-subsections"/>
        <w:spacing w:before="1920" w:after="1440" w:line="276" w:lineRule="auto"/>
        <w:rPr>
          <w:rFonts w:ascii="Georgia" w:hAnsi="Georgia"/>
          <w:b w:val="0"/>
          <w:sz w:val="96"/>
          <w:szCs w:val="96"/>
        </w:rPr>
      </w:pPr>
      <w:bookmarkStart w:id="1" w:name="_Toc4061364"/>
      <w:r>
        <w:rPr>
          <w:rFonts w:ascii="Georgia" w:hAnsi="Georgia"/>
          <w:b w:val="0"/>
          <w:sz w:val="96"/>
          <w:szCs w:val="96"/>
        </w:rPr>
        <w:t>Torture in the UK: update report</w:t>
      </w:r>
      <w:bookmarkEnd w:id="1"/>
    </w:p>
    <w:p w14:paraId="0CC7292A" w14:textId="4196E2E2" w:rsidR="005F0CC1" w:rsidRDefault="005F0CC1" w:rsidP="005F0CC1">
      <w:pPr>
        <w:pStyle w:val="Title-subsections"/>
        <w:spacing w:before="1800" w:line="276" w:lineRule="auto"/>
        <w:rPr>
          <w:rFonts w:ascii="Georgia" w:hAnsi="Georgia"/>
          <w:b w:val="0"/>
          <w:color w:val="D40F7D"/>
          <w:sz w:val="52"/>
          <w:szCs w:val="52"/>
        </w:rPr>
      </w:pPr>
      <w:bookmarkStart w:id="2" w:name="_Toc4061365"/>
      <w:r>
        <w:rPr>
          <w:rFonts w:ascii="Georgia" w:hAnsi="Georgia"/>
          <w:b w:val="0"/>
          <w:color w:val="D40F7D"/>
          <w:sz w:val="52"/>
          <w:szCs w:val="52"/>
        </w:rPr>
        <w:t>Submission to the UN Committee Against Torture in response to the UK List of Issues</w:t>
      </w:r>
      <w:bookmarkEnd w:id="2"/>
    </w:p>
    <w:p w14:paraId="4F82E169" w14:textId="7D09F333" w:rsidR="005F0CC1" w:rsidRDefault="005F0CC1" w:rsidP="005F0CC1">
      <w:pPr>
        <w:pStyle w:val="Title-subsections"/>
        <w:spacing w:before="0" w:line="276" w:lineRule="auto"/>
        <w:rPr>
          <w:rFonts w:ascii="Georgia" w:hAnsi="Georgia"/>
          <w:b w:val="0"/>
          <w:sz w:val="52"/>
          <w:szCs w:val="52"/>
        </w:rPr>
      </w:pPr>
      <w:bookmarkStart w:id="3" w:name="_Toc4061366"/>
      <w:r>
        <w:rPr>
          <w:rFonts w:ascii="Georgia" w:hAnsi="Georgia"/>
          <w:b w:val="0"/>
          <w:sz w:val="52"/>
          <w:szCs w:val="52"/>
        </w:rPr>
        <w:t>March 2019</w:t>
      </w:r>
      <w:bookmarkEnd w:id="3"/>
    </w:p>
    <w:p w14:paraId="6B0E58FA" w14:textId="77777777" w:rsidR="005F0CC1" w:rsidRDefault="005F0CC1" w:rsidP="005F0CC1">
      <w:pPr>
        <w:spacing w:after="200" w:line="276" w:lineRule="auto"/>
        <w:rPr>
          <w:rFonts w:ascii="Georgia" w:eastAsia="Times New Roman" w:hAnsi="Georgia"/>
          <w:bCs/>
          <w:color w:val="D40F7D"/>
          <w:sz w:val="48"/>
          <w:szCs w:val="48"/>
        </w:rPr>
      </w:pPr>
      <w:r>
        <w:rPr>
          <w:color w:val="D40F7D"/>
        </w:rPr>
        <w:br w:type="page"/>
      </w:r>
    </w:p>
    <w:p w14:paraId="15A37154" w14:textId="77777777" w:rsidR="005F0CC1" w:rsidRDefault="005F0CC1" w:rsidP="0095032F">
      <w:pPr>
        <w:pStyle w:val="Title-chapterpink"/>
        <w:sectPr w:rsidR="005F0CC1" w:rsidSect="00C32DAA">
          <w:headerReference w:type="even" r:id="rId8"/>
          <w:footerReference w:type="even" r:id="rId9"/>
          <w:footerReference w:type="default" r:id="rId10"/>
          <w:pgSz w:w="11906" w:h="16838" w:code="9"/>
          <w:pgMar w:top="1440" w:right="1440" w:bottom="1440" w:left="1440" w:header="567" w:footer="567" w:gutter="0"/>
          <w:cols w:space="708"/>
          <w:docGrid w:linePitch="360"/>
        </w:sectPr>
      </w:pPr>
    </w:p>
    <w:p w14:paraId="5DF3641E" w14:textId="7956E531" w:rsidR="00C32DAA" w:rsidRPr="00234F4D" w:rsidRDefault="0095032F" w:rsidP="0095032F">
      <w:pPr>
        <w:pStyle w:val="Title-chapterpink"/>
        <w:rPr>
          <w:sz w:val="36"/>
          <w:szCs w:val="36"/>
        </w:rPr>
      </w:pPr>
      <w:bookmarkStart w:id="4" w:name="_Toc4061367"/>
      <w:r w:rsidRPr="00234F4D">
        <w:rPr>
          <w:sz w:val="36"/>
          <w:szCs w:val="36"/>
        </w:rPr>
        <w:lastRenderedPageBreak/>
        <w:t>Contents</w:t>
      </w:r>
      <w:bookmarkEnd w:id="4"/>
    </w:p>
    <w:sdt>
      <w:sdtPr>
        <w:rPr>
          <w:rFonts w:ascii="Arial" w:eastAsia="Calibri" w:hAnsi="Arial" w:cs="Times New Roman"/>
          <w:color w:val="auto"/>
          <w:sz w:val="24"/>
          <w:szCs w:val="22"/>
          <w:lang w:val="en-GB"/>
        </w:rPr>
        <w:id w:val="-1012370789"/>
        <w:docPartObj>
          <w:docPartGallery w:val="Table of Contents"/>
          <w:docPartUnique/>
        </w:docPartObj>
      </w:sdtPr>
      <w:sdtEndPr>
        <w:rPr>
          <w:b/>
          <w:bCs/>
          <w:noProof/>
        </w:rPr>
      </w:sdtEndPr>
      <w:sdtContent>
        <w:p w14:paraId="0B4C20E5" w14:textId="7892D5CD" w:rsidR="00FD3D72" w:rsidRDefault="0095032F" w:rsidP="00FD3D72">
          <w:pPr>
            <w:pStyle w:val="TOCHeading"/>
            <w:rPr>
              <w:rFonts w:asciiTheme="minorHAnsi" w:eastAsiaTheme="minorEastAsia" w:hAnsiTheme="minorHAnsi" w:cstheme="minorBidi"/>
              <w:noProof/>
              <w:sz w:val="22"/>
              <w:lang w:eastAsia="en-GB"/>
            </w:rPr>
          </w:pPr>
          <w:r>
            <w:rPr>
              <w:b/>
              <w:bCs/>
              <w:noProof/>
            </w:rPr>
            <w:fldChar w:fldCharType="begin"/>
          </w:r>
          <w:r>
            <w:rPr>
              <w:b/>
              <w:bCs/>
              <w:noProof/>
            </w:rPr>
            <w:instrText xml:space="preserve"> TOC \o "1-3" \h \z \u </w:instrText>
          </w:r>
          <w:r>
            <w:rPr>
              <w:b/>
              <w:bCs/>
              <w:noProof/>
            </w:rPr>
            <w:fldChar w:fldCharType="separate"/>
          </w:r>
        </w:p>
        <w:p w14:paraId="0296BB00" w14:textId="3ABAC19B" w:rsidR="00FD3D72" w:rsidRDefault="008C5E19" w:rsidP="00D979ED">
          <w:pPr>
            <w:pStyle w:val="TOC1"/>
            <w:rPr>
              <w:rFonts w:asciiTheme="minorHAnsi" w:eastAsiaTheme="minorEastAsia" w:hAnsiTheme="minorHAnsi" w:cstheme="minorBidi"/>
              <w:sz w:val="22"/>
              <w:lang w:eastAsia="en-GB"/>
            </w:rPr>
          </w:pPr>
          <w:hyperlink w:anchor="_Toc4061368" w:history="1">
            <w:r w:rsidR="00FD3D72" w:rsidRPr="00FC7309">
              <w:rPr>
                <w:rStyle w:val="Hyperlink"/>
              </w:rPr>
              <w:t>Glossary</w:t>
            </w:r>
            <w:r w:rsidR="00FD3D72">
              <w:rPr>
                <w:webHidden/>
              </w:rPr>
              <w:tab/>
            </w:r>
            <w:r w:rsidR="00FD3D72">
              <w:rPr>
                <w:webHidden/>
              </w:rPr>
              <w:fldChar w:fldCharType="begin"/>
            </w:r>
            <w:r w:rsidR="00FD3D72">
              <w:rPr>
                <w:webHidden/>
              </w:rPr>
              <w:instrText xml:space="preserve"> PAGEREF _Toc4061368 \h </w:instrText>
            </w:r>
            <w:r w:rsidR="00FD3D72">
              <w:rPr>
                <w:webHidden/>
              </w:rPr>
            </w:r>
            <w:r w:rsidR="00FD3D72">
              <w:rPr>
                <w:webHidden/>
              </w:rPr>
              <w:fldChar w:fldCharType="separate"/>
            </w:r>
            <w:r w:rsidR="00715412">
              <w:rPr>
                <w:webHidden/>
              </w:rPr>
              <w:t>5</w:t>
            </w:r>
            <w:r w:rsidR="00FD3D72">
              <w:rPr>
                <w:webHidden/>
              </w:rPr>
              <w:fldChar w:fldCharType="end"/>
            </w:r>
          </w:hyperlink>
        </w:p>
        <w:p w14:paraId="071EB791" w14:textId="17CFE6C8" w:rsidR="00FD3D72" w:rsidRDefault="008C5E19" w:rsidP="00D979ED">
          <w:pPr>
            <w:pStyle w:val="TOC1"/>
            <w:rPr>
              <w:rFonts w:asciiTheme="minorHAnsi" w:eastAsiaTheme="minorEastAsia" w:hAnsiTheme="minorHAnsi" w:cstheme="minorBidi"/>
              <w:sz w:val="22"/>
              <w:lang w:eastAsia="en-GB"/>
            </w:rPr>
          </w:pPr>
          <w:hyperlink w:anchor="_Toc4061369" w:history="1">
            <w:r w:rsidR="00FD3D72" w:rsidRPr="00FC7309">
              <w:rPr>
                <w:rStyle w:val="Hyperlink"/>
              </w:rPr>
              <w:t>Introduction</w:t>
            </w:r>
            <w:r w:rsidR="00FD3D72">
              <w:rPr>
                <w:webHidden/>
              </w:rPr>
              <w:tab/>
            </w:r>
            <w:r w:rsidR="00FD3D72">
              <w:rPr>
                <w:webHidden/>
              </w:rPr>
              <w:fldChar w:fldCharType="begin"/>
            </w:r>
            <w:r w:rsidR="00FD3D72">
              <w:rPr>
                <w:webHidden/>
              </w:rPr>
              <w:instrText xml:space="preserve"> PAGEREF _Toc4061369 \h </w:instrText>
            </w:r>
            <w:r w:rsidR="00FD3D72">
              <w:rPr>
                <w:webHidden/>
              </w:rPr>
            </w:r>
            <w:r w:rsidR="00FD3D72">
              <w:rPr>
                <w:webHidden/>
              </w:rPr>
              <w:fldChar w:fldCharType="separate"/>
            </w:r>
            <w:r w:rsidR="00715412">
              <w:rPr>
                <w:webHidden/>
              </w:rPr>
              <w:t>7</w:t>
            </w:r>
            <w:r w:rsidR="00FD3D72">
              <w:rPr>
                <w:webHidden/>
              </w:rPr>
              <w:fldChar w:fldCharType="end"/>
            </w:r>
          </w:hyperlink>
        </w:p>
        <w:p w14:paraId="4074D9DE" w14:textId="19630DAC" w:rsidR="00FD3D72" w:rsidRPr="00D979ED" w:rsidRDefault="008C5E19" w:rsidP="00D979ED">
          <w:pPr>
            <w:pStyle w:val="TOC1"/>
            <w:rPr>
              <w:rFonts w:asciiTheme="minorHAnsi" w:eastAsiaTheme="minorEastAsia" w:hAnsiTheme="minorHAnsi" w:cstheme="minorBidi"/>
              <w:sz w:val="22"/>
              <w:lang w:eastAsia="en-GB"/>
            </w:rPr>
          </w:pPr>
          <w:hyperlink w:anchor="_Toc4061373" w:history="1">
            <w:r w:rsidR="00FD3D72" w:rsidRPr="00D979ED">
              <w:rPr>
                <w:rStyle w:val="Hyperlink"/>
              </w:rPr>
              <w:t>1. Incorporation of CAT into domestic law</w:t>
            </w:r>
            <w:r w:rsidR="00FD3D72" w:rsidRPr="00D979ED">
              <w:rPr>
                <w:webHidden/>
              </w:rPr>
              <w:tab/>
            </w:r>
            <w:r w:rsidR="00FD3D72" w:rsidRPr="00D979ED">
              <w:rPr>
                <w:webHidden/>
              </w:rPr>
              <w:fldChar w:fldCharType="begin"/>
            </w:r>
            <w:r w:rsidR="00FD3D72" w:rsidRPr="00D979ED">
              <w:rPr>
                <w:webHidden/>
              </w:rPr>
              <w:instrText xml:space="preserve"> PAGEREF _Toc4061373 \h </w:instrText>
            </w:r>
            <w:r w:rsidR="00FD3D72" w:rsidRPr="00D979ED">
              <w:rPr>
                <w:webHidden/>
              </w:rPr>
            </w:r>
            <w:r w:rsidR="00FD3D72" w:rsidRPr="00D979ED">
              <w:rPr>
                <w:webHidden/>
              </w:rPr>
              <w:fldChar w:fldCharType="separate"/>
            </w:r>
            <w:r w:rsidR="00715412">
              <w:rPr>
                <w:webHidden/>
              </w:rPr>
              <w:t>10</w:t>
            </w:r>
            <w:r w:rsidR="00FD3D72" w:rsidRPr="00D979ED">
              <w:rPr>
                <w:webHidden/>
              </w:rPr>
              <w:fldChar w:fldCharType="end"/>
            </w:r>
          </w:hyperlink>
        </w:p>
        <w:p w14:paraId="5DD6E939" w14:textId="70DEB4C5"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374" w:history="1">
            <w:r w:rsidR="00FD3D72" w:rsidRPr="00FC7309">
              <w:rPr>
                <w:rStyle w:val="Hyperlink"/>
                <w:noProof/>
              </w:rPr>
              <w:t>Recent developments and concerns</w:t>
            </w:r>
            <w:r w:rsidR="00FD3D72">
              <w:rPr>
                <w:noProof/>
                <w:webHidden/>
              </w:rPr>
              <w:tab/>
            </w:r>
            <w:r w:rsidR="00FD3D72">
              <w:rPr>
                <w:noProof/>
                <w:webHidden/>
              </w:rPr>
              <w:fldChar w:fldCharType="begin"/>
            </w:r>
            <w:r w:rsidR="00FD3D72">
              <w:rPr>
                <w:noProof/>
                <w:webHidden/>
              </w:rPr>
              <w:instrText xml:space="preserve"> PAGEREF _Toc4061374 \h </w:instrText>
            </w:r>
            <w:r w:rsidR="00FD3D72">
              <w:rPr>
                <w:noProof/>
                <w:webHidden/>
              </w:rPr>
            </w:r>
            <w:r w:rsidR="00FD3D72">
              <w:rPr>
                <w:noProof/>
                <w:webHidden/>
              </w:rPr>
              <w:fldChar w:fldCharType="separate"/>
            </w:r>
            <w:r w:rsidR="00715412">
              <w:rPr>
                <w:noProof/>
                <w:webHidden/>
              </w:rPr>
              <w:t>10</w:t>
            </w:r>
            <w:r w:rsidR="00FD3D72">
              <w:rPr>
                <w:noProof/>
                <w:webHidden/>
              </w:rPr>
              <w:fldChar w:fldCharType="end"/>
            </w:r>
          </w:hyperlink>
        </w:p>
        <w:p w14:paraId="4CF157FF" w14:textId="1BE6C140" w:rsidR="00FD3D72" w:rsidRDefault="008C5E19" w:rsidP="00FD3D72">
          <w:pPr>
            <w:pStyle w:val="TOC3"/>
            <w:tabs>
              <w:tab w:val="right" w:leader="dot" w:pos="9016"/>
            </w:tabs>
            <w:rPr>
              <w:rFonts w:asciiTheme="minorHAnsi" w:eastAsiaTheme="minorEastAsia" w:hAnsiTheme="minorHAnsi" w:cstheme="minorBidi"/>
              <w:noProof/>
              <w:sz w:val="22"/>
              <w:lang w:eastAsia="en-GB"/>
            </w:rPr>
          </w:pPr>
          <w:hyperlink w:anchor="_Toc4061375" w:history="1">
            <w:r w:rsidR="00FD3D72" w:rsidRPr="00FC7309">
              <w:rPr>
                <w:rStyle w:val="Hyperlink"/>
                <w:noProof/>
              </w:rPr>
              <w:t>Ongoing concerns</w:t>
            </w:r>
            <w:r w:rsidR="00FD3D72">
              <w:rPr>
                <w:noProof/>
                <w:webHidden/>
              </w:rPr>
              <w:tab/>
            </w:r>
            <w:r w:rsidR="00FD3D72">
              <w:rPr>
                <w:noProof/>
                <w:webHidden/>
              </w:rPr>
              <w:fldChar w:fldCharType="begin"/>
            </w:r>
            <w:r w:rsidR="00FD3D72">
              <w:rPr>
                <w:noProof/>
                <w:webHidden/>
              </w:rPr>
              <w:instrText xml:space="preserve"> PAGEREF _Toc4061375 \h </w:instrText>
            </w:r>
            <w:r w:rsidR="00FD3D72">
              <w:rPr>
                <w:noProof/>
                <w:webHidden/>
              </w:rPr>
            </w:r>
            <w:r w:rsidR="00FD3D72">
              <w:rPr>
                <w:noProof/>
                <w:webHidden/>
              </w:rPr>
              <w:fldChar w:fldCharType="separate"/>
            </w:r>
            <w:r w:rsidR="00715412">
              <w:rPr>
                <w:noProof/>
                <w:webHidden/>
              </w:rPr>
              <w:t>11</w:t>
            </w:r>
            <w:r w:rsidR="00FD3D72">
              <w:rPr>
                <w:noProof/>
                <w:webHidden/>
              </w:rPr>
              <w:fldChar w:fldCharType="end"/>
            </w:r>
          </w:hyperlink>
        </w:p>
        <w:p w14:paraId="61C9B943" w14:textId="04B73E72" w:rsidR="00FD3D72" w:rsidRDefault="008C5E19" w:rsidP="00D979ED">
          <w:pPr>
            <w:pStyle w:val="TOC1"/>
            <w:rPr>
              <w:rFonts w:asciiTheme="minorHAnsi" w:eastAsiaTheme="minorEastAsia" w:hAnsiTheme="minorHAnsi" w:cstheme="minorBidi"/>
              <w:sz w:val="22"/>
              <w:lang w:eastAsia="en-GB"/>
            </w:rPr>
          </w:pPr>
          <w:hyperlink w:anchor="_Toc4061377" w:history="1">
            <w:r w:rsidR="00FD3D72" w:rsidRPr="00FC7309">
              <w:rPr>
                <w:rStyle w:val="Hyperlink"/>
              </w:rPr>
              <w:t>2. Overseas detainees</w:t>
            </w:r>
            <w:r w:rsidR="00FD3D72">
              <w:rPr>
                <w:webHidden/>
              </w:rPr>
              <w:tab/>
            </w:r>
            <w:r w:rsidR="00FD3D72">
              <w:rPr>
                <w:webHidden/>
              </w:rPr>
              <w:fldChar w:fldCharType="begin"/>
            </w:r>
            <w:r w:rsidR="00FD3D72">
              <w:rPr>
                <w:webHidden/>
              </w:rPr>
              <w:instrText xml:space="preserve"> PAGEREF _Toc4061377 \h </w:instrText>
            </w:r>
            <w:r w:rsidR="00FD3D72">
              <w:rPr>
                <w:webHidden/>
              </w:rPr>
            </w:r>
            <w:r w:rsidR="00FD3D72">
              <w:rPr>
                <w:webHidden/>
              </w:rPr>
              <w:fldChar w:fldCharType="separate"/>
            </w:r>
            <w:r w:rsidR="00715412">
              <w:rPr>
                <w:webHidden/>
              </w:rPr>
              <w:t>13</w:t>
            </w:r>
            <w:r w:rsidR="00FD3D72">
              <w:rPr>
                <w:webHidden/>
              </w:rPr>
              <w:fldChar w:fldCharType="end"/>
            </w:r>
          </w:hyperlink>
        </w:p>
        <w:p w14:paraId="12D52133" w14:textId="1E481EA9"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378" w:history="1">
            <w:r w:rsidR="00FD3D72" w:rsidRPr="00FC7309">
              <w:rPr>
                <w:rStyle w:val="Hyperlink"/>
                <w:noProof/>
              </w:rPr>
              <w:t>Allegations of UK complicity in the torture and ill-treatment of detainees</w:t>
            </w:r>
            <w:r w:rsidR="00FD3D72">
              <w:rPr>
                <w:noProof/>
                <w:webHidden/>
              </w:rPr>
              <w:tab/>
            </w:r>
            <w:r w:rsidR="00FD3D72">
              <w:rPr>
                <w:noProof/>
                <w:webHidden/>
              </w:rPr>
              <w:fldChar w:fldCharType="begin"/>
            </w:r>
            <w:r w:rsidR="00FD3D72">
              <w:rPr>
                <w:noProof/>
                <w:webHidden/>
              </w:rPr>
              <w:instrText xml:space="preserve"> PAGEREF _Toc4061378 \h </w:instrText>
            </w:r>
            <w:r w:rsidR="00FD3D72">
              <w:rPr>
                <w:noProof/>
                <w:webHidden/>
              </w:rPr>
            </w:r>
            <w:r w:rsidR="00FD3D72">
              <w:rPr>
                <w:noProof/>
                <w:webHidden/>
              </w:rPr>
              <w:fldChar w:fldCharType="separate"/>
            </w:r>
            <w:r w:rsidR="00715412">
              <w:rPr>
                <w:noProof/>
                <w:webHidden/>
              </w:rPr>
              <w:t>13</w:t>
            </w:r>
            <w:r w:rsidR="00FD3D72">
              <w:rPr>
                <w:noProof/>
                <w:webHidden/>
              </w:rPr>
              <w:fldChar w:fldCharType="end"/>
            </w:r>
          </w:hyperlink>
        </w:p>
        <w:p w14:paraId="15675D8C" w14:textId="042672FF"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379" w:history="1">
            <w:r w:rsidR="00FD3D72" w:rsidRPr="00FC7309">
              <w:rPr>
                <w:rStyle w:val="Hyperlink"/>
                <w:noProof/>
              </w:rPr>
              <w:t>Allegations of abuse of Iraqi citizens by British service personnel</w:t>
            </w:r>
            <w:r w:rsidR="00FD3D72">
              <w:rPr>
                <w:noProof/>
                <w:webHidden/>
              </w:rPr>
              <w:tab/>
            </w:r>
            <w:r w:rsidR="00FD3D72">
              <w:rPr>
                <w:noProof/>
                <w:webHidden/>
              </w:rPr>
              <w:fldChar w:fldCharType="begin"/>
            </w:r>
            <w:r w:rsidR="00FD3D72">
              <w:rPr>
                <w:noProof/>
                <w:webHidden/>
              </w:rPr>
              <w:instrText xml:space="preserve"> PAGEREF _Toc4061379 \h </w:instrText>
            </w:r>
            <w:r w:rsidR="00FD3D72">
              <w:rPr>
                <w:noProof/>
                <w:webHidden/>
              </w:rPr>
            </w:r>
            <w:r w:rsidR="00FD3D72">
              <w:rPr>
                <w:noProof/>
                <w:webHidden/>
              </w:rPr>
              <w:fldChar w:fldCharType="separate"/>
            </w:r>
            <w:r w:rsidR="00715412">
              <w:rPr>
                <w:noProof/>
                <w:webHidden/>
              </w:rPr>
              <w:t>14</w:t>
            </w:r>
            <w:r w:rsidR="00FD3D72">
              <w:rPr>
                <w:noProof/>
                <w:webHidden/>
              </w:rPr>
              <w:fldChar w:fldCharType="end"/>
            </w:r>
          </w:hyperlink>
        </w:p>
        <w:p w14:paraId="79D22F31" w14:textId="3F26DCE1" w:rsidR="00FD3D72" w:rsidRDefault="008C5E19" w:rsidP="00FD3D72">
          <w:pPr>
            <w:pStyle w:val="TOC3"/>
            <w:tabs>
              <w:tab w:val="right" w:leader="dot" w:pos="9016"/>
            </w:tabs>
            <w:rPr>
              <w:rFonts w:asciiTheme="minorHAnsi" w:eastAsiaTheme="minorEastAsia" w:hAnsiTheme="minorHAnsi" w:cstheme="minorBidi"/>
              <w:noProof/>
              <w:sz w:val="22"/>
              <w:lang w:eastAsia="en-GB"/>
            </w:rPr>
          </w:pPr>
          <w:hyperlink w:anchor="_Toc4061380" w:history="1">
            <w:r w:rsidR="00FD3D72" w:rsidRPr="00FC7309">
              <w:rPr>
                <w:rStyle w:val="Hyperlink"/>
                <w:noProof/>
              </w:rPr>
              <w:t>Consolidated Guidance</w:t>
            </w:r>
            <w:r w:rsidR="00FD3D72">
              <w:rPr>
                <w:noProof/>
                <w:webHidden/>
              </w:rPr>
              <w:tab/>
            </w:r>
            <w:r w:rsidR="00FD3D72">
              <w:rPr>
                <w:noProof/>
                <w:webHidden/>
              </w:rPr>
              <w:fldChar w:fldCharType="begin"/>
            </w:r>
            <w:r w:rsidR="00FD3D72">
              <w:rPr>
                <w:noProof/>
                <w:webHidden/>
              </w:rPr>
              <w:instrText xml:space="preserve"> PAGEREF _Toc4061380 \h </w:instrText>
            </w:r>
            <w:r w:rsidR="00FD3D72">
              <w:rPr>
                <w:noProof/>
                <w:webHidden/>
              </w:rPr>
            </w:r>
            <w:r w:rsidR="00FD3D72">
              <w:rPr>
                <w:noProof/>
                <w:webHidden/>
              </w:rPr>
              <w:fldChar w:fldCharType="separate"/>
            </w:r>
            <w:r w:rsidR="00715412">
              <w:rPr>
                <w:noProof/>
                <w:webHidden/>
              </w:rPr>
              <w:t>15</w:t>
            </w:r>
            <w:r w:rsidR="00FD3D72">
              <w:rPr>
                <w:noProof/>
                <w:webHidden/>
              </w:rPr>
              <w:fldChar w:fldCharType="end"/>
            </w:r>
          </w:hyperlink>
        </w:p>
        <w:p w14:paraId="0F6963BD" w14:textId="4C2C8356" w:rsidR="00FD3D72" w:rsidRDefault="008C5E19" w:rsidP="00D979ED">
          <w:pPr>
            <w:pStyle w:val="TOC1"/>
            <w:rPr>
              <w:rFonts w:asciiTheme="minorHAnsi" w:eastAsiaTheme="minorEastAsia" w:hAnsiTheme="minorHAnsi" w:cstheme="minorBidi"/>
              <w:sz w:val="22"/>
              <w:lang w:eastAsia="en-GB"/>
            </w:rPr>
          </w:pPr>
          <w:hyperlink w:anchor="_Toc4061382" w:history="1">
            <w:r w:rsidR="00FD3D72" w:rsidRPr="00FC7309">
              <w:rPr>
                <w:rStyle w:val="Hyperlink"/>
              </w:rPr>
              <w:t>3. Impact of legal aid reforms on access to justice</w:t>
            </w:r>
            <w:r w:rsidR="00FD3D72">
              <w:rPr>
                <w:webHidden/>
              </w:rPr>
              <w:tab/>
            </w:r>
            <w:r w:rsidR="00FD3D72">
              <w:rPr>
                <w:webHidden/>
              </w:rPr>
              <w:fldChar w:fldCharType="begin"/>
            </w:r>
            <w:r w:rsidR="00FD3D72">
              <w:rPr>
                <w:webHidden/>
              </w:rPr>
              <w:instrText xml:space="preserve"> PAGEREF _Toc4061382 \h </w:instrText>
            </w:r>
            <w:r w:rsidR="00FD3D72">
              <w:rPr>
                <w:webHidden/>
              </w:rPr>
            </w:r>
            <w:r w:rsidR="00FD3D72">
              <w:rPr>
                <w:webHidden/>
              </w:rPr>
              <w:fldChar w:fldCharType="separate"/>
            </w:r>
            <w:r w:rsidR="00715412">
              <w:rPr>
                <w:webHidden/>
              </w:rPr>
              <w:t>17</w:t>
            </w:r>
            <w:r w:rsidR="00FD3D72">
              <w:rPr>
                <w:webHidden/>
              </w:rPr>
              <w:fldChar w:fldCharType="end"/>
            </w:r>
          </w:hyperlink>
        </w:p>
        <w:p w14:paraId="592403BA" w14:textId="300A2551"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383" w:history="1">
            <w:r w:rsidR="00FD3D72" w:rsidRPr="00FC7309">
              <w:rPr>
                <w:rStyle w:val="Hyperlink"/>
                <w:noProof/>
              </w:rPr>
              <w:t>Domestic violence and abuse</w:t>
            </w:r>
            <w:r w:rsidR="00FD3D72">
              <w:rPr>
                <w:noProof/>
                <w:webHidden/>
              </w:rPr>
              <w:tab/>
            </w:r>
            <w:r w:rsidR="00FD3D72">
              <w:rPr>
                <w:noProof/>
                <w:webHidden/>
              </w:rPr>
              <w:fldChar w:fldCharType="begin"/>
            </w:r>
            <w:r w:rsidR="00FD3D72">
              <w:rPr>
                <w:noProof/>
                <w:webHidden/>
              </w:rPr>
              <w:instrText xml:space="preserve"> PAGEREF _Toc4061383 \h </w:instrText>
            </w:r>
            <w:r w:rsidR="00FD3D72">
              <w:rPr>
                <w:noProof/>
                <w:webHidden/>
              </w:rPr>
            </w:r>
            <w:r w:rsidR="00FD3D72">
              <w:rPr>
                <w:noProof/>
                <w:webHidden/>
              </w:rPr>
              <w:fldChar w:fldCharType="separate"/>
            </w:r>
            <w:r w:rsidR="00715412">
              <w:rPr>
                <w:noProof/>
                <w:webHidden/>
              </w:rPr>
              <w:t>17</w:t>
            </w:r>
            <w:r w:rsidR="00FD3D72">
              <w:rPr>
                <w:noProof/>
                <w:webHidden/>
              </w:rPr>
              <w:fldChar w:fldCharType="end"/>
            </w:r>
          </w:hyperlink>
        </w:p>
        <w:p w14:paraId="55AFEE01" w14:textId="776E8A7A"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384" w:history="1">
            <w:r w:rsidR="00FD3D72" w:rsidRPr="00FC7309">
              <w:rPr>
                <w:rStyle w:val="Hyperlink"/>
                <w:noProof/>
              </w:rPr>
              <w:t>Immigration law</w:t>
            </w:r>
            <w:r w:rsidR="00FD3D72">
              <w:rPr>
                <w:noProof/>
                <w:webHidden/>
              </w:rPr>
              <w:tab/>
            </w:r>
            <w:r w:rsidR="00FD3D72">
              <w:rPr>
                <w:noProof/>
                <w:webHidden/>
              </w:rPr>
              <w:fldChar w:fldCharType="begin"/>
            </w:r>
            <w:r w:rsidR="00FD3D72">
              <w:rPr>
                <w:noProof/>
                <w:webHidden/>
              </w:rPr>
              <w:instrText xml:space="preserve"> PAGEREF _Toc4061384 \h </w:instrText>
            </w:r>
            <w:r w:rsidR="00FD3D72">
              <w:rPr>
                <w:noProof/>
                <w:webHidden/>
              </w:rPr>
            </w:r>
            <w:r w:rsidR="00FD3D72">
              <w:rPr>
                <w:noProof/>
                <w:webHidden/>
              </w:rPr>
              <w:fldChar w:fldCharType="separate"/>
            </w:r>
            <w:r w:rsidR="00715412">
              <w:rPr>
                <w:noProof/>
                <w:webHidden/>
              </w:rPr>
              <w:t>18</w:t>
            </w:r>
            <w:r w:rsidR="00FD3D72">
              <w:rPr>
                <w:noProof/>
                <w:webHidden/>
              </w:rPr>
              <w:fldChar w:fldCharType="end"/>
            </w:r>
          </w:hyperlink>
        </w:p>
        <w:p w14:paraId="1BB91721" w14:textId="7202A69D" w:rsidR="00FD3D72" w:rsidRDefault="008C5E19" w:rsidP="00FD3D72">
          <w:pPr>
            <w:pStyle w:val="TOC3"/>
            <w:tabs>
              <w:tab w:val="right" w:leader="dot" w:pos="9016"/>
            </w:tabs>
            <w:rPr>
              <w:rFonts w:asciiTheme="minorHAnsi" w:eastAsiaTheme="minorEastAsia" w:hAnsiTheme="minorHAnsi" w:cstheme="minorBidi"/>
              <w:noProof/>
              <w:sz w:val="22"/>
              <w:lang w:eastAsia="en-GB"/>
            </w:rPr>
          </w:pPr>
          <w:hyperlink w:anchor="_Toc4061385" w:history="1">
            <w:r w:rsidR="00FD3D72" w:rsidRPr="00FC7309">
              <w:rPr>
                <w:rStyle w:val="Hyperlink"/>
                <w:noProof/>
              </w:rPr>
              <w:t>Exceptional case funding</w:t>
            </w:r>
            <w:r w:rsidR="00FD3D72">
              <w:rPr>
                <w:noProof/>
                <w:webHidden/>
              </w:rPr>
              <w:tab/>
            </w:r>
            <w:r w:rsidR="00FD3D72">
              <w:rPr>
                <w:noProof/>
                <w:webHidden/>
              </w:rPr>
              <w:fldChar w:fldCharType="begin"/>
            </w:r>
            <w:r w:rsidR="00FD3D72">
              <w:rPr>
                <w:noProof/>
                <w:webHidden/>
              </w:rPr>
              <w:instrText xml:space="preserve"> PAGEREF _Toc4061385 \h </w:instrText>
            </w:r>
            <w:r w:rsidR="00FD3D72">
              <w:rPr>
                <w:noProof/>
                <w:webHidden/>
              </w:rPr>
            </w:r>
            <w:r w:rsidR="00FD3D72">
              <w:rPr>
                <w:noProof/>
                <w:webHidden/>
              </w:rPr>
              <w:fldChar w:fldCharType="separate"/>
            </w:r>
            <w:r w:rsidR="00715412">
              <w:rPr>
                <w:noProof/>
                <w:webHidden/>
              </w:rPr>
              <w:t>19</w:t>
            </w:r>
            <w:r w:rsidR="00FD3D72">
              <w:rPr>
                <w:noProof/>
                <w:webHidden/>
              </w:rPr>
              <w:fldChar w:fldCharType="end"/>
            </w:r>
          </w:hyperlink>
        </w:p>
        <w:p w14:paraId="26B915BF" w14:textId="341BCCF3" w:rsidR="00FD3D72" w:rsidRDefault="008C5E19" w:rsidP="00D979ED">
          <w:pPr>
            <w:pStyle w:val="TOC1"/>
            <w:rPr>
              <w:rFonts w:asciiTheme="minorHAnsi" w:eastAsiaTheme="minorEastAsia" w:hAnsiTheme="minorHAnsi" w:cstheme="minorBidi"/>
              <w:sz w:val="22"/>
              <w:lang w:eastAsia="en-GB"/>
            </w:rPr>
          </w:pPr>
          <w:hyperlink w:anchor="_Toc4061387" w:history="1">
            <w:r w:rsidR="00FD3D72" w:rsidRPr="00FC7309">
              <w:rPr>
                <w:rStyle w:val="Hyperlink"/>
              </w:rPr>
              <w:t>4. Human trafficking and modern slavery</w:t>
            </w:r>
            <w:r w:rsidR="00FD3D72">
              <w:rPr>
                <w:webHidden/>
              </w:rPr>
              <w:tab/>
            </w:r>
            <w:r w:rsidR="00FD3D72">
              <w:rPr>
                <w:webHidden/>
              </w:rPr>
              <w:fldChar w:fldCharType="begin"/>
            </w:r>
            <w:r w:rsidR="00FD3D72">
              <w:rPr>
                <w:webHidden/>
              </w:rPr>
              <w:instrText xml:space="preserve"> PAGEREF _Toc4061387 \h </w:instrText>
            </w:r>
            <w:r w:rsidR="00FD3D72">
              <w:rPr>
                <w:webHidden/>
              </w:rPr>
            </w:r>
            <w:r w:rsidR="00FD3D72">
              <w:rPr>
                <w:webHidden/>
              </w:rPr>
              <w:fldChar w:fldCharType="separate"/>
            </w:r>
            <w:r w:rsidR="00715412">
              <w:rPr>
                <w:webHidden/>
              </w:rPr>
              <w:t>22</w:t>
            </w:r>
            <w:r w:rsidR="00FD3D72">
              <w:rPr>
                <w:webHidden/>
              </w:rPr>
              <w:fldChar w:fldCharType="end"/>
            </w:r>
          </w:hyperlink>
        </w:p>
        <w:p w14:paraId="2584022D" w14:textId="6BCC7B1E"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388" w:history="1">
            <w:r w:rsidR="00FD3D72" w:rsidRPr="00FC7309">
              <w:rPr>
                <w:rStyle w:val="Hyperlink"/>
                <w:noProof/>
              </w:rPr>
              <w:t>Addressing shortcomings in the Modern Slavery Act</w:t>
            </w:r>
            <w:r w:rsidR="00FD3D72">
              <w:rPr>
                <w:noProof/>
                <w:webHidden/>
              </w:rPr>
              <w:tab/>
            </w:r>
            <w:r w:rsidR="00FD3D72">
              <w:rPr>
                <w:noProof/>
                <w:webHidden/>
              </w:rPr>
              <w:fldChar w:fldCharType="begin"/>
            </w:r>
            <w:r w:rsidR="00FD3D72">
              <w:rPr>
                <w:noProof/>
                <w:webHidden/>
              </w:rPr>
              <w:instrText xml:space="preserve"> PAGEREF _Toc4061388 \h </w:instrText>
            </w:r>
            <w:r w:rsidR="00FD3D72">
              <w:rPr>
                <w:noProof/>
                <w:webHidden/>
              </w:rPr>
            </w:r>
            <w:r w:rsidR="00FD3D72">
              <w:rPr>
                <w:noProof/>
                <w:webHidden/>
              </w:rPr>
              <w:fldChar w:fldCharType="separate"/>
            </w:r>
            <w:r w:rsidR="00715412">
              <w:rPr>
                <w:noProof/>
                <w:webHidden/>
              </w:rPr>
              <w:t>22</w:t>
            </w:r>
            <w:r w:rsidR="00FD3D72">
              <w:rPr>
                <w:noProof/>
                <w:webHidden/>
              </w:rPr>
              <w:fldChar w:fldCharType="end"/>
            </w:r>
          </w:hyperlink>
        </w:p>
        <w:p w14:paraId="54543E41" w14:textId="64C77979"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389" w:history="1">
            <w:r w:rsidR="00FD3D72" w:rsidRPr="00FC7309">
              <w:rPr>
                <w:rStyle w:val="Hyperlink"/>
                <w:noProof/>
              </w:rPr>
              <w:t>Abuse of migrant domestic workers</w:t>
            </w:r>
            <w:r w:rsidR="00FD3D72">
              <w:rPr>
                <w:noProof/>
                <w:webHidden/>
              </w:rPr>
              <w:tab/>
            </w:r>
            <w:r w:rsidR="00FD3D72">
              <w:rPr>
                <w:noProof/>
                <w:webHidden/>
              </w:rPr>
              <w:fldChar w:fldCharType="begin"/>
            </w:r>
            <w:r w:rsidR="00FD3D72">
              <w:rPr>
                <w:noProof/>
                <w:webHidden/>
              </w:rPr>
              <w:instrText xml:space="preserve"> PAGEREF _Toc4061389 \h </w:instrText>
            </w:r>
            <w:r w:rsidR="00FD3D72">
              <w:rPr>
                <w:noProof/>
                <w:webHidden/>
              </w:rPr>
            </w:r>
            <w:r w:rsidR="00FD3D72">
              <w:rPr>
                <w:noProof/>
                <w:webHidden/>
              </w:rPr>
              <w:fldChar w:fldCharType="separate"/>
            </w:r>
            <w:r w:rsidR="00715412">
              <w:rPr>
                <w:noProof/>
                <w:webHidden/>
              </w:rPr>
              <w:t>24</w:t>
            </w:r>
            <w:r w:rsidR="00FD3D72">
              <w:rPr>
                <w:noProof/>
                <w:webHidden/>
              </w:rPr>
              <w:fldChar w:fldCharType="end"/>
            </w:r>
          </w:hyperlink>
        </w:p>
        <w:p w14:paraId="3EE52F83" w14:textId="3F6CFC8F"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390" w:history="1">
            <w:r w:rsidR="00FD3D72" w:rsidRPr="00FC7309">
              <w:rPr>
                <w:rStyle w:val="Hyperlink"/>
                <w:noProof/>
              </w:rPr>
              <w:t>Weakness in the powers of the Independent Anti-Slavery Commissioner</w:t>
            </w:r>
            <w:r w:rsidR="00FD3D72">
              <w:rPr>
                <w:noProof/>
                <w:webHidden/>
              </w:rPr>
              <w:tab/>
            </w:r>
            <w:r w:rsidR="00FD3D72">
              <w:rPr>
                <w:noProof/>
                <w:webHidden/>
              </w:rPr>
              <w:fldChar w:fldCharType="begin"/>
            </w:r>
            <w:r w:rsidR="00FD3D72">
              <w:rPr>
                <w:noProof/>
                <w:webHidden/>
              </w:rPr>
              <w:instrText xml:space="preserve"> PAGEREF _Toc4061390 \h </w:instrText>
            </w:r>
            <w:r w:rsidR="00FD3D72">
              <w:rPr>
                <w:noProof/>
                <w:webHidden/>
              </w:rPr>
            </w:r>
            <w:r w:rsidR="00FD3D72">
              <w:rPr>
                <w:noProof/>
                <w:webHidden/>
              </w:rPr>
              <w:fldChar w:fldCharType="separate"/>
            </w:r>
            <w:r w:rsidR="00715412">
              <w:rPr>
                <w:noProof/>
                <w:webHidden/>
              </w:rPr>
              <w:t>24</w:t>
            </w:r>
            <w:r w:rsidR="00FD3D72">
              <w:rPr>
                <w:noProof/>
                <w:webHidden/>
              </w:rPr>
              <w:fldChar w:fldCharType="end"/>
            </w:r>
          </w:hyperlink>
        </w:p>
        <w:p w14:paraId="795C7DA4" w14:textId="5476162A"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391" w:history="1">
            <w:r w:rsidR="00FD3D72" w:rsidRPr="00FC7309">
              <w:rPr>
                <w:rStyle w:val="Hyperlink"/>
                <w:noProof/>
              </w:rPr>
              <w:t>Strengthening the operation of the NRM</w:t>
            </w:r>
            <w:r w:rsidR="00FD3D72">
              <w:rPr>
                <w:noProof/>
                <w:webHidden/>
              </w:rPr>
              <w:tab/>
            </w:r>
            <w:r w:rsidR="00FD3D72">
              <w:rPr>
                <w:noProof/>
                <w:webHidden/>
              </w:rPr>
              <w:fldChar w:fldCharType="begin"/>
            </w:r>
            <w:r w:rsidR="00FD3D72">
              <w:rPr>
                <w:noProof/>
                <w:webHidden/>
              </w:rPr>
              <w:instrText xml:space="preserve"> PAGEREF _Toc4061391 \h </w:instrText>
            </w:r>
            <w:r w:rsidR="00FD3D72">
              <w:rPr>
                <w:noProof/>
                <w:webHidden/>
              </w:rPr>
            </w:r>
            <w:r w:rsidR="00FD3D72">
              <w:rPr>
                <w:noProof/>
                <w:webHidden/>
              </w:rPr>
              <w:fldChar w:fldCharType="separate"/>
            </w:r>
            <w:r w:rsidR="00715412">
              <w:rPr>
                <w:noProof/>
                <w:webHidden/>
              </w:rPr>
              <w:t>25</w:t>
            </w:r>
            <w:r w:rsidR="00FD3D72">
              <w:rPr>
                <w:noProof/>
                <w:webHidden/>
              </w:rPr>
              <w:fldChar w:fldCharType="end"/>
            </w:r>
          </w:hyperlink>
        </w:p>
        <w:p w14:paraId="611CEFE1" w14:textId="33F94AEA" w:rsidR="00FD3D72" w:rsidRDefault="008C5E19" w:rsidP="00FD3D72">
          <w:pPr>
            <w:pStyle w:val="TOC3"/>
            <w:tabs>
              <w:tab w:val="right" w:leader="dot" w:pos="9016"/>
            </w:tabs>
            <w:rPr>
              <w:rFonts w:asciiTheme="minorHAnsi" w:eastAsiaTheme="minorEastAsia" w:hAnsiTheme="minorHAnsi" w:cstheme="minorBidi"/>
              <w:noProof/>
              <w:sz w:val="22"/>
              <w:lang w:eastAsia="en-GB"/>
            </w:rPr>
          </w:pPr>
          <w:hyperlink w:anchor="_Toc4061392" w:history="1">
            <w:r w:rsidR="00FD3D72" w:rsidRPr="00FC7309">
              <w:rPr>
                <w:rStyle w:val="Hyperlink"/>
                <w:noProof/>
              </w:rPr>
              <w:t>Reporting obligations</w:t>
            </w:r>
            <w:r w:rsidR="00FD3D72">
              <w:rPr>
                <w:noProof/>
                <w:webHidden/>
              </w:rPr>
              <w:tab/>
            </w:r>
            <w:r w:rsidR="00FD3D72">
              <w:rPr>
                <w:noProof/>
                <w:webHidden/>
              </w:rPr>
              <w:fldChar w:fldCharType="begin"/>
            </w:r>
            <w:r w:rsidR="00FD3D72">
              <w:rPr>
                <w:noProof/>
                <w:webHidden/>
              </w:rPr>
              <w:instrText xml:space="preserve"> PAGEREF _Toc4061392 \h </w:instrText>
            </w:r>
            <w:r w:rsidR="00FD3D72">
              <w:rPr>
                <w:noProof/>
                <w:webHidden/>
              </w:rPr>
            </w:r>
            <w:r w:rsidR="00FD3D72">
              <w:rPr>
                <w:noProof/>
                <w:webHidden/>
              </w:rPr>
              <w:fldChar w:fldCharType="separate"/>
            </w:r>
            <w:r w:rsidR="00715412">
              <w:rPr>
                <w:noProof/>
                <w:webHidden/>
              </w:rPr>
              <w:t>25</w:t>
            </w:r>
            <w:r w:rsidR="00FD3D72">
              <w:rPr>
                <w:noProof/>
                <w:webHidden/>
              </w:rPr>
              <w:fldChar w:fldCharType="end"/>
            </w:r>
          </w:hyperlink>
        </w:p>
        <w:p w14:paraId="56C61980" w14:textId="28DF504F" w:rsidR="00FD3D72" w:rsidRDefault="008C5E19" w:rsidP="00D979ED">
          <w:pPr>
            <w:pStyle w:val="TOC1"/>
            <w:rPr>
              <w:rFonts w:asciiTheme="minorHAnsi" w:eastAsiaTheme="minorEastAsia" w:hAnsiTheme="minorHAnsi" w:cstheme="minorBidi"/>
              <w:sz w:val="22"/>
              <w:lang w:eastAsia="en-GB"/>
            </w:rPr>
          </w:pPr>
          <w:hyperlink w:anchor="_Toc4061394" w:history="1">
            <w:r w:rsidR="00FD3D72" w:rsidRPr="00FC7309">
              <w:rPr>
                <w:rStyle w:val="Hyperlink"/>
              </w:rPr>
              <w:t>5. The National Preventive Mechanism</w:t>
            </w:r>
            <w:r w:rsidR="00FD3D72">
              <w:rPr>
                <w:webHidden/>
              </w:rPr>
              <w:tab/>
            </w:r>
            <w:r w:rsidR="00FD3D72">
              <w:rPr>
                <w:webHidden/>
              </w:rPr>
              <w:fldChar w:fldCharType="begin"/>
            </w:r>
            <w:r w:rsidR="00FD3D72">
              <w:rPr>
                <w:webHidden/>
              </w:rPr>
              <w:instrText xml:space="preserve"> PAGEREF _Toc4061394 \h </w:instrText>
            </w:r>
            <w:r w:rsidR="00FD3D72">
              <w:rPr>
                <w:webHidden/>
              </w:rPr>
            </w:r>
            <w:r w:rsidR="00FD3D72">
              <w:rPr>
                <w:webHidden/>
              </w:rPr>
              <w:fldChar w:fldCharType="separate"/>
            </w:r>
            <w:r w:rsidR="00715412">
              <w:rPr>
                <w:webHidden/>
              </w:rPr>
              <w:t>27</w:t>
            </w:r>
            <w:r w:rsidR="00FD3D72">
              <w:rPr>
                <w:webHidden/>
              </w:rPr>
              <w:fldChar w:fldCharType="end"/>
            </w:r>
          </w:hyperlink>
        </w:p>
        <w:p w14:paraId="08CD1819" w14:textId="3DD0F728" w:rsidR="00FD3D72" w:rsidRDefault="008C5E19" w:rsidP="00D979ED">
          <w:pPr>
            <w:pStyle w:val="TOC1"/>
            <w:rPr>
              <w:rFonts w:asciiTheme="minorHAnsi" w:eastAsiaTheme="minorEastAsia" w:hAnsiTheme="minorHAnsi" w:cstheme="minorBidi"/>
              <w:sz w:val="22"/>
              <w:lang w:eastAsia="en-GB"/>
            </w:rPr>
          </w:pPr>
          <w:hyperlink w:anchor="_Toc4061396" w:history="1">
            <w:r w:rsidR="00FD3D72" w:rsidRPr="00FC7309">
              <w:rPr>
                <w:rStyle w:val="Hyperlink"/>
              </w:rPr>
              <w:t>6. Conditions of detention</w:t>
            </w:r>
            <w:r w:rsidR="00FD3D72">
              <w:rPr>
                <w:webHidden/>
              </w:rPr>
              <w:tab/>
            </w:r>
            <w:r w:rsidR="00FD3D72">
              <w:rPr>
                <w:webHidden/>
              </w:rPr>
              <w:fldChar w:fldCharType="begin"/>
            </w:r>
            <w:r w:rsidR="00FD3D72">
              <w:rPr>
                <w:webHidden/>
              </w:rPr>
              <w:instrText xml:space="preserve"> PAGEREF _Toc4061396 \h </w:instrText>
            </w:r>
            <w:r w:rsidR="00FD3D72">
              <w:rPr>
                <w:webHidden/>
              </w:rPr>
            </w:r>
            <w:r w:rsidR="00FD3D72">
              <w:rPr>
                <w:webHidden/>
              </w:rPr>
              <w:fldChar w:fldCharType="separate"/>
            </w:r>
            <w:r w:rsidR="00715412">
              <w:rPr>
                <w:webHidden/>
              </w:rPr>
              <w:t>29</w:t>
            </w:r>
            <w:r w:rsidR="00FD3D72">
              <w:rPr>
                <w:webHidden/>
              </w:rPr>
              <w:fldChar w:fldCharType="end"/>
            </w:r>
          </w:hyperlink>
        </w:p>
        <w:p w14:paraId="3F222D55" w14:textId="553CB783" w:rsidR="00FD3D72" w:rsidRPr="00D979ED" w:rsidRDefault="008C5E19" w:rsidP="00D979ED">
          <w:pPr>
            <w:pStyle w:val="TOC2"/>
            <w:rPr>
              <w:rFonts w:asciiTheme="minorHAnsi" w:eastAsiaTheme="minorEastAsia" w:hAnsiTheme="minorHAnsi" w:cstheme="minorBidi"/>
              <w:sz w:val="22"/>
              <w:lang w:eastAsia="en-GB"/>
            </w:rPr>
          </w:pPr>
          <w:hyperlink w:anchor="_Toc4061397" w:history="1">
            <w:r w:rsidR="00FD3D72" w:rsidRPr="00D979ED">
              <w:rPr>
                <w:rStyle w:val="Hyperlink"/>
              </w:rPr>
              <w:t>6.1. Prisons and the youth custodial estate</w:t>
            </w:r>
            <w:r w:rsidR="00FD3D72" w:rsidRPr="00D979ED">
              <w:rPr>
                <w:webHidden/>
              </w:rPr>
              <w:tab/>
            </w:r>
            <w:r w:rsidR="00FD3D72" w:rsidRPr="00D979ED">
              <w:rPr>
                <w:webHidden/>
              </w:rPr>
              <w:fldChar w:fldCharType="begin"/>
            </w:r>
            <w:r w:rsidR="00FD3D72" w:rsidRPr="00D979ED">
              <w:rPr>
                <w:webHidden/>
              </w:rPr>
              <w:instrText xml:space="preserve"> PAGEREF _Toc4061397 \h </w:instrText>
            </w:r>
            <w:r w:rsidR="00FD3D72" w:rsidRPr="00D979ED">
              <w:rPr>
                <w:webHidden/>
              </w:rPr>
            </w:r>
            <w:r w:rsidR="00FD3D72" w:rsidRPr="00D979ED">
              <w:rPr>
                <w:webHidden/>
              </w:rPr>
              <w:fldChar w:fldCharType="separate"/>
            </w:r>
            <w:r w:rsidR="00715412">
              <w:rPr>
                <w:webHidden/>
              </w:rPr>
              <w:t>29</w:t>
            </w:r>
            <w:r w:rsidR="00FD3D72" w:rsidRPr="00D979ED">
              <w:rPr>
                <w:webHidden/>
              </w:rPr>
              <w:fldChar w:fldCharType="end"/>
            </w:r>
          </w:hyperlink>
        </w:p>
        <w:p w14:paraId="1D31DCD7" w14:textId="107FB0CF"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398" w:history="1">
            <w:r w:rsidR="00FD3D72" w:rsidRPr="00FC7309">
              <w:rPr>
                <w:rStyle w:val="Hyperlink"/>
                <w:noProof/>
              </w:rPr>
              <w:t>Conditions in the adult estate</w:t>
            </w:r>
            <w:r w:rsidR="00FD3D72">
              <w:rPr>
                <w:noProof/>
                <w:webHidden/>
              </w:rPr>
              <w:tab/>
            </w:r>
            <w:r w:rsidR="00FD3D72">
              <w:rPr>
                <w:noProof/>
                <w:webHidden/>
              </w:rPr>
              <w:fldChar w:fldCharType="begin"/>
            </w:r>
            <w:r w:rsidR="00FD3D72">
              <w:rPr>
                <w:noProof/>
                <w:webHidden/>
              </w:rPr>
              <w:instrText xml:space="preserve"> PAGEREF _Toc4061398 \h </w:instrText>
            </w:r>
            <w:r w:rsidR="00FD3D72">
              <w:rPr>
                <w:noProof/>
                <w:webHidden/>
              </w:rPr>
            </w:r>
            <w:r w:rsidR="00FD3D72">
              <w:rPr>
                <w:noProof/>
                <w:webHidden/>
              </w:rPr>
              <w:fldChar w:fldCharType="separate"/>
            </w:r>
            <w:r w:rsidR="00715412">
              <w:rPr>
                <w:noProof/>
                <w:webHidden/>
              </w:rPr>
              <w:t>29</w:t>
            </w:r>
            <w:r w:rsidR="00FD3D72">
              <w:rPr>
                <w:noProof/>
                <w:webHidden/>
              </w:rPr>
              <w:fldChar w:fldCharType="end"/>
            </w:r>
          </w:hyperlink>
        </w:p>
        <w:p w14:paraId="1CF1D81C" w14:textId="022D73A4"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399" w:history="1">
            <w:r w:rsidR="00FD3D72" w:rsidRPr="00FC7309">
              <w:rPr>
                <w:rStyle w:val="Hyperlink"/>
                <w:noProof/>
                <w:lang w:eastAsia="en-GB"/>
              </w:rPr>
              <w:t>Conditions in the youth estate</w:t>
            </w:r>
            <w:r w:rsidR="00FD3D72">
              <w:rPr>
                <w:noProof/>
                <w:webHidden/>
              </w:rPr>
              <w:tab/>
            </w:r>
            <w:r w:rsidR="00FD3D72">
              <w:rPr>
                <w:noProof/>
                <w:webHidden/>
              </w:rPr>
              <w:fldChar w:fldCharType="begin"/>
            </w:r>
            <w:r w:rsidR="00FD3D72">
              <w:rPr>
                <w:noProof/>
                <w:webHidden/>
              </w:rPr>
              <w:instrText xml:space="preserve"> PAGEREF _Toc4061399 \h </w:instrText>
            </w:r>
            <w:r w:rsidR="00FD3D72">
              <w:rPr>
                <w:noProof/>
                <w:webHidden/>
              </w:rPr>
            </w:r>
            <w:r w:rsidR="00FD3D72">
              <w:rPr>
                <w:noProof/>
                <w:webHidden/>
              </w:rPr>
              <w:fldChar w:fldCharType="separate"/>
            </w:r>
            <w:r w:rsidR="00715412">
              <w:rPr>
                <w:noProof/>
                <w:webHidden/>
              </w:rPr>
              <w:t>32</w:t>
            </w:r>
            <w:r w:rsidR="00FD3D72">
              <w:rPr>
                <w:noProof/>
                <w:webHidden/>
              </w:rPr>
              <w:fldChar w:fldCharType="end"/>
            </w:r>
          </w:hyperlink>
        </w:p>
        <w:p w14:paraId="60F7B718" w14:textId="127A6C97" w:rsidR="00FD3D72" w:rsidRDefault="008C5E19" w:rsidP="00FD3D72">
          <w:pPr>
            <w:pStyle w:val="TOC3"/>
            <w:tabs>
              <w:tab w:val="right" w:leader="dot" w:pos="9016"/>
            </w:tabs>
            <w:rPr>
              <w:rFonts w:asciiTheme="minorHAnsi" w:eastAsiaTheme="minorEastAsia" w:hAnsiTheme="minorHAnsi" w:cstheme="minorBidi"/>
              <w:noProof/>
              <w:sz w:val="22"/>
              <w:lang w:eastAsia="en-GB"/>
            </w:rPr>
          </w:pPr>
          <w:hyperlink w:anchor="_Toc4061400" w:history="1">
            <w:r w:rsidR="00FD3D72" w:rsidRPr="00FC7309">
              <w:rPr>
                <w:rStyle w:val="Hyperlink"/>
                <w:noProof/>
              </w:rPr>
              <w:t>Children held in police cells overnight</w:t>
            </w:r>
            <w:r w:rsidR="00FD3D72">
              <w:rPr>
                <w:noProof/>
                <w:webHidden/>
              </w:rPr>
              <w:tab/>
            </w:r>
            <w:r w:rsidR="00FD3D72">
              <w:rPr>
                <w:noProof/>
                <w:webHidden/>
              </w:rPr>
              <w:fldChar w:fldCharType="begin"/>
            </w:r>
            <w:r w:rsidR="00FD3D72">
              <w:rPr>
                <w:noProof/>
                <w:webHidden/>
              </w:rPr>
              <w:instrText xml:space="preserve"> PAGEREF _Toc4061400 \h </w:instrText>
            </w:r>
            <w:r w:rsidR="00FD3D72">
              <w:rPr>
                <w:noProof/>
                <w:webHidden/>
              </w:rPr>
            </w:r>
            <w:r w:rsidR="00FD3D72">
              <w:rPr>
                <w:noProof/>
                <w:webHidden/>
              </w:rPr>
              <w:fldChar w:fldCharType="separate"/>
            </w:r>
            <w:r w:rsidR="00715412">
              <w:rPr>
                <w:noProof/>
                <w:webHidden/>
              </w:rPr>
              <w:t>34</w:t>
            </w:r>
            <w:r w:rsidR="00FD3D72">
              <w:rPr>
                <w:noProof/>
                <w:webHidden/>
              </w:rPr>
              <w:fldChar w:fldCharType="end"/>
            </w:r>
          </w:hyperlink>
        </w:p>
        <w:p w14:paraId="1A380AEF" w14:textId="2C47C9CE" w:rsidR="00FD3D72" w:rsidRPr="00D979ED" w:rsidRDefault="008C5E19" w:rsidP="00D979ED">
          <w:pPr>
            <w:pStyle w:val="TOC2"/>
            <w:rPr>
              <w:rFonts w:asciiTheme="minorHAnsi" w:eastAsiaTheme="minorEastAsia" w:hAnsiTheme="minorHAnsi" w:cstheme="minorBidi"/>
              <w:sz w:val="22"/>
              <w:lang w:eastAsia="en-GB"/>
            </w:rPr>
          </w:pPr>
          <w:hyperlink w:anchor="_Toc4061402" w:history="1">
            <w:r w:rsidR="00FD3D72" w:rsidRPr="00D979ED">
              <w:rPr>
                <w:rStyle w:val="Hyperlink"/>
              </w:rPr>
              <w:t>6.2. Immigration detention</w:t>
            </w:r>
            <w:r w:rsidR="00FD3D72" w:rsidRPr="00D979ED">
              <w:rPr>
                <w:webHidden/>
              </w:rPr>
              <w:tab/>
            </w:r>
            <w:r w:rsidR="00FD3D72" w:rsidRPr="00D979ED">
              <w:rPr>
                <w:webHidden/>
              </w:rPr>
              <w:fldChar w:fldCharType="begin"/>
            </w:r>
            <w:r w:rsidR="00FD3D72" w:rsidRPr="00D979ED">
              <w:rPr>
                <w:webHidden/>
              </w:rPr>
              <w:instrText xml:space="preserve"> PAGEREF _Toc4061402 \h </w:instrText>
            </w:r>
            <w:r w:rsidR="00FD3D72" w:rsidRPr="00D979ED">
              <w:rPr>
                <w:webHidden/>
              </w:rPr>
            </w:r>
            <w:r w:rsidR="00FD3D72" w:rsidRPr="00D979ED">
              <w:rPr>
                <w:webHidden/>
              </w:rPr>
              <w:fldChar w:fldCharType="separate"/>
            </w:r>
            <w:r w:rsidR="00715412">
              <w:rPr>
                <w:webHidden/>
              </w:rPr>
              <w:t>35</w:t>
            </w:r>
            <w:r w:rsidR="00FD3D72" w:rsidRPr="00D979ED">
              <w:rPr>
                <w:webHidden/>
              </w:rPr>
              <w:fldChar w:fldCharType="end"/>
            </w:r>
          </w:hyperlink>
        </w:p>
        <w:p w14:paraId="730825EC" w14:textId="2E49137E"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403" w:history="1">
            <w:r w:rsidR="00FD3D72" w:rsidRPr="00FC7309">
              <w:rPr>
                <w:rStyle w:val="Hyperlink"/>
                <w:noProof/>
              </w:rPr>
              <w:t>Indefinite detention</w:t>
            </w:r>
            <w:r w:rsidR="00FD3D72">
              <w:rPr>
                <w:noProof/>
                <w:webHidden/>
              </w:rPr>
              <w:tab/>
            </w:r>
            <w:r w:rsidR="00FD3D72">
              <w:rPr>
                <w:noProof/>
                <w:webHidden/>
              </w:rPr>
              <w:fldChar w:fldCharType="begin"/>
            </w:r>
            <w:r w:rsidR="00FD3D72">
              <w:rPr>
                <w:noProof/>
                <w:webHidden/>
              </w:rPr>
              <w:instrText xml:space="preserve"> PAGEREF _Toc4061403 \h </w:instrText>
            </w:r>
            <w:r w:rsidR="00FD3D72">
              <w:rPr>
                <w:noProof/>
                <w:webHidden/>
              </w:rPr>
            </w:r>
            <w:r w:rsidR="00FD3D72">
              <w:rPr>
                <w:noProof/>
                <w:webHidden/>
              </w:rPr>
              <w:fldChar w:fldCharType="separate"/>
            </w:r>
            <w:r w:rsidR="00715412">
              <w:rPr>
                <w:noProof/>
                <w:webHidden/>
              </w:rPr>
              <w:t>35</w:t>
            </w:r>
            <w:r w:rsidR="00FD3D72">
              <w:rPr>
                <w:noProof/>
                <w:webHidden/>
              </w:rPr>
              <w:fldChar w:fldCharType="end"/>
            </w:r>
          </w:hyperlink>
        </w:p>
        <w:p w14:paraId="1AA3CA4B" w14:textId="2005930A"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404" w:history="1">
            <w:r w:rsidR="00FD3D72" w:rsidRPr="00FC7309">
              <w:rPr>
                <w:rStyle w:val="Hyperlink"/>
                <w:noProof/>
              </w:rPr>
              <w:t>Conditions in detention</w:t>
            </w:r>
            <w:r w:rsidR="00FD3D72">
              <w:rPr>
                <w:noProof/>
                <w:webHidden/>
              </w:rPr>
              <w:tab/>
            </w:r>
            <w:r w:rsidR="00FD3D72">
              <w:rPr>
                <w:noProof/>
                <w:webHidden/>
              </w:rPr>
              <w:fldChar w:fldCharType="begin"/>
            </w:r>
            <w:r w:rsidR="00FD3D72">
              <w:rPr>
                <w:noProof/>
                <w:webHidden/>
              </w:rPr>
              <w:instrText xml:space="preserve"> PAGEREF _Toc4061404 \h </w:instrText>
            </w:r>
            <w:r w:rsidR="00FD3D72">
              <w:rPr>
                <w:noProof/>
                <w:webHidden/>
              </w:rPr>
            </w:r>
            <w:r w:rsidR="00FD3D72">
              <w:rPr>
                <w:noProof/>
                <w:webHidden/>
              </w:rPr>
              <w:fldChar w:fldCharType="separate"/>
            </w:r>
            <w:r w:rsidR="00715412">
              <w:rPr>
                <w:noProof/>
                <w:webHidden/>
              </w:rPr>
              <w:t>36</w:t>
            </w:r>
            <w:r w:rsidR="00FD3D72">
              <w:rPr>
                <w:noProof/>
                <w:webHidden/>
              </w:rPr>
              <w:fldChar w:fldCharType="end"/>
            </w:r>
          </w:hyperlink>
        </w:p>
        <w:p w14:paraId="103E71F7" w14:textId="7E8CBDF9" w:rsidR="00FD3D72" w:rsidRDefault="008C5E19" w:rsidP="00FD3D72">
          <w:pPr>
            <w:pStyle w:val="TOC3"/>
            <w:tabs>
              <w:tab w:val="right" w:leader="dot" w:pos="9016"/>
            </w:tabs>
            <w:rPr>
              <w:rFonts w:asciiTheme="minorHAnsi" w:eastAsiaTheme="minorEastAsia" w:hAnsiTheme="minorHAnsi" w:cstheme="minorBidi"/>
              <w:noProof/>
              <w:sz w:val="22"/>
              <w:lang w:eastAsia="en-GB"/>
            </w:rPr>
          </w:pPr>
          <w:hyperlink w:anchor="_Toc4061405" w:history="1">
            <w:r w:rsidR="00FD3D72" w:rsidRPr="00FC7309">
              <w:rPr>
                <w:rStyle w:val="Hyperlink"/>
                <w:noProof/>
                <w:lang w:val="en-US"/>
              </w:rPr>
              <w:t>Detention of torture survivors and other people at particular risk of harm</w:t>
            </w:r>
            <w:r w:rsidR="00FD3D72">
              <w:rPr>
                <w:noProof/>
                <w:webHidden/>
              </w:rPr>
              <w:tab/>
            </w:r>
            <w:r w:rsidR="00FD3D72">
              <w:rPr>
                <w:noProof/>
                <w:webHidden/>
              </w:rPr>
              <w:fldChar w:fldCharType="begin"/>
            </w:r>
            <w:r w:rsidR="00FD3D72">
              <w:rPr>
                <w:noProof/>
                <w:webHidden/>
              </w:rPr>
              <w:instrText xml:space="preserve"> PAGEREF _Toc4061405 \h </w:instrText>
            </w:r>
            <w:r w:rsidR="00FD3D72">
              <w:rPr>
                <w:noProof/>
                <w:webHidden/>
              </w:rPr>
            </w:r>
            <w:r w:rsidR="00FD3D72">
              <w:rPr>
                <w:noProof/>
                <w:webHidden/>
              </w:rPr>
              <w:fldChar w:fldCharType="separate"/>
            </w:r>
            <w:r w:rsidR="00715412">
              <w:rPr>
                <w:noProof/>
                <w:webHidden/>
              </w:rPr>
              <w:t>36</w:t>
            </w:r>
            <w:r w:rsidR="00FD3D72">
              <w:rPr>
                <w:noProof/>
                <w:webHidden/>
              </w:rPr>
              <w:fldChar w:fldCharType="end"/>
            </w:r>
          </w:hyperlink>
        </w:p>
        <w:p w14:paraId="46A6C39B" w14:textId="38EF75D1" w:rsidR="00FD3D72" w:rsidRDefault="008C5E19" w:rsidP="00D979ED">
          <w:pPr>
            <w:pStyle w:val="TOC2"/>
            <w:rPr>
              <w:rFonts w:asciiTheme="minorHAnsi" w:eastAsiaTheme="minorEastAsia" w:hAnsiTheme="minorHAnsi" w:cstheme="minorBidi"/>
              <w:sz w:val="22"/>
              <w:lang w:eastAsia="en-GB"/>
            </w:rPr>
          </w:pPr>
          <w:hyperlink w:anchor="_Toc4061407" w:history="1">
            <w:r w:rsidR="00FD3D72" w:rsidRPr="00FC7309">
              <w:rPr>
                <w:rStyle w:val="Hyperlink"/>
              </w:rPr>
              <w:t>6.3. Mental health detention</w:t>
            </w:r>
            <w:r w:rsidR="00FD3D72">
              <w:rPr>
                <w:webHidden/>
              </w:rPr>
              <w:tab/>
            </w:r>
            <w:r w:rsidR="00FD3D72">
              <w:rPr>
                <w:webHidden/>
              </w:rPr>
              <w:fldChar w:fldCharType="begin"/>
            </w:r>
            <w:r w:rsidR="00FD3D72">
              <w:rPr>
                <w:webHidden/>
              </w:rPr>
              <w:instrText xml:space="preserve"> PAGEREF _Toc4061407 \h </w:instrText>
            </w:r>
            <w:r w:rsidR="00FD3D72">
              <w:rPr>
                <w:webHidden/>
              </w:rPr>
            </w:r>
            <w:r w:rsidR="00FD3D72">
              <w:rPr>
                <w:webHidden/>
              </w:rPr>
              <w:fldChar w:fldCharType="separate"/>
            </w:r>
            <w:r w:rsidR="00715412">
              <w:rPr>
                <w:webHidden/>
              </w:rPr>
              <w:t>39</w:t>
            </w:r>
            <w:r w:rsidR="00FD3D72">
              <w:rPr>
                <w:webHidden/>
              </w:rPr>
              <w:fldChar w:fldCharType="end"/>
            </w:r>
          </w:hyperlink>
        </w:p>
        <w:p w14:paraId="06AAF7F7" w14:textId="51E76245"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408" w:history="1">
            <w:r w:rsidR="00FD3D72" w:rsidRPr="00FC7309">
              <w:rPr>
                <w:rStyle w:val="Hyperlink"/>
                <w:noProof/>
              </w:rPr>
              <w:t>Increasing use of mental health detention</w:t>
            </w:r>
            <w:r w:rsidR="00FD3D72">
              <w:rPr>
                <w:noProof/>
                <w:webHidden/>
              </w:rPr>
              <w:tab/>
            </w:r>
            <w:r w:rsidR="00FD3D72">
              <w:rPr>
                <w:noProof/>
                <w:webHidden/>
              </w:rPr>
              <w:fldChar w:fldCharType="begin"/>
            </w:r>
            <w:r w:rsidR="00FD3D72">
              <w:rPr>
                <w:noProof/>
                <w:webHidden/>
              </w:rPr>
              <w:instrText xml:space="preserve"> PAGEREF _Toc4061408 \h </w:instrText>
            </w:r>
            <w:r w:rsidR="00FD3D72">
              <w:rPr>
                <w:noProof/>
                <w:webHidden/>
              </w:rPr>
            </w:r>
            <w:r w:rsidR="00FD3D72">
              <w:rPr>
                <w:noProof/>
                <w:webHidden/>
              </w:rPr>
              <w:fldChar w:fldCharType="separate"/>
            </w:r>
            <w:r w:rsidR="00715412">
              <w:rPr>
                <w:noProof/>
                <w:webHidden/>
              </w:rPr>
              <w:t>39</w:t>
            </w:r>
            <w:r w:rsidR="00FD3D72">
              <w:rPr>
                <w:noProof/>
                <w:webHidden/>
              </w:rPr>
              <w:fldChar w:fldCharType="end"/>
            </w:r>
          </w:hyperlink>
        </w:p>
        <w:p w14:paraId="67F76C5C" w14:textId="24CA6C0F"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409" w:history="1">
            <w:r w:rsidR="00FD3D72" w:rsidRPr="00FC7309">
              <w:rPr>
                <w:rStyle w:val="Hyperlink"/>
                <w:noProof/>
              </w:rPr>
              <w:t>Unauthorised detention of people who lack capacity</w:t>
            </w:r>
            <w:r w:rsidR="00FD3D72">
              <w:rPr>
                <w:noProof/>
                <w:webHidden/>
              </w:rPr>
              <w:tab/>
            </w:r>
            <w:r w:rsidR="00FD3D72">
              <w:rPr>
                <w:noProof/>
                <w:webHidden/>
              </w:rPr>
              <w:fldChar w:fldCharType="begin"/>
            </w:r>
            <w:r w:rsidR="00FD3D72">
              <w:rPr>
                <w:noProof/>
                <w:webHidden/>
              </w:rPr>
              <w:instrText xml:space="preserve"> PAGEREF _Toc4061409 \h </w:instrText>
            </w:r>
            <w:r w:rsidR="00FD3D72">
              <w:rPr>
                <w:noProof/>
                <w:webHidden/>
              </w:rPr>
            </w:r>
            <w:r w:rsidR="00FD3D72">
              <w:rPr>
                <w:noProof/>
                <w:webHidden/>
              </w:rPr>
              <w:fldChar w:fldCharType="separate"/>
            </w:r>
            <w:r w:rsidR="00715412">
              <w:rPr>
                <w:noProof/>
                <w:webHidden/>
              </w:rPr>
              <w:t>41</w:t>
            </w:r>
            <w:r w:rsidR="00FD3D72">
              <w:rPr>
                <w:noProof/>
                <w:webHidden/>
              </w:rPr>
              <w:fldChar w:fldCharType="end"/>
            </w:r>
          </w:hyperlink>
        </w:p>
        <w:p w14:paraId="4B851604" w14:textId="10D044CA" w:rsidR="00FD3D72" w:rsidRDefault="008C5E19" w:rsidP="00FD3D72">
          <w:pPr>
            <w:pStyle w:val="TOC3"/>
            <w:tabs>
              <w:tab w:val="right" w:leader="dot" w:pos="9016"/>
            </w:tabs>
            <w:rPr>
              <w:rFonts w:asciiTheme="minorHAnsi" w:eastAsiaTheme="minorEastAsia" w:hAnsiTheme="minorHAnsi" w:cstheme="minorBidi"/>
              <w:noProof/>
              <w:sz w:val="22"/>
              <w:lang w:eastAsia="en-GB"/>
            </w:rPr>
          </w:pPr>
          <w:hyperlink w:anchor="_Toc4061410" w:history="1">
            <w:r w:rsidR="00FD3D72" w:rsidRPr="00FC7309">
              <w:rPr>
                <w:rStyle w:val="Hyperlink"/>
                <w:noProof/>
              </w:rPr>
              <w:t>Deficiencies in access to mental health services for children</w:t>
            </w:r>
            <w:r w:rsidR="00FD3D72">
              <w:rPr>
                <w:noProof/>
                <w:webHidden/>
              </w:rPr>
              <w:tab/>
            </w:r>
            <w:r w:rsidR="00FD3D72">
              <w:rPr>
                <w:noProof/>
                <w:webHidden/>
              </w:rPr>
              <w:fldChar w:fldCharType="begin"/>
            </w:r>
            <w:r w:rsidR="00FD3D72">
              <w:rPr>
                <w:noProof/>
                <w:webHidden/>
              </w:rPr>
              <w:instrText xml:space="preserve"> PAGEREF _Toc4061410 \h </w:instrText>
            </w:r>
            <w:r w:rsidR="00FD3D72">
              <w:rPr>
                <w:noProof/>
                <w:webHidden/>
              </w:rPr>
            </w:r>
            <w:r w:rsidR="00FD3D72">
              <w:rPr>
                <w:noProof/>
                <w:webHidden/>
              </w:rPr>
              <w:fldChar w:fldCharType="separate"/>
            </w:r>
            <w:r w:rsidR="00715412">
              <w:rPr>
                <w:noProof/>
                <w:webHidden/>
              </w:rPr>
              <w:t>43</w:t>
            </w:r>
            <w:r w:rsidR="00FD3D72">
              <w:rPr>
                <w:noProof/>
                <w:webHidden/>
              </w:rPr>
              <w:fldChar w:fldCharType="end"/>
            </w:r>
          </w:hyperlink>
        </w:p>
        <w:p w14:paraId="4BAA6ED2" w14:textId="0D67392F" w:rsidR="00FD3D72" w:rsidRDefault="008C5E19" w:rsidP="00D979ED">
          <w:pPr>
            <w:pStyle w:val="TOC1"/>
            <w:rPr>
              <w:rFonts w:asciiTheme="minorHAnsi" w:eastAsiaTheme="minorEastAsia" w:hAnsiTheme="minorHAnsi" w:cstheme="minorBidi"/>
              <w:sz w:val="22"/>
              <w:lang w:eastAsia="en-GB"/>
            </w:rPr>
          </w:pPr>
          <w:hyperlink w:anchor="_Toc4061412" w:history="1">
            <w:r w:rsidR="00FD3D72" w:rsidRPr="00FC7309">
              <w:rPr>
                <w:rStyle w:val="Hyperlink"/>
              </w:rPr>
              <w:t>7. Use of restraint</w:t>
            </w:r>
            <w:r w:rsidR="00FD3D72">
              <w:rPr>
                <w:webHidden/>
              </w:rPr>
              <w:tab/>
            </w:r>
            <w:r w:rsidR="00FD3D72">
              <w:rPr>
                <w:webHidden/>
              </w:rPr>
              <w:fldChar w:fldCharType="begin"/>
            </w:r>
            <w:r w:rsidR="00FD3D72">
              <w:rPr>
                <w:webHidden/>
              </w:rPr>
              <w:instrText xml:space="preserve"> PAGEREF _Toc4061412 \h </w:instrText>
            </w:r>
            <w:r w:rsidR="00FD3D72">
              <w:rPr>
                <w:webHidden/>
              </w:rPr>
            </w:r>
            <w:r w:rsidR="00FD3D72">
              <w:rPr>
                <w:webHidden/>
              </w:rPr>
              <w:fldChar w:fldCharType="separate"/>
            </w:r>
            <w:r w:rsidR="00715412">
              <w:rPr>
                <w:webHidden/>
              </w:rPr>
              <w:t>45</w:t>
            </w:r>
            <w:r w:rsidR="00FD3D72">
              <w:rPr>
                <w:webHidden/>
              </w:rPr>
              <w:fldChar w:fldCharType="end"/>
            </w:r>
          </w:hyperlink>
        </w:p>
        <w:p w14:paraId="646A402F" w14:textId="1FC58F5D"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413" w:history="1">
            <w:r w:rsidR="00FD3D72" w:rsidRPr="00FC7309">
              <w:rPr>
                <w:rStyle w:val="Hyperlink"/>
                <w:noProof/>
              </w:rPr>
              <w:t>Adult prisons</w:t>
            </w:r>
            <w:r w:rsidR="00FD3D72">
              <w:rPr>
                <w:noProof/>
                <w:webHidden/>
              </w:rPr>
              <w:tab/>
            </w:r>
            <w:r w:rsidR="00FD3D72">
              <w:rPr>
                <w:noProof/>
                <w:webHidden/>
              </w:rPr>
              <w:fldChar w:fldCharType="begin"/>
            </w:r>
            <w:r w:rsidR="00FD3D72">
              <w:rPr>
                <w:noProof/>
                <w:webHidden/>
              </w:rPr>
              <w:instrText xml:space="preserve"> PAGEREF _Toc4061413 \h </w:instrText>
            </w:r>
            <w:r w:rsidR="00FD3D72">
              <w:rPr>
                <w:noProof/>
                <w:webHidden/>
              </w:rPr>
            </w:r>
            <w:r w:rsidR="00FD3D72">
              <w:rPr>
                <w:noProof/>
                <w:webHidden/>
              </w:rPr>
              <w:fldChar w:fldCharType="separate"/>
            </w:r>
            <w:r w:rsidR="00715412">
              <w:rPr>
                <w:noProof/>
                <w:webHidden/>
              </w:rPr>
              <w:t>45</w:t>
            </w:r>
            <w:r w:rsidR="00FD3D72">
              <w:rPr>
                <w:noProof/>
                <w:webHidden/>
              </w:rPr>
              <w:fldChar w:fldCharType="end"/>
            </w:r>
          </w:hyperlink>
        </w:p>
        <w:p w14:paraId="5B2D395E" w14:textId="6A5DA3B1"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414" w:history="1">
            <w:r w:rsidR="00FD3D72" w:rsidRPr="00FC7309">
              <w:rPr>
                <w:rStyle w:val="Hyperlink"/>
                <w:noProof/>
              </w:rPr>
              <w:t>Youth custody</w:t>
            </w:r>
            <w:r w:rsidR="00FD3D72">
              <w:rPr>
                <w:noProof/>
                <w:webHidden/>
              </w:rPr>
              <w:tab/>
            </w:r>
            <w:r w:rsidR="00FD3D72">
              <w:rPr>
                <w:noProof/>
                <w:webHidden/>
              </w:rPr>
              <w:fldChar w:fldCharType="begin"/>
            </w:r>
            <w:r w:rsidR="00FD3D72">
              <w:rPr>
                <w:noProof/>
                <w:webHidden/>
              </w:rPr>
              <w:instrText xml:space="preserve"> PAGEREF _Toc4061414 \h </w:instrText>
            </w:r>
            <w:r w:rsidR="00FD3D72">
              <w:rPr>
                <w:noProof/>
                <w:webHidden/>
              </w:rPr>
            </w:r>
            <w:r w:rsidR="00FD3D72">
              <w:rPr>
                <w:noProof/>
                <w:webHidden/>
              </w:rPr>
              <w:fldChar w:fldCharType="separate"/>
            </w:r>
            <w:r w:rsidR="00715412">
              <w:rPr>
                <w:noProof/>
                <w:webHidden/>
              </w:rPr>
              <w:t>46</w:t>
            </w:r>
            <w:r w:rsidR="00FD3D72">
              <w:rPr>
                <w:noProof/>
                <w:webHidden/>
              </w:rPr>
              <w:fldChar w:fldCharType="end"/>
            </w:r>
          </w:hyperlink>
        </w:p>
        <w:p w14:paraId="70FEB35F" w14:textId="1783D7D1"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415" w:history="1">
            <w:r w:rsidR="00FD3D72" w:rsidRPr="00FC7309">
              <w:rPr>
                <w:rStyle w:val="Hyperlink"/>
                <w:noProof/>
              </w:rPr>
              <w:t>Policing</w:t>
            </w:r>
            <w:r w:rsidR="00FD3D72">
              <w:rPr>
                <w:noProof/>
                <w:webHidden/>
              </w:rPr>
              <w:tab/>
            </w:r>
            <w:r w:rsidR="00FD3D72">
              <w:rPr>
                <w:noProof/>
                <w:webHidden/>
              </w:rPr>
              <w:fldChar w:fldCharType="begin"/>
            </w:r>
            <w:r w:rsidR="00FD3D72">
              <w:rPr>
                <w:noProof/>
                <w:webHidden/>
              </w:rPr>
              <w:instrText xml:space="preserve"> PAGEREF _Toc4061415 \h </w:instrText>
            </w:r>
            <w:r w:rsidR="00FD3D72">
              <w:rPr>
                <w:noProof/>
                <w:webHidden/>
              </w:rPr>
            </w:r>
            <w:r w:rsidR="00FD3D72">
              <w:rPr>
                <w:noProof/>
                <w:webHidden/>
              </w:rPr>
              <w:fldChar w:fldCharType="separate"/>
            </w:r>
            <w:r w:rsidR="00715412">
              <w:rPr>
                <w:noProof/>
                <w:webHidden/>
              </w:rPr>
              <w:t>47</w:t>
            </w:r>
            <w:r w:rsidR="00FD3D72">
              <w:rPr>
                <w:noProof/>
                <w:webHidden/>
              </w:rPr>
              <w:fldChar w:fldCharType="end"/>
            </w:r>
          </w:hyperlink>
        </w:p>
        <w:p w14:paraId="763436C0" w14:textId="374DAA25"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416" w:history="1">
            <w:r w:rsidR="00FD3D72" w:rsidRPr="00FC7309">
              <w:rPr>
                <w:rStyle w:val="Hyperlink"/>
                <w:noProof/>
              </w:rPr>
              <w:t>Mental health units</w:t>
            </w:r>
            <w:r w:rsidR="00FD3D72">
              <w:rPr>
                <w:noProof/>
                <w:webHidden/>
              </w:rPr>
              <w:tab/>
            </w:r>
            <w:r w:rsidR="00FD3D72">
              <w:rPr>
                <w:noProof/>
                <w:webHidden/>
              </w:rPr>
              <w:fldChar w:fldCharType="begin"/>
            </w:r>
            <w:r w:rsidR="00FD3D72">
              <w:rPr>
                <w:noProof/>
                <w:webHidden/>
              </w:rPr>
              <w:instrText xml:space="preserve"> PAGEREF _Toc4061416 \h </w:instrText>
            </w:r>
            <w:r w:rsidR="00FD3D72">
              <w:rPr>
                <w:noProof/>
                <w:webHidden/>
              </w:rPr>
            </w:r>
            <w:r w:rsidR="00FD3D72">
              <w:rPr>
                <w:noProof/>
                <w:webHidden/>
              </w:rPr>
              <w:fldChar w:fldCharType="separate"/>
            </w:r>
            <w:r w:rsidR="00715412">
              <w:rPr>
                <w:noProof/>
                <w:webHidden/>
              </w:rPr>
              <w:t>47</w:t>
            </w:r>
            <w:r w:rsidR="00FD3D72">
              <w:rPr>
                <w:noProof/>
                <w:webHidden/>
              </w:rPr>
              <w:fldChar w:fldCharType="end"/>
            </w:r>
          </w:hyperlink>
        </w:p>
        <w:p w14:paraId="4C254BAD" w14:textId="416C676B"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417" w:history="1">
            <w:r w:rsidR="00FD3D72" w:rsidRPr="00FC7309">
              <w:rPr>
                <w:rStyle w:val="Hyperlink"/>
                <w:noProof/>
              </w:rPr>
              <w:t>Schools</w:t>
            </w:r>
            <w:r w:rsidR="00FD3D72">
              <w:rPr>
                <w:noProof/>
                <w:webHidden/>
              </w:rPr>
              <w:tab/>
            </w:r>
            <w:r w:rsidR="00FD3D72">
              <w:rPr>
                <w:noProof/>
                <w:webHidden/>
              </w:rPr>
              <w:fldChar w:fldCharType="begin"/>
            </w:r>
            <w:r w:rsidR="00FD3D72">
              <w:rPr>
                <w:noProof/>
                <w:webHidden/>
              </w:rPr>
              <w:instrText xml:space="preserve"> PAGEREF _Toc4061417 \h </w:instrText>
            </w:r>
            <w:r w:rsidR="00FD3D72">
              <w:rPr>
                <w:noProof/>
                <w:webHidden/>
              </w:rPr>
            </w:r>
            <w:r w:rsidR="00FD3D72">
              <w:rPr>
                <w:noProof/>
                <w:webHidden/>
              </w:rPr>
              <w:fldChar w:fldCharType="separate"/>
            </w:r>
            <w:r w:rsidR="00715412">
              <w:rPr>
                <w:noProof/>
                <w:webHidden/>
              </w:rPr>
              <w:t>48</w:t>
            </w:r>
            <w:r w:rsidR="00FD3D72">
              <w:rPr>
                <w:noProof/>
                <w:webHidden/>
              </w:rPr>
              <w:fldChar w:fldCharType="end"/>
            </w:r>
          </w:hyperlink>
        </w:p>
        <w:p w14:paraId="4DD5034A" w14:textId="7DB04CE8"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418" w:history="1">
            <w:r w:rsidR="00FD3D72" w:rsidRPr="00FC7309">
              <w:rPr>
                <w:rStyle w:val="Hyperlink"/>
                <w:noProof/>
              </w:rPr>
              <w:t>Promoting greater consistency across settings</w:t>
            </w:r>
            <w:r w:rsidR="00FD3D72">
              <w:rPr>
                <w:noProof/>
                <w:webHidden/>
              </w:rPr>
              <w:tab/>
            </w:r>
            <w:r w:rsidR="00FD3D72">
              <w:rPr>
                <w:noProof/>
                <w:webHidden/>
              </w:rPr>
              <w:fldChar w:fldCharType="begin"/>
            </w:r>
            <w:r w:rsidR="00FD3D72">
              <w:rPr>
                <w:noProof/>
                <w:webHidden/>
              </w:rPr>
              <w:instrText xml:space="preserve"> PAGEREF _Toc4061418 \h </w:instrText>
            </w:r>
            <w:r w:rsidR="00FD3D72">
              <w:rPr>
                <w:noProof/>
                <w:webHidden/>
              </w:rPr>
            </w:r>
            <w:r w:rsidR="00FD3D72">
              <w:rPr>
                <w:noProof/>
                <w:webHidden/>
              </w:rPr>
              <w:fldChar w:fldCharType="separate"/>
            </w:r>
            <w:r w:rsidR="00715412">
              <w:rPr>
                <w:noProof/>
                <w:webHidden/>
              </w:rPr>
              <w:t>49</w:t>
            </w:r>
            <w:r w:rsidR="00FD3D72">
              <w:rPr>
                <w:noProof/>
                <w:webHidden/>
              </w:rPr>
              <w:fldChar w:fldCharType="end"/>
            </w:r>
          </w:hyperlink>
        </w:p>
        <w:p w14:paraId="7FEC06BF" w14:textId="1CC05651"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419" w:history="1">
            <w:r w:rsidR="00FD3D72" w:rsidRPr="00FC7309">
              <w:rPr>
                <w:rStyle w:val="Hyperlink"/>
                <w:noProof/>
              </w:rPr>
              <w:t>Disproportionate use of restraint on specific groups</w:t>
            </w:r>
            <w:r w:rsidR="00FD3D72">
              <w:rPr>
                <w:noProof/>
                <w:webHidden/>
              </w:rPr>
              <w:tab/>
            </w:r>
            <w:r w:rsidR="00FD3D72">
              <w:rPr>
                <w:noProof/>
                <w:webHidden/>
              </w:rPr>
              <w:fldChar w:fldCharType="begin"/>
            </w:r>
            <w:r w:rsidR="00FD3D72">
              <w:rPr>
                <w:noProof/>
                <w:webHidden/>
              </w:rPr>
              <w:instrText xml:space="preserve"> PAGEREF _Toc4061419 \h </w:instrText>
            </w:r>
            <w:r w:rsidR="00FD3D72">
              <w:rPr>
                <w:noProof/>
                <w:webHidden/>
              </w:rPr>
            </w:r>
            <w:r w:rsidR="00FD3D72">
              <w:rPr>
                <w:noProof/>
                <w:webHidden/>
              </w:rPr>
              <w:fldChar w:fldCharType="separate"/>
            </w:r>
            <w:r w:rsidR="00715412">
              <w:rPr>
                <w:noProof/>
                <w:webHidden/>
              </w:rPr>
              <w:t>49</w:t>
            </w:r>
            <w:r w:rsidR="00FD3D72">
              <w:rPr>
                <w:noProof/>
                <w:webHidden/>
              </w:rPr>
              <w:fldChar w:fldCharType="end"/>
            </w:r>
          </w:hyperlink>
        </w:p>
        <w:p w14:paraId="1CCBB790" w14:textId="5FD6AF73"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420" w:history="1">
            <w:r w:rsidR="00FD3D72" w:rsidRPr="00FC7309">
              <w:rPr>
                <w:rStyle w:val="Hyperlink"/>
                <w:noProof/>
              </w:rPr>
              <w:t>Data collection and monitoring</w:t>
            </w:r>
            <w:r w:rsidR="00FD3D72">
              <w:rPr>
                <w:noProof/>
                <w:webHidden/>
              </w:rPr>
              <w:tab/>
            </w:r>
            <w:r w:rsidR="00FD3D72">
              <w:rPr>
                <w:noProof/>
                <w:webHidden/>
              </w:rPr>
              <w:fldChar w:fldCharType="begin"/>
            </w:r>
            <w:r w:rsidR="00FD3D72">
              <w:rPr>
                <w:noProof/>
                <w:webHidden/>
              </w:rPr>
              <w:instrText xml:space="preserve"> PAGEREF _Toc4061420 \h </w:instrText>
            </w:r>
            <w:r w:rsidR="00FD3D72">
              <w:rPr>
                <w:noProof/>
                <w:webHidden/>
              </w:rPr>
            </w:r>
            <w:r w:rsidR="00FD3D72">
              <w:rPr>
                <w:noProof/>
                <w:webHidden/>
              </w:rPr>
              <w:fldChar w:fldCharType="separate"/>
            </w:r>
            <w:r w:rsidR="00715412">
              <w:rPr>
                <w:noProof/>
                <w:webHidden/>
              </w:rPr>
              <w:t>49</w:t>
            </w:r>
            <w:r w:rsidR="00FD3D72">
              <w:rPr>
                <w:noProof/>
                <w:webHidden/>
              </w:rPr>
              <w:fldChar w:fldCharType="end"/>
            </w:r>
          </w:hyperlink>
        </w:p>
        <w:p w14:paraId="4E4DD1A0" w14:textId="3F1D229A"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421" w:history="1">
            <w:r w:rsidR="00FD3D72" w:rsidRPr="00FC7309">
              <w:rPr>
                <w:rStyle w:val="Hyperlink"/>
                <w:noProof/>
              </w:rPr>
              <w:t>Complaints mechanisms and investigations</w:t>
            </w:r>
            <w:r w:rsidR="00FD3D72">
              <w:rPr>
                <w:noProof/>
                <w:webHidden/>
              </w:rPr>
              <w:tab/>
            </w:r>
            <w:r w:rsidR="00FD3D72">
              <w:rPr>
                <w:noProof/>
                <w:webHidden/>
              </w:rPr>
              <w:fldChar w:fldCharType="begin"/>
            </w:r>
            <w:r w:rsidR="00FD3D72">
              <w:rPr>
                <w:noProof/>
                <w:webHidden/>
              </w:rPr>
              <w:instrText xml:space="preserve"> PAGEREF _Toc4061421 \h </w:instrText>
            </w:r>
            <w:r w:rsidR="00FD3D72">
              <w:rPr>
                <w:noProof/>
                <w:webHidden/>
              </w:rPr>
            </w:r>
            <w:r w:rsidR="00FD3D72">
              <w:rPr>
                <w:noProof/>
                <w:webHidden/>
              </w:rPr>
              <w:fldChar w:fldCharType="separate"/>
            </w:r>
            <w:r w:rsidR="00715412">
              <w:rPr>
                <w:noProof/>
                <w:webHidden/>
              </w:rPr>
              <w:t>50</w:t>
            </w:r>
            <w:r w:rsidR="00FD3D72">
              <w:rPr>
                <w:noProof/>
                <w:webHidden/>
              </w:rPr>
              <w:fldChar w:fldCharType="end"/>
            </w:r>
          </w:hyperlink>
        </w:p>
        <w:p w14:paraId="4ADD85D4" w14:textId="389F4FDE" w:rsidR="00FD3D72" w:rsidRDefault="008C5E19" w:rsidP="00FD3D72">
          <w:pPr>
            <w:pStyle w:val="TOC3"/>
            <w:tabs>
              <w:tab w:val="right" w:leader="dot" w:pos="9016"/>
            </w:tabs>
            <w:rPr>
              <w:rFonts w:asciiTheme="minorHAnsi" w:eastAsiaTheme="minorEastAsia" w:hAnsiTheme="minorHAnsi" w:cstheme="minorBidi"/>
              <w:noProof/>
              <w:sz w:val="22"/>
              <w:lang w:eastAsia="en-GB"/>
            </w:rPr>
          </w:pPr>
          <w:hyperlink w:anchor="_Toc4061422" w:history="1">
            <w:r w:rsidR="00FD3D72" w:rsidRPr="00FC7309">
              <w:rPr>
                <w:rStyle w:val="Hyperlink"/>
                <w:noProof/>
              </w:rPr>
              <w:t>Corporal punishment</w:t>
            </w:r>
            <w:r w:rsidR="00FD3D72">
              <w:rPr>
                <w:noProof/>
                <w:webHidden/>
              </w:rPr>
              <w:tab/>
            </w:r>
            <w:r w:rsidR="00FD3D72">
              <w:rPr>
                <w:noProof/>
                <w:webHidden/>
              </w:rPr>
              <w:fldChar w:fldCharType="begin"/>
            </w:r>
            <w:r w:rsidR="00FD3D72">
              <w:rPr>
                <w:noProof/>
                <w:webHidden/>
              </w:rPr>
              <w:instrText xml:space="preserve"> PAGEREF _Toc4061422 \h </w:instrText>
            </w:r>
            <w:r w:rsidR="00FD3D72">
              <w:rPr>
                <w:noProof/>
                <w:webHidden/>
              </w:rPr>
            </w:r>
            <w:r w:rsidR="00FD3D72">
              <w:rPr>
                <w:noProof/>
                <w:webHidden/>
              </w:rPr>
              <w:fldChar w:fldCharType="separate"/>
            </w:r>
            <w:r w:rsidR="00715412">
              <w:rPr>
                <w:noProof/>
                <w:webHidden/>
              </w:rPr>
              <w:t>51</w:t>
            </w:r>
            <w:r w:rsidR="00FD3D72">
              <w:rPr>
                <w:noProof/>
                <w:webHidden/>
              </w:rPr>
              <w:fldChar w:fldCharType="end"/>
            </w:r>
          </w:hyperlink>
        </w:p>
        <w:p w14:paraId="2F63E1B2" w14:textId="5546CAE5" w:rsidR="00FD3D72" w:rsidRDefault="008C5E19" w:rsidP="00D979ED">
          <w:pPr>
            <w:pStyle w:val="TOC1"/>
            <w:rPr>
              <w:rFonts w:asciiTheme="minorHAnsi" w:eastAsiaTheme="minorEastAsia" w:hAnsiTheme="minorHAnsi" w:cstheme="minorBidi"/>
              <w:sz w:val="22"/>
              <w:lang w:eastAsia="en-GB"/>
            </w:rPr>
          </w:pPr>
          <w:hyperlink w:anchor="_Toc4061424" w:history="1">
            <w:r w:rsidR="00FD3D72" w:rsidRPr="00FC7309">
              <w:rPr>
                <w:rStyle w:val="Hyperlink"/>
              </w:rPr>
              <w:t>8. Counter-terrorism measures</w:t>
            </w:r>
            <w:r w:rsidR="00FD3D72">
              <w:rPr>
                <w:webHidden/>
              </w:rPr>
              <w:tab/>
            </w:r>
            <w:r w:rsidR="00FD3D72">
              <w:rPr>
                <w:webHidden/>
              </w:rPr>
              <w:fldChar w:fldCharType="begin"/>
            </w:r>
            <w:r w:rsidR="00FD3D72">
              <w:rPr>
                <w:webHidden/>
              </w:rPr>
              <w:instrText xml:space="preserve"> PAGEREF _Toc4061424 \h </w:instrText>
            </w:r>
            <w:r w:rsidR="00FD3D72">
              <w:rPr>
                <w:webHidden/>
              </w:rPr>
            </w:r>
            <w:r w:rsidR="00FD3D72">
              <w:rPr>
                <w:webHidden/>
              </w:rPr>
              <w:fldChar w:fldCharType="separate"/>
            </w:r>
            <w:r w:rsidR="00715412">
              <w:rPr>
                <w:webHidden/>
              </w:rPr>
              <w:t>53</w:t>
            </w:r>
            <w:r w:rsidR="00FD3D72">
              <w:rPr>
                <w:webHidden/>
              </w:rPr>
              <w:fldChar w:fldCharType="end"/>
            </w:r>
          </w:hyperlink>
        </w:p>
        <w:p w14:paraId="25D62EAD" w14:textId="690440AE"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425" w:history="1">
            <w:r w:rsidR="00FD3D72" w:rsidRPr="00FC7309">
              <w:rPr>
                <w:rStyle w:val="Hyperlink"/>
                <w:noProof/>
              </w:rPr>
              <w:t>Port and border control powers</w:t>
            </w:r>
            <w:r w:rsidR="00FD3D72">
              <w:rPr>
                <w:noProof/>
                <w:webHidden/>
              </w:rPr>
              <w:tab/>
            </w:r>
            <w:r w:rsidR="00FD3D72">
              <w:rPr>
                <w:noProof/>
                <w:webHidden/>
              </w:rPr>
              <w:fldChar w:fldCharType="begin"/>
            </w:r>
            <w:r w:rsidR="00FD3D72">
              <w:rPr>
                <w:noProof/>
                <w:webHidden/>
              </w:rPr>
              <w:instrText xml:space="preserve"> PAGEREF _Toc4061425 \h </w:instrText>
            </w:r>
            <w:r w:rsidR="00FD3D72">
              <w:rPr>
                <w:noProof/>
                <w:webHidden/>
              </w:rPr>
            </w:r>
            <w:r w:rsidR="00FD3D72">
              <w:rPr>
                <w:noProof/>
                <w:webHidden/>
              </w:rPr>
              <w:fldChar w:fldCharType="separate"/>
            </w:r>
            <w:r w:rsidR="00715412">
              <w:rPr>
                <w:noProof/>
                <w:webHidden/>
              </w:rPr>
              <w:t>53</w:t>
            </w:r>
            <w:r w:rsidR="00FD3D72">
              <w:rPr>
                <w:noProof/>
                <w:webHidden/>
              </w:rPr>
              <w:fldChar w:fldCharType="end"/>
            </w:r>
          </w:hyperlink>
        </w:p>
        <w:p w14:paraId="24C9617D" w14:textId="1A38B7E5"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426" w:history="1">
            <w:r w:rsidR="00FD3D72" w:rsidRPr="00FC7309">
              <w:rPr>
                <w:rStyle w:val="Hyperlink"/>
                <w:noProof/>
              </w:rPr>
              <w:t>14-day pre-charge detention</w:t>
            </w:r>
            <w:r w:rsidR="00FD3D72">
              <w:rPr>
                <w:noProof/>
                <w:webHidden/>
              </w:rPr>
              <w:tab/>
            </w:r>
            <w:r w:rsidR="00FD3D72">
              <w:rPr>
                <w:noProof/>
                <w:webHidden/>
              </w:rPr>
              <w:fldChar w:fldCharType="begin"/>
            </w:r>
            <w:r w:rsidR="00FD3D72">
              <w:rPr>
                <w:noProof/>
                <w:webHidden/>
              </w:rPr>
              <w:instrText xml:space="preserve"> PAGEREF _Toc4061426 \h </w:instrText>
            </w:r>
            <w:r w:rsidR="00FD3D72">
              <w:rPr>
                <w:noProof/>
                <w:webHidden/>
              </w:rPr>
            </w:r>
            <w:r w:rsidR="00FD3D72">
              <w:rPr>
                <w:noProof/>
                <w:webHidden/>
              </w:rPr>
              <w:fldChar w:fldCharType="separate"/>
            </w:r>
            <w:r w:rsidR="00715412">
              <w:rPr>
                <w:noProof/>
                <w:webHidden/>
              </w:rPr>
              <w:t>54</w:t>
            </w:r>
            <w:r w:rsidR="00FD3D72">
              <w:rPr>
                <w:noProof/>
                <w:webHidden/>
              </w:rPr>
              <w:fldChar w:fldCharType="end"/>
            </w:r>
          </w:hyperlink>
        </w:p>
        <w:p w14:paraId="5CADCC8E" w14:textId="73841FA7"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427" w:history="1">
            <w:r w:rsidR="00FD3D72" w:rsidRPr="00FC7309">
              <w:rPr>
                <w:rStyle w:val="Hyperlink"/>
                <w:noProof/>
              </w:rPr>
              <w:t>Use of closed material procedures</w:t>
            </w:r>
            <w:r w:rsidR="00FD3D72">
              <w:rPr>
                <w:noProof/>
                <w:webHidden/>
              </w:rPr>
              <w:tab/>
            </w:r>
            <w:r w:rsidR="00FD3D72">
              <w:rPr>
                <w:noProof/>
                <w:webHidden/>
              </w:rPr>
              <w:fldChar w:fldCharType="begin"/>
            </w:r>
            <w:r w:rsidR="00FD3D72">
              <w:rPr>
                <w:noProof/>
                <w:webHidden/>
              </w:rPr>
              <w:instrText xml:space="preserve"> PAGEREF _Toc4061427 \h </w:instrText>
            </w:r>
            <w:r w:rsidR="00FD3D72">
              <w:rPr>
                <w:noProof/>
                <w:webHidden/>
              </w:rPr>
            </w:r>
            <w:r w:rsidR="00FD3D72">
              <w:rPr>
                <w:noProof/>
                <w:webHidden/>
              </w:rPr>
              <w:fldChar w:fldCharType="separate"/>
            </w:r>
            <w:r w:rsidR="00715412">
              <w:rPr>
                <w:noProof/>
                <w:webHidden/>
              </w:rPr>
              <w:t>54</w:t>
            </w:r>
            <w:r w:rsidR="00FD3D72">
              <w:rPr>
                <w:noProof/>
                <w:webHidden/>
              </w:rPr>
              <w:fldChar w:fldCharType="end"/>
            </w:r>
          </w:hyperlink>
        </w:p>
        <w:p w14:paraId="128D3CC1" w14:textId="7B9300FB"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428" w:history="1">
            <w:r w:rsidR="00FD3D72" w:rsidRPr="00FC7309">
              <w:rPr>
                <w:rStyle w:val="Hyperlink"/>
                <w:noProof/>
              </w:rPr>
              <w:t>Treatment of terrorist suspects referred by the Prevent duty</w:t>
            </w:r>
            <w:r w:rsidR="00FD3D72">
              <w:rPr>
                <w:noProof/>
                <w:webHidden/>
              </w:rPr>
              <w:tab/>
            </w:r>
            <w:r w:rsidR="00FD3D72">
              <w:rPr>
                <w:noProof/>
                <w:webHidden/>
              </w:rPr>
              <w:fldChar w:fldCharType="begin"/>
            </w:r>
            <w:r w:rsidR="00FD3D72">
              <w:rPr>
                <w:noProof/>
                <w:webHidden/>
              </w:rPr>
              <w:instrText xml:space="preserve"> PAGEREF _Toc4061428 \h </w:instrText>
            </w:r>
            <w:r w:rsidR="00FD3D72">
              <w:rPr>
                <w:noProof/>
                <w:webHidden/>
              </w:rPr>
            </w:r>
            <w:r w:rsidR="00FD3D72">
              <w:rPr>
                <w:noProof/>
                <w:webHidden/>
              </w:rPr>
              <w:fldChar w:fldCharType="separate"/>
            </w:r>
            <w:r w:rsidR="00715412">
              <w:rPr>
                <w:noProof/>
                <w:webHidden/>
              </w:rPr>
              <w:t>55</w:t>
            </w:r>
            <w:r w:rsidR="00FD3D72">
              <w:rPr>
                <w:noProof/>
                <w:webHidden/>
              </w:rPr>
              <w:fldChar w:fldCharType="end"/>
            </w:r>
          </w:hyperlink>
        </w:p>
        <w:p w14:paraId="41EC8771" w14:textId="0A7D3011" w:rsidR="00FD3D72" w:rsidRDefault="008C5E19" w:rsidP="00FD3D72">
          <w:pPr>
            <w:pStyle w:val="TOC3"/>
            <w:tabs>
              <w:tab w:val="right" w:leader="dot" w:pos="9016"/>
            </w:tabs>
            <w:rPr>
              <w:rFonts w:asciiTheme="minorHAnsi" w:eastAsiaTheme="minorEastAsia" w:hAnsiTheme="minorHAnsi" w:cstheme="minorBidi"/>
              <w:noProof/>
              <w:sz w:val="22"/>
              <w:lang w:eastAsia="en-GB"/>
            </w:rPr>
          </w:pPr>
          <w:hyperlink w:anchor="_Toc4061429" w:history="1">
            <w:r w:rsidR="00FD3D72" w:rsidRPr="00FC7309">
              <w:rPr>
                <w:rStyle w:val="Hyperlink"/>
                <w:noProof/>
              </w:rPr>
              <w:t>Use of diplomatic assurances to prevent torture</w:t>
            </w:r>
            <w:r w:rsidR="00FD3D72">
              <w:rPr>
                <w:noProof/>
                <w:webHidden/>
              </w:rPr>
              <w:tab/>
            </w:r>
            <w:r w:rsidR="00FD3D72">
              <w:rPr>
                <w:noProof/>
                <w:webHidden/>
              </w:rPr>
              <w:fldChar w:fldCharType="begin"/>
            </w:r>
            <w:r w:rsidR="00FD3D72">
              <w:rPr>
                <w:noProof/>
                <w:webHidden/>
              </w:rPr>
              <w:instrText xml:space="preserve"> PAGEREF _Toc4061429 \h </w:instrText>
            </w:r>
            <w:r w:rsidR="00FD3D72">
              <w:rPr>
                <w:noProof/>
                <w:webHidden/>
              </w:rPr>
            </w:r>
            <w:r w:rsidR="00FD3D72">
              <w:rPr>
                <w:noProof/>
                <w:webHidden/>
              </w:rPr>
              <w:fldChar w:fldCharType="separate"/>
            </w:r>
            <w:r w:rsidR="00715412">
              <w:rPr>
                <w:noProof/>
                <w:webHidden/>
              </w:rPr>
              <w:t>56</w:t>
            </w:r>
            <w:r w:rsidR="00FD3D72">
              <w:rPr>
                <w:noProof/>
                <w:webHidden/>
              </w:rPr>
              <w:fldChar w:fldCharType="end"/>
            </w:r>
          </w:hyperlink>
        </w:p>
        <w:p w14:paraId="79D2BD5D" w14:textId="2C4B8543" w:rsidR="00FD3D72" w:rsidRDefault="008C5E19" w:rsidP="00D979ED">
          <w:pPr>
            <w:pStyle w:val="TOC1"/>
            <w:rPr>
              <w:rFonts w:asciiTheme="minorHAnsi" w:eastAsiaTheme="minorEastAsia" w:hAnsiTheme="minorHAnsi" w:cstheme="minorBidi"/>
              <w:sz w:val="22"/>
              <w:lang w:eastAsia="en-GB"/>
            </w:rPr>
          </w:pPr>
          <w:hyperlink w:anchor="_Toc4061431" w:history="1">
            <w:r w:rsidR="00FD3D72" w:rsidRPr="00FC7309">
              <w:rPr>
                <w:rStyle w:val="Hyperlink"/>
              </w:rPr>
              <w:t>9. Ill-treatment of people receiving health and social care services</w:t>
            </w:r>
            <w:r w:rsidR="00FD3D72">
              <w:rPr>
                <w:webHidden/>
              </w:rPr>
              <w:tab/>
            </w:r>
            <w:r w:rsidR="00FD3D72">
              <w:rPr>
                <w:webHidden/>
              </w:rPr>
              <w:fldChar w:fldCharType="begin"/>
            </w:r>
            <w:r w:rsidR="00FD3D72">
              <w:rPr>
                <w:webHidden/>
              </w:rPr>
              <w:instrText xml:space="preserve"> PAGEREF _Toc4061431 \h </w:instrText>
            </w:r>
            <w:r w:rsidR="00FD3D72">
              <w:rPr>
                <w:webHidden/>
              </w:rPr>
            </w:r>
            <w:r w:rsidR="00FD3D72">
              <w:rPr>
                <w:webHidden/>
              </w:rPr>
              <w:fldChar w:fldCharType="separate"/>
            </w:r>
            <w:r w:rsidR="00715412">
              <w:rPr>
                <w:webHidden/>
              </w:rPr>
              <w:t>58</w:t>
            </w:r>
            <w:r w:rsidR="00FD3D72">
              <w:rPr>
                <w:webHidden/>
              </w:rPr>
              <w:fldChar w:fldCharType="end"/>
            </w:r>
          </w:hyperlink>
        </w:p>
        <w:p w14:paraId="24B784C2" w14:textId="1B62BB44"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433" w:history="1">
            <w:r w:rsidR="00FD3D72" w:rsidRPr="00FC7309">
              <w:rPr>
                <w:rStyle w:val="Hyperlink"/>
                <w:noProof/>
              </w:rPr>
              <w:t>Ill-treatment of people receiving healthcare services</w:t>
            </w:r>
            <w:r w:rsidR="00FD3D72">
              <w:rPr>
                <w:noProof/>
                <w:webHidden/>
              </w:rPr>
              <w:tab/>
            </w:r>
            <w:r w:rsidR="00FD3D72">
              <w:rPr>
                <w:noProof/>
                <w:webHidden/>
              </w:rPr>
              <w:fldChar w:fldCharType="begin"/>
            </w:r>
            <w:r w:rsidR="00FD3D72">
              <w:rPr>
                <w:noProof/>
                <w:webHidden/>
              </w:rPr>
              <w:instrText xml:space="preserve"> PAGEREF _Toc4061433 \h </w:instrText>
            </w:r>
            <w:r w:rsidR="00FD3D72">
              <w:rPr>
                <w:noProof/>
                <w:webHidden/>
              </w:rPr>
            </w:r>
            <w:r w:rsidR="00FD3D72">
              <w:rPr>
                <w:noProof/>
                <w:webHidden/>
              </w:rPr>
              <w:fldChar w:fldCharType="separate"/>
            </w:r>
            <w:r w:rsidR="00715412">
              <w:rPr>
                <w:noProof/>
                <w:webHidden/>
              </w:rPr>
              <w:t>58</w:t>
            </w:r>
            <w:r w:rsidR="00FD3D72">
              <w:rPr>
                <w:noProof/>
                <w:webHidden/>
              </w:rPr>
              <w:fldChar w:fldCharType="end"/>
            </w:r>
          </w:hyperlink>
        </w:p>
        <w:p w14:paraId="7D70A5E8" w14:textId="4306CF6A" w:rsidR="00FD3D72" w:rsidRDefault="008C5E19" w:rsidP="00FD3D72">
          <w:pPr>
            <w:pStyle w:val="TOC3"/>
            <w:tabs>
              <w:tab w:val="right" w:leader="dot" w:pos="9016"/>
            </w:tabs>
            <w:rPr>
              <w:rFonts w:asciiTheme="minorHAnsi" w:eastAsiaTheme="minorEastAsia" w:hAnsiTheme="minorHAnsi" w:cstheme="minorBidi"/>
              <w:noProof/>
              <w:sz w:val="22"/>
              <w:lang w:eastAsia="en-GB"/>
            </w:rPr>
          </w:pPr>
          <w:hyperlink w:anchor="_Toc4061434" w:history="1">
            <w:r w:rsidR="00FD3D72" w:rsidRPr="00FC7309">
              <w:rPr>
                <w:rStyle w:val="Hyperlink"/>
                <w:noProof/>
              </w:rPr>
              <w:t>Ill-treatment of older and disabled people receiving social care</w:t>
            </w:r>
            <w:r w:rsidR="00FD3D72">
              <w:rPr>
                <w:noProof/>
                <w:webHidden/>
              </w:rPr>
              <w:tab/>
            </w:r>
            <w:r w:rsidR="00FD3D72">
              <w:rPr>
                <w:noProof/>
                <w:webHidden/>
              </w:rPr>
              <w:fldChar w:fldCharType="begin"/>
            </w:r>
            <w:r w:rsidR="00FD3D72">
              <w:rPr>
                <w:noProof/>
                <w:webHidden/>
              </w:rPr>
              <w:instrText xml:space="preserve"> PAGEREF _Toc4061434 \h </w:instrText>
            </w:r>
            <w:r w:rsidR="00FD3D72">
              <w:rPr>
                <w:noProof/>
                <w:webHidden/>
              </w:rPr>
            </w:r>
            <w:r w:rsidR="00FD3D72">
              <w:rPr>
                <w:noProof/>
                <w:webHidden/>
              </w:rPr>
              <w:fldChar w:fldCharType="separate"/>
            </w:r>
            <w:r w:rsidR="00715412">
              <w:rPr>
                <w:noProof/>
                <w:webHidden/>
              </w:rPr>
              <w:t>60</w:t>
            </w:r>
            <w:r w:rsidR="00FD3D72">
              <w:rPr>
                <w:noProof/>
                <w:webHidden/>
              </w:rPr>
              <w:fldChar w:fldCharType="end"/>
            </w:r>
          </w:hyperlink>
        </w:p>
        <w:p w14:paraId="6599B3AF" w14:textId="52D72166" w:rsidR="00FD3D72" w:rsidRDefault="008C5E19" w:rsidP="00D979ED">
          <w:pPr>
            <w:pStyle w:val="TOC1"/>
            <w:rPr>
              <w:rFonts w:asciiTheme="minorHAnsi" w:eastAsiaTheme="minorEastAsia" w:hAnsiTheme="minorHAnsi" w:cstheme="minorBidi"/>
              <w:sz w:val="22"/>
              <w:lang w:eastAsia="en-GB"/>
            </w:rPr>
          </w:pPr>
          <w:hyperlink w:anchor="_Toc4061436" w:history="1">
            <w:r w:rsidR="00FD3D72" w:rsidRPr="00FC7309">
              <w:rPr>
                <w:rStyle w:val="Hyperlink"/>
                <w:rFonts w:eastAsiaTheme="majorEastAsia"/>
              </w:rPr>
              <w:t xml:space="preserve">10. </w:t>
            </w:r>
            <w:r w:rsidR="00FD3D72" w:rsidRPr="00FC7309">
              <w:rPr>
                <w:rStyle w:val="Hyperlink"/>
              </w:rPr>
              <w:t>Asylum and migration procedures</w:t>
            </w:r>
            <w:r w:rsidR="00FD3D72">
              <w:rPr>
                <w:webHidden/>
              </w:rPr>
              <w:tab/>
            </w:r>
            <w:r w:rsidR="00FD3D72">
              <w:rPr>
                <w:webHidden/>
              </w:rPr>
              <w:fldChar w:fldCharType="begin"/>
            </w:r>
            <w:r w:rsidR="00FD3D72">
              <w:rPr>
                <w:webHidden/>
              </w:rPr>
              <w:instrText xml:space="preserve"> PAGEREF _Toc4061436 \h </w:instrText>
            </w:r>
            <w:r w:rsidR="00FD3D72">
              <w:rPr>
                <w:webHidden/>
              </w:rPr>
            </w:r>
            <w:r w:rsidR="00FD3D72">
              <w:rPr>
                <w:webHidden/>
              </w:rPr>
              <w:fldChar w:fldCharType="separate"/>
            </w:r>
            <w:r w:rsidR="00715412">
              <w:rPr>
                <w:webHidden/>
              </w:rPr>
              <w:t>62</w:t>
            </w:r>
            <w:r w:rsidR="00FD3D72">
              <w:rPr>
                <w:webHidden/>
              </w:rPr>
              <w:fldChar w:fldCharType="end"/>
            </w:r>
          </w:hyperlink>
        </w:p>
        <w:p w14:paraId="136D89BB" w14:textId="1D1B787D" w:rsidR="00FD3D72" w:rsidRDefault="008C5E19" w:rsidP="00D979ED">
          <w:pPr>
            <w:pStyle w:val="TOC2"/>
            <w:rPr>
              <w:rFonts w:asciiTheme="minorHAnsi" w:eastAsiaTheme="minorEastAsia" w:hAnsiTheme="minorHAnsi" w:cstheme="minorBidi"/>
              <w:sz w:val="22"/>
              <w:lang w:eastAsia="en-GB"/>
            </w:rPr>
          </w:pPr>
          <w:hyperlink w:anchor="_Toc4061437" w:history="1">
            <w:r w:rsidR="00FD3D72" w:rsidRPr="00FC7309">
              <w:rPr>
                <w:rStyle w:val="Hyperlink"/>
              </w:rPr>
              <w:t>10.1 Use of diplomatic assurances</w:t>
            </w:r>
            <w:r w:rsidR="00FD3D72">
              <w:rPr>
                <w:webHidden/>
              </w:rPr>
              <w:tab/>
            </w:r>
            <w:r w:rsidR="00FD3D72">
              <w:rPr>
                <w:webHidden/>
              </w:rPr>
              <w:fldChar w:fldCharType="begin"/>
            </w:r>
            <w:r w:rsidR="00FD3D72">
              <w:rPr>
                <w:webHidden/>
              </w:rPr>
              <w:instrText xml:space="preserve"> PAGEREF _Toc4061437 \h </w:instrText>
            </w:r>
            <w:r w:rsidR="00FD3D72">
              <w:rPr>
                <w:webHidden/>
              </w:rPr>
            </w:r>
            <w:r w:rsidR="00FD3D72">
              <w:rPr>
                <w:webHidden/>
              </w:rPr>
              <w:fldChar w:fldCharType="separate"/>
            </w:r>
            <w:r w:rsidR="00715412">
              <w:rPr>
                <w:webHidden/>
              </w:rPr>
              <w:t>62</w:t>
            </w:r>
            <w:r w:rsidR="00FD3D72">
              <w:rPr>
                <w:webHidden/>
              </w:rPr>
              <w:fldChar w:fldCharType="end"/>
            </w:r>
          </w:hyperlink>
        </w:p>
        <w:p w14:paraId="5C8E7C47" w14:textId="4CB7A5E0" w:rsidR="00FD3D72" w:rsidRDefault="008C5E19" w:rsidP="00D979ED">
          <w:pPr>
            <w:pStyle w:val="TOC2"/>
            <w:rPr>
              <w:rFonts w:asciiTheme="minorHAnsi" w:eastAsiaTheme="minorEastAsia" w:hAnsiTheme="minorHAnsi" w:cstheme="minorBidi"/>
              <w:sz w:val="22"/>
              <w:lang w:eastAsia="en-GB"/>
            </w:rPr>
          </w:pPr>
          <w:hyperlink w:anchor="_Toc4061439" w:history="1">
            <w:r w:rsidR="00FD3D72" w:rsidRPr="00FC7309">
              <w:rPr>
                <w:rStyle w:val="Hyperlink"/>
              </w:rPr>
              <w:t>10.2 Identification and determination of statelessness</w:t>
            </w:r>
            <w:r w:rsidR="00FD3D72">
              <w:rPr>
                <w:webHidden/>
              </w:rPr>
              <w:tab/>
            </w:r>
            <w:r w:rsidR="00FD3D72">
              <w:rPr>
                <w:webHidden/>
              </w:rPr>
              <w:fldChar w:fldCharType="begin"/>
            </w:r>
            <w:r w:rsidR="00FD3D72">
              <w:rPr>
                <w:webHidden/>
              </w:rPr>
              <w:instrText xml:space="preserve"> PAGEREF _Toc4061439 \h </w:instrText>
            </w:r>
            <w:r w:rsidR="00FD3D72">
              <w:rPr>
                <w:webHidden/>
              </w:rPr>
            </w:r>
            <w:r w:rsidR="00FD3D72">
              <w:rPr>
                <w:webHidden/>
              </w:rPr>
              <w:fldChar w:fldCharType="separate"/>
            </w:r>
            <w:r w:rsidR="00715412">
              <w:rPr>
                <w:webHidden/>
              </w:rPr>
              <w:t>63</w:t>
            </w:r>
            <w:r w:rsidR="00FD3D72">
              <w:rPr>
                <w:webHidden/>
              </w:rPr>
              <w:fldChar w:fldCharType="end"/>
            </w:r>
          </w:hyperlink>
        </w:p>
        <w:p w14:paraId="61429A6A" w14:textId="49FB057B" w:rsidR="00FD3D72" w:rsidRDefault="008C5E19" w:rsidP="00D979ED">
          <w:pPr>
            <w:pStyle w:val="TOC1"/>
            <w:rPr>
              <w:rFonts w:asciiTheme="minorHAnsi" w:eastAsiaTheme="minorEastAsia" w:hAnsiTheme="minorHAnsi" w:cstheme="minorBidi"/>
              <w:sz w:val="22"/>
              <w:lang w:eastAsia="en-GB"/>
            </w:rPr>
          </w:pPr>
          <w:hyperlink w:anchor="_Toc4061441" w:history="1">
            <w:r w:rsidR="00FD3D72" w:rsidRPr="00FC7309">
              <w:rPr>
                <w:rStyle w:val="Hyperlink"/>
              </w:rPr>
              <w:t>11. Violence against women and girls</w:t>
            </w:r>
            <w:r w:rsidR="00FD3D72">
              <w:rPr>
                <w:webHidden/>
              </w:rPr>
              <w:tab/>
            </w:r>
            <w:r w:rsidR="00FD3D72">
              <w:rPr>
                <w:webHidden/>
              </w:rPr>
              <w:fldChar w:fldCharType="begin"/>
            </w:r>
            <w:r w:rsidR="00FD3D72">
              <w:rPr>
                <w:webHidden/>
              </w:rPr>
              <w:instrText xml:space="preserve"> PAGEREF _Toc4061441 \h </w:instrText>
            </w:r>
            <w:r w:rsidR="00FD3D72">
              <w:rPr>
                <w:webHidden/>
              </w:rPr>
            </w:r>
            <w:r w:rsidR="00FD3D72">
              <w:rPr>
                <w:webHidden/>
              </w:rPr>
              <w:fldChar w:fldCharType="separate"/>
            </w:r>
            <w:r w:rsidR="00715412">
              <w:rPr>
                <w:webHidden/>
              </w:rPr>
              <w:t>65</w:t>
            </w:r>
            <w:r w:rsidR="00FD3D72">
              <w:rPr>
                <w:webHidden/>
              </w:rPr>
              <w:fldChar w:fldCharType="end"/>
            </w:r>
          </w:hyperlink>
        </w:p>
        <w:p w14:paraId="532AC08E" w14:textId="3ED63144" w:rsidR="00FD3D72" w:rsidRDefault="008C5E19">
          <w:pPr>
            <w:pStyle w:val="TOC3"/>
            <w:tabs>
              <w:tab w:val="right" w:leader="dot" w:pos="9016"/>
            </w:tabs>
            <w:rPr>
              <w:rFonts w:asciiTheme="minorHAnsi" w:eastAsiaTheme="minorEastAsia" w:hAnsiTheme="minorHAnsi" w:cstheme="minorBidi"/>
              <w:noProof/>
              <w:sz w:val="22"/>
              <w:lang w:eastAsia="en-GB"/>
            </w:rPr>
          </w:pPr>
          <w:hyperlink w:anchor="_Toc4061442" w:history="1">
            <w:r w:rsidR="00FD3D72" w:rsidRPr="00FC7309">
              <w:rPr>
                <w:rStyle w:val="Hyperlink"/>
                <w:noProof/>
                <w:lang w:eastAsia="en-GB"/>
              </w:rPr>
              <w:t>Response of the criminal justice system</w:t>
            </w:r>
            <w:r w:rsidR="00FD3D72">
              <w:rPr>
                <w:noProof/>
                <w:webHidden/>
              </w:rPr>
              <w:tab/>
            </w:r>
            <w:r w:rsidR="00FD3D72">
              <w:rPr>
                <w:noProof/>
                <w:webHidden/>
              </w:rPr>
              <w:fldChar w:fldCharType="begin"/>
            </w:r>
            <w:r w:rsidR="00FD3D72">
              <w:rPr>
                <w:noProof/>
                <w:webHidden/>
              </w:rPr>
              <w:instrText xml:space="preserve"> PAGEREF _Toc4061442 \h </w:instrText>
            </w:r>
            <w:r w:rsidR="00FD3D72">
              <w:rPr>
                <w:noProof/>
                <w:webHidden/>
              </w:rPr>
            </w:r>
            <w:r w:rsidR="00FD3D72">
              <w:rPr>
                <w:noProof/>
                <w:webHidden/>
              </w:rPr>
              <w:fldChar w:fldCharType="separate"/>
            </w:r>
            <w:r w:rsidR="00715412">
              <w:rPr>
                <w:noProof/>
                <w:webHidden/>
              </w:rPr>
              <w:t>65</w:t>
            </w:r>
            <w:r w:rsidR="00FD3D72">
              <w:rPr>
                <w:noProof/>
                <w:webHidden/>
              </w:rPr>
              <w:fldChar w:fldCharType="end"/>
            </w:r>
          </w:hyperlink>
        </w:p>
        <w:p w14:paraId="234CA930" w14:textId="6316DB08" w:rsidR="00FD3D72" w:rsidRDefault="008C5E19" w:rsidP="00FD3D72">
          <w:pPr>
            <w:pStyle w:val="TOC3"/>
            <w:tabs>
              <w:tab w:val="right" w:leader="dot" w:pos="9016"/>
            </w:tabs>
            <w:rPr>
              <w:rFonts w:asciiTheme="minorHAnsi" w:eastAsiaTheme="minorEastAsia" w:hAnsiTheme="minorHAnsi" w:cstheme="minorBidi"/>
              <w:noProof/>
              <w:sz w:val="22"/>
              <w:lang w:eastAsia="en-GB"/>
            </w:rPr>
          </w:pPr>
          <w:hyperlink w:anchor="_Toc4061443" w:history="1">
            <w:r w:rsidR="00FD3D72" w:rsidRPr="00FC7309">
              <w:rPr>
                <w:rStyle w:val="Hyperlink"/>
                <w:noProof/>
                <w:lang w:eastAsia="en-GB"/>
              </w:rPr>
              <w:t>Protection and support services</w:t>
            </w:r>
            <w:r w:rsidR="00FD3D72">
              <w:rPr>
                <w:noProof/>
                <w:webHidden/>
              </w:rPr>
              <w:tab/>
            </w:r>
            <w:r w:rsidR="00FD3D72">
              <w:rPr>
                <w:noProof/>
                <w:webHidden/>
              </w:rPr>
              <w:fldChar w:fldCharType="begin"/>
            </w:r>
            <w:r w:rsidR="00FD3D72">
              <w:rPr>
                <w:noProof/>
                <w:webHidden/>
              </w:rPr>
              <w:instrText xml:space="preserve"> PAGEREF _Toc4061443 \h </w:instrText>
            </w:r>
            <w:r w:rsidR="00FD3D72">
              <w:rPr>
                <w:noProof/>
                <w:webHidden/>
              </w:rPr>
            </w:r>
            <w:r w:rsidR="00FD3D72">
              <w:rPr>
                <w:noProof/>
                <w:webHidden/>
              </w:rPr>
              <w:fldChar w:fldCharType="separate"/>
            </w:r>
            <w:r w:rsidR="00715412">
              <w:rPr>
                <w:noProof/>
                <w:webHidden/>
              </w:rPr>
              <w:t>68</w:t>
            </w:r>
            <w:r w:rsidR="00FD3D72">
              <w:rPr>
                <w:noProof/>
                <w:webHidden/>
              </w:rPr>
              <w:fldChar w:fldCharType="end"/>
            </w:r>
          </w:hyperlink>
        </w:p>
        <w:p w14:paraId="06783BAB" w14:textId="196460C4" w:rsidR="00FD3D72" w:rsidRDefault="008C5E19" w:rsidP="00D979ED">
          <w:pPr>
            <w:pStyle w:val="TOC1"/>
            <w:rPr>
              <w:rFonts w:asciiTheme="minorHAnsi" w:eastAsiaTheme="minorEastAsia" w:hAnsiTheme="minorHAnsi" w:cstheme="minorBidi"/>
              <w:sz w:val="22"/>
              <w:lang w:eastAsia="en-GB"/>
            </w:rPr>
          </w:pPr>
          <w:hyperlink w:anchor="_Toc4061445" w:history="1">
            <w:r w:rsidR="00FD3D72" w:rsidRPr="00FC7309">
              <w:rPr>
                <w:rStyle w:val="Hyperlink"/>
                <w:lang w:eastAsia="en-GB"/>
              </w:rPr>
              <w:t>12. Child sexual abuse</w:t>
            </w:r>
            <w:r w:rsidR="00FD3D72">
              <w:rPr>
                <w:webHidden/>
              </w:rPr>
              <w:tab/>
            </w:r>
            <w:r w:rsidR="00FD3D72">
              <w:rPr>
                <w:webHidden/>
              </w:rPr>
              <w:fldChar w:fldCharType="begin"/>
            </w:r>
            <w:r w:rsidR="00FD3D72">
              <w:rPr>
                <w:webHidden/>
              </w:rPr>
              <w:instrText xml:space="preserve"> PAGEREF _Toc4061445 \h </w:instrText>
            </w:r>
            <w:r w:rsidR="00FD3D72">
              <w:rPr>
                <w:webHidden/>
              </w:rPr>
            </w:r>
            <w:r w:rsidR="00FD3D72">
              <w:rPr>
                <w:webHidden/>
              </w:rPr>
              <w:fldChar w:fldCharType="separate"/>
            </w:r>
            <w:r w:rsidR="00715412">
              <w:rPr>
                <w:webHidden/>
              </w:rPr>
              <w:t>70</w:t>
            </w:r>
            <w:r w:rsidR="00FD3D72">
              <w:rPr>
                <w:webHidden/>
              </w:rPr>
              <w:fldChar w:fldCharType="end"/>
            </w:r>
          </w:hyperlink>
        </w:p>
        <w:p w14:paraId="059F1606" w14:textId="62BF4F66" w:rsidR="00FD3D72" w:rsidRDefault="008C5E19" w:rsidP="00D979ED">
          <w:pPr>
            <w:pStyle w:val="TOC1"/>
            <w:rPr>
              <w:rFonts w:asciiTheme="minorHAnsi" w:eastAsiaTheme="minorEastAsia" w:hAnsiTheme="minorHAnsi" w:cstheme="minorBidi"/>
              <w:sz w:val="22"/>
              <w:lang w:eastAsia="en-GB"/>
            </w:rPr>
          </w:pPr>
          <w:hyperlink w:anchor="_Toc4061448" w:history="1">
            <w:r w:rsidR="00FD3D72" w:rsidRPr="00FC7309">
              <w:rPr>
                <w:rStyle w:val="Hyperlink"/>
              </w:rPr>
              <w:t xml:space="preserve">13. </w:t>
            </w:r>
            <w:r w:rsidR="00FD3D72" w:rsidRPr="00FC7309">
              <w:rPr>
                <w:rStyle w:val="Hyperlink"/>
                <w:lang w:eastAsia="en-GB"/>
              </w:rPr>
              <w:t>Hate crime</w:t>
            </w:r>
            <w:r w:rsidR="00FD3D72">
              <w:rPr>
                <w:webHidden/>
              </w:rPr>
              <w:tab/>
            </w:r>
            <w:r w:rsidR="00FD3D72">
              <w:rPr>
                <w:webHidden/>
              </w:rPr>
              <w:fldChar w:fldCharType="begin"/>
            </w:r>
            <w:r w:rsidR="00FD3D72">
              <w:rPr>
                <w:webHidden/>
              </w:rPr>
              <w:instrText xml:space="preserve"> PAGEREF _Toc4061448 \h </w:instrText>
            </w:r>
            <w:r w:rsidR="00FD3D72">
              <w:rPr>
                <w:webHidden/>
              </w:rPr>
            </w:r>
            <w:r w:rsidR="00FD3D72">
              <w:rPr>
                <w:webHidden/>
              </w:rPr>
              <w:fldChar w:fldCharType="separate"/>
            </w:r>
            <w:r w:rsidR="00715412">
              <w:rPr>
                <w:webHidden/>
              </w:rPr>
              <w:t>73</w:t>
            </w:r>
            <w:r w:rsidR="00FD3D72">
              <w:rPr>
                <w:webHidden/>
              </w:rPr>
              <w:fldChar w:fldCharType="end"/>
            </w:r>
          </w:hyperlink>
        </w:p>
        <w:p w14:paraId="5638C4D5" w14:textId="5A62A830" w:rsidR="00FD3D72" w:rsidRDefault="008C5E19" w:rsidP="00D979ED">
          <w:pPr>
            <w:pStyle w:val="TOC1"/>
            <w:rPr>
              <w:rFonts w:asciiTheme="minorHAnsi" w:eastAsiaTheme="minorEastAsia" w:hAnsiTheme="minorHAnsi" w:cstheme="minorBidi"/>
              <w:sz w:val="22"/>
              <w:lang w:eastAsia="en-GB"/>
            </w:rPr>
          </w:pPr>
          <w:hyperlink w:anchor="_Toc4061450" w:history="1">
            <w:r w:rsidR="00FD3D72" w:rsidRPr="00FC7309">
              <w:rPr>
                <w:rStyle w:val="Hyperlink"/>
              </w:rPr>
              <w:t>14. Minimum age of criminal responsibility</w:t>
            </w:r>
            <w:r w:rsidR="00FD3D72">
              <w:rPr>
                <w:webHidden/>
              </w:rPr>
              <w:tab/>
            </w:r>
            <w:r w:rsidR="00FD3D72">
              <w:rPr>
                <w:webHidden/>
              </w:rPr>
              <w:fldChar w:fldCharType="begin"/>
            </w:r>
            <w:r w:rsidR="00FD3D72">
              <w:rPr>
                <w:webHidden/>
              </w:rPr>
              <w:instrText xml:space="preserve"> PAGEREF _Toc4061450 \h </w:instrText>
            </w:r>
            <w:r w:rsidR="00FD3D72">
              <w:rPr>
                <w:webHidden/>
              </w:rPr>
            </w:r>
            <w:r w:rsidR="00FD3D72">
              <w:rPr>
                <w:webHidden/>
              </w:rPr>
              <w:fldChar w:fldCharType="separate"/>
            </w:r>
            <w:r w:rsidR="00715412">
              <w:rPr>
                <w:webHidden/>
              </w:rPr>
              <w:t>76</w:t>
            </w:r>
            <w:r w:rsidR="00FD3D72">
              <w:rPr>
                <w:webHidden/>
              </w:rPr>
              <w:fldChar w:fldCharType="end"/>
            </w:r>
          </w:hyperlink>
        </w:p>
        <w:p w14:paraId="345A7880" w14:textId="068F1AD0" w:rsidR="0095032F" w:rsidRDefault="0095032F">
          <w:r>
            <w:rPr>
              <w:b/>
              <w:bCs/>
              <w:noProof/>
            </w:rPr>
            <w:fldChar w:fldCharType="end"/>
          </w:r>
        </w:p>
      </w:sdtContent>
    </w:sdt>
    <w:p w14:paraId="51F9A44A" w14:textId="742360DF" w:rsidR="005F0CC1" w:rsidRPr="00FD3D72" w:rsidRDefault="005F0CC1" w:rsidP="00FD3D72">
      <w:pPr>
        <w:rPr>
          <w:rFonts w:cs="Arial"/>
          <w:szCs w:val="24"/>
        </w:rPr>
        <w:sectPr w:rsidR="005F0CC1" w:rsidRPr="00FD3D72" w:rsidSect="00C32DAA">
          <w:headerReference w:type="default" r:id="rId11"/>
          <w:footerReference w:type="default" r:id="rId12"/>
          <w:pgSz w:w="11906" w:h="16838" w:code="9"/>
          <w:pgMar w:top="1440" w:right="1440" w:bottom="1440" w:left="1440" w:header="567" w:footer="567" w:gutter="0"/>
          <w:cols w:space="708"/>
          <w:docGrid w:linePitch="360"/>
        </w:sectPr>
      </w:pPr>
    </w:p>
    <w:p w14:paraId="460CBBE7" w14:textId="2104D8B0" w:rsidR="008218C8" w:rsidRPr="00600D54" w:rsidRDefault="0095032F" w:rsidP="0095032F">
      <w:pPr>
        <w:pStyle w:val="Title-chapterpink"/>
        <w:rPr>
          <w:sz w:val="40"/>
          <w:szCs w:val="40"/>
        </w:rPr>
      </w:pPr>
      <w:bookmarkStart w:id="5" w:name="_Toc4061368"/>
      <w:r w:rsidRPr="00600D54">
        <w:rPr>
          <w:sz w:val="40"/>
          <w:szCs w:val="40"/>
        </w:rPr>
        <w:lastRenderedPageBreak/>
        <w:t>Glossary</w:t>
      </w:r>
      <w:bookmarkEnd w:id="5"/>
    </w:p>
    <w:p w14:paraId="6846E650" w14:textId="5651FF63" w:rsidR="007C20F8" w:rsidRDefault="007C20F8" w:rsidP="00234F4D">
      <w:pPr>
        <w:pStyle w:val="Parabeforeanother"/>
        <w:spacing w:line="240" w:lineRule="auto"/>
      </w:pPr>
      <w:r>
        <w:t>ATU</w:t>
      </w:r>
      <w:r>
        <w:tab/>
      </w:r>
      <w:r>
        <w:tab/>
      </w:r>
      <w:r>
        <w:tab/>
        <w:t>Assessment and Treatment Unit</w:t>
      </w:r>
    </w:p>
    <w:p w14:paraId="670E38AC" w14:textId="37919D28" w:rsidR="00215B7D" w:rsidRDefault="00215B7D" w:rsidP="00234F4D">
      <w:pPr>
        <w:pStyle w:val="Parabeforeanother"/>
        <w:spacing w:line="240" w:lineRule="auto"/>
      </w:pPr>
      <w:r>
        <w:t>CAMHS</w:t>
      </w:r>
      <w:r>
        <w:tab/>
      </w:r>
      <w:r>
        <w:tab/>
        <w:t>Child and Adolescent Mental Health Services</w:t>
      </w:r>
    </w:p>
    <w:p w14:paraId="6F3F8401" w14:textId="756AA56B" w:rsidR="00AE42CD" w:rsidRPr="00AE42CD" w:rsidRDefault="00AE42CD" w:rsidP="00AE42CD">
      <w:pPr>
        <w:pStyle w:val="Parabeforeanother"/>
        <w:spacing w:line="240" w:lineRule="auto"/>
        <w:ind w:left="2160" w:hanging="2160"/>
      </w:pPr>
      <w:r>
        <w:t>CAT</w:t>
      </w:r>
      <w:r>
        <w:tab/>
      </w:r>
      <w:r w:rsidRPr="00AE42CD">
        <w:rPr>
          <w:bCs/>
        </w:rPr>
        <w:t>United Nations Convention against Torture</w:t>
      </w:r>
      <w:r w:rsidRPr="00AE42CD">
        <w:t xml:space="preserve"> </w:t>
      </w:r>
      <w:r w:rsidRPr="00AE42CD">
        <w:rPr>
          <w:bCs/>
        </w:rPr>
        <w:t>and Other Cruel, Inhuman or Degrading Treatment or Punishment</w:t>
      </w:r>
    </w:p>
    <w:p w14:paraId="5CE63ED9" w14:textId="145A8225" w:rsidR="008218C8" w:rsidRDefault="008218C8" w:rsidP="00234F4D">
      <w:pPr>
        <w:pStyle w:val="Parabeforeanother"/>
        <w:spacing w:line="240" w:lineRule="auto"/>
        <w:ind w:left="2160" w:hanging="2160"/>
      </w:pPr>
      <w:r w:rsidRPr="00C01D92">
        <w:t>CEDAW</w:t>
      </w:r>
      <w:r w:rsidRPr="00C01D92">
        <w:tab/>
        <w:t>Convention on the Elimination of All Forms of Discrimination Against Women</w:t>
      </w:r>
    </w:p>
    <w:p w14:paraId="52639490" w14:textId="243B6E5C" w:rsidR="007C20F8" w:rsidRDefault="007C20F8" w:rsidP="00234F4D">
      <w:pPr>
        <w:pStyle w:val="Parabeforeanother"/>
        <w:spacing w:line="240" w:lineRule="auto"/>
        <w:ind w:left="2160" w:hanging="2160"/>
      </w:pPr>
      <w:r>
        <w:t>CCE</w:t>
      </w:r>
      <w:r>
        <w:tab/>
        <w:t>Children’s Commissioner for England</w:t>
      </w:r>
    </w:p>
    <w:p w14:paraId="05F054BF" w14:textId="15900D86" w:rsidR="00935338" w:rsidRPr="00C01D92" w:rsidRDefault="00935338" w:rsidP="00234F4D">
      <w:pPr>
        <w:pStyle w:val="Parabeforeanother"/>
        <w:spacing w:line="240" w:lineRule="auto"/>
        <w:ind w:left="2160" w:hanging="2160"/>
      </w:pPr>
      <w:r w:rsidRPr="00A717CB">
        <w:t>C</w:t>
      </w:r>
      <w:r>
        <w:t>ICA</w:t>
      </w:r>
      <w:r>
        <w:tab/>
        <w:t>C</w:t>
      </w:r>
      <w:r w:rsidRPr="00A717CB">
        <w:t xml:space="preserve">riminal Injuries Compensation Authority </w:t>
      </w:r>
    </w:p>
    <w:p w14:paraId="4AD6D8A6" w14:textId="32C40D60" w:rsidR="005F66FA" w:rsidRDefault="005F66FA" w:rsidP="00234F4D">
      <w:pPr>
        <w:pStyle w:val="Parabeforeanother"/>
        <w:spacing w:line="240" w:lineRule="auto"/>
      </w:pPr>
      <w:r>
        <w:t>CJA</w:t>
      </w:r>
      <w:r>
        <w:tab/>
      </w:r>
      <w:r>
        <w:tab/>
      </w:r>
      <w:r>
        <w:tab/>
        <w:t>Criminal Justice Act</w:t>
      </w:r>
    </w:p>
    <w:p w14:paraId="203A6FBF" w14:textId="7743CB5F" w:rsidR="005F66FA" w:rsidRDefault="005F66FA" w:rsidP="00234F4D">
      <w:pPr>
        <w:pStyle w:val="Parabeforeanother"/>
        <w:spacing w:line="240" w:lineRule="auto"/>
      </w:pPr>
      <w:r>
        <w:t>CMP</w:t>
      </w:r>
      <w:r>
        <w:tab/>
      </w:r>
      <w:r>
        <w:tab/>
      </w:r>
      <w:r>
        <w:tab/>
        <w:t>Closed Material Procedure</w:t>
      </w:r>
    </w:p>
    <w:p w14:paraId="10363B44" w14:textId="68B1EE3F" w:rsidR="005F66FA" w:rsidRDefault="005F66FA" w:rsidP="00234F4D">
      <w:pPr>
        <w:pStyle w:val="Parabeforeanother"/>
        <w:spacing w:line="240" w:lineRule="auto"/>
      </w:pPr>
      <w:r>
        <w:t>CO</w:t>
      </w:r>
      <w:r>
        <w:tab/>
      </w:r>
      <w:r>
        <w:tab/>
      </w:r>
      <w:r>
        <w:tab/>
        <w:t>Concluding Observations</w:t>
      </w:r>
    </w:p>
    <w:p w14:paraId="64873323" w14:textId="08A72B56" w:rsidR="008218C8" w:rsidRPr="00C01D92" w:rsidRDefault="008218C8" w:rsidP="00234F4D">
      <w:pPr>
        <w:pStyle w:val="Parabeforeanother"/>
        <w:spacing w:line="240" w:lineRule="auto"/>
      </w:pPr>
      <w:r w:rsidRPr="00C01D92">
        <w:t>CPS</w:t>
      </w:r>
      <w:r w:rsidRPr="00C01D92">
        <w:tab/>
      </w:r>
      <w:r w:rsidRPr="00C01D92">
        <w:tab/>
      </w:r>
      <w:r w:rsidRPr="00C01D92">
        <w:tab/>
        <w:t>Crown Prosecution Service</w:t>
      </w:r>
    </w:p>
    <w:p w14:paraId="7F1F145C" w14:textId="4E48D1D5" w:rsidR="00647897" w:rsidRDefault="00647897" w:rsidP="00234F4D">
      <w:pPr>
        <w:pStyle w:val="Parabeforeanother"/>
        <w:spacing w:line="240" w:lineRule="auto"/>
        <w:ind w:left="2160" w:hanging="2160"/>
      </w:pPr>
      <w:r>
        <w:t>CPT</w:t>
      </w:r>
      <w:r>
        <w:tab/>
        <w:t>European Committee for the Prevention of Torture and Inhuman or Degrading Treatment or Punishment</w:t>
      </w:r>
    </w:p>
    <w:p w14:paraId="31C1BDD3" w14:textId="7A288263" w:rsidR="008218C8" w:rsidRPr="00C01D92" w:rsidRDefault="008218C8" w:rsidP="00234F4D">
      <w:pPr>
        <w:pStyle w:val="Parabeforeanother"/>
        <w:spacing w:line="240" w:lineRule="auto"/>
      </w:pPr>
      <w:r w:rsidRPr="00C01D92">
        <w:t>CQC</w:t>
      </w:r>
      <w:r w:rsidRPr="00C01D92">
        <w:tab/>
      </w:r>
      <w:r w:rsidRPr="00C01D92">
        <w:tab/>
      </w:r>
      <w:r w:rsidRPr="00C01D92">
        <w:tab/>
        <w:t>Care Quality Commission</w:t>
      </w:r>
    </w:p>
    <w:p w14:paraId="79EEB091" w14:textId="7E5E3669" w:rsidR="008179C3" w:rsidRDefault="008179C3" w:rsidP="00234F4D">
      <w:pPr>
        <w:pStyle w:val="Parabeforeanother"/>
        <w:spacing w:line="240" w:lineRule="auto"/>
      </w:pPr>
      <w:r>
        <w:t>CTSA</w:t>
      </w:r>
      <w:r>
        <w:tab/>
      </w:r>
      <w:r>
        <w:tab/>
      </w:r>
      <w:r>
        <w:tab/>
        <w:t>Counter-Terrorism and Security Act</w:t>
      </w:r>
    </w:p>
    <w:p w14:paraId="6B54B93D" w14:textId="0D9A77B2" w:rsidR="008179C3" w:rsidRDefault="008179C3" w:rsidP="00234F4D">
      <w:pPr>
        <w:pStyle w:val="Parabeforeanother"/>
        <w:spacing w:line="240" w:lineRule="auto"/>
      </w:pPr>
      <w:r>
        <w:t>DoLS</w:t>
      </w:r>
      <w:r>
        <w:tab/>
      </w:r>
      <w:r>
        <w:tab/>
      </w:r>
      <w:r>
        <w:tab/>
        <w:t>Deprivation of Liberty Safeguards</w:t>
      </w:r>
    </w:p>
    <w:p w14:paraId="41F1E2FD" w14:textId="4551B9E1" w:rsidR="005F66FA" w:rsidRDefault="005F66FA" w:rsidP="00234F4D">
      <w:pPr>
        <w:pStyle w:val="Parabeforeanother"/>
        <w:spacing w:line="240" w:lineRule="auto"/>
      </w:pPr>
      <w:r>
        <w:t>DWA</w:t>
      </w:r>
      <w:r>
        <w:tab/>
      </w:r>
      <w:r>
        <w:tab/>
      </w:r>
      <w:r>
        <w:tab/>
        <w:t>Deportation with assurances</w:t>
      </w:r>
    </w:p>
    <w:p w14:paraId="47D8BFBA" w14:textId="117D9A31" w:rsidR="005F66FA" w:rsidRDefault="005F66FA" w:rsidP="00234F4D">
      <w:pPr>
        <w:pStyle w:val="Parabeforeanother"/>
        <w:spacing w:line="240" w:lineRule="auto"/>
      </w:pPr>
      <w:r>
        <w:t>ECF</w:t>
      </w:r>
      <w:r>
        <w:tab/>
      </w:r>
      <w:r>
        <w:tab/>
      </w:r>
      <w:r>
        <w:tab/>
        <w:t>Exceptional case funding</w:t>
      </w:r>
    </w:p>
    <w:p w14:paraId="25307493" w14:textId="4C46813C" w:rsidR="008218C8" w:rsidRDefault="008218C8" w:rsidP="00234F4D">
      <w:pPr>
        <w:pStyle w:val="Parabeforeanother"/>
        <w:spacing w:line="240" w:lineRule="auto"/>
      </w:pPr>
      <w:r>
        <w:t>ECHR</w:t>
      </w:r>
      <w:r>
        <w:tab/>
      </w:r>
      <w:r>
        <w:tab/>
      </w:r>
      <w:r>
        <w:tab/>
        <w:t>European Convention on Human Rights</w:t>
      </w:r>
    </w:p>
    <w:p w14:paraId="4EF4F38F" w14:textId="77777777" w:rsidR="008218C8" w:rsidRDefault="008218C8" w:rsidP="00234F4D">
      <w:pPr>
        <w:pStyle w:val="Parabeforeanother"/>
        <w:spacing w:line="240" w:lineRule="auto"/>
      </w:pPr>
      <w:r>
        <w:t>EHRC</w:t>
      </w:r>
      <w:r>
        <w:tab/>
      </w:r>
      <w:r>
        <w:tab/>
      </w:r>
      <w:r>
        <w:tab/>
        <w:t>Equality and Human Rights Commission</w:t>
      </w:r>
    </w:p>
    <w:p w14:paraId="26308BB8" w14:textId="77777777" w:rsidR="008218C8" w:rsidRDefault="008218C8" w:rsidP="00234F4D">
      <w:pPr>
        <w:pStyle w:val="Parabeforeanother"/>
        <w:spacing w:line="240" w:lineRule="auto"/>
      </w:pPr>
      <w:r>
        <w:t>EU</w:t>
      </w:r>
      <w:r>
        <w:tab/>
      </w:r>
      <w:r>
        <w:tab/>
      </w:r>
      <w:r>
        <w:tab/>
        <w:t>European Union</w:t>
      </w:r>
    </w:p>
    <w:p w14:paraId="2F6CD25C" w14:textId="77777777" w:rsidR="008218C8" w:rsidRDefault="008218C8" w:rsidP="00234F4D">
      <w:pPr>
        <w:pStyle w:val="Parabeforeanother"/>
        <w:spacing w:line="240" w:lineRule="auto"/>
      </w:pPr>
      <w:r>
        <w:t>FGM</w:t>
      </w:r>
      <w:r>
        <w:tab/>
      </w:r>
      <w:r>
        <w:tab/>
      </w:r>
      <w:r>
        <w:tab/>
        <w:t>Female genital mutilation</w:t>
      </w:r>
    </w:p>
    <w:p w14:paraId="201AA6B9" w14:textId="77777777" w:rsidR="008218C8" w:rsidRDefault="008218C8" w:rsidP="00234F4D">
      <w:pPr>
        <w:pStyle w:val="Parabeforeanother"/>
        <w:spacing w:line="240" w:lineRule="auto"/>
      </w:pPr>
      <w:r>
        <w:t>HMIC</w:t>
      </w:r>
      <w:r>
        <w:tab/>
      </w:r>
      <w:r>
        <w:tab/>
      </w:r>
      <w:r>
        <w:tab/>
        <w:t>HM Inspector of Constabulary</w:t>
      </w:r>
    </w:p>
    <w:p w14:paraId="397ABDAE" w14:textId="77777777" w:rsidR="008218C8" w:rsidRDefault="008218C8" w:rsidP="00234F4D">
      <w:pPr>
        <w:pStyle w:val="Parabeforeanother"/>
        <w:spacing w:line="240" w:lineRule="auto"/>
        <w:ind w:left="2160" w:hanging="2160"/>
      </w:pPr>
      <w:r>
        <w:t>HMICFRS</w:t>
      </w:r>
      <w:r>
        <w:tab/>
        <w:t>Her Majesty’s Inspectorate of Constabulary and Fire and Rescue Services</w:t>
      </w:r>
    </w:p>
    <w:p w14:paraId="34CB9813" w14:textId="77267CA3" w:rsidR="008218C8" w:rsidRDefault="008218C8" w:rsidP="00234F4D">
      <w:pPr>
        <w:pStyle w:val="Parabeforeanother"/>
        <w:spacing w:line="240" w:lineRule="auto"/>
      </w:pPr>
      <w:r>
        <w:t>HMIP</w:t>
      </w:r>
      <w:r>
        <w:tab/>
      </w:r>
      <w:r>
        <w:tab/>
      </w:r>
      <w:r w:rsidR="00D70F44">
        <w:tab/>
      </w:r>
      <w:r>
        <w:t>HM Inspectorate of Prisons</w:t>
      </w:r>
      <w:r>
        <w:tab/>
      </w:r>
    </w:p>
    <w:p w14:paraId="6E5FB36E" w14:textId="77C54335" w:rsidR="00CA04FC" w:rsidRDefault="00CA04FC" w:rsidP="00234F4D">
      <w:pPr>
        <w:pStyle w:val="Parabeforeanother"/>
        <w:spacing w:line="240" w:lineRule="auto"/>
      </w:pPr>
      <w:r>
        <w:t>HMPPS</w:t>
      </w:r>
      <w:r>
        <w:tab/>
      </w:r>
      <w:r>
        <w:tab/>
        <w:t>HM Prisons and Probation Service</w:t>
      </w:r>
    </w:p>
    <w:p w14:paraId="6D952120" w14:textId="1F111BAE" w:rsidR="008218C8" w:rsidRDefault="008218C8" w:rsidP="00234F4D">
      <w:pPr>
        <w:pStyle w:val="Parabeforeanother"/>
        <w:spacing w:line="240" w:lineRule="auto"/>
      </w:pPr>
      <w:r w:rsidRPr="00C01D92">
        <w:t>HRA</w:t>
      </w:r>
      <w:r w:rsidRPr="00C01D92">
        <w:tab/>
      </w:r>
      <w:r w:rsidRPr="00C01D92">
        <w:tab/>
      </w:r>
      <w:r w:rsidRPr="00C01D92">
        <w:tab/>
        <w:t>Human Rights Act</w:t>
      </w:r>
    </w:p>
    <w:p w14:paraId="184560FA" w14:textId="6CADA191" w:rsidR="001F2D56" w:rsidRPr="001F2D56" w:rsidRDefault="001F2D56" w:rsidP="001F2D56">
      <w:pPr>
        <w:pStyle w:val="Parabeforeanother"/>
        <w:spacing w:line="240" w:lineRule="auto"/>
      </w:pPr>
      <w:r>
        <w:t>HSIB</w:t>
      </w:r>
      <w:r>
        <w:tab/>
      </w:r>
      <w:r>
        <w:tab/>
      </w:r>
      <w:r>
        <w:tab/>
      </w:r>
      <w:r w:rsidRPr="001F2D56">
        <w:t>Healthcare Safety Investigation Branch</w:t>
      </w:r>
    </w:p>
    <w:p w14:paraId="0AD41652" w14:textId="3212DA17" w:rsidR="001F2D56" w:rsidRPr="001F2D56" w:rsidRDefault="001F2D56" w:rsidP="001F2D56">
      <w:pPr>
        <w:pStyle w:val="Parabeforeanother"/>
        <w:spacing w:line="240" w:lineRule="auto"/>
      </w:pPr>
      <w:r>
        <w:t>HSSIB</w:t>
      </w:r>
      <w:r>
        <w:tab/>
      </w:r>
      <w:r>
        <w:tab/>
      </w:r>
      <w:r w:rsidRPr="001F2D56">
        <w:t>Healthcare Services Safety Investigation Branch</w:t>
      </w:r>
    </w:p>
    <w:p w14:paraId="52AEE729" w14:textId="41D53518" w:rsidR="005F66FA" w:rsidRDefault="005F66FA" w:rsidP="00234F4D">
      <w:pPr>
        <w:pStyle w:val="Parabeforeanother"/>
        <w:spacing w:line="240" w:lineRule="auto"/>
      </w:pPr>
      <w:r>
        <w:lastRenderedPageBreak/>
        <w:t>IHAT</w:t>
      </w:r>
      <w:r>
        <w:tab/>
      </w:r>
      <w:r>
        <w:tab/>
      </w:r>
      <w:r>
        <w:tab/>
        <w:t>Iraq Historic Allegations Team</w:t>
      </w:r>
    </w:p>
    <w:p w14:paraId="03B27937" w14:textId="6E912E6C" w:rsidR="00024189" w:rsidRDefault="00024189" w:rsidP="00234F4D">
      <w:pPr>
        <w:pStyle w:val="Parabeforeanother"/>
        <w:spacing w:line="240" w:lineRule="auto"/>
      </w:pPr>
      <w:r>
        <w:t>IICSA</w:t>
      </w:r>
      <w:r>
        <w:tab/>
      </w:r>
      <w:r>
        <w:tab/>
      </w:r>
      <w:r>
        <w:tab/>
        <w:t>Independent Inquiry into Child Sexual Abuse</w:t>
      </w:r>
    </w:p>
    <w:p w14:paraId="0D24C755" w14:textId="0E984C44" w:rsidR="008218C8" w:rsidRDefault="008218C8" w:rsidP="00234F4D">
      <w:pPr>
        <w:pStyle w:val="Parabeforeanother"/>
        <w:spacing w:line="240" w:lineRule="auto"/>
      </w:pPr>
      <w:r>
        <w:t>IRC</w:t>
      </w:r>
      <w:r>
        <w:tab/>
      </w:r>
      <w:r>
        <w:tab/>
      </w:r>
      <w:r>
        <w:tab/>
        <w:t>Immigration Removal Centre</w:t>
      </w:r>
    </w:p>
    <w:p w14:paraId="45FB4594" w14:textId="751E9A07" w:rsidR="005F66FA" w:rsidRDefault="005F66FA" w:rsidP="00234F4D">
      <w:pPr>
        <w:pStyle w:val="Parabeforeanother"/>
        <w:spacing w:line="240" w:lineRule="auto"/>
      </w:pPr>
      <w:r>
        <w:t>ISC</w:t>
      </w:r>
      <w:r>
        <w:tab/>
      </w:r>
      <w:r>
        <w:tab/>
      </w:r>
      <w:r>
        <w:tab/>
        <w:t>Intelligence and Security Committee</w:t>
      </w:r>
    </w:p>
    <w:p w14:paraId="2E640578" w14:textId="40EFAE37" w:rsidR="008218C8" w:rsidRPr="00C01D92" w:rsidRDefault="008218C8" w:rsidP="00234F4D">
      <w:pPr>
        <w:pStyle w:val="Parabeforeanother"/>
        <w:spacing w:line="240" w:lineRule="auto"/>
      </w:pPr>
      <w:r w:rsidRPr="00C01D92">
        <w:t>JCHR</w:t>
      </w:r>
      <w:r w:rsidRPr="00C01D92">
        <w:tab/>
      </w:r>
      <w:r w:rsidRPr="00C01D92">
        <w:tab/>
      </w:r>
      <w:r w:rsidRPr="00C01D92">
        <w:tab/>
        <w:t>Joint Committee on Human Rights</w:t>
      </w:r>
    </w:p>
    <w:p w14:paraId="50D3FA73" w14:textId="2E852146" w:rsidR="008179C3" w:rsidRDefault="008179C3" w:rsidP="00234F4D">
      <w:pPr>
        <w:pStyle w:val="Parabeforeanother"/>
        <w:spacing w:line="240" w:lineRule="auto"/>
      </w:pPr>
      <w:r>
        <w:t>JSA</w:t>
      </w:r>
      <w:r>
        <w:tab/>
      </w:r>
      <w:r>
        <w:tab/>
      </w:r>
      <w:r>
        <w:tab/>
        <w:t>Justice and Security Act</w:t>
      </w:r>
    </w:p>
    <w:p w14:paraId="257B20BC" w14:textId="6D4E8D15" w:rsidR="002F4504" w:rsidRPr="00C01D92" w:rsidRDefault="008218C8" w:rsidP="00234F4D">
      <w:pPr>
        <w:pStyle w:val="Parabeforeanother"/>
        <w:spacing w:line="240" w:lineRule="auto"/>
      </w:pPr>
      <w:r w:rsidRPr="00C01D92">
        <w:t>LASPO</w:t>
      </w:r>
      <w:r w:rsidRPr="00C01D92">
        <w:tab/>
      </w:r>
      <w:r w:rsidRPr="00C01D92">
        <w:tab/>
        <w:t>Legal Aid, Sentencing and Punishment of Offenders Act 2012</w:t>
      </w:r>
      <w:bookmarkStart w:id="6" w:name="_GoBack"/>
      <w:bookmarkEnd w:id="6"/>
    </w:p>
    <w:p w14:paraId="41008D9F" w14:textId="0384395E" w:rsidR="008179C3" w:rsidRDefault="008179C3" w:rsidP="00234F4D">
      <w:pPr>
        <w:pStyle w:val="Parabeforeanother"/>
        <w:spacing w:line="240" w:lineRule="auto"/>
      </w:pPr>
      <w:r>
        <w:t>MCA</w:t>
      </w:r>
      <w:r>
        <w:tab/>
      </w:r>
      <w:r>
        <w:tab/>
      </w:r>
      <w:r>
        <w:tab/>
        <w:t>Mental Capacity Act</w:t>
      </w:r>
    </w:p>
    <w:p w14:paraId="5B2294CF" w14:textId="1EABD469" w:rsidR="00987445" w:rsidRDefault="00987445" w:rsidP="00234F4D">
      <w:pPr>
        <w:pStyle w:val="Parabeforeanother"/>
        <w:spacing w:line="240" w:lineRule="auto"/>
      </w:pPr>
      <w:r>
        <w:t>MHA</w:t>
      </w:r>
      <w:r>
        <w:tab/>
      </w:r>
      <w:r>
        <w:tab/>
      </w:r>
      <w:r>
        <w:tab/>
        <w:t>Mental Health Act</w:t>
      </w:r>
    </w:p>
    <w:p w14:paraId="06B74BB5" w14:textId="5D6BAE87" w:rsidR="008C5E19" w:rsidRDefault="008C5E19" w:rsidP="00234F4D">
      <w:pPr>
        <w:pStyle w:val="Parabeforeanother"/>
        <w:spacing w:line="240" w:lineRule="auto"/>
      </w:pPr>
      <w:r>
        <w:t>MoJ</w:t>
      </w:r>
      <w:r>
        <w:tab/>
      </w:r>
      <w:r>
        <w:tab/>
      </w:r>
      <w:r>
        <w:tab/>
        <w:t>Ministry of Justice</w:t>
      </w:r>
    </w:p>
    <w:p w14:paraId="3B62BD56" w14:textId="1E142AB6" w:rsidR="008218C8" w:rsidRDefault="008218C8" w:rsidP="00234F4D">
      <w:pPr>
        <w:pStyle w:val="Parabeforeanother"/>
        <w:spacing w:line="240" w:lineRule="auto"/>
      </w:pPr>
      <w:r w:rsidRPr="00C01D92">
        <w:t>MSA</w:t>
      </w:r>
      <w:r w:rsidRPr="00C01D92">
        <w:tab/>
      </w:r>
      <w:r w:rsidRPr="00C01D92">
        <w:tab/>
      </w:r>
      <w:r w:rsidRPr="00C01D92">
        <w:tab/>
        <w:t>Modern Slavery Act</w:t>
      </w:r>
    </w:p>
    <w:p w14:paraId="5606645B" w14:textId="193DD1ED" w:rsidR="008218C8" w:rsidRDefault="008218C8" w:rsidP="00234F4D">
      <w:pPr>
        <w:pStyle w:val="Parabeforeanother"/>
        <w:spacing w:line="240" w:lineRule="auto"/>
      </w:pPr>
      <w:r>
        <w:t>NHRI</w:t>
      </w:r>
      <w:r w:rsidR="00627F3E">
        <w:tab/>
      </w:r>
      <w:r>
        <w:tab/>
      </w:r>
      <w:r>
        <w:tab/>
        <w:t xml:space="preserve">National </w:t>
      </w:r>
      <w:r w:rsidR="00627F3E">
        <w:t>human rights institution</w:t>
      </w:r>
    </w:p>
    <w:p w14:paraId="544D59CB" w14:textId="54C2ABB2" w:rsidR="00D374CF" w:rsidRDefault="00D374CF" w:rsidP="00234F4D">
      <w:pPr>
        <w:pStyle w:val="Parabeforeanother"/>
        <w:spacing w:line="240" w:lineRule="auto"/>
      </w:pPr>
      <w:r>
        <w:t>NHS</w:t>
      </w:r>
      <w:r>
        <w:tab/>
      </w:r>
      <w:r>
        <w:tab/>
      </w:r>
      <w:r>
        <w:tab/>
        <w:t>National Health Service</w:t>
      </w:r>
    </w:p>
    <w:p w14:paraId="2E271F16" w14:textId="2F94630B" w:rsidR="00DA2B57" w:rsidRDefault="00DA2B57" w:rsidP="00234F4D">
      <w:pPr>
        <w:pStyle w:val="Parabeforeanother"/>
        <w:spacing w:line="240" w:lineRule="auto"/>
      </w:pPr>
      <w:r>
        <w:t>NPM</w:t>
      </w:r>
      <w:r>
        <w:tab/>
      </w:r>
      <w:r>
        <w:tab/>
      </w:r>
      <w:r>
        <w:tab/>
        <w:t>National Preventive Mechanism</w:t>
      </w:r>
    </w:p>
    <w:p w14:paraId="0F54FB13" w14:textId="0A24503E" w:rsidR="0037196F" w:rsidRDefault="008218C8" w:rsidP="00234F4D">
      <w:pPr>
        <w:pStyle w:val="Parabeforeanother"/>
        <w:spacing w:line="240" w:lineRule="auto"/>
      </w:pPr>
      <w:r>
        <w:t>NR</w:t>
      </w:r>
      <w:r w:rsidR="007C20F8">
        <w:t>M</w:t>
      </w:r>
      <w:r w:rsidR="007C20F8">
        <w:tab/>
      </w:r>
      <w:r w:rsidR="007C20F8">
        <w:tab/>
      </w:r>
      <w:r w:rsidR="007C20F8">
        <w:tab/>
        <w:t>National Referral Mechanism</w:t>
      </w:r>
      <w:r w:rsidR="0037196F">
        <w:tab/>
      </w:r>
      <w:r w:rsidR="0037196F">
        <w:tab/>
      </w:r>
      <w:r w:rsidR="0037196F">
        <w:tab/>
      </w:r>
    </w:p>
    <w:p w14:paraId="7B6FCCBE" w14:textId="6F4D593D" w:rsidR="008218C8" w:rsidRDefault="008218C8" w:rsidP="00234F4D">
      <w:pPr>
        <w:pStyle w:val="Parabeforeanother"/>
        <w:spacing w:line="240" w:lineRule="auto"/>
      </w:pPr>
      <w:r>
        <w:t>ONS</w:t>
      </w:r>
      <w:r>
        <w:tab/>
      </w:r>
      <w:r>
        <w:tab/>
      </w:r>
      <w:r>
        <w:tab/>
        <w:t>Office for National Statistics</w:t>
      </w:r>
    </w:p>
    <w:p w14:paraId="0565709A" w14:textId="1A556ED9" w:rsidR="00D114ED" w:rsidRDefault="00D114ED" w:rsidP="00234F4D">
      <w:pPr>
        <w:pStyle w:val="Parabeforeanother"/>
        <w:spacing w:line="240" w:lineRule="auto"/>
        <w:ind w:left="2160" w:hanging="2160"/>
      </w:pPr>
      <w:r>
        <w:t>OPCAT</w:t>
      </w:r>
      <w:r>
        <w:tab/>
      </w:r>
      <w:r w:rsidRPr="00482E51">
        <w:t xml:space="preserve">Optional Protocol to the Convention Against Torture and Other Cruel, Inhuman or Degrading Treatment or Punishment </w:t>
      </w:r>
    </w:p>
    <w:p w14:paraId="30EF31D2" w14:textId="4A30A5D7" w:rsidR="008179C3" w:rsidRDefault="008179C3" w:rsidP="00234F4D">
      <w:pPr>
        <w:pStyle w:val="Parabeforeanother"/>
        <w:spacing w:line="240" w:lineRule="auto"/>
      </w:pPr>
      <w:r>
        <w:t>OSJA</w:t>
      </w:r>
      <w:r>
        <w:tab/>
      </w:r>
      <w:r>
        <w:tab/>
      </w:r>
      <w:r>
        <w:tab/>
        <w:t>Overseas Security and Justice Assistance</w:t>
      </w:r>
    </w:p>
    <w:p w14:paraId="2A1B4878" w14:textId="6ECC5BEB" w:rsidR="004D77B1" w:rsidRDefault="004D77B1" w:rsidP="00234F4D">
      <w:pPr>
        <w:pStyle w:val="Parabeforeanother"/>
        <w:spacing w:line="240" w:lineRule="auto"/>
      </w:pPr>
      <w:r>
        <w:t>PPO</w:t>
      </w:r>
      <w:r>
        <w:tab/>
      </w:r>
      <w:r>
        <w:tab/>
      </w:r>
      <w:r>
        <w:tab/>
        <w:t>Prison and Probation Ombudsman</w:t>
      </w:r>
    </w:p>
    <w:p w14:paraId="75C140BB" w14:textId="391796F0" w:rsidR="00C744A7" w:rsidRDefault="00C744A7" w:rsidP="00234F4D">
      <w:pPr>
        <w:pStyle w:val="Parabeforeanother"/>
        <w:spacing w:line="240" w:lineRule="auto"/>
      </w:pPr>
      <w:r>
        <w:t>STC</w:t>
      </w:r>
      <w:r>
        <w:tab/>
      </w:r>
      <w:r>
        <w:tab/>
      </w:r>
      <w:r>
        <w:tab/>
        <w:t>Secure Training Centre</w:t>
      </w:r>
    </w:p>
    <w:p w14:paraId="4FCABE45" w14:textId="2A7181AE" w:rsidR="008218C8" w:rsidRDefault="008218C8" w:rsidP="00234F4D">
      <w:pPr>
        <w:pStyle w:val="Parabeforeanother"/>
        <w:spacing w:line="240" w:lineRule="auto"/>
      </w:pPr>
      <w:r>
        <w:t>UK</w:t>
      </w:r>
      <w:r>
        <w:tab/>
      </w:r>
      <w:r>
        <w:tab/>
      </w:r>
      <w:r>
        <w:tab/>
        <w:t>United Kingdom</w:t>
      </w:r>
    </w:p>
    <w:p w14:paraId="2FF24332" w14:textId="77777777" w:rsidR="008218C8" w:rsidRDefault="008218C8" w:rsidP="00234F4D">
      <w:pPr>
        <w:pStyle w:val="Parabeforeanother"/>
        <w:spacing w:line="240" w:lineRule="auto"/>
      </w:pPr>
      <w:r>
        <w:t>UN</w:t>
      </w:r>
      <w:r>
        <w:tab/>
      </w:r>
      <w:r>
        <w:tab/>
      </w:r>
      <w:r>
        <w:tab/>
        <w:t>United Nations</w:t>
      </w:r>
    </w:p>
    <w:p w14:paraId="60BF0EAF" w14:textId="29864E1F" w:rsidR="005F66FA" w:rsidRDefault="005F66FA" w:rsidP="00234F4D">
      <w:pPr>
        <w:pStyle w:val="Parabeforeanother"/>
        <w:spacing w:line="240" w:lineRule="auto"/>
      </w:pPr>
      <w:r>
        <w:t>UNHCR</w:t>
      </w:r>
      <w:r>
        <w:tab/>
      </w:r>
      <w:r>
        <w:tab/>
        <w:t>United Nations High Commissioner for Refugees</w:t>
      </w:r>
    </w:p>
    <w:p w14:paraId="5CC18D04" w14:textId="65BB6282" w:rsidR="00C744A7" w:rsidRDefault="008218C8" w:rsidP="00234F4D">
      <w:pPr>
        <w:pStyle w:val="Parabeforeanother"/>
        <w:spacing w:line="240" w:lineRule="auto"/>
      </w:pPr>
      <w:r>
        <w:t>VAWG</w:t>
      </w:r>
      <w:r>
        <w:tab/>
      </w:r>
      <w:r>
        <w:tab/>
        <w:t>Violence against women and girl</w:t>
      </w:r>
      <w:r w:rsidR="00024189">
        <w:t>s</w:t>
      </w:r>
    </w:p>
    <w:p w14:paraId="46A876C6" w14:textId="3B1BAF83" w:rsidR="0095032F" w:rsidRDefault="00C744A7" w:rsidP="00234F4D">
      <w:pPr>
        <w:pStyle w:val="Parabeforeanother"/>
        <w:spacing w:line="240" w:lineRule="auto"/>
      </w:pPr>
      <w:r>
        <w:t>YOI</w:t>
      </w:r>
      <w:r>
        <w:tab/>
      </w:r>
      <w:r>
        <w:tab/>
      </w:r>
      <w:r>
        <w:tab/>
        <w:t xml:space="preserve">Young </w:t>
      </w:r>
      <w:r w:rsidR="007C20F8">
        <w:t>O</w:t>
      </w:r>
      <w:r w:rsidR="00D83F03">
        <w:t xml:space="preserve">ffender </w:t>
      </w:r>
      <w:r w:rsidR="007C20F8">
        <w:t>I</w:t>
      </w:r>
      <w:r w:rsidR="00D83F03">
        <w:t>nstitution</w:t>
      </w:r>
      <w:r w:rsidR="0095032F">
        <w:br w:type="page"/>
      </w:r>
    </w:p>
    <w:p w14:paraId="6EF63AB9" w14:textId="77777777" w:rsidR="00234F4D" w:rsidRDefault="00234F4D" w:rsidP="00C32DAA">
      <w:pPr>
        <w:pStyle w:val="Title-chapterpink"/>
        <w:sectPr w:rsidR="00234F4D" w:rsidSect="00C32DAA">
          <w:headerReference w:type="default" r:id="rId13"/>
          <w:pgSz w:w="11906" w:h="16838" w:code="9"/>
          <w:pgMar w:top="1440" w:right="1440" w:bottom="1440" w:left="1440" w:header="567" w:footer="567" w:gutter="0"/>
          <w:cols w:space="708"/>
          <w:docGrid w:linePitch="360"/>
        </w:sectPr>
      </w:pPr>
    </w:p>
    <w:p w14:paraId="1551AE27" w14:textId="70FE830B" w:rsidR="00C32DAA" w:rsidRPr="00600D54" w:rsidRDefault="00C32DAA" w:rsidP="00C32DAA">
      <w:pPr>
        <w:pStyle w:val="Title-chapterpink"/>
        <w:rPr>
          <w:sz w:val="40"/>
          <w:szCs w:val="40"/>
        </w:rPr>
      </w:pPr>
      <w:bookmarkStart w:id="7" w:name="_Toc4061369"/>
      <w:r w:rsidRPr="00600D54">
        <w:rPr>
          <w:sz w:val="40"/>
          <w:szCs w:val="40"/>
        </w:rPr>
        <w:lastRenderedPageBreak/>
        <w:t>Introduction</w:t>
      </w:r>
      <w:bookmarkEnd w:id="7"/>
    </w:p>
    <w:p w14:paraId="7992D8F1" w14:textId="36E4DD9C" w:rsidR="00C32DAA" w:rsidRPr="00A717CB" w:rsidRDefault="00C32DAA" w:rsidP="00234F4D">
      <w:pPr>
        <w:pStyle w:val="Parabeforeanother"/>
        <w:spacing w:line="240" w:lineRule="auto"/>
        <w:rPr>
          <w:bCs/>
        </w:rPr>
      </w:pPr>
      <w:r w:rsidRPr="00A717CB">
        <w:t>This report is the response of the Equality and Human Rights Commission (EHRC) to some of the issues raised by the Committee against Torture (</w:t>
      </w:r>
      <w:r w:rsidR="000B2D77">
        <w:t>the Committee</w:t>
      </w:r>
      <w:r w:rsidRPr="00A717CB">
        <w:t xml:space="preserve">) in its </w:t>
      </w:r>
      <w:r w:rsidR="00DD2714">
        <w:t>list of issues</w:t>
      </w:r>
      <w:r w:rsidRPr="00A717CB">
        <w:rPr>
          <w:bCs/>
        </w:rPr>
        <w:t xml:space="preserve"> </w:t>
      </w:r>
      <w:r w:rsidR="00F20CAD">
        <w:rPr>
          <w:bCs/>
        </w:rPr>
        <w:t xml:space="preserve">for the UK </w:t>
      </w:r>
      <w:r w:rsidRPr="00A717CB">
        <w:rPr>
          <w:bCs/>
        </w:rPr>
        <w:t>published on 7 June 2016.</w:t>
      </w:r>
      <w:r w:rsidRPr="00A717CB">
        <w:rPr>
          <w:rStyle w:val="FootnoteReference"/>
          <w:bCs/>
        </w:rPr>
        <w:footnoteReference w:id="1"/>
      </w:r>
      <w:r w:rsidRPr="00A717CB">
        <w:rPr>
          <w:bCs/>
        </w:rPr>
        <w:t xml:space="preserve"> </w:t>
      </w:r>
    </w:p>
    <w:p w14:paraId="1199A065" w14:textId="217C26AD" w:rsidR="00C32DAA" w:rsidRPr="00A717CB" w:rsidRDefault="00C32DAA" w:rsidP="00234F4D">
      <w:pPr>
        <w:pStyle w:val="Parabeforeanother"/>
        <w:spacing w:line="240" w:lineRule="auto"/>
        <w:rPr>
          <w:bCs/>
        </w:rPr>
      </w:pPr>
      <w:r w:rsidRPr="00A717CB">
        <w:rPr>
          <w:bCs/>
        </w:rPr>
        <w:t xml:space="preserve">This report focuses on relevant developments or evidence </w:t>
      </w:r>
      <w:r w:rsidR="003E1B79">
        <w:rPr>
          <w:bCs/>
        </w:rPr>
        <w:t>that has</w:t>
      </w:r>
      <w:r w:rsidRPr="00A717CB">
        <w:rPr>
          <w:bCs/>
        </w:rPr>
        <w:t xml:space="preserve"> emerged on the issues we covered in our previous report to the Committee in March 2016.</w:t>
      </w:r>
      <w:r w:rsidRPr="00A717CB">
        <w:rPr>
          <w:rStyle w:val="FootnoteReference"/>
          <w:bCs/>
        </w:rPr>
        <w:footnoteReference w:id="2"/>
      </w:r>
      <w:r w:rsidRPr="00A717CB">
        <w:rPr>
          <w:bCs/>
        </w:rPr>
        <w:t xml:space="preserve"> The Committee included all of the issues highlighted in our 2016 submission in </w:t>
      </w:r>
      <w:r w:rsidR="00DD2714">
        <w:rPr>
          <w:bCs/>
        </w:rPr>
        <w:t>its</w:t>
      </w:r>
      <w:r w:rsidR="00DD2714" w:rsidRPr="00A717CB">
        <w:rPr>
          <w:bCs/>
        </w:rPr>
        <w:t xml:space="preserve"> list of issues </w:t>
      </w:r>
      <w:r w:rsidRPr="00A717CB">
        <w:rPr>
          <w:bCs/>
        </w:rPr>
        <w:t xml:space="preserve">for the UK’s examination. This report also covers a number of additional areas in the Committee’s </w:t>
      </w:r>
      <w:r w:rsidR="000B2D77" w:rsidRPr="00A717CB">
        <w:rPr>
          <w:bCs/>
        </w:rPr>
        <w:t>list of issues</w:t>
      </w:r>
      <w:r w:rsidRPr="00A717CB">
        <w:rPr>
          <w:bCs/>
        </w:rPr>
        <w:t xml:space="preserve">, which we did not report on in 2016 but where we consider that aspects of the legal framework, policy or practice may be non-compliant with the </w:t>
      </w:r>
      <w:r w:rsidR="00DD2714">
        <w:rPr>
          <w:bCs/>
        </w:rPr>
        <w:t xml:space="preserve">United Nations </w:t>
      </w:r>
      <w:r w:rsidRPr="00995C47">
        <w:rPr>
          <w:bCs/>
        </w:rPr>
        <w:t>Conve</w:t>
      </w:r>
      <w:r w:rsidRPr="00A30DC7">
        <w:rPr>
          <w:bCs/>
        </w:rPr>
        <w:t>ntion against Torture</w:t>
      </w:r>
      <w:r w:rsidRPr="00A30DC7">
        <w:t xml:space="preserve"> </w:t>
      </w:r>
      <w:r w:rsidRPr="00A30DC7">
        <w:rPr>
          <w:bCs/>
        </w:rPr>
        <w:t>and Other Cruel, Inhuman or Degrading Treatment or Punishment (CAT).</w:t>
      </w:r>
      <w:r w:rsidRPr="00A717CB">
        <w:rPr>
          <w:bCs/>
        </w:rPr>
        <w:t xml:space="preserve"> </w:t>
      </w:r>
    </w:p>
    <w:p w14:paraId="4DAB0C7F" w14:textId="32E49164" w:rsidR="00C32DAA" w:rsidRPr="00A717CB" w:rsidRDefault="00C32DAA" w:rsidP="00234F4D">
      <w:pPr>
        <w:pStyle w:val="Parabeforeanother"/>
        <w:spacing w:line="240" w:lineRule="auto"/>
      </w:pPr>
      <w:r w:rsidRPr="00A717CB">
        <w:t>The report contains 14 chapters, focusing on separate policy issues and settings where torture, cruel, inhuman and degrading</w:t>
      </w:r>
      <w:r w:rsidRPr="00A717CB" w:rsidDel="00E345F0">
        <w:t xml:space="preserve"> </w:t>
      </w:r>
      <w:r w:rsidRPr="00A717CB">
        <w:t xml:space="preserve">treatment may occur. At the start of each chapter we set out the relevant CAT </w:t>
      </w:r>
      <w:r w:rsidR="00EE329C">
        <w:t>A</w:t>
      </w:r>
      <w:r w:rsidRPr="00A717CB">
        <w:t xml:space="preserve">rticles, the Committee’s </w:t>
      </w:r>
      <w:r w:rsidR="00EE2603" w:rsidRPr="00A717CB">
        <w:t>concluding observations</w:t>
      </w:r>
      <w:r w:rsidRPr="00A717CB">
        <w:t xml:space="preserve"> and the relevant paragraphs in the Committee’s </w:t>
      </w:r>
      <w:r w:rsidR="00EE2603" w:rsidRPr="00A717CB">
        <w:t>list of issues</w:t>
      </w:r>
      <w:r w:rsidRPr="00A717CB">
        <w:t>. A standalone list of the recommendations contained within each chapter is also presented as an annex to the report.</w:t>
      </w:r>
    </w:p>
    <w:p w14:paraId="360B3AC1" w14:textId="2C5308D0" w:rsidR="00C32DAA" w:rsidRPr="00A717CB" w:rsidRDefault="00C32DAA" w:rsidP="00234F4D">
      <w:pPr>
        <w:pStyle w:val="Parabeforeanother"/>
        <w:spacing w:line="240" w:lineRule="auto"/>
      </w:pPr>
      <w:r w:rsidRPr="00A717CB">
        <w:t xml:space="preserve">The Committee has made it clear that a </w:t>
      </w:r>
      <w:r w:rsidR="00903CF3">
        <w:t>s</w:t>
      </w:r>
      <w:r w:rsidRPr="00A717CB">
        <w:t>tate is responsible under CAT for the prohibited acts committed by non-</w:t>
      </w:r>
      <w:r w:rsidR="00903CF3">
        <w:t>s</w:t>
      </w:r>
      <w:r w:rsidRPr="00A717CB">
        <w:t xml:space="preserve">tate actors where the </w:t>
      </w:r>
      <w:r w:rsidR="00903CF3">
        <w:t>s</w:t>
      </w:r>
      <w:r w:rsidRPr="00A717CB">
        <w:t>tate has failed to develop an effective framework to prevent and protect the victims.</w:t>
      </w:r>
      <w:r w:rsidRPr="00A717CB">
        <w:rPr>
          <w:vertAlign w:val="superscript"/>
        </w:rPr>
        <w:footnoteReference w:id="3"/>
      </w:r>
      <w:r w:rsidRPr="00A717CB">
        <w:t xml:space="preserve"> The report therefore includes chapters on human trafficking and modern slavery, violence against women and girls, child sexual abuse and hate crime, where the </w:t>
      </w:r>
      <w:r w:rsidR="00903CF3">
        <w:t>s</w:t>
      </w:r>
      <w:r w:rsidRPr="00A717CB">
        <w:t xml:space="preserve">tate has responsibility to prevent and protect people </w:t>
      </w:r>
      <w:r w:rsidR="00EE329C">
        <w:t>from</w:t>
      </w:r>
      <w:r w:rsidR="00EE329C" w:rsidRPr="00A717CB">
        <w:t xml:space="preserve"> </w:t>
      </w:r>
      <w:r w:rsidRPr="00A717CB">
        <w:t>torture or ill-treatment by public and private actors.</w:t>
      </w:r>
      <w:r w:rsidR="00EB2214">
        <w:t xml:space="preserve"> </w:t>
      </w:r>
    </w:p>
    <w:p w14:paraId="67D9D70D" w14:textId="33552E37" w:rsidR="00C32DAA" w:rsidRPr="00A717CB" w:rsidRDefault="00EE329C" w:rsidP="00234F4D">
      <w:pPr>
        <w:pStyle w:val="Parabeforeanother"/>
        <w:spacing w:line="240" w:lineRule="auto"/>
        <w:rPr>
          <w:bCs/>
          <w:lang w:val="en-US"/>
        </w:rPr>
      </w:pPr>
      <w:r>
        <w:rPr>
          <w:bCs/>
        </w:rPr>
        <w:t>An</w:t>
      </w:r>
      <w:r w:rsidR="00C32DAA" w:rsidRPr="00A717CB">
        <w:rPr>
          <w:bCs/>
        </w:rPr>
        <w:t xml:space="preserve"> important</w:t>
      </w:r>
      <w:r>
        <w:rPr>
          <w:bCs/>
        </w:rPr>
        <w:t>,</w:t>
      </w:r>
      <w:r w:rsidR="00C32DAA" w:rsidRPr="00A717CB">
        <w:rPr>
          <w:bCs/>
        </w:rPr>
        <w:t xml:space="preserve"> cross-cutting area of concern </w:t>
      </w:r>
      <w:r w:rsidRPr="00A717CB">
        <w:rPr>
          <w:bCs/>
        </w:rPr>
        <w:t>run</w:t>
      </w:r>
      <w:r>
        <w:rPr>
          <w:bCs/>
        </w:rPr>
        <w:t>s</w:t>
      </w:r>
      <w:r w:rsidRPr="00A717CB">
        <w:rPr>
          <w:bCs/>
        </w:rPr>
        <w:t xml:space="preserve"> </w:t>
      </w:r>
      <w:r w:rsidR="00C32DAA" w:rsidRPr="00A717CB">
        <w:rPr>
          <w:bCs/>
        </w:rPr>
        <w:t xml:space="preserve">through several chapters of the report, namely, the </w:t>
      </w:r>
      <w:r w:rsidR="00903CF3">
        <w:rPr>
          <w:bCs/>
        </w:rPr>
        <w:t>s</w:t>
      </w:r>
      <w:r w:rsidR="00C32DAA" w:rsidRPr="00A717CB">
        <w:rPr>
          <w:bCs/>
        </w:rPr>
        <w:t>tate’s obligation to c</w:t>
      </w:r>
      <w:r w:rsidR="00C32DAA" w:rsidRPr="00A717CB">
        <w:rPr>
          <w:bCs/>
          <w:lang w:val="en-US"/>
        </w:rPr>
        <w:t xml:space="preserve">onduct a prompt and impartial investigation wherever there </w:t>
      </w:r>
      <w:r>
        <w:rPr>
          <w:bCs/>
          <w:lang w:val="en-US"/>
        </w:rPr>
        <w:t>are grounds</w:t>
      </w:r>
      <w:r w:rsidR="00C32DAA" w:rsidRPr="00A717CB">
        <w:rPr>
          <w:bCs/>
          <w:lang w:val="en-US"/>
        </w:rPr>
        <w:t xml:space="preserve"> to believe that an act of torture has been committed </w:t>
      </w:r>
      <w:r w:rsidR="00C32DAA" w:rsidRPr="00995C47">
        <w:rPr>
          <w:bCs/>
          <w:lang w:val="en-US"/>
        </w:rPr>
        <w:t>(Art</w:t>
      </w:r>
      <w:r w:rsidR="00EE2603" w:rsidRPr="006F0722">
        <w:rPr>
          <w:bCs/>
          <w:lang w:val="en-US"/>
        </w:rPr>
        <w:t>icle</w:t>
      </w:r>
      <w:r w:rsidR="00C32DAA" w:rsidRPr="00995C47">
        <w:rPr>
          <w:bCs/>
          <w:lang w:val="en-US"/>
        </w:rPr>
        <w:t xml:space="preserve"> 12</w:t>
      </w:r>
      <w:r w:rsidR="00EE2603" w:rsidRPr="006F0722">
        <w:rPr>
          <w:bCs/>
          <w:lang w:val="en-US"/>
        </w:rPr>
        <w:t>,</w:t>
      </w:r>
      <w:r w:rsidR="00C32DAA" w:rsidRPr="00995C47">
        <w:rPr>
          <w:bCs/>
          <w:lang w:val="en-US"/>
        </w:rPr>
        <w:t xml:space="preserve"> CAT</w:t>
      </w:r>
      <w:r w:rsidR="00C32DAA" w:rsidRPr="00A30DC7">
        <w:rPr>
          <w:bCs/>
          <w:lang w:val="en-US"/>
        </w:rPr>
        <w:t>).</w:t>
      </w:r>
      <w:r w:rsidR="00C32DAA" w:rsidRPr="00A717CB">
        <w:rPr>
          <w:bCs/>
          <w:lang w:val="en-US"/>
        </w:rPr>
        <w:t xml:space="preserve"> Articles 2 and 3 of the European Convention on Human Rights (ECHR), which the UK has incorporated in the Human Rights Act 1998 (HRA), also require </w:t>
      </w:r>
      <w:r w:rsidR="00903CF3">
        <w:rPr>
          <w:bCs/>
          <w:lang w:val="en-US"/>
        </w:rPr>
        <w:t>s</w:t>
      </w:r>
      <w:r w:rsidR="00C32DAA" w:rsidRPr="00A717CB">
        <w:rPr>
          <w:bCs/>
          <w:lang w:val="en-US"/>
        </w:rPr>
        <w:t xml:space="preserve">tate </w:t>
      </w:r>
      <w:r w:rsidR="00903CF3">
        <w:rPr>
          <w:bCs/>
          <w:lang w:val="en-US"/>
        </w:rPr>
        <w:t>p</w:t>
      </w:r>
      <w:r w:rsidR="00C32DAA" w:rsidRPr="00A717CB">
        <w:rPr>
          <w:bCs/>
          <w:lang w:val="en-US"/>
        </w:rPr>
        <w:t xml:space="preserve">arties to carry out an effective investigation into any death for which the </w:t>
      </w:r>
      <w:r w:rsidR="00903CF3">
        <w:rPr>
          <w:bCs/>
          <w:lang w:val="en-US"/>
        </w:rPr>
        <w:t>s</w:t>
      </w:r>
      <w:r w:rsidR="00C32DAA" w:rsidRPr="00A717CB">
        <w:rPr>
          <w:bCs/>
          <w:lang w:val="en-US"/>
        </w:rPr>
        <w:t>tate might be responsible and into any incident where there are clear indications that serious ill-treatment may have occurred.</w:t>
      </w:r>
    </w:p>
    <w:p w14:paraId="2B1BFEDE" w14:textId="1308E624" w:rsidR="00C32DAA" w:rsidRPr="00A717CB" w:rsidRDefault="00C32DAA" w:rsidP="00234F4D">
      <w:pPr>
        <w:pStyle w:val="Parabeforebulletss"/>
        <w:spacing w:line="240" w:lineRule="auto"/>
      </w:pPr>
      <w:r w:rsidRPr="00A717CB">
        <w:t>Case</w:t>
      </w:r>
      <w:r w:rsidR="00EE329C">
        <w:t xml:space="preserve"> </w:t>
      </w:r>
      <w:r w:rsidRPr="00A717CB">
        <w:t>law</w:t>
      </w:r>
      <w:r w:rsidRPr="00A717CB">
        <w:rPr>
          <w:rStyle w:val="FootnoteReference"/>
          <w:rFonts w:cs="Arial"/>
          <w:bCs/>
        </w:rPr>
        <w:footnoteReference w:id="4"/>
      </w:r>
      <w:r w:rsidRPr="00A717CB">
        <w:t xml:space="preserve"> makes it clear that the duty to conduct an effective investigation requires the </w:t>
      </w:r>
      <w:r w:rsidR="00903CF3">
        <w:t>s</w:t>
      </w:r>
      <w:r w:rsidRPr="00A717CB">
        <w:t>tate, among other things, to:</w:t>
      </w:r>
      <w:r w:rsidRPr="00A717CB">
        <w:rPr>
          <w:rStyle w:val="FootnoteReference"/>
          <w:rFonts w:cs="Arial"/>
          <w:bCs/>
        </w:rPr>
        <w:footnoteReference w:id="5"/>
      </w:r>
      <w:r w:rsidRPr="00A717CB">
        <w:t xml:space="preserve"> </w:t>
      </w:r>
    </w:p>
    <w:p w14:paraId="6C0D48C3" w14:textId="77777777" w:rsidR="00C32DAA" w:rsidRPr="00A717CB" w:rsidRDefault="00C32DAA" w:rsidP="00234F4D">
      <w:pPr>
        <w:pStyle w:val="Bullet-followedbyothers"/>
        <w:spacing w:line="240" w:lineRule="auto"/>
      </w:pPr>
      <w:r w:rsidRPr="00A717CB">
        <w:t xml:space="preserve">appoint an investigator independent of those implicated in the incident </w:t>
      </w:r>
    </w:p>
    <w:p w14:paraId="54AD50EE" w14:textId="77777777" w:rsidR="00C32DAA" w:rsidRPr="00A717CB" w:rsidRDefault="00C32DAA" w:rsidP="00234F4D">
      <w:pPr>
        <w:pStyle w:val="Bullet-followedbyothers"/>
        <w:spacing w:line="240" w:lineRule="auto"/>
      </w:pPr>
      <w:r w:rsidRPr="00A717CB">
        <w:t xml:space="preserve">begin the investigation promptly and conclude as quickly as is reasonable </w:t>
      </w:r>
    </w:p>
    <w:p w14:paraId="1806B07A" w14:textId="77777777" w:rsidR="00C32DAA" w:rsidRPr="00A717CB" w:rsidRDefault="00C32DAA" w:rsidP="00234F4D">
      <w:pPr>
        <w:pStyle w:val="Bullet-followedbyothers"/>
        <w:spacing w:line="240" w:lineRule="auto"/>
      </w:pPr>
      <w:r w:rsidRPr="00A717CB">
        <w:t xml:space="preserve">take all reasonable steps to secure relevant evidence </w:t>
      </w:r>
    </w:p>
    <w:p w14:paraId="53ACEF04" w14:textId="77777777" w:rsidR="00C32DAA" w:rsidRPr="00A717CB" w:rsidRDefault="00C32DAA" w:rsidP="00234F4D">
      <w:pPr>
        <w:pStyle w:val="Bullet-followedbyothers"/>
        <w:spacing w:line="240" w:lineRule="auto"/>
      </w:pPr>
      <w:r w:rsidRPr="00A717CB">
        <w:lastRenderedPageBreak/>
        <w:t>make the investigation and its results open to public scrutiny</w:t>
      </w:r>
    </w:p>
    <w:p w14:paraId="2C5A5D39" w14:textId="535B3A02" w:rsidR="00C32DAA" w:rsidRPr="00A717CB" w:rsidRDefault="00C32DAA" w:rsidP="00234F4D">
      <w:pPr>
        <w:pStyle w:val="Bullet-followedbyothers"/>
        <w:spacing w:line="240" w:lineRule="auto"/>
      </w:pPr>
      <w:r w:rsidRPr="00A717CB">
        <w:t>hold to account anyone found to be at fault as a result of the investigation</w:t>
      </w:r>
      <w:r w:rsidR="00EE329C">
        <w:t>, and</w:t>
      </w:r>
      <w:r w:rsidRPr="00A717CB">
        <w:t xml:space="preserve"> </w:t>
      </w:r>
    </w:p>
    <w:p w14:paraId="21B71559" w14:textId="77777777" w:rsidR="00C32DAA" w:rsidRPr="00A717CB" w:rsidRDefault="00C32DAA" w:rsidP="00234F4D">
      <w:pPr>
        <w:pStyle w:val="Bullet-lastingroup"/>
        <w:spacing w:line="240" w:lineRule="auto"/>
      </w:pPr>
      <w:r w:rsidRPr="00A717CB">
        <w:t xml:space="preserve">share and put into practice lessons learned from the investigation to ensure, so far as is possible, that steps are then taken to minimise the risk of similar incidents in the future. </w:t>
      </w:r>
    </w:p>
    <w:p w14:paraId="07BAAF4F" w14:textId="3F40198D" w:rsidR="00C32DAA" w:rsidRPr="00A717CB" w:rsidRDefault="00EE329C" w:rsidP="00234F4D">
      <w:pPr>
        <w:pStyle w:val="Parabeforebulletss"/>
        <w:spacing w:line="240" w:lineRule="auto"/>
      </w:pPr>
      <w:r w:rsidRPr="00A717CB">
        <w:t>Th</w:t>
      </w:r>
      <w:r>
        <w:t>is</w:t>
      </w:r>
      <w:r w:rsidRPr="00A717CB">
        <w:t xml:space="preserve"> </w:t>
      </w:r>
      <w:r w:rsidR="00C32DAA" w:rsidRPr="00A717CB">
        <w:t xml:space="preserve">report highlights </w:t>
      </w:r>
      <w:r>
        <w:t xml:space="preserve">our </w:t>
      </w:r>
      <w:r w:rsidR="00C32DAA" w:rsidRPr="00A717CB">
        <w:t xml:space="preserve">concerns about possible non-compliance with one or more of these requirements in the UK Government’s response to allegations of torture and/or ill-treatment of: </w:t>
      </w:r>
    </w:p>
    <w:p w14:paraId="1FE4111D" w14:textId="77777777" w:rsidR="00C32DAA" w:rsidRPr="00A717CB" w:rsidRDefault="00C32DAA" w:rsidP="00234F4D">
      <w:pPr>
        <w:pStyle w:val="Bullet-followedbyothers"/>
        <w:spacing w:line="240" w:lineRule="auto"/>
      </w:pPr>
      <w:r w:rsidRPr="00A717CB">
        <w:t>overseas detainees</w:t>
      </w:r>
    </w:p>
    <w:p w14:paraId="0B714DD8" w14:textId="353740BF" w:rsidR="00C32DAA" w:rsidRPr="00A717CB" w:rsidRDefault="00C32DAA" w:rsidP="00234F4D">
      <w:pPr>
        <w:pStyle w:val="Bullet-followedbyothers"/>
        <w:spacing w:line="240" w:lineRule="auto"/>
      </w:pPr>
      <w:r w:rsidRPr="00A717CB">
        <w:t>pe</w:t>
      </w:r>
      <w:r w:rsidR="006F0722">
        <w:t>ople</w:t>
      </w:r>
      <w:r w:rsidRPr="00A717CB">
        <w:t xml:space="preserve"> held in immigration removal centres</w:t>
      </w:r>
      <w:r w:rsidR="00EB2214">
        <w:t xml:space="preserve">  </w:t>
      </w:r>
    </w:p>
    <w:p w14:paraId="14C415D0" w14:textId="77777777" w:rsidR="00C32DAA" w:rsidRPr="00A717CB" w:rsidRDefault="00C32DAA" w:rsidP="00234F4D">
      <w:pPr>
        <w:pStyle w:val="Bullet-followedbyothers"/>
        <w:spacing w:line="240" w:lineRule="auto"/>
      </w:pPr>
      <w:r w:rsidRPr="00A717CB">
        <w:t xml:space="preserve">children and adults in prisons and police custody </w:t>
      </w:r>
    </w:p>
    <w:p w14:paraId="418584D5" w14:textId="74227D22" w:rsidR="00C32DAA" w:rsidRPr="00A717CB" w:rsidRDefault="00C32DAA" w:rsidP="00234F4D">
      <w:pPr>
        <w:pStyle w:val="Bullet-followedbyothers"/>
        <w:spacing w:line="240" w:lineRule="auto"/>
      </w:pPr>
      <w:r w:rsidRPr="00A717CB">
        <w:t>pe</w:t>
      </w:r>
      <w:r w:rsidR="006F0722">
        <w:t>ople</w:t>
      </w:r>
      <w:r w:rsidRPr="00A717CB">
        <w:t xml:space="preserve"> receiving health and social care services</w:t>
      </w:r>
      <w:r w:rsidR="00EE329C">
        <w:t>, and</w:t>
      </w:r>
    </w:p>
    <w:p w14:paraId="3A45C907" w14:textId="6A0E12A9" w:rsidR="00C32DAA" w:rsidRPr="00F11969" w:rsidRDefault="002E74D9" w:rsidP="00234F4D">
      <w:pPr>
        <w:pStyle w:val="Bullet-lastingroup"/>
        <w:spacing w:after="420" w:line="240" w:lineRule="auto"/>
      </w:pPr>
      <w:r>
        <w:t>victims of</w:t>
      </w:r>
      <w:r w:rsidR="00C32DAA" w:rsidRPr="00F11969">
        <w:t xml:space="preserve"> violence against women and girls, </w:t>
      </w:r>
      <w:r w:rsidR="001D53FF">
        <w:t xml:space="preserve">human trafficking and modern slavery </w:t>
      </w:r>
      <w:r w:rsidR="00C32DAA" w:rsidRPr="00F11969">
        <w:t>and child sexual abuse.</w:t>
      </w:r>
    </w:p>
    <w:p w14:paraId="223DEFBB" w14:textId="77777777" w:rsidR="00C32DAA" w:rsidRPr="00A717CB" w:rsidRDefault="00C32DAA" w:rsidP="00F11969">
      <w:pPr>
        <w:pStyle w:val="Title-subsections"/>
        <w:rPr>
          <w:lang w:val="en-US"/>
        </w:rPr>
      </w:pPr>
      <w:bookmarkStart w:id="8" w:name="_Toc4061370"/>
      <w:r w:rsidRPr="00A717CB">
        <w:rPr>
          <w:lang w:val="en-US"/>
        </w:rPr>
        <w:t>Devolution and the geographic scope of this report</w:t>
      </w:r>
      <w:bookmarkEnd w:id="8"/>
    </w:p>
    <w:p w14:paraId="3D2298C6" w14:textId="01ABF43B" w:rsidR="00C32DAA" w:rsidRPr="00A717CB" w:rsidRDefault="00C32DAA" w:rsidP="00234F4D">
      <w:pPr>
        <w:pStyle w:val="Parabeforeanother"/>
        <w:spacing w:line="240" w:lineRule="auto"/>
        <w:contextualSpacing/>
        <w:rPr>
          <w:lang w:val="en-US"/>
        </w:rPr>
      </w:pPr>
      <w:r w:rsidRPr="00A717CB">
        <w:rPr>
          <w:lang w:val="en-US"/>
        </w:rPr>
        <w:t>The UK comprises four countries – England, Scotland, Wales and Northern Ireland. The UK Parliament has devolved various powers to the Scottish Parliament, the National Assembly for Wales and the Northern Ireland Assembly</w:t>
      </w:r>
      <w:r w:rsidR="00EE329C">
        <w:rPr>
          <w:lang w:val="en-US"/>
        </w:rPr>
        <w:t>. It</w:t>
      </w:r>
      <w:r w:rsidRPr="00A717CB">
        <w:rPr>
          <w:lang w:val="en-US"/>
        </w:rPr>
        <w:t xml:space="preserve"> maintains responsibility for matters that have not been devolved (‘reserved’ matters) and for England. Responsibility for implementing CAT therefore lies with the UK and devolved governments.</w:t>
      </w:r>
    </w:p>
    <w:p w14:paraId="734BB47A" w14:textId="4F201980" w:rsidR="00C32DAA" w:rsidRPr="00A717CB" w:rsidRDefault="00C32DAA" w:rsidP="00234F4D">
      <w:pPr>
        <w:pStyle w:val="Parabeforenewsubsection"/>
        <w:spacing w:line="240" w:lineRule="auto"/>
        <w:contextualSpacing/>
        <w:rPr>
          <w:lang w:val="en-US"/>
        </w:rPr>
      </w:pPr>
      <w:r w:rsidRPr="00A717CB">
        <w:rPr>
          <w:lang w:val="en-US"/>
        </w:rPr>
        <w:t xml:space="preserve">This report covers England and Wales for all </w:t>
      </w:r>
      <w:r w:rsidR="00EE329C">
        <w:rPr>
          <w:lang w:val="en-US"/>
        </w:rPr>
        <w:t>issue</w:t>
      </w:r>
      <w:r w:rsidR="00EE329C" w:rsidRPr="00A717CB">
        <w:rPr>
          <w:lang w:val="en-US"/>
        </w:rPr>
        <w:t xml:space="preserve">s </w:t>
      </w:r>
      <w:r w:rsidRPr="00A717CB">
        <w:rPr>
          <w:lang w:val="en-US"/>
        </w:rPr>
        <w:t xml:space="preserve">and Scotland for issues that are reserved to the UK Parliament (although in some cases, statistics and evidence for the UK or Great Britain as a whole are presented). The recommendations are addressed to the UK and Welsh </w:t>
      </w:r>
      <w:r w:rsidR="00DF0BBF">
        <w:rPr>
          <w:lang w:val="en-US"/>
        </w:rPr>
        <w:t>G</w:t>
      </w:r>
      <w:r w:rsidRPr="00A717CB">
        <w:rPr>
          <w:lang w:val="en-US"/>
        </w:rPr>
        <w:t>overnments only, though they may also be relevant to other devolved administrations. The separate submission of the Scottish Human Rights Commission (SHRC) will cover areas devolved to the Scottish Parliament, and the separate submission of the Northern Ireland Human Rights Commission (NIHRC) will cover Northern Ireland.</w:t>
      </w:r>
    </w:p>
    <w:p w14:paraId="3A579046" w14:textId="543E4391" w:rsidR="00C32DAA" w:rsidRPr="00A717CB" w:rsidRDefault="00C32DAA" w:rsidP="00F11969">
      <w:pPr>
        <w:pStyle w:val="Title-subsections"/>
        <w:rPr>
          <w:lang w:val="en-US"/>
        </w:rPr>
      </w:pPr>
      <w:bookmarkStart w:id="9" w:name="_Toc4061371"/>
      <w:r w:rsidRPr="00A717CB">
        <w:rPr>
          <w:lang w:val="en-US"/>
        </w:rPr>
        <w:t xml:space="preserve">Role and remit of the </w:t>
      </w:r>
      <w:r w:rsidR="00EE329C">
        <w:rPr>
          <w:lang w:val="en-US"/>
        </w:rPr>
        <w:t>EHRC</w:t>
      </w:r>
      <w:bookmarkEnd w:id="9"/>
    </w:p>
    <w:p w14:paraId="4C46B342" w14:textId="350455F7" w:rsidR="00C32DAA" w:rsidRPr="00A717CB" w:rsidRDefault="00C32DAA" w:rsidP="00234F4D">
      <w:pPr>
        <w:pStyle w:val="Parabeforeanother"/>
        <w:spacing w:line="240" w:lineRule="auto"/>
        <w:contextualSpacing/>
        <w:rPr>
          <w:lang w:val="en-US"/>
        </w:rPr>
      </w:pPr>
      <w:r w:rsidRPr="00A717CB">
        <w:rPr>
          <w:lang w:val="en-US"/>
        </w:rPr>
        <w:t>The EHRC was established by the UK Parliament through the Equality Act 2006 as an independent body with a mandate covering equality and human rights. Among other human rights responsibilities, the EHRC is responsible for ‘encouraging good practice in relation to human rights’. Our geographic remit for human rights covers England</w:t>
      </w:r>
      <w:r w:rsidR="006C5712">
        <w:rPr>
          <w:lang w:val="en-US"/>
        </w:rPr>
        <w:t xml:space="preserve"> and </w:t>
      </w:r>
      <w:r w:rsidRPr="00A717CB">
        <w:rPr>
          <w:lang w:val="en-US"/>
        </w:rPr>
        <w:t xml:space="preserve">Wales and issues in Scotland that are reserved to the UK Parliament. </w:t>
      </w:r>
    </w:p>
    <w:p w14:paraId="4F57BF0C" w14:textId="06994EDC" w:rsidR="00C32DAA" w:rsidRPr="00A717CB" w:rsidRDefault="00C32DAA" w:rsidP="00234F4D">
      <w:pPr>
        <w:pStyle w:val="Parabeforenewsubsection"/>
        <w:spacing w:line="240" w:lineRule="auto"/>
        <w:contextualSpacing/>
        <w:rPr>
          <w:lang w:val="en-US"/>
        </w:rPr>
      </w:pPr>
      <w:r w:rsidRPr="00A717CB">
        <w:rPr>
          <w:lang w:val="en-US"/>
        </w:rPr>
        <w:t xml:space="preserve">The EHRC’s role as a </w:t>
      </w:r>
      <w:r w:rsidR="00627F3E" w:rsidRPr="00A717CB">
        <w:rPr>
          <w:lang w:val="en-US"/>
        </w:rPr>
        <w:t xml:space="preserve">national human rights institution </w:t>
      </w:r>
      <w:r w:rsidRPr="00A717CB">
        <w:rPr>
          <w:lang w:val="en-US"/>
        </w:rPr>
        <w:t>(NHRI) requires the EHRC to assess and report on the UK’s progress in realising the human rights in the treaties it has ratified. The EHRC works with other NHRIs in the UK – the SHRC and the NIHRC</w:t>
      </w:r>
      <w:r w:rsidR="006C5712">
        <w:rPr>
          <w:lang w:val="en-US"/>
        </w:rPr>
        <w:t xml:space="preserve"> </w:t>
      </w:r>
      <w:r w:rsidRPr="00A717CB">
        <w:rPr>
          <w:lang w:val="en-US"/>
        </w:rPr>
        <w:t>– and liaises with government departments and agencies to fulfil this role. All three NHRIs hold ‘A status’ accreditation with the United Nations.</w:t>
      </w:r>
    </w:p>
    <w:p w14:paraId="00C76F3D" w14:textId="77777777" w:rsidR="00234F4D" w:rsidRDefault="00234F4D" w:rsidP="00F11969">
      <w:pPr>
        <w:pStyle w:val="Title-subsections"/>
        <w:rPr>
          <w:lang w:val="en-US"/>
        </w:rPr>
        <w:sectPr w:rsidR="00234F4D" w:rsidSect="00C32DAA">
          <w:headerReference w:type="default" r:id="rId14"/>
          <w:pgSz w:w="11906" w:h="16838" w:code="9"/>
          <w:pgMar w:top="1440" w:right="1440" w:bottom="1440" w:left="1440" w:header="567" w:footer="567" w:gutter="0"/>
          <w:cols w:space="708"/>
          <w:docGrid w:linePitch="360"/>
        </w:sectPr>
      </w:pPr>
    </w:p>
    <w:p w14:paraId="7449018E" w14:textId="7B36CF9B" w:rsidR="00C32DAA" w:rsidRPr="00A717CB" w:rsidRDefault="00C32DAA" w:rsidP="00F11969">
      <w:pPr>
        <w:pStyle w:val="Title-subsections"/>
      </w:pPr>
      <w:bookmarkStart w:id="10" w:name="_Toc4061372"/>
      <w:r w:rsidRPr="00A717CB">
        <w:rPr>
          <w:lang w:val="en-US"/>
        </w:rPr>
        <w:lastRenderedPageBreak/>
        <w:t>Engagement with civil society</w:t>
      </w:r>
      <w:bookmarkEnd w:id="10"/>
    </w:p>
    <w:p w14:paraId="2FCD8864" w14:textId="77777777" w:rsidR="00C32DAA" w:rsidRPr="00A717CB" w:rsidRDefault="00C32DAA" w:rsidP="00234F4D">
      <w:pPr>
        <w:pStyle w:val="Parabeforeanother"/>
        <w:spacing w:line="240" w:lineRule="auto"/>
      </w:pPr>
      <w:r w:rsidRPr="00A717CB">
        <w:t xml:space="preserve">As part of the EHRC’s NHRI role in supporting the implementation of international human rights instruments, we conducted a competitive tender in 2017 and appointed REDRESS, the civil society organisation dedicated to ending torture and seeking justice for survivors worldwide, to lead a coalition of civil society organisations to independently submit a joint shadow report to the Committee covering England and Wales. </w:t>
      </w:r>
    </w:p>
    <w:p w14:paraId="567286D9" w14:textId="11CC0F04" w:rsidR="00C32DAA" w:rsidRPr="00A717CB" w:rsidRDefault="00C32DAA" w:rsidP="00234F4D">
      <w:pPr>
        <w:pStyle w:val="Parabeforeanother"/>
        <w:spacing w:after="720" w:line="240" w:lineRule="auto"/>
        <w:contextualSpacing/>
        <w:rPr>
          <w:b/>
        </w:rPr>
      </w:pPr>
      <w:r w:rsidRPr="00A717CB">
        <w:t>REDRESS was also provided with EHRC funding to hold consultation events and conduct an online call for evidence on the major issues engaging CAT in England and Wales, to provide training for civil society organisations on how to engage with the CAT treaty reporting process, and to support the attendance of REDRESS at the UK’s forthcoming CAT examination in Geneva.</w:t>
      </w:r>
    </w:p>
    <w:p w14:paraId="03F37BCF" w14:textId="77777777" w:rsidR="001F7BEB" w:rsidRDefault="001F7BEB">
      <w:pPr>
        <w:spacing w:after="160" w:line="259" w:lineRule="auto"/>
        <w:rPr>
          <w:rFonts w:ascii="Georgia" w:eastAsia="Times New Roman" w:hAnsi="Georgia"/>
          <w:bCs/>
          <w:color w:val="D40F7D"/>
          <w:sz w:val="40"/>
          <w:szCs w:val="40"/>
        </w:rPr>
      </w:pPr>
      <w:r>
        <w:rPr>
          <w:sz w:val="40"/>
          <w:szCs w:val="40"/>
        </w:rPr>
        <w:br w:type="page"/>
      </w:r>
    </w:p>
    <w:p w14:paraId="47597D7D" w14:textId="77777777" w:rsidR="0045689C" w:rsidRDefault="0045689C" w:rsidP="00234F4D">
      <w:pPr>
        <w:pStyle w:val="Title-chapterpink"/>
        <w:spacing w:after="0"/>
        <w:rPr>
          <w:sz w:val="40"/>
          <w:szCs w:val="40"/>
        </w:rPr>
        <w:sectPr w:rsidR="0045689C" w:rsidSect="00C32DAA">
          <w:pgSz w:w="11906" w:h="16838" w:code="9"/>
          <w:pgMar w:top="1440" w:right="1440" w:bottom="1440" w:left="1440" w:header="567" w:footer="567" w:gutter="0"/>
          <w:cols w:space="708"/>
          <w:docGrid w:linePitch="360"/>
        </w:sectPr>
      </w:pPr>
    </w:p>
    <w:p w14:paraId="02AC0482" w14:textId="41FDF980" w:rsidR="00C32DAA" w:rsidRPr="00600D54" w:rsidRDefault="00254855" w:rsidP="00234F4D">
      <w:pPr>
        <w:pStyle w:val="Title-chapterpink"/>
        <w:spacing w:after="0"/>
        <w:rPr>
          <w:sz w:val="40"/>
          <w:szCs w:val="40"/>
        </w:rPr>
      </w:pPr>
      <w:bookmarkStart w:id="11" w:name="_Toc4061373"/>
      <w:r w:rsidRPr="00600D54">
        <w:rPr>
          <w:sz w:val="40"/>
          <w:szCs w:val="40"/>
        </w:rPr>
        <w:lastRenderedPageBreak/>
        <w:t xml:space="preserve">1. </w:t>
      </w:r>
      <w:r w:rsidR="00C32DAA" w:rsidRPr="00600D54">
        <w:rPr>
          <w:sz w:val="40"/>
          <w:szCs w:val="40"/>
        </w:rPr>
        <w:t>Incorporation of CAT into domestic law</w:t>
      </w:r>
      <w:bookmarkEnd w:id="11"/>
    </w:p>
    <w:p w14:paraId="5321A364" w14:textId="52E8EDF9" w:rsidR="00234F4D" w:rsidRPr="00600D54" w:rsidRDefault="00857BF1" w:rsidP="00234F4D">
      <w:pPr>
        <w:pStyle w:val="Parabeforeanother"/>
        <w:spacing w:after="260"/>
        <w:rPr>
          <w:rFonts w:ascii="Georgia" w:hAnsi="Georgia"/>
          <w:sz w:val="32"/>
          <w:szCs w:val="32"/>
        </w:rPr>
      </w:pPr>
      <w:r>
        <w:rPr>
          <w:rFonts w:ascii="Georgia" w:hAnsi="Georgia"/>
          <w:sz w:val="32"/>
          <w:szCs w:val="32"/>
        </w:rPr>
        <w:t>R</w:t>
      </w:r>
      <w:r w:rsidR="0038356F" w:rsidRPr="00600D54">
        <w:rPr>
          <w:rFonts w:ascii="Georgia" w:hAnsi="Georgia"/>
          <w:sz w:val="32"/>
          <w:szCs w:val="32"/>
        </w:rPr>
        <w:t>elates to CAT Articles 1, 2, 4 and 16, Concluding Observations (CO) paragraphs 7, 8</w:t>
      </w:r>
      <w:r w:rsidR="00F46D33">
        <w:rPr>
          <w:rFonts w:ascii="Georgia" w:hAnsi="Georgia"/>
          <w:sz w:val="32"/>
          <w:szCs w:val="32"/>
        </w:rPr>
        <w:t xml:space="preserve">, </w:t>
      </w:r>
      <w:r w:rsidR="0038356F" w:rsidRPr="00600D54">
        <w:rPr>
          <w:rFonts w:ascii="Georgia" w:hAnsi="Georgia"/>
          <w:sz w:val="32"/>
          <w:szCs w:val="32"/>
        </w:rPr>
        <w:t>9</w:t>
      </w:r>
      <w:r w:rsidR="00F46D33">
        <w:rPr>
          <w:rFonts w:ascii="Georgia" w:hAnsi="Georgia"/>
          <w:sz w:val="32"/>
          <w:szCs w:val="32"/>
        </w:rPr>
        <w:t xml:space="preserve"> and 10</w:t>
      </w:r>
      <w:r w:rsidR="0038356F" w:rsidRPr="00600D54">
        <w:rPr>
          <w:rFonts w:ascii="Georgia" w:hAnsi="Georgia"/>
          <w:sz w:val="32"/>
          <w:szCs w:val="32"/>
        </w:rPr>
        <w:t>, and list of issues paragraphs 2, 3, 4 and 5</w:t>
      </w:r>
      <w:r w:rsidR="00234F4D" w:rsidRPr="00600D54">
        <w:rPr>
          <w:rFonts w:ascii="Georgia" w:hAnsi="Georgia"/>
          <w:sz w:val="32"/>
          <w:szCs w:val="32"/>
        </w:rPr>
        <w:t>)</w:t>
      </w:r>
    </w:p>
    <w:p w14:paraId="67B5CBDC" w14:textId="4E049A7A" w:rsidR="00C32DAA" w:rsidRPr="00A717CB" w:rsidRDefault="00234F4D" w:rsidP="00C32DAA">
      <w:pPr>
        <w:pStyle w:val="NoSpacing"/>
        <w:rPr>
          <w:szCs w:val="24"/>
          <w:lang w:val="en"/>
        </w:rPr>
      </w:pPr>
      <w:r>
        <w:rPr>
          <w:noProof/>
          <w:lang w:eastAsia="en-GB"/>
        </w:rPr>
        <mc:AlternateContent>
          <mc:Choice Requires="wps">
            <w:drawing>
              <wp:inline distT="0" distB="0" distL="0" distR="0" wp14:anchorId="6DC7550F" wp14:editId="24DFA6BC">
                <wp:extent cx="5543550" cy="1400175"/>
                <wp:effectExtent l="0" t="0" r="0" b="952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400175"/>
                        </a:xfrm>
                        <a:prstGeom prst="rect">
                          <a:avLst/>
                        </a:prstGeom>
                        <a:solidFill>
                          <a:srgbClr val="F8D4EB"/>
                        </a:solidFill>
                        <a:ln w="9525">
                          <a:noFill/>
                          <a:miter lim="800000"/>
                          <a:headEnd/>
                          <a:tailEnd/>
                        </a:ln>
                      </wps:spPr>
                      <wps:txbx>
                        <w:txbxContent>
                          <w:p w14:paraId="20522DDD" w14:textId="5DAFE19C" w:rsidR="00AE42CD" w:rsidRDefault="00AE42CD" w:rsidP="00234F4D">
                            <w:pPr>
                              <w:spacing w:line="240" w:lineRule="auto"/>
                            </w:pPr>
                            <w:r w:rsidRPr="005F4BAE">
                              <w:t xml:space="preserve">In its 2016 list of issues, the Committee asked about progress made on incorporating all the provisions of CAT into domestic legislation; on ensuring that the level of protection afforded to the prohibition of torture and ill-treatment provided by the Human Rights Act is not eroded; and the need to publicly acknowledge the extra-territorial applicability of CAT. The Committee also asked for information </w:t>
                            </w:r>
                            <w:r>
                              <w:t>about</w:t>
                            </w:r>
                            <w:r w:rsidRPr="005F4BAE">
                              <w:t xml:space="preserve"> measures taken to repeal sub</w:t>
                            </w:r>
                            <w:r>
                              <w:t>sections</w:t>
                            </w:r>
                            <w:r w:rsidRPr="005F4BAE">
                              <w:t xml:space="preserve"> 134(4) and (5) of the Criminal Justice Act 1988 relating to defences for torture.</w:t>
                            </w:r>
                          </w:p>
                        </w:txbxContent>
                      </wps:txbx>
                      <wps:bodyPr rot="0" vert="horz" wrap="square" lIns="91440" tIns="45720" rIns="91440" bIns="45720" anchor="t" anchorCtr="0">
                        <a:noAutofit/>
                      </wps:bodyPr>
                    </wps:wsp>
                  </a:graphicData>
                </a:graphic>
              </wp:inline>
            </w:drawing>
          </mc:Choice>
          <mc:Fallback>
            <w:pict>
              <v:shapetype w14:anchorId="6DC7550F" id="_x0000_t202" coordsize="21600,21600" o:spt="202" path="m,l,21600r21600,l21600,xe">
                <v:stroke joinstyle="miter"/>
                <v:path gradientshapeok="t" o:connecttype="rect"/>
              </v:shapetype>
              <v:shape id="Text Box 2" o:spid="_x0000_s1026" type="#_x0000_t202" style="width:436.5pt;height:11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" fillcolor="#f8d4eb" stroked="f">
                <v:textbox>
                  <w:txbxContent>
                    <w:p w14:paraId="20522DDD" w14:textId="5DAFE19C" w:rsidR="00AE42CD" w:rsidRDefault="00AE42CD" w:rsidP="00234F4D">
                      <w:pPr>
                        <w:spacing w:line="240" w:lineRule="auto"/>
                      </w:pPr>
                      <w:r w:rsidRPr="005F4BAE">
                        <w:t xml:space="preserve">In its 2016 list of issues, the Committee asked about progress made on incorporating all the provisions of CAT into domestic legislation; on ensuring that the level of protection afforded to the prohibition of torture and ill-treatment provided by the Human Rights Act is not eroded; and the need to publicly acknowledge the extra-territorial applicability of CAT. The Committee also asked for information </w:t>
                      </w:r>
                      <w:r>
                        <w:t>about</w:t>
                      </w:r>
                      <w:r w:rsidRPr="005F4BAE">
                        <w:t xml:space="preserve"> measures taken to repeal sub</w:t>
                      </w:r>
                      <w:r>
                        <w:t>sections</w:t>
                      </w:r>
                      <w:r w:rsidRPr="005F4BAE">
                        <w:t xml:space="preserve"> 134(4) and (5) of the Criminal Justice Act 1988 relating to defences for torture.</w:t>
                      </w:r>
                    </w:p>
                  </w:txbxContent>
                </v:textbox>
                <w10:anchorlock/>
              </v:shape>
            </w:pict>
          </mc:Fallback>
        </mc:AlternateContent>
      </w:r>
    </w:p>
    <w:p w14:paraId="3F1FED81" w14:textId="04141991" w:rsidR="00C02BCC" w:rsidRDefault="00C32DAA" w:rsidP="00234F4D">
      <w:pPr>
        <w:pStyle w:val="Parabeforenewsubsection"/>
        <w:spacing w:before="260" w:line="240" w:lineRule="auto"/>
      </w:pPr>
      <w:r w:rsidRPr="00A717CB">
        <w:rPr>
          <w:lang w:val="en"/>
        </w:rPr>
        <w:t xml:space="preserve">The UK has not directly incorporated CAT into domestic law and policy. A number of the UN Convention’s provisions are reflected in domestic legislation, most notably in the </w:t>
      </w:r>
      <w:r w:rsidRPr="00A717CB">
        <w:t xml:space="preserve">Human Rights Act 1998 (HRA), which incorporates the </w:t>
      </w:r>
      <w:r w:rsidR="005279D7">
        <w:t>ECHR</w:t>
      </w:r>
      <w:r w:rsidRPr="00A717CB">
        <w:t xml:space="preserve"> and its prohibition of torture and inhuman or degrading treatment into domestic law in the UK, and makes it enforceable in UK courts.</w:t>
      </w:r>
      <w:r w:rsidRPr="00A717CB">
        <w:rPr>
          <w:rStyle w:val="FootnoteReference"/>
        </w:rPr>
        <w:footnoteReference w:id="6"/>
      </w:r>
      <w:r w:rsidRPr="00A717CB">
        <w:t xml:space="preserve"> Human </w:t>
      </w:r>
      <w:r w:rsidR="002B76F6">
        <w:t>r</w:t>
      </w:r>
      <w:r w:rsidR="002B76F6" w:rsidRPr="00A717CB">
        <w:t xml:space="preserve">ights </w:t>
      </w:r>
      <w:r w:rsidRPr="00A717CB">
        <w:t>are also protected in the devolution statute of Wales.</w:t>
      </w:r>
      <w:r w:rsidRPr="00A717CB">
        <w:rPr>
          <w:rStyle w:val="FootnoteReference"/>
        </w:rPr>
        <w:footnoteReference w:id="7"/>
      </w:r>
    </w:p>
    <w:p w14:paraId="7903A8ED" w14:textId="6A6EBB51" w:rsidR="00E1442E" w:rsidRDefault="00E1442E" w:rsidP="00E1442E">
      <w:pPr>
        <w:pStyle w:val="Title-subsections"/>
      </w:pPr>
      <w:bookmarkStart w:id="12" w:name="_Toc4061374"/>
      <w:r>
        <w:t>Recent developments and concerns</w:t>
      </w:r>
      <w:bookmarkEnd w:id="12"/>
    </w:p>
    <w:p w14:paraId="75D0410F" w14:textId="6A6E78EC" w:rsidR="00C32DAA" w:rsidRPr="00A717CB" w:rsidRDefault="00C32DAA" w:rsidP="00234F4D">
      <w:pPr>
        <w:pStyle w:val="Parabeforeanother"/>
        <w:spacing w:line="240" w:lineRule="auto"/>
      </w:pPr>
      <w:r w:rsidRPr="00A717CB">
        <w:t>Following the EU referendum in June 2016</w:t>
      </w:r>
      <w:r w:rsidR="002B76F6">
        <w:t>,</w:t>
      </w:r>
      <w:r w:rsidRPr="00A717CB">
        <w:t xml:space="preserve"> there continues to be significant constitutional uncertainty in the UK, which poses potential risks for the protection of human rights. In particular the removal of the EU Charter of Fundamental Rights from domestic law through the EU Withdrawal Act may result in a loss or weakening of some rights protections (for example</w:t>
      </w:r>
      <w:r w:rsidR="002B76F6">
        <w:t>,</w:t>
      </w:r>
      <w:r w:rsidRPr="00A717CB">
        <w:t xml:space="preserve"> Article 1 on human dignity).</w:t>
      </w:r>
      <w:r w:rsidRPr="00A717CB">
        <w:rPr>
          <w:rStyle w:val="FootnoteReference"/>
        </w:rPr>
        <w:footnoteReference w:id="8"/>
      </w:r>
      <w:r w:rsidRPr="00A717CB">
        <w:t xml:space="preserve"> In addition, the UK’s future extradition arrangements with the EU and future funding to prevent violence against children, young people, women and other groups at risk, and for women’s services, including </w:t>
      </w:r>
      <w:r w:rsidR="002B76F6">
        <w:t xml:space="preserve">for </w:t>
      </w:r>
      <w:r w:rsidRPr="00A717CB">
        <w:t>victims of domestic violence, remain uncertain.</w:t>
      </w:r>
      <w:r w:rsidRPr="00A717CB">
        <w:rPr>
          <w:rStyle w:val="FootnoteReference"/>
        </w:rPr>
        <w:footnoteReference w:id="9"/>
      </w:r>
    </w:p>
    <w:p w14:paraId="6ED80F09" w14:textId="7B84C316" w:rsidR="00C32DAA" w:rsidRPr="00A717CB" w:rsidRDefault="00C32DAA" w:rsidP="00234F4D">
      <w:pPr>
        <w:pStyle w:val="Parabeforenewsubsection"/>
        <w:spacing w:line="240" w:lineRule="auto"/>
      </w:pPr>
      <w:r w:rsidRPr="00A717CB">
        <w:t>We welcome the UK Government’s commitment to remain a party to the ECHR in its White Paper</w:t>
      </w:r>
      <w:r w:rsidR="002B76F6">
        <w:t>,</w:t>
      </w:r>
      <w:r w:rsidRPr="00A717CB">
        <w:t xml:space="preserve"> ‘The future relationship between the United Kingdom and the European Union’</w:t>
      </w:r>
      <w:r w:rsidR="002B76F6">
        <w:t>,</w:t>
      </w:r>
      <w:r w:rsidRPr="00A717CB">
        <w:t xml:space="preserve"> published in July 2018.</w:t>
      </w:r>
      <w:r w:rsidRPr="00A717CB">
        <w:rPr>
          <w:vertAlign w:val="superscript"/>
        </w:rPr>
        <w:footnoteReference w:id="10"/>
      </w:r>
      <w:r w:rsidRPr="00A717CB">
        <w:t xml:space="preserve"> This now forms part of the draft agreement with the EU and represents an important departure from previous announcements </w:t>
      </w:r>
      <w:r w:rsidR="008B344B">
        <w:t>which had indicated</w:t>
      </w:r>
      <w:r w:rsidRPr="00A717CB">
        <w:t xml:space="preserve"> an intention to leave the ECHR. We also note the further pledge in the draft </w:t>
      </w:r>
      <w:r w:rsidRPr="00A717CB">
        <w:lastRenderedPageBreak/>
        <w:t>political declaration with the EU of ‘continued adherence and giving effect to the ECHR’.</w:t>
      </w:r>
      <w:r w:rsidRPr="00A717CB">
        <w:rPr>
          <w:vertAlign w:val="superscript"/>
        </w:rPr>
        <w:footnoteReference w:id="11"/>
      </w:r>
    </w:p>
    <w:p w14:paraId="56AD5535" w14:textId="3402DC27" w:rsidR="00E1442E" w:rsidRDefault="00E1442E" w:rsidP="00600D54">
      <w:pPr>
        <w:pStyle w:val="Title-subsections"/>
        <w:spacing w:before="0"/>
      </w:pPr>
      <w:bookmarkStart w:id="13" w:name="_Toc4061375"/>
      <w:r>
        <w:t>On</w:t>
      </w:r>
      <w:r w:rsidR="00CD1978">
        <w:t>going</w:t>
      </w:r>
      <w:r>
        <w:t xml:space="preserve"> concerns</w:t>
      </w:r>
      <w:bookmarkEnd w:id="13"/>
    </w:p>
    <w:p w14:paraId="214645C9" w14:textId="2960BA93" w:rsidR="00C32DAA" w:rsidRPr="00A717CB" w:rsidRDefault="00C32DAA" w:rsidP="00234F4D">
      <w:pPr>
        <w:pStyle w:val="Parabeforeanother"/>
        <w:spacing w:line="240" w:lineRule="auto"/>
      </w:pPr>
      <w:r w:rsidRPr="00A717CB">
        <w:t>Despite the Government’s stated commitment to the ECHR, its ongoing commitment to the HRA remains unclear,</w:t>
      </w:r>
      <w:r w:rsidRPr="00A717CB">
        <w:rPr>
          <w:rStyle w:val="FootnoteReference"/>
        </w:rPr>
        <w:footnoteReference w:id="12"/>
      </w:r>
      <w:r w:rsidRPr="00A717CB">
        <w:t xml:space="preserve"> </w:t>
      </w:r>
      <w:r w:rsidR="00B974DD">
        <w:t xml:space="preserve">as </w:t>
      </w:r>
      <w:r w:rsidRPr="00A717CB">
        <w:t>previous plans to bring forward proposals on a British Bill of Rights to replace the HRA 1998</w:t>
      </w:r>
      <w:r w:rsidR="00B974DD">
        <w:t xml:space="preserve"> continue to surface</w:t>
      </w:r>
      <w:r w:rsidRPr="00A717CB">
        <w:t>.</w:t>
      </w:r>
      <w:r w:rsidRPr="00A717CB">
        <w:rPr>
          <w:rStyle w:val="FootnoteReference"/>
        </w:rPr>
        <w:footnoteReference w:id="13"/>
      </w:r>
      <w:r w:rsidR="00EB2214">
        <w:t xml:space="preserve"> </w:t>
      </w:r>
      <w:r w:rsidRPr="00A717CB">
        <w:t xml:space="preserve">Our consistently stated position is that changing our human rights laws could have significant constitutional and social consequences and should be considered </w:t>
      </w:r>
      <w:r w:rsidR="002B76F6">
        <w:t xml:space="preserve">only </w:t>
      </w:r>
      <w:r w:rsidRPr="00A717CB">
        <w:t xml:space="preserve">as part of a broad and participative process that advances human rights protections by maintaining all the protections in the HRA and building on them. </w:t>
      </w:r>
    </w:p>
    <w:p w14:paraId="50BDD365" w14:textId="0A3CE1F1" w:rsidR="00C32DAA" w:rsidRPr="00A717CB" w:rsidRDefault="00C32DAA" w:rsidP="00234F4D">
      <w:pPr>
        <w:pStyle w:val="Parabeforeanother"/>
        <w:spacing w:line="240" w:lineRule="auto"/>
      </w:pPr>
      <w:r w:rsidRPr="00A717CB">
        <w:t xml:space="preserve">We are also concerned that the UK Government announced in 2016 that it was considering derogating from the extra-territorial application of the HRA, particularly its applicability to the actions of British </w:t>
      </w:r>
      <w:r w:rsidR="00DF0BBF">
        <w:t>f</w:t>
      </w:r>
      <w:r w:rsidRPr="00A717CB">
        <w:t>orces abroad.</w:t>
      </w:r>
      <w:r w:rsidRPr="00A717CB">
        <w:rPr>
          <w:rStyle w:val="FootnoteReference"/>
        </w:rPr>
        <w:footnoteReference w:id="14"/>
      </w:r>
      <w:r w:rsidRPr="00A717CB">
        <w:t xml:space="preserve"> A derogation would be necessary because the European Court of Human Rights has made the extra-territorial application of the ECHR clear.</w:t>
      </w:r>
      <w:r w:rsidRPr="00A717CB">
        <w:rPr>
          <w:rStyle w:val="FootnoteReference"/>
        </w:rPr>
        <w:footnoteReference w:id="15"/>
      </w:r>
      <w:r w:rsidRPr="00A717CB">
        <w:t xml:space="preserve"> Such a derogation would run counter to the interpretation of CAT by the UN Committee.</w:t>
      </w:r>
      <w:r w:rsidRPr="00A717CB">
        <w:rPr>
          <w:rStyle w:val="FootnoteReference"/>
        </w:rPr>
        <w:footnoteReference w:id="16"/>
      </w:r>
      <w:r w:rsidRPr="00A717CB">
        <w:t xml:space="preserve"> </w:t>
      </w:r>
    </w:p>
    <w:p w14:paraId="134EA107" w14:textId="049101EC" w:rsidR="00C32DAA" w:rsidRDefault="00C32DAA" w:rsidP="00234F4D">
      <w:pPr>
        <w:pStyle w:val="Parabeforeanother"/>
        <w:spacing w:line="240" w:lineRule="auto"/>
      </w:pPr>
      <w:r w:rsidRPr="00A717CB">
        <w:t>There remain inconsistencies between some domestic legal provisions and the UK’s international obligations under CAT, including section 134 of the Criminal Justice Act (CJA) 1988. Contrary to the Committee’s 2004 and 2013 recommendations,</w:t>
      </w:r>
      <w:r w:rsidRPr="00A717CB">
        <w:rPr>
          <w:rStyle w:val="FootnoteReference"/>
        </w:rPr>
        <w:footnoteReference w:id="17"/>
      </w:r>
      <w:r w:rsidRPr="00A717CB">
        <w:t xml:space="preserve"> the UK Government has reported that it has no plans to repeal subsections 134(4) and (5)(b)(iii) of the</w:t>
      </w:r>
      <w:r w:rsidR="00EB2214">
        <w:t xml:space="preserve"> </w:t>
      </w:r>
      <w:r w:rsidRPr="00A717CB">
        <w:t>Act, which provide for the defence of ‘lawful authority, justification or excuse’ to a charge of official intentional infliction of severe pain or suffering</w:t>
      </w:r>
      <w:r w:rsidR="007970B4">
        <w:t xml:space="preserve"> (subsection 4)</w:t>
      </w:r>
      <w:r w:rsidRPr="00A717CB">
        <w:t>, and for the defence of conduct abroad that is permitted under foreign law, even if unlawful under UK law</w:t>
      </w:r>
      <w:r w:rsidR="007970B4">
        <w:t xml:space="preserve"> (subsection 5(b)(iii))</w:t>
      </w:r>
      <w:r w:rsidRPr="00A717CB">
        <w:t>.</w:t>
      </w:r>
      <w:r w:rsidRPr="00A717CB">
        <w:rPr>
          <w:rStyle w:val="FootnoteReference"/>
        </w:rPr>
        <w:footnoteReference w:id="18"/>
      </w:r>
      <w:r w:rsidRPr="00A717CB">
        <w:t xml:space="preserve"> There can be no justification for relying on lower torture standards in UK overseas operations; sub</w:t>
      </w:r>
      <w:r w:rsidR="00CD1978">
        <w:t>section</w:t>
      </w:r>
      <w:r w:rsidRPr="00A717CB">
        <w:t xml:space="preserve"> 134(5)(b)(iii) of the CJA 1988 should therefore be repealed.</w:t>
      </w:r>
    </w:p>
    <w:p w14:paraId="50D79B73" w14:textId="3561D443" w:rsidR="00C32DAA" w:rsidRPr="00A717CB" w:rsidRDefault="00C32DAA" w:rsidP="00234F4D">
      <w:pPr>
        <w:pStyle w:val="Parabeforeanother"/>
        <w:spacing w:line="240" w:lineRule="auto"/>
      </w:pPr>
      <w:r w:rsidRPr="00A717CB">
        <w:t>There is a risk that the defence in subsection 134(4) could also permit conduct prohibited under CAT.</w:t>
      </w:r>
      <w:r w:rsidRPr="00A717CB">
        <w:rPr>
          <w:rStyle w:val="FootnoteReference"/>
        </w:rPr>
        <w:footnoteReference w:id="19"/>
      </w:r>
      <w:r w:rsidRPr="00A717CB">
        <w:t xml:space="preserve"> While this risk is currently limited by the fact that the provisions must be interpreted in a way that is compatible with the ECHR, so far as </w:t>
      </w:r>
      <w:r w:rsidRPr="00A717CB">
        <w:lastRenderedPageBreak/>
        <w:t>is possible,</w:t>
      </w:r>
      <w:r w:rsidRPr="00A717CB">
        <w:rPr>
          <w:vertAlign w:val="superscript"/>
        </w:rPr>
        <w:footnoteReference w:id="20"/>
      </w:r>
      <w:r w:rsidRPr="00A717CB">
        <w:t xml:space="preserve"> the risk will increase should the </w:t>
      </w:r>
      <w:r w:rsidR="00873C5B">
        <w:t>G</w:t>
      </w:r>
      <w:r w:rsidRPr="00A717CB">
        <w:t>overnment act upon its proposal to derogate from the ECHR’s extra-territorial application, or repeal or amend the HRA.</w:t>
      </w:r>
    </w:p>
    <w:p w14:paraId="3918855D" w14:textId="77777777" w:rsidR="00C32DAA" w:rsidRPr="00A717CB" w:rsidRDefault="00C32DAA" w:rsidP="00231B88">
      <w:pPr>
        <w:pStyle w:val="Parabeforenewsection"/>
        <w:spacing w:after="420" w:line="240" w:lineRule="auto"/>
      </w:pPr>
      <w:r w:rsidRPr="00A717CB">
        <w:t>A further specific rationale offered by the UK Government for maintaining subsection 134(4) is the broader definition of torture in the CJA 1988 as compared to the definition in CAT. According to the UK Government, repealing the defence would result in prohibiting legitimate conduct by state officials, such as ‘serious injury inflicted by a police officer in the prevention of a crime, even when the offender was injuring another person or attacking the police officer’.</w:t>
      </w:r>
      <w:r w:rsidRPr="00A717CB">
        <w:rPr>
          <w:rStyle w:val="FootnoteReference"/>
        </w:rPr>
        <w:footnoteReference w:id="21"/>
      </w:r>
      <w:r w:rsidRPr="00A717CB">
        <w:t xml:space="preserve"> Based on this reasoning, the Government should circumscribe the defence by specifying the contexts in which it is deemed to be required.</w:t>
      </w:r>
    </w:p>
    <w:p w14:paraId="7CC10B56" w14:textId="77777777" w:rsidR="00C32DAA" w:rsidRPr="00A717CB" w:rsidRDefault="00C32DAA" w:rsidP="00C32DAA">
      <w:pPr>
        <w:pStyle w:val="NoSpacing"/>
        <w:tabs>
          <w:tab w:val="left" w:pos="7020"/>
        </w:tabs>
        <w:rPr>
          <w:szCs w:val="24"/>
        </w:rPr>
      </w:pPr>
      <w:r w:rsidRPr="00A717CB">
        <w:rPr>
          <w:szCs w:val="24"/>
        </w:rPr>
        <w:tab/>
      </w:r>
    </w:p>
    <w:p w14:paraId="14DCD82F" w14:textId="77777777" w:rsidR="00C32DAA" w:rsidRPr="00A717CB" w:rsidRDefault="00C32DAA" w:rsidP="0095032F">
      <w:pPr>
        <w:pStyle w:val="Title-subsections"/>
      </w:pPr>
      <w:bookmarkStart w:id="14" w:name="_Toc4061376"/>
      <w:r w:rsidRPr="00A717CB">
        <w:t>Recommendations</w:t>
      </w:r>
      <w:bookmarkEnd w:id="14"/>
    </w:p>
    <w:p w14:paraId="73D59719" w14:textId="77777777" w:rsidR="00C32DAA" w:rsidRPr="00A717CB" w:rsidRDefault="00C32DAA" w:rsidP="00234F4D">
      <w:pPr>
        <w:pStyle w:val="Parabeforebulletss"/>
        <w:spacing w:line="240" w:lineRule="auto"/>
      </w:pPr>
      <w:r w:rsidRPr="00A717CB">
        <w:t xml:space="preserve">As the UK finalises its withdrawal from the EU, the UK and Welsh Governments, where relevant, should ensure that: </w:t>
      </w:r>
    </w:p>
    <w:p w14:paraId="64129FFA" w14:textId="77777777" w:rsidR="00C32DAA" w:rsidRPr="00A717CB" w:rsidRDefault="00C32DAA" w:rsidP="00234F4D">
      <w:pPr>
        <w:pStyle w:val="Bullet-followedbyothers"/>
        <w:spacing w:line="240" w:lineRule="auto"/>
      </w:pPr>
      <w:r w:rsidRPr="00A717CB">
        <w:t>There is no regression in the respect, protection and fulfilment of human rights as a result of changes to domestic legislation.</w:t>
      </w:r>
    </w:p>
    <w:p w14:paraId="6AB8E4C0" w14:textId="77777777" w:rsidR="00C32DAA" w:rsidRPr="00A717CB" w:rsidRDefault="00C32DAA" w:rsidP="00234F4D">
      <w:pPr>
        <w:pStyle w:val="Bullet-lastingroup"/>
        <w:spacing w:line="240" w:lineRule="auto"/>
        <w:rPr>
          <w:rFonts w:cs="Arial"/>
        </w:rPr>
      </w:pPr>
      <w:r w:rsidRPr="00A717CB">
        <w:rPr>
          <w:rFonts w:cs="Arial"/>
        </w:rPr>
        <w:t>The loss of EU funding does not undermine the UK’s equality and human rights infrastructure, including the already scarce funding available to specialist services, such as those that support women survivors of violence and domestic abuse.</w:t>
      </w:r>
    </w:p>
    <w:p w14:paraId="522C8053" w14:textId="10579863" w:rsidR="00C32DAA" w:rsidRPr="00A717CB" w:rsidRDefault="00C32DAA" w:rsidP="00234F4D">
      <w:pPr>
        <w:pStyle w:val="Parabeforebulletss"/>
        <w:spacing w:line="240" w:lineRule="auto"/>
      </w:pPr>
      <w:r w:rsidRPr="00A717CB">
        <w:t xml:space="preserve">The UK </w:t>
      </w:r>
      <w:r w:rsidR="003A57EC">
        <w:t xml:space="preserve">Government </w:t>
      </w:r>
      <w:r w:rsidRPr="00A717CB">
        <w:t>should:</w:t>
      </w:r>
    </w:p>
    <w:p w14:paraId="1043E38C" w14:textId="77777777" w:rsidR="00C32DAA" w:rsidRPr="00A717CB" w:rsidRDefault="00C32DAA" w:rsidP="00234F4D">
      <w:pPr>
        <w:pStyle w:val="Bullet-followedbyothers"/>
        <w:spacing w:line="240" w:lineRule="auto"/>
      </w:pPr>
      <w:r w:rsidRPr="00A717CB">
        <w:t>Take steps to incorporate all of the provisions of CAT in UK domestic law, including by repealing subsection 134(5)(b)(iii) of the Criminal Justice Act 1988 which permits reliance on lower torture standards that operate outside the UK.</w:t>
      </w:r>
    </w:p>
    <w:p w14:paraId="177D1AD9" w14:textId="5845331D" w:rsidR="00C32DAA" w:rsidRPr="00A717CB" w:rsidRDefault="00C32DAA" w:rsidP="00234F4D">
      <w:pPr>
        <w:pStyle w:val="Bullet-followedbyothers"/>
        <w:spacing w:line="240" w:lineRule="auto"/>
      </w:pPr>
      <w:r w:rsidRPr="00A717CB">
        <w:t>Commission an independent review to consider ways to ensure the general defence for torture in section 134(4) of the Criminal Justice Act 1988 is further circumscribed and used only in exceptional situations where the defence is appropriate and necessary in the last resort.</w:t>
      </w:r>
      <w:r w:rsidR="00EB2214">
        <w:t xml:space="preserve">  </w:t>
      </w:r>
    </w:p>
    <w:p w14:paraId="357BB805" w14:textId="77777777" w:rsidR="00C32DAA" w:rsidRPr="00A717CB" w:rsidRDefault="00C32DAA" w:rsidP="00234F4D">
      <w:pPr>
        <w:pStyle w:val="Bullet-lastingroup"/>
        <w:spacing w:line="240" w:lineRule="auto"/>
        <w:rPr>
          <w:b/>
        </w:rPr>
      </w:pPr>
      <w:r w:rsidRPr="00A717CB">
        <w:t>In any future consideration of the territorial application of the Human Rights Act, accept that its obligations in international law under CAT extend to the operations of British forces overseas and to foreign nationals when they are under de facto UK jurisdiction.</w:t>
      </w:r>
    </w:p>
    <w:p w14:paraId="664F72B4" w14:textId="528A7341" w:rsidR="00C32DAA" w:rsidRPr="00A717CB" w:rsidRDefault="00C32DAA" w:rsidP="00234F4D">
      <w:pPr>
        <w:pStyle w:val="Parabeforebulletss"/>
        <w:spacing w:line="240" w:lineRule="auto"/>
      </w:pPr>
      <w:r w:rsidRPr="00A717CB">
        <w:t>As the Welsh Government considers how it can further progress and safeguard human rights in Wales, it should:</w:t>
      </w:r>
    </w:p>
    <w:p w14:paraId="6D4F9C3F" w14:textId="2FAB79E3" w:rsidR="00C32DAA" w:rsidRPr="00234F4D" w:rsidRDefault="00C32DAA" w:rsidP="00234F4D">
      <w:pPr>
        <w:pStyle w:val="Bullet-lastingroup"/>
        <w:spacing w:after="720" w:line="240" w:lineRule="auto"/>
      </w:pPr>
      <w:r w:rsidRPr="00A717CB">
        <w:t>Consider the steps it can take to incorporate any relevant provisions of CAT in Welsh legislation</w:t>
      </w:r>
      <w:r w:rsidR="00C02BCC">
        <w:t>.</w:t>
      </w:r>
    </w:p>
    <w:p w14:paraId="71ACBFD6" w14:textId="77777777" w:rsidR="001F7BEB" w:rsidRDefault="001F7BEB">
      <w:pPr>
        <w:spacing w:after="160" w:line="259" w:lineRule="auto"/>
        <w:rPr>
          <w:rFonts w:ascii="Georgia" w:eastAsia="Times New Roman" w:hAnsi="Georgia"/>
          <w:bCs/>
          <w:color w:val="D40F7D"/>
          <w:sz w:val="40"/>
          <w:szCs w:val="40"/>
        </w:rPr>
      </w:pPr>
      <w:r>
        <w:rPr>
          <w:sz w:val="40"/>
          <w:szCs w:val="40"/>
        </w:rPr>
        <w:br w:type="page"/>
      </w:r>
    </w:p>
    <w:p w14:paraId="586FBAE4" w14:textId="77777777" w:rsidR="0045689C" w:rsidRDefault="0045689C" w:rsidP="00234F4D">
      <w:pPr>
        <w:pStyle w:val="Title-chapterpink"/>
        <w:spacing w:after="0"/>
        <w:rPr>
          <w:sz w:val="40"/>
          <w:szCs w:val="40"/>
        </w:rPr>
        <w:sectPr w:rsidR="0045689C" w:rsidSect="00C32DAA">
          <w:headerReference w:type="default" r:id="rId15"/>
          <w:pgSz w:w="11906" w:h="16838" w:code="9"/>
          <w:pgMar w:top="1440" w:right="1440" w:bottom="1440" w:left="1440" w:header="567" w:footer="567" w:gutter="0"/>
          <w:cols w:space="708"/>
          <w:docGrid w:linePitch="360"/>
        </w:sectPr>
      </w:pPr>
    </w:p>
    <w:p w14:paraId="222A16B9" w14:textId="0C9F5AEC" w:rsidR="00C32DAA" w:rsidRPr="00600D54" w:rsidRDefault="00254855" w:rsidP="00234F4D">
      <w:pPr>
        <w:pStyle w:val="Title-chapterpink"/>
        <w:spacing w:after="0"/>
        <w:rPr>
          <w:sz w:val="40"/>
          <w:szCs w:val="40"/>
        </w:rPr>
      </w:pPr>
      <w:bookmarkStart w:id="15" w:name="_Toc4061377"/>
      <w:r w:rsidRPr="00600D54">
        <w:rPr>
          <w:sz w:val="40"/>
          <w:szCs w:val="40"/>
        </w:rPr>
        <w:lastRenderedPageBreak/>
        <w:t xml:space="preserve">2. </w:t>
      </w:r>
      <w:r w:rsidR="00C32DAA" w:rsidRPr="00600D54">
        <w:rPr>
          <w:sz w:val="40"/>
          <w:szCs w:val="40"/>
        </w:rPr>
        <w:t>Overseas detainees</w:t>
      </w:r>
      <w:bookmarkEnd w:id="15"/>
    </w:p>
    <w:p w14:paraId="19D75259" w14:textId="6E79D2DF" w:rsidR="00303A26" w:rsidRPr="00600D54" w:rsidRDefault="00857BF1" w:rsidP="00234F4D">
      <w:pPr>
        <w:pStyle w:val="Parabeforeanother"/>
        <w:spacing w:after="260"/>
        <w:rPr>
          <w:rFonts w:ascii="Georgia" w:hAnsi="Georgia"/>
          <w:sz w:val="32"/>
          <w:szCs w:val="32"/>
        </w:rPr>
      </w:pPr>
      <w:r>
        <w:rPr>
          <w:rFonts w:ascii="Georgia" w:hAnsi="Georgia"/>
          <w:sz w:val="32"/>
          <w:szCs w:val="32"/>
        </w:rPr>
        <w:t>R</w:t>
      </w:r>
      <w:r w:rsidR="00DF1E56" w:rsidRPr="00600D54">
        <w:rPr>
          <w:rFonts w:ascii="Georgia" w:hAnsi="Georgia"/>
          <w:sz w:val="32"/>
          <w:szCs w:val="32"/>
        </w:rPr>
        <w:t>elates to CAT Articles 2</w:t>
      </w:r>
      <w:r w:rsidR="00FE08F3">
        <w:rPr>
          <w:rFonts w:ascii="Georgia" w:hAnsi="Georgia"/>
          <w:sz w:val="32"/>
          <w:szCs w:val="32"/>
        </w:rPr>
        <w:t xml:space="preserve">, </w:t>
      </w:r>
      <w:r w:rsidR="008B3D18">
        <w:rPr>
          <w:rFonts w:ascii="Georgia" w:hAnsi="Georgia"/>
          <w:sz w:val="32"/>
          <w:szCs w:val="32"/>
        </w:rPr>
        <w:t xml:space="preserve">3, </w:t>
      </w:r>
      <w:r w:rsidR="00FE08F3">
        <w:rPr>
          <w:rFonts w:ascii="Georgia" w:hAnsi="Georgia"/>
          <w:sz w:val="32"/>
          <w:szCs w:val="32"/>
        </w:rPr>
        <w:t>12, 13</w:t>
      </w:r>
      <w:r w:rsidR="00DF1E56" w:rsidRPr="00600D54">
        <w:rPr>
          <w:rFonts w:ascii="Georgia" w:hAnsi="Georgia"/>
          <w:sz w:val="32"/>
          <w:szCs w:val="32"/>
        </w:rPr>
        <w:t xml:space="preserve"> and 16, CO paragraph</w:t>
      </w:r>
      <w:r w:rsidR="00FE08F3">
        <w:rPr>
          <w:rFonts w:ascii="Georgia" w:hAnsi="Georgia"/>
          <w:sz w:val="32"/>
          <w:szCs w:val="32"/>
        </w:rPr>
        <w:t>s</w:t>
      </w:r>
      <w:r w:rsidR="00DF1E56" w:rsidRPr="00600D54">
        <w:rPr>
          <w:rFonts w:ascii="Georgia" w:hAnsi="Georgia"/>
          <w:sz w:val="32"/>
          <w:szCs w:val="32"/>
        </w:rPr>
        <w:t xml:space="preserve"> 11</w:t>
      </w:r>
      <w:r w:rsidR="00FE08F3">
        <w:rPr>
          <w:rFonts w:ascii="Georgia" w:hAnsi="Georgia"/>
          <w:sz w:val="32"/>
          <w:szCs w:val="32"/>
        </w:rPr>
        <w:t>, 15</w:t>
      </w:r>
      <w:r w:rsidR="00392B00">
        <w:rPr>
          <w:rFonts w:ascii="Georgia" w:hAnsi="Georgia"/>
          <w:sz w:val="32"/>
          <w:szCs w:val="32"/>
        </w:rPr>
        <w:t>, 16</w:t>
      </w:r>
      <w:r w:rsidR="00FE08F3">
        <w:rPr>
          <w:rFonts w:ascii="Georgia" w:hAnsi="Georgia"/>
          <w:sz w:val="32"/>
          <w:szCs w:val="32"/>
        </w:rPr>
        <w:t xml:space="preserve"> and </w:t>
      </w:r>
      <w:r w:rsidR="00392B00">
        <w:rPr>
          <w:rFonts w:ascii="Georgia" w:hAnsi="Georgia"/>
          <w:sz w:val="32"/>
          <w:szCs w:val="32"/>
        </w:rPr>
        <w:t>2</w:t>
      </w:r>
      <w:r w:rsidR="00FE08F3">
        <w:rPr>
          <w:rFonts w:ascii="Georgia" w:hAnsi="Georgia"/>
          <w:sz w:val="32"/>
          <w:szCs w:val="32"/>
        </w:rPr>
        <w:t>1</w:t>
      </w:r>
      <w:r w:rsidR="00DF1E56" w:rsidRPr="00600D54">
        <w:rPr>
          <w:rFonts w:ascii="Georgia" w:hAnsi="Georgia"/>
          <w:sz w:val="32"/>
          <w:szCs w:val="32"/>
        </w:rPr>
        <w:t xml:space="preserve"> and list of issues paragraph</w:t>
      </w:r>
      <w:r w:rsidR="00FE08F3">
        <w:rPr>
          <w:rFonts w:ascii="Georgia" w:hAnsi="Georgia"/>
          <w:sz w:val="32"/>
          <w:szCs w:val="32"/>
        </w:rPr>
        <w:t>s</w:t>
      </w:r>
      <w:r w:rsidR="00DF1E56" w:rsidRPr="00600D54">
        <w:rPr>
          <w:rFonts w:ascii="Georgia" w:hAnsi="Georgia"/>
          <w:sz w:val="32"/>
          <w:szCs w:val="32"/>
        </w:rPr>
        <w:t xml:space="preserve"> 7</w:t>
      </w:r>
      <w:r w:rsidR="00FE08F3">
        <w:rPr>
          <w:rFonts w:ascii="Georgia" w:hAnsi="Georgia"/>
          <w:sz w:val="32"/>
          <w:szCs w:val="32"/>
        </w:rPr>
        <w:t>, 33 and 34</w:t>
      </w:r>
    </w:p>
    <w:p w14:paraId="6141DC17" w14:textId="4CB1B22D" w:rsidR="00600D54" w:rsidRPr="00234F4D" w:rsidRDefault="00600D54" w:rsidP="00234F4D">
      <w:pPr>
        <w:pStyle w:val="Parabeforeanother"/>
        <w:spacing w:after="260"/>
        <w:rPr>
          <w:rFonts w:ascii="Georgia" w:hAnsi="Georgia"/>
          <w:sz w:val="28"/>
          <w:szCs w:val="28"/>
        </w:rPr>
      </w:pPr>
      <w:r>
        <w:rPr>
          <w:noProof/>
          <w:lang w:eastAsia="en-GB"/>
        </w:rPr>
        <mc:AlternateContent>
          <mc:Choice Requires="wps">
            <w:drawing>
              <wp:inline distT="0" distB="0" distL="0" distR="0" wp14:anchorId="580D4FF9" wp14:editId="412459EB">
                <wp:extent cx="5543550" cy="2066925"/>
                <wp:effectExtent l="0" t="0" r="0" b="9525"/>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2066925"/>
                        </a:xfrm>
                        <a:prstGeom prst="rect">
                          <a:avLst/>
                        </a:prstGeom>
                        <a:solidFill>
                          <a:srgbClr val="F8D4EB"/>
                        </a:solidFill>
                        <a:ln w="9525">
                          <a:noFill/>
                          <a:miter lim="800000"/>
                          <a:headEnd/>
                          <a:tailEnd/>
                        </a:ln>
                      </wps:spPr>
                      <wps:txbx>
                        <w:txbxContent>
                          <w:p w14:paraId="652C6380" w14:textId="52D3DA01" w:rsidR="00AE42CD" w:rsidRDefault="00AE42CD" w:rsidP="00600D54">
                            <w:pPr>
                              <w:spacing w:line="240" w:lineRule="auto"/>
                            </w:pPr>
                            <w:r w:rsidRPr="00F977D3">
                              <w:rPr>
                                <w:rStyle w:val="Hyperlink"/>
                                <w:color w:val="auto"/>
                                <w:u w:val="none"/>
                              </w:rPr>
                              <w:t>In its 2016 list of issues, the Committee asked about</w:t>
                            </w:r>
                            <w:r>
                              <w:rPr>
                                <w:rStyle w:val="Hyperlink"/>
                                <w:color w:val="auto"/>
                                <w:u w:val="none"/>
                              </w:rPr>
                              <w:t xml:space="preserve"> </w:t>
                            </w:r>
                            <w:r w:rsidRPr="00F977D3">
                              <w:rPr>
                                <w:rStyle w:val="Hyperlink"/>
                                <w:color w:val="auto"/>
                                <w:u w:val="none"/>
                              </w:rPr>
                              <w:t>steps to set up an independent judge-led inquiry into allegations of torture and ill-treatment of detainees held by other countries; the adequacy of the Intelligence and Security Committee as an investigation mechanism</w:t>
                            </w:r>
                            <w:r>
                              <w:rPr>
                                <w:rStyle w:val="Hyperlink"/>
                                <w:color w:val="auto"/>
                                <w:u w:val="none"/>
                              </w:rPr>
                              <w:t>;</w:t>
                            </w:r>
                            <w:r w:rsidRPr="002E74D9">
                              <w:rPr>
                                <w:rStyle w:val="Hyperlink"/>
                                <w:color w:val="auto"/>
                                <w:u w:val="none"/>
                              </w:rPr>
                              <w:t xml:space="preserve"> and whether there has been an investigation into the alleged torture of Shaker Aamer. The Committee also asked about measures taken to ensure that all allegations </w:t>
                            </w:r>
                            <w:r w:rsidRPr="00F977D3">
                              <w:rPr>
                                <w:rStyle w:val="Hyperlink"/>
                                <w:color w:val="auto"/>
                                <w:u w:val="none"/>
                              </w:rPr>
                              <w:t>of abuse of Iraqi citizens by British service personnel in Iraq between 2003-2009 are fully investigated and addressed, and that systemic issues are identified, and lessons learned. The Committee requested information on steps taken to reword the consolidated guidance to intelligence officers and service personnel on the detention and interviewing of detainees overseas.</w:t>
                            </w:r>
                          </w:p>
                        </w:txbxContent>
                      </wps:txbx>
                      <wps:bodyPr rot="0" vert="horz" wrap="square" lIns="91440" tIns="45720" rIns="91440" bIns="45720" anchor="t" anchorCtr="0">
                        <a:noAutofit/>
                      </wps:bodyPr>
                    </wps:wsp>
                  </a:graphicData>
                </a:graphic>
              </wp:inline>
            </w:drawing>
          </mc:Choice>
          <mc:Fallback>
            <w:pict>
              <v:shape w14:anchorId="580D4FF9" id="_x0000_s1027" type="#_x0000_t202" style="width:436.5pt;height:16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" fillcolor="#f8d4eb" stroked="f">
                <v:textbox>
                  <w:txbxContent>
                    <w:p w14:paraId="652C6380" w14:textId="52D3DA01" w:rsidR="00AE42CD" w:rsidRDefault="00AE42CD" w:rsidP="00600D54">
                      <w:pPr>
                        <w:spacing w:line="240" w:lineRule="auto"/>
                      </w:pPr>
                      <w:r w:rsidRPr="00F977D3">
                        <w:rPr>
                          <w:rStyle w:val="Hyperlink"/>
                          <w:color w:val="auto"/>
                          <w:u w:val="none"/>
                        </w:rPr>
                        <w:t>In its 2016 list of issues, the Committee asked about</w:t>
                      </w:r>
                      <w:r>
                        <w:rPr>
                          <w:rStyle w:val="Hyperlink"/>
                          <w:color w:val="auto"/>
                          <w:u w:val="none"/>
                        </w:rPr>
                        <w:t xml:space="preserve"> </w:t>
                      </w:r>
                      <w:r w:rsidRPr="00F977D3">
                        <w:rPr>
                          <w:rStyle w:val="Hyperlink"/>
                          <w:color w:val="auto"/>
                          <w:u w:val="none"/>
                        </w:rPr>
                        <w:t>steps to set up an independent judge-led inquiry into allegations of torture and ill-treatment of detainees held by other countries; the adequacy of the Intelligence and Security Committee as an investigation mechanism</w:t>
                      </w:r>
                      <w:r>
                        <w:rPr>
                          <w:rStyle w:val="Hyperlink"/>
                          <w:color w:val="auto"/>
                          <w:u w:val="none"/>
                        </w:rPr>
                        <w:t>;</w:t>
                      </w:r>
                      <w:r w:rsidRPr="002E74D9">
                        <w:rPr>
                          <w:rStyle w:val="Hyperlink"/>
                          <w:color w:val="auto"/>
                          <w:u w:val="none"/>
                        </w:rPr>
                        <w:t xml:space="preserve"> and whether there has been an investigation into the alleged torture of Shaker Aamer. The Committee also asked about measures taken to ensure that all allegations </w:t>
                      </w:r>
                      <w:r w:rsidRPr="00F977D3">
                        <w:rPr>
                          <w:rStyle w:val="Hyperlink"/>
                          <w:color w:val="auto"/>
                          <w:u w:val="none"/>
                        </w:rPr>
                        <w:t>of abuse of Iraqi citizens by British service personnel in Iraq between 2003-2009 are fully investigated and addressed, and that systemic issues are identified, and lessons learned. The Committee requested information on steps taken to reword the consolidated guidance to intelligence officers and service personnel on the detention and interviewing of detainees overseas.</w:t>
                      </w:r>
                    </w:p>
                  </w:txbxContent>
                </v:textbox>
                <w10:anchorlock/>
              </v:shape>
            </w:pict>
          </mc:Fallback>
        </mc:AlternateContent>
      </w:r>
    </w:p>
    <w:p w14:paraId="1FFB6D85" w14:textId="77777777" w:rsidR="00C32DAA" w:rsidRPr="00A717CB" w:rsidRDefault="00C32DAA" w:rsidP="00600D54">
      <w:pPr>
        <w:pStyle w:val="Title-subsections"/>
        <w:spacing w:before="420"/>
      </w:pPr>
      <w:bookmarkStart w:id="16" w:name="_Toc4061378"/>
      <w:r w:rsidRPr="00A717CB">
        <w:t>Allegations of UK complicity in the torture and ill-treatment of detainees</w:t>
      </w:r>
      <w:bookmarkEnd w:id="16"/>
      <w:r w:rsidRPr="00A717CB">
        <w:t xml:space="preserve"> </w:t>
      </w:r>
    </w:p>
    <w:p w14:paraId="0BA53EFE" w14:textId="4E19B06B" w:rsidR="00C32DAA" w:rsidRPr="00F977D3" w:rsidRDefault="00C32DAA" w:rsidP="00600D54">
      <w:pPr>
        <w:pStyle w:val="Parabeforeanother"/>
        <w:spacing w:line="240" w:lineRule="auto"/>
      </w:pPr>
      <w:r w:rsidRPr="00F977D3">
        <w:rPr>
          <w:rStyle w:val="Hyperlink"/>
          <w:color w:val="auto"/>
          <w:u w:val="none"/>
        </w:rPr>
        <w:t xml:space="preserve">In previous submissions to the Committee, </w:t>
      </w:r>
      <w:r w:rsidR="00057AC4">
        <w:rPr>
          <w:rStyle w:val="Hyperlink"/>
          <w:color w:val="auto"/>
          <w:u w:val="none"/>
        </w:rPr>
        <w:t xml:space="preserve">the </w:t>
      </w:r>
      <w:r w:rsidRPr="00F977D3">
        <w:rPr>
          <w:rStyle w:val="Hyperlink"/>
          <w:color w:val="auto"/>
          <w:u w:val="none"/>
        </w:rPr>
        <w:t xml:space="preserve">EHRC highlighted our concerns about the limited steps taken to investigate all allegations of torture and ill-treatment by British service personnel and intelligence agencies following the </w:t>
      </w:r>
      <w:r w:rsidRPr="00F977D3">
        <w:t xml:space="preserve">UK Prime Minister’s announcement, in 2010, that the UK would be setting up an independent judge-led inquiry </w:t>
      </w:r>
      <w:r w:rsidRPr="00F977D3">
        <w:rPr>
          <w:rStyle w:val="Hyperlink"/>
          <w:color w:val="auto"/>
          <w:u w:val="none"/>
        </w:rPr>
        <w:t>into the allegations</w:t>
      </w:r>
      <w:r w:rsidRPr="00F977D3">
        <w:t xml:space="preserve">. </w:t>
      </w:r>
    </w:p>
    <w:p w14:paraId="6AD3BF23" w14:textId="78FBB933" w:rsidR="00C32DAA" w:rsidRPr="009B1151" w:rsidRDefault="00C32DAA" w:rsidP="00600D54">
      <w:pPr>
        <w:pStyle w:val="Parabeforeanother"/>
        <w:spacing w:line="240" w:lineRule="auto"/>
      </w:pPr>
      <w:r w:rsidRPr="009B1151">
        <w:t>The official inquiry set up in 2010 was concluded early, on the grounds that its work would interfere with on</w:t>
      </w:r>
      <w:r w:rsidR="00CD1978">
        <w:t>going</w:t>
      </w:r>
      <w:r w:rsidRPr="009B1151">
        <w:t xml:space="preserve"> police investigations into alleged renditions to Libya.</w:t>
      </w:r>
      <w:r w:rsidRPr="00F02C34">
        <w:rPr>
          <w:vertAlign w:val="superscript"/>
        </w:rPr>
        <w:footnoteReference w:id="22"/>
      </w:r>
      <w:r w:rsidRPr="009B1151">
        <w:t xml:space="preserve"> In 2013, the inquiry was handed over to the Intelligence and Security Committee of the UK Parliament (ISC). </w:t>
      </w:r>
      <w:r w:rsidR="00057AC4">
        <w:t xml:space="preserve">The </w:t>
      </w:r>
      <w:r w:rsidRPr="009B1151">
        <w:t>EHRC criticised this decision given concerns about the ISC’s independence and the UK Government’s power to withhold sensitive information from it.</w:t>
      </w:r>
      <w:r w:rsidRPr="00E070F1">
        <w:rPr>
          <w:vertAlign w:val="superscript"/>
        </w:rPr>
        <w:footnoteReference w:id="23"/>
      </w:r>
      <w:r w:rsidRPr="009B1151">
        <w:t xml:space="preserve"> The slow progress of the ISC’s investigation was also criticised by the UN Human Rights Committee in 2015.</w:t>
      </w:r>
      <w:r w:rsidRPr="00E070F1">
        <w:rPr>
          <w:vertAlign w:val="superscript"/>
        </w:rPr>
        <w:footnoteReference w:id="24"/>
      </w:r>
    </w:p>
    <w:p w14:paraId="56F01817" w14:textId="7431FC9A" w:rsidR="00C32DAA" w:rsidRPr="00A717CB" w:rsidRDefault="00C32DAA" w:rsidP="00600D54">
      <w:pPr>
        <w:pStyle w:val="Parabeforeanother"/>
        <w:spacing w:line="240" w:lineRule="auto"/>
      </w:pPr>
      <w:r w:rsidRPr="00A717CB">
        <w:t>In June 2018, the ISC published its final report on detainee mistreatment and rendition.</w:t>
      </w:r>
      <w:r w:rsidRPr="00A717CB">
        <w:rPr>
          <w:rStyle w:val="FootnoteReference"/>
          <w:rFonts w:cstheme="minorHAnsi"/>
        </w:rPr>
        <w:footnoteReference w:id="25"/>
      </w:r>
      <w:r w:rsidRPr="00A717CB">
        <w:t xml:space="preserve"> The ISC stated that it was </w:t>
      </w:r>
      <w:r w:rsidR="00D459DF">
        <w:t>not able</w:t>
      </w:r>
      <w:r w:rsidR="00D459DF" w:rsidRPr="00A717CB">
        <w:t xml:space="preserve"> </w:t>
      </w:r>
      <w:r w:rsidRPr="00A717CB">
        <w:t>to provide a definitive account of detainee mistreatment nor to report on individual cases</w:t>
      </w:r>
      <w:r w:rsidR="00D459DF">
        <w:t>, due to</w:t>
      </w:r>
      <w:r w:rsidRPr="00A717CB">
        <w:t xml:space="preserve"> government restrictions on its investigation. </w:t>
      </w:r>
      <w:r w:rsidR="00194AEC" w:rsidRPr="00A717CB">
        <w:t>Nevertheless,</w:t>
      </w:r>
      <w:r w:rsidRPr="00A717CB">
        <w:t xml:space="preserve"> it concluded that, in hundreds of cases between 2001 and 2010, UK security and intelligence personnel either witnessed or were informed of mistreatment of detainees in US-led interviews in Afghanistan, Iraq and Guantanamo Bay. In spite of this knowledge, UK personnel continued to supply the interviewers with intelligence or questions, and/or receive intelligence from them. </w:t>
      </w:r>
    </w:p>
    <w:p w14:paraId="4ABBBEB8" w14:textId="18C4B7F6" w:rsidR="00C32DAA" w:rsidRPr="00A717CB" w:rsidRDefault="00C32DAA" w:rsidP="00600D54">
      <w:pPr>
        <w:pStyle w:val="Parabeforeanother"/>
        <w:spacing w:line="240" w:lineRule="auto"/>
      </w:pPr>
      <w:r w:rsidRPr="00A717CB">
        <w:lastRenderedPageBreak/>
        <w:t xml:space="preserve">The report identified serious deficiencies </w:t>
      </w:r>
      <w:r w:rsidR="00D459DF">
        <w:t>in</w:t>
      </w:r>
      <w:r w:rsidR="00D459DF" w:rsidRPr="00A717CB">
        <w:t xml:space="preserve"> </w:t>
      </w:r>
      <w:r w:rsidRPr="00A717CB">
        <w:t xml:space="preserve">the training and support provided to the UK personnel concerned. It also included findings on British involvement in the US-led rendition programme. Although </w:t>
      </w:r>
      <w:r w:rsidR="00D459DF">
        <w:t xml:space="preserve">the </w:t>
      </w:r>
      <w:r w:rsidRPr="00A717CB">
        <w:t>ISC found no evidence of US rendition flights transiting through the UK with detainees on board, it found that British intelligence personnel endorsed the rendition programme, provided intelligence to facilitate renditions and condoned other</w:t>
      </w:r>
      <w:r w:rsidR="00E070F1">
        <w:t xml:space="preserve"> rendition</w:t>
      </w:r>
      <w:r w:rsidRPr="00A717CB">
        <w:t>s by failing to prevent them.</w:t>
      </w:r>
      <w:r w:rsidRPr="00A717CB">
        <w:rPr>
          <w:rStyle w:val="FootnoteReference"/>
          <w:rFonts w:cstheme="minorHAnsi"/>
        </w:rPr>
        <w:footnoteReference w:id="26"/>
      </w:r>
    </w:p>
    <w:p w14:paraId="04754AC6" w14:textId="7537A897" w:rsidR="00C32DAA" w:rsidRPr="00A717CB" w:rsidRDefault="00C32DAA" w:rsidP="00600D54">
      <w:pPr>
        <w:pStyle w:val="Parabeforeanother"/>
        <w:spacing w:line="240" w:lineRule="auto"/>
      </w:pPr>
      <w:r w:rsidRPr="00A717CB">
        <w:t>The publication of the ISC’s report led to renewed calls for an independent judge-led inquiry into UK involvement in torture and rendition. The Government finally published its response to the report in November 2018 but did not make any commitment to holding a judge-led inquiry.</w:t>
      </w:r>
      <w:r w:rsidRPr="00A717CB">
        <w:rPr>
          <w:rStyle w:val="FootnoteReference"/>
          <w:rFonts w:cstheme="minorHAnsi"/>
        </w:rPr>
        <w:footnoteReference w:id="27"/>
      </w:r>
      <w:r w:rsidRPr="00A717CB">
        <w:t xml:space="preserve"> </w:t>
      </w:r>
    </w:p>
    <w:p w14:paraId="12FA9172" w14:textId="77777777" w:rsidR="00C32DAA" w:rsidRPr="00A717CB" w:rsidRDefault="00C32DAA" w:rsidP="00600D54">
      <w:pPr>
        <w:pStyle w:val="Parabeforenewsubsection"/>
        <w:spacing w:line="240" w:lineRule="auto"/>
        <w:rPr>
          <w:lang w:val="en"/>
        </w:rPr>
      </w:pPr>
      <w:r>
        <w:t>In 2010, former detainees in Guantanamo Bay received substantial compensation packages following the settlement of civil claims against the UK Government for complicity in torture. Shaker Aamer, the last UK resident detained without charges in Guantanamo Bay, was released in 2015.</w:t>
      </w:r>
      <w:r>
        <w:rPr>
          <w:rStyle w:val="FootnoteReference"/>
          <w:rFonts w:cstheme="minorHAnsi"/>
        </w:rPr>
        <w:footnoteReference w:id="28"/>
      </w:r>
      <w:r>
        <w:t xml:space="preserve"> </w:t>
      </w:r>
      <w:r w:rsidRPr="00A717CB">
        <w:t>As a result of the cases being settled, there have been no indictments or prosecutions of individual intelligence or security officers, nor of their commanders.</w:t>
      </w:r>
    </w:p>
    <w:p w14:paraId="749BD06F" w14:textId="77777777" w:rsidR="00C32DAA" w:rsidRPr="00A717CB" w:rsidRDefault="00C32DAA" w:rsidP="00E1442E">
      <w:pPr>
        <w:pStyle w:val="Title-subsections"/>
      </w:pPr>
      <w:bookmarkStart w:id="17" w:name="_Toc4061379"/>
      <w:r w:rsidRPr="00A717CB">
        <w:t>Allegations of abuse of Iraqi citizens by British service personnel</w:t>
      </w:r>
      <w:bookmarkEnd w:id="17"/>
      <w:r w:rsidRPr="00A717CB">
        <w:t xml:space="preserve"> </w:t>
      </w:r>
    </w:p>
    <w:p w14:paraId="189837D9" w14:textId="701DEDD8" w:rsidR="00C32DAA" w:rsidRPr="00A717CB" w:rsidRDefault="00C32DAA" w:rsidP="00600D54">
      <w:pPr>
        <w:pStyle w:val="Parabeforeanother"/>
        <w:spacing w:line="240" w:lineRule="auto"/>
      </w:pPr>
      <w:r w:rsidRPr="00A717CB">
        <w:t xml:space="preserve">There is no definitive account of the scale of abuse of Iraqi citizens by British service personnel in 2003–2009. The Iraq Historic Allegations Team (IHAT), set up by the UK Government in 2010 to investigate allegations of mistreatment by British service personnel in Iraq, was closed on 30 June 2017. At the time of its closure, IHAT had opened more than 3,000 cases concerning allegations of mistreatment, but </w:t>
      </w:r>
      <w:r w:rsidR="00D459DF">
        <w:t>these had not led to any prosecutions</w:t>
      </w:r>
      <w:r w:rsidRPr="00A717CB">
        <w:t>.</w:t>
      </w:r>
      <w:r w:rsidRPr="00A717CB">
        <w:rPr>
          <w:rStyle w:val="FootnoteReference"/>
          <w:rFonts w:cstheme="minorHAnsi"/>
        </w:rPr>
        <w:footnoteReference w:id="29"/>
      </w:r>
      <w:r w:rsidRPr="00A717CB">
        <w:t xml:space="preserve"> </w:t>
      </w:r>
    </w:p>
    <w:p w14:paraId="6DE801D9" w14:textId="2533DF84" w:rsidR="00C32DAA" w:rsidRPr="00A717CB" w:rsidRDefault="00C32DAA" w:rsidP="00600D54">
      <w:pPr>
        <w:pStyle w:val="Parabeforeanother"/>
        <w:spacing w:line="240" w:lineRule="auto"/>
      </w:pPr>
      <w:r w:rsidRPr="00A717CB">
        <w:t>Supporters of the need for an independent inquiry expressed concerns about IHAT’s limited powers and resources, and IHAT was criticised</w:t>
      </w:r>
      <w:r w:rsidR="00EB2214">
        <w:t xml:space="preserve"> </w:t>
      </w:r>
      <w:r w:rsidRPr="00A717CB">
        <w:t>for</w:t>
      </w:r>
      <w:r w:rsidR="00EB2214">
        <w:t xml:space="preserve"> </w:t>
      </w:r>
      <w:r w:rsidRPr="00A717CB">
        <w:t>ineffectiveness and manipulation by ‘unscrupulous’ human rights lawyers.</w:t>
      </w:r>
      <w:r w:rsidRPr="00A717CB">
        <w:rPr>
          <w:vertAlign w:val="superscript"/>
        </w:rPr>
        <w:footnoteReference w:id="30"/>
      </w:r>
      <w:r w:rsidRPr="00A717CB">
        <w:t xml:space="preserve"> The decision to close IHAT was accelerated by the political reaction to the 2014 judgment in the Al-Sweady inquiry, which found that nine Iraqi detainees had been mistreated but that the most serious allegations against British service personnel had been fabricated.</w:t>
      </w:r>
      <w:r w:rsidRPr="00A717CB">
        <w:rPr>
          <w:rStyle w:val="FootnoteReference"/>
          <w:rFonts w:cstheme="minorHAnsi"/>
        </w:rPr>
        <w:footnoteReference w:id="31"/>
      </w:r>
    </w:p>
    <w:p w14:paraId="0A7E3B98" w14:textId="77777777" w:rsidR="00C32DAA" w:rsidRPr="00A717CB" w:rsidRDefault="00C32DAA" w:rsidP="00600D54">
      <w:pPr>
        <w:pStyle w:val="Parabeforeanother"/>
        <w:spacing w:line="240" w:lineRule="auto"/>
        <w:rPr>
          <w:lang w:val="en"/>
        </w:rPr>
      </w:pPr>
      <w:r w:rsidRPr="00A717CB">
        <w:t>The small proportion of IHAT investigations which remain open have been reintegrated back into the service police system.</w:t>
      </w:r>
      <w:r w:rsidRPr="00A717CB">
        <w:rPr>
          <w:rStyle w:val="FootnoteReference"/>
          <w:rFonts w:cstheme="minorHAnsi"/>
        </w:rPr>
        <w:footnoteReference w:id="32"/>
      </w:r>
      <w:r w:rsidRPr="00A717CB">
        <w:t xml:space="preserve"> Over the years, criminal investigations have led to several court</w:t>
      </w:r>
      <w:r>
        <w:t>s</w:t>
      </w:r>
      <w:r w:rsidRPr="00A717CB">
        <w:t xml:space="preserve"> martial and convictions of UK service personnel.</w:t>
      </w:r>
      <w:r w:rsidRPr="00A717CB">
        <w:rPr>
          <w:rStyle w:val="FootnoteReference"/>
          <w:rFonts w:cstheme="minorHAnsi"/>
        </w:rPr>
        <w:footnoteReference w:id="33"/>
      </w:r>
    </w:p>
    <w:p w14:paraId="31B7C1F9" w14:textId="77777777" w:rsidR="00C32DAA" w:rsidRPr="00A717CB" w:rsidRDefault="00C32DAA" w:rsidP="00600D54">
      <w:pPr>
        <w:pStyle w:val="Parabeforeanother"/>
        <w:spacing w:line="240" w:lineRule="auto"/>
      </w:pPr>
      <w:r w:rsidRPr="00A717CB">
        <w:lastRenderedPageBreak/>
        <w:t>Civil claims against British service personnel continue to be brought by Iraqi claimants in British courts. So far, the Ministry of Defence has paid out more than £20 million in compensation in over 300 cases.</w:t>
      </w:r>
      <w:r w:rsidRPr="00A717CB">
        <w:rPr>
          <w:rStyle w:val="FootnoteReference"/>
          <w:rFonts w:cstheme="minorHAnsi"/>
        </w:rPr>
        <w:footnoteReference w:id="34"/>
      </w:r>
      <w:r w:rsidRPr="00A717CB">
        <w:t xml:space="preserve"> </w:t>
      </w:r>
    </w:p>
    <w:p w14:paraId="1C23B065" w14:textId="55B2DDDA" w:rsidR="00C32DAA" w:rsidRPr="00A717CB" w:rsidRDefault="00C32DAA" w:rsidP="00600D54">
      <w:pPr>
        <w:pStyle w:val="Parabeforenewsubsection"/>
        <w:spacing w:line="240" w:lineRule="auto"/>
      </w:pPr>
      <w:r w:rsidRPr="00A717CB">
        <w:t>These cases have helped to ensure that some individual service personnel involved in abuses in Iraq have been held to account</w:t>
      </w:r>
      <w:r>
        <w:t>. H</w:t>
      </w:r>
      <w:r w:rsidRPr="00A717CB">
        <w:t>owever</w:t>
      </w:r>
      <w:r w:rsidR="00BC565A">
        <w:t>,</w:t>
      </w:r>
      <w:r w:rsidRPr="00A717CB">
        <w:t xml:space="preserve"> the decision not to pursue an overarching inquiry into the Iraq allegations means that potential systemic issues – such as shortcomings in policy, training</w:t>
      </w:r>
      <w:r w:rsidR="00572402">
        <w:t xml:space="preserve"> or supervision – have not been </w:t>
      </w:r>
      <w:r>
        <w:t>independently</w:t>
      </w:r>
      <w:r w:rsidRPr="00A717CB">
        <w:t xml:space="preserve"> investigated.</w:t>
      </w:r>
      <w:r w:rsidRPr="00A717CB">
        <w:rPr>
          <w:rStyle w:val="FootnoteReference"/>
          <w:rFonts w:cstheme="minorHAnsi"/>
        </w:rPr>
        <w:footnoteReference w:id="35"/>
      </w:r>
      <w:r w:rsidRPr="00A717CB">
        <w:t xml:space="preserve"> </w:t>
      </w:r>
      <w:r w:rsidRPr="002129E4">
        <w:t>So far, the investigation of systemic issues has been limited to an internal Ministry of Defence Systemic Issues Working Group.</w:t>
      </w:r>
      <w:r w:rsidRPr="002129E4">
        <w:rPr>
          <w:rStyle w:val="FootnoteReference"/>
          <w:rFonts w:cstheme="minorHAnsi"/>
        </w:rPr>
        <w:footnoteReference w:id="36"/>
      </w:r>
      <w:r w:rsidRPr="00A717CB">
        <w:t xml:space="preserve"> </w:t>
      </w:r>
    </w:p>
    <w:p w14:paraId="56A43465" w14:textId="1F4210B3" w:rsidR="00C32DAA" w:rsidRPr="00A717CB" w:rsidRDefault="00C32DAA" w:rsidP="00E1442E">
      <w:pPr>
        <w:pStyle w:val="Title-subsections"/>
      </w:pPr>
      <w:bookmarkStart w:id="18" w:name="_Toc4061380"/>
      <w:r w:rsidRPr="00A717CB">
        <w:t>Consolidated Guidance</w:t>
      </w:r>
      <w:bookmarkEnd w:id="18"/>
    </w:p>
    <w:p w14:paraId="747AF642" w14:textId="79F3AC8C" w:rsidR="00C32DAA" w:rsidRPr="009B1151" w:rsidRDefault="00C32DAA" w:rsidP="00600D54">
      <w:pPr>
        <w:pStyle w:val="Parabeforeanother"/>
        <w:spacing w:line="240" w:lineRule="auto"/>
      </w:pPr>
      <w:r w:rsidRPr="009B1151">
        <w:t xml:space="preserve">In 2013, the Committee requested the UK Government reword the </w:t>
      </w:r>
      <w:r w:rsidR="00173635">
        <w:t>‘</w:t>
      </w:r>
      <w:r w:rsidRPr="009B1151">
        <w:t xml:space="preserve">Consolidated Guidance </w:t>
      </w:r>
      <w:r w:rsidR="00173635">
        <w:t>to Intelligence Officers and Service Personnel on the Detention and Interviewing of Detainees Overseas’</w:t>
      </w:r>
      <w:r w:rsidR="00173635" w:rsidRPr="009B1151">
        <w:t xml:space="preserve"> </w:t>
      </w:r>
      <w:r w:rsidRPr="009B1151">
        <w:t xml:space="preserve">to eliminate the ambiguity in relation to the way British security personnel should respond where there is a serious risk of torture or other ill-treatment by foreign security and intelligence services. In particular, the Committee expressed concern about the advice to seek assurances to </w:t>
      </w:r>
      <w:r w:rsidR="00173635">
        <w:t>‘</w:t>
      </w:r>
      <w:r w:rsidRPr="009B1151">
        <w:t>effectively mitigate that risk to below the threshold of a serious risk</w:t>
      </w:r>
      <w:r w:rsidR="00173635">
        <w:t>’</w:t>
      </w:r>
      <w:r w:rsidRPr="009B1151">
        <w:t xml:space="preserve">. The Committee recommended rewording the </w:t>
      </w:r>
      <w:r w:rsidR="00BC565A">
        <w:t>g</w:t>
      </w:r>
      <w:r w:rsidRPr="009B1151">
        <w:t xml:space="preserve">uidance to </w:t>
      </w:r>
      <w:r w:rsidR="00173635">
        <w:t>‘</w:t>
      </w:r>
      <w:r w:rsidRPr="009B1151">
        <w:t>require that intelligence agencies and armed forces cease interviewing or seeking intelligence from detainees of foreign intelligence services in any case where there is a risk of torture or ill-treatment</w:t>
      </w:r>
      <w:r w:rsidR="00173635">
        <w:t>’.</w:t>
      </w:r>
      <w:r w:rsidRPr="00197C05">
        <w:rPr>
          <w:rStyle w:val="FootnoteReference"/>
        </w:rPr>
        <w:footnoteReference w:id="37"/>
      </w:r>
    </w:p>
    <w:p w14:paraId="1B4F33F3" w14:textId="05DC467C" w:rsidR="00C32DAA" w:rsidRPr="009B1151" w:rsidRDefault="00C32DAA" w:rsidP="00600D54">
      <w:pPr>
        <w:pStyle w:val="Parabeforeanother"/>
        <w:spacing w:line="240" w:lineRule="auto"/>
      </w:pPr>
      <w:r w:rsidRPr="009B1151">
        <w:t xml:space="preserve">In September 2016, the Intelligence Services Commissioner also recommended that the UK Government review the </w:t>
      </w:r>
      <w:r w:rsidR="00173635" w:rsidRPr="009B1151">
        <w:t xml:space="preserve">consolidated guidance </w:t>
      </w:r>
      <w:r w:rsidRPr="009B1151">
        <w:t>and consult with the EHRC and NGOs.</w:t>
      </w:r>
      <w:r w:rsidRPr="00197C05">
        <w:rPr>
          <w:vertAlign w:val="superscript"/>
        </w:rPr>
        <w:footnoteReference w:id="38"/>
      </w:r>
    </w:p>
    <w:p w14:paraId="40304EBD" w14:textId="62A8F1CF" w:rsidR="00C32DAA" w:rsidRPr="00A717CB" w:rsidRDefault="00C32DAA" w:rsidP="00600D54">
      <w:pPr>
        <w:pStyle w:val="Parabeforeanother"/>
        <w:spacing w:line="240" w:lineRule="auto"/>
      </w:pPr>
      <w:r w:rsidRPr="00A717CB">
        <w:t xml:space="preserve">In June 2018, in the context of its reports on detainee mistreatment and rendition, the ISC revealed that the UK Government had undertaken a ‘light touch’ review of the </w:t>
      </w:r>
      <w:r w:rsidR="00173635" w:rsidRPr="00A717CB">
        <w:t xml:space="preserve">consolidated guidance </w:t>
      </w:r>
      <w:r w:rsidRPr="00A717CB">
        <w:t>in 2017. However, this review did not address important</w:t>
      </w:r>
      <w:r w:rsidR="002E74D9">
        <w:t xml:space="preserve"> </w:t>
      </w:r>
      <w:r w:rsidRPr="00A717CB">
        <w:t xml:space="preserve">limitations with the </w:t>
      </w:r>
      <w:r w:rsidR="00173635" w:rsidRPr="00A717CB">
        <w:t>consolidated guidance</w:t>
      </w:r>
      <w:r w:rsidRPr="00A717CB">
        <w:t>, including the ambiguity in the term ‘serious risk’ of torture or ill-treatment.</w:t>
      </w:r>
      <w:r w:rsidRPr="00A717CB">
        <w:rPr>
          <w:rStyle w:val="FootnoteReference"/>
        </w:rPr>
        <w:footnoteReference w:id="39"/>
      </w:r>
      <w:r w:rsidRPr="00A717CB">
        <w:t xml:space="preserve"> The ISC was also critical of the UK Government’s failure to consult with NGOs and the EHRC. </w:t>
      </w:r>
    </w:p>
    <w:p w14:paraId="566B2251" w14:textId="1AC31432" w:rsidR="00C32DAA" w:rsidRPr="00A717CB" w:rsidRDefault="00C32DAA" w:rsidP="00600D54">
      <w:pPr>
        <w:pStyle w:val="Parabeforenewsection"/>
        <w:spacing w:after="420" w:line="240" w:lineRule="auto"/>
        <w:rPr>
          <w:rFonts w:cstheme="minorHAnsi"/>
        </w:rPr>
      </w:pPr>
      <w:r w:rsidRPr="00A717CB">
        <w:t xml:space="preserve">The UK Prime Minister responded to the ISC by calling on </w:t>
      </w:r>
      <w:r w:rsidRPr="00A717CB">
        <w:rPr>
          <w:lang w:val="en"/>
        </w:rPr>
        <w:t xml:space="preserve">the Investigatory Powers Commissioner to make proposals on how to improve the </w:t>
      </w:r>
      <w:r w:rsidR="00173635" w:rsidRPr="00A717CB">
        <w:rPr>
          <w:lang w:val="en"/>
        </w:rPr>
        <w:t>consolidated guidance</w:t>
      </w:r>
      <w:r w:rsidRPr="00A717CB">
        <w:rPr>
          <w:lang w:val="en"/>
        </w:rPr>
        <w:t xml:space="preserve">, </w:t>
      </w:r>
      <w:r w:rsidR="00173635">
        <w:rPr>
          <w:lang w:val="en"/>
        </w:rPr>
        <w:t>‘</w:t>
      </w:r>
      <w:r w:rsidRPr="00A717CB">
        <w:rPr>
          <w:lang w:val="en"/>
        </w:rPr>
        <w:t>taking account of the ISC’s views and those of civil society</w:t>
      </w:r>
      <w:r w:rsidR="00173635">
        <w:rPr>
          <w:lang w:val="en"/>
        </w:rPr>
        <w:t>’</w:t>
      </w:r>
      <w:r w:rsidRPr="00A717CB">
        <w:rPr>
          <w:lang w:val="en"/>
        </w:rPr>
        <w:t>.</w:t>
      </w:r>
      <w:r w:rsidRPr="00A717CB">
        <w:rPr>
          <w:rStyle w:val="FootnoteReference"/>
          <w:lang w:val="en"/>
        </w:rPr>
        <w:footnoteReference w:id="40"/>
      </w:r>
      <w:r w:rsidRPr="00A717CB">
        <w:rPr>
          <w:lang w:val="en"/>
        </w:rPr>
        <w:t xml:space="preserve"> In August 2018, the Investigatory Powers Commissioner launched a consultation on the </w:t>
      </w:r>
      <w:r w:rsidR="00173635" w:rsidRPr="00A717CB">
        <w:rPr>
          <w:lang w:val="en"/>
        </w:rPr>
        <w:t xml:space="preserve">consolidated </w:t>
      </w:r>
      <w:r w:rsidR="00173635" w:rsidRPr="00A717CB">
        <w:rPr>
          <w:lang w:val="en"/>
        </w:rPr>
        <w:lastRenderedPageBreak/>
        <w:t>guidance</w:t>
      </w:r>
      <w:r w:rsidRPr="00A717CB">
        <w:rPr>
          <w:lang w:val="en"/>
        </w:rPr>
        <w:t>. The proposals from the Investigatory Powers Commissioner have not yet been published.</w:t>
      </w:r>
    </w:p>
    <w:p w14:paraId="7D490B53" w14:textId="77777777" w:rsidR="00C32DAA" w:rsidRPr="00A717CB" w:rsidRDefault="00C32DAA" w:rsidP="0095032F">
      <w:pPr>
        <w:pStyle w:val="Title-subsections"/>
      </w:pPr>
      <w:bookmarkStart w:id="19" w:name="_Toc4061381"/>
      <w:r w:rsidRPr="00A717CB">
        <w:t>Recommendations</w:t>
      </w:r>
      <w:bookmarkEnd w:id="19"/>
    </w:p>
    <w:p w14:paraId="37154E66" w14:textId="5F870DFF" w:rsidR="00C32DAA" w:rsidRPr="00A717CB" w:rsidRDefault="00C32DAA" w:rsidP="00600D54">
      <w:pPr>
        <w:pStyle w:val="Parabeforebulletss"/>
        <w:spacing w:line="240" w:lineRule="auto"/>
      </w:pPr>
      <w:r w:rsidRPr="00A717CB">
        <w:t xml:space="preserve">To satisfy the investigative duty in Article 12 </w:t>
      </w:r>
      <w:r w:rsidR="00173635">
        <w:t xml:space="preserve">of </w:t>
      </w:r>
      <w:r w:rsidRPr="00A717CB">
        <w:t>CAT, the UK Government should set up a full, independent, judge-led inquiry into allegations of British involvement, including by means of complicity, in the mistreatment of detainees held overseas. The inquiry should:</w:t>
      </w:r>
    </w:p>
    <w:p w14:paraId="4E64B39F" w14:textId="7C354A4B" w:rsidR="00C32DAA" w:rsidRPr="00A717CB" w:rsidRDefault="00A558A0" w:rsidP="00600D54">
      <w:pPr>
        <w:pStyle w:val="Bullet-followedbyothers"/>
        <w:spacing w:line="240" w:lineRule="auto"/>
      </w:pPr>
      <w:r>
        <w:t>H</w:t>
      </w:r>
      <w:r w:rsidR="00173635" w:rsidRPr="00A717CB">
        <w:t xml:space="preserve">ave </w:t>
      </w:r>
      <w:r w:rsidR="00C32DAA" w:rsidRPr="00A717CB">
        <w:t>access to key witnesses in order to secure relevant evidence</w:t>
      </w:r>
      <w:r>
        <w:t>.</w:t>
      </w:r>
      <w:r w:rsidR="00C32DAA" w:rsidRPr="00A717CB">
        <w:t xml:space="preserve"> </w:t>
      </w:r>
    </w:p>
    <w:p w14:paraId="5B340B6D" w14:textId="6D1D8B0D" w:rsidR="00C32DAA" w:rsidRPr="00A717CB" w:rsidRDefault="00A558A0" w:rsidP="00600D54">
      <w:pPr>
        <w:pStyle w:val="Bullet-followedbyothers"/>
        <w:spacing w:line="240" w:lineRule="auto"/>
      </w:pPr>
      <w:r>
        <w:t>H</w:t>
      </w:r>
      <w:r w:rsidR="00173635" w:rsidRPr="00A717CB">
        <w:t xml:space="preserve">ave </w:t>
      </w:r>
      <w:r w:rsidR="00C32DAA" w:rsidRPr="00A717CB">
        <w:t>adequate powers to hold to account individual security and intelligence officers found to be at fault</w:t>
      </w:r>
      <w:r>
        <w:t>.</w:t>
      </w:r>
    </w:p>
    <w:p w14:paraId="0981AFC6" w14:textId="03A811F9" w:rsidR="00C32DAA" w:rsidRPr="00A717CB" w:rsidRDefault="00A558A0" w:rsidP="00600D54">
      <w:pPr>
        <w:pStyle w:val="Bullet-lastingroup"/>
        <w:spacing w:line="240" w:lineRule="auto"/>
      </w:pPr>
      <w:r>
        <w:t>E</w:t>
      </w:r>
      <w:r w:rsidR="00173635" w:rsidRPr="00A717CB">
        <w:t xml:space="preserve">xamine </w:t>
      </w:r>
      <w:r w:rsidR="00C32DAA" w:rsidRPr="00A717CB">
        <w:t>systemic issues, including shortcomings in policy, training or supervision so that lessons learned can inform future practice.</w:t>
      </w:r>
    </w:p>
    <w:p w14:paraId="092D56A1" w14:textId="7FA63A8D" w:rsidR="00C32DAA" w:rsidRPr="00A717CB" w:rsidRDefault="00C32DAA" w:rsidP="00600D54">
      <w:pPr>
        <w:pStyle w:val="Parabeforebulletss"/>
        <w:spacing w:line="240" w:lineRule="auto"/>
      </w:pPr>
      <w:r w:rsidRPr="00A717CB">
        <w:t xml:space="preserve">When considering proposals to revise the </w:t>
      </w:r>
      <w:r w:rsidR="00173635" w:rsidRPr="00A717CB">
        <w:t>consolidated guidance</w:t>
      </w:r>
      <w:r w:rsidRPr="00A717CB">
        <w:t>, the UK Government should:</w:t>
      </w:r>
    </w:p>
    <w:p w14:paraId="479EAF85" w14:textId="43C4C558" w:rsidR="00C32DAA" w:rsidRPr="00254855" w:rsidRDefault="00A558A0" w:rsidP="00600D54">
      <w:pPr>
        <w:pStyle w:val="Bullet-followedbyothers"/>
        <w:spacing w:line="240" w:lineRule="auto"/>
      </w:pPr>
      <w:r>
        <w:t>E</w:t>
      </w:r>
      <w:r w:rsidR="00173635" w:rsidRPr="00254855">
        <w:t xml:space="preserve">nsure </w:t>
      </w:r>
      <w:r w:rsidR="00C32DAA" w:rsidRPr="00254855">
        <w:t>that there is no ambiguity in the meaning of risk/serious risk</w:t>
      </w:r>
      <w:r>
        <w:t>.</w:t>
      </w:r>
    </w:p>
    <w:p w14:paraId="49364B07" w14:textId="2BEE43F2" w:rsidR="00C32DAA" w:rsidRPr="00254855" w:rsidRDefault="00A558A0" w:rsidP="00600D54">
      <w:pPr>
        <w:pStyle w:val="Bullet-followedbyothers"/>
        <w:spacing w:line="240" w:lineRule="auto"/>
      </w:pPr>
      <w:r>
        <w:t>R</w:t>
      </w:r>
      <w:r w:rsidR="00173635" w:rsidRPr="00254855">
        <w:t xml:space="preserve">equire </w:t>
      </w:r>
      <w:r w:rsidR="00C32DAA" w:rsidRPr="00254855">
        <w:t>British intelligence and security personnel always to cease any engagement with detainees in the custody of foreign intelligence services where there is a risk of torture or ill-treatment</w:t>
      </w:r>
      <w:r>
        <w:t>.</w:t>
      </w:r>
    </w:p>
    <w:p w14:paraId="220F0FEB" w14:textId="7D9C5E43" w:rsidR="00C32DAA" w:rsidRPr="00600D54" w:rsidRDefault="00A558A0" w:rsidP="00600D54">
      <w:pPr>
        <w:pStyle w:val="Bullet-lastingroup"/>
        <w:spacing w:after="720" w:line="240" w:lineRule="auto"/>
      </w:pPr>
      <w:r>
        <w:t>C</w:t>
      </w:r>
      <w:r w:rsidR="00173635" w:rsidRPr="00254855">
        <w:t xml:space="preserve">larify </w:t>
      </w:r>
      <w:r w:rsidR="00C32DAA" w:rsidRPr="00254855">
        <w:t>that the Minister cannot authorise anything contrary to international law.</w:t>
      </w:r>
    </w:p>
    <w:p w14:paraId="4A7CA868" w14:textId="77777777" w:rsidR="001F7BEB" w:rsidRDefault="001F7BEB">
      <w:pPr>
        <w:spacing w:after="160" w:line="259" w:lineRule="auto"/>
        <w:rPr>
          <w:rFonts w:ascii="Georgia" w:eastAsia="Times New Roman" w:hAnsi="Georgia"/>
          <w:bCs/>
          <w:color w:val="D40F7D"/>
          <w:sz w:val="40"/>
          <w:szCs w:val="40"/>
        </w:rPr>
      </w:pPr>
      <w:r>
        <w:rPr>
          <w:sz w:val="40"/>
          <w:szCs w:val="40"/>
        </w:rPr>
        <w:br w:type="page"/>
      </w:r>
    </w:p>
    <w:p w14:paraId="4560CE02" w14:textId="77777777" w:rsidR="0045689C" w:rsidRDefault="0045689C" w:rsidP="00600D54">
      <w:pPr>
        <w:pStyle w:val="Title-chapterpink"/>
        <w:spacing w:after="0"/>
        <w:rPr>
          <w:sz w:val="40"/>
          <w:szCs w:val="40"/>
        </w:rPr>
        <w:sectPr w:rsidR="0045689C" w:rsidSect="00C32DAA">
          <w:headerReference w:type="default" r:id="rId16"/>
          <w:pgSz w:w="11906" w:h="16838" w:code="9"/>
          <w:pgMar w:top="1440" w:right="1440" w:bottom="1440" w:left="1440" w:header="567" w:footer="567" w:gutter="0"/>
          <w:cols w:space="708"/>
          <w:docGrid w:linePitch="360"/>
        </w:sectPr>
      </w:pPr>
    </w:p>
    <w:p w14:paraId="36E27E71" w14:textId="7777AE26" w:rsidR="00C32DAA" w:rsidRPr="00600D54" w:rsidRDefault="00C32DAA" w:rsidP="00600D54">
      <w:pPr>
        <w:pStyle w:val="Title-chapterpink"/>
        <w:spacing w:after="0"/>
        <w:rPr>
          <w:sz w:val="40"/>
          <w:szCs w:val="40"/>
        </w:rPr>
      </w:pPr>
      <w:bookmarkStart w:id="20" w:name="_Toc4061382"/>
      <w:r w:rsidRPr="00600D54">
        <w:rPr>
          <w:sz w:val="40"/>
          <w:szCs w:val="40"/>
        </w:rPr>
        <w:lastRenderedPageBreak/>
        <w:t>3. Impact of legal aid reforms on access to justice</w:t>
      </w:r>
      <w:bookmarkEnd w:id="20"/>
    </w:p>
    <w:p w14:paraId="30C306CE" w14:textId="44865AAF" w:rsidR="00600D54" w:rsidRPr="00600D54" w:rsidRDefault="00857BF1" w:rsidP="00600D54">
      <w:pPr>
        <w:pStyle w:val="Parabeforeanother"/>
        <w:spacing w:after="260"/>
        <w:rPr>
          <w:rFonts w:ascii="Georgia" w:hAnsi="Georgia"/>
          <w:sz w:val="32"/>
          <w:szCs w:val="32"/>
        </w:rPr>
      </w:pPr>
      <w:r>
        <w:rPr>
          <w:rFonts w:ascii="Georgia" w:hAnsi="Georgia"/>
          <w:sz w:val="32"/>
          <w:szCs w:val="32"/>
        </w:rPr>
        <w:t>R</w:t>
      </w:r>
      <w:r w:rsidR="003034B2" w:rsidRPr="00600D54">
        <w:rPr>
          <w:rFonts w:ascii="Georgia" w:hAnsi="Georgia"/>
          <w:sz w:val="32"/>
          <w:szCs w:val="32"/>
        </w:rPr>
        <w:t>elates to CAT Articles 2 and 16, list of issues paragraph 6</w:t>
      </w:r>
    </w:p>
    <w:p w14:paraId="738998E2" w14:textId="77777777" w:rsidR="00600D54" w:rsidRDefault="00600D54" w:rsidP="00600D54">
      <w:pPr>
        <w:pStyle w:val="Parabeforeanother"/>
        <w:spacing w:before="260" w:line="240" w:lineRule="auto"/>
      </w:pPr>
      <w:r>
        <w:rPr>
          <w:noProof/>
          <w:lang w:eastAsia="en-GB"/>
        </w:rPr>
        <mc:AlternateContent>
          <mc:Choice Requires="wps">
            <w:drawing>
              <wp:inline distT="0" distB="0" distL="0" distR="0" wp14:anchorId="1CD90541" wp14:editId="35F0831E">
                <wp:extent cx="5543550" cy="495300"/>
                <wp:effectExtent l="0" t="0" r="0" b="0"/>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495300"/>
                        </a:xfrm>
                        <a:prstGeom prst="rect">
                          <a:avLst/>
                        </a:prstGeom>
                        <a:solidFill>
                          <a:srgbClr val="F8D4EB"/>
                        </a:solidFill>
                        <a:ln w="9525">
                          <a:noFill/>
                          <a:miter lim="800000"/>
                          <a:headEnd/>
                          <a:tailEnd/>
                        </a:ln>
                      </wps:spPr>
                      <wps:txbx>
                        <w:txbxContent>
                          <w:p w14:paraId="7AC1C599" w14:textId="43F60570" w:rsidR="00AE42CD" w:rsidRDefault="00AE42CD" w:rsidP="00600D54">
                            <w:pPr>
                              <w:spacing w:line="240" w:lineRule="auto"/>
                            </w:pPr>
                            <w:r w:rsidRPr="00A717CB">
                              <w:rPr>
                                <w:szCs w:val="24"/>
                              </w:rPr>
                              <w:t>In its 2016 list of issues, the Committee requested information on the recent legal aid reforms and their impact on access to justice and effective remedies.</w:t>
                            </w:r>
                          </w:p>
                        </w:txbxContent>
                      </wps:txbx>
                      <wps:bodyPr rot="0" vert="horz" wrap="square" lIns="91440" tIns="45720" rIns="91440" bIns="45720" anchor="t" anchorCtr="0">
                        <a:noAutofit/>
                      </wps:bodyPr>
                    </wps:wsp>
                  </a:graphicData>
                </a:graphic>
              </wp:inline>
            </w:drawing>
          </mc:Choice>
          <mc:Fallback>
            <w:pict>
              <v:shape w14:anchorId="1CD90541" id="_x0000_s1028" type="#_x0000_t202" style="width:436.5pt;height: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" fillcolor="#f8d4eb" stroked="f">
                <v:textbox>
                  <w:txbxContent>
                    <w:p w14:paraId="7AC1C599" w14:textId="43F60570" w:rsidR="00AE42CD" w:rsidRDefault="00AE42CD" w:rsidP="00600D54">
                      <w:pPr>
                        <w:spacing w:line="240" w:lineRule="auto"/>
                      </w:pPr>
                      <w:r w:rsidRPr="00A717CB">
                        <w:rPr>
                          <w:szCs w:val="24"/>
                        </w:rPr>
                        <w:t>In its 2016 list of issues, the Committee requested information on the recent legal aid reforms and their impact on access to justice and effective remedies.</w:t>
                      </w:r>
                    </w:p>
                  </w:txbxContent>
                </v:textbox>
                <w10:anchorlock/>
              </v:shape>
            </w:pict>
          </mc:Fallback>
        </mc:AlternateContent>
      </w:r>
    </w:p>
    <w:p w14:paraId="45D3315F" w14:textId="7B25C87F" w:rsidR="00C32DAA" w:rsidRPr="00A717CB" w:rsidRDefault="00C32DAA" w:rsidP="00600D54">
      <w:pPr>
        <w:pStyle w:val="Parabeforeanother"/>
        <w:spacing w:before="260" w:line="240" w:lineRule="auto"/>
      </w:pPr>
      <w:r w:rsidRPr="00A717CB">
        <w:t xml:space="preserve">The Legal Aid, Sentencing and Punishment of Offenders Act 2012 (LASPO) significantly narrowed the scope of civil legal aid in England and Wales, with the result that </w:t>
      </w:r>
      <w:r w:rsidR="00171060">
        <w:t>legal aid</w:t>
      </w:r>
      <w:r w:rsidR="00171060" w:rsidRPr="00A717CB">
        <w:t xml:space="preserve"> </w:t>
      </w:r>
      <w:r w:rsidRPr="00A717CB">
        <w:t>is no longer available in a number of areas of law.</w:t>
      </w:r>
      <w:r w:rsidRPr="00A717CB">
        <w:rPr>
          <w:rStyle w:val="FootnoteReference"/>
        </w:rPr>
        <w:footnoteReference w:id="41"/>
      </w:r>
      <w:r w:rsidRPr="00A717CB">
        <w:t xml:space="preserve"> LASPO was intended to target legal aid at those who need it most.</w:t>
      </w:r>
      <w:r w:rsidRPr="00A717CB">
        <w:rPr>
          <w:rStyle w:val="FootnoteReference"/>
        </w:rPr>
        <w:footnoteReference w:id="42"/>
      </w:r>
      <w:r w:rsidRPr="00A717CB">
        <w:t xml:space="preserve"> While</w:t>
      </w:r>
      <w:r w:rsidR="00057AC4">
        <w:t xml:space="preserve"> the</w:t>
      </w:r>
      <w:r w:rsidRPr="00A717CB">
        <w:t xml:space="preserve"> EHRC has written elsewhere about ways in which LASPO has failed to do that,</w:t>
      </w:r>
      <w:r w:rsidRPr="00A717CB">
        <w:rPr>
          <w:rStyle w:val="FootnoteReference"/>
        </w:rPr>
        <w:footnoteReference w:id="43"/>
      </w:r>
      <w:r w:rsidRPr="00A717CB">
        <w:t xml:space="preserve"> most areas of law where claims are likely to arise for protection against torture or ill-treatment – </w:t>
      </w:r>
      <w:r w:rsidR="006D7472">
        <w:t>for example,</w:t>
      </w:r>
      <w:r w:rsidRPr="00A717CB">
        <w:t xml:space="preserve"> asylum applications, forced marriage, and family problems where there is a risk of domestic abuse – were kept within scope. </w:t>
      </w:r>
    </w:p>
    <w:p w14:paraId="462E05A0" w14:textId="7ECC436F" w:rsidR="00C32DAA" w:rsidRPr="00A717CB" w:rsidRDefault="00C32DAA" w:rsidP="00600D54">
      <w:pPr>
        <w:pStyle w:val="Parabeforenewsubsection"/>
        <w:spacing w:line="240" w:lineRule="auto"/>
      </w:pPr>
      <w:r w:rsidRPr="00A717CB">
        <w:t xml:space="preserve">However, </w:t>
      </w:r>
      <w:r w:rsidR="00057AC4">
        <w:t xml:space="preserve">the </w:t>
      </w:r>
      <w:r w:rsidRPr="00A717CB">
        <w:t>EHRC is concerned that in a select number of cases, including some</w:t>
      </w:r>
      <w:r w:rsidR="00EB2214">
        <w:t xml:space="preserve"> </w:t>
      </w:r>
      <w:r w:rsidRPr="00A717CB">
        <w:t>brought by survivors of domestic violence, LASPO is having a negative impact on access to justice and effective remedies.</w:t>
      </w:r>
      <w:r w:rsidRPr="00A717CB">
        <w:rPr>
          <w:rStyle w:val="FootnoteReference"/>
        </w:rPr>
        <w:footnoteReference w:id="44"/>
      </w:r>
      <w:r w:rsidR="00EB2214">
        <w:t xml:space="preserve"> </w:t>
      </w:r>
      <w:r w:rsidRPr="00A717CB">
        <w:t>We are pleased to note that the UK Government is taking steps to address some of these concerns. In March 2018, the Government commenced a post-implementation review to assess the impact of the changes, including whether legal aid is targeted where it is needed most.</w:t>
      </w:r>
      <w:r w:rsidRPr="00A717CB">
        <w:rPr>
          <w:rStyle w:val="FootnoteReference"/>
        </w:rPr>
        <w:footnoteReference w:id="45"/>
      </w:r>
      <w:r w:rsidRPr="00A717CB">
        <w:t xml:space="preserve"> The Government’s final report, published on 7 February 2019, committed to improving access to legal aid, including simplifying the exceptional case funding scheme and reviewing the financial eligibility thresholds.</w:t>
      </w:r>
      <w:r w:rsidRPr="00A717CB">
        <w:rPr>
          <w:rStyle w:val="FootnoteReference"/>
        </w:rPr>
        <w:footnoteReference w:id="46"/>
      </w:r>
      <w:r w:rsidRPr="00A717CB">
        <w:t xml:space="preserve"> </w:t>
      </w:r>
    </w:p>
    <w:p w14:paraId="3EE25BF4" w14:textId="77777777" w:rsidR="00C32DAA" w:rsidRPr="00A717CB" w:rsidRDefault="00C32DAA" w:rsidP="00E1442E">
      <w:pPr>
        <w:pStyle w:val="Title-subsections"/>
      </w:pPr>
      <w:bookmarkStart w:id="21" w:name="_Toc4061383"/>
      <w:r w:rsidRPr="00A717CB">
        <w:t>Domestic violence and abuse</w:t>
      </w:r>
      <w:bookmarkEnd w:id="21"/>
    </w:p>
    <w:p w14:paraId="5B3FAA3E" w14:textId="0A21B617" w:rsidR="006401CE" w:rsidRPr="00A717CB" w:rsidRDefault="006401CE" w:rsidP="00600D54">
      <w:pPr>
        <w:pStyle w:val="Parabeforeanother"/>
        <w:spacing w:line="240" w:lineRule="auto"/>
      </w:pPr>
      <w:r w:rsidRPr="00A717CB">
        <w:t>Legal aid remains available for victims of domestic abuse</w:t>
      </w:r>
      <w:r>
        <w:t>, both for protective injunctions (such as non-molestation orders) and for private family proceedings where domestic violence can be evidenced</w:t>
      </w:r>
      <w:r w:rsidRPr="00A717CB">
        <w:t>.</w:t>
      </w:r>
      <w:r>
        <w:t xml:space="preserve"> At the introduction of LASPO, the Government anticipated that 40 per cent of private family matters would continue to qualify for funding for legal representation through the domestic violence and child abuse gateway.</w:t>
      </w:r>
      <w:r>
        <w:rPr>
          <w:rStyle w:val="FootnoteReference"/>
        </w:rPr>
        <w:footnoteReference w:id="47"/>
      </w:r>
      <w:r>
        <w:t xml:space="preserve"> </w:t>
      </w:r>
      <w:r w:rsidR="003A6FE2">
        <w:t>However, t</w:t>
      </w:r>
      <w:r>
        <w:t>he Government’s review of the impact of LASPO acknowledge</w:t>
      </w:r>
      <w:r w:rsidR="003A6FE2">
        <w:t>d</w:t>
      </w:r>
      <w:r>
        <w:t xml:space="preserve"> </w:t>
      </w:r>
      <w:r w:rsidR="003A6FE2">
        <w:t>an</w:t>
      </w:r>
      <w:r>
        <w:t xml:space="preserve"> </w:t>
      </w:r>
      <w:r w:rsidR="003B00F6">
        <w:t>‘</w:t>
      </w:r>
      <w:r>
        <w:t>unexpected fall in spend on domestic violence cases</w:t>
      </w:r>
      <w:r w:rsidR="003B00F6">
        <w:t>’.</w:t>
      </w:r>
      <w:r w:rsidR="003B00F6">
        <w:rPr>
          <w:rStyle w:val="FootnoteReference"/>
        </w:rPr>
        <w:footnoteReference w:id="48"/>
      </w:r>
      <w:r w:rsidR="003B00F6">
        <w:t xml:space="preserve"> </w:t>
      </w:r>
      <w:r>
        <w:t xml:space="preserve">This </w:t>
      </w:r>
      <w:r w:rsidR="009C15CE">
        <w:t xml:space="preserve">unexpected drop </w:t>
      </w:r>
      <w:r w:rsidRPr="00A717CB">
        <w:t xml:space="preserve">may </w:t>
      </w:r>
      <w:r w:rsidR="002D6CD5">
        <w:t xml:space="preserve">be </w:t>
      </w:r>
      <w:r w:rsidRPr="00A717CB">
        <w:t xml:space="preserve">attributed to strict rules on the types of evidence required to </w:t>
      </w:r>
      <w:r w:rsidRPr="00A717CB">
        <w:lastRenderedPageBreak/>
        <w:t>demonstrate domestic abuse in order to access legal aid.</w:t>
      </w:r>
      <w:r w:rsidRPr="00A717CB">
        <w:rPr>
          <w:rStyle w:val="FootnoteReference"/>
        </w:rPr>
        <w:footnoteReference w:id="49"/>
      </w:r>
      <w:r w:rsidRPr="00A717CB">
        <w:t xml:space="preserve"> These rules were found to be unlawful by the Court of Appeal in 2016.</w:t>
      </w:r>
      <w:r w:rsidRPr="00A717CB">
        <w:rPr>
          <w:rStyle w:val="FootnoteReference"/>
        </w:rPr>
        <w:footnoteReference w:id="50"/>
      </w:r>
      <w:r w:rsidRPr="00A717CB">
        <w:t xml:space="preserve"> </w:t>
      </w:r>
    </w:p>
    <w:p w14:paraId="39B3F029" w14:textId="35FA6B26" w:rsidR="006401CE" w:rsidRPr="00A717CB" w:rsidRDefault="006401CE" w:rsidP="00600D54">
      <w:pPr>
        <w:pStyle w:val="Parabeforeanother"/>
        <w:spacing w:line="240" w:lineRule="auto"/>
      </w:pPr>
      <w:r w:rsidRPr="00A717CB">
        <w:t>From January 2018</w:t>
      </w:r>
      <w:r w:rsidR="006D7472">
        <w:t>,</w:t>
      </w:r>
      <w:r w:rsidRPr="00A717CB">
        <w:t xml:space="preserve"> the evidence rules were expanded to allow statements from domestic violence support organisations and housing officers, and the time limit on the age of evidence was removed.</w:t>
      </w:r>
      <w:r w:rsidRPr="00A717CB">
        <w:rPr>
          <w:rStyle w:val="FootnoteReference"/>
        </w:rPr>
        <w:footnoteReference w:id="51"/>
      </w:r>
      <w:r w:rsidRPr="00A717CB">
        <w:t xml:space="preserve"> </w:t>
      </w:r>
      <w:r>
        <w:t xml:space="preserve">The available data suggests the volume of applications and successful grants for legal aid in cases where there is domestic abuse </w:t>
      </w:r>
      <w:r w:rsidR="006D7472">
        <w:t xml:space="preserve">has </w:t>
      </w:r>
      <w:r>
        <w:t>increased as a result.</w:t>
      </w:r>
      <w:r>
        <w:rPr>
          <w:rStyle w:val="FootnoteReference"/>
        </w:rPr>
        <w:footnoteReference w:id="52"/>
      </w:r>
      <w:r>
        <w:t xml:space="preserve"> </w:t>
      </w:r>
      <w:r w:rsidRPr="00A717CB">
        <w:t>However</w:t>
      </w:r>
      <w:r w:rsidR="006D7472">
        <w:t>,</w:t>
      </w:r>
      <w:r w:rsidRPr="00A717CB">
        <w:t xml:space="preserve"> concerns about the evidence rules remain, including that legal aid may be withdrawn where a local authority assesses that there has not been domestic violence despite evidence from a domestic violence support service.</w:t>
      </w:r>
      <w:r w:rsidRPr="00A717CB">
        <w:rPr>
          <w:rStyle w:val="FootnoteReference"/>
        </w:rPr>
        <w:footnoteReference w:id="53"/>
      </w:r>
      <w:r w:rsidRPr="00A717CB">
        <w:t xml:space="preserve"> The</w:t>
      </w:r>
      <w:r w:rsidR="005531F9">
        <w:t xml:space="preserve"> UK Parliament’s</w:t>
      </w:r>
      <w:r w:rsidRPr="00A717CB">
        <w:t xml:space="preserve"> </w:t>
      </w:r>
      <w:r w:rsidR="006D7472" w:rsidRPr="00C01D92">
        <w:t>Joint Committee on Human Rights</w:t>
      </w:r>
      <w:r w:rsidR="006D7472" w:rsidRPr="00A717CB">
        <w:t xml:space="preserve"> </w:t>
      </w:r>
      <w:r w:rsidR="006D7472">
        <w:t>(</w:t>
      </w:r>
      <w:r w:rsidRPr="00A717CB">
        <w:t>JCHR</w:t>
      </w:r>
      <w:r w:rsidR="006D7472">
        <w:t>)</w:t>
      </w:r>
      <w:r w:rsidRPr="00A717CB">
        <w:t xml:space="preserve"> has called for the UK Government to consider whether further amendments to the evidence rules are needed to ensure victims of domestic violence can access legal aid.</w:t>
      </w:r>
      <w:r w:rsidRPr="00A717CB">
        <w:rPr>
          <w:rStyle w:val="FootnoteReference"/>
        </w:rPr>
        <w:footnoteReference w:id="54"/>
      </w:r>
      <w:r w:rsidRPr="00A717CB">
        <w:t xml:space="preserve"> </w:t>
      </w:r>
    </w:p>
    <w:p w14:paraId="34F8932B" w14:textId="0F26844C" w:rsidR="00C32DAA" w:rsidRPr="00A717CB" w:rsidRDefault="00C32DAA" w:rsidP="00600D54">
      <w:pPr>
        <w:pStyle w:val="Parabeforenewsubsection"/>
        <w:spacing w:line="240" w:lineRule="auto"/>
      </w:pPr>
      <w:r w:rsidRPr="00A717CB">
        <w:t xml:space="preserve">The Government’s review of legal aid identified that the financial eligibility thresholds and a lack of awareness of the availability of legal aid may present barriers </w:t>
      </w:r>
      <w:r w:rsidR="00132FAC">
        <w:t>for</w:t>
      </w:r>
      <w:r w:rsidR="00132FAC" w:rsidRPr="00A717CB">
        <w:t xml:space="preserve"> </w:t>
      </w:r>
      <w:r w:rsidRPr="00A717CB">
        <w:t>some victims of domestic abuse.</w:t>
      </w:r>
      <w:r w:rsidRPr="00A717CB">
        <w:rPr>
          <w:rStyle w:val="FootnoteReference"/>
        </w:rPr>
        <w:footnoteReference w:id="55"/>
      </w:r>
      <w:r w:rsidRPr="00A717CB">
        <w:t xml:space="preserve"> The Government has committed to review the financial eligibility thresholds by summer 2020 and to take steps to increase awareness of legal aid to help ensure people are aware of their entitlements.</w:t>
      </w:r>
      <w:r w:rsidRPr="00A717CB">
        <w:rPr>
          <w:rStyle w:val="FootnoteReference"/>
        </w:rPr>
        <w:footnoteReference w:id="56"/>
      </w:r>
      <w:r w:rsidRPr="00A717CB">
        <w:t xml:space="preserve"> </w:t>
      </w:r>
    </w:p>
    <w:p w14:paraId="1742C70D" w14:textId="77777777" w:rsidR="00C32DAA" w:rsidRPr="00A717CB" w:rsidRDefault="00C32DAA" w:rsidP="00F11969">
      <w:pPr>
        <w:pStyle w:val="Title-subsections"/>
      </w:pPr>
      <w:bookmarkStart w:id="22" w:name="_Toc4061384"/>
      <w:r w:rsidRPr="00A717CB">
        <w:t>Immigration law</w:t>
      </w:r>
      <w:bookmarkEnd w:id="22"/>
    </w:p>
    <w:p w14:paraId="77DAF491" w14:textId="060BDC87" w:rsidR="00C32DAA" w:rsidRPr="00A717CB" w:rsidRDefault="00C32DAA" w:rsidP="00600D54">
      <w:pPr>
        <w:pStyle w:val="Parabeforeanother"/>
        <w:spacing w:line="240" w:lineRule="auto"/>
      </w:pPr>
      <w:r w:rsidRPr="00A717CB">
        <w:t>Legal aid remains available for most asylum law matters.</w:t>
      </w:r>
      <w:r w:rsidRPr="00A717CB">
        <w:rPr>
          <w:rStyle w:val="FootnoteReference"/>
        </w:rPr>
        <w:footnoteReference w:id="57"/>
      </w:r>
      <w:r w:rsidRPr="00A717CB">
        <w:t xml:space="preserve"> Refugee Action has highlighted barriers to accessing legal aid in asylum cases in practice.</w:t>
      </w:r>
      <w:r w:rsidRPr="00A717CB">
        <w:rPr>
          <w:vertAlign w:val="superscript"/>
        </w:rPr>
        <w:footnoteReference w:id="58"/>
      </w:r>
      <w:r w:rsidRPr="00A717CB">
        <w:t xml:space="preserve"> </w:t>
      </w:r>
      <w:r w:rsidR="00132FAC" w:rsidRPr="00A717CB">
        <w:t>Th</w:t>
      </w:r>
      <w:r w:rsidR="00132FAC">
        <w:t xml:space="preserve">ese barriers </w:t>
      </w:r>
      <w:r w:rsidRPr="00A717CB">
        <w:t xml:space="preserve">include gaps in provision and a complex fee structure for legal aid providers, which creates a disincentive to take on more challenging cases. </w:t>
      </w:r>
    </w:p>
    <w:p w14:paraId="6B3C3212" w14:textId="55A19300" w:rsidR="00C32DAA" w:rsidRPr="00A717CB" w:rsidRDefault="00C32DAA" w:rsidP="00600D54">
      <w:pPr>
        <w:pStyle w:val="Parabeforeanother"/>
        <w:spacing w:line="240" w:lineRule="auto"/>
      </w:pPr>
      <w:r w:rsidRPr="00A717CB">
        <w:t>Most non-asylum areas of immigration law have been removed from the scope of legal aid under LASPO. Matters relating to immigration detention or bail conditions and rights to enter or remain arising from Article 2 and 3 of the ECHR, including applications for indefinite leave to remain for victims of domestic violence and</w:t>
      </w:r>
      <w:r w:rsidR="006740EF">
        <w:t xml:space="preserve"> </w:t>
      </w:r>
      <w:r w:rsidRPr="00A717CB">
        <w:lastRenderedPageBreak/>
        <w:t>applications for leave to enter or remain for victims of trafficking and modern slavery</w:t>
      </w:r>
      <w:r w:rsidR="00132FAC">
        <w:t>,</w:t>
      </w:r>
      <w:r w:rsidRPr="00A717CB">
        <w:t xml:space="preserve"> are within scope.</w:t>
      </w:r>
      <w:r w:rsidRPr="00A717CB">
        <w:rPr>
          <w:vertAlign w:val="superscript"/>
        </w:rPr>
        <w:footnoteReference w:id="59"/>
      </w:r>
      <w:r w:rsidRPr="00A717CB">
        <w:t xml:space="preserve"> </w:t>
      </w:r>
    </w:p>
    <w:p w14:paraId="318B03FB" w14:textId="6A105942" w:rsidR="00C32DAA" w:rsidRPr="00A717CB" w:rsidRDefault="00057AC4" w:rsidP="00600D54">
      <w:pPr>
        <w:pStyle w:val="Parabeforeanother"/>
        <w:spacing w:line="240" w:lineRule="auto"/>
      </w:pPr>
      <w:r>
        <w:t xml:space="preserve">The </w:t>
      </w:r>
      <w:r w:rsidR="00C32DAA" w:rsidRPr="00A717CB">
        <w:t xml:space="preserve">EHRC is concerned that, while most immigration cases that engage Article 3 </w:t>
      </w:r>
      <w:r w:rsidR="00132FAC">
        <w:t xml:space="preserve">of the </w:t>
      </w:r>
      <w:r w:rsidR="00C32DAA" w:rsidRPr="00A717CB">
        <w:t xml:space="preserve">ECHR are likely to be covered by legal aid, there are some categories of people who are particularly at risk of mistreatment whose cases may be excluded. For example, legal aid is not available (except possibly through an application for exceptional case funding – see below) to help applicants make a statelessness claim, a restriction which has been criticised by stakeholders for </w:t>
      </w:r>
      <w:r w:rsidR="00132FAC">
        <w:t>‘</w:t>
      </w:r>
      <w:r w:rsidR="00C32DAA" w:rsidRPr="008E710F">
        <w:t>impact[ing] on the length of detention and the outcome of substantive cases</w:t>
      </w:r>
      <w:r w:rsidR="00132FAC" w:rsidRPr="008E710F">
        <w:t>’</w:t>
      </w:r>
      <w:r w:rsidR="00C32DAA" w:rsidRPr="008E710F">
        <w:rPr>
          <w:rStyle w:val="FootnoteReference"/>
        </w:rPr>
        <w:footnoteReference w:id="60"/>
      </w:r>
      <w:r w:rsidR="00907D2F" w:rsidRPr="008E710F">
        <w:t xml:space="preserve"> </w:t>
      </w:r>
      <w:r w:rsidR="00C32DAA" w:rsidRPr="008E710F">
        <w:t xml:space="preserve">(see chapter 10.2). Legal aid is also not generally available for </w:t>
      </w:r>
      <w:r w:rsidR="00132FAC" w:rsidRPr="008E710F">
        <w:t xml:space="preserve">people </w:t>
      </w:r>
      <w:r w:rsidR="00C32DAA" w:rsidRPr="008E710F">
        <w:t>who have been identified as potential victims of trafficking but are awaiting a ‘reasonable grounds’ decision</w:t>
      </w:r>
      <w:r w:rsidR="00C32DAA" w:rsidRPr="00A717CB">
        <w:t xml:space="preserve"> </w:t>
      </w:r>
      <w:r w:rsidR="00132FAC">
        <w:t>about</w:t>
      </w:r>
      <w:r w:rsidR="00132FAC" w:rsidRPr="00A717CB">
        <w:t xml:space="preserve"> </w:t>
      </w:r>
      <w:r w:rsidR="00C32DAA" w:rsidRPr="00A717CB">
        <w:t>their status.</w:t>
      </w:r>
      <w:r w:rsidR="00C32DAA" w:rsidRPr="00A717CB">
        <w:rPr>
          <w:rStyle w:val="FootnoteReference"/>
        </w:rPr>
        <w:footnoteReference w:id="61"/>
      </w:r>
      <w:r w:rsidR="00C32DAA" w:rsidRPr="00A717CB">
        <w:t xml:space="preserve"> </w:t>
      </w:r>
    </w:p>
    <w:p w14:paraId="3D835833" w14:textId="42EC4D30" w:rsidR="00C32DAA" w:rsidRPr="00A717CB" w:rsidRDefault="00C32DAA" w:rsidP="00600D54">
      <w:pPr>
        <w:pStyle w:val="Parabeforenewsubsection"/>
        <w:spacing w:line="240" w:lineRule="auto"/>
      </w:pPr>
      <w:r w:rsidRPr="00A717CB">
        <w:t>Some unaccompanied and separated children with immigration issues may also be excluded</w:t>
      </w:r>
      <w:r w:rsidR="00132FAC">
        <w:t xml:space="preserve"> from legal aid</w:t>
      </w:r>
      <w:r w:rsidRPr="00A717CB">
        <w:t>, including those whose cases include mixed asylum and non-asylum grounds. However, following judicial review</w:t>
      </w:r>
      <w:r w:rsidR="00132FAC">
        <w:t>,</w:t>
      </w:r>
      <w:r w:rsidRPr="00A717CB">
        <w:t xml:space="preserve"> the Government has committed to reinstate legal aid in all immigration matters for unaccompanied and separated children by spring 2019.</w:t>
      </w:r>
      <w:r w:rsidRPr="00A717CB">
        <w:rPr>
          <w:rStyle w:val="FootnoteReference"/>
        </w:rPr>
        <w:footnoteReference w:id="62"/>
      </w:r>
    </w:p>
    <w:p w14:paraId="65F1A17E" w14:textId="77777777" w:rsidR="00C32DAA" w:rsidRPr="00A717CB" w:rsidRDefault="00C32DAA" w:rsidP="00F11969">
      <w:pPr>
        <w:pStyle w:val="Title-subsections"/>
      </w:pPr>
      <w:bookmarkStart w:id="23" w:name="_Toc4061385"/>
      <w:r w:rsidRPr="00A717CB">
        <w:t>Exceptional case funding</w:t>
      </w:r>
      <w:bookmarkEnd w:id="23"/>
    </w:p>
    <w:p w14:paraId="01CD5E15" w14:textId="51845863" w:rsidR="00C32DAA" w:rsidRPr="00A717CB" w:rsidRDefault="00C32DAA" w:rsidP="00600D54">
      <w:pPr>
        <w:pStyle w:val="Parabeforeanother"/>
        <w:spacing w:line="240" w:lineRule="auto"/>
      </w:pPr>
      <w:r w:rsidRPr="00A717CB">
        <w:t xml:space="preserve">LASPO set up an </w:t>
      </w:r>
      <w:r w:rsidR="00DF0BBF">
        <w:t>e</w:t>
      </w:r>
      <w:r w:rsidRPr="00A717CB">
        <w:t xml:space="preserve">xceptional </w:t>
      </w:r>
      <w:r w:rsidR="00DF0BBF">
        <w:t>c</w:t>
      </w:r>
      <w:r w:rsidRPr="00A717CB">
        <w:t xml:space="preserve">ase </w:t>
      </w:r>
      <w:r w:rsidR="00DF0BBF">
        <w:t>f</w:t>
      </w:r>
      <w:r w:rsidRPr="00A717CB">
        <w:t>unding (ECF) scheme for cases that do not fall within the scope of legal aid, but where the failure to provide legal assistance could result in a breach of an individual’s Convention rights (within the meaning of the</w:t>
      </w:r>
      <w:r w:rsidR="00EB2214">
        <w:t xml:space="preserve"> </w:t>
      </w:r>
      <w:r w:rsidRPr="00A717CB">
        <w:t>HRA 1998), or rights to the provision of legal services under EU law.</w:t>
      </w:r>
    </w:p>
    <w:p w14:paraId="726BBA79" w14:textId="5D3FBF7B" w:rsidR="00C32DAA" w:rsidRPr="00A717CB" w:rsidRDefault="00C32DAA" w:rsidP="00600D54">
      <w:pPr>
        <w:pStyle w:val="Parabeforeanother"/>
        <w:spacing w:line="240" w:lineRule="auto"/>
      </w:pPr>
      <w:r w:rsidRPr="00A717CB">
        <w:t>In the first year of the ECF scheme, only 5</w:t>
      </w:r>
      <w:r w:rsidR="00DD2881">
        <w:t xml:space="preserve"> per cent</w:t>
      </w:r>
      <w:r w:rsidRPr="00A717CB">
        <w:t xml:space="preserve"> of applications (70) were successful.</w:t>
      </w:r>
      <w:r w:rsidRPr="00A717CB">
        <w:rPr>
          <w:vertAlign w:val="superscript"/>
        </w:rPr>
        <w:footnoteReference w:id="63"/>
      </w:r>
      <w:r w:rsidRPr="00A717CB">
        <w:t xml:space="preserve"> This falls significantly short of the Government’s expectation that 3,700 applications would be granted each year.</w:t>
      </w:r>
      <w:r w:rsidRPr="00A717CB">
        <w:rPr>
          <w:vertAlign w:val="superscript"/>
        </w:rPr>
        <w:footnoteReference w:id="64"/>
      </w:r>
      <w:r w:rsidRPr="00A717CB">
        <w:t xml:space="preserve"> While it is not suggested that these are all matters that would engage CAT, it does indicate that the scheme has not functioned as expected and may not provide the intended ‘safety net’ for matters otherwise outside the scope of legal aid. Over time and following amendments to the scheme, both the number of applications for ECF and the grant rate have improved significantly.</w:t>
      </w:r>
      <w:r w:rsidRPr="00A717CB">
        <w:rPr>
          <w:vertAlign w:val="superscript"/>
        </w:rPr>
        <w:footnoteReference w:id="65"/>
      </w:r>
    </w:p>
    <w:p w14:paraId="3A5DCEBE" w14:textId="61165B01" w:rsidR="00C32DAA" w:rsidRPr="00A717CB" w:rsidRDefault="00C32DAA" w:rsidP="00600D54">
      <w:pPr>
        <w:pStyle w:val="Parabeforeanother"/>
        <w:spacing w:line="240" w:lineRule="auto"/>
      </w:pPr>
      <w:r w:rsidRPr="00A717CB">
        <w:lastRenderedPageBreak/>
        <w:t>Following the post-implementation review of LASPO</w:t>
      </w:r>
      <w:r w:rsidR="00132FAC">
        <w:t>,</w:t>
      </w:r>
      <w:r w:rsidRPr="00A717CB">
        <w:t xml:space="preserve"> the Government has committed</w:t>
      </w:r>
      <w:r w:rsidR="005D029B">
        <w:t xml:space="preserve"> </w:t>
      </w:r>
      <w:r w:rsidRPr="00A717CB">
        <w:t>to simplify the ECF scheme and consider whether it is necessary to introduce a new emergency procedure for urgent matters.</w:t>
      </w:r>
      <w:r w:rsidRPr="00A717CB">
        <w:rPr>
          <w:rStyle w:val="FootnoteReference"/>
        </w:rPr>
        <w:footnoteReference w:id="66"/>
      </w:r>
    </w:p>
    <w:p w14:paraId="63C004F2" w14:textId="5170A850" w:rsidR="00C32DAA" w:rsidRPr="00A717CB" w:rsidRDefault="00C32DAA" w:rsidP="00600D54">
      <w:pPr>
        <w:pStyle w:val="Parabeforeanother"/>
        <w:spacing w:line="240" w:lineRule="auto"/>
      </w:pPr>
      <w:r w:rsidRPr="00A717CB">
        <w:t>Inquests play a crucial role in ensuring scrutiny of how states deal with deaths in custody. Legal aid is available for initial advice in preparation for an inquest hearing but not generally available for legal representation at proceedings, except by application to the ECF scheme.</w:t>
      </w:r>
      <w:r w:rsidRPr="00A717CB">
        <w:rPr>
          <w:rStyle w:val="FootnoteReference"/>
        </w:rPr>
        <w:footnoteReference w:id="67"/>
      </w:r>
      <w:r w:rsidRPr="00A717CB">
        <w:t xml:space="preserve"> In 2017-18 there were 219 ECF grants for inquests, out of 419 applications.</w:t>
      </w:r>
      <w:r w:rsidRPr="00A717CB">
        <w:rPr>
          <w:rStyle w:val="FootnoteReference"/>
        </w:rPr>
        <w:footnoteReference w:id="68"/>
      </w:r>
      <w:r w:rsidRPr="00A717CB">
        <w:t xml:space="preserve"> The JCHR heard evidence that unrepresented families are at a serious disadvantage at inquests compared with state bodies who have </w:t>
      </w:r>
      <w:r w:rsidR="00D50208" w:rsidRPr="00A717CB">
        <w:t>publicly</w:t>
      </w:r>
      <w:r w:rsidRPr="00A717CB">
        <w:t>-funded legal representation.</w:t>
      </w:r>
      <w:r w:rsidRPr="00A717CB">
        <w:rPr>
          <w:rStyle w:val="FootnoteReference"/>
        </w:rPr>
        <w:footnoteReference w:id="69"/>
      </w:r>
      <w:r w:rsidRPr="00A717CB">
        <w:t xml:space="preserve"> The charity INQUEST reported that</w:t>
      </w:r>
      <w:r w:rsidR="00AD7FC2">
        <w:t>,</w:t>
      </w:r>
      <w:r w:rsidRPr="00A717CB">
        <w:t xml:space="preserve"> for bereaved families</w:t>
      </w:r>
      <w:r w:rsidR="00AD7FC2">
        <w:t>,</w:t>
      </w:r>
      <w:r w:rsidRPr="00A717CB">
        <w:t xml:space="preserve"> the ECF application process is particularly onerous and intrusive.</w:t>
      </w:r>
      <w:r w:rsidRPr="00A717CB">
        <w:rPr>
          <w:rStyle w:val="FootnoteReference"/>
        </w:rPr>
        <w:footnoteReference w:id="70"/>
      </w:r>
      <w:r w:rsidRPr="00A717CB">
        <w:t xml:space="preserve"> </w:t>
      </w:r>
    </w:p>
    <w:p w14:paraId="5828BDB9" w14:textId="5B8EE4B0" w:rsidR="00C32DAA" w:rsidRPr="00A717CB" w:rsidRDefault="00C32DAA" w:rsidP="00600D54">
      <w:pPr>
        <w:pStyle w:val="Parabeforeanother"/>
        <w:spacing w:line="240" w:lineRule="auto"/>
      </w:pPr>
      <w:r w:rsidRPr="00A717CB">
        <w:t>In July 2018</w:t>
      </w:r>
      <w:r w:rsidR="00AD7FC2">
        <w:t>,</w:t>
      </w:r>
      <w:r w:rsidRPr="00A717CB">
        <w:t xml:space="preserve"> the Government announced changes to ECF guidance to make it easier for families to apply for funding for inquest hearings, including by removing the requirement that the applicant’s family, in addition to the applicant, undergo a financial means test.</w:t>
      </w:r>
      <w:r w:rsidRPr="00A717CB">
        <w:rPr>
          <w:rStyle w:val="FootnoteReference"/>
        </w:rPr>
        <w:footnoteReference w:id="71"/>
      </w:r>
      <w:r w:rsidRPr="00A717CB">
        <w:t xml:space="preserve"> Following </w:t>
      </w:r>
      <w:r w:rsidR="00AD7FC2">
        <w:t>its</w:t>
      </w:r>
      <w:r w:rsidR="00AD7FC2" w:rsidRPr="00A717CB">
        <w:t xml:space="preserve"> </w:t>
      </w:r>
      <w:r w:rsidRPr="00A717CB">
        <w:t>review of legal aid for inquests,</w:t>
      </w:r>
      <w:r w:rsidRPr="00A717CB">
        <w:rPr>
          <w:rStyle w:val="FootnoteReference"/>
        </w:rPr>
        <w:footnoteReference w:id="72"/>
      </w:r>
      <w:r w:rsidRPr="00A717CB">
        <w:t xml:space="preserve"> the Government has agreed to improve guidance for families to help them understand the inquest process.</w:t>
      </w:r>
      <w:r w:rsidRPr="00A717CB">
        <w:rPr>
          <w:rStyle w:val="FootnoteReference"/>
        </w:rPr>
        <w:footnoteReference w:id="73"/>
      </w:r>
    </w:p>
    <w:p w14:paraId="4DEF80D9" w14:textId="481200B7" w:rsidR="00C32DAA" w:rsidRDefault="00AD7FC2" w:rsidP="00600D54">
      <w:pPr>
        <w:pStyle w:val="Parabeforenewsection"/>
        <w:spacing w:after="0" w:line="240" w:lineRule="auto"/>
      </w:pPr>
      <w:r>
        <w:t>In Wales, a</w:t>
      </w:r>
      <w:r w:rsidR="00C32DAA" w:rsidRPr="00A717CB">
        <w:t xml:space="preserve"> Commission on Justice has been established by the First Minister to review the operation of the justice system in Wales and set a long-term vision for its future.</w:t>
      </w:r>
      <w:r w:rsidR="00C32DAA" w:rsidRPr="00A717CB">
        <w:rPr>
          <w:vertAlign w:val="superscript"/>
        </w:rPr>
        <w:footnoteReference w:id="74"/>
      </w:r>
      <w:r w:rsidR="00C32DAA" w:rsidRPr="00A717CB">
        <w:t xml:space="preserve"> The Commission on Justice is taking evidence on how criminal justice, civil justice, and access to legal advice can be improved.</w:t>
      </w:r>
      <w:r w:rsidR="00C32DAA" w:rsidRPr="00A717CB">
        <w:rPr>
          <w:vertAlign w:val="superscript"/>
        </w:rPr>
        <w:footnoteReference w:id="75"/>
      </w:r>
    </w:p>
    <w:p w14:paraId="60FA2506" w14:textId="77777777" w:rsidR="00AD7FC2" w:rsidRPr="00A717CB" w:rsidRDefault="00AD7FC2" w:rsidP="00E02B40">
      <w:pPr>
        <w:pStyle w:val="Parabeforenewsection"/>
        <w:spacing w:after="0"/>
      </w:pPr>
    </w:p>
    <w:p w14:paraId="46FACA58" w14:textId="77777777" w:rsidR="00C32DAA" w:rsidRPr="00A717CB" w:rsidRDefault="00C32DAA" w:rsidP="0095032F">
      <w:pPr>
        <w:pStyle w:val="Title-subsections"/>
      </w:pPr>
      <w:bookmarkStart w:id="24" w:name="_Toc4061386"/>
      <w:r w:rsidRPr="00A717CB">
        <w:t>Recommendations</w:t>
      </w:r>
      <w:bookmarkEnd w:id="24"/>
    </w:p>
    <w:p w14:paraId="1E315A6D" w14:textId="77777777" w:rsidR="00C32DAA" w:rsidRPr="00A717CB" w:rsidRDefault="00C32DAA" w:rsidP="001A0590">
      <w:pPr>
        <w:pStyle w:val="Parabeforebulletss"/>
        <w:spacing w:line="240" w:lineRule="auto"/>
      </w:pPr>
      <w:r w:rsidRPr="00A717CB">
        <w:t>We welcome the steps the UK Government is taking to progress matters on domestic violence evidence, unaccompanied and separated children and inquests. However, to address the negative impact that LASPO is having on access to justice and effective remedies for certain categories of individuals who have been subject to ill-treatment, the UK Government should:</w:t>
      </w:r>
    </w:p>
    <w:p w14:paraId="6666D3DF" w14:textId="139C9236" w:rsidR="00C32DAA" w:rsidRPr="00A717CB" w:rsidRDefault="00C32DAA" w:rsidP="001A0590">
      <w:pPr>
        <w:pStyle w:val="Bullet-followedbyothers"/>
        <w:spacing w:line="240" w:lineRule="auto"/>
      </w:pPr>
      <w:r w:rsidRPr="00A717CB">
        <w:t xml:space="preserve">Keep under review the accessibility of legal aid for </w:t>
      </w:r>
      <w:r w:rsidR="00AD7FC2">
        <w:t xml:space="preserve">people </w:t>
      </w:r>
      <w:r w:rsidRPr="00A717CB">
        <w:t xml:space="preserve">who may be at particular risk of ill-treatment, including in relation to immigration matters and domestic violence. The Government should ensure that the review of financial </w:t>
      </w:r>
      <w:r w:rsidRPr="00A717CB">
        <w:lastRenderedPageBreak/>
        <w:t>eligibility and proposed measures to improve awareness of legal aid address any barriers to access for these groups.</w:t>
      </w:r>
    </w:p>
    <w:p w14:paraId="1BD25F9B" w14:textId="22FDE861" w:rsidR="00C32DAA" w:rsidRPr="00A717CB" w:rsidRDefault="00C32DAA" w:rsidP="001A0590">
      <w:pPr>
        <w:pStyle w:val="Bullet-lastingroup"/>
        <w:spacing w:line="240" w:lineRule="auto"/>
      </w:pPr>
      <w:r w:rsidRPr="00A717CB">
        <w:t xml:space="preserve">Bring forward proposals to address the shortcomings </w:t>
      </w:r>
      <w:r w:rsidR="00AD7FC2">
        <w:t>of</w:t>
      </w:r>
      <w:r w:rsidR="00AD7FC2" w:rsidRPr="00A717CB">
        <w:t xml:space="preserve"> </w:t>
      </w:r>
      <w:r w:rsidRPr="00A717CB">
        <w:t>the E</w:t>
      </w:r>
      <w:r w:rsidR="0058433D">
        <w:t>CF</w:t>
      </w:r>
      <w:r w:rsidRPr="00A717CB">
        <w:t xml:space="preserve"> scheme, including the complexity of the application process, to ensure </w:t>
      </w:r>
      <w:r w:rsidR="00DF183B">
        <w:t xml:space="preserve">that </w:t>
      </w:r>
      <w:r w:rsidRPr="00A717CB">
        <w:t xml:space="preserve">people who are at particular risk of ill-treatment </w:t>
      </w:r>
      <w:r w:rsidR="00DF183B">
        <w:t>do not face</w:t>
      </w:r>
      <w:r w:rsidR="00DF183B" w:rsidRPr="00A717CB">
        <w:t xml:space="preserve"> barriers </w:t>
      </w:r>
      <w:r w:rsidR="00DF183B">
        <w:t>to funding in cases</w:t>
      </w:r>
      <w:r w:rsidRPr="00A717CB">
        <w:t xml:space="preserve"> where legal aid would not normally be available. </w:t>
      </w:r>
    </w:p>
    <w:p w14:paraId="70AA6E16" w14:textId="77777777" w:rsidR="00C32DAA" w:rsidRPr="00A717CB" w:rsidRDefault="00C32DAA" w:rsidP="001A0590">
      <w:pPr>
        <w:pStyle w:val="Parabeforebulletss"/>
        <w:spacing w:line="240" w:lineRule="auto"/>
      </w:pPr>
      <w:r w:rsidRPr="00A717CB">
        <w:t>The Welsh Government should:</w:t>
      </w:r>
    </w:p>
    <w:p w14:paraId="554E2559" w14:textId="1BB5B7C6" w:rsidR="00C32DAA" w:rsidRPr="00A717CB" w:rsidRDefault="00C32DAA" w:rsidP="001A0590">
      <w:pPr>
        <w:pStyle w:val="Bullet-lastingroup"/>
        <w:spacing w:line="240" w:lineRule="auto"/>
      </w:pPr>
      <w:r w:rsidRPr="00A717CB">
        <w:t>Consider the recommendations of the Commission on Justice in Wales</w:t>
      </w:r>
      <w:r w:rsidR="00E02B40">
        <w:t xml:space="preserve"> </w:t>
      </w:r>
      <w:r w:rsidR="00572402">
        <w:t>that</w:t>
      </w:r>
      <w:r w:rsidR="00037637">
        <w:t xml:space="preserve"> aim</w:t>
      </w:r>
      <w:r w:rsidR="00037637" w:rsidRPr="00A717CB">
        <w:t xml:space="preserve"> to improve access to justice and legal aid</w:t>
      </w:r>
      <w:r w:rsidRPr="00A717CB">
        <w:t xml:space="preserve">, </w:t>
      </w:r>
      <w:r w:rsidR="00037637">
        <w:t xml:space="preserve">when they are </w:t>
      </w:r>
      <w:r w:rsidRPr="00A717CB">
        <w:t>published in 2019.</w:t>
      </w:r>
    </w:p>
    <w:p w14:paraId="1001089F" w14:textId="77777777" w:rsidR="001A0590" w:rsidRDefault="001A0590" w:rsidP="00600D54">
      <w:pPr>
        <w:pStyle w:val="Title-chapterpink"/>
        <w:spacing w:after="0"/>
        <w:rPr>
          <w:sz w:val="40"/>
          <w:szCs w:val="40"/>
        </w:rPr>
        <w:sectPr w:rsidR="001A0590" w:rsidSect="00C32DAA">
          <w:headerReference w:type="default" r:id="rId17"/>
          <w:pgSz w:w="11906" w:h="16838" w:code="9"/>
          <w:pgMar w:top="1440" w:right="1440" w:bottom="1440" w:left="1440" w:header="567" w:footer="567" w:gutter="0"/>
          <w:cols w:space="708"/>
          <w:docGrid w:linePitch="360"/>
        </w:sectPr>
      </w:pPr>
    </w:p>
    <w:p w14:paraId="1C93EFF8" w14:textId="0E989E64" w:rsidR="00C32DAA" w:rsidRPr="00600D54" w:rsidRDefault="00026875" w:rsidP="00600D54">
      <w:pPr>
        <w:pStyle w:val="Title-chapterpink"/>
        <w:spacing w:after="0"/>
        <w:rPr>
          <w:sz w:val="40"/>
          <w:szCs w:val="40"/>
        </w:rPr>
      </w:pPr>
      <w:bookmarkStart w:id="25" w:name="_Toc4061387"/>
      <w:r w:rsidRPr="00600D54">
        <w:rPr>
          <w:sz w:val="40"/>
          <w:szCs w:val="40"/>
        </w:rPr>
        <w:lastRenderedPageBreak/>
        <w:t xml:space="preserve">4. </w:t>
      </w:r>
      <w:r w:rsidR="00C32DAA" w:rsidRPr="00600D54">
        <w:rPr>
          <w:sz w:val="40"/>
          <w:szCs w:val="40"/>
        </w:rPr>
        <w:t>Human trafficking and modern slavery</w:t>
      </w:r>
      <w:bookmarkEnd w:id="25"/>
    </w:p>
    <w:p w14:paraId="4E480801" w14:textId="69CD5C90" w:rsidR="003034B2" w:rsidRDefault="00857BF1" w:rsidP="00600D54">
      <w:pPr>
        <w:pStyle w:val="Parabeforeanother"/>
        <w:spacing w:after="260"/>
        <w:rPr>
          <w:rFonts w:ascii="Georgia" w:hAnsi="Georgia"/>
          <w:sz w:val="32"/>
          <w:szCs w:val="32"/>
        </w:rPr>
      </w:pPr>
      <w:r>
        <w:rPr>
          <w:rFonts w:ascii="Georgia" w:hAnsi="Georgia"/>
          <w:sz w:val="32"/>
          <w:szCs w:val="32"/>
        </w:rPr>
        <w:t>R</w:t>
      </w:r>
      <w:r w:rsidR="003034B2">
        <w:rPr>
          <w:rFonts w:ascii="Georgia" w:hAnsi="Georgia"/>
          <w:sz w:val="32"/>
          <w:szCs w:val="32"/>
        </w:rPr>
        <w:t>elates to CAT Articles 2</w:t>
      </w:r>
      <w:r w:rsidR="007D58F1">
        <w:rPr>
          <w:rFonts w:ascii="Georgia" w:hAnsi="Georgia"/>
          <w:sz w:val="32"/>
          <w:szCs w:val="32"/>
        </w:rPr>
        <w:t>, 12</w:t>
      </w:r>
      <w:r w:rsidR="003034B2">
        <w:rPr>
          <w:rFonts w:ascii="Georgia" w:hAnsi="Georgia"/>
          <w:sz w:val="32"/>
          <w:szCs w:val="32"/>
        </w:rPr>
        <w:t xml:space="preserve"> and 16, </w:t>
      </w:r>
      <w:r w:rsidR="00FE08F3">
        <w:rPr>
          <w:rFonts w:ascii="Georgia" w:hAnsi="Georgia"/>
          <w:sz w:val="32"/>
          <w:szCs w:val="32"/>
        </w:rPr>
        <w:t xml:space="preserve">and </w:t>
      </w:r>
      <w:r w:rsidR="003034B2">
        <w:rPr>
          <w:rFonts w:ascii="Georgia" w:hAnsi="Georgia"/>
          <w:sz w:val="32"/>
          <w:szCs w:val="32"/>
        </w:rPr>
        <w:t>list of issues paragraph</w:t>
      </w:r>
      <w:r w:rsidR="00FE08F3">
        <w:rPr>
          <w:rFonts w:ascii="Georgia" w:hAnsi="Georgia"/>
          <w:sz w:val="32"/>
          <w:szCs w:val="32"/>
        </w:rPr>
        <w:t>s</w:t>
      </w:r>
      <w:r w:rsidR="003034B2">
        <w:rPr>
          <w:rFonts w:ascii="Georgia" w:hAnsi="Georgia"/>
          <w:sz w:val="32"/>
          <w:szCs w:val="32"/>
        </w:rPr>
        <w:t xml:space="preserve"> 12</w:t>
      </w:r>
      <w:r w:rsidR="00FE08F3">
        <w:rPr>
          <w:rFonts w:ascii="Georgia" w:hAnsi="Georgia"/>
          <w:sz w:val="32"/>
          <w:szCs w:val="32"/>
        </w:rPr>
        <w:t xml:space="preserve"> and 46</w:t>
      </w:r>
    </w:p>
    <w:p w14:paraId="1161DDE4" w14:textId="48260255" w:rsidR="00600D54" w:rsidRPr="003034B2" w:rsidRDefault="00600D54" w:rsidP="00600D54">
      <w:pPr>
        <w:pStyle w:val="Parabeforeanother"/>
        <w:spacing w:after="260"/>
        <w:rPr>
          <w:rFonts w:ascii="Georgia" w:hAnsi="Georgia"/>
          <w:sz w:val="32"/>
          <w:szCs w:val="32"/>
        </w:rPr>
      </w:pPr>
      <w:r>
        <w:rPr>
          <w:noProof/>
          <w:lang w:eastAsia="en-GB"/>
        </w:rPr>
        <mc:AlternateContent>
          <mc:Choice Requires="wps">
            <w:drawing>
              <wp:inline distT="0" distB="0" distL="0" distR="0" wp14:anchorId="75343F42" wp14:editId="147E8F4D">
                <wp:extent cx="5543550" cy="1781175"/>
                <wp:effectExtent l="0" t="0" r="0" b="9525"/>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781175"/>
                        </a:xfrm>
                        <a:prstGeom prst="rect">
                          <a:avLst/>
                        </a:prstGeom>
                        <a:solidFill>
                          <a:srgbClr val="F8D4EB"/>
                        </a:solidFill>
                        <a:ln w="9525">
                          <a:noFill/>
                          <a:miter lim="800000"/>
                          <a:headEnd/>
                          <a:tailEnd/>
                        </a:ln>
                      </wps:spPr>
                      <wps:txbx>
                        <w:txbxContent>
                          <w:p w14:paraId="36AE0C95" w14:textId="77777777" w:rsidR="00AE42CD" w:rsidRDefault="00AE42CD" w:rsidP="001A0590">
                            <w:pPr>
                              <w:pStyle w:val="NoSpacing"/>
                              <w:rPr>
                                <w:szCs w:val="24"/>
                              </w:rPr>
                            </w:pPr>
                            <w:r w:rsidRPr="00A717CB">
                              <w:rPr>
                                <w:szCs w:val="24"/>
                              </w:rPr>
                              <w:t>In its 2016 list of issues, the Committee requested information on</w:t>
                            </w:r>
                            <w:r>
                              <w:rPr>
                                <w:szCs w:val="24"/>
                              </w:rPr>
                              <w:t>:</w:t>
                            </w:r>
                            <w:r w:rsidRPr="00A717CB">
                              <w:rPr>
                                <w:szCs w:val="24"/>
                              </w:rPr>
                              <w:t xml:space="preserve"> </w:t>
                            </w:r>
                          </w:p>
                          <w:p w14:paraId="4E257284" w14:textId="77777777" w:rsidR="00AE42CD" w:rsidRDefault="00AE42CD" w:rsidP="001A0590">
                            <w:pPr>
                              <w:pStyle w:val="NoSpacing"/>
                              <w:numPr>
                                <w:ilvl w:val="0"/>
                                <w:numId w:val="50"/>
                              </w:numPr>
                              <w:rPr>
                                <w:szCs w:val="24"/>
                              </w:rPr>
                            </w:pPr>
                            <w:r w:rsidRPr="00A717CB">
                              <w:rPr>
                                <w:szCs w:val="24"/>
                              </w:rPr>
                              <w:t>measures adopted to prevent, combat and criminalise trafficking, including the Modern Slavery Act 2015</w:t>
                            </w:r>
                          </w:p>
                          <w:p w14:paraId="0DA7093F" w14:textId="77777777" w:rsidR="00AE42CD" w:rsidRDefault="00AE42CD" w:rsidP="001A0590">
                            <w:pPr>
                              <w:pStyle w:val="NoSpacing"/>
                              <w:numPr>
                                <w:ilvl w:val="0"/>
                                <w:numId w:val="50"/>
                              </w:numPr>
                              <w:rPr>
                                <w:szCs w:val="24"/>
                              </w:rPr>
                            </w:pPr>
                            <w:r w:rsidRPr="00A717CB">
                              <w:rPr>
                                <w:szCs w:val="24"/>
                              </w:rPr>
                              <w:t>measures to ensure victims of trafficking have access to effective remedies and reparation</w:t>
                            </w:r>
                          </w:p>
                          <w:p w14:paraId="5C1A80D0" w14:textId="77777777" w:rsidR="00AE42CD" w:rsidRDefault="00AE42CD" w:rsidP="001A0590">
                            <w:pPr>
                              <w:pStyle w:val="NoSpacing"/>
                              <w:numPr>
                                <w:ilvl w:val="0"/>
                                <w:numId w:val="50"/>
                              </w:numPr>
                              <w:rPr>
                                <w:szCs w:val="24"/>
                              </w:rPr>
                            </w:pPr>
                            <w:r w:rsidRPr="00A717CB">
                              <w:rPr>
                                <w:szCs w:val="24"/>
                              </w:rPr>
                              <w:t>the lack of detail in provisions to identify and provide support to victims</w:t>
                            </w:r>
                          </w:p>
                          <w:p w14:paraId="7FCC9DF9" w14:textId="77777777" w:rsidR="00AE42CD" w:rsidRDefault="00AE42CD" w:rsidP="001A0590">
                            <w:pPr>
                              <w:pStyle w:val="NoSpacing"/>
                              <w:numPr>
                                <w:ilvl w:val="0"/>
                                <w:numId w:val="50"/>
                              </w:numPr>
                              <w:rPr>
                                <w:szCs w:val="24"/>
                              </w:rPr>
                            </w:pPr>
                            <w:r w:rsidRPr="00A717CB">
                              <w:rPr>
                                <w:szCs w:val="24"/>
                              </w:rPr>
                              <w:t>gaps in criminal legislation</w:t>
                            </w:r>
                            <w:r>
                              <w:rPr>
                                <w:szCs w:val="24"/>
                              </w:rPr>
                              <w:t>,</w:t>
                            </w:r>
                            <w:r w:rsidRPr="00A717CB">
                              <w:rPr>
                                <w:szCs w:val="24"/>
                              </w:rPr>
                              <w:t xml:space="preserve"> and </w:t>
                            </w:r>
                          </w:p>
                          <w:p w14:paraId="67D567AB" w14:textId="77777777" w:rsidR="00AE42CD" w:rsidRDefault="00AE42CD" w:rsidP="001A0590">
                            <w:pPr>
                              <w:pStyle w:val="NoSpacing"/>
                              <w:numPr>
                                <w:ilvl w:val="0"/>
                                <w:numId w:val="50"/>
                              </w:numPr>
                              <w:rPr>
                                <w:szCs w:val="24"/>
                              </w:rPr>
                            </w:pPr>
                            <w:r w:rsidRPr="00A717CB">
                              <w:rPr>
                                <w:szCs w:val="24"/>
                              </w:rPr>
                              <w:t xml:space="preserve">limitations in the powers and resources of the Anti-Slavery Commissioner. </w:t>
                            </w:r>
                          </w:p>
                          <w:p w14:paraId="00F70209" w14:textId="77777777" w:rsidR="00AE42CD" w:rsidRDefault="00AE42CD" w:rsidP="001A0590">
                            <w:pPr>
                              <w:pStyle w:val="NoSpacing"/>
                              <w:rPr>
                                <w:szCs w:val="24"/>
                              </w:rPr>
                            </w:pPr>
                          </w:p>
                          <w:p w14:paraId="702B5557" w14:textId="1F15D0DD" w:rsidR="00AE42CD" w:rsidRDefault="00AE42CD" w:rsidP="001A0590">
                            <w:pPr>
                              <w:spacing w:line="240" w:lineRule="auto"/>
                            </w:pPr>
                            <w:r w:rsidRPr="00A717CB">
                              <w:rPr>
                                <w:szCs w:val="24"/>
                              </w:rPr>
                              <w:t xml:space="preserve">The Committee </w:t>
                            </w:r>
                            <w:r>
                              <w:rPr>
                                <w:szCs w:val="24"/>
                              </w:rPr>
                              <w:t xml:space="preserve">also </w:t>
                            </w:r>
                            <w:r w:rsidRPr="00A717CB">
                              <w:rPr>
                                <w:szCs w:val="24"/>
                              </w:rPr>
                              <w:t>requested information on reports that abuse of migrant domestic workers has increased since the introduction of the ‘tied visa’ in 2012.</w:t>
                            </w:r>
                          </w:p>
                        </w:txbxContent>
                      </wps:txbx>
                      <wps:bodyPr rot="0" vert="horz" wrap="square" lIns="91440" tIns="45720" rIns="91440" bIns="45720" anchor="t" anchorCtr="0">
                        <a:noAutofit/>
                      </wps:bodyPr>
                    </wps:wsp>
                  </a:graphicData>
                </a:graphic>
              </wp:inline>
            </w:drawing>
          </mc:Choice>
          <mc:Fallback>
            <w:pict>
              <v:shape w14:anchorId="75343F42" id="_x0000_s1029" type="#_x0000_t202" style="width:436.5pt;height:14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" fillcolor="#f8d4eb" stroked="f">
                <v:textbox>
                  <w:txbxContent>
                    <w:p w14:paraId="36AE0C95" w14:textId="77777777" w:rsidR="00AE42CD" w:rsidRDefault="00AE42CD" w:rsidP="001A0590">
                      <w:pPr>
                        <w:pStyle w:val="NoSpacing"/>
                        <w:rPr>
                          <w:szCs w:val="24"/>
                        </w:rPr>
                      </w:pPr>
                      <w:r w:rsidRPr="00A717CB">
                        <w:rPr>
                          <w:szCs w:val="24"/>
                        </w:rPr>
                        <w:t>In its 2016 list of issues, the Committee requested information on</w:t>
                      </w:r>
                      <w:r>
                        <w:rPr>
                          <w:szCs w:val="24"/>
                        </w:rPr>
                        <w:t>:</w:t>
                      </w:r>
                      <w:r w:rsidRPr="00A717CB">
                        <w:rPr>
                          <w:szCs w:val="24"/>
                        </w:rPr>
                        <w:t xml:space="preserve"> </w:t>
                      </w:r>
                    </w:p>
                    <w:p w14:paraId="4E257284" w14:textId="77777777" w:rsidR="00AE42CD" w:rsidRDefault="00AE42CD" w:rsidP="001A0590">
                      <w:pPr>
                        <w:pStyle w:val="NoSpacing"/>
                        <w:numPr>
                          <w:ilvl w:val="0"/>
                          <w:numId w:val="50"/>
                        </w:numPr>
                        <w:rPr>
                          <w:szCs w:val="24"/>
                        </w:rPr>
                      </w:pPr>
                      <w:r w:rsidRPr="00A717CB">
                        <w:rPr>
                          <w:szCs w:val="24"/>
                        </w:rPr>
                        <w:t>measures adopted to prevent, combat and criminalise trafficking, including the Modern Slavery Act 2015</w:t>
                      </w:r>
                    </w:p>
                    <w:p w14:paraId="0DA7093F" w14:textId="77777777" w:rsidR="00AE42CD" w:rsidRDefault="00AE42CD" w:rsidP="001A0590">
                      <w:pPr>
                        <w:pStyle w:val="NoSpacing"/>
                        <w:numPr>
                          <w:ilvl w:val="0"/>
                          <w:numId w:val="50"/>
                        </w:numPr>
                        <w:rPr>
                          <w:szCs w:val="24"/>
                        </w:rPr>
                      </w:pPr>
                      <w:r w:rsidRPr="00A717CB">
                        <w:rPr>
                          <w:szCs w:val="24"/>
                        </w:rPr>
                        <w:t>measures to ensure victims of trafficking have access to effective remedies and reparation</w:t>
                      </w:r>
                    </w:p>
                    <w:p w14:paraId="5C1A80D0" w14:textId="77777777" w:rsidR="00AE42CD" w:rsidRDefault="00AE42CD" w:rsidP="001A0590">
                      <w:pPr>
                        <w:pStyle w:val="NoSpacing"/>
                        <w:numPr>
                          <w:ilvl w:val="0"/>
                          <w:numId w:val="50"/>
                        </w:numPr>
                        <w:rPr>
                          <w:szCs w:val="24"/>
                        </w:rPr>
                      </w:pPr>
                      <w:r w:rsidRPr="00A717CB">
                        <w:rPr>
                          <w:szCs w:val="24"/>
                        </w:rPr>
                        <w:t>the lack of detail in provisions to identify and provide support to victims</w:t>
                      </w:r>
                    </w:p>
                    <w:p w14:paraId="7FCC9DF9" w14:textId="77777777" w:rsidR="00AE42CD" w:rsidRDefault="00AE42CD" w:rsidP="001A0590">
                      <w:pPr>
                        <w:pStyle w:val="NoSpacing"/>
                        <w:numPr>
                          <w:ilvl w:val="0"/>
                          <w:numId w:val="50"/>
                        </w:numPr>
                        <w:rPr>
                          <w:szCs w:val="24"/>
                        </w:rPr>
                      </w:pPr>
                      <w:r w:rsidRPr="00A717CB">
                        <w:rPr>
                          <w:szCs w:val="24"/>
                        </w:rPr>
                        <w:t>gaps in criminal legislation</w:t>
                      </w:r>
                      <w:r>
                        <w:rPr>
                          <w:szCs w:val="24"/>
                        </w:rPr>
                        <w:t>,</w:t>
                      </w:r>
                      <w:r w:rsidRPr="00A717CB">
                        <w:rPr>
                          <w:szCs w:val="24"/>
                        </w:rPr>
                        <w:t xml:space="preserve"> and </w:t>
                      </w:r>
                    </w:p>
                    <w:p w14:paraId="67D567AB" w14:textId="77777777" w:rsidR="00AE42CD" w:rsidRDefault="00AE42CD" w:rsidP="001A0590">
                      <w:pPr>
                        <w:pStyle w:val="NoSpacing"/>
                        <w:numPr>
                          <w:ilvl w:val="0"/>
                          <w:numId w:val="50"/>
                        </w:numPr>
                        <w:rPr>
                          <w:szCs w:val="24"/>
                        </w:rPr>
                      </w:pPr>
                      <w:r w:rsidRPr="00A717CB">
                        <w:rPr>
                          <w:szCs w:val="24"/>
                        </w:rPr>
                        <w:t xml:space="preserve">limitations in the powers and resources of the Anti-Slavery Commissioner. </w:t>
                      </w:r>
                    </w:p>
                    <w:p w14:paraId="00F70209" w14:textId="77777777" w:rsidR="00AE42CD" w:rsidRDefault="00AE42CD" w:rsidP="001A0590">
                      <w:pPr>
                        <w:pStyle w:val="NoSpacing"/>
                        <w:rPr>
                          <w:szCs w:val="24"/>
                        </w:rPr>
                      </w:pPr>
                    </w:p>
                    <w:p w14:paraId="702B5557" w14:textId="1F15D0DD" w:rsidR="00AE42CD" w:rsidRDefault="00AE42CD" w:rsidP="001A0590">
                      <w:pPr>
                        <w:spacing w:line="240" w:lineRule="auto"/>
                      </w:pPr>
                      <w:r w:rsidRPr="00A717CB">
                        <w:rPr>
                          <w:szCs w:val="24"/>
                        </w:rPr>
                        <w:t xml:space="preserve">The Committee </w:t>
                      </w:r>
                      <w:r>
                        <w:rPr>
                          <w:szCs w:val="24"/>
                        </w:rPr>
                        <w:t xml:space="preserve">also </w:t>
                      </w:r>
                      <w:r w:rsidRPr="00A717CB">
                        <w:rPr>
                          <w:szCs w:val="24"/>
                        </w:rPr>
                        <w:t>requested information on reports that abuse of migrant domestic workers has increased since the introduction of the ‘tied visa’ in 2012.</w:t>
                      </w:r>
                    </w:p>
                  </w:txbxContent>
                </v:textbox>
                <w10:anchorlock/>
              </v:shape>
            </w:pict>
          </mc:Fallback>
        </mc:AlternateContent>
      </w:r>
    </w:p>
    <w:p w14:paraId="48D1A97A" w14:textId="29F67291" w:rsidR="00C32DAA" w:rsidRPr="00A717CB" w:rsidRDefault="00C32DAA" w:rsidP="001A0590">
      <w:pPr>
        <w:pStyle w:val="Parabeforenewsubsection"/>
        <w:spacing w:line="240" w:lineRule="auto"/>
      </w:pPr>
      <w:r w:rsidRPr="00A717CB">
        <w:t>The Modern Slavery Act (MSA) came into force in 2015, with the majority of provisions extending to England and Wales only.</w:t>
      </w:r>
      <w:r w:rsidRPr="00A717CB">
        <w:rPr>
          <w:vertAlign w:val="superscript"/>
        </w:rPr>
        <w:footnoteReference w:id="76"/>
      </w:r>
      <w:r w:rsidRPr="00A717CB">
        <w:t xml:space="preserve"> Since the MSA came into force, there has been a growing number of referrals of potential victims of trafficking to the National Referral Mechanism (NRM), the mechanism through which victims of human trafficking or modern slavery are identified and receive support. However, the number of people referred to the NRM is still small compared to the Home Office’s estimate of 10,000-13,000 victims in the UK,</w:t>
      </w:r>
      <w:r w:rsidRPr="00A717CB">
        <w:rPr>
          <w:rStyle w:val="FootnoteReference"/>
        </w:rPr>
        <w:footnoteReference w:id="77"/>
      </w:r>
      <w:r w:rsidRPr="00A717CB">
        <w:t xml:space="preserve"> which the </w:t>
      </w:r>
      <w:r>
        <w:t xml:space="preserve">Independent </w:t>
      </w:r>
      <w:r w:rsidRPr="00A717CB">
        <w:t xml:space="preserve">Anti-Slavery Commissioner </w:t>
      </w:r>
      <w:r>
        <w:t xml:space="preserve">at the time </w:t>
      </w:r>
      <w:r w:rsidRPr="00A717CB">
        <w:t>consider</w:t>
      </w:r>
      <w:r>
        <w:t>ed was</w:t>
      </w:r>
      <w:r w:rsidRPr="00A717CB">
        <w:t xml:space="preserve"> far too low.</w:t>
      </w:r>
      <w:r w:rsidRPr="00A717CB">
        <w:rPr>
          <w:vertAlign w:val="superscript"/>
        </w:rPr>
        <w:footnoteReference w:id="78"/>
      </w:r>
      <w:r w:rsidRPr="00A717CB">
        <w:t xml:space="preserve"> Moreover, </w:t>
      </w:r>
      <w:r w:rsidR="00F61E04">
        <w:t xml:space="preserve">the </w:t>
      </w:r>
      <w:r w:rsidRPr="00A717CB">
        <w:t xml:space="preserve">increasing </w:t>
      </w:r>
      <w:r w:rsidR="004D289E">
        <w:t xml:space="preserve">number of </w:t>
      </w:r>
      <w:r w:rsidRPr="00A717CB">
        <w:t xml:space="preserve">referrals </w:t>
      </w:r>
      <w:r w:rsidR="004D289E">
        <w:t>is</w:t>
      </w:r>
      <w:r w:rsidR="004D289E" w:rsidRPr="00A717CB">
        <w:t xml:space="preserve"> </w:t>
      </w:r>
      <w:r w:rsidRPr="00A717CB">
        <w:t>not translating into increasing numbers of investigations, prosecutions and convictions, which have remained relatively static between 2014 and 2016.</w:t>
      </w:r>
      <w:r w:rsidRPr="00A717CB">
        <w:rPr>
          <w:vertAlign w:val="superscript"/>
        </w:rPr>
        <w:footnoteReference w:id="79"/>
      </w:r>
    </w:p>
    <w:p w14:paraId="1FE8578E" w14:textId="77777777" w:rsidR="00C32DAA" w:rsidRPr="00A717CB" w:rsidRDefault="00C32DAA" w:rsidP="00026875">
      <w:pPr>
        <w:pStyle w:val="Title-subsections"/>
      </w:pPr>
      <w:bookmarkStart w:id="26" w:name="_Toc4061388"/>
      <w:r w:rsidRPr="00A717CB">
        <w:t>Addressing shortcomings in the Modern Slavery Act</w:t>
      </w:r>
      <w:bookmarkEnd w:id="26"/>
    </w:p>
    <w:p w14:paraId="2F739FA7" w14:textId="77777777" w:rsidR="00C32DAA" w:rsidRPr="00A717CB" w:rsidRDefault="00C32DAA" w:rsidP="001A0590">
      <w:pPr>
        <w:pStyle w:val="Parabeforebulletss"/>
        <w:spacing w:line="240" w:lineRule="auto"/>
      </w:pPr>
      <w:r w:rsidRPr="00A717CB">
        <w:t>We have repeatedly identified important weaknesses in the MSA that may hinder its effectiveness.</w:t>
      </w:r>
      <w:r w:rsidRPr="00A717CB">
        <w:rPr>
          <w:vertAlign w:val="superscript"/>
        </w:rPr>
        <w:footnoteReference w:id="80"/>
      </w:r>
      <w:r w:rsidRPr="00A717CB">
        <w:t xml:space="preserve"> These include:</w:t>
      </w:r>
    </w:p>
    <w:p w14:paraId="01C0A4EF" w14:textId="16BEF535" w:rsidR="00C32DAA" w:rsidRPr="00A717CB" w:rsidRDefault="00C32DAA" w:rsidP="001A0590">
      <w:pPr>
        <w:pStyle w:val="Bullet-followedbyothers"/>
        <w:spacing w:line="240" w:lineRule="auto"/>
      </w:pPr>
      <w:r w:rsidRPr="00A717CB">
        <w:t xml:space="preserve">Insufficient safeguards for victims: the MSA does not establish a clear obligation </w:t>
      </w:r>
      <w:r w:rsidR="004D289E" w:rsidRPr="00A717CB">
        <w:t>o</w:t>
      </w:r>
      <w:r w:rsidR="004D289E">
        <w:t>f</w:t>
      </w:r>
      <w:r w:rsidR="004D289E" w:rsidRPr="00A717CB">
        <w:t xml:space="preserve"> </w:t>
      </w:r>
      <w:r w:rsidRPr="00A717CB">
        <w:t>non-prosecution of child victims or make it clear that a child cannot consent to his or her own exploitation.</w:t>
      </w:r>
      <w:r w:rsidRPr="00A717CB">
        <w:rPr>
          <w:vertAlign w:val="superscript"/>
        </w:rPr>
        <w:footnoteReference w:id="81"/>
      </w:r>
      <w:r w:rsidRPr="00A717CB">
        <w:t xml:space="preserve"> Although </w:t>
      </w:r>
      <w:r>
        <w:t>the number of children referred to the NRM increased substantially in 2017</w:t>
      </w:r>
      <w:r w:rsidR="004D289E">
        <w:t>,</w:t>
      </w:r>
      <w:r>
        <w:t xml:space="preserve"> suggesting greater awareness of child exploitation,</w:t>
      </w:r>
      <w:r>
        <w:rPr>
          <w:rStyle w:val="FootnoteReference"/>
        </w:rPr>
        <w:footnoteReference w:id="82"/>
      </w:r>
      <w:r>
        <w:t xml:space="preserve"> reports suggest that </w:t>
      </w:r>
      <w:r w:rsidRPr="00A717CB">
        <w:t xml:space="preserve">trafficked children continue to be arrested, </w:t>
      </w:r>
      <w:r w:rsidRPr="00A717CB">
        <w:lastRenderedPageBreak/>
        <w:t>including those involved in so-called ‘county lines’ activity, where organised crime networks exploit children to sell drugs.</w:t>
      </w:r>
      <w:r w:rsidRPr="00A717CB">
        <w:rPr>
          <w:rStyle w:val="FootnoteReference"/>
        </w:rPr>
        <w:footnoteReference w:id="83"/>
      </w:r>
      <w:r w:rsidRPr="00A717CB">
        <w:t xml:space="preserve"> </w:t>
      </w:r>
    </w:p>
    <w:p w14:paraId="56842171" w14:textId="77777777" w:rsidR="00C32DAA" w:rsidRPr="00A717CB" w:rsidRDefault="00C32DAA" w:rsidP="001A0590">
      <w:pPr>
        <w:pStyle w:val="Bullet-followedbyothers"/>
        <w:spacing w:line="240" w:lineRule="auto"/>
      </w:pPr>
      <w:r w:rsidRPr="00A717CB">
        <w:t>Absence of an explicit legal duty to provide victims with support:</w:t>
      </w:r>
      <w:r w:rsidRPr="00A717CB">
        <w:rPr>
          <w:b/>
        </w:rPr>
        <w:t xml:space="preserve"> </w:t>
      </w:r>
      <w:r w:rsidRPr="00A717CB">
        <w:t>unlike the equivalent Acts in Scotland and Northern Ireland, the MSA does not set out victims’ support entitlements. Instead, it establishes that arrangements for supporting victims shall be set out in guidance, which may be revised.</w:t>
      </w:r>
      <w:r w:rsidRPr="00A717CB">
        <w:rPr>
          <w:vertAlign w:val="superscript"/>
        </w:rPr>
        <w:footnoteReference w:id="84"/>
      </w:r>
      <w:r w:rsidRPr="00A717CB">
        <w:t xml:space="preserve"> Withdrawal from the EU, and from the obligation to uphold the 2011 EU Trafficking Directive, may result in a regression of the rights of victims to support and assistance.</w:t>
      </w:r>
      <w:r w:rsidRPr="00A717CB">
        <w:rPr>
          <w:vertAlign w:val="superscript"/>
        </w:rPr>
        <w:footnoteReference w:id="85"/>
      </w:r>
    </w:p>
    <w:p w14:paraId="2603C3DF" w14:textId="77777777" w:rsidR="00C32DAA" w:rsidRPr="00A717CB" w:rsidRDefault="00C32DAA" w:rsidP="001A0590">
      <w:pPr>
        <w:pStyle w:val="Bullet-lastingroup"/>
        <w:spacing w:line="240" w:lineRule="auto"/>
      </w:pPr>
      <w:r w:rsidRPr="00A717CB">
        <w:t>Access to a remedy: the MSA saw the introduction of reparation orders under which victims of slavery and trafficking can be compensated. However, to date, no reparation orders have been awarded as these rely on convictions for trafficking offences, of which there have been very few.</w:t>
      </w:r>
      <w:r w:rsidRPr="00A717CB">
        <w:rPr>
          <w:rStyle w:val="FootnoteReference"/>
        </w:rPr>
        <w:footnoteReference w:id="86"/>
      </w:r>
      <w:r w:rsidRPr="00A717CB">
        <w:t xml:space="preserve"> </w:t>
      </w:r>
    </w:p>
    <w:p w14:paraId="73058E23" w14:textId="0DEF480B" w:rsidR="00C32DAA" w:rsidRPr="00A717CB" w:rsidRDefault="00C32DAA" w:rsidP="001A0590">
      <w:pPr>
        <w:pStyle w:val="Parabeforeanother"/>
        <w:spacing w:line="240" w:lineRule="auto"/>
      </w:pPr>
      <w:r w:rsidRPr="00A717CB">
        <w:t>Victims of trafficking may apply for compensation through the Criminal Injuries Compensation Authority (CICA). However, CICA only covers sustained physical or mental injuries which result from ‘violent crime’, whereas many victims of trafficking are subjected to psychological control. Victims may sue offenders in civil courts, but there is no specific civil remedy for trafficking so victims must rely on other causes of action.</w:t>
      </w:r>
      <w:r w:rsidRPr="00A717CB">
        <w:rPr>
          <w:vertAlign w:val="superscript"/>
        </w:rPr>
        <w:footnoteReference w:id="87"/>
      </w:r>
      <w:r w:rsidRPr="00A717CB">
        <w:t xml:space="preserve"> However, these other routes are not always successful. For example, in </w:t>
      </w:r>
      <w:r w:rsidRPr="00A717CB">
        <w:rPr>
          <w:i/>
          <w:iCs/>
        </w:rPr>
        <w:t>Taiwo v Olaigbe</w:t>
      </w:r>
      <w:r w:rsidRPr="00A717CB">
        <w:t xml:space="preserve">, the appellants, who were abused by their employers, made a claim for race discrimination – which would have entitled them to damages. This claim was dismissed by the Supreme Court. However, the Court stated that Parliament might wish to consider extending the remedy under the MSA 2015 to give </w:t>
      </w:r>
      <w:r w:rsidR="004D289E" w:rsidRPr="00A717CB">
        <w:t>employment tribunals</w:t>
      </w:r>
      <w:r w:rsidRPr="00A717CB">
        <w:t xml:space="preserve"> jurisdiction to grant compensation for ill-treatment </w:t>
      </w:r>
      <w:r w:rsidR="004D289E">
        <w:t>of</w:t>
      </w:r>
      <w:r w:rsidRPr="00A717CB">
        <w:t xml:space="preserve"> workers.</w:t>
      </w:r>
      <w:r w:rsidRPr="00A717CB">
        <w:rPr>
          <w:rStyle w:val="FootnoteReference"/>
        </w:rPr>
        <w:footnoteReference w:id="88"/>
      </w:r>
    </w:p>
    <w:p w14:paraId="7E17F111" w14:textId="1DCD8328" w:rsidR="00C32DAA" w:rsidRPr="00A717CB" w:rsidRDefault="00C32DAA" w:rsidP="001A0590">
      <w:pPr>
        <w:pStyle w:val="Parabeforeanother"/>
        <w:spacing w:line="240" w:lineRule="auto"/>
      </w:pPr>
      <w:r w:rsidRPr="00A717CB">
        <w:t xml:space="preserve">While the EHRC welcomed the UK Government’s decision in October 2017 to increase the minimum period of ‘move on’ support </w:t>
      </w:r>
      <w:r w:rsidR="004D289E">
        <w:t xml:space="preserve">(from 14 to 45 days) </w:t>
      </w:r>
      <w:r w:rsidRPr="00A717CB">
        <w:t>for recognised victims of trafficking and modern slavery,</w:t>
      </w:r>
      <w:r w:rsidRPr="00A717CB">
        <w:rPr>
          <w:vertAlign w:val="superscript"/>
        </w:rPr>
        <w:footnoteReference w:id="89"/>
      </w:r>
      <w:r w:rsidRPr="00A717CB">
        <w:t xml:space="preserve"> concerns have been expressed that this support is still not sufficient to ensure that victims are adequately supported and protected from the risk of homelessness and re-trafficking.</w:t>
      </w:r>
      <w:r w:rsidRPr="00A717CB">
        <w:rPr>
          <w:vertAlign w:val="superscript"/>
        </w:rPr>
        <w:t xml:space="preserve"> </w:t>
      </w:r>
      <w:r w:rsidRPr="00A717CB">
        <w:rPr>
          <w:vertAlign w:val="superscript"/>
        </w:rPr>
        <w:footnoteReference w:id="90"/>
      </w:r>
    </w:p>
    <w:p w14:paraId="3B734DB6" w14:textId="3B86ABEA" w:rsidR="00C32DAA" w:rsidRPr="00A717CB" w:rsidRDefault="00C32DAA" w:rsidP="001A0590">
      <w:pPr>
        <w:pStyle w:val="Parabeforenewsubsection"/>
        <w:spacing w:line="240" w:lineRule="auto"/>
      </w:pPr>
      <w:r w:rsidRPr="00A717CB">
        <w:t xml:space="preserve">In </w:t>
      </w:r>
      <w:r>
        <w:t>July</w:t>
      </w:r>
      <w:r w:rsidRPr="00A717CB">
        <w:t xml:space="preserve"> 2018, the UK Government announced an independent review of the operation and effectiveness of the MSA. This will look at the definition of modern slavery offences, access to legal remedies and compensation for victims, </w:t>
      </w:r>
      <w:r>
        <w:t xml:space="preserve">the role of the Independent Anti-Slavery Commissioner, provisions relating to transparency in </w:t>
      </w:r>
      <w:r>
        <w:lastRenderedPageBreak/>
        <w:t>supply chains</w:t>
      </w:r>
      <w:r w:rsidR="004D289E">
        <w:t>,</w:t>
      </w:r>
      <w:r>
        <w:t xml:space="preserve"> </w:t>
      </w:r>
      <w:r w:rsidRPr="00A717CB">
        <w:t xml:space="preserve">and whether existing safeguards against criminal prosecution for victims, including child victims, need to be strengthened. The review will also consider </w:t>
      </w:r>
      <w:r>
        <w:t>whether the provisions in the Act regarding independent child trafficking advocates are appropriate</w:t>
      </w:r>
      <w:r w:rsidRPr="00A717CB">
        <w:t xml:space="preserve">. Although </w:t>
      </w:r>
      <w:r>
        <w:t>victim</w:t>
      </w:r>
      <w:r w:rsidRPr="00A717CB">
        <w:t xml:space="preserve"> support entitlements are not expressly listed in the review’s terms of reference, it is hoped that the independent reviewers will consider this matter.</w:t>
      </w:r>
      <w:r w:rsidRPr="00A717CB">
        <w:rPr>
          <w:vertAlign w:val="superscript"/>
        </w:rPr>
        <w:footnoteReference w:id="91"/>
      </w:r>
    </w:p>
    <w:p w14:paraId="2EB0B5D0" w14:textId="77777777" w:rsidR="00C32DAA" w:rsidRPr="00BA35C5" w:rsidRDefault="00C32DAA" w:rsidP="00BA35C5">
      <w:pPr>
        <w:pStyle w:val="Title-subsections"/>
      </w:pPr>
      <w:bookmarkStart w:id="27" w:name="_Toc4061389"/>
      <w:r w:rsidRPr="00BA35C5">
        <w:t>Abuse of migrant domestic workers</w:t>
      </w:r>
      <w:bookmarkEnd w:id="27"/>
    </w:p>
    <w:p w14:paraId="4C3BC50D" w14:textId="77777777" w:rsidR="00C32DAA" w:rsidRPr="00A717CB" w:rsidRDefault="00C32DAA" w:rsidP="001A0590">
      <w:pPr>
        <w:pStyle w:val="Parabeforeanother"/>
        <w:spacing w:line="240" w:lineRule="auto"/>
      </w:pPr>
      <w:r w:rsidRPr="00A717CB">
        <w:t xml:space="preserve">There are particular problems with the operation of the MSA in relation to overseas domestic workers. The MSA contained provisions allowing for an extension of an overseas domestic worker’s visa for a minimum of six months where there is a conclusive decision by the NRM that they are a victim of trafficking or that they have been enslaved and exploited. </w:t>
      </w:r>
    </w:p>
    <w:p w14:paraId="2C03716B" w14:textId="77777777" w:rsidR="00C32DAA" w:rsidRPr="00A717CB" w:rsidRDefault="00C32DAA" w:rsidP="001A0590">
      <w:pPr>
        <w:pStyle w:val="Parabeforenewsubsection"/>
        <w:spacing w:line="240" w:lineRule="auto"/>
      </w:pPr>
      <w:r w:rsidRPr="00A717CB">
        <w:t>In March 2016, following criticism that this did not provide overseas workers who are victims of trafficking with sufficient time to find new employment,</w:t>
      </w:r>
      <w:r w:rsidRPr="00A717CB">
        <w:rPr>
          <w:rStyle w:val="FootnoteReference"/>
        </w:rPr>
        <w:footnoteReference w:id="92"/>
      </w:r>
      <w:r w:rsidRPr="00A717CB">
        <w:t xml:space="preserve"> the Government amended the immigration rules to increase the length of a visa granted to a recognised victim of trafficking from 6 months to 2 years.</w:t>
      </w:r>
      <w:r w:rsidRPr="00A717CB">
        <w:rPr>
          <w:vertAlign w:val="superscript"/>
        </w:rPr>
        <w:footnoteReference w:id="93"/>
      </w:r>
      <w:r w:rsidRPr="00A717CB">
        <w:t xml:space="preserve"> This extension has been welcomed, but civil society organisations are concerned that it will do little to persuade domestic workers to leave their abusive employers and enter the NRM, given the difficulties these workers face in finding alternative employment, and in providing sufficient evidence to the NRM that they are victims of trafficking.</w:t>
      </w:r>
      <w:r w:rsidRPr="00A717CB">
        <w:rPr>
          <w:rStyle w:val="FootnoteReference"/>
          <w:bCs/>
        </w:rPr>
        <w:footnoteReference w:id="94"/>
      </w:r>
      <w:r w:rsidRPr="00A717CB">
        <w:t xml:space="preserve"> </w:t>
      </w:r>
    </w:p>
    <w:p w14:paraId="25DFEFF7" w14:textId="77777777" w:rsidR="00C32DAA" w:rsidRPr="00A717CB" w:rsidRDefault="00C32DAA" w:rsidP="00BA35C5">
      <w:pPr>
        <w:pStyle w:val="Title-subsections"/>
      </w:pPr>
      <w:bookmarkStart w:id="28" w:name="_Toc4061390"/>
      <w:r w:rsidRPr="00A717CB">
        <w:t xml:space="preserve">Weakness in the powers of the </w:t>
      </w:r>
      <w:r>
        <w:t xml:space="preserve">Independent </w:t>
      </w:r>
      <w:r w:rsidRPr="00A717CB">
        <w:t>Anti-Slavery Commissioner</w:t>
      </w:r>
      <w:bookmarkEnd w:id="28"/>
    </w:p>
    <w:p w14:paraId="1B059526" w14:textId="3324719B" w:rsidR="00C32DAA" w:rsidRPr="00A717CB" w:rsidRDefault="00057AC4" w:rsidP="001A0590">
      <w:pPr>
        <w:pStyle w:val="Parabeforenewsubsection"/>
        <w:spacing w:line="240" w:lineRule="auto"/>
      </w:pPr>
      <w:r>
        <w:t xml:space="preserve">The </w:t>
      </w:r>
      <w:r w:rsidR="00C32DAA" w:rsidRPr="00A717CB">
        <w:t xml:space="preserve">EHRC and civil society organisations have been calling on the Government to strengthen the powers and resources of the </w:t>
      </w:r>
      <w:r w:rsidR="00C32DAA">
        <w:t xml:space="preserve">Independent </w:t>
      </w:r>
      <w:r w:rsidR="00C32DAA" w:rsidRPr="00A717CB">
        <w:t xml:space="preserve">Anti-Slavery Commissioner since </w:t>
      </w:r>
      <w:r w:rsidR="00AC2F6A">
        <w:t xml:space="preserve">the </w:t>
      </w:r>
      <w:r w:rsidR="00C32DAA" w:rsidRPr="00A717CB">
        <w:t xml:space="preserve">establishment </w:t>
      </w:r>
      <w:r w:rsidR="00AC2F6A">
        <w:t xml:space="preserve">of this role </w:t>
      </w:r>
      <w:r w:rsidR="00C32DAA">
        <w:t xml:space="preserve">in </w:t>
      </w:r>
      <w:r w:rsidR="00C32DAA" w:rsidRPr="00A717CB">
        <w:t>2015.</w:t>
      </w:r>
      <w:r w:rsidR="00C32DAA" w:rsidRPr="00A717CB">
        <w:rPr>
          <w:vertAlign w:val="superscript"/>
        </w:rPr>
        <w:footnoteReference w:id="95"/>
      </w:r>
      <w:r w:rsidR="00C32DAA" w:rsidRPr="00A717CB">
        <w:t xml:space="preserve"> In May 2018, the Commissioner resigned, citing government interference in his role.</w:t>
      </w:r>
      <w:r w:rsidR="00C32DAA" w:rsidRPr="00A717CB">
        <w:rPr>
          <w:vertAlign w:val="superscript"/>
        </w:rPr>
        <w:footnoteReference w:id="96"/>
      </w:r>
      <w:r w:rsidR="00C32DAA" w:rsidRPr="00A717CB">
        <w:t xml:space="preserve"> </w:t>
      </w:r>
      <w:r w:rsidR="00C32DAA">
        <w:t>A new Commissioner, Sara Thornton, a former police chief constable, has now been appointed and will take up post in May 2019</w:t>
      </w:r>
      <w:r w:rsidR="00C32DAA" w:rsidRPr="00A717CB">
        <w:t xml:space="preserve">. </w:t>
      </w:r>
      <w:r w:rsidR="00C32DAA">
        <w:t xml:space="preserve">Anti-trafficking campaigners have expressed concern about the independence of the new Commissioner, particularly in view of </w:t>
      </w:r>
      <w:r w:rsidR="00C32DAA" w:rsidRPr="00BB51BA">
        <w:rPr>
          <w:lang w:val="en"/>
        </w:rPr>
        <w:t xml:space="preserve">the </w:t>
      </w:r>
      <w:r w:rsidR="00C32DAA">
        <w:rPr>
          <w:lang w:val="en"/>
        </w:rPr>
        <w:t xml:space="preserve">inclusion of </w:t>
      </w:r>
      <w:r w:rsidR="00C32DAA">
        <w:rPr>
          <w:lang w:val="en"/>
        </w:rPr>
        <w:lastRenderedPageBreak/>
        <w:t>annual ‘performance appraisals’ with</w:t>
      </w:r>
      <w:r w:rsidR="00C32DAA" w:rsidRPr="00BB51BA">
        <w:rPr>
          <w:lang w:val="en"/>
        </w:rPr>
        <w:t xml:space="preserve"> the Home Office</w:t>
      </w:r>
      <w:r w:rsidR="00C32DAA">
        <w:rPr>
          <w:lang w:val="en"/>
        </w:rPr>
        <w:t xml:space="preserve"> in the Commissioner’s job specification</w:t>
      </w:r>
      <w:r w:rsidR="00C32DAA" w:rsidRPr="00BB51BA">
        <w:rPr>
          <w:lang w:val="en"/>
        </w:rPr>
        <w:t>.</w:t>
      </w:r>
      <w:r w:rsidR="00C32DAA">
        <w:rPr>
          <w:rStyle w:val="FootnoteReference"/>
          <w:lang w:val="en"/>
        </w:rPr>
        <w:footnoteReference w:id="97"/>
      </w:r>
    </w:p>
    <w:p w14:paraId="2EEA9586" w14:textId="77777777" w:rsidR="00C32DAA" w:rsidRPr="00A717CB" w:rsidRDefault="00C32DAA" w:rsidP="00BA35C5">
      <w:pPr>
        <w:pStyle w:val="Title-subsections"/>
      </w:pPr>
      <w:bookmarkStart w:id="29" w:name="_Toc4061391"/>
      <w:r w:rsidRPr="00A717CB">
        <w:t>Strengthening the operation of the NRM</w:t>
      </w:r>
      <w:bookmarkEnd w:id="29"/>
    </w:p>
    <w:p w14:paraId="7877143C" w14:textId="626773E9" w:rsidR="00C32DAA" w:rsidRPr="00A717CB" w:rsidRDefault="00C32DAA" w:rsidP="001A0590">
      <w:pPr>
        <w:pStyle w:val="Parabeforeanother"/>
        <w:spacing w:line="240" w:lineRule="auto"/>
      </w:pPr>
      <w:r w:rsidRPr="00A717CB">
        <w:t>In October 2017, following a major review of the operation of the NRM,</w:t>
      </w:r>
      <w:r w:rsidRPr="00A717CB">
        <w:rPr>
          <w:rStyle w:val="FootnoteReference"/>
        </w:rPr>
        <w:footnoteReference w:id="98"/>
      </w:r>
      <w:r w:rsidRPr="00A717CB">
        <w:t xml:space="preserve"> the UK Government announced a number of reforms, including the creation of a single, expert unit to handle all cases referred from frontline staff; an independent panel of experts to review all negative decisions; and a new digital system to make it easier to refer victims and enable data to be captured and analysed.</w:t>
      </w:r>
      <w:r w:rsidRPr="00A717CB">
        <w:rPr>
          <w:vertAlign w:val="superscript"/>
        </w:rPr>
        <w:footnoteReference w:id="99"/>
      </w:r>
      <w:r w:rsidRPr="00A717CB">
        <w:t xml:space="preserve"> </w:t>
      </w:r>
      <w:r>
        <w:t xml:space="preserve">The UK Government has announced </w:t>
      </w:r>
      <w:r w:rsidR="009B6AC2">
        <w:t xml:space="preserve">that </w:t>
      </w:r>
      <w:r>
        <w:t>the reforms will be completed by March 2020</w:t>
      </w:r>
      <w:r w:rsidRPr="00A717CB">
        <w:t>.</w:t>
      </w:r>
      <w:r>
        <w:rPr>
          <w:rStyle w:val="FootnoteReference"/>
        </w:rPr>
        <w:footnoteReference w:id="100"/>
      </w:r>
    </w:p>
    <w:p w14:paraId="2253FC7D" w14:textId="05F66017" w:rsidR="00C32DAA" w:rsidRPr="00A717CB" w:rsidRDefault="009B6AC2" w:rsidP="001A0590">
      <w:pPr>
        <w:pStyle w:val="Parabeforenewsubsection"/>
        <w:spacing w:line="240" w:lineRule="auto"/>
      </w:pPr>
      <w:r>
        <w:t>S</w:t>
      </w:r>
      <w:r w:rsidR="00C32DAA" w:rsidRPr="00A717CB">
        <w:t>hortly after announcing the reforms, the UK Government announced a further policy change</w:t>
      </w:r>
      <w:r>
        <w:t>,</w:t>
      </w:r>
      <w:r w:rsidR="00C32DAA" w:rsidRPr="00A717CB">
        <w:t xml:space="preserve"> which was to reduce by almost 42</w:t>
      </w:r>
      <w:r w:rsidR="00DD2881">
        <w:t xml:space="preserve"> per cent</w:t>
      </w:r>
      <w:r w:rsidR="00C32DAA" w:rsidRPr="00A717CB">
        <w:t xml:space="preserve"> subsistence support payments provided to potential victims of trafficking who are also applying for asylum in the UK. The High Court recently overturned this decision, ruling it discriminatory.</w:t>
      </w:r>
      <w:r w:rsidR="00C32DAA" w:rsidRPr="00A717CB">
        <w:rPr>
          <w:rStyle w:val="FootnoteReference"/>
        </w:rPr>
        <w:footnoteReference w:id="101"/>
      </w:r>
      <w:r w:rsidR="00C32DAA" w:rsidRPr="00A717CB">
        <w:t xml:space="preserve"> </w:t>
      </w:r>
    </w:p>
    <w:p w14:paraId="1BC1E76B" w14:textId="77777777" w:rsidR="00C32DAA" w:rsidRPr="00A717CB" w:rsidRDefault="00C32DAA" w:rsidP="00BA35C5">
      <w:pPr>
        <w:pStyle w:val="Title-subsections"/>
      </w:pPr>
      <w:bookmarkStart w:id="30" w:name="_Toc4061392"/>
      <w:r w:rsidRPr="00A717CB">
        <w:t>Reporting obligations</w:t>
      </w:r>
      <w:bookmarkEnd w:id="30"/>
    </w:p>
    <w:p w14:paraId="78D7C670" w14:textId="76A03CAC" w:rsidR="00C32DAA" w:rsidRPr="00A717CB" w:rsidRDefault="00C32DAA" w:rsidP="001A0590">
      <w:pPr>
        <w:pStyle w:val="Parabeforeanother"/>
        <w:spacing w:line="240" w:lineRule="auto"/>
      </w:pPr>
      <w:r w:rsidRPr="00A717CB">
        <w:t>Tackling slavery is a not a devolved responsibility but much of the support for the consequences of slavery falls to devolved services. The Welsh Government appointed an Anti-Slavery Co-ordinator in 2011 and established the Wales Anti-Slavery Leadership Group to provide strategic leadership and guidance on how to tackle slavery in Wales and to provide support for survivors. It is difficult to tell yet what impact this has had on survivors of modern slavery.</w:t>
      </w:r>
      <w:r w:rsidR="00EB2214">
        <w:t xml:space="preserve"> </w:t>
      </w:r>
    </w:p>
    <w:p w14:paraId="677D99C6" w14:textId="01C552C2" w:rsidR="009B6AC2" w:rsidRPr="00857BF1" w:rsidRDefault="00C32DAA" w:rsidP="00857BF1">
      <w:pPr>
        <w:pStyle w:val="Parabeforenewsection"/>
        <w:spacing w:after="420" w:line="240" w:lineRule="auto"/>
      </w:pPr>
      <w:r w:rsidRPr="00A717CB">
        <w:t>In March 201</w:t>
      </w:r>
      <w:r>
        <w:t>7</w:t>
      </w:r>
      <w:r w:rsidRPr="00A717CB">
        <w:t xml:space="preserve">, the Welsh Government launched its Code of Practice for Ethical Employment in Supply Chains, which aims to make supply chains transparent and prevent exploitation of workers. The </w:t>
      </w:r>
      <w:r w:rsidR="009B6AC2">
        <w:t>c</w:t>
      </w:r>
      <w:r w:rsidR="009B6AC2" w:rsidRPr="00A717CB">
        <w:t xml:space="preserve">ode </w:t>
      </w:r>
      <w:r w:rsidRPr="00A717CB">
        <w:t xml:space="preserve">goes further than the reporting obligations in the MSA by including all sectors and not imposing a minimum turnover threshold. All businesses, public and third sector organisations in Wales in receipt of Welsh public sector funding are expected to sign up to the </w:t>
      </w:r>
      <w:r w:rsidR="009B6AC2">
        <w:t>c</w:t>
      </w:r>
      <w:r w:rsidR="009B6AC2" w:rsidRPr="00A717CB">
        <w:t>ode</w:t>
      </w:r>
      <w:r w:rsidRPr="00A717CB">
        <w:t>.</w:t>
      </w:r>
      <w:r w:rsidRPr="00A717CB">
        <w:rPr>
          <w:vertAlign w:val="superscript"/>
        </w:rPr>
        <w:footnoteReference w:id="102"/>
      </w:r>
    </w:p>
    <w:p w14:paraId="4A404F74" w14:textId="77777777" w:rsidR="00C32DAA" w:rsidRPr="00A717CB" w:rsidRDefault="00C32DAA" w:rsidP="0095032F">
      <w:pPr>
        <w:pStyle w:val="Title-subsections"/>
      </w:pPr>
      <w:bookmarkStart w:id="31" w:name="_Toc4061393"/>
      <w:r w:rsidRPr="00A717CB">
        <w:t>Recommendations</w:t>
      </w:r>
      <w:bookmarkEnd w:id="31"/>
    </w:p>
    <w:p w14:paraId="2034EC5C" w14:textId="77777777" w:rsidR="00C32DAA" w:rsidRPr="00A717CB" w:rsidRDefault="00C32DAA" w:rsidP="00857BF1">
      <w:pPr>
        <w:pStyle w:val="Parabeforebulletss"/>
        <w:spacing w:line="240" w:lineRule="auto"/>
      </w:pPr>
      <w:r w:rsidRPr="00A717CB">
        <w:t>The UK Government should:</w:t>
      </w:r>
    </w:p>
    <w:p w14:paraId="028D55CC" w14:textId="77777777" w:rsidR="007C24A5" w:rsidRDefault="00C32DAA" w:rsidP="00857BF1">
      <w:pPr>
        <w:pStyle w:val="Bullet-followedbyothers"/>
        <w:spacing w:line="240" w:lineRule="auto"/>
        <w:sectPr w:rsidR="007C24A5" w:rsidSect="00C32DAA">
          <w:headerReference w:type="default" r:id="rId18"/>
          <w:pgSz w:w="11906" w:h="16838" w:code="9"/>
          <w:pgMar w:top="1440" w:right="1440" w:bottom="1440" w:left="1440" w:header="567" w:footer="567" w:gutter="0"/>
          <w:cols w:space="708"/>
          <w:docGrid w:linePitch="360"/>
        </w:sectPr>
      </w:pPr>
      <w:r w:rsidRPr="00A717CB">
        <w:t xml:space="preserve">Ensure that effective remedies are available in law and in practice for all victims of trafficking and exploitation, whatever their legal status, including children who </w:t>
      </w:r>
    </w:p>
    <w:p w14:paraId="547804C6" w14:textId="1A09BC66" w:rsidR="00C32DAA" w:rsidRPr="00A717CB" w:rsidRDefault="00C32DAA" w:rsidP="00857BF1">
      <w:pPr>
        <w:pStyle w:val="Bullet-followedbyothers"/>
        <w:spacing w:line="240" w:lineRule="auto"/>
      </w:pPr>
      <w:r w:rsidRPr="00A717CB">
        <w:lastRenderedPageBreak/>
        <w:t xml:space="preserve">have been involved in county lines </w:t>
      </w:r>
      <w:r w:rsidR="009B6AC2">
        <w:t xml:space="preserve">activities </w:t>
      </w:r>
      <w:r w:rsidRPr="00A717CB">
        <w:t xml:space="preserve">and domestic workers on short-term visas. </w:t>
      </w:r>
    </w:p>
    <w:p w14:paraId="416298B0" w14:textId="6838A8C0" w:rsidR="00C32DAA" w:rsidRPr="00857BF1" w:rsidRDefault="00EA2564" w:rsidP="00857BF1">
      <w:pPr>
        <w:pStyle w:val="Bullet-lastingroup"/>
        <w:spacing w:after="720" w:line="240" w:lineRule="auto"/>
        <w:rPr>
          <w:rFonts w:cs="Arial"/>
        </w:rPr>
      </w:pPr>
      <w:r w:rsidRPr="00EA2564">
        <w:t>When responding to the forthcoming independent review of the Modern Slavery Act 2015, address the full range of concerns raised in this report, including victim support entitlements and other issues which currently fall outside the review’s terms of reference.</w:t>
      </w:r>
    </w:p>
    <w:p w14:paraId="7E886D5A" w14:textId="77777777" w:rsidR="00C32DAA" w:rsidRPr="00A717CB" w:rsidRDefault="00C32DAA" w:rsidP="00C32DAA">
      <w:pPr>
        <w:pStyle w:val="NoSpacing"/>
        <w:rPr>
          <w:rFonts w:cs="Arial"/>
        </w:rPr>
      </w:pPr>
    </w:p>
    <w:p w14:paraId="61E606BE" w14:textId="77777777" w:rsidR="001F7BEB" w:rsidRDefault="001F7BEB">
      <w:pPr>
        <w:spacing w:after="160" w:line="259" w:lineRule="auto"/>
        <w:rPr>
          <w:rFonts w:ascii="Georgia" w:eastAsia="Times New Roman" w:hAnsi="Georgia"/>
          <w:bCs/>
          <w:color w:val="D40F7D"/>
          <w:sz w:val="40"/>
          <w:szCs w:val="40"/>
        </w:rPr>
      </w:pPr>
      <w:r>
        <w:rPr>
          <w:sz w:val="40"/>
          <w:szCs w:val="40"/>
        </w:rPr>
        <w:br w:type="page"/>
      </w:r>
    </w:p>
    <w:p w14:paraId="61B9C3D4" w14:textId="77777777" w:rsidR="00586703" w:rsidRDefault="00586703" w:rsidP="001A0590">
      <w:pPr>
        <w:pStyle w:val="Title-chapterpink"/>
        <w:spacing w:after="0"/>
        <w:rPr>
          <w:sz w:val="40"/>
          <w:szCs w:val="40"/>
        </w:rPr>
        <w:sectPr w:rsidR="00586703" w:rsidSect="00C32DAA">
          <w:pgSz w:w="11906" w:h="16838" w:code="9"/>
          <w:pgMar w:top="1440" w:right="1440" w:bottom="1440" w:left="1440" w:header="567" w:footer="567" w:gutter="0"/>
          <w:cols w:space="708"/>
          <w:docGrid w:linePitch="360"/>
        </w:sectPr>
      </w:pPr>
    </w:p>
    <w:p w14:paraId="52D81898" w14:textId="64DBDCFD" w:rsidR="00C32DAA" w:rsidRPr="001A0590" w:rsidRDefault="00050593" w:rsidP="001A0590">
      <w:pPr>
        <w:pStyle w:val="Title-chapterpink"/>
        <w:spacing w:after="0"/>
        <w:rPr>
          <w:sz w:val="40"/>
          <w:szCs w:val="40"/>
        </w:rPr>
      </w:pPr>
      <w:bookmarkStart w:id="32" w:name="_Toc4061394"/>
      <w:r w:rsidRPr="001A0590">
        <w:rPr>
          <w:sz w:val="40"/>
          <w:szCs w:val="40"/>
        </w:rPr>
        <w:lastRenderedPageBreak/>
        <w:t>5</w:t>
      </w:r>
      <w:r w:rsidR="00F06CA3" w:rsidRPr="001A0590">
        <w:rPr>
          <w:sz w:val="40"/>
          <w:szCs w:val="40"/>
        </w:rPr>
        <w:t xml:space="preserve">. </w:t>
      </w:r>
      <w:r w:rsidR="003A770F" w:rsidRPr="001A0590">
        <w:rPr>
          <w:sz w:val="40"/>
          <w:szCs w:val="40"/>
        </w:rPr>
        <w:t xml:space="preserve">The </w:t>
      </w:r>
      <w:r w:rsidR="00C32DAA" w:rsidRPr="001A0590">
        <w:rPr>
          <w:sz w:val="40"/>
          <w:szCs w:val="40"/>
        </w:rPr>
        <w:t>National Preventive Mechanism</w:t>
      </w:r>
      <w:bookmarkEnd w:id="32"/>
    </w:p>
    <w:p w14:paraId="31A0F898" w14:textId="496FA19D" w:rsidR="00577A2E" w:rsidRDefault="00857BF1" w:rsidP="001A0590">
      <w:pPr>
        <w:pStyle w:val="Parabeforeanother"/>
        <w:spacing w:after="260"/>
        <w:rPr>
          <w:rFonts w:ascii="Georgia" w:hAnsi="Georgia"/>
          <w:sz w:val="32"/>
          <w:szCs w:val="32"/>
        </w:rPr>
      </w:pPr>
      <w:r>
        <w:rPr>
          <w:rFonts w:ascii="Georgia" w:hAnsi="Georgia"/>
          <w:sz w:val="32"/>
          <w:szCs w:val="32"/>
        </w:rPr>
        <w:t>R</w:t>
      </w:r>
      <w:r w:rsidR="00577A2E">
        <w:rPr>
          <w:rFonts w:ascii="Georgia" w:hAnsi="Georgia"/>
          <w:sz w:val="32"/>
          <w:szCs w:val="32"/>
        </w:rPr>
        <w:t>elates to CAT Articles 2 and 16, CO paragraph 14 and list of issues paragraph 10</w:t>
      </w:r>
    </w:p>
    <w:p w14:paraId="7D323A2E" w14:textId="4475D813" w:rsidR="00600D54" w:rsidRPr="00577A2E" w:rsidRDefault="00600D54" w:rsidP="00577A2E">
      <w:pPr>
        <w:pStyle w:val="Parabeforeanother"/>
        <w:rPr>
          <w:rFonts w:ascii="Georgia" w:hAnsi="Georgia"/>
          <w:sz w:val="32"/>
          <w:szCs w:val="32"/>
        </w:rPr>
      </w:pPr>
      <w:r>
        <w:rPr>
          <w:noProof/>
          <w:lang w:eastAsia="en-GB"/>
        </w:rPr>
        <mc:AlternateContent>
          <mc:Choice Requires="wps">
            <w:drawing>
              <wp:inline distT="0" distB="0" distL="0" distR="0" wp14:anchorId="77EF3A8C" wp14:editId="378B8D88">
                <wp:extent cx="5543550" cy="1257300"/>
                <wp:effectExtent l="0" t="0" r="0" b="0"/>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257300"/>
                        </a:xfrm>
                        <a:prstGeom prst="rect">
                          <a:avLst/>
                        </a:prstGeom>
                        <a:solidFill>
                          <a:srgbClr val="F8D4EB"/>
                        </a:solidFill>
                        <a:ln w="9525">
                          <a:noFill/>
                          <a:miter lim="800000"/>
                          <a:headEnd/>
                          <a:tailEnd/>
                        </a:ln>
                      </wps:spPr>
                      <wps:txbx>
                        <w:txbxContent>
                          <w:p w14:paraId="2211CE26" w14:textId="2F996F0B" w:rsidR="00AE42CD" w:rsidRDefault="00AE42CD" w:rsidP="001A0590">
                            <w:pPr>
                              <w:spacing w:line="240" w:lineRule="auto"/>
                            </w:pPr>
                            <w:r w:rsidRPr="00A717CB">
                              <w:rPr>
                                <w:szCs w:val="24"/>
                              </w:rPr>
                              <w:t xml:space="preserve">In its 2013 concluding observations, the </w:t>
                            </w:r>
                            <w:r w:rsidRPr="00C16414">
                              <w:rPr>
                                <w:szCs w:val="24"/>
                              </w:rPr>
                              <w:t xml:space="preserve">Committee called on the </w:t>
                            </w:r>
                            <w:r>
                              <w:rPr>
                                <w:szCs w:val="24"/>
                              </w:rPr>
                              <w:t>S</w:t>
                            </w:r>
                            <w:r w:rsidRPr="00664589">
                              <w:rPr>
                                <w:szCs w:val="24"/>
                              </w:rPr>
                              <w:t>tate</w:t>
                            </w:r>
                            <w:r w:rsidRPr="00C16414">
                              <w:rPr>
                                <w:szCs w:val="24"/>
                              </w:rPr>
                              <w:t xml:space="preserve"> party to</w:t>
                            </w:r>
                            <w:r w:rsidRPr="00A717CB">
                              <w:rPr>
                                <w:szCs w:val="24"/>
                              </w:rPr>
                              <w:t xml:space="preserve"> end the practice of seconding individuals working in places of deprivation of liberty to N</w:t>
                            </w:r>
                            <w:r>
                              <w:rPr>
                                <w:szCs w:val="24"/>
                              </w:rPr>
                              <w:t>ational Preventive Mechanism (NPM)</w:t>
                            </w:r>
                            <w:r w:rsidRPr="00A717CB">
                              <w:rPr>
                                <w:szCs w:val="24"/>
                              </w:rPr>
                              <w:t xml:space="preserve"> bodies, and to provide the NPM with sufficient resources to discharge their prevention mandate independently and effectively. The Committee requested information on both these issues in its 2016 list of issues.</w:t>
                            </w:r>
                          </w:p>
                        </w:txbxContent>
                      </wps:txbx>
                      <wps:bodyPr rot="0" vert="horz" wrap="square" lIns="91440" tIns="45720" rIns="91440" bIns="45720" anchor="t" anchorCtr="0">
                        <a:noAutofit/>
                      </wps:bodyPr>
                    </wps:wsp>
                  </a:graphicData>
                </a:graphic>
              </wp:inline>
            </w:drawing>
          </mc:Choice>
          <mc:Fallback>
            <w:pict>
              <v:shape w14:anchorId="77EF3A8C" id="_x0000_s1030" type="#_x0000_t202" style="width:436.5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" fillcolor="#f8d4eb" stroked="f">
                <v:textbox>
                  <w:txbxContent>
                    <w:p w14:paraId="2211CE26" w14:textId="2F996F0B" w:rsidR="00AE42CD" w:rsidRDefault="00AE42CD" w:rsidP="001A0590">
                      <w:pPr>
                        <w:spacing w:line="240" w:lineRule="auto"/>
                      </w:pPr>
                      <w:r w:rsidRPr="00A717CB">
                        <w:rPr>
                          <w:szCs w:val="24"/>
                        </w:rPr>
                        <w:t xml:space="preserve">In its 2013 concluding observations, the </w:t>
                      </w:r>
                      <w:r w:rsidRPr="00C16414">
                        <w:rPr>
                          <w:szCs w:val="24"/>
                        </w:rPr>
                        <w:t xml:space="preserve">Committee called on the </w:t>
                      </w:r>
                      <w:r>
                        <w:rPr>
                          <w:szCs w:val="24"/>
                        </w:rPr>
                        <w:t>S</w:t>
                      </w:r>
                      <w:r w:rsidRPr="00664589">
                        <w:rPr>
                          <w:szCs w:val="24"/>
                        </w:rPr>
                        <w:t>tate</w:t>
                      </w:r>
                      <w:r w:rsidRPr="00C16414">
                        <w:rPr>
                          <w:szCs w:val="24"/>
                        </w:rPr>
                        <w:t xml:space="preserve"> party to</w:t>
                      </w:r>
                      <w:r w:rsidRPr="00A717CB">
                        <w:rPr>
                          <w:szCs w:val="24"/>
                        </w:rPr>
                        <w:t xml:space="preserve"> end the practice of seconding individuals working in places of deprivation of liberty to N</w:t>
                      </w:r>
                      <w:r>
                        <w:rPr>
                          <w:szCs w:val="24"/>
                        </w:rPr>
                        <w:t>ational Preventive Mechanism (NPM)</w:t>
                      </w:r>
                      <w:r w:rsidRPr="00A717CB">
                        <w:rPr>
                          <w:szCs w:val="24"/>
                        </w:rPr>
                        <w:t xml:space="preserve"> bodies, and to provide the NPM with sufficient resources to discharge their prevention mandate independently and effectively. The Committee requested information on both these issues in its 2016 list of issues.</w:t>
                      </w:r>
                    </w:p>
                  </w:txbxContent>
                </v:textbox>
                <w10:anchorlock/>
              </v:shape>
            </w:pict>
          </mc:Fallback>
        </mc:AlternateContent>
      </w:r>
    </w:p>
    <w:p w14:paraId="3CD362F0" w14:textId="20E0A34E" w:rsidR="00C32DAA" w:rsidRPr="00A717CB" w:rsidRDefault="00C32DAA" w:rsidP="001A0590">
      <w:pPr>
        <w:pStyle w:val="Parabeforeanother"/>
        <w:spacing w:line="240" w:lineRule="auto"/>
      </w:pPr>
      <w:r w:rsidRPr="00A717CB">
        <w:t xml:space="preserve">The UK National Preventive Mechanism was established in 2009 under the </w:t>
      </w:r>
      <w:r w:rsidRPr="00C16414">
        <w:t>Optional Protocol to the Convention Against Torture and Other Cruel, Inhuman or Degrading Treatment or Punishment (OPCAT).</w:t>
      </w:r>
      <w:r w:rsidRPr="00A717CB">
        <w:t xml:space="preserve"> It is made up of 21 statutory bodies that monitor the treatment of people deprived of their liberty in a range of settings, with a view to strengthening protection against torture and ill-treatment.</w:t>
      </w:r>
    </w:p>
    <w:p w14:paraId="098097B9" w14:textId="3A969CE5" w:rsidR="00C32DAA" w:rsidRPr="00A717CB" w:rsidRDefault="00C32DAA" w:rsidP="001A0590">
      <w:pPr>
        <w:pStyle w:val="Parabeforeanother"/>
        <w:spacing w:line="240" w:lineRule="auto"/>
      </w:pPr>
      <w:r w:rsidRPr="00A717CB">
        <w:t xml:space="preserve">In our March 2016 </w:t>
      </w:r>
      <w:r w:rsidR="00194AEC" w:rsidRPr="00A717CB">
        <w:t>submission,</w:t>
      </w:r>
      <w:r w:rsidRPr="00A717CB">
        <w:t xml:space="preserve"> we noted several concerns regarding the resources available to the NPM, including the secondment of individuals working in the </w:t>
      </w:r>
      <w:r w:rsidR="00572402">
        <w:t>custodial</w:t>
      </w:r>
      <w:r w:rsidRPr="00A717CB">
        <w:t xml:space="preserve"> estate to NPM bodies, which has implications for the NPM’s independence. The NPM has adopted guidance which commits members to work progressively towards a reduction in their reliance on seconded staff, and the NPM regularly monitors progress towards this goal.</w:t>
      </w:r>
      <w:r w:rsidRPr="00A717CB">
        <w:rPr>
          <w:rStyle w:val="FootnoteReference"/>
        </w:rPr>
        <w:footnoteReference w:id="103"/>
      </w:r>
    </w:p>
    <w:p w14:paraId="05B1E8DF" w14:textId="0CA1D873" w:rsidR="00C32DAA" w:rsidRPr="00A717CB" w:rsidRDefault="00C32DAA" w:rsidP="001A0590">
      <w:pPr>
        <w:pStyle w:val="Parabeforeanother"/>
        <w:spacing w:line="240" w:lineRule="auto"/>
      </w:pPr>
      <w:r w:rsidRPr="00A717CB">
        <w:t xml:space="preserve">In April 2016, NPM members recruited a non-executive </w:t>
      </w:r>
      <w:r w:rsidR="00BB0516">
        <w:t>c</w:t>
      </w:r>
      <w:r w:rsidR="00BB0516" w:rsidRPr="00A717CB">
        <w:t xml:space="preserve">hair </w:t>
      </w:r>
      <w:r w:rsidRPr="00A717CB">
        <w:t>from outside of the NPM.</w:t>
      </w:r>
      <w:r w:rsidRPr="00A717CB">
        <w:rPr>
          <w:rStyle w:val="FootnoteReference"/>
        </w:rPr>
        <w:footnoteReference w:id="104"/>
      </w:r>
      <w:r w:rsidRPr="00A717CB">
        <w:t xml:space="preserve"> The recruitment of an independent </w:t>
      </w:r>
      <w:r w:rsidR="00BB0516">
        <w:t>c</w:t>
      </w:r>
      <w:r w:rsidR="00BB0516" w:rsidRPr="00A717CB">
        <w:t xml:space="preserve">hair </w:t>
      </w:r>
      <w:r w:rsidRPr="00A717CB">
        <w:t>aimed to raise the profile of the NPM and</w:t>
      </w:r>
      <w:r w:rsidR="00EB2214">
        <w:t xml:space="preserve"> </w:t>
      </w:r>
      <w:r w:rsidRPr="00A717CB">
        <w:t>bring greater support to all members across the UK.</w:t>
      </w:r>
      <w:r w:rsidRPr="00A717CB">
        <w:rPr>
          <w:rStyle w:val="FootnoteReference"/>
        </w:rPr>
        <w:footnoteReference w:id="105"/>
      </w:r>
      <w:r w:rsidRPr="00A717CB">
        <w:t xml:space="preserve"> The last year has seen continued collaboration between NPM members on joint NPM thematic projects and joint inspections.</w:t>
      </w:r>
      <w:r w:rsidRPr="00A717CB">
        <w:rPr>
          <w:rStyle w:val="FootnoteReference"/>
        </w:rPr>
        <w:footnoteReference w:id="106"/>
      </w:r>
    </w:p>
    <w:p w14:paraId="3EEC3CD2" w14:textId="027F20C6" w:rsidR="00C32DAA" w:rsidRPr="00A717CB" w:rsidRDefault="00C32DAA" w:rsidP="001A0590">
      <w:pPr>
        <w:pStyle w:val="Parabeforeanother"/>
        <w:spacing w:line="240" w:lineRule="auto"/>
      </w:pPr>
      <w:r w:rsidRPr="00A717CB">
        <w:t>In January 2017</w:t>
      </w:r>
      <w:r w:rsidR="00BB0516">
        <w:t>,</w:t>
      </w:r>
      <w:r w:rsidRPr="00A717CB">
        <w:t xml:space="preserve"> the Independent Reviewer of Terrorism Legislation became a member of the NPM in light of his role in monitoring the conditions of detention </w:t>
      </w:r>
      <w:r w:rsidR="00BB0516">
        <w:t>for</w:t>
      </w:r>
      <w:r w:rsidR="00BB0516" w:rsidRPr="00A717CB">
        <w:t xml:space="preserve"> </w:t>
      </w:r>
      <w:r w:rsidRPr="00A717CB">
        <w:t>pe</w:t>
      </w:r>
      <w:r w:rsidR="00572402">
        <w:t>ople</w:t>
      </w:r>
      <w:r w:rsidRPr="00A717CB">
        <w:t xml:space="preserve"> detained for more than 48 hours under s</w:t>
      </w:r>
      <w:r w:rsidR="00BB0516">
        <w:t xml:space="preserve">ection </w:t>
      </w:r>
      <w:r w:rsidRPr="00A717CB">
        <w:t>1 of the Terrorism Act 2000.</w:t>
      </w:r>
      <w:r w:rsidRPr="00A717CB">
        <w:rPr>
          <w:rStyle w:val="FootnoteReference"/>
        </w:rPr>
        <w:footnoteReference w:id="107"/>
      </w:r>
      <w:r w:rsidRPr="00A717CB">
        <w:t xml:space="preserve"> There has been no change to the UK Government’s objection to the inclusion of powers in the NPM to inspect UK-controlled places of detention overseas.</w:t>
      </w:r>
      <w:r w:rsidRPr="00A717CB">
        <w:rPr>
          <w:rStyle w:val="FootnoteReference"/>
        </w:rPr>
        <w:footnoteReference w:id="108"/>
      </w:r>
      <w:r w:rsidRPr="00A717CB">
        <w:t xml:space="preserve"> </w:t>
      </w:r>
    </w:p>
    <w:p w14:paraId="2144337E" w14:textId="0AF0F3D4" w:rsidR="00C32DAA" w:rsidRPr="00A717CB" w:rsidRDefault="00C32DAA" w:rsidP="001A0590">
      <w:pPr>
        <w:pStyle w:val="Parabeforenewsection"/>
        <w:spacing w:after="420" w:line="240" w:lineRule="auto"/>
      </w:pPr>
      <w:r w:rsidRPr="00A717CB">
        <w:t xml:space="preserve">The NPM has continued to express concern about the lack of legislation setting out its mandate and constituent bodies, the lack of statutory guarantees of </w:t>
      </w:r>
      <w:r w:rsidRPr="00A717CB">
        <w:lastRenderedPageBreak/>
        <w:t>independence for the NPM or its members</w:t>
      </w:r>
      <w:r w:rsidR="00BB0516">
        <w:t>,</w:t>
      </w:r>
      <w:r w:rsidRPr="00A717CB">
        <w:t xml:space="preserve"> and the lack of a separate, dedicated budget.</w:t>
      </w:r>
      <w:r w:rsidRPr="00A717CB">
        <w:rPr>
          <w:rStyle w:val="FootnoteReference"/>
        </w:rPr>
        <w:footnoteReference w:id="109"/>
      </w:r>
      <w:r w:rsidRPr="00A717CB">
        <w:t xml:space="preserve"> The limited resources available for the NPM secretariat to coordinate the work of its members and ensure their activities are focus</w:t>
      </w:r>
      <w:r w:rsidR="00CE4777">
        <w:t>ed</w:t>
      </w:r>
      <w:r w:rsidRPr="00A717CB">
        <w:t xml:space="preserve"> on prevention represents a serious constraint.</w:t>
      </w:r>
    </w:p>
    <w:p w14:paraId="2BC0CAD6" w14:textId="77777777" w:rsidR="00C32DAA" w:rsidRPr="00A717CB" w:rsidRDefault="00C32DAA" w:rsidP="001A0590">
      <w:pPr>
        <w:pStyle w:val="Title-subsections"/>
        <w:spacing w:before="0"/>
      </w:pPr>
      <w:bookmarkStart w:id="33" w:name="_Toc4061395"/>
      <w:r w:rsidRPr="00A717CB">
        <w:t>Recommendations</w:t>
      </w:r>
      <w:bookmarkEnd w:id="33"/>
    </w:p>
    <w:p w14:paraId="1E323E99" w14:textId="77777777" w:rsidR="00C32DAA" w:rsidRPr="00A717CB" w:rsidRDefault="00C32DAA" w:rsidP="001A0590">
      <w:pPr>
        <w:pStyle w:val="Parabeforebulletss"/>
        <w:spacing w:line="240" w:lineRule="auto"/>
      </w:pPr>
      <w:r w:rsidRPr="00A717CB">
        <w:t xml:space="preserve">The UK Government should: </w:t>
      </w:r>
    </w:p>
    <w:p w14:paraId="52C2BDBB" w14:textId="1D5C1D15" w:rsidR="00C32DAA" w:rsidRPr="00A717CB" w:rsidRDefault="00C32DAA" w:rsidP="001A0590">
      <w:pPr>
        <w:pStyle w:val="Bullet-followedbyothers"/>
        <w:spacing w:line="240" w:lineRule="auto"/>
      </w:pPr>
      <w:r w:rsidRPr="00A717CB">
        <w:t xml:space="preserve">Ensure that the </w:t>
      </w:r>
      <w:r w:rsidR="00BB0516">
        <w:t>NPM</w:t>
      </w:r>
      <w:r w:rsidRPr="00A717CB">
        <w:t xml:space="preserve"> has access to all places of detention and their installations and facilities, including UK-controlled places of detention overseas, to regularly examine the treatment of pe</w:t>
      </w:r>
      <w:r w:rsidR="00572402">
        <w:t>ople</w:t>
      </w:r>
      <w:r w:rsidRPr="00A717CB">
        <w:t xml:space="preserve"> deprived of their liberty. </w:t>
      </w:r>
    </w:p>
    <w:p w14:paraId="5D426D02" w14:textId="126FF269" w:rsidR="00C32DAA" w:rsidRPr="007C24A5" w:rsidRDefault="00C32DAA" w:rsidP="007C24A5">
      <w:pPr>
        <w:pStyle w:val="Bullet-lastingroup"/>
        <w:spacing w:after="720" w:line="240" w:lineRule="auto"/>
        <w:rPr>
          <w:rFonts w:cs="Arial"/>
        </w:rPr>
      </w:pPr>
      <w:r w:rsidRPr="00A717CB">
        <w:t xml:space="preserve">Introduce legislation to ensure and safeguard the independence of the </w:t>
      </w:r>
      <w:r w:rsidR="00BB0516">
        <w:t>NPM</w:t>
      </w:r>
      <w:r w:rsidRPr="00A717CB">
        <w:t xml:space="preserve"> and provide sufficient resources to permit the effective implementation of its mandate in line with the requirements of the </w:t>
      </w:r>
      <w:r w:rsidR="00BB0516">
        <w:t>OPCAT</w:t>
      </w:r>
      <w:r w:rsidRPr="00A717CB">
        <w:t>.</w:t>
      </w:r>
    </w:p>
    <w:p w14:paraId="4F2A7E8B" w14:textId="77777777" w:rsidR="001F7BEB" w:rsidRDefault="001F7BEB">
      <w:pPr>
        <w:spacing w:after="160" w:line="259" w:lineRule="auto"/>
        <w:rPr>
          <w:rFonts w:ascii="Georgia" w:eastAsia="Times New Roman" w:hAnsi="Georgia"/>
          <w:bCs/>
          <w:color w:val="D40F7D"/>
          <w:sz w:val="40"/>
          <w:szCs w:val="40"/>
        </w:rPr>
      </w:pPr>
      <w:r>
        <w:rPr>
          <w:sz w:val="40"/>
          <w:szCs w:val="40"/>
        </w:rPr>
        <w:br w:type="page"/>
      </w:r>
    </w:p>
    <w:p w14:paraId="3C0CC3AA" w14:textId="77777777" w:rsidR="00586703" w:rsidRDefault="00586703" w:rsidP="00A30DC7">
      <w:pPr>
        <w:pStyle w:val="Title-chapterpink"/>
        <w:rPr>
          <w:sz w:val="40"/>
          <w:szCs w:val="40"/>
        </w:rPr>
        <w:sectPr w:rsidR="00586703" w:rsidSect="00C32DAA">
          <w:headerReference w:type="default" r:id="rId19"/>
          <w:pgSz w:w="11906" w:h="16838" w:code="9"/>
          <w:pgMar w:top="1440" w:right="1440" w:bottom="1440" w:left="1440" w:header="567" w:footer="567" w:gutter="0"/>
          <w:cols w:space="708"/>
          <w:docGrid w:linePitch="360"/>
        </w:sectPr>
      </w:pPr>
    </w:p>
    <w:p w14:paraId="585CBF90" w14:textId="620384DB" w:rsidR="00C32DAA" w:rsidRPr="001A0590" w:rsidRDefault="00604286" w:rsidP="00A30DC7">
      <w:pPr>
        <w:pStyle w:val="Title-chapterpink"/>
        <w:rPr>
          <w:sz w:val="40"/>
          <w:szCs w:val="40"/>
        </w:rPr>
      </w:pPr>
      <w:bookmarkStart w:id="34" w:name="_Toc4061396"/>
      <w:r w:rsidRPr="001A0590">
        <w:rPr>
          <w:sz w:val="40"/>
          <w:szCs w:val="40"/>
        </w:rPr>
        <w:lastRenderedPageBreak/>
        <w:t xml:space="preserve">6. </w:t>
      </w:r>
      <w:r w:rsidR="00C32DAA" w:rsidRPr="001A0590">
        <w:rPr>
          <w:sz w:val="40"/>
          <w:szCs w:val="40"/>
        </w:rPr>
        <w:t>Conditions of detention</w:t>
      </w:r>
      <w:bookmarkEnd w:id="34"/>
    </w:p>
    <w:p w14:paraId="724402B8" w14:textId="77777777" w:rsidR="00C32DAA" w:rsidRPr="00A717CB" w:rsidRDefault="00C32DAA" w:rsidP="001A0590">
      <w:pPr>
        <w:pStyle w:val="Parabeforebulletss"/>
        <w:spacing w:line="240" w:lineRule="auto"/>
      </w:pPr>
      <w:r w:rsidRPr="00A717CB">
        <w:t xml:space="preserve">This chapter presents information on measures taken to address inadequate detention conditions, which we judge may reach the threshold for torture, cruel, inhuman or degrading treatment in the context of: </w:t>
      </w:r>
    </w:p>
    <w:p w14:paraId="36294182" w14:textId="18319B1F" w:rsidR="00C32DAA" w:rsidRPr="00A717CB" w:rsidRDefault="00F80406" w:rsidP="001A0590">
      <w:pPr>
        <w:pStyle w:val="Bullet-followedbyothers"/>
        <w:spacing w:line="240" w:lineRule="auto"/>
        <w:rPr>
          <w:b/>
        </w:rPr>
      </w:pPr>
      <w:r>
        <w:t>p</w:t>
      </w:r>
      <w:r w:rsidRPr="00A717CB">
        <w:t xml:space="preserve">risons </w:t>
      </w:r>
      <w:r w:rsidR="00C32DAA" w:rsidRPr="00A717CB">
        <w:t xml:space="preserve">and the youth custodial estate (section 6.1) </w:t>
      </w:r>
    </w:p>
    <w:p w14:paraId="67C2EB05" w14:textId="4A6B86DA" w:rsidR="00C32DAA" w:rsidRPr="00A717CB" w:rsidRDefault="004014AE" w:rsidP="001A0590">
      <w:pPr>
        <w:pStyle w:val="Bullet-followedbyothers"/>
        <w:spacing w:line="240" w:lineRule="auto"/>
        <w:rPr>
          <w:b/>
        </w:rPr>
      </w:pPr>
      <w:r>
        <w:t>i</w:t>
      </w:r>
      <w:r w:rsidRPr="00A717CB">
        <w:t xml:space="preserve">mmigration </w:t>
      </w:r>
      <w:r w:rsidR="00C32DAA" w:rsidRPr="00A717CB">
        <w:t>detention (section 6.2)</w:t>
      </w:r>
      <w:r>
        <w:t>, and</w:t>
      </w:r>
      <w:r w:rsidR="00EB2214">
        <w:t xml:space="preserve"> </w:t>
      </w:r>
    </w:p>
    <w:p w14:paraId="3BBF1401" w14:textId="1A21410C" w:rsidR="00C32DAA" w:rsidRPr="00A717CB" w:rsidRDefault="004014AE" w:rsidP="001A0590">
      <w:pPr>
        <w:pStyle w:val="Bullet-lastingroup"/>
        <w:spacing w:line="240" w:lineRule="auto"/>
        <w:rPr>
          <w:b/>
        </w:rPr>
      </w:pPr>
      <w:r>
        <w:t>m</w:t>
      </w:r>
      <w:r w:rsidRPr="00A717CB">
        <w:t xml:space="preserve">ental </w:t>
      </w:r>
      <w:r w:rsidR="00C32DAA" w:rsidRPr="00A717CB">
        <w:t xml:space="preserve">health detention (section 6.3). </w:t>
      </w:r>
    </w:p>
    <w:p w14:paraId="2C6F4780" w14:textId="08C939C3" w:rsidR="00C32DAA" w:rsidRDefault="00C32DAA" w:rsidP="001A0590">
      <w:pPr>
        <w:pStyle w:val="Parabeforenewsection"/>
        <w:spacing w:after="720" w:line="240" w:lineRule="auto"/>
      </w:pPr>
      <w:r w:rsidRPr="00A717CB">
        <w:t xml:space="preserve">The use of restraint (defined broadly, to include seclusion </w:t>
      </w:r>
      <w:r w:rsidR="00C16414">
        <w:t xml:space="preserve">and </w:t>
      </w:r>
      <w:r w:rsidRPr="00A717CB">
        <w:t>solitary confinement) affecting detained individuals in these and other settings is addressed in chapter 7.</w:t>
      </w:r>
    </w:p>
    <w:p w14:paraId="4416CADF" w14:textId="1FB66FD9" w:rsidR="00C32DAA" w:rsidRDefault="00C32DAA" w:rsidP="00A30DC7">
      <w:pPr>
        <w:pStyle w:val="Title-sectionspink"/>
      </w:pPr>
      <w:bookmarkStart w:id="35" w:name="_Toc4061397"/>
      <w:r w:rsidRPr="00A717CB">
        <w:t xml:space="preserve">6.1. </w:t>
      </w:r>
      <w:r w:rsidRPr="00A30DC7">
        <w:t>Prisons</w:t>
      </w:r>
      <w:r w:rsidRPr="00A717CB">
        <w:t xml:space="preserve"> and the youth custodial estate</w:t>
      </w:r>
      <w:bookmarkEnd w:id="35"/>
    </w:p>
    <w:p w14:paraId="34ED8F6E" w14:textId="37771C7B" w:rsidR="00577A2E" w:rsidRDefault="007C24A5" w:rsidP="001A0590">
      <w:pPr>
        <w:pStyle w:val="Parabeforeanother"/>
        <w:spacing w:after="260"/>
        <w:rPr>
          <w:rFonts w:ascii="Georgia" w:hAnsi="Georgia"/>
          <w:sz w:val="28"/>
          <w:szCs w:val="28"/>
        </w:rPr>
      </w:pPr>
      <w:r>
        <w:rPr>
          <w:rFonts w:ascii="Georgia" w:hAnsi="Georgia"/>
          <w:sz w:val="28"/>
          <w:szCs w:val="28"/>
        </w:rPr>
        <w:t>R</w:t>
      </w:r>
      <w:r w:rsidR="00577A2E" w:rsidRPr="00577A2E">
        <w:rPr>
          <w:rFonts w:ascii="Georgia" w:hAnsi="Georgia"/>
          <w:sz w:val="28"/>
          <w:szCs w:val="28"/>
        </w:rPr>
        <w:t xml:space="preserve">elates to </w:t>
      </w:r>
      <w:r w:rsidR="00577A2E">
        <w:rPr>
          <w:rFonts w:ascii="Georgia" w:hAnsi="Georgia"/>
          <w:sz w:val="28"/>
          <w:szCs w:val="28"/>
        </w:rPr>
        <w:t>CAT Articles 2, 11</w:t>
      </w:r>
      <w:r w:rsidR="008C1DEF">
        <w:rPr>
          <w:rFonts w:ascii="Georgia" w:hAnsi="Georgia"/>
          <w:sz w:val="28"/>
          <w:szCs w:val="28"/>
        </w:rPr>
        <w:t>, 12</w:t>
      </w:r>
      <w:r w:rsidR="00577A2E">
        <w:rPr>
          <w:rFonts w:ascii="Georgia" w:hAnsi="Georgia"/>
          <w:sz w:val="28"/>
          <w:szCs w:val="28"/>
        </w:rPr>
        <w:t xml:space="preserve"> and 16, CO paragraphs 31 and 32 and list of issues paragraphs 22, 23 24</w:t>
      </w:r>
      <w:r w:rsidR="00EC627B">
        <w:rPr>
          <w:rFonts w:ascii="Georgia" w:hAnsi="Georgia"/>
          <w:sz w:val="28"/>
          <w:szCs w:val="28"/>
        </w:rPr>
        <w:t>,</w:t>
      </w:r>
      <w:r w:rsidR="00577A2E">
        <w:rPr>
          <w:rFonts w:ascii="Georgia" w:hAnsi="Georgia"/>
          <w:sz w:val="28"/>
          <w:szCs w:val="28"/>
        </w:rPr>
        <w:t xml:space="preserve"> 26</w:t>
      </w:r>
      <w:r w:rsidR="00EC627B">
        <w:rPr>
          <w:rFonts w:ascii="Georgia" w:hAnsi="Georgia"/>
          <w:sz w:val="28"/>
          <w:szCs w:val="28"/>
        </w:rPr>
        <w:t>, 27</w:t>
      </w:r>
    </w:p>
    <w:p w14:paraId="10B74366" w14:textId="23377C77" w:rsidR="00600D54" w:rsidRPr="00577A2E" w:rsidRDefault="00600D54" w:rsidP="00577A2E">
      <w:pPr>
        <w:pStyle w:val="Parabeforeanother"/>
        <w:rPr>
          <w:rFonts w:ascii="Georgia" w:hAnsi="Georgia"/>
          <w:sz w:val="28"/>
          <w:szCs w:val="28"/>
        </w:rPr>
      </w:pPr>
      <w:r>
        <w:rPr>
          <w:noProof/>
          <w:lang w:eastAsia="en-GB"/>
        </w:rPr>
        <mc:AlternateContent>
          <mc:Choice Requires="wps">
            <w:drawing>
              <wp:inline distT="0" distB="0" distL="0" distR="0" wp14:anchorId="22AE99E1" wp14:editId="54AA4138">
                <wp:extent cx="5543550" cy="1895475"/>
                <wp:effectExtent l="0" t="0" r="0" b="9525"/>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895475"/>
                        </a:xfrm>
                        <a:prstGeom prst="rect">
                          <a:avLst/>
                        </a:prstGeom>
                        <a:solidFill>
                          <a:srgbClr val="F8D4EB"/>
                        </a:solidFill>
                        <a:ln w="9525">
                          <a:noFill/>
                          <a:miter lim="800000"/>
                          <a:headEnd/>
                          <a:tailEnd/>
                        </a:ln>
                      </wps:spPr>
                      <wps:txbx>
                        <w:txbxContent>
                          <w:p w14:paraId="2EC9814D" w14:textId="77777777" w:rsidR="00AE42CD" w:rsidRDefault="00AE42CD" w:rsidP="001A0590">
                            <w:pPr>
                              <w:spacing w:line="240" w:lineRule="auto"/>
                              <w:contextualSpacing/>
                              <w:rPr>
                                <w:szCs w:val="24"/>
                              </w:rPr>
                            </w:pPr>
                            <w:r w:rsidRPr="00A717CB">
                              <w:rPr>
                                <w:szCs w:val="24"/>
                              </w:rPr>
                              <w:t xml:space="preserve">In its 2016 list of issues, the Committee requested information </w:t>
                            </w:r>
                            <w:r>
                              <w:rPr>
                                <w:szCs w:val="24"/>
                              </w:rPr>
                              <w:t>about:</w:t>
                            </w:r>
                            <w:r w:rsidRPr="00A717CB">
                              <w:rPr>
                                <w:szCs w:val="24"/>
                              </w:rPr>
                              <w:t xml:space="preserve"> </w:t>
                            </w:r>
                          </w:p>
                          <w:p w14:paraId="037237C0" w14:textId="77777777" w:rsidR="00AE42CD" w:rsidRPr="00C16414" w:rsidRDefault="00AE42CD" w:rsidP="001A0590">
                            <w:pPr>
                              <w:pStyle w:val="Bullets-sub-bullets"/>
                              <w:numPr>
                                <w:ilvl w:val="0"/>
                                <w:numId w:val="51"/>
                              </w:numPr>
                              <w:spacing w:line="240" w:lineRule="auto"/>
                              <w:contextualSpacing/>
                            </w:pPr>
                            <w:r w:rsidRPr="00C16414">
                              <w:t>measures taken to reduce prison overcrowding, including alternatives to imprisonment</w:t>
                            </w:r>
                          </w:p>
                          <w:p w14:paraId="4FD16CE2" w14:textId="77777777" w:rsidR="00AE42CD" w:rsidRPr="00405051" w:rsidRDefault="00AE42CD" w:rsidP="001A0590">
                            <w:pPr>
                              <w:pStyle w:val="Bullets-sub-bullets"/>
                              <w:numPr>
                                <w:ilvl w:val="0"/>
                                <w:numId w:val="51"/>
                              </w:numPr>
                              <w:spacing w:line="240" w:lineRule="auto"/>
                              <w:contextualSpacing/>
                            </w:pPr>
                            <w:r w:rsidRPr="002613D2">
                              <w:t>measures to prevent violence and self-harm in places of detent</w:t>
                            </w:r>
                            <w:r w:rsidRPr="007A3A4E">
                              <w:t xml:space="preserve">ion, including improvements </w:t>
                            </w:r>
                            <w:r w:rsidRPr="003B00F6">
                              <w:t>to the provision of mental health care in prisons</w:t>
                            </w:r>
                          </w:p>
                          <w:p w14:paraId="304AF36B" w14:textId="77777777" w:rsidR="00AE42CD" w:rsidRPr="00422C4A" w:rsidRDefault="00AE42CD" w:rsidP="001A0590">
                            <w:pPr>
                              <w:pStyle w:val="Bullets-sub-bullets"/>
                              <w:numPr>
                                <w:ilvl w:val="0"/>
                                <w:numId w:val="51"/>
                              </w:numPr>
                              <w:spacing w:line="240" w:lineRule="auto"/>
                              <w:contextualSpacing/>
                            </w:pPr>
                            <w:r w:rsidRPr="00306B7E">
                              <w:t>efforts to meet the needs of children and women in detention</w:t>
                            </w:r>
                          </w:p>
                          <w:p w14:paraId="6204708F" w14:textId="77777777" w:rsidR="00AE42CD" w:rsidRDefault="00AE42CD" w:rsidP="001A0590">
                            <w:pPr>
                              <w:pStyle w:val="Bullets-sub-bullets"/>
                              <w:numPr>
                                <w:ilvl w:val="0"/>
                                <w:numId w:val="51"/>
                              </w:numPr>
                              <w:spacing w:line="240" w:lineRule="auto"/>
                              <w:contextualSpacing/>
                            </w:pPr>
                            <w:r w:rsidRPr="00422C4A">
                              <w:t xml:space="preserve">the investigations into allegations of abuse committed by staff in places of detention, including at the Medway </w:t>
                            </w:r>
                            <w:r w:rsidRPr="00C16414">
                              <w:t>Secure Training Centre</w:t>
                            </w:r>
                            <w:r>
                              <w:t>, and</w:t>
                            </w:r>
                          </w:p>
                          <w:p w14:paraId="6BCF5C6B" w14:textId="6D333EFD" w:rsidR="00AE42CD" w:rsidRDefault="00AE42CD" w:rsidP="001A0590">
                            <w:pPr>
                              <w:pStyle w:val="Bullets-sub-bullets"/>
                              <w:numPr>
                                <w:ilvl w:val="0"/>
                                <w:numId w:val="51"/>
                              </w:numPr>
                              <w:spacing w:line="240" w:lineRule="auto"/>
                              <w:contextualSpacing/>
                            </w:pPr>
                            <w:r w:rsidRPr="002613D2">
                              <w:t>the results of investigations into any unexpected deaths in prison, and measures taken to prevent such deaths.</w:t>
                            </w:r>
                          </w:p>
                        </w:txbxContent>
                      </wps:txbx>
                      <wps:bodyPr rot="0" vert="horz" wrap="square" lIns="91440" tIns="45720" rIns="91440" bIns="45720" anchor="t" anchorCtr="0">
                        <a:noAutofit/>
                      </wps:bodyPr>
                    </wps:wsp>
                  </a:graphicData>
                </a:graphic>
              </wp:inline>
            </w:drawing>
          </mc:Choice>
          <mc:Fallback>
            <w:pict>
              <v:shape w14:anchorId="22AE99E1" id="_x0000_s1031" type="#_x0000_t202" style="width:436.5pt;height:14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" fillcolor="#f8d4eb" stroked="f">
                <v:textbox>
                  <w:txbxContent>
                    <w:p w14:paraId="2EC9814D" w14:textId="77777777" w:rsidR="00AE42CD" w:rsidRDefault="00AE42CD" w:rsidP="001A0590">
                      <w:pPr>
                        <w:spacing w:line="240" w:lineRule="auto"/>
                        <w:contextualSpacing/>
                        <w:rPr>
                          <w:szCs w:val="24"/>
                        </w:rPr>
                      </w:pPr>
                      <w:r w:rsidRPr="00A717CB">
                        <w:rPr>
                          <w:szCs w:val="24"/>
                        </w:rPr>
                        <w:t xml:space="preserve">In its 2016 list of issues, the Committee requested information </w:t>
                      </w:r>
                      <w:r>
                        <w:rPr>
                          <w:szCs w:val="24"/>
                        </w:rPr>
                        <w:t>about:</w:t>
                      </w:r>
                      <w:r w:rsidRPr="00A717CB">
                        <w:rPr>
                          <w:szCs w:val="24"/>
                        </w:rPr>
                        <w:t xml:space="preserve"> </w:t>
                      </w:r>
                    </w:p>
                    <w:p w14:paraId="037237C0" w14:textId="77777777" w:rsidR="00AE42CD" w:rsidRPr="00C16414" w:rsidRDefault="00AE42CD" w:rsidP="001A0590">
                      <w:pPr>
                        <w:pStyle w:val="Bullets-sub-bullets"/>
                        <w:numPr>
                          <w:ilvl w:val="0"/>
                          <w:numId w:val="51"/>
                        </w:numPr>
                        <w:spacing w:line="240" w:lineRule="auto"/>
                        <w:contextualSpacing/>
                      </w:pPr>
                      <w:r w:rsidRPr="00C16414">
                        <w:t>measures taken to reduce prison overcrowding, including alternatives to imprisonment</w:t>
                      </w:r>
                    </w:p>
                    <w:p w14:paraId="4FD16CE2" w14:textId="77777777" w:rsidR="00AE42CD" w:rsidRPr="00405051" w:rsidRDefault="00AE42CD" w:rsidP="001A0590">
                      <w:pPr>
                        <w:pStyle w:val="Bullets-sub-bullets"/>
                        <w:numPr>
                          <w:ilvl w:val="0"/>
                          <w:numId w:val="51"/>
                        </w:numPr>
                        <w:spacing w:line="240" w:lineRule="auto"/>
                        <w:contextualSpacing/>
                      </w:pPr>
                      <w:r w:rsidRPr="002613D2">
                        <w:t>measures to prevent violence and self-harm in places of detent</w:t>
                      </w:r>
                      <w:r w:rsidRPr="007A3A4E">
                        <w:t xml:space="preserve">ion, including improvements </w:t>
                      </w:r>
                      <w:r w:rsidRPr="003B00F6">
                        <w:t>to the provision of mental health care in prisons</w:t>
                      </w:r>
                    </w:p>
                    <w:p w14:paraId="304AF36B" w14:textId="77777777" w:rsidR="00AE42CD" w:rsidRPr="00422C4A" w:rsidRDefault="00AE42CD" w:rsidP="001A0590">
                      <w:pPr>
                        <w:pStyle w:val="Bullets-sub-bullets"/>
                        <w:numPr>
                          <w:ilvl w:val="0"/>
                          <w:numId w:val="51"/>
                        </w:numPr>
                        <w:spacing w:line="240" w:lineRule="auto"/>
                        <w:contextualSpacing/>
                      </w:pPr>
                      <w:r w:rsidRPr="00306B7E">
                        <w:t>efforts to meet the needs of children and women in detention</w:t>
                      </w:r>
                    </w:p>
                    <w:p w14:paraId="6204708F" w14:textId="77777777" w:rsidR="00AE42CD" w:rsidRDefault="00AE42CD" w:rsidP="001A0590">
                      <w:pPr>
                        <w:pStyle w:val="Bullets-sub-bullets"/>
                        <w:numPr>
                          <w:ilvl w:val="0"/>
                          <w:numId w:val="51"/>
                        </w:numPr>
                        <w:spacing w:line="240" w:lineRule="auto"/>
                        <w:contextualSpacing/>
                      </w:pPr>
                      <w:r w:rsidRPr="00422C4A">
                        <w:t xml:space="preserve">the investigations into allegations of abuse committed by staff in places of detention, including at the Medway </w:t>
                      </w:r>
                      <w:r w:rsidRPr="00C16414">
                        <w:t>Secure Training Centre</w:t>
                      </w:r>
                      <w:r>
                        <w:t>, and</w:t>
                      </w:r>
                    </w:p>
                    <w:p w14:paraId="6BCF5C6B" w14:textId="6D333EFD" w:rsidR="00AE42CD" w:rsidRDefault="00AE42CD" w:rsidP="001A0590">
                      <w:pPr>
                        <w:pStyle w:val="Bullets-sub-bullets"/>
                        <w:numPr>
                          <w:ilvl w:val="0"/>
                          <w:numId w:val="51"/>
                        </w:numPr>
                        <w:spacing w:line="240" w:lineRule="auto"/>
                        <w:contextualSpacing/>
                      </w:pPr>
                      <w:r w:rsidRPr="002613D2">
                        <w:t>the results of investigations into any unexpected deaths in prison, and measures taken to prevent such deaths.</w:t>
                      </w:r>
                    </w:p>
                  </w:txbxContent>
                </v:textbox>
                <w10:anchorlock/>
              </v:shape>
            </w:pict>
          </mc:Fallback>
        </mc:AlternateContent>
      </w:r>
    </w:p>
    <w:p w14:paraId="375FC908" w14:textId="77777777" w:rsidR="00C32DAA" w:rsidRPr="00A717CB" w:rsidRDefault="00C32DAA" w:rsidP="007C24A5">
      <w:pPr>
        <w:pStyle w:val="Title-subsections"/>
        <w:spacing w:before="260"/>
      </w:pPr>
      <w:bookmarkStart w:id="36" w:name="_Toc4061398"/>
      <w:r w:rsidRPr="00A717CB">
        <w:t>Conditions in the adult estate</w:t>
      </w:r>
      <w:bookmarkEnd w:id="36"/>
    </w:p>
    <w:p w14:paraId="70AFF81E" w14:textId="6397CED7" w:rsidR="00C32DAA" w:rsidRPr="00A717CB" w:rsidRDefault="00C32DAA" w:rsidP="001A0590">
      <w:pPr>
        <w:pStyle w:val="Parabeforeanother"/>
        <w:spacing w:line="240" w:lineRule="auto"/>
      </w:pPr>
      <w:r w:rsidRPr="00A717CB">
        <w:t xml:space="preserve">In 2017, </w:t>
      </w:r>
      <w:r w:rsidR="00CD6BC3">
        <w:t>Her Majesty’s Inspectorate of Prisons (</w:t>
      </w:r>
      <w:r w:rsidRPr="00A717CB">
        <w:t>HMIP</w:t>
      </w:r>
      <w:r w:rsidR="00CD6BC3">
        <w:t>)</w:t>
      </w:r>
      <w:r w:rsidRPr="00A717CB">
        <w:t xml:space="preserve"> reported that too many prisoners are living in poor conditions, especially in Victorian prisons, with reports of inadequate furniture, exposed wiring, graffiti, litter and vermin. The lack of in-cell sanitation is a recurrent problem.</w:t>
      </w:r>
      <w:r w:rsidRPr="00A717CB">
        <w:rPr>
          <w:rStyle w:val="FootnoteReference"/>
        </w:rPr>
        <w:footnoteReference w:id="110"/>
      </w:r>
      <w:r w:rsidRPr="00A717CB">
        <w:t xml:space="preserve"> </w:t>
      </w:r>
    </w:p>
    <w:p w14:paraId="29CE8A4A" w14:textId="280F536A" w:rsidR="00C32DAA" w:rsidRPr="00A717CB" w:rsidRDefault="00C32DAA" w:rsidP="001A0590">
      <w:pPr>
        <w:pStyle w:val="Parabeforeanother"/>
        <w:spacing w:line="240" w:lineRule="auto"/>
      </w:pPr>
      <w:r w:rsidRPr="00A717CB">
        <w:t>In 2017/18</w:t>
      </w:r>
      <w:r w:rsidR="00C16414">
        <w:t>,</w:t>
      </w:r>
      <w:r w:rsidRPr="00A717CB">
        <w:t xml:space="preserve"> 20,695 prisoners were held in crowded accommodation conditions, a crowding rate of 24.2</w:t>
      </w:r>
      <w:r w:rsidR="00422C4A">
        <w:t xml:space="preserve"> per cent</w:t>
      </w:r>
      <w:r w:rsidRPr="00A717CB">
        <w:t>.</w:t>
      </w:r>
      <w:r w:rsidRPr="00A717CB">
        <w:rPr>
          <w:vertAlign w:val="superscript"/>
        </w:rPr>
        <w:footnoteReference w:id="111"/>
      </w:r>
      <w:r w:rsidRPr="00A717CB">
        <w:t xml:space="preserve"> The crowding rate in male local prisons was 48.5</w:t>
      </w:r>
      <w:r w:rsidR="003B1A6F">
        <w:t xml:space="preserve"> per cent</w:t>
      </w:r>
      <w:r w:rsidR="003B1A6F" w:rsidRPr="00A717CB">
        <w:t xml:space="preserve"> </w:t>
      </w:r>
      <w:r w:rsidRPr="00A717CB">
        <w:t>in 2017/18: the highest for any type of establishment. Women’s prisons in England are generally less crowded, but the crowding rate in female local prisons increased from 8.3</w:t>
      </w:r>
      <w:r w:rsidR="00C16414">
        <w:t xml:space="preserve"> per cent</w:t>
      </w:r>
      <w:r w:rsidR="00C16414" w:rsidRPr="00A717CB">
        <w:t xml:space="preserve"> </w:t>
      </w:r>
      <w:r w:rsidRPr="00A717CB">
        <w:t>in 2015/16 to 13.5</w:t>
      </w:r>
      <w:r w:rsidR="00C16414">
        <w:t xml:space="preserve"> per cent</w:t>
      </w:r>
      <w:r w:rsidR="00C16414" w:rsidRPr="00A717CB">
        <w:t xml:space="preserve"> </w:t>
      </w:r>
      <w:r w:rsidRPr="00A717CB">
        <w:t>in 2017/18.</w:t>
      </w:r>
      <w:r w:rsidRPr="00A717CB">
        <w:rPr>
          <w:vertAlign w:val="superscript"/>
        </w:rPr>
        <w:footnoteReference w:id="112"/>
      </w:r>
      <w:r w:rsidRPr="00A717CB">
        <w:t xml:space="preserve"> There are no women’s prisons in Wales. </w:t>
      </w:r>
    </w:p>
    <w:p w14:paraId="739C083B" w14:textId="68155245" w:rsidR="00C32DAA" w:rsidRPr="00A717CB" w:rsidRDefault="00C32DAA" w:rsidP="001A0590">
      <w:pPr>
        <w:pStyle w:val="Parabeforeanother"/>
        <w:spacing w:line="240" w:lineRule="auto"/>
      </w:pPr>
      <w:r w:rsidRPr="00A717CB">
        <w:lastRenderedPageBreak/>
        <w:t>A report by the Wales Governance Centre has found that Wales has the highest imprisonment rate in Western Europe</w:t>
      </w:r>
      <w:r w:rsidRPr="00A717CB">
        <w:rPr>
          <w:vertAlign w:val="superscript"/>
        </w:rPr>
        <w:footnoteReference w:id="113"/>
      </w:r>
      <w:r w:rsidRPr="00A717CB">
        <w:t xml:space="preserve">. In April 2018, the Welsh Government and </w:t>
      </w:r>
      <w:r w:rsidRPr="00A717CB">
        <w:rPr>
          <w:lang w:val="en"/>
        </w:rPr>
        <w:t>Her Majesty’s Prison and Probation Service (HMPPS) in Wales</w:t>
      </w:r>
      <w:r w:rsidRPr="00A717CB">
        <w:t xml:space="preserve"> published the ‘F</w:t>
      </w:r>
      <w:r w:rsidRPr="00A717CB">
        <w:rPr>
          <w:lang w:val="en"/>
        </w:rPr>
        <w:t>ramework to support positive change for those at risk of offending in Wales’.</w:t>
      </w:r>
      <w:r w:rsidRPr="00A717CB">
        <w:rPr>
          <w:vertAlign w:val="superscript"/>
          <w:lang w:val="en"/>
        </w:rPr>
        <w:footnoteReference w:id="114"/>
      </w:r>
      <w:r w:rsidRPr="00A717CB">
        <w:rPr>
          <w:lang w:val="en"/>
        </w:rPr>
        <w:t xml:space="preserve"> The </w:t>
      </w:r>
      <w:r w:rsidR="00DD2881">
        <w:rPr>
          <w:lang w:val="en"/>
        </w:rPr>
        <w:t>f</w:t>
      </w:r>
      <w:r w:rsidR="00DD2881" w:rsidRPr="00A717CB">
        <w:rPr>
          <w:lang w:val="en"/>
        </w:rPr>
        <w:t xml:space="preserve">ramework </w:t>
      </w:r>
      <w:r w:rsidRPr="00A717CB">
        <w:rPr>
          <w:lang w:val="en"/>
        </w:rPr>
        <w:t xml:space="preserve">seeks to improve services for </w:t>
      </w:r>
      <w:r w:rsidR="00DD2881">
        <w:rPr>
          <w:lang w:val="en"/>
        </w:rPr>
        <w:t>peopl</w:t>
      </w:r>
      <w:r w:rsidR="00DD2881" w:rsidRPr="00A717CB">
        <w:rPr>
          <w:lang w:val="en"/>
        </w:rPr>
        <w:t xml:space="preserve">e </w:t>
      </w:r>
      <w:r w:rsidRPr="00A717CB">
        <w:rPr>
          <w:lang w:val="en"/>
        </w:rPr>
        <w:t>at risk of re-entering</w:t>
      </w:r>
      <w:r w:rsidR="00DD2881">
        <w:rPr>
          <w:lang w:val="en"/>
        </w:rPr>
        <w:t xml:space="preserve"> prison</w:t>
      </w:r>
      <w:r w:rsidRPr="00A717CB">
        <w:rPr>
          <w:lang w:val="en"/>
        </w:rPr>
        <w:t>, or those who are already in the criminal justice system, and to promote continued collaboration to reduce the number of offenders and re-offenders.</w:t>
      </w:r>
    </w:p>
    <w:p w14:paraId="43F4A6FC" w14:textId="58528C4A" w:rsidR="00C32DAA" w:rsidRPr="00A717CB" w:rsidRDefault="00057AC4" w:rsidP="001A0590">
      <w:pPr>
        <w:pStyle w:val="Parabeforeanother"/>
        <w:spacing w:line="240" w:lineRule="auto"/>
      </w:pPr>
      <w:r>
        <w:t xml:space="preserve">The </w:t>
      </w:r>
      <w:r w:rsidR="00C32DAA" w:rsidRPr="00A717CB">
        <w:t>EHRC is deeply concerned about the over</w:t>
      </w:r>
      <w:r w:rsidR="00DD2881">
        <w:t>-</w:t>
      </w:r>
      <w:r w:rsidR="00C32DAA" w:rsidRPr="00A717CB">
        <w:t>representation of ethnic minorities in prisons, which has been attributed to a number of factors including discriminatory sentencing.</w:t>
      </w:r>
      <w:r w:rsidR="00C32DAA" w:rsidRPr="00A717CB">
        <w:rPr>
          <w:rStyle w:val="FootnoteReference"/>
        </w:rPr>
        <w:footnoteReference w:id="115"/>
      </w:r>
      <w:r w:rsidR="00C32DAA" w:rsidRPr="00A717CB">
        <w:t xml:space="preserve"> Black people make up 3</w:t>
      </w:r>
      <w:r w:rsidR="00DD2881">
        <w:t xml:space="preserve"> per cent</w:t>
      </w:r>
      <w:r w:rsidR="00C32DAA" w:rsidRPr="00A717CB">
        <w:t xml:space="preserve"> of the general population but made up 12</w:t>
      </w:r>
      <w:r w:rsidR="00DD2881">
        <w:t xml:space="preserve"> per cent</w:t>
      </w:r>
      <w:r w:rsidR="00C32DAA" w:rsidRPr="00A717CB">
        <w:t xml:space="preserve"> of the prison population in England and Wales in 2015/16.</w:t>
      </w:r>
      <w:r w:rsidR="00C32DAA" w:rsidRPr="00A717CB">
        <w:rPr>
          <w:rStyle w:val="FootnoteReference"/>
        </w:rPr>
        <w:footnoteReference w:id="116"/>
      </w:r>
      <w:r w:rsidR="00EB2214">
        <w:t xml:space="preserve"> </w:t>
      </w:r>
      <w:r w:rsidR="00C32DAA" w:rsidRPr="00A717CB">
        <w:t>The Wales Governance Centre also found that the level of racial disproportionality was higher among the Welsh prison population than the English prison population in 2017.</w:t>
      </w:r>
      <w:r w:rsidR="00C32DAA" w:rsidRPr="00A717CB">
        <w:rPr>
          <w:rStyle w:val="FootnoteReference"/>
        </w:rPr>
        <w:footnoteReference w:id="117"/>
      </w:r>
      <w:r w:rsidR="00C32DAA" w:rsidRPr="00A717CB">
        <w:t xml:space="preserve"> The UK Government has committed to addressing the over</w:t>
      </w:r>
      <w:r w:rsidR="002F45FA">
        <w:t>-</w:t>
      </w:r>
      <w:r w:rsidR="00C32DAA" w:rsidRPr="00A717CB">
        <w:t>representation of ethnic minority groups in prisons.</w:t>
      </w:r>
      <w:r w:rsidR="00C32DAA" w:rsidRPr="00A717CB">
        <w:rPr>
          <w:rStyle w:val="FootnoteReference"/>
        </w:rPr>
        <w:footnoteReference w:id="118"/>
      </w:r>
      <w:r w:rsidR="00C32DAA" w:rsidRPr="00A717CB">
        <w:t xml:space="preserve"> Steps taken so far include the publication of sentencing data broken down by ethnicity and measures to strengthen the community engagement work of the Crown Prosecution Service</w:t>
      </w:r>
      <w:r w:rsidR="00214F8E">
        <w:t xml:space="preserve"> (CPS)</w:t>
      </w:r>
      <w:r w:rsidR="00C32DAA" w:rsidRPr="00A717CB">
        <w:t>.</w:t>
      </w:r>
      <w:r w:rsidR="00C32DAA" w:rsidRPr="00A717CB">
        <w:rPr>
          <w:rStyle w:val="FootnoteReference"/>
        </w:rPr>
        <w:footnoteReference w:id="119"/>
      </w:r>
      <w:r w:rsidR="00C32DAA" w:rsidRPr="00A717CB">
        <w:t xml:space="preserve"> However, these steps have not yet had an impact on the level of racial disproportionality </w:t>
      </w:r>
      <w:r w:rsidR="002F45FA">
        <w:t>in</w:t>
      </w:r>
      <w:r w:rsidR="002F45FA" w:rsidRPr="00A717CB">
        <w:t xml:space="preserve"> </w:t>
      </w:r>
      <w:r w:rsidR="00C32DAA" w:rsidRPr="00A717CB">
        <w:t>the prison population.</w:t>
      </w:r>
      <w:r w:rsidR="00EB2214">
        <w:t xml:space="preserve"> </w:t>
      </w:r>
    </w:p>
    <w:p w14:paraId="1BB6EC96" w14:textId="192F5C4F" w:rsidR="00C32DAA" w:rsidRPr="00A717CB" w:rsidRDefault="00C32DAA" w:rsidP="001A0590">
      <w:pPr>
        <w:pStyle w:val="Parabeforeanother"/>
        <w:spacing w:line="240" w:lineRule="auto"/>
      </w:pPr>
      <w:r w:rsidRPr="00A717CB">
        <w:t xml:space="preserve">There are significant concerns about the amount of time prisoners </w:t>
      </w:r>
      <w:r w:rsidR="002F45FA">
        <w:t>spend</w:t>
      </w:r>
      <w:r w:rsidR="002F45FA" w:rsidRPr="00A717CB">
        <w:t xml:space="preserve"> </w:t>
      </w:r>
      <w:r w:rsidRPr="00A717CB">
        <w:t>out of cells. HMIP expects prisoners to be unlocked for at least 10 hours a day but</w:t>
      </w:r>
      <w:r w:rsidR="002F45FA">
        <w:t>,</w:t>
      </w:r>
      <w:r w:rsidRPr="00A717CB">
        <w:t xml:space="preserve"> according to research published in 2018</w:t>
      </w:r>
      <w:r w:rsidR="002F45FA">
        <w:t>,</w:t>
      </w:r>
      <w:r w:rsidRPr="00A717CB">
        <w:t xml:space="preserve"> only 16</w:t>
      </w:r>
      <w:r w:rsidR="00DD2881">
        <w:t xml:space="preserve"> per cent</w:t>
      </w:r>
      <w:r w:rsidRPr="00A717CB">
        <w:t xml:space="preserve"> of adult male prisoners surveyed said they were unlocked for at least this length of time. One fifth (20</w:t>
      </w:r>
      <w:r w:rsidR="00DD2881">
        <w:t xml:space="preserve"> per cent</w:t>
      </w:r>
      <w:r w:rsidRPr="00A717CB">
        <w:t>) said they spent less than two hours out of their cells on a weekday.</w:t>
      </w:r>
      <w:r w:rsidRPr="00A717CB">
        <w:rPr>
          <w:rStyle w:val="FootnoteReference"/>
        </w:rPr>
        <w:footnoteReference w:id="120"/>
      </w:r>
      <w:r w:rsidRPr="00A717CB">
        <w:t xml:space="preserve"> In 2016 and 2017</w:t>
      </w:r>
      <w:r w:rsidR="002F45FA">
        <w:t>,</w:t>
      </w:r>
      <w:r w:rsidRPr="00A717CB">
        <w:t xml:space="preserve"> restricted time out of cells was identified as one of the root causes of serious riots and disturbances in some prisons.</w:t>
      </w:r>
      <w:r w:rsidRPr="00A717CB">
        <w:rPr>
          <w:rStyle w:val="FootnoteReference"/>
        </w:rPr>
        <w:footnoteReference w:id="121"/>
      </w:r>
    </w:p>
    <w:p w14:paraId="539F0491" w14:textId="4F84F2BA" w:rsidR="00C32DAA" w:rsidRPr="00A717CB" w:rsidRDefault="00C32DAA" w:rsidP="001A0590">
      <w:pPr>
        <w:pStyle w:val="Parabeforeanother"/>
        <w:spacing w:line="240" w:lineRule="auto"/>
      </w:pPr>
      <w:r w:rsidRPr="00A717CB">
        <w:t>Levels of self-harm and assaults in prisons have risen significantly in recent years, suggesting mental health and wellbeing have deteriorated.</w:t>
      </w:r>
      <w:r w:rsidRPr="00A717CB">
        <w:rPr>
          <w:rStyle w:val="FootnoteReference"/>
        </w:rPr>
        <w:footnoteReference w:id="122"/>
      </w:r>
      <w:r w:rsidRPr="00A717CB">
        <w:t xml:space="preserve"> Recorded self-harm in prisons in England and Wales reached a record high (49,565 incidents) in the 12 months to June 2018.</w:t>
      </w:r>
      <w:r w:rsidRPr="00A717CB">
        <w:rPr>
          <w:rStyle w:val="FootnoteReference"/>
        </w:rPr>
        <w:footnoteReference w:id="123"/>
      </w:r>
      <w:r w:rsidRPr="00A717CB">
        <w:t xml:space="preserve"> The number of recorded assaults in England and Wales rose to 32,559 in the year to June 2018, including</w:t>
      </w:r>
      <w:r>
        <w:t xml:space="preserve"> 23,448</w:t>
      </w:r>
      <w:r w:rsidRPr="00A717CB">
        <w:t xml:space="preserve"> prisoner-on-prisoner </w:t>
      </w:r>
      <w:r w:rsidRPr="00A717CB">
        <w:lastRenderedPageBreak/>
        <w:t>assaults and</w:t>
      </w:r>
      <w:r>
        <w:t xml:space="preserve"> 9,485</w:t>
      </w:r>
      <w:r w:rsidRPr="00A717CB">
        <w:t xml:space="preserve"> assaults on staff.</w:t>
      </w:r>
      <w:r w:rsidRPr="00A717CB">
        <w:rPr>
          <w:vertAlign w:val="superscript"/>
        </w:rPr>
        <w:footnoteReference w:id="124"/>
      </w:r>
      <w:r w:rsidRPr="00A717CB">
        <w:t xml:space="preserve"> The number of recorded self-harm incidents and prison assaults in Wales has increased at a higher rate than in prisons in England since 2010.</w:t>
      </w:r>
      <w:r w:rsidRPr="00A717CB">
        <w:rPr>
          <w:rStyle w:val="FootnoteReference"/>
        </w:rPr>
        <w:footnoteReference w:id="125"/>
      </w:r>
    </w:p>
    <w:p w14:paraId="167F12DC" w14:textId="76DA2273" w:rsidR="00C32DAA" w:rsidRDefault="00C32DAA" w:rsidP="001A0590">
      <w:pPr>
        <w:pStyle w:val="Parabeforeanother"/>
        <w:spacing w:line="240" w:lineRule="auto"/>
      </w:pPr>
      <w:r w:rsidRPr="00A717CB">
        <w:t xml:space="preserve">The number of non-natural deaths in custody remains a serious </w:t>
      </w:r>
      <w:r w:rsidRPr="00A717CB">
        <w:rPr>
          <w:lang w:eastAsia="en-GB"/>
        </w:rPr>
        <w:t>concern and raises questions about the treatment of prisoners with mental health problems.</w:t>
      </w:r>
      <w:r w:rsidRPr="00A717CB">
        <w:rPr>
          <w:rStyle w:val="FootnoteReference"/>
          <w:lang w:eastAsia="en-GB"/>
        </w:rPr>
        <w:footnoteReference w:id="126"/>
      </w:r>
      <w:r w:rsidRPr="00A717CB">
        <w:t xml:space="preserve"> In 2015, </w:t>
      </w:r>
      <w:r w:rsidR="00057AC4">
        <w:t xml:space="preserve">the </w:t>
      </w:r>
      <w:r w:rsidRPr="00A717CB">
        <w:t>EHRC undertook an inquiry into non-natural deaths in custody, reporting that lessons were not being learned from earlier deaths and calling for prisons to have a statutory duty to respond to recommendations from investigations.</w:t>
      </w:r>
      <w:r w:rsidRPr="00A717CB">
        <w:rPr>
          <w:rStyle w:val="FootnoteReference"/>
        </w:rPr>
        <w:footnoteReference w:id="127"/>
      </w:r>
      <w:r w:rsidRPr="00A717CB">
        <w:t xml:space="preserve"> In a 2016 progress review, </w:t>
      </w:r>
      <w:r w:rsidR="00057AC4">
        <w:t xml:space="preserve">the </w:t>
      </w:r>
      <w:r w:rsidRPr="00A717CB">
        <w:t>EHRC welcomed actions taken to address these issues, including improvements to initial assessments of prisoners’ mental health, but we concluded that further improvements were needed.</w:t>
      </w:r>
      <w:r w:rsidRPr="00A717CB">
        <w:rPr>
          <w:rStyle w:val="FootnoteReference"/>
        </w:rPr>
        <w:footnoteReference w:id="128"/>
      </w:r>
      <w:r w:rsidRPr="00A717CB">
        <w:t xml:space="preserve"> In the year to September 2018, there were 87 recorded self-inflicted deaths in </w:t>
      </w:r>
      <w:r w:rsidR="002F45FA">
        <w:t xml:space="preserve">prisons in </w:t>
      </w:r>
      <w:r w:rsidRPr="00A717CB">
        <w:t>England and Wales (of which 82 were male prisoners)</w:t>
      </w:r>
      <w:r w:rsidR="002F45FA">
        <w:t>,</w:t>
      </w:r>
      <w:r w:rsidRPr="00A717CB">
        <w:t xml:space="preserve"> following a steady rise from 58 in 2011 (with a peak of 122 in 2016).</w:t>
      </w:r>
      <w:r w:rsidRPr="00A717CB">
        <w:rPr>
          <w:vertAlign w:val="superscript"/>
        </w:rPr>
        <w:footnoteReference w:id="129"/>
      </w:r>
      <w:r w:rsidRPr="00A717CB">
        <w:t xml:space="preserve"> </w:t>
      </w:r>
    </w:p>
    <w:p w14:paraId="24032FC8" w14:textId="4AAAC2AA" w:rsidR="00C32DAA" w:rsidRDefault="00C32DAA" w:rsidP="001A0590">
      <w:pPr>
        <w:pStyle w:val="Parabeforeanother"/>
        <w:spacing w:line="240" w:lineRule="auto"/>
      </w:pPr>
      <w:r w:rsidRPr="00A717CB">
        <w:t xml:space="preserve">The Government has committed to delivering </w:t>
      </w:r>
      <w:r>
        <w:t xml:space="preserve">up to </w:t>
      </w:r>
      <w:r w:rsidRPr="00A717CB">
        <w:t>10,000 decent prison places</w:t>
      </w:r>
      <w:r w:rsidRPr="00A717CB">
        <w:rPr>
          <w:vertAlign w:val="superscript"/>
        </w:rPr>
        <w:footnoteReference w:id="130"/>
      </w:r>
      <w:r w:rsidRPr="00A717CB">
        <w:t xml:space="preserve"> and investing in more widespread use of liaison and diversion services.</w:t>
      </w:r>
      <w:r w:rsidRPr="00A717CB">
        <w:rPr>
          <w:rStyle w:val="FootnoteReference"/>
        </w:rPr>
        <w:footnoteReference w:id="131"/>
      </w:r>
      <w:r w:rsidRPr="00A717CB">
        <w:t xml:space="preserve"> While the general direction of these measures is welcome, there are concerns about how effectively they will address the root causes of overcrowding, rising rates of self-harm and increasing violence in prisons. An evaluation of the pilot of the Government’s network of liaison and diversion services reported positive impacts, including better identification of the needs of people in custody, particularly mental health needs. However, there is no data on the number of individuals who have been diverted from the criminal justice system as a result of this engagement.</w:t>
      </w:r>
      <w:r w:rsidRPr="00A717CB">
        <w:rPr>
          <w:rStyle w:val="FootnoteReference"/>
        </w:rPr>
        <w:footnoteReference w:id="132"/>
      </w:r>
    </w:p>
    <w:p w14:paraId="294CC56D" w14:textId="1F79DF6C" w:rsidR="00C32DAA" w:rsidRPr="00A717CB" w:rsidRDefault="00C32DAA" w:rsidP="001A0590">
      <w:pPr>
        <w:pStyle w:val="Parabeforeanother"/>
        <w:spacing w:line="240" w:lineRule="auto"/>
      </w:pPr>
      <w:r w:rsidRPr="00A717CB">
        <w:t>In June 2018, the UK Government published its female offender strategy, which sets out measures to enhance mental health services for women in prisons, promote alternative sentencing and ensure that that treatment of women in the criminal justice system takes account of gender and sexual violence.</w:t>
      </w:r>
      <w:r w:rsidRPr="00A717CB">
        <w:rPr>
          <w:vertAlign w:val="superscript"/>
        </w:rPr>
        <w:footnoteReference w:id="133"/>
      </w:r>
      <w:r w:rsidRPr="00A717CB">
        <w:t xml:space="preserve"> The need for special measures to promote alternative sentencing for women is highlighted by the fact that women are more likely to receive short-term custodial sentences than men. Between 2010 and 2017, 78.6</w:t>
      </w:r>
      <w:r w:rsidR="00DD2881">
        <w:t xml:space="preserve"> per cent</w:t>
      </w:r>
      <w:r w:rsidRPr="00A717CB">
        <w:t xml:space="preserve"> of women sentenced to immediate custody in Wales were handed sentences of less than 12 months, compared to 67</w:t>
      </w:r>
      <w:r w:rsidR="00DD2881">
        <w:t xml:space="preserve"> per cent</w:t>
      </w:r>
      <w:r w:rsidRPr="00A717CB">
        <w:t xml:space="preserve"> of male offenders.</w:t>
      </w:r>
      <w:r w:rsidRPr="00A717CB">
        <w:rPr>
          <w:vertAlign w:val="superscript"/>
        </w:rPr>
        <w:footnoteReference w:id="134"/>
      </w:r>
    </w:p>
    <w:p w14:paraId="013EC22A" w14:textId="77777777" w:rsidR="00C32DAA" w:rsidRPr="00A717CB" w:rsidRDefault="00C32DAA" w:rsidP="001A0590">
      <w:pPr>
        <w:pStyle w:val="Parabeforeanother"/>
        <w:spacing w:line="240" w:lineRule="auto"/>
      </w:pPr>
      <w:r w:rsidRPr="00A717CB">
        <w:lastRenderedPageBreak/>
        <w:t>However, concerns have been raised about the level of funding linked to the strategy.</w:t>
      </w:r>
      <w:r w:rsidRPr="00A717CB">
        <w:rPr>
          <w:rStyle w:val="FootnoteReference"/>
        </w:rPr>
        <w:footnoteReference w:id="135"/>
      </w:r>
      <w:r w:rsidRPr="00A717CB">
        <w:t xml:space="preserve"> Resources allocated to community services – £5 million – are limited and substantially smaller than the estimated £50 million</w:t>
      </w:r>
      <w:r w:rsidRPr="00A717CB">
        <w:rPr>
          <w:rStyle w:val="FootnoteReference"/>
        </w:rPr>
        <w:footnoteReference w:id="136"/>
      </w:r>
      <w:r w:rsidRPr="00A717CB">
        <w:t xml:space="preserve"> that the UK Government will save as a result of cancelling its plans to build five women’s prisons.</w:t>
      </w:r>
      <w:r w:rsidRPr="00A717CB">
        <w:rPr>
          <w:vertAlign w:val="superscript"/>
        </w:rPr>
        <w:footnoteReference w:id="137"/>
      </w:r>
      <w:r w:rsidRPr="00A717CB">
        <w:t xml:space="preserve"> </w:t>
      </w:r>
    </w:p>
    <w:p w14:paraId="5FAB7762" w14:textId="53A71932" w:rsidR="00C32DAA" w:rsidRPr="00A717CB" w:rsidRDefault="00C32DAA" w:rsidP="001A0590">
      <w:pPr>
        <w:pStyle w:val="Parabeforeanother"/>
        <w:spacing w:line="240" w:lineRule="auto"/>
      </w:pPr>
      <w:r w:rsidRPr="00A717CB">
        <w:t>There are questions over some of the other proposals in the strategy. Whil</w:t>
      </w:r>
      <w:r w:rsidR="00CE4777">
        <w:t>e</w:t>
      </w:r>
      <w:r w:rsidRPr="00A717CB">
        <w:t xml:space="preserve"> we welcome the </w:t>
      </w:r>
      <w:r w:rsidR="00873C5B">
        <w:t>G</w:t>
      </w:r>
      <w:r w:rsidRPr="00A717CB">
        <w:t>overnment’s emphasis on providing appropriate treatment to women in a pilot to secure more community sentence treatment for ‘vulnerable’ offenders with mental health, drug and alcohol problems,</w:t>
      </w:r>
      <w:r w:rsidRPr="00A717CB">
        <w:rPr>
          <w:vertAlign w:val="superscript"/>
        </w:rPr>
        <w:footnoteReference w:id="138"/>
      </w:r>
      <w:r w:rsidRPr="00A717CB">
        <w:t xml:space="preserve"> there is a risk that requiring women to undertake treatment in the community as an alternative to imprisonment might violate the human rights of disabled women.</w:t>
      </w:r>
      <w:r w:rsidRPr="00A717CB">
        <w:rPr>
          <w:vertAlign w:val="superscript"/>
        </w:rPr>
        <w:footnoteReference w:id="139"/>
      </w:r>
      <w:r w:rsidRPr="00A717CB">
        <w:t xml:space="preserve"> This type of sentence raises complex issues in relation to consent and forced treatment which must be taken into account by monitoring and evaluation.</w:t>
      </w:r>
      <w:r w:rsidRPr="00A717CB">
        <w:rPr>
          <w:vertAlign w:val="superscript"/>
        </w:rPr>
        <w:footnoteReference w:id="140"/>
      </w:r>
    </w:p>
    <w:p w14:paraId="500FD84C" w14:textId="2BC932C6" w:rsidR="00C32DAA" w:rsidRPr="00A717CB" w:rsidRDefault="00C32DAA" w:rsidP="001A0590">
      <w:pPr>
        <w:pStyle w:val="Parabeforenewsubsection"/>
        <w:spacing w:line="240" w:lineRule="auto"/>
      </w:pPr>
      <w:r w:rsidRPr="00A717CB">
        <w:t>Urgent steps are needed to ensure that specialist mental health</w:t>
      </w:r>
      <w:r w:rsidR="002F45FA">
        <w:t xml:space="preserve"> </w:t>
      </w:r>
      <w:r w:rsidRPr="00A717CB">
        <w:t>care in the secure estate is tailored to the needs of particular groups.</w:t>
      </w:r>
      <w:r w:rsidRPr="00A717CB">
        <w:rPr>
          <w:rStyle w:val="FootnoteReference"/>
        </w:rPr>
        <w:footnoteReference w:id="141"/>
      </w:r>
      <w:r w:rsidRPr="00A717CB">
        <w:t xml:space="preserve"> There is evidence that individuals from minority ethnic groups in prisons are less likely than their </w:t>
      </w:r>
      <w:r w:rsidR="002F45FA">
        <w:t>w</w:t>
      </w:r>
      <w:r w:rsidR="002F45FA" w:rsidRPr="00A717CB">
        <w:t xml:space="preserve">hite </w:t>
      </w:r>
      <w:r w:rsidRPr="00A717CB">
        <w:t>counterparts to be identified as having learning difficulties or mental health concerns.</w:t>
      </w:r>
      <w:r w:rsidRPr="00A717CB">
        <w:rPr>
          <w:rStyle w:val="FootnoteReference"/>
        </w:rPr>
        <w:footnoteReference w:id="142"/>
      </w:r>
      <w:r w:rsidRPr="00A717CB">
        <w:t xml:space="preserve"> Evidence suggests that that women from minority ethnic groups in prison have less access to mental health support than </w:t>
      </w:r>
      <w:r w:rsidR="002F45FA">
        <w:t>w</w:t>
      </w:r>
      <w:r w:rsidR="002F45FA" w:rsidRPr="00A717CB">
        <w:t xml:space="preserve">hite </w:t>
      </w:r>
      <w:r w:rsidRPr="00A717CB">
        <w:t>women in prisons.</w:t>
      </w:r>
      <w:r w:rsidRPr="00A717CB">
        <w:rPr>
          <w:vertAlign w:val="superscript"/>
        </w:rPr>
        <w:footnoteReference w:id="143"/>
      </w:r>
      <w:r w:rsidRPr="00A717CB">
        <w:t xml:space="preserve"> The Prison and Probation Ombudsman</w:t>
      </w:r>
      <w:r w:rsidR="002F45FA">
        <w:t xml:space="preserve"> (PPO)</w:t>
      </w:r>
      <w:r w:rsidRPr="00A717CB">
        <w:t xml:space="preserve"> has also drawn attention to adaptations needed to improve the treatment of transgender prisoners.</w:t>
      </w:r>
      <w:r w:rsidRPr="00A717CB">
        <w:rPr>
          <w:rStyle w:val="FootnoteReference"/>
        </w:rPr>
        <w:footnoteReference w:id="144"/>
      </w:r>
      <w:r w:rsidRPr="00A717CB">
        <w:t xml:space="preserve"> </w:t>
      </w:r>
    </w:p>
    <w:p w14:paraId="0AE9BDEB" w14:textId="77777777" w:rsidR="00C32DAA" w:rsidRPr="00A717CB" w:rsidRDefault="00C32DAA" w:rsidP="00C14349">
      <w:pPr>
        <w:pStyle w:val="Title-subsections"/>
        <w:rPr>
          <w:lang w:eastAsia="en-GB"/>
        </w:rPr>
      </w:pPr>
      <w:bookmarkStart w:id="37" w:name="_Toc4061399"/>
      <w:r w:rsidRPr="00A717CB">
        <w:rPr>
          <w:lang w:eastAsia="en-GB"/>
        </w:rPr>
        <w:t>Conditions in the youth estate</w:t>
      </w:r>
      <w:bookmarkEnd w:id="37"/>
    </w:p>
    <w:p w14:paraId="44279FD6" w14:textId="0951DFE5" w:rsidR="00C32DAA" w:rsidRPr="00A717CB" w:rsidRDefault="00C32DAA" w:rsidP="001A0590">
      <w:pPr>
        <w:pStyle w:val="Parabeforeanother"/>
        <w:spacing w:line="240" w:lineRule="auto"/>
      </w:pPr>
      <w:r w:rsidRPr="00A717CB">
        <w:t xml:space="preserve">Although the number of under-18s in youth custody in England and Wales </w:t>
      </w:r>
      <w:r w:rsidR="00DE447E">
        <w:t>steadily decreased between 2010/</w:t>
      </w:r>
      <w:r w:rsidRPr="00A717CB">
        <w:t>11 and 201</w:t>
      </w:r>
      <w:r>
        <w:t>7</w:t>
      </w:r>
      <w:r w:rsidR="00DE447E">
        <w:t>/</w:t>
      </w:r>
      <w:r w:rsidRPr="00A717CB">
        <w:t>1</w:t>
      </w:r>
      <w:r>
        <w:t>8</w:t>
      </w:r>
      <w:r w:rsidRPr="00A717CB">
        <w:t>, the over</w:t>
      </w:r>
      <w:r w:rsidR="0049281F">
        <w:t>-</w:t>
      </w:r>
      <w:r w:rsidRPr="00A717CB">
        <w:t>representation of young people from ethnic minorities in custody increased markedly during this period, and is continuing to rise.</w:t>
      </w:r>
      <w:r w:rsidRPr="00A717CB">
        <w:rPr>
          <w:rStyle w:val="FootnoteReference"/>
        </w:rPr>
        <w:footnoteReference w:id="145"/>
      </w:r>
      <w:r w:rsidRPr="00A717CB">
        <w:t xml:space="preserve"> In January 2019, HMIP reported the highest ever recorded proportion of young people from ethnic minorities in </w:t>
      </w:r>
      <w:r w:rsidR="007C20F8">
        <w:t>Y</w:t>
      </w:r>
      <w:r w:rsidR="000B2D77">
        <w:t xml:space="preserve">oung </w:t>
      </w:r>
      <w:r w:rsidR="007C20F8">
        <w:t>O</w:t>
      </w:r>
      <w:r w:rsidR="000B2D77">
        <w:t xml:space="preserve">ffender </w:t>
      </w:r>
      <w:r w:rsidR="007C20F8">
        <w:t>I</w:t>
      </w:r>
      <w:r w:rsidR="000B2D77">
        <w:t xml:space="preserve">nstitutions </w:t>
      </w:r>
      <w:r>
        <w:t>(YOIs)</w:t>
      </w:r>
      <w:r w:rsidRPr="00A717CB">
        <w:t>, at 51</w:t>
      </w:r>
      <w:r w:rsidR="00DD2881">
        <w:t xml:space="preserve"> per cent</w:t>
      </w:r>
      <w:r w:rsidRPr="00A717CB">
        <w:t>.</w:t>
      </w:r>
      <w:r w:rsidRPr="00A717CB">
        <w:rPr>
          <w:rStyle w:val="FootnoteReference"/>
        </w:rPr>
        <w:footnoteReference w:id="146"/>
      </w:r>
      <w:r w:rsidRPr="00A717CB">
        <w:t xml:space="preserve"> In </w:t>
      </w:r>
      <w:r w:rsidR="0049281F">
        <w:t>its</w:t>
      </w:r>
      <w:r w:rsidR="0049281F" w:rsidRPr="00A717CB">
        <w:t xml:space="preserve"> </w:t>
      </w:r>
      <w:r w:rsidRPr="00A717CB">
        <w:t>2017/18 annual report</w:t>
      </w:r>
      <w:r w:rsidR="0049281F">
        <w:t>,</w:t>
      </w:r>
      <w:r w:rsidRPr="00A717CB">
        <w:t xml:space="preserve"> HMIP reported that children’s </w:t>
      </w:r>
      <w:r w:rsidRPr="00A717CB">
        <w:lastRenderedPageBreak/>
        <w:t>perceptions of their safety in custody continue to be poor</w:t>
      </w:r>
      <w:r w:rsidR="0049281F">
        <w:t>:</w:t>
      </w:r>
      <w:r w:rsidRPr="00A717CB">
        <w:t xml:space="preserve"> 43</w:t>
      </w:r>
      <w:r w:rsidR="00DD2881">
        <w:t xml:space="preserve"> per cent</w:t>
      </w:r>
      <w:r w:rsidRPr="00A717CB">
        <w:t xml:space="preserve"> of surveyed children </w:t>
      </w:r>
      <w:r w:rsidR="0049281F">
        <w:t>said</w:t>
      </w:r>
      <w:r w:rsidR="0049281F" w:rsidRPr="00A717CB">
        <w:t xml:space="preserve"> </w:t>
      </w:r>
      <w:r w:rsidRPr="00A717CB">
        <w:t xml:space="preserve">they had felt unsafe at some point in their current </w:t>
      </w:r>
      <w:r>
        <w:t>YOI</w:t>
      </w:r>
      <w:r w:rsidRPr="00A717CB">
        <w:t>. Rates of violence against staff and peer</w:t>
      </w:r>
      <w:r w:rsidR="0049281F">
        <w:t>-</w:t>
      </w:r>
      <w:r w:rsidRPr="00A717CB">
        <w:t>on</w:t>
      </w:r>
      <w:r w:rsidR="0049281F">
        <w:t>-</w:t>
      </w:r>
      <w:r w:rsidRPr="00A717CB">
        <w:t>peer violence were higher than in previous years.</w:t>
      </w:r>
      <w:r w:rsidRPr="00A717CB">
        <w:rPr>
          <w:vertAlign w:val="superscript"/>
        </w:rPr>
        <w:footnoteReference w:id="147"/>
      </w:r>
    </w:p>
    <w:p w14:paraId="3F2BA8D0" w14:textId="4C156079" w:rsidR="00C32DAA" w:rsidRPr="00A717CB" w:rsidRDefault="00C32DAA" w:rsidP="001A0590">
      <w:pPr>
        <w:pStyle w:val="Parabeforeanother"/>
        <w:spacing w:line="240" w:lineRule="auto"/>
      </w:pPr>
      <w:r w:rsidRPr="00A717CB">
        <w:t xml:space="preserve">The Chief Inspector of Prisons has stated that not a single YOI or </w:t>
      </w:r>
      <w:r w:rsidR="000B2D77" w:rsidRPr="00A717CB">
        <w:t>secure training centre</w:t>
      </w:r>
      <w:r w:rsidRPr="00A717CB">
        <w:t xml:space="preserve"> (STC) is considered to be safe, with staffing constraints identified as a key contributing factor.</w:t>
      </w:r>
      <w:r w:rsidRPr="00A717CB">
        <w:rPr>
          <w:vertAlign w:val="superscript"/>
        </w:rPr>
        <w:footnoteReference w:id="148"/>
      </w:r>
      <w:r w:rsidRPr="00A717CB">
        <w:t xml:space="preserve"> Too many children in custody are deprived of adequate time outside of their cells,</w:t>
      </w:r>
      <w:r>
        <w:rPr>
          <w:rStyle w:val="FootnoteReference"/>
        </w:rPr>
        <w:footnoteReference w:id="149"/>
      </w:r>
      <w:r w:rsidRPr="00A717CB">
        <w:t xml:space="preserve"> some because they feel too scared to leave.</w:t>
      </w:r>
      <w:r w:rsidRPr="00A717CB">
        <w:rPr>
          <w:vertAlign w:val="superscript"/>
        </w:rPr>
        <w:footnoteReference w:id="150"/>
      </w:r>
    </w:p>
    <w:p w14:paraId="08F805C3" w14:textId="78A3C5E1" w:rsidR="00C32DAA" w:rsidRPr="00A717CB" w:rsidRDefault="00C32DAA" w:rsidP="001A0590">
      <w:pPr>
        <w:pStyle w:val="Parabeforeanother"/>
        <w:spacing w:line="240" w:lineRule="auto"/>
      </w:pPr>
      <w:r w:rsidRPr="00A717CB">
        <w:t xml:space="preserve">The number of self-harm incidents in the youth custodial estate has also risen, from 5.1 per hundred young people in 2011/12 to </w:t>
      </w:r>
      <w:r>
        <w:t>12.5 per hundred in 2017/18</w:t>
      </w:r>
      <w:r w:rsidRPr="00A717CB">
        <w:t>.</w:t>
      </w:r>
      <w:r w:rsidRPr="00A717CB">
        <w:rPr>
          <w:vertAlign w:val="superscript"/>
        </w:rPr>
        <w:footnoteReference w:id="151"/>
      </w:r>
      <w:r w:rsidRPr="00A717CB">
        <w:t xml:space="preserve"> </w:t>
      </w:r>
      <w:r w:rsidRPr="00EF213A">
        <w:t xml:space="preserve">Between </w:t>
      </w:r>
      <w:r>
        <w:t>2007 and 2018</w:t>
      </w:r>
      <w:r w:rsidRPr="00EF213A">
        <w:t xml:space="preserve">, there were </w:t>
      </w:r>
      <w:r>
        <w:t>five deaths among 15-</w:t>
      </w:r>
      <w:r w:rsidR="00194AEC">
        <w:t xml:space="preserve"> to </w:t>
      </w:r>
      <w:r>
        <w:t>17</w:t>
      </w:r>
      <w:r w:rsidR="00194AEC">
        <w:t>-</w:t>
      </w:r>
      <w:r>
        <w:t>year</w:t>
      </w:r>
      <w:r w:rsidR="00194AEC">
        <w:t>-</w:t>
      </w:r>
      <w:r>
        <w:t>olds in youth custody, four of which were self-inflicted.</w:t>
      </w:r>
      <w:r w:rsidRPr="00A717CB">
        <w:rPr>
          <w:vertAlign w:val="superscript"/>
        </w:rPr>
        <w:footnoteReference w:id="152"/>
      </w:r>
      <w:r w:rsidRPr="00A717CB">
        <w:t xml:space="preserve"> </w:t>
      </w:r>
    </w:p>
    <w:p w14:paraId="2E01C748" w14:textId="5B59CAE3" w:rsidR="00C32DAA" w:rsidRPr="00A717CB" w:rsidRDefault="00C32DAA" w:rsidP="001A0590">
      <w:pPr>
        <w:pStyle w:val="Parabeforeanother"/>
        <w:spacing w:line="240" w:lineRule="auto"/>
      </w:pPr>
      <w:r w:rsidRPr="00A717CB">
        <w:t>Limited secure facilities for young people in Wales meant that 45</w:t>
      </w:r>
      <w:r w:rsidR="00DD2881">
        <w:t xml:space="preserve"> per cent</w:t>
      </w:r>
      <w:r w:rsidRPr="00A717CB">
        <w:t xml:space="preserve"> of all Welsh children in custody </w:t>
      </w:r>
      <w:r w:rsidR="0049281F">
        <w:t xml:space="preserve">in 2017 </w:t>
      </w:r>
      <w:r w:rsidRPr="00A717CB">
        <w:t xml:space="preserve">were held in establishments in England. </w:t>
      </w:r>
      <w:r w:rsidR="0049281F" w:rsidRPr="00A717CB">
        <w:t>The</w:t>
      </w:r>
      <w:r w:rsidR="0049281F">
        <w:t>se children’s</w:t>
      </w:r>
      <w:r w:rsidR="0049281F" w:rsidRPr="00A717CB">
        <w:t xml:space="preserve"> </w:t>
      </w:r>
      <w:r w:rsidRPr="00A717CB">
        <w:t>limited contact with family members increases their sense of isolation.</w:t>
      </w:r>
      <w:r w:rsidRPr="00A717CB">
        <w:rPr>
          <w:rStyle w:val="FootnoteReference"/>
        </w:rPr>
        <w:footnoteReference w:id="153"/>
      </w:r>
      <w:r w:rsidRPr="00A717CB">
        <w:t xml:space="preserve"> </w:t>
      </w:r>
    </w:p>
    <w:p w14:paraId="1546ECE6" w14:textId="13773101" w:rsidR="00C32DAA" w:rsidRPr="00A717CB" w:rsidRDefault="00C32DAA" w:rsidP="001A0590">
      <w:pPr>
        <w:pStyle w:val="Parabeforeanother"/>
        <w:spacing w:line="240" w:lineRule="auto"/>
      </w:pPr>
      <w:r w:rsidRPr="00A717CB">
        <w:t>In May 2016, the Youth Justice Board announced that it had developed a more robust system of monitoring for all STCs, following the reports of physical and emotional abuse at Medway STC</w:t>
      </w:r>
      <w:r w:rsidRPr="00A717CB">
        <w:rPr>
          <w:rStyle w:val="FootnoteReference"/>
        </w:rPr>
        <w:footnoteReference w:id="154"/>
      </w:r>
      <w:r w:rsidRPr="00A717CB">
        <w:t xml:space="preserve"> (see also chapter 7 on the use of restraint</w:t>
      </w:r>
      <w:r w:rsidR="003A6DDE">
        <w:t xml:space="preserve"> and chapter 12, on child sexual abuse</w:t>
      </w:r>
      <w:r w:rsidRPr="00A717CB">
        <w:t>). The incidents at Medway led to the formation of the Medway Improvement Board,</w:t>
      </w:r>
      <w:r w:rsidRPr="00A717CB">
        <w:rPr>
          <w:rStyle w:val="FootnoteReference"/>
        </w:rPr>
        <w:footnoteReference w:id="155"/>
      </w:r>
      <w:r w:rsidRPr="00A717CB">
        <w:t xml:space="preserve"> whose advisory report reinforced the interim findings of the Taylor Review, commissioned by the UK Government in 201</w:t>
      </w:r>
      <w:r>
        <w:t>5</w:t>
      </w:r>
      <w:r w:rsidRPr="00A717CB">
        <w:t xml:space="preserve"> to propose key reforms to the youth justice system in England and Wales.</w:t>
      </w:r>
      <w:r w:rsidRPr="00A717CB">
        <w:rPr>
          <w:rStyle w:val="FootnoteReference"/>
        </w:rPr>
        <w:footnoteReference w:id="156"/>
      </w:r>
      <w:r w:rsidRPr="00A717CB">
        <w:t xml:space="preserve"> Among other things, the Taylor Review recommended that the custodial s</w:t>
      </w:r>
      <w:r w:rsidR="00152E91">
        <w:t>ervices</w:t>
      </w:r>
      <w:r w:rsidRPr="00A717CB">
        <w:t xml:space="preserve"> for children and young people be provided by highly skilled and specialist staff, operating in smaller units across the regions. </w:t>
      </w:r>
    </w:p>
    <w:p w14:paraId="5CFB01EE" w14:textId="34251584" w:rsidR="00C32DAA" w:rsidRDefault="00C32DAA" w:rsidP="001A0590">
      <w:pPr>
        <w:pStyle w:val="Parabeforenewsection"/>
        <w:spacing w:after="0" w:line="240" w:lineRule="auto"/>
      </w:pPr>
      <w:r w:rsidRPr="00A717CB">
        <w:t>The Government’s vision of replacing STCs with secure schools that will provide a therapeutic and child-focus</w:t>
      </w:r>
      <w:r w:rsidR="00CE4777">
        <w:t>ed</w:t>
      </w:r>
      <w:r w:rsidRPr="00A717CB">
        <w:t xml:space="preserve"> environment</w:t>
      </w:r>
      <w:r w:rsidR="00F82953">
        <w:t>,</w:t>
      </w:r>
      <w:r w:rsidRPr="00A717CB">
        <w:t xml:space="preserve"> supported by a specialised workforce, is a step in the right direction.</w:t>
      </w:r>
      <w:r w:rsidRPr="00A717CB">
        <w:rPr>
          <w:rStyle w:val="FootnoteReference"/>
          <w:rFonts w:cs="Arial"/>
        </w:rPr>
        <w:footnoteReference w:id="157"/>
      </w:r>
      <w:r w:rsidRPr="00A717CB">
        <w:t xml:space="preserve"> However, the decision to trial these schools at </w:t>
      </w:r>
      <w:r w:rsidRPr="00A717CB">
        <w:lastRenderedPageBreak/>
        <w:t xml:space="preserve">Medway STC, </w:t>
      </w:r>
      <w:r w:rsidR="00F82953">
        <w:t>which has a</w:t>
      </w:r>
      <w:r w:rsidRPr="00A717CB">
        <w:t xml:space="preserve"> problematic history and prison-like dimensions, raises concerns about its chances of success.</w:t>
      </w:r>
      <w:r w:rsidRPr="00A717CB">
        <w:rPr>
          <w:rStyle w:val="FootnoteReference"/>
          <w:rFonts w:cs="Arial"/>
        </w:rPr>
        <w:footnoteReference w:id="158"/>
      </w:r>
      <w:r w:rsidRPr="00A717CB">
        <w:t xml:space="preserve"> </w:t>
      </w:r>
    </w:p>
    <w:p w14:paraId="0F36BDF6" w14:textId="77777777" w:rsidR="00C16414" w:rsidRPr="00A717CB" w:rsidRDefault="00C16414" w:rsidP="00664589">
      <w:pPr>
        <w:pStyle w:val="Parabeforenewsection"/>
        <w:spacing w:after="0"/>
      </w:pPr>
    </w:p>
    <w:p w14:paraId="2485E127" w14:textId="77777777" w:rsidR="00C32DAA" w:rsidRPr="00A717CB" w:rsidRDefault="00C32DAA" w:rsidP="00C14349">
      <w:pPr>
        <w:pStyle w:val="Title-subsections"/>
      </w:pPr>
      <w:bookmarkStart w:id="38" w:name="_Toc4061400"/>
      <w:r w:rsidRPr="00A717CB">
        <w:t>Children held in police cells overnight</w:t>
      </w:r>
      <w:bookmarkEnd w:id="38"/>
    </w:p>
    <w:p w14:paraId="3F1B58E7" w14:textId="4ABB1538" w:rsidR="00C32DAA" w:rsidRDefault="00C32DAA" w:rsidP="001A0590">
      <w:pPr>
        <w:pStyle w:val="Parabeforenewsection"/>
        <w:spacing w:after="0" w:line="240" w:lineRule="auto"/>
      </w:pPr>
      <w:r w:rsidRPr="00A717CB">
        <w:t>According to an inspection report, in the year ending 31 May 2017, around 40</w:t>
      </w:r>
      <w:r w:rsidR="00DD2881">
        <w:t xml:space="preserve"> per cent</w:t>
      </w:r>
      <w:r w:rsidRPr="00A717CB">
        <w:t xml:space="preserve"> of the 5,658 children brought into police custody in nine boroughs of London were held in police cells overnight.</w:t>
      </w:r>
      <w:r w:rsidRPr="00A717CB">
        <w:rPr>
          <w:vertAlign w:val="superscript"/>
        </w:rPr>
        <w:footnoteReference w:id="159"/>
      </w:r>
      <w:r w:rsidRPr="00A717CB">
        <w:t xml:space="preserve"> This is in breach of the law, which requires that children charged with a criminal offence should be bailed or transferred to local authority accommodation until they are brought to court except in very limited, exceptional circumstances.</w:t>
      </w:r>
      <w:r w:rsidRPr="00A717CB">
        <w:rPr>
          <w:rStyle w:val="FootnoteReference"/>
          <w:rFonts w:cs="Arial"/>
        </w:rPr>
        <w:footnoteReference w:id="160"/>
      </w:r>
      <w:r w:rsidRPr="00A717CB">
        <w:t xml:space="preserve"> Recently a ‘concordat’ has been signed by police forces and local authorities in England, committing to reducing the number of children held overnight.</w:t>
      </w:r>
      <w:r w:rsidRPr="00A717CB">
        <w:rPr>
          <w:rStyle w:val="FootnoteReference"/>
          <w:rFonts w:cs="Arial"/>
        </w:rPr>
        <w:footnoteReference w:id="161"/>
      </w:r>
    </w:p>
    <w:p w14:paraId="68E69D5F" w14:textId="77777777" w:rsidR="00C16414" w:rsidRPr="00A717CB" w:rsidRDefault="00C16414" w:rsidP="00664589">
      <w:pPr>
        <w:pStyle w:val="Parabeforenewsection"/>
        <w:spacing w:after="0"/>
      </w:pPr>
    </w:p>
    <w:p w14:paraId="172E778D" w14:textId="77777777" w:rsidR="00C32DAA" w:rsidRPr="00A717CB" w:rsidRDefault="00C32DAA" w:rsidP="0095032F">
      <w:pPr>
        <w:pStyle w:val="Title-subsections"/>
      </w:pPr>
      <w:bookmarkStart w:id="39" w:name="_Toc4061401"/>
      <w:r w:rsidRPr="00A717CB">
        <w:t>Recommendations</w:t>
      </w:r>
      <w:bookmarkEnd w:id="39"/>
    </w:p>
    <w:p w14:paraId="6CAD29B2" w14:textId="0629E568" w:rsidR="00C32DAA" w:rsidRPr="00A717CB" w:rsidRDefault="00C32DAA" w:rsidP="001A0590">
      <w:pPr>
        <w:pStyle w:val="Parabeforebulletss"/>
        <w:spacing w:line="240" w:lineRule="auto"/>
      </w:pPr>
      <w:r w:rsidRPr="00A717CB">
        <w:t xml:space="preserve">The UK and Welsh </w:t>
      </w:r>
      <w:r w:rsidR="00DF0BBF">
        <w:t>G</w:t>
      </w:r>
      <w:r w:rsidRPr="00A717CB">
        <w:t>overnments, where relevant, should:</w:t>
      </w:r>
    </w:p>
    <w:p w14:paraId="4A258AD3" w14:textId="12986D41" w:rsidR="00C32DAA" w:rsidRPr="00A717CB" w:rsidRDefault="00C32DAA" w:rsidP="001A0590">
      <w:pPr>
        <w:pStyle w:val="Bullet-followedbyothers"/>
        <w:spacing w:line="240" w:lineRule="auto"/>
      </w:pPr>
      <w:r w:rsidRPr="00A717CB">
        <w:t xml:space="preserve">Address overcrowding in adult prisons by investing in appropriate alternatives to imprisonment and widening access to liaison and diversion services, while ensuring that people with mental health conditions are not unduly pressured to receive mental health treatment in order to avoid detention, and </w:t>
      </w:r>
      <w:r w:rsidR="00152E91">
        <w:t>that they are required to give</w:t>
      </w:r>
      <w:r w:rsidRPr="00A717CB">
        <w:t xml:space="preserve"> valid consent to treatment. </w:t>
      </w:r>
    </w:p>
    <w:p w14:paraId="76CEF853" w14:textId="465FD0B3" w:rsidR="00C32DAA" w:rsidRPr="00A717CB" w:rsidRDefault="00C32DAA" w:rsidP="001A0590">
      <w:pPr>
        <w:pStyle w:val="Bullet-followedbyothers"/>
        <w:spacing w:line="240" w:lineRule="auto"/>
      </w:pPr>
      <w:r w:rsidRPr="00A717CB">
        <w:t>Improve the provision and availability of mental health services in the adult and youth custodial estate</w:t>
      </w:r>
      <w:r w:rsidR="007678C9">
        <w:t xml:space="preserve"> – </w:t>
      </w:r>
      <w:r w:rsidRPr="00A717CB">
        <w:t>recognising the different issues women, including transgender women, children and people belonging to ethnic minority groups experience in detention</w:t>
      </w:r>
      <w:r w:rsidR="007678C9">
        <w:t xml:space="preserve"> – </w:t>
      </w:r>
      <w:r w:rsidRPr="00A717CB">
        <w:t xml:space="preserve">to prevent suicide and self-harm, and </w:t>
      </w:r>
      <w:r w:rsidR="007678C9">
        <w:t xml:space="preserve">to </w:t>
      </w:r>
      <w:r w:rsidRPr="00A717CB">
        <w:t>facilitate resettlement.</w:t>
      </w:r>
    </w:p>
    <w:p w14:paraId="55ADF288" w14:textId="64D65059" w:rsidR="00C32DAA" w:rsidRPr="00A717CB" w:rsidRDefault="00C32DAA" w:rsidP="001A0590">
      <w:pPr>
        <w:pStyle w:val="Bullet-followedbyothers"/>
        <w:spacing w:line="240" w:lineRule="auto"/>
      </w:pPr>
      <w:r w:rsidRPr="00A717CB">
        <w:t xml:space="preserve">Introduce a statutory obligation on prisons and youth custodial institutions to respond to recommendations from investigations </w:t>
      </w:r>
      <w:r w:rsidR="007678C9">
        <w:t>into</w:t>
      </w:r>
      <w:r w:rsidR="007678C9" w:rsidRPr="00A717CB">
        <w:t xml:space="preserve"> </w:t>
      </w:r>
      <w:r w:rsidRPr="00A717CB">
        <w:t>deaths in custody by publishing an action plan.</w:t>
      </w:r>
    </w:p>
    <w:p w14:paraId="171DA4E6" w14:textId="7CE0E5EF" w:rsidR="00C16414" w:rsidRPr="00A717CB" w:rsidRDefault="00C32DAA" w:rsidP="001A0590">
      <w:pPr>
        <w:pStyle w:val="Bullet-lastingroup"/>
        <w:spacing w:after="720" w:line="240" w:lineRule="auto"/>
      </w:pPr>
      <w:r w:rsidRPr="00934F3A">
        <w:t xml:space="preserve">Ensure that children are detained </w:t>
      </w:r>
      <w:r w:rsidR="007678C9">
        <w:t xml:space="preserve">only </w:t>
      </w:r>
      <w:r w:rsidRPr="00934F3A">
        <w:t xml:space="preserve">as a measure of last resort and for the shortest possible time. Children should not be held in prison-like settings – but in safe and appropriate environments, in close proximity to their families, and </w:t>
      </w:r>
      <w:r w:rsidR="007678C9">
        <w:t xml:space="preserve">should </w:t>
      </w:r>
      <w:r w:rsidRPr="00934F3A">
        <w:t xml:space="preserve">be supported by </w:t>
      </w:r>
      <w:r w:rsidR="007678C9">
        <w:t xml:space="preserve">a </w:t>
      </w:r>
      <w:r w:rsidRPr="00934F3A">
        <w:t>sufficient</w:t>
      </w:r>
      <w:r w:rsidR="007678C9">
        <w:t xml:space="preserve"> number of</w:t>
      </w:r>
      <w:r w:rsidRPr="00934F3A">
        <w:t xml:space="preserve"> highly skilled and specialist </w:t>
      </w:r>
      <w:r w:rsidR="001A0590">
        <w:t>staff able to meet their needs.</w:t>
      </w:r>
    </w:p>
    <w:p w14:paraId="60EEA217" w14:textId="5A141329" w:rsidR="00C32DAA" w:rsidRDefault="00C32DAA" w:rsidP="00C14349">
      <w:pPr>
        <w:pStyle w:val="Title-sectionspink"/>
      </w:pPr>
      <w:bookmarkStart w:id="40" w:name="_Toc4061402"/>
      <w:r w:rsidRPr="00A717CB">
        <w:lastRenderedPageBreak/>
        <w:t>6.2. Immigration detention</w:t>
      </w:r>
      <w:bookmarkEnd w:id="40"/>
      <w:r w:rsidRPr="00A717CB">
        <w:t xml:space="preserve"> </w:t>
      </w:r>
    </w:p>
    <w:p w14:paraId="7DDEEA79" w14:textId="50B4CD52" w:rsidR="00EC627B" w:rsidRDefault="00EC627B" w:rsidP="00EC627B">
      <w:pPr>
        <w:pStyle w:val="Parabeforeanother"/>
        <w:spacing w:after="260"/>
        <w:rPr>
          <w:rFonts w:ascii="Georgia" w:hAnsi="Georgia"/>
          <w:sz w:val="28"/>
          <w:szCs w:val="28"/>
        </w:rPr>
      </w:pPr>
      <w:r>
        <w:rPr>
          <w:rFonts w:ascii="Georgia" w:hAnsi="Georgia"/>
          <w:sz w:val="28"/>
          <w:szCs w:val="28"/>
        </w:rPr>
        <w:t>Relates to CAT Article</w:t>
      </w:r>
      <w:r w:rsidR="00C22F8F">
        <w:rPr>
          <w:rFonts w:ascii="Georgia" w:hAnsi="Georgia"/>
          <w:sz w:val="28"/>
          <w:szCs w:val="28"/>
        </w:rPr>
        <w:t>s 2, 3,</w:t>
      </w:r>
      <w:r>
        <w:rPr>
          <w:rFonts w:ascii="Georgia" w:hAnsi="Georgia"/>
          <w:sz w:val="28"/>
          <w:szCs w:val="28"/>
        </w:rPr>
        <w:t xml:space="preserve"> 11</w:t>
      </w:r>
      <w:r w:rsidR="00FD7DC0">
        <w:rPr>
          <w:rFonts w:ascii="Georgia" w:hAnsi="Georgia"/>
          <w:sz w:val="28"/>
          <w:szCs w:val="28"/>
        </w:rPr>
        <w:t>, 12</w:t>
      </w:r>
      <w:r w:rsidR="00C22F8F">
        <w:rPr>
          <w:rFonts w:ascii="Georgia" w:hAnsi="Georgia"/>
          <w:sz w:val="28"/>
          <w:szCs w:val="28"/>
        </w:rPr>
        <w:t xml:space="preserve"> and 16</w:t>
      </w:r>
      <w:r>
        <w:rPr>
          <w:rFonts w:ascii="Georgia" w:hAnsi="Georgia"/>
          <w:sz w:val="28"/>
          <w:szCs w:val="28"/>
        </w:rPr>
        <w:t>, CO paragraph 30, list of issues paragraph 28</w:t>
      </w:r>
    </w:p>
    <w:p w14:paraId="33EE9CC7" w14:textId="12710173" w:rsidR="00600D54" w:rsidRPr="00A717CB" w:rsidRDefault="00600D54" w:rsidP="00C32DAA">
      <w:pPr>
        <w:rPr>
          <w:b/>
          <w:szCs w:val="24"/>
        </w:rPr>
      </w:pPr>
      <w:r>
        <w:rPr>
          <w:noProof/>
          <w:lang w:eastAsia="en-GB"/>
        </w:rPr>
        <mc:AlternateContent>
          <mc:Choice Requires="wps">
            <w:drawing>
              <wp:inline distT="0" distB="0" distL="0" distR="0" wp14:anchorId="14515E77" wp14:editId="667A5447">
                <wp:extent cx="5543550" cy="1200150"/>
                <wp:effectExtent l="0" t="0" r="0" b="0"/>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200150"/>
                        </a:xfrm>
                        <a:prstGeom prst="rect">
                          <a:avLst/>
                        </a:prstGeom>
                        <a:solidFill>
                          <a:srgbClr val="F8D4EB"/>
                        </a:solidFill>
                        <a:ln w="9525">
                          <a:noFill/>
                          <a:miter lim="800000"/>
                          <a:headEnd/>
                          <a:tailEnd/>
                        </a:ln>
                      </wps:spPr>
                      <wps:txbx>
                        <w:txbxContent>
                          <w:p w14:paraId="21039ED4" w14:textId="3DA49F0E" w:rsidR="00AE42CD" w:rsidRDefault="00AE42CD" w:rsidP="00600D54">
                            <w:pPr>
                              <w:spacing w:line="240" w:lineRule="auto"/>
                            </w:pPr>
                            <w:r w:rsidRPr="00A717CB">
                              <w:rPr>
                                <w:szCs w:val="24"/>
                              </w:rPr>
                              <w:t xml:space="preserve">In its 2013 concluding observations, the Committee urged the </w:t>
                            </w:r>
                            <w:r>
                              <w:rPr>
                                <w:szCs w:val="24"/>
                              </w:rPr>
                              <w:t>S</w:t>
                            </w:r>
                            <w:r w:rsidRPr="00A717CB">
                              <w:rPr>
                                <w:szCs w:val="24"/>
                              </w:rPr>
                              <w:t>tate party to ensure that</w:t>
                            </w:r>
                            <w:r>
                              <w:rPr>
                                <w:szCs w:val="24"/>
                              </w:rPr>
                              <w:t xml:space="preserve"> </w:t>
                            </w:r>
                            <w:r w:rsidRPr="007A3A4E">
                              <w:t xml:space="preserve">detention is </w:t>
                            </w:r>
                            <w:r w:rsidRPr="00E14298">
                              <w:t xml:space="preserve">used </w:t>
                            </w:r>
                            <w:r w:rsidRPr="003B00F6">
                              <w:t>only as a last resort</w:t>
                            </w:r>
                            <w:r>
                              <w:t xml:space="preserve">; that </w:t>
                            </w:r>
                            <w:r w:rsidRPr="00405051">
                              <w:t xml:space="preserve">vulnerable people and torture survivors do not enter the Detained Fast Track </w:t>
                            </w:r>
                            <w:r w:rsidRPr="00306B7E">
                              <w:t>system</w:t>
                            </w:r>
                            <w:r>
                              <w:t>;</w:t>
                            </w:r>
                            <w:r w:rsidRPr="004C070B">
                              <w:t xml:space="preserve"> and</w:t>
                            </w:r>
                            <w:r>
                              <w:t xml:space="preserve"> that a</w:t>
                            </w:r>
                            <w:r w:rsidRPr="00422C4A">
                              <w:t xml:space="preserve"> time limit for immigration detention be introduced. </w:t>
                            </w:r>
                            <w:r w:rsidRPr="00A717CB">
                              <w:rPr>
                                <w:szCs w:val="24"/>
                              </w:rPr>
                              <w:t xml:space="preserve">In its 2016 list of issues, the Committee asked for information </w:t>
                            </w:r>
                            <w:r>
                              <w:rPr>
                                <w:szCs w:val="24"/>
                              </w:rPr>
                              <w:t>about</w:t>
                            </w:r>
                            <w:r w:rsidRPr="00A717CB">
                              <w:rPr>
                                <w:szCs w:val="24"/>
                              </w:rPr>
                              <w:t xml:space="preserve"> measures taken to implement these recommendations.</w:t>
                            </w:r>
                          </w:p>
                        </w:txbxContent>
                      </wps:txbx>
                      <wps:bodyPr rot="0" vert="horz" wrap="square" lIns="91440" tIns="45720" rIns="91440" bIns="45720" anchor="t" anchorCtr="0">
                        <a:noAutofit/>
                      </wps:bodyPr>
                    </wps:wsp>
                  </a:graphicData>
                </a:graphic>
              </wp:inline>
            </w:drawing>
          </mc:Choice>
          <mc:Fallback>
            <w:pict>
              <v:shape w14:anchorId="14515E77" id="_x0000_s1032" type="#_x0000_t202" style="width:436.5pt;height:9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" fillcolor="#f8d4eb" stroked="f">
                <v:textbox>
                  <w:txbxContent>
                    <w:p w14:paraId="21039ED4" w14:textId="3DA49F0E" w:rsidR="00AE42CD" w:rsidRDefault="00AE42CD" w:rsidP="00600D54">
                      <w:pPr>
                        <w:spacing w:line="240" w:lineRule="auto"/>
                      </w:pPr>
                      <w:r w:rsidRPr="00A717CB">
                        <w:rPr>
                          <w:szCs w:val="24"/>
                        </w:rPr>
                        <w:t xml:space="preserve">In its 2013 concluding observations, the Committee urged the </w:t>
                      </w:r>
                      <w:r>
                        <w:rPr>
                          <w:szCs w:val="24"/>
                        </w:rPr>
                        <w:t>S</w:t>
                      </w:r>
                      <w:r w:rsidRPr="00A717CB">
                        <w:rPr>
                          <w:szCs w:val="24"/>
                        </w:rPr>
                        <w:t>tate party to ensure that</w:t>
                      </w:r>
                      <w:r>
                        <w:rPr>
                          <w:szCs w:val="24"/>
                        </w:rPr>
                        <w:t xml:space="preserve"> </w:t>
                      </w:r>
                      <w:r w:rsidRPr="007A3A4E">
                        <w:t xml:space="preserve">detention is </w:t>
                      </w:r>
                      <w:r w:rsidRPr="00E14298">
                        <w:t xml:space="preserve">used </w:t>
                      </w:r>
                      <w:r w:rsidRPr="003B00F6">
                        <w:t>only as a last resort</w:t>
                      </w:r>
                      <w:r>
                        <w:t xml:space="preserve">; that </w:t>
                      </w:r>
                      <w:r w:rsidRPr="00405051">
                        <w:t xml:space="preserve">vulnerable people and torture survivors do not enter the Detained Fast Track </w:t>
                      </w:r>
                      <w:r w:rsidRPr="00306B7E">
                        <w:t>system</w:t>
                      </w:r>
                      <w:r>
                        <w:t>;</w:t>
                      </w:r>
                      <w:r w:rsidRPr="004C070B">
                        <w:t xml:space="preserve"> and</w:t>
                      </w:r>
                      <w:r>
                        <w:t xml:space="preserve"> that a</w:t>
                      </w:r>
                      <w:r w:rsidRPr="00422C4A">
                        <w:t xml:space="preserve"> time limit for immigration detention be introduced. </w:t>
                      </w:r>
                      <w:r w:rsidRPr="00A717CB">
                        <w:rPr>
                          <w:szCs w:val="24"/>
                        </w:rPr>
                        <w:t xml:space="preserve">In its 2016 list of issues, the Committee asked for information </w:t>
                      </w:r>
                      <w:r>
                        <w:rPr>
                          <w:szCs w:val="24"/>
                        </w:rPr>
                        <w:t>about</w:t>
                      </w:r>
                      <w:r w:rsidRPr="00A717CB">
                        <w:rPr>
                          <w:szCs w:val="24"/>
                        </w:rPr>
                        <w:t xml:space="preserve"> measures taken to implement these recommendations.</w:t>
                      </w:r>
                    </w:p>
                  </w:txbxContent>
                </v:textbox>
                <w10:anchorlock/>
              </v:shape>
            </w:pict>
          </mc:Fallback>
        </mc:AlternateContent>
      </w:r>
    </w:p>
    <w:p w14:paraId="5BF6ECB2" w14:textId="77777777" w:rsidR="00C32DAA" w:rsidRPr="00A717CB" w:rsidRDefault="00C32DAA" w:rsidP="001A0590">
      <w:pPr>
        <w:pStyle w:val="Title-subsections"/>
        <w:spacing w:before="260"/>
      </w:pPr>
      <w:bookmarkStart w:id="41" w:name="_Toc4061403"/>
      <w:r w:rsidRPr="00A717CB">
        <w:t>Indefinite detention</w:t>
      </w:r>
      <w:bookmarkEnd w:id="41"/>
    </w:p>
    <w:p w14:paraId="2AE353F7" w14:textId="6F6D6D44" w:rsidR="00C32DAA" w:rsidRPr="00A717CB" w:rsidRDefault="00C32DAA" w:rsidP="001A0590">
      <w:pPr>
        <w:pStyle w:val="Parabeforeanother"/>
        <w:spacing w:line="240" w:lineRule="auto"/>
      </w:pPr>
      <w:r w:rsidRPr="00A717CB">
        <w:rPr>
          <w:lang w:val="en-US"/>
        </w:rPr>
        <w:t>The practice of indefinite immigration detention in the UK is contrary to UN</w:t>
      </w:r>
      <w:r w:rsidR="00CD1978">
        <w:rPr>
          <w:lang w:val="en-US"/>
        </w:rPr>
        <w:t xml:space="preserve"> High Commissioner for Refugees (UNHCR)</w:t>
      </w:r>
      <w:r w:rsidRPr="00A717CB">
        <w:rPr>
          <w:lang w:val="en-US"/>
        </w:rPr>
        <w:t xml:space="preserve"> </w:t>
      </w:r>
      <w:r w:rsidR="00CD1978">
        <w:rPr>
          <w:lang w:val="en-US"/>
        </w:rPr>
        <w:t>g</w:t>
      </w:r>
      <w:r w:rsidRPr="00A717CB">
        <w:rPr>
          <w:lang w:val="en-US"/>
        </w:rPr>
        <w:t>uidelines</w:t>
      </w:r>
      <w:r w:rsidRPr="00A717CB">
        <w:rPr>
          <w:rStyle w:val="FootnoteReference"/>
          <w:lang w:val="en-US"/>
        </w:rPr>
        <w:footnoteReference w:id="162"/>
      </w:r>
      <w:r w:rsidRPr="00A717CB">
        <w:rPr>
          <w:lang w:val="en-US"/>
        </w:rPr>
        <w:t xml:space="preserve"> and continues to draw criticism from HMIP and a range of civil society organisations, including Amnesty International UK, the Bar Council and the British Medical Association.</w:t>
      </w:r>
      <w:r w:rsidRPr="00A717CB">
        <w:rPr>
          <w:rStyle w:val="FootnoteReference"/>
          <w:lang w:val="en-US"/>
        </w:rPr>
        <w:footnoteReference w:id="163"/>
      </w:r>
    </w:p>
    <w:p w14:paraId="4BB261AF" w14:textId="3BD3A53A" w:rsidR="00C32DAA" w:rsidRPr="00A717CB" w:rsidRDefault="00C32DAA" w:rsidP="001A0590">
      <w:pPr>
        <w:pStyle w:val="Parabeforeanother"/>
        <w:spacing w:line="240" w:lineRule="auto"/>
        <w:rPr>
          <w:lang w:val="en-US" w:eastAsia="en-GB"/>
        </w:rPr>
      </w:pPr>
      <w:r w:rsidRPr="00A717CB">
        <w:rPr>
          <w:shd w:val="clear" w:color="auto" w:fill="FFFFFF"/>
        </w:rPr>
        <w:t xml:space="preserve">In the year ending September 2018, </w:t>
      </w:r>
      <w:r w:rsidRPr="00A717CB">
        <w:rPr>
          <w:shd w:val="clear" w:color="auto" w:fill="FFFFFF"/>
          <w:lang w:val="en"/>
        </w:rPr>
        <w:t xml:space="preserve">25,061 </w:t>
      </w:r>
      <w:r w:rsidRPr="00A717CB">
        <w:rPr>
          <w:shd w:val="clear" w:color="auto" w:fill="FFFFFF"/>
        </w:rPr>
        <w:t>individuals entered the immigration detention estate. Of the 26,440 who left the immigration detention estate during this period</w:t>
      </w:r>
      <w:r w:rsidR="00777BAD">
        <w:rPr>
          <w:shd w:val="clear" w:color="auto" w:fill="FFFFFF"/>
        </w:rPr>
        <w:t>,</w:t>
      </w:r>
      <w:r w:rsidRPr="00A717CB">
        <w:rPr>
          <w:shd w:val="clear" w:color="auto" w:fill="FFFFFF"/>
        </w:rPr>
        <w:t xml:space="preserve"> 33.7</w:t>
      </w:r>
      <w:r w:rsidR="00DD2881">
        <w:rPr>
          <w:shd w:val="clear" w:color="auto" w:fill="FFFFFF"/>
        </w:rPr>
        <w:t xml:space="preserve"> per cent</w:t>
      </w:r>
      <w:r w:rsidRPr="00A717CB">
        <w:rPr>
          <w:shd w:val="clear" w:color="auto" w:fill="FFFFFF"/>
        </w:rPr>
        <w:t xml:space="preserve"> had been held for longer than 29 days and 4.5</w:t>
      </w:r>
      <w:r w:rsidR="00DD2881">
        <w:rPr>
          <w:shd w:val="clear" w:color="auto" w:fill="FFFFFF"/>
        </w:rPr>
        <w:t xml:space="preserve"> per cent</w:t>
      </w:r>
      <w:r w:rsidRPr="00A717CB">
        <w:rPr>
          <w:shd w:val="clear" w:color="auto" w:fill="FFFFFF"/>
        </w:rPr>
        <w:t xml:space="preserve"> had been held for more than six months.</w:t>
      </w:r>
      <w:r w:rsidRPr="00A717CB">
        <w:rPr>
          <w:shd w:val="clear" w:color="auto" w:fill="FFFFFF"/>
          <w:vertAlign w:val="superscript"/>
        </w:rPr>
        <w:footnoteReference w:id="164"/>
      </w:r>
      <w:r w:rsidRPr="00A717CB">
        <w:rPr>
          <w:shd w:val="clear" w:color="auto" w:fill="FFFFFF"/>
        </w:rPr>
        <w:t xml:space="preserve"> </w:t>
      </w:r>
      <w:r w:rsidRPr="00A717CB">
        <w:rPr>
          <w:lang w:val="en"/>
        </w:rPr>
        <w:t xml:space="preserve">A 2018 HMIP report into Harmondsworth Immigration Removal Centre (IRC) identified one man </w:t>
      </w:r>
      <w:r w:rsidR="00E14298">
        <w:rPr>
          <w:lang w:val="en"/>
        </w:rPr>
        <w:t>who</w:t>
      </w:r>
      <w:r w:rsidRPr="00A717CB">
        <w:rPr>
          <w:lang w:val="en"/>
        </w:rPr>
        <w:t xml:space="preserve"> had been detained for </w:t>
      </w:r>
      <w:r w:rsidR="00E14298">
        <w:rPr>
          <w:lang w:val="en"/>
        </w:rPr>
        <w:t>more than</w:t>
      </w:r>
      <w:r w:rsidR="00E14298" w:rsidRPr="00A717CB">
        <w:rPr>
          <w:lang w:val="en"/>
        </w:rPr>
        <w:t xml:space="preserve"> </w:t>
      </w:r>
      <w:r w:rsidRPr="00A717CB">
        <w:rPr>
          <w:lang w:val="en"/>
        </w:rPr>
        <w:t>4.5 years.</w:t>
      </w:r>
      <w:r w:rsidRPr="00A717CB">
        <w:rPr>
          <w:vertAlign w:val="superscript"/>
          <w:lang w:val="en"/>
        </w:rPr>
        <w:footnoteReference w:id="165"/>
      </w:r>
      <w:r w:rsidRPr="00A717CB">
        <w:rPr>
          <w:lang w:val="en"/>
        </w:rPr>
        <w:t xml:space="preserve"> </w:t>
      </w:r>
      <w:r w:rsidRPr="00A717CB">
        <w:rPr>
          <w:lang w:val="en-US" w:eastAsia="en-GB"/>
        </w:rPr>
        <w:t>A 2018 report by independent reviewer Stephen Shaw concluded that failings in the Home Office’s case progression process were leading to unnecessarily long periods of detention.</w:t>
      </w:r>
      <w:r w:rsidRPr="00A717CB">
        <w:rPr>
          <w:vertAlign w:val="superscript"/>
          <w:lang w:val="en-US" w:eastAsia="en-GB"/>
        </w:rPr>
        <w:footnoteReference w:id="166"/>
      </w:r>
    </w:p>
    <w:p w14:paraId="44A945BB" w14:textId="6CA77EEE" w:rsidR="00C32DAA" w:rsidRPr="00A717CB" w:rsidRDefault="00057AC4" w:rsidP="001A0590">
      <w:pPr>
        <w:pStyle w:val="Parabeforenewsubsection"/>
        <w:spacing w:line="240" w:lineRule="auto"/>
      </w:pPr>
      <w:r>
        <w:rPr>
          <w:lang w:val="en-US" w:eastAsia="en-GB"/>
        </w:rPr>
        <w:t xml:space="preserve">The </w:t>
      </w:r>
      <w:r w:rsidR="00C32DAA" w:rsidRPr="00A717CB">
        <w:rPr>
          <w:lang w:val="en-US" w:eastAsia="en-GB"/>
        </w:rPr>
        <w:t>EHRC is concerned that,</w:t>
      </w:r>
      <w:r w:rsidR="00C32DAA" w:rsidRPr="00A717CB">
        <w:rPr>
          <w:lang w:eastAsia="en-GB"/>
        </w:rPr>
        <w:t xml:space="preserve"> </w:t>
      </w:r>
      <w:r w:rsidR="00C32DAA" w:rsidRPr="00A717CB">
        <w:rPr>
          <w:lang w:val="en-US" w:eastAsia="en-GB"/>
        </w:rPr>
        <w:t>for individuals at heightened risk of being harmed by the experience of detention, the lack of a time</w:t>
      </w:r>
      <w:r w:rsidR="00CE4777">
        <w:rPr>
          <w:lang w:val="en-US" w:eastAsia="en-GB"/>
        </w:rPr>
        <w:t xml:space="preserve"> </w:t>
      </w:r>
      <w:r w:rsidR="00C32DAA" w:rsidRPr="00A717CB">
        <w:rPr>
          <w:lang w:val="en-US" w:eastAsia="en-GB"/>
        </w:rPr>
        <w:t xml:space="preserve">limit on immigration detention may </w:t>
      </w:r>
      <w:r w:rsidR="00C32DAA" w:rsidRPr="00A717CB">
        <w:rPr>
          <w:lang w:val="en-US" w:eastAsia="en-GB"/>
        </w:rPr>
        <w:lastRenderedPageBreak/>
        <w:t>contribute to violations of the prohibition on torture, inhuman and degrading treatment.</w:t>
      </w:r>
      <w:r w:rsidR="00C32DAA" w:rsidRPr="00A717CB">
        <w:rPr>
          <w:vertAlign w:val="superscript"/>
          <w:lang w:val="en-US" w:eastAsia="en-GB"/>
        </w:rPr>
        <w:footnoteReference w:id="167"/>
      </w:r>
      <w:r w:rsidR="005E1E33">
        <w:rPr>
          <w:lang w:val="en-US" w:eastAsia="en-GB"/>
        </w:rPr>
        <w:t xml:space="preserve"> </w:t>
      </w:r>
    </w:p>
    <w:p w14:paraId="678DDB3C" w14:textId="77777777" w:rsidR="00C32DAA" w:rsidRPr="00A717CB" w:rsidRDefault="00C32DAA" w:rsidP="00C14349">
      <w:pPr>
        <w:pStyle w:val="Title-subsections"/>
      </w:pPr>
      <w:bookmarkStart w:id="42" w:name="_Toc4061404"/>
      <w:r w:rsidRPr="00A717CB">
        <w:t>Conditions in detention</w:t>
      </w:r>
      <w:bookmarkEnd w:id="42"/>
      <w:r w:rsidRPr="00A717CB">
        <w:t xml:space="preserve"> </w:t>
      </w:r>
    </w:p>
    <w:p w14:paraId="482082CF" w14:textId="77777777" w:rsidR="00C32DAA" w:rsidRPr="00A717CB" w:rsidRDefault="00C32DAA" w:rsidP="001A0590">
      <w:pPr>
        <w:pStyle w:val="Parabeforeanother"/>
        <w:spacing w:line="240" w:lineRule="auto"/>
        <w:rPr>
          <w:lang w:eastAsia="en-GB"/>
        </w:rPr>
      </w:pPr>
      <w:r w:rsidRPr="00A717CB">
        <w:t>The courts have found several violations of Article 3 of the ECHR in the immigration detention estate.</w:t>
      </w:r>
      <w:r>
        <w:rPr>
          <w:rStyle w:val="FootnoteReference"/>
        </w:rPr>
        <w:footnoteReference w:id="168"/>
      </w:r>
      <w:r w:rsidRPr="00A717CB">
        <w:t xml:space="preserve"> </w:t>
      </w:r>
      <w:r w:rsidRPr="00A717CB">
        <w:rPr>
          <w:lang w:eastAsia="en-GB"/>
        </w:rPr>
        <w:t xml:space="preserve">These violations largely relate to a failure to identify or respond to the needs of people with serious mental health conditions, including cases where health has been allowed to deteriorate severely in detention. </w:t>
      </w:r>
    </w:p>
    <w:p w14:paraId="1D1400BF" w14:textId="305C878B" w:rsidR="00C32DAA" w:rsidRPr="00A717CB" w:rsidRDefault="00C32DAA" w:rsidP="001A0590">
      <w:pPr>
        <w:pStyle w:val="Parabeforeanother"/>
        <w:spacing w:line="240" w:lineRule="auto"/>
        <w:rPr>
          <w:lang w:eastAsia="en-GB"/>
        </w:rPr>
      </w:pPr>
      <w:r w:rsidRPr="00A717CB">
        <w:t xml:space="preserve">In its recently concluded inquiry into immigration detention practices, the JCHR raised concerns about the prison-like conditions in several IRCs, including the extended time periods </w:t>
      </w:r>
      <w:r w:rsidR="00E14298">
        <w:t xml:space="preserve">that </w:t>
      </w:r>
      <w:r w:rsidRPr="00A717CB">
        <w:t>individuals spend locked in their rooms; the disproportionate use of handcuffs and other restrictive measures; and the inappropriate mixing of detainees, including ex-foreign national offenders (awaiting deportation at the end of a prison sentence) with other detainees.</w:t>
      </w:r>
      <w:r w:rsidRPr="00A717CB">
        <w:rPr>
          <w:rStyle w:val="FootnoteReference"/>
        </w:rPr>
        <w:footnoteReference w:id="169"/>
      </w:r>
      <w:r w:rsidRPr="00A717CB">
        <w:t xml:space="preserve"> In </w:t>
      </w:r>
      <w:r w:rsidR="00057AC4">
        <w:t xml:space="preserve">the </w:t>
      </w:r>
      <w:r w:rsidRPr="00A717CB">
        <w:t xml:space="preserve">EHRC’s submission to the inquiry, we raised concerns about a lack </w:t>
      </w:r>
      <w:r>
        <w:t xml:space="preserve">of </w:t>
      </w:r>
      <w:r w:rsidRPr="00A717CB">
        <w:t xml:space="preserve">safeguards to protect </w:t>
      </w:r>
      <w:r w:rsidR="00E14298">
        <w:t>people</w:t>
      </w:r>
      <w:r w:rsidR="00E14298" w:rsidRPr="00A717CB">
        <w:t xml:space="preserve"> </w:t>
      </w:r>
      <w:r w:rsidRPr="00A717CB">
        <w:t>in detention from violations of the right to be free from torture</w:t>
      </w:r>
      <w:r w:rsidR="00E14298">
        <w:t xml:space="preserve"> and</w:t>
      </w:r>
      <w:r w:rsidRPr="00A717CB">
        <w:t xml:space="preserve"> cruel, inhuman or degrading treatment.</w:t>
      </w:r>
      <w:r w:rsidRPr="00A717CB">
        <w:rPr>
          <w:vertAlign w:val="superscript"/>
        </w:rPr>
        <w:footnoteReference w:id="170"/>
      </w:r>
    </w:p>
    <w:p w14:paraId="36300184" w14:textId="5B8360A1" w:rsidR="00C32DAA" w:rsidRDefault="00C32DAA" w:rsidP="001A0590">
      <w:pPr>
        <w:pStyle w:val="Parabeforenewsection"/>
        <w:spacing w:after="0" w:line="240" w:lineRule="auto"/>
        <w:rPr>
          <w:lang w:eastAsia="en-GB"/>
        </w:rPr>
      </w:pPr>
      <w:r w:rsidRPr="00A717CB">
        <w:rPr>
          <w:lang w:eastAsia="en-GB"/>
        </w:rPr>
        <w:t>In 2017, the BBC aired an episode of Panorama which included undercover footage of treatment at Brook House IRC. The abuse, which included a choking incident that appeared to amount to an unlawful physical assault, arguably reaches the threshold for torture</w:t>
      </w:r>
      <w:r w:rsidR="00E14298">
        <w:rPr>
          <w:lang w:eastAsia="en-GB"/>
        </w:rPr>
        <w:t xml:space="preserve"> and </w:t>
      </w:r>
      <w:r w:rsidRPr="00A717CB">
        <w:rPr>
          <w:lang w:eastAsia="en-GB"/>
        </w:rPr>
        <w:t>cruel, inhuman or degrading treatment.</w:t>
      </w:r>
      <w:r w:rsidRPr="00A717CB">
        <w:rPr>
          <w:vertAlign w:val="superscript"/>
          <w:lang w:eastAsia="en-GB"/>
        </w:rPr>
        <w:footnoteReference w:id="171"/>
      </w:r>
      <w:r w:rsidRPr="00A717CB">
        <w:rPr>
          <w:lang w:eastAsia="en-GB"/>
        </w:rPr>
        <w:t xml:space="preserve"> </w:t>
      </w:r>
      <w:r w:rsidR="00057AC4">
        <w:rPr>
          <w:lang w:eastAsia="en-GB"/>
        </w:rPr>
        <w:t xml:space="preserve">The </w:t>
      </w:r>
      <w:r w:rsidRPr="00A717CB">
        <w:rPr>
          <w:lang w:eastAsia="en-GB"/>
        </w:rPr>
        <w:t>EHRC considers that Panorama revealed arguable systemic failures not only by the contracted centre operator G4S, but by the Home Office. We are concerned, in particular, about the adequacy of government systems to ensure human rights compliance in the outsourcing of contracts for Home Office functions.</w:t>
      </w:r>
      <w:r w:rsidR="00EB2214">
        <w:rPr>
          <w:lang w:eastAsia="en-GB"/>
        </w:rPr>
        <w:t xml:space="preserve"> </w:t>
      </w:r>
      <w:r w:rsidRPr="00A717CB">
        <w:rPr>
          <w:lang w:eastAsia="en-GB"/>
        </w:rPr>
        <w:t>In October 2018, the Home Office agreed to commission the PPO to carry out an investigation into the issues arising from the Panorama footage.</w:t>
      </w:r>
      <w:r w:rsidRPr="00A717CB">
        <w:rPr>
          <w:vertAlign w:val="superscript"/>
          <w:lang w:eastAsia="en-GB"/>
        </w:rPr>
        <w:footnoteReference w:id="172"/>
      </w:r>
      <w:r w:rsidRPr="00A717CB">
        <w:rPr>
          <w:lang w:eastAsia="en-GB"/>
        </w:rPr>
        <w:t xml:space="preserve"> It is not yet clear whether this PPO investigation will meet the </w:t>
      </w:r>
      <w:r w:rsidR="004E6863">
        <w:rPr>
          <w:lang w:eastAsia="en-GB"/>
        </w:rPr>
        <w:t>investigative duty in</w:t>
      </w:r>
      <w:r>
        <w:rPr>
          <w:lang w:eastAsia="en-GB"/>
        </w:rPr>
        <w:t xml:space="preserve"> </w:t>
      </w:r>
      <w:r w:rsidR="004E6863">
        <w:rPr>
          <w:lang w:eastAsia="en-GB"/>
        </w:rPr>
        <w:t>Article 12 CAT.</w:t>
      </w:r>
      <w:r w:rsidRPr="00A717CB">
        <w:rPr>
          <w:rStyle w:val="FootnoteReference"/>
          <w:lang w:eastAsia="en-GB"/>
        </w:rPr>
        <w:footnoteReference w:id="173"/>
      </w:r>
    </w:p>
    <w:p w14:paraId="7013A6CF" w14:textId="77777777" w:rsidR="00C16414" w:rsidRPr="00A717CB" w:rsidRDefault="00C16414" w:rsidP="00664589">
      <w:pPr>
        <w:pStyle w:val="Parabeforenewsection"/>
        <w:spacing w:after="0"/>
        <w:rPr>
          <w:lang w:eastAsia="en-GB"/>
        </w:rPr>
      </w:pPr>
    </w:p>
    <w:p w14:paraId="078AB83E" w14:textId="306DA7EE" w:rsidR="00C32DAA" w:rsidRPr="00A717CB" w:rsidRDefault="00C32DAA" w:rsidP="00C14349">
      <w:pPr>
        <w:pStyle w:val="Title-subsections"/>
        <w:rPr>
          <w:lang w:val="en-US"/>
        </w:rPr>
      </w:pPr>
      <w:bookmarkStart w:id="43" w:name="_Toc4061405"/>
      <w:r w:rsidRPr="00A717CB">
        <w:rPr>
          <w:lang w:val="en-US"/>
        </w:rPr>
        <w:t>Detention of torture survivors and other</w:t>
      </w:r>
      <w:r w:rsidR="00A30DC7">
        <w:rPr>
          <w:lang w:val="en-US"/>
        </w:rPr>
        <w:t xml:space="preserve"> people</w:t>
      </w:r>
      <w:r w:rsidRPr="00A717CB">
        <w:rPr>
          <w:lang w:val="en-US"/>
        </w:rPr>
        <w:t xml:space="preserve"> at particular risk of harm</w:t>
      </w:r>
      <w:bookmarkEnd w:id="43"/>
    </w:p>
    <w:p w14:paraId="6FCAE0DC" w14:textId="492EC54D" w:rsidR="00C32DAA" w:rsidRPr="00A717CB" w:rsidRDefault="00C32DAA" w:rsidP="001A0590">
      <w:pPr>
        <w:pStyle w:val="Parabeforeanother"/>
        <w:spacing w:line="240" w:lineRule="auto"/>
      </w:pPr>
      <w:r w:rsidRPr="00A717CB">
        <w:t xml:space="preserve">The UK Government’s Adults at Risk policy introduced in September 2016, includes statutory guidance </w:t>
      </w:r>
      <w:r w:rsidR="00E14298">
        <w:t>designed to enhance</w:t>
      </w:r>
      <w:r w:rsidRPr="00A717CB">
        <w:t xml:space="preserve"> protections against detention for individuals </w:t>
      </w:r>
      <w:r w:rsidRPr="00A717CB">
        <w:lastRenderedPageBreak/>
        <w:t>at particular risk of harm</w:t>
      </w:r>
      <w:r>
        <w:t xml:space="preserve"> in detention</w:t>
      </w:r>
      <w:r w:rsidRPr="00A717CB">
        <w:t>.</w:t>
      </w:r>
      <w:r w:rsidRPr="00A717CB">
        <w:rPr>
          <w:vertAlign w:val="superscript"/>
        </w:rPr>
        <w:footnoteReference w:id="174"/>
      </w:r>
      <w:r w:rsidRPr="00A717CB">
        <w:t xml:space="preserve"> This guidance has been criticised for </w:t>
      </w:r>
      <w:r>
        <w:t>weakening</w:t>
      </w:r>
      <w:r w:rsidRPr="00A717CB">
        <w:t xml:space="preserve"> safeguards for </w:t>
      </w:r>
      <w:r>
        <w:t xml:space="preserve">such </w:t>
      </w:r>
      <w:r w:rsidRPr="00A717CB">
        <w:t>people.</w:t>
      </w:r>
      <w:r w:rsidRPr="00A717CB">
        <w:rPr>
          <w:vertAlign w:val="superscript"/>
        </w:rPr>
        <w:footnoteReference w:id="175"/>
      </w:r>
      <w:r w:rsidRPr="00A717CB">
        <w:t xml:space="preserve"> </w:t>
      </w:r>
      <w:r>
        <w:t>In particular, the guidance narrowed</w:t>
      </w:r>
      <w:r w:rsidRPr="00A717CB">
        <w:t xml:space="preserve"> the definition of torture in Rule 35 of the Detention Centre Rules</w:t>
      </w:r>
      <w:r>
        <w:t xml:space="preserve">, which </w:t>
      </w:r>
      <w:r w:rsidRPr="00A26DC5">
        <w:t xml:space="preserve">provides a mechanism for medical practitioners to identify and report people at particular risk of harm in detention, including torture survivors, to </w:t>
      </w:r>
      <w:r w:rsidR="00D40C3C" w:rsidRPr="00A26DC5">
        <w:t>th</w:t>
      </w:r>
      <w:r w:rsidR="00D40C3C">
        <w:t>e people</w:t>
      </w:r>
      <w:r w:rsidR="00D40C3C" w:rsidRPr="00A26DC5">
        <w:t xml:space="preserve"> </w:t>
      </w:r>
      <w:r w:rsidRPr="00A26DC5">
        <w:t>responsible for reviewing and authorising detention</w:t>
      </w:r>
      <w:r>
        <w:t>.</w:t>
      </w:r>
      <w:r>
        <w:rPr>
          <w:rStyle w:val="FootnoteReference"/>
        </w:rPr>
        <w:footnoteReference w:id="176"/>
      </w:r>
      <w:r>
        <w:t xml:space="preserve"> T</w:t>
      </w:r>
      <w:r w:rsidRPr="00A717CB">
        <w:t xml:space="preserve">he restricted definition excluded individuals whose experiences of severe pain and suffering were inflicted by a non-state actor, making it much harder for such victims to demonstrate they were unsuitable for detention. </w:t>
      </w:r>
    </w:p>
    <w:p w14:paraId="7BF68D17" w14:textId="2253FC28" w:rsidR="00C32DAA" w:rsidRPr="00A717CB" w:rsidRDefault="00C32DAA" w:rsidP="001A0590">
      <w:pPr>
        <w:pStyle w:val="Parabeforeanother"/>
        <w:spacing w:line="240" w:lineRule="auto"/>
      </w:pPr>
      <w:r w:rsidRPr="00A717CB">
        <w:t>In October 2017, this more restrictive definition was found by the High Court to be unlawful.</w:t>
      </w:r>
      <w:r>
        <w:rPr>
          <w:rStyle w:val="FootnoteReference"/>
        </w:rPr>
        <w:footnoteReference w:id="177"/>
      </w:r>
      <w:r w:rsidRPr="00A717CB">
        <w:t xml:space="preserve"> In response to the judgment</w:t>
      </w:r>
      <w:r w:rsidR="00D40C3C">
        <w:t>,</w:t>
      </w:r>
      <w:r w:rsidRPr="00A717CB">
        <w:t xml:space="preserve"> the Government introduced another definition of torture</w:t>
      </w:r>
      <w:r>
        <w:t xml:space="preserve">, </w:t>
      </w:r>
      <w:r w:rsidR="00D40C3C">
        <w:t xml:space="preserve">in which </w:t>
      </w:r>
      <w:r>
        <w:t>torture is restricted to situations where the perpetrator has control over the victim, and where the victim is powerless to resist</w:t>
      </w:r>
      <w:r w:rsidRPr="00A717CB">
        <w:t>.</w:t>
      </w:r>
      <w:r w:rsidRPr="00A717CB">
        <w:rPr>
          <w:vertAlign w:val="superscript"/>
        </w:rPr>
        <w:footnoteReference w:id="178"/>
      </w:r>
      <w:r w:rsidRPr="00A717CB">
        <w:t xml:space="preserve"> </w:t>
      </w:r>
      <w:r w:rsidR="00057AC4">
        <w:t xml:space="preserve">The </w:t>
      </w:r>
      <w:r w:rsidRPr="00A717CB">
        <w:t xml:space="preserve">EHRC is concerned that </w:t>
      </w:r>
      <w:r w:rsidRPr="00A717CB">
        <w:rPr>
          <w:lang w:eastAsia="en-GB"/>
        </w:rPr>
        <w:t>this new definition</w:t>
      </w:r>
      <w:r w:rsidRPr="00A717CB">
        <w:t>, which came into force in July 2018, again reduces the protection for some individuals at risk of harm in detention as it excludes certain types of serious violence previously accepted as torture, such as street attacks arising from discriminatory persecution.</w:t>
      </w:r>
      <w:r w:rsidRPr="00A717CB">
        <w:rPr>
          <w:vertAlign w:val="superscript"/>
        </w:rPr>
        <w:footnoteReference w:id="179"/>
      </w:r>
      <w:r w:rsidRPr="00A717CB">
        <w:t xml:space="preserve"> In his 2018 report, Stephen Shaw concluded that the Rule 35 process is still not functioning as intended.</w:t>
      </w:r>
      <w:r w:rsidRPr="00A717CB">
        <w:rPr>
          <w:vertAlign w:val="superscript"/>
        </w:rPr>
        <w:footnoteReference w:id="180"/>
      </w:r>
      <w:r w:rsidRPr="00A717CB">
        <w:t xml:space="preserve"> </w:t>
      </w:r>
    </w:p>
    <w:p w14:paraId="70676B3D" w14:textId="4AF07FB2" w:rsidR="00C32DAA" w:rsidRPr="00A717CB" w:rsidRDefault="00C32DAA" w:rsidP="001A0590">
      <w:pPr>
        <w:pStyle w:val="Parabeforeanother"/>
        <w:spacing w:line="240" w:lineRule="auto"/>
      </w:pPr>
      <w:r w:rsidRPr="00A717CB">
        <w:t>Broader criticism of the Adults at Risk policy has focused on the difficulties caused by the evidential thresholds that detainees must meet to be recognised as being at particular risk of harm in detention.</w:t>
      </w:r>
      <w:r w:rsidRPr="00A717CB">
        <w:rPr>
          <w:vertAlign w:val="superscript"/>
        </w:rPr>
        <w:footnoteReference w:id="181"/>
      </w:r>
      <w:r w:rsidRPr="00A717CB">
        <w:t xml:space="preserve"> The Adults at Risk guidance categorises evidence as level 1, 2 or 3</w:t>
      </w:r>
      <w:r w:rsidR="00D40C3C">
        <w:t>. Level</w:t>
      </w:r>
      <w:r w:rsidRPr="00A717CB">
        <w:t xml:space="preserve"> 1 </w:t>
      </w:r>
      <w:r w:rsidR="00D40C3C" w:rsidRPr="00A717CB">
        <w:t>focus</w:t>
      </w:r>
      <w:r w:rsidR="00D40C3C">
        <w:t>es</w:t>
      </w:r>
      <w:r w:rsidR="00D40C3C" w:rsidRPr="00A717CB">
        <w:t xml:space="preserve"> </w:t>
      </w:r>
      <w:r w:rsidRPr="00A717CB">
        <w:t xml:space="preserve">on self-declaration, level 2 </w:t>
      </w:r>
      <w:r w:rsidR="00D40C3C" w:rsidRPr="00A717CB">
        <w:t>appl</w:t>
      </w:r>
      <w:r w:rsidR="00D40C3C">
        <w:t>ies</w:t>
      </w:r>
      <w:r w:rsidR="00D40C3C" w:rsidRPr="00A717CB">
        <w:t xml:space="preserve"> </w:t>
      </w:r>
      <w:r w:rsidRPr="00A717CB">
        <w:t xml:space="preserve">to those cases where an individual has professional or documentary evidence indicating they are an adult at risk, and level 3 </w:t>
      </w:r>
      <w:r w:rsidR="00D40C3C" w:rsidRPr="00A717CB">
        <w:t>appl</w:t>
      </w:r>
      <w:r w:rsidR="00D40C3C">
        <w:t>ies</w:t>
      </w:r>
      <w:r w:rsidR="00D40C3C" w:rsidRPr="00A717CB">
        <w:t xml:space="preserve"> </w:t>
      </w:r>
      <w:r w:rsidRPr="00A717CB">
        <w:t xml:space="preserve">where an individual has professional evidence indicating both that they are at risk and that a period of detention would be likely to cause harm. The guidance specifies that only level 3 evidence should be afforded </w:t>
      </w:r>
      <w:r w:rsidR="00D40C3C">
        <w:t>‘</w:t>
      </w:r>
      <w:r w:rsidRPr="00A717CB">
        <w:t>significant weight</w:t>
      </w:r>
      <w:r w:rsidR="00D40C3C">
        <w:t>’</w:t>
      </w:r>
      <w:r w:rsidR="00D40C3C" w:rsidRPr="00A717CB">
        <w:t xml:space="preserve">. </w:t>
      </w:r>
      <w:r w:rsidRPr="00A717CB">
        <w:t>The 2018 Shaw report indicated that the Home Office’s approach to evidence deflected attention from assessment of the risks of detention and how these could change over time.</w:t>
      </w:r>
      <w:r w:rsidRPr="00A717CB">
        <w:rPr>
          <w:vertAlign w:val="superscript"/>
        </w:rPr>
        <w:footnoteReference w:id="182"/>
      </w:r>
      <w:r w:rsidRPr="00A717CB">
        <w:t xml:space="preserve"> </w:t>
      </w:r>
    </w:p>
    <w:p w14:paraId="2C706FF2" w14:textId="77777777" w:rsidR="00C32DAA" w:rsidRPr="00A717CB" w:rsidRDefault="00C32DAA" w:rsidP="001A0590">
      <w:pPr>
        <w:pStyle w:val="Parabeforeanother"/>
        <w:spacing w:line="240" w:lineRule="auto"/>
      </w:pPr>
      <w:r w:rsidRPr="00A717CB">
        <w:rPr>
          <w:bCs/>
          <w:iCs/>
        </w:rPr>
        <w:t>The Shaw report identified the need for robust independent oversight of the process of screening people at particular risk of harm.</w:t>
      </w:r>
      <w:r w:rsidRPr="00A717CB">
        <w:rPr>
          <w:rStyle w:val="FootnoteReference"/>
          <w:bCs/>
          <w:iCs/>
        </w:rPr>
        <w:footnoteReference w:id="183"/>
      </w:r>
      <w:r w:rsidRPr="00A717CB">
        <w:rPr>
          <w:bCs/>
          <w:iCs/>
        </w:rPr>
        <w:t xml:space="preserve"> In its recent inquiry on immigration detention, the JCHR supported this position and called for the introduction of independent decision-making on detention, among other things ‘to reduce the significant numbers of vulnerable people being detained each year.’</w:t>
      </w:r>
      <w:r w:rsidRPr="00A717CB">
        <w:rPr>
          <w:rStyle w:val="FootnoteReference"/>
          <w:bCs/>
          <w:iCs/>
        </w:rPr>
        <w:footnoteReference w:id="184"/>
      </w:r>
      <w:r w:rsidRPr="00A717CB">
        <w:t xml:space="preserve"> </w:t>
      </w:r>
    </w:p>
    <w:p w14:paraId="78ACC5C8" w14:textId="075FA4F0" w:rsidR="00C32DAA" w:rsidRPr="007120CA" w:rsidRDefault="00C32DAA" w:rsidP="001A0590">
      <w:pPr>
        <w:pStyle w:val="Parabeforeanother"/>
        <w:spacing w:line="240" w:lineRule="auto"/>
      </w:pPr>
      <w:r w:rsidRPr="007120CA">
        <w:lastRenderedPageBreak/>
        <w:t>Two recent judgments have also highlighted the lack of Home Office policies or procedures to ensure that immigration detainees with serious mental health conditions can assert their right to challenge the decision to detain them.</w:t>
      </w:r>
      <w:r w:rsidRPr="007120CA">
        <w:rPr>
          <w:vertAlign w:val="superscript"/>
        </w:rPr>
        <w:footnoteReference w:id="185"/>
      </w:r>
      <w:r w:rsidR="00EB2214">
        <w:t xml:space="preserve"> </w:t>
      </w:r>
    </w:p>
    <w:p w14:paraId="1FD76F85" w14:textId="7B47336C" w:rsidR="00C32DAA" w:rsidRDefault="00C32DAA" w:rsidP="001A0590">
      <w:pPr>
        <w:pStyle w:val="Parabeforenewsubsection"/>
        <w:spacing w:after="0" w:line="240" w:lineRule="auto"/>
      </w:pPr>
      <w:r w:rsidRPr="00A717CB">
        <w:t xml:space="preserve">The Home Office has stated it intends to undertake a review of the </w:t>
      </w:r>
      <w:r w:rsidRPr="003B00F6">
        <w:t>Detention Centre Rules,</w:t>
      </w:r>
      <w:r w:rsidRPr="00A717CB">
        <w:t xml:space="preserve"> including further potential revisions to Rule 35.</w:t>
      </w:r>
      <w:r w:rsidR="00EB2214">
        <w:t xml:space="preserve"> </w:t>
      </w:r>
    </w:p>
    <w:p w14:paraId="35F7B930" w14:textId="77777777" w:rsidR="00C16414" w:rsidRPr="00A717CB" w:rsidRDefault="00C16414" w:rsidP="00664589">
      <w:pPr>
        <w:pStyle w:val="Parabeforenewsubsection"/>
        <w:spacing w:after="0"/>
      </w:pPr>
    </w:p>
    <w:p w14:paraId="2EA2A349" w14:textId="70D49276" w:rsidR="00C32DAA" w:rsidRPr="00A717CB" w:rsidRDefault="00C32DAA" w:rsidP="00C32DAA">
      <w:pPr>
        <w:rPr>
          <w:rFonts w:cs="Arial"/>
          <w:b/>
          <w:szCs w:val="24"/>
        </w:rPr>
      </w:pPr>
      <w:r w:rsidRPr="00A717CB">
        <w:rPr>
          <w:rFonts w:cs="Arial"/>
          <w:b/>
          <w:szCs w:val="24"/>
        </w:rPr>
        <w:t>Return of the detained fast track</w:t>
      </w:r>
    </w:p>
    <w:p w14:paraId="305EFFC9" w14:textId="758CA4D3" w:rsidR="00C32DAA" w:rsidRPr="00A717CB" w:rsidRDefault="00C32DAA" w:rsidP="001A0590">
      <w:pPr>
        <w:pStyle w:val="Parabeforeanother"/>
        <w:spacing w:line="240" w:lineRule="auto"/>
        <w:rPr>
          <w:lang w:val="en-US"/>
        </w:rPr>
      </w:pPr>
      <w:r w:rsidRPr="00A717CB">
        <w:t xml:space="preserve">The </w:t>
      </w:r>
      <w:r w:rsidR="005010D9" w:rsidRPr="005010D9">
        <w:t xml:space="preserve">detained fast track </w:t>
      </w:r>
      <w:r w:rsidR="005010D9" w:rsidRPr="00664589">
        <w:t>r</w:t>
      </w:r>
      <w:r w:rsidRPr="005010D9">
        <w:t>ules</w:t>
      </w:r>
      <w:r w:rsidRPr="00A717CB">
        <w:t xml:space="preserve"> were suspended following a Court of Appeal ruling in 2015 that the tight time limits for appeals made the scheme ‘structurally unfair and unjust’.</w:t>
      </w:r>
      <w:r w:rsidRPr="00A717CB">
        <w:rPr>
          <w:vertAlign w:val="superscript"/>
        </w:rPr>
        <w:footnoteReference w:id="186"/>
      </w:r>
      <w:r w:rsidRPr="00A717CB">
        <w:t xml:space="preserve"> </w:t>
      </w:r>
      <w:r w:rsidRPr="00A717CB">
        <w:rPr>
          <w:lang w:val="en-US"/>
        </w:rPr>
        <w:t>In October 2016, the Ministry of Justice (MoJ) launched a consultation on proposals for the creation of a new detained fast track.</w:t>
      </w:r>
      <w:r w:rsidRPr="00A717CB">
        <w:rPr>
          <w:vertAlign w:val="superscript"/>
          <w:lang w:val="en-US"/>
        </w:rPr>
        <w:footnoteReference w:id="187"/>
      </w:r>
      <w:r w:rsidRPr="00A717CB">
        <w:rPr>
          <w:lang w:val="en-US"/>
        </w:rPr>
        <w:t xml:space="preserve"> The majority of respondents to this consultation disagreed with the introduction of an expedited process.</w:t>
      </w:r>
      <w:r w:rsidRPr="00A717CB">
        <w:rPr>
          <w:vertAlign w:val="superscript"/>
        </w:rPr>
        <w:footnoteReference w:id="188"/>
      </w:r>
      <w:r w:rsidRPr="00A717CB">
        <w:rPr>
          <w:lang w:val="en-US"/>
        </w:rPr>
        <w:t xml:space="preserve"> </w:t>
      </w:r>
    </w:p>
    <w:p w14:paraId="384ADA68" w14:textId="143D0651" w:rsidR="00C32DAA" w:rsidRPr="00A717CB" w:rsidRDefault="00C32DAA" w:rsidP="001A0590">
      <w:pPr>
        <w:pStyle w:val="Parabeforeanother"/>
        <w:spacing w:line="240" w:lineRule="auto"/>
      </w:pPr>
      <w:r w:rsidRPr="00A717CB">
        <w:rPr>
          <w:lang w:val="en-US"/>
        </w:rPr>
        <w:t>In April 2017, the MoJ re-introduced</w:t>
      </w:r>
      <w:r w:rsidR="00EB2214">
        <w:rPr>
          <w:lang w:val="en-US"/>
        </w:rPr>
        <w:t xml:space="preserve"> </w:t>
      </w:r>
      <w:r w:rsidRPr="00A717CB">
        <w:rPr>
          <w:lang w:val="en-US"/>
        </w:rPr>
        <w:t>a proposal that</w:t>
      </w:r>
      <w:r w:rsidR="005010D9">
        <w:rPr>
          <w:lang w:val="en-US"/>
        </w:rPr>
        <w:t xml:space="preserve"> r</w:t>
      </w:r>
      <w:r w:rsidRPr="00A717CB">
        <w:rPr>
          <w:lang w:val="en-US"/>
        </w:rPr>
        <w:t xml:space="preserve">ules be created to provide for a time limit of 25-28 days for </w:t>
      </w:r>
      <w:r w:rsidRPr="00A717CB">
        <w:t>determination of a detained immigration and asylum appeal by the First-tier Tribunal, with an additional 20 working days for determination of permission to appeal to the Upper Tribunal.</w:t>
      </w:r>
      <w:r w:rsidRPr="00A717CB">
        <w:rPr>
          <w:vertAlign w:val="superscript"/>
        </w:rPr>
        <w:footnoteReference w:id="189"/>
      </w:r>
      <w:r w:rsidRPr="00A717CB">
        <w:t xml:space="preserve"> In July 2018, the Tribunal Procedures Committee launched a consultation seeking views on the introduction of an expedited procedure.</w:t>
      </w:r>
      <w:r w:rsidRPr="00A717CB">
        <w:rPr>
          <w:rStyle w:val="FootnoteReference"/>
        </w:rPr>
        <w:footnoteReference w:id="190"/>
      </w:r>
      <w:r w:rsidRPr="00A717CB">
        <w:t xml:space="preserve"> </w:t>
      </w:r>
    </w:p>
    <w:p w14:paraId="45BEC40F" w14:textId="34C1FD18" w:rsidR="00C32DAA" w:rsidRDefault="00057AC4" w:rsidP="001A0590">
      <w:pPr>
        <w:pStyle w:val="Parabeforenewsection"/>
        <w:spacing w:after="0" w:line="240" w:lineRule="auto"/>
      </w:pPr>
      <w:r>
        <w:t xml:space="preserve">The </w:t>
      </w:r>
      <w:r w:rsidR="00C32DAA" w:rsidRPr="00A717CB">
        <w:t>EHRC has advised against the introduction of an expedited procedure.</w:t>
      </w:r>
      <w:r w:rsidR="00C32DAA" w:rsidRPr="00A717CB">
        <w:rPr>
          <w:rStyle w:val="FootnoteReference"/>
          <w:rFonts w:cs="Arial"/>
        </w:rPr>
        <w:footnoteReference w:id="191"/>
      </w:r>
      <w:r w:rsidR="00C32DAA" w:rsidRPr="00A717CB">
        <w:t xml:space="preserve"> We are particularly concerned that it might disproportionately disadvantage groups with certain protected characteristics, in particular people with mental health problems or cognitive impairments who may face additional difficulties in preparing an appeal in detention within a tightened timescale.</w:t>
      </w:r>
    </w:p>
    <w:p w14:paraId="7C2E5B65" w14:textId="77777777" w:rsidR="00C16414" w:rsidRPr="00A717CB" w:rsidRDefault="00C16414" w:rsidP="00664589">
      <w:pPr>
        <w:pStyle w:val="Parabeforenewsection"/>
        <w:spacing w:after="0"/>
      </w:pPr>
    </w:p>
    <w:p w14:paraId="42744A24" w14:textId="77777777" w:rsidR="00C32DAA" w:rsidRPr="00A717CB" w:rsidRDefault="00C32DAA" w:rsidP="0095032F">
      <w:pPr>
        <w:pStyle w:val="Title-subsections"/>
      </w:pPr>
      <w:bookmarkStart w:id="44" w:name="_Toc4061406"/>
      <w:r w:rsidRPr="00A717CB">
        <w:t>Recommendations</w:t>
      </w:r>
      <w:bookmarkEnd w:id="44"/>
    </w:p>
    <w:p w14:paraId="024D26FE" w14:textId="77777777" w:rsidR="00C32DAA" w:rsidRPr="00A717CB" w:rsidRDefault="00C32DAA" w:rsidP="001A0590">
      <w:pPr>
        <w:pStyle w:val="Parabeforebulletss"/>
        <w:spacing w:line="240" w:lineRule="auto"/>
      </w:pPr>
      <w:r w:rsidRPr="00A717CB">
        <w:t>The UK Government should:</w:t>
      </w:r>
    </w:p>
    <w:p w14:paraId="204D6589" w14:textId="1B40E2A4" w:rsidR="00C32DAA" w:rsidRPr="00A717CB" w:rsidRDefault="00C32DAA" w:rsidP="001A0590">
      <w:pPr>
        <w:pStyle w:val="Bullet-followedbyothers"/>
        <w:spacing w:line="240" w:lineRule="auto"/>
      </w:pPr>
      <w:r w:rsidRPr="00A717CB">
        <w:t xml:space="preserve">Introduce a </w:t>
      </w:r>
      <w:r w:rsidR="00194AEC" w:rsidRPr="00A717CB">
        <w:t>28-day</w:t>
      </w:r>
      <w:r w:rsidRPr="00A717CB">
        <w:t xml:space="preserve"> time</w:t>
      </w:r>
      <w:r w:rsidR="00CE4777">
        <w:t xml:space="preserve"> </w:t>
      </w:r>
      <w:r w:rsidRPr="00A717CB">
        <w:t>limit on immigration detention in line with the recommendations of the UNHCR</w:t>
      </w:r>
      <w:r w:rsidRPr="00A717CB">
        <w:rPr>
          <w:rStyle w:val="FootnoteReference"/>
          <w:rFonts w:cs="Arial"/>
        </w:rPr>
        <w:footnoteReference w:id="192"/>
      </w:r>
      <w:r w:rsidR="00DD348A">
        <w:rPr>
          <w:vertAlign w:val="superscript"/>
          <w:lang w:val="en-US"/>
        </w:rPr>
        <w:t xml:space="preserve"> </w:t>
      </w:r>
      <w:r w:rsidRPr="00A717CB">
        <w:t xml:space="preserve">and ensure that detention is used </w:t>
      </w:r>
      <w:r w:rsidR="00DD348A">
        <w:t xml:space="preserve">only </w:t>
      </w:r>
      <w:r w:rsidRPr="00A717CB">
        <w:t xml:space="preserve">as an administrative measure of last resort. </w:t>
      </w:r>
    </w:p>
    <w:p w14:paraId="40C158BD" w14:textId="23438000" w:rsidR="00C32DAA" w:rsidRPr="00A717CB" w:rsidRDefault="00C32DAA" w:rsidP="001A0590">
      <w:pPr>
        <w:pStyle w:val="Bullet-followedbyothers"/>
        <w:spacing w:line="240" w:lineRule="auto"/>
      </w:pPr>
      <w:r w:rsidRPr="0042023F">
        <w:t>Ensure effective oversight</w:t>
      </w:r>
      <w:r w:rsidRPr="00A717CB">
        <w:t xml:space="preserve">, monitoring and complaints policies and procedures in the immigration detention estate to ensure that any ill-treatment is immediately </w:t>
      </w:r>
      <w:r w:rsidRPr="00A717CB">
        <w:lastRenderedPageBreak/>
        <w:t xml:space="preserve">identified, </w:t>
      </w:r>
      <w:r w:rsidR="00DD348A">
        <w:t xml:space="preserve">that </w:t>
      </w:r>
      <w:r w:rsidRPr="00A717CB">
        <w:t>steps are taken against the</w:t>
      </w:r>
      <w:r w:rsidR="00DD348A">
        <w:t xml:space="preserve"> people who are</w:t>
      </w:r>
      <w:r w:rsidRPr="00A717CB">
        <w:t xml:space="preserve"> responsible</w:t>
      </w:r>
      <w:r w:rsidR="00DD348A">
        <w:t>,</w:t>
      </w:r>
      <w:r w:rsidRPr="00A717CB">
        <w:t xml:space="preserve"> and </w:t>
      </w:r>
      <w:r w:rsidR="00DD348A">
        <w:t xml:space="preserve">that </w:t>
      </w:r>
      <w:r w:rsidRPr="00A717CB">
        <w:t xml:space="preserve">lessons </w:t>
      </w:r>
      <w:r w:rsidR="00DD348A">
        <w:t xml:space="preserve">are </w:t>
      </w:r>
      <w:r w:rsidRPr="00A717CB">
        <w:t>learned to prevent any further ill-treatment occurring.</w:t>
      </w:r>
    </w:p>
    <w:p w14:paraId="0BC59686" w14:textId="77777777" w:rsidR="00EC627B" w:rsidRDefault="00C32DAA" w:rsidP="0045689C">
      <w:pPr>
        <w:pStyle w:val="Bullet-followedbyothers"/>
        <w:spacing w:after="720" w:line="240" w:lineRule="auto"/>
      </w:pPr>
      <w:r w:rsidRPr="00A717CB">
        <w:t xml:space="preserve">Introduce independent processes, both when a decision to detain is made and during detention, for the identification of those </w:t>
      </w:r>
      <w:r w:rsidR="00DD348A">
        <w:t xml:space="preserve">people </w:t>
      </w:r>
      <w:r w:rsidRPr="00A717CB">
        <w:t xml:space="preserve">who may face a particular risk of harm in detention, and review detention policies and rules to ensure such individuals are detained </w:t>
      </w:r>
      <w:r w:rsidR="00DD348A">
        <w:t xml:space="preserve">only </w:t>
      </w:r>
      <w:r w:rsidRPr="00A717CB">
        <w:t xml:space="preserve">in exceptional circumstances. </w:t>
      </w:r>
    </w:p>
    <w:p w14:paraId="3C6A5995" w14:textId="4D6A8D8F" w:rsidR="00C16414" w:rsidRPr="00A717CB" w:rsidRDefault="00C32DAA" w:rsidP="0045689C">
      <w:pPr>
        <w:pStyle w:val="Bullet-followedbyothers"/>
        <w:spacing w:after="720" w:line="240" w:lineRule="auto"/>
      </w:pPr>
      <w:r w:rsidRPr="00A717CB">
        <w:t>Ensure all detainees have effective access to fair and accessible procedures to challenge the decision to detain or deport, including by rejecting an expedited procedure for determining a detained immigration or asylum appeal.</w:t>
      </w:r>
      <w:r w:rsidR="00EB2214">
        <w:t xml:space="preserve">  </w:t>
      </w:r>
    </w:p>
    <w:p w14:paraId="7818651C" w14:textId="529164F9" w:rsidR="00C32DAA" w:rsidRDefault="00C32DAA" w:rsidP="00C14349">
      <w:pPr>
        <w:pStyle w:val="Title-sectionspink"/>
      </w:pPr>
      <w:bookmarkStart w:id="45" w:name="_Toc4061407"/>
      <w:r w:rsidRPr="00A717CB">
        <w:t>6.3. Mental health detention</w:t>
      </w:r>
      <w:bookmarkEnd w:id="45"/>
      <w:r w:rsidRPr="00A717CB">
        <w:t xml:space="preserve"> </w:t>
      </w:r>
    </w:p>
    <w:p w14:paraId="2BCF459B" w14:textId="23ADEB84" w:rsidR="003467A6" w:rsidRDefault="001A0590" w:rsidP="001A0590">
      <w:pPr>
        <w:pStyle w:val="Parabeforeanother"/>
        <w:spacing w:after="260"/>
        <w:rPr>
          <w:rFonts w:ascii="Georgia" w:hAnsi="Georgia"/>
          <w:sz w:val="28"/>
          <w:szCs w:val="28"/>
        </w:rPr>
      </w:pPr>
      <w:r>
        <w:rPr>
          <w:rFonts w:ascii="Georgia" w:hAnsi="Georgia"/>
          <w:sz w:val="28"/>
          <w:szCs w:val="28"/>
        </w:rPr>
        <w:t>R</w:t>
      </w:r>
      <w:r w:rsidR="003467A6">
        <w:rPr>
          <w:rFonts w:ascii="Georgia" w:hAnsi="Georgia"/>
          <w:sz w:val="28"/>
          <w:szCs w:val="28"/>
        </w:rPr>
        <w:t>elates to CAT Article</w:t>
      </w:r>
      <w:r w:rsidR="00392B00">
        <w:rPr>
          <w:rFonts w:ascii="Georgia" w:hAnsi="Georgia"/>
          <w:sz w:val="28"/>
          <w:szCs w:val="28"/>
        </w:rPr>
        <w:t>s</w:t>
      </w:r>
      <w:r w:rsidR="003467A6">
        <w:rPr>
          <w:rFonts w:ascii="Georgia" w:hAnsi="Georgia"/>
          <w:sz w:val="28"/>
          <w:szCs w:val="28"/>
        </w:rPr>
        <w:t xml:space="preserve"> 11</w:t>
      </w:r>
      <w:r w:rsidR="00392B00">
        <w:rPr>
          <w:rFonts w:ascii="Georgia" w:hAnsi="Georgia"/>
          <w:sz w:val="28"/>
          <w:szCs w:val="28"/>
        </w:rPr>
        <w:t xml:space="preserve"> and 16, CO paragraph 31</w:t>
      </w:r>
      <w:r w:rsidR="003467A6">
        <w:rPr>
          <w:rFonts w:ascii="Georgia" w:hAnsi="Georgia"/>
          <w:sz w:val="28"/>
          <w:szCs w:val="28"/>
        </w:rPr>
        <w:t>, list of issues paragraph</w:t>
      </w:r>
      <w:r w:rsidR="00EC627B">
        <w:rPr>
          <w:rFonts w:ascii="Georgia" w:hAnsi="Georgia"/>
          <w:sz w:val="28"/>
          <w:szCs w:val="28"/>
        </w:rPr>
        <w:t>s</w:t>
      </w:r>
      <w:r w:rsidR="003467A6">
        <w:rPr>
          <w:rFonts w:ascii="Georgia" w:hAnsi="Georgia"/>
          <w:sz w:val="28"/>
          <w:szCs w:val="28"/>
        </w:rPr>
        <w:t xml:space="preserve"> 24</w:t>
      </w:r>
      <w:r w:rsidR="00EC627B">
        <w:rPr>
          <w:rFonts w:ascii="Georgia" w:hAnsi="Georgia"/>
          <w:sz w:val="28"/>
          <w:szCs w:val="28"/>
        </w:rPr>
        <w:t>, 27</w:t>
      </w:r>
      <w:r w:rsidR="009D069D">
        <w:rPr>
          <w:rFonts w:ascii="Georgia" w:hAnsi="Georgia"/>
          <w:sz w:val="28"/>
          <w:szCs w:val="28"/>
        </w:rPr>
        <w:t>, 30</w:t>
      </w:r>
    </w:p>
    <w:p w14:paraId="148801FA" w14:textId="489A0DF5" w:rsidR="00600D54" w:rsidRPr="003467A6" w:rsidRDefault="00600D54" w:rsidP="003467A6">
      <w:pPr>
        <w:pStyle w:val="Parabeforeanother"/>
        <w:rPr>
          <w:rFonts w:ascii="Georgia" w:hAnsi="Georgia"/>
          <w:sz w:val="28"/>
          <w:szCs w:val="28"/>
        </w:rPr>
      </w:pPr>
      <w:r>
        <w:rPr>
          <w:noProof/>
          <w:lang w:eastAsia="en-GB"/>
        </w:rPr>
        <mc:AlternateContent>
          <mc:Choice Requires="wps">
            <w:drawing>
              <wp:inline distT="0" distB="0" distL="0" distR="0" wp14:anchorId="59163A68" wp14:editId="1F314F3C">
                <wp:extent cx="5543550" cy="2867025"/>
                <wp:effectExtent l="0" t="0" r="0" b="9525"/>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2867025"/>
                        </a:xfrm>
                        <a:prstGeom prst="rect">
                          <a:avLst/>
                        </a:prstGeom>
                        <a:solidFill>
                          <a:srgbClr val="F8D4EB"/>
                        </a:solidFill>
                        <a:ln w="9525">
                          <a:noFill/>
                          <a:miter lim="800000"/>
                          <a:headEnd/>
                          <a:tailEnd/>
                        </a:ln>
                      </wps:spPr>
                      <wps:txbx>
                        <w:txbxContent>
                          <w:p w14:paraId="6271CFAD" w14:textId="77777777" w:rsidR="00AE42CD" w:rsidRDefault="00AE42CD" w:rsidP="001A0590">
                            <w:pPr>
                              <w:spacing w:line="240" w:lineRule="auto"/>
                              <w:rPr>
                                <w:szCs w:val="24"/>
                              </w:rPr>
                            </w:pPr>
                            <w:r w:rsidRPr="00A717CB">
                              <w:rPr>
                                <w:szCs w:val="24"/>
                              </w:rPr>
                              <w:t xml:space="preserve">In its 2016 list of issues, the Committee requested information </w:t>
                            </w:r>
                            <w:r>
                              <w:rPr>
                                <w:szCs w:val="24"/>
                              </w:rPr>
                              <w:t>about:</w:t>
                            </w:r>
                          </w:p>
                          <w:p w14:paraId="43390899" w14:textId="77777777" w:rsidR="00AE42CD" w:rsidRDefault="00AE42CD" w:rsidP="001A0590">
                            <w:pPr>
                              <w:pStyle w:val="Bullet-followedbyothers"/>
                              <w:spacing w:line="240" w:lineRule="auto"/>
                            </w:pPr>
                            <w:r w:rsidRPr="00A717CB">
                              <w:t>the number of p</w:t>
                            </w:r>
                            <w:r>
                              <w:t>eople</w:t>
                            </w:r>
                            <w:r w:rsidRPr="00A717CB">
                              <w:t xml:space="preserve"> deprived of their liberty in psychiatric hospitals and other institutions</w:t>
                            </w:r>
                          </w:p>
                          <w:p w14:paraId="7E0BACDF" w14:textId="77777777" w:rsidR="00AE42CD" w:rsidRDefault="00AE42CD" w:rsidP="001A0590">
                            <w:pPr>
                              <w:pStyle w:val="Bullet-followedbyothers"/>
                              <w:spacing w:line="240" w:lineRule="auto"/>
                            </w:pPr>
                            <w:r w:rsidRPr="00A717CB">
                              <w:t>the availability of community-based services and other forms of outpatient treatment support</w:t>
                            </w:r>
                          </w:p>
                          <w:p w14:paraId="20F3D84E" w14:textId="77777777" w:rsidR="00AE42CD" w:rsidRDefault="00AE42CD" w:rsidP="001A0590">
                            <w:pPr>
                              <w:pStyle w:val="Bullet-followedbyothers"/>
                              <w:spacing w:line="240" w:lineRule="auto"/>
                            </w:pPr>
                            <w:r w:rsidRPr="00A717CB">
                              <w:t>the number of people deprived of their liberty without authorisation</w:t>
                            </w:r>
                          </w:p>
                          <w:p w14:paraId="45BDF463" w14:textId="77777777" w:rsidR="00AE42CD" w:rsidRDefault="00AE42CD" w:rsidP="001A0590">
                            <w:pPr>
                              <w:pStyle w:val="Bullet-followedbyothers"/>
                              <w:spacing w:line="240" w:lineRule="auto"/>
                            </w:pPr>
                            <w:r w:rsidRPr="00A717CB">
                              <w:t xml:space="preserve">measures taken to address deficiencies in access to mental health services for </w:t>
                            </w:r>
                            <w:r>
                              <w:t>children and</w:t>
                            </w:r>
                          </w:p>
                          <w:p w14:paraId="235561D1" w14:textId="77777777" w:rsidR="00AE42CD" w:rsidRDefault="00AE42CD" w:rsidP="001A0590">
                            <w:pPr>
                              <w:pStyle w:val="Bullet-followedbyothers"/>
                              <w:spacing w:line="240" w:lineRule="auto"/>
                            </w:pPr>
                            <w:r w:rsidRPr="00A717CB">
                              <w:t xml:space="preserve">what steps had been taken to end the practice of detaining children with mental health conditions in police custody. </w:t>
                            </w:r>
                          </w:p>
                          <w:p w14:paraId="65A6305E" w14:textId="1D965F54" w:rsidR="00AE42CD" w:rsidRDefault="00AE42CD" w:rsidP="001A0590">
                            <w:pPr>
                              <w:spacing w:line="240" w:lineRule="auto"/>
                            </w:pPr>
                            <w:r w:rsidRPr="00A717CB">
                              <w:rPr>
                                <w:szCs w:val="24"/>
                              </w:rPr>
                              <w:t xml:space="preserve">The Committee also requested information </w:t>
                            </w:r>
                            <w:r>
                              <w:rPr>
                                <w:szCs w:val="24"/>
                              </w:rPr>
                              <w:t>about</w:t>
                            </w:r>
                            <w:r w:rsidRPr="00A717CB">
                              <w:rPr>
                                <w:szCs w:val="24"/>
                              </w:rPr>
                              <w:t xml:space="preserve"> the number of deaths in mental health detention, the results of investigations into those deaths and measures taken to prevent similar cases occurring in the future. This last issue is considered in chapter 9</w:t>
                            </w:r>
                            <w:r>
                              <w:rPr>
                                <w:szCs w:val="24"/>
                              </w:rPr>
                              <w:t>,</w:t>
                            </w:r>
                            <w:r w:rsidRPr="00A717CB">
                              <w:rPr>
                                <w:szCs w:val="24"/>
                              </w:rPr>
                              <w:t xml:space="preserve"> which looks at ill-treatment of people receiving health and social care services.</w:t>
                            </w:r>
                          </w:p>
                        </w:txbxContent>
                      </wps:txbx>
                      <wps:bodyPr rot="0" vert="horz" wrap="square" lIns="91440" tIns="45720" rIns="91440" bIns="45720" anchor="t" anchorCtr="0">
                        <a:noAutofit/>
                      </wps:bodyPr>
                    </wps:wsp>
                  </a:graphicData>
                </a:graphic>
              </wp:inline>
            </w:drawing>
          </mc:Choice>
          <mc:Fallback>
            <w:pict>
              <v:shape w14:anchorId="59163A68" id="_x0000_s1033" type="#_x0000_t202" style="width:436.5pt;height:22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" fillcolor="#f8d4eb" stroked="f">
                <v:textbox>
                  <w:txbxContent>
                    <w:p w14:paraId="6271CFAD" w14:textId="77777777" w:rsidR="00AE42CD" w:rsidRDefault="00AE42CD" w:rsidP="001A0590">
                      <w:pPr>
                        <w:spacing w:line="240" w:lineRule="auto"/>
                        <w:rPr>
                          <w:szCs w:val="24"/>
                        </w:rPr>
                      </w:pPr>
                      <w:r w:rsidRPr="00A717CB">
                        <w:rPr>
                          <w:szCs w:val="24"/>
                        </w:rPr>
                        <w:t xml:space="preserve">In its 2016 list of issues, the Committee requested information </w:t>
                      </w:r>
                      <w:r>
                        <w:rPr>
                          <w:szCs w:val="24"/>
                        </w:rPr>
                        <w:t>about:</w:t>
                      </w:r>
                    </w:p>
                    <w:p w14:paraId="43390899" w14:textId="77777777" w:rsidR="00AE42CD" w:rsidRDefault="00AE42CD" w:rsidP="001A0590">
                      <w:pPr>
                        <w:pStyle w:val="Bullet-followedbyothers"/>
                        <w:spacing w:line="240" w:lineRule="auto"/>
                      </w:pPr>
                      <w:r w:rsidRPr="00A717CB">
                        <w:t>the number of p</w:t>
                      </w:r>
                      <w:r>
                        <w:t>eople</w:t>
                      </w:r>
                      <w:r w:rsidRPr="00A717CB">
                        <w:t xml:space="preserve"> deprived of their liberty in psychiatric hospitals and other institutions</w:t>
                      </w:r>
                    </w:p>
                    <w:p w14:paraId="7E0BACDF" w14:textId="77777777" w:rsidR="00AE42CD" w:rsidRDefault="00AE42CD" w:rsidP="001A0590">
                      <w:pPr>
                        <w:pStyle w:val="Bullet-followedbyothers"/>
                        <w:spacing w:line="240" w:lineRule="auto"/>
                      </w:pPr>
                      <w:r w:rsidRPr="00A717CB">
                        <w:t>the availability of community-based services and other forms of outpatient treatment support</w:t>
                      </w:r>
                    </w:p>
                    <w:p w14:paraId="20F3D84E" w14:textId="77777777" w:rsidR="00AE42CD" w:rsidRDefault="00AE42CD" w:rsidP="001A0590">
                      <w:pPr>
                        <w:pStyle w:val="Bullet-followedbyothers"/>
                        <w:spacing w:line="240" w:lineRule="auto"/>
                      </w:pPr>
                      <w:r w:rsidRPr="00A717CB">
                        <w:t>the number of people deprived of their liberty without authorisation</w:t>
                      </w:r>
                    </w:p>
                    <w:p w14:paraId="45BDF463" w14:textId="77777777" w:rsidR="00AE42CD" w:rsidRDefault="00AE42CD" w:rsidP="001A0590">
                      <w:pPr>
                        <w:pStyle w:val="Bullet-followedbyothers"/>
                        <w:spacing w:line="240" w:lineRule="auto"/>
                      </w:pPr>
                      <w:r w:rsidRPr="00A717CB">
                        <w:t xml:space="preserve">measures taken to address deficiencies in access to mental health services for </w:t>
                      </w:r>
                      <w:r>
                        <w:t>children and</w:t>
                      </w:r>
                    </w:p>
                    <w:p w14:paraId="235561D1" w14:textId="77777777" w:rsidR="00AE42CD" w:rsidRDefault="00AE42CD" w:rsidP="001A0590">
                      <w:pPr>
                        <w:pStyle w:val="Bullet-followedbyothers"/>
                        <w:spacing w:line="240" w:lineRule="auto"/>
                      </w:pPr>
                      <w:r w:rsidRPr="00A717CB">
                        <w:t xml:space="preserve">what steps had been taken to end the practice of detaining children with mental health conditions in police custody. </w:t>
                      </w:r>
                    </w:p>
                    <w:p w14:paraId="65A6305E" w14:textId="1D965F54" w:rsidR="00AE42CD" w:rsidRDefault="00AE42CD" w:rsidP="001A0590">
                      <w:pPr>
                        <w:spacing w:line="240" w:lineRule="auto"/>
                      </w:pPr>
                      <w:r w:rsidRPr="00A717CB">
                        <w:rPr>
                          <w:szCs w:val="24"/>
                        </w:rPr>
                        <w:t xml:space="preserve">The Committee also requested information </w:t>
                      </w:r>
                      <w:r>
                        <w:rPr>
                          <w:szCs w:val="24"/>
                        </w:rPr>
                        <w:t>about</w:t>
                      </w:r>
                      <w:r w:rsidRPr="00A717CB">
                        <w:rPr>
                          <w:szCs w:val="24"/>
                        </w:rPr>
                        <w:t xml:space="preserve"> the number of deaths in mental health detention, the results of investigations into those deaths and measures taken to prevent similar cases occurring in the future. This last issue is considered in chapter 9</w:t>
                      </w:r>
                      <w:r>
                        <w:rPr>
                          <w:szCs w:val="24"/>
                        </w:rPr>
                        <w:t>,</w:t>
                      </w:r>
                      <w:r w:rsidRPr="00A717CB">
                        <w:rPr>
                          <w:szCs w:val="24"/>
                        </w:rPr>
                        <w:t xml:space="preserve"> which looks at ill-treatment of people receiving health and social care services.</w:t>
                      </w:r>
                    </w:p>
                  </w:txbxContent>
                </v:textbox>
                <w10:anchorlock/>
              </v:shape>
            </w:pict>
          </mc:Fallback>
        </mc:AlternateContent>
      </w:r>
    </w:p>
    <w:p w14:paraId="0560FAD5" w14:textId="77777777" w:rsidR="00C32DAA" w:rsidRPr="00A717CB" w:rsidRDefault="00C32DAA" w:rsidP="004D2852">
      <w:pPr>
        <w:pStyle w:val="Title-subsections"/>
      </w:pPr>
      <w:bookmarkStart w:id="46" w:name="_Toc4061408"/>
      <w:r w:rsidRPr="00A717CB">
        <w:t>Increasing use of mental health detention</w:t>
      </w:r>
      <w:bookmarkEnd w:id="46"/>
    </w:p>
    <w:p w14:paraId="74836264" w14:textId="055F15BB" w:rsidR="00C32DAA" w:rsidRPr="00A717CB" w:rsidRDefault="00C32DAA" w:rsidP="001A0590">
      <w:pPr>
        <w:pStyle w:val="Parabeforeanother"/>
        <w:spacing w:line="240" w:lineRule="auto"/>
      </w:pPr>
      <w:r w:rsidRPr="00A717CB">
        <w:t xml:space="preserve">Although data is incomplete, estimates suggest that the number of people detained under the Mental Health Act 1983 (MHA) in England continues to rise. According to NHS Digital, there were 49,551 </w:t>
      </w:r>
      <w:r w:rsidR="00082603">
        <w:t>new detentions recorded in 2017/</w:t>
      </w:r>
      <w:r w:rsidRPr="00A717CB">
        <w:t>18, repre</w:t>
      </w:r>
      <w:r w:rsidR="00082603">
        <w:t>senting a 2.4</w:t>
      </w:r>
      <w:r w:rsidR="00DD2881">
        <w:t xml:space="preserve"> per cent</w:t>
      </w:r>
      <w:r w:rsidR="00082603">
        <w:t xml:space="preserve"> increase </w:t>
      </w:r>
      <w:r w:rsidR="00B85936">
        <w:t xml:space="preserve">since </w:t>
      </w:r>
      <w:r w:rsidR="00082603">
        <w:t>2016/</w:t>
      </w:r>
      <w:r w:rsidRPr="00A717CB">
        <w:t>17 (although overall national totals will be higher as not all providers submitted data).</w:t>
      </w:r>
      <w:r w:rsidRPr="00A717CB">
        <w:rPr>
          <w:rStyle w:val="FootnoteReference"/>
        </w:rPr>
        <w:footnoteReference w:id="193"/>
      </w:r>
      <w:r w:rsidRPr="00A717CB">
        <w:t xml:space="preserve"> In Wales, detentions under the MHA (excluding place of safety detentions</w:t>
      </w:r>
      <w:r>
        <w:t xml:space="preserve">, where </w:t>
      </w:r>
      <w:r w:rsidRPr="00FE1C68">
        <w:t xml:space="preserve">a person </w:t>
      </w:r>
      <w:r>
        <w:t xml:space="preserve">is removed by the police </w:t>
      </w:r>
      <w:r w:rsidRPr="00FE1C68">
        <w:t xml:space="preserve">to a place of </w:t>
      </w:r>
      <w:r w:rsidRPr="00FE1C68">
        <w:lastRenderedPageBreak/>
        <w:t xml:space="preserve">safety for </w:t>
      </w:r>
      <w:r>
        <w:t xml:space="preserve">a health </w:t>
      </w:r>
      <w:r w:rsidRPr="00FE1C68">
        <w:t>assessment</w:t>
      </w:r>
      <w:r>
        <w:t>)</w:t>
      </w:r>
      <w:r w:rsidRPr="00A717CB">
        <w:t xml:space="preserve"> </w:t>
      </w:r>
      <w:r w:rsidR="00082603">
        <w:t>increased from 1,732 in 2015/16 to 1,776 in 2016/</w:t>
      </w:r>
      <w:r w:rsidRPr="00A717CB">
        <w:t>17.</w:t>
      </w:r>
      <w:r w:rsidRPr="00A717CB">
        <w:rPr>
          <w:vertAlign w:val="superscript"/>
        </w:rPr>
        <w:footnoteReference w:id="194"/>
      </w:r>
      <w:r w:rsidRPr="00A717CB">
        <w:t xml:space="preserve"> </w:t>
      </w:r>
    </w:p>
    <w:p w14:paraId="6F628C30" w14:textId="2BD15EC2" w:rsidR="00C32DAA" w:rsidRPr="00A717CB" w:rsidRDefault="00C32DAA" w:rsidP="001A0590">
      <w:pPr>
        <w:pStyle w:val="Parabeforeanother"/>
        <w:spacing w:line="240" w:lineRule="auto"/>
      </w:pPr>
      <w:r w:rsidRPr="00A717CB">
        <w:t>While there are multiple reasons for the rising rates of detention, insufficient investment in core mental health services, such as community mental health teams, has been identified as a core contributing factor.</w:t>
      </w:r>
      <w:r>
        <w:rPr>
          <w:rStyle w:val="FootnoteReference"/>
        </w:rPr>
        <w:footnoteReference w:id="195"/>
      </w:r>
      <w:r w:rsidRPr="00A717CB">
        <w:t xml:space="preserve"> The compulsory detention of people in circumstances where early interventions could have prevented the need for detention arguably engages the </w:t>
      </w:r>
      <w:r w:rsidR="00903CF3">
        <w:t>s</w:t>
      </w:r>
      <w:r w:rsidRPr="00A717CB">
        <w:t xml:space="preserve">tate’s responsibility to prevent inhuman and degrading treatment. </w:t>
      </w:r>
    </w:p>
    <w:p w14:paraId="32A90300" w14:textId="301AECDD" w:rsidR="00C32DAA" w:rsidRPr="00A717CB" w:rsidRDefault="00057AC4" w:rsidP="001A0590">
      <w:pPr>
        <w:pStyle w:val="Parabeforeanother"/>
        <w:spacing w:line="240" w:lineRule="auto"/>
      </w:pPr>
      <w:r>
        <w:t xml:space="preserve">The </w:t>
      </w:r>
      <w:r w:rsidR="00C32DAA" w:rsidRPr="00A717CB">
        <w:t xml:space="preserve">EHRC is concerned by evidence of ethnic disproportionality in compulsory detentions under the MHA. According to the available (incomplete) data, </w:t>
      </w:r>
      <w:r w:rsidR="00A42E90" w:rsidRPr="00A717CB">
        <w:t xml:space="preserve">black or black </w:t>
      </w:r>
      <w:r w:rsidR="00A84D8B">
        <w:t>B</w:t>
      </w:r>
      <w:r w:rsidR="00A84D8B" w:rsidRPr="00A717CB">
        <w:t xml:space="preserve">ritish </w:t>
      </w:r>
      <w:r w:rsidR="00A42E90" w:rsidRPr="00A717CB">
        <w:t xml:space="preserve">people are likely to be detained over four times more often than white </w:t>
      </w:r>
      <w:r w:rsidR="00C32DAA" w:rsidRPr="00A717CB">
        <w:t>people in England.</w:t>
      </w:r>
      <w:r w:rsidR="00C32DAA" w:rsidRPr="00A717CB">
        <w:rPr>
          <w:rStyle w:val="FootnoteReference"/>
        </w:rPr>
        <w:footnoteReference w:id="196"/>
      </w:r>
      <w:r w:rsidR="00C32DAA" w:rsidRPr="00A717CB">
        <w:t xml:space="preserve"> There is also evidence that treatment is often imposed involuntarily on people with learning disabilities and/or autism for the purpose of treating their symptoms and not the underlying condition, and in a manner which fails to take fully into account their best interests</w:t>
      </w:r>
      <w:r w:rsidR="00D61BB1">
        <w:t xml:space="preserve"> and</w:t>
      </w:r>
      <w:r w:rsidR="00C32DAA" w:rsidRPr="00A717CB">
        <w:t xml:space="preserve"> the need to enhance their wellbeing and enable them to live fulfilled lives.</w:t>
      </w:r>
      <w:r w:rsidR="00C32DAA" w:rsidRPr="00A717CB">
        <w:rPr>
          <w:rStyle w:val="FootnoteReference"/>
        </w:rPr>
        <w:footnoteReference w:id="197"/>
      </w:r>
      <w:r w:rsidR="00C32DAA" w:rsidRPr="00A717CB">
        <w:t xml:space="preserve"> In 2017, Health</w:t>
      </w:r>
      <w:r w:rsidR="00D61BB1">
        <w:t>care</w:t>
      </w:r>
      <w:r w:rsidR="00C32DAA" w:rsidRPr="00A717CB">
        <w:t xml:space="preserve"> Inspectorate Wales found that individual MHA administration teams were struggling to undertake their role in ensuring patient safeguards are upheld (that is, appeals against detention, provision of rights monitoring, consent to treatment safeguards), mainly due</w:t>
      </w:r>
      <w:r w:rsidR="00EB2214">
        <w:t xml:space="preserve"> </w:t>
      </w:r>
      <w:r w:rsidR="00C32DAA" w:rsidRPr="00A717CB">
        <w:t>to a lack of resources.</w:t>
      </w:r>
      <w:r w:rsidR="00C32DAA" w:rsidRPr="00A717CB">
        <w:rPr>
          <w:vertAlign w:val="superscript"/>
        </w:rPr>
        <w:footnoteReference w:id="198"/>
      </w:r>
    </w:p>
    <w:p w14:paraId="18E4F0B1" w14:textId="4CEE8749" w:rsidR="00C32DAA" w:rsidRPr="00A717CB" w:rsidRDefault="00C32DAA" w:rsidP="001A0590">
      <w:pPr>
        <w:pStyle w:val="Parabeforeanother"/>
        <w:spacing w:line="240" w:lineRule="auto"/>
      </w:pPr>
      <w:r w:rsidRPr="00A717CB">
        <w:t>In 2012, the UK Government initiated the Transforming Care programme in England, in response to the abuse of people with learning disabilities and</w:t>
      </w:r>
      <w:r w:rsidR="001C00BE">
        <w:t>/</w:t>
      </w:r>
      <w:r w:rsidRPr="00A717CB">
        <w:t>or autism at a specialist psychiatric hospital. The aim of the programme was to develop appropriate community services to support people with learning disabilities and/or autism, and</w:t>
      </w:r>
      <w:r w:rsidR="001C00BE">
        <w:t xml:space="preserve"> to </w:t>
      </w:r>
      <w:r w:rsidRPr="00A717CB">
        <w:t>end all inappropriate placements in psychiatric hospitals by 2014.</w:t>
      </w:r>
      <w:r w:rsidRPr="00A717CB">
        <w:rPr>
          <w:vertAlign w:val="superscript"/>
        </w:rPr>
        <w:footnoteReference w:id="199"/>
      </w:r>
      <w:r w:rsidRPr="00A717CB">
        <w:t xml:space="preserve"> However</w:t>
      </w:r>
      <w:r w:rsidR="001C00BE">
        <w:t>,</w:t>
      </w:r>
      <w:r w:rsidRPr="00A717CB">
        <w:t xml:space="preserve"> this target has not been met. In 2014</w:t>
      </w:r>
      <w:r w:rsidR="001C00BE">
        <w:t>,</w:t>
      </w:r>
      <w:r w:rsidRPr="00A717CB">
        <w:t xml:space="preserve"> there were 2,577 people with learning disabilities/autism in psychiatric hospitals in England, although this number includes compulsory/involuntary detentions and </w:t>
      </w:r>
      <w:r w:rsidR="001C00BE">
        <w:t>people</w:t>
      </w:r>
      <w:r w:rsidR="001C00BE" w:rsidRPr="00A717CB">
        <w:t xml:space="preserve"> </w:t>
      </w:r>
      <w:r w:rsidRPr="00A717CB">
        <w:t xml:space="preserve">with voluntary status under the MHA. In July 2018, 2,380 of </w:t>
      </w:r>
      <w:r w:rsidR="001C00BE">
        <w:t>this number</w:t>
      </w:r>
      <w:r w:rsidRPr="00A717CB">
        <w:t xml:space="preserve"> were still in these hospitals. More than half (1,390 people) had been in hospital for more than two years.</w:t>
      </w:r>
      <w:r w:rsidRPr="00A717CB">
        <w:rPr>
          <w:vertAlign w:val="superscript"/>
        </w:rPr>
        <w:footnoteReference w:id="200"/>
      </w:r>
      <w:r w:rsidRPr="00A717CB">
        <w:t xml:space="preserve"> In Wales</w:t>
      </w:r>
      <w:r w:rsidR="001C00BE">
        <w:t>,</w:t>
      </w:r>
      <w:r w:rsidRPr="00A717CB">
        <w:t xml:space="preserve"> incomplete data showed there were 103 people with learning disabilities registered with local authorities residing in ‘health service accommodation’ in 2018.</w:t>
      </w:r>
      <w:r w:rsidRPr="00A717CB">
        <w:rPr>
          <w:vertAlign w:val="superscript"/>
        </w:rPr>
        <w:footnoteReference w:id="201"/>
      </w:r>
      <w:r w:rsidRPr="00A717CB">
        <w:t xml:space="preserve"> The lack of data makes it difficult to understand the situation and respond to need.</w:t>
      </w:r>
    </w:p>
    <w:p w14:paraId="21F27A0A" w14:textId="6C14B3C2" w:rsidR="00C32DAA" w:rsidRPr="00A717CB" w:rsidRDefault="00C32DAA" w:rsidP="001A0590">
      <w:pPr>
        <w:pStyle w:val="Parabeforeanother"/>
        <w:spacing w:line="240" w:lineRule="auto"/>
      </w:pPr>
      <w:r w:rsidRPr="00A717CB">
        <w:t xml:space="preserve">The institutionalisation of children with learning disabilities and/or autism in psychiatric settings for prolonged periods has been described by one </w:t>
      </w:r>
      <w:r w:rsidR="00C419F2">
        <w:t>g</w:t>
      </w:r>
      <w:r w:rsidRPr="00A717CB">
        <w:t>overnment-</w:t>
      </w:r>
      <w:r w:rsidRPr="00A717CB">
        <w:lastRenderedPageBreak/>
        <w:t>commissioned review as a ‘denial of the basic rights of childhood.’</w:t>
      </w:r>
      <w:r w:rsidRPr="00A717CB">
        <w:rPr>
          <w:vertAlign w:val="superscript"/>
        </w:rPr>
        <w:footnoteReference w:id="202"/>
      </w:r>
      <w:r w:rsidRPr="00A717CB">
        <w:t xml:space="preserve"> As part of its inquiry </w:t>
      </w:r>
      <w:r w:rsidR="00C419F2">
        <w:t>into</w:t>
      </w:r>
      <w:r w:rsidR="00C419F2" w:rsidRPr="00A717CB">
        <w:t xml:space="preserve"> </w:t>
      </w:r>
      <w:r w:rsidRPr="00A717CB">
        <w:t>the c</w:t>
      </w:r>
      <w:r w:rsidRPr="00A717CB">
        <w:rPr>
          <w:lang w:val="en"/>
        </w:rPr>
        <w:t>onditions in learning disability inpatient units,</w:t>
      </w:r>
      <w:r w:rsidRPr="00A717CB">
        <w:rPr>
          <w:rStyle w:val="FootnoteReference"/>
          <w:lang w:val="en"/>
        </w:rPr>
        <w:footnoteReference w:id="203"/>
      </w:r>
      <w:r w:rsidRPr="00A717CB">
        <w:rPr>
          <w:lang w:val="en"/>
        </w:rPr>
        <w:t xml:space="preserve"> the JCHR heard evidence about an autistic teenager who ha</w:t>
      </w:r>
      <w:r w:rsidR="00C419F2">
        <w:rPr>
          <w:lang w:val="en"/>
        </w:rPr>
        <w:t>d</w:t>
      </w:r>
      <w:r w:rsidRPr="00A717CB">
        <w:rPr>
          <w:lang w:val="en"/>
        </w:rPr>
        <w:t xml:space="preserve"> been detained for nearly two years in a psychiatric assessment and treatment unit (ATU), behind a locked door and fed through a hatch. </w:t>
      </w:r>
      <w:r w:rsidR="00057AC4">
        <w:rPr>
          <w:lang w:val="en"/>
        </w:rPr>
        <w:t xml:space="preserve">The </w:t>
      </w:r>
      <w:r w:rsidRPr="00A717CB">
        <w:rPr>
          <w:lang w:val="en"/>
        </w:rPr>
        <w:t xml:space="preserve">EHRC is funding this case against the ATU, local authority, </w:t>
      </w:r>
      <w:r w:rsidR="00C419F2" w:rsidRPr="00A717CB">
        <w:rPr>
          <w:lang w:val="en"/>
        </w:rPr>
        <w:t>clinical commissioning group</w:t>
      </w:r>
      <w:r w:rsidRPr="00A717CB">
        <w:rPr>
          <w:lang w:val="en"/>
        </w:rPr>
        <w:t xml:space="preserve"> and NHS England</w:t>
      </w:r>
      <w:r w:rsidR="00C419F2">
        <w:rPr>
          <w:lang w:val="en"/>
        </w:rPr>
        <w:t>,</w:t>
      </w:r>
      <w:r w:rsidRPr="00A717CB">
        <w:rPr>
          <w:lang w:val="en"/>
        </w:rPr>
        <w:t xml:space="preserve"> claiming breach of the teenager’s equality and human rights, including her right to be free from torture and other cruel</w:t>
      </w:r>
      <w:r w:rsidRPr="00A717CB">
        <w:t>, inhuman and degrading treatment.</w:t>
      </w:r>
      <w:r w:rsidRPr="00A717CB">
        <w:rPr>
          <w:rStyle w:val="FootnoteReference"/>
        </w:rPr>
        <w:footnoteReference w:id="204"/>
      </w:r>
      <w:r w:rsidRPr="00A717CB">
        <w:t xml:space="preserve"> </w:t>
      </w:r>
    </w:p>
    <w:p w14:paraId="6E408CE6" w14:textId="14300F73" w:rsidR="00C32DAA" w:rsidRPr="00A717CB" w:rsidRDefault="00C32DAA" w:rsidP="001A0590">
      <w:pPr>
        <w:pStyle w:val="Parabeforeanother"/>
        <w:spacing w:line="240" w:lineRule="auto"/>
      </w:pPr>
      <w:r w:rsidRPr="00A717CB">
        <w:t xml:space="preserve">In October 2017, the Government set up an </w:t>
      </w:r>
      <w:r w:rsidR="00C419F2" w:rsidRPr="00A717CB">
        <w:t xml:space="preserve">independent review </w:t>
      </w:r>
      <w:r w:rsidRPr="00A717CB">
        <w:t>of the MHA</w:t>
      </w:r>
      <w:r w:rsidRPr="00A717CB">
        <w:rPr>
          <w:lang w:val="en"/>
        </w:rPr>
        <w:t>.</w:t>
      </w:r>
      <w:r w:rsidRPr="00A717CB">
        <w:rPr>
          <w:rStyle w:val="FootnoteReference"/>
          <w:lang w:val="en"/>
        </w:rPr>
        <w:footnoteReference w:id="205"/>
      </w:r>
      <w:r w:rsidRPr="00A717CB">
        <w:rPr>
          <w:lang w:val="en"/>
        </w:rPr>
        <w:t xml:space="preserve"> The final report of the </w:t>
      </w:r>
      <w:r w:rsidR="00C419F2" w:rsidRPr="00A717CB">
        <w:rPr>
          <w:lang w:val="en"/>
        </w:rPr>
        <w:t>independent review</w:t>
      </w:r>
      <w:r w:rsidRPr="00A717CB">
        <w:rPr>
          <w:lang w:val="en"/>
        </w:rPr>
        <w:t xml:space="preserve">, published in December 2018, reflected several key recommendations made by </w:t>
      </w:r>
      <w:r w:rsidR="00057AC4">
        <w:rPr>
          <w:lang w:val="en"/>
        </w:rPr>
        <w:t xml:space="preserve">the </w:t>
      </w:r>
      <w:r w:rsidRPr="00A717CB">
        <w:rPr>
          <w:lang w:val="en"/>
        </w:rPr>
        <w:t xml:space="preserve">EHRC to the </w:t>
      </w:r>
      <w:r w:rsidR="00FC3EE9">
        <w:rPr>
          <w:lang w:val="en"/>
        </w:rPr>
        <w:t>r</w:t>
      </w:r>
      <w:r w:rsidRPr="00A717CB">
        <w:rPr>
          <w:lang w:val="en"/>
        </w:rPr>
        <w:t>eview team.</w:t>
      </w:r>
      <w:r w:rsidRPr="00A717CB">
        <w:rPr>
          <w:rStyle w:val="FootnoteReference"/>
          <w:lang w:val="en"/>
        </w:rPr>
        <w:footnoteReference w:id="206"/>
      </w:r>
      <w:r w:rsidRPr="00A717CB">
        <w:rPr>
          <w:lang w:val="en"/>
        </w:rPr>
        <w:t xml:space="preserve"> It called for </w:t>
      </w:r>
      <w:r w:rsidRPr="00A717CB">
        <w:t>more accessible and responsive mental health crisis services and community-based mental health services to prevent people from reaching crisis point. It emphasised the need to support the recruitment and progression of people of ethnic minority background</w:t>
      </w:r>
      <w:r w:rsidR="00FC3EE9">
        <w:t>s</w:t>
      </w:r>
      <w:r w:rsidRPr="00A717CB">
        <w:t xml:space="preserve"> across all relevant professions. It also recommended strengthening the criteria for detaining people under the MHA so that people are </w:t>
      </w:r>
      <w:r w:rsidRPr="00A717CB">
        <w:rPr>
          <w:lang w:val="en"/>
        </w:rPr>
        <w:t xml:space="preserve">treated with consent wherever possible, and said that involuntary detention should be considered </w:t>
      </w:r>
      <w:r w:rsidR="00FC3EE9">
        <w:rPr>
          <w:lang w:val="en"/>
        </w:rPr>
        <w:t xml:space="preserve">only </w:t>
      </w:r>
      <w:r w:rsidRPr="00A717CB">
        <w:rPr>
          <w:lang w:val="en"/>
        </w:rPr>
        <w:t xml:space="preserve">if this </w:t>
      </w:r>
      <w:r w:rsidRPr="00A717CB">
        <w:t xml:space="preserve">would benefit the patient, </w:t>
      </w:r>
      <w:r w:rsidR="00FC3EE9">
        <w:t>rather than</w:t>
      </w:r>
      <w:r w:rsidRPr="00A717CB">
        <w:t xml:space="preserve"> just serv</w:t>
      </w:r>
      <w:r w:rsidR="00FC3EE9">
        <w:t>ing</w:t>
      </w:r>
      <w:r w:rsidRPr="00A717CB">
        <w:t xml:space="preserve"> public protection.</w:t>
      </w:r>
      <w:r w:rsidRPr="00A717CB">
        <w:rPr>
          <w:rStyle w:val="FootnoteReference"/>
        </w:rPr>
        <w:footnoteReference w:id="207"/>
      </w:r>
      <w:r w:rsidRPr="00A717CB">
        <w:t xml:space="preserve"> </w:t>
      </w:r>
    </w:p>
    <w:p w14:paraId="3D6A4765" w14:textId="12CD7AD5" w:rsidR="00C32DAA" w:rsidRPr="00A717CB" w:rsidRDefault="00C32DAA" w:rsidP="001A0590">
      <w:pPr>
        <w:pStyle w:val="Parabeforenewsubsection"/>
        <w:spacing w:line="240" w:lineRule="auto"/>
      </w:pPr>
      <w:r w:rsidRPr="00A717CB">
        <w:t>In Wales, the Mental Health (Wales) Measure (2010)</w:t>
      </w:r>
      <w:r w:rsidRPr="00A717CB">
        <w:rPr>
          <w:vertAlign w:val="superscript"/>
        </w:rPr>
        <w:footnoteReference w:id="208"/>
      </w:r>
      <w:r w:rsidRPr="00A717CB">
        <w:t xml:space="preserve"> aims to improve mental health and wellbeing and improve the care and treatment of people accessing mental health services. The </w:t>
      </w:r>
      <w:r w:rsidR="00BC565A">
        <w:t>m</w:t>
      </w:r>
      <w:r w:rsidRPr="00A717CB">
        <w:t>easure focuses on improving treatment in primary care with an emphasis on early intervention, which should help prevent the need for detention.</w:t>
      </w:r>
    </w:p>
    <w:p w14:paraId="3141C0A3" w14:textId="6FEDFEDD" w:rsidR="00C32DAA" w:rsidRPr="004D2852" w:rsidRDefault="00C32DAA" w:rsidP="004D2852">
      <w:pPr>
        <w:pStyle w:val="Title-subsections"/>
      </w:pPr>
      <w:bookmarkStart w:id="47" w:name="_Toc4061409"/>
      <w:r w:rsidRPr="004D2852">
        <w:t xml:space="preserve">Unauthorised detention of people </w:t>
      </w:r>
      <w:r w:rsidR="00A30DC7">
        <w:t>who lack</w:t>
      </w:r>
      <w:r w:rsidR="00A30DC7" w:rsidRPr="004D2852">
        <w:t xml:space="preserve"> </w:t>
      </w:r>
      <w:r w:rsidRPr="004D2852">
        <w:t>capacity</w:t>
      </w:r>
      <w:bookmarkEnd w:id="47"/>
      <w:r w:rsidRPr="004D2852">
        <w:t xml:space="preserve"> </w:t>
      </w:r>
    </w:p>
    <w:p w14:paraId="77F390B6" w14:textId="57380CF5" w:rsidR="00C32DAA" w:rsidRPr="00A717CB" w:rsidRDefault="00C32DAA" w:rsidP="001A0590">
      <w:pPr>
        <w:pStyle w:val="Parabeforeanother"/>
        <w:spacing w:line="240" w:lineRule="auto"/>
      </w:pPr>
      <w:r w:rsidRPr="005005A1">
        <w:t>Following a Supreme Court decision in 2014, which gave a significantly wider interpretation of ‘deprivation of liberty’ than had been previously applied in the health and social care context,</w:t>
      </w:r>
      <w:r w:rsidRPr="005005A1">
        <w:rPr>
          <w:rStyle w:val="FootnoteReference"/>
        </w:rPr>
        <w:footnoteReference w:id="209"/>
      </w:r>
      <w:r w:rsidRPr="005005A1">
        <w:t xml:space="preserve"> there was a dramatic increase in the number of applications for deprivation of liberty authorisations in England</w:t>
      </w:r>
      <w:r w:rsidR="00194CE5">
        <w:t>,</w:t>
      </w:r>
      <w:r w:rsidRPr="005005A1">
        <w:t xml:space="preserve"> under the Mental Capacity Act 2005 (MCA) Deprivation of Liberty Safeguards (DoLS)</w:t>
      </w:r>
      <w:r w:rsidR="00194CE5">
        <w:t>,</w:t>
      </w:r>
      <w:r w:rsidRPr="005005A1">
        <w:t xml:space="preserve"> in 2014/15 and 2015/16. Since then, the number of applications for DoLS </w:t>
      </w:r>
      <w:r w:rsidR="00435B58">
        <w:t xml:space="preserve">authorisations </w:t>
      </w:r>
      <w:r w:rsidRPr="005005A1">
        <w:t>has continued to grow in England, with an 11</w:t>
      </w:r>
      <w:r w:rsidR="00DD2881">
        <w:t xml:space="preserve"> per cent</w:t>
      </w:r>
      <w:r w:rsidRPr="005005A1">
        <w:t xml:space="preserve"> increase recorded between </w:t>
      </w:r>
      <w:r w:rsidRPr="005005A1">
        <w:lastRenderedPageBreak/>
        <w:t>2015/16 and 2016/17, although the growth is slowing each year.</w:t>
      </w:r>
      <w:r w:rsidRPr="005005A1">
        <w:rPr>
          <w:rStyle w:val="FootnoteReference"/>
        </w:rPr>
        <w:footnoteReference w:id="210"/>
      </w:r>
      <w:r>
        <w:t xml:space="preserve"> </w:t>
      </w:r>
      <w:r w:rsidRPr="00A717CB">
        <w:t>The DoLS regulate deprivation of liberty for the purpose of care and treatment of people who are deemed to lack capacity to make the relevant decisions themselves. However, the large number of applications, combined with what has been described as an excessively complex application procedure, has resulted in a substantial backlog of applications before the Court of Protection.</w:t>
      </w:r>
      <w:r w:rsidRPr="00A717CB">
        <w:rPr>
          <w:rStyle w:val="FootnoteReference"/>
        </w:rPr>
        <w:footnoteReference w:id="211"/>
      </w:r>
      <w:r w:rsidRPr="00A717CB">
        <w:t xml:space="preserve"> </w:t>
      </w:r>
    </w:p>
    <w:p w14:paraId="618286C8" w14:textId="6F5DF375" w:rsidR="00C32DAA" w:rsidRPr="00A717CB" w:rsidRDefault="00C32DAA" w:rsidP="001A0590">
      <w:pPr>
        <w:pStyle w:val="Parabeforeanother"/>
        <w:spacing w:line="240" w:lineRule="auto"/>
      </w:pPr>
      <w:r w:rsidRPr="00A717CB">
        <w:t>As a result, substantial numbers of people – especially older people in care homes and people with learning disabilities and autism – have been subject to deprivation of liberty without authorisation, and therefore without access to the safeguards intended under the MCA.</w:t>
      </w:r>
      <w:r w:rsidRPr="00A717CB">
        <w:rPr>
          <w:rStyle w:val="FootnoteReference"/>
        </w:rPr>
        <w:footnoteReference w:id="212"/>
      </w:r>
      <w:r w:rsidRPr="00A717CB">
        <w:t xml:space="preserve"> In Wales, applications for authorisations of deprivation of liberty are also increasing, with a 9</w:t>
      </w:r>
      <w:r w:rsidR="00DD2881">
        <w:t xml:space="preserve"> per cent</w:t>
      </w:r>
      <w:r w:rsidRPr="00A717CB">
        <w:t xml:space="preserve"> increase re</w:t>
      </w:r>
      <w:r w:rsidR="00082603">
        <w:t xml:space="preserve">corded between 2015/16 </w:t>
      </w:r>
      <w:r w:rsidR="001E5AC9">
        <w:t xml:space="preserve">and </w:t>
      </w:r>
      <w:r w:rsidR="00082603">
        <w:t>2016/</w:t>
      </w:r>
      <w:r w:rsidRPr="00A717CB">
        <w:t xml:space="preserve">17. </w:t>
      </w:r>
      <w:r w:rsidR="00DB3B8D">
        <w:t>A recent inspection report indicated that</w:t>
      </w:r>
      <w:r w:rsidRPr="00A717CB">
        <w:t xml:space="preserve"> local authorities and health boards </w:t>
      </w:r>
      <w:r w:rsidR="00DB3B8D">
        <w:t xml:space="preserve">in Wales </w:t>
      </w:r>
      <w:r w:rsidRPr="00A717CB">
        <w:t xml:space="preserve">are </w:t>
      </w:r>
      <w:r w:rsidR="00F40033">
        <w:t>finding the volume of authorisations and subsequent reviews challenging, with more applications received each month than can be processed</w:t>
      </w:r>
      <w:r w:rsidRPr="00A717CB">
        <w:t>.</w:t>
      </w:r>
      <w:r w:rsidR="00DB3B8D">
        <w:rPr>
          <w:rStyle w:val="FootnoteReference"/>
        </w:rPr>
        <w:footnoteReference w:id="213"/>
      </w:r>
    </w:p>
    <w:p w14:paraId="3B90F651" w14:textId="0FB0AA35" w:rsidR="00C32DAA" w:rsidRPr="00A717CB" w:rsidRDefault="00057AC4" w:rsidP="001A0590">
      <w:pPr>
        <w:pStyle w:val="Parabeforeanother"/>
        <w:spacing w:line="240" w:lineRule="auto"/>
      </w:pPr>
      <w:r>
        <w:t xml:space="preserve">The </w:t>
      </w:r>
      <w:r w:rsidR="00C32DAA" w:rsidRPr="00A717CB">
        <w:t xml:space="preserve">EHRC is concerned that depriving people of liberty without robust independent scrutiny and authorisation of care and treatment arrangements, in addition to violating their right to liberty and security, increases the risk of inhuman and degrading treatment as such individuals are particularly vulnerable to abuse. Moreover, reports suggest that health and social care professionals often make deprivation of liberty decisions in relation to people considered to be incapacitated without sufficiently trying to ascertain </w:t>
      </w:r>
      <w:r w:rsidR="00FC23EC">
        <w:t>their wishes and feelings, for example</w:t>
      </w:r>
      <w:r w:rsidR="00C32DAA" w:rsidRPr="00A717CB">
        <w:t xml:space="preserve"> with the support of an independent mental capacity</w:t>
      </w:r>
      <w:r w:rsidR="00EB2214">
        <w:t xml:space="preserve"> </w:t>
      </w:r>
      <w:r w:rsidR="00F10188">
        <w:t>advocate.</w:t>
      </w:r>
      <w:r w:rsidR="00F873DB">
        <w:rPr>
          <w:rStyle w:val="FootnoteReference"/>
        </w:rPr>
        <w:footnoteReference w:id="214"/>
      </w:r>
      <w:r w:rsidR="00C32DAA" w:rsidRPr="00A717CB">
        <w:t xml:space="preserve"> The MCA establishes the principle that any such decision must be in the best interests of the individual, but where deprivation of liberty takes place without robust independent authorisation, there is a strong risk that the decision may overlook the individual’s preferences. </w:t>
      </w:r>
    </w:p>
    <w:p w14:paraId="7DA96B8D" w14:textId="2058B6D1" w:rsidR="00C32DAA" w:rsidRPr="00A717CB" w:rsidRDefault="00C32DAA" w:rsidP="001A0590">
      <w:pPr>
        <w:pStyle w:val="Parabeforenewsubsection"/>
        <w:spacing w:line="240" w:lineRule="auto"/>
      </w:pPr>
      <w:r w:rsidRPr="00A717CB">
        <w:t xml:space="preserve">In July 2018, the UK </w:t>
      </w:r>
      <w:r w:rsidR="00DF0BBF">
        <w:t>G</w:t>
      </w:r>
      <w:r w:rsidRPr="00A717CB">
        <w:t xml:space="preserve">overnment introduced the Mental Capacity (Amendment) Bill </w:t>
      </w:r>
      <w:r>
        <w:t xml:space="preserve">to reform </w:t>
      </w:r>
      <w:r w:rsidRPr="00A717CB">
        <w:t>the deprivation of liberty authorisation process.</w:t>
      </w:r>
      <w:r w:rsidR="004A3BD2">
        <w:t xml:space="preserve"> </w:t>
      </w:r>
      <w:r w:rsidR="00057AC4">
        <w:t xml:space="preserve">The </w:t>
      </w:r>
      <w:r w:rsidRPr="00A717CB">
        <w:t xml:space="preserve">EHRC is concerned that the </w:t>
      </w:r>
      <w:r>
        <w:t>UK Government has</w:t>
      </w:r>
      <w:r w:rsidR="004A3BD2">
        <w:t>, at the time of writing,</w:t>
      </w:r>
      <w:r>
        <w:t xml:space="preserve"> failed to use the opportunity of the Bill to strengthen safeguards against unlawful deprivation of liberty. The Bill makes no provision for people deprived of their liberty to be supported and enabled to appeal to the Court of Protection, and does not provide for automatic </w:t>
      </w:r>
      <w:r w:rsidR="00BC565A">
        <w:t>independent mental capacity advocacy</w:t>
      </w:r>
      <w:r>
        <w:t xml:space="preserve"> support and representation for all people for whom a deprivation of liberty is being sought.</w:t>
      </w:r>
      <w:r w:rsidR="00F873DB">
        <w:rPr>
          <w:rStyle w:val="FootnoteReference"/>
        </w:rPr>
        <w:footnoteReference w:id="215"/>
      </w:r>
      <w:r w:rsidR="004A3BD2">
        <w:t xml:space="preserve"> EHRC met with government officials to raise these concerns.</w:t>
      </w:r>
    </w:p>
    <w:p w14:paraId="1B503D35" w14:textId="77777777" w:rsidR="00C32DAA" w:rsidRPr="00A717CB" w:rsidRDefault="00C32DAA" w:rsidP="004D2852">
      <w:pPr>
        <w:pStyle w:val="Title-subsections"/>
      </w:pPr>
      <w:bookmarkStart w:id="48" w:name="_Toc4061410"/>
      <w:r w:rsidRPr="00A717CB">
        <w:lastRenderedPageBreak/>
        <w:t>Deficiencies in access to mental health services for children</w:t>
      </w:r>
      <w:bookmarkEnd w:id="48"/>
      <w:r w:rsidRPr="00A717CB">
        <w:t xml:space="preserve"> </w:t>
      </w:r>
    </w:p>
    <w:p w14:paraId="7048C88F" w14:textId="3EC43356" w:rsidR="00C32DAA" w:rsidRPr="00A717CB" w:rsidRDefault="00C32DAA" w:rsidP="001A0590">
      <w:pPr>
        <w:pStyle w:val="Parabeforeanother"/>
        <w:spacing w:line="240" w:lineRule="auto"/>
      </w:pPr>
      <w:r w:rsidRPr="00A717CB">
        <w:t xml:space="preserve">The </w:t>
      </w:r>
      <w:r w:rsidR="00860135">
        <w:t>Care Quality Commission (</w:t>
      </w:r>
      <w:r w:rsidRPr="00A717CB">
        <w:t>CQC</w:t>
      </w:r>
      <w:r w:rsidR="00860135">
        <w:t>)</w:t>
      </w:r>
      <w:r w:rsidRPr="00A717CB">
        <w:t xml:space="preserve"> has found that many children in England find it difficult to access Children and Adolescent Mental Health Services (CAMHS).</w:t>
      </w:r>
      <w:r w:rsidR="00F873DB">
        <w:rPr>
          <w:rStyle w:val="FootnoteReference"/>
        </w:rPr>
        <w:footnoteReference w:id="216"/>
      </w:r>
      <w:r w:rsidRPr="00A717CB">
        <w:t xml:space="preserve"> In 2017, out of 338,000 children referred to CAMHS in England, 37</w:t>
      </w:r>
      <w:r w:rsidR="00DD2881">
        <w:t xml:space="preserve"> per cent</w:t>
      </w:r>
      <w:r w:rsidRPr="00A717CB">
        <w:t xml:space="preserve"> were either not accepted for treatment or were discharged following assessment. Of those accepted for treatment 32</w:t>
      </w:r>
      <w:r w:rsidR="00DD2881">
        <w:t xml:space="preserve"> per cent</w:t>
      </w:r>
      <w:r w:rsidRPr="00A717CB">
        <w:t xml:space="preserve"> had not started treatment by the end of the year.</w:t>
      </w:r>
      <w:r w:rsidRPr="00A717CB">
        <w:rPr>
          <w:vertAlign w:val="superscript"/>
        </w:rPr>
        <w:footnoteReference w:id="217"/>
      </w:r>
      <w:r w:rsidRPr="00A717CB">
        <w:t xml:space="preserve"> A reduction in the number of CAMHS available, with a severe shortage of specialist professionals, amid rising demand has also created prolonged delays for young people in accessing support in Wales.</w:t>
      </w:r>
      <w:r w:rsidRPr="00A717CB">
        <w:rPr>
          <w:rStyle w:val="FootnoteReference"/>
        </w:rPr>
        <w:footnoteReference w:id="218"/>
      </w:r>
      <w:r w:rsidRPr="00A717CB">
        <w:t xml:space="preserve"> </w:t>
      </w:r>
      <w:r w:rsidR="00AD0299">
        <w:t xml:space="preserve">The </w:t>
      </w:r>
      <w:r w:rsidRPr="00A717CB">
        <w:t>EHRC is concerned that the failure to provide adequate treatment to children with mental health conditions may amount to inhuman or degrading treatment, in particular where the children are at risk of self-harm.</w:t>
      </w:r>
    </w:p>
    <w:p w14:paraId="3342F988" w14:textId="1CE84AC6" w:rsidR="00C32DAA" w:rsidRPr="00A717CB" w:rsidRDefault="00C32DAA" w:rsidP="007C24A5">
      <w:pPr>
        <w:pStyle w:val="Parabeforenewsection"/>
        <w:spacing w:after="420" w:line="240" w:lineRule="auto"/>
      </w:pPr>
      <w:r w:rsidRPr="00A717CB">
        <w:t>The introduction of the Policing and Crime Act 2017 outlawed the use of police cells as ‘places of safety’ for children with mental health needs.</w:t>
      </w:r>
      <w:r w:rsidRPr="00A717CB">
        <w:rPr>
          <w:rStyle w:val="FootnoteReference"/>
          <w:rFonts w:cs="Arial"/>
        </w:rPr>
        <w:footnoteReference w:id="219"/>
      </w:r>
      <w:r w:rsidRPr="00A717CB">
        <w:t xml:space="preserve"> Since the change, there has been a substantial reduction in the use of police cells for children, declining from 161 cases in 2014/15 to 12 cases in 2017/2018.</w:t>
      </w:r>
      <w:r w:rsidRPr="00A717CB">
        <w:rPr>
          <w:vertAlign w:val="superscript"/>
        </w:rPr>
        <w:footnoteReference w:id="220"/>
      </w:r>
      <w:r w:rsidRPr="00A717CB">
        <w:t xml:space="preserve"> However, inadequate provision of community services in many parts of the country mean</w:t>
      </w:r>
      <w:r w:rsidR="00E5368F">
        <w:t>s</w:t>
      </w:r>
      <w:r w:rsidRPr="00A717CB">
        <w:t xml:space="preserve"> that inappropriate placements of children continue to take place, including in police cells,</w:t>
      </w:r>
      <w:r>
        <w:rPr>
          <w:rStyle w:val="FootnoteReference"/>
          <w:rFonts w:cs="Arial"/>
        </w:rPr>
        <w:footnoteReference w:id="221"/>
      </w:r>
      <w:r w:rsidRPr="00A717CB">
        <w:t xml:space="preserve"> in adult wards</w:t>
      </w:r>
      <w:r w:rsidRPr="00A717CB">
        <w:rPr>
          <w:rStyle w:val="FootnoteReference"/>
          <w:rFonts w:cs="Arial"/>
        </w:rPr>
        <w:footnoteReference w:id="222"/>
      </w:r>
      <w:r w:rsidRPr="00A717CB">
        <w:t xml:space="preserve"> and in wards located far away from their homes.</w:t>
      </w:r>
      <w:r w:rsidRPr="00A717CB">
        <w:rPr>
          <w:rStyle w:val="FootnoteReference"/>
          <w:rFonts w:cs="Arial"/>
        </w:rPr>
        <w:footnoteReference w:id="223"/>
      </w:r>
      <w:r w:rsidRPr="00A717CB">
        <w:t xml:space="preserve"> </w:t>
      </w:r>
    </w:p>
    <w:p w14:paraId="2B6B9952" w14:textId="77777777" w:rsidR="00C32DAA" w:rsidRPr="00A717CB" w:rsidRDefault="00C32DAA" w:rsidP="0095032F">
      <w:pPr>
        <w:pStyle w:val="Title-subsections"/>
      </w:pPr>
      <w:bookmarkStart w:id="49" w:name="_Toc4061411"/>
      <w:r w:rsidRPr="00A717CB">
        <w:t>Recommendations</w:t>
      </w:r>
      <w:bookmarkEnd w:id="49"/>
    </w:p>
    <w:p w14:paraId="59E59A22" w14:textId="77777777" w:rsidR="00C32DAA" w:rsidRPr="00A717CB" w:rsidRDefault="00C32DAA" w:rsidP="001A0590">
      <w:pPr>
        <w:pStyle w:val="Parabeforebulletss"/>
        <w:spacing w:line="240" w:lineRule="auto"/>
      </w:pPr>
      <w:r w:rsidRPr="00A717CB">
        <w:t>The UK and Welsh Governments, where relevant, should:</w:t>
      </w:r>
    </w:p>
    <w:p w14:paraId="5856DECB" w14:textId="45B911F3" w:rsidR="00C32DAA" w:rsidRPr="00A717CB" w:rsidRDefault="00C32DAA" w:rsidP="001A0590">
      <w:pPr>
        <w:pStyle w:val="Bullet-followedbyothers"/>
        <w:spacing w:line="240" w:lineRule="auto"/>
      </w:pPr>
      <w:r w:rsidRPr="00A717CB">
        <w:t xml:space="preserve">Ensure there are sufficiently funded, appropriate and </w:t>
      </w:r>
      <w:r w:rsidR="00194AEC" w:rsidRPr="00A717CB">
        <w:t>high-quality</w:t>
      </w:r>
      <w:r w:rsidRPr="00A717CB">
        <w:t xml:space="preserve"> mental health services in the community to support the needs of all adults and children, including those with learning disabilities and/or autistic spectrum disorder, in order to reduce the need to resort to involuntary admission and treatment. </w:t>
      </w:r>
    </w:p>
    <w:p w14:paraId="0A471C39" w14:textId="77777777" w:rsidR="00C32DAA" w:rsidRPr="009101E1" w:rsidRDefault="00C32DAA" w:rsidP="001A0590">
      <w:pPr>
        <w:pStyle w:val="Bullet-followedbyothers"/>
        <w:spacing w:line="240" w:lineRule="auto"/>
      </w:pPr>
      <w:r w:rsidRPr="00A717CB">
        <w:t xml:space="preserve">Strengthen the criteria for detaining people under the MHA in order to ensure that the least restrictive intervention is used, and improve the ability of people detained to obtain a timely and meaningful review of the decision to detain/prolonged detention. In the case of </w:t>
      </w:r>
      <w:r>
        <w:t>people whose liberty is restricted under the Mental Capacity Act, ensure that they are supported and enabled to appeal to the Court of Protection and have access to an independent advocate</w:t>
      </w:r>
      <w:r w:rsidRPr="00A717CB">
        <w:t xml:space="preserve">. </w:t>
      </w:r>
    </w:p>
    <w:p w14:paraId="0E77BF23" w14:textId="77777777" w:rsidR="00C32DAA" w:rsidRPr="00A717CB" w:rsidRDefault="00C32DAA" w:rsidP="001A0590">
      <w:pPr>
        <w:pStyle w:val="Bullet-lastingroup"/>
        <w:spacing w:line="240" w:lineRule="auto"/>
      </w:pPr>
      <w:r w:rsidRPr="00A717CB">
        <w:t xml:space="preserve">Collect, analyse and publish disaggregated data on the experience of people sharing protected characteristics in all mental health settings, with a particular </w:t>
      </w:r>
      <w:r w:rsidRPr="00A717CB">
        <w:lastRenderedPageBreak/>
        <w:t xml:space="preserve">emphasis on people from ethnic minority groups, in order to understand who is being detained and treated and in what circumstances, and take action to tackle mental health inequalities. </w:t>
      </w:r>
    </w:p>
    <w:p w14:paraId="615615E8" w14:textId="77777777" w:rsidR="00C32DAA" w:rsidRPr="00A717CB" w:rsidRDefault="00C32DAA" w:rsidP="001A0590">
      <w:pPr>
        <w:pStyle w:val="Parabeforebulletss"/>
        <w:spacing w:line="240" w:lineRule="auto"/>
      </w:pPr>
      <w:r w:rsidRPr="00A717CB">
        <w:t xml:space="preserve">The Welsh Government should: </w:t>
      </w:r>
    </w:p>
    <w:p w14:paraId="3E9361F6" w14:textId="77777777" w:rsidR="00C32DAA" w:rsidRPr="00A717CB" w:rsidRDefault="00C32DAA" w:rsidP="007C24A5">
      <w:pPr>
        <w:pStyle w:val="Bullet-lastingroup"/>
        <w:spacing w:after="720" w:line="240" w:lineRule="auto"/>
      </w:pPr>
      <w:r w:rsidRPr="00A717CB">
        <w:t>Fully evaluate progress made under the Mental Health (Wales) Measure 2010 with a focus on preventing unnecessary detentions.</w:t>
      </w:r>
    </w:p>
    <w:p w14:paraId="665E1B47" w14:textId="77777777" w:rsidR="001F7BEB" w:rsidRDefault="001F7BEB">
      <w:pPr>
        <w:spacing w:after="160" w:line="259" w:lineRule="auto"/>
        <w:rPr>
          <w:rFonts w:ascii="Georgia" w:eastAsia="Times New Roman" w:hAnsi="Georgia"/>
          <w:bCs/>
          <w:color w:val="D40F7D"/>
          <w:sz w:val="40"/>
          <w:szCs w:val="40"/>
        </w:rPr>
      </w:pPr>
      <w:r>
        <w:rPr>
          <w:sz w:val="40"/>
          <w:szCs w:val="40"/>
        </w:rPr>
        <w:br w:type="page"/>
      </w:r>
    </w:p>
    <w:p w14:paraId="671DBA6F" w14:textId="77777777" w:rsidR="00586703" w:rsidRDefault="00586703" w:rsidP="001A0590">
      <w:pPr>
        <w:pStyle w:val="Title-chapterpink"/>
        <w:spacing w:after="0"/>
        <w:rPr>
          <w:sz w:val="40"/>
          <w:szCs w:val="40"/>
        </w:rPr>
        <w:sectPr w:rsidR="00586703" w:rsidSect="00C32DAA">
          <w:headerReference w:type="default" r:id="rId20"/>
          <w:pgSz w:w="11906" w:h="16838" w:code="9"/>
          <w:pgMar w:top="1440" w:right="1440" w:bottom="1440" w:left="1440" w:header="567" w:footer="567" w:gutter="0"/>
          <w:cols w:space="708"/>
          <w:docGrid w:linePitch="360"/>
        </w:sectPr>
      </w:pPr>
    </w:p>
    <w:p w14:paraId="10885D7F" w14:textId="7761343B" w:rsidR="00C32DAA" w:rsidRPr="001A0590" w:rsidRDefault="00115B78" w:rsidP="001A0590">
      <w:pPr>
        <w:pStyle w:val="Title-chapterpink"/>
        <w:spacing w:after="0"/>
        <w:rPr>
          <w:sz w:val="40"/>
          <w:szCs w:val="40"/>
        </w:rPr>
      </w:pPr>
      <w:bookmarkStart w:id="50" w:name="_Toc4061412"/>
      <w:r w:rsidRPr="001A0590">
        <w:rPr>
          <w:sz w:val="40"/>
          <w:szCs w:val="40"/>
        </w:rPr>
        <w:lastRenderedPageBreak/>
        <w:t xml:space="preserve">7. </w:t>
      </w:r>
      <w:r w:rsidR="00C32DAA" w:rsidRPr="001A0590">
        <w:rPr>
          <w:sz w:val="40"/>
          <w:szCs w:val="40"/>
        </w:rPr>
        <w:t>Use of restraint</w:t>
      </w:r>
      <w:bookmarkEnd w:id="50"/>
    </w:p>
    <w:p w14:paraId="39F730F8" w14:textId="3E6DBFE5" w:rsidR="00DA36DF" w:rsidRDefault="008B3D18" w:rsidP="001A0590">
      <w:pPr>
        <w:pStyle w:val="Parabeforenewsubsection"/>
        <w:spacing w:after="260"/>
        <w:rPr>
          <w:rFonts w:ascii="Georgia" w:hAnsi="Georgia"/>
          <w:sz w:val="32"/>
          <w:szCs w:val="32"/>
        </w:rPr>
      </w:pPr>
      <w:r>
        <w:rPr>
          <w:rFonts w:ascii="Georgia" w:hAnsi="Georgia"/>
          <w:sz w:val="32"/>
          <w:szCs w:val="32"/>
        </w:rPr>
        <w:t>R</w:t>
      </w:r>
      <w:r w:rsidR="00DA36DF">
        <w:rPr>
          <w:rFonts w:ascii="Georgia" w:hAnsi="Georgia"/>
          <w:sz w:val="32"/>
          <w:szCs w:val="32"/>
        </w:rPr>
        <w:t>elates to CAT Articles 2, 10, 11, 16, CO paragraph</w:t>
      </w:r>
      <w:r w:rsidR="00FE08F3">
        <w:rPr>
          <w:rFonts w:ascii="Georgia" w:hAnsi="Georgia"/>
          <w:sz w:val="32"/>
          <w:szCs w:val="32"/>
        </w:rPr>
        <w:t>s</w:t>
      </w:r>
      <w:r w:rsidR="00DA36DF">
        <w:rPr>
          <w:rFonts w:ascii="Georgia" w:hAnsi="Georgia"/>
          <w:sz w:val="32"/>
          <w:szCs w:val="32"/>
        </w:rPr>
        <w:t xml:space="preserve"> 26</w:t>
      </w:r>
      <w:r w:rsidR="00FE08F3">
        <w:rPr>
          <w:rFonts w:ascii="Georgia" w:hAnsi="Georgia"/>
          <w:sz w:val="32"/>
          <w:szCs w:val="32"/>
        </w:rPr>
        <w:t>, 28 and 29</w:t>
      </w:r>
      <w:r w:rsidR="00DA36DF">
        <w:rPr>
          <w:rFonts w:ascii="Georgia" w:hAnsi="Georgia"/>
          <w:sz w:val="32"/>
          <w:szCs w:val="32"/>
        </w:rPr>
        <w:t xml:space="preserve"> and list of issues paragraph</w:t>
      </w:r>
      <w:r w:rsidR="009D069D">
        <w:rPr>
          <w:rFonts w:ascii="Georgia" w:hAnsi="Georgia"/>
          <w:sz w:val="32"/>
          <w:szCs w:val="32"/>
        </w:rPr>
        <w:t>s</w:t>
      </w:r>
      <w:r w:rsidR="00DA36DF">
        <w:rPr>
          <w:rFonts w:ascii="Georgia" w:hAnsi="Georgia"/>
          <w:sz w:val="32"/>
          <w:szCs w:val="32"/>
        </w:rPr>
        <w:t xml:space="preserve"> 20</w:t>
      </w:r>
      <w:r w:rsidR="009D069D">
        <w:rPr>
          <w:rFonts w:ascii="Georgia" w:hAnsi="Georgia"/>
          <w:sz w:val="32"/>
          <w:szCs w:val="32"/>
        </w:rPr>
        <w:t>,</w:t>
      </w:r>
      <w:r w:rsidR="00DA36DF">
        <w:rPr>
          <w:rFonts w:ascii="Georgia" w:hAnsi="Georgia"/>
          <w:sz w:val="32"/>
          <w:szCs w:val="32"/>
        </w:rPr>
        <w:t xml:space="preserve"> 22</w:t>
      </w:r>
      <w:r w:rsidR="00FE08F3">
        <w:rPr>
          <w:rFonts w:ascii="Georgia" w:hAnsi="Georgia"/>
          <w:sz w:val="32"/>
          <w:szCs w:val="32"/>
        </w:rPr>
        <w:t xml:space="preserve">, </w:t>
      </w:r>
      <w:r w:rsidR="009D069D">
        <w:rPr>
          <w:rFonts w:ascii="Georgia" w:hAnsi="Georgia"/>
          <w:sz w:val="32"/>
          <w:szCs w:val="32"/>
        </w:rPr>
        <w:t>31</w:t>
      </w:r>
      <w:r w:rsidR="00FE08F3">
        <w:rPr>
          <w:rFonts w:ascii="Georgia" w:hAnsi="Georgia"/>
          <w:sz w:val="32"/>
          <w:szCs w:val="32"/>
        </w:rPr>
        <w:t>, 40 and 41.</w:t>
      </w:r>
    </w:p>
    <w:p w14:paraId="5EB34EB1" w14:textId="77777777" w:rsidR="001A0590" w:rsidRDefault="00600D54" w:rsidP="001A0590">
      <w:pPr>
        <w:pStyle w:val="Parabeforenewsubsection"/>
        <w:spacing w:before="260" w:after="160" w:line="240" w:lineRule="auto"/>
      </w:pPr>
      <w:r>
        <w:rPr>
          <w:noProof/>
          <w:lang w:eastAsia="en-GB"/>
        </w:rPr>
        <mc:AlternateContent>
          <mc:Choice Requires="wps">
            <w:drawing>
              <wp:inline distT="0" distB="0" distL="0" distR="0" wp14:anchorId="66E958AD" wp14:editId="70FA4FFE">
                <wp:extent cx="5543550" cy="1400175"/>
                <wp:effectExtent l="0" t="0" r="0" b="9525"/>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400175"/>
                        </a:xfrm>
                        <a:prstGeom prst="rect">
                          <a:avLst/>
                        </a:prstGeom>
                        <a:solidFill>
                          <a:srgbClr val="F8D4EB"/>
                        </a:solidFill>
                        <a:ln w="9525">
                          <a:noFill/>
                          <a:miter lim="800000"/>
                          <a:headEnd/>
                          <a:tailEnd/>
                        </a:ln>
                      </wps:spPr>
                      <wps:txbx>
                        <w:txbxContent>
                          <w:p w14:paraId="033DA4B5" w14:textId="091A09E0" w:rsidR="00AE42CD" w:rsidRDefault="00AE42CD" w:rsidP="001A0590">
                            <w:pPr>
                              <w:spacing w:line="240" w:lineRule="auto"/>
                            </w:pPr>
                            <w:r w:rsidRPr="00A717CB">
                              <w:rPr>
                                <w:szCs w:val="24"/>
                              </w:rPr>
                              <w:t xml:space="preserve">In its 2016 list of issues, the Committee requested information on the rules, practices and training methods relating to the use of restraint in policing, prisons and youth custody centres, and in health and social care settings. It expressed particular interest in the allegations concerning the use of force by staff at the Medway </w:t>
                            </w:r>
                            <w:r>
                              <w:rPr>
                                <w:szCs w:val="24"/>
                              </w:rPr>
                              <w:t>STC</w:t>
                            </w:r>
                            <w:r w:rsidRPr="00A717CB">
                              <w:rPr>
                                <w:szCs w:val="24"/>
                              </w:rPr>
                              <w:t>. In its 2013 concluding observations, the Committee recommended the prohibition of all forms of corporal punishment</w:t>
                            </w:r>
                            <w:r>
                              <w:rPr>
                                <w:szCs w:val="24"/>
                              </w:rPr>
                              <w:t xml:space="preserve"> and a ban on the use of any technique of restraint designed to inflict pain on children</w:t>
                            </w:r>
                            <w:r w:rsidRPr="00A717CB">
                              <w:rPr>
                                <w:szCs w:val="24"/>
                              </w:rPr>
                              <w:t>.</w:t>
                            </w:r>
                          </w:p>
                        </w:txbxContent>
                      </wps:txbx>
                      <wps:bodyPr rot="0" vert="horz" wrap="square" lIns="91440" tIns="45720" rIns="91440" bIns="45720" anchor="t" anchorCtr="0">
                        <a:noAutofit/>
                      </wps:bodyPr>
                    </wps:wsp>
                  </a:graphicData>
                </a:graphic>
              </wp:inline>
            </w:drawing>
          </mc:Choice>
          <mc:Fallback>
            <w:pict>
              <v:shape w14:anchorId="66E958AD" id="_x0000_s1034" type="#_x0000_t202" style="width:436.5pt;height:11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" fillcolor="#f8d4eb" stroked="f">
                <v:textbox>
                  <w:txbxContent>
                    <w:p w14:paraId="033DA4B5" w14:textId="091A09E0" w:rsidR="00AE42CD" w:rsidRDefault="00AE42CD" w:rsidP="001A0590">
                      <w:pPr>
                        <w:spacing w:line="240" w:lineRule="auto"/>
                      </w:pPr>
                      <w:r w:rsidRPr="00A717CB">
                        <w:rPr>
                          <w:szCs w:val="24"/>
                        </w:rPr>
                        <w:t xml:space="preserve">In its 2016 list of issues, the Committee requested information on the rules, practices and training methods relating to the use of restraint in policing, prisons and youth custody centres, and in health and social care settings. It expressed particular interest in the allegations concerning the use of force by staff at the Medway </w:t>
                      </w:r>
                      <w:r>
                        <w:rPr>
                          <w:szCs w:val="24"/>
                        </w:rPr>
                        <w:t>STC</w:t>
                      </w:r>
                      <w:r w:rsidRPr="00A717CB">
                        <w:rPr>
                          <w:szCs w:val="24"/>
                        </w:rPr>
                        <w:t>. In its 2013 concluding observations, the Committee recommended the prohibition of all forms of corporal punishment</w:t>
                      </w:r>
                      <w:r>
                        <w:rPr>
                          <w:szCs w:val="24"/>
                        </w:rPr>
                        <w:t xml:space="preserve"> and a ban on the use of any technique of restraint designed to inflict pain on children</w:t>
                      </w:r>
                      <w:r w:rsidRPr="00A717CB">
                        <w:rPr>
                          <w:szCs w:val="24"/>
                        </w:rPr>
                        <w:t>.</w:t>
                      </w:r>
                    </w:p>
                  </w:txbxContent>
                </v:textbox>
                <w10:anchorlock/>
              </v:shape>
            </w:pict>
          </mc:Fallback>
        </mc:AlternateContent>
      </w:r>
    </w:p>
    <w:p w14:paraId="796C06FC" w14:textId="39326E03" w:rsidR="00C32DAA" w:rsidRPr="00A717CB" w:rsidRDefault="00AD0299" w:rsidP="001A0590">
      <w:pPr>
        <w:pStyle w:val="Parabeforenewsubsection"/>
        <w:spacing w:before="260" w:after="160" w:line="240" w:lineRule="auto"/>
      </w:pPr>
      <w:r>
        <w:t xml:space="preserve">The </w:t>
      </w:r>
      <w:r w:rsidR="00C32DAA" w:rsidRPr="00A717CB">
        <w:t>EHRC defines restraint broadly as an act carried out with the purpose of restricting an individual’s movement, liberty and/or freedom to act independently. It may therefore include chemical, mechanical and physical forms of control, coercion and enforced isolation (segregation).</w:t>
      </w:r>
      <w:r w:rsidR="00C32DAA" w:rsidRPr="00A717CB">
        <w:rPr>
          <w:rStyle w:val="FootnoteReference"/>
        </w:rPr>
        <w:footnoteReference w:id="224"/>
      </w:r>
      <w:r w:rsidR="00C32DAA" w:rsidRPr="00A717CB">
        <w:t xml:space="preserve"> </w:t>
      </w:r>
    </w:p>
    <w:p w14:paraId="4054D7C0" w14:textId="0BD904A1" w:rsidR="00C32DAA" w:rsidRPr="00A717CB" w:rsidRDefault="00C32DAA" w:rsidP="001A0590">
      <w:pPr>
        <w:pStyle w:val="Parabeforenewsubsection"/>
        <w:spacing w:line="240" w:lineRule="auto"/>
      </w:pPr>
      <w:r w:rsidRPr="00A717CB">
        <w:t xml:space="preserve">In England and Wales, restraint may lawfully be used in numerous settings, particularly health, social care, criminal justice, immigration and education settings, subject to the safeguards set out in legislation and guidance. Each of these sectors, and sometimes the different settings within them, have separate rules about the use of restraint. For example, pain-inducing restraint is banned in </w:t>
      </w:r>
      <w:r w:rsidR="00D83F03" w:rsidRPr="00A717CB">
        <w:t>secure children’s homes</w:t>
      </w:r>
      <w:r w:rsidRPr="00A717CB">
        <w:t xml:space="preserve">, which provide secure accommodation to ‘at risk’ children (including those who are likely to cause harm to themselves or others) but not in escorts to and from these </w:t>
      </w:r>
      <w:r w:rsidRPr="006F024F">
        <w:t>homes.</w:t>
      </w:r>
      <w:r w:rsidRPr="006F024F">
        <w:rPr>
          <w:rStyle w:val="FootnoteReference"/>
        </w:rPr>
        <w:footnoteReference w:id="225"/>
      </w:r>
      <w:r w:rsidRPr="006F024F">
        <w:t xml:space="preserve"> Pain-inducing restraint techniques may also be used in </w:t>
      </w:r>
      <w:r w:rsidRPr="00A717CB">
        <w:t>YOIs</w:t>
      </w:r>
      <w:r>
        <w:rPr>
          <w:rStyle w:val="FootnoteReference"/>
        </w:rPr>
        <w:footnoteReference w:id="226"/>
      </w:r>
      <w:r w:rsidRPr="00A717CB">
        <w:t xml:space="preserve"> and</w:t>
      </w:r>
      <w:r>
        <w:t xml:space="preserve"> STCs.</w:t>
      </w:r>
      <w:r w:rsidRPr="00A717CB">
        <w:rPr>
          <w:rStyle w:val="FootnoteReference"/>
        </w:rPr>
        <w:footnoteReference w:id="227"/>
      </w:r>
      <w:r w:rsidRPr="00A717CB">
        <w:t xml:space="preserve"> </w:t>
      </w:r>
    </w:p>
    <w:p w14:paraId="11E5B14D" w14:textId="77777777" w:rsidR="00C32DAA" w:rsidRPr="00EF6A30" w:rsidRDefault="00C32DAA" w:rsidP="00EF6A30">
      <w:pPr>
        <w:pStyle w:val="Title-subsections"/>
      </w:pPr>
      <w:bookmarkStart w:id="51" w:name="_Toc4061413"/>
      <w:r w:rsidRPr="00EF6A30">
        <w:t>Adult prisons</w:t>
      </w:r>
      <w:bookmarkEnd w:id="51"/>
    </w:p>
    <w:p w14:paraId="33CF9491" w14:textId="7230C9E6" w:rsidR="00C32DAA" w:rsidRPr="00A717CB" w:rsidRDefault="00C32DAA" w:rsidP="001A0590">
      <w:pPr>
        <w:pStyle w:val="Parabeforeanother"/>
        <w:spacing w:line="240" w:lineRule="auto"/>
      </w:pPr>
      <w:r w:rsidRPr="00A717CB">
        <w:t>HMIP has found that high levels of force are used on prisoners in England and Wales</w:t>
      </w:r>
      <w:r w:rsidRPr="00A717CB">
        <w:rPr>
          <w:vertAlign w:val="superscript"/>
        </w:rPr>
        <w:footnoteReference w:id="228"/>
      </w:r>
      <w:r w:rsidRPr="00A717CB">
        <w:t xml:space="preserve"> and that prisoners at risk of suicide and self-harm continue to be unnecessarily segregated.</w:t>
      </w:r>
      <w:r w:rsidRPr="00A717CB">
        <w:rPr>
          <w:vertAlign w:val="superscript"/>
        </w:rPr>
        <w:footnoteReference w:id="229"/>
      </w:r>
      <w:r w:rsidRPr="00A717CB">
        <w:t xml:space="preserve"> During 2017/18, at least six prisoners took their own lives while in segregation units. The UK Government is revising existing guidance on the use of force in prisons.</w:t>
      </w:r>
      <w:r w:rsidRPr="00A717CB">
        <w:rPr>
          <w:rStyle w:val="FootnoteReference"/>
        </w:rPr>
        <w:footnoteReference w:id="230"/>
      </w:r>
      <w:r w:rsidR="00EB2214">
        <w:t xml:space="preserve">  </w:t>
      </w:r>
    </w:p>
    <w:p w14:paraId="3D833DFE" w14:textId="706699F6" w:rsidR="00C32DAA" w:rsidRDefault="00AD0299" w:rsidP="001A0590">
      <w:pPr>
        <w:pStyle w:val="Parabeforenewsubsection"/>
        <w:spacing w:line="240" w:lineRule="auto"/>
      </w:pPr>
      <w:r>
        <w:t xml:space="preserve">The </w:t>
      </w:r>
      <w:r w:rsidR="00C32DAA" w:rsidRPr="00A717CB">
        <w:t xml:space="preserve">EHRC has serious concerns about the UK Government’s announcement, in October 2018, that it plans to introduce PAVA spray for use by all officers in adult </w:t>
      </w:r>
      <w:r w:rsidR="00C32DAA" w:rsidRPr="00A717CB">
        <w:lastRenderedPageBreak/>
        <w:t>male prisons in England and Wales.</w:t>
      </w:r>
      <w:r w:rsidR="00C32DAA" w:rsidRPr="00A717CB">
        <w:rPr>
          <w:vertAlign w:val="superscript"/>
        </w:rPr>
        <w:footnoteReference w:id="231"/>
      </w:r>
      <w:r w:rsidR="00C32DAA" w:rsidRPr="00A717CB">
        <w:t xml:space="preserve"> </w:t>
      </w:r>
      <w:r w:rsidR="00C32DAA" w:rsidRPr="00CC3F92">
        <w:t xml:space="preserve">This disregards the recommendations of the </w:t>
      </w:r>
      <w:r w:rsidR="00945951">
        <w:t xml:space="preserve">European </w:t>
      </w:r>
      <w:r w:rsidR="00C32DAA" w:rsidRPr="00CC3F92">
        <w:t>Committee for the Prevention of Torture (CPT) that ‘PAVA should not form part of the standard equipment of custodial staff’.</w:t>
      </w:r>
      <w:r w:rsidR="00C32DAA" w:rsidRPr="00CC3F92">
        <w:rPr>
          <w:vertAlign w:val="superscript"/>
        </w:rPr>
        <w:footnoteReference w:id="232"/>
      </w:r>
      <w:r w:rsidR="00C32DAA" w:rsidRPr="00CC3F92">
        <w:t xml:space="preserve"> </w:t>
      </w:r>
      <w:r w:rsidR="00C32DAA" w:rsidRPr="00A717CB">
        <w:t>According to the announcement, PAVA spray ‘will only be deployed in limited circumstances when there is serious violence or an imminent risk of it taking place, and where its deployment will reduce the risk of serious injury.’</w:t>
      </w:r>
      <w:r w:rsidR="00C32DAA" w:rsidRPr="00A717CB">
        <w:rPr>
          <w:rStyle w:val="FootnoteReference"/>
        </w:rPr>
        <w:footnoteReference w:id="233"/>
      </w:r>
      <w:r w:rsidR="00C32DAA" w:rsidRPr="00A717CB">
        <w:t xml:space="preserve"> </w:t>
      </w:r>
      <w:r w:rsidR="00C32DAA">
        <w:t>However, t</w:t>
      </w:r>
      <w:r w:rsidR="00C32DAA" w:rsidRPr="00A717CB">
        <w:t>he Government’s evaluation of a pilot of the use of PAVA spray in prisons found that staff became over-reliant on the spray and often did not follow correct procedures, which could lead to increasing use of restraint.</w:t>
      </w:r>
      <w:r w:rsidR="00C32DAA" w:rsidRPr="00A717CB">
        <w:rPr>
          <w:vertAlign w:val="superscript"/>
        </w:rPr>
        <w:footnoteReference w:id="234"/>
      </w:r>
      <w:r w:rsidR="00C32DAA" w:rsidRPr="00A717CB">
        <w:t xml:space="preserve"> </w:t>
      </w:r>
      <w:r w:rsidR="00C32DAA" w:rsidRPr="00532DC4">
        <w:t>In view of evidence regarding the disproportionate use of force on prisoners with certain protected characteristics (see below), we are also concerned that roll out of the use of PAVA spray was announced before a meaningful equality impact assessment had been completed.</w:t>
      </w:r>
      <w:r w:rsidR="00C32DAA" w:rsidRPr="00532DC4">
        <w:rPr>
          <w:vertAlign w:val="superscript"/>
        </w:rPr>
        <w:footnoteReference w:id="235"/>
      </w:r>
    </w:p>
    <w:p w14:paraId="6EEDFF67" w14:textId="77777777" w:rsidR="00C32DAA" w:rsidRPr="00A717CB" w:rsidRDefault="00C32DAA" w:rsidP="00EF6A30">
      <w:pPr>
        <w:pStyle w:val="Title-subsections"/>
      </w:pPr>
      <w:bookmarkStart w:id="52" w:name="_Toc4061414"/>
      <w:r w:rsidRPr="00A717CB">
        <w:t>Youth custody</w:t>
      </w:r>
      <w:bookmarkEnd w:id="52"/>
    </w:p>
    <w:p w14:paraId="3B6C1338" w14:textId="54BE61C8" w:rsidR="00C32DAA" w:rsidRPr="00A717CB" w:rsidRDefault="00C32DAA" w:rsidP="001A0590">
      <w:pPr>
        <w:pStyle w:val="Parabeforeanother"/>
        <w:spacing w:line="240" w:lineRule="auto"/>
      </w:pPr>
      <w:r w:rsidRPr="00A717CB">
        <w:t>In the last decade, there has been a substantial rise in the use of restraint in the youth custodial estate in England and Wales, including pain-inducing restraint.</w:t>
      </w:r>
      <w:r w:rsidRPr="00A717CB">
        <w:rPr>
          <w:vertAlign w:val="superscript"/>
        </w:rPr>
        <w:footnoteReference w:id="236"/>
      </w:r>
      <w:r w:rsidRPr="00A717CB">
        <w:t xml:space="preserve"> A police investigation into allegations of abuse and unnecessary use of force on children at Medway STC in 2015 led to criminal charges against a number of staff at the STC. None </w:t>
      </w:r>
      <w:r w:rsidR="002A3C03" w:rsidRPr="00A717CB">
        <w:t>w</w:t>
      </w:r>
      <w:r w:rsidR="002A3C03">
        <w:t>as</w:t>
      </w:r>
      <w:r w:rsidR="002A3C03" w:rsidRPr="00A717CB">
        <w:t xml:space="preserve"> </w:t>
      </w:r>
      <w:r w:rsidRPr="00A717CB">
        <w:t>found guilty of a criminal offence.</w:t>
      </w:r>
      <w:r w:rsidRPr="00A717CB">
        <w:rPr>
          <w:vertAlign w:val="superscript"/>
        </w:rPr>
        <w:footnoteReference w:id="237"/>
      </w:r>
      <w:r w:rsidRPr="00A717CB">
        <w:t xml:space="preserve"> However, an inspection </w:t>
      </w:r>
      <w:r w:rsidR="002A3C03">
        <w:t xml:space="preserve">that was </w:t>
      </w:r>
      <w:r w:rsidRPr="00A717CB">
        <w:t>conducted following the allegations was highly critical, highlighting weak governance, poorly-trained staff and the absence of a strategy in the centre for dealing with violence.</w:t>
      </w:r>
      <w:r w:rsidRPr="00A717CB">
        <w:rPr>
          <w:vertAlign w:val="superscript"/>
        </w:rPr>
        <w:footnoteReference w:id="238"/>
      </w:r>
    </w:p>
    <w:p w14:paraId="3C2A2E79" w14:textId="4D3BB26D" w:rsidR="00C32DAA" w:rsidRPr="00A717CB" w:rsidRDefault="00C32DAA" w:rsidP="001A0590">
      <w:pPr>
        <w:pStyle w:val="Parabeforeanother"/>
        <w:spacing w:line="240" w:lineRule="auto"/>
        <w:rPr>
          <w:lang w:val="en-US"/>
        </w:rPr>
      </w:pPr>
      <w:r w:rsidRPr="00A717CB">
        <w:t>Whil</w:t>
      </w:r>
      <w:r w:rsidR="00CE4777">
        <w:t>e</w:t>
      </w:r>
      <w:r w:rsidRPr="00A717CB">
        <w:t xml:space="preserve"> subsequent inspections have reported some improvements at Medway STC,</w:t>
      </w:r>
      <w:r w:rsidRPr="00A717CB">
        <w:rPr>
          <w:vertAlign w:val="superscript"/>
        </w:rPr>
        <w:footnoteReference w:id="239"/>
      </w:r>
      <w:r w:rsidRPr="00A717CB">
        <w:t xml:space="preserve"> a serious case review into the abuse allegations at Medway, published in January 2019, highlighted</w:t>
      </w:r>
      <w:r w:rsidR="00EB2214">
        <w:t xml:space="preserve"> </w:t>
      </w:r>
      <w:r w:rsidRPr="00A717CB">
        <w:t>ongoing widespread and unlawful use of painful restraint at the STC.</w:t>
      </w:r>
      <w:r w:rsidRPr="00A717CB">
        <w:rPr>
          <w:rStyle w:val="FootnoteReference"/>
        </w:rPr>
        <w:footnoteReference w:id="240"/>
      </w:r>
      <w:r w:rsidRPr="00A717CB">
        <w:t xml:space="preserve"> HMIP has also raised concerns about the frequent use of pain-inducing restraint in other parts of the youth custodial estate.</w:t>
      </w:r>
      <w:r w:rsidRPr="00A717CB">
        <w:rPr>
          <w:vertAlign w:val="superscript"/>
        </w:rPr>
        <w:footnoteReference w:id="241"/>
      </w:r>
      <w:r w:rsidRPr="00A717CB">
        <w:t xml:space="preserve"> </w:t>
      </w:r>
      <w:r w:rsidRPr="00A717CB">
        <w:rPr>
          <w:lang w:val="en-US"/>
        </w:rPr>
        <w:t xml:space="preserve">The UK Government </w:t>
      </w:r>
      <w:r w:rsidRPr="00A717CB">
        <w:rPr>
          <w:lang w:val="en-US"/>
        </w:rPr>
        <w:lastRenderedPageBreak/>
        <w:t>announced a review of the use of pain-inducing restraint across the youth custodial estate, which is due to report in summer 2019.</w:t>
      </w:r>
      <w:r w:rsidRPr="00A717CB">
        <w:rPr>
          <w:vertAlign w:val="superscript"/>
          <w:lang w:val="en-US"/>
        </w:rPr>
        <w:footnoteReference w:id="242"/>
      </w:r>
      <w:r w:rsidRPr="00A717CB">
        <w:rPr>
          <w:lang w:val="en-US"/>
        </w:rPr>
        <w:t xml:space="preserve"> </w:t>
      </w:r>
    </w:p>
    <w:p w14:paraId="3945BDB6" w14:textId="77777777" w:rsidR="00C32DAA" w:rsidRPr="00A717CB" w:rsidRDefault="00C32DAA" w:rsidP="001A0590">
      <w:pPr>
        <w:pStyle w:val="Parabeforenewsubsection"/>
        <w:spacing w:line="240" w:lineRule="auto"/>
      </w:pPr>
      <w:r w:rsidRPr="00A717CB">
        <w:t>The use of segregation on children for disciplinary reasons is also increasing, especially in YOIs where children have been segregated for 22 hours or more a day, for periods extending to 30 days or more,</w:t>
      </w:r>
      <w:r w:rsidRPr="00A717CB">
        <w:rPr>
          <w:vertAlign w:val="superscript"/>
        </w:rPr>
        <w:footnoteReference w:id="243"/>
      </w:r>
      <w:r w:rsidRPr="00A717CB">
        <w:t xml:space="preserve"> amounting in practice to solitary confinement.</w:t>
      </w:r>
      <w:r w:rsidRPr="00A717CB">
        <w:rPr>
          <w:rStyle w:val="FootnoteReference"/>
        </w:rPr>
        <w:footnoteReference w:id="244"/>
      </w:r>
    </w:p>
    <w:p w14:paraId="438BBC38" w14:textId="77777777" w:rsidR="00C32DAA" w:rsidRPr="00A717CB" w:rsidRDefault="00C32DAA" w:rsidP="00EF6A30">
      <w:pPr>
        <w:pStyle w:val="Title-subsections"/>
      </w:pPr>
      <w:bookmarkStart w:id="53" w:name="_Toc4061415"/>
      <w:r w:rsidRPr="00A717CB">
        <w:t>Policing</w:t>
      </w:r>
      <w:bookmarkEnd w:id="53"/>
    </w:p>
    <w:p w14:paraId="62C086A9" w14:textId="0638DC4A" w:rsidR="00C32DAA" w:rsidRPr="00A717CB" w:rsidRDefault="00AD0299" w:rsidP="007C39AB">
      <w:pPr>
        <w:pStyle w:val="Parabeforenewsubsection"/>
        <w:spacing w:line="240" w:lineRule="auto"/>
      </w:pPr>
      <w:r>
        <w:t xml:space="preserve">The </w:t>
      </w:r>
      <w:r w:rsidR="00C32DAA" w:rsidRPr="00A717CB">
        <w:t>EHRC has concerns about the increasing use of Tasers on children in England and Wales. In 2017/18, there were 16 incidents involving the use of Tasers on children appearing to be under the age of 11, including five occasions on which the Taser was fired at the child.</w:t>
      </w:r>
      <w:r w:rsidR="00C32DAA" w:rsidRPr="00A717CB">
        <w:rPr>
          <w:vertAlign w:val="superscript"/>
        </w:rPr>
        <w:footnoteReference w:id="245"/>
      </w:r>
      <w:r w:rsidR="00EB2214">
        <w:t xml:space="preserve"> </w:t>
      </w:r>
      <w:r w:rsidR="00C32DAA" w:rsidRPr="00A717CB">
        <w:t>The number of police forces authorising the use of spit hoods on children in police custody is also increasing in England and there has been criticism that the risk assessments conducted do not take into account the specific dangers which spit hoods can represent to children.</w:t>
      </w:r>
      <w:r w:rsidR="00C32DAA" w:rsidRPr="00A717CB">
        <w:rPr>
          <w:vertAlign w:val="superscript"/>
        </w:rPr>
        <w:footnoteReference w:id="246"/>
      </w:r>
      <w:r w:rsidR="00C32DAA" w:rsidRPr="00A717CB">
        <w:t xml:space="preserve"> </w:t>
      </w:r>
    </w:p>
    <w:p w14:paraId="48F2CD7B" w14:textId="77777777" w:rsidR="00663C64" w:rsidRPr="00A717CB" w:rsidRDefault="00663C64" w:rsidP="00663C64">
      <w:pPr>
        <w:pStyle w:val="Title-subsections"/>
      </w:pPr>
      <w:bookmarkStart w:id="54" w:name="_Toc4061416"/>
      <w:r w:rsidRPr="00A717CB">
        <w:t>Mental health units</w:t>
      </w:r>
      <w:bookmarkEnd w:id="54"/>
    </w:p>
    <w:p w14:paraId="25C1B22A" w14:textId="77777777" w:rsidR="00663C64" w:rsidRPr="00A717CB" w:rsidRDefault="00663C64" w:rsidP="007C39AB">
      <w:pPr>
        <w:pStyle w:val="Parabeforeanother"/>
        <w:spacing w:line="240" w:lineRule="auto"/>
      </w:pPr>
      <w:r w:rsidRPr="00A717CB">
        <w:t>The CPT recently identified a range of concerns about the use of force on patients in mental health settings and the use of long-term segregation and night-time confinement in high secure hospitals in England.</w:t>
      </w:r>
      <w:r w:rsidRPr="00A717CB">
        <w:rPr>
          <w:vertAlign w:val="superscript"/>
        </w:rPr>
        <w:footnoteReference w:id="247"/>
      </w:r>
      <w:r w:rsidRPr="00A717CB">
        <w:rPr>
          <w:vertAlign w:val="superscript"/>
        </w:rPr>
        <w:t xml:space="preserve"> </w:t>
      </w:r>
      <w:r w:rsidRPr="00A717CB">
        <w:t>There is evidence that chemical restraint is being misused on people with learning disabilities. For example, between 2009 and 2012, 13</w:t>
      </w:r>
      <w:r>
        <w:t xml:space="preserve"> per cent</w:t>
      </w:r>
      <w:r w:rsidRPr="00A717CB">
        <w:t xml:space="preserve"> of people with learning disabilities in England (around 23,800 people) were being prescribed antipsychotic medication in the absence of a psychotic illness.</w:t>
      </w:r>
      <w:r w:rsidRPr="00A717CB">
        <w:rPr>
          <w:vertAlign w:val="superscript"/>
        </w:rPr>
        <w:footnoteReference w:id="248"/>
      </w:r>
      <w:r>
        <w:t xml:space="preserve"> </w:t>
      </w:r>
      <w:r w:rsidRPr="00A717CB">
        <w:t>There are also concerns about the use of restraint on people held in</w:t>
      </w:r>
      <w:r w:rsidRPr="00A717CB">
        <w:rPr>
          <w:lang w:val="en"/>
        </w:rPr>
        <w:t xml:space="preserve"> ATUs, notwithstanding the harm that such interventions can cause to people with learning disabilities (see also section 6.3). Between 2016 and 2017, </w:t>
      </w:r>
      <w:r w:rsidRPr="00A717CB">
        <w:t>the number of recorded restraints for learning disability and autism patients in contact with secondary mental health services in England increased by 73</w:t>
      </w:r>
      <w:r>
        <w:t xml:space="preserve"> per cent</w:t>
      </w:r>
      <w:r w:rsidRPr="00A717CB">
        <w:t>.</w:t>
      </w:r>
      <w:r w:rsidRPr="00A717CB">
        <w:rPr>
          <w:rStyle w:val="FootnoteReference"/>
        </w:rPr>
        <w:footnoteReference w:id="249"/>
      </w:r>
      <w:r w:rsidRPr="00A717CB">
        <w:t xml:space="preserve"> </w:t>
      </w:r>
    </w:p>
    <w:p w14:paraId="12DCBDDE" w14:textId="77777777" w:rsidR="00663C64" w:rsidRPr="00A717CB" w:rsidRDefault="00663C64" w:rsidP="007C39AB">
      <w:pPr>
        <w:pStyle w:val="Parabeforeanother"/>
        <w:spacing w:line="240" w:lineRule="auto"/>
      </w:pPr>
      <w:r w:rsidRPr="00A717CB">
        <w:t>In 2005, the Welsh Government advised that no individuals receiving mental health services should ever be restrained in a face-down (prone) position under any circumstances.</w:t>
      </w:r>
      <w:r w:rsidRPr="00A717CB">
        <w:rPr>
          <w:rStyle w:val="FootnoteReference"/>
        </w:rPr>
        <w:footnoteReference w:id="250"/>
      </w:r>
      <w:r w:rsidRPr="00A717CB">
        <w:t xml:space="preserve"> However, more recent guidance states that physical restraint </w:t>
      </w:r>
      <w:r w:rsidRPr="00A717CB">
        <w:lastRenderedPageBreak/>
        <w:t>should be carried out as a last resort and that prone restraint should only be used in exceptional circumstances.</w:t>
      </w:r>
      <w:r w:rsidRPr="00A717CB">
        <w:rPr>
          <w:rStyle w:val="FootnoteReference"/>
        </w:rPr>
        <w:footnoteReference w:id="251"/>
      </w:r>
      <w:r w:rsidRPr="00A717CB">
        <w:t xml:space="preserve"> In 2014/15, there were 382 recorded uses of face-down restraint in mental health services in Wales.</w:t>
      </w:r>
      <w:r w:rsidRPr="00A717CB">
        <w:rPr>
          <w:rStyle w:val="FootnoteReference"/>
        </w:rPr>
        <w:footnoteReference w:id="252"/>
      </w:r>
    </w:p>
    <w:p w14:paraId="396CA180" w14:textId="5B0D483E" w:rsidR="00663C64" w:rsidRPr="00A717CB" w:rsidRDefault="00663C64" w:rsidP="007C39AB">
      <w:pPr>
        <w:pStyle w:val="Parabeforenewsubsection"/>
        <w:spacing w:line="240" w:lineRule="auto"/>
      </w:pPr>
      <w:r w:rsidRPr="00A717CB">
        <w:t>It is hoped that the recent introduction of the Mental Health Unit</w:t>
      </w:r>
      <w:r>
        <w:t>s</w:t>
      </w:r>
      <w:r w:rsidRPr="00A717CB">
        <w:t xml:space="preserve"> (Use of Force) Act 2018</w:t>
      </w:r>
      <w:r>
        <w:t xml:space="preserve"> in England</w:t>
      </w:r>
      <w:r w:rsidRPr="00A717CB">
        <w:t xml:space="preserve"> will help to address some of these issues by requiring mental health units to train staff on how to reduce the use of restraint, providing patients with information about their rights and improving monitoring (see below).</w:t>
      </w:r>
      <w:r w:rsidRPr="00A717CB">
        <w:rPr>
          <w:rStyle w:val="FootnoteReference"/>
        </w:rPr>
        <w:footnoteReference w:id="253"/>
      </w:r>
      <w:r w:rsidRPr="00A717CB">
        <w:t xml:space="preserve"> The Independent Review of the Mental Health Act 1983, published in December 2018, made a number of recommendations to the UK Government, including promoting greater use of therapeutic environments which are less coercive and wh</w:t>
      </w:r>
      <w:r w:rsidR="00435B58">
        <w:t>ich should involve</w:t>
      </w:r>
      <w:r w:rsidRPr="00A717CB">
        <w:t xml:space="preserve"> fewer situations that result in restraint.</w:t>
      </w:r>
      <w:r w:rsidRPr="00A717CB">
        <w:rPr>
          <w:rStyle w:val="FootnoteReference"/>
        </w:rPr>
        <w:footnoteReference w:id="254"/>
      </w:r>
      <w:r w:rsidRPr="00A717CB">
        <w:t xml:space="preserve"> In December 2018, the UK Government commissioned the CQC to conduct a review into the use of restraint, prolonged seclusion and segregation in England for people with mental health conditions, learning disabilities and/or autism.</w:t>
      </w:r>
      <w:r w:rsidRPr="00A717CB">
        <w:rPr>
          <w:rStyle w:val="FootnoteReference"/>
        </w:rPr>
        <w:footnoteReference w:id="255"/>
      </w:r>
      <w:r w:rsidRPr="00A717CB">
        <w:t xml:space="preserve"> The CQC will publish an interim report in May 2019 and a full report with recommendations in March 2020.</w:t>
      </w:r>
    </w:p>
    <w:p w14:paraId="3F421DEA" w14:textId="77777777" w:rsidR="00C32DAA" w:rsidRPr="00A717CB" w:rsidRDefault="00C32DAA" w:rsidP="00EF6A30">
      <w:pPr>
        <w:pStyle w:val="Title-subsections"/>
      </w:pPr>
      <w:bookmarkStart w:id="55" w:name="_Toc4061417"/>
      <w:r w:rsidRPr="00A717CB">
        <w:t>Schools</w:t>
      </w:r>
      <w:bookmarkEnd w:id="55"/>
    </w:p>
    <w:p w14:paraId="66826F93" w14:textId="73AB8D13" w:rsidR="00C32DAA" w:rsidRPr="00A717CB" w:rsidRDefault="00836B9A" w:rsidP="007C39AB">
      <w:pPr>
        <w:pStyle w:val="Parabeforeanother"/>
        <w:spacing w:line="240" w:lineRule="auto"/>
      </w:pPr>
      <w:r>
        <w:t xml:space="preserve">The </w:t>
      </w:r>
      <w:r w:rsidR="00C32DAA" w:rsidRPr="00A717CB">
        <w:t>EHRC is concerned that UK Government guidance on the use of force in schools in England</w:t>
      </w:r>
      <w:r w:rsidR="00C32DAA" w:rsidRPr="00A717CB">
        <w:rPr>
          <w:rStyle w:val="FootnoteReference"/>
        </w:rPr>
        <w:footnoteReference w:id="256"/>
      </w:r>
      <w:r w:rsidR="00C32DAA" w:rsidRPr="00A717CB">
        <w:t xml:space="preserve"> does not provide children with sufficient safeguards against abuse</w:t>
      </w:r>
      <w:r w:rsidR="00C32DAA">
        <w:t>. For example,</w:t>
      </w:r>
      <w:r w:rsidR="00C32DAA" w:rsidRPr="00A717CB">
        <w:t xml:space="preserve"> it does not spell out the principle that </w:t>
      </w:r>
      <w:r w:rsidR="00C32DAA">
        <w:t xml:space="preserve">certain forms of </w:t>
      </w:r>
      <w:r w:rsidR="00C32DAA" w:rsidRPr="00A717CB">
        <w:t xml:space="preserve">restraint should be used </w:t>
      </w:r>
      <w:r w:rsidR="00D932BE">
        <w:t xml:space="preserve">only </w:t>
      </w:r>
      <w:r w:rsidR="00C32DAA" w:rsidRPr="00A717CB">
        <w:t>as a last resort.</w:t>
      </w:r>
      <w:r w:rsidR="00C32DAA" w:rsidRPr="00A717CB">
        <w:rPr>
          <w:rStyle w:val="FootnoteReference"/>
        </w:rPr>
        <w:footnoteReference w:id="257"/>
      </w:r>
      <w:r w:rsidR="00C32DAA" w:rsidRPr="00A717CB">
        <w:t xml:space="preserve"> In 2016, the UN Committee on the Rights of the Child criticised the use of restraint and seclusion on children with psychosocial disabilities, including children with autism, in schools.</w:t>
      </w:r>
      <w:r w:rsidR="00C32DAA" w:rsidRPr="00A717CB">
        <w:rPr>
          <w:rStyle w:val="FootnoteReference"/>
        </w:rPr>
        <w:footnoteReference w:id="258"/>
      </w:r>
      <w:r w:rsidR="00C32DAA" w:rsidRPr="00A717CB">
        <w:t xml:space="preserve"> The Children’s Commissioner for England (CCE) recommended that existing standards for residential schools should be revised to ensure stricter rules around the use of restraint, including better recording practices and monitoring.</w:t>
      </w:r>
      <w:r w:rsidR="00C32DAA" w:rsidRPr="00A717CB">
        <w:rPr>
          <w:rStyle w:val="FootnoteReference"/>
        </w:rPr>
        <w:footnoteReference w:id="259"/>
      </w:r>
      <w:r w:rsidR="00C32DAA" w:rsidRPr="00A717CB">
        <w:t xml:space="preserve"> </w:t>
      </w:r>
    </w:p>
    <w:p w14:paraId="34FF44E0" w14:textId="7A02ADA7" w:rsidR="00C32DAA" w:rsidRDefault="00C32DAA" w:rsidP="007C39AB">
      <w:pPr>
        <w:pStyle w:val="Parabeforenewsubsection"/>
        <w:spacing w:line="240" w:lineRule="auto"/>
      </w:pPr>
      <w:r w:rsidRPr="00A717CB">
        <w:t xml:space="preserve">The limited data available suggests that restraint is being used unlawfully on children with learning disabilities. A Freedom of Information request to local authorities across Britain revealed 13,000 physical restraints </w:t>
      </w:r>
      <w:r w:rsidR="00AE2DAD">
        <w:t>in special schools between 2014 and 20</w:t>
      </w:r>
      <w:r w:rsidRPr="00A717CB">
        <w:t>17, resulting in 731 injuries.</w:t>
      </w:r>
      <w:r w:rsidRPr="00A717CB">
        <w:rPr>
          <w:vertAlign w:val="superscript"/>
        </w:rPr>
        <w:footnoteReference w:id="260"/>
      </w:r>
      <w:r w:rsidRPr="00A717CB">
        <w:t xml:space="preserve"> Over 80</w:t>
      </w:r>
      <w:r w:rsidR="00DD2881">
        <w:t xml:space="preserve"> per cent</w:t>
      </w:r>
      <w:r w:rsidRPr="00A717CB">
        <w:t xml:space="preserve"> of local authorities subject to the </w:t>
      </w:r>
      <w:r w:rsidRPr="00A717CB">
        <w:lastRenderedPageBreak/>
        <w:t>request said that they did not have the relevant information requested, suggesting the actual figure may be much higher.</w:t>
      </w:r>
    </w:p>
    <w:p w14:paraId="4002237C" w14:textId="77777777" w:rsidR="00C32DAA" w:rsidRPr="00574265" w:rsidRDefault="00C32DAA" w:rsidP="00EF6A30">
      <w:pPr>
        <w:pStyle w:val="Title-subsections"/>
      </w:pPr>
      <w:bookmarkStart w:id="56" w:name="_Toc4061418"/>
      <w:r>
        <w:t>Promoting greater consistency across settings</w:t>
      </w:r>
      <w:bookmarkEnd w:id="56"/>
    </w:p>
    <w:p w14:paraId="2D182B48" w14:textId="77777777" w:rsidR="00C32DAA" w:rsidRPr="00A22326" w:rsidRDefault="00C32DAA" w:rsidP="007C39AB">
      <w:pPr>
        <w:pStyle w:val="Parabeforeanother"/>
        <w:spacing w:line="240" w:lineRule="auto"/>
      </w:pPr>
      <w:r w:rsidRPr="00A22326">
        <w:t>According to Welsh Government officials, the Welsh Government is updating government guidance on the use of restrictive practices for children and adults in a range of settings, including health, education and social care settings. The updated guidance will aim to promote a human rights-based approach to the use of restraint practice. The timing of this is unclear.</w:t>
      </w:r>
      <w:r w:rsidRPr="00A22326">
        <w:rPr>
          <w:vertAlign w:val="superscript"/>
        </w:rPr>
        <w:footnoteReference w:id="261"/>
      </w:r>
      <w:r w:rsidRPr="00A22326">
        <w:t xml:space="preserve"> </w:t>
      </w:r>
    </w:p>
    <w:p w14:paraId="13413DD4" w14:textId="77777777" w:rsidR="00C32DAA" w:rsidRDefault="00C32DAA" w:rsidP="007C39AB">
      <w:pPr>
        <w:pStyle w:val="Parabeforenewsubsection"/>
        <w:spacing w:line="240" w:lineRule="auto"/>
      </w:pPr>
      <w:r w:rsidRPr="00A22326">
        <w:t xml:space="preserve">Between November 2017 and January 2018, the UK Government consulted on </w:t>
      </w:r>
      <w:r w:rsidRPr="00A22326">
        <w:rPr>
          <w:lang w:val="en"/>
        </w:rPr>
        <w:t>draft guidance on reducing the need for restraint for children and young people with learning disabilities, autistic spectrum d</w:t>
      </w:r>
      <w:r>
        <w:rPr>
          <w:lang w:val="en"/>
        </w:rPr>
        <w:t xml:space="preserve">isorder and mental health needs in </w:t>
      </w:r>
      <w:r w:rsidRPr="00A22326">
        <w:rPr>
          <w:lang w:val="en"/>
        </w:rPr>
        <w:t>health and care settings and special educational settings.</w:t>
      </w:r>
      <w:r>
        <w:rPr>
          <w:lang w:val="en"/>
        </w:rPr>
        <w:t xml:space="preserve"> The outcome of this consultation has not been announced.</w:t>
      </w:r>
      <w:r>
        <w:rPr>
          <w:rStyle w:val="FootnoteReference"/>
          <w:iCs/>
          <w:lang w:val="en"/>
        </w:rPr>
        <w:footnoteReference w:id="262"/>
      </w:r>
    </w:p>
    <w:p w14:paraId="48EDAB3B" w14:textId="77777777" w:rsidR="00C32DAA" w:rsidRPr="00A717CB" w:rsidRDefault="00C32DAA" w:rsidP="00EF6A30">
      <w:pPr>
        <w:pStyle w:val="Title-subsections"/>
      </w:pPr>
      <w:bookmarkStart w:id="57" w:name="_Toc4061419"/>
      <w:r w:rsidRPr="00A717CB">
        <w:t>Disproportionate use of restraint on specific groups</w:t>
      </w:r>
      <w:bookmarkEnd w:id="57"/>
    </w:p>
    <w:p w14:paraId="60CEDFA2" w14:textId="7ECAA2B2" w:rsidR="00C32DAA" w:rsidRPr="00A717CB" w:rsidRDefault="00C32DAA" w:rsidP="007C39AB">
      <w:pPr>
        <w:pStyle w:val="Parabeforenewsubsection"/>
        <w:spacing w:after="160" w:line="240" w:lineRule="auto"/>
      </w:pPr>
      <w:r w:rsidRPr="00A717CB">
        <w:t xml:space="preserve">There is evidence of excessive force being disproportionately used on people from ethnic minorities, especially </w:t>
      </w:r>
      <w:r w:rsidR="003F5886">
        <w:t>b</w:t>
      </w:r>
      <w:r w:rsidRPr="00A717CB">
        <w:t xml:space="preserve">lack and Asian detainees in police custody and the wider secure estate, and </w:t>
      </w:r>
      <w:r w:rsidR="003F5886">
        <w:t>peopl</w:t>
      </w:r>
      <w:r w:rsidRPr="00A717CB">
        <w:t>e with mental health conditions. This has been linked to a disproportionate number of ethnic minority restraint-related deaths in custody in England and Wales.</w:t>
      </w:r>
      <w:r w:rsidRPr="00A717CB">
        <w:rPr>
          <w:vertAlign w:val="superscript"/>
        </w:rPr>
        <w:footnoteReference w:id="263"/>
      </w:r>
      <w:r w:rsidRPr="00A717CB">
        <w:t xml:space="preserve"> The </w:t>
      </w:r>
      <w:r w:rsidR="00DC3819">
        <w:t>CCE</w:t>
      </w:r>
      <w:r w:rsidRPr="00A717CB">
        <w:t xml:space="preserve"> found that specific groups of children in the youth custodial estate, including disabled and ethnic minority children, are at increased risk of being placed in isolation.</w:t>
      </w:r>
      <w:r w:rsidRPr="00A717CB">
        <w:rPr>
          <w:vertAlign w:val="superscript"/>
        </w:rPr>
        <w:footnoteReference w:id="264"/>
      </w:r>
      <w:r w:rsidRPr="00A717CB">
        <w:t xml:space="preserve"> </w:t>
      </w:r>
    </w:p>
    <w:p w14:paraId="7B662496" w14:textId="454B0C0D" w:rsidR="00C32DAA" w:rsidRPr="00A717CB" w:rsidRDefault="00C32DAA" w:rsidP="007C39AB">
      <w:pPr>
        <w:pStyle w:val="Parabeforenewsubsection"/>
        <w:spacing w:line="240" w:lineRule="auto"/>
      </w:pPr>
      <w:r w:rsidRPr="00A717CB">
        <w:t xml:space="preserve">There is also evidence of disproportionality in the use of restraint in healthcare settings. </w:t>
      </w:r>
      <w:r w:rsidRPr="00903CF3">
        <w:t xml:space="preserve">Both the </w:t>
      </w:r>
      <w:r w:rsidR="00CD1978" w:rsidRPr="00664589">
        <w:t>United Nations Committee on the Elimination of Racial Discrimination</w:t>
      </w:r>
      <w:r w:rsidR="00CD1978" w:rsidRPr="00903CF3">
        <w:t xml:space="preserve"> </w:t>
      </w:r>
      <w:r w:rsidR="005C3B9A">
        <w:t xml:space="preserve">(UNCERD) </w:t>
      </w:r>
      <w:r w:rsidRPr="00EB2214">
        <w:t xml:space="preserve">and the </w:t>
      </w:r>
      <w:r w:rsidR="00CD1978" w:rsidRPr="00664589">
        <w:t>United Nations Co</w:t>
      </w:r>
      <w:r w:rsidR="004D3F0B">
        <w:t>mmittee</w:t>
      </w:r>
      <w:r w:rsidR="00CD1978" w:rsidRPr="00664589">
        <w:t xml:space="preserve"> on the Rights of Persons with Disabilities</w:t>
      </w:r>
      <w:r w:rsidR="004D3F0B">
        <w:t xml:space="preserve"> (UNCRPD)</w:t>
      </w:r>
      <w:r w:rsidR="00CD1978" w:rsidRPr="00A717CB">
        <w:t xml:space="preserve"> </w:t>
      </w:r>
      <w:r w:rsidRPr="00A717CB">
        <w:t xml:space="preserve">have raised concern about the disproportionate use of restraint, seclusion and medication on </w:t>
      </w:r>
      <w:r w:rsidR="00E226EF">
        <w:t>b</w:t>
      </w:r>
      <w:r w:rsidRPr="00A717CB">
        <w:t>lack people in mental health settings.</w:t>
      </w:r>
      <w:r w:rsidRPr="00A717CB">
        <w:rPr>
          <w:vertAlign w:val="superscript"/>
        </w:rPr>
        <w:footnoteReference w:id="265"/>
      </w:r>
      <w:r w:rsidRPr="00A717CB">
        <w:t xml:space="preserve"> The disproportionate use of physical restraint, including face-down restraint, is also reported </w:t>
      </w:r>
      <w:r w:rsidR="00E226EF">
        <w:t>for</w:t>
      </w:r>
      <w:r w:rsidRPr="00A717CB">
        <w:t xml:space="preserve"> women and girls in mental health wards in England.</w:t>
      </w:r>
      <w:r w:rsidRPr="00A717CB">
        <w:rPr>
          <w:vertAlign w:val="superscript"/>
        </w:rPr>
        <w:footnoteReference w:id="266"/>
      </w:r>
      <w:r w:rsidRPr="00A717CB">
        <w:t xml:space="preserve"> </w:t>
      </w:r>
    </w:p>
    <w:p w14:paraId="18968D6C" w14:textId="77777777" w:rsidR="00C32DAA" w:rsidRPr="00A717CB" w:rsidRDefault="00C32DAA" w:rsidP="00EF6A30">
      <w:pPr>
        <w:pStyle w:val="Title-subsections"/>
      </w:pPr>
      <w:bookmarkStart w:id="58" w:name="_Toc4061420"/>
      <w:r w:rsidRPr="00A717CB">
        <w:t>Data collection and monitoring</w:t>
      </w:r>
      <w:bookmarkEnd w:id="58"/>
    </w:p>
    <w:p w14:paraId="62BC36AF" w14:textId="4D60471B" w:rsidR="00C32DAA" w:rsidRPr="00A717CB" w:rsidRDefault="00C32DAA" w:rsidP="007C39AB">
      <w:pPr>
        <w:pStyle w:val="Parabeforeanother"/>
        <w:spacing w:line="240" w:lineRule="auto"/>
      </w:pPr>
      <w:r w:rsidRPr="00A717CB">
        <w:t xml:space="preserve">In recent years there have been improvements in monitoring the use of restraint during police arrest and custody, in mental health units and in youth custodial settings. However, there are significant gaps and inconsistencies in recording </w:t>
      </w:r>
      <w:r w:rsidRPr="00A717CB">
        <w:lastRenderedPageBreak/>
        <w:t xml:space="preserve">practices. A recent CQC report noted that staff in mental health trusts in England </w:t>
      </w:r>
      <w:r w:rsidR="003B00F6">
        <w:t>‘</w:t>
      </w:r>
      <w:r w:rsidRPr="00A717CB">
        <w:t>were not recording all incidents of restraint and not documenting or recording seclusion or long-term segregation as required by the Mental Health Act Code of Practice</w:t>
      </w:r>
      <w:r w:rsidR="003B00F6">
        <w:t>’</w:t>
      </w:r>
      <w:r w:rsidRPr="00A717CB">
        <w:t>.</w:t>
      </w:r>
      <w:r w:rsidRPr="00A717CB">
        <w:rPr>
          <w:rStyle w:val="FootnoteReference"/>
        </w:rPr>
        <w:footnoteReference w:id="267"/>
      </w:r>
      <w:r w:rsidRPr="00A717CB">
        <w:t xml:space="preserve"> Improvements can be expected from the recently adopted Mental Health Unit</w:t>
      </w:r>
      <w:r w:rsidR="00E47086">
        <w:t>s</w:t>
      </w:r>
      <w:r w:rsidRPr="00A717CB">
        <w:t xml:space="preserve"> (Use of Force) Act 2018, which requires mental health units in England to make provision for improved data collection, including by protected characteristics under the Equality Act 2010.</w:t>
      </w:r>
      <w:r w:rsidRPr="00A717CB">
        <w:rPr>
          <w:rStyle w:val="FootnoteReference"/>
        </w:rPr>
        <w:footnoteReference w:id="268"/>
      </w:r>
      <w:r w:rsidR="00EB2214">
        <w:t xml:space="preserve"> </w:t>
      </w:r>
    </w:p>
    <w:p w14:paraId="698AB83B" w14:textId="6861C18A" w:rsidR="00C32DAA" w:rsidRPr="00A717CB" w:rsidRDefault="00C32DAA" w:rsidP="007C39AB">
      <w:pPr>
        <w:pStyle w:val="Parabeforeanother"/>
        <w:spacing w:line="240" w:lineRule="auto"/>
      </w:pPr>
      <w:r w:rsidRPr="00A717CB">
        <w:t xml:space="preserve">In December 2018, the </w:t>
      </w:r>
      <w:r>
        <w:t xml:space="preserve">Home Office published </w:t>
      </w:r>
      <w:r w:rsidRPr="00A717CB">
        <w:t xml:space="preserve">restraint statistics by </w:t>
      </w:r>
      <w:r w:rsidR="00A7481C">
        <w:t xml:space="preserve">police </w:t>
      </w:r>
      <w:r w:rsidRPr="00A717CB">
        <w:t>force in England and Wales</w:t>
      </w:r>
      <w:r>
        <w:t xml:space="preserve"> for the first time</w:t>
      </w:r>
      <w:r w:rsidRPr="00A717CB">
        <w:t xml:space="preserve">. However, </w:t>
      </w:r>
      <w:r>
        <w:t>due to quality and other limitations, including inconsistencies in recording</w:t>
      </w:r>
      <w:r w:rsidRPr="00F514D1">
        <w:t xml:space="preserve"> within and across police forces</w:t>
      </w:r>
      <w:r>
        <w:t xml:space="preserve">, </w:t>
      </w:r>
      <w:r w:rsidRPr="00A717CB">
        <w:t xml:space="preserve">the data remains experimental </w:t>
      </w:r>
      <w:r>
        <w:t>at this stage</w:t>
      </w:r>
      <w:r w:rsidRPr="00A717CB">
        <w:t>.</w:t>
      </w:r>
      <w:r w:rsidRPr="00A717CB">
        <w:rPr>
          <w:rStyle w:val="FootnoteReference"/>
        </w:rPr>
        <w:footnoteReference w:id="269"/>
      </w:r>
      <w:r w:rsidRPr="00A717CB">
        <w:t xml:space="preserve"> </w:t>
      </w:r>
    </w:p>
    <w:p w14:paraId="09CA956A" w14:textId="69CAB39D" w:rsidR="00C32DAA" w:rsidRPr="00A717CB" w:rsidRDefault="00C32DAA" w:rsidP="007C39AB">
      <w:pPr>
        <w:pStyle w:val="Parabeforeanother"/>
        <w:spacing w:line="240" w:lineRule="auto"/>
        <w:rPr>
          <w:lang w:val="en"/>
        </w:rPr>
      </w:pPr>
      <w:r w:rsidRPr="00A717CB">
        <w:t xml:space="preserve">Currently there is no national level data on the use of restraint in the adult </w:t>
      </w:r>
      <w:r>
        <w:t>prison</w:t>
      </w:r>
      <w:r w:rsidRPr="00A717CB">
        <w:t xml:space="preserve"> estate for men or women.</w:t>
      </w:r>
      <w:r w:rsidRPr="00A717CB">
        <w:rPr>
          <w:rStyle w:val="FootnoteReference"/>
        </w:rPr>
        <w:footnoteReference w:id="270"/>
      </w:r>
      <w:r w:rsidRPr="00A717CB">
        <w:t xml:space="preserve"> In his review </w:t>
      </w:r>
      <w:r w:rsidR="00A7481C">
        <w:rPr>
          <w:lang w:val="en"/>
        </w:rPr>
        <w:t>of</w:t>
      </w:r>
      <w:r w:rsidRPr="00A717CB">
        <w:rPr>
          <w:lang w:val="en"/>
        </w:rPr>
        <w:t xml:space="preserve"> the treatment of, and outcomes for</w:t>
      </w:r>
      <w:r w:rsidR="00A7481C">
        <w:rPr>
          <w:lang w:val="en"/>
        </w:rPr>
        <w:t>,</w:t>
      </w:r>
      <w:r w:rsidRPr="00A717CB">
        <w:rPr>
          <w:lang w:val="en"/>
        </w:rPr>
        <w:t xml:space="preserve"> people from ethnic minorities in the criminal justice system, David Lammy MP called for every prison to have ethnically diverse Use of Force </w:t>
      </w:r>
      <w:r w:rsidR="00903CF3">
        <w:rPr>
          <w:lang w:val="en"/>
        </w:rPr>
        <w:t>C</w:t>
      </w:r>
      <w:r w:rsidRPr="00A717CB">
        <w:rPr>
          <w:lang w:val="en"/>
        </w:rPr>
        <w:t>ommittees to monitor and guard against the disproportionate use of restraint. He also called for</w:t>
      </w:r>
      <w:r w:rsidRPr="00A717CB">
        <w:t xml:space="preserve"> escalating consequences for officers found to be misusing force on more than one occasion</w:t>
      </w:r>
      <w:r w:rsidRPr="00A717CB">
        <w:rPr>
          <w:lang w:val="en"/>
        </w:rPr>
        <w:t>.</w:t>
      </w:r>
      <w:r w:rsidRPr="00A717CB">
        <w:rPr>
          <w:vertAlign w:val="superscript"/>
          <w:lang w:val="en"/>
        </w:rPr>
        <w:footnoteReference w:id="271"/>
      </w:r>
      <w:r w:rsidRPr="00A717CB">
        <w:rPr>
          <w:lang w:val="en"/>
        </w:rPr>
        <w:t xml:space="preserve"> The UK Government has </w:t>
      </w:r>
      <w:r>
        <w:rPr>
          <w:lang w:val="en"/>
        </w:rPr>
        <w:t>announced that it accepts this recommendation and is working towards its implementation</w:t>
      </w:r>
      <w:r w:rsidRPr="00A717CB">
        <w:t>.</w:t>
      </w:r>
      <w:r w:rsidRPr="00A717CB">
        <w:rPr>
          <w:rStyle w:val="FootnoteReference"/>
        </w:rPr>
        <w:footnoteReference w:id="272"/>
      </w:r>
    </w:p>
    <w:p w14:paraId="3BD2BF27" w14:textId="25709A52" w:rsidR="00C32DAA" w:rsidRPr="004916D5" w:rsidRDefault="00C32DAA" w:rsidP="007C39AB">
      <w:pPr>
        <w:pStyle w:val="Parabeforenewsubsection"/>
        <w:spacing w:line="240" w:lineRule="auto"/>
      </w:pPr>
      <w:r>
        <w:t xml:space="preserve">There are </w:t>
      </w:r>
      <w:r w:rsidRPr="004916D5">
        <w:t xml:space="preserve">set core standards </w:t>
      </w:r>
      <w:r>
        <w:t>on the</w:t>
      </w:r>
      <w:r w:rsidRPr="004916D5">
        <w:t xml:space="preserve"> </w:t>
      </w:r>
      <w:r>
        <w:t xml:space="preserve">use of </w:t>
      </w:r>
      <w:r w:rsidRPr="004916D5">
        <w:t xml:space="preserve">restraint </w:t>
      </w:r>
      <w:r>
        <w:t xml:space="preserve">for inspectors to monitor </w:t>
      </w:r>
      <w:r w:rsidRPr="004916D5">
        <w:t>in residential special schools</w:t>
      </w:r>
      <w:r>
        <w:t>.</w:t>
      </w:r>
      <w:r w:rsidRPr="004916D5">
        <w:rPr>
          <w:vertAlign w:val="superscript"/>
        </w:rPr>
        <w:footnoteReference w:id="273"/>
      </w:r>
      <w:r>
        <w:t xml:space="preserve"> However, t</w:t>
      </w:r>
      <w:r w:rsidRPr="004916D5">
        <w:t xml:space="preserve">he use of restraint is not explicitly referred to in </w:t>
      </w:r>
      <w:r>
        <w:t xml:space="preserve">the </w:t>
      </w:r>
      <w:r w:rsidRPr="004916D5">
        <w:t xml:space="preserve">inspection framework for </w:t>
      </w:r>
      <w:r>
        <w:t xml:space="preserve">mainstream </w:t>
      </w:r>
      <w:r w:rsidRPr="004916D5">
        <w:t>schools</w:t>
      </w:r>
      <w:r>
        <w:t xml:space="preserve">, although </w:t>
      </w:r>
      <w:r w:rsidRPr="004916D5">
        <w:t xml:space="preserve">supplementary guidance </w:t>
      </w:r>
      <w:r>
        <w:t xml:space="preserve">exists </w:t>
      </w:r>
      <w:r w:rsidRPr="004916D5">
        <w:t>on the use of restraint</w:t>
      </w:r>
      <w:r w:rsidR="00A7481C">
        <w:t xml:space="preserve"> for cases in which</w:t>
      </w:r>
      <w:r w:rsidRPr="004916D5">
        <w:t xml:space="preserve"> </w:t>
      </w:r>
      <w:r>
        <w:t xml:space="preserve">inspectors </w:t>
      </w:r>
      <w:r w:rsidRPr="004916D5">
        <w:t>are aware of a particular issue</w:t>
      </w:r>
      <w:r>
        <w:t xml:space="preserve"> in a mainstream school and wish to raise it.</w:t>
      </w:r>
      <w:r w:rsidRPr="004916D5">
        <w:rPr>
          <w:vertAlign w:val="superscript"/>
        </w:rPr>
        <w:footnoteReference w:id="274"/>
      </w:r>
      <w:r>
        <w:t xml:space="preserve"> </w:t>
      </w:r>
    </w:p>
    <w:p w14:paraId="1EFC0520" w14:textId="77777777" w:rsidR="00C32DAA" w:rsidRPr="00A717CB" w:rsidRDefault="00C32DAA" w:rsidP="00EF6A30">
      <w:pPr>
        <w:pStyle w:val="Title-subsections"/>
      </w:pPr>
      <w:bookmarkStart w:id="59" w:name="_Toc4061421"/>
      <w:r w:rsidRPr="00A717CB">
        <w:t>Complaints mechanisms and investigations</w:t>
      </w:r>
      <w:bookmarkEnd w:id="59"/>
      <w:r w:rsidRPr="00A717CB">
        <w:t xml:space="preserve"> </w:t>
      </w:r>
    </w:p>
    <w:p w14:paraId="455D5AD1" w14:textId="6BDCF003" w:rsidR="00C32DAA" w:rsidRPr="00A717CB" w:rsidRDefault="00C32DAA" w:rsidP="007C39AB">
      <w:pPr>
        <w:pStyle w:val="Parabeforeanother"/>
        <w:spacing w:line="240" w:lineRule="auto"/>
      </w:pPr>
      <w:r w:rsidRPr="00A717CB">
        <w:t xml:space="preserve">Procedures for bringing complaints about the misuse of restraint exist in mental health, prison and police custody settings, but there are problems with their accessibility and lack of accountability. </w:t>
      </w:r>
    </w:p>
    <w:p w14:paraId="2971D4A0" w14:textId="30D20406" w:rsidR="00C32DAA" w:rsidRPr="00A717CB" w:rsidRDefault="00C32DAA" w:rsidP="007C39AB">
      <w:pPr>
        <w:pStyle w:val="Parabeforeanother"/>
        <w:spacing w:line="240" w:lineRule="auto"/>
      </w:pPr>
      <w:r w:rsidRPr="00A717CB">
        <w:t>After exhausting the internal prison complaints process,</w:t>
      </w:r>
      <w:r w:rsidRPr="00A717CB">
        <w:rPr>
          <w:vertAlign w:val="superscript"/>
        </w:rPr>
        <w:footnoteReference w:id="275"/>
      </w:r>
      <w:r w:rsidRPr="00A717CB">
        <w:t xml:space="preserve"> detainees can send complaints to the independent PPO for England and Wales.</w:t>
      </w:r>
      <w:r w:rsidR="00AE2DAD">
        <w:t xml:space="preserve"> In 2017/</w:t>
      </w:r>
      <w:r w:rsidRPr="00A717CB">
        <w:t xml:space="preserve">18, the PPO received 71 complaints alleging physical abuse by staff, compared with 53 the </w:t>
      </w:r>
      <w:r w:rsidRPr="00A717CB">
        <w:lastRenderedPageBreak/>
        <w:t>previous year, and it upheld 38</w:t>
      </w:r>
      <w:r w:rsidR="00DD2881">
        <w:t xml:space="preserve"> per cent</w:t>
      </w:r>
      <w:r w:rsidRPr="00A717CB">
        <w:t xml:space="preserve"> of complaints.</w:t>
      </w:r>
      <w:r w:rsidRPr="00A717CB">
        <w:rPr>
          <w:vertAlign w:val="superscript"/>
        </w:rPr>
        <w:footnoteReference w:id="276"/>
      </w:r>
      <w:r w:rsidRPr="00A717CB">
        <w:t xml:space="preserve"> A disproportionate number of complaints received by the PPO are from </w:t>
      </w:r>
      <w:r w:rsidR="004F23E2">
        <w:t>b</w:t>
      </w:r>
      <w:r w:rsidRPr="00A717CB">
        <w:t>lack and Asian prisoners.</w:t>
      </w:r>
      <w:r w:rsidRPr="00A717CB">
        <w:rPr>
          <w:vertAlign w:val="superscript"/>
        </w:rPr>
        <w:footnoteReference w:id="277"/>
      </w:r>
      <w:r w:rsidRPr="00A717CB">
        <w:t xml:space="preserve"> </w:t>
      </w:r>
    </w:p>
    <w:p w14:paraId="0EF6C9A8" w14:textId="0C23982C" w:rsidR="00C32DAA" w:rsidRPr="00A717CB" w:rsidRDefault="00C32DAA" w:rsidP="007C39AB">
      <w:pPr>
        <w:pStyle w:val="Parabeforeanother"/>
        <w:spacing w:line="240" w:lineRule="auto"/>
      </w:pPr>
      <w:r w:rsidRPr="00A717CB">
        <w:t xml:space="preserve">A 2017 study found significant flaws in the system </w:t>
      </w:r>
      <w:r w:rsidR="004F23E2">
        <w:t xml:space="preserve">that is </w:t>
      </w:r>
      <w:r w:rsidRPr="00A717CB">
        <w:t>used to handle discrimination complaints in prisons.</w:t>
      </w:r>
      <w:r w:rsidRPr="00A717CB">
        <w:rPr>
          <w:vertAlign w:val="superscript"/>
        </w:rPr>
        <w:footnoteReference w:id="278"/>
      </w:r>
      <w:r w:rsidRPr="00A717CB">
        <w:t xml:space="preserve"> A recent inquiry</w:t>
      </w:r>
      <w:r w:rsidR="004F23E2">
        <w:t xml:space="preserve"> </w:t>
      </w:r>
      <w:r w:rsidRPr="00A717CB">
        <w:t>found that children in the youth custodial estate do not have confidence in complaints procedures.</w:t>
      </w:r>
      <w:r w:rsidRPr="00A717CB">
        <w:rPr>
          <w:vertAlign w:val="superscript"/>
        </w:rPr>
        <w:footnoteReference w:id="279"/>
      </w:r>
      <w:r w:rsidRPr="00A717CB">
        <w:t xml:space="preserve"> This is reflected in </w:t>
      </w:r>
      <w:r w:rsidR="004F23E2">
        <w:t xml:space="preserve">the </w:t>
      </w:r>
      <w:r w:rsidRPr="00A717CB">
        <w:t xml:space="preserve">very small number of complaints from children </w:t>
      </w:r>
      <w:r w:rsidR="004F23E2">
        <w:t>that reach</w:t>
      </w:r>
      <w:r w:rsidR="004F23E2" w:rsidRPr="00A717CB">
        <w:t xml:space="preserve"> </w:t>
      </w:r>
      <w:r w:rsidRPr="00A717CB">
        <w:t>the PPO.</w:t>
      </w:r>
      <w:r w:rsidRPr="00A717CB">
        <w:rPr>
          <w:vertAlign w:val="superscript"/>
        </w:rPr>
        <w:footnoteReference w:id="280"/>
      </w:r>
    </w:p>
    <w:p w14:paraId="2CA2E91B" w14:textId="4C9185A2" w:rsidR="00C32DAA" w:rsidRPr="00A717CB" w:rsidRDefault="00C32DAA" w:rsidP="007C39AB">
      <w:pPr>
        <w:pStyle w:val="Parabeforeanother"/>
        <w:spacing w:line="240" w:lineRule="auto"/>
      </w:pPr>
      <w:r>
        <w:t xml:space="preserve">In 2017, the UK Government introduced reforms to the Independent Police Complaints Commission with the aim of streamlining decision-making. The reformed organisation, which was renamed the </w:t>
      </w:r>
      <w:r w:rsidRPr="00A717CB">
        <w:t xml:space="preserve">Independent Office for Police </w:t>
      </w:r>
      <w:r>
        <w:t>Conduct</w:t>
      </w:r>
      <w:r w:rsidRPr="00A717CB">
        <w:t xml:space="preserve"> (IOPC) for England and Wales, has the power to initiate its own investigations.</w:t>
      </w:r>
      <w:r w:rsidRPr="00A717CB">
        <w:rPr>
          <w:vertAlign w:val="superscript"/>
        </w:rPr>
        <w:footnoteReference w:id="281"/>
      </w:r>
      <w:r w:rsidRPr="00A717CB">
        <w:t xml:space="preserve"> </w:t>
      </w:r>
    </w:p>
    <w:p w14:paraId="00D577B2" w14:textId="4326E15A" w:rsidR="00C32DAA" w:rsidRPr="00A717CB" w:rsidRDefault="00C32DAA" w:rsidP="007C39AB">
      <w:pPr>
        <w:pStyle w:val="Parabeforeanother"/>
        <w:spacing w:line="240" w:lineRule="auto"/>
      </w:pPr>
      <w:r w:rsidRPr="00290054">
        <w:t xml:space="preserve">A key concern is that there is no requirement </w:t>
      </w:r>
      <w:r w:rsidR="004F23E2">
        <w:t>for</w:t>
      </w:r>
      <w:r w:rsidRPr="00290054">
        <w:t xml:space="preserve"> prisons or police forces to implement the PPO and IOPC’s recommendations, with the exception that the IOPC can direct a force to take disciplinary proceedings against officers for misconduct/gross misconduct if such a recommendation is ignored.</w:t>
      </w:r>
      <w:r w:rsidRPr="00A717CB">
        <w:rPr>
          <w:vertAlign w:val="superscript"/>
        </w:rPr>
        <w:footnoteReference w:id="282"/>
      </w:r>
      <w:r w:rsidRPr="00A717CB">
        <w:t xml:space="preserve"> </w:t>
      </w:r>
    </w:p>
    <w:p w14:paraId="185D94B3" w14:textId="2066E589" w:rsidR="00C32DAA" w:rsidRPr="00FA3C52" w:rsidRDefault="00C32DAA" w:rsidP="007C39AB">
      <w:pPr>
        <w:pStyle w:val="Parabeforeanother"/>
        <w:spacing w:line="240" w:lineRule="auto"/>
      </w:pPr>
      <w:r>
        <w:t>C</w:t>
      </w:r>
      <w:r w:rsidRPr="00FA3C52">
        <w:t xml:space="preserve">urrent arrangements for </w:t>
      </w:r>
      <w:r>
        <w:t>investigating</w:t>
      </w:r>
      <w:r w:rsidRPr="00FA3C52">
        <w:t xml:space="preserve"> complaints</w:t>
      </w:r>
      <w:r>
        <w:t xml:space="preserve"> of</w:t>
      </w:r>
      <w:r w:rsidRPr="00FA3C52">
        <w:t xml:space="preserve"> ill-treatment due to</w:t>
      </w:r>
      <w:r>
        <w:t xml:space="preserve"> restraint in health settings are</w:t>
      </w:r>
      <w:r w:rsidRPr="00FA3C52">
        <w:t xml:space="preserve"> inadequate. </w:t>
      </w:r>
      <w:r>
        <w:t>Our concerns about the body responsible for these investigations</w:t>
      </w:r>
      <w:r w:rsidR="00EB2214">
        <w:t xml:space="preserve"> </w:t>
      </w:r>
      <w:r w:rsidR="00F03947" w:rsidRPr="00A823D3">
        <w:t>–</w:t>
      </w:r>
      <w:r w:rsidR="00F03947">
        <w:softHyphen/>
      </w:r>
      <w:r w:rsidR="00F03947">
        <w:softHyphen/>
      </w:r>
      <w:r w:rsidR="00EB2214">
        <w:t xml:space="preserve"> </w:t>
      </w:r>
      <w:r w:rsidR="00CE5273" w:rsidRPr="00A717CB">
        <w:t xml:space="preserve">the Healthcare Safety Investigation Branch (HSIB) </w:t>
      </w:r>
      <w:r w:rsidR="00F03947" w:rsidRPr="00A823D3">
        <w:t>–</w:t>
      </w:r>
      <w:r w:rsidR="00EB2214">
        <w:t xml:space="preserve"> </w:t>
      </w:r>
      <w:r>
        <w:t>are dealt with in chapter 9 of this report</w:t>
      </w:r>
      <w:r w:rsidRPr="00FA3C52">
        <w:t>.</w:t>
      </w:r>
      <w:r>
        <w:t xml:space="preserve"> </w:t>
      </w:r>
    </w:p>
    <w:p w14:paraId="591E50DF" w14:textId="26808340" w:rsidR="00C32DAA" w:rsidRPr="00A717CB" w:rsidRDefault="00C32DAA" w:rsidP="007C39AB">
      <w:pPr>
        <w:pStyle w:val="Parabeforenewsubsection"/>
        <w:spacing w:line="240" w:lineRule="auto"/>
      </w:pPr>
      <w:r w:rsidRPr="00A717CB">
        <w:t xml:space="preserve">The </w:t>
      </w:r>
      <w:r w:rsidR="00DC3819">
        <w:t>CCE</w:t>
      </w:r>
      <w:r w:rsidRPr="00A717CB">
        <w:t xml:space="preserve"> has found that children and their carers lack confidence in the system for bringing complaints in mainstream schools and do not understand how to use it.</w:t>
      </w:r>
      <w:r w:rsidRPr="00A717CB">
        <w:rPr>
          <w:rStyle w:val="FootnoteReference"/>
        </w:rPr>
        <w:footnoteReference w:id="283"/>
      </w:r>
    </w:p>
    <w:p w14:paraId="7B11690A" w14:textId="77777777" w:rsidR="00C32DAA" w:rsidRPr="00A717CB" w:rsidRDefault="00C32DAA" w:rsidP="00EF6A30">
      <w:pPr>
        <w:pStyle w:val="Title-subsections"/>
      </w:pPr>
      <w:bookmarkStart w:id="60" w:name="_Toc4061422"/>
      <w:r w:rsidRPr="00A717CB">
        <w:t>Corporal punishment</w:t>
      </w:r>
      <w:bookmarkEnd w:id="60"/>
    </w:p>
    <w:p w14:paraId="65F7AE0D" w14:textId="1FD2CBFB" w:rsidR="00C32DAA" w:rsidRPr="00A717CB" w:rsidRDefault="00C32DAA" w:rsidP="007C39AB">
      <w:pPr>
        <w:pStyle w:val="Parabeforeanother"/>
        <w:spacing w:line="240" w:lineRule="auto"/>
      </w:pPr>
      <w:r w:rsidRPr="00A717CB">
        <w:t xml:space="preserve">In its 2003 concluding observations, the Committee recommended that the </w:t>
      </w:r>
      <w:r w:rsidR="00435B58">
        <w:t>S</w:t>
      </w:r>
      <w:r w:rsidRPr="00A717CB">
        <w:t xml:space="preserve">tate party </w:t>
      </w:r>
      <w:r w:rsidRPr="00A717CB">
        <w:rPr>
          <w:bCs/>
        </w:rPr>
        <w:t>prohibit corporal punishment of children in all settings, repealing all legal defences currently in place.</w:t>
      </w:r>
      <w:r w:rsidRPr="00A717CB">
        <w:rPr>
          <w:rStyle w:val="FootnoteReference"/>
          <w:bCs/>
        </w:rPr>
        <w:footnoteReference w:id="284"/>
      </w:r>
      <w:r w:rsidRPr="00A717CB">
        <w:rPr>
          <w:bCs/>
        </w:rPr>
        <w:t xml:space="preserve"> However, i</w:t>
      </w:r>
      <w:r w:rsidRPr="00A717CB">
        <w:t xml:space="preserve">n England and Wales, parents and those </w:t>
      </w:r>
      <w:r>
        <w:t xml:space="preserve">acting </w:t>
      </w:r>
      <w:r w:rsidRPr="00A717CB">
        <w:t xml:space="preserve">‘in loco parentis’ charged with the common assault of a child can still seek to rely on the </w:t>
      </w:r>
      <w:r>
        <w:t xml:space="preserve">common law </w:t>
      </w:r>
      <w:r w:rsidRPr="00A717CB">
        <w:t xml:space="preserve">defence of ‘reasonable punishment’ </w:t>
      </w:r>
      <w:r w:rsidRPr="00570096">
        <w:t>if the act is committed for the purpose of correcting the child's behaviour</w:t>
      </w:r>
      <w:r w:rsidRPr="00A717CB">
        <w:t>.</w:t>
      </w:r>
      <w:r w:rsidRPr="00A717CB">
        <w:rPr>
          <w:vertAlign w:val="superscript"/>
        </w:rPr>
        <w:footnoteReference w:id="285"/>
      </w:r>
      <w:r w:rsidRPr="00A717CB">
        <w:t xml:space="preserve"> This means that children do not have the same level of protection from violence as adults. </w:t>
      </w:r>
    </w:p>
    <w:p w14:paraId="69DD07A8" w14:textId="5F6731E8" w:rsidR="00C32DAA" w:rsidRDefault="00C32DAA" w:rsidP="007C24A5">
      <w:pPr>
        <w:pStyle w:val="Parabeforenewsubsection"/>
        <w:spacing w:after="0" w:line="240" w:lineRule="auto"/>
      </w:pPr>
      <w:r w:rsidRPr="00A717CB">
        <w:lastRenderedPageBreak/>
        <w:t>Since the enactment of the Rights of Children and Young Persons (Wales) Measure 2011,</w:t>
      </w:r>
      <w:r w:rsidRPr="00A717CB">
        <w:rPr>
          <w:vertAlign w:val="superscript"/>
        </w:rPr>
        <w:footnoteReference w:id="286"/>
      </w:r>
      <w:r>
        <w:t xml:space="preserve"> Welsh </w:t>
      </w:r>
      <w:r w:rsidR="00937E10">
        <w:t>m</w:t>
      </w:r>
      <w:r w:rsidRPr="00A717CB">
        <w:t>inisters have been obliged to have due regard to the Convention on the Rights of the Child when making decisions. In 2018, a Welsh Government consultation</w:t>
      </w:r>
      <w:r w:rsidRPr="00A717CB">
        <w:rPr>
          <w:vertAlign w:val="superscript"/>
        </w:rPr>
        <w:footnoteReference w:id="287"/>
      </w:r>
      <w:r w:rsidRPr="00A717CB">
        <w:t xml:space="preserve"> came out narrowly in favour of the view that removal of the defence of reasonable punishment will protect children’s rights. </w:t>
      </w:r>
      <w:r w:rsidRPr="00A57CBC">
        <w:t>In July 2018</w:t>
      </w:r>
      <w:r w:rsidR="00937E10">
        <w:t>,</w:t>
      </w:r>
      <w:r w:rsidRPr="00A57CBC">
        <w:t xml:space="preserve"> the then First Minister announced the Welsh Government would introduce a bill to remove the defence of reasonable punishment in the third year of the legislative programme (September 2018 - July 2019).</w:t>
      </w:r>
      <w:r w:rsidRPr="00A57CBC">
        <w:rPr>
          <w:vertAlign w:val="superscript"/>
        </w:rPr>
        <w:footnoteReference w:id="288"/>
      </w:r>
      <w:r w:rsidRPr="00A57CBC">
        <w:t xml:space="preserve"> In January 2019, the current First Minister reaffirmed this commitment. </w:t>
      </w:r>
    </w:p>
    <w:p w14:paraId="4A334438" w14:textId="77777777" w:rsidR="001F7BEB" w:rsidRDefault="001F7BEB" w:rsidP="0095032F">
      <w:pPr>
        <w:pStyle w:val="Title-subsections"/>
      </w:pPr>
    </w:p>
    <w:p w14:paraId="5F7B9730" w14:textId="007601E4" w:rsidR="00C32DAA" w:rsidRPr="00A717CB" w:rsidRDefault="007C24A5" w:rsidP="0095032F">
      <w:pPr>
        <w:pStyle w:val="Title-subsections"/>
      </w:pPr>
      <w:bookmarkStart w:id="61" w:name="_Toc4061423"/>
      <w:r>
        <w:t>R</w:t>
      </w:r>
      <w:r w:rsidR="00C32DAA" w:rsidRPr="00A717CB">
        <w:t>ecommendations</w:t>
      </w:r>
      <w:bookmarkEnd w:id="61"/>
    </w:p>
    <w:p w14:paraId="23640081" w14:textId="77777777" w:rsidR="00C32DAA" w:rsidRPr="00A717CB" w:rsidRDefault="00C32DAA" w:rsidP="007C39AB">
      <w:pPr>
        <w:pStyle w:val="Parabeforebulletss"/>
        <w:spacing w:line="240" w:lineRule="auto"/>
      </w:pPr>
      <w:r w:rsidRPr="00A717CB">
        <w:t>Given the similarities and interfaces across sectors, the UK and Welsh Governments, where relevant, should:</w:t>
      </w:r>
    </w:p>
    <w:p w14:paraId="4E741633" w14:textId="428007D8" w:rsidR="00C32DAA" w:rsidRPr="00AE2DAD" w:rsidRDefault="00C32DAA" w:rsidP="007C39AB">
      <w:pPr>
        <w:pStyle w:val="Bullet-followedbyothers"/>
        <w:spacing w:line="240" w:lineRule="auto"/>
      </w:pPr>
      <w:r w:rsidRPr="00A717CB">
        <w:t>Promote consistent legal and policy approaches to restraint</w:t>
      </w:r>
      <w:r w:rsidR="00372B09">
        <w:t>,</w:t>
      </w:r>
      <w:r w:rsidRPr="00A717CB">
        <w:t xml:space="preserve"> </w:t>
      </w:r>
      <w:r w:rsidRPr="00AE2DAD">
        <w:t>based on human rights principles, with cross-sector learning, in line with</w:t>
      </w:r>
      <w:r w:rsidR="00836B9A">
        <w:t xml:space="preserve"> the</w:t>
      </w:r>
      <w:r w:rsidRPr="00AE2DAD">
        <w:t xml:space="preserve"> EHRC’s human rights framework for restraint.</w:t>
      </w:r>
      <w:r w:rsidR="003A6DDE">
        <w:t xml:space="preserve"> </w:t>
      </w:r>
      <w:r w:rsidR="003A6DDE" w:rsidRPr="008844C6">
        <w:t>This should include a ban on any technique that deliberately inflicts pain on children.</w:t>
      </w:r>
    </w:p>
    <w:p w14:paraId="35E2D9F5" w14:textId="7A7293FA" w:rsidR="00C32DAA" w:rsidRPr="00A717CB" w:rsidRDefault="00C32DAA" w:rsidP="007C39AB">
      <w:pPr>
        <w:pStyle w:val="Bullet-followedbyothers"/>
        <w:spacing w:line="240" w:lineRule="auto"/>
      </w:pPr>
      <w:r w:rsidRPr="00AE2DAD">
        <w:t>Harmonise approaches to recording incidents of restraint to allow</w:t>
      </w:r>
      <w:r w:rsidRPr="00A717CB">
        <w:t xml:space="preserve"> for improved monitoring, evaluation and learning, and more comprehensive and comparable data</w:t>
      </w:r>
      <w:r w:rsidR="000F3C2F">
        <w:t>. This will help build a</w:t>
      </w:r>
      <w:r w:rsidRPr="00A717CB">
        <w:t xml:space="preserve"> robust evidence base to underpin efforts to tackle restraint</w:t>
      </w:r>
      <w:r w:rsidR="000F3C2F">
        <w:t xml:space="preserve">, </w:t>
      </w:r>
      <w:r w:rsidRPr="00A717CB">
        <w:t xml:space="preserve">particularly its disproportionate use on groups </w:t>
      </w:r>
      <w:r w:rsidR="000F3C2F">
        <w:t>of people who share</w:t>
      </w:r>
      <w:r w:rsidR="000F3C2F" w:rsidRPr="00A717CB">
        <w:t xml:space="preserve"> </w:t>
      </w:r>
      <w:r w:rsidRPr="00A717CB">
        <w:t>certain protected characteristics.</w:t>
      </w:r>
    </w:p>
    <w:p w14:paraId="5263EE81" w14:textId="77777777" w:rsidR="000F3C2F" w:rsidRDefault="00C32DAA" w:rsidP="007C39AB">
      <w:pPr>
        <w:pStyle w:val="Bullet-followedbyothers"/>
        <w:spacing w:line="240" w:lineRule="auto"/>
      </w:pPr>
      <w:r w:rsidRPr="00A717CB">
        <w:t>Improve complaints and investigation processes so that they are effective and accessible</w:t>
      </w:r>
      <w:r w:rsidR="000F3C2F">
        <w:t xml:space="preserve">. </w:t>
      </w:r>
    </w:p>
    <w:p w14:paraId="5E27FBC6" w14:textId="0F47CC89" w:rsidR="007C39AB" w:rsidRPr="00A717CB" w:rsidRDefault="000F3C2F" w:rsidP="007C39AB">
      <w:pPr>
        <w:pStyle w:val="Bullet-followedbyothers"/>
        <w:spacing w:after="160" w:line="240" w:lineRule="auto"/>
      </w:pPr>
      <w:r>
        <w:t>Ensure</w:t>
      </w:r>
      <w:r w:rsidR="00C32DAA" w:rsidRPr="00A717CB">
        <w:t xml:space="preserve"> substantive action to implement recommendations</w:t>
      </w:r>
      <w:r>
        <w:t xml:space="preserve"> and </w:t>
      </w:r>
      <w:r w:rsidR="00C32DAA" w:rsidRPr="00A717CB">
        <w:t>lessons learn</w:t>
      </w:r>
      <w:r w:rsidR="00CE4777">
        <w:t>ed</w:t>
      </w:r>
      <w:r w:rsidR="00C32DAA" w:rsidRPr="00A717CB">
        <w:t xml:space="preserve"> from investigations in order to address the risk of breaches of human rights standards.</w:t>
      </w:r>
    </w:p>
    <w:p w14:paraId="37206551" w14:textId="77777777" w:rsidR="00C32DAA" w:rsidRPr="00A717CB" w:rsidRDefault="00C32DAA" w:rsidP="007C39AB">
      <w:pPr>
        <w:pStyle w:val="Parabeforebulletss"/>
        <w:spacing w:line="240" w:lineRule="auto"/>
      </w:pPr>
      <w:r w:rsidRPr="00A717CB">
        <w:t>The UK and Welsh Governments should:</w:t>
      </w:r>
    </w:p>
    <w:p w14:paraId="366E7BBD" w14:textId="68C70DC1" w:rsidR="00C32DAA" w:rsidRPr="007C39AB" w:rsidRDefault="00C32DAA" w:rsidP="007C39AB">
      <w:pPr>
        <w:pStyle w:val="Bullet-lastingroup"/>
        <w:spacing w:after="720" w:line="240" w:lineRule="auto"/>
        <w:rPr>
          <w:b/>
        </w:rPr>
      </w:pPr>
      <w:r w:rsidRPr="00A717CB">
        <w:t xml:space="preserve">Prohibit all forms of physical punishment of children, including through the </w:t>
      </w:r>
      <w:r>
        <w:t>abolition</w:t>
      </w:r>
      <w:r w:rsidRPr="00A717CB">
        <w:t xml:space="preserve"> of the ‘reasonable punishment’ defence.</w:t>
      </w:r>
    </w:p>
    <w:p w14:paraId="7C8512B1" w14:textId="77777777" w:rsidR="001F7BEB" w:rsidRDefault="001F7BEB">
      <w:pPr>
        <w:spacing w:after="160" w:line="259" w:lineRule="auto"/>
        <w:rPr>
          <w:rFonts w:ascii="Georgia" w:eastAsia="Times New Roman" w:hAnsi="Georgia"/>
          <w:bCs/>
          <w:color w:val="D40F7D"/>
          <w:sz w:val="40"/>
          <w:szCs w:val="40"/>
        </w:rPr>
      </w:pPr>
      <w:r>
        <w:rPr>
          <w:sz w:val="40"/>
          <w:szCs w:val="40"/>
        </w:rPr>
        <w:br w:type="page"/>
      </w:r>
    </w:p>
    <w:p w14:paraId="05B29161" w14:textId="77777777" w:rsidR="00586703" w:rsidRDefault="00586703" w:rsidP="007C39AB">
      <w:pPr>
        <w:pStyle w:val="Title-chapterpink"/>
        <w:spacing w:after="0"/>
        <w:rPr>
          <w:sz w:val="40"/>
          <w:szCs w:val="40"/>
        </w:rPr>
        <w:sectPr w:rsidR="00586703" w:rsidSect="00C32DAA">
          <w:headerReference w:type="default" r:id="rId21"/>
          <w:pgSz w:w="11906" w:h="16838" w:code="9"/>
          <w:pgMar w:top="1440" w:right="1440" w:bottom="1440" w:left="1440" w:header="567" w:footer="567" w:gutter="0"/>
          <w:cols w:space="708"/>
          <w:docGrid w:linePitch="360"/>
        </w:sectPr>
      </w:pPr>
    </w:p>
    <w:p w14:paraId="478DD31B" w14:textId="0BB6FA72" w:rsidR="00C32DAA" w:rsidRPr="007C39AB" w:rsidRDefault="00EF6A30" w:rsidP="007C39AB">
      <w:pPr>
        <w:pStyle w:val="Title-chapterpink"/>
        <w:spacing w:after="0"/>
        <w:rPr>
          <w:sz w:val="40"/>
          <w:szCs w:val="40"/>
        </w:rPr>
      </w:pPr>
      <w:bookmarkStart w:id="62" w:name="_Toc4061424"/>
      <w:r w:rsidRPr="007C39AB">
        <w:rPr>
          <w:sz w:val="40"/>
          <w:szCs w:val="40"/>
        </w:rPr>
        <w:lastRenderedPageBreak/>
        <w:t xml:space="preserve">8. </w:t>
      </w:r>
      <w:r w:rsidR="00C32DAA" w:rsidRPr="007C39AB">
        <w:rPr>
          <w:sz w:val="40"/>
          <w:szCs w:val="40"/>
        </w:rPr>
        <w:t>Counter-terrorism measures</w:t>
      </w:r>
      <w:bookmarkEnd w:id="62"/>
    </w:p>
    <w:p w14:paraId="32D62682" w14:textId="38CCCEEC" w:rsidR="00755851" w:rsidRDefault="007C24A5" w:rsidP="007C39AB">
      <w:pPr>
        <w:pStyle w:val="Parabeforeanother"/>
        <w:spacing w:after="260"/>
        <w:rPr>
          <w:rFonts w:ascii="Georgia" w:hAnsi="Georgia"/>
          <w:sz w:val="32"/>
          <w:szCs w:val="32"/>
        </w:rPr>
      </w:pPr>
      <w:r>
        <w:rPr>
          <w:rFonts w:ascii="Georgia" w:hAnsi="Georgia"/>
          <w:sz w:val="32"/>
          <w:szCs w:val="32"/>
        </w:rPr>
        <w:t>R</w:t>
      </w:r>
      <w:r w:rsidR="00755851" w:rsidRPr="00755851">
        <w:rPr>
          <w:rFonts w:ascii="Georgia" w:hAnsi="Georgia"/>
          <w:sz w:val="32"/>
          <w:szCs w:val="32"/>
        </w:rPr>
        <w:t xml:space="preserve">elates to </w:t>
      </w:r>
      <w:r w:rsidR="00755851">
        <w:rPr>
          <w:rFonts w:ascii="Georgia" w:hAnsi="Georgia"/>
          <w:sz w:val="32"/>
          <w:szCs w:val="32"/>
        </w:rPr>
        <w:t>Articles 2, 10</w:t>
      </w:r>
      <w:r w:rsidR="000F689C">
        <w:rPr>
          <w:rFonts w:ascii="Georgia" w:hAnsi="Georgia"/>
          <w:sz w:val="32"/>
          <w:szCs w:val="32"/>
        </w:rPr>
        <w:t>, 15</w:t>
      </w:r>
      <w:r w:rsidR="00755851">
        <w:rPr>
          <w:rFonts w:ascii="Georgia" w:hAnsi="Georgia"/>
          <w:sz w:val="32"/>
          <w:szCs w:val="32"/>
        </w:rPr>
        <w:t xml:space="preserve"> and 16, CO paragraph 12 and list of issues para</w:t>
      </w:r>
      <w:r w:rsidR="00FE08F3">
        <w:rPr>
          <w:rFonts w:ascii="Georgia" w:hAnsi="Georgia"/>
          <w:sz w:val="32"/>
          <w:szCs w:val="32"/>
        </w:rPr>
        <w:t>graphs</w:t>
      </w:r>
      <w:r w:rsidR="00755851">
        <w:rPr>
          <w:rFonts w:ascii="Georgia" w:hAnsi="Georgia"/>
          <w:sz w:val="32"/>
          <w:szCs w:val="32"/>
        </w:rPr>
        <w:t xml:space="preserve"> 8</w:t>
      </w:r>
      <w:r w:rsidR="00FE08F3">
        <w:rPr>
          <w:rFonts w:ascii="Georgia" w:hAnsi="Georgia"/>
          <w:sz w:val="32"/>
          <w:szCs w:val="32"/>
        </w:rPr>
        <w:t xml:space="preserve"> and 48</w:t>
      </w:r>
    </w:p>
    <w:p w14:paraId="0E6C0B9B" w14:textId="12D1EB45" w:rsidR="00600D54" w:rsidRPr="00755851" w:rsidRDefault="00600D54" w:rsidP="00755851">
      <w:pPr>
        <w:pStyle w:val="Parabeforeanother"/>
        <w:rPr>
          <w:rFonts w:ascii="Georgia" w:hAnsi="Georgia"/>
          <w:sz w:val="32"/>
          <w:szCs w:val="32"/>
        </w:rPr>
      </w:pPr>
      <w:r>
        <w:rPr>
          <w:noProof/>
          <w:lang w:eastAsia="en-GB"/>
        </w:rPr>
        <mc:AlternateContent>
          <mc:Choice Requires="wps">
            <w:drawing>
              <wp:inline distT="0" distB="0" distL="0" distR="0" wp14:anchorId="1A3B723D" wp14:editId="4231ED86">
                <wp:extent cx="5543550" cy="1247775"/>
                <wp:effectExtent l="0" t="0" r="0" b="9525"/>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247775"/>
                        </a:xfrm>
                        <a:prstGeom prst="rect">
                          <a:avLst/>
                        </a:prstGeom>
                        <a:solidFill>
                          <a:srgbClr val="F8D4EB"/>
                        </a:solidFill>
                        <a:ln w="9525">
                          <a:noFill/>
                          <a:miter lim="800000"/>
                          <a:headEnd/>
                          <a:tailEnd/>
                        </a:ln>
                      </wps:spPr>
                      <wps:txbx>
                        <w:txbxContent>
                          <w:p w14:paraId="0A508D6F" w14:textId="34434E7D" w:rsidR="00AE42CD" w:rsidRDefault="00AE42CD" w:rsidP="007C39AB">
                            <w:pPr>
                              <w:spacing w:line="240" w:lineRule="auto"/>
                            </w:pPr>
                            <w:r w:rsidRPr="00A717CB">
                              <w:rPr>
                                <w:rFonts w:cs="Arial"/>
                                <w:szCs w:val="24"/>
                              </w:rPr>
                              <w:t xml:space="preserve">In its 2016 list of issues, the Committee asked for information on progress made to ensure that all measures used to restrict or limit fair trial guarantees on national security grounds, including the use of closed material procedures, are fully compliant with the provisions of CAT. </w:t>
                            </w:r>
                            <w:r>
                              <w:rPr>
                                <w:rFonts w:cs="Arial"/>
                                <w:szCs w:val="24"/>
                              </w:rPr>
                              <w:t>It also</w:t>
                            </w:r>
                            <w:r w:rsidRPr="00A717CB">
                              <w:rPr>
                                <w:rFonts w:cs="Arial"/>
                                <w:szCs w:val="24"/>
                              </w:rPr>
                              <w:t xml:space="preserve"> asked about measures taken by the </w:t>
                            </w:r>
                            <w:r>
                              <w:rPr>
                                <w:rFonts w:cs="Arial"/>
                                <w:szCs w:val="24"/>
                              </w:rPr>
                              <w:t>S</w:t>
                            </w:r>
                            <w:r w:rsidRPr="00A717CB">
                              <w:rPr>
                                <w:rFonts w:cs="Arial"/>
                                <w:szCs w:val="24"/>
                              </w:rPr>
                              <w:t>tate party to respond to threats of terrorism, and if and how those measures have affected human rights safeguards in law and in practice.</w:t>
                            </w:r>
                          </w:p>
                        </w:txbxContent>
                      </wps:txbx>
                      <wps:bodyPr rot="0" vert="horz" wrap="square" lIns="91440" tIns="45720" rIns="91440" bIns="45720" anchor="t" anchorCtr="0">
                        <a:noAutofit/>
                      </wps:bodyPr>
                    </wps:wsp>
                  </a:graphicData>
                </a:graphic>
              </wp:inline>
            </w:drawing>
          </mc:Choice>
          <mc:Fallback>
            <w:pict>
              <v:shape w14:anchorId="1A3B723D" id="_x0000_s1035" type="#_x0000_t202" style="width:436.5pt;height:9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" fillcolor="#f8d4eb" stroked="f">
                <v:textbox>
                  <w:txbxContent>
                    <w:p w14:paraId="0A508D6F" w14:textId="34434E7D" w:rsidR="00AE42CD" w:rsidRDefault="00AE42CD" w:rsidP="007C39AB">
                      <w:pPr>
                        <w:spacing w:line="240" w:lineRule="auto"/>
                      </w:pPr>
                      <w:r w:rsidRPr="00A717CB">
                        <w:rPr>
                          <w:rFonts w:cs="Arial"/>
                          <w:szCs w:val="24"/>
                        </w:rPr>
                        <w:t xml:space="preserve">In its 2016 list of issues, the Committee asked for information on progress made to ensure that all measures used to restrict or limit fair trial guarantees on national security grounds, including the use of closed material procedures, are fully compliant with the provisions of CAT. </w:t>
                      </w:r>
                      <w:r>
                        <w:rPr>
                          <w:rFonts w:cs="Arial"/>
                          <w:szCs w:val="24"/>
                        </w:rPr>
                        <w:t>It also</w:t>
                      </w:r>
                      <w:r w:rsidRPr="00A717CB">
                        <w:rPr>
                          <w:rFonts w:cs="Arial"/>
                          <w:szCs w:val="24"/>
                        </w:rPr>
                        <w:t xml:space="preserve"> asked about measures taken by the </w:t>
                      </w:r>
                      <w:r>
                        <w:rPr>
                          <w:rFonts w:cs="Arial"/>
                          <w:szCs w:val="24"/>
                        </w:rPr>
                        <w:t>S</w:t>
                      </w:r>
                      <w:r w:rsidRPr="00A717CB">
                        <w:rPr>
                          <w:rFonts w:cs="Arial"/>
                          <w:szCs w:val="24"/>
                        </w:rPr>
                        <w:t>tate party to respond to threats of terrorism, and if and how those measures have affected human rights safeguards in law and in practice.</w:t>
                      </w:r>
                    </w:p>
                  </w:txbxContent>
                </v:textbox>
                <w10:anchorlock/>
              </v:shape>
            </w:pict>
          </mc:Fallback>
        </mc:AlternateContent>
      </w:r>
    </w:p>
    <w:p w14:paraId="4D24E4FC" w14:textId="3023BAB3" w:rsidR="00C32DAA" w:rsidRPr="00A717CB" w:rsidRDefault="00C32DAA" w:rsidP="007C39AB">
      <w:pPr>
        <w:pStyle w:val="Parabeforenewsubsection"/>
        <w:spacing w:line="240" w:lineRule="auto"/>
      </w:pPr>
      <w:r w:rsidRPr="00A717CB">
        <w:t>The UK Prime Minister responded to a series of terrorist attacks in 2017 by pledging to ‘review Britain’s counter-terrorism strategy to make sure the police and security services have all the powers they need’ to address terrorist threats.</w:t>
      </w:r>
      <w:r w:rsidRPr="00A717CB">
        <w:rPr>
          <w:rStyle w:val="FootnoteReference"/>
        </w:rPr>
        <w:footnoteReference w:id="289"/>
      </w:r>
      <w:r w:rsidRPr="00A717CB">
        <w:t xml:space="preserve"> </w:t>
      </w:r>
      <w:r w:rsidR="00836B9A">
        <w:t xml:space="preserve">The </w:t>
      </w:r>
      <w:r w:rsidRPr="00A717CB">
        <w:t xml:space="preserve">EHRC is concerned that several counter-terrorism powers, including some of those </w:t>
      </w:r>
      <w:r>
        <w:t>included</w:t>
      </w:r>
      <w:r w:rsidRPr="00A717CB">
        <w:t xml:space="preserve"> in </w:t>
      </w:r>
      <w:r>
        <w:t>the</w:t>
      </w:r>
      <w:r w:rsidRPr="00A717CB">
        <w:t xml:space="preserve"> Counter-</w:t>
      </w:r>
      <w:r w:rsidR="0058433D">
        <w:t>T</w:t>
      </w:r>
      <w:r w:rsidRPr="00A717CB">
        <w:t xml:space="preserve">errorism and Border Security </w:t>
      </w:r>
      <w:r>
        <w:t>Act 2019</w:t>
      </w:r>
      <w:r w:rsidRPr="00A717CB">
        <w:t>,</w:t>
      </w:r>
      <w:r w:rsidRPr="00A717CB">
        <w:rPr>
          <w:rStyle w:val="FootnoteReference"/>
        </w:rPr>
        <w:t xml:space="preserve"> </w:t>
      </w:r>
      <w:r w:rsidRPr="00A717CB">
        <w:rPr>
          <w:rStyle w:val="FootnoteReference"/>
        </w:rPr>
        <w:footnoteReference w:id="290"/>
      </w:r>
      <w:r w:rsidRPr="00A717CB">
        <w:t xml:space="preserve"> have the potential to erode important safeguards </w:t>
      </w:r>
      <w:r w:rsidR="007F713D">
        <w:t xml:space="preserve">that are </w:t>
      </w:r>
      <w:r w:rsidRPr="00A717CB">
        <w:t>needed to prevent torture and other cruel, inhuman or degrading treatment.</w:t>
      </w:r>
    </w:p>
    <w:p w14:paraId="68740784" w14:textId="77777777" w:rsidR="00C32DAA" w:rsidRPr="00A717CB" w:rsidRDefault="00C32DAA" w:rsidP="007C39AB">
      <w:pPr>
        <w:pStyle w:val="Title-subsections"/>
        <w:spacing w:before="0"/>
      </w:pPr>
      <w:bookmarkStart w:id="63" w:name="_Toc4061425"/>
      <w:r w:rsidRPr="00A717CB">
        <w:t>Port and border control powers</w:t>
      </w:r>
      <w:bookmarkEnd w:id="63"/>
      <w:r w:rsidRPr="00A717CB">
        <w:t xml:space="preserve"> </w:t>
      </w:r>
    </w:p>
    <w:p w14:paraId="46514691" w14:textId="04B79927" w:rsidR="00C32DAA" w:rsidRPr="00A717CB" w:rsidRDefault="00836B9A" w:rsidP="007C39AB">
      <w:pPr>
        <w:pStyle w:val="Parabeforenewsubsection"/>
        <w:spacing w:line="240" w:lineRule="auto"/>
      </w:pPr>
      <w:r>
        <w:t xml:space="preserve">The </w:t>
      </w:r>
      <w:r w:rsidR="00C32DAA" w:rsidRPr="00A717CB">
        <w:t xml:space="preserve">EHRC has previously expressed concerns about the discriminatory effects of Schedule 7 </w:t>
      </w:r>
      <w:r w:rsidR="007F713D">
        <w:t>of</w:t>
      </w:r>
      <w:r w:rsidR="007F713D" w:rsidRPr="00A717CB">
        <w:t xml:space="preserve"> </w:t>
      </w:r>
      <w:r w:rsidR="00C32DAA" w:rsidRPr="00A717CB">
        <w:t xml:space="preserve">the Terrorism Act 2000, which gives police the power to stop, </w:t>
      </w:r>
      <w:r w:rsidR="00C32DAA">
        <w:t xml:space="preserve">question, </w:t>
      </w:r>
      <w:r w:rsidR="00C32DAA" w:rsidRPr="00A717CB">
        <w:t xml:space="preserve">search and </w:t>
      </w:r>
      <w:r w:rsidR="00C32DAA">
        <w:t>detain</w:t>
      </w:r>
      <w:r w:rsidR="00C32DAA" w:rsidRPr="00A717CB">
        <w:t xml:space="preserve"> individuals at airports and ports without a requirement to have reasonable grounds for suspicion.</w:t>
      </w:r>
      <w:r w:rsidR="00C32DAA" w:rsidRPr="00A717CB">
        <w:rPr>
          <w:vertAlign w:val="superscript"/>
        </w:rPr>
        <w:footnoteReference w:id="291"/>
      </w:r>
      <w:r w:rsidR="00C32DAA" w:rsidRPr="00A717CB">
        <w:t xml:space="preserve"> The disproportionate number of people from ethnic minority groups </w:t>
      </w:r>
      <w:r w:rsidR="007F713D">
        <w:t xml:space="preserve">who </w:t>
      </w:r>
      <w:r w:rsidR="00C32DAA" w:rsidRPr="00A717CB">
        <w:t>have been subject to this power has been widely recognised.</w:t>
      </w:r>
      <w:r w:rsidR="00C32DAA" w:rsidRPr="00A717CB">
        <w:rPr>
          <w:rStyle w:val="FootnoteReference"/>
        </w:rPr>
        <w:footnoteReference w:id="292"/>
      </w:r>
      <w:r w:rsidR="00C32DAA" w:rsidRPr="00A717CB">
        <w:t xml:space="preserve"> Whil</w:t>
      </w:r>
      <w:r w:rsidR="00CE4777">
        <w:t>e</w:t>
      </w:r>
      <w:r w:rsidR="00C32DAA" w:rsidRPr="00A717CB">
        <w:t xml:space="preserve"> the ethnic disproportionality in </w:t>
      </w:r>
      <w:r w:rsidR="00C32DAA">
        <w:t>numbers detained</w:t>
      </w:r>
      <w:r w:rsidR="00C32DAA" w:rsidRPr="00A717CB">
        <w:t xml:space="preserve"> has slightly decreased in the last two years, the number of Asians </w:t>
      </w:r>
      <w:r w:rsidR="00C32DAA">
        <w:t>detained</w:t>
      </w:r>
      <w:r w:rsidR="00C32DAA" w:rsidRPr="00A717CB">
        <w:t xml:space="preserve"> under Schedule 7 is still disproportionately high when compared to </w:t>
      </w:r>
      <w:r w:rsidR="007F713D">
        <w:t>w</w:t>
      </w:r>
      <w:r w:rsidR="00C32DAA" w:rsidRPr="00A717CB">
        <w:t>hite people.</w:t>
      </w:r>
      <w:r w:rsidR="00C32DAA" w:rsidRPr="00A717CB">
        <w:rPr>
          <w:rStyle w:val="FootnoteReference"/>
        </w:rPr>
        <w:footnoteReference w:id="293"/>
      </w:r>
      <w:r w:rsidR="00C32DAA" w:rsidRPr="00A717CB">
        <w:t xml:space="preserve"> </w:t>
      </w:r>
      <w:r>
        <w:t xml:space="preserve">The </w:t>
      </w:r>
      <w:r w:rsidR="00C32DAA" w:rsidRPr="00A717CB">
        <w:t>EHRC shares the concerns of the JCHR and others about</w:t>
      </w:r>
      <w:r w:rsidR="00C32DAA">
        <w:t xml:space="preserve"> measures</w:t>
      </w:r>
      <w:r w:rsidR="00C32DAA" w:rsidRPr="00A717CB">
        <w:t xml:space="preserve"> in the Counter-Terrorism and Border Security</w:t>
      </w:r>
      <w:r w:rsidR="00C32DAA">
        <w:t xml:space="preserve"> Act 2019</w:t>
      </w:r>
      <w:r w:rsidR="00C32DAA" w:rsidRPr="00A717CB">
        <w:t xml:space="preserve"> to expand these powers, including additional powers to </w:t>
      </w:r>
      <w:r w:rsidR="008844C6">
        <w:lastRenderedPageBreak/>
        <w:t>q</w:t>
      </w:r>
      <w:r w:rsidR="00C32DAA" w:rsidRPr="00A717CB">
        <w:t xml:space="preserve">uestion and detain individuals </w:t>
      </w:r>
      <w:r w:rsidR="007F713D">
        <w:t xml:space="preserve">who are </w:t>
      </w:r>
      <w:r w:rsidR="00C32DAA" w:rsidRPr="00A717CB">
        <w:t>suspected of hostile activity for or on behalf of another state, without introducing a ‘reasonable suspicion’ threshold.</w:t>
      </w:r>
      <w:r w:rsidR="00C32DAA" w:rsidRPr="00A717CB">
        <w:rPr>
          <w:vertAlign w:val="superscript"/>
        </w:rPr>
        <w:footnoteReference w:id="294"/>
      </w:r>
      <w:r w:rsidR="00C32DAA" w:rsidRPr="00A717CB">
        <w:t xml:space="preserve"> </w:t>
      </w:r>
    </w:p>
    <w:p w14:paraId="0AB5E1A7" w14:textId="77777777" w:rsidR="00C32DAA" w:rsidRPr="00A717CB" w:rsidRDefault="00C32DAA" w:rsidP="00114F0D">
      <w:pPr>
        <w:pStyle w:val="Title-subsections"/>
      </w:pPr>
      <w:bookmarkStart w:id="64" w:name="_Toc4061426"/>
      <w:r w:rsidRPr="00A717CB">
        <w:t>14-day pre-charge detention</w:t>
      </w:r>
      <w:bookmarkEnd w:id="64"/>
      <w:r w:rsidRPr="00A717CB">
        <w:t xml:space="preserve"> </w:t>
      </w:r>
    </w:p>
    <w:p w14:paraId="7E9E7950" w14:textId="467DAA69" w:rsidR="00C32DAA" w:rsidRPr="00A717CB" w:rsidRDefault="00C32DAA" w:rsidP="007C39AB">
      <w:pPr>
        <w:pStyle w:val="Parabeforenewsubsection"/>
        <w:spacing w:line="240" w:lineRule="auto"/>
      </w:pPr>
      <w:r w:rsidRPr="00A717CB">
        <w:t>The Protection of Freedoms Act 2012, applicable in England and Wales, retains the 14-day limit for terrorism suspects to be detained before being charged, with judicial authorisation. The EHRC shares the H</w:t>
      </w:r>
      <w:r w:rsidR="00CD1978">
        <w:t>uman Rights Committee</w:t>
      </w:r>
      <w:r w:rsidRPr="00A717CB">
        <w:t>’s views on the need to reduce the maximum period of pre-charge detention in terrorism cases, and considers that it should be four days in line with criminal law in England and Wales.</w:t>
      </w:r>
      <w:r w:rsidRPr="00A717CB">
        <w:rPr>
          <w:rStyle w:val="FootnoteReference"/>
        </w:rPr>
        <w:footnoteReference w:id="295"/>
      </w:r>
    </w:p>
    <w:p w14:paraId="59CB68D4" w14:textId="77777777" w:rsidR="00C32DAA" w:rsidRPr="00A717CB" w:rsidRDefault="00C32DAA" w:rsidP="00114F0D">
      <w:pPr>
        <w:pStyle w:val="Title-subsections"/>
      </w:pPr>
      <w:bookmarkStart w:id="65" w:name="_Toc4061427"/>
      <w:r w:rsidRPr="00A717CB">
        <w:t>Use of closed material procedures</w:t>
      </w:r>
      <w:bookmarkEnd w:id="65"/>
      <w:r w:rsidRPr="00A717CB">
        <w:t xml:space="preserve"> </w:t>
      </w:r>
    </w:p>
    <w:p w14:paraId="6B816D12" w14:textId="5DE1F83A" w:rsidR="00C32DAA" w:rsidRPr="00A717CB" w:rsidRDefault="00C32DAA" w:rsidP="007C39AB">
      <w:pPr>
        <w:pStyle w:val="Parabeforeanother"/>
        <w:spacing w:line="240" w:lineRule="auto"/>
        <w:rPr>
          <w:bCs/>
        </w:rPr>
      </w:pPr>
      <w:r w:rsidRPr="00A717CB">
        <w:t xml:space="preserve">Closed material procedures (CMPs) were created to address the concern that disclosure of sensitive material under the usual rules of the civil litigation process could compromise national security. Although they </w:t>
      </w:r>
      <w:r w:rsidRPr="00A717CB">
        <w:rPr>
          <w:bCs/>
        </w:rPr>
        <w:t xml:space="preserve">have been in place now for over five years, they still constitute a departure from longstanding fundamental legal principles of open justice and the fair trial of claims. In the small number of cases </w:t>
      </w:r>
      <w:r w:rsidR="00B014CB">
        <w:rPr>
          <w:bCs/>
        </w:rPr>
        <w:t>in which</w:t>
      </w:r>
      <w:r w:rsidR="00B014CB" w:rsidRPr="00A717CB">
        <w:rPr>
          <w:bCs/>
        </w:rPr>
        <w:t xml:space="preserve"> </w:t>
      </w:r>
      <w:r w:rsidRPr="00A717CB">
        <w:rPr>
          <w:bCs/>
        </w:rPr>
        <w:t>they are used, claimants are denied access</w:t>
      </w:r>
      <w:r w:rsidR="00B014CB">
        <w:rPr>
          <w:bCs/>
        </w:rPr>
        <w:t>, on national security grounds,</w:t>
      </w:r>
      <w:r w:rsidRPr="00A717CB">
        <w:rPr>
          <w:bCs/>
        </w:rPr>
        <w:t xml:space="preserve"> to sensitive evidence that is potentially relevant in assisting the determination of claims.</w:t>
      </w:r>
      <w:r w:rsidR="00EB2214">
        <w:rPr>
          <w:bCs/>
        </w:rPr>
        <w:t xml:space="preserve"> </w:t>
      </w:r>
    </w:p>
    <w:p w14:paraId="0C9752D4" w14:textId="10285077" w:rsidR="00C32DAA" w:rsidRPr="00A717CB" w:rsidRDefault="00C32DAA" w:rsidP="007C39AB">
      <w:pPr>
        <w:pStyle w:val="Parabeforeanother"/>
        <w:spacing w:line="240" w:lineRule="auto"/>
        <w:rPr>
          <w:bCs/>
        </w:rPr>
      </w:pPr>
      <w:r w:rsidRPr="00A717CB">
        <w:t>In 2013, the Committee expressed concern about the statutory extension</w:t>
      </w:r>
      <w:r w:rsidR="00592360">
        <w:t xml:space="preserve">, </w:t>
      </w:r>
      <w:r w:rsidRPr="00A717CB">
        <w:t xml:space="preserve">through the Justice and Security Act </w:t>
      </w:r>
      <w:r w:rsidR="00592360">
        <w:t xml:space="preserve">(JSA) </w:t>
      </w:r>
      <w:r w:rsidRPr="00A717CB">
        <w:t>2013</w:t>
      </w:r>
      <w:r w:rsidR="00592360">
        <w:t>,</w:t>
      </w:r>
      <w:r w:rsidRPr="00A717CB">
        <w:t xml:space="preserve"> of CMPs to civil cases</w:t>
      </w:r>
      <w:r w:rsidR="00E96791">
        <w:t>. P</w:t>
      </w:r>
      <w:r w:rsidRPr="00A717CB">
        <w:t>reviously</w:t>
      </w:r>
      <w:r w:rsidR="00E96791">
        <w:t>,</w:t>
      </w:r>
      <w:r w:rsidRPr="00A717CB">
        <w:t xml:space="preserve"> they could be used </w:t>
      </w:r>
      <w:r w:rsidR="00E96791">
        <w:t xml:space="preserve">only </w:t>
      </w:r>
      <w:r w:rsidRPr="00A717CB">
        <w:t xml:space="preserve">in criminal proceedings. It recommended that </w:t>
      </w:r>
      <w:r w:rsidRPr="00A717CB">
        <w:rPr>
          <w:bCs/>
        </w:rPr>
        <w:t xml:space="preserve">intelligence and other sensitive material should be disclosed if a court determines that it might reveal evidence of human rights violations such as torture or cruel, inhuman or degrading treatment. </w:t>
      </w:r>
    </w:p>
    <w:p w14:paraId="5AA7A202" w14:textId="5591C00E" w:rsidR="00C32DAA" w:rsidRPr="00A717CB" w:rsidRDefault="00C32DAA" w:rsidP="007C39AB">
      <w:pPr>
        <w:pStyle w:val="Parabeforeanother"/>
        <w:spacing w:line="240" w:lineRule="auto"/>
      </w:pPr>
      <w:r w:rsidRPr="00A717CB">
        <w:rPr>
          <w:bCs/>
        </w:rPr>
        <w:t xml:space="preserve">In recent years, British courts have ordered CMPs </w:t>
      </w:r>
      <w:r w:rsidRPr="00A717CB">
        <w:t xml:space="preserve">in a number of cases </w:t>
      </w:r>
      <w:r w:rsidR="00E96791">
        <w:t>in which</w:t>
      </w:r>
      <w:r w:rsidRPr="00A717CB">
        <w:t xml:space="preserve"> claimants have alleged ill-treatment and wrongful detention by British and American forces.</w:t>
      </w:r>
      <w:r w:rsidRPr="00A717CB">
        <w:rPr>
          <w:rStyle w:val="FootnoteReference"/>
        </w:rPr>
        <w:footnoteReference w:id="296"/>
      </w:r>
      <w:r w:rsidRPr="00A717CB">
        <w:t xml:space="preserve"> In these cases, Special Advocates were appointed to examine the intelligence/sensitive material and </w:t>
      </w:r>
      <w:r w:rsidR="000E54B3">
        <w:t xml:space="preserve">to </w:t>
      </w:r>
      <w:r w:rsidRPr="00A717CB">
        <w:t xml:space="preserve">represent the interests of the claimants. We do not know </w:t>
      </w:r>
      <w:r w:rsidR="008301FD">
        <w:t>whether</w:t>
      </w:r>
      <w:r w:rsidRPr="00A717CB">
        <w:t xml:space="preserve"> evidence of human rights violations has been withheld from the public in these cases.</w:t>
      </w:r>
    </w:p>
    <w:p w14:paraId="312A27D3" w14:textId="5A120929" w:rsidR="00C32DAA" w:rsidRPr="00A717CB" w:rsidRDefault="005A5946" w:rsidP="007C39AB">
      <w:pPr>
        <w:pStyle w:val="Parabeforeanother"/>
        <w:spacing w:line="240" w:lineRule="auto"/>
      </w:pPr>
      <w:r>
        <w:t>It has been argued that, c</w:t>
      </w:r>
      <w:r w:rsidR="00C32DAA" w:rsidRPr="00A717CB">
        <w:t xml:space="preserve">ompared </w:t>
      </w:r>
      <w:r w:rsidR="008301FD">
        <w:t>with</w:t>
      </w:r>
      <w:r w:rsidR="00C32DAA" w:rsidRPr="00A717CB">
        <w:t xml:space="preserve"> greater use of public interest immunity certificates, CMPs can play a positive role in facilitating judicial scrutiny of the executive in cases where there are important national security concerns.</w:t>
      </w:r>
      <w:r w:rsidR="00C32DAA" w:rsidRPr="00A717CB">
        <w:rPr>
          <w:rStyle w:val="FootnoteReference"/>
        </w:rPr>
        <w:footnoteReference w:id="297"/>
      </w:r>
      <w:r w:rsidR="00C32DAA" w:rsidRPr="00A717CB">
        <w:t xml:space="preserve"> However, </w:t>
      </w:r>
      <w:r w:rsidR="00836B9A">
        <w:t xml:space="preserve">the </w:t>
      </w:r>
      <w:r w:rsidR="00C32DAA" w:rsidRPr="00A717CB">
        <w:t xml:space="preserve">EHRC remains concerned that the non-disclosure of material </w:t>
      </w:r>
      <w:r w:rsidR="00C32DAA" w:rsidRPr="00A717CB">
        <w:lastRenderedPageBreak/>
        <w:t>information to the excluded party may in some cases compromise the right to a fair trial and prevent other human rights violations from coming to light.</w:t>
      </w:r>
      <w:r w:rsidR="00EB2214">
        <w:t xml:space="preserve"> </w:t>
      </w:r>
    </w:p>
    <w:p w14:paraId="618E5D66" w14:textId="77777777" w:rsidR="00C32DAA" w:rsidRPr="00A717CB" w:rsidRDefault="00C32DAA" w:rsidP="007C39AB">
      <w:pPr>
        <w:pStyle w:val="Parabeforeanother"/>
        <w:spacing w:line="240" w:lineRule="auto"/>
      </w:pPr>
      <w:r w:rsidRPr="00A717CB">
        <w:t>The UK Government publishes very limited information on the use of CMPs in civil cases beyond the Secretary of State for Justice’s annual statutory reports</w:t>
      </w:r>
      <w:r w:rsidRPr="00A717CB">
        <w:rPr>
          <w:rStyle w:val="FootnoteReference"/>
        </w:rPr>
        <w:footnoteReference w:id="298"/>
      </w:r>
      <w:r w:rsidRPr="00A717CB">
        <w:t xml:space="preserve">. The basic information provided in these reports is not sufficient to assess whether CMPs are being used appropriately. </w:t>
      </w:r>
    </w:p>
    <w:p w14:paraId="39AF6D2C" w14:textId="00F6440A" w:rsidR="00C32DAA" w:rsidRPr="00A717CB" w:rsidRDefault="00C32DAA" w:rsidP="007C39AB">
      <w:pPr>
        <w:pStyle w:val="Parabeforenewsubsection"/>
        <w:spacing w:line="240" w:lineRule="auto"/>
      </w:pPr>
      <w:r w:rsidRPr="00A717CB">
        <w:t>The forthcoming review of the JSA 2013, trailed by the UK Government but not yet launched,</w:t>
      </w:r>
      <w:r w:rsidRPr="00A717CB">
        <w:rPr>
          <w:rStyle w:val="FootnoteReference"/>
        </w:rPr>
        <w:footnoteReference w:id="299"/>
      </w:r>
      <w:r w:rsidRPr="00A717CB">
        <w:t xml:space="preserve"> presents an opportunity to consider whether CMPs are operating only when strictly necessary, to assess the quality of safeguards provided through the use of judges and Special Advocates</w:t>
      </w:r>
      <w:r w:rsidR="00CF4512">
        <w:t>,</w:t>
      </w:r>
      <w:r w:rsidRPr="00A717CB">
        <w:t xml:space="preserve"> and to examine whether there are better alternatives to CMPs that can still achieve the legitimate aim of protecting national security without unjustifiably compromising open and fair civil justice. The public interest in ensuring allegations of torture, inhuman and degrading treatment are thoroughly investigated should be viewed as an important dimension of this review.</w:t>
      </w:r>
      <w:r w:rsidR="00EB2214">
        <w:t xml:space="preserve">  </w:t>
      </w:r>
    </w:p>
    <w:p w14:paraId="7412DF83" w14:textId="029CD475" w:rsidR="00C32DAA" w:rsidRPr="00A717CB" w:rsidRDefault="00C32DAA" w:rsidP="00114F0D">
      <w:pPr>
        <w:pStyle w:val="Title-subsections"/>
      </w:pPr>
      <w:bookmarkStart w:id="66" w:name="_Toc4061428"/>
      <w:r w:rsidRPr="00A717CB">
        <w:t xml:space="preserve">Treatment of terrorist suspects referred by the Prevent </w:t>
      </w:r>
      <w:r w:rsidR="00E47086">
        <w:t>d</w:t>
      </w:r>
      <w:r w:rsidRPr="00A717CB">
        <w:t>uty</w:t>
      </w:r>
      <w:bookmarkEnd w:id="66"/>
    </w:p>
    <w:p w14:paraId="1315A2B2" w14:textId="7ADBB5DB" w:rsidR="00C32DAA" w:rsidRPr="00A717CB" w:rsidRDefault="00C32DAA" w:rsidP="007C39AB">
      <w:pPr>
        <w:pStyle w:val="Parabeforeanother"/>
        <w:spacing w:line="240" w:lineRule="auto"/>
      </w:pPr>
      <w:r w:rsidRPr="00A717CB">
        <w:t xml:space="preserve">In its 2016 </w:t>
      </w:r>
      <w:r w:rsidR="00AD5254">
        <w:t>c</w:t>
      </w:r>
      <w:r w:rsidRPr="00A717CB">
        <w:t>oncluding observations, UNCERD urged the UK to review the implementation and evaluate the impact of the Prevent duty to ensure that there are sufficient safeguards against abuse, and that it is implemented in a manner that does not constitute racial discrimination.</w:t>
      </w:r>
      <w:r w:rsidRPr="00A717CB">
        <w:rPr>
          <w:rStyle w:val="FootnoteReference"/>
        </w:rPr>
        <w:footnoteReference w:id="300"/>
      </w:r>
    </w:p>
    <w:p w14:paraId="27411A32" w14:textId="59DC9083" w:rsidR="00C32DAA" w:rsidRPr="00A717CB" w:rsidRDefault="00C32DAA" w:rsidP="007C39AB">
      <w:pPr>
        <w:pStyle w:val="Parabeforeanother"/>
        <w:spacing w:line="240" w:lineRule="auto"/>
      </w:pPr>
      <w:r w:rsidRPr="00A717CB">
        <w:t>The Prevent duty</w:t>
      </w:r>
      <w:r w:rsidR="00A10F4A">
        <w:t>, introduced by</w:t>
      </w:r>
      <w:r w:rsidR="00A10F4A" w:rsidRPr="00A717CB">
        <w:t xml:space="preserve"> the Counter-Terrorism and Security Act 2015 (CTSA)</w:t>
      </w:r>
      <w:r w:rsidR="00A10F4A">
        <w:t>,</w:t>
      </w:r>
      <w:r w:rsidRPr="00A717CB">
        <w:t xml:space="preserve"> places local authorities, schools, colleges, universities, health bodies, prisons, probation organisations, and the police under a statutory duty</w:t>
      </w:r>
      <w:r w:rsidRPr="00A717CB">
        <w:rPr>
          <w:sz w:val="28"/>
        </w:rPr>
        <w:t xml:space="preserve"> </w:t>
      </w:r>
      <w:r w:rsidRPr="00A717CB">
        <w:t>to ‘consider the need to safeguard people from being drawn into terrorism’. Following a preliminary assessment, the police may refer the individual to a multi-disciplinary Channel panel. This panel discusses the circumstances of the case and may proceed to develop a support package for the individual.</w:t>
      </w:r>
      <w:r w:rsidRPr="00A717CB">
        <w:rPr>
          <w:rStyle w:val="FootnoteReference"/>
        </w:rPr>
        <w:footnoteReference w:id="301"/>
      </w:r>
      <w:r w:rsidRPr="00A717CB">
        <w:t xml:space="preserve"> The new Counter-terrorism and Border Security </w:t>
      </w:r>
      <w:r w:rsidR="00B01C9A">
        <w:t>Act 2019</w:t>
      </w:r>
      <w:r w:rsidRPr="00A717CB">
        <w:t xml:space="preserve"> </w:t>
      </w:r>
      <w:r w:rsidR="00B01C9A">
        <w:t>has</w:t>
      </w:r>
      <w:r w:rsidRPr="00A717CB">
        <w:t xml:space="preserve"> extend</w:t>
      </w:r>
      <w:r w:rsidR="00B01C9A">
        <w:t>ed</w:t>
      </w:r>
      <w:r w:rsidRPr="00A717CB">
        <w:t xml:space="preserve"> the Prevent </w:t>
      </w:r>
      <w:r w:rsidR="00E47086">
        <w:t>d</w:t>
      </w:r>
      <w:r w:rsidRPr="00A717CB">
        <w:t>uty by allowing local authorities, as well as police, to refer individuals to a Channel panel</w:t>
      </w:r>
      <w:r w:rsidRPr="00A717CB">
        <w:rPr>
          <w:lang w:val="en"/>
        </w:rPr>
        <w:t>.</w:t>
      </w:r>
      <w:r w:rsidRPr="00A717CB">
        <w:rPr>
          <w:rStyle w:val="FootnoteReference"/>
          <w:lang w:val="en"/>
        </w:rPr>
        <w:footnoteReference w:id="302"/>
      </w:r>
      <w:r w:rsidRPr="00A717CB">
        <w:rPr>
          <w:lang w:val="en"/>
        </w:rPr>
        <w:t xml:space="preserve"> </w:t>
      </w:r>
    </w:p>
    <w:p w14:paraId="3AE2474D" w14:textId="588607B5" w:rsidR="00C32DAA" w:rsidRPr="00A717CB" w:rsidRDefault="00C32DAA" w:rsidP="007C39AB">
      <w:pPr>
        <w:pStyle w:val="Parabeforenewsubsection"/>
        <w:spacing w:line="240" w:lineRule="auto"/>
      </w:pPr>
      <w:r w:rsidRPr="00A717CB">
        <w:t>In 2017/18, 7,318 individuals were referred to the Channel programme, a 20</w:t>
      </w:r>
      <w:r w:rsidR="00DD2881">
        <w:t xml:space="preserve"> per cent</w:t>
      </w:r>
      <w:r w:rsidRPr="00A717CB">
        <w:t xml:space="preserve"> increase compared </w:t>
      </w:r>
      <w:r w:rsidR="00A37845">
        <w:t>with</w:t>
      </w:r>
      <w:r w:rsidR="00A37845" w:rsidRPr="00A717CB">
        <w:t xml:space="preserve"> </w:t>
      </w:r>
      <w:r w:rsidRPr="00A717CB">
        <w:t>2016/17. Of these, 44</w:t>
      </w:r>
      <w:r w:rsidR="00DD2881">
        <w:t xml:space="preserve"> per cent</w:t>
      </w:r>
      <w:r w:rsidRPr="00A717CB">
        <w:t xml:space="preserve"> were referred due to concerns related to Islamist terrorism and 18</w:t>
      </w:r>
      <w:r w:rsidR="00DD2881">
        <w:t xml:space="preserve"> per cent</w:t>
      </w:r>
      <w:r w:rsidRPr="00A717CB">
        <w:t xml:space="preserve"> to right wing extremist ideology.</w:t>
      </w:r>
      <w:r w:rsidRPr="00A717CB">
        <w:rPr>
          <w:rStyle w:val="FootnoteReference"/>
        </w:rPr>
        <w:footnoteReference w:id="303"/>
      </w:r>
      <w:r w:rsidRPr="00A717CB">
        <w:t xml:space="preserve"> Of the 7,318 people referred, only 394 (5</w:t>
      </w:r>
      <w:r w:rsidR="00DD2881">
        <w:t xml:space="preserve"> per cent</w:t>
      </w:r>
      <w:r w:rsidRPr="00A717CB">
        <w:t xml:space="preserve">) received Channel support. This has raised concerns about the effectiveness of the referral process and </w:t>
      </w:r>
      <w:r w:rsidRPr="00A717CB">
        <w:lastRenderedPageBreak/>
        <w:t>has led to criticism that it is discriminatory and risks violating human rights, including freedom of speech, the right to private life and the right to manifest a religion.</w:t>
      </w:r>
      <w:r w:rsidRPr="00A717CB">
        <w:rPr>
          <w:rStyle w:val="FootnoteReference"/>
        </w:rPr>
        <w:footnoteReference w:id="304"/>
      </w:r>
      <w:r w:rsidRPr="00A717CB">
        <w:t xml:space="preserve"> </w:t>
      </w:r>
    </w:p>
    <w:p w14:paraId="526D4EA7" w14:textId="77777777" w:rsidR="00C32DAA" w:rsidRPr="00A717CB" w:rsidRDefault="00C32DAA" w:rsidP="00C82656">
      <w:pPr>
        <w:pStyle w:val="Title-subsections"/>
      </w:pPr>
      <w:bookmarkStart w:id="67" w:name="_Toc4061429"/>
      <w:r w:rsidRPr="00A717CB">
        <w:t>Use of diplomatic assurances to prevent torture</w:t>
      </w:r>
      <w:bookmarkEnd w:id="67"/>
      <w:r w:rsidRPr="00A717CB">
        <w:t xml:space="preserve"> </w:t>
      </w:r>
    </w:p>
    <w:p w14:paraId="466F2D5E" w14:textId="5CD4F3AF" w:rsidR="00C32DAA" w:rsidRPr="00A717CB" w:rsidRDefault="00C32DAA" w:rsidP="007C39AB">
      <w:pPr>
        <w:pStyle w:val="Parabeforeanother"/>
        <w:spacing w:line="240" w:lineRule="auto"/>
      </w:pPr>
      <w:r w:rsidRPr="00A717CB">
        <w:t xml:space="preserve">In July 2018, the UK Government decided to </w:t>
      </w:r>
      <w:r>
        <w:t>extend mutual legal assistance to the United State</w:t>
      </w:r>
      <w:r w:rsidR="00903CF3">
        <w:t>s</w:t>
      </w:r>
      <w:r>
        <w:t xml:space="preserve"> over the possible prosecution of </w:t>
      </w:r>
      <w:r w:rsidRPr="00A717CB">
        <w:t xml:space="preserve">two terrorist suspects without seeking assurances that the death penalty </w:t>
      </w:r>
      <w:r w:rsidR="00A37845" w:rsidRPr="00A717CB">
        <w:t>w</w:t>
      </w:r>
      <w:r w:rsidR="00A37845">
        <w:t>ould</w:t>
      </w:r>
      <w:r w:rsidR="00A37845" w:rsidRPr="00A717CB">
        <w:t xml:space="preserve"> </w:t>
      </w:r>
      <w:r w:rsidRPr="00A717CB">
        <w:t>not be used.</w:t>
      </w:r>
      <w:r w:rsidRPr="00A717CB">
        <w:rPr>
          <w:rStyle w:val="FootnoteReference"/>
        </w:rPr>
        <w:footnoteReference w:id="305"/>
      </w:r>
      <w:r w:rsidRPr="00A717CB">
        <w:t xml:space="preserve"> This went against usual UK practice of seeking diplomatic assurances </w:t>
      </w:r>
      <w:r>
        <w:t>over the use of the death penalty</w:t>
      </w:r>
      <w:r w:rsidRPr="00A717CB">
        <w:t xml:space="preserve">, although reports have suggested that the UK Government </w:t>
      </w:r>
      <w:r w:rsidR="00A37845">
        <w:t xml:space="preserve">has </w:t>
      </w:r>
      <w:r w:rsidRPr="00A717CB">
        <w:t xml:space="preserve">failed to seek death penalty assurances on at least </w:t>
      </w:r>
      <w:r>
        <w:t>two</w:t>
      </w:r>
      <w:r w:rsidRPr="00A717CB">
        <w:t xml:space="preserve"> other occasion</w:t>
      </w:r>
      <w:r>
        <w:t>s</w:t>
      </w:r>
      <w:r w:rsidRPr="00A717CB">
        <w:t xml:space="preserve"> since 2001.</w:t>
      </w:r>
      <w:r w:rsidRPr="00A717CB">
        <w:rPr>
          <w:rStyle w:val="FootnoteReference"/>
        </w:rPr>
        <w:footnoteReference w:id="306"/>
      </w:r>
      <w:r w:rsidR="004B11EB">
        <w:t xml:space="preserve"> The Overseas</w:t>
      </w:r>
      <w:r w:rsidRPr="00A717CB">
        <w:t xml:space="preserve"> Security and Justice Assistance (OSJA) </w:t>
      </w:r>
      <w:r w:rsidR="00BC565A">
        <w:t>g</w:t>
      </w:r>
      <w:r w:rsidRPr="00A717CB">
        <w:t>uidance, adopted in 2011, permits the provision of assistance without seeking assurances ‘where there are strong reasons for doing so.’</w:t>
      </w:r>
      <w:r w:rsidRPr="00A717CB">
        <w:rPr>
          <w:rStyle w:val="FootnoteReference"/>
        </w:rPr>
        <w:footnoteReference w:id="307"/>
      </w:r>
      <w:r w:rsidRPr="00A717CB">
        <w:t xml:space="preserve"> </w:t>
      </w:r>
    </w:p>
    <w:p w14:paraId="65D3DC48" w14:textId="5914C6EB" w:rsidR="00C32DAA" w:rsidRDefault="00836B9A" w:rsidP="007C39AB">
      <w:pPr>
        <w:pStyle w:val="Parabeforenewsection"/>
        <w:spacing w:after="420" w:line="240" w:lineRule="auto"/>
      </w:pPr>
      <w:r>
        <w:t xml:space="preserve">The </w:t>
      </w:r>
      <w:r w:rsidR="00C32DAA" w:rsidRPr="00A717CB">
        <w:t xml:space="preserve">EHRC is concerned that recent failures to seek death penalty assurances and the relevant provisions of the OSJA </w:t>
      </w:r>
      <w:r w:rsidR="00C32DAA">
        <w:t xml:space="preserve">may </w:t>
      </w:r>
      <w:r w:rsidR="00C32DAA" w:rsidRPr="00A717CB">
        <w:t xml:space="preserve">contravene the UK’s international obligation </w:t>
      </w:r>
      <w:r w:rsidR="00C32DAA">
        <w:t xml:space="preserve">to prevent torture </w:t>
      </w:r>
      <w:r w:rsidR="00C32DAA" w:rsidRPr="00A717CB">
        <w:t>under Art</w:t>
      </w:r>
      <w:r w:rsidR="00A37845">
        <w:t>icle</w:t>
      </w:r>
      <w:r w:rsidR="00C32DAA" w:rsidRPr="00A717CB">
        <w:t xml:space="preserve"> </w:t>
      </w:r>
      <w:r w:rsidR="00C32DAA">
        <w:t>2</w:t>
      </w:r>
      <w:r w:rsidR="00C32DAA" w:rsidRPr="00A717CB">
        <w:t xml:space="preserve"> </w:t>
      </w:r>
      <w:r w:rsidR="00A37845">
        <w:t xml:space="preserve">of </w:t>
      </w:r>
      <w:r w:rsidR="00C32DAA" w:rsidRPr="00A717CB">
        <w:t>CAT</w:t>
      </w:r>
      <w:r w:rsidR="00C32DAA" w:rsidRPr="00A717CB" w:rsidDel="00545CC8">
        <w:t xml:space="preserve"> </w:t>
      </w:r>
      <w:r w:rsidR="00C32DAA" w:rsidRPr="00A717CB">
        <w:t>, as well as UK compliance with domestic legal requirements under the Human Rights Act 1998 in relation to Art</w:t>
      </w:r>
      <w:r w:rsidR="00A37845">
        <w:t>icle</w:t>
      </w:r>
      <w:r w:rsidR="00C32DAA" w:rsidRPr="00A717CB">
        <w:t xml:space="preserve"> 3</w:t>
      </w:r>
      <w:r w:rsidR="00A37845">
        <w:t xml:space="preserve"> of the</w:t>
      </w:r>
      <w:r w:rsidR="00C32DAA" w:rsidRPr="00A717CB">
        <w:t xml:space="preserve"> ECHR. </w:t>
      </w:r>
    </w:p>
    <w:p w14:paraId="78A779CF" w14:textId="3F60C796" w:rsidR="00C32DAA" w:rsidRPr="00A717CB" w:rsidRDefault="00C32DAA" w:rsidP="0095032F">
      <w:pPr>
        <w:pStyle w:val="Title-subsections"/>
      </w:pPr>
      <w:bookmarkStart w:id="68" w:name="_Toc4061430"/>
      <w:r w:rsidRPr="00A717CB">
        <w:t>Recommendations</w:t>
      </w:r>
      <w:bookmarkEnd w:id="68"/>
    </w:p>
    <w:p w14:paraId="2A9F6819" w14:textId="0ED5C1F1" w:rsidR="00C32DAA" w:rsidRPr="00A717CB" w:rsidRDefault="00C32DAA" w:rsidP="007C39AB">
      <w:pPr>
        <w:pStyle w:val="Parabeforebulletss"/>
        <w:spacing w:line="240" w:lineRule="auto"/>
      </w:pPr>
      <w:r w:rsidRPr="00A717CB">
        <w:t xml:space="preserve">The UK Government should broaden its review of current counter-terror strategy to consider the impact </w:t>
      </w:r>
      <w:r w:rsidR="00A37845">
        <w:t xml:space="preserve">on human rights </w:t>
      </w:r>
      <w:r w:rsidRPr="00A717CB">
        <w:t>of existing and proposed measures. In particular</w:t>
      </w:r>
      <w:r w:rsidR="00A37845">
        <w:t>,</w:t>
      </w:r>
      <w:r w:rsidRPr="00A717CB">
        <w:t xml:space="preserve"> it should:</w:t>
      </w:r>
    </w:p>
    <w:p w14:paraId="24E638D9" w14:textId="77777777" w:rsidR="00C32DAA" w:rsidRPr="00A717CB" w:rsidRDefault="00C32DAA" w:rsidP="007C39AB">
      <w:pPr>
        <w:pStyle w:val="Bullet-followedbyothers"/>
        <w:spacing w:line="240" w:lineRule="auto"/>
      </w:pPr>
      <w:r w:rsidRPr="00A717CB">
        <w:t>Introduce a threshold for reasonable suspicion for arresting individuals at airports and ports, and any new powers introduced in this area.</w:t>
      </w:r>
    </w:p>
    <w:p w14:paraId="2F1FB027" w14:textId="77777777" w:rsidR="00C32DAA" w:rsidRPr="00A717CB" w:rsidRDefault="00C32DAA" w:rsidP="007C39AB">
      <w:pPr>
        <w:pStyle w:val="Bullet-followedbyothers"/>
        <w:spacing w:line="240" w:lineRule="auto"/>
      </w:pPr>
      <w:r w:rsidRPr="00A717CB">
        <w:t xml:space="preserve">Reduce the limit on pre-charge detention for terrorist suspects to four days, in line with the criminal law in England and Wales. </w:t>
      </w:r>
    </w:p>
    <w:p w14:paraId="6DB5A168" w14:textId="6C82A3C1" w:rsidR="00C32DAA" w:rsidRPr="00A717CB" w:rsidRDefault="00C32DAA" w:rsidP="007C39AB">
      <w:pPr>
        <w:pStyle w:val="Bullet-followedbyothers"/>
        <w:spacing w:line="240" w:lineRule="auto"/>
      </w:pPr>
      <w:r w:rsidRPr="00A717CB">
        <w:t xml:space="preserve">Use the forthcoming review of the </w:t>
      </w:r>
      <w:r w:rsidR="00592360">
        <w:t>JSA</w:t>
      </w:r>
      <w:r w:rsidRPr="00A717CB">
        <w:t xml:space="preserve"> 2013 to consider </w:t>
      </w:r>
      <w:r w:rsidR="00E224BC">
        <w:t>whether</w:t>
      </w:r>
      <w:r w:rsidRPr="00A717CB">
        <w:t xml:space="preserve"> CMPs are operating appropriately and</w:t>
      </w:r>
      <w:r w:rsidR="00E224BC">
        <w:t xml:space="preserve">, if CMPs are retained, </w:t>
      </w:r>
      <w:r w:rsidRPr="00A717CB">
        <w:t>to consider ways to strengthen transparency around their use</w:t>
      </w:r>
      <w:r w:rsidR="00E224BC">
        <w:t xml:space="preserve"> </w:t>
      </w:r>
      <w:r w:rsidRPr="00A717CB">
        <w:t>to ensure they are used sparingly and only when strictly necessary.</w:t>
      </w:r>
    </w:p>
    <w:p w14:paraId="6BFDF96E" w14:textId="73F14FFF" w:rsidR="00C32DAA" w:rsidRPr="00A717CB" w:rsidRDefault="00C32DAA" w:rsidP="007C39AB">
      <w:pPr>
        <w:pStyle w:val="Bullet-followedbyothers"/>
        <w:spacing w:line="240" w:lineRule="auto"/>
      </w:pPr>
      <w:r w:rsidRPr="00A717CB">
        <w:t xml:space="preserve">Conduct a full evaluation of the impact of the Prevent strategy on equality, good relations and human rights, and ensure that </w:t>
      </w:r>
      <w:r w:rsidR="005E3BF9">
        <w:t xml:space="preserve">people responsible for </w:t>
      </w:r>
      <w:r w:rsidRPr="00A717CB">
        <w:t xml:space="preserve">Prevent in public bodies are trained </w:t>
      </w:r>
      <w:r w:rsidR="005E3BF9">
        <w:t>i</w:t>
      </w:r>
      <w:r w:rsidRPr="00A717CB">
        <w:t>n their equality and human rights obligations.</w:t>
      </w:r>
    </w:p>
    <w:p w14:paraId="6FFAD8DF" w14:textId="77777777" w:rsidR="007C39AB" w:rsidRPr="007C39AB" w:rsidRDefault="00C32DAA" w:rsidP="007C39AB">
      <w:pPr>
        <w:pStyle w:val="Bullet-lastingroup"/>
        <w:spacing w:after="720" w:line="240" w:lineRule="auto"/>
        <w:rPr>
          <w:sz w:val="40"/>
          <w:szCs w:val="40"/>
        </w:rPr>
      </w:pPr>
      <w:r w:rsidRPr="00A717CB">
        <w:lastRenderedPageBreak/>
        <w:t xml:space="preserve">Ensure there is no deviation from </w:t>
      </w:r>
      <w:r w:rsidR="005E3BF9">
        <w:t xml:space="preserve">the </w:t>
      </w:r>
      <w:r w:rsidRPr="00A717CB">
        <w:t xml:space="preserve">UK practice of seeking diplomatic assurances that the death penalty will not be used when </w:t>
      </w:r>
      <w:r>
        <w:t>extending mutual legal assistance</w:t>
      </w:r>
      <w:r w:rsidRPr="00A717CB">
        <w:t>, and revise the relevant provisions in OSJA guidance.</w:t>
      </w:r>
    </w:p>
    <w:p w14:paraId="37B5C58B" w14:textId="7947EF0C" w:rsidR="003C1836" w:rsidRPr="00317F1A" w:rsidRDefault="001F7BEB" w:rsidP="00317F1A">
      <w:pPr>
        <w:spacing w:after="160" w:line="259" w:lineRule="auto"/>
        <w:rPr>
          <w:rFonts w:ascii="Georgia" w:eastAsia="Times New Roman" w:hAnsi="Georgia"/>
          <w:bCs/>
          <w:color w:val="D40F7D"/>
          <w:sz w:val="40"/>
          <w:szCs w:val="40"/>
        </w:rPr>
        <w:sectPr w:rsidR="003C1836" w:rsidRPr="00317F1A" w:rsidSect="00C32DAA">
          <w:headerReference w:type="default" r:id="rId22"/>
          <w:pgSz w:w="11906" w:h="16838" w:code="9"/>
          <w:pgMar w:top="1440" w:right="1440" w:bottom="1440" w:left="1440" w:header="567" w:footer="567" w:gutter="0"/>
          <w:cols w:space="708"/>
          <w:docGrid w:linePitch="360"/>
        </w:sectPr>
      </w:pPr>
      <w:r>
        <w:rPr>
          <w:sz w:val="40"/>
          <w:szCs w:val="40"/>
        </w:rPr>
        <w:br w:type="page"/>
      </w:r>
    </w:p>
    <w:p w14:paraId="5E955907" w14:textId="5E426AC2" w:rsidR="00C32DAA" w:rsidRDefault="00A1534E" w:rsidP="00586703">
      <w:pPr>
        <w:pStyle w:val="Title-chapterpink"/>
        <w:spacing w:after="0"/>
        <w:rPr>
          <w:sz w:val="40"/>
          <w:szCs w:val="40"/>
        </w:rPr>
      </w:pPr>
      <w:bookmarkStart w:id="69" w:name="_Toc4061431"/>
      <w:r w:rsidRPr="007C39AB">
        <w:rPr>
          <w:sz w:val="40"/>
          <w:szCs w:val="40"/>
        </w:rPr>
        <w:lastRenderedPageBreak/>
        <w:t xml:space="preserve">9. </w:t>
      </w:r>
      <w:r w:rsidR="00C32DAA" w:rsidRPr="007C39AB">
        <w:rPr>
          <w:sz w:val="40"/>
          <w:szCs w:val="40"/>
        </w:rPr>
        <w:t>Ill-treatment of people receiving health and social care services</w:t>
      </w:r>
      <w:bookmarkEnd w:id="69"/>
    </w:p>
    <w:p w14:paraId="2CABCE3F" w14:textId="448253F6" w:rsidR="009D069D" w:rsidRPr="00586703" w:rsidRDefault="009D069D" w:rsidP="009D069D">
      <w:pPr>
        <w:pStyle w:val="Parabeforeanother"/>
        <w:spacing w:after="260"/>
        <w:rPr>
          <w:rFonts w:ascii="Georgia" w:hAnsi="Georgia"/>
          <w:sz w:val="32"/>
          <w:szCs w:val="32"/>
        </w:rPr>
      </w:pPr>
      <w:r w:rsidRPr="00586703">
        <w:rPr>
          <w:rFonts w:ascii="Georgia" w:hAnsi="Georgia"/>
          <w:sz w:val="32"/>
          <w:szCs w:val="32"/>
        </w:rPr>
        <w:t>Relates to Article</w:t>
      </w:r>
      <w:r w:rsidR="009B29E9">
        <w:rPr>
          <w:rFonts w:ascii="Georgia" w:hAnsi="Georgia"/>
          <w:sz w:val="32"/>
          <w:szCs w:val="32"/>
        </w:rPr>
        <w:t>s</w:t>
      </w:r>
      <w:r w:rsidRPr="00586703">
        <w:rPr>
          <w:rFonts w:ascii="Georgia" w:hAnsi="Georgia"/>
          <w:sz w:val="32"/>
          <w:szCs w:val="32"/>
        </w:rPr>
        <w:t xml:space="preserve"> 11</w:t>
      </w:r>
      <w:r w:rsidR="009B29E9">
        <w:rPr>
          <w:rFonts w:ascii="Georgia" w:hAnsi="Georgia"/>
          <w:sz w:val="32"/>
          <w:szCs w:val="32"/>
        </w:rPr>
        <w:t>, 12</w:t>
      </w:r>
      <w:r w:rsidR="00392B00">
        <w:rPr>
          <w:rFonts w:ascii="Georgia" w:hAnsi="Georgia"/>
          <w:sz w:val="32"/>
          <w:szCs w:val="32"/>
        </w:rPr>
        <w:t xml:space="preserve"> and 16</w:t>
      </w:r>
      <w:r w:rsidRPr="00586703">
        <w:rPr>
          <w:rFonts w:ascii="Georgia" w:hAnsi="Georgia"/>
          <w:sz w:val="32"/>
          <w:szCs w:val="32"/>
        </w:rPr>
        <w:t>, CO paragraph 33 and list of issues paragraph 29</w:t>
      </w:r>
    </w:p>
    <w:bookmarkStart w:id="70" w:name="_Toc4061432"/>
    <w:p w14:paraId="3F4391F2" w14:textId="38F043B7" w:rsidR="00600D54" w:rsidRPr="00A717CB" w:rsidRDefault="00600D54" w:rsidP="00A1534E">
      <w:pPr>
        <w:pStyle w:val="Title-chapterpink"/>
      </w:pPr>
      <w:r>
        <w:rPr>
          <w:noProof/>
          <w:lang w:eastAsia="en-GB"/>
        </w:rPr>
        <mc:AlternateContent>
          <mc:Choice Requires="wps">
            <w:drawing>
              <wp:inline distT="0" distB="0" distL="0" distR="0" wp14:anchorId="746291ED" wp14:editId="5111D822">
                <wp:extent cx="5543550" cy="1400175"/>
                <wp:effectExtent l="0" t="0" r="0" b="9525"/>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400175"/>
                        </a:xfrm>
                        <a:prstGeom prst="rect">
                          <a:avLst/>
                        </a:prstGeom>
                        <a:solidFill>
                          <a:srgbClr val="F8D4EB"/>
                        </a:solidFill>
                        <a:ln w="9525">
                          <a:noFill/>
                          <a:miter lim="800000"/>
                          <a:headEnd/>
                          <a:tailEnd/>
                        </a:ln>
                      </wps:spPr>
                      <wps:txbx>
                        <w:txbxContent>
                          <w:p w14:paraId="60A84801" w14:textId="593619A8" w:rsidR="00AE42CD" w:rsidRDefault="00AE42CD" w:rsidP="007C39AB">
                            <w:pPr>
                              <w:spacing w:line="240" w:lineRule="auto"/>
                            </w:pPr>
                            <w:r w:rsidRPr="00A717CB">
                              <w:rPr>
                                <w:rFonts w:cs="Arial"/>
                                <w:szCs w:val="24"/>
                              </w:rPr>
                              <w:t xml:space="preserve">In its 2016 list of issues, the Committee requested information on the measures in place to prevent ill-treatment of people receiving healthcare services, and in particular to ensure the effective implementation of the </w:t>
                            </w:r>
                            <w:r>
                              <w:rPr>
                                <w:rFonts w:cs="Arial"/>
                                <w:szCs w:val="24"/>
                              </w:rPr>
                              <w:t>recommendations of the Francis</w:t>
                            </w:r>
                            <w:r w:rsidRPr="00A717CB">
                              <w:rPr>
                                <w:rFonts w:cs="Arial"/>
                                <w:szCs w:val="24"/>
                              </w:rPr>
                              <w:t xml:space="preserve"> Inquiry </w:t>
                            </w:r>
                            <w:r>
                              <w:rPr>
                                <w:rFonts w:cs="Arial"/>
                                <w:szCs w:val="24"/>
                              </w:rPr>
                              <w:t>into failings in care at Mid Staffordshire NHS Foundation Trust</w:t>
                            </w:r>
                            <w:r w:rsidRPr="00A717CB">
                              <w:rPr>
                                <w:rFonts w:cs="Arial"/>
                                <w:szCs w:val="24"/>
                              </w:rPr>
                              <w:t xml:space="preserve">. This followed the Committee’s previous concluding observations, which identified the failure of NHS managers and regulators to identify and act on the problems at Mid </w:t>
                            </w:r>
                            <w:r>
                              <w:rPr>
                                <w:rFonts w:cs="Arial"/>
                                <w:szCs w:val="24"/>
                              </w:rPr>
                              <w:t>Staffordshire</w:t>
                            </w:r>
                            <w:r w:rsidRPr="00A717CB">
                              <w:rPr>
                                <w:rFonts w:cs="Arial"/>
                                <w:szCs w:val="24"/>
                              </w:rPr>
                              <w:t xml:space="preserve"> as a violation of Article 11 </w:t>
                            </w:r>
                            <w:r>
                              <w:rPr>
                                <w:rFonts w:cs="Arial"/>
                                <w:szCs w:val="24"/>
                              </w:rPr>
                              <w:t xml:space="preserve">of </w:t>
                            </w:r>
                            <w:r w:rsidRPr="00A717CB">
                              <w:rPr>
                                <w:rFonts w:cs="Arial"/>
                                <w:szCs w:val="24"/>
                              </w:rPr>
                              <w:t>CAT.</w:t>
                            </w:r>
                          </w:p>
                        </w:txbxContent>
                      </wps:txbx>
                      <wps:bodyPr rot="0" vert="horz" wrap="square" lIns="91440" tIns="45720" rIns="91440" bIns="45720" anchor="t" anchorCtr="0">
                        <a:noAutofit/>
                      </wps:bodyPr>
                    </wps:wsp>
                  </a:graphicData>
                </a:graphic>
              </wp:inline>
            </w:drawing>
          </mc:Choice>
          <mc:Fallback>
            <w:pict>
              <v:shape w14:anchorId="746291ED" id="_x0000_s1036" type="#_x0000_t202" style="width:436.5pt;height:11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" fillcolor="#f8d4eb" stroked="f">
                <v:textbox>
                  <w:txbxContent>
                    <w:p w14:paraId="60A84801" w14:textId="593619A8" w:rsidR="00AE42CD" w:rsidRDefault="00AE42CD" w:rsidP="007C39AB">
                      <w:pPr>
                        <w:spacing w:line="240" w:lineRule="auto"/>
                      </w:pPr>
                      <w:r w:rsidRPr="00A717CB">
                        <w:rPr>
                          <w:rFonts w:cs="Arial"/>
                          <w:szCs w:val="24"/>
                        </w:rPr>
                        <w:t xml:space="preserve">In its 2016 list of issues, the Committee requested information on the measures in place to prevent ill-treatment of people receiving healthcare services, and in particular to ensure the effective implementation of the </w:t>
                      </w:r>
                      <w:r>
                        <w:rPr>
                          <w:rFonts w:cs="Arial"/>
                          <w:szCs w:val="24"/>
                        </w:rPr>
                        <w:t>recommendations of the Francis</w:t>
                      </w:r>
                      <w:r w:rsidRPr="00A717CB">
                        <w:rPr>
                          <w:rFonts w:cs="Arial"/>
                          <w:szCs w:val="24"/>
                        </w:rPr>
                        <w:t xml:space="preserve"> Inquiry </w:t>
                      </w:r>
                      <w:r>
                        <w:rPr>
                          <w:rFonts w:cs="Arial"/>
                          <w:szCs w:val="24"/>
                        </w:rPr>
                        <w:t>into failings in care at Mid Staffordshire NHS Foundation Trust</w:t>
                      </w:r>
                      <w:r w:rsidRPr="00A717CB">
                        <w:rPr>
                          <w:rFonts w:cs="Arial"/>
                          <w:szCs w:val="24"/>
                        </w:rPr>
                        <w:t xml:space="preserve">. This followed the Committee’s previous concluding observations, which identified the failure of NHS managers and regulators to identify and act on the problems at Mid </w:t>
                      </w:r>
                      <w:r>
                        <w:rPr>
                          <w:rFonts w:cs="Arial"/>
                          <w:szCs w:val="24"/>
                        </w:rPr>
                        <w:t>Staffordshire</w:t>
                      </w:r>
                      <w:r w:rsidRPr="00A717CB">
                        <w:rPr>
                          <w:rFonts w:cs="Arial"/>
                          <w:szCs w:val="24"/>
                        </w:rPr>
                        <w:t xml:space="preserve"> as a violation of Article 11 </w:t>
                      </w:r>
                      <w:r>
                        <w:rPr>
                          <w:rFonts w:cs="Arial"/>
                          <w:szCs w:val="24"/>
                        </w:rPr>
                        <w:t xml:space="preserve">of </w:t>
                      </w:r>
                      <w:r w:rsidRPr="00A717CB">
                        <w:rPr>
                          <w:rFonts w:cs="Arial"/>
                          <w:szCs w:val="24"/>
                        </w:rPr>
                        <w:t>CAT.</w:t>
                      </w:r>
                    </w:p>
                  </w:txbxContent>
                </v:textbox>
                <w10:anchorlock/>
              </v:shape>
            </w:pict>
          </mc:Fallback>
        </mc:AlternateContent>
      </w:r>
      <w:bookmarkEnd w:id="70"/>
    </w:p>
    <w:p w14:paraId="73EE35CB" w14:textId="0CE815DE" w:rsidR="00C32DAA" w:rsidRPr="00A717CB" w:rsidRDefault="00C32DAA" w:rsidP="0042023F">
      <w:pPr>
        <w:pStyle w:val="Title-subsections"/>
      </w:pPr>
      <w:bookmarkStart w:id="71" w:name="_Toc4061433"/>
      <w:r w:rsidRPr="00A717CB">
        <w:t>Ill-treatment of people receiving healthcare services</w:t>
      </w:r>
      <w:bookmarkEnd w:id="71"/>
    </w:p>
    <w:p w14:paraId="14929DE4" w14:textId="3E9BA723" w:rsidR="00C32DAA" w:rsidRDefault="00C32DAA" w:rsidP="007C39AB">
      <w:pPr>
        <w:pStyle w:val="Parabeforeanother"/>
        <w:spacing w:line="240" w:lineRule="auto"/>
      </w:pPr>
      <w:r w:rsidRPr="00A717CB">
        <w:t>The 2013 Francis Inquiry report examined the causes of the failings in care at Mid Staffordshire NHS Foundation Trust between 2005 and 2009.</w:t>
      </w:r>
      <w:r>
        <w:t xml:space="preserve"> In June 2018, another </w:t>
      </w:r>
      <w:r w:rsidR="00194AEC">
        <w:t>high-profile</w:t>
      </w:r>
      <w:r>
        <w:t xml:space="preserve"> public inquiry found that hundreds of older people had died prematurely between 1988 and 2000 at Gosport War Memorial Hospital as a result of the ‘almost routine use of opiates’ without medical justification.</w:t>
      </w:r>
      <w:r>
        <w:rPr>
          <w:rStyle w:val="FootnoteReference"/>
        </w:rPr>
        <w:footnoteReference w:id="308"/>
      </w:r>
    </w:p>
    <w:p w14:paraId="57BFF218" w14:textId="3CF6CF25" w:rsidR="00C32DAA" w:rsidRPr="003706CB" w:rsidRDefault="00C32DAA" w:rsidP="007C39AB">
      <w:pPr>
        <w:pStyle w:val="Parabeforeanother"/>
        <w:spacing w:line="240" w:lineRule="auto"/>
      </w:pPr>
      <w:r w:rsidRPr="00A717CB">
        <w:t xml:space="preserve">Following the publication of the </w:t>
      </w:r>
      <w:r w:rsidR="00DC749A">
        <w:t xml:space="preserve">Francis Inquiry </w:t>
      </w:r>
      <w:r w:rsidRPr="00A717CB">
        <w:t xml:space="preserve">report, the UK Government, NHS and </w:t>
      </w:r>
      <w:r w:rsidR="00DC749A">
        <w:t xml:space="preserve">the </w:t>
      </w:r>
      <w:r w:rsidRPr="00A717CB">
        <w:t>CQC in England have taken steps to improve healthcare safeguards and oversight mechanisms. In 2014</w:t>
      </w:r>
      <w:r w:rsidR="00DC749A">
        <w:t>,</w:t>
      </w:r>
      <w:r w:rsidRPr="00A717CB">
        <w:t xml:space="preserve"> a </w:t>
      </w:r>
      <w:r w:rsidR="00DC749A" w:rsidRPr="00A717CB">
        <w:t xml:space="preserve">statutory duty of candour </w:t>
      </w:r>
      <w:r w:rsidRPr="00A717CB">
        <w:t>was adopted</w:t>
      </w:r>
      <w:r w:rsidR="00DC749A">
        <w:t>,</w:t>
      </w:r>
      <w:r w:rsidRPr="00A717CB">
        <w:rPr>
          <w:vertAlign w:val="superscript"/>
        </w:rPr>
        <w:footnoteReference w:id="309"/>
      </w:r>
      <w:r w:rsidRPr="00A717CB">
        <w:t xml:space="preserve"> placing a legal requirement on health and adult social care providers in England to be open and transparent with patients, families and carers </w:t>
      </w:r>
      <w:r w:rsidR="00DC749A">
        <w:t>when a</w:t>
      </w:r>
      <w:r w:rsidRPr="00A717CB">
        <w:t xml:space="preserve"> patient has suffered harm from their care or treatment. A CQC report found, however, that the </w:t>
      </w:r>
      <w:r w:rsidR="00DC749A" w:rsidRPr="00A717CB">
        <w:t xml:space="preserve">duty of candour </w:t>
      </w:r>
      <w:r w:rsidRPr="00A717CB">
        <w:t xml:space="preserve">is not working as intended in many acute, community and mental health </w:t>
      </w:r>
      <w:r w:rsidRPr="003706CB">
        <w:t>services.</w:t>
      </w:r>
      <w:r w:rsidRPr="003706CB">
        <w:rPr>
          <w:rStyle w:val="FootnoteReference"/>
        </w:rPr>
        <w:footnoteReference w:id="310"/>
      </w:r>
      <w:r w:rsidR="00EB2214">
        <w:t xml:space="preserve"> </w:t>
      </w:r>
    </w:p>
    <w:p w14:paraId="79B75A62" w14:textId="2B375941" w:rsidR="00C32DAA" w:rsidRPr="00A717CB" w:rsidRDefault="00C32DAA" w:rsidP="007C39AB">
      <w:pPr>
        <w:pStyle w:val="Parabeforeanother"/>
        <w:spacing w:line="240" w:lineRule="auto"/>
      </w:pPr>
      <w:r w:rsidRPr="003706CB">
        <w:t xml:space="preserve">The Welsh Government is planning to bring forward a </w:t>
      </w:r>
      <w:r w:rsidR="00DF0BBF">
        <w:t>b</w:t>
      </w:r>
      <w:r w:rsidRPr="003706CB">
        <w:t>ill t</w:t>
      </w:r>
      <w:r w:rsidRPr="003706CB">
        <w:rPr>
          <w:lang w:val="en-US"/>
        </w:rPr>
        <w:t xml:space="preserve">o establish a </w:t>
      </w:r>
      <w:r w:rsidR="00DC749A" w:rsidRPr="003706CB">
        <w:rPr>
          <w:lang w:val="en-US"/>
        </w:rPr>
        <w:t>duty of candour</w:t>
      </w:r>
      <w:r w:rsidRPr="003706CB">
        <w:rPr>
          <w:lang w:val="en-US"/>
        </w:rPr>
        <w:t xml:space="preserve">. The proposed legislation would place statutory obligations on </w:t>
      </w:r>
      <w:r w:rsidRPr="003706CB">
        <w:rPr>
          <w:color w:val="000000"/>
          <w:lang w:eastAsia="en-GB"/>
        </w:rPr>
        <w:t>providers of NHS services, requiring them to be open and honest with individuals when things go wrong.</w:t>
      </w:r>
      <w:r w:rsidRPr="003706CB">
        <w:rPr>
          <w:vertAlign w:val="superscript"/>
          <w:lang w:val="en-US"/>
        </w:rPr>
        <w:footnoteReference w:id="311"/>
      </w:r>
      <w:r w:rsidRPr="003706CB">
        <w:rPr>
          <w:color w:val="000000"/>
          <w:lang w:eastAsia="en-GB"/>
        </w:rPr>
        <w:t xml:space="preserve"> This is designed to </w:t>
      </w:r>
      <w:r w:rsidRPr="003706CB">
        <w:t>promote a culture of openness in the health service</w:t>
      </w:r>
      <w:r w:rsidRPr="003706CB" w:rsidDel="008032C6">
        <w:rPr>
          <w:lang w:val="en-US"/>
        </w:rPr>
        <w:t xml:space="preserve"> </w:t>
      </w:r>
      <w:r w:rsidRPr="003706CB">
        <w:rPr>
          <w:lang w:val="en-US"/>
        </w:rPr>
        <w:t xml:space="preserve">and will </w:t>
      </w:r>
      <w:r w:rsidRPr="003706CB">
        <w:rPr>
          <w:color w:val="000000" w:themeColor="text1"/>
        </w:rPr>
        <w:t>strengthen existing processes for raising concerns.</w:t>
      </w:r>
      <w:r w:rsidRPr="003706CB">
        <w:rPr>
          <w:rStyle w:val="FootnoteReference"/>
        </w:rPr>
        <w:footnoteReference w:id="312"/>
      </w:r>
      <w:r w:rsidRPr="003706CB">
        <w:rPr>
          <w:color w:val="000000" w:themeColor="text1"/>
        </w:rPr>
        <w:t xml:space="preserve"> </w:t>
      </w:r>
      <w:r w:rsidRPr="003706CB">
        <w:rPr>
          <w:lang w:val="en-US"/>
        </w:rPr>
        <w:t xml:space="preserve">The proposed </w:t>
      </w:r>
      <w:r w:rsidR="00DF0BBF">
        <w:rPr>
          <w:lang w:val="en-US"/>
        </w:rPr>
        <w:t>b</w:t>
      </w:r>
      <w:r w:rsidRPr="003706CB">
        <w:rPr>
          <w:lang w:val="en-US"/>
        </w:rPr>
        <w:t xml:space="preserve">ill will also bring forward a </w:t>
      </w:r>
      <w:r w:rsidR="00DC749A" w:rsidRPr="003706CB">
        <w:rPr>
          <w:lang w:val="en-US"/>
        </w:rPr>
        <w:t>duty of quality</w:t>
      </w:r>
      <w:r w:rsidR="00DC749A">
        <w:rPr>
          <w:lang w:val="en-US"/>
        </w:rPr>
        <w:t>,</w:t>
      </w:r>
      <w:r w:rsidR="00DC749A" w:rsidRPr="003706CB">
        <w:rPr>
          <w:lang w:val="en-US"/>
        </w:rPr>
        <w:t xml:space="preserve"> </w:t>
      </w:r>
      <w:r w:rsidRPr="003706CB">
        <w:rPr>
          <w:lang w:val="en-US"/>
        </w:rPr>
        <w:t xml:space="preserve">which will ensure </w:t>
      </w:r>
      <w:r w:rsidRPr="003706CB">
        <w:t xml:space="preserve">the concept of quality is the driving force behind improvements to NHS services in Wales. The </w:t>
      </w:r>
      <w:r w:rsidR="00DF0BBF">
        <w:t>b</w:t>
      </w:r>
      <w:r w:rsidRPr="003706CB">
        <w:t xml:space="preserve">ill will also </w:t>
      </w:r>
      <w:r w:rsidRPr="003706CB">
        <w:rPr>
          <w:lang w:val="en-US"/>
        </w:rPr>
        <w:lastRenderedPageBreak/>
        <w:t xml:space="preserve">establish a new independent citizen voice body </w:t>
      </w:r>
      <w:r w:rsidRPr="003706CB">
        <w:rPr>
          <w:color w:val="000000"/>
          <w:lang w:eastAsia="en-GB"/>
        </w:rPr>
        <w:t>which will operate across both health and social services.</w:t>
      </w:r>
      <w:r w:rsidRPr="00483050">
        <w:rPr>
          <w:color w:val="000000"/>
          <w:lang w:eastAsia="en-GB"/>
        </w:rPr>
        <w:t xml:space="preserve"> </w:t>
      </w:r>
    </w:p>
    <w:p w14:paraId="0A134F60" w14:textId="6CDF5B2C" w:rsidR="00C32DAA" w:rsidRPr="00A717CB" w:rsidRDefault="00C32DAA" w:rsidP="007C39AB">
      <w:pPr>
        <w:pStyle w:val="Parabeforeanother"/>
        <w:spacing w:line="240" w:lineRule="auto"/>
      </w:pPr>
      <w:r w:rsidRPr="00A717CB">
        <w:t xml:space="preserve">NHS </w:t>
      </w:r>
      <w:r w:rsidR="00DC749A">
        <w:t>t</w:t>
      </w:r>
      <w:r w:rsidR="00DC749A" w:rsidRPr="00A717CB">
        <w:t xml:space="preserve">rusts </w:t>
      </w:r>
      <w:r w:rsidRPr="00A717CB">
        <w:t xml:space="preserve">in England are now required to appoint a Freedom to Speak Up Guardian to support staff who report concerns about patient care and safety. Although it is too early to assess the effectiveness of these </w:t>
      </w:r>
      <w:r w:rsidR="00DC749A">
        <w:t>g</w:t>
      </w:r>
      <w:r w:rsidR="00DC749A" w:rsidRPr="00A717CB">
        <w:t>uardians</w:t>
      </w:r>
      <w:r w:rsidRPr="00A717CB">
        <w:t>,</w:t>
      </w:r>
      <w:r w:rsidRPr="00A717CB">
        <w:rPr>
          <w:rStyle w:val="FootnoteReference"/>
        </w:rPr>
        <w:footnoteReference w:id="313"/>
      </w:r>
      <w:r w:rsidRPr="00A717CB">
        <w:rPr>
          <w:rStyle w:val="FootnoteReference"/>
        </w:rPr>
        <w:t xml:space="preserve"> </w:t>
      </w:r>
      <w:r w:rsidRPr="00A717CB">
        <w:t xml:space="preserve">nearly </w:t>
      </w:r>
      <w:r w:rsidR="00DC749A">
        <w:t>4,000</w:t>
      </w:r>
      <w:r w:rsidRPr="00A717CB">
        <w:t xml:space="preserve"> members of staff spoke to their Freedom to Speak Up Guardian up to June 2017, raising </w:t>
      </w:r>
      <w:r w:rsidR="00DC749A">
        <w:t>more than</w:t>
      </w:r>
      <w:r w:rsidR="00DC749A" w:rsidRPr="00A717CB">
        <w:t xml:space="preserve"> </w:t>
      </w:r>
      <w:r w:rsidRPr="00A717CB">
        <w:t>a thousand patient safety incidents.</w:t>
      </w:r>
      <w:r w:rsidRPr="00A717CB">
        <w:rPr>
          <w:rStyle w:val="FootnoteReference"/>
        </w:rPr>
        <w:footnoteReference w:id="314"/>
      </w:r>
      <w:r w:rsidRPr="00A717CB">
        <w:t xml:space="preserve"> In Wales there is no equivalent requirement but a helpline and campaign to help staff speak up </w:t>
      </w:r>
      <w:r w:rsidR="00DC749A" w:rsidRPr="00A717CB">
        <w:t>ha</w:t>
      </w:r>
      <w:r w:rsidR="00DC749A">
        <w:t>ve</w:t>
      </w:r>
      <w:r w:rsidR="00DC749A" w:rsidRPr="00A717CB">
        <w:t xml:space="preserve"> </w:t>
      </w:r>
      <w:r w:rsidRPr="00A717CB">
        <w:t xml:space="preserve">been launched in one </w:t>
      </w:r>
      <w:r w:rsidR="00DC749A" w:rsidRPr="00A717CB">
        <w:t>health board</w:t>
      </w:r>
      <w:r w:rsidRPr="00A717CB">
        <w:t>.</w:t>
      </w:r>
      <w:r w:rsidRPr="00A717CB">
        <w:rPr>
          <w:rStyle w:val="FootnoteReference"/>
        </w:rPr>
        <w:footnoteReference w:id="315"/>
      </w:r>
    </w:p>
    <w:p w14:paraId="21D8CD66" w14:textId="1FF3B253" w:rsidR="00C32DAA" w:rsidRPr="00A717CB" w:rsidRDefault="00C32DAA" w:rsidP="007C39AB">
      <w:pPr>
        <w:pStyle w:val="Parabeforeanother"/>
        <w:spacing w:line="240" w:lineRule="auto"/>
      </w:pPr>
      <w:r w:rsidRPr="00A717CB">
        <w:t xml:space="preserve">NHS </w:t>
      </w:r>
      <w:r w:rsidR="00DC749A">
        <w:t>t</w:t>
      </w:r>
      <w:r w:rsidR="00DC749A" w:rsidRPr="00A717CB">
        <w:t xml:space="preserve">rusts </w:t>
      </w:r>
      <w:r w:rsidRPr="00A717CB">
        <w:t>in England are required to report on the number of deaths that occur due to failures of care in their premises and on the steps taken to investigate these deaths.</w:t>
      </w:r>
      <w:r w:rsidRPr="00A717CB">
        <w:rPr>
          <w:rStyle w:val="FootnoteReference"/>
        </w:rPr>
        <w:footnoteReference w:id="316"/>
      </w:r>
      <w:r w:rsidRPr="00A717CB">
        <w:t xml:space="preserve"> While these are welcome developments, we are concerned that the duty to report on deaths does not require the collection of data </w:t>
      </w:r>
      <w:r w:rsidR="00DC749A">
        <w:t>about</w:t>
      </w:r>
      <w:r w:rsidR="00DC749A" w:rsidRPr="00A717CB">
        <w:t xml:space="preserve"> </w:t>
      </w:r>
      <w:r w:rsidRPr="00A717CB">
        <w:t>the protected characteristics of patients, which would help to identify any disproportionality.</w:t>
      </w:r>
      <w:r w:rsidRPr="00A717CB">
        <w:rPr>
          <w:rStyle w:val="FootnoteReference"/>
        </w:rPr>
        <w:footnoteReference w:id="317"/>
      </w:r>
      <w:r w:rsidRPr="00A717CB">
        <w:t xml:space="preserve"> </w:t>
      </w:r>
    </w:p>
    <w:p w14:paraId="154C8C63" w14:textId="165B8148" w:rsidR="00C32DAA" w:rsidRPr="00A717CB" w:rsidRDefault="00C32DAA" w:rsidP="007C39AB">
      <w:pPr>
        <w:pStyle w:val="Parabeforeanother"/>
        <w:spacing w:line="240" w:lineRule="auto"/>
      </w:pPr>
      <w:r w:rsidRPr="00306B7E">
        <w:t>In April 2017, the Healthcare Safety Investigation Branch (HSIB) was set up to investigate patient safety incidents in a</w:t>
      </w:r>
      <w:r w:rsidRPr="00C61472">
        <w:t>ll NHS settings in England.</w:t>
      </w:r>
      <w:r w:rsidRPr="00664589">
        <w:rPr>
          <w:rStyle w:val="FootnoteReference"/>
          <w:vertAlign w:val="baseline"/>
        </w:rPr>
        <w:footnoteReference w:id="318"/>
      </w:r>
      <w:r w:rsidRPr="00306B7E">
        <w:t xml:space="preserve"> There is no equivalent body in Wales. The establishment of an independent investigatory unit was one of the key recommendations in the EHRC’s </w:t>
      </w:r>
      <w:r w:rsidR="00AA5700">
        <w:t>‘</w:t>
      </w:r>
      <w:r w:rsidR="00DC749A" w:rsidRPr="00306B7E">
        <w:t>P</w:t>
      </w:r>
      <w:r w:rsidR="00DC749A" w:rsidRPr="00664589">
        <w:t>reventing Deaths in</w:t>
      </w:r>
      <w:r w:rsidR="00DC749A" w:rsidRPr="00306B7E">
        <w:t xml:space="preserve"> Detention of Adults</w:t>
      </w:r>
      <w:r w:rsidR="00DC749A" w:rsidRPr="00664589">
        <w:t xml:space="preserve"> with Mental Health</w:t>
      </w:r>
      <w:r w:rsidR="00AA5700" w:rsidRPr="00306B7E">
        <w:t xml:space="preserve"> </w:t>
      </w:r>
      <w:r w:rsidR="00DC749A" w:rsidRPr="00664589">
        <w:t>Conditions</w:t>
      </w:r>
      <w:r w:rsidR="00AA5700">
        <w:t>’ report.</w:t>
      </w:r>
      <w:r w:rsidRPr="00A717CB">
        <w:rPr>
          <w:rStyle w:val="FootnoteReference"/>
        </w:rPr>
        <w:footnoteReference w:id="319"/>
      </w:r>
      <w:r w:rsidRPr="00A717CB">
        <w:t xml:space="preserve"> </w:t>
      </w:r>
    </w:p>
    <w:p w14:paraId="34B26CA2" w14:textId="4E89A566" w:rsidR="00C32DAA" w:rsidRPr="00A717CB" w:rsidRDefault="00C32DAA" w:rsidP="007C39AB">
      <w:pPr>
        <w:pStyle w:val="Parabeforeanother"/>
        <w:spacing w:line="240" w:lineRule="auto"/>
      </w:pPr>
      <w:r w:rsidRPr="00A717CB">
        <w:t>However, we have a number of concerns about the operation of</w:t>
      </w:r>
      <w:r w:rsidR="00CE5273">
        <w:t xml:space="preserve"> the</w:t>
      </w:r>
      <w:r w:rsidRPr="00A717CB">
        <w:t xml:space="preserve"> HSIB, including the limited number of investigations (30) it can take on annually</w:t>
      </w:r>
      <w:r w:rsidR="00EB2214">
        <w:t xml:space="preserve"> </w:t>
      </w:r>
      <w:r w:rsidRPr="00A717CB">
        <w:t xml:space="preserve">This is inadequate given the large number of safety incidents that take place each year, </w:t>
      </w:r>
      <w:r w:rsidR="00AA5700">
        <w:t>which result</w:t>
      </w:r>
      <w:r w:rsidR="00AA5700" w:rsidRPr="00A717CB">
        <w:t xml:space="preserve"> </w:t>
      </w:r>
      <w:r w:rsidRPr="00A717CB">
        <w:t>in 12,000 avoidable deaths and 24,000 serious patient safety incidents.</w:t>
      </w:r>
      <w:r w:rsidRPr="00A717CB">
        <w:rPr>
          <w:vertAlign w:val="superscript"/>
        </w:rPr>
        <w:footnoteReference w:id="320"/>
      </w:r>
      <w:r w:rsidRPr="00A717CB">
        <w:t xml:space="preserve"> In one study, the CQC identified 58,664 reported safety incidents in 54 </w:t>
      </w:r>
      <w:r w:rsidR="00E47086" w:rsidRPr="00A717CB">
        <w:t xml:space="preserve">mental health trusts </w:t>
      </w:r>
      <w:r w:rsidRPr="00A717CB">
        <w:t>between April and June 2017.</w:t>
      </w:r>
      <w:r w:rsidRPr="00A717CB">
        <w:rPr>
          <w:vertAlign w:val="superscript"/>
        </w:rPr>
        <w:footnoteReference w:id="321"/>
      </w:r>
      <w:r w:rsidRPr="00A717CB">
        <w:t xml:space="preserve"> Moreover, </w:t>
      </w:r>
      <w:r w:rsidR="00733F9D">
        <w:t xml:space="preserve">the </w:t>
      </w:r>
      <w:r w:rsidRPr="00A717CB">
        <w:t xml:space="preserve">HSIB lacks any mechanism to ensure that its recommendations are acted upon. </w:t>
      </w:r>
    </w:p>
    <w:p w14:paraId="3BFE654F" w14:textId="133884EB" w:rsidR="00C32DAA" w:rsidRPr="00A717CB" w:rsidRDefault="00C32DAA" w:rsidP="007C39AB">
      <w:pPr>
        <w:pStyle w:val="Parabeforenewsubsection"/>
        <w:spacing w:line="240" w:lineRule="auto"/>
      </w:pPr>
      <w:r w:rsidRPr="00A717CB">
        <w:t xml:space="preserve">A </w:t>
      </w:r>
      <w:r w:rsidR="00DF0BBF">
        <w:t>b</w:t>
      </w:r>
      <w:r w:rsidRPr="00A717CB">
        <w:t xml:space="preserve">ill is currently before the UK Parliament proposing to create a separate body which will establish </w:t>
      </w:r>
      <w:r w:rsidR="00733F9D">
        <w:t xml:space="preserve">the </w:t>
      </w:r>
      <w:r w:rsidRPr="00A717CB">
        <w:t>HSIB’s independence in statute.</w:t>
      </w:r>
      <w:r w:rsidRPr="00A717CB">
        <w:rPr>
          <w:rStyle w:val="FootnoteReference"/>
        </w:rPr>
        <w:footnoteReference w:id="322"/>
      </w:r>
      <w:r w:rsidRPr="00A717CB">
        <w:t xml:space="preserve"> </w:t>
      </w:r>
      <w:r w:rsidR="00836B9A">
        <w:t xml:space="preserve">The </w:t>
      </w:r>
      <w:r w:rsidRPr="00A717CB">
        <w:t xml:space="preserve">EHRC welcomes the proposal to establish the Healthcare Services Safety Investigation Branch (HSSIB), but we have concerns about some aspects of the </w:t>
      </w:r>
      <w:r w:rsidR="00DF0BBF">
        <w:t>b</w:t>
      </w:r>
      <w:r w:rsidRPr="00A717CB">
        <w:t xml:space="preserve">ill. In particular, the ability of HSSIB to conduct investigations that are fully compliant with Article 12 </w:t>
      </w:r>
      <w:r w:rsidR="00AA5700">
        <w:t>of</w:t>
      </w:r>
      <w:r w:rsidR="00457D5C">
        <w:t xml:space="preserve"> </w:t>
      </w:r>
      <w:r w:rsidRPr="00A717CB">
        <w:t xml:space="preserve">CAT requires the extension of its investigative function to any incident where there are clear indications that serious ill-treatment may have occurred, even if it did not result in a death. We also have concerns about the procedure for </w:t>
      </w:r>
      <w:r w:rsidR="00482911">
        <w:t xml:space="preserve">appointing key officers of </w:t>
      </w:r>
      <w:r w:rsidR="00482911">
        <w:lastRenderedPageBreak/>
        <w:t>HSSIB, wh</w:t>
      </w:r>
      <w:r w:rsidRPr="00A717CB">
        <w:t xml:space="preserve">ich may prevent </w:t>
      </w:r>
      <w:r w:rsidR="00482911">
        <w:t>it</w:t>
      </w:r>
      <w:r w:rsidRPr="00A717CB">
        <w:t xml:space="preserve"> from conducting investigations that are fully independent of </w:t>
      </w:r>
      <w:r w:rsidR="00AA5700" w:rsidRPr="00A717CB">
        <w:t>th</w:t>
      </w:r>
      <w:r w:rsidR="00AA5700">
        <w:t>e organisations</w:t>
      </w:r>
      <w:r w:rsidR="00AA5700" w:rsidRPr="00A717CB">
        <w:t xml:space="preserve"> </w:t>
      </w:r>
      <w:r w:rsidRPr="00A717CB">
        <w:t>it investigates.</w:t>
      </w:r>
      <w:r w:rsidRPr="00A717CB">
        <w:rPr>
          <w:rStyle w:val="FootnoteReference"/>
        </w:rPr>
        <w:footnoteReference w:id="323"/>
      </w:r>
      <w:r w:rsidRPr="00A717CB">
        <w:t xml:space="preserve"> </w:t>
      </w:r>
    </w:p>
    <w:p w14:paraId="2981551A" w14:textId="533714D7" w:rsidR="00C32DAA" w:rsidRPr="00A717CB" w:rsidRDefault="00C32DAA" w:rsidP="0042023F">
      <w:pPr>
        <w:pStyle w:val="Title-subsections"/>
      </w:pPr>
      <w:bookmarkStart w:id="72" w:name="_Toc4061434"/>
      <w:r w:rsidRPr="00A717CB">
        <w:t xml:space="preserve">Ill-treatment of older and disabled </w:t>
      </w:r>
      <w:r w:rsidR="00A30DC7" w:rsidRPr="00A717CB">
        <w:t>pe</w:t>
      </w:r>
      <w:r w:rsidR="00A30DC7">
        <w:t>ople</w:t>
      </w:r>
      <w:r w:rsidR="00A30DC7" w:rsidRPr="00A717CB">
        <w:t xml:space="preserve"> </w:t>
      </w:r>
      <w:r w:rsidRPr="00A717CB">
        <w:t>receiving social care</w:t>
      </w:r>
      <w:bookmarkEnd w:id="72"/>
      <w:r w:rsidRPr="00A717CB">
        <w:t xml:space="preserve"> </w:t>
      </w:r>
    </w:p>
    <w:p w14:paraId="61AA9245" w14:textId="30EC485B" w:rsidR="00C32DAA" w:rsidRPr="00A717CB" w:rsidRDefault="00C32DAA" w:rsidP="007C39AB">
      <w:pPr>
        <w:pStyle w:val="Parabeforeanother"/>
        <w:spacing w:line="240" w:lineRule="auto"/>
      </w:pPr>
      <w:r w:rsidRPr="00A717CB">
        <w:t>Substantial reductions in government funding to local authorities since 2010-11</w:t>
      </w:r>
      <w:r w:rsidR="00AA5700">
        <w:t>,</w:t>
      </w:r>
      <w:r w:rsidRPr="00A717CB">
        <w:rPr>
          <w:vertAlign w:val="superscript"/>
        </w:rPr>
        <w:footnoteReference w:id="324"/>
      </w:r>
      <w:r w:rsidRPr="00A717CB">
        <w:t xml:space="preserve"> combined with growth in the adult population</w:t>
      </w:r>
      <w:r w:rsidR="00AA5700">
        <w:t>,</w:t>
      </w:r>
      <w:r w:rsidRPr="00A717CB">
        <w:t xml:space="preserve"> has resulted in a growing number of older or disabled people in England not receiving the care services they require in their homes or in residential settings.</w:t>
      </w:r>
      <w:r w:rsidRPr="00A717CB">
        <w:rPr>
          <w:rStyle w:val="FootnoteReference"/>
        </w:rPr>
        <w:footnoteReference w:id="325"/>
      </w:r>
      <w:r w:rsidRPr="00A717CB">
        <w:t xml:space="preserve"> In its 2017 concluding observations, UNCRPD found this to be undermining the right of disabled people to live independently and be part of the community.</w:t>
      </w:r>
      <w:r w:rsidRPr="00A717CB">
        <w:rPr>
          <w:rStyle w:val="FootnoteReference"/>
        </w:rPr>
        <w:footnoteReference w:id="326"/>
      </w:r>
      <w:r w:rsidRPr="00A717CB">
        <w:t xml:space="preserve"> By affecting the ability of people to access basic needs such as eating, washing and going to the toilet, it may also amount in extreme cases to inhuman and degrading treatment.</w:t>
      </w:r>
      <w:r w:rsidRPr="00A717CB">
        <w:rPr>
          <w:rStyle w:val="FootnoteReference"/>
        </w:rPr>
        <w:footnoteReference w:id="327"/>
      </w:r>
      <w:r w:rsidRPr="00A717CB">
        <w:t xml:space="preserve"> </w:t>
      </w:r>
    </w:p>
    <w:p w14:paraId="7329F1A2" w14:textId="1D245D55" w:rsidR="00C32DAA" w:rsidRPr="00A717CB" w:rsidRDefault="00C32DAA" w:rsidP="007C39AB">
      <w:pPr>
        <w:pStyle w:val="Parabeforeanother"/>
        <w:spacing w:line="240" w:lineRule="auto"/>
      </w:pPr>
      <w:r w:rsidRPr="00A717CB">
        <w:t xml:space="preserve">In recent years, there has been a substantial increase in the number of reports of abuse and neglect of older people in care homes. Data obtained from the CQC by the </w:t>
      </w:r>
      <w:r w:rsidRPr="00664589">
        <w:rPr>
          <w:i/>
        </w:rPr>
        <w:t>Sunday Times</w:t>
      </w:r>
      <w:r w:rsidRPr="00A717CB">
        <w:t xml:space="preserve"> newspaper show a 40</w:t>
      </w:r>
      <w:r w:rsidR="00DD2881">
        <w:t xml:space="preserve"> per cent</w:t>
      </w:r>
      <w:r w:rsidRPr="00A717CB">
        <w:t xml:space="preserve"> increase in notifications of serious injury of residents </w:t>
      </w:r>
      <w:r w:rsidR="008F06FB">
        <w:t>in</w:t>
      </w:r>
      <w:r w:rsidRPr="00A717CB">
        <w:t xml:space="preserve"> care homes in England between 2012 and 2016, from 26,779 to 38,676.</w:t>
      </w:r>
      <w:r>
        <w:rPr>
          <w:rStyle w:val="FootnoteReference"/>
        </w:rPr>
        <w:footnoteReference w:id="328"/>
      </w:r>
      <w:r w:rsidRPr="00A717CB">
        <w:t xml:space="preserve"> Injuries included infected bedsores, broken bones and burns, some of which were due to neglect and other failings in care.</w:t>
      </w:r>
    </w:p>
    <w:p w14:paraId="3141375F" w14:textId="1ACAAC0A" w:rsidR="00C32DAA" w:rsidRPr="00A717CB" w:rsidRDefault="00C32DAA" w:rsidP="007C39AB">
      <w:pPr>
        <w:pStyle w:val="Parabeforeanother"/>
        <w:spacing w:line="240" w:lineRule="auto"/>
      </w:pPr>
      <w:r w:rsidRPr="00A717CB">
        <w:t>The Welsh Government has prioritised social care in budget allocations to local authorities since 2010 and has committed to continue to do so. However, there has been a real terms reduction in budgets for social care services of over 12</w:t>
      </w:r>
      <w:r w:rsidR="00DD2881">
        <w:t xml:space="preserve"> per cent</w:t>
      </w:r>
      <w:r w:rsidRPr="00A717CB">
        <w:t xml:space="preserve"> due to increasing need for services.</w:t>
      </w:r>
      <w:r w:rsidRPr="00A717CB">
        <w:rPr>
          <w:rStyle w:val="FootnoteReference"/>
        </w:rPr>
        <w:footnoteReference w:id="329"/>
      </w:r>
      <w:r w:rsidRPr="00A717CB">
        <w:t xml:space="preserve"> A 2018 report by the Older People’s Commissioner in Wales commended improvements in inspection frameworks and training provided to social care workers, but found that significant action is still required so that older people can have a good quality of life.</w:t>
      </w:r>
      <w:r w:rsidRPr="00A717CB">
        <w:rPr>
          <w:vertAlign w:val="superscript"/>
        </w:rPr>
        <w:footnoteReference w:id="330"/>
      </w:r>
    </w:p>
    <w:p w14:paraId="6DD51A68" w14:textId="5235D413" w:rsidR="00306B7E" w:rsidRDefault="00C32DAA" w:rsidP="007C39AB">
      <w:pPr>
        <w:pStyle w:val="Parabeforeanother"/>
        <w:spacing w:line="240" w:lineRule="auto"/>
      </w:pPr>
      <w:r w:rsidRPr="00A717CB">
        <w:t>Under the Care Act 2014, local authorities in England must set up safeguarding adult boards to respond to safeguarding inquiries and to conduct Safeguarding Adults Reviews when people die as a result of neglect or abuse or have experienced serious abuse or neglect. Between 2016 and 2017, 109,145 people were the subject of a safeguarding inquiry in England, represe</w:t>
      </w:r>
      <w:r w:rsidR="00AE2DAD">
        <w:t>nting an increase of 6</w:t>
      </w:r>
      <w:r w:rsidR="00DD2881">
        <w:t xml:space="preserve"> per cent</w:t>
      </w:r>
      <w:r w:rsidR="00AE2DAD">
        <w:t xml:space="preserve"> </w:t>
      </w:r>
      <w:r w:rsidR="00AA5700">
        <w:t xml:space="preserve">since </w:t>
      </w:r>
      <w:r w:rsidR="00AE2DAD">
        <w:t>2015/</w:t>
      </w:r>
      <w:r w:rsidRPr="00A717CB">
        <w:t>16</w:t>
      </w:r>
      <w:r w:rsidR="00AA5700">
        <w:t xml:space="preserve">, </w:t>
      </w:r>
      <w:r w:rsidR="003A62C0">
        <w:t xml:space="preserve"> although the increase needs to be considered with caution due to changes in the </w:t>
      </w:r>
      <w:r w:rsidR="006208C3">
        <w:t xml:space="preserve">system for </w:t>
      </w:r>
      <w:r w:rsidR="003A62C0">
        <w:t xml:space="preserve">reporting </w:t>
      </w:r>
      <w:r w:rsidR="006208C3">
        <w:t xml:space="preserve">inquiries </w:t>
      </w:r>
      <w:r w:rsidR="003A62C0">
        <w:t>during this period</w:t>
      </w:r>
      <w:r w:rsidRPr="00A717CB">
        <w:t>.</w:t>
      </w:r>
      <w:r w:rsidRPr="00A717CB">
        <w:rPr>
          <w:vertAlign w:val="superscript"/>
        </w:rPr>
        <w:footnoteReference w:id="331"/>
      </w:r>
      <w:r w:rsidRPr="00A717CB">
        <w:t xml:space="preserve"> Inquiry rates were higher </w:t>
      </w:r>
      <w:r w:rsidR="00306B7E">
        <w:lastRenderedPageBreak/>
        <w:t>for</w:t>
      </w:r>
      <w:r w:rsidR="00306B7E" w:rsidRPr="00A717CB">
        <w:t xml:space="preserve"> people aged over 75</w:t>
      </w:r>
      <w:r w:rsidR="00306B7E">
        <w:t>;</w:t>
      </w:r>
      <w:r w:rsidR="00306B7E" w:rsidRPr="00A717CB">
        <w:t xml:space="preserve"> </w:t>
      </w:r>
      <w:r w:rsidRPr="00A717CB">
        <w:t>for women than for men</w:t>
      </w:r>
      <w:r w:rsidR="00AA5700">
        <w:t xml:space="preserve">; </w:t>
      </w:r>
      <w:r w:rsidRPr="00A717CB">
        <w:t xml:space="preserve">and </w:t>
      </w:r>
      <w:r w:rsidR="00306B7E">
        <w:t xml:space="preserve">for </w:t>
      </w:r>
      <w:r w:rsidRPr="00A717CB">
        <w:t xml:space="preserve">ethnic minorities than for </w:t>
      </w:r>
      <w:r w:rsidR="00306B7E">
        <w:t>w</w:t>
      </w:r>
      <w:r w:rsidR="00306B7E" w:rsidRPr="00A717CB">
        <w:t xml:space="preserve">hite </w:t>
      </w:r>
      <w:r w:rsidRPr="00A717CB">
        <w:t>people.</w:t>
      </w:r>
      <w:r w:rsidRPr="00A717CB">
        <w:rPr>
          <w:rStyle w:val="FootnoteReference"/>
        </w:rPr>
        <w:footnoteReference w:id="332"/>
      </w:r>
      <w:r w:rsidRPr="00A717CB">
        <w:t xml:space="preserve"> </w:t>
      </w:r>
    </w:p>
    <w:p w14:paraId="08BED9FB" w14:textId="3963F075" w:rsidR="00C32DAA" w:rsidRPr="00A717CB" w:rsidRDefault="00C32DAA" w:rsidP="007C39AB">
      <w:pPr>
        <w:pStyle w:val="Parabeforenewsubsection"/>
        <w:spacing w:line="240" w:lineRule="auto"/>
        <w:rPr>
          <w:lang w:eastAsia="en-GB"/>
        </w:rPr>
      </w:pPr>
      <w:r w:rsidRPr="00A717CB">
        <w:rPr>
          <w:lang w:eastAsia="en-GB"/>
        </w:rPr>
        <w:t>In 2016</w:t>
      </w:r>
      <w:r w:rsidR="00306B7E">
        <w:rPr>
          <w:lang w:eastAsia="en-GB"/>
        </w:rPr>
        <w:t>,</w:t>
      </w:r>
      <w:r w:rsidRPr="00A717CB">
        <w:rPr>
          <w:lang w:eastAsia="en-GB"/>
        </w:rPr>
        <w:t xml:space="preserve"> the Welsh Care Inspectorate expressed concerns about the leadership and governance of safeguarding for adults with learning disabilities.</w:t>
      </w:r>
      <w:r w:rsidRPr="00A717CB">
        <w:rPr>
          <w:rStyle w:val="FootnoteReference"/>
          <w:lang w:eastAsia="en-GB"/>
        </w:rPr>
        <w:footnoteReference w:id="333"/>
      </w:r>
      <w:r w:rsidRPr="00A717CB">
        <w:rPr>
          <w:lang w:eastAsia="en-GB"/>
        </w:rPr>
        <w:t xml:space="preserve"> Under the Social Services and Well-being (Wales) Act 2014, a National Independent Safeguarding Board was set up to provide advice and support, and to report and make recommendations to Welsh </w:t>
      </w:r>
      <w:r w:rsidR="00306B7E">
        <w:rPr>
          <w:lang w:eastAsia="en-GB"/>
        </w:rPr>
        <w:t>m</w:t>
      </w:r>
      <w:r w:rsidR="00306B7E" w:rsidRPr="00A717CB">
        <w:rPr>
          <w:lang w:eastAsia="en-GB"/>
        </w:rPr>
        <w:t xml:space="preserve">inisters </w:t>
      </w:r>
      <w:r w:rsidRPr="00A717CB">
        <w:rPr>
          <w:lang w:eastAsia="en-GB"/>
        </w:rPr>
        <w:t>on the adequacy and effectiveness of arrangements to safeguard children and adults in Wales.</w:t>
      </w:r>
    </w:p>
    <w:p w14:paraId="1F54D654" w14:textId="77777777" w:rsidR="00C32DAA" w:rsidRPr="00A717CB" w:rsidRDefault="00C32DAA" w:rsidP="0095032F">
      <w:pPr>
        <w:pStyle w:val="Title-subsections"/>
      </w:pPr>
      <w:bookmarkStart w:id="73" w:name="_Toc4061435"/>
      <w:r w:rsidRPr="00A717CB">
        <w:t>Recommendations</w:t>
      </w:r>
      <w:bookmarkEnd w:id="73"/>
    </w:p>
    <w:p w14:paraId="14AF0FC9" w14:textId="77777777" w:rsidR="00C32DAA" w:rsidRPr="00A717CB" w:rsidRDefault="00C32DAA" w:rsidP="007C39AB">
      <w:pPr>
        <w:pStyle w:val="Parabeforebulletss"/>
        <w:spacing w:line="240" w:lineRule="auto"/>
      </w:pPr>
      <w:r w:rsidRPr="00A717CB">
        <w:t>The UK Government should:</w:t>
      </w:r>
    </w:p>
    <w:p w14:paraId="1AFD5F7F" w14:textId="4A0C7CC3" w:rsidR="00C32DAA" w:rsidRPr="00A717CB" w:rsidRDefault="00C32DAA" w:rsidP="007C39AB">
      <w:pPr>
        <w:pStyle w:val="Bullet-lastingroup"/>
        <w:spacing w:line="240" w:lineRule="auto"/>
      </w:pPr>
      <w:r w:rsidRPr="00A717CB">
        <w:t>Use the process of placing the H</w:t>
      </w:r>
      <w:r w:rsidR="0058433D">
        <w:t>SIB</w:t>
      </w:r>
      <w:r w:rsidRPr="00A717CB">
        <w:t xml:space="preserve"> on a statutory footing to clarify and strengthen its role in conducting investigations compatible with the requirements of Article 12 </w:t>
      </w:r>
      <w:r w:rsidR="00306B7E">
        <w:t xml:space="preserve">of </w:t>
      </w:r>
      <w:r w:rsidRPr="00A717CB">
        <w:t>CAT into patient safety incidents in all healthcare settings.</w:t>
      </w:r>
    </w:p>
    <w:p w14:paraId="05455DF0" w14:textId="4A4DB6D6" w:rsidR="00C32DAA" w:rsidRPr="00A717CB" w:rsidRDefault="007C24A5" w:rsidP="007C39AB">
      <w:pPr>
        <w:pStyle w:val="Parabeforebulletss"/>
        <w:spacing w:line="240" w:lineRule="auto"/>
      </w:pPr>
      <w:r>
        <w:t>The Welsh Government should:</w:t>
      </w:r>
    </w:p>
    <w:p w14:paraId="513168A6" w14:textId="77777777" w:rsidR="00C32DAA" w:rsidRPr="00A717CB" w:rsidRDefault="00C32DAA" w:rsidP="007C39AB">
      <w:pPr>
        <w:pStyle w:val="Bullet-lastingroup"/>
        <w:spacing w:line="240" w:lineRule="auto"/>
      </w:pPr>
      <w:r w:rsidRPr="00A717CB">
        <w:t>Consider establishing an independent body to investigate patient safety incidents in all healthcare settings in Wales.</w:t>
      </w:r>
    </w:p>
    <w:p w14:paraId="6F888570" w14:textId="5C1B30E3" w:rsidR="00C32DAA" w:rsidRPr="00A717CB" w:rsidRDefault="00C32DAA" w:rsidP="007C39AB">
      <w:pPr>
        <w:pStyle w:val="Parabeforebulletss"/>
        <w:spacing w:line="240" w:lineRule="auto"/>
      </w:pPr>
      <w:r w:rsidRPr="00A717CB">
        <w:t xml:space="preserve">The UK and Welsh </w:t>
      </w:r>
      <w:r w:rsidR="00976CA0">
        <w:t>G</w:t>
      </w:r>
      <w:r w:rsidR="00976CA0" w:rsidRPr="00A717CB">
        <w:t xml:space="preserve">overnments </w:t>
      </w:r>
      <w:r w:rsidRPr="00A717CB">
        <w:t xml:space="preserve">should: </w:t>
      </w:r>
    </w:p>
    <w:p w14:paraId="2E3675BF" w14:textId="6586E645" w:rsidR="00C61472" w:rsidRDefault="00C32DAA" w:rsidP="007C39AB">
      <w:pPr>
        <w:pStyle w:val="Bullet-followedbyothers"/>
        <w:spacing w:line="240" w:lineRule="auto"/>
      </w:pPr>
      <w:r w:rsidRPr="00A717CB">
        <w:t>Monitor the impact of any reductions in the availability of adult social care on the dignity and wellbeing of older and disabled people, including their right to live independently</w:t>
      </w:r>
      <w:r w:rsidR="00C61472">
        <w:t>.</w:t>
      </w:r>
      <w:r w:rsidRPr="00A717CB">
        <w:t xml:space="preserve"> </w:t>
      </w:r>
    </w:p>
    <w:p w14:paraId="6374116C" w14:textId="16A3E9B9" w:rsidR="00C32DAA" w:rsidRPr="00024350" w:rsidRDefault="00C61472" w:rsidP="007C39AB">
      <w:pPr>
        <w:pStyle w:val="Bullet-followedbyothers"/>
        <w:spacing w:after="720" w:line="240" w:lineRule="auto"/>
      </w:pPr>
      <w:r>
        <w:t xml:space="preserve">Monitor the </w:t>
      </w:r>
      <w:r w:rsidR="00C32DAA">
        <w:t xml:space="preserve">extent of unmet needs, and </w:t>
      </w:r>
      <w:r w:rsidR="00C32DAA" w:rsidRPr="00024350">
        <w:t>develop plans to progressively close gaps in meeting needs.</w:t>
      </w:r>
    </w:p>
    <w:p w14:paraId="5DF7C428" w14:textId="77777777" w:rsidR="001F7BEB" w:rsidRDefault="001F7BEB">
      <w:pPr>
        <w:spacing w:after="160" w:line="259" w:lineRule="auto"/>
        <w:rPr>
          <w:rFonts w:ascii="Georgia" w:eastAsiaTheme="majorEastAsia" w:hAnsi="Georgia"/>
          <w:bCs/>
          <w:color w:val="D40F7D"/>
          <w:sz w:val="40"/>
          <w:szCs w:val="40"/>
        </w:rPr>
      </w:pPr>
      <w:r>
        <w:rPr>
          <w:rFonts w:eastAsiaTheme="majorEastAsia"/>
          <w:sz w:val="40"/>
          <w:szCs w:val="40"/>
        </w:rPr>
        <w:br w:type="page"/>
      </w:r>
    </w:p>
    <w:p w14:paraId="4409A65C" w14:textId="77777777" w:rsidR="003C1836" w:rsidRDefault="003C1836" w:rsidP="00DC125E">
      <w:pPr>
        <w:pStyle w:val="Title-chapterpink"/>
        <w:rPr>
          <w:rFonts w:eastAsiaTheme="majorEastAsia"/>
          <w:sz w:val="40"/>
          <w:szCs w:val="40"/>
        </w:rPr>
        <w:sectPr w:rsidR="003C1836" w:rsidSect="00C32DAA">
          <w:headerReference w:type="default" r:id="rId23"/>
          <w:pgSz w:w="11906" w:h="16838" w:code="9"/>
          <w:pgMar w:top="1440" w:right="1440" w:bottom="1440" w:left="1440" w:header="567" w:footer="567" w:gutter="0"/>
          <w:cols w:space="708"/>
          <w:docGrid w:linePitch="360"/>
        </w:sectPr>
      </w:pPr>
    </w:p>
    <w:p w14:paraId="3B2736FD" w14:textId="6A185F37" w:rsidR="00C32DAA" w:rsidRPr="007C39AB" w:rsidRDefault="00DC125E" w:rsidP="00DC125E">
      <w:pPr>
        <w:pStyle w:val="Title-chapterpink"/>
        <w:rPr>
          <w:rFonts w:eastAsiaTheme="majorEastAsia"/>
          <w:sz w:val="40"/>
          <w:szCs w:val="40"/>
        </w:rPr>
      </w:pPr>
      <w:bookmarkStart w:id="74" w:name="_Toc4061436"/>
      <w:r w:rsidRPr="007C39AB">
        <w:rPr>
          <w:rFonts w:eastAsiaTheme="majorEastAsia"/>
          <w:sz w:val="40"/>
          <w:szCs w:val="40"/>
        </w:rPr>
        <w:lastRenderedPageBreak/>
        <w:t xml:space="preserve">10. </w:t>
      </w:r>
      <w:r w:rsidR="00C32DAA" w:rsidRPr="007C39AB">
        <w:rPr>
          <w:sz w:val="40"/>
          <w:szCs w:val="40"/>
        </w:rPr>
        <w:t>Asylum and migration procedures</w:t>
      </w:r>
      <w:bookmarkEnd w:id="74"/>
    </w:p>
    <w:p w14:paraId="74DDC30C" w14:textId="12A34344" w:rsidR="00ED24D8" w:rsidRDefault="00DC125E" w:rsidP="00DC125E">
      <w:pPr>
        <w:pStyle w:val="Title-sectionspink"/>
      </w:pPr>
      <w:bookmarkStart w:id="75" w:name="_Toc4061437"/>
      <w:r>
        <w:t xml:space="preserve">10.1 </w:t>
      </w:r>
      <w:r w:rsidR="00C32DAA" w:rsidRPr="00A717CB">
        <w:t>Use of diplomatic assurances</w:t>
      </w:r>
      <w:bookmarkEnd w:id="75"/>
    </w:p>
    <w:p w14:paraId="1C58339D" w14:textId="4A1CADAD" w:rsidR="00ED24D8" w:rsidRDefault="007C39AB" w:rsidP="007C39AB">
      <w:pPr>
        <w:pStyle w:val="Parabeforeanother"/>
        <w:spacing w:after="260"/>
        <w:rPr>
          <w:rFonts w:ascii="Georgia" w:hAnsi="Georgia"/>
          <w:sz w:val="28"/>
          <w:szCs w:val="28"/>
        </w:rPr>
      </w:pPr>
      <w:r>
        <w:rPr>
          <w:rFonts w:ascii="Georgia" w:hAnsi="Georgia"/>
          <w:sz w:val="28"/>
          <w:szCs w:val="28"/>
        </w:rPr>
        <w:t>R</w:t>
      </w:r>
      <w:r w:rsidR="00ED24D8">
        <w:rPr>
          <w:rFonts w:ascii="Georgia" w:hAnsi="Georgia"/>
          <w:sz w:val="28"/>
          <w:szCs w:val="28"/>
        </w:rPr>
        <w:t>elates to CAT Article 3, CO paragraph 18 and list of issues paragraph 14</w:t>
      </w:r>
    </w:p>
    <w:p w14:paraId="5905FBBC" w14:textId="0F48685D" w:rsidR="00600D54" w:rsidRPr="00ED24D8" w:rsidRDefault="00600D54" w:rsidP="00ED24D8">
      <w:pPr>
        <w:pStyle w:val="Parabeforeanother"/>
        <w:rPr>
          <w:rFonts w:ascii="Georgia" w:hAnsi="Georgia"/>
          <w:sz w:val="28"/>
          <w:szCs w:val="28"/>
        </w:rPr>
      </w:pPr>
      <w:r>
        <w:rPr>
          <w:noProof/>
          <w:lang w:eastAsia="en-GB"/>
        </w:rPr>
        <mc:AlternateContent>
          <mc:Choice Requires="wps">
            <w:drawing>
              <wp:inline distT="0" distB="0" distL="0" distR="0" wp14:anchorId="67D86EEE" wp14:editId="0FD8E4B8">
                <wp:extent cx="5543550" cy="876300"/>
                <wp:effectExtent l="0" t="0" r="0" b="0"/>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876300"/>
                        </a:xfrm>
                        <a:prstGeom prst="rect">
                          <a:avLst/>
                        </a:prstGeom>
                        <a:solidFill>
                          <a:srgbClr val="F8D4EB"/>
                        </a:solidFill>
                        <a:ln w="9525">
                          <a:noFill/>
                          <a:miter lim="800000"/>
                          <a:headEnd/>
                          <a:tailEnd/>
                        </a:ln>
                      </wps:spPr>
                      <wps:txbx>
                        <w:txbxContent>
                          <w:p w14:paraId="70DBD6E4" w14:textId="40D080AF" w:rsidR="00AE42CD" w:rsidRDefault="00AE42CD" w:rsidP="00600D54">
                            <w:pPr>
                              <w:spacing w:line="240" w:lineRule="auto"/>
                            </w:pPr>
                            <w:r w:rsidRPr="00A717CB">
                              <w:rPr>
                                <w:rFonts w:eastAsia="Times New Roman" w:cs="Arial"/>
                                <w:szCs w:val="24"/>
                              </w:rPr>
                              <w:t xml:space="preserve">In its 2016 list of issues, the Committee requested information </w:t>
                            </w:r>
                            <w:r>
                              <w:rPr>
                                <w:rFonts w:eastAsia="Times New Roman" w:cs="Arial"/>
                                <w:szCs w:val="24"/>
                              </w:rPr>
                              <w:t xml:space="preserve">about </w:t>
                            </w:r>
                            <w:r w:rsidRPr="00A717CB">
                              <w:t>the number of refoulements, extraditions and expulsions carried out by the State party on the basis of diplomatic assurances</w:t>
                            </w:r>
                            <w:r>
                              <w:t xml:space="preserve">; </w:t>
                            </w:r>
                            <w:r w:rsidRPr="00A717CB">
                              <w:t>the minimum contents of any such assurances</w:t>
                            </w:r>
                            <w:r>
                              <w:t>;</w:t>
                            </w:r>
                            <w:r w:rsidRPr="00A717CB">
                              <w:t xml:space="preserve"> and the measures taken to monitor them.</w:t>
                            </w:r>
                          </w:p>
                        </w:txbxContent>
                      </wps:txbx>
                      <wps:bodyPr rot="0" vert="horz" wrap="square" lIns="91440" tIns="45720" rIns="91440" bIns="45720" anchor="t" anchorCtr="0">
                        <a:noAutofit/>
                      </wps:bodyPr>
                    </wps:wsp>
                  </a:graphicData>
                </a:graphic>
              </wp:inline>
            </w:drawing>
          </mc:Choice>
          <mc:Fallback>
            <w:pict>
              <v:shape w14:anchorId="67D86EEE" id="_x0000_s1037" type="#_x0000_t202" style="width:436.5pt;height: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" fillcolor="#f8d4eb" stroked="f">
                <v:textbox>
                  <w:txbxContent>
                    <w:p w14:paraId="70DBD6E4" w14:textId="40D080AF" w:rsidR="00AE42CD" w:rsidRDefault="00AE42CD" w:rsidP="00600D54">
                      <w:pPr>
                        <w:spacing w:line="240" w:lineRule="auto"/>
                      </w:pPr>
                      <w:r w:rsidRPr="00A717CB">
                        <w:rPr>
                          <w:rFonts w:eastAsia="Times New Roman" w:cs="Arial"/>
                          <w:szCs w:val="24"/>
                        </w:rPr>
                        <w:t xml:space="preserve">In its 2016 list of issues, the Committee requested information </w:t>
                      </w:r>
                      <w:r>
                        <w:rPr>
                          <w:rFonts w:eastAsia="Times New Roman" w:cs="Arial"/>
                          <w:szCs w:val="24"/>
                        </w:rPr>
                        <w:t xml:space="preserve">about </w:t>
                      </w:r>
                      <w:r w:rsidRPr="00A717CB">
                        <w:t>the number of refoulements, extraditions and expulsions carried out by the State party on the basis of diplomatic assurances</w:t>
                      </w:r>
                      <w:r>
                        <w:t xml:space="preserve">; </w:t>
                      </w:r>
                      <w:r w:rsidRPr="00A717CB">
                        <w:t>the minimum contents of any such assurances</w:t>
                      </w:r>
                      <w:r>
                        <w:t>;</w:t>
                      </w:r>
                      <w:r w:rsidRPr="00A717CB">
                        <w:t xml:space="preserve"> and the measures taken to monitor them.</w:t>
                      </w:r>
                    </w:p>
                  </w:txbxContent>
                </v:textbox>
                <w10:anchorlock/>
              </v:shape>
            </w:pict>
          </mc:Fallback>
        </mc:AlternateContent>
      </w:r>
    </w:p>
    <w:p w14:paraId="7215DD51" w14:textId="5A65DC0E" w:rsidR="00C32DAA" w:rsidRPr="00A717CB" w:rsidRDefault="00C32DAA" w:rsidP="007C39AB">
      <w:pPr>
        <w:pStyle w:val="Parabeforeanother"/>
        <w:spacing w:line="240" w:lineRule="auto"/>
      </w:pPr>
      <w:r w:rsidRPr="00A717CB">
        <w:t xml:space="preserve">Diplomatic assurances are used by the UK Government in relation to extradition and deportation proceedings to try to mitigate risks of torture and other ill-treatment that would otherwise prevent the transfer of people, in particular terror suspects (see also chapter 8). </w:t>
      </w:r>
    </w:p>
    <w:p w14:paraId="4BD86330" w14:textId="7F4ABB18" w:rsidR="00C32DAA" w:rsidRPr="00A717CB" w:rsidRDefault="00C32DAA" w:rsidP="007C39AB">
      <w:pPr>
        <w:pStyle w:val="Parabeforeanother"/>
        <w:spacing w:line="240" w:lineRule="auto"/>
      </w:pPr>
      <w:r w:rsidRPr="00A717CB">
        <w:rPr>
          <w:rFonts w:eastAsia="Times New Roman"/>
        </w:rPr>
        <w:t xml:space="preserve">The UK </w:t>
      </w:r>
      <w:r w:rsidR="00DF0BBF">
        <w:rPr>
          <w:rFonts w:eastAsia="Times New Roman"/>
        </w:rPr>
        <w:t>G</w:t>
      </w:r>
      <w:r w:rsidRPr="00A717CB">
        <w:rPr>
          <w:rFonts w:eastAsia="Times New Roman"/>
        </w:rPr>
        <w:t>overnment has concluded deportation with assurances (DWA) arrangements</w:t>
      </w:r>
      <w:r w:rsidRPr="00A717CB">
        <w:t xml:space="preserve"> with five countries: Algeria, Ethiopia, Jordan, Lebanon, Libya and Morocco.</w:t>
      </w:r>
      <w:r w:rsidRPr="00A717CB">
        <w:rPr>
          <w:rStyle w:val="FootnoteReference"/>
        </w:rPr>
        <w:footnoteReference w:id="334"/>
      </w:r>
      <w:r w:rsidRPr="00A717CB">
        <w:t xml:space="preserve"> DWA to Algeria was ruled out by the Special Immigration Appeals Commission in April 2016 due to a lack of adequate monitoring.</w:t>
      </w:r>
      <w:r w:rsidRPr="00A717CB">
        <w:rPr>
          <w:rStyle w:val="FootnoteReference"/>
        </w:rPr>
        <w:footnoteReference w:id="335"/>
      </w:r>
      <w:r w:rsidRPr="00A717CB">
        <w:t xml:space="preserve"> There has been one instance of administrative removal with assurances to Morocco, but no requests in relation to Lebanon. In July 2016, DWA proceedings relating to Jordan were withdrawn by the UK Government after the Jordanian authorities refused to provide the assurances sought. Undisclosed evidence led the former Independent Reviewer of Terrorism Legislation to conclude, in a July 2017 report, that DWA to Ethiopia is not feasible.</w:t>
      </w:r>
      <w:r w:rsidRPr="00A717CB">
        <w:rPr>
          <w:rStyle w:val="FootnoteReference"/>
        </w:rPr>
        <w:footnoteReference w:id="336"/>
      </w:r>
    </w:p>
    <w:p w14:paraId="4761FE88" w14:textId="668722DA" w:rsidR="00C32DAA" w:rsidRPr="00A717CB" w:rsidRDefault="00C32DAA" w:rsidP="007C39AB">
      <w:pPr>
        <w:pStyle w:val="Parabeforeanother"/>
        <w:spacing w:line="240" w:lineRule="auto"/>
      </w:pPr>
      <w:r w:rsidRPr="00A717CB">
        <w:t>In July 2017, the former Independent Reviewer of Terrorism Legislation, David Anderson QC, stressed that the use of DWA can ‘be delivered effectively and legitimately only if laborious care is taken’. He concluded that ‘the key consideration to be taken into account in developing safety on return processes is whether compliance with assurances can be objectively verified through diplomatic or other monitoring mechanisms’.</w:t>
      </w:r>
      <w:r w:rsidRPr="00A717CB">
        <w:rPr>
          <w:rStyle w:val="FootnoteReference"/>
        </w:rPr>
        <w:footnoteReference w:id="337"/>
      </w:r>
      <w:r w:rsidRPr="00A717CB">
        <w:t xml:space="preserve"> </w:t>
      </w:r>
    </w:p>
    <w:p w14:paraId="49AF1316" w14:textId="6636B8D8" w:rsidR="00C32DAA" w:rsidRDefault="00C32DAA" w:rsidP="007C39AB">
      <w:pPr>
        <w:pStyle w:val="Parabeforenewsection"/>
        <w:spacing w:after="0" w:line="240" w:lineRule="auto"/>
      </w:pPr>
      <w:r w:rsidRPr="00A717CB">
        <w:t>In a response to David Anderson’s review</w:t>
      </w:r>
      <w:r w:rsidR="00C61472">
        <w:t>,</w:t>
      </w:r>
      <w:r w:rsidRPr="00A717CB">
        <w:t xml:space="preserve"> published in October 2018, the Home Secretary confirmed that, while there are currently no live cases, ‘in the longer term, the Government remains committed to pursuing DWA in appropriate cases’</w:t>
      </w:r>
      <w:r w:rsidR="00C61472">
        <w:t>.</w:t>
      </w:r>
      <w:r w:rsidRPr="00A717CB">
        <w:rPr>
          <w:rStyle w:val="FootnoteReference"/>
          <w:rFonts w:cs="Arial"/>
        </w:rPr>
        <w:footnoteReference w:id="338"/>
      </w:r>
      <w:r w:rsidRPr="00A717CB">
        <w:t xml:space="preserve"> He confirmed the Government’s intention to seek independent monitoring where necessary and possible, but said that in some cases a ‘more flexible approach’ may </w:t>
      </w:r>
      <w:r w:rsidRPr="00A717CB">
        <w:lastRenderedPageBreak/>
        <w:t>be needed, based on ‘urgently negotiated agreements’.</w:t>
      </w:r>
      <w:r w:rsidRPr="00A717CB">
        <w:rPr>
          <w:rStyle w:val="FootnoteReference"/>
          <w:rFonts w:cs="Arial"/>
        </w:rPr>
        <w:footnoteReference w:id="339"/>
      </w:r>
      <w:r w:rsidRPr="00A717CB">
        <w:t xml:space="preserve"> This raises concerns about a weakening of protections in cases deemed urgent by </w:t>
      </w:r>
      <w:r w:rsidR="00873C5B">
        <w:t>G</w:t>
      </w:r>
      <w:r w:rsidRPr="00A717CB">
        <w:t>overnment.</w:t>
      </w:r>
    </w:p>
    <w:p w14:paraId="0948B2FE" w14:textId="77777777" w:rsidR="00663C64" w:rsidRDefault="00663C64" w:rsidP="00C61472">
      <w:pPr>
        <w:pStyle w:val="Parabeforenewsection"/>
        <w:spacing w:after="0"/>
      </w:pPr>
    </w:p>
    <w:p w14:paraId="1F38AB37" w14:textId="77777777" w:rsidR="00C32DAA" w:rsidRPr="00A717CB" w:rsidRDefault="00C32DAA" w:rsidP="0095032F">
      <w:pPr>
        <w:pStyle w:val="Title-subsections"/>
      </w:pPr>
      <w:bookmarkStart w:id="76" w:name="_Toc4061438"/>
      <w:r w:rsidRPr="00A717CB">
        <w:t>Recommendations</w:t>
      </w:r>
      <w:bookmarkEnd w:id="76"/>
    </w:p>
    <w:p w14:paraId="7F146974" w14:textId="77777777" w:rsidR="00C32DAA" w:rsidRPr="00A717CB" w:rsidRDefault="00C32DAA" w:rsidP="007C39AB">
      <w:pPr>
        <w:pStyle w:val="Parabeforebulletss"/>
        <w:spacing w:line="240" w:lineRule="auto"/>
      </w:pPr>
      <w:r w:rsidRPr="00A717CB">
        <w:t>The UK Government should:</w:t>
      </w:r>
    </w:p>
    <w:p w14:paraId="26243956" w14:textId="5C5E1EC4" w:rsidR="00C32DAA" w:rsidRPr="00A717CB" w:rsidRDefault="00C32DAA" w:rsidP="007C39AB">
      <w:pPr>
        <w:pStyle w:val="Bullet-followedbyothers"/>
        <w:spacing w:line="240" w:lineRule="auto"/>
      </w:pPr>
      <w:r w:rsidRPr="00A717CB">
        <w:t xml:space="preserve">Ensure effective verification and independent monitoring in all cases where assurances are sought in the event of a deportation, preferably in the context of both parties having ratified the Optional Protocol to the UN Convention </w:t>
      </w:r>
      <w:r w:rsidR="00903CF3">
        <w:t>a</w:t>
      </w:r>
      <w:r w:rsidRPr="00A717CB">
        <w:t xml:space="preserve">gainst Torture (OPCAT). </w:t>
      </w:r>
    </w:p>
    <w:p w14:paraId="3029F4D4" w14:textId="06AC9AD4" w:rsidR="007C39AB" w:rsidRDefault="00C32DAA" w:rsidP="007C39AB">
      <w:pPr>
        <w:pStyle w:val="Bullet-lastingroup"/>
        <w:spacing w:after="0" w:line="240" w:lineRule="auto"/>
      </w:pPr>
      <w:r w:rsidRPr="00A717CB">
        <w:t>Lay the text of each future D</w:t>
      </w:r>
      <w:r w:rsidR="0058433D">
        <w:t>WA</w:t>
      </w:r>
      <w:r w:rsidRPr="00A717CB">
        <w:t xml:space="preserve"> arrangement before Parliament and ensure that no arrangement shall come into force before 14 sitting days have elapsed, during which time </w:t>
      </w:r>
      <w:r w:rsidR="00402BE5" w:rsidRPr="00A717CB">
        <w:t>M</w:t>
      </w:r>
      <w:r w:rsidR="00402BE5">
        <w:t>Ps</w:t>
      </w:r>
      <w:r w:rsidR="00402BE5" w:rsidRPr="00A717CB">
        <w:t xml:space="preserve"> </w:t>
      </w:r>
      <w:r w:rsidRPr="00A717CB">
        <w:t>may signify any objection.</w:t>
      </w:r>
    </w:p>
    <w:p w14:paraId="395C3B28" w14:textId="3B52DC12" w:rsidR="00C32DAA" w:rsidRDefault="00C32DAA" w:rsidP="007C39AB">
      <w:pPr>
        <w:pStyle w:val="Title-sectionspink"/>
        <w:spacing w:before="720"/>
      </w:pPr>
      <w:r w:rsidRPr="00A717CB">
        <w:t xml:space="preserve"> </w:t>
      </w:r>
      <w:bookmarkStart w:id="77" w:name="_Toc4061439"/>
      <w:r w:rsidR="00B06F82">
        <w:t>10.2 I</w:t>
      </w:r>
      <w:r w:rsidRPr="00A717CB">
        <w:t>dentification and determination of statelessness</w:t>
      </w:r>
      <w:bookmarkEnd w:id="77"/>
    </w:p>
    <w:p w14:paraId="74D182DD" w14:textId="697D25BB" w:rsidR="00ED24D8" w:rsidRPr="007C39AB" w:rsidRDefault="007C39AB" w:rsidP="007C39AB">
      <w:pPr>
        <w:pStyle w:val="Parabeforeanother"/>
        <w:spacing w:after="260"/>
        <w:rPr>
          <w:rFonts w:ascii="Georgia" w:hAnsi="Georgia"/>
          <w:sz w:val="28"/>
          <w:szCs w:val="28"/>
        </w:rPr>
      </w:pPr>
      <w:r w:rsidRPr="007C39AB">
        <w:rPr>
          <w:rFonts w:ascii="Georgia" w:hAnsi="Georgia"/>
          <w:sz w:val="28"/>
          <w:szCs w:val="28"/>
        </w:rPr>
        <w:t>R</w:t>
      </w:r>
      <w:r w:rsidR="00ED24D8" w:rsidRPr="007C39AB">
        <w:rPr>
          <w:rFonts w:ascii="Georgia" w:hAnsi="Georgia"/>
          <w:sz w:val="28"/>
          <w:szCs w:val="28"/>
        </w:rPr>
        <w:t>elates to CAT Article 3, list of issues paragraph 15</w:t>
      </w:r>
    </w:p>
    <w:p w14:paraId="6B0BD00E" w14:textId="7A60CC11" w:rsidR="00600D54" w:rsidRPr="00ED24D8" w:rsidRDefault="00600D54" w:rsidP="00ED24D8">
      <w:pPr>
        <w:pStyle w:val="Parabeforeanother"/>
        <w:rPr>
          <w:rFonts w:ascii="Georgia" w:hAnsi="Georgia"/>
          <w:sz w:val="28"/>
          <w:szCs w:val="28"/>
        </w:rPr>
      </w:pPr>
      <w:r>
        <w:rPr>
          <w:noProof/>
          <w:lang w:eastAsia="en-GB"/>
        </w:rPr>
        <mc:AlternateContent>
          <mc:Choice Requires="wps">
            <w:drawing>
              <wp:inline distT="0" distB="0" distL="0" distR="0" wp14:anchorId="6E81957E" wp14:editId="77B05996">
                <wp:extent cx="5543550" cy="857250"/>
                <wp:effectExtent l="0" t="0" r="0" b="0"/>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857250"/>
                        </a:xfrm>
                        <a:prstGeom prst="rect">
                          <a:avLst/>
                        </a:prstGeom>
                        <a:solidFill>
                          <a:srgbClr val="F8D4EB"/>
                        </a:solidFill>
                        <a:ln w="9525">
                          <a:noFill/>
                          <a:miter lim="800000"/>
                          <a:headEnd/>
                          <a:tailEnd/>
                        </a:ln>
                      </wps:spPr>
                      <wps:txbx>
                        <w:txbxContent>
                          <w:p w14:paraId="1BE75CD6" w14:textId="177C22CC" w:rsidR="00AE42CD" w:rsidRDefault="00AE42CD" w:rsidP="007C39AB">
                            <w:pPr>
                              <w:spacing w:line="240" w:lineRule="auto"/>
                            </w:pPr>
                            <w:r w:rsidRPr="00A717CB">
                              <w:rPr>
                                <w:rFonts w:cs="Arial"/>
                                <w:szCs w:val="24"/>
                              </w:rPr>
                              <w:t xml:space="preserve">The UN CAT’s 2016 list of issues requests information </w:t>
                            </w:r>
                            <w:r>
                              <w:rPr>
                                <w:rFonts w:cs="Arial"/>
                                <w:szCs w:val="24"/>
                              </w:rPr>
                              <w:t>about</w:t>
                            </w:r>
                            <w:r w:rsidRPr="00A717CB">
                              <w:rPr>
                                <w:rFonts w:cs="Arial"/>
                                <w:szCs w:val="24"/>
                              </w:rPr>
                              <w:t xml:space="preserve"> legislative and other measures taken to improve the identification and determination of statelessness and </w:t>
                            </w:r>
                            <w:r>
                              <w:rPr>
                                <w:rFonts w:cs="Arial"/>
                                <w:szCs w:val="24"/>
                              </w:rPr>
                              <w:t xml:space="preserve">to </w:t>
                            </w:r>
                            <w:r w:rsidRPr="00A717CB">
                              <w:rPr>
                                <w:rFonts w:cs="Arial"/>
                                <w:szCs w:val="24"/>
                              </w:rPr>
                              <w:t>introduce procedural safeguards to improve access to the statelessness determination procedure.</w:t>
                            </w:r>
                          </w:p>
                        </w:txbxContent>
                      </wps:txbx>
                      <wps:bodyPr rot="0" vert="horz" wrap="square" lIns="91440" tIns="45720" rIns="91440" bIns="45720" anchor="t" anchorCtr="0">
                        <a:noAutofit/>
                      </wps:bodyPr>
                    </wps:wsp>
                  </a:graphicData>
                </a:graphic>
              </wp:inline>
            </w:drawing>
          </mc:Choice>
          <mc:Fallback>
            <w:pict>
              <v:shape w14:anchorId="6E81957E" id="_x0000_s1038" type="#_x0000_t202" style="width:436.5pt;height: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" fillcolor="#f8d4eb" stroked="f">
                <v:textbox>
                  <w:txbxContent>
                    <w:p w14:paraId="1BE75CD6" w14:textId="177C22CC" w:rsidR="00AE42CD" w:rsidRDefault="00AE42CD" w:rsidP="007C39AB">
                      <w:pPr>
                        <w:spacing w:line="240" w:lineRule="auto"/>
                      </w:pPr>
                      <w:r w:rsidRPr="00A717CB">
                        <w:rPr>
                          <w:rFonts w:cs="Arial"/>
                          <w:szCs w:val="24"/>
                        </w:rPr>
                        <w:t xml:space="preserve">The UN CAT’s 2016 list of issues requests information </w:t>
                      </w:r>
                      <w:r>
                        <w:rPr>
                          <w:rFonts w:cs="Arial"/>
                          <w:szCs w:val="24"/>
                        </w:rPr>
                        <w:t>about</w:t>
                      </w:r>
                      <w:r w:rsidRPr="00A717CB">
                        <w:rPr>
                          <w:rFonts w:cs="Arial"/>
                          <w:szCs w:val="24"/>
                        </w:rPr>
                        <w:t xml:space="preserve"> legislative and other measures taken to improve the identification and determination of statelessness and </w:t>
                      </w:r>
                      <w:r>
                        <w:rPr>
                          <w:rFonts w:cs="Arial"/>
                          <w:szCs w:val="24"/>
                        </w:rPr>
                        <w:t xml:space="preserve">to </w:t>
                      </w:r>
                      <w:r w:rsidRPr="00A717CB">
                        <w:rPr>
                          <w:rFonts w:cs="Arial"/>
                          <w:szCs w:val="24"/>
                        </w:rPr>
                        <w:t>introduce procedural safeguards to improve access to the statelessness determination procedure.</w:t>
                      </w:r>
                    </w:p>
                  </w:txbxContent>
                </v:textbox>
                <w10:anchorlock/>
              </v:shape>
            </w:pict>
          </mc:Fallback>
        </mc:AlternateContent>
      </w:r>
    </w:p>
    <w:p w14:paraId="7B9BFC1F" w14:textId="0EC49E1A" w:rsidR="00C32DAA" w:rsidRPr="00A717CB" w:rsidRDefault="00C32DAA" w:rsidP="007C39AB">
      <w:pPr>
        <w:pStyle w:val="Parabeforeanother"/>
        <w:spacing w:line="240" w:lineRule="auto"/>
        <w:rPr>
          <w:lang w:val="en"/>
        </w:rPr>
      </w:pPr>
      <w:r w:rsidRPr="00A717CB">
        <w:t>In 2013, the UK introduced a procedure for the identification and determination of statelessness.</w:t>
      </w:r>
      <w:r w:rsidRPr="00A717CB">
        <w:rPr>
          <w:rStyle w:val="FootnoteReference"/>
          <w:lang w:val="en"/>
        </w:rPr>
        <w:footnoteReference w:id="340"/>
      </w:r>
      <w:r w:rsidRPr="00A717CB">
        <w:t xml:space="preserve"> Since then, a growing body of evidence has emerged of problems associated with the procedure, including long delays in the determination of applications (more than three years in some cases, including some involving children)</w:t>
      </w:r>
      <w:r w:rsidRPr="00A717CB">
        <w:rPr>
          <w:rStyle w:val="FootnoteReference"/>
        </w:rPr>
        <w:footnoteReference w:id="341"/>
      </w:r>
      <w:r w:rsidRPr="00A717CB">
        <w:t xml:space="preserve"> and the use of administrative detention without a defined time limit in the case of many applicants</w:t>
      </w:r>
      <w:r w:rsidRPr="00A717CB">
        <w:rPr>
          <w:lang w:val="en"/>
        </w:rPr>
        <w:t>.</w:t>
      </w:r>
      <w:r w:rsidRPr="00A717CB">
        <w:rPr>
          <w:rStyle w:val="FootnoteReference"/>
          <w:lang w:val="en"/>
        </w:rPr>
        <w:footnoteReference w:id="342"/>
      </w:r>
      <w:r w:rsidRPr="00A717CB">
        <w:rPr>
          <w:lang w:val="en"/>
        </w:rPr>
        <w:t xml:space="preserve"> </w:t>
      </w:r>
    </w:p>
    <w:p w14:paraId="4A1D0D75" w14:textId="6F7DD77A" w:rsidR="00C32DAA" w:rsidRPr="006208C3" w:rsidRDefault="00C32DAA" w:rsidP="007C39AB">
      <w:pPr>
        <w:pStyle w:val="Parabeforeanother"/>
        <w:spacing w:line="240" w:lineRule="auto"/>
      </w:pPr>
      <w:r w:rsidRPr="00A717CB">
        <w:t>The number of stateless pe</w:t>
      </w:r>
      <w:r w:rsidR="00E5046A">
        <w:t>rsons</w:t>
      </w:r>
      <w:r w:rsidRPr="00A717CB">
        <w:t xml:space="preserve"> in detention is unknown, as individuals are not usually recorded as stateless when they enter detention unless they have previously been recognised as stateless.</w:t>
      </w:r>
      <w:r w:rsidRPr="00A717CB">
        <w:rPr>
          <w:rStyle w:val="FootnoteReference"/>
          <w:lang w:val="en"/>
        </w:rPr>
        <w:footnoteReference w:id="343"/>
      </w:r>
      <w:r w:rsidRPr="00A717CB">
        <w:rPr>
          <w:lang w:val="en"/>
        </w:rPr>
        <w:t xml:space="preserve"> </w:t>
      </w:r>
      <w:r w:rsidRPr="007A48CD">
        <w:t xml:space="preserve">There is no obligation on immigration officers to refer people who may be stateless, or at risk of statelessness to the statelessness determination procedure at the outset of detention </w:t>
      </w:r>
      <w:r w:rsidR="00C271C3">
        <w:t>or</w:t>
      </w:r>
      <w:r w:rsidR="00C271C3" w:rsidRPr="007A48CD">
        <w:t xml:space="preserve"> </w:t>
      </w:r>
      <w:r w:rsidRPr="007A48CD">
        <w:t xml:space="preserve">at regular intervals during the detention period. Although individuals </w:t>
      </w:r>
      <w:r>
        <w:t xml:space="preserve">in immigration detention </w:t>
      </w:r>
      <w:r w:rsidRPr="007A48CD">
        <w:t xml:space="preserve">have a right to apply </w:t>
      </w:r>
      <w:r>
        <w:t>to be recognised as stateless</w:t>
      </w:r>
      <w:r w:rsidRPr="007A48CD">
        <w:t xml:space="preserve">, the cumbersome nature of the application process makes it difficult for them to </w:t>
      </w:r>
      <w:r>
        <w:t>apply</w:t>
      </w:r>
      <w:r w:rsidRPr="007A48CD">
        <w:t xml:space="preserve">, especially if they do not have legal representation. These barriers for </w:t>
      </w:r>
      <w:r>
        <w:t>detainees</w:t>
      </w:r>
      <w:r w:rsidRPr="007A48CD">
        <w:t xml:space="preserve"> to access the determination procedure are concerning, </w:t>
      </w:r>
      <w:r w:rsidRPr="007A48CD">
        <w:lastRenderedPageBreak/>
        <w:t>given the intrinsic difficulties in removing stateless persons, and therefore their greater risk of enduring prolonged and repeated detention</w:t>
      </w:r>
      <w:r w:rsidRPr="00A717CB">
        <w:rPr>
          <w:lang w:val="en"/>
        </w:rPr>
        <w:t>.</w:t>
      </w:r>
      <w:r w:rsidRPr="00A717CB">
        <w:rPr>
          <w:rStyle w:val="FootnoteReference"/>
          <w:lang w:val="en"/>
        </w:rPr>
        <w:footnoteReference w:id="344"/>
      </w:r>
      <w:r w:rsidRPr="00A717CB">
        <w:rPr>
          <w:lang w:val="en"/>
        </w:rPr>
        <w:t xml:space="preserve"> </w:t>
      </w:r>
    </w:p>
    <w:p w14:paraId="4D5CF90C" w14:textId="44F1E9CB" w:rsidR="00C32DAA" w:rsidRPr="00A717CB" w:rsidRDefault="00C32DAA" w:rsidP="007C39AB">
      <w:pPr>
        <w:pStyle w:val="Parabeforeanother"/>
        <w:spacing w:line="240" w:lineRule="auto"/>
      </w:pPr>
      <w:r w:rsidRPr="00A717CB">
        <w:t xml:space="preserve">Applicants </w:t>
      </w:r>
      <w:r w:rsidR="00C271C3">
        <w:t xml:space="preserve">who </w:t>
      </w:r>
      <w:r w:rsidRPr="00A717CB">
        <w:t>are not detained do not have permission to work or be self-employed whil</w:t>
      </w:r>
      <w:r w:rsidR="00CE4777">
        <w:t>e</w:t>
      </w:r>
      <w:r w:rsidRPr="00A717CB">
        <w:t xml:space="preserve"> awaiting a decision, and access to other socio-economic rights is limited. As a result, many may experience extreme poverty that could be considered degrading.</w:t>
      </w:r>
      <w:r w:rsidRPr="00A717CB">
        <w:rPr>
          <w:rStyle w:val="FootnoteReference"/>
        </w:rPr>
        <w:footnoteReference w:id="345"/>
      </w:r>
      <w:r w:rsidRPr="00A717CB">
        <w:t xml:space="preserve"> As a result of the burdensome and costly application process,</w:t>
      </w:r>
      <w:r w:rsidRPr="00A717CB">
        <w:rPr>
          <w:lang w:val="en"/>
        </w:rPr>
        <w:t xml:space="preserve"> some children born stateless or at risk of statelessness in the UK remain stateless or undocumented despite various provisions in UK law to prevent childhood statelessness.</w:t>
      </w:r>
      <w:r w:rsidRPr="00A717CB">
        <w:rPr>
          <w:rStyle w:val="FootnoteReference"/>
          <w:lang w:val="en"/>
        </w:rPr>
        <w:footnoteReference w:id="346"/>
      </w:r>
      <w:r w:rsidRPr="00A717CB">
        <w:rPr>
          <w:lang w:val="en"/>
        </w:rPr>
        <w:t xml:space="preserve"> </w:t>
      </w:r>
    </w:p>
    <w:p w14:paraId="44B42724" w14:textId="2FF865D4" w:rsidR="00C32DAA" w:rsidRDefault="00C32DAA" w:rsidP="007C39AB">
      <w:pPr>
        <w:pStyle w:val="Parabeforenewsection"/>
        <w:spacing w:after="0" w:line="240" w:lineRule="auto"/>
      </w:pPr>
      <w:r w:rsidRPr="00A717CB">
        <w:t xml:space="preserve">There is a very low rate of success </w:t>
      </w:r>
      <w:r w:rsidR="00C271C3">
        <w:t>for</w:t>
      </w:r>
      <w:r w:rsidR="00C271C3" w:rsidRPr="00A717CB">
        <w:t xml:space="preserve"> </w:t>
      </w:r>
      <w:r w:rsidRPr="00A717CB">
        <w:t>statelessness applications.</w:t>
      </w:r>
      <w:r w:rsidRPr="00A717CB">
        <w:rPr>
          <w:rStyle w:val="FootnoteReference"/>
          <w:rFonts w:cs="Arial"/>
        </w:rPr>
        <w:footnoteReference w:id="347"/>
      </w:r>
      <w:r w:rsidRPr="00A717CB">
        <w:t xml:space="preserve"> Research indicates that this reflects significant errors in Home Office decision-making as a result of high levels of discretion, insufficient training of case-workers on the relevant rules and insufficient assistance provided to applicants in obtaining the necessary evidence.</w:t>
      </w:r>
      <w:r w:rsidRPr="00A717CB">
        <w:rPr>
          <w:rStyle w:val="FootnoteReference"/>
        </w:rPr>
        <w:footnoteReference w:id="348"/>
      </w:r>
      <w:r w:rsidRPr="00A717CB">
        <w:t xml:space="preserve"> Individuals applying to be recognised as stateless have neither a free-standing right to free legal assistance</w:t>
      </w:r>
      <w:r w:rsidRPr="00A717CB">
        <w:rPr>
          <w:rStyle w:val="FootnoteReference"/>
          <w:lang w:val="en"/>
        </w:rPr>
        <w:t xml:space="preserve"> </w:t>
      </w:r>
      <w:r w:rsidRPr="00A717CB">
        <w:t xml:space="preserve">nor a right to appeal decisions at an </w:t>
      </w:r>
      <w:r w:rsidR="00C271C3" w:rsidRPr="00A717CB">
        <w:t>immigration tribunal</w:t>
      </w:r>
      <w:r w:rsidRPr="00A717CB">
        <w:t xml:space="preserve">. The only possibility to </w:t>
      </w:r>
      <w:r>
        <w:t>appeal</w:t>
      </w:r>
      <w:r w:rsidRPr="00A717CB">
        <w:t xml:space="preserve"> a decision is through an internal administrative review, which is limited in scope and is not in line with the procedural guarantees recommended by the UNHCR.</w:t>
      </w:r>
      <w:r>
        <w:t xml:space="preserve"> A </w:t>
      </w:r>
      <w:r w:rsidRPr="001B3118">
        <w:t>judicial review can be brought by a refused applicant after exhausting all other remedies</w:t>
      </w:r>
      <w:r>
        <w:t>; h</w:t>
      </w:r>
      <w:r w:rsidRPr="001B3118">
        <w:t>owever, the scope of judicial reviews is limited to considering the lawfulness of the original Home Office decision rather than examining a case on its merits.</w:t>
      </w:r>
      <w:r w:rsidRPr="00A717CB">
        <w:rPr>
          <w:rStyle w:val="FootnoteReference"/>
        </w:rPr>
        <w:footnoteReference w:id="349"/>
      </w:r>
    </w:p>
    <w:p w14:paraId="4E8EC44A" w14:textId="77777777" w:rsidR="00663C64" w:rsidRDefault="00663C64" w:rsidP="00C271C3">
      <w:pPr>
        <w:pStyle w:val="Parabeforenewsection"/>
        <w:spacing w:after="0"/>
      </w:pPr>
    </w:p>
    <w:p w14:paraId="2EF4FF8F" w14:textId="77777777" w:rsidR="00C32DAA" w:rsidRPr="00A717CB" w:rsidRDefault="00C32DAA" w:rsidP="0095032F">
      <w:pPr>
        <w:pStyle w:val="Title-subsections"/>
      </w:pPr>
      <w:bookmarkStart w:id="78" w:name="_Toc4061440"/>
      <w:r w:rsidRPr="00A717CB">
        <w:t>Recommendations</w:t>
      </w:r>
      <w:bookmarkEnd w:id="78"/>
    </w:p>
    <w:p w14:paraId="0B7AA80F" w14:textId="77777777" w:rsidR="00C32DAA" w:rsidRPr="00A717CB" w:rsidRDefault="00C32DAA" w:rsidP="007C39AB">
      <w:pPr>
        <w:pStyle w:val="Parabeforebulletss"/>
        <w:spacing w:line="240" w:lineRule="auto"/>
      </w:pPr>
      <w:r w:rsidRPr="00A717CB">
        <w:t xml:space="preserve">The UK Government should: </w:t>
      </w:r>
    </w:p>
    <w:p w14:paraId="6A4D9A83" w14:textId="77777777" w:rsidR="009540FA" w:rsidRDefault="00C32DAA" w:rsidP="007C39AB">
      <w:pPr>
        <w:pStyle w:val="Bullet-followedbyothers"/>
        <w:spacing w:line="240" w:lineRule="auto"/>
      </w:pPr>
      <w:r w:rsidRPr="00A717CB">
        <w:t xml:space="preserve">Adapt Home Office policies and procedures for administrative detention by obliging immigration officers to </w:t>
      </w:r>
      <w:r>
        <w:t>refer a person who may be stateless, or at risk of statelessness, to the statelessness determination procedure at the point of the decision to detain and at regular intervals during the detention period.</w:t>
      </w:r>
    </w:p>
    <w:p w14:paraId="1FD5040F" w14:textId="21B2FAD6" w:rsidR="00C32DAA" w:rsidRPr="009540FA" w:rsidRDefault="00C32DAA" w:rsidP="007C39AB">
      <w:pPr>
        <w:pStyle w:val="Bullet-followedbyothers"/>
        <w:spacing w:after="720" w:line="240" w:lineRule="auto"/>
      </w:pPr>
      <w:r w:rsidRPr="00A717CB">
        <w:t>Improve the speed and quality of the statelessness determination procedure by increasing the number of staff involved in processing applications and improving the training they receive, and by providing applicants with free legal aid and an effective right to appeal decisions in the event of refusal.</w:t>
      </w:r>
    </w:p>
    <w:p w14:paraId="251B3E84" w14:textId="77777777" w:rsidR="001F7BEB" w:rsidRDefault="001F7BEB">
      <w:pPr>
        <w:spacing w:after="160" w:line="259" w:lineRule="auto"/>
        <w:rPr>
          <w:rFonts w:ascii="Georgia" w:eastAsia="Times New Roman" w:hAnsi="Georgia"/>
          <w:bCs/>
          <w:color w:val="D40F7D"/>
          <w:sz w:val="40"/>
          <w:szCs w:val="40"/>
        </w:rPr>
      </w:pPr>
      <w:r>
        <w:rPr>
          <w:sz w:val="40"/>
          <w:szCs w:val="40"/>
        </w:rPr>
        <w:br w:type="page"/>
      </w:r>
    </w:p>
    <w:p w14:paraId="14D37C3C" w14:textId="77777777" w:rsidR="00317F1A" w:rsidRDefault="00317F1A" w:rsidP="009540FA">
      <w:pPr>
        <w:pStyle w:val="Title-chapterpink"/>
        <w:spacing w:after="0"/>
        <w:rPr>
          <w:sz w:val="40"/>
          <w:szCs w:val="40"/>
        </w:rPr>
        <w:sectPr w:rsidR="00317F1A" w:rsidSect="00C32DAA">
          <w:headerReference w:type="default" r:id="rId24"/>
          <w:pgSz w:w="11906" w:h="16838" w:code="9"/>
          <w:pgMar w:top="1440" w:right="1440" w:bottom="1440" w:left="1440" w:header="567" w:footer="567" w:gutter="0"/>
          <w:cols w:space="708"/>
          <w:docGrid w:linePitch="360"/>
        </w:sectPr>
      </w:pPr>
    </w:p>
    <w:p w14:paraId="4A096AE5" w14:textId="23ABE741" w:rsidR="00C32DAA" w:rsidRPr="009540FA" w:rsidRDefault="00B35277" w:rsidP="009540FA">
      <w:pPr>
        <w:pStyle w:val="Title-chapterpink"/>
        <w:spacing w:after="0"/>
        <w:rPr>
          <w:sz w:val="40"/>
          <w:szCs w:val="40"/>
        </w:rPr>
      </w:pPr>
      <w:bookmarkStart w:id="79" w:name="_Toc4061441"/>
      <w:r w:rsidRPr="009540FA">
        <w:rPr>
          <w:sz w:val="40"/>
          <w:szCs w:val="40"/>
        </w:rPr>
        <w:lastRenderedPageBreak/>
        <w:t xml:space="preserve">11. </w:t>
      </w:r>
      <w:r w:rsidR="00C32DAA" w:rsidRPr="009540FA">
        <w:rPr>
          <w:sz w:val="40"/>
          <w:szCs w:val="40"/>
        </w:rPr>
        <w:t>Violence against women and girls</w:t>
      </w:r>
      <w:bookmarkEnd w:id="79"/>
    </w:p>
    <w:p w14:paraId="286F5E58" w14:textId="5051C9CA" w:rsidR="00ED24D8" w:rsidRDefault="00D62B0B" w:rsidP="009540FA">
      <w:pPr>
        <w:pStyle w:val="Parabeforenewsubsection"/>
        <w:spacing w:after="260"/>
        <w:rPr>
          <w:rFonts w:ascii="Georgia" w:hAnsi="Georgia"/>
          <w:sz w:val="32"/>
          <w:szCs w:val="32"/>
        </w:rPr>
      </w:pPr>
      <w:r>
        <w:rPr>
          <w:rFonts w:ascii="Georgia" w:hAnsi="Georgia"/>
          <w:sz w:val="32"/>
          <w:szCs w:val="32"/>
        </w:rPr>
        <w:t>R</w:t>
      </w:r>
      <w:r w:rsidR="00ED24D8">
        <w:rPr>
          <w:rFonts w:ascii="Georgia" w:hAnsi="Georgia"/>
          <w:sz w:val="32"/>
          <w:szCs w:val="32"/>
        </w:rPr>
        <w:t>elates to CAT Articles 2</w:t>
      </w:r>
      <w:r w:rsidR="00A52121">
        <w:rPr>
          <w:rFonts w:ascii="Georgia" w:hAnsi="Georgia"/>
          <w:sz w:val="32"/>
          <w:szCs w:val="32"/>
        </w:rPr>
        <w:t>, 12</w:t>
      </w:r>
      <w:r w:rsidR="00ED24D8">
        <w:rPr>
          <w:rFonts w:ascii="Georgia" w:hAnsi="Georgia"/>
          <w:sz w:val="32"/>
          <w:szCs w:val="32"/>
        </w:rPr>
        <w:t xml:space="preserve"> and 16, list of issues paragraph 11</w:t>
      </w:r>
    </w:p>
    <w:p w14:paraId="2A5F8CD3" w14:textId="77777777" w:rsidR="009540FA" w:rsidRDefault="00600D54" w:rsidP="009540FA">
      <w:pPr>
        <w:pStyle w:val="Parabeforenewsubsection"/>
        <w:spacing w:before="260" w:line="240" w:lineRule="auto"/>
        <w:rPr>
          <w:lang w:eastAsia="en-GB"/>
        </w:rPr>
      </w:pPr>
      <w:r>
        <w:rPr>
          <w:noProof/>
          <w:lang w:eastAsia="en-GB"/>
        </w:rPr>
        <mc:AlternateContent>
          <mc:Choice Requires="wps">
            <w:drawing>
              <wp:inline distT="0" distB="0" distL="0" distR="0" wp14:anchorId="382A0549" wp14:editId="727BF481">
                <wp:extent cx="5543550" cy="1581150"/>
                <wp:effectExtent l="0" t="0" r="0" b="0"/>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581150"/>
                        </a:xfrm>
                        <a:prstGeom prst="rect">
                          <a:avLst/>
                        </a:prstGeom>
                        <a:solidFill>
                          <a:srgbClr val="F8D4EB"/>
                        </a:solidFill>
                        <a:ln w="9525">
                          <a:noFill/>
                          <a:miter lim="800000"/>
                          <a:headEnd/>
                          <a:tailEnd/>
                        </a:ln>
                      </wps:spPr>
                      <wps:txbx>
                        <w:txbxContent>
                          <w:p w14:paraId="5CADC1FA" w14:textId="77777777" w:rsidR="00AE42CD" w:rsidRDefault="00AE42CD" w:rsidP="009540FA">
                            <w:pPr>
                              <w:spacing w:line="240" w:lineRule="auto"/>
                              <w:rPr>
                                <w:rFonts w:cs="Arial"/>
                                <w:szCs w:val="24"/>
                              </w:rPr>
                            </w:pPr>
                            <w:r w:rsidRPr="00A717CB">
                              <w:rPr>
                                <w:rFonts w:cs="Arial"/>
                                <w:szCs w:val="24"/>
                              </w:rPr>
                              <w:t xml:space="preserve">In its 2016 list of issues, the Committee requested information on </w:t>
                            </w:r>
                          </w:p>
                          <w:p w14:paraId="10F7833E" w14:textId="77777777" w:rsidR="00AE42CD" w:rsidRDefault="00AE42CD" w:rsidP="009540FA">
                            <w:pPr>
                              <w:pStyle w:val="Bullet-followedbyothers"/>
                              <w:spacing w:line="240" w:lineRule="auto"/>
                            </w:pPr>
                            <w:r w:rsidRPr="00A717CB">
                              <w:t>measures taken to eliminate all forms of violence against women, including domestic violence, sexual harassment, gender-based bullying in the education system and female genital mutilation</w:t>
                            </w:r>
                          </w:p>
                          <w:p w14:paraId="3ABD460E" w14:textId="77777777" w:rsidR="00AE42CD" w:rsidRDefault="00AE42CD" w:rsidP="009540FA">
                            <w:pPr>
                              <w:pStyle w:val="Bullet-followedbyothers"/>
                              <w:spacing w:line="240" w:lineRule="auto"/>
                            </w:pPr>
                            <w:r w:rsidRPr="00A717CB">
                              <w:t xml:space="preserve">the protection and support services available to victims of gender-based violence, and </w:t>
                            </w:r>
                          </w:p>
                          <w:p w14:paraId="7E92EA99" w14:textId="5E7146FD" w:rsidR="00AE42CD" w:rsidRDefault="00AE42CD" w:rsidP="009540FA">
                            <w:pPr>
                              <w:pStyle w:val="Bullet-followedbyothers"/>
                              <w:spacing w:line="240" w:lineRule="auto"/>
                            </w:pPr>
                            <w:r w:rsidRPr="00A717CB">
                              <w:t>the extent to which cases of gender-based violence are effectively dealt with by the criminal justice system.</w:t>
                            </w:r>
                          </w:p>
                        </w:txbxContent>
                      </wps:txbx>
                      <wps:bodyPr rot="0" vert="horz" wrap="square" lIns="91440" tIns="45720" rIns="91440" bIns="45720" anchor="t" anchorCtr="0">
                        <a:noAutofit/>
                      </wps:bodyPr>
                    </wps:wsp>
                  </a:graphicData>
                </a:graphic>
              </wp:inline>
            </w:drawing>
          </mc:Choice>
          <mc:Fallback>
            <w:pict>
              <v:shape w14:anchorId="382A0549" id="_x0000_s1039" type="#_x0000_t202" style="width:436.5pt;height:1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" fillcolor="#f8d4eb" stroked="f">
                <v:textbox>
                  <w:txbxContent>
                    <w:p w14:paraId="5CADC1FA" w14:textId="77777777" w:rsidR="00AE42CD" w:rsidRDefault="00AE42CD" w:rsidP="009540FA">
                      <w:pPr>
                        <w:spacing w:line="240" w:lineRule="auto"/>
                        <w:rPr>
                          <w:rFonts w:cs="Arial"/>
                          <w:szCs w:val="24"/>
                        </w:rPr>
                      </w:pPr>
                      <w:r w:rsidRPr="00A717CB">
                        <w:rPr>
                          <w:rFonts w:cs="Arial"/>
                          <w:szCs w:val="24"/>
                        </w:rPr>
                        <w:t xml:space="preserve">In its 2016 list of issues, the Committee requested information on </w:t>
                      </w:r>
                    </w:p>
                    <w:p w14:paraId="10F7833E" w14:textId="77777777" w:rsidR="00AE42CD" w:rsidRDefault="00AE42CD" w:rsidP="009540FA">
                      <w:pPr>
                        <w:pStyle w:val="Bullet-followedbyothers"/>
                        <w:spacing w:line="240" w:lineRule="auto"/>
                      </w:pPr>
                      <w:r w:rsidRPr="00A717CB">
                        <w:t>measures taken to eliminate all forms of violence against women, including domestic violence, sexual harassment, gender-based bullying in the education system and female genital mutilation</w:t>
                      </w:r>
                    </w:p>
                    <w:p w14:paraId="3ABD460E" w14:textId="77777777" w:rsidR="00AE42CD" w:rsidRDefault="00AE42CD" w:rsidP="009540FA">
                      <w:pPr>
                        <w:pStyle w:val="Bullet-followedbyothers"/>
                        <w:spacing w:line="240" w:lineRule="auto"/>
                      </w:pPr>
                      <w:r w:rsidRPr="00A717CB">
                        <w:t xml:space="preserve">the protection and support services available to victims of gender-based violence, and </w:t>
                      </w:r>
                    </w:p>
                    <w:p w14:paraId="7E92EA99" w14:textId="5E7146FD" w:rsidR="00AE42CD" w:rsidRDefault="00AE42CD" w:rsidP="009540FA">
                      <w:pPr>
                        <w:pStyle w:val="Bullet-followedbyothers"/>
                        <w:spacing w:line="240" w:lineRule="auto"/>
                      </w:pPr>
                      <w:r w:rsidRPr="00A717CB">
                        <w:t>the extent to which cases of gender-based violence are effectively dealt with by the criminal justice system.</w:t>
                      </w:r>
                    </w:p>
                  </w:txbxContent>
                </v:textbox>
                <w10:anchorlock/>
              </v:shape>
            </w:pict>
          </mc:Fallback>
        </mc:AlternateContent>
      </w:r>
    </w:p>
    <w:p w14:paraId="45D747BE" w14:textId="4521524F" w:rsidR="00C32DAA" w:rsidRDefault="00C32DAA" w:rsidP="009540FA">
      <w:pPr>
        <w:pStyle w:val="Parabeforenewsubsection"/>
        <w:spacing w:before="260" w:line="240" w:lineRule="auto"/>
        <w:rPr>
          <w:lang w:eastAsia="en-GB"/>
        </w:rPr>
      </w:pPr>
      <w:r w:rsidRPr="00ED2246">
        <w:rPr>
          <w:lang w:eastAsia="en-GB"/>
        </w:rPr>
        <w:t>The number of sexual offences recorded by the police in England and Wales increased by 89</w:t>
      </w:r>
      <w:r w:rsidR="00DD2881">
        <w:rPr>
          <w:lang w:eastAsia="en-GB"/>
        </w:rPr>
        <w:t xml:space="preserve"> per cent</w:t>
      </w:r>
      <w:r w:rsidRPr="00ED2246">
        <w:rPr>
          <w:lang w:eastAsia="en-GB"/>
        </w:rPr>
        <w:t xml:space="preserve"> between 2013/14 and 2016/17, reaching 121,187 in the year ending March 2017.</w:t>
      </w:r>
      <w:r w:rsidRPr="00ED2246">
        <w:rPr>
          <w:vertAlign w:val="superscript"/>
          <w:lang w:eastAsia="en-GB"/>
        </w:rPr>
        <w:footnoteReference w:id="350"/>
      </w:r>
      <w:r w:rsidRPr="00ED2246">
        <w:rPr>
          <w:lang w:eastAsia="en-GB"/>
        </w:rPr>
        <w:t xml:space="preserve"> According to self-report statistics, in the same year, fewer than 0.1</w:t>
      </w:r>
      <w:r w:rsidR="00DD2881">
        <w:rPr>
          <w:lang w:eastAsia="en-GB"/>
        </w:rPr>
        <w:t xml:space="preserve"> per cent</w:t>
      </w:r>
      <w:r w:rsidRPr="00ED2246">
        <w:rPr>
          <w:lang w:eastAsia="en-GB"/>
        </w:rPr>
        <w:t xml:space="preserve"> of men had experienced rape or assault by penetration (including attempts) compared with 0.9</w:t>
      </w:r>
      <w:r w:rsidR="00DD2881">
        <w:rPr>
          <w:lang w:eastAsia="en-GB"/>
        </w:rPr>
        <w:t xml:space="preserve"> per cent</w:t>
      </w:r>
      <w:r w:rsidRPr="00ED2246">
        <w:rPr>
          <w:lang w:eastAsia="en-GB"/>
        </w:rPr>
        <w:t xml:space="preserve"> of women.</w:t>
      </w:r>
      <w:r w:rsidRPr="00ED2246">
        <w:rPr>
          <w:vertAlign w:val="superscript"/>
          <w:lang w:eastAsia="en-GB"/>
        </w:rPr>
        <w:footnoteReference w:id="351"/>
      </w:r>
      <w:r w:rsidRPr="00ED2246">
        <w:rPr>
          <w:lang w:eastAsia="en-GB"/>
        </w:rPr>
        <w:t xml:space="preserve"> In England and Wales, 599,549 domestic abuse related crimes were recorded by the police in 2017/18, up by 23</w:t>
      </w:r>
      <w:r w:rsidR="00DD2881">
        <w:rPr>
          <w:lang w:eastAsia="en-GB"/>
        </w:rPr>
        <w:t xml:space="preserve"> per cent</w:t>
      </w:r>
      <w:r w:rsidRPr="00ED2246">
        <w:rPr>
          <w:lang w:eastAsia="en-GB"/>
        </w:rPr>
        <w:t xml:space="preserve"> from the previous year.</w:t>
      </w:r>
      <w:r w:rsidRPr="00ED2246">
        <w:rPr>
          <w:vertAlign w:val="superscript"/>
          <w:lang w:eastAsia="en-GB"/>
        </w:rPr>
        <w:footnoteReference w:id="352"/>
      </w:r>
      <w:r w:rsidRPr="00ED2246">
        <w:rPr>
          <w:lang w:eastAsia="en-GB"/>
        </w:rPr>
        <w:t xml:space="preserve"> Reports of so-called ‘honour-based’ violence in the UK increased by 53</w:t>
      </w:r>
      <w:r w:rsidR="00DD2881">
        <w:rPr>
          <w:lang w:eastAsia="en-GB"/>
        </w:rPr>
        <w:t xml:space="preserve"> per cent</w:t>
      </w:r>
      <w:r w:rsidRPr="00ED2246">
        <w:rPr>
          <w:lang w:eastAsia="en-GB"/>
        </w:rPr>
        <w:t xml:space="preserve"> between 2014 and 2017.</w:t>
      </w:r>
      <w:r w:rsidRPr="00ED2246">
        <w:rPr>
          <w:vertAlign w:val="superscript"/>
          <w:lang w:eastAsia="en-GB"/>
        </w:rPr>
        <w:footnoteReference w:id="353"/>
      </w:r>
      <w:r w:rsidRPr="00ED2246">
        <w:rPr>
          <w:lang w:eastAsia="en-GB"/>
        </w:rPr>
        <w:t xml:space="preserve"> Yet, under-reporting and under-recording, low referral rates to support services and low prosecution and conviction rates of </w:t>
      </w:r>
      <w:r w:rsidR="00D83F03">
        <w:rPr>
          <w:lang w:eastAsia="en-GB"/>
        </w:rPr>
        <w:t>violence against women and girls (</w:t>
      </w:r>
      <w:r w:rsidRPr="00ED2246">
        <w:rPr>
          <w:lang w:eastAsia="en-GB"/>
        </w:rPr>
        <w:t>VAWG</w:t>
      </w:r>
      <w:r w:rsidR="00D83F03">
        <w:rPr>
          <w:lang w:eastAsia="en-GB"/>
        </w:rPr>
        <w:t>)</w:t>
      </w:r>
      <w:r w:rsidRPr="00ED2246">
        <w:rPr>
          <w:lang w:eastAsia="en-GB"/>
        </w:rPr>
        <w:t xml:space="preserve"> are persistent problems.</w:t>
      </w:r>
      <w:r w:rsidRPr="00ED2246">
        <w:rPr>
          <w:vertAlign w:val="superscript"/>
          <w:lang w:eastAsia="en-GB"/>
        </w:rPr>
        <w:footnoteReference w:id="354"/>
      </w:r>
      <w:r w:rsidRPr="00ED2246">
        <w:rPr>
          <w:lang w:eastAsia="en-GB"/>
        </w:rPr>
        <w:t xml:space="preserve"> </w:t>
      </w:r>
    </w:p>
    <w:p w14:paraId="5ACB6D93" w14:textId="77777777" w:rsidR="00C32DAA" w:rsidRDefault="00C32DAA" w:rsidP="00B35277">
      <w:pPr>
        <w:pStyle w:val="Title-subsections"/>
        <w:rPr>
          <w:lang w:eastAsia="en-GB"/>
        </w:rPr>
      </w:pPr>
      <w:bookmarkStart w:id="80" w:name="_Toc4061442"/>
      <w:r>
        <w:rPr>
          <w:lang w:eastAsia="en-GB"/>
        </w:rPr>
        <w:t>Response of the criminal justice system</w:t>
      </w:r>
      <w:bookmarkEnd w:id="80"/>
    </w:p>
    <w:p w14:paraId="7372CA80" w14:textId="63351C8D" w:rsidR="00C32DAA" w:rsidRPr="00ED2246" w:rsidRDefault="00C32DAA" w:rsidP="009540FA">
      <w:pPr>
        <w:pStyle w:val="Parabeforeanother"/>
        <w:spacing w:line="240" w:lineRule="auto"/>
        <w:rPr>
          <w:lang w:eastAsia="en-GB"/>
        </w:rPr>
      </w:pPr>
      <w:r w:rsidRPr="00ED2246">
        <w:rPr>
          <w:lang w:eastAsia="en-GB"/>
        </w:rPr>
        <w:t xml:space="preserve">A </w:t>
      </w:r>
      <w:r>
        <w:rPr>
          <w:lang w:eastAsia="en-GB"/>
        </w:rPr>
        <w:t xml:space="preserve">2016 </w:t>
      </w:r>
      <w:r w:rsidRPr="00ED2246">
        <w:rPr>
          <w:lang w:eastAsia="en-GB"/>
        </w:rPr>
        <w:t>review of rape and serious sexual offences units in the CPS found that existing policy and legal guidance is sufficient but that compliance with the guidance needed to improve</w:t>
      </w:r>
      <w:r w:rsidR="007D2ED5">
        <w:rPr>
          <w:lang w:eastAsia="en-GB"/>
        </w:rPr>
        <w:t>. For example,</w:t>
      </w:r>
      <w:r w:rsidRPr="00ED2246">
        <w:rPr>
          <w:lang w:eastAsia="en-GB"/>
        </w:rPr>
        <w:t xml:space="preserve"> cases </w:t>
      </w:r>
      <w:r w:rsidR="00055793">
        <w:rPr>
          <w:lang w:eastAsia="en-GB"/>
        </w:rPr>
        <w:t xml:space="preserve">were </w:t>
      </w:r>
      <w:r w:rsidRPr="00ED2246">
        <w:rPr>
          <w:lang w:eastAsia="en-GB"/>
        </w:rPr>
        <w:t>not always handled by a specialist prosecutor.</w:t>
      </w:r>
      <w:r w:rsidRPr="00ED2246">
        <w:rPr>
          <w:vertAlign w:val="superscript"/>
          <w:lang w:eastAsia="en-GB"/>
        </w:rPr>
        <w:footnoteReference w:id="355"/>
      </w:r>
      <w:r w:rsidRPr="00ED2246">
        <w:rPr>
          <w:lang w:eastAsia="en-GB"/>
        </w:rPr>
        <w:t xml:space="preserve"> </w:t>
      </w:r>
      <w:r>
        <w:rPr>
          <w:lang w:eastAsia="en-GB"/>
        </w:rPr>
        <w:t>While steps have been taken to improve the handling of these cases by the police and CPS, low referral and prosecution rates continue.</w:t>
      </w:r>
      <w:r>
        <w:rPr>
          <w:rStyle w:val="FootnoteReference"/>
          <w:lang w:eastAsia="en-GB"/>
        </w:rPr>
        <w:footnoteReference w:id="356"/>
      </w:r>
      <w:r>
        <w:rPr>
          <w:lang w:eastAsia="en-GB"/>
        </w:rPr>
        <w:t xml:space="preserve"> </w:t>
      </w:r>
      <w:r w:rsidRPr="00E40835">
        <w:rPr>
          <w:lang w:eastAsia="en-GB"/>
        </w:rPr>
        <w:t xml:space="preserve">In 2018, a Supreme Court case found that two victims of rape had </w:t>
      </w:r>
      <w:r w:rsidRPr="00E40835">
        <w:rPr>
          <w:lang w:val="en" w:eastAsia="en-GB"/>
        </w:rPr>
        <w:t xml:space="preserve">been subjected to inhuman or degrading treatment under </w:t>
      </w:r>
      <w:r w:rsidR="00DF0BBF">
        <w:rPr>
          <w:lang w:val="en" w:eastAsia="en-GB"/>
        </w:rPr>
        <w:t>A</w:t>
      </w:r>
      <w:r w:rsidRPr="00E40835">
        <w:rPr>
          <w:lang w:val="en" w:eastAsia="en-GB"/>
        </w:rPr>
        <w:t xml:space="preserve">rticle 3 </w:t>
      </w:r>
      <w:r w:rsidR="00493BB0">
        <w:rPr>
          <w:lang w:val="en" w:eastAsia="en-GB"/>
        </w:rPr>
        <w:t xml:space="preserve">of the </w:t>
      </w:r>
      <w:r w:rsidRPr="00E40835">
        <w:rPr>
          <w:lang w:val="en" w:eastAsia="en-GB"/>
        </w:rPr>
        <w:t xml:space="preserve">HRA as a result of </w:t>
      </w:r>
      <w:r w:rsidRPr="00E40835">
        <w:rPr>
          <w:lang w:eastAsia="en-GB"/>
        </w:rPr>
        <w:t xml:space="preserve">failings by the police </w:t>
      </w:r>
      <w:r w:rsidRPr="00E40835">
        <w:rPr>
          <w:lang w:eastAsia="en-GB"/>
        </w:rPr>
        <w:lastRenderedPageBreak/>
        <w:t>to effectively investigate allegations of rape.</w:t>
      </w:r>
      <w:r w:rsidRPr="00E40835">
        <w:rPr>
          <w:vertAlign w:val="superscript"/>
          <w:lang w:eastAsia="en-GB"/>
        </w:rPr>
        <w:footnoteReference w:id="357"/>
      </w:r>
      <w:r w:rsidRPr="00E40835">
        <w:rPr>
          <w:lang w:eastAsia="en-GB"/>
        </w:rPr>
        <w:t xml:space="preserve"> </w:t>
      </w:r>
      <w:r w:rsidRPr="00ED2246">
        <w:rPr>
          <w:lang w:eastAsia="en-GB"/>
        </w:rPr>
        <w:t>According to a recent inspection report, the number of police referrals and decisions to prosecute so-called ‘honour-based’ crimes has remained low due to insufficient preparedness and understanding of these crimes within the police and CPS.</w:t>
      </w:r>
      <w:r w:rsidRPr="00ED2246">
        <w:rPr>
          <w:vertAlign w:val="superscript"/>
          <w:lang w:eastAsia="en-GB"/>
        </w:rPr>
        <w:footnoteReference w:id="358"/>
      </w:r>
    </w:p>
    <w:p w14:paraId="532386D9" w14:textId="2A99FC9E" w:rsidR="00C32DAA" w:rsidRPr="00ED2246" w:rsidRDefault="00C32DAA" w:rsidP="009540FA">
      <w:pPr>
        <w:pStyle w:val="Parabeforeanother"/>
        <w:spacing w:line="240" w:lineRule="auto"/>
        <w:rPr>
          <w:lang w:eastAsia="en-GB"/>
        </w:rPr>
      </w:pPr>
      <w:r w:rsidRPr="00ED2246">
        <w:rPr>
          <w:lang w:eastAsia="en-GB"/>
        </w:rPr>
        <w:t>The UK G</w:t>
      </w:r>
      <w:r>
        <w:rPr>
          <w:lang w:eastAsia="en-GB"/>
        </w:rPr>
        <w:t>overnment has</w:t>
      </w:r>
      <w:r w:rsidRPr="00ED2246">
        <w:rPr>
          <w:lang w:eastAsia="en-GB"/>
        </w:rPr>
        <w:t xml:space="preserve"> adopted a number of policy and legislative measures to improve the criminal justice system’s response to VAWG. In 2014, domestic violence protection orders (DVPOs) were rolled out across England and Wales.</w:t>
      </w:r>
      <w:r w:rsidRPr="00ED2246">
        <w:rPr>
          <w:vertAlign w:val="superscript"/>
          <w:lang w:eastAsia="en-GB"/>
        </w:rPr>
        <w:footnoteReference w:id="359"/>
      </w:r>
      <w:r w:rsidRPr="00ED2246">
        <w:rPr>
          <w:lang w:eastAsia="en-GB"/>
        </w:rPr>
        <w:t xml:space="preserve"> Their purpose is to provide urgent protection for victims following domestic incidents. In 2015, a new offence of ‘controlling or coercive behaviour in an intimate or family relationship’ came into force in England and Wales.</w:t>
      </w:r>
      <w:r w:rsidRPr="00ED2246">
        <w:rPr>
          <w:vertAlign w:val="superscript"/>
          <w:lang w:eastAsia="en-GB"/>
        </w:rPr>
        <w:footnoteReference w:id="360"/>
      </w:r>
      <w:r w:rsidRPr="00ED2246">
        <w:rPr>
          <w:lang w:eastAsia="en-GB"/>
        </w:rPr>
        <w:t xml:space="preserve"> </w:t>
      </w:r>
    </w:p>
    <w:p w14:paraId="34283479" w14:textId="39366D69" w:rsidR="00C32DAA" w:rsidRDefault="00C32DAA" w:rsidP="009540FA">
      <w:pPr>
        <w:pStyle w:val="Parabeforeanother"/>
        <w:spacing w:line="240" w:lineRule="auto"/>
        <w:rPr>
          <w:lang w:eastAsia="en-GB"/>
        </w:rPr>
      </w:pPr>
      <w:r w:rsidRPr="00A717CB">
        <w:rPr>
          <w:lang w:eastAsia="en-GB"/>
        </w:rPr>
        <w:t>In 2016, the UK Government published a revised VAWG strategy for England and Wales which</w:t>
      </w:r>
      <w:r w:rsidRPr="00A717CB">
        <w:rPr>
          <w:sz w:val="16"/>
          <w:szCs w:val="16"/>
          <w:lang w:eastAsia="en-GB"/>
        </w:rPr>
        <w:t xml:space="preserve"> </w:t>
      </w:r>
      <w:r w:rsidRPr="00A717CB">
        <w:rPr>
          <w:lang w:eastAsia="en-GB"/>
        </w:rPr>
        <w:t>aims to reduce all forms of VAWG and increase reporting</w:t>
      </w:r>
      <w:r w:rsidR="00055793">
        <w:rPr>
          <w:lang w:eastAsia="en-GB"/>
        </w:rPr>
        <w:t>,</w:t>
      </w:r>
      <w:r w:rsidR="00055793" w:rsidRPr="00A717CB">
        <w:rPr>
          <w:lang w:eastAsia="en-GB"/>
        </w:rPr>
        <w:t xml:space="preserve"> </w:t>
      </w:r>
      <w:r w:rsidRPr="00A717CB">
        <w:rPr>
          <w:lang w:eastAsia="en-GB"/>
        </w:rPr>
        <w:t>police referrals</w:t>
      </w:r>
      <w:r w:rsidR="00055793">
        <w:rPr>
          <w:lang w:eastAsia="en-GB"/>
        </w:rPr>
        <w:t>,</w:t>
      </w:r>
      <w:r w:rsidR="00055793" w:rsidRPr="00A717CB">
        <w:rPr>
          <w:lang w:eastAsia="en-GB"/>
        </w:rPr>
        <w:t xml:space="preserve"> </w:t>
      </w:r>
      <w:r w:rsidRPr="00A717CB">
        <w:rPr>
          <w:lang w:eastAsia="en-GB"/>
        </w:rPr>
        <w:t>prosecutions</w:t>
      </w:r>
      <w:r w:rsidR="00055793">
        <w:rPr>
          <w:lang w:eastAsia="en-GB"/>
        </w:rPr>
        <w:t xml:space="preserve">, </w:t>
      </w:r>
      <w:r w:rsidRPr="00A717CB">
        <w:rPr>
          <w:lang w:eastAsia="en-GB"/>
        </w:rPr>
        <w:t>convictions and prevention work.</w:t>
      </w:r>
      <w:r w:rsidRPr="00A717CB">
        <w:rPr>
          <w:vertAlign w:val="superscript"/>
          <w:lang w:eastAsia="en-GB"/>
        </w:rPr>
        <w:footnoteReference w:id="361"/>
      </w:r>
      <w:r w:rsidRPr="00A717CB">
        <w:rPr>
          <w:lang w:eastAsia="en-GB"/>
        </w:rPr>
        <w:t xml:space="preserve"> To support the strategy, the UK Government pledged to provide £100m before 2020.</w:t>
      </w:r>
      <w:r w:rsidRPr="00A717CB">
        <w:rPr>
          <w:rStyle w:val="FootnoteReference"/>
          <w:lang w:eastAsia="en-GB"/>
        </w:rPr>
        <w:footnoteReference w:id="362"/>
      </w:r>
      <w:r>
        <w:rPr>
          <w:lang w:eastAsia="en-GB"/>
        </w:rPr>
        <w:t xml:space="preserve"> </w:t>
      </w:r>
      <w:r w:rsidR="00836B9A">
        <w:rPr>
          <w:lang w:eastAsia="en-GB"/>
        </w:rPr>
        <w:t xml:space="preserve">The </w:t>
      </w:r>
      <w:r w:rsidRPr="00A717CB">
        <w:rPr>
          <w:lang w:eastAsia="en-GB"/>
        </w:rPr>
        <w:t>EHRC has raised concerns about the risks to implementation of the VAWG strategy due to the lack of a central budget, and the strategy’s emphasis on local decision-making.</w:t>
      </w:r>
      <w:r w:rsidRPr="00A717CB">
        <w:rPr>
          <w:vertAlign w:val="superscript"/>
          <w:lang w:eastAsia="en-GB"/>
        </w:rPr>
        <w:footnoteReference w:id="363"/>
      </w:r>
      <w:r w:rsidRPr="00A717CB">
        <w:rPr>
          <w:lang w:eastAsia="en-GB"/>
        </w:rPr>
        <w:t xml:space="preserve"> </w:t>
      </w:r>
      <w:r>
        <w:rPr>
          <w:lang w:eastAsia="en-GB"/>
        </w:rPr>
        <w:t xml:space="preserve">The implementation of the strategy is overseen by an </w:t>
      </w:r>
      <w:r w:rsidR="00055793">
        <w:rPr>
          <w:lang w:eastAsia="en-GB"/>
        </w:rPr>
        <w:t xml:space="preserve">inter-ministerial group </w:t>
      </w:r>
      <w:r>
        <w:rPr>
          <w:lang w:eastAsia="en-GB"/>
        </w:rPr>
        <w:t>but there has been little clarity about how departments report progress on the strategy.</w:t>
      </w:r>
      <w:r>
        <w:rPr>
          <w:rStyle w:val="FootnoteReference"/>
          <w:lang w:eastAsia="en-GB"/>
        </w:rPr>
        <w:footnoteReference w:id="364"/>
      </w:r>
      <w:r>
        <w:rPr>
          <w:lang w:eastAsia="en-GB"/>
        </w:rPr>
        <w:t xml:space="preserve"> </w:t>
      </w:r>
    </w:p>
    <w:p w14:paraId="7ABD9CA2" w14:textId="1C2FD607" w:rsidR="00C32DAA" w:rsidRPr="00A717CB" w:rsidRDefault="00C32DAA" w:rsidP="009540FA">
      <w:pPr>
        <w:pStyle w:val="Parabeforeanother"/>
        <w:spacing w:line="240" w:lineRule="auto"/>
        <w:rPr>
          <w:lang w:eastAsia="en-GB"/>
        </w:rPr>
      </w:pPr>
      <w:r>
        <w:rPr>
          <w:lang w:eastAsia="en-GB"/>
        </w:rPr>
        <w:t xml:space="preserve">The UK Government’s recent announcement that it will be introducing changes to the governance of a ‘refresh’ VAWG strategy is therefore welcome. </w:t>
      </w:r>
      <w:r w:rsidR="00055793">
        <w:rPr>
          <w:lang w:eastAsia="en-GB"/>
        </w:rPr>
        <w:t xml:space="preserve">These changes </w:t>
      </w:r>
      <w:r w:rsidR="00D07F96">
        <w:rPr>
          <w:lang w:eastAsia="en-GB"/>
        </w:rPr>
        <w:t>include setting up</w:t>
      </w:r>
      <w:r w:rsidRPr="00315B02">
        <w:rPr>
          <w:lang w:val="en" w:eastAsia="en-GB"/>
        </w:rPr>
        <w:t xml:space="preserve"> a stakeholder advisory group to involve victims’ groups.</w:t>
      </w:r>
      <w:r>
        <w:rPr>
          <w:lang w:val="en" w:eastAsia="en-GB"/>
        </w:rPr>
        <w:t xml:space="preserve"> The UK Government has also committed to conducting a </w:t>
      </w:r>
      <w:r w:rsidRPr="00397B71">
        <w:rPr>
          <w:lang w:val="en" w:eastAsia="en-GB"/>
        </w:rPr>
        <w:t>review into how the criminal justice system responds to rape and serious sexual offences.</w:t>
      </w:r>
      <w:r w:rsidRPr="00397B71">
        <w:rPr>
          <w:rStyle w:val="FootnoteReference"/>
          <w:lang w:val="en" w:eastAsia="en-GB"/>
        </w:rPr>
        <w:t xml:space="preserve"> </w:t>
      </w:r>
      <w:r>
        <w:rPr>
          <w:rStyle w:val="FootnoteReference"/>
          <w:lang w:val="en" w:eastAsia="en-GB"/>
        </w:rPr>
        <w:footnoteReference w:id="365"/>
      </w:r>
    </w:p>
    <w:p w14:paraId="40010851" w14:textId="193E3348" w:rsidR="00C32DAA" w:rsidRPr="00A717CB" w:rsidRDefault="00C32DAA" w:rsidP="009540FA">
      <w:pPr>
        <w:pStyle w:val="Parabeforeanother"/>
        <w:spacing w:line="240" w:lineRule="auto"/>
        <w:rPr>
          <w:lang w:eastAsia="en-GB"/>
        </w:rPr>
      </w:pPr>
      <w:r>
        <w:rPr>
          <w:lang w:eastAsia="en-GB"/>
        </w:rPr>
        <w:t xml:space="preserve">The Welsh Government has </w:t>
      </w:r>
      <w:r w:rsidRPr="008E2B2E">
        <w:rPr>
          <w:lang w:eastAsia="en-GB"/>
        </w:rPr>
        <w:t>introduced policy and legislative measures to improve the public sector response</w:t>
      </w:r>
      <w:r>
        <w:rPr>
          <w:lang w:eastAsia="en-GB"/>
        </w:rPr>
        <w:t xml:space="preserve"> to VAWG</w:t>
      </w:r>
      <w:r w:rsidRPr="008E2B2E">
        <w:rPr>
          <w:lang w:eastAsia="en-GB"/>
        </w:rPr>
        <w:t>.</w:t>
      </w:r>
      <w:r>
        <w:rPr>
          <w:lang w:eastAsia="en-GB"/>
        </w:rPr>
        <w:t xml:space="preserve"> </w:t>
      </w:r>
      <w:r w:rsidRPr="00A717CB">
        <w:rPr>
          <w:lang w:eastAsia="en-GB"/>
        </w:rPr>
        <w:t xml:space="preserve">In 2015, the Welsh </w:t>
      </w:r>
      <w:r>
        <w:rPr>
          <w:lang w:eastAsia="en-GB"/>
        </w:rPr>
        <w:t>Government</w:t>
      </w:r>
      <w:r w:rsidRPr="00A717CB">
        <w:rPr>
          <w:lang w:eastAsia="en-GB"/>
        </w:rPr>
        <w:t xml:space="preserve"> passed a Violence against Women, Domestic Abuse and Sexual Violence (Wales) Act.</w:t>
      </w:r>
      <w:r w:rsidRPr="00A717CB">
        <w:rPr>
          <w:vertAlign w:val="superscript"/>
          <w:lang w:eastAsia="en-GB"/>
        </w:rPr>
        <w:footnoteReference w:id="366"/>
      </w:r>
      <w:r w:rsidRPr="00A717CB">
        <w:rPr>
          <w:lang w:eastAsia="en-GB"/>
        </w:rPr>
        <w:t xml:space="preserve"> Among other things, it allows Welsh </w:t>
      </w:r>
      <w:r w:rsidR="00055793" w:rsidRPr="00A717CB">
        <w:rPr>
          <w:lang w:eastAsia="en-GB"/>
        </w:rPr>
        <w:t>ministers</w:t>
      </w:r>
      <w:r w:rsidRPr="00A717CB">
        <w:rPr>
          <w:lang w:eastAsia="en-GB"/>
        </w:rPr>
        <w:t xml:space="preserve"> to place a duty on local authorities to report on how they are addressing violence against women, domestic abuse and sexual violence within their educational institutions. The Act requires Welsh </w:t>
      </w:r>
      <w:r w:rsidR="00055793" w:rsidRPr="00A717CB">
        <w:rPr>
          <w:lang w:eastAsia="en-GB"/>
        </w:rPr>
        <w:t xml:space="preserve">ministers </w:t>
      </w:r>
      <w:r w:rsidRPr="00A717CB">
        <w:rPr>
          <w:lang w:eastAsia="en-GB"/>
        </w:rPr>
        <w:t>to appoint a national adviser to monitor implementation of th</w:t>
      </w:r>
      <w:r>
        <w:rPr>
          <w:lang w:eastAsia="en-GB"/>
        </w:rPr>
        <w:t>e Act and undertake research on any aspect related to the implementation of the Act</w:t>
      </w:r>
      <w:r w:rsidRPr="00A717CB">
        <w:rPr>
          <w:lang w:eastAsia="en-GB"/>
        </w:rPr>
        <w:t xml:space="preserve">. It also requires the </w:t>
      </w:r>
      <w:r w:rsidRPr="00A717CB">
        <w:rPr>
          <w:lang w:eastAsia="en-GB"/>
        </w:rPr>
        <w:lastRenderedPageBreak/>
        <w:t xml:space="preserve">Welsh Government to establish national indicators to measure progress. In June 2018, the Welsh Government’s progress report identified a </w:t>
      </w:r>
      <w:r>
        <w:rPr>
          <w:lang w:eastAsia="en-GB"/>
        </w:rPr>
        <w:t>number of impacts</w:t>
      </w:r>
      <w:r w:rsidRPr="00A717CB">
        <w:rPr>
          <w:lang w:eastAsia="en-GB"/>
        </w:rPr>
        <w:t xml:space="preserve"> </w:t>
      </w:r>
      <w:r>
        <w:rPr>
          <w:lang w:eastAsia="en-GB"/>
        </w:rPr>
        <w:t xml:space="preserve">including a </w:t>
      </w:r>
      <w:r w:rsidRPr="009C2923">
        <w:rPr>
          <w:lang w:eastAsia="en-GB"/>
        </w:rPr>
        <w:t>6</w:t>
      </w:r>
      <w:r w:rsidR="00DD2881">
        <w:rPr>
          <w:lang w:eastAsia="en-GB"/>
        </w:rPr>
        <w:t xml:space="preserve"> per cent</w:t>
      </w:r>
      <w:r w:rsidRPr="009C2923">
        <w:rPr>
          <w:lang w:eastAsia="en-GB"/>
        </w:rPr>
        <w:t xml:space="preserve"> </w:t>
      </w:r>
      <w:r>
        <w:rPr>
          <w:lang w:eastAsia="en-GB"/>
        </w:rPr>
        <w:t xml:space="preserve">rise in the use of the Live Fear Free website and a large increase in </w:t>
      </w:r>
      <w:r w:rsidR="00055793">
        <w:rPr>
          <w:lang w:eastAsia="en-GB"/>
        </w:rPr>
        <w:t xml:space="preserve">the number </w:t>
      </w:r>
      <w:r>
        <w:rPr>
          <w:lang w:eastAsia="en-GB"/>
        </w:rPr>
        <w:t xml:space="preserve">of public sector workers </w:t>
      </w:r>
      <w:r w:rsidRPr="002F46F9">
        <w:rPr>
          <w:lang w:eastAsia="en-GB"/>
        </w:rPr>
        <w:t>trained to provide e</w:t>
      </w:r>
      <w:r>
        <w:rPr>
          <w:lang w:eastAsia="en-GB"/>
        </w:rPr>
        <w:t>ffective</w:t>
      </w:r>
      <w:r w:rsidRPr="002F46F9">
        <w:rPr>
          <w:lang w:eastAsia="en-GB"/>
        </w:rPr>
        <w:t xml:space="preserve"> resp</w:t>
      </w:r>
      <w:r>
        <w:rPr>
          <w:lang w:eastAsia="en-GB"/>
        </w:rPr>
        <w:t>onses to victims and survivors</w:t>
      </w:r>
      <w:r w:rsidRPr="00A717CB">
        <w:rPr>
          <w:rFonts w:eastAsia="Times New Roman"/>
          <w:vertAlign w:val="superscript"/>
          <w:lang w:eastAsia="en-GB"/>
        </w:rPr>
        <w:footnoteReference w:id="367"/>
      </w:r>
      <w:r w:rsidRPr="00A717CB">
        <w:rPr>
          <w:lang w:eastAsia="en-GB"/>
        </w:rPr>
        <w:t xml:space="preserve"> </w:t>
      </w:r>
      <w:r>
        <w:rPr>
          <w:lang w:eastAsia="en-GB"/>
        </w:rPr>
        <w:t>However, t</w:t>
      </w:r>
      <w:r w:rsidRPr="00A717CB">
        <w:rPr>
          <w:lang w:eastAsia="en-GB"/>
        </w:rPr>
        <w:t>here are still no finalised national indicators.</w:t>
      </w:r>
    </w:p>
    <w:p w14:paraId="2547C9AD" w14:textId="03D996E3" w:rsidR="00C32DAA" w:rsidRPr="00A717CB" w:rsidRDefault="00C32DAA" w:rsidP="009540FA">
      <w:pPr>
        <w:pStyle w:val="Parabeforeanother"/>
        <w:spacing w:line="240" w:lineRule="auto"/>
        <w:rPr>
          <w:lang w:eastAsia="en-GB"/>
        </w:rPr>
      </w:pPr>
      <w:r w:rsidRPr="00A717CB">
        <w:rPr>
          <w:lang w:eastAsia="en-GB"/>
        </w:rPr>
        <w:t xml:space="preserve">The Serious Crime Act (2015) strengthened the legal framework </w:t>
      </w:r>
      <w:r>
        <w:rPr>
          <w:lang w:eastAsia="en-GB"/>
        </w:rPr>
        <w:t xml:space="preserve">on </w:t>
      </w:r>
      <w:r w:rsidR="00CB4047">
        <w:rPr>
          <w:lang w:eastAsia="en-GB"/>
        </w:rPr>
        <w:t>female genital mutilation (</w:t>
      </w:r>
      <w:r w:rsidRPr="00A717CB">
        <w:rPr>
          <w:lang w:eastAsia="en-GB"/>
        </w:rPr>
        <w:t>FGM</w:t>
      </w:r>
      <w:r w:rsidR="00CB4047">
        <w:rPr>
          <w:lang w:eastAsia="en-GB"/>
        </w:rPr>
        <w:t>)</w:t>
      </w:r>
      <w:r w:rsidRPr="00A717CB">
        <w:rPr>
          <w:lang w:eastAsia="en-GB"/>
        </w:rPr>
        <w:t xml:space="preserve"> which applies in England and Wales. It introduced lifelong anonymity for victims; created an offence of failing to protect a girl from FGM; and introduced FGM protection orders. It extended the coverage of extra-territorial offences and introduced a mandatory reporting duty for known cases in girls under 18.</w:t>
      </w:r>
      <w:r w:rsidRPr="00A717CB">
        <w:rPr>
          <w:vertAlign w:val="superscript"/>
          <w:lang w:eastAsia="en-GB"/>
        </w:rPr>
        <w:footnoteReference w:id="368"/>
      </w:r>
      <w:r w:rsidRPr="00A717CB">
        <w:rPr>
          <w:lang w:eastAsia="en-GB"/>
        </w:rPr>
        <w:t xml:space="preserve"> </w:t>
      </w:r>
      <w:r>
        <w:rPr>
          <w:lang w:eastAsia="en-GB"/>
        </w:rPr>
        <w:t>However, t</w:t>
      </w:r>
      <w:r w:rsidRPr="00A717CB">
        <w:rPr>
          <w:lang w:eastAsia="en-GB"/>
        </w:rPr>
        <w:t>o date only one person has been convicted of FGM in the UK.</w:t>
      </w:r>
      <w:r w:rsidRPr="00A717CB">
        <w:rPr>
          <w:vertAlign w:val="superscript"/>
          <w:lang w:eastAsia="en-GB"/>
        </w:rPr>
        <w:footnoteReference w:id="369"/>
      </w:r>
      <w:r w:rsidRPr="00A717CB">
        <w:rPr>
          <w:lang w:eastAsia="en-GB"/>
        </w:rPr>
        <w:t xml:space="preserve"> The Welsh </w:t>
      </w:r>
      <w:r w:rsidRPr="002B024D">
        <w:rPr>
          <w:lang w:eastAsia="en-GB"/>
        </w:rPr>
        <w:t>Government funded the development of an FGM toolkit for professionals and parents in 2011,</w:t>
      </w:r>
      <w:r w:rsidRPr="002B024D">
        <w:rPr>
          <w:vertAlign w:val="superscript"/>
          <w:lang w:eastAsia="en-GB"/>
        </w:rPr>
        <w:footnoteReference w:id="370"/>
      </w:r>
      <w:r w:rsidRPr="002B024D">
        <w:rPr>
          <w:lang w:eastAsia="en-GB"/>
        </w:rPr>
        <w:t xml:space="preserve"> provided training to front</w:t>
      </w:r>
      <w:r w:rsidR="00CE4777">
        <w:rPr>
          <w:lang w:eastAsia="en-GB"/>
        </w:rPr>
        <w:t>line</w:t>
      </w:r>
      <w:r w:rsidRPr="002B024D">
        <w:rPr>
          <w:lang w:eastAsia="en-GB"/>
        </w:rPr>
        <w:t xml:space="preserve"> staff</w:t>
      </w:r>
      <w:r w:rsidRPr="00A717CB">
        <w:rPr>
          <w:lang w:eastAsia="en-GB"/>
        </w:rPr>
        <w:t xml:space="preserve"> and</w:t>
      </w:r>
      <w:r>
        <w:rPr>
          <w:lang w:eastAsia="en-GB"/>
        </w:rPr>
        <w:t>, in 2018,</w:t>
      </w:r>
      <w:r w:rsidRPr="00A717CB">
        <w:rPr>
          <w:lang w:eastAsia="en-GB"/>
        </w:rPr>
        <w:t xml:space="preserve"> the first clinic in Wales </w:t>
      </w:r>
      <w:r>
        <w:rPr>
          <w:lang w:eastAsia="en-GB"/>
        </w:rPr>
        <w:t xml:space="preserve">was opened </w:t>
      </w:r>
      <w:r w:rsidRPr="00A717CB">
        <w:rPr>
          <w:lang w:eastAsia="en-GB"/>
        </w:rPr>
        <w:t>to provide medical and psychological help to victims of FGM.</w:t>
      </w:r>
      <w:r w:rsidRPr="00A717CB">
        <w:rPr>
          <w:vertAlign w:val="superscript"/>
          <w:lang w:eastAsia="en-GB"/>
        </w:rPr>
        <w:footnoteReference w:id="371"/>
      </w:r>
      <w:r w:rsidR="00EB2214">
        <w:rPr>
          <w:lang w:eastAsia="en-GB"/>
        </w:rPr>
        <w:t xml:space="preserve">  </w:t>
      </w:r>
    </w:p>
    <w:p w14:paraId="74FE6C23" w14:textId="04DAB389" w:rsidR="00C32DAA" w:rsidRPr="00A717CB" w:rsidRDefault="00C32DAA" w:rsidP="009540FA">
      <w:pPr>
        <w:pStyle w:val="Parabeforeanother"/>
        <w:spacing w:line="240" w:lineRule="auto"/>
        <w:rPr>
          <w:lang w:eastAsia="en-GB"/>
        </w:rPr>
      </w:pPr>
      <w:r w:rsidRPr="00A717CB">
        <w:rPr>
          <w:lang w:eastAsia="en-GB"/>
        </w:rPr>
        <w:t>On 21 January 2019, the UK Government published a draft Domestic Abuse Bill for England and Wales.</w:t>
      </w:r>
      <w:r w:rsidRPr="00A717CB">
        <w:rPr>
          <w:vertAlign w:val="superscript"/>
          <w:lang w:eastAsia="en-GB"/>
        </w:rPr>
        <w:footnoteReference w:id="372"/>
      </w:r>
      <w:r w:rsidRPr="00A717CB">
        <w:rPr>
          <w:lang w:eastAsia="en-GB"/>
        </w:rPr>
        <w:t xml:space="preserve"> The draft </w:t>
      </w:r>
      <w:r w:rsidR="00055793">
        <w:rPr>
          <w:lang w:eastAsia="en-GB"/>
        </w:rPr>
        <w:t>B</w:t>
      </w:r>
      <w:r w:rsidR="00055793" w:rsidRPr="00A717CB">
        <w:rPr>
          <w:lang w:eastAsia="en-GB"/>
        </w:rPr>
        <w:t xml:space="preserve">ill </w:t>
      </w:r>
      <w:r w:rsidRPr="00A717CB">
        <w:rPr>
          <w:lang w:eastAsia="en-GB"/>
        </w:rPr>
        <w:t xml:space="preserve">proposes a number of measures, including the creation of a Domestic Abuse Commissioner; a statutory definition for domestic </w:t>
      </w:r>
      <w:r>
        <w:rPr>
          <w:lang w:eastAsia="en-GB"/>
        </w:rPr>
        <w:t>abuse</w:t>
      </w:r>
      <w:r w:rsidRPr="00A717CB">
        <w:rPr>
          <w:lang w:eastAsia="en-GB"/>
        </w:rPr>
        <w:t xml:space="preserve">; a new </w:t>
      </w:r>
      <w:r w:rsidR="00055793" w:rsidRPr="00A717CB">
        <w:rPr>
          <w:lang w:eastAsia="en-GB"/>
        </w:rPr>
        <w:t>domestic abuse protection notice and order</w:t>
      </w:r>
      <w:r w:rsidRPr="00A717CB">
        <w:rPr>
          <w:lang w:eastAsia="en-GB"/>
        </w:rPr>
        <w:t xml:space="preserve">; and various measures to strengthen safeguards for victims of domestic abuse in judicial proceedings. </w:t>
      </w:r>
      <w:r w:rsidR="00836B9A">
        <w:rPr>
          <w:lang w:eastAsia="en-GB"/>
        </w:rPr>
        <w:t xml:space="preserve">The </w:t>
      </w:r>
      <w:r w:rsidRPr="00A717CB">
        <w:rPr>
          <w:lang w:eastAsia="en-GB"/>
        </w:rPr>
        <w:t>EHRC urged the UK Government to ensure the Bill covers</w:t>
      </w:r>
      <w:r w:rsidRPr="00A717CB">
        <w:rPr>
          <w:bCs/>
          <w:lang w:eastAsia="en-GB"/>
        </w:rPr>
        <w:t xml:space="preserve"> all aspects of violence against women and girls, not just domestic abuse</w:t>
      </w:r>
      <w:r w:rsidR="00055793">
        <w:rPr>
          <w:bCs/>
          <w:lang w:eastAsia="en-GB"/>
        </w:rPr>
        <w:t>. D</w:t>
      </w:r>
      <w:r w:rsidRPr="00A717CB">
        <w:rPr>
          <w:bCs/>
          <w:lang w:eastAsia="en-GB"/>
        </w:rPr>
        <w:t>isappointingly, this has not happened</w:t>
      </w:r>
      <w:r w:rsidRPr="00A717CB">
        <w:rPr>
          <w:lang w:eastAsia="en-GB"/>
        </w:rPr>
        <w:t>.</w:t>
      </w:r>
      <w:r w:rsidRPr="00A717CB">
        <w:rPr>
          <w:vertAlign w:val="superscript"/>
          <w:lang w:eastAsia="en-GB"/>
        </w:rPr>
        <w:footnoteReference w:id="373"/>
      </w:r>
    </w:p>
    <w:p w14:paraId="154B5164" w14:textId="2CF8627B" w:rsidR="00C32DAA" w:rsidRPr="00A717CB" w:rsidRDefault="00C32DAA" w:rsidP="009540FA">
      <w:pPr>
        <w:pStyle w:val="Parabeforenewsubsection"/>
        <w:spacing w:line="240" w:lineRule="auto"/>
        <w:rPr>
          <w:lang w:eastAsia="en-GB"/>
        </w:rPr>
      </w:pPr>
      <w:r w:rsidRPr="00A717CB">
        <w:rPr>
          <w:lang w:eastAsia="en-GB"/>
        </w:rPr>
        <w:t>Despite signing the Convention on Preventing and Combating Violence Against</w:t>
      </w:r>
      <w:r w:rsidR="00B35277">
        <w:rPr>
          <w:lang w:eastAsia="en-GB"/>
        </w:rPr>
        <w:t xml:space="preserve"> </w:t>
      </w:r>
      <w:r w:rsidRPr="00A717CB">
        <w:rPr>
          <w:lang w:eastAsia="en-GB"/>
        </w:rPr>
        <w:t>Women and Domestic Violence (the Istanbul Convention) in 2012, the UK</w:t>
      </w:r>
      <w:r w:rsidR="00B35277">
        <w:rPr>
          <w:lang w:eastAsia="en-GB"/>
        </w:rPr>
        <w:t xml:space="preserve"> </w:t>
      </w:r>
      <w:r w:rsidRPr="00A717CB">
        <w:rPr>
          <w:lang w:eastAsia="en-GB"/>
        </w:rPr>
        <w:t>has not yet ratified it.</w:t>
      </w:r>
      <w:r w:rsidRPr="00A717CB">
        <w:rPr>
          <w:vertAlign w:val="superscript"/>
          <w:lang w:eastAsia="en-GB"/>
        </w:rPr>
        <w:footnoteReference w:id="374"/>
      </w:r>
      <w:r w:rsidRPr="00A717CB">
        <w:rPr>
          <w:lang w:eastAsia="en-GB"/>
        </w:rPr>
        <w:t xml:space="preserve"> </w:t>
      </w:r>
      <w:r w:rsidR="00055793">
        <w:rPr>
          <w:lang w:eastAsia="en-GB"/>
        </w:rPr>
        <w:t xml:space="preserve">Several </w:t>
      </w:r>
      <w:r w:rsidRPr="00A717CB">
        <w:rPr>
          <w:lang w:eastAsia="en-GB"/>
        </w:rPr>
        <w:t xml:space="preserve">outstanding actions </w:t>
      </w:r>
      <w:r w:rsidR="00055793">
        <w:rPr>
          <w:lang w:eastAsia="en-GB"/>
        </w:rPr>
        <w:t xml:space="preserve">are </w:t>
      </w:r>
      <w:r w:rsidRPr="00A717CB">
        <w:rPr>
          <w:lang w:eastAsia="en-GB"/>
        </w:rPr>
        <w:t>required to ensure compliance, including extending extra-territorial jurisdiction over a range of offences.</w:t>
      </w:r>
      <w:r w:rsidRPr="00A717CB">
        <w:rPr>
          <w:vertAlign w:val="superscript"/>
          <w:lang w:eastAsia="en-GB"/>
        </w:rPr>
        <w:footnoteReference w:id="375"/>
      </w:r>
      <w:r w:rsidRPr="00A717CB">
        <w:rPr>
          <w:lang w:eastAsia="en-GB"/>
        </w:rPr>
        <w:t xml:space="preserve"> The decision to include provisions in the draft Domestic Abuse Bill that will ensure the law </w:t>
      </w:r>
      <w:r w:rsidRPr="00A717CB">
        <w:rPr>
          <w:lang w:eastAsia="en-GB"/>
        </w:rPr>
        <w:lastRenderedPageBreak/>
        <w:t>in England and Wales on extra-territorial jurisdiction meets the requirements of the Istanbul Convention is a step in the right direction.</w:t>
      </w:r>
      <w:r w:rsidRPr="00A717CB">
        <w:rPr>
          <w:rStyle w:val="FootnoteReference"/>
          <w:lang w:eastAsia="en-GB"/>
        </w:rPr>
        <w:footnoteReference w:id="376"/>
      </w:r>
      <w:r w:rsidRPr="00A717CB">
        <w:rPr>
          <w:lang w:eastAsia="en-GB"/>
        </w:rPr>
        <w:t xml:space="preserve"> </w:t>
      </w:r>
    </w:p>
    <w:p w14:paraId="558DB531" w14:textId="77777777" w:rsidR="00C32DAA" w:rsidRPr="00A717CB" w:rsidRDefault="00C32DAA" w:rsidP="00C8402B">
      <w:pPr>
        <w:pStyle w:val="Title-subsections"/>
        <w:rPr>
          <w:lang w:eastAsia="en-GB"/>
        </w:rPr>
      </w:pPr>
      <w:bookmarkStart w:id="81" w:name="_Toc4061443"/>
      <w:r w:rsidRPr="00A717CB">
        <w:rPr>
          <w:lang w:eastAsia="en-GB"/>
        </w:rPr>
        <w:t>Protection and support services</w:t>
      </w:r>
      <w:bookmarkEnd w:id="81"/>
    </w:p>
    <w:p w14:paraId="386CFF61" w14:textId="4FE6E1C6" w:rsidR="00C32DAA" w:rsidRPr="008654F3" w:rsidRDefault="00C32DAA" w:rsidP="007C39AB">
      <w:pPr>
        <w:pStyle w:val="Parabeforeanother"/>
        <w:spacing w:line="240" w:lineRule="auto"/>
        <w:rPr>
          <w:lang w:eastAsia="en-GB"/>
        </w:rPr>
      </w:pPr>
      <w:r w:rsidRPr="00A717CB">
        <w:rPr>
          <w:lang w:eastAsia="en-GB"/>
        </w:rPr>
        <w:t xml:space="preserve">There is insufficient funding for refuges and specialist domestic abuse services. </w:t>
      </w:r>
      <w:r w:rsidRPr="00722E06">
        <w:rPr>
          <w:lang w:eastAsia="en-GB"/>
        </w:rPr>
        <w:t>It was reported in 2017 that, in response to budget cuts, council funding for refuges in England dropped from £31.2m</w:t>
      </w:r>
      <w:r>
        <w:rPr>
          <w:lang w:eastAsia="en-GB"/>
        </w:rPr>
        <w:t xml:space="preserve"> in 2010/1 to £23.9m in 2016/7.</w:t>
      </w:r>
      <w:r>
        <w:rPr>
          <w:rStyle w:val="FootnoteReference"/>
          <w:lang w:eastAsia="en-GB"/>
        </w:rPr>
        <w:footnoteReference w:id="377"/>
      </w:r>
      <w:r>
        <w:rPr>
          <w:lang w:eastAsia="en-GB"/>
        </w:rPr>
        <w:t xml:space="preserve"> </w:t>
      </w:r>
      <w:r w:rsidRPr="008654F3">
        <w:rPr>
          <w:lang w:eastAsia="en-GB"/>
        </w:rPr>
        <w:t xml:space="preserve">Welsh Women’s Aid reported that </w:t>
      </w:r>
      <w:r>
        <w:rPr>
          <w:lang w:eastAsia="en-GB"/>
        </w:rPr>
        <w:t>specialist VAWG services</w:t>
      </w:r>
      <w:r w:rsidRPr="008654F3">
        <w:rPr>
          <w:lang w:eastAsia="en-GB"/>
        </w:rPr>
        <w:t xml:space="preserve"> in Wales saw an overall loss of up to 5</w:t>
      </w:r>
      <w:r w:rsidR="00DD2881">
        <w:rPr>
          <w:lang w:eastAsia="en-GB"/>
        </w:rPr>
        <w:t xml:space="preserve"> per cent</w:t>
      </w:r>
      <w:r w:rsidRPr="008654F3">
        <w:rPr>
          <w:lang w:eastAsia="en-GB"/>
        </w:rPr>
        <w:t xml:space="preserve"> of funding between 2016/17 and 2017/18, while demand increased.</w:t>
      </w:r>
      <w:r w:rsidRPr="008654F3">
        <w:rPr>
          <w:vertAlign w:val="superscript"/>
          <w:lang w:eastAsia="en-GB"/>
        </w:rPr>
        <w:footnoteReference w:id="378"/>
      </w:r>
    </w:p>
    <w:p w14:paraId="09A0750E" w14:textId="221F3631" w:rsidR="00C32DAA" w:rsidRPr="006503BE" w:rsidRDefault="00C32DAA" w:rsidP="007C39AB">
      <w:pPr>
        <w:pStyle w:val="Parabeforeanother"/>
        <w:spacing w:line="240" w:lineRule="auto"/>
        <w:rPr>
          <w:lang w:eastAsia="en-GB"/>
        </w:rPr>
      </w:pPr>
      <w:r>
        <w:rPr>
          <w:lang w:eastAsia="en-GB"/>
        </w:rPr>
        <w:t xml:space="preserve">Funding shortages are having a direct impact on service provision. </w:t>
      </w:r>
      <w:r w:rsidRPr="006503BE">
        <w:rPr>
          <w:lang w:eastAsia="en-GB"/>
        </w:rPr>
        <w:t>Women’s Aid advised that 1,695 more spaces are needed in England to meet Council of Europe guidelines.</w:t>
      </w:r>
      <w:r w:rsidRPr="006503BE">
        <w:rPr>
          <w:vertAlign w:val="superscript"/>
          <w:lang w:eastAsia="en-GB"/>
        </w:rPr>
        <w:footnoteReference w:id="379"/>
      </w:r>
      <w:r w:rsidRPr="006503BE">
        <w:rPr>
          <w:lang w:eastAsia="en-GB"/>
        </w:rPr>
        <w:t xml:space="preserve"> Welsh Women’s Aid reported that in 2016/17, 500 survivors of domestic abuse (of which 90</w:t>
      </w:r>
      <w:r w:rsidR="00DD2881">
        <w:rPr>
          <w:lang w:eastAsia="en-GB"/>
        </w:rPr>
        <w:t xml:space="preserve"> per cent</w:t>
      </w:r>
      <w:r w:rsidRPr="006503BE">
        <w:rPr>
          <w:lang w:eastAsia="en-GB"/>
        </w:rPr>
        <w:t xml:space="preserve"> were women) were unable to be supported in refuges in Wales because of a lack of service resources or capacity.</w:t>
      </w:r>
      <w:r w:rsidRPr="006503BE">
        <w:rPr>
          <w:vertAlign w:val="superscript"/>
          <w:lang w:eastAsia="en-GB"/>
        </w:rPr>
        <w:footnoteReference w:id="380"/>
      </w:r>
      <w:r>
        <w:rPr>
          <w:lang w:eastAsia="en-GB"/>
        </w:rPr>
        <w:t xml:space="preserve"> </w:t>
      </w:r>
      <w:r w:rsidRPr="008654F3">
        <w:rPr>
          <w:lang w:eastAsia="en-GB"/>
        </w:rPr>
        <w:t>Sexual violence services face similar cha</w:t>
      </w:r>
      <w:r w:rsidR="007826EC">
        <w:rPr>
          <w:lang w:eastAsia="en-GB"/>
        </w:rPr>
        <w:t>llenges. At the end of the 2017/</w:t>
      </w:r>
      <w:r w:rsidRPr="008654F3">
        <w:rPr>
          <w:lang w:eastAsia="en-GB"/>
        </w:rPr>
        <w:t>18 financial year</w:t>
      </w:r>
      <w:r w:rsidR="003E1022">
        <w:rPr>
          <w:lang w:eastAsia="en-GB"/>
        </w:rPr>
        <w:t>,</w:t>
      </w:r>
      <w:r w:rsidRPr="008654F3">
        <w:rPr>
          <w:lang w:eastAsia="en-GB"/>
        </w:rPr>
        <w:t xml:space="preserve"> there were 6,355 victims and survivors waiting to access support from Rape Crisis </w:t>
      </w:r>
      <w:r w:rsidR="003E1022">
        <w:rPr>
          <w:lang w:eastAsia="en-GB"/>
        </w:rPr>
        <w:t>c</w:t>
      </w:r>
      <w:r w:rsidR="003E1022" w:rsidRPr="008654F3">
        <w:rPr>
          <w:lang w:eastAsia="en-GB"/>
        </w:rPr>
        <w:t>entres</w:t>
      </w:r>
      <w:r w:rsidR="003E1022">
        <w:rPr>
          <w:lang w:eastAsia="en-GB"/>
        </w:rPr>
        <w:t xml:space="preserve"> </w:t>
      </w:r>
      <w:r>
        <w:rPr>
          <w:lang w:eastAsia="en-GB"/>
        </w:rPr>
        <w:t>across England and Wales</w:t>
      </w:r>
      <w:r w:rsidRPr="008654F3">
        <w:rPr>
          <w:lang w:eastAsia="en-GB"/>
        </w:rPr>
        <w:t>, with waiting lists ranging from 3 to 14 months.</w:t>
      </w:r>
      <w:r w:rsidRPr="008654F3">
        <w:rPr>
          <w:vertAlign w:val="superscript"/>
          <w:lang w:eastAsia="en-GB"/>
        </w:rPr>
        <w:footnoteReference w:id="381"/>
      </w:r>
      <w:r>
        <w:rPr>
          <w:lang w:eastAsia="en-GB"/>
        </w:rPr>
        <w:t xml:space="preserve"> </w:t>
      </w:r>
    </w:p>
    <w:p w14:paraId="3FC97501" w14:textId="3A3A85CA" w:rsidR="00C32DAA" w:rsidRPr="00A717CB" w:rsidRDefault="00C32DAA" w:rsidP="007C39AB">
      <w:pPr>
        <w:pStyle w:val="Parabeforeanother"/>
        <w:spacing w:line="240" w:lineRule="auto"/>
        <w:rPr>
          <w:lang w:eastAsia="en-GB"/>
        </w:rPr>
      </w:pPr>
      <w:r w:rsidRPr="00A717CB">
        <w:rPr>
          <w:lang w:eastAsia="en-GB"/>
        </w:rPr>
        <w:t xml:space="preserve">In 2015, the All-Party Parliamentary Group on Domestic and Sexual Violence reported that funding cuts by statutory agencies have had a disproportionate impact on </w:t>
      </w:r>
      <w:r w:rsidR="003E1022">
        <w:rPr>
          <w:lang w:eastAsia="en-GB"/>
        </w:rPr>
        <w:t>b</w:t>
      </w:r>
      <w:r w:rsidR="003E1022" w:rsidRPr="00A717CB">
        <w:rPr>
          <w:lang w:eastAsia="en-GB"/>
        </w:rPr>
        <w:t>lack</w:t>
      </w:r>
      <w:r w:rsidR="003E1022">
        <w:rPr>
          <w:lang w:eastAsia="en-GB"/>
        </w:rPr>
        <w:t>-</w:t>
      </w:r>
      <w:r w:rsidR="003E1022" w:rsidRPr="00A717CB">
        <w:rPr>
          <w:lang w:eastAsia="en-GB"/>
        </w:rPr>
        <w:t xml:space="preserve"> </w:t>
      </w:r>
      <w:r w:rsidRPr="00A717CB">
        <w:rPr>
          <w:lang w:eastAsia="en-GB"/>
        </w:rPr>
        <w:t>and ethnic minority</w:t>
      </w:r>
      <w:r w:rsidR="003E1022">
        <w:rPr>
          <w:lang w:eastAsia="en-GB"/>
        </w:rPr>
        <w:t>-</w:t>
      </w:r>
      <w:r w:rsidRPr="00A717CB">
        <w:rPr>
          <w:lang w:eastAsia="en-GB"/>
        </w:rPr>
        <w:t>led VAWG organisations.</w:t>
      </w:r>
      <w:r w:rsidRPr="00A717CB">
        <w:rPr>
          <w:vertAlign w:val="superscript"/>
          <w:lang w:eastAsia="en-GB"/>
        </w:rPr>
        <w:footnoteReference w:id="382"/>
      </w:r>
      <w:r w:rsidRPr="00A717CB">
        <w:rPr>
          <w:lang w:eastAsia="en-GB"/>
        </w:rPr>
        <w:t xml:space="preserve"> Research has shown that just 11</w:t>
      </w:r>
      <w:r w:rsidR="00DD2881">
        <w:rPr>
          <w:lang w:eastAsia="en-GB"/>
        </w:rPr>
        <w:t xml:space="preserve"> per cent</w:t>
      </w:r>
      <w:r w:rsidRPr="00A717CB">
        <w:rPr>
          <w:lang w:eastAsia="en-GB"/>
        </w:rPr>
        <w:t xml:space="preserve"> of refuges in England had an alcohol or drug support worker, and less than a third of refuge services employed specialist mental health workers.</w:t>
      </w:r>
      <w:r w:rsidRPr="00A717CB">
        <w:rPr>
          <w:vertAlign w:val="superscript"/>
          <w:lang w:eastAsia="en-GB"/>
        </w:rPr>
        <w:footnoteReference w:id="383"/>
      </w:r>
      <w:r w:rsidRPr="00A717CB">
        <w:rPr>
          <w:lang w:eastAsia="en-GB"/>
        </w:rPr>
        <w:t xml:space="preserve"> </w:t>
      </w:r>
    </w:p>
    <w:p w14:paraId="7672CF8B" w14:textId="07B00132" w:rsidR="00C32DAA" w:rsidRDefault="00C32DAA" w:rsidP="007C39AB">
      <w:pPr>
        <w:pStyle w:val="Parabeforenewsubsection"/>
        <w:spacing w:line="240" w:lineRule="auto"/>
        <w:rPr>
          <w:lang w:eastAsia="en-GB"/>
        </w:rPr>
      </w:pPr>
      <w:r w:rsidRPr="00397B71">
        <w:rPr>
          <w:lang w:eastAsia="en-GB"/>
        </w:rPr>
        <w:t>The need to address funding gaps is acknowledged by the UK Government, which is carrying out a review of how domestic abuse services are locally commissioned and funded across England.</w:t>
      </w:r>
      <w:r w:rsidRPr="00397B71">
        <w:rPr>
          <w:vertAlign w:val="superscript"/>
          <w:lang w:eastAsia="en-GB"/>
        </w:rPr>
        <w:footnoteReference w:id="384"/>
      </w:r>
      <w:r w:rsidRPr="00397B71">
        <w:rPr>
          <w:lang w:eastAsia="en-GB"/>
        </w:rPr>
        <w:t xml:space="preserve"> The UK Government recently announced a 10</w:t>
      </w:r>
      <w:r w:rsidR="00DD2881">
        <w:rPr>
          <w:lang w:eastAsia="en-GB"/>
        </w:rPr>
        <w:t xml:space="preserve"> per cent</w:t>
      </w:r>
      <w:r w:rsidRPr="00397B71">
        <w:rPr>
          <w:lang w:eastAsia="en-GB"/>
        </w:rPr>
        <w:t xml:space="preserve"> increase in funding for services </w:t>
      </w:r>
      <w:r w:rsidR="003E1022">
        <w:rPr>
          <w:lang w:eastAsia="en-GB"/>
        </w:rPr>
        <w:t>that support</w:t>
      </w:r>
      <w:r w:rsidR="003E1022" w:rsidRPr="00397B71">
        <w:rPr>
          <w:lang w:eastAsia="en-GB"/>
        </w:rPr>
        <w:t xml:space="preserve"> </w:t>
      </w:r>
      <w:r w:rsidRPr="00397B71">
        <w:rPr>
          <w:lang w:eastAsia="en-GB"/>
        </w:rPr>
        <w:t>victims of sexual violence and abuse.</w:t>
      </w:r>
      <w:r w:rsidRPr="00397B71">
        <w:rPr>
          <w:rStyle w:val="FootnoteReference"/>
          <w:lang w:eastAsia="en-GB"/>
        </w:rPr>
        <w:footnoteReference w:id="385"/>
      </w:r>
      <w:r w:rsidRPr="00397B71">
        <w:rPr>
          <w:lang w:eastAsia="en-GB"/>
        </w:rPr>
        <w:t xml:space="preserve"> The Welsh Government has taken steps to compensate for funding reductions from </w:t>
      </w:r>
      <w:r w:rsidR="00FE5360">
        <w:rPr>
          <w:lang w:eastAsia="en-GB"/>
        </w:rPr>
        <w:t>other</w:t>
      </w:r>
      <w:r w:rsidRPr="00397B71">
        <w:rPr>
          <w:lang w:eastAsia="en-GB"/>
        </w:rPr>
        <w:t xml:space="preserve"> sources by providing additional funding to reduce waiting lists for counselling services and to train independent </w:t>
      </w:r>
      <w:r w:rsidR="003E1022" w:rsidRPr="00397B71">
        <w:rPr>
          <w:lang w:eastAsia="en-GB"/>
        </w:rPr>
        <w:t>sexual violence advisers</w:t>
      </w:r>
      <w:r w:rsidRPr="00397B71">
        <w:rPr>
          <w:lang w:eastAsia="en-GB"/>
        </w:rPr>
        <w:t>.</w:t>
      </w:r>
    </w:p>
    <w:p w14:paraId="31511F39" w14:textId="77777777" w:rsidR="00C32DAA" w:rsidRPr="00A717CB" w:rsidRDefault="00C32DAA" w:rsidP="00C8402B">
      <w:pPr>
        <w:pStyle w:val="Title-subsections"/>
        <w:rPr>
          <w:lang w:eastAsia="en-GB"/>
        </w:rPr>
      </w:pPr>
      <w:bookmarkStart w:id="82" w:name="_Toc4061444"/>
      <w:r w:rsidRPr="00A717CB">
        <w:rPr>
          <w:lang w:eastAsia="en-GB"/>
        </w:rPr>
        <w:lastRenderedPageBreak/>
        <w:t>Recommendations</w:t>
      </w:r>
      <w:bookmarkEnd w:id="82"/>
    </w:p>
    <w:p w14:paraId="58FDBDF1" w14:textId="07B63580" w:rsidR="00C32DAA" w:rsidRPr="00A717CB" w:rsidRDefault="00C32DAA" w:rsidP="007C39AB">
      <w:pPr>
        <w:pStyle w:val="Parabeforebulletss"/>
        <w:spacing w:line="240" w:lineRule="auto"/>
        <w:rPr>
          <w:lang w:eastAsia="en-GB"/>
        </w:rPr>
      </w:pPr>
      <w:r w:rsidRPr="00A717CB">
        <w:rPr>
          <w:lang w:eastAsia="en-GB"/>
        </w:rPr>
        <w:t>The UK and Welsh governments</w:t>
      </w:r>
      <w:r>
        <w:rPr>
          <w:lang w:eastAsia="en-GB"/>
        </w:rPr>
        <w:t>, where relevant,</w:t>
      </w:r>
      <w:r w:rsidRPr="00A717CB">
        <w:rPr>
          <w:lang w:eastAsia="en-GB"/>
        </w:rPr>
        <w:t xml:space="preserve"> should:</w:t>
      </w:r>
    </w:p>
    <w:p w14:paraId="76B3D51C" w14:textId="77777777" w:rsidR="00C32DAA" w:rsidRPr="00A717CB" w:rsidRDefault="00C32DAA" w:rsidP="007C39AB">
      <w:pPr>
        <w:pStyle w:val="Bullet-followedbyothers"/>
        <w:spacing w:line="240" w:lineRule="auto"/>
        <w:rPr>
          <w:lang w:eastAsia="en-GB"/>
        </w:rPr>
      </w:pPr>
      <w:r w:rsidRPr="00A717CB">
        <w:rPr>
          <w:lang w:eastAsia="en-GB"/>
        </w:rPr>
        <w:t xml:space="preserve">Improve the reporting and recording of all forms of violence against women and girls and increase prosecution and conviction rates, ensuring police forces take a victim-centred approach. </w:t>
      </w:r>
    </w:p>
    <w:p w14:paraId="5FA1428D" w14:textId="77777777" w:rsidR="00C32DAA" w:rsidRPr="00A717CB" w:rsidRDefault="00C32DAA" w:rsidP="007C39AB">
      <w:pPr>
        <w:pStyle w:val="Bullet-followedbyothers"/>
        <w:spacing w:line="240" w:lineRule="auto"/>
        <w:rPr>
          <w:lang w:eastAsia="en-GB"/>
        </w:rPr>
      </w:pPr>
      <w:r w:rsidRPr="00A717CB">
        <w:rPr>
          <w:lang w:eastAsia="en-GB"/>
        </w:rPr>
        <w:t xml:space="preserve">Ensure </w:t>
      </w:r>
      <w:r>
        <w:rPr>
          <w:lang w:eastAsia="en-GB"/>
        </w:rPr>
        <w:t>the sustainability of</w:t>
      </w:r>
      <w:r w:rsidRPr="00A717CB">
        <w:rPr>
          <w:lang w:eastAsia="en-GB"/>
        </w:rPr>
        <w:t xml:space="preserve"> funding for support services that address all forms of violence against women and girls, including those that provide specialist services for disabled and ethnic minority women and girls.</w:t>
      </w:r>
    </w:p>
    <w:p w14:paraId="42E77F71" w14:textId="77777777" w:rsidR="009540FA" w:rsidRPr="009540FA" w:rsidRDefault="00C32DAA" w:rsidP="007C39AB">
      <w:pPr>
        <w:pStyle w:val="Bullet-lastingroup"/>
        <w:spacing w:after="40" w:line="240" w:lineRule="auto"/>
        <w:rPr>
          <w:rFonts w:cs="Arial"/>
          <w:lang w:eastAsia="en-GB"/>
        </w:rPr>
      </w:pPr>
      <w:r w:rsidRPr="00A717CB">
        <w:rPr>
          <w:lang w:eastAsia="en-GB"/>
        </w:rPr>
        <w:t>Put in place the remaining changes to law</w:t>
      </w:r>
      <w:r w:rsidR="003E1022">
        <w:rPr>
          <w:lang w:eastAsia="en-GB"/>
        </w:rPr>
        <w:t>,</w:t>
      </w:r>
      <w:r w:rsidRPr="00A717CB">
        <w:rPr>
          <w:lang w:eastAsia="en-GB"/>
        </w:rPr>
        <w:t xml:space="preserve"> policy and practice needed to enable ratification of the</w:t>
      </w:r>
      <w:r w:rsidRPr="009540FA">
        <w:rPr>
          <w:shd w:val="clear" w:color="auto" w:fill="FFFFFF"/>
        </w:rPr>
        <w:t xml:space="preserve"> Istanbul Convention</w:t>
      </w:r>
      <w:r w:rsidR="00FE5360" w:rsidRPr="009540FA">
        <w:rPr>
          <w:shd w:val="clear" w:color="auto" w:fill="FFFFFF"/>
        </w:rPr>
        <w:t>;</w:t>
      </w:r>
      <w:r w:rsidR="009540FA" w:rsidRPr="009540FA">
        <w:rPr>
          <w:shd w:val="clear" w:color="auto" w:fill="FFFFFF"/>
        </w:rPr>
        <w:t xml:space="preserve"> and</w:t>
      </w:r>
    </w:p>
    <w:p w14:paraId="535689AF" w14:textId="77777777" w:rsidR="00D62B0B" w:rsidRPr="00D62B0B" w:rsidRDefault="00FE5360" w:rsidP="00D62B0B">
      <w:pPr>
        <w:pStyle w:val="Bullet-lastingroup"/>
        <w:spacing w:after="720" w:line="240" w:lineRule="auto"/>
        <w:rPr>
          <w:lang w:eastAsia="en-GB"/>
        </w:rPr>
      </w:pPr>
      <w:r w:rsidRPr="00D62B0B">
        <w:rPr>
          <w:shd w:val="clear" w:color="auto" w:fill="FFFFFF"/>
        </w:rPr>
        <w:t>F</w:t>
      </w:r>
      <w:r w:rsidR="00C32DAA" w:rsidRPr="00D62B0B">
        <w:rPr>
          <w:shd w:val="clear" w:color="auto" w:fill="FFFFFF"/>
        </w:rPr>
        <w:t xml:space="preserve">ully implement and resource their </w:t>
      </w:r>
      <w:r w:rsidR="003E1022" w:rsidRPr="00D62B0B">
        <w:rPr>
          <w:shd w:val="clear" w:color="auto" w:fill="FFFFFF"/>
        </w:rPr>
        <w:t>VAWG</w:t>
      </w:r>
      <w:r w:rsidR="00C32DAA" w:rsidRPr="00D62B0B">
        <w:rPr>
          <w:shd w:val="clear" w:color="auto" w:fill="FFFFFF"/>
        </w:rPr>
        <w:t xml:space="preserve"> strategies, undertaking co-ordinated cross-government action and reporting on progress.</w:t>
      </w:r>
    </w:p>
    <w:p w14:paraId="4B436B46" w14:textId="77777777" w:rsidR="001F7BEB" w:rsidRDefault="001F7BEB">
      <w:pPr>
        <w:spacing w:after="160" w:line="259" w:lineRule="auto"/>
        <w:rPr>
          <w:rFonts w:ascii="Georgia" w:eastAsia="Times New Roman" w:hAnsi="Georgia"/>
          <w:bCs/>
          <w:color w:val="D40F7D"/>
          <w:sz w:val="40"/>
          <w:szCs w:val="40"/>
          <w:lang w:eastAsia="en-GB"/>
        </w:rPr>
      </w:pPr>
      <w:r>
        <w:rPr>
          <w:sz w:val="40"/>
          <w:szCs w:val="40"/>
          <w:lang w:eastAsia="en-GB"/>
        </w:rPr>
        <w:br w:type="page"/>
      </w:r>
    </w:p>
    <w:p w14:paraId="257381F0" w14:textId="77777777" w:rsidR="003C1836" w:rsidRDefault="003C1836" w:rsidP="003C1836">
      <w:pPr>
        <w:pStyle w:val="Title-chapterpink"/>
        <w:spacing w:after="0"/>
        <w:rPr>
          <w:sz w:val="40"/>
          <w:szCs w:val="40"/>
          <w:lang w:eastAsia="en-GB"/>
        </w:rPr>
        <w:sectPr w:rsidR="003C1836" w:rsidSect="00C32DAA">
          <w:headerReference w:type="default" r:id="rId25"/>
          <w:pgSz w:w="11906" w:h="16838" w:code="9"/>
          <w:pgMar w:top="1440" w:right="1440" w:bottom="1440" w:left="1440" w:header="567" w:footer="567" w:gutter="0"/>
          <w:cols w:space="708"/>
          <w:docGrid w:linePitch="360"/>
        </w:sectPr>
      </w:pPr>
    </w:p>
    <w:p w14:paraId="1506DA93" w14:textId="5FC50C3E" w:rsidR="00C32DAA" w:rsidRDefault="00C32DAA" w:rsidP="003C1836">
      <w:pPr>
        <w:pStyle w:val="Title-chapterpink"/>
        <w:spacing w:after="0"/>
        <w:rPr>
          <w:sz w:val="40"/>
          <w:szCs w:val="40"/>
          <w:lang w:eastAsia="en-GB"/>
        </w:rPr>
      </w:pPr>
      <w:bookmarkStart w:id="83" w:name="_Toc4061445"/>
      <w:r w:rsidRPr="00D62B0B">
        <w:rPr>
          <w:sz w:val="40"/>
          <w:szCs w:val="40"/>
          <w:lang w:eastAsia="en-GB"/>
        </w:rPr>
        <w:lastRenderedPageBreak/>
        <w:t>12</w:t>
      </w:r>
      <w:r w:rsidR="0041505B" w:rsidRPr="00D62B0B">
        <w:rPr>
          <w:sz w:val="40"/>
          <w:szCs w:val="40"/>
          <w:lang w:eastAsia="en-GB"/>
        </w:rPr>
        <w:t>.</w:t>
      </w:r>
      <w:r w:rsidRPr="00D62B0B">
        <w:rPr>
          <w:sz w:val="40"/>
          <w:szCs w:val="40"/>
          <w:lang w:eastAsia="en-GB"/>
        </w:rPr>
        <w:t xml:space="preserve"> Child sexual abuse</w:t>
      </w:r>
      <w:bookmarkEnd w:id="83"/>
    </w:p>
    <w:p w14:paraId="63E2F90D" w14:textId="0053CA12" w:rsidR="00F42ADE" w:rsidRPr="006740EF" w:rsidRDefault="00F42ADE" w:rsidP="00F42ADE">
      <w:pPr>
        <w:pStyle w:val="Parabeforenewsubsection"/>
        <w:spacing w:after="260"/>
        <w:rPr>
          <w:rFonts w:ascii="Georgia" w:hAnsi="Georgia"/>
          <w:sz w:val="32"/>
          <w:szCs w:val="32"/>
        </w:rPr>
      </w:pPr>
      <w:r w:rsidRPr="006740EF">
        <w:rPr>
          <w:rFonts w:ascii="Georgia" w:hAnsi="Georgia"/>
          <w:sz w:val="32"/>
          <w:szCs w:val="32"/>
        </w:rPr>
        <w:t>Relates to</w:t>
      </w:r>
      <w:r>
        <w:rPr>
          <w:rFonts w:ascii="Georgia" w:hAnsi="Georgia"/>
          <w:sz w:val="32"/>
          <w:szCs w:val="32"/>
        </w:rPr>
        <w:t xml:space="preserve"> CAT Article</w:t>
      </w:r>
      <w:r w:rsidR="00A906BA">
        <w:rPr>
          <w:rFonts w:ascii="Georgia" w:hAnsi="Georgia"/>
          <w:sz w:val="32"/>
          <w:szCs w:val="32"/>
        </w:rPr>
        <w:t>s</w:t>
      </w:r>
      <w:r>
        <w:rPr>
          <w:rFonts w:ascii="Georgia" w:hAnsi="Georgia"/>
          <w:sz w:val="32"/>
          <w:szCs w:val="32"/>
        </w:rPr>
        <w:t xml:space="preserve"> 12, 13 and 16, CO paragraph 35 and list of issues paragraphs 32, 37 and 42</w:t>
      </w:r>
    </w:p>
    <w:bookmarkStart w:id="84" w:name="_Toc4061446"/>
    <w:p w14:paraId="17DCA8E7" w14:textId="05AC0F58" w:rsidR="00C32DAA" w:rsidRPr="00C90B6F" w:rsidRDefault="00600D54" w:rsidP="00C90B6F">
      <w:pPr>
        <w:pStyle w:val="Title-chapterpink"/>
        <w:rPr>
          <w:lang w:eastAsia="en-GB"/>
        </w:rPr>
      </w:pPr>
      <w:r>
        <w:rPr>
          <w:noProof/>
          <w:lang w:eastAsia="en-GB"/>
        </w:rPr>
        <mc:AlternateContent>
          <mc:Choice Requires="wps">
            <w:drawing>
              <wp:inline distT="0" distB="0" distL="0" distR="0" wp14:anchorId="08DC1D54" wp14:editId="4188DE4B">
                <wp:extent cx="5543550" cy="1343025"/>
                <wp:effectExtent l="0" t="0" r="0" b="9525"/>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343025"/>
                        </a:xfrm>
                        <a:prstGeom prst="rect">
                          <a:avLst/>
                        </a:prstGeom>
                        <a:solidFill>
                          <a:srgbClr val="F8D4EB"/>
                        </a:solidFill>
                        <a:ln w="9525">
                          <a:noFill/>
                          <a:miter lim="800000"/>
                          <a:headEnd/>
                          <a:tailEnd/>
                        </a:ln>
                      </wps:spPr>
                      <wps:txbx>
                        <w:txbxContent>
                          <w:p w14:paraId="0AE8C6E6" w14:textId="0F24430D" w:rsidR="00AE42CD" w:rsidRDefault="00AE42CD" w:rsidP="00600D54">
                            <w:pPr>
                              <w:spacing w:line="240" w:lineRule="auto"/>
                            </w:pPr>
                            <w:r w:rsidRPr="00A717CB">
                              <w:rPr>
                                <w:rFonts w:cs="Arial"/>
                                <w:szCs w:val="24"/>
                              </w:rPr>
                              <w:t xml:space="preserve">The Committee’s 2016 list of issues requested information </w:t>
                            </w:r>
                            <w:r>
                              <w:rPr>
                                <w:rFonts w:cs="Arial"/>
                                <w:szCs w:val="24"/>
                              </w:rPr>
                              <w:t>about</w:t>
                            </w:r>
                            <w:r w:rsidRPr="00A717CB">
                              <w:rPr>
                                <w:rFonts w:cs="Arial"/>
                                <w:szCs w:val="24"/>
                              </w:rPr>
                              <w:t xml:space="preserve"> the investigations and disciplinary actions taken in relation to the allegations of child sexual abuse in detention, including in the Medomsley Detention Centre; and on the reports that a number of high</w:t>
                            </w:r>
                            <w:r>
                              <w:rPr>
                                <w:rFonts w:cs="Arial"/>
                                <w:szCs w:val="24"/>
                              </w:rPr>
                              <w:t>-</w:t>
                            </w:r>
                            <w:r w:rsidRPr="00A717CB">
                              <w:rPr>
                                <w:rFonts w:cs="Arial"/>
                                <w:szCs w:val="24"/>
                              </w:rPr>
                              <w:t>profile independent inquires have highlighted serious issues in relation to child sexual abuse and exploitation in England and Wales, in terms of its prevention and the investigation of victims</w:t>
                            </w:r>
                            <w:r>
                              <w:rPr>
                                <w:rFonts w:cs="Arial"/>
                                <w:szCs w:val="24"/>
                              </w:rPr>
                              <w:t>’</w:t>
                            </w:r>
                            <w:r w:rsidRPr="00A717CB">
                              <w:rPr>
                                <w:rFonts w:cs="Arial"/>
                                <w:szCs w:val="24"/>
                              </w:rPr>
                              <w:t xml:space="preserve"> allegations.</w:t>
                            </w:r>
                          </w:p>
                        </w:txbxContent>
                      </wps:txbx>
                      <wps:bodyPr rot="0" vert="horz" wrap="square" lIns="91440" tIns="45720" rIns="91440" bIns="45720" anchor="t" anchorCtr="0">
                        <a:noAutofit/>
                      </wps:bodyPr>
                    </wps:wsp>
                  </a:graphicData>
                </a:graphic>
              </wp:inline>
            </w:drawing>
          </mc:Choice>
          <mc:Fallback>
            <w:pict>
              <v:shape w14:anchorId="08DC1D54" id="_x0000_s1040" type="#_x0000_t202" style="width:436.5pt;height:10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" fillcolor="#f8d4eb" stroked="f">
                <v:textbox>
                  <w:txbxContent>
                    <w:p w14:paraId="0AE8C6E6" w14:textId="0F24430D" w:rsidR="00AE42CD" w:rsidRDefault="00AE42CD" w:rsidP="00600D54">
                      <w:pPr>
                        <w:spacing w:line="240" w:lineRule="auto"/>
                      </w:pPr>
                      <w:r w:rsidRPr="00A717CB">
                        <w:rPr>
                          <w:rFonts w:cs="Arial"/>
                          <w:szCs w:val="24"/>
                        </w:rPr>
                        <w:t xml:space="preserve">The Committee’s 2016 list of issues requested information </w:t>
                      </w:r>
                      <w:r>
                        <w:rPr>
                          <w:rFonts w:cs="Arial"/>
                          <w:szCs w:val="24"/>
                        </w:rPr>
                        <w:t>about</w:t>
                      </w:r>
                      <w:r w:rsidRPr="00A717CB">
                        <w:rPr>
                          <w:rFonts w:cs="Arial"/>
                          <w:szCs w:val="24"/>
                        </w:rPr>
                        <w:t xml:space="preserve"> the investigations and disciplinary actions taken in relation to the allegations of child sexual abuse in detention, including in the Medomsley Detention Centre; and on the reports that a number of high</w:t>
                      </w:r>
                      <w:r>
                        <w:rPr>
                          <w:rFonts w:cs="Arial"/>
                          <w:szCs w:val="24"/>
                        </w:rPr>
                        <w:t>-</w:t>
                      </w:r>
                      <w:r w:rsidRPr="00A717CB">
                        <w:rPr>
                          <w:rFonts w:cs="Arial"/>
                          <w:szCs w:val="24"/>
                        </w:rPr>
                        <w:t>profile independent inquires have highlighted serious issues in relation to child sexual abuse and exploitation in England and Wales, in terms of its prevention and the investigation of victims</w:t>
                      </w:r>
                      <w:r>
                        <w:rPr>
                          <w:rFonts w:cs="Arial"/>
                          <w:szCs w:val="24"/>
                        </w:rPr>
                        <w:t>’</w:t>
                      </w:r>
                      <w:r w:rsidRPr="00A717CB">
                        <w:rPr>
                          <w:rFonts w:cs="Arial"/>
                          <w:szCs w:val="24"/>
                        </w:rPr>
                        <w:t xml:space="preserve"> allegations.</w:t>
                      </w:r>
                    </w:p>
                  </w:txbxContent>
                </v:textbox>
                <w10:anchorlock/>
              </v:shape>
            </w:pict>
          </mc:Fallback>
        </mc:AlternateContent>
      </w:r>
      <w:bookmarkEnd w:id="84"/>
    </w:p>
    <w:p w14:paraId="074856B3" w14:textId="32EC386B" w:rsidR="00C32DAA" w:rsidRPr="000C0C0A" w:rsidRDefault="00C32DAA" w:rsidP="003A6FBF">
      <w:pPr>
        <w:pStyle w:val="Parabeforeanother"/>
        <w:spacing w:line="240" w:lineRule="auto"/>
      </w:pPr>
      <w:r w:rsidRPr="00A717CB">
        <w:t>In recent years, there has been increasing concern about child sexual abuse and exploitation in the wake of high</w:t>
      </w:r>
      <w:r w:rsidR="00BC565A">
        <w:t>-</w:t>
      </w:r>
      <w:r w:rsidRPr="00A717CB">
        <w:t xml:space="preserve">profile cases and growing awareness of the scale of abuse previously hidden from public view. Examples include allegations of child sexual abuse by staff members of Medomsley Detention Centre </w:t>
      </w:r>
      <w:r w:rsidR="007826EC">
        <w:t xml:space="preserve">during the 1970s and </w:t>
      </w:r>
      <w:r w:rsidRPr="00A717CB">
        <w:t xml:space="preserve">80s, allegations of child sexual abuse by the staff of a residential school in Rochdale </w:t>
      </w:r>
      <w:r w:rsidR="007826EC">
        <w:t xml:space="preserve">between 1988 and </w:t>
      </w:r>
      <w:r w:rsidRPr="00A717CB">
        <w:t xml:space="preserve">1992, and sexual abuse and exploitation of hundreds of girls by organised networks in Rotherham, Rochdale and Telford since the 1980s. </w:t>
      </w:r>
      <w:r w:rsidR="00971D99">
        <w:t>In March 2019, five former officers were convicted of physically abusing children at the Medomsley Detention Centre</w:t>
      </w:r>
      <w:r w:rsidRPr="000C0C0A">
        <w:t>.</w:t>
      </w:r>
      <w:r w:rsidRPr="000C0C0A">
        <w:rPr>
          <w:rStyle w:val="FootnoteReference"/>
        </w:rPr>
        <w:footnoteReference w:id="386"/>
      </w:r>
      <w:r w:rsidRPr="000C0C0A">
        <w:t xml:space="preserve"> </w:t>
      </w:r>
    </w:p>
    <w:p w14:paraId="7D32CE04" w14:textId="3FD04C77" w:rsidR="00C32DAA" w:rsidRPr="00A717CB" w:rsidRDefault="00C32DAA" w:rsidP="003A6FBF">
      <w:pPr>
        <w:pStyle w:val="Parabeforeanother"/>
        <w:spacing w:line="240" w:lineRule="auto"/>
        <w:rPr>
          <w:lang w:val="en"/>
        </w:rPr>
      </w:pPr>
      <w:r w:rsidRPr="000C0C0A">
        <w:t>The cases have been publicised against a backdrop of increasing sexual offences against children recorded by the police in England and Wales. Between 2013/14 and 2016/17, the number of sexual offences against children aged under 16 recorded by the police increased by 89</w:t>
      </w:r>
      <w:r w:rsidR="00DD2881">
        <w:t xml:space="preserve"> per cent</w:t>
      </w:r>
      <w:r w:rsidRPr="000C0C0A">
        <w:t xml:space="preserve"> in England, and by 92</w:t>
      </w:r>
      <w:r w:rsidR="00DD2881">
        <w:t xml:space="preserve"> per cent</w:t>
      </w:r>
      <w:r w:rsidRPr="000C0C0A">
        <w:t xml:space="preserve"> in Wales. Improved recording by the police and an increased willingness of victims to come forward appear to have contributed to the increase.</w:t>
      </w:r>
      <w:r w:rsidRPr="000C0C0A">
        <w:rPr>
          <w:vertAlign w:val="superscript"/>
          <w:lang w:val="en"/>
        </w:rPr>
        <w:footnoteReference w:id="387"/>
      </w:r>
      <w:r w:rsidRPr="000C0C0A">
        <w:rPr>
          <w:lang w:val="en"/>
        </w:rPr>
        <w:t xml:space="preserve"> The increase appears to be due to increased reporting.</w:t>
      </w:r>
    </w:p>
    <w:p w14:paraId="21166A1D" w14:textId="4F3915F6" w:rsidR="00C32DAA" w:rsidRPr="00A717CB" w:rsidRDefault="00C32DAA" w:rsidP="003A6FBF">
      <w:pPr>
        <w:pStyle w:val="Parabeforeanother"/>
        <w:spacing w:line="240" w:lineRule="auto"/>
      </w:pPr>
      <w:r w:rsidRPr="00A717CB">
        <w:t>A number of the high</w:t>
      </w:r>
      <w:r w:rsidR="00092EF9">
        <w:t>-</w:t>
      </w:r>
      <w:r w:rsidRPr="00A717CB">
        <w:t>profile cases have become the subject of independent inquiries.</w:t>
      </w:r>
      <w:r w:rsidRPr="00A717CB">
        <w:rPr>
          <w:rStyle w:val="FootnoteReference"/>
        </w:rPr>
        <w:footnoteReference w:id="388"/>
      </w:r>
      <w:r w:rsidRPr="00A717CB">
        <w:t xml:space="preserve"> The Independent Inquiry into Child Sexual Abuse </w:t>
      </w:r>
      <w:r w:rsidR="00935338">
        <w:t>in</w:t>
      </w:r>
      <w:r w:rsidRPr="00A717CB">
        <w:t xml:space="preserve"> England and Wales (IICSA) was established in March 2015.</w:t>
      </w:r>
      <w:r w:rsidRPr="00A717CB">
        <w:rPr>
          <w:vertAlign w:val="superscript"/>
        </w:rPr>
        <w:footnoteReference w:id="389"/>
      </w:r>
      <w:r w:rsidRPr="00A717CB">
        <w:t xml:space="preserve"> IICSA’s interim report, published in April 2018, </w:t>
      </w:r>
      <w:r w:rsidR="00935338">
        <w:t>states that it found</w:t>
      </w:r>
      <w:r w:rsidR="00935338" w:rsidRPr="00A717CB">
        <w:t xml:space="preserve"> </w:t>
      </w:r>
      <w:r w:rsidRPr="00A717CB">
        <w:t xml:space="preserve">extensive evidence that public authorities that were supposed to be responsible for the welfare of the children concerned – including social services, police services and local councils – were aware of allegations of </w:t>
      </w:r>
      <w:r w:rsidRPr="00A717CB">
        <w:lastRenderedPageBreak/>
        <w:t>child sexual abuse but failed to intervene in spite of numerous opportunities to do so.</w:t>
      </w:r>
      <w:r w:rsidRPr="00A717CB">
        <w:rPr>
          <w:vertAlign w:val="superscript"/>
          <w:lang w:val="en"/>
        </w:rPr>
        <w:footnoteReference w:id="390"/>
      </w:r>
      <w:r w:rsidRPr="00A717CB">
        <w:t xml:space="preserve"> </w:t>
      </w:r>
    </w:p>
    <w:p w14:paraId="73F19B58" w14:textId="63B66942" w:rsidR="00C32DAA" w:rsidRDefault="00C32DAA" w:rsidP="003A6FBF">
      <w:pPr>
        <w:pStyle w:val="Parabeforeanother"/>
        <w:spacing w:line="240" w:lineRule="auto"/>
      </w:pPr>
      <w:r w:rsidRPr="00A717CB">
        <w:t xml:space="preserve">The </w:t>
      </w:r>
      <w:r w:rsidR="00BC565A">
        <w:t>i</w:t>
      </w:r>
      <w:r w:rsidRPr="00A717CB">
        <w:t>nquiry identified a number of systemic issues which made it possible for such abuse to continue. These included a culture of denial within public institutions, in some cases driven by assumptions held about the victims and the perpetrators; political and professional issues, including a lack of leadership among senior officials and gaps in checks over recruitment of staff responsible for the care of children; policy and legal issues, including inadequacies in the criminal and civil justice systems; and financial issues, including a lack of funding for specialised services to support children.</w:t>
      </w:r>
      <w:r w:rsidRPr="00A717CB">
        <w:rPr>
          <w:rStyle w:val="FootnoteReference"/>
        </w:rPr>
        <w:footnoteReference w:id="391"/>
      </w:r>
      <w:r w:rsidRPr="00A717CB">
        <w:t xml:space="preserve"> </w:t>
      </w:r>
    </w:p>
    <w:p w14:paraId="6E6F956A" w14:textId="77777777" w:rsidR="00E5514B" w:rsidRDefault="003A6DDE" w:rsidP="003A6FBF">
      <w:pPr>
        <w:pStyle w:val="Parabeforeanother"/>
        <w:spacing w:line="240" w:lineRule="auto"/>
      </w:pPr>
      <w:r>
        <w:t xml:space="preserve">In a more recent investigation, IICSA has reported that </w:t>
      </w:r>
      <w:r w:rsidR="00B04AA3">
        <w:t xml:space="preserve">a large number of </w:t>
      </w:r>
      <w:r>
        <w:t xml:space="preserve">allegations of sexual abuse of children in custodial institutions, mostly against staff, including at Medway STC in 2015 and 2016, </w:t>
      </w:r>
      <w:r w:rsidR="00B04AA3">
        <w:t>continue to be made</w:t>
      </w:r>
      <w:r>
        <w:t xml:space="preserve"> and are rarely investigated properly.</w:t>
      </w:r>
      <w:r>
        <w:rPr>
          <w:rStyle w:val="FootnoteReference"/>
        </w:rPr>
        <w:footnoteReference w:id="392"/>
      </w:r>
    </w:p>
    <w:p w14:paraId="16E183BF" w14:textId="47ED1C9D" w:rsidR="00C32DAA" w:rsidRPr="00A717CB" w:rsidRDefault="00C32DAA" w:rsidP="003A6FBF">
      <w:pPr>
        <w:pStyle w:val="Parabeforeanother"/>
        <w:spacing w:line="240" w:lineRule="auto"/>
        <w:rPr>
          <w:lang w:val="en"/>
        </w:rPr>
      </w:pPr>
      <w:r w:rsidRPr="00A717CB">
        <w:t>The measures taken so far to address some of these problems have mostly consisted of changes to policy and guidance. In 2017, the C</w:t>
      </w:r>
      <w:r w:rsidR="00CD1978">
        <w:t>ICA</w:t>
      </w:r>
      <w:r w:rsidRPr="00A717CB">
        <w:t xml:space="preserve"> adopted new staff guidelines to ensure that child victims of sexual abuse are not denied compensation on the mistaken grounds that they consented to a relationship.</w:t>
      </w:r>
      <w:r w:rsidRPr="00A717CB">
        <w:rPr>
          <w:vertAlign w:val="superscript"/>
        </w:rPr>
        <w:footnoteReference w:id="393"/>
      </w:r>
      <w:r w:rsidRPr="00A717CB">
        <w:t xml:space="preserve"> In </w:t>
      </w:r>
      <w:r w:rsidRPr="00A717CB">
        <w:rPr>
          <w:lang w:val="en"/>
        </w:rPr>
        <w:t xml:space="preserve">2018, a </w:t>
      </w:r>
      <w:r w:rsidRPr="00A717CB">
        <w:t xml:space="preserve">new cross-government Victims Strategy set out specific measures to protect survivors of a range of crimes, including child sexual abuse. These </w:t>
      </w:r>
      <w:r w:rsidR="00253797">
        <w:t xml:space="preserve">measures </w:t>
      </w:r>
      <w:r w:rsidRPr="00A717CB">
        <w:t>include a review of spending on services for victims of child sexual abuse</w:t>
      </w:r>
      <w:r w:rsidR="00253797">
        <w:t xml:space="preserve">, </w:t>
      </w:r>
      <w:r w:rsidRPr="00A717CB">
        <w:t>and a review of the Criminal Injuries Compensation Scheme to take account of grooming.</w:t>
      </w:r>
      <w:r w:rsidRPr="00A717CB">
        <w:rPr>
          <w:vertAlign w:val="superscript"/>
        </w:rPr>
        <w:footnoteReference w:id="394"/>
      </w:r>
      <w:r w:rsidR="00EB2214">
        <w:t xml:space="preserve"> </w:t>
      </w:r>
      <w:r w:rsidRPr="00A717CB">
        <w:t xml:space="preserve">In </w:t>
      </w:r>
      <w:r w:rsidRPr="00A717CB">
        <w:rPr>
          <w:lang w:val="en"/>
        </w:rPr>
        <w:t xml:space="preserve">2018, the UK Government ratified the </w:t>
      </w:r>
      <w:r w:rsidR="00A83FE1">
        <w:rPr>
          <w:lang w:val="en"/>
        </w:rPr>
        <w:t xml:space="preserve">Council of </w:t>
      </w:r>
      <w:r w:rsidRPr="00A717CB">
        <w:rPr>
          <w:lang w:val="en"/>
        </w:rPr>
        <w:t>Europe Convention on Protection of Children against Sexual Exploitation and Sexual Abuse</w:t>
      </w:r>
      <w:r w:rsidR="00A83FE1">
        <w:rPr>
          <w:lang w:val="en"/>
        </w:rPr>
        <w:t xml:space="preserve"> </w:t>
      </w:r>
      <w:r w:rsidRPr="00A717CB">
        <w:rPr>
          <w:lang w:val="en"/>
        </w:rPr>
        <w:t>(the Lanzarote Convention).</w:t>
      </w:r>
    </w:p>
    <w:p w14:paraId="6487E4C4" w14:textId="44CC67AF" w:rsidR="00C32DAA" w:rsidRPr="00A717CB" w:rsidRDefault="00C32DAA" w:rsidP="003A6FBF">
      <w:pPr>
        <w:pStyle w:val="Parabeforenewsubsection"/>
        <w:spacing w:line="240" w:lineRule="auto"/>
        <w:rPr>
          <w:lang w:val="en"/>
        </w:rPr>
      </w:pPr>
      <w:r w:rsidRPr="00A717CB">
        <w:t xml:space="preserve">The other three areas (culture, leadership and financial issues) require further, sustained attention. The increased number of convictions for child sexual abuse in England and Wales suggests that attitudes may </w:t>
      </w:r>
      <w:r w:rsidR="007826EC">
        <w:t>be beginning to change. In 2016/</w:t>
      </w:r>
      <w:r w:rsidRPr="00A717CB">
        <w:t>17</w:t>
      </w:r>
      <w:r w:rsidR="00A83FE1">
        <w:t>,</w:t>
      </w:r>
      <w:r w:rsidRPr="00A717CB">
        <w:t xml:space="preserve"> there w</w:t>
      </w:r>
      <w:r w:rsidR="00A83FE1">
        <w:t>as</w:t>
      </w:r>
      <w:r w:rsidRPr="00A717CB">
        <w:t xml:space="preserve"> a record number of convictions for child sexual abuse in England and </w:t>
      </w:r>
      <w:r w:rsidR="00693E84">
        <w:t xml:space="preserve"> </w:t>
      </w:r>
      <w:r w:rsidRPr="00A717CB">
        <w:t>Wales (5,374).</w:t>
      </w:r>
      <w:r w:rsidRPr="00A717CB">
        <w:rPr>
          <w:vertAlign w:val="superscript"/>
        </w:rPr>
        <w:footnoteReference w:id="395"/>
      </w:r>
      <w:r w:rsidRPr="00A717CB">
        <w:t xml:space="preserve"> However, recent statistics on reporting of sexual offences indicate that a large majority of victims </w:t>
      </w:r>
      <w:r>
        <w:t xml:space="preserve">aged 16+ </w:t>
      </w:r>
      <w:r w:rsidRPr="00A717CB">
        <w:t>(83</w:t>
      </w:r>
      <w:r w:rsidR="00DD2881">
        <w:t xml:space="preserve"> per cent</w:t>
      </w:r>
      <w:r w:rsidRPr="00A717CB">
        <w:t>) do not inform the police.</w:t>
      </w:r>
      <w:r w:rsidRPr="00A717CB">
        <w:rPr>
          <w:rStyle w:val="FootnoteReference"/>
        </w:rPr>
        <w:footnoteReference w:id="396"/>
      </w:r>
      <w:r w:rsidRPr="00A717CB">
        <w:rPr>
          <w:lang w:val="en"/>
        </w:rPr>
        <w:t xml:space="preserve"> </w:t>
      </w:r>
      <w:r w:rsidRPr="00A717CB">
        <w:t xml:space="preserve">The UK and Welsh </w:t>
      </w:r>
      <w:r w:rsidR="00DF0BBF">
        <w:t>G</w:t>
      </w:r>
      <w:r w:rsidRPr="00A717CB">
        <w:t>overnments have both accepted IICSA’s interim recommendation to review current levels of expenditure on support available for child victims of sexual abuse.</w:t>
      </w:r>
      <w:r w:rsidRPr="00A717CB">
        <w:rPr>
          <w:rStyle w:val="FootnoteReference"/>
        </w:rPr>
        <w:footnoteReference w:id="397"/>
      </w:r>
      <w:r w:rsidRPr="00A717CB">
        <w:t xml:space="preserve"> However, it is disappointing that the UK Government has </w:t>
      </w:r>
      <w:r w:rsidRPr="00A717CB">
        <w:lastRenderedPageBreak/>
        <w:t>rejected IICSA’s recommendation to make progression within the police dependent on achieving accreditation and operational experience in d</w:t>
      </w:r>
      <w:r w:rsidR="009279B8">
        <w:t>ealing with child sexual abuse.</w:t>
      </w:r>
    </w:p>
    <w:p w14:paraId="4C601DC0" w14:textId="77777777" w:rsidR="00C32DAA" w:rsidRPr="00A717CB" w:rsidRDefault="00C32DAA" w:rsidP="003A6FBF">
      <w:pPr>
        <w:pStyle w:val="Title-subsections"/>
        <w:spacing w:before="0"/>
      </w:pPr>
      <w:bookmarkStart w:id="85" w:name="_Toc4061447"/>
      <w:r w:rsidRPr="00A717CB">
        <w:t>Recommendations</w:t>
      </w:r>
      <w:bookmarkEnd w:id="85"/>
    </w:p>
    <w:p w14:paraId="1E6233D5" w14:textId="16337987" w:rsidR="00C32DAA" w:rsidRPr="00A717CB" w:rsidRDefault="00C32DAA" w:rsidP="003A6FBF">
      <w:pPr>
        <w:pStyle w:val="Parabeforebulletss"/>
        <w:spacing w:line="240" w:lineRule="auto"/>
      </w:pPr>
      <w:r w:rsidRPr="00A717CB">
        <w:t xml:space="preserve">The UK and Welsh </w:t>
      </w:r>
      <w:r w:rsidR="00DF0BBF">
        <w:t>G</w:t>
      </w:r>
      <w:r w:rsidRPr="00A717CB">
        <w:t xml:space="preserve">overnments, where relevant, should take action in response to the recommendations in the interim report of the </w:t>
      </w:r>
      <w:r w:rsidR="00457D5C">
        <w:t>IICSA</w:t>
      </w:r>
      <w:r w:rsidRPr="00A717CB">
        <w:t>, in particular by:</w:t>
      </w:r>
    </w:p>
    <w:p w14:paraId="386B2721" w14:textId="0E9D5D54" w:rsidR="00C32DAA" w:rsidRPr="00A717CB" w:rsidRDefault="00C32DAA" w:rsidP="003A6FBF">
      <w:pPr>
        <w:pStyle w:val="Bullet-followedbyothers"/>
        <w:spacing w:line="240" w:lineRule="auto"/>
      </w:pPr>
      <w:r w:rsidRPr="00A717CB">
        <w:t xml:space="preserve">Commissioning a joint inspection of </w:t>
      </w:r>
      <w:r w:rsidR="00457D5C">
        <w:t xml:space="preserve">how well </w:t>
      </w:r>
      <w:r w:rsidRPr="00A717CB">
        <w:t xml:space="preserve">the police, the </w:t>
      </w:r>
      <w:r w:rsidR="00214F8E">
        <w:t>CPS</w:t>
      </w:r>
      <w:r w:rsidRPr="00A717CB">
        <w:t xml:space="preserve"> and other agencies </w:t>
      </w:r>
      <w:r w:rsidR="00457D5C">
        <w:t xml:space="preserve">comply </w:t>
      </w:r>
      <w:r w:rsidRPr="00A717CB">
        <w:t>with the Victims’ Code in relation to victims and survivors of child sexual abuse.</w:t>
      </w:r>
    </w:p>
    <w:p w14:paraId="01C8F209" w14:textId="77777777" w:rsidR="00C32DAA" w:rsidRPr="00A717CB" w:rsidRDefault="00C32DAA" w:rsidP="003A6FBF">
      <w:pPr>
        <w:pStyle w:val="Bullet-followedbyothers"/>
        <w:spacing w:line="240" w:lineRule="auto"/>
      </w:pPr>
      <w:r w:rsidRPr="00A717CB">
        <w:t xml:space="preserve">Strengthening the capacity of local police forces to prevent and respond to child sexual abuse by reconsidering the possibility of making progression within the police dependent on achieving accreditation and operational experience in this area. </w:t>
      </w:r>
    </w:p>
    <w:p w14:paraId="5F55F003" w14:textId="0E5A833F" w:rsidR="003A6FBF" w:rsidRPr="003A6FBF" w:rsidRDefault="00C32DAA" w:rsidP="003A6FBF">
      <w:pPr>
        <w:pStyle w:val="Bullet-lastingroup"/>
        <w:spacing w:after="720" w:line="240" w:lineRule="auto"/>
        <w:rPr>
          <w:sz w:val="40"/>
          <w:szCs w:val="40"/>
          <w:lang w:eastAsia="en-GB"/>
        </w:rPr>
      </w:pPr>
      <w:r w:rsidRPr="00A717CB">
        <w:t xml:space="preserve">Establishing current levels of public expenditure, and the effectiveness of that expenditure, on services for child victims of </w:t>
      </w:r>
      <w:r w:rsidR="00C90B6F">
        <w:t>sexual abuse.</w:t>
      </w:r>
    </w:p>
    <w:p w14:paraId="3C63A5CE" w14:textId="77777777" w:rsidR="001F7BEB" w:rsidRDefault="001F7BEB">
      <w:pPr>
        <w:spacing w:after="160" w:line="259" w:lineRule="auto"/>
        <w:rPr>
          <w:rFonts w:ascii="Georgia" w:eastAsia="Times New Roman" w:hAnsi="Georgia"/>
          <w:bCs/>
          <w:color w:val="D40F7D"/>
          <w:sz w:val="40"/>
          <w:szCs w:val="40"/>
        </w:rPr>
      </w:pPr>
      <w:r>
        <w:rPr>
          <w:sz w:val="40"/>
          <w:szCs w:val="40"/>
        </w:rPr>
        <w:br w:type="page"/>
      </w:r>
    </w:p>
    <w:p w14:paraId="36B6CD37" w14:textId="77777777" w:rsidR="003C1836" w:rsidRDefault="003C1836" w:rsidP="00C90B6F">
      <w:pPr>
        <w:pStyle w:val="Title-chapterpink"/>
        <w:spacing w:after="260"/>
        <w:rPr>
          <w:sz w:val="40"/>
          <w:szCs w:val="40"/>
        </w:rPr>
        <w:sectPr w:rsidR="003C1836" w:rsidSect="00C32DAA">
          <w:headerReference w:type="default" r:id="rId26"/>
          <w:pgSz w:w="11906" w:h="16838" w:code="9"/>
          <w:pgMar w:top="1440" w:right="1440" w:bottom="1440" w:left="1440" w:header="567" w:footer="567" w:gutter="0"/>
          <w:cols w:space="708"/>
          <w:docGrid w:linePitch="360"/>
        </w:sectPr>
      </w:pPr>
    </w:p>
    <w:p w14:paraId="7C7D4720" w14:textId="67DA247D" w:rsidR="00C32DAA" w:rsidRDefault="0095032F" w:rsidP="003C1836">
      <w:pPr>
        <w:pStyle w:val="Title-chapterpink"/>
        <w:spacing w:after="0"/>
        <w:rPr>
          <w:sz w:val="40"/>
          <w:szCs w:val="40"/>
          <w:lang w:eastAsia="en-GB"/>
        </w:rPr>
      </w:pPr>
      <w:bookmarkStart w:id="86" w:name="_Toc4061448"/>
      <w:r w:rsidRPr="009279B8">
        <w:rPr>
          <w:sz w:val="40"/>
          <w:szCs w:val="40"/>
        </w:rPr>
        <w:lastRenderedPageBreak/>
        <w:t xml:space="preserve">13. </w:t>
      </w:r>
      <w:r w:rsidR="00C32DAA" w:rsidRPr="009279B8">
        <w:rPr>
          <w:sz w:val="40"/>
          <w:szCs w:val="40"/>
          <w:lang w:eastAsia="en-GB"/>
        </w:rPr>
        <w:t>Hate crime</w:t>
      </w:r>
      <w:bookmarkEnd w:id="86"/>
    </w:p>
    <w:p w14:paraId="21E90A00" w14:textId="77F3D938" w:rsidR="0098176D" w:rsidRPr="006740EF" w:rsidRDefault="0098176D" w:rsidP="0098176D">
      <w:pPr>
        <w:pStyle w:val="Parabeforenewsubsection"/>
        <w:spacing w:after="260"/>
        <w:rPr>
          <w:rFonts w:ascii="Georgia" w:hAnsi="Georgia"/>
          <w:sz w:val="32"/>
          <w:szCs w:val="32"/>
        </w:rPr>
      </w:pPr>
      <w:r w:rsidRPr="006740EF">
        <w:rPr>
          <w:rFonts w:ascii="Georgia" w:hAnsi="Georgia"/>
          <w:sz w:val="32"/>
          <w:szCs w:val="32"/>
        </w:rPr>
        <w:t>Relates to</w:t>
      </w:r>
      <w:r>
        <w:rPr>
          <w:rFonts w:ascii="Georgia" w:hAnsi="Georgia"/>
          <w:sz w:val="32"/>
          <w:szCs w:val="32"/>
        </w:rPr>
        <w:t xml:space="preserve"> CAT Article 16 and list of issues paragraph 43</w:t>
      </w:r>
    </w:p>
    <w:bookmarkStart w:id="87" w:name="_Toc4061449"/>
    <w:p w14:paraId="1F2EF3A0" w14:textId="75142963" w:rsidR="00C32DAA" w:rsidRPr="003A6FBF" w:rsidRDefault="00600D54" w:rsidP="003A6FBF">
      <w:pPr>
        <w:pStyle w:val="Title-chapterpink"/>
      </w:pPr>
      <w:r>
        <w:rPr>
          <w:noProof/>
          <w:lang w:eastAsia="en-GB"/>
        </w:rPr>
        <mc:AlternateContent>
          <mc:Choice Requires="wps">
            <w:drawing>
              <wp:inline distT="0" distB="0" distL="0" distR="0" wp14:anchorId="18CD269F" wp14:editId="336E67FB">
                <wp:extent cx="5543550" cy="1600200"/>
                <wp:effectExtent l="0" t="0" r="0" b="0"/>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600200"/>
                        </a:xfrm>
                        <a:prstGeom prst="rect">
                          <a:avLst/>
                        </a:prstGeom>
                        <a:solidFill>
                          <a:srgbClr val="F8D4EB"/>
                        </a:solidFill>
                        <a:ln w="9525">
                          <a:noFill/>
                          <a:miter lim="800000"/>
                          <a:headEnd/>
                          <a:tailEnd/>
                        </a:ln>
                      </wps:spPr>
                      <wps:txbx>
                        <w:txbxContent>
                          <w:p w14:paraId="6F3D2E66" w14:textId="77777777" w:rsidR="00AE42CD" w:rsidRDefault="00AE42CD" w:rsidP="003A6FBF">
                            <w:pPr>
                              <w:autoSpaceDE w:val="0"/>
                              <w:autoSpaceDN w:val="0"/>
                              <w:adjustRightInd w:val="0"/>
                              <w:spacing w:line="240" w:lineRule="auto"/>
                              <w:rPr>
                                <w:rFonts w:cs="Arial"/>
                                <w:szCs w:val="24"/>
                                <w:lang w:eastAsia="en-GB"/>
                              </w:rPr>
                            </w:pPr>
                            <w:r w:rsidRPr="00A717CB">
                              <w:rPr>
                                <w:rFonts w:cs="Arial"/>
                                <w:szCs w:val="24"/>
                                <w:lang w:eastAsia="en-GB"/>
                              </w:rPr>
                              <w:t xml:space="preserve">In its 2016 list of issues, the Committee requested information </w:t>
                            </w:r>
                            <w:r>
                              <w:rPr>
                                <w:rFonts w:cs="Arial"/>
                                <w:szCs w:val="24"/>
                                <w:lang w:eastAsia="en-GB"/>
                              </w:rPr>
                              <w:t>about:</w:t>
                            </w:r>
                          </w:p>
                          <w:p w14:paraId="192A0375" w14:textId="77777777" w:rsidR="00AE42CD" w:rsidRPr="00422C4A" w:rsidRDefault="00AE42CD" w:rsidP="003A6FBF">
                            <w:pPr>
                              <w:pStyle w:val="Bullet-followedbyothers"/>
                              <w:spacing w:line="240" w:lineRule="auto"/>
                              <w:rPr>
                                <w:lang w:eastAsia="en-GB"/>
                              </w:rPr>
                            </w:pPr>
                            <w:r w:rsidRPr="004C070B">
                              <w:rPr>
                                <w:lang w:eastAsia="en-GB"/>
                              </w:rPr>
                              <w:t xml:space="preserve">measures </w:t>
                            </w:r>
                            <w:r w:rsidRPr="00C276E4">
                              <w:rPr>
                                <w:lang w:eastAsia="en-GB"/>
                              </w:rPr>
                              <w:t xml:space="preserve">to combat hate crimes under Article 16 of CAT, which covers acts of </w:t>
                            </w:r>
                            <w:r w:rsidRPr="00663C64">
                              <w:rPr>
                                <w:lang w:eastAsia="en-GB"/>
                              </w:rPr>
                              <w:t>cruel, inhuman or degrading treatment which do not amount to torture, when such acts are committed by or with the acquiescence of a public official</w:t>
                            </w:r>
                          </w:p>
                          <w:p w14:paraId="635BC18F" w14:textId="77777777" w:rsidR="00AE42CD" w:rsidRDefault="00AE42CD" w:rsidP="003A6FBF">
                            <w:pPr>
                              <w:pStyle w:val="Bullet-followedbyothers"/>
                              <w:spacing w:line="240" w:lineRule="auto"/>
                              <w:rPr>
                                <w:lang w:eastAsia="en-GB"/>
                              </w:rPr>
                            </w:pPr>
                            <w:r w:rsidRPr="00422C4A">
                              <w:rPr>
                                <w:lang w:eastAsia="en-GB"/>
                              </w:rPr>
                              <w:t>the rise in Islamophobic and anti-Semitic hate crimes</w:t>
                            </w:r>
                            <w:r w:rsidRPr="009A0798">
                              <w:rPr>
                                <w:lang w:eastAsia="en-GB"/>
                              </w:rPr>
                              <w:t>, and</w:t>
                            </w:r>
                          </w:p>
                          <w:p w14:paraId="728D0507" w14:textId="5D1E02BC" w:rsidR="00AE42CD" w:rsidRDefault="00AE42CD" w:rsidP="003A6FBF">
                            <w:pPr>
                              <w:pStyle w:val="Bullet-followedbyothers"/>
                              <w:spacing w:line="240" w:lineRule="auto"/>
                              <w:rPr>
                                <w:lang w:eastAsia="en-GB"/>
                              </w:rPr>
                            </w:pPr>
                            <w:r w:rsidRPr="009A0798">
                              <w:rPr>
                                <w:lang w:eastAsia="en-GB"/>
                              </w:rPr>
                              <w:t>specific measures taken to address under-reporting</w:t>
                            </w:r>
                            <w:r w:rsidRPr="00DE442D">
                              <w:rPr>
                                <w:lang w:eastAsia="en-GB"/>
                              </w:rPr>
                              <w:t xml:space="preserve"> of disability</w:t>
                            </w:r>
                            <w:r>
                              <w:rPr>
                                <w:lang w:eastAsia="en-GB"/>
                              </w:rPr>
                              <w:t>-</w:t>
                            </w:r>
                            <w:r w:rsidRPr="004C070B">
                              <w:rPr>
                                <w:lang w:eastAsia="en-GB"/>
                              </w:rPr>
                              <w:t xml:space="preserve"> and transgender-motivated hate crimes.</w:t>
                            </w:r>
                          </w:p>
                        </w:txbxContent>
                      </wps:txbx>
                      <wps:bodyPr rot="0" vert="horz" wrap="square" lIns="91440" tIns="45720" rIns="91440" bIns="45720" anchor="t" anchorCtr="0">
                        <a:noAutofit/>
                      </wps:bodyPr>
                    </wps:wsp>
                  </a:graphicData>
                </a:graphic>
              </wp:inline>
            </w:drawing>
          </mc:Choice>
          <mc:Fallback>
            <w:pict>
              <v:shape w14:anchorId="18CD269F" id="_x0000_s1041" type="#_x0000_t202" style="width:436.5pt;height:1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" fillcolor="#f8d4eb" stroked="f">
                <v:textbox>
                  <w:txbxContent>
                    <w:p w14:paraId="6F3D2E66" w14:textId="77777777" w:rsidR="00AE42CD" w:rsidRDefault="00AE42CD" w:rsidP="003A6FBF">
                      <w:pPr>
                        <w:autoSpaceDE w:val="0"/>
                        <w:autoSpaceDN w:val="0"/>
                        <w:adjustRightInd w:val="0"/>
                        <w:spacing w:line="240" w:lineRule="auto"/>
                        <w:rPr>
                          <w:rFonts w:cs="Arial"/>
                          <w:szCs w:val="24"/>
                          <w:lang w:eastAsia="en-GB"/>
                        </w:rPr>
                      </w:pPr>
                      <w:r w:rsidRPr="00A717CB">
                        <w:rPr>
                          <w:rFonts w:cs="Arial"/>
                          <w:szCs w:val="24"/>
                          <w:lang w:eastAsia="en-GB"/>
                        </w:rPr>
                        <w:t xml:space="preserve">In its 2016 list of issues, the Committee requested information </w:t>
                      </w:r>
                      <w:r>
                        <w:rPr>
                          <w:rFonts w:cs="Arial"/>
                          <w:szCs w:val="24"/>
                          <w:lang w:eastAsia="en-GB"/>
                        </w:rPr>
                        <w:t>about:</w:t>
                      </w:r>
                    </w:p>
                    <w:p w14:paraId="192A0375" w14:textId="77777777" w:rsidR="00AE42CD" w:rsidRPr="00422C4A" w:rsidRDefault="00AE42CD" w:rsidP="003A6FBF">
                      <w:pPr>
                        <w:pStyle w:val="Bullet-followedbyothers"/>
                        <w:spacing w:line="240" w:lineRule="auto"/>
                        <w:rPr>
                          <w:lang w:eastAsia="en-GB"/>
                        </w:rPr>
                      </w:pPr>
                      <w:r w:rsidRPr="004C070B">
                        <w:rPr>
                          <w:lang w:eastAsia="en-GB"/>
                        </w:rPr>
                        <w:t xml:space="preserve">measures </w:t>
                      </w:r>
                      <w:r w:rsidRPr="00C276E4">
                        <w:rPr>
                          <w:lang w:eastAsia="en-GB"/>
                        </w:rPr>
                        <w:t xml:space="preserve">to combat hate crimes under Article 16 of CAT, which covers acts of </w:t>
                      </w:r>
                      <w:r w:rsidRPr="00663C64">
                        <w:rPr>
                          <w:lang w:eastAsia="en-GB"/>
                        </w:rPr>
                        <w:t>cruel, inhuman or degrading treatment which do not amount to torture, when such acts are committed by or with the acquiescence of a public official</w:t>
                      </w:r>
                    </w:p>
                    <w:p w14:paraId="635BC18F" w14:textId="77777777" w:rsidR="00AE42CD" w:rsidRDefault="00AE42CD" w:rsidP="003A6FBF">
                      <w:pPr>
                        <w:pStyle w:val="Bullet-followedbyothers"/>
                        <w:spacing w:line="240" w:lineRule="auto"/>
                        <w:rPr>
                          <w:lang w:eastAsia="en-GB"/>
                        </w:rPr>
                      </w:pPr>
                      <w:r w:rsidRPr="00422C4A">
                        <w:rPr>
                          <w:lang w:eastAsia="en-GB"/>
                        </w:rPr>
                        <w:t>the rise in Islamophobic and anti-Semitic hate crimes</w:t>
                      </w:r>
                      <w:r w:rsidRPr="009A0798">
                        <w:rPr>
                          <w:lang w:eastAsia="en-GB"/>
                        </w:rPr>
                        <w:t>, and</w:t>
                      </w:r>
                    </w:p>
                    <w:p w14:paraId="728D0507" w14:textId="5D1E02BC" w:rsidR="00AE42CD" w:rsidRDefault="00AE42CD" w:rsidP="003A6FBF">
                      <w:pPr>
                        <w:pStyle w:val="Bullet-followedbyothers"/>
                        <w:spacing w:line="240" w:lineRule="auto"/>
                        <w:rPr>
                          <w:lang w:eastAsia="en-GB"/>
                        </w:rPr>
                      </w:pPr>
                      <w:r w:rsidRPr="009A0798">
                        <w:rPr>
                          <w:lang w:eastAsia="en-GB"/>
                        </w:rPr>
                        <w:t>specific measures taken to address under-reporting</w:t>
                      </w:r>
                      <w:r w:rsidRPr="00DE442D">
                        <w:rPr>
                          <w:lang w:eastAsia="en-GB"/>
                        </w:rPr>
                        <w:t xml:space="preserve"> of disability</w:t>
                      </w:r>
                      <w:r>
                        <w:rPr>
                          <w:lang w:eastAsia="en-GB"/>
                        </w:rPr>
                        <w:t>-</w:t>
                      </w:r>
                      <w:r w:rsidRPr="004C070B">
                        <w:rPr>
                          <w:lang w:eastAsia="en-GB"/>
                        </w:rPr>
                        <w:t xml:space="preserve"> and transgender-motivated hate crimes.</w:t>
                      </w:r>
                    </w:p>
                  </w:txbxContent>
                </v:textbox>
                <w10:anchorlock/>
              </v:shape>
            </w:pict>
          </mc:Fallback>
        </mc:AlternateContent>
      </w:r>
      <w:bookmarkEnd w:id="87"/>
    </w:p>
    <w:p w14:paraId="67450921" w14:textId="77777777" w:rsidR="00C32DAA" w:rsidRPr="00A717CB" w:rsidRDefault="00C32DAA" w:rsidP="003A6FBF">
      <w:pPr>
        <w:pStyle w:val="Parabeforeanother"/>
        <w:spacing w:line="240" w:lineRule="auto"/>
      </w:pPr>
      <w:r w:rsidRPr="00A717CB">
        <w:t>The legal framework for hate crime in England and Wales protects the characteristics of race, religion, disability, sexual orientation and transgender identity.</w:t>
      </w:r>
      <w:r w:rsidRPr="00A717CB">
        <w:rPr>
          <w:rStyle w:val="FootnoteReference"/>
        </w:rPr>
        <w:footnoteReference w:id="398"/>
      </w:r>
      <w:r w:rsidRPr="00A717CB">
        <w:t xml:space="preserve"> Police forces are required to record hate crime for these characteristics, although individual forces can monitor additional strands. For example, a number of police forces in England have piloted recording incidents of misogyny hate crime.</w:t>
      </w:r>
      <w:r w:rsidRPr="00A717CB">
        <w:rPr>
          <w:rStyle w:val="FootnoteReference"/>
        </w:rPr>
        <w:footnoteReference w:id="399"/>
      </w:r>
    </w:p>
    <w:p w14:paraId="5D8ADDF0" w14:textId="4F6753E6" w:rsidR="00C32DAA" w:rsidRPr="00A717CB" w:rsidRDefault="00C32DAA" w:rsidP="003A6FBF">
      <w:pPr>
        <w:pStyle w:val="Parabeforeanother"/>
        <w:spacing w:line="240" w:lineRule="auto"/>
      </w:pPr>
      <w:r w:rsidRPr="00A717CB">
        <w:t xml:space="preserve">Police-recorded hate crime in England and Wales has increased </w:t>
      </w:r>
      <w:r>
        <w:t>year-on-year, rising from 42,255</w:t>
      </w:r>
      <w:r w:rsidRPr="00A717CB">
        <w:t xml:space="preserve"> offences in 2012/13 to 94,098 in 2017/18.</w:t>
      </w:r>
      <w:r w:rsidRPr="00A717CB">
        <w:rPr>
          <w:vertAlign w:val="superscript"/>
        </w:rPr>
        <w:footnoteReference w:id="400"/>
      </w:r>
      <w:r w:rsidRPr="00A717CB">
        <w:t xml:space="preserve"> The majority of recorded hate crimes are racially motivated, accounting for 76</w:t>
      </w:r>
      <w:r w:rsidR="00DD2881">
        <w:t xml:space="preserve"> per cent</w:t>
      </w:r>
      <w:r w:rsidRPr="00A717CB">
        <w:t xml:space="preserve"> of all hate crime in 2017/18.</w:t>
      </w:r>
      <w:r w:rsidRPr="00A717CB">
        <w:rPr>
          <w:vertAlign w:val="superscript"/>
        </w:rPr>
        <w:footnoteReference w:id="401"/>
      </w:r>
      <w:r w:rsidRPr="00A717CB">
        <w:t xml:space="preserve"> Hate crime based on religion, disability and transgender identity have seen particularly steep increases: the level of recorded transgender hate crime</w:t>
      </w:r>
      <w:r w:rsidR="00D06CE9">
        <w:t>, for example,</w:t>
      </w:r>
      <w:r w:rsidRPr="00A717CB">
        <w:t xml:space="preserve"> increased by more than 4.5 times between 2012/13 and 2017/18.</w:t>
      </w:r>
      <w:r w:rsidRPr="00A717CB">
        <w:rPr>
          <w:vertAlign w:val="superscript"/>
        </w:rPr>
        <w:footnoteReference w:id="402"/>
      </w:r>
      <w:r w:rsidRPr="00A717CB">
        <w:t xml:space="preserve"> It is likely that action by police to improve recording practices, greater awareness of hate crime, and greater willingness among victims to come forward are factors in the increase.</w:t>
      </w:r>
      <w:r w:rsidRPr="00A717CB">
        <w:rPr>
          <w:vertAlign w:val="superscript"/>
        </w:rPr>
        <w:footnoteReference w:id="403"/>
      </w:r>
      <w:r w:rsidRPr="00A717CB">
        <w:t xml:space="preserve"> However, it continues to be the case that hate crime is significantly under</w:t>
      </w:r>
      <w:r w:rsidR="00D06CE9">
        <w:t>-</w:t>
      </w:r>
      <w:r w:rsidRPr="00A717CB">
        <w:t>reported to the police.</w:t>
      </w:r>
      <w:r w:rsidRPr="00A717CB">
        <w:rPr>
          <w:rStyle w:val="FootnoteReference"/>
        </w:rPr>
        <w:footnoteReference w:id="404"/>
      </w:r>
      <w:r w:rsidRPr="00A717CB">
        <w:t xml:space="preserve"> Research by Stonewall found </w:t>
      </w:r>
      <w:r w:rsidR="00D06CE9">
        <w:t xml:space="preserve">that </w:t>
      </w:r>
      <w:r w:rsidRPr="00A717CB">
        <w:t xml:space="preserve">four in five transgender people who had experienced </w:t>
      </w:r>
      <w:r w:rsidR="00D06CE9">
        <w:t xml:space="preserve">a </w:t>
      </w:r>
      <w:r w:rsidRPr="00A717CB">
        <w:t>hate crime did not report it to the police, and some of those who did make a report felt unsupported by the police or experienced further discrimination.</w:t>
      </w:r>
      <w:r w:rsidRPr="00A717CB">
        <w:rPr>
          <w:rStyle w:val="FootnoteReference"/>
        </w:rPr>
        <w:footnoteReference w:id="405"/>
      </w:r>
      <w:r w:rsidRPr="00A717CB">
        <w:t xml:space="preserve"> </w:t>
      </w:r>
    </w:p>
    <w:p w14:paraId="198F5BB6" w14:textId="4A0A72B3" w:rsidR="00C32DAA" w:rsidRPr="00A717CB" w:rsidRDefault="00C32DAA" w:rsidP="003A6FBF">
      <w:pPr>
        <w:pStyle w:val="Parabeforeanother"/>
        <w:spacing w:line="240" w:lineRule="auto"/>
      </w:pPr>
      <w:r w:rsidRPr="00A717CB">
        <w:t xml:space="preserve">A recent inspection by Her Majesty’s Inspectorate of Constabulary and Fire &amp; Rescue Services (HMICFRS) highlighted inaccuracies in the recording of hate crime data by the police, which has ‘serious implications for forces in terms of their ability </w:t>
      </w:r>
      <w:r w:rsidRPr="00A717CB">
        <w:lastRenderedPageBreak/>
        <w:t>to understand hate crime and how it affects victims and their communities, and then respond appropriately’</w:t>
      </w:r>
      <w:r w:rsidR="00D06CE9">
        <w:t>.</w:t>
      </w:r>
      <w:r w:rsidRPr="00A717CB">
        <w:rPr>
          <w:vertAlign w:val="superscript"/>
        </w:rPr>
        <w:t xml:space="preserve"> </w:t>
      </w:r>
      <w:r w:rsidRPr="00A717CB">
        <w:rPr>
          <w:vertAlign w:val="superscript"/>
        </w:rPr>
        <w:footnoteReference w:id="406"/>
      </w:r>
    </w:p>
    <w:p w14:paraId="36846810" w14:textId="2CA54A4F" w:rsidR="00C32DAA" w:rsidRPr="00A717CB" w:rsidRDefault="00FE5360" w:rsidP="003A6FBF">
      <w:pPr>
        <w:pStyle w:val="Parabeforeanother"/>
        <w:spacing w:line="240" w:lineRule="auto"/>
      </w:pPr>
      <w:r>
        <w:t>A</w:t>
      </w:r>
      <w:r w:rsidR="00C32DAA" w:rsidRPr="00A717CB">
        <w:t xml:space="preserve"> significant number of </w:t>
      </w:r>
      <w:r>
        <w:t xml:space="preserve">hate crime </w:t>
      </w:r>
      <w:r w:rsidR="00C32DAA" w:rsidRPr="00A717CB">
        <w:t>cases drop out of the criminal justice system at each stage</w:t>
      </w:r>
      <w:r>
        <w:t xml:space="preserve"> of the proceedings</w:t>
      </w:r>
      <w:r w:rsidR="00C32DAA" w:rsidRPr="00A717CB">
        <w:t>.</w:t>
      </w:r>
      <w:r w:rsidR="00C32DAA" w:rsidRPr="00A717CB">
        <w:rPr>
          <w:rStyle w:val="FootnoteReference"/>
        </w:rPr>
        <w:footnoteReference w:id="407"/>
      </w:r>
      <w:r w:rsidR="00C32DAA" w:rsidRPr="00A717CB">
        <w:t xml:space="preserve"> It is estimated that only 2</w:t>
      </w:r>
      <w:r w:rsidR="00DD2881">
        <w:t xml:space="preserve"> per cent</w:t>
      </w:r>
      <w:r w:rsidR="00C32DAA" w:rsidRPr="00A717CB">
        <w:t xml:space="preserve"> of all hate crimes result in a successful conviction with a recorded uplift in the sentence to recognise that the offence is motivated by hostility on the basis of a protected characteristic.</w:t>
      </w:r>
      <w:r w:rsidR="00C32DAA" w:rsidRPr="00A717CB">
        <w:rPr>
          <w:rStyle w:val="FootnoteReference"/>
        </w:rPr>
        <w:footnoteReference w:id="408"/>
      </w:r>
      <w:r w:rsidR="00C32DAA" w:rsidRPr="00A717CB">
        <w:t xml:space="preserve"> For disability hate crime</w:t>
      </w:r>
      <w:r w:rsidR="00CA4AB5">
        <w:t>,</w:t>
      </w:r>
      <w:r w:rsidR="00C32DAA" w:rsidRPr="00A717CB">
        <w:t xml:space="preserve"> the figure is 0.1</w:t>
      </w:r>
      <w:r w:rsidR="00DD2881">
        <w:t xml:space="preserve"> per cent</w:t>
      </w:r>
      <w:r w:rsidR="00C32DAA" w:rsidRPr="00A717CB">
        <w:t>.</w:t>
      </w:r>
      <w:r w:rsidR="00C32DAA" w:rsidRPr="00A717CB">
        <w:rPr>
          <w:rStyle w:val="FootnoteReference"/>
        </w:rPr>
        <w:footnoteReference w:id="409"/>
      </w:r>
      <w:r w:rsidR="00C32DAA" w:rsidRPr="00A717CB">
        <w:t xml:space="preserve"> No estimates are available for transgender hate crime.</w:t>
      </w:r>
    </w:p>
    <w:p w14:paraId="561E4D80" w14:textId="2E428375" w:rsidR="00C32DAA" w:rsidRPr="00A717CB" w:rsidRDefault="00C32DAA" w:rsidP="003A6FBF">
      <w:pPr>
        <w:pStyle w:val="Parabeforeanother"/>
        <w:spacing w:line="240" w:lineRule="auto"/>
        <w:rPr>
          <w:b/>
          <w:bCs/>
        </w:rPr>
      </w:pPr>
      <w:r w:rsidRPr="00A717CB">
        <w:t>One of the barriers to the effective investigation, prosecution and sentencing of hate crimes is the complexity of the legislative framework. The current framework does not provide parity of protection and remedy in respect of the protected characteristics.</w:t>
      </w:r>
      <w:r w:rsidR="00EB2214">
        <w:t xml:space="preserve"> </w:t>
      </w:r>
      <w:r w:rsidRPr="00A717CB">
        <w:t xml:space="preserve">Whereas enhanced sentencing powers exist for crimes involving hostility based on a person’s actual or perceived race, religion, sexual orientation, disability or transgender identity, the law only provides for specific ‘aggravated’ offences on grounds of race or religion, and ‘stirring up hatred’ offences for race, religion or sexual orientation. This complexity creates uncertainty about the way in which such prohibited activity ought to be treated by law enforcement </w:t>
      </w:r>
      <w:r w:rsidR="00FE5360">
        <w:t xml:space="preserve">agencies </w:t>
      </w:r>
      <w:r w:rsidRPr="00A717CB">
        <w:t>and the courts.</w:t>
      </w:r>
      <w:r w:rsidRPr="00A717CB">
        <w:rPr>
          <w:rStyle w:val="FootnoteReference"/>
        </w:rPr>
        <w:footnoteReference w:id="410"/>
      </w:r>
      <w:r w:rsidRPr="00A717CB">
        <w:rPr>
          <w:b/>
          <w:bCs/>
        </w:rPr>
        <w:t> </w:t>
      </w:r>
    </w:p>
    <w:p w14:paraId="269BB7C3" w14:textId="710D8E35" w:rsidR="00C32DAA" w:rsidRPr="00A717CB" w:rsidRDefault="00C32DAA" w:rsidP="003A6FBF">
      <w:pPr>
        <w:pStyle w:val="Parabeforeanother"/>
        <w:spacing w:line="240" w:lineRule="auto"/>
      </w:pPr>
      <w:r w:rsidRPr="00A717CB">
        <w:t xml:space="preserve">In 2016, the UK Government published an action plan on hate crime for England and Wales, </w:t>
      </w:r>
      <w:r w:rsidR="00366B59">
        <w:t xml:space="preserve">which </w:t>
      </w:r>
      <w:r w:rsidRPr="00A717CB">
        <w:t>focused on preventing, responding to and reporting hate crime, improving support for victims, and increasing understanding of hate crime’s causes and effects.</w:t>
      </w:r>
      <w:r w:rsidRPr="00A717CB">
        <w:rPr>
          <w:vertAlign w:val="superscript"/>
        </w:rPr>
        <w:footnoteReference w:id="411"/>
      </w:r>
      <w:r w:rsidRPr="00A717CB">
        <w:t xml:space="preserve"> Some commentators held that</w:t>
      </w:r>
      <w:r w:rsidR="004C5704">
        <w:t>,</w:t>
      </w:r>
      <w:r w:rsidRPr="00A717CB">
        <w:t xml:space="preserve"> while the aims were commendable, the action plan failed to outline the specific ways in which progress would be achieved and particular interventions would be evaluated.</w:t>
      </w:r>
      <w:r w:rsidRPr="00A717CB">
        <w:rPr>
          <w:vertAlign w:val="superscript"/>
        </w:rPr>
        <w:footnoteReference w:id="412"/>
      </w:r>
      <w:r w:rsidRPr="00A717CB">
        <w:t xml:space="preserve"> An update to the action plan in 2018 highlighted areas of progress including funding for community projects to tackle hate crime and new guidance for victims.</w:t>
      </w:r>
      <w:r w:rsidRPr="00A717CB">
        <w:rPr>
          <w:vertAlign w:val="superscript"/>
        </w:rPr>
        <w:footnoteReference w:id="413"/>
      </w:r>
    </w:p>
    <w:p w14:paraId="04EF7B1D" w14:textId="40E520EF" w:rsidR="00C32DAA" w:rsidRPr="00A717CB" w:rsidRDefault="00C32DAA" w:rsidP="003A6FBF">
      <w:pPr>
        <w:pStyle w:val="Parabeforeanother"/>
        <w:spacing w:line="240" w:lineRule="auto"/>
      </w:pPr>
      <w:r w:rsidRPr="00A717CB">
        <w:t>A separate framework has been developed to address hate crime in Wales. A 2016/17 progress report on the implementation of the framework identified an increase in the use of sentence uplifts, which recognise that hostility on the basis of a protected characteristic is a</w:t>
      </w:r>
      <w:r>
        <w:t>n aggravating</w:t>
      </w:r>
      <w:r w:rsidRPr="00A717CB">
        <w:t xml:space="preserve"> factor in the offence. The report also suggested there had been progress on increasing awareness about reporting, particularly among groups </w:t>
      </w:r>
      <w:r w:rsidR="00C514D5">
        <w:t>in which</w:t>
      </w:r>
      <w:r w:rsidR="00C514D5" w:rsidRPr="00A717CB">
        <w:t xml:space="preserve"> </w:t>
      </w:r>
      <w:r w:rsidRPr="00A717CB">
        <w:t>under-reporting is common</w:t>
      </w:r>
      <w:r w:rsidR="00C514D5">
        <w:t>,</w:t>
      </w:r>
      <w:r w:rsidRPr="00A717CB">
        <w:t xml:space="preserve"> including </w:t>
      </w:r>
      <w:r w:rsidR="00D60062">
        <w:lastRenderedPageBreak/>
        <w:t>t</w:t>
      </w:r>
      <w:r w:rsidRPr="00A717CB">
        <w:t xml:space="preserve">ransgender people, disabled people, and people from </w:t>
      </w:r>
      <w:r w:rsidR="00C514D5" w:rsidRPr="00A717CB">
        <w:t xml:space="preserve">gypsy and traveller </w:t>
      </w:r>
      <w:r w:rsidRPr="00A717CB">
        <w:t>communities.</w:t>
      </w:r>
      <w:r w:rsidRPr="00A717CB">
        <w:rPr>
          <w:rStyle w:val="FootnoteReference"/>
        </w:rPr>
        <w:footnoteReference w:id="414"/>
      </w:r>
    </w:p>
    <w:p w14:paraId="6C64222C" w14:textId="2FEF04FE" w:rsidR="00C32DAA" w:rsidRPr="00A717CB" w:rsidRDefault="00C32DAA" w:rsidP="003A6FBF">
      <w:pPr>
        <w:pStyle w:val="Parabeforeanother"/>
        <w:spacing w:line="240" w:lineRule="auto"/>
      </w:pPr>
      <w:r w:rsidRPr="00A717CB">
        <w:t xml:space="preserve">A joint inspection by HMICFRS and Her Majesty’s Crown Prosecution Service Inspectorate </w:t>
      </w:r>
      <w:r w:rsidR="004C070B">
        <w:t>focusing on</w:t>
      </w:r>
      <w:r w:rsidR="004C070B" w:rsidRPr="00A717CB">
        <w:t xml:space="preserve"> </w:t>
      </w:r>
      <w:r w:rsidRPr="00A717CB">
        <w:t>disability hate crime identified significant progress within the CPS in the handling of disability hate crime cases, for example improvements in the effectiveness of area hate crime coordinators, but stated that further improvements were needed by both prosecutors and the police.</w:t>
      </w:r>
      <w:r w:rsidRPr="00A717CB">
        <w:rPr>
          <w:rStyle w:val="FootnoteReference"/>
        </w:rPr>
        <w:footnoteReference w:id="415"/>
      </w:r>
      <w:r w:rsidRPr="00A717CB">
        <w:t xml:space="preserve"> Issues requiring improvement included consideration of the needs of victims, particularly in relation to providing reasonable adjustments to support victims to give evidence.</w:t>
      </w:r>
      <w:r w:rsidRPr="00A717CB">
        <w:rPr>
          <w:rStyle w:val="FootnoteReference"/>
        </w:rPr>
        <w:footnoteReference w:id="416"/>
      </w:r>
      <w:r w:rsidRPr="00A717CB">
        <w:t xml:space="preserve"> The Government’s Victim Strategy in 2018 announced measures to improve the Victims</w:t>
      </w:r>
      <w:r w:rsidR="004C070B">
        <w:t>’</w:t>
      </w:r>
      <w:r w:rsidRPr="00A717CB">
        <w:t xml:space="preserve"> Code, including ensuring that victims of hate crime receive the enhanced support to which they are entitled, such as special measures when giving evidence in court.</w:t>
      </w:r>
      <w:r w:rsidRPr="00A717CB">
        <w:rPr>
          <w:rStyle w:val="FootnoteReference"/>
        </w:rPr>
        <w:footnoteReference w:id="417"/>
      </w:r>
      <w:r w:rsidRPr="00A717CB">
        <w:t xml:space="preserve"> </w:t>
      </w:r>
    </w:p>
    <w:p w14:paraId="4AFF4EFB" w14:textId="72137DE6" w:rsidR="00C32DAA" w:rsidRPr="00A717CB" w:rsidRDefault="00E5514B" w:rsidP="009279B8">
      <w:pPr>
        <w:pStyle w:val="Parabeforenewsubsection"/>
        <w:spacing w:line="240" w:lineRule="auto"/>
      </w:pPr>
      <w:r>
        <w:t>T</w:t>
      </w:r>
      <w:r w:rsidR="00C32DAA" w:rsidRPr="00A717CB">
        <w:t>he UK Government recently committed to a wide-ranging review of hate crime law covering England and Wales. The Law Commission, which is undertaking the review, has a remit to ensure the legislative framework provides more consistent and effective protection, and to consider whether the protections should be extended to additional characteristics such as sex and age.</w:t>
      </w:r>
      <w:r w:rsidR="00C32DAA" w:rsidRPr="00A717CB">
        <w:rPr>
          <w:vertAlign w:val="superscript"/>
        </w:rPr>
        <w:footnoteReference w:id="418"/>
      </w:r>
    </w:p>
    <w:p w14:paraId="0DFCCF7D" w14:textId="5CAD1C0F" w:rsidR="00C32DAA" w:rsidRPr="009279B8" w:rsidRDefault="00C32DAA" w:rsidP="009279B8">
      <w:pPr>
        <w:pStyle w:val="NoSpacing"/>
        <w:spacing w:after="100"/>
        <w:rPr>
          <w:b/>
          <w:szCs w:val="24"/>
        </w:rPr>
      </w:pPr>
      <w:r w:rsidRPr="00A717CB">
        <w:rPr>
          <w:b/>
          <w:szCs w:val="24"/>
        </w:rPr>
        <w:t>R</w:t>
      </w:r>
      <w:r w:rsidR="009279B8">
        <w:rPr>
          <w:b/>
          <w:szCs w:val="24"/>
        </w:rPr>
        <w:t>ecommendations</w:t>
      </w:r>
    </w:p>
    <w:p w14:paraId="36B0AC60" w14:textId="7F9F4C93" w:rsidR="00C32DAA" w:rsidRPr="00A717CB" w:rsidRDefault="00C32DAA" w:rsidP="003A6FBF">
      <w:pPr>
        <w:pStyle w:val="Parabeforeanother"/>
        <w:spacing w:line="240" w:lineRule="auto"/>
      </w:pPr>
      <w:r w:rsidRPr="00A717CB">
        <w:t xml:space="preserve">The UK Government has introduced numerous legislative and policy measures aimed at combating hate crimes. However, there is scope to improve before these can be described as offering an effective framework to prevent hate crime and protect victims. </w:t>
      </w:r>
    </w:p>
    <w:p w14:paraId="32D1C108" w14:textId="77777777" w:rsidR="00C32DAA" w:rsidRPr="00A717CB" w:rsidRDefault="00C32DAA" w:rsidP="003A6FBF">
      <w:pPr>
        <w:pStyle w:val="Parabeforebulletss"/>
        <w:spacing w:line="240" w:lineRule="auto"/>
      </w:pPr>
      <w:r w:rsidRPr="00A717CB">
        <w:t>The UK Government should:</w:t>
      </w:r>
    </w:p>
    <w:p w14:paraId="33E727CC" w14:textId="77777777" w:rsidR="00C32DAA" w:rsidRPr="00A717CB" w:rsidRDefault="00C32DAA" w:rsidP="003A6FBF">
      <w:pPr>
        <w:pStyle w:val="Bullet-followedbyothers"/>
        <w:spacing w:line="240" w:lineRule="auto"/>
      </w:pPr>
      <w:r w:rsidRPr="00A717CB">
        <w:t>Improve the reporting of hate crime, including by strengthening the initial handling and recording of hate crime reports; improving the quality of support to victims, including directing victims to support services and keeping them informed about the progress of their case; and improving the effectiveness of hate crime training for police forces.</w:t>
      </w:r>
    </w:p>
    <w:p w14:paraId="356D43FC" w14:textId="7D400990" w:rsidR="00C276E4" w:rsidRPr="009279B8" w:rsidRDefault="00C32DAA" w:rsidP="009279B8">
      <w:pPr>
        <w:pStyle w:val="Bullet-lastingroup"/>
        <w:spacing w:after="720" w:line="259" w:lineRule="auto"/>
      </w:pPr>
      <w:r w:rsidRPr="00A717CB">
        <w:t>Ensure its forthcoming review of hate crime law in England and Wales results in reforms that provide equal and adequate protection to different protected groups, and that improve the ability of criminal justice agencies to understand and enforce the law effectively in respons</w:t>
      </w:r>
      <w:r w:rsidR="009279B8">
        <w:t>e to hate crime.</w:t>
      </w:r>
    </w:p>
    <w:p w14:paraId="048A39CA" w14:textId="77777777" w:rsidR="003C1836" w:rsidRDefault="003C1836" w:rsidP="003C1836">
      <w:pPr>
        <w:pStyle w:val="Title-chapterpink"/>
        <w:spacing w:after="0"/>
        <w:rPr>
          <w:sz w:val="40"/>
          <w:szCs w:val="40"/>
        </w:rPr>
        <w:sectPr w:rsidR="003C1836" w:rsidSect="00C32DAA">
          <w:headerReference w:type="default" r:id="rId27"/>
          <w:pgSz w:w="11906" w:h="16838" w:code="9"/>
          <w:pgMar w:top="1440" w:right="1440" w:bottom="1440" w:left="1440" w:header="567" w:footer="567" w:gutter="0"/>
          <w:cols w:space="708"/>
          <w:docGrid w:linePitch="360"/>
        </w:sectPr>
      </w:pPr>
    </w:p>
    <w:p w14:paraId="50007B89" w14:textId="669F3391" w:rsidR="00C32DAA" w:rsidRDefault="00C32DAA" w:rsidP="003C1836">
      <w:pPr>
        <w:pStyle w:val="Title-chapterpink"/>
        <w:spacing w:after="0"/>
        <w:rPr>
          <w:sz w:val="40"/>
          <w:szCs w:val="40"/>
        </w:rPr>
      </w:pPr>
      <w:bookmarkStart w:id="88" w:name="_Toc4061450"/>
      <w:r w:rsidRPr="003A6FBF">
        <w:rPr>
          <w:sz w:val="40"/>
          <w:szCs w:val="40"/>
        </w:rPr>
        <w:lastRenderedPageBreak/>
        <w:t>14. Minimum age of criminal responsibility</w:t>
      </w:r>
      <w:bookmarkEnd w:id="88"/>
    </w:p>
    <w:p w14:paraId="2217D610" w14:textId="31994C28" w:rsidR="006740EF" w:rsidRPr="006740EF" w:rsidRDefault="006740EF" w:rsidP="006740EF">
      <w:pPr>
        <w:pStyle w:val="Parabeforenewsubsection"/>
        <w:spacing w:after="260"/>
        <w:rPr>
          <w:rFonts w:ascii="Georgia" w:hAnsi="Georgia"/>
          <w:sz w:val="32"/>
          <w:szCs w:val="32"/>
        </w:rPr>
      </w:pPr>
      <w:r w:rsidRPr="006740EF">
        <w:rPr>
          <w:rFonts w:ascii="Georgia" w:hAnsi="Georgia"/>
          <w:sz w:val="32"/>
          <w:szCs w:val="32"/>
        </w:rPr>
        <w:t>Relates to</w:t>
      </w:r>
      <w:r w:rsidR="007C20F8">
        <w:rPr>
          <w:rFonts w:ascii="Georgia" w:hAnsi="Georgia"/>
          <w:sz w:val="32"/>
          <w:szCs w:val="32"/>
        </w:rPr>
        <w:t xml:space="preserve"> CAT Article</w:t>
      </w:r>
      <w:r w:rsidR="009A79CB">
        <w:rPr>
          <w:rFonts w:ascii="Georgia" w:hAnsi="Georgia"/>
          <w:sz w:val="32"/>
          <w:szCs w:val="32"/>
        </w:rPr>
        <w:t>s</w:t>
      </w:r>
      <w:r w:rsidR="007C20F8">
        <w:rPr>
          <w:rFonts w:ascii="Georgia" w:hAnsi="Georgia"/>
          <w:sz w:val="32"/>
          <w:szCs w:val="32"/>
        </w:rPr>
        <w:t xml:space="preserve"> </w:t>
      </w:r>
      <w:r w:rsidR="000F689C">
        <w:rPr>
          <w:rFonts w:ascii="Georgia" w:hAnsi="Georgia"/>
          <w:sz w:val="32"/>
          <w:szCs w:val="32"/>
        </w:rPr>
        <w:t xml:space="preserve">2, </w:t>
      </w:r>
      <w:r w:rsidR="007C20F8">
        <w:rPr>
          <w:rFonts w:ascii="Georgia" w:hAnsi="Georgia"/>
          <w:sz w:val="32"/>
          <w:szCs w:val="32"/>
        </w:rPr>
        <w:t>11</w:t>
      </w:r>
      <w:r w:rsidR="000F689C">
        <w:rPr>
          <w:rFonts w:ascii="Georgia" w:hAnsi="Georgia"/>
          <w:sz w:val="32"/>
          <w:szCs w:val="32"/>
        </w:rPr>
        <w:t xml:space="preserve"> and 16</w:t>
      </w:r>
      <w:r w:rsidR="007C20F8">
        <w:rPr>
          <w:rFonts w:ascii="Georgia" w:hAnsi="Georgia"/>
          <w:sz w:val="32"/>
          <w:szCs w:val="32"/>
        </w:rPr>
        <w:t>, CO paragraph 27 and list of issues paragraph 25</w:t>
      </w:r>
    </w:p>
    <w:bookmarkStart w:id="89" w:name="_Toc4061451"/>
    <w:p w14:paraId="28D4703C" w14:textId="2F79B0E6" w:rsidR="00C32DAA" w:rsidRPr="003A6FBF" w:rsidRDefault="00600D54" w:rsidP="003A6FBF">
      <w:pPr>
        <w:pStyle w:val="Title-chapterpink"/>
      </w:pPr>
      <w:r>
        <w:rPr>
          <w:noProof/>
          <w:lang w:eastAsia="en-GB"/>
        </w:rPr>
        <mc:AlternateContent>
          <mc:Choice Requires="wps">
            <w:drawing>
              <wp:inline distT="0" distB="0" distL="0" distR="0" wp14:anchorId="1D0A4423" wp14:editId="35408D22">
                <wp:extent cx="5543550" cy="704850"/>
                <wp:effectExtent l="0" t="0" r="0" b="0"/>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704850"/>
                        </a:xfrm>
                        <a:prstGeom prst="rect">
                          <a:avLst/>
                        </a:prstGeom>
                        <a:solidFill>
                          <a:srgbClr val="F8D4EB"/>
                        </a:solidFill>
                        <a:ln w="9525">
                          <a:noFill/>
                          <a:miter lim="800000"/>
                          <a:headEnd/>
                          <a:tailEnd/>
                        </a:ln>
                      </wps:spPr>
                      <wps:txbx>
                        <w:txbxContent>
                          <w:p w14:paraId="20EEA638" w14:textId="4148F1F4" w:rsidR="00AE42CD" w:rsidRDefault="00AE42CD" w:rsidP="00600D54">
                            <w:pPr>
                              <w:spacing w:line="240" w:lineRule="auto"/>
                            </w:pPr>
                            <w:r w:rsidRPr="00A717CB">
                              <w:rPr>
                                <w:szCs w:val="24"/>
                              </w:rPr>
                              <w:t xml:space="preserve">In its 2016 list of issues, the Committee referred to its 2013 recommendation and to repeated recommendations made by the </w:t>
                            </w:r>
                            <w:r>
                              <w:rPr>
                                <w:szCs w:val="24"/>
                              </w:rPr>
                              <w:t xml:space="preserve">UN </w:t>
                            </w:r>
                            <w:r w:rsidRPr="00A717CB">
                              <w:rPr>
                                <w:szCs w:val="24"/>
                              </w:rPr>
                              <w:t>Committee on the Rights of the Child with regard to raising the minimum age of criminal responsibility.</w:t>
                            </w:r>
                          </w:p>
                        </w:txbxContent>
                      </wps:txbx>
                      <wps:bodyPr rot="0" vert="horz" wrap="square" lIns="91440" tIns="45720" rIns="91440" bIns="45720" anchor="t" anchorCtr="0">
                        <a:noAutofit/>
                      </wps:bodyPr>
                    </wps:wsp>
                  </a:graphicData>
                </a:graphic>
              </wp:inline>
            </w:drawing>
          </mc:Choice>
          <mc:Fallback>
            <w:pict>
              <v:shape w14:anchorId="1D0A4423" id="_x0000_s1042" type="#_x0000_t202" style="width:436.5pt;height:5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" fillcolor="#f8d4eb" stroked="f">
                <v:textbox>
                  <w:txbxContent>
                    <w:p w14:paraId="20EEA638" w14:textId="4148F1F4" w:rsidR="00AE42CD" w:rsidRDefault="00AE42CD" w:rsidP="00600D54">
                      <w:pPr>
                        <w:spacing w:line="240" w:lineRule="auto"/>
                      </w:pPr>
                      <w:r w:rsidRPr="00A717CB">
                        <w:rPr>
                          <w:szCs w:val="24"/>
                        </w:rPr>
                        <w:t xml:space="preserve">In its 2016 list of issues, the Committee referred to its 2013 recommendation and to repeated recommendations made by the </w:t>
                      </w:r>
                      <w:r>
                        <w:rPr>
                          <w:szCs w:val="24"/>
                        </w:rPr>
                        <w:t xml:space="preserve">UN </w:t>
                      </w:r>
                      <w:r w:rsidRPr="00A717CB">
                        <w:rPr>
                          <w:szCs w:val="24"/>
                        </w:rPr>
                        <w:t>Committee on the Rights of the Child with regard to raising the minimum age of criminal responsibility.</w:t>
                      </w:r>
                    </w:p>
                  </w:txbxContent>
                </v:textbox>
                <w10:anchorlock/>
              </v:shape>
            </w:pict>
          </mc:Fallback>
        </mc:AlternateContent>
      </w:r>
      <w:bookmarkEnd w:id="89"/>
    </w:p>
    <w:p w14:paraId="78E270B4" w14:textId="77777777" w:rsidR="00C32DAA" w:rsidRPr="00A717CB" w:rsidRDefault="00C32DAA" w:rsidP="003A6FBF">
      <w:pPr>
        <w:pStyle w:val="Parabeforeanother"/>
        <w:spacing w:before="260" w:line="240" w:lineRule="auto"/>
        <w:rPr>
          <w:lang w:eastAsia="en-GB"/>
        </w:rPr>
      </w:pPr>
      <w:r w:rsidRPr="00A717CB">
        <w:rPr>
          <w:lang w:eastAsia="en-GB"/>
        </w:rPr>
        <w:t>In England and Wales, the age of criminal responsibility is 10 years old,</w:t>
      </w:r>
      <w:r w:rsidRPr="00A717CB">
        <w:rPr>
          <w:rStyle w:val="FootnoteReference"/>
          <w:lang w:eastAsia="en-GB"/>
        </w:rPr>
        <w:footnoteReference w:id="419"/>
      </w:r>
      <w:r w:rsidRPr="00A717CB">
        <w:rPr>
          <w:lang w:eastAsia="en-GB"/>
        </w:rPr>
        <w:t xml:space="preserve"> which is significantly lower than many European countries</w:t>
      </w:r>
      <w:r w:rsidRPr="00A717CB">
        <w:rPr>
          <w:rStyle w:val="FootnoteReference"/>
          <w:lang w:eastAsia="en-GB"/>
        </w:rPr>
        <w:footnoteReference w:id="420"/>
      </w:r>
      <w:r w:rsidRPr="00A717CB">
        <w:rPr>
          <w:lang w:eastAsia="en-GB"/>
        </w:rPr>
        <w:t xml:space="preserve"> and inconsistent with accepted international standards.</w:t>
      </w:r>
      <w:r w:rsidRPr="00A717CB">
        <w:rPr>
          <w:rStyle w:val="FootnoteReference"/>
          <w:lang w:eastAsia="en-GB"/>
        </w:rPr>
        <w:footnoteReference w:id="421"/>
      </w:r>
      <w:r w:rsidRPr="00A717CB">
        <w:rPr>
          <w:lang w:eastAsia="en-GB"/>
        </w:rPr>
        <w:t xml:space="preserve"> In Scotland, the Government has put forward proposals to raise the minimum age of criminal responsibility to 12.</w:t>
      </w:r>
      <w:r w:rsidRPr="00A717CB">
        <w:rPr>
          <w:rStyle w:val="FootnoteReference"/>
          <w:lang w:eastAsia="en-GB"/>
        </w:rPr>
        <w:footnoteReference w:id="422"/>
      </w:r>
      <w:r w:rsidRPr="00A717CB">
        <w:rPr>
          <w:lang w:eastAsia="en-GB"/>
        </w:rPr>
        <w:t xml:space="preserve"> </w:t>
      </w:r>
    </w:p>
    <w:p w14:paraId="0F46D051" w14:textId="090DD855" w:rsidR="00C32DAA" w:rsidRPr="00A717CB" w:rsidRDefault="00C32DAA" w:rsidP="003A6FBF">
      <w:pPr>
        <w:pStyle w:val="Parabeforeanother"/>
        <w:spacing w:line="240" w:lineRule="auto"/>
        <w:rPr>
          <w:lang w:eastAsia="en-GB"/>
        </w:rPr>
      </w:pPr>
      <w:r w:rsidRPr="00A717CB">
        <w:rPr>
          <w:lang w:eastAsia="en-GB"/>
        </w:rPr>
        <w:t xml:space="preserve">The UN Committee on the Rights of the Child </w:t>
      </w:r>
      <w:r w:rsidR="004D2D61">
        <w:rPr>
          <w:lang w:eastAsia="en-GB"/>
        </w:rPr>
        <w:t xml:space="preserve">(UNCRC) </w:t>
      </w:r>
      <w:r w:rsidRPr="00A717CB">
        <w:rPr>
          <w:lang w:eastAsia="en-GB"/>
        </w:rPr>
        <w:t>is currently revising its General Comment on children's rights in juvenile justice</w:t>
      </w:r>
      <w:r w:rsidR="006C09B7">
        <w:rPr>
          <w:lang w:eastAsia="en-GB"/>
        </w:rPr>
        <w:t xml:space="preserve">. </w:t>
      </w:r>
      <w:r w:rsidR="006C09B7" w:rsidRPr="006C09B7">
        <w:rPr>
          <w:lang w:eastAsia="en-GB"/>
        </w:rPr>
        <w:t xml:space="preserve">The draft General Comment indicated that there may be an uplift of the </w:t>
      </w:r>
      <w:r w:rsidRPr="006C09B7">
        <w:rPr>
          <w:lang w:eastAsia="en-GB"/>
        </w:rPr>
        <w:t xml:space="preserve">internationally acceptable minimum age of criminal responsibility </w:t>
      </w:r>
      <w:r w:rsidR="006C09B7" w:rsidRPr="006C09B7">
        <w:rPr>
          <w:lang w:eastAsia="en-GB"/>
        </w:rPr>
        <w:t xml:space="preserve">to </w:t>
      </w:r>
      <w:r w:rsidRPr="006C09B7">
        <w:rPr>
          <w:lang w:eastAsia="en-GB"/>
        </w:rPr>
        <w:t>14</w:t>
      </w:r>
      <w:r w:rsidR="006C09B7" w:rsidRPr="006C09B7">
        <w:rPr>
          <w:lang w:eastAsia="en-GB"/>
        </w:rPr>
        <w:t>.</w:t>
      </w:r>
      <w:r w:rsidRPr="00A717CB">
        <w:rPr>
          <w:rStyle w:val="FootnoteReference"/>
          <w:lang w:eastAsia="en-GB"/>
        </w:rPr>
        <w:footnoteReference w:id="423"/>
      </w:r>
    </w:p>
    <w:p w14:paraId="177630DD" w14:textId="58FE8EEE" w:rsidR="00C32DAA" w:rsidRPr="00A717CB" w:rsidRDefault="00C32DAA" w:rsidP="003A6FBF">
      <w:pPr>
        <w:pStyle w:val="Parabeforeanother"/>
        <w:spacing w:line="240" w:lineRule="auto"/>
        <w:rPr>
          <w:lang w:eastAsia="en-GB"/>
        </w:rPr>
      </w:pPr>
      <w:r w:rsidRPr="00A717CB">
        <w:rPr>
          <w:lang w:eastAsia="en-GB"/>
        </w:rPr>
        <w:t>In the year ending March 201</w:t>
      </w:r>
      <w:r>
        <w:rPr>
          <w:lang w:eastAsia="en-GB"/>
        </w:rPr>
        <w:t>8</w:t>
      </w:r>
      <w:r w:rsidR="007826EC">
        <w:rPr>
          <w:lang w:eastAsia="en-GB"/>
        </w:rPr>
        <w:t>,</w:t>
      </w:r>
      <w:r w:rsidRPr="00A717CB">
        <w:rPr>
          <w:lang w:eastAsia="en-GB"/>
        </w:rPr>
        <w:t xml:space="preserve"> </w:t>
      </w:r>
      <w:r>
        <w:rPr>
          <w:lang w:eastAsia="en-GB"/>
        </w:rPr>
        <w:t>47</w:t>
      </w:r>
      <w:r w:rsidRPr="00A717CB">
        <w:rPr>
          <w:lang w:eastAsia="en-GB"/>
        </w:rPr>
        <w:t xml:space="preserve"> </w:t>
      </w:r>
      <w:r w:rsidR="00194AEC">
        <w:rPr>
          <w:lang w:eastAsia="en-GB"/>
        </w:rPr>
        <w:t>10</w:t>
      </w:r>
      <w:r w:rsidRPr="00A717CB">
        <w:rPr>
          <w:lang w:eastAsia="en-GB"/>
        </w:rPr>
        <w:t>-year-olds and 22</w:t>
      </w:r>
      <w:r>
        <w:rPr>
          <w:lang w:eastAsia="en-GB"/>
        </w:rPr>
        <w:t>9</w:t>
      </w:r>
      <w:r w:rsidRPr="00A717CB">
        <w:rPr>
          <w:lang w:eastAsia="en-GB"/>
        </w:rPr>
        <w:t xml:space="preserve"> </w:t>
      </w:r>
      <w:r w:rsidR="00194AEC">
        <w:rPr>
          <w:lang w:eastAsia="en-GB"/>
        </w:rPr>
        <w:t>11</w:t>
      </w:r>
      <w:r w:rsidRPr="00A717CB">
        <w:rPr>
          <w:lang w:eastAsia="en-GB"/>
        </w:rPr>
        <w:t>-year-olds received a youth caution or court conviction in England and Wales.</w:t>
      </w:r>
      <w:r w:rsidRPr="00A717CB">
        <w:rPr>
          <w:vertAlign w:val="superscript"/>
          <w:lang w:eastAsia="en-GB"/>
        </w:rPr>
        <w:footnoteReference w:id="424"/>
      </w:r>
      <w:r w:rsidRPr="00A717CB">
        <w:rPr>
          <w:lang w:eastAsia="en-GB"/>
        </w:rPr>
        <w:t xml:space="preserve"> This means that a large number of children at a vulnerable age are being exposed to a judicial system which may potentially have harmful effects on their wellbeing and development. There is evidence that criminalisation makes these children more likely to reoffend as adults.</w:t>
      </w:r>
      <w:r w:rsidRPr="00A717CB">
        <w:rPr>
          <w:rStyle w:val="FootnoteReference"/>
          <w:lang w:eastAsia="en-GB"/>
        </w:rPr>
        <w:footnoteReference w:id="425"/>
      </w:r>
      <w:r w:rsidRPr="00A717CB">
        <w:rPr>
          <w:lang w:eastAsia="en-GB"/>
        </w:rPr>
        <w:t xml:space="preserve"> </w:t>
      </w:r>
    </w:p>
    <w:p w14:paraId="450807E6" w14:textId="004A91E4" w:rsidR="00C32DAA" w:rsidRDefault="00C32DAA" w:rsidP="003A6FBF">
      <w:pPr>
        <w:pStyle w:val="Parabeforeanother"/>
        <w:spacing w:line="240" w:lineRule="auto"/>
        <w:rPr>
          <w:lang w:eastAsia="en-GB"/>
        </w:rPr>
      </w:pPr>
      <w:r w:rsidRPr="00A717CB">
        <w:rPr>
          <w:lang w:eastAsia="en-GB"/>
        </w:rPr>
        <w:t>The UK Government has continued to indicate that it has no plans to raise the age of criminal responsibility,</w:t>
      </w:r>
      <w:r w:rsidRPr="00A717CB">
        <w:rPr>
          <w:rStyle w:val="FootnoteReference"/>
          <w:lang w:eastAsia="en-GB"/>
        </w:rPr>
        <w:footnoteReference w:id="426"/>
      </w:r>
      <w:r w:rsidRPr="00A717CB">
        <w:rPr>
          <w:lang w:eastAsia="en-GB"/>
        </w:rPr>
        <w:t xml:space="preserve"> despite calls to do so from numerous organisations and experts in the UK.</w:t>
      </w:r>
      <w:r w:rsidRPr="00A717CB">
        <w:rPr>
          <w:rStyle w:val="FootnoteReference"/>
          <w:lang w:eastAsia="en-GB"/>
        </w:rPr>
        <w:footnoteReference w:id="427"/>
      </w:r>
      <w:r w:rsidRPr="00A717CB">
        <w:rPr>
          <w:lang w:eastAsia="en-GB"/>
        </w:rPr>
        <w:t xml:space="preserve"> </w:t>
      </w:r>
      <w:r w:rsidR="00836B9A">
        <w:rPr>
          <w:lang w:eastAsia="en-GB"/>
        </w:rPr>
        <w:t xml:space="preserve">The </w:t>
      </w:r>
      <w:r w:rsidRPr="00A717CB">
        <w:rPr>
          <w:lang w:eastAsia="en-GB"/>
        </w:rPr>
        <w:t>EHRC considers the re-introduction of a Private Members Bill by Lord Dholakia as an opportunity to bring UK law in this crucial area in line with international standards.</w:t>
      </w:r>
      <w:r w:rsidRPr="00A717CB">
        <w:rPr>
          <w:rStyle w:val="FootnoteReference"/>
          <w:lang w:eastAsia="en-GB"/>
        </w:rPr>
        <w:footnoteReference w:id="428"/>
      </w:r>
      <w:r w:rsidRPr="00A717CB">
        <w:rPr>
          <w:lang w:eastAsia="en-GB"/>
        </w:rPr>
        <w:t xml:space="preserve"> </w:t>
      </w:r>
    </w:p>
    <w:p w14:paraId="5C93EBCD" w14:textId="26EA31B6" w:rsidR="00C32DAA" w:rsidRPr="00510886" w:rsidRDefault="00C32DAA" w:rsidP="003A6FBF">
      <w:pPr>
        <w:pStyle w:val="Parabeforenewsubsection"/>
        <w:spacing w:line="240" w:lineRule="auto"/>
        <w:rPr>
          <w:lang w:eastAsia="en-GB"/>
        </w:rPr>
      </w:pPr>
      <w:r w:rsidRPr="00510886">
        <w:rPr>
          <w:lang w:eastAsia="en-GB"/>
        </w:rPr>
        <w:lastRenderedPageBreak/>
        <w:t>Any increase in the age of criminal responsibility would need to be accompanied</w:t>
      </w:r>
      <w:r w:rsidR="00EB2214">
        <w:rPr>
          <w:lang w:eastAsia="en-GB"/>
        </w:rPr>
        <w:t xml:space="preserve"> </w:t>
      </w:r>
      <w:r w:rsidRPr="00510886">
        <w:rPr>
          <w:lang w:eastAsia="en-GB"/>
        </w:rPr>
        <w:t>by the development of a welfare-based system, including early intervention and therapeutic services for dealing with the harmful behaviour of children. Some of these services already exist, albeit with significant regional variation. The</w:t>
      </w:r>
      <w:r w:rsidR="009E6EF7">
        <w:rPr>
          <w:lang w:eastAsia="en-GB"/>
        </w:rPr>
        <w:t xml:space="preserve"> services</w:t>
      </w:r>
      <w:r w:rsidRPr="00510886">
        <w:rPr>
          <w:lang w:eastAsia="en-GB"/>
        </w:rPr>
        <w:t xml:space="preserve"> include the possibility of detaining children who pose a danger to themselves or to others in a local authority secure children’s home on welfare grounds.</w:t>
      </w:r>
      <w:r w:rsidRPr="00510886">
        <w:rPr>
          <w:rStyle w:val="FootnoteReference"/>
          <w:lang w:eastAsia="en-GB"/>
        </w:rPr>
        <w:footnoteReference w:id="429"/>
      </w:r>
      <w:r w:rsidRPr="00510886">
        <w:rPr>
          <w:lang w:eastAsia="en-GB"/>
        </w:rPr>
        <w:t xml:space="preserve"> </w:t>
      </w:r>
    </w:p>
    <w:p w14:paraId="2AB441D0" w14:textId="55AB8E03" w:rsidR="00C32DAA" w:rsidRPr="00510886" w:rsidRDefault="00C32DAA" w:rsidP="0095032F">
      <w:pPr>
        <w:pStyle w:val="Title-subsections"/>
        <w:rPr>
          <w:lang w:eastAsia="en-GB"/>
        </w:rPr>
      </w:pPr>
      <w:bookmarkStart w:id="90" w:name="_Toc4061452"/>
      <w:r w:rsidRPr="00510886">
        <w:rPr>
          <w:lang w:eastAsia="en-GB"/>
        </w:rPr>
        <w:t>Recommendation</w:t>
      </w:r>
      <w:r w:rsidR="00A30DC7">
        <w:rPr>
          <w:lang w:eastAsia="en-GB"/>
        </w:rPr>
        <w:t>s</w:t>
      </w:r>
      <w:bookmarkEnd w:id="90"/>
    </w:p>
    <w:p w14:paraId="1D92B8A3" w14:textId="77777777" w:rsidR="00C32DAA" w:rsidRPr="00510886" w:rsidRDefault="00C32DAA" w:rsidP="003A6FBF">
      <w:pPr>
        <w:pStyle w:val="Parabeforebulletss"/>
        <w:spacing w:line="240" w:lineRule="auto"/>
        <w:rPr>
          <w:lang w:eastAsia="en-GB"/>
        </w:rPr>
      </w:pPr>
      <w:r w:rsidRPr="00510886">
        <w:rPr>
          <w:lang w:eastAsia="en-GB"/>
        </w:rPr>
        <w:t>The UK Government should:</w:t>
      </w:r>
    </w:p>
    <w:p w14:paraId="20C1F6AB" w14:textId="05C83C39" w:rsidR="00C32DAA" w:rsidRPr="00510886" w:rsidRDefault="00C32DAA" w:rsidP="003A6FBF">
      <w:pPr>
        <w:pStyle w:val="Bullet-followedbyothers"/>
        <w:spacing w:line="240" w:lineRule="auto"/>
        <w:rPr>
          <w:lang w:eastAsia="en-GB"/>
        </w:rPr>
      </w:pPr>
      <w:r w:rsidRPr="00510886">
        <w:rPr>
          <w:lang w:eastAsia="en-GB"/>
        </w:rPr>
        <w:t>Develop a welfare-based system, including early intervention and therapeutic services for dealing with the harmful behaviour of children</w:t>
      </w:r>
      <w:r w:rsidR="00AC7F5E">
        <w:rPr>
          <w:lang w:eastAsia="en-GB"/>
        </w:rPr>
        <w:t>;</w:t>
      </w:r>
      <w:r w:rsidRPr="00510886">
        <w:rPr>
          <w:lang w:eastAsia="en-GB"/>
        </w:rPr>
        <w:t xml:space="preserve"> </w:t>
      </w:r>
      <w:r w:rsidRPr="00AC7F5E">
        <w:rPr>
          <w:lang w:eastAsia="en-GB"/>
        </w:rPr>
        <w:t xml:space="preserve">and </w:t>
      </w:r>
      <w:r w:rsidR="00B04AA3" w:rsidRPr="00AC7F5E">
        <w:rPr>
          <w:lang w:eastAsia="en-GB"/>
        </w:rPr>
        <w:t xml:space="preserve">significantly </w:t>
      </w:r>
      <w:r w:rsidRPr="00AC7F5E">
        <w:rPr>
          <w:lang w:eastAsia="en-GB"/>
        </w:rPr>
        <w:t>raise the age of criminal responsibility in line with international human rights standards</w:t>
      </w:r>
      <w:r w:rsidR="00AC7F5E" w:rsidRPr="00AC7F5E">
        <w:rPr>
          <w:lang w:eastAsia="en-GB"/>
        </w:rPr>
        <w:t>, taking account of any recommendations of the forthcoming UNCRC General Comment.</w:t>
      </w:r>
    </w:p>
    <w:p w14:paraId="0673508C" w14:textId="1E9DBEB7" w:rsidR="00DD423C" w:rsidRPr="00510886" w:rsidRDefault="00C32DAA" w:rsidP="003A6FBF">
      <w:pPr>
        <w:pStyle w:val="Bullet-lastingroup"/>
        <w:spacing w:line="240" w:lineRule="auto"/>
        <w:rPr>
          <w:lang w:eastAsia="en-GB"/>
        </w:rPr>
      </w:pPr>
      <w:r w:rsidRPr="00510886">
        <w:rPr>
          <w:lang w:eastAsia="en-GB"/>
        </w:rPr>
        <w:t xml:space="preserve">Where children </w:t>
      </w:r>
      <w:r w:rsidR="00CD717B">
        <w:rPr>
          <w:lang w:eastAsia="en-GB"/>
        </w:rPr>
        <w:t xml:space="preserve">under the age of criminal responsibility </w:t>
      </w:r>
      <w:r w:rsidRPr="00510886">
        <w:rPr>
          <w:lang w:eastAsia="en-GB"/>
        </w:rPr>
        <w:t xml:space="preserve">need to be detained because they are a risk to themselves or others, ensure that there are robust legal safeguards, including judicial authorisation of the decision to detain, access to free legal representation and frequent reviews. Detention should take place in a non-penal setting, </w:t>
      </w:r>
      <w:r w:rsidR="00722621">
        <w:rPr>
          <w:lang w:eastAsia="en-GB"/>
        </w:rPr>
        <w:t xml:space="preserve">and should be used </w:t>
      </w:r>
      <w:r w:rsidRPr="00510886">
        <w:rPr>
          <w:lang w:eastAsia="en-GB"/>
        </w:rPr>
        <w:t>as a last resort and for the shortest possible time.</w:t>
      </w:r>
    </w:p>
    <w:sectPr w:rsidR="00DD423C" w:rsidRPr="00510886" w:rsidSect="00C32DAA">
      <w:headerReference w:type="default" r:id="rId28"/>
      <w:pgSz w:w="11906" w:h="16838" w:code="9"/>
      <w:pgMar w:top="1440" w:right="1440" w:bottom="1440" w:left="1440" w:header="567" w:footer="567"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3DA4B5D" w16cid:durableId="2032415F"/>
  <w16cid:commentId w16cid:paraId="769514FE" w16cid:durableId="2032419F"/>
  <w16cid:commentId w16cid:paraId="291A3B18" w16cid:durableId="203241C2"/>
  <w16cid:commentId w16cid:paraId="137DF6CA" w16cid:durableId="203241FA"/>
  <w16cid:commentId w16cid:paraId="7A805692" w16cid:durableId="20324284"/>
  <w16cid:commentId w16cid:paraId="25272540" w16cid:durableId="20336DE5"/>
  <w16cid:commentId w16cid:paraId="20BCEC26" w16cid:durableId="20336E68"/>
  <w16cid:commentId w16cid:paraId="461B0670" w16cid:durableId="20323F80"/>
  <w16cid:commentId w16cid:paraId="509D22B8" w16cid:durableId="20323F9A"/>
  <w16cid:commentId w16cid:paraId="171B66D7" w16cid:durableId="20323F9F"/>
  <w16cid:commentId w16cid:paraId="4129F066" w16cid:durableId="20337200"/>
  <w16cid:commentId w16cid:paraId="4272F58F" w16cid:durableId="20337381"/>
  <w16cid:commentId w16cid:paraId="3AF25937" w16cid:durableId="20323244"/>
  <w16cid:commentId w16cid:paraId="15848356" w16cid:durableId="20337876"/>
  <w16cid:commentId w16cid:paraId="3D0D2FEC" w16cid:durableId="203379EA"/>
  <w16cid:commentId w16cid:paraId="2FCDE195" w16cid:durableId="20337A46"/>
  <w16cid:commentId w16cid:paraId="365BDD0D" w16cid:durableId="20337AAA"/>
  <w16cid:commentId w16cid:paraId="2BBEDF78" w16cid:durableId="20337ECE"/>
  <w16cid:commentId w16cid:paraId="458E5220" w16cid:durableId="20337EF2"/>
  <w16cid:commentId w16cid:paraId="53CF6706" w16cid:durableId="2039DE1B"/>
  <w16cid:commentId w16cid:paraId="4A91C61F" w16cid:durableId="20378ED1"/>
  <w16cid:commentId w16cid:paraId="7B1E961A" w16cid:durableId="203385B6"/>
  <w16cid:commentId w16cid:paraId="0DDFE2CA" w16cid:durableId="2039E1A5"/>
  <w16cid:commentId w16cid:paraId="0CCB6941" w16cid:durableId="2039E398"/>
  <w16cid:commentId w16cid:paraId="454E26EC" w16cid:durableId="20320932"/>
  <w16cid:commentId w16cid:paraId="0FA6F5B8" w16cid:durableId="2039E4C3"/>
  <w16cid:commentId w16cid:paraId="2F1D78A1" w16cid:durableId="2039E5B1"/>
  <w16cid:commentId w16cid:paraId="4CEB9353" w16cid:durableId="20338A56"/>
  <w16cid:commentId w16cid:paraId="5C669D99" w16cid:durableId="20338B84"/>
  <w16cid:commentId w16cid:paraId="388F1AF8" w16cid:durableId="2039E770"/>
  <w16cid:commentId w16cid:paraId="4F7A7F9D" w16cid:durableId="20338B10"/>
  <w16cid:commentId w16cid:paraId="2816D2F5" w16cid:durableId="20338D2F"/>
  <w16cid:commentId w16cid:paraId="69336618" w16cid:durableId="2039E8E1"/>
  <w16cid:commentId w16cid:paraId="49DA6208" w16cid:durableId="20338DCB"/>
  <w16cid:commentId w16cid:paraId="70EE9151" w16cid:durableId="20338E3A"/>
  <w16cid:commentId w16cid:paraId="3AC1A1E3" w16cid:durableId="2039EA5A"/>
  <w16cid:commentId w16cid:paraId="16465C60" w16cid:durableId="2033901A"/>
  <w16cid:commentId w16cid:paraId="54C5B375" w16cid:durableId="2039EFCA"/>
  <w16cid:commentId w16cid:paraId="7D25176F" w16cid:durableId="2034A47A"/>
  <w16cid:commentId w16cid:paraId="745818B5" w16cid:durableId="2039F0CB"/>
  <w16cid:commentId w16cid:paraId="470B89EB" w16cid:durableId="2034A59E"/>
  <w16cid:commentId w16cid:paraId="06BC311A" w16cid:durableId="2034A60F"/>
  <w16cid:commentId w16cid:paraId="561C74A4" w16cid:durableId="20323FA9"/>
  <w16cid:commentId w16cid:paraId="185EF7AD" w16cid:durableId="20323FB7"/>
  <w16cid:commentId w16cid:paraId="43695339" w16cid:durableId="2034AB05"/>
  <w16cid:commentId w16cid:paraId="17E2C808" w16cid:durableId="2039F508"/>
  <w16cid:commentId w16cid:paraId="367FE051" w16cid:durableId="2039FB6B"/>
  <w16cid:commentId w16cid:paraId="13570B45" w16cid:durableId="2034C7C9"/>
  <w16cid:commentId w16cid:paraId="38A69608" w16cid:durableId="2034CA50"/>
  <w16cid:commentId w16cid:paraId="5E5673EE" w16cid:durableId="2034CBF4"/>
  <w16cid:commentId w16cid:paraId="46DBC343" w16cid:durableId="2039FDD7"/>
  <w16cid:commentId w16cid:paraId="0AD361C6" w16cid:durableId="20323FCB"/>
  <w16cid:commentId w16cid:paraId="53ECDDA9" w16cid:durableId="203A065B"/>
  <w16cid:commentId w16cid:paraId="65B79EBB" w16cid:durableId="203A088F"/>
  <w16cid:commentId w16cid:paraId="43BE0137" w16cid:durableId="20377EBF"/>
  <w16cid:commentId w16cid:paraId="3E062568" w16cid:durableId="203A10EF"/>
  <w16cid:commentId w16cid:paraId="7BB9504B" w16cid:durableId="2032093A"/>
  <w16cid:commentId w16cid:paraId="0F4A44FC" w16cid:durableId="2032093B"/>
  <w16cid:commentId w16cid:paraId="2F453537" w16cid:durableId="2032093C"/>
  <w16cid:commentId w16cid:paraId="0D174544" w16cid:durableId="2032093D"/>
  <w16cid:commentId w16cid:paraId="177C79A7" w16cid:durableId="20378301"/>
  <w16cid:commentId w16cid:paraId="04479794" w16cid:durableId="20378398"/>
  <w16cid:commentId w16cid:paraId="57B35529" w16cid:durableId="203A153A"/>
  <w16cid:commentId w16cid:paraId="276C4F29" w16cid:durableId="203786CB"/>
  <w16cid:commentId w16cid:paraId="02AE44A1" w16cid:durableId="20378A14"/>
  <w16cid:commentId w16cid:paraId="171196A0" w16cid:durableId="20378BCB"/>
  <w16cid:commentId w16cid:paraId="4AA05E4B" w16cid:durableId="2032093F"/>
  <w16cid:commentId w16cid:paraId="4D30639F" w16cid:durableId="20378CDB"/>
  <w16cid:commentId w16cid:paraId="64329344" w16cid:durableId="203A1738"/>
  <w16cid:commentId w16cid:paraId="3C3A11CA" w16cid:durableId="203A180B"/>
  <w16cid:commentId w16cid:paraId="78DC5FAC" w16cid:durableId="20379171"/>
  <w16cid:commentId w16cid:paraId="5300D531" w16cid:durableId="20390457"/>
  <w16cid:commentId w16cid:paraId="5AC43388" w16cid:durableId="20390670"/>
  <w16cid:commentId w16cid:paraId="21E513F6" w16cid:durableId="20390847"/>
  <w16cid:commentId w16cid:paraId="459D0A59" w16cid:durableId="203A1A77"/>
  <w16cid:commentId w16cid:paraId="73A09E00" w16cid:durableId="203908EC"/>
  <w16cid:commentId w16cid:paraId="3AD5E27D" w16cid:durableId="20390B2C"/>
  <w16cid:commentId w16cid:paraId="61F8EBE5" w16cid:durableId="20390BE6"/>
  <w16cid:commentId w16cid:paraId="5A328691" w16cid:durableId="20323FD8"/>
  <w16cid:commentId w16cid:paraId="5F1D49A0" w16cid:durableId="20323FE0"/>
  <w16cid:commentId w16cid:paraId="7DD8527C" w16cid:durableId="20390CF2"/>
  <w16cid:commentId w16cid:paraId="6C711296" w16cid:durableId="203A1E62"/>
  <w16cid:commentId w16cid:paraId="31C2815D" w16cid:durableId="20392056"/>
  <w16cid:commentId w16cid:paraId="370F655B" w16cid:durableId="20390EEA"/>
  <w16cid:commentId w16cid:paraId="6170C7A7" w16cid:durableId="20390F9C"/>
  <w16cid:commentId w16cid:paraId="642FEA2D" w16cid:durableId="203911A0"/>
  <w16cid:commentId w16cid:paraId="747ABD38" w16cid:durableId="2039D845"/>
  <w16cid:commentId w16cid:paraId="3F6DD2DA" w16cid:durableId="2039121C"/>
  <w16cid:commentId w16cid:paraId="2EEEE331" w16cid:durableId="20391C60"/>
  <w16cid:commentId w16cid:paraId="5AC45710" w16cid:durableId="20391C99"/>
  <w16cid:commentId w16cid:paraId="4924A111" w16cid:durableId="20391D26"/>
  <w16cid:commentId w16cid:paraId="30156E6E" w16cid:durableId="20391D69"/>
  <w16cid:commentId w16cid:paraId="67F55A90" w16cid:durableId="20391DAE"/>
  <w16cid:commentId w16cid:paraId="4DED3931" w16cid:durableId="20391F05"/>
  <w16cid:commentId w16cid:paraId="06438802" w16cid:durableId="203A2A15"/>
  <w16cid:commentId w16cid:paraId="0DE0EE88" w16cid:durableId="203A2AD3"/>
  <w16cid:commentId w16cid:paraId="0B9A20BA" w16cid:durableId="2039200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687942" w14:textId="77777777" w:rsidR="00AE42CD" w:rsidRDefault="00AE42CD">
      <w:pPr>
        <w:spacing w:line="240" w:lineRule="auto"/>
      </w:pPr>
      <w:r>
        <w:separator/>
      </w:r>
    </w:p>
  </w:endnote>
  <w:endnote w:type="continuationSeparator" w:id="0">
    <w:p w14:paraId="0618E44E" w14:textId="77777777" w:rsidR="00AE42CD" w:rsidRDefault="00AE42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ヒラギノ角ゴ Pro W3">
    <w:charset w:val="00"/>
    <w:family w:val="roman"/>
    <w:pitch w:val="default"/>
  </w:font>
  <w:font w:name="Helvetica">
    <w:panose1 w:val="020B0604020202020204"/>
    <w:charset w:val="00"/>
    <w:family w:val="swiss"/>
    <w:pitch w:val="variable"/>
    <w:sig w:usb0="E0002EFF" w:usb1="C0007843" w:usb2="00000009" w:usb3="00000000" w:csb0="000001FF" w:csb1="00000000"/>
  </w:font>
  <w:font w:name="Foundry Form Sans Bold">
    <w:altName w:val="Foundry Form Sans Bold"/>
    <w:panose1 w:val="00000000000000000000"/>
    <w:charset w:val="00"/>
    <w:family w:val="swiss"/>
    <w:notTrueType/>
    <w:pitch w:val="default"/>
    <w:sig w:usb0="00000003" w:usb1="00000000" w:usb2="00000000" w:usb3="00000000" w:csb0="00000001" w:csb1="00000000"/>
  </w:font>
  <w:font w:name="Foundry Form Sans Book">
    <w:altName w:val="Foundry Form Sans Book"/>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2F647" w14:textId="77777777" w:rsidR="00AE42CD" w:rsidRPr="00A753C4" w:rsidRDefault="00AE42CD">
    <w:pPr>
      <w:jc w:val="center"/>
    </w:pPr>
  </w:p>
  <w:p w14:paraId="79AEE78B" w14:textId="77777777" w:rsidR="00AE42CD" w:rsidRDefault="00AE42C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42062" w14:textId="4DB5BFC9" w:rsidR="00AE42CD" w:rsidRPr="005F0CC1" w:rsidRDefault="00AE42CD" w:rsidP="005F0CC1">
    <w:pPr>
      <w:pStyle w:val="Footer"/>
      <w:jc w:val="right"/>
    </w:pPr>
    <w:r>
      <w:rPr>
        <w:noProof/>
        <w:lang w:eastAsia="en-GB"/>
      </w:rPr>
      <w:drawing>
        <wp:inline distT="0" distB="0" distL="0" distR="0" wp14:anchorId="508B5198" wp14:editId="04C789B1">
          <wp:extent cx="2705100" cy="99920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HRC logo BL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24290" cy="1006291"/>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CE939" w14:textId="77777777" w:rsidR="00AE42CD" w:rsidRDefault="00AE42CD" w:rsidP="00241156">
    <w:pPr>
      <w:tabs>
        <w:tab w:val="right" w:pos="9498"/>
      </w:tabs>
      <w:spacing w:line="240" w:lineRule="auto"/>
      <w:ind w:left="-567"/>
      <w:rPr>
        <w:rFonts w:cs="Arial"/>
        <w:sz w:val="16"/>
        <w:szCs w:val="16"/>
      </w:rPr>
    </w:pPr>
    <w:r w:rsidRPr="006347A9">
      <w:rPr>
        <w:sz w:val="16"/>
        <w:szCs w:val="16"/>
      </w:rPr>
      <w:t xml:space="preserve">Equality and Human Rights Commission </w:t>
    </w:r>
    <w:r w:rsidRPr="006347A9">
      <w:rPr>
        <w:rFonts w:cs="Arial"/>
        <w:sz w:val="16"/>
        <w:szCs w:val="16"/>
      </w:rPr>
      <w:t>·</w:t>
    </w:r>
    <w:r w:rsidRPr="006347A9">
      <w:rPr>
        <w:sz w:val="16"/>
        <w:szCs w:val="16"/>
      </w:rPr>
      <w:t xml:space="preserve"> </w:t>
    </w:r>
    <w:hyperlink r:id="rId1" w:history="1">
      <w:r w:rsidRPr="00981CB7">
        <w:rPr>
          <w:rStyle w:val="Hyperlink"/>
          <w:sz w:val="16"/>
          <w:szCs w:val="16"/>
        </w:rPr>
        <w:t>www.equalityhumanrights.com</w:t>
      </w:r>
    </w:hyperlink>
    <w:r>
      <w:rPr>
        <w:rFonts w:cs="Arial"/>
        <w:sz w:val="16"/>
        <w:szCs w:val="16"/>
      </w:rPr>
      <w:t xml:space="preserve"> </w:t>
    </w:r>
  </w:p>
  <w:p w14:paraId="1A25F37B" w14:textId="0D696EE7" w:rsidR="00AE42CD" w:rsidRPr="005F0CC1" w:rsidRDefault="00AE42CD" w:rsidP="005F0CC1">
    <w:pPr>
      <w:tabs>
        <w:tab w:val="right" w:pos="9498"/>
      </w:tabs>
      <w:spacing w:line="240" w:lineRule="auto"/>
      <w:ind w:left="-567"/>
      <w:rPr>
        <w:rFonts w:cs="Arial"/>
        <w:sz w:val="16"/>
        <w:szCs w:val="16"/>
      </w:rPr>
    </w:pPr>
    <w:r>
      <w:rPr>
        <w:rFonts w:cs="Arial"/>
        <w:sz w:val="16"/>
        <w:szCs w:val="16"/>
      </w:rPr>
      <w:t>Published: March 2019</w:t>
    </w:r>
    <w:r w:rsidRPr="006347A9">
      <w:rPr>
        <w:sz w:val="16"/>
        <w:szCs w:val="16"/>
      </w:rPr>
      <w:tab/>
    </w:r>
    <w:r w:rsidRPr="00241156">
      <w:rPr>
        <w:sz w:val="20"/>
        <w:szCs w:val="20"/>
      </w:rPr>
      <w:fldChar w:fldCharType="begin"/>
    </w:r>
    <w:r w:rsidRPr="00241156">
      <w:rPr>
        <w:sz w:val="20"/>
        <w:szCs w:val="20"/>
      </w:rPr>
      <w:instrText xml:space="preserve"> PAGE   \* MERGEFORMAT </w:instrText>
    </w:r>
    <w:r w:rsidRPr="00241156">
      <w:rPr>
        <w:sz w:val="20"/>
        <w:szCs w:val="20"/>
      </w:rPr>
      <w:fldChar w:fldCharType="separate"/>
    </w:r>
    <w:r w:rsidR="008C5E19">
      <w:rPr>
        <w:noProof/>
        <w:sz w:val="20"/>
        <w:szCs w:val="20"/>
      </w:rPr>
      <w:t>7</w:t>
    </w:r>
    <w:r w:rsidRPr="00241156">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87D9A2" w14:textId="77777777" w:rsidR="00AE42CD" w:rsidRDefault="00AE42CD">
      <w:pPr>
        <w:spacing w:line="240" w:lineRule="auto"/>
      </w:pPr>
      <w:r>
        <w:separator/>
      </w:r>
    </w:p>
  </w:footnote>
  <w:footnote w:type="continuationSeparator" w:id="0">
    <w:p w14:paraId="4390FA8A" w14:textId="77777777" w:rsidR="00AE42CD" w:rsidRDefault="00AE42CD">
      <w:pPr>
        <w:spacing w:line="240" w:lineRule="auto"/>
      </w:pPr>
      <w:r>
        <w:continuationSeparator/>
      </w:r>
    </w:p>
  </w:footnote>
  <w:footnote w:id="1">
    <w:p w14:paraId="17B95F86" w14:textId="243E1EA2" w:rsidR="00AE42CD" w:rsidRPr="00E5046A" w:rsidRDefault="00AE42CD" w:rsidP="006F0722">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sidRPr="00E5046A">
        <w:rPr>
          <w:rFonts w:ascii="Arial" w:eastAsia="Calibri" w:hAnsi="Arial" w:cs="Arial"/>
        </w:rPr>
        <w:t xml:space="preserve">UNCAT (2016), </w:t>
      </w:r>
      <w:r w:rsidRPr="00F20CAD">
        <w:rPr>
          <w:rStyle w:val="Hyperlink"/>
          <w:rFonts w:ascii="Arial" w:eastAsia="Calibri" w:hAnsi="Arial" w:cs="Arial"/>
        </w:rPr>
        <w:t>‘</w:t>
      </w:r>
      <w:hyperlink r:id="rId1" w:history="1">
        <w:r w:rsidRPr="00F20CAD">
          <w:rPr>
            <w:rStyle w:val="Hyperlink"/>
            <w:rFonts w:ascii="Arial" w:eastAsia="Calibri" w:hAnsi="Arial" w:cs="Arial"/>
          </w:rPr>
          <w:t>List of issues prior to submission of the sixth periodic report of the United Kingdom of Great Britain and Northern Ireland</w:t>
        </w:r>
        <w:r w:rsidRPr="00F20CAD">
          <w:rPr>
            <w:rStyle w:val="Hyperlink"/>
            <w:rFonts w:ascii="Arial" w:eastAsia="Calibri" w:hAnsi="Arial" w:cs="Arial"/>
            <w:i/>
          </w:rPr>
          <w:t>’</w:t>
        </w:r>
      </w:hyperlink>
      <w:r w:rsidRPr="00E5046A">
        <w:rPr>
          <w:rFonts w:ascii="Arial" w:eastAsia="Calibri" w:hAnsi="Arial" w:cs="Arial"/>
        </w:rPr>
        <w:t xml:space="preserve"> </w:t>
      </w:r>
      <w:r w:rsidRPr="00E5046A">
        <w:rPr>
          <w:rFonts w:ascii="Arial" w:hAnsi="Arial" w:cs="Arial"/>
          <w:iCs/>
        </w:rPr>
        <w:t>[accessed: 17 March 2019]</w:t>
      </w:r>
      <w:r w:rsidRPr="00E5046A">
        <w:rPr>
          <w:rFonts w:ascii="Arial" w:eastAsia="Calibri" w:hAnsi="Arial" w:cs="Arial"/>
        </w:rPr>
        <w:t>.</w:t>
      </w:r>
      <w:r w:rsidRPr="00E5046A">
        <w:rPr>
          <w:rFonts w:ascii="Arial" w:hAnsi="Arial" w:cs="Arial"/>
        </w:rPr>
        <w:t xml:space="preserve"> </w:t>
      </w:r>
    </w:p>
  </w:footnote>
  <w:footnote w:id="2">
    <w:p w14:paraId="3D9246A9" w14:textId="1EFF65A1" w:rsidR="00AE42CD" w:rsidRPr="00E5046A" w:rsidRDefault="00AE42CD" w:rsidP="006F0722">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EHRC (2016), ‘</w:t>
      </w:r>
      <w:hyperlink r:id="rId2" w:history="1">
        <w:r w:rsidRPr="00E5046A">
          <w:rPr>
            <w:rStyle w:val="Hyperlink"/>
            <w:rFonts w:ascii="Arial" w:hAnsi="Arial" w:cs="Arial"/>
          </w:rPr>
          <w:t>Torture in the UK. Submission to the UNCAT 57th session on the sixth periodic report of the UK</w:t>
        </w:r>
      </w:hyperlink>
      <w:r w:rsidRPr="00E5046A">
        <w:rPr>
          <w:rStyle w:val="Hyperlink"/>
          <w:rFonts w:ascii="Arial" w:hAnsi="Arial" w:cs="Arial"/>
        </w:rPr>
        <w:t>’</w:t>
      </w:r>
      <w:r w:rsidRPr="00E5046A">
        <w:rPr>
          <w:rFonts w:ascii="Arial" w:hAnsi="Arial" w:cs="Arial"/>
        </w:rPr>
        <w:t xml:space="preserve"> </w:t>
      </w:r>
      <w:r w:rsidRPr="00E5046A">
        <w:rPr>
          <w:rFonts w:ascii="Arial" w:hAnsi="Arial" w:cs="Arial"/>
          <w:iCs/>
        </w:rPr>
        <w:t>[accessed: 7 March 2019].</w:t>
      </w:r>
    </w:p>
  </w:footnote>
  <w:footnote w:id="3">
    <w:p w14:paraId="2FAD96F7" w14:textId="46EA8364" w:rsidR="00AE42CD" w:rsidRPr="00E5046A" w:rsidRDefault="00AE42CD" w:rsidP="006F0722">
      <w:pPr>
        <w:pStyle w:val="EndnoteText"/>
        <w:rPr>
          <w:rFonts w:ascii="Arial" w:hAnsi="Arial" w:cs="Arial"/>
          <w:u w:val="single"/>
        </w:rPr>
      </w:pPr>
      <w:r w:rsidRPr="00E5046A">
        <w:rPr>
          <w:rStyle w:val="FootnoteReference"/>
          <w:rFonts w:ascii="Arial" w:hAnsi="Arial" w:cs="Arial"/>
        </w:rPr>
        <w:footnoteRef/>
      </w:r>
      <w:r w:rsidRPr="00E5046A">
        <w:rPr>
          <w:rFonts w:ascii="Arial" w:hAnsi="Arial" w:cs="Arial"/>
        </w:rPr>
        <w:t xml:space="preserve"> UNCAT (2008), ‘</w:t>
      </w:r>
      <w:hyperlink r:id="rId3" w:history="1">
        <w:r w:rsidRPr="00E5046A">
          <w:rPr>
            <w:rStyle w:val="Hyperlink"/>
            <w:rFonts w:ascii="Arial" w:hAnsi="Arial" w:cs="Arial"/>
          </w:rPr>
          <w:t>General comment no. 2: Implementation of Article 2 by States parties</w:t>
        </w:r>
      </w:hyperlink>
      <w:r w:rsidRPr="00E5046A">
        <w:rPr>
          <w:rStyle w:val="Hyperlink"/>
          <w:rFonts w:ascii="Arial" w:hAnsi="Arial" w:cs="Arial"/>
        </w:rPr>
        <w:t>’</w:t>
      </w:r>
      <w:r w:rsidRPr="00E5046A">
        <w:rPr>
          <w:rFonts w:ascii="Arial" w:hAnsi="Arial" w:cs="Arial"/>
          <w:i/>
        </w:rPr>
        <w:t xml:space="preserve"> </w:t>
      </w:r>
      <w:r w:rsidRPr="00E5046A">
        <w:rPr>
          <w:rFonts w:ascii="Arial" w:hAnsi="Arial" w:cs="Arial"/>
          <w:lang w:val="en"/>
        </w:rPr>
        <w:t>[accessed: 7 March 2019]</w:t>
      </w:r>
    </w:p>
  </w:footnote>
  <w:footnote w:id="4">
    <w:p w14:paraId="318545D7" w14:textId="73C4ADC7" w:rsidR="00AE42CD" w:rsidRPr="00E5046A" w:rsidRDefault="00AE42CD" w:rsidP="006F0722">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sidRPr="00E5046A">
        <w:rPr>
          <w:rFonts w:ascii="Arial" w:hAnsi="Arial" w:cs="Arial"/>
          <w:i/>
        </w:rPr>
        <w:t xml:space="preserve">Al Skeini v UK </w:t>
      </w:r>
      <w:r w:rsidRPr="00E5046A">
        <w:rPr>
          <w:rFonts w:ascii="Arial" w:hAnsi="Arial" w:cs="Arial"/>
        </w:rPr>
        <w:t xml:space="preserve">[2011] (Application No. 61498/08); and </w:t>
      </w:r>
      <w:r w:rsidRPr="00E5046A">
        <w:rPr>
          <w:rFonts w:ascii="Arial" w:hAnsi="Arial" w:cs="Arial"/>
          <w:i/>
        </w:rPr>
        <w:t xml:space="preserve">R (MM) v SSHD </w:t>
      </w:r>
      <w:r w:rsidRPr="00E5046A">
        <w:rPr>
          <w:rFonts w:ascii="Arial" w:hAnsi="Arial" w:cs="Arial"/>
        </w:rPr>
        <w:t>[2012] EWCA Civ 668.</w:t>
      </w:r>
    </w:p>
  </w:footnote>
  <w:footnote w:id="5">
    <w:p w14:paraId="60D52737" w14:textId="639050A9" w:rsidR="00AE42CD" w:rsidRPr="00E5046A" w:rsidRDefault="00AE42CD" w:rsidP="006F0722">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EHRC (2015), ‘</w:t>
      </w:r>
      <w:hyperlink r:id="rId4" w:history="1">
        <w:r w:rsidRPr="00E5046A">
          <w:rPr>
            <w:rStyle w:val="Hyperlink"/>
            <w:rFonts w:ascii="Arial" w:hAnsi="Arial" w:cs="Arial"/>
          </w:rPr>
          <w:t>Human rights framework for adults in detention</w:t>
        </w:r>
      </w:hyperlink>
      <w:r w:rsidRPr="00E5046A">
        <w:rPr>
          <w:rStyle w:val="Hyperlink"/>
          <w:rFonts w:ascii="Arial" w:hAnsi="Arial" w:cs="Arial"/>
        </w:rPr>
        <w:t>’</w:t>
      </w:r>
      <w:r w:rsidRPr="00E5046A">
        <w:rPr>
          <w:rFonts w:ascii="Arial" w:hAnsi="Arial" w:cs="Arial"/>
          <w:i/>
        </w:rPr>
        <w:t xml:space="preserve"> </w:t>
      </w:r>
      <w:r w:rsidRPr="00E5046A">
        <w:rPr>
          <w:rFonts w:ascii="Arial" w:hAnsi="Arial" w:cs="Arial"/>
        </w:rPr>
        <w:t>[accessed: 7 March 2019].</w:t>
      </w:r>
    </w:p>
  </w:footnote>
  <w:footnote w:id="6">
    <w:p w14:paraId="3E7D74DE" w14:textId="77777777"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Human Rights Act 1998.</w:t>
      </w:r>
    </w:p>
  </w:footnote>
  <w:footnote w:id="7">
    <w:p w14:paraId="6DF92D94" w14:textId="77777777"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Government of Wales Act 2006.</w:t>
      </w:r>
    </w:p>
  </w:footnote>
  <w:footnote w:id="8">
    <w:p w14:paraId="0868D170" w14:textId="4DB610B0" w:rsidR="00AE42CD" w:rsidRPr="00E5046A" w:rsidRDefault="00AE42CD" w:rsidP="00780E84">
      <w:pPr>
        <w:pStyle w:val="EndnoteText"/>
        <w:rPr>
          <w:rFonts w:ascii="Arial" w:hAnsi="Arial" w:cs="Arial"/>
          <w:lang w:val="en"/>
        </w:rPr>
      </w:pPr>
      <w:r w:rsidRPr="00E5046A">
        <w:rPr>
          <w:rStyle w:val="FootnoteReference"/>
          <w:rFonts w:ascii="Arial" w:hAnsi="Arial" w:cs="Arial"/>
        </w:rPr>
        <w:footnoteRef/>
      </w:r>
      <w:r w:rsidRPr="00E5046A">
        <w:rPr>
          <w:rFonts w:ascii="Arial" w:hAnsi="Arial" w:cs="Arial"/>
        </w:rPr>
        <w:t xml:space="preserve"> </w:t>
      </w:r>
      <w:r w:rsidRPr="00E5046A">
        <w:rPr>
          <w:rFonts w:ascii="Arial" w:hAnsi="Arial" w:cs="Arial"/>
          <w:lang w:val="en"/>
        </w:rPr>
        <w:t>Coppel, J. (2018), ‘</w:t>
      </w:r>
      <w:hyperlink r:id="rId5" w:history="1">
        <w:r w:rsidRPr="00E5046A">
          <w:rPr>
            <w:rStyle w:val="Hyperlink"/>
            <w:rFonts w:ascii="Arial" w:hAnsi="Arial" w:cs="Arial"/>
            <w:iCs/>
            <w:lang w:val="en"/>
          </w:rPr>
          <w:t>Opinion: European Union (Withdrawal Bill) - E.U. Charter of Fundamental Rights</w:t>
        </w:r>
      </w:hyperlink>
      <w:r w:rsidRPr="00E5046A">
        <w:rPr>
          <w:rFonts w:ascii="Arial" w:hAnsi="Arial" w:cs="Arial"/>
          <w:iCs/>
          <w:lang w:val="en"/>
        </w:rPr>
        <w:t>’</w:t>
      </w:r>
      <w:r w:rsidRPr="00E5046A">
        <w:rPr>
          <w:rFonts w:ascii="Arial" w:hAnsi="Arial" w:cs="Arial"/>
          <w:lang w:val="en"/>
        </w:rPr>
        <w:t xml:space="preserve">  </w:t>
      </w:r>
    </w:p>
    <w:p w14:paraId="0B568B2B" w14:textId="14CEDC64" w:rsidR="00AE42CD" w:rsidRPr="00E5046A" w:rsidRDefault="00AE42CD" w:rsidP="00A9254E">
      <w:pPr>
        <w:pStyle w:val="EndnoteText"/>
        <w:rPr>
          <w:rFonts w:ascii="Arial" w:hAnsi="Arial" w:cs="Arial"/>
        </w:rPr>
      </w:pPr>
      <w:r w:rsidRPr="00E5046A">
        <w:rPr>
          <w:rFonts w:ascii="Arial" w:hAnsi="Arial" w:cs="Arial"/>
          <w:lang w:val="en"/>
        </w:rPr>
        <w:t xml:space="preserve"> [accessed: 7 March 2019].</w:t>
      </w:r>
      <w:r w:rsidRPr="00E5046A">
        <w:rPr>
          <w:rFonts w:ascii="Arial" w:hAnsi="Arial" w:cs="Arial"/>
        </w:rPr>
        <w:t xml:space="preserve"> </w:t>
      </w:r>
    </w:p>
  </w:footnote>
  <w:footnote w:id="9">
    <w:p w14:paraId="1225A29A" w14:textId="0C3839F2" w:rsidR="00AE42CD" w:rsidRPr="00E5046A" w:rsidRDefault="00AE42CD" w:rsidP="00A9254E">
      <w:pPr>
        <w:pStyle w:val="EndnoteText"/>
        <w:rPr>
          <w:rFonts w:ascii="Arial" w:hAnsi="Arial" w:cs="Arial"/>
          <w:highlight w:val="green"/>
        </w:rPr>
      </w:pPr>
      <w:r w:rsidRPr="00E5046A">
        <w:rPr>
          <w:rStyle w:val="FootnoteReference"/>
          <w:rFonts w:ascii="Arial" w:hAnsi="Arial" w:cs="Arial"/>
        </w:rPr>
        <w:footnoteRef/>
      </w:r>
      <w:r w:rsidRPr="00E5046A">
        <w:rPr>
          <w:rFonts w:ascii="Arial" w:hAnsi="Arial" w:cs="Arial"/>
        </w:rPr>
        <w:t xml:space="preserve"> </w:t>
      </w:r>
      <w:r w:rsidRPr="00E5046A">
        <w:rPr>
          <w:rStyle w:val="selectable"/>
          <w:rFonts w:ascii="Arial" w:hAnsi="Arial" w:cs="Arial"/>
          <w:color w:val="000000"/>
          <w:lang w:val="en"/>
        </w:rPr>
        <w:t>European Commission (2017), ‘</w:t>
      </w:r>
      <w:hyperlink r:id="rId6" w:history="1">
        <w:r w:rsidRPr="00E5046A">
          <w:rPr>
            <w:rStyle w:val="Hyperlink"/>
            <w:rFonts w:ascii="Arial" w:hAnsi="Arial" w:cs="Arial"/>
            <w:iCs/>
            <w:lang w:val="en"/>
          </w:rPr>
          <w:t>Rights, equality and citizenship programme 2014-2020</w:t>
        </w:r>
      </w:hyperlink>
      <w:r w:rsidRPr="00E5046A">
        <w:rPr>
          <w:rStyle w:val="selectable"/>
          <w:rFonts w:ascii="Arial" w:hAnsi="Arial" w:cs="Arial"/>
          <w:iCs/>
          <w:color w:val="000000"/>
          <w:lang w:val="en"/>
        </w:rPr>
        <w:t>’</w:t>
      </w:r>
      <w:r w:rsidRPr="00E5046A">
        <w:rPr>
          <w:rStyle w:val="selectable"/>
          <w:rFonts w:ascii="Arial" w:hAnsi="Arial" w:cs="Arial"/>
          <w:color w:val="000000"/>
          <w:lang w:val="en"/>
        </w:rPr>
        <w:t xml:space="preserve"> [</w:t>
      </w:r>
      <w:r w:rsidRPr="00E5046A">
        <w:rPr>
          <w:rFonts w:ascii="Arial" w:hAnsi="Arial" w:cs="Arial"/>
          <w:lang w:val="en"/>
        </w:rPr>
        <w:t>accessed: 17 March 2019].</w:t>
      </w:r>
      <w:r w:rsidRPr="00E5046A">
        <w:rPr>
          <w:rFonts w:ascii="Arial" w:hAnsi="Arial" w:cs="Arial"/>
        </w:rPr>
        <w:t xml:space="preserve"> </w:t>
      </w:r>
    </w:p>
  </w:footnote>
  <w:footnote w:id="10">
    <w:p w14:paraId="48DBA757" w14:textId="1D08FC05" w:rsidR="00AE42CD" w:rsidRPr="00E5046A" w:rsidRDefault="00AE42CD" w:rsidP="00A9254E">
      <w:pPr>
        <w:pStyle w:val="EndnoteText"/>
        <w:rPr>
          <w:rFonts w:ascii="Arial" w:hAnsi="Arial" w:cs="Arial"/>
          <w:color w:val="222222"/>
        </w:rPr>
      </w:pPr>
      <w:r w:rsidRPr="00E5046A">
        <w:rPr>
          <w:rStyle w:val="FootnoteReference"/>
          <w:rFonts w:ascii="Arial" w:hAnsi="Arial" w:cs="Arial"/>
        </w:rPr>
        <w:footnoteRef/>
      </w:r>
      <w:r w:rsidRPr="00E5046A">
        <w:rPr>
          <w:rFonts w:ascii="Arial" w:hAnsi="Arial" w:cs="Arial"/>
        </w:rPr>
        <w:t xml:space="preserve"> HM </w:t>
      </w:r>
      <w:r w:rsidRPr="00E5046A">
        <w:rPr>
          <w:rFonts w:ascii="Arial" w:hAnsi="Arial" w:cs="Arial"/>
          <w:color w:val="222222"/>
        </w:rPr>
        <w:t>Government (2018), ‘</w:t>
      </w:r>
      <w:hyperlink r:id="rId7" w:history="1">
        <w:r w:rsidRPr="00E5046A">
          <w:rPr>
            <w:rStyle w:val="Hyperlink"/>
            <w:rFonts w:ascii="Arial" w:hAnsi="Arial" w:cs="Arial"/>
          </w:rPr>
          <w:t>The future relationship between the United Kingdom and the European Union</w:t>
        </w:r>
      </w:hyperlink>
      <w:r w:rsidRPr="00E5046A">
        <w:rPr>
          <w:rFonts w:ascii="Arial" w:hAnsi="Arial" w:cs="Arial"/>
          <w:i/>
          <w:color w:val="222222"/>
        </w:rPr>
        <w:t>’</w:t>
      </w:r>
      <w:r w:rsidRPr="00E5046A">
        <w:rPr>
          <w:rFonts w:ascii="Arial" w:hAnsi="Arial" w:cs="Arial"/>
          <w:iCs/>
          <w:color w:val="222222"/>
        </w:rPr>
        <w:t xml:space="preserve"> [accessed: 7 March 2019].</w:t>
      </w:r>
    </w:p>
  </w:footnote>
  <w:footnote w:id="11">
    <w:p w14:paraId="43C1B408" w14:textId="28E99F5E" w:rsidR="00AE42CD" w:rsidRPr="00E5046A" w:rsidRDefault="00AE42CD" w:rsidP="007970B4">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UK Parliament</w:t>
      </w:r>
      <w:r w:rsidRPr="00E5046A">
        <w:rPr>
          <w:rStyle w:val="selectable"/>
          <w:rFonts w:ascii="Arial" w:hAnsi="Arial" w:cs="Arial"/>
          <w:color w:val="000000"/>
          <w:lang w:val="en"/>
        </w:rPr>
        <w:t xml:space="preserve"> (2019), ‘</w:t>
      </w:r>
      <w:hyperlink r:id="rId8" w:history="1">
        <w:r w:rsidRPr="00E5046A">
          <w:rPr>
            <w:rStyle w:val="Hyperlink"/>
            <w:rFonts w:ascii="Arial" w:hAnsi="Arial" w:cs="Arial"/>
            <w:iCs/>
            <w:lang w:val="en"/>
          </w:rPr>
          <w:t>Political declaration references to the European Convention on Human Rights</w:t>
        </w:r>
      </w:hyperlink>
      <w:r w:rsidRPr="00E5046A">
        <w:rPr>
          <w:rStyle w:val="selectable"/>
          <w:rFonts w:ascii="Arial" w:hAnsi="Arial" w:cs="Arial"/>
          <w:iCs/>
          <w:color w:val="000000"/>
          <w:lang w:val="en"/>
        </w:rPr>
        <w:t>’</w:t>
      </w:r>
      <w:r w:rsidRPr="00E5046A">
        <w:rPr>
          <w:rStyle w:val="selectable"/>
          <w:rFonts w:ascii="Arial" w:hAnsi="Arial" w:cs="Arial"/>
          <w:color w:val="000000"/>
          <w:lang w:val="en"/>
        </w:rPr>
        <w:t xml:space="preserve"> [accessed: 7 March 2019].  </w:t>
      </w:r>
    </w:p>
  </w:footnote>
  <w:footnote w:id="12">
    <w:p w14:paraId="792482BA" w14:textId="6BC335B0" w:rsidR="00AE42CD" w:rsidRPr="00E5046A" w:rsidRDefault="00AE42CD" w:rsidP="007970B4">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sidRPr="00E5046A">
        <w:rPr>
          <w:rStyle w:val="selectable"/>
          <w:rFonts w:ascii="Arial" w:hAnsi="Arial" w:cs="Arial"/>
          <w:color w:val="000000"/>
          <w:lang w:val="en"/>
        </w:rPr>
        <w:t>UK Parliament (2019)’ ‘</w:t>
      </w:r>
      <w:hyperlink r:id="rId9" w:history="1">
        <w:r w:rsidRPr="00E5046A">
          <w:rPr>
            <w:rStyle w:val="Hyperlink"/>
            <w:rFonts w:ascii="Arial" w:hAnsi="Arial" w:cs="Arial"/>
          </w:rPr>
          <w:t>Human Rights Act is not safe after Brexit’</w:t>
        </w:r>
      </w:hyperlink>
      <w:r w:rsidRPr="00E5046A">
        <w:rPr>
          <w:rStyle w:val="selectable"/>
          <w:rFonts w:ascii="Arial" w:hAnsi="Arial" w:cs="Arial"/>
          <w:iCs/>
          <w:color w:val="000000"/>
          <w:lang w:val="en"/>
        </w:rPr>
        <w:t xml:space="preserve"> </w:t>
      </w:r>
      <w:r w:rsidRPr="00E5046A">
        <w:rPr>
          <w:rStyle w:val="selectable"/>
          <w:rFonts w:ascii="Arial" w:hAnsi="Arial" w:cs="Arial"/>
          <w:color w:val="000000"/>
          <w:lang w:val="en"/>
        </w:rPr>
        <w:t>[accessed: 7 March 2019].</w:t>
      </w:r>
    </w:p>
  </w:footnote>
  <w:footnote w:id="13">
    <w:p w14:paraId="08B80206" w14:textId="5581376E" w:rsidR="00AE42CD" w:rsidRPr="00E5046A" w:rsidRDefault="00AE42CD" w:rsidP="007970B4">
      <w:pPr>
        <w:pStyle w:val="EndnoteText"/>
        <w:rPr>
          <w:rFonts w:ascii="Arial" w:hAnsi="Arial" w:cs="Arial"/>
          <w:bCs/>
        </w:rPr>
      </w:pPr>
      <w:r w:rsidRPr="00E5046A">
        <w:rPr>
          <w:rStyle w:val="FootnoteReference"/>
          <w:rFonts w:ascii="Arial" w:hAnsi="Arial" w:cs="Arial"/>
        </w:rPr>
        <w:footnoteRef/>
      </w:r>
      <w:r w:rsidRPr="00E5046A">
        <w:rPr>
          <w:rFonts w:ascii="Arial" w:hAnsi="Arial" w:cs="Arial"/>
        </w:rPr>
        <w:t xml:space="preserve"> Merrick, R. (2019), ‘</w:t>
      </w:r>
      <w:hyperlink r:id="rId10" w:history="1">
        <w:r w:rsidRPr="00E5046A">
          <w:rPr>
            <w:rStyle w:val="Hyperlink"/>
            <w:rFonts w:ascii="Arial" w:hAnsi="Arial" w:cs="Arial"/>
            <w:bCs/>
          </w:rPr>
          <w:t>Conservative MPs turn on Theresa May over threat to scrap Human Rights Act after Brexit: 'A big mistake</w:t>
        </w:r>
      </w:hyperlink>
      <w:r w:rsidRPr="00E5046A">
        <w:rPr>
          <w:rFonts w:ascii="Arial" w:hAnsi="Arial" w:cs="Arial"/>
          <w:bCs/>
        </w:rPr>
        <w:t xml:space="preserve">', </w:t>
      </w:r>
      <w:r w:rsidRPr="00E5046A">
        <w:rPr>
          <w:rFonts w:ascii="Arial" w:hAnsi="Arial" w:cs="Arial"/>
          <w:bCs/>
          <w:i/>
        </w:rPr>
        <w:t>The Independent</w:t>
      </w:r>
      <w:r w:rsidRPr="00E5046A">
        <w:rPr>
          <w:rFonts w:ascii="Arial" w:hAnsi="Arial" w:cs="Arial"/>
          <w:bCs/>
        </w:rPr>
        <w:t>, 19 January [accessed: 19 March 2019].</w:t>
      </w:r>
    </w:p>
  </w:footnote>
  <w:footnote w:id="14">
    <w:p w14:paraId="791958A8" w14:textId="4D608B5B" w:rsidR="00AE42CD" w:rsidRPr="00E5046A" w:rsidRDefault="00AE42CD" w:rsidP="007970B4">
      <w:pPr>
        <w:pStyle w:val="EndnoteText"/>
        <w:rPr>
          <w:rFonts w:ascii="Arial" w:hAnsi="Arial" w:cs="Arial"/>
          <w:color w:val="000000"/>
          <w:lang w:val="en"/>
        </w:rPr>
      </w:pPr>
      <w:r w:rsidRPr="00E5046A">
        <w:rPr>
          <w:rStyle w:val="FootnoteReference"/>
          <w:rFonts w:ascii="Arial" w:hAnsi="Arial" w:cs="Arial"/>
        </w:rPr>
        <w:footnoteRef/>
      </w:r>
      <w:r w:rsidRPr="00E5046A">
        <w:rPr>
          <w:rFonts w:ascii="Arial" w:hAnsi="Arial" w:cs="Arial"/>
        </w:rPr>
        <w:t xml:space="preserve"> HM Government (</w:t>
      </w:r>
      <w:r w:rsidRPr="00E5046A">
        <w:rPr>
          <w:rStyle w:val="selectable"/>
          <w:rFonts w:ascii="Arial" w:hAnsi="Arial" w:cs="Arial"/>
          <w:color w:val="000000"/>
          <w:lang w:val="en"/>
        </w:rPr>
        <w:t>2016), ‘</w:t>
      </w:r>
      <w:hyperlink r:id="rId11" w:history="1">
        <w:r w:rsidRPr="00E5046A">
          <w:rPr>
            <w:rStyle w:val="Hyperlink"/>
            <w:rFonts w:ascii="Arial" w:hAnsi="Arial" w:cs="Arial"/>
            <w:iCs/>
            <w:lang w:val="en"/>
          </w:rPr>
          <w:t>Government to protect armed forces from persistent legal claims in future overseas operations</w:t>
        </w:r>
      </w:hyperlink>
      <w:r w:rsidRPr="00E5046A">
        <w:rPr>
          <w:rStyle w:val="selectable"/>
          <w:rFonts w:ascii="Arial" w:hAnsi="Arial" w:cs="Arial"/>
          <w:iCs/>
          <w:color w:val="000000"/>
          <w:lang w:val="en"/>
        </w:rPr>
        <w:t>’</w:t>
      </w:r>
      <w:r w:rsidRPr="00E5046A">
        <w:rPr>
          <w:rStyle w:val="selectable"/>
          <w:rFonts w:ascii="Arial" w:hAnsi="Arial" w:cs="Arial"/>
          <w:color w:val="000000"/>
          <w:lang w:val="en"/>
        </w:rPr>
        <w:t xml:space="preserve"> [accessed: 7 March 2019].</w:t>
      </w:r>
    </w:p>
  </w:footnote>
  <w:footnote w:id="15">
    <w:p w14:paraId="5C6B1FEA" w14:textId="21C47426" w:rsidR="00AE42CD" w:rsidRPr="00E5046A" w:rsidRDefault="00AE42CD" w:rsidP="007970B4">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sidRPr="00E5046A">
        <w:rPr>
          <w:rFonts w:ascii="Arial" w:hAnsi="Arial" w:cs="Arial"/>
          <w:i/>
          <w:iCs/>
        </w:rPr>
        <w:t>Al-Skeini v United Kingdom</w:t>
      </w:r>
      <w:r w:rsidRPr="00E5046A">
        <w:rPr>
          <w:rFonts w:ascii="Arial" w:hAnsi="Arial" w:cs="Arial"/>
        </w:rPr>
        <w:t xml:space="preserve"> (Application No. 55721/07);</w:t>
      </w:r>
      <w:r w:rsidRPr="00E5046A">
        <w:rPr>
          <w:rFonts w:ascii="Arial" w:hAnsi="Arial" w:cs="Arial"/>
          <w:i/>
        </w:rPr>
        <w:t xml:space="preserve"> Al-Saadoon and Mufdhi v United Kingdom </w:t>
      </w:r>
      <w:r w:rsidRPr="00E5046A">
        <w:rPr>
          <w:rFonts w:ascii="Arial" w:hAnsi="Arial" w:cs="Arial"/>
        </w:rPr>
        <w:t xml:space="preserve">(Application No. 61498/08); </w:t>
      </w:r>
      <w:r w:rsidRPr="00E5046A">
        <w:rPr>
          <w:rFonts w:ascii="Arial" w:hAnsi="Arial" w:cs="Arial"/>
          <w:i/>
          <w:iCs/>
        </w:rPr>
        <w:t>Al-Jedda v United Kingdom</w:t>
      </w:r>
      <w:r w:rsidRPr="00E5046A">
        <w:rPr>
          <w:rFonts w:ascii="Arial" w:hAnsi="Arial" w:cs="Arial"/>
        </w:rPr>
        <w:t xml:space="preserve"> (Application No. 27021/08); </w:t>
      </w:r>
      <w:r w:rsidRPr="00E5046A">
        <w:rPr>
          <w:rFonts w:ascii="Arial" w:hAnsi="Arial" w:cs="Arial"/>
          <w:i/>
        </w:rPr>
        <w:t xml:space="preserve">Hassan v United Kingdom </w:t>
      </w:r>
      <w:r w:rsidRPr="00E5046A">
        <w:rPr>
          <w:rFonts w:ascii="Arial" w:hAnsi="Arial" w:cs="Arial"/>
        </w:rPr>
        <w:t>(Application No. 29750/09).</w:t>
      </w:r>
    </w:p>
  </w:footnote>
  <w:footnote w:id="16">
    <w:p w14:paraId="14B429A7" w14:textId="49CFECCD" w:rsidR="00AE42CD" w:rsidRPr="00E5046A" w:rsidRDefault="00AE42CD" w:rsidP="007970B4">
      <w:pPr>
        <w:pStyle w:val="EndnoteText"/>
        <w:rPr>
          <w:rFonts w:ascii="Arial" w:hAnsi="Arial" w:cs="Arial"/>
          <w:i/>
          <w:u w:val="single"/>
        </w:rPr>
      </w:pPr>
      <w:r w:rsidRPr="00E5046A">
        <w:rPr>
          <w:rStyle w:val="FootnoteReference"/>
          <w:rFonts w:ascii="Arial" w:hAnsi="Arial" w:cs="Arial"/>
        </w:rPr>
        <w:footnoteRef/>
      </w:r>
      <w:r w:rsidRPr="00E5046A">
        <w:rPr>
          <w:rFonts w:ascii="Arial" w:hAnsi="Arial" w:cs="Arial"/>
        </w:rPr>
        <w:t xml:space="preserve"> UNCAT (2008), ‘</w:t>
      </w:r>
      <w:hyperlink r:id="rId12" w:history="1">
        <w:r w:rsidRPr="00E5046A">
          <w:rPr>
            <w:rStyle w:val="Hyperlink"/>
            <w:rFonts w:ascii="Arial" w:hAnsi="Arial" w:cs="Arial"/>
          </w:rPr>
          <w:t>General comment no. 2: Implementation of Article 2 by state parties</w:t>
        </w:r>
      </w:hyperlink>
      <w:r w:rsidRPr="00E5046A">
        <w:rPr>
          <w:rStyle w:val="Hyperlink"/>
          <w:rFonts w:ascii="Arial" w:hAnsi="Arial" w:cs="Arial"/>
        </w:rPr>
        <w:t>’</w:t>
      </w:r>
      <w:r w:rsidRPr="00E5046A">
        <w:rPr>
          <w:rFonts w:ascii="Arial" w:hAnsi="Arial" w:cs="Arial"/>
          <w:i/>
        </w:rPr>
        <w:t xml:space="preserve"> </w:t>
      </w:r>
      <w:r w:rsidRPr="00E5046A">
        <w:rPr>
          <w:rFonts w:ascii="Arial" w:hAnsi="Arial" w:cs="Arial"/>
          <w:lang w:val="en"/>
        </w:rPr>
        <w:t>[Accessed: 7 March 2019].</w:t>
      </w:r>
    </w:p>
  </w:footnote>
  <w:footnote w:id="17">
    <w:p w14:paraId="5EAEB6BF" w14:textId="4E03D2D4" w:rsidR="00AE42CD" w:rsidRPr="002E74D9" w:rsidRDefault="00AE42CD" w:rsidP="002E74D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UNCAT (2013), ‘</w:t>
      </w:r>
      <w:hyperlink r:id="rId13" w:history="1">
        <w:r w:rsidRPr="00E5046A">
          <w:rPr>
            <w:rStyle w:val="Hyperlink"/>
            <w:rFonts w:ascii="Arial" w:hAnsi="Arial" w:cs="Arial"/>
            <w:bCs/>
          </w:rPr>
          <w:t>Concluding observations on the fifth periodic report of the United Kingdom of Great Britain and Northern Ireland</w:t>
        </w:r>
      </w:hyperlink>
      <w:r w:rsidRPr="00E5046A">
        <w:rPr>
          <w:rStyle w:val="Hyperlink"/>
          <w:rFonts w:ascii="Arial" w:hAnsi="Arial" w:cs="Arial"/>
          <w:bCs/>
        </w:rPr>
        <w:t>’</w:t>
      </w:r>
      <w:r w:rsidRPr="00E5046A">
        <w:rPr>
          <w:rFonts w:ascii="Arial" w:hAnsi="Arial" w:cs="Arial"/>
          <w:bCs/>
        </w:rPr>
        <w:t xml:space="preserve"> [accessed: 9 March 2019]</w:t>
      </w:r>
      <w:r w:rsidRPr="00E5046A">
        <w:rPr>
          <w:rFonts w:ascii="Arial" w:hAnsi="Arial" w:cs="Arial"/>
          <w:b/>
          <w:bCs/>
        </w:rPr>
        <w:t>.</w:t>
      </w:r>
      <w:r w:rsidRPr="00E5046A">
        <w:rPr>
          <w:rFonts w:ascii="Arial" w:hAnsi="Arial" w:cs="Arial"/>
        </w:rPr>
        <w:t xml:space="preserve"> </w:t>
      </w:r>
    </w:p>
  </w:footnote>
  <w:footnote w:id="18">
    <w:p w14:paraId="6FA5975F" w14:textId="1840398A" w:rsidR="00AE42CD" w:rsidRPr="00E5046A" w:rsidRDefault="00AE42CD" w:rsidP="00F02C34">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UK Government (2017), ‘</w:t>
      </w:r>
      <w:hyperlink r:id="rId14" w:history="1">
        <w:r w:rsidRPr="00E5046A">
          <w:rPr>
            <w:rStyle w:val="Hyperlink"/>
            <w:rFonts w:ascii="Arial" w:hAnsi="Arial" w:cs="Arial"/>
          </w:rPr>
          <w:t xml:space="preserve">Sixth </w:t>
        </w:r>
        <w:r w:rsidRPr="00E5046A">
          <w:rPr>
            <w:rStyle w:val="Hyperlink"/>
            <w:rFonts w:ascii="Arial" w:hAnsi="Arial" w:cs="Arial"/>
            <w:bCs/>
          </w:rPr>
          <w:t>periodic report of the United Kingdom, British Overseas Territories and Crown Dependencies</w:t>
        </w:r>
      </w:hyperlink>
      <w:r w:rsidRPr="00E5046A">
        <w:rPr>
          <w:rStyle w:val="Hyperlink"/>
          <w:rFonts w:ascii="Arial" w:hAnsi="Arial" w:cs="Arial"/>
          <w:bCs/>
        </w:rPr>
        <w:t xml:space="preserve"> to the UNCAT’</w:t>
      </w:r>
      <w:r w:rsidRPr="00E5046A">
        <w:rPr>
          <w:rFonts w:ascii="Arial" w:hAnsi="Arial" w:cs="Arial"/>
          <w:i/>
        </w:rPr>
        <w:t xml:space="preserve"> </w:t>
      </w:r>
      <w:r w:rsidRPr="00E5046A">
        <w:rPr>
          <w:rFonts w:ascii="Arial" w:hAnsi="Arial" w:cs="Arial"/>
        </w:rPr>
        <w:t>[accessed: 7 March 2019].</w:t>
      </w:r>
    </w:p>
  </w:footnote>
  <w:footnote w:id="19">
    <w:p w14:paraId="3EAD1D7C" w14:textId="136FCE03" w:rsidR="00AE42CD" w:rsidRPr="00E5046A" w:rsidRDefault="00AE42CD" w:rsidP="00F02C34">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UK Parliament (2006),</w:t>
      </w:r>
      <w:r w:rsidRPr="00E5046A">
        <w:rPr>
          <w:rFonts w:ascii="Arial" w:hAnsi="Arial" w:cs="Arial"/>
          <w:i/>
        </w:rPr>
        <w:t xml:space="preserve"> </w:t>
      </w:r>
      <w:hyperlink r:id="rId15" w:history="1">
        <w:r w:rsidRPr="00E5046A">
          <w:rPr>
            <w:rStyle w:val="Hyperlink"/>
            <w:rFonts w:ascii="Arial" w:hAnsi="Arial" w:cs="Arial"/>
          </w:rPr>
          <w:t>Submission from the Law Society</w:t>
        </w:r>
      </w:hyperlink>
      <w:r w:rsidRPr="00E5046A">
        <w:rPr>
          <w:rFonts w:ascii="Arial" w:hAnsi="Arial" w:cs="Arial"/>
        </w:rPr>
        <w:t xml:space="preserve"> [accessed: 7 March 2019].</w:t>
      </w:r>
    </w:p>
  </w:footnote>
  <w:footnote w:id="20">
    <w:p w14:paraId="1250EF33" w14:textId="2C33AD75" w:rsidR="00AE42CD" w:rsidRPr="00E5046A" w:rsidRDefault="00AE42CD" w:rsidP="00F02C34">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UK Government (2003), ‘</w:t>
      </w:r>
      <w:hyperlink r:id="rId16" w:history="1">
        <w:r w:rsidRPr="00E5046A">
          <w:rPr>
            <w:rStyle w:val="Hyperlink"/>
            <w:rFonts w:ascii="Arial" w:hAnsi="Arial" w:cs="Arial"/>
          </w:rPr>
          <w:t>Fourth periodic report of the United Kingdom of Great Britain and Northern Ireland to the UNCAT</w:t>
        </w:r>
      </w:hyperlink>
      <w:r w:rsidRPr="00E5046A">
        <w:rPr>
          <w:rFonts w:ascii="Arial" w:hAnsi="Arial" w:cs="Arial"/>
        </w:rPr>
        <w:t>’ [accessed: 17 March 2019].</w:t>
      </w:r>
    </w:p>
  </w:footnote>
  <w:footnote w:id="21">
    <w:p w14:paraId="45F52023" w14:textId="73E33876"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Ibid.</w:t>
      </w:r>
    </w:p>
  </w:footnote>
  <w:footnote w:id="22">
    <w:p w14:paraId="67DEC9C9" w14:textId="61A38169" w:rsidR="00AE42CD" w:rsidRPr="002E74D9" w:rsidRDefault="00AE42CD" w:rsidP="002E74D9">
      <w:pPr>
        <w:pStyle w:val="EndnoteText"/>
        <w:rPr>
          <w:rFonts w:ascii="Arial" w:hAnsi="Arial" w:cs="Arial"/>
          <w:highlight w:val="green"/>
        </w:rPr>
      </w:pPr>
      <w:r w:rsidRPr="00E5046A">
        <w:rPr>
          <w:rStyle w:val="FootnoteReference"/>
          <w:rFonts w:ascii="Arial" w:hAnsi="Arial" w:cs="Arial"/>
        </w:rPr>
        <w:footnoteRef/>
      </w:r>
      <w:r w:rsidRPr="00E5046A">
        <w:rPr>
          <w:rFonts w:ascii="Arial" w:hAnsi="Arial" w:cs="Arial"/>
        </w:rPr>
        <w:t xml:space="preserve"> UK Parliament (</w:t>
      </w:r>
      <w:r w:rsidRPr="00E5046A">
        <w:rPr>
          <w:rFonts w:ascii="Arial" w:hAnsi="Arial" w:cs="Arial"/>
          <w:lang w:val="en"/>
        </w:rPr>
        <w:t xml:space="preserve">2013), </w:t>
      </w:r>
      <w:hyperlink r:id="rId17" w:history="1">
        <w:r w:rsidRPr="00E5046A">
          <w:rPr>
            <w:rStyle w:val="Hyperlink"/>
            <w:rFonts w:ascii="Arial" w:hAnsi="Arial" w:cs="Arial"/>
            <w:lang w:val="en"/>
          </w:rPr>
          <w:t xml:space="preserve">Oral Statement by Kenneth Clarke </w:t>
        </w:r>
        <w:r w:rsidRPr="00E5046A">
          <w:rPr>
            <w:rStyle w:val="Hyperlink"/>
            <w:rFonts w:ascii="Arial" w:hAnsi="Arial" w:cs="Arial"/>
            <w:iCs/>
            <w:lang w:val="en"/>
          </w:rPr>
          <w:t>on the Detainee Inquiry</w:t>
        </w:r>
      </w:hyperlink>
      <w:r w:rsidRPr="00E5046A">
        <w:rPr>
          <w:rFonts w:ascii="Arial" w:hAnsi="Arial" w:cs="Arial"/>
          <w:lang w:val="en"/>
        </w:rPr>
        <w:t xml:space="preserve"> [accessed: 7 March 2019].</w:t>
      </w:r>
      <w:r w:rsidRPr="00E5046A">
        <w:rPr>
          <w:rFonts w:ascii="Arial" w:hAnsi="Arial" w:cs="Arial"/>
          <w:highlight w:val="green"/>
        </w:rPr>
        <w:t xml:space="preserve"> </w:t>
      </w:r>
    </w:p>
  </w:footnote>
  <w:footnote w:id="23">
    <w:p w14:paraId="68F01383" w14:textId="73F983C0" w:rsidR="00AE42CD" w:rsidRPr="00E5046A" w:rsidRDefault="00AE42CD" w:rsidP="00E070F1">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Cobain, I. and Norton-Taylor, R. (2013), ‘</w:t>
      </w:r>
      <w:hyperlink r:id="rId18" w:history="1">
        <w:r w:rsidRPr="00E5046A">
          <w:rPr>
            <w:rStyle w:val="Hyperlink"/>
            <w:rFonts w:ascii="Arial" w:hAnsi="Arial" w:cs="Arial"/>
          </w:rPr>
          <w:t>UK inquiry on rendition and torture to be handed to ISC</w:t>
        </w:r>
      </w:hyperlink>
      <w:r w:rsidRPr="00E5046A">
        <w:rPr>
          <w:rFonts w:ascii="Arial" w:hAnsi="Arial" w:cs="Arial"/>
        </w:rPr>
        <w:t xml:space="preserve">’, </w:t>
      </w:r>
      <w:r w:rsidRPr="00E5046A">
        <w:rPr>
          <w:rFonts w:ascii="Arial" w:hAnsi="Arial" w:cs="Arial"/>
          <w:i/>
        </w:rPr>
        <w:t>The Guardian</w:t>
      </w:r>
      <w:r w:rsidRPr="00E5046A">
        <w:rPr>
          <w:rFonts w:ascii="Arial" w:hAnsi="Arial" w:cs="Arial"/>
        </w:rPr>
        <w:t>, 18 December [accessed: 7 March 2019].</w:t>
      </w:r>
    </w:p>
  </w:footnote>
  <w:footnote w:id="24">
    <w:p w14:paraId="5D296D38" w14:textId="2C0487F1" w:rsidR="00AE42CD" w:rsidRPr="00E5046A" w:rsidRDefault="00AE42CD" w:rsidP="00E070F1">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UN Human Rights Committee (2015), </w:t>
      </w:r>
      <w:hyperlink r:id="rId19" w:history="1">
        <w:r w:rsidRPr="00E5046A">
          <w:rPr>
            <w:rStyle w:val="Hyperlink"/>
            <w:rFonts w:ascii="Arial" w:hAnsi="Arial" w:cs="Arial"/>
          </w:rPr>
          <w:t>Concluding observations on the seventh periodic report of the United Kingdom</w:t>
        </w:r>
      </w:hyperlink>
      <w:r w:rsidRPr="00E5046A">
        <w:rPr>
          <w:rFonts w:ascii="Arial" w:hAnsi="Arial" w:cs="Arial"/>
        </w:rPr>
        <w:t xml:space="preserve"> [accessed 9 March 2019]. </w:t>
      </w:r>
    </w:p>
  </w:footnote>
  <w:footnote w:id="25">
    <w:p w14:paraId="194FD503" w14:textId="239D6511" w:rsidR="00AE42CD" w:rsidRPr="00E5046A" w:rsidRDefault="00AE42CD" w:rsidP="00E070F1">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ISC (2018) </w:t>
      </w:r>
      <w:hyperlink r:id="rId20" w:history="1">
        <w:r w:rsidRPr="00E5046A">
          <w:rPr>
            <w:rStyle w:val="Hyperlink"/>
            <w:rFonts w:ascii="Arial" w:hAnsi="Arial" w:cs="Arial"/>
          </w:rPr>
          <w:t>Detainee Mistreatment and Rendition: 2001–2010</w:t>
        </w:r>
      </w:hyperlink>
      <w:r w:rsidRPr="00E5046A">
        <w:rPr>
          <w:rFonts w:ascii="Arial" w:hAnsi="Arial" w:cs="Arial"/>
        </w:rPr>
        <w:t xml:space="preserve"> [accessed: 9 March 2019]</w:t>
      </w:r>
      <w:r w:rsidRPr="00E5046A">
        <w:rPr>
          <w:rStyle w:val="CommentReference"/>
          <w:rFonts w:ascii="Arial" w:hAnsi="Arial" w:cs="Arial"/>
          <w:sz w:val="20"/>
          <w:szCs w:val="20"/>
        </w:rPr>
        <w:t xml:space="preserve"> </w:t>
      </w:r>
    </w:p>
  </w:footnote>
  <w:footnote w:id="26">
    <w:p w14:paraId="26AB9B80" w14:textId="1E699D8E"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Ibid.</w:t>
      </w:r>
    </w:p>
  </w:footnote>
  <w:footnote w:id="27">
    <w:p w14:paraId="207934F3" w14:textId="05379F67" w:rsidR="00AE42CD" w:rsidRPr="00E5046A" w:rsidRDefault="00AE42CD" w:rsidP="00E070F1">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sidRPr="00E5046A">
        <w:rPr>
          <w:rFonts w:ascii="Arial" w:hAnsi="Arial" w:cs="Arial"/>
          <w:lang w:val="en"/>
        </w:rPr>
        <w:t>HM Government (2018), ‘</w:t>
      </w:r>
      <w:hyperlink r:id="rId21" w:history="1">
        <w:r w:rsidRPr="00E5046A">
          <w:rPr>
            <w:rStyle w:val="Hyperlink"/>
            <w:rFonts w:ascii="Arial" w:hAnsi="Arial" w:cs="Arial"/>
            <w:iCs/>
            <w:lang w:val="en"/>
          </w:rPr>
          <w:t>Government response to the Intelligence and Security Committee of Parliament reports into detainee mistreatment and rendition</w:t>
        </w:r>
      </w:hyperlink>
      <w:r w:rsidRPr="00E5046A">
        <w:rPr>
          <w:rFonts w:ascii="Arial" w:hAnsi="Arial" w:cs="Arial"/>
          <w:iCs/>
          <w:lang w:val="en"/>
        </w:rPr>
        <w:t>’</w:t>
      </w:r>
      <w:r w:rsidRPr="00E5046A">
        <w:rPr>
          <w:rFonts w:ascii="Arial" w:hAnsi="Arial" w:cs="Arial"/>
          <w:lang w:val="en"/>
        </w:rPr>
        <w:t xml:space="preserve"> </w:t>
      </w:r>
      <w:r w:rsidRPr="00E5046A">
        <w:rPr>
          <w:rFonts w:ascii="Arial" w:hAnsi="Arial" w:cs="Arial"/>
        </w:rPr>
        <w:t>[accessed: 7 March 2019].</w:t>
      </w:r>
    </w:p>
  </w:footnote>
  <w:footnote w:id="28">
    <w:p w14:paraId="64F111A3" w14:textId="5B0C8B6F" w:rsidR="00AE42CD" w:rsidRPr="002E74D9" w:rsidRDefault="00AE42CD" w:rsidP="002E74D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Cobain, I., Davies, C., Elgot, J. and Pilkington, E. (2015), ‘</w:t>
      </w:r>
      <w:hyperlink r:id="rId22" w:history="1">
        <w:r w:rsidRPr="00E5046A">
          <w:rPr>
            <w:rStyle w:val="Hyperlink"/>
            <w:rFonts w:ascii="Arial" w:hAnsi="Arial" w:cs="Arial"/>
          </w:rPr>
          <w:t>Shaker Amar to seek damages after 14 years in Guantanamo Bay without trial</w:t>
        </w:r>
      </w:hyperlink>
      <w:r w:rsidRPr="00E5046A">
        <w:rPr>
          <w:rFonts w:ascii="Arial" w:hAnsi="Arial" w:cs="Arial"/>
        </w:rPr>
        <w:t xml:space="preserve">’, </w:t>
      </w:r>
      <w:r w:rsidRPr="00E5046A">
        <w:rPr>
          <w:rFonts w:ascii="Arial" w:hAnsi="Arial" w:cs="Arial"/>
          <w:i/>
        </w:rPr>
        <w:t>The Guardian</w:t>
      </w:r>
      <w:r w:rsidRPr="00E5046A">
        <w:rPr>
          <w:rFonts w:ascii="Arial" w:hAnsi="Arial" w:cs="Arial"/>
        </w:rPr>
        <w:t>, 30 October [accessed: 7 March 2019].</w:t>
      </w:r>
      <w:r w:rsidRPr="00E5046A" w:rsidDel="004C160F">
        <w:rPr>
          <w:rFonts w:cs="Arial"/>
        </w:rPr>
        <w:t xml:space="preserve"> </w:t>
      </w:r>
    </w:p>
  </w:footnote>
  <w:footnote w:id="29">
    <w:p w14:paraId="0F3E7F5F" w14:textId="2F43DA1D" w:rsidR="00AE42CD" w:rsidRPr="00E5046A" w:rsidRDefault="00AE42CD" w:rsidP="00E070F1">
      <w:pPr>
        <w:pStyle w:val="EndnoteText"/>
        <w:rPr>
          <w:rFonts w:ascii="Arial" w:hAnsi="Arial" w:cs="Arial"/>
          <w:highlight w:val="green"/>
        </w:rPr>
      </w:pPr>
      <w:r w:rsidRPr="00E5046A">
        <w:rPr>
          <w:rStyle w:val="FootnoteReference"/>
          <w:rFonts w:ascii="Arial" w:hAnsi="Arial" w:cs="Arial"/>
        </w:rPr>
        <w:footnoteRef/>
      </w:r>
      <w:r w:rsidRPr="00E5046A">
        <w:rPr>
          <w:rFonts w:ascii="Arial" w:hAnsi="Arial" w:cs="Arial"/>
        </w:rPr>
        <w:t xml:space="preserve"> UK Government (2017), </w:t>
      </w:r>
      <w:hyperlink r:id="rId23" w:history="1">
        <w:r w:rsidRPr="00E5046A">
          <w:rPr>
            <w:rStyle w:val="Hyperlink"/>
            <w:rFonts w:ascii="Arial" w:hAnsi="Arial" w:cs="Arial"/>
          </w:rPr>
          <w:t>IHAT table of work completed</w:t>
        </w:r>
      </w:hyperlink>
      <w:r w:rsidRPr="00E5046A">
        <w:rPr>
          <w:rFonts w:ascii="Arial" w:hAnsi="Arial" w:cs="Arial"/>
        </w:rPr>
        <w:t xml:space="preserve"> [accessed: 17 March 2019].</w:t>
      </w:r>
    </w:p>
  </w:footnote>
  <w:footnote w:id="30">
    <w:p w14:paraId="6BA91B3A" w14:textId="56665AE9" w:rsidR="00AE42CD" w:rsidRPr="00E5046A" w:rsidRDefault="00AE42CD" w:rsidP="00E070F1">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Shackle, S. (2018), ‘</w:t>
      </w:r>
      <w:hyperlink r:id="rId24" w:history="1">
        <w:r w:rsidRPr="00E5046A">
          <w:rPr>
            <w:rStyle w:val="Hyperlink"/>
            <w:rFonts w:ascii="Arial" w:hAnsi="Arial" w:cs="Arial"/>
          </w:rPr>
          <w:t>Why we may never know if British troops committed crimes in Iraq</w:t>
        </w:r>
      </w:hyperlink>
      <w:r w:rsidRPr="00E5046A">
        <w:rPr>
          <w:rFonts w:ascii="Arial" w:hAnsi="Arial" w:cs="Arial"/>
        </w:rPr>
        <w:t xml:space="preserve">’, </w:t>
      </w:r>
      <w:r w:rsidRPr="00E5046A">
        <w:rPr>
          <w:rFonts w:ascii="Arial" w:hAnsi="Arial" w:cs="Arial"/>
          <w:i/>
        </w:rPr>
        <w:t xml:space="preserve">The Guardian, </w:t>
      </w:r>
      <w:r w:rsidRPr="00E5046A">
        <w:rPr>
          <w:rFonts w:ascii="Arial" w:hAnsi="Arial" w:cs="Arial"/>
        </w:rPr>
        <w:t>7 June [accessed: 7 March 2019].</w:t>
      </w:r>
    </w:p>
  </w:footnote>
  <w:footnote w:id="31">
    <w:p w14:paraId="3F1AA92D" w14:textId="35546AAD"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Cobain, I. and Norton-Taylor, R. (2014), ‘</w:t>
      </w:r>
      <w:hyperlink r:id="rId25" w:history="1">
        <w:r w:rsidRPr="00E5046A">
          <w:rPr>
            <w:rStyle w:val="Hyperlink"/>
            <w:rFonts w:cs="Arial"/>
          </w:rPr>
          <w:t>Al-Sweady inquiry: Iraqis mistreated but UK troops did not murder insurgents</w:t>
        </w:r>
      </w:hyperlink>
      <w:r w:rsidRPr="00E5046A">
        <w:rPr>
          <w:rFonts w:cs="Arial"/>
          <w:lang w:val="en"/>
        </w:rPr>
        <w:t xml:space="preserve">’, </w:t>
      </w:r>
      <w:r w:rsidRPr="00E5046A">
        <w:rPr>
          <w:rFonts w:cs="Arial"/>
          <w:i/>
          <w:lang w:val="en"/>
        </w:rPr>
        <w:t>The Guardian</w:t>
      </w:r>
      <w:r w:rsidRPr="00E5046A">
        <w:rPr>
          <w:rFonts w:cs="Arial"/>
          <w:lang w:val="en"/>
        </w:rPr>
        <w:t xml:space="preserve">, 17 December </w:t>
      </w:r>
      <w:r w:rsidRPr="00E5046A">
        <w:rPr>
          <w:rFonts w:cs="Arial"/>
        </w:rPr>
        <w:t>[accessed: 17 March 2019].</w:t>
      </w:r>
      <w:r w:rsidRPr="00E5046A">
        <w:rPr>
          <w:rFonts w:cs="Arial"/>
          <w:highlight w:val="yellow"/>
          <w:lang w:val="en"/>
        </w:rPr>
        <w:t xml:space="preserve"> </w:t>
      </w:r>
      <w:r w:rsidRPr="00E5046A">
        <w:rPr>
          <w:rFonts w:cs="Arial"/>
        </w:rPr>
        <w:t xml:space="preserve"> </w:t>
      </w:r>
    </w:p>
  </w:footnote>
  <w:footnote w:id="32">
    <w:p w14:paraId="2E9DBE7E" w14:textId="7E36BF03" w:rsidR="00AE42CD" w:rsidRPr="00E5046A" w:rsidRDefault="00AE42CD" w:rsidP="00E070F1">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UK Government (2019), </w:t>
      </w:r>
      <w:hyperlink r:id="rId26" w:anchor="related-information" w:history="1">
        <w:r w:rsidRPr="00E5046A">
          <w:rPr>
            <w:rStyle w:val="Hyperlink"/>
            <w:rFonts w:ascii="Arial" w:hAnsi="Arial" w:cs="Arial"/>
          </w:rPr>
          <w:t>Service Police Legacy Investigations</w:t>
        </w:r>
      </w:hyperlink>
      <w:r w:rsidRPr="00E5046A">
        <w:rPr>
          <w:rFonts w:ascii="Arial" w:hAnsi="Arial" w:cs="Arial"/>
          <w:i/>
        </w:rPr>
        <w:t xml:space="preserve"> </w:t>
      </w:r>
      <w:r w:rsidRPr="00E5046A">
        <w:rPr>
          <w:rFonts w:ascii="Arial" w:hAnsi="Arial" w:cs="Arial"/>
        </w:rPr>
        <w:t>[accessed: 7 March 2019].</w:t>
      </w:r>
    </w:p>
  </w:footnote>
  <w:footnote w:id="33">
    <w:p w14:paraId="74A1B8D8" w14:textId="1BCDD19B" w:rsidR="00AE42CD" w:rsidRPr="00E5046A" w:rsidRDefault="00AE42CD" w:rsidP="00E070F1">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 Government (2018), ‘</w:t>
      </w:r>
      <w:hyperlink r:id="rId27" w:history="1">
        <w:r w:rsidRPr="00E5046A">
          <w:rPr>
            <w:rStyle w:val="Hyperlink"/>
            <w:rFonts w:ascii="Arial" w:hAnsi="Arial" w:cs="Arial"/>
          </w:rPr>
          <w:t>SPLI -  quarterly update – 1 July to 30 Sep 18</w:t>
        </w:r>
      </w:hyperlink>
      <w:r w:rsidRPr="00E5046A">
        <w:rPr>
          <w:rFonts w:ascii="Arial" w:hAnsi="Arial" w:cs="Arial"/>
        </w:rPr>
        <w:t>’ [accessed: 7 March 2019].</w:t>
      </w:r>
    </w:p>
  </w:footnote>
  <w:footnote w:id="34">
    <w:p w14:paraId="12456D1A" w14:textId="2DFB4473" w:rsidR="00AE42CD" w:rsidRPr="00E5046A" w:rsidRDefault="00AE42CD" w:rsidP="00C32DAA">
      <w:pPr>
        <w:pStyle w:val="FootnoteText"/>
        <w:rPr>
          <w:rFonts w:cs="Arial"/>
          <w:color w:val="0000FF"/>
          <w:u w:val="single"/>
        </w:rPr>
      </w:pPr>
      <w:r w:rsidRPr="00E5046A">
        <w:rPr>
          <w:rStyle w:val="FootnoteReference"/>
          <w:rFonts w:cs="Arial"/>
        </w:rPr>
        <w:footnoteRef/>
      </w:r>
      <w:r w:rsidRPr="00E5046A">
        <w:rPr>
          <w:rFonts w:cs="Arial"/>
        </w:rPr>
        <w:t xml:space="preserve"> Ruck Keene, D. (2017), ‘</w:t>
      </w:r>
      <w:hyperlink r:id="rId28" w:history="1">
        <w:r w:rsidRPr="00E5046A">
          <w:rPr>
            <w:rStyle w:val="Hyperlink"/>
            <w:rFonts w:cs="Arial"/>
          </w:rPr>
          <w:t>You win some, you lose some. Rahmatullah (No. 2) in the Supreme Cour</w:t>
        </w:r>
      </w:hyperlink>
      <w:r w:rsidRPr="00E5046A">
        <w:rPr>
          <w:rFonts w:cs="Arial"/>
        </w:rPr>
        <w:t>t’ 24 January [accessed: 19 March 2019]</w:t>
      </w:r>
      <w:r w:rsidRPr="00E5046A">
        <w:rPr>
          <w:rStyle w:val="Hyperlink"/>
          <w:rFonts w:cs="Arial"/>
        </w:rPr>
        <w:t>.</w:t>
      </w:r>
    </w:p>
  </w:footnote>
  <w:footnote w:id="35">
    <w:p w14:paraId="73BB1502" w14:textId="108BBAE5" w:rsidR="00AE42CD" w:rsidRPr="00E5046A" w:rsidRDefault="00AE42CD" w:rsidP="00197C05">
      <w:pPr>
        <w:pStyle w:val="EndnoteText"/>
        <w:rPr>
          <w:rFonts w:ascii="Arial" w:hAnsi="Arial" w:cs="Arial"/>
          <w:highlight w:val="green"/>
        </w:rPr>
      </w:pPr>
      <w:r w:rsidRPr="00E5046A">
        <w:rPr>
          <w:rStyle w:val="FootnoteReference"/>
          <w:rFonts w:ascii="Arial" w:hAnsi="Arial" w:cs="Arial"/>
        </w:rPr>
        <w:footnoteRef/>
      </w:r>
      <w:r w:rsidRPr="00E5046A">
        <w:rPr>
          <w:rFonts w:ascii="Arial" w:hAnsi="Arial" w:cs="Arial"/>
        </w:rPr>
        <w:t xml:space="preserve"> Ferstman, C., Hansen, T.O. and Arajärvi, N. (2018), ‘</w:t>
      </w:r>
      <w:hyperlink r:id="rId29" w:history="1">
        <w:r w:rsidRPr="00E5046A">
          <w:rPr>
            <w:rStyle w:val="Hyperlink"/>
            <w:rFonts w:ascii="Arial" w:hAnsi="Arial" w:cs="Arial"/>
          </w:rPr>
          <w:t>The UK Military in Iraq: Efforts and prospect for accountability for international crimes allegations?</w:t>
        </w:r>
      </w:hyperlink>
      <w:r w:rsidRPr="00E5046A">
        <w:rPr>
          <w:rFonts w:ascii="Arial" w:hAnsi="Arial" w:cs="Arial"/>
          <w:i/>
        </w:rPr>
        <w:t>’</w:t>
      </w:r>
      <w:r w:rsidRPr="00E5046A">
        <w:rPr>
          <w:rFonts w:ascii="Arial" w:hAnsi="Arial" w:cs="Arial"/>
        </w:rPr>
        <w:t xml:space="preserve"> [accessed: 7 March 2019].</w:t>
      </w:r>
    </w:p>
  </w:footnote>
  <w:footnote w:id="36">
    <w:p w14:paraId="6B21E3E3" w14:textId="6FC956A1" w:rsidR="00AE42CD" w:rsidRPr="00E5046A" w:rsidRDefault="00AE42CD" w:rsidP="00197C05">
      <w:pPr>
        <w:pStyle w:val="EndnoteText"/>
        <w:rPr>
          <w:rFonts w:ascii="Arial" w:hAnsi="Arial" w:cs="Arial"/>
          <w:color w:val="0000FF"/>
          <w:u w:val="single"/>
        </w:rPr>
      </w:pPr>
      <w:r w:rsidRPr="00E5046A">
        <w:rPr>
          <w:rStyle w:val="FootnoteReference"/>
          <w:rFonts w:ascii="Arial" w:hAnsi="Arial" w:cs="Arial"/>
        </w:rPr>
        <w:footnoteRef/>
      </w:r>
      <w:r w:rsidRPr="00E5046A">
        <w:rPr>
          <w:rFonts w:ascii="Arial" w:hAnsi="Arial" w:cs="Arial"/>
        </w:rPr>
        <w:t xml:space="preserve"> HM Government (2017), ‘</w:t>
      </w:r>
      <w:hyperlink r:id="rId30" w:history="1">
        <w:r w:rsidRPr="00E5046A">
          <w:rPr>
            <w:rStyle w:val="Hyperlink"/>
            <w:rFonts w:ascii="Arial" w:hAnsi="Arial" w:cs="Arial"/>
            <w:lang w:val="en"/>
          </w:rPr>
          <w:t>Review of systemic issues arising from military operations overseas: index</w:t>
        </w:r>
      </w:hyperlink>
      <w:r w:rsidRPr="00E5046A">
        <w:rPr>
          <w:rFonts w:ascii="Arial" w:hAnsi="Arial" w:cs="Arial"/>
          <w:lang w:val="en"/>
        </w:rPr>
        <w:t xml:space="preserve">’ </w:t>
      </w:r>
      <w:r w:rsidRPr="00E5046A">
        <w:rPr>
          <w:rFonts w:ascii="Arial" w:hAnsi="Arial" w:cs="Arial"/>
        </w:rPr>
        <w:t>[accessed: 7 March 2019].</w:t>
      </w:r>
    </w:p>
  </w:footnote>
  <w:footnote w:id="37">
    <w:p w14:paraId="0E30668A" w14:textId="14DB2B1C" w:rsidR="00AE42CD" w:rsidRPr="00E5046A" w:rsidRDefault="00AE42CD" w:rsidP="00197C05">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UNCAT (2013), </w:t>
      </w:r>
      <w:r w:rsidRPr="00E5046A">
        <w:rPr>
          <w:rFonts w:ascii="Arial" w:hAnsi="Arial" w:cs="Arial"/>
          <w:u w:val="single"/>
        </w:rPr>
        <w:t>‘</w:t>
      </w:r>
      <w:hyperlink r:id="rId31" w:history="1">
        <w:r w:rsidRPr="00E5046A">
          <w:rPr>
            <w:rStyle w:val="Hyperlink"/>
            <w:rFonts w:ascii="Arial" w:hAnsi="Arial" w:cs="Arial"/>
            <w:bCs/>
          </w:rPr>
          <w:t>Concluding observations on the fifth periodic report of the United Kingdom of Great Britain and Northern Ireland</w:t>
        </w:r>
      </w:hyperlink>
      <w:r w:rsidRPr="00E5046A">
        <w:rPr>
          <w:rStyle w:val="Hyperlink"/>
          <w:rFonts w:ascii="Arial" w:hAnsi="Arial" w:cs="Arial"/>
          <w:bCs/>
        </w:rPr>
        <w:t>’</w:t>
      </w:r>
      <w:r w:rsidRPr="00E5046A">
        <w:rPr>
          <w:rFonts w:ascii="Arial" w:hAnsi="Arial" w:cs="Arial"/>
        </w:rPr>
        <w:t xml:space="preserve"> [accessed: 7 March 2019].</w:t>
      </w:r>
    </w:p>
  </w:footnote>
  <w:footnote w:id="38">
    <w:p w14:paraId="71DA8556" w14:textId="7A57B469" w:rsidR="00AE42CD" w:rsidRPr="00E5046A" w:rsidRDefault="00AE42CD" w:rsidP="00197C05">
      <w:pPr>
        <w:pStyle w:val="EndnoteText"/>
        <w:rPr>
          <w:rFonts w:ascii="Arial" w:hAnsi="Arial" w:cs="Arial"/>
          <w:lang w:val="en"/>
        </w:rPr>
      </w:pPr>
      <w:r w:rsidRPr="00E5046A">
        <w:rPr>
          <w:rStyle w:val="FootnoteReference"/>
          <w:rFonts w:ascii="Arial" w:hAnsi="Arial" w:cs="Arial"/>
        </w:rPr>
        <w:footnoteRef/>
      </w:r>
      <w:r w:rsidRPr="00E5046A">
        <w:rPr>
          <w:rFonts w:ascii="Arial" w:hAnsi="Arial" w:cs="Arial"/>
        </w:rPr>
        <w:t xml:space="preserve"> </w:t>
      </w:r>
      <w:r w:rsidRPr="00E5046A">
        <w:rPr>
          <w:rFonts w:ascii="Arial" w:hAnsi="Arial" w:cs="Arial"/>
          <w:lang w:val="en"/>
        </w:rPr>
        <w:t>Waller, M. (2016), ‘</w:t>
      </w:r>
      <w:hyperlink r:id="rId32" w:history="1">
        <w:r w:rsidRPr="00E5046A">
          <w:rPr>
            <w:rStyle w:val="Hyperlink"/>
            <w:rFonts w:ascii="Arial" w:hAnsi="Arial" w:cs="Arial"/>
            <w:iCs/>
            <w:lang w:val="en"/>
          </w:rPr>
          <w:t>Report of the Intelligence Services Commissioner: Supplementary to the Annual Report for 2015</w:t>
        </w:r>
      </w:hyperlink>
      <w:r w:rsidRPr="00E5046A">
        <w:rPr>
          <w:rFonts w:ascii="Arial" w:hAnsi="Arial" w:cs="Arial"/>
          <w:i/>
          <w:iCs/>
          <w:lang w:val="en"/>
        </w:rPr>
        <w:t>’</w:t>
      </w:r>
      <w:r w:rsidRPr="00E5046A">
        <w:rPr>
          <w:rFonts w:ascii="Arial" w:hAnsi="Arial" w:cs="Arial"/>
          <w:lang w:val="en"/>
        </w:rPr>
        <w:t xml:space="preserve"> [accessed: 7 Mar. 2019].</w:t>
      </w:r>
    </w:p>
  </w:footnote>
  <w:footnote w:id="39">
    <w:p w14:paraId="673A1FD6" w14:textId="5DC994D6" w:rsidR="00AE42CD" w:rsidRPr="00E5046A" w:rsidRDefault="00AE42CD" w:rsidP="00197C05">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ISC (2018), </w:t>
      </w:r>
      <w:hyperlink r:id="rId33" w:history="1">
        <w:r w:rsidRPr="00E5046A">
          <w:rPr>
            <w:rStyle w:val="Hyperlink"/>
            <w:rFonts w:ascii="Arial" w:hAnsi="Arial" w:cs="Arial"/>
          </w:rPr>
          <w:t>Detainees Mistreatment and Rendition: Current Issues</w:t>
        </w:r>
      </w:hyperlink>
      <w:r w:rsidRPr="00E5046A">
        <w:rPr>
          <w:rFonts w:ascii="Arial" w:hAnsi="Arial" w:cs="Arial"/>
        </w:rPr>
        <w:t xml:space="preserve"> [accessed: 9 March 2019].</w:t>
      </w:r>
    </w:p>
  </w:footnote>
  <w:footnote w:id="40">
    <w:p w14:paraId="688F695C" w14:textId="5EF3BE98" w:rsidR="00AE42CD" w:rsidRPr="00E5046A" w:rsidRDefault="00AE42CD" w:rsidP="004C160F">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Hansard (2018), </w:t>
      </w:r>
      <w:hyperlink r:id="rId34" w:history="1">
        <w:r w:rsidRPr="00E5046A">
          <w:rPr>
            <w:rStyle w:val="Hyperlink"/>
            <w:rFonts w:ascii="Arial" w:hAnsi="Arial" w:cs="Arial"/>
          </w:rPr>
          <w:t>ISC detainee reports: written statement - HCWS808</w:t>
        </w:r>
      </w:hyperlink>
      <w:r w:rsidRPr="00E5046A">
        <w:rPr>
          <w:rFonts w:ascii="Arial" w:hAnsi="Arial" w:cs="Arial"/>
        </w:rPr>
        <w:t xml:space="preserve"> [accessed 7 March 2019].</w:t>
      </w:r>
    </w:p>
    <w:p w14:paraId="3BE44EA7" w14:textId="2FA4ACCB" w:rsidR="00AE42CD" w:rsidRPr="00E5046A" w:rsidRDefault="00AE42CD" w:rsidP="00C32DAA">
      <w:pPr>
        <w:pStyle w:val="FootnoteText"/>
        <w:rPr>
          <w:rFonts w:cs="Arial"/>
        </w:rPr>
      </w:pPr>
    </w:p>
  </w:footnote>
  <w:footnote w:id="41">
    <w:p w14:paraId="5A452A11" w14:textId="701FEF39" w:rsidR="00AE42CD" w:rsidRPr="00E5046A" w:rsidRDefault="00AE42CD" w:rsidP="0045689C">
      <w:pPr>
        <w:pStyle w:val="Heading1"/>
        <w:pBdr>
          <w:top w:val="single" w:sz="36" w:space="0" w:color="023253"/>
        </w:pBdr>
        <w:spacing w:before="0" w:line="288" w:lineRule="atLeast"/>
        <w:rPr>
          <w:rFonts w:ascii="Arial" w:eastAsia="Times New Roman" w:hAnsi="Arial" w:cs="Arial"/>
          <w:color w:val="000000"/>
          <w:sz w:val="20"/>
          <w:szCs w:val="20"/>
        </w:rPr>
      </w:pPr>
      <w:r w:rsidRPr="00E5046A">
        <w:rPr>
          <w:rStyle w:val="FootnoteReference"/>
          <w:rFonts w:ascii="Arial" w:hAnsi="Arial" w:cs="Arial"/>
          <w:color w:val="auto"/>
          <w:sz w:val="20"/>
          <w:szCs w:val="20"/>
        </w:rPr>
        <w:footnoteRef/>
      </w:r>
      <w:r w:rsidRPr="00E5046A">
        <w:rPr>
          <w:rFonts w:ascii="Arial" w:hAnsi="Arial" w:cs="Arial"/>
          <w:color w:val="auto"/>
          <w:sz w:val="20"/>
          <w:szCs w:val="20"/>
        </w:rPr>
        <w:t xml:space="preserve"> </w:t>
      </w:r>
      <w:r w:rsidRPr="00E5046A">
        <w:rPr>
          <w:rFonts w:ascii="Arial" w:hAnsi="Arial" w:cs="Arial"/>
          <w:bCs/>
          <w:color w:val="000000"/>
          <w:sz w:val="20"/>
          <w:szCs w:val="20"/>
        </w:rPr>
        <w:t>Legal Aid, Sentencing and Punishment of Offenders Act 2012</w:t>
      </w:r>
    </w:p>
  </w:footnote>
  <w:footnote w:id="42">
    <w:p w14:paraId="2A6BA34C" w14:textId="2D926864" w:rsidR="00AE42CD" w:rsidRPr="00E5046A" w:rsidRDefault="00AE42CD" w:rsidP="002B754D">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Ministry of Justice (2011), ‘</w:t>
      </w:r>
      <w:hyperlink r:id="rId35" w:history="1">
        <w:r w:rsidRPr="00E5046A">
          <w:rPr>
            <w:rStyle w:val="Hyperlink"/>
            <w:rFonts w:ascii="Arial" w:hAnsi="Arial" w:cs="Arial"/>
          </w:rPr>
          <w:t>Legal Aid Reform in England and Wales: the Government Response</w:t>
        </w:r>
      </w:hyperlink>
      <w:r w:rsidRPr="00E5046A">
        <w:rPr>
          <w:rFonts w:ascii="Arial" w:hAnsi="Arial" w:cs="Arial"/>
        </w:rPr>
        <w:t>’ [accessed: 7 March 2019].</w:t>
      </w:r>
    </w:p>
  </w:footnote>
  <w:footnote w:id="43">
    <w:p w14:paraId="2F7B848D" w14:textId="00143554" w:rsidR="00AE42CD" w:rsidRPr="00E5046A" w:rsidRDefault="00AE42CD" w:rsidP="00C32DAA">
      <w:pPr>
        <w:pStyle w:val="FootnoteText"/>
        <w:rPr>
          <w:rFonts w:cs="Arial"/>
          <w:b/>
        </w:rPr>
      </w:pPr>
      <w:r w:rsidRPr="00E5046A">
        <w:rPr>
          <w:rStyle w:val="FootnoteReference"/>
          <w:rFonts w:cs="Arial"/>
        </w:rPr>
        <w:footnoteRef/>
      </w:r>
      <w:r w:rsidRPr="00E5046A">
        <w:rPr>
          <w:rFonts w:cs="Arial"/>
        </w:rPr>
        <w:t xml:space="preserve"> Equality and Human Rights Commission (2018), ‘</w:t>
      </w:r>
      <w:hyperlink r:id="rId36" w:history="1">
        <w:r w:rsidRPr="00E5046A">
          <w:rPr>
            <w:rStyle w:val="Hyperlink"/>
            <w:rFonts w:cs="Arial"/>
          </w:rPr>
          <w:t>Response to the Post-Implementation Review of the Legal Aid, Sentencing and Punishment of Offenders Act 2012</w:t>
        </w:r>
      </w:hyperlink>
      <w:r w:rsidRPr="00E5046A">
        <w:rPr>
          <w:rFonts w:cs="Arial"/>
        </w:rPr>
        <w:t>’ [accessed: 7 March 2019].</w:t>
      </w:r>
    </w:p>
  </w:footnote>
  <w:footnote w:id="44">
    <w:p w14:paraId="6B0E5CE6" w14:textId="2886B1A2"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Equality and Human Rights Commission (2018), ‘</w:t>
      </w:r>
      <w:hyperlink r:id="rId37" w:history="1">
        <w:r w:rsidRPr="00E5046A">
          <w:rPr>
            <w:rStyle w:val="Hyperlink"/>
            <w:rFonts w:cs="Arial"/>
          </w:rPr>
          <w:t>Legal aid for victims of discrimination: our inquiry</w:t>
        </w:r>
      </w:hyperlink>
      <w:r w:rsidRPr="00E5046A">
        <w:rPr>
          <w:rFonts w:cs="Arial"/>
        </w:rPr>
        <w:t>’ [accessed: 7 March 2019].</w:t>
      </w:r>
    </w:p>
  </w:footnote>
  <w:footnote w:id="45">
    <w:p w14:paraId="210EE70E" w14:textId="175952EA"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Ministry of Justice (2018), ‘</w:t>
      </w:r>
      <w:hyperlink r:id="rId38" w:history="1">
        <w:r w:rsidRPr="00E5046A">
          <w:rPr>
            <w:rStyle w:val="Hyperlink"/>
            <w:rFonts w:cs="Arial"/>
          </w:rPr>
          <w:t>Guidance: post-implementation review of LASPO’</w:t>
        </w:r>
      </w:hyperlink>
      <w:r w:rsidRPr="00E5046A">
        <w:rPr>
          <w:rFonts w:cs="Arial"/>
        </w:rPr>
        <w:t xml:space="preserve"> [accessed: 7 March 2019].</w:t>
      </w:r>
    </w:p>
  </w:footnote>
  <w:footnote w:id="46">
    <w:p w14:paraId="53C2D588" w14:textId="156EB214"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Ministry of Justice (2019), ‘</w:t>
      </w:r>
      <w:hyperlink r:id="rId39" w:history="1">
        <w:r w:rsidRPr="00E5046A">
          <w:rPr>
            <w:rStyle w:val="Hyperlink"/>
            <w:rFonts w:cs="Arial"/>
          </w:rPr>
          <w:t>Post-implementation review of part 1 of the Legal Aid, Sentencing and Punishment of Offenders Act 2012 (LASPO</w:t>
        </w:r>
      </w:hyperlink>
      <w:r w:rsidRPr="00E5046A">
        <w:rPr>
          <w:rFonts w:cs="Arial"/>
        </w:rPr>
        <w:t>)’ [accessed: 7 March 2019].</w:t>
      </w:r>
    </w:p>
  </w:footnote>
  <w:footnote w:id="47">
    <w:p w14:paraId="47112E6F" w14:textId="003388B4" w:rsidR="00AE42CD" w:rsidRPr="00E5046A" w:rsidRDefault="00AE42CD" w:rsidP="006401CE">
      <w:pPr>
        <w:pStyle w:val="FootnoteText"/>
        <w:rPr>
          <w:rFonts w:cs="Arial"/>
        </w:rPr>
      </w:pPr>
      <w:r w:rsidRPr="00E5046A">
        <w:rPr>
          <w:rStyle w:val="FootnoteReference"/>
          <w:rFonts w:cs="Arial"/>
        </w:rPr>
        <w:footnoteRef/>
      </w:r>
      <w:r w:rsidRPr="00E5046A">
        <w:rPr>
          <w:rFonts w:cs="Arial"/>
        </w:rPr>
        <w:t xml:space="preserve"> Ibid. </w:t>
      </w:r>
    </w:p>
  </w:footnote>
  <w:footnote w:id="48">
    <w:p w14:paraId="1369351B" w14:textId="0222EB61" w:rsidR="00AE42CD" w:rsidRPr="00E5046A" w:rsidRDefault="00AE42CD" w:rsidP="006401CE">
      <w:pPr>
        <w:pStyle w:val="FootnoteText"/>
        <w:rPr>
          <w:rFonts w:cs="Arial"/>
        </w:rPr>
      </w:pPr>
      <w:r w:rsidRPr="00E5046A">
        <w:rPr>
          <w:rStyle w:val="FootnoteReference"/>
          <w:rFonts w:cs="Arial"/>
        </w:rPr>
        <w:footnoteRef/>
      </w:r>
      <w:r w:rsidRPr="00E5046A">
        <w:rPr>
          <w:rFonts w:cs="Arial"/>
        </w:rPr>
        <w:t xml:space="preserve"> Ibid.</w:t>
      </w:r>
    </w:p>
  </w:footnote>
  <w:footnote w:id="49">
    <w:p w14:paraId="6DC8C489" w14:textId="19C74FE2" w:rsidR="00AE42CD" w:rsidRPr="00E5046A" w:rsidRDefault="00AE42CD" w:rsidP="00AE74E4">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Joint Committee on Human Rights (2018), ‘</w:t>
      </w:r>
      <w:hyperlink r:id="rId40" w:history="1">
        <w:r w:rsidRPr="00E5046A">
          <w:rPr>
            <w:rStyle w:val="Hyperlink"/>
            <w:rFonts w:ascii="Arial" w:hAnsi="Arial" w:cs="Arial"/>
          </w:rPr>
          <w:t>Enforcing human rights: tenth report of session 2017-19</w:t>
        </w:r>
      </w:hyperlink>
      <w:r w:rsidRPr="00E5046A">
        <w:rPr>
          <w:rFonts w:ascii="Arial" w:hAnsi="Arial" w:cs="Arial"/>
        </w:rPr>
        <w:t>’ [accessed: 8 March 2019].</w:t>
      </w:r>
    </w:p>
  </w:footnote>
  <w:footnote w:id="50">
    <w:p w14:paraId="4A289C94" w14:textId="4B22F431" w:rsidR="00AE42CD" w:rsidRPr="00E5046A" w:rsidRDefault="00AE42CD" w:rsidP="006401CE">
      <w:pPr>
        <w:pStyle w:val="FootnoteText"/>
        <w:rPr>
          <w:rFonts w:cs="Arial"/>
        </w:rPr>
      </w:pPr>
      <w:r w:rsidRPr="00E5046A">
        <w:rPr>
          <w:rStyle w:val="FootnoteReference"/>
          <w:rFonts w:cs="Arial"/>
        </w:rPr>
        <w:footnoteRef/>
      </w:r>
      <w:r w:rsidRPr="00E5046A">
        <w:rPr>
          <w:rFonts w:cs="Arial"/>
        </w:rPr>
        <w:t xml:space="preserve"> </w:t>
      </w:r>
      <w:hyperlink r:id="rId41" w:history="1">
        <w:r w:rsidRPr="00E5046A">
          <w:rPr>
            <w:rStyle w:val="Hyperlink"/>
            <w:rFonts w:cs="Arial"/>
            <w:i/>
          </w:rPr>
          <w:t>R (Rights of Women) v Lord Chancellor and Secretary of State for Justice</w:t>
        </w:r>
      </w:hyperlink>
      <w:r w:rsidRPr="00E5046A">
        <w:rPr>
          <w:rFonts w:cs="Arial"/>
          <w:i/>
        </w:rPr>
        <w:t xml:space="preserve"> </w:t>
      </w:r>
      <w:r w:rsidRPr="00E5046A">
        <w:rPr>
          <w:rFonts w:cs="Arial"/>
        </w:rPr>
        <w:t xml:space="preserve">[2016] EWCA Civ 91 [accessed: 18 May 2018]. </w:t>
      </w:r>
    </w:p>
  </w:footnote>
  <w:footnote w:id="51">
    <w:p w14:paraId="130BA752" w14:textId="6CA95914" w:rsidR="00AE42CD" w:rsidRPr="00E5046A" w:rsidRDefault="00AE42CD" w:rsidP="006401CE">
      <w:pPr>
        <w:pStyle w:val="FootnoteText"/>
        <w:rPr>
          <w:rFonts w:cs="Arial"/>
        </w:rPr>
      </w:pPr>
      <w:r w:rsidRPr="00E5046A">
        <w:rPr>
          <w:rStyle w:val="FootnoteReference"/>
          <w:rFonts w:cs="Arial"/>
        </w:rPr>
        <w:footnoteRef/>
      </w:r>
      <w:r w:rsidRPr="00E5046A">
        <w:rPr>
          <w:rFonts w:cs="Arial"/>
        </w:rPr>
        <w:t xml:space="preserve"> Ministry of Justice (2017), ‘</w:t>
      </w:r>
      <w:hyperlink r:id="rId42" w:history="1">
        <w:r w:rsidRPr="00E5046A">
          <w:rPr>
            <w:rStyle w:val="Hyperlink"/>
            <w:rFonts w:cs="Arial"/>
          </w:rPr>
          <w:t>More legal aid support for victims of domestic violence</w:t>
        </w:r>
      </w:hyperlink>
      <w:r w:rsidRPr="00E5046A">
        <w:rPr>
          <w:rFonts w:cs="Arial"/>
        </w:rPr>
        <w:t>’ [accessed: 8 March 2019].</w:t>
      </w:r>
    </w:p>
  </w:footnote>
  <w:footnote w:id="52">
    <w:p w14:paraId="411EA831" w14:textId="70A10F98" w:rsidR="00AE42CD" w:rsidRPr="00E5046A" w:rsidRDefault="00AE42CD" w:rsidP="006401CE">
      <w:pPr>
        <w:pStyle w:val="FootnoteText"/>
        <w:rPr>
          <w:rFonts w:cs="Arial"/>
        </w:rPr>
      </w:pPr>
      <w:r w:rsidRPr="00E5046A">
        <w:rPr>
          <w:rStyle w:val="FootnoteReference"/>
          <w:rFonts w:cs="Arial"/>
        </w:rPr>
        <w:footnoteRef/>
      </w:r>
      <w:r w:rsidRPr="00E5046A">
        <w:rPr>
          <w:rFonts w:cs="Arial"/>
        </w:rPr>
        <w:t xml:space="preserve"> Ministry of Justice (2019), ‘</w:t>
      </w:r>
      <w:hyperlink r:id="rId43" w:history="1">
        <w:r w:rsidRPr="00E5046A">
          <w:rPr>
            <w:rStyle w:val="Hyperlink"/>
            <w:rFonts w:cs="Arial"/>
          </w:rPr>
          <w:t>Post-implementation review of part 1 of the Legal Aid, Sentencing and Punishment of Offenders Act 2012 (LASPO</w:t>
        </w:r>
      </w:hyperlink>
      <w:r w:rsidRPr="00E5046A">
        <w:rPr>
          <w:rFonts w:cs="Arial"/>
        </w:rPr>
        <w:t>)’ [accessed: 7 March 2019].</w:t>
      </w:r>
    </w:p>
  </w:footnote>
  <w:footnote w:id="53">
    <w:p w14:paraId="50272A81" w14:textId="50C13D25" w:rsidR="00AE42CD" w:rsidRPr="00E5046A" w:rsidRDefault="00AE42CD" w:rsidP="006401CE">
      <w:pPr>
        <w:pStyle w:val="FootnoteText"/>
        <w:rPr>
          <w:rFonts w:cs="Arial"/>
        </w:rPr>
      </w:pPr>
      <w:r w:rsidRPr="00E5046A">
        <w:rPr>
          <w:rStyle w:val="FootnoteReference"/>
          <w:rFonts w:cs="Arial"/>
        </w:rPr>
        <w:footnoteRef/>
      </w:r>
      <w:r w:rsidRPr="00E5046A">
        <w:rPr>
          <w:rFonts w:cs="Arial"/>
        </w:rPr>
        <w:t xml:space="preserve"> Law Society (2018), ‘</w:t>
      </w:r>
      <w:hyperlink r:id="rId44" w:history="1">
        <w:r w:rsidRPr="00E5046A">
          <w:rPr>
            <w:rStyle w:val="Hyperlink"/>
            <w:rFonts w:cs="Arial"/>
          </w:rPr>
          <w:t>Proposed amendments to the statutory instrument: Civil Legal Aid (Procedure) (Amendment) (No. 2) Regulation 2017</w:t>
        </w:r>
      </w:hyperlink>
      <w:r w:rsidRPr="00E5046A">
        <w:rPr>
          <w:rFonts w:cs="Arial"/>
        </w:rPr>
        <w:t>’ [accessed: 29 October 2018].</w:t>
      </w:r>
    </w:p>
  </w:footnote>
  <w:footnote w:id="54">
    <w:p w14:paraId="09967461" w14:textId="6C6623AD" w:rsidR="00AE42CD" w:rsidRPr="00E5046A" w:rsidRDefault="00AE42CD" w:rsidP="00AE74E4">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Joint Committee on Human Rights (2018), ‘</w:t>
      </w:r>
      <w:hyperlink r:id="rId45" w:history="1">
        <w:r w:rsidRPr="00E5046A">
          <w:rPr>
            <w:rStyle w:val="Hyperlink"/>
            <w:rFonts w:ascii="Arial" w:hAnsi="Arial" w:cs="Arial"/>
          </w:rPr>
          <w:t>Enforcing human rights: tenth report of session 2017-19</w:t>
        </w:r>
      </w:hyperlink>
      <w:r w:rsidRPr="00E5046A">
        <w:rPr>
          <w:rFonts w:ascii="Arial" w:hAnsi="Arial" w:cs="Arial"/>
        </w:rPr>
        <w:t>’ [accessed: 8 March 2019].</w:t>
      </w:r>
    </w:p>
  </w:footnote>
  <w:footnote w:id="55">
    <w:p w14:paraId="79FA0507" w14:textId="581E013E"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Ministry of Justice (2019), ‘</w:t>
      </w:r>
      <w:hyperlink r:id="rId46" w:history="1">
        <w:r w:rsidRPr="00E5046A">
          <w:rPr>
            <w:rStyle w:val="Hyperlink"/>
            <w:rFonts w:cs="Arial"/>
          </w:rPr>
          <w:t>Post-implementation review of part 1 of the Legal Aid, Sentencing and Punishment of Offenders Act 2012 (LASPO</w:t>
        </w:r>
      </w:hyperlink>
      <w:r w:rsidRPr="00E5046A">
        <w:rPr>
          <w:rFonts w:cs="Arial"/>
        </w:rPr>
        <w:t>)’ [accessed: 7 March 2019].</w:t>
      </w:r>
    </w:p>
  </w:footnote>
  <w:footnote w:id="56">
    <w:p w14:paraId="079FDF8C" w14:textId="4A3F9834"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Ministry of Justice (2019), </w:t>
      </w:r>
      <w:hyperlink r:id="rId47" w:history="1">
        <w:r w:rsidRPr="00E5046A">
          <w:rPr>
            <w:rStyle w:val="Hyperlink"/>
            <w:rFonts w:cs="Arial"/>
          </w:rPr>
          <w:t>‘Legal support: The Way ahead. An action plan to deliver better support to people experiencing legal problems, February 2019</w:t>
        </w:r>
      </w:hyperlink>
      <w:r w:rsidRPr="00E5046A">
        <w:rPr>
          <w:rFonts w:cs="Arial"/>
        </w:rPr>
        <w:t>’ [accessed: 8 March 2019].</w:t>
      </w:r>
    </w:p>
  </w:footnote>
  <w:footnote w:id="57">
    <w:p w14:paraId="1B4FB708" w14:textId="04BEE606"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t>
      </w:r>
      <w:hyperlink r:id="rId48" w:history="1">
        <w:r w:rsidRPr="00E5046A">
          <w:rPr>
            <w:rStyle w:val="Hyperlink"/>
            <w:rFonts w:cs="Arial"/>
          </w:rPr>
          <w:t>LASPO</w:t>
        </w:r>
      </w:hyperlink>
      <w:r w:rsidRPr="00E5046A">
        <w:rPr>
          <w:rFonts w:cs="Arial"/>
        </w:rPr>
        <w:t>, Schedule 1, Part 1.</w:t>
      </w:r>
    </w:p>
  </w:footnote>
  <w:footnote w:id="58">
    <w:p w14:paraId="5C2D7815" w14:textId="55717C65"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Refugee Action (2018), ‘</w:t>
      </w:r>
      <w:hyperlink r:id="rId49" w:history="1">
        <w:r w:rsidRPr="00E5046A">
          <w:rPr>
            <w:rStyle w:val="Hyperlink"/>
            <w:rFonts w:cs="Arial"/>
          </w:rPr>
          <w:t>Tipping the scales: access to justice in the asylum system</w:t>
        </w:r>
      </w:hyperlink>
      <w:r w:rsidRPr="00E5046A">
        <w:rPr>
          <w:rFonts w:cs="Arial"/>
        </w:rPr>
        <w:t>’ [accessed: 8 March 2019].</w:t>
      </w:r>
    </w:p>
  </w:footnote>
  <w:footnote w:id="59">
    <w:p w14:paraId="5764B716" w14:textId="7DBE121E"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t>
      </w:r>
      <w:hyperlink r:id="rId50" w:history="1">
        <w:r w:rsidRPr="00E5046A">
          <w:rPr>
            <w:rStyle w:val="Hyperlink"/>
            <w:rFonts w:cs="Arial"/>
          </w:rPr>
          <w:t>LASPO</w:t>
        </w:r>
      </w:hyperlink>
      <w:r w:rsidRPr="00E5046A">
        <w:rPr>
          <w:rFonts w:cs="Arial"/>
        </w:rPr>
        <w:t>, Schedule 1, Part 1.</w:t>
      </w:r>
    </w:p>
  </w:footnote>
  <w:footnote w:id="60">
    <w:p w14:paraId="4DD0B1B1" w14:textId="4FD38007"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European Network on Statelessness (2016), ‘</w:t>
      </w:r>
      <w:hyperlink r:id="rId51" w:history="1">
        <w:r w:rsidRPr="00E5046A">
          <w:rPr>
            <w:rStyle w:val="Hyperlink"/>
            <w:rFonts w:cs="Arial"/>
          </w:rPr>
          <w:t>Protecting stateless persons from arbitrary detention in the United Kingdom</w:t>
        </w:r>
      </w:hyperlink>
      <w:r w:rsidRPr="00E5046A">
        <w:rPr>
          <w:rFonts w:cs="Arial"/>
        </w:rPr>
        <w:t>’ [accessed: 8 March 2019].</w:t>
      </w:r>
    </w:p>
  </w:footnote>
  <w:footnote w:id="61">
    <w:p w14:paraId="5A3D9FF3" w14:textId="42315941" w:rsidR="00AE42CD" w:rsidRPr="00E5046A" w:rsidRDefault="00AE42CD" w:rsidP="00907D2F">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Joint Committee on Human Rights (2013), ‘</w:t>
      </w:r>
      <w:hyperlink r:id="rId52" w:history="1">
        <w:r w:rsidRPr="00E5046A">
          <w:rPr>
            <w:rStyle w:val="Hyperlink"/>
            <w:rFonts w:ascii="Arial" w:hAnsi="Arial" w:cs="Arial"/>
          </w:rPr>
          <w:t>Human rights of unaccompanied migrant children and young people in the UK, First report of session 2013–14</w:t>
        </w:r>
      </w:hyperlink>
      <w:r w:rsidRPr="00E5046A">
        <w:rPr>
          <w:rFonts w:ascii="Arial" w:hAnsi="Arial" w:cs="Arial"/>
        </w:rPr>
        <w:t>’ [accessed: 9 March 2019]; Joint Committee on Human Rights (2018), ‘</w:t>
      </w:r>
      <w:hyperlink r:id="rId53" w:history="1">
        <w:r w:rsidRPr="00E5046A">
          <w:rPr>
            <w:rStyle w:val="Hyperlink"/>
            <w:rFonts w:ascii="Arial" w:hAnsi="Arial" w:cs="Arial"/>
          </w:rPr>
          <w:t>Enforcing human rights: tenth report of session 2017-19</w:t>
        </w:r>
      </w:hyperlink>
      <w:r w:rsidRPr="00E5046A">
        <w:rPr>
          <w:rFonts w:ascii="Arial" w:hAnsi="Arial" w:cs="Arial"/>
        </w:rPr>
        <w:t>’ [accessed: 8 March 2019].</w:t>
      </w:r>
    </w:p>
  </w:footnote>
  <w:footnote w:id="62">
    <w:p w14:paraId="092E2684" w14:textId="523E43D0"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UK Parliament (2018), </w:t>
      </w:r>
      <w:hyperlink r:id="rId54" w:history="1">
        <w:r w:rsidRPr="00E5046A">
          <w:rPr>
            <w:rStyle w:val="Hyperlink"/>
            <w:rFonts w:cs="Arial"/>
          </w:rPr>
          <w:t>Justice Update: Written statement - HCWS853</w:t>
        </w:r>
      </w:hyperlink>
      <w:r>
        <w:rPr>
          <w:rFonts w:cs="Arial"/>
        </w:rPr>
        <w:t xml:space="preserve"> [accessed: 9 March 2019].</w:t>
      </w:r>
    </w:p>
  </w:footnote>
  <w:footnote w:id="63">
    <w:p w14:paraId="4A884562" w14:textId="104CC124"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Legal Aid Agency and Ministry of Justice (2018), ‘</w:t>
      </w:r>
      <w:hyperlink r:id="rId55" w:history="1">
        <w:r w:rsidRPr="00E5046A">
          <w:rPr>
            <w:rStyle w:val="Hyperlink"/>
            <w:rFonts w:cs="Arial"/>
            <w:lang w:val="en"/>
          </w:rPr>
          <w:t>Legal aid statistics: July to September 2018</w:t>
        </w:r>
      </w:hyperlink>
      <w:r w:rsidRPr="00E5046A">
        <w:rPr>
          <w:rFonts w:cs="Arial"/>
          <w:lang w:val="en"/>
        </w:rPr>
        <w:t xml:space="preserve">’, Table 8.1 </w:t>
      </w:r>
      <w:r w:rsidRPr="00E5046A">
        <w:rPr>
          <w:rStyle w:val="Hyperlink"/>
          <w:rFonts w:cs="Arial"/>
        </w:rPr>
        <w:t>[accessed: 8 March 2019]</w:t>
      </w:r>
      <w:r w:rsidRPr="00E5046A">
        <w:rPr>
          <w:rFonts w:cs="Arial"/>
          <w:lang w:val="en"/>
        </w:rPr>
        <w:t xml:space="preserve"> </w:t>
      </w:r>
    </w:p>
  </w:footnote>
  <w:footnote w:id="64">
    <w:p w14:paraId="68DA999D" w14:textId="6B9A327B" w:rsidR="00AE42CD" w:rsidRPr="00E5046A" w:rsidRDefault="00AE42CD" w:rsidP="00C32DAA">
      <w:pPr>
        <w:pStyle w:val="FootnoteText"/>
        <w:rPr>
          <w:rFonts w:cs="Arial"/>
          <w:highlight w:val="yellow"/>
        </w:rPr>
      </w:pPr>
      <w:r w:rsidRPr="00E5046A">
        <w:rPr>
          <w:rStyle w:val="FootnoteReference"/>
          <w:rFonts w:cs="Arial"/>
        </w:rPr>
        <w:footnoteRef/>
      </w:r>
      <w:r w:rsidRPr="00E5046A">
        <w:rPr>
          <w:rFonts w:cs="Arial"/>
        </w:rPr>
        <w:t xml:space="preserve"> Ministry of Justice (2019), ‘</w:t>
      </w:r>
      <w:hyperlink r:id="rId56" w:history="1">
        <w:r w:rsidRPr="00E5046A">
          <w:rPr>
            <w:rStyle w:val="Hyperlink"/>
            <w:rFonts w:cs="Arial"/>
          </w:rPr>
          <w:t>Post-implementation review of part 1 of the Legal Aid, Sentencing and Punishment of Offenders Act 2012 (LASPO</w:t>
        </w:r>
      </w:hyperlink>
      <w:r w:rsidRPr="00E5046A">
        <w:rPr>
          <w:rFonts w:cs="Arial"/>
        </w:rPr>
        <w:t>)’ [accessed: 7 March 2019].</w:t>
      </w:r>
    </w:p>
  </w:footnote>
  <w:footnote w:id="65">
    <w:p w14:paraId="25441426" w14:textId="158F7F90" w:rsidR="00AE42CD" w:rsidRPr="00E5046A" w:rsidRDefault="00AE42CD" w:rsidP="00C32DAA">
      <w:pPr>
        <w:pStyle w:val="FootnoteText"/>
        <w:rPr>
          <w:rFonts w:cs="Arial"/>
          <w:highlight w:val="yellow"/>
        </w:rPr>
      </w:pPr>
      <w:r w:rsidRPr="00E5046A">
        <w:rPr>
          <w:rStyle w:val="FootnoteReference"/>
          <w:rFonts w:cs="Arial"/>
        </w:rPr>
        <w:footnoteRef/>
      </w:r>
      <w:r w:rsidRPr="00E5046A">
        <w:rPr>
          <w:rFonts w:cs="Arial"/>
        </w:rPr>
        <w:t xml:space="preserve"> Ministry of Justice (2019), ‘</w:t>
      </w:r>
      <w:hyperlink r:id="rId57" w:history="1">
        <w:r w:rsidRPr="00E5046A">
          <w:rPr>
            <w:rStyle w:val="Hyperlink"/>
            <w:rFonts w:cs="Arial"/>
          </w:rPr>
          <w:t>Post-implementation review of part 1 of the Legal Aid, Sentencing and Punishment of Offenders Act 2012 (LASPO</w:t>
        </w:r>
      </w:hyperlink>
      <w:r w:rsidRPr="00E5046A">
        <w:rPr>
          <w:rFonts w:cs="Arial"/>
        </w:rPr>
        <w:t>)’ [accessed: 7 March 2019].</w:t>
      </w:r>
    </w:p>
  </w:footnote>
  <w:footnote w:id="66">
    <w:p w14:paraId="3FC5AFCD" w14:textId="058D09B9" w:rsidR="00AE42CD" w:rsidRPr="0040773A" w:rsidRDefault="00AE42CD" w:rsidP="00C32DAA">
      <w:pPr>
        <w:pStyle w:val="FootnoteText"/>
        <w:rPr>
          <w:rFonts w:cs="Arial"/>
        </w:rPr>
      </w:pPr>
      <w:r w:rsidRPr="0040773A">
        <w:rPr>
          <w:rStyle w:val="FootnoteReference"/>
          <w:rFonts w:cs="Arial"/>
        </w:rPr>
        <w:footnoteRef/>
      </w:r>
      <w:r w:rsidRPr="0040773A">
        <w:rPr>
          <w:rFonts w:cs="Arial"/>
        </w:rPr>
        <w:t xml:space="preserve"> Ministry</w:t>
      </w:r>
      <w:r w:rsidRPr="00E5046A">
        <w:rPr>
          <w:rFonts w:cs="Arial"/>
        </w:rPr>
        <w:t xml:space="preserve"> of Justice (2019), ‘</w:t>
      </w:r>
      <w:hyperlink r:id="rId58" w:history="1">
        <w:r w:rsidRPr="00E5046A">
          <w:rPr>
            <w:rStyle w:val="Hyperlink"/>
            <w:rFonts w:cs="Arial"/>
          </w:rPr>
          <w:t>Legal support: The Way ahead</w:t>
        </w:r>
      </w:hyperlink>
      <w:r w:rsidRPr="00E5046A">
        <w:rPr>
          <w:rFonts w:cs="Arial"/>
        </w:rPr>
        <w:t>’ [accessed: 17 March 2019].</w:t>
      </w:r>
    </w:p>
  </w:footnote>
  <w:footnote w:id="67">
    <w:p w14:paraId="1DF61594" w14:textId="3D1D79ED"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t>
      </w:r>
      <w:hyperlink r:id="rId59" w:history="1">
        <w:r w:rsidRPr="00E5046A">
          <w:rPr>
            <w:rStyle w:val="Hyperlink"/>
            <w:rFonts w:cs="Arial"/>
          </w:rPr>
          <w:t>LASPO</w:t>
        </w:r>
      </w:hyperlink>
      <w:r w:rsidRPr="00E5046A">
        <w:rPr>
          <w:rFonts w:cs="Arial"/>
        </w:rPr>
        <w:t>, Schedule 1, Part 1.</w:t>
      </w:r>
    </w:p>
  </w:footnote>
  <w:footnote w:id="68">
    <w:p w14:paraId="04A69AE6" w14:textId="1ACC2BE2"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Legal Aid Agency (2018), ‘</w:t>
      </w:r>
      <w:hyperlink r:id="rId60" w:history="1">
        <w:r w:rsidRPr="00E5046A">
          <w:rPr>
            <w:rStyle w:val="Hyperlink"/>
            <w:rFonts w:cs="Arial"/>
          </w:rPr>
          <w:t>Legal aid statistics: April to June 2018</w:t>
        </w:r>
      </w:hyperlink>
      <w:r w:rsidRPr="00E5046A">
        <w:rPr>
          <w:rFonts w:cs="Arial"/>
        </w:rPr>
        <w:t>,’ table 8.2: Exceptional Case Funding (ECF) by category of law [accessed: 17 March 2019].</w:t>
      </w:r>
    </w:p>
  </w:footnote>
  <w:footnote w:id="69">
    <w:p w14:paraId="06910BA7" w14:textId="7137C324"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Joint Committee on Human Rights (2018), ‘</w:t>
      </w:r>
      <w:hyperlink r:id="rId61" w:history="1">
        <w:r w:rsidRPr="00E5046A">
          <w:rPr>
            <w:rStyle w:val="Hyperlink"/>
            <w:rFonts w:cs="Arial"/>
          </w:rPr>
          <w:t>Enforcing human rights: tenth report of session 2017-19</w:t>
        </w:r>
      </w:hyperlink>
      <w:r w:rsidRPr="00E5046A">
        <w:rPr>
          <w:rFonts w:cs="Arial"/>
        </w:rPr>
        <w:t>’ [accessed: 8 March 2019].</w:t>
      </w:r>
    </w:p>
  </w:footnote>
  <w:footnote w:id="70">
    <w:p w14:paraId="5701E285" w14:textId="42DC4315"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INQUEST (2018), ‘</w:t>
      </w:r>
      <w:hyperlink r:id="rId62" w:history="1">
        <w:r w:rsidRPr="00E5046A">
          <w:rPr>
            <w:rStyle w:val="Hyperlink"/>
            <w:rFonts w:cs="Arial"/>
          </w:rPr>
          <w:t>Written evidence to the Joint Committee on Human Rights inquiry into human rights enforcement</w:t>
        </w:r>
      </w:hyperlink>
      <w:r w:rsidRPr="00E5046A">
        <w:rPr>
          <w:rFonts w:cs="Arial"/>
        </w:rPr>
        <w:t>’ [accessed: 8 March 2019].</w:t>
      </w:r>
    </w:p>
  </w:footnote>
  <w:footnote w:id="71">
    <w:p w14:paraId="015B4986" w14:textId="10021580" w:rsidR="00AE42CD" w:rsidRPr="00E5046A" w:rsidRDefault="00AE42CD" w:rsidP="00E02B40">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Ministry of Justice (2018), ‘</w:t>
      </w:r>
      <w:hyperlink r:id="rId63" w:history="1">
        <w:r w:rsidRPr="00E5046A">
          <w:rPr>
            <w:rStyle w:val="Hyperlink"/>
            <w:rFonts w:ascii="Arial" w:hAnsi="Arial" w:cs="Arial"/>
          </w:rPr>
          <w:t>Changes to the Lord Chancellor’s exceptional funding guidance for inquests</w:t>
        </w:r>
      </w:hyperlink>
      <w:r w:rsidRPr="00E5046A">
        <w:rPr>
          <w:rFonts w:ascii="Arial" w:hAnsi="Arial" w:cs="Arial"/>
        </w:rPr>
        <w:t>’ [accessed: 9 March 2019].</w:t>
      </w:r>
    </w:p>
  </w:footnote>
  <w:footnote w:id="72">
    <w:p w14:paraId="26205DB7" w14:textId="36D587B5"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Ministry of Justice (2018), ‘</w:t>
      </w:r>
      <w:hyperlink r:id="rId64" w:history="1">
        <w:r w:rsidRPr="00E5046A">
          <w:rPr>
            <w:rStyle w:val="Hyperlink"/>
            <w:rFonts w:cs="Arial"/>
          </w:rPr>
          <w:t>Review of legal aid for inquests</w:t>
        </w:r>
      </w:hyperlink>
      <w:r w:rsidRPr="00E5046A">
        <w:rPr>
          <w:rFonts w:cs="Arial"/>
        </w:rPr>
        <w:t>’ [accessed: 9 March 2019].</w:t>
      </w:r>
    </w:p>
  </w:footnote>
  <w:footnote w:id="73">
    <w:p w14:paraId="42B80CA0" w14:textId="38C3F89B"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Ministry of Justice (2019), ‘</w:t>
      </w:r>
      <w:hyperlink r:id="rId65" w:history="1">
        <w:r w:rsidRPr="00E5046A">
          <w:rPr>
            <w:rStyle w:val="Hyperlink"/>
            <w:rFonts w:cs="Arial"/>
          </w:rPr>
          <w:t>Legal support: The Way ahead</w:t>
        </w:r>
      </w:hyperlink>
      <w:r w:rsidRPr="00E5046A">
        <w:rPr>
          <w:rFonts w:cs="Arial"/>
        </w:rPr>
        <w:t>’ [accessed: 17 March 2019].</w:t>
      </w:r>
    </w:p>
  </w:footnote>
  <w:footnote w:id="74">
    <w:p w14:paraId="29C91E9F" w14:textId="10B5C240" w:rsidR="00AE42CD" w:rsidRPr="00E5046A" w:rsidRDefault="00AE42CD" w:rsidP="00E02B40">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Welsh Government, (2017) ‘</w:t>
      </w:r>
      <w:hyperlink r:id="rId66" w:history="1">
        <w:r w:rsidRPr="00E5046A">
          <w:rPr>
            <w:rStyle w:val="Hyperlink"/>
            <w:rFonts w:ascii="Arial" w:hAnsi="Arial" w:cs="Arial"/>
          </w:rPr>
          <w:t>First Minister establishes a Commission on Justice in Wales</w:t>
        </w:r>
      </w:hyperlink>
      <w:r w:rsidRPr="00E5046A">
        <w:rPr>
          <w:rFonts w:ascii="Arial" w:hAnsi="Arial" w:cs="Arial"/>
        </w:rPr>
        <w:t xml:space="preserve">’ [accessed: 9 March 2019]. </w:t>
      </w:r>
    </w:p>
  </w:footnote>
  <w:footnote w:id="75">
    <w:p w14:paraId="23A8764E" w14:textId="62089409"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Welsh Government (2019), </w:t>
      </w:r>
      <w:hyperlink r:id="rId67" w:history="1">
        <w:r w:rsidRPr="00E5046A">
          <w:rPr>
            <w:rStyle w:val="Hyperlink"/>
            <w:rFonts w:cs="Arial"/>
          </w:rPr>
          <w:t>The Commission on Justice in Wales</w:t>
        </w:r>
      </w:hyperlink>
      <w:r w:rsidRPr="00E5046A">
        <w:rPr>
          <w:rFonts w:cs="Arial"/>
        </w:rPr>
        <w:t xml:space="preserve"> [accessed: 17 March 2019].</w:t>
      </w:r>
    </w:p>
  </w:footnote>
  <w:footnote w:id="76">
    <w:p w14:paraId="10CF5F30" w14:textId="2D7AF513"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t>
      </w:r>
      <w:hyperlink r:id="rId68" w:history="1">
        <w:r w:rsidRPr="00E5046A">
          <w:rPr>
            <w:rStyle w:val="Hyperlink"/>
            <w:rFonts w:cs="Arial"/>
          </w:rPr>
          <w:t>Modern Slavery Act 2015</w:t>
        </w:r>
      </w:hyperlink>
      <w:r w:rsidRPr="00E5046A">
        <w:rPr>
          <w:rFonts w:cs="Arial"/>
        </w:rPr>
        <w:t xml:space="preserve"> [accessed: 9 March 2019].</w:t>
      </w:r>
    </w:p>
  </w:footnote>
  <w:footnote w:id="77">
    <w:p w14:paraId="7E836789" w14:textId="0924EF2F" w:rsidR="00AE42CD" w:rsidRPr="00E5046A" w:rsidRDefault="00AE42CD" w:rsidP="00E02B40">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 Government (Oct 2018), ‘</w:t>
      </w:r>
      <w:hyperlink r:id="rId69" w:history="1">
        <w:r w:rsidRPr="00E5046A">
          <w:rPr>
            <w:rStyle w:val="Hyperlink"/>
            <w:rFonts w:ascii="Arial" w:hAnsi="Arial" w:cs="Arial"/>
          </w:rPr>
          <w:t>2018 Annual Report on Modern Slavery</w:t>
        </w:r>
      </w:hyperlink>
      <w:r w:rsidRPr="00E5046A">
        <w:rPr>
          <w:rFonts w:ascii="Arial" w:hAnsi="Arial" w:cs="Arial"/>
        </w:rPr>
        <w:t>’ [accessed: 8 March 2019].</w:t>
      </w:r>
    </w:p>
  </w:footnote>
  <w:footnote w:id="78">
    <w:p w14:paraId="1227EE54" w14:textId="534A4D3C"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t>
      </w:r>
      <w:r w:rsidRPr="00E5046A">
        <w:rPr>
          <w:rFonts w:cs="Arial"/>
          <w:bCs/>
        </w:rPr>
        <w:t>Independent Anti-Slavery Commissioner</w:t>
      </w:r>
      <w:r w:rsidRPr="00E5046A">
        <w:rPr>
          <w:rFonts w:cs="Arial"/>
        </w:rPr>
        <w:t xml:space="preserve"> (2017), ‘</w:t>
      </w:r>
      <w:hyperlink r:id="rId70" w:history="1">
        <w:r w:rsidRPr="00E5046A">
          <w:rPr>
            <w:rStyle w:val="Hyperlink"/>
            <w:rFonts w:cs="Arial"/>
          </w:rPr>
          <w:t>Annual Report 2016-2017</w:t>
        </w:r>
      </w:hyperlink>
      <w:r w:rsidRPr="00E5046A">
        <w:rPr>
          <w:rFonts w:cs="Arial"/>
        </w:rPr>
        <w:t>’ [accessed: 8 March 2019].</w:t>
      </w:r>
      <w:r w:rsidRPr="00E5046A" w:rsidDel="00A86D3B">
        <w:rPr>
          <w:rFonts w:cs="Arial"/>
        </w:rPr>
        <w:t xml:space="preserve"> </w:t>
      </w:r>
    </w:p>
  </w:footnote>
  <w:footnote w:id="79">
    <w:p w14:paraId="20EED439" w14:textId="63788B86"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t>
      </w:r>
      <w:r w:rsidRPr="00E5046A">
        <w:rPr>
          <w:rFonts w:cs="Arial"/>
          <w:bCs/>
        </w:rPr>
        <w:t>Ibid.</w:t>
      </w:r>
    </w:p>
  </w:footnote>
  <w:footnote w:id="80">
    <w:p w14:paraId="05506208" w14:textId="6C1E1A92" w:rsidR="00AE42CD" w:rsidRPr="00E5046A" w:rsidRDefault="00AE42CD" w:rsidP="00E02B40">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EHRC (2015), ‘</w:t>
      </w:r>
      <w:hyperlink r:id="rId71" w:history="1">
        <w:r w:rsidRPr="00E5046A">
          <w:rPr>
            <w:rStyle w:val="Hyperlink"/>
            <w:rFonts w:ascii="Arial" w:hAnsi="Arial" w:cs="Arial"/>
          </w:rPr>
          <w:t>Briefing on amendments to clarify trafficking and slavery offences published in the Marshalled List of Amendments on 20 February 2015</w:t>
        </w:r>
      </w:hyperlink>
      <w:r w:rsidRPr="00E5046A">
        <w:rPr>
          <w:rFonts w:ascii="Arial" w:hAnsi="Arial" w:cs="Arial"/>
        </w:rPr>
        <w:t>’ [accessed 8 March 2019].</w:t>
      </w:r>
    </w:p>
  </w:footnote>
  <w:footnote w:id="81">
    <w:p w14:paraId="77CD7FC8" w14:textId="2311107B"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t>
      </w:r>
      <w:r w:rsidRPr="00E5046A">
        <w:rPr>
          <w:rFonts w:cs="Arial"/>
          <w:bCs/>
        </w:rPr>
        <w:t>Ibid.</w:t>
      </w:r>
    </w:p>
  </w:footnote>
  <w:footnote w:id="82">
    <w:p w14:paraId="21AC024F" w14:textId="2409E29D" w:rsidR="00AE42CD" w:rsidRPr="00E5046A" w:rsidRDefault="00AE42CD" w:rsidP="00E02B40">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National Crime Agency (2018), ‘</w:t>
      </w:r>
      <w:hyperlink r:id="rId72" w:history="1">
        <w:r w:rsidRPr="00E5046A">
          <w:rPr>
            <w:rStyle w:val="Hyperlink"/>
            <w:rFonts w:ascii="Arial" w:hAnsi="Arial" w:cs="Arial"/>
          </w:rPr>
          <w:t>National Referral Mechanism Statistics – End of Year Summary 2017</w:t>
        </w:r>
      </w:hyperlink>
      <w:r w:rsidRPr="00E5046A">
        <w:rPr>
          <w:rFonts w:ascii="Arial" w:hAnsi="Arial" w:cs="Arial"/>
        </w:rPr>
        <w:t>’ [accessed: 8 March 2019].</w:t>
      </w:r>
    </w:p>
  </w:footnote>
  <w:footnote w:id="83">
    <w:p w14:paraId="5EE164D8" w14:textId="0694D1DE"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Swerling, G.  (2018), ‘</w:t>
      </w:r>
      <w:hyperlink r:id="rId73" w:history="1">
        <w:r w:rsidRPr="00E5046A">
          <w:rPr>
            <w:rStyle w:val="Hyperlink"/>
            <w:rFonts w:cs="Arial"/>
          </w:rPr>
          <w:t>Police treat trafficked children like criminals</w:t>
        </w:r>
      </w:hyperlink>
      <w:r w:rsidRPr="00E5046A">
        <w:rPr>
          <w:rFonts w:cs="Arial"/>
        </w:rPr>
        <w:t xml:space="preserve">’, </w:t>
      </w:r>
      <w:r w:rsidRPr="00E5046A">
        <w:rPr>
          <w:rFonts w:cs="Arial"/>
          <w:i/>
        </w:rPr>
        <w:t>The Times</w:t>
      </w:r>
      <w:r w:rsidRPr="00E5046A">
        <w:rPr>
          <w:rFonts w:cs="Arial"/>
        </w:rPr>
        <w:t>, 19 March [accessed: 8 March 2019].</w:t>
      </w:r>
      <w:r w:rsidRPr="00E5046A" w:rsidDel="00CA6614">
        <w:rPr>
          <w:rFonts w:cs="Arial"/>
        </w:rPr>
        <w:t xml:space="preserve"> </w:t>
      </w:r>
    </w:p>
  </w:footnote>
  <w:footnote w:id="84">
    <w:p w14:paraId="07E68BA3" w14:textId="56AC3E39" w:rsidR="00AE42CD" w:rsidRPr="00E5046A" w:rsidRDefault="00AE42CD" w:rsidP="00E02B40">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Anti-Trafficking Monitoring Group (2016), ‘</w:t>
      </w:r>
      <w:hyperlink r:id="rId74" w:history="1">
        <w:r w:rsidRPr="00E5046A">
          <w:rPr>
            <w:rStyle w:val="Hyperlink"/>
            <w:rFonts w:ascii="Arial" w:hAnsi="Arial" w:cs="Arial"/>
          </w:rPr>
          <w:t>Class acts: examining modern slavery legislation across the UK</w:t>
        </w:r>
      </w:hyperlink>
      <w:r w:rsidRPr="00E5046A">
        <w:rPr>
          <w:rFonts w:ascii="Arial" w:hAnsi="Arial" w:cs="Arial"/>
        </w:rPr>
        <w:t xml:space="preserve">’ [accessed: 8 March 2019; UK Parliament (2019) </w:t>
      </w:r>
      <w:hyperlink r:id="rId75" w:history="1">
        <w:r w:rsidRPr="00E5046A">
          <w:rPr>
            <w:rStyle w:val="Hyperlink"/>
            <w:rFonts w:ascii="Arial" w:hAnsi="Arial" w:cs="Arial"/>
          </w:rPr>
          <w:t>Human Trafficking (Child Protection) Bill 2017-19</w:t>
        </w:r>
      </w:hyperlink>
      <w:r w:rsidRPr="00E5046A">
        <w:rPr>
          <w:rFonts w:ascii="Arial" w:hAnsi="Arial" w:cs="Arial"/>
        </w:rPr>
        <w:t xml:space="preserve"> [accessed: 8 March 2019].</w:t>
      </w:r>
      <w:r w:rsidRPr="00E5046A" w:rsidDel="00CA6614">
        <w:rPr>
          <w:rFonts w:ascii="Arial" w:hAnsi="Arial" w:cs="Arial"/>
        </w:rPr>
        <w:t xml:space="preserve"> </w:t>
      </w:r>
      <w:r w:rsidRPr="00E5046A">
        <w:rPr>
          <w:rFonts w:ascii="Arial" w:hAnsi="Arial" w:cs="Arial"/>
        </w:rPr>
        <w:t xml:space="preserve"> </w:t>
      </w:r>
    </w:p>
  </w:footnote>
  <w:footnote w:id="85">
    <w:p w14:paraId="1801BFA3" w14:textId="5AA2C193" w:rsidR="00AE42CD" w:rsidRPr="00E5046A" w:rsidRDefault="00AE42CD" w:rsidP="00CA6614">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Anti-Trafficking Monitoring Group (2017), ‘</w:t>
      </w:r>
      <w:hyperlink r:id="rId76" w:history="1">
        <w:r w:rsidRPr="00E5046A">
          <w:rPr>
            <w:rStyle w:val="Hyperlink"/>
            <w:rFonts w:ascii="Arial" w:hAnsi="Arial" w:cs="Arial"/>
          </w:rPr>
          <w:t>Brexit and the UK’s fight against modern slavery</w:t>
        </w:r>
      </w:hyperlink>
      <w:r w:rsidRPr="00E5046A">
        <w:rPr>
          <w:rFonts w:ascii="Arial" w:hAnsi="Arial" w:cs="Arial"/>
        </w:rPr>
        <w:t>’</w:t>
      </w:r>
    </w:p>
    <w:p w14:paraId="3287A589" w14:textId="63136DEF" w:rsidR="00AE42CD" w:rsidRPr="00E5046A" w:rsidRDefault="00AE42CD" w:rsidP="00E02B40">
      <w:pPr>
        <w:pStyle w:val="EndnoteText"/>
        <w:rPr>
          <w:rFonts w:ascii="Arial" w:hAnsi="Arial" w:cs="Arial"/>
        </w:rPr>
      </w:pPr>
      <w:r w:rsidRPr="00E5046A">
        <w:rPr>
          <w:rFonts w:ascii="Arial" w:hAnsi="Arial" w:cs="Arial"/>
        </w:rPr>
        <w:t xml:space="preserve"> [accessed: 8 March 2019)].</w:t>
      </w:r>
    </w:p>
  </w:footnote>
  <w:footnote w:id="86">
    <w:p w14:paraId="18E650E3" w14:textId="794B81B7" w:rsidR="00AE42CD" w:rsidRPr="00E5046A" w:rsidRDefault="00AE42CD" w:rsidP="00E02B40">
      <w:pPr>
        <w:pStyle w:val="EndnoteText"/>
        <w:rPr>
          <w:rFonts w:ascii="Arial" w:hAnsi="Arial" w:cs="Arial"/>
          <w:bCs/>
          <w:lang w:val="en"/>
        </w:rPr>
      </w:pPr>
      <w:r w:rsidRPr="00E5046A">
        <w:rPr>
          <w:rStyle w:val="FootnoteReference"/>
          <w:rFonts w:ascii="Arial" w:hAnsi="Arial" w:cs="Arial"/>
        </w:rPr>
        <w:footnoteRef/>
      </w:r>
      <w:r w:rsidRPr="00E5046A">
        <w:rPr>
          <w:rFonts w:ascii="Arial" w:hAnsi="Arial" w:cs="Arial"/>
        </w:rPr>
        <w:t xml:space="preserve"> UK Parliament (2018) ‘</w:t>
      </w:r>
      <w:hyperlink r:id="rId77" w:history="1">
        <w:r w:rsidRPr="00E5046A">
          <w:rPr>
            <w:rStyle w:val="Hyperlink"/>
            <w:rFonts w:ascii="Arial" w:hAnsi="Arial" w:cs="Arial"/>
            <w:bCs/>
            <w:lang w:val="en"/>
          </w:rPr>
          <w:t>Slavery and Trafficking Reparation Orders: Written question 194087</w:t>
        </w:r>
      </w:hyperlink>
      <w:r w:rsidRPr="00E5046A">
        <w:rPr>
          <w:rFonts w:ascii="Arial" w:hAnsi="Arial" w:cs="Arial"/>
          <w:bCs/>
          <w:lang w:val="en"/>
        </w:rPr>
        <w:t>’ [accessed: 8 March 2019].</w:t>
      </w:r>
    </w:p>
  </w:footnote>
  <w:footnote w:id="87">
    <w:p w14:paraId="56B9DF51" w14:textId="43EB821E" w:rsidR="00AE42CD" w:rsidRPr="00E5046A" w:rsidRDefault="00AE42CD" w:rsidP="00E02B40">
      <w:pPr>
        <w:pStyle w:val="Heading1"/>
        <w:spacing w:before="0" w:line="264" w:lineRule="atLeast"/>
        <w:rPr>
          <w:rFonts w:ascii="Arial" w:hAnsi="Arial" w:cs="Arial"/>
          <w:sz w:val="20"/>
          <w:szCs w:val="20"/>
        </w:rPr>
      </w:pPr>
      <w:r w:rsidRPr="00E5046A">
        <w:rPr>
          <w:rStyle w:val="FootnoteReference"/>
          <w:rFonts w:ascii="Arial" w:hAnsi="Arial" w:cs="Arial"/>
          <w:color w:val="auto"/>
          <w:sz w:val="20"/>
          <w:szCs w:val="20"/>
        </w:rPr>
        <w:footnoteRef/>
      </w:r>
      <w:r w:rsidRPr="00E5046A">
        <w:rPr>
          <w:rFonts w:ascii="Arial" w:hAnsi="Arial" w:cs="Arial"/>
          <w:sz w:val="20"/>
          <w:szCs w:val="20"/>
        </w:rPr>
        <w:t xml:space="preserve"> </w:t>
      </w:r>
      <w:r w:rsidRPr="00E5046A">
        <w:rPr>
          <w:rFonts w:ascii="Arial" w:hAnsi="Arial" w:cs="Arial"/>
          <w:color w:val="auto"/>
          <w:sz w:val="20"/>
          <w:szCs w:val="20"/>
        </w:rPr>
        <w:t>Ainhoa Barrenechea (2016), ‘</w:t>
      </w:r>
      <w:hyperlink r:id="rId78" w:history="1">
        <w:r w:rsidRPr="00E5046A">
          <w:rPr>
            <w:rStyle w:val="Hyperlink"/>
            <w:rFonts w:ascii="Arial" w:hAnsi="Arial" w:cs="Arial"/>
            <w:sz w:val="20"/>
            <w:szCs w:val="20"/>
          </w:rPr>
          <w:t>FLEX Working Paper: Access to compensation for victims of human trafficking</w:t>
        </w:r>
      </w:hyperlink>
      <w:r w:rsidRPr="00E5046A">
        <w:rPr>
          <w:rFonts w:ascii="Arial" w:hAnsi="Arial" w:cs="Arial"/>
          <w:color w:val="auto"/>
          <w:sz w:val="20"/>
          <w:szCs w:val="20"/>
        </w:rPr>
        <w:t xml:space="preserve">’ </w:t>
      </w:r>
      <w:r w:rsidRPr="00E5046A">
        <w:rPr>
          <w:rFonts w:ascii="Arial" w:hAnsi="Arial" w:cs="Arial"/>
          <w:bCs/>
          <w:color w:val="auto"/>
          <w:sz w:val="20"/>
          <w:szCs w:val="20"/>
          <w:lang w:val="en"/>
        </w:rPr>
        <w:t>[accessed: 17 March 2019].</w:t>
      </w:r>
    </w:p>
  </w:footnote>
  <w:footnote w:id="88">
    <w:p w14:paraId="33B911E0" w14:textId="7C74BD2E"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t>
      </w:r>
      <w:r w:rsidRPr="00E5046A">
        <w:rPr>
          <w:rFonts w:cs="Arial"/>
          <w:i/>
        </w:rPr>
        <w:t xml:space="preserve"> Taiwo (Appellant) v Olaigbe and another (Respondents)</w:t>
      </w:r>
      <w:r w:rsidRPr="00E5046A">
        <w:rPr>
          <w:rFonts w:cs="Arial"/>
        </w:rPr>
        <w:t xml:space="preserve"> [2016] UKSC 31</w:t>
      </w:r>
    </w:p>
  </w:footnote>
  <w:footnote w:id="89">
    <w:p w14:paraId="5DEF83FB" w14:textId="5B8F4977"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Home Office (2017), ‘</w:t>
      </w:r>
      <w:hyperlink r:id="rId79" w:history="1">
        <w:r w:rsidRPr="00E5046A">
          <w:rPr>
            <w:rStyle w:val="Hyperlink"/>
            <w:rFonts w:cs="Arial"/>
          </w:rPr>
          <w:t>Modern slavery victims to receive longer period of support</w:t>
        </w:r>
      </w:hyperlink>
      <w:r w:rsidRPr="00E5046A">
        <w:rPr>
          <w:rFonts w:cs="Arial"/>
        </w:rPr>
        <w:t xml:space="preserve">’ [accessed: 8 March 2019]. </w:t>
      </w:r>
    </w:p>
  </w:footnote>
  <w:footnote w:id="90">
    <w:p w14:paraId="48A72A92" w14:textId="5BA96D26"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Kalayaan and Anti-Slavery International (2018), ‘</w:t>
      </w:r>
      <w:hyperlink r:id="rId80" w:history="1">
        <w:r w:rsidRPr="00E5046A">
          <w:rPr>
            <w:rStyle w:val="Hyperlink"/>
            <w:rFonts w:cs="Arial"/>
          </w:rPr>
          <w:t>Submission to the UN Special Rapporteur on contemporary forms of slavery</w:t>
        </w:r>
      </w:hyperlink>
      <w:r w:rsidRPr="00E5046A">
        <w:rPr>
          <w:rFonts w:cs="Arial"/>
        </w:rPr>
        <w:t>’ [accessed: 6 December 2018].</w:t>
      </w:r>
    </w:p>
  </w:footnote>
  <w:footnote w:id="91">
    <w:p w14:paraId="5018FC94" w14:textId="025ED440"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Home Office (2018), </w:t>
      </w:r>
      <w:hyperlink r:id="rId81" w:history="1">
        <w:r w:rsidRPr="00E5046A">
          <w:rPr>
            <w:rStyle w:val="Hyperlink"/>
            <w:rFonts w:cs="Arial"/>
          </w:rPr>
          <w:t>Review of the Modern Slavery Act 2015: terms of reference</w:t>
        </w:r>
      </w:hyperlink>
      <w:r w:rsidRPr="00E5046A">
        <w:rPr>
          <w:rFonts w:cs="Arial"/>
        </w:rPr>
        <w:t xml:space="preserve"> [accessed: 17 March 2019]. </w:t>
      </w:r>
    </w:p>
  </w:footnote>
  <w:footnote w:id="92">
    <w:p w14:paraId="699E95ED" w14:textId="4ADFF6A2" w:rsidR="00AE42CD" w:rsidRPr="00E5046A" w:rsidRDefault="00AE42CD" w:rsidP="00E02B40">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GRETA (2016), ‘</w:t>
      </w:r>
      <w:hyperlink r:id="rId82" w:history="1">
        <w:r w:rsidRPr="00E5046A">
          <w:rPr>
            <w:rStyle w:val="Hyperlink"/>
            <w:rFonts w:ascii="Arial" w:hAnsi="Arial" w:cs="Arial"/>
          </w:rPr>
          <w:t>Report concerning the implementation of the Council of Europe Convention on Action against Trafficking in Human Beings by the United Kingdom</w:t>
        </w:r>
      </w:hyperlink>
      <w:r w:rsidRPr="00E5046A">
        <w:rPr>
          <w:rFonts w:ascii="Arial" w:hAnsi="Arial" w:cs="Arial"/>
        </w:rPr>
        <w:t>’ [accessed: 8 March 2019].</w:t>
      </w:r>
    </w:p>
  </w:footnote>
  <w:footnote w:id="93">
    <w:p w14:paraId="03EA8EFA" w14:textId="493CDB98" w:rsidR="00AE42CD" w:rsidRPr="001A0590" w:rsidRDefault="00AE42CD" w:rsidP="001A0590">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Hansard (2016), ‘</w:t>
      </w:r>
      <w:hyperlink r:id="rId83" w:history="1">
        <w:r w:rsidRPr="00E5046A">
          <w:rPr>
            <w:rStyle w:val="Hyperlink"/>
            <w:rFonts w:ascii="Arial" w:hAnsi="Arial" w:cs="Arial"/>
          </w:rPr>
          <w:t>Overseas Domestic Workers: Written statement HLWS568</w:t>
        </w:r>
      </w:hyperlink>
      <w:r w:rsidRPr="00E5046A">
        <w:rPr>
          <w:rFonts w:ascii="Arial" w:hAnsi="Arial" w:cs="Arial"/>
        </w:rPr>
        <w:t>’ [accessed: 8 March 2019].</w:t>
      </w:r>
    </w:p>
  </w:footnote>
  <w:footnote w:id="94">
    <w:p w14:paraId="587BB32F" w14:textId="55E7E90F"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Kalaayan et al. (2019), ‘</w:t>
      </w:r>
      <w:hyperlink r:id="rId84" w:history="1">
        <w:r w:rsidRPr="00E5046A">
          <w:rPr>
            <w:rStyle w:val="Hyperlink"/>
            <w:rFonts w:cs="Arial"/>
          </w:rPr>
          <w:t>Joint submission to the Committee on the Elimination of all forms of Discrimination against Women</w:t>
        </w:r>
      </w:hyperlink>
      <w:r w:rsidRPr="00E5046A">
        <w:rPr>
          <w:rFonts w:cs="Arial"/>
        </w:rPr>
        <w:t>’ [accessed: 8 March 2019]</w:t>
      </w:r>
    </w:p>
  </w:footnote>
  <w:footnote w:id="95">
    <w:p w14:paraId="1C95EBEA" w14:textId="268674ED" w:rsidR="00AE42CD" w:rsidRPr="00E5046A" w:rsidRDefault="00AE42CD" w:rsidP="00E02B40">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EHRC (2015), ‘</w:t>
      </w:r>
      <w:hyperlink r:id="rId85" w:history="1">
        <w:r w:rsidRPr="00E5046A">
          <w:rPr>
            <w:rStyle w:val="Hyperlink"/>
            <w:rFonts w:ascii="Arial" w:hAnsi="Arial" w:cs="Arial"/>
          </w:rPr>
          <w:t>Civil and Political Rights in the UK. EHRC Submission to the United Nations Human Rights Committee on the UK’s Implementation of ICCPR</w:t>
        </w:r>
      </w:hyperlink>
      <w:r w:rsidRPr="00E5046A">
        <w:rPr>
          <w:rFonts w:ascii="Arial" w:hAnsi="Arial" w:cs="Arial"/>
        </w:rPr>
        <w:t xml:space="preserve">’ [accessed: 8 March 2019]; The Anti-Trafficking Monitoring Group (2016), </w:t>
      </w:r>
      <w:hyperlink r:id="rId86" w:history="1">
        <w:r w:rsidRPr="00E5046A">
          <w:rPr>
            <w:rStyle w:val="Hyperlink"/>
            <w:rFonts w:ascii="Arial" w:hAnsi="Arial" w:cs="Arial"/>
          </w:rPr>
          <w:t>Class Acts? Examining Modern Slavery legislation across the UK</w:t>
        </w:r>
      </w:hyperlink>
      <w:r w:rsidRPr="00E5046A">
        <w:rPr>
          <w:rFonts w:ascii="Arial" w:hAnsi="Arial" w:cs="Arial"/>
        </w:rPr>
        <w:t xml:space="preserve"> [accessed: 20 March 2019]</w:t>
      </w:r>
    </w:p>
  </w:footnote>
  <w:footnote w:id="96">
    <w:p w14:paraId="3E8841AE" w14:textId="0A4D446C"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Prime Minister’s Office (2018), </w:t>
      </w:r>
      <w:hyperlink r:id="rId87" w:history="1">
        <w:r w:rsidRPr="00E5046A">
          <w:rPr>
            <w:rStyle w:val="Hyperlink"/>
            <w:rFonts w:cs="Arial"/>
            <w:lang w:val="en"/>
          </w:rPr>
          <w:t>Independent Anti-Slavery Commissioner: letter of resignation</w:t>
        </w:r>
      </w:hyperlink>
      <w:r w:rsidRPr="00E5046A">
        <w:rPr>
          <w:rFonts w:cs="Arial"/>
          <w:lang w:val="en"/>
        </w:rPr>
        <w:t xml:space="preserve"> </w:t>
      </w:r>
      <w:r w:rsidRPr="00E5046A">
        <w:rPr>
          <w:rFonts w:cs="Arial"/>
        </w:rPr>
        <w:t>[accessed: 8 March 2019].</w:t>
      </w:r>
    </w:p>
  </w:footnote>
  <w:footnote w:id="97">
    <w:p w14:paraId="0C4C899B" w14:textId="7C2AAD1E"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Bluman, M. (2019), ‘</w:t>
      </w:r>
      <w:hyperlink r:id="rId88" w:history="1">
        <w:r w:rsidRPr="00E5046A">
          <w:rPr>
            <w:rStyle w:val="Hyperlink"/>
            <w:rFonts w:cs="Arial"/>
          </w:rPr>
          <w:t>Grooming scandal police chief appointed to lead UK's fight against modern slavery</w:t>
        </w:r>
      </w:hyperlink>
      <w:r w:rsidRPr="00E5046A">
        <w:rPr>
          <w:rFonts w:cs="Arial"/>
          <w:lang w:val="en"/>
        </w:rPr>
        <w:t xml:space="preserve">’, </w:t>
      </w:r>
      <w:r w:rsidRPr="00E5046A">
        <w:rPr>
          <w:rFonts w:cs="Arial"/>
          <w:i/>
          <w:lang w:val="en"/>
        </w:rPr>
        <w:t>The Independent</w:t>
      </w:r>
      <w:r w:rsidRPr="00E5046A">
        <w:rPr>
          <w:rFonts w:cs="Arial"/>
          <w:lang w:val="en"/>
        </w:rPr>
        <w:t xml:space="preserve">, 3 February </w:t>
      </w:r>
      <w:r w:rsidRPr="00E5046A">
        <w:rPr>
          <w:rFonts w:cs="Arial"/>
        </w:rPr>
        <w:t>[accessed: 17 March 2019].</w:t>
      </w:r>
    </w:p>
  </w:footnote>
  <w:footnote w:id="98">
    <w:p w14:paraId="6F47A72B" w14:textId="7DA3E8B3" w:rsidR="00AE42CD" w:rsidRPr="00E5046A" w:rsidRDefault="00AE42CD" w:rsidP="00E02B40">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Home Office (2014), ‘</w:t>
      </w:r>
      <w:hyperlink r:id="rId89" w:history="1">
        <w:r w:rsidRPr="00E5046A">
          <w:rPr>
            <w:rStyle w:val="Hyperlink"/>
            <w:rFonts w:ascii="Arial" w:hAnsi="Arial" w:cs="Arial"/>
          </w:rPr>
          <w:t>Review of the National Referral Mechanism for victims of human trafficking</w:t>
        </w:r>
      </w:hyperlink>
      <w:r w:rsidRPr="00E5046A">
        <w:rPr>
          <w:rFonts w:ascii="Arial" w:hAnsi="Arial" w:cs="Arial"/>
        </w:rPr>
        <w:t>’ [accessed: 8 March 2019].</w:t>
      </w:r>
    </w:p>
  </w:footnote>
  <w:footnote w:id="99">
    <w:p w14:paraId="2AE50EBD" w14:textId="60999750" w:rsidR="00AE42CD" w:rsidRPr="00E5046A" w:rsidRDefault="00AE42CD" w:rsidP="00E02B40">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Home Office (2017), ‘</w:t>
      </w:r>
      <w:hyperlink r:id="rId90" w:history="1">
        <w:r w:rsidRPr="00E5046A">
          <w:rPr>
            <w:rStyle w:val="Hyperlink"/>
            <w:rFonts w:ascii="Arial" w:hAnsi="Arial" w:cs="Arial"/>
          </w:rPr>
          <w:t>Modern Slavery Taskforce agrees new measures to support victims</w:t>
        </w:r>
      </w:hyperlink>
      <w:r w:rsidRPr="00E5046A">
        <w:rPr>
          <w:rFonts w:ascii="Arial" w:hAnsi="Arial" w:cs="Arial"/>
        </w:rPr>
        <w:t xml:space="preserve">’  [accessed: </w:t>
      </w:r>
      <w:r>
        <w:rPr>
          <w:rFonts w:ascii="Arial" w:hAnsi="Arial" w:cs="Arial"/>
        </w:rPr>
        <w:t>21 March 2019].</w:t>
      </w:r>
    </w:p>
  </w:footnote>
  <w:footnote w:id="100">
    <w:p w14:paraId="307334B7" w14:textId="05B59CB8" w:rsidR="00AE42CD" w:rsidRPr="001A0590" w:rsidRDefault="00AE42CD" w:rsidP="001A0590">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Pr>
          <w:rFonts w:ascii="Arial" w:hAnsi="Arial" w:cs="Arial"/>
        </w:rPr>
        <w:t xml:space="preserve">Home Office (2018), </w:t>
      </w:r>
      <w:hyperlink r:id="rId91" w:history="1">
        <w:r w:rsidRPr="00A11222">
          <w:rPr>
            <w:rStyle w:val="Hyperlink"/>
            <w:rFonts w:ascii="Arial" w:hAnsi="Arial" w:cs="Arial"/>
          </w:rPr>
          <w:t>Letter from Sir Philip Rutnam, Permanent Secretary to Meg Hillier MP</w:t>
        </w:r>
      </w:hyperlink>
      <w:r w:rsidRPr="00A11222">
        <w:rPr>
          <w:rFonts w:ascii="Arial" w:hAnsi="Arial" w:cs="Arial"/>
        </w:rPr>
        <w:t xml:space="preserve"> ‘Follow-up to Public Accounts Committee Hearing of 27 June’</w:t>
      </w:r>
      <w:r w:rsidR="00A11222">
        <w:rPr>
          <w:rFonts w:ascii="Arial" w:hAnsi="Arial" w:cs="Arial"/>
        </w:rPr>
        <w:t>, 23 July</w:t>
      </w:r>
      <w:r>
        <w:rPr>
          <w:rFonts w:ascii="Arial" w:hAnsi="Arial" w:cs="Arial"/>
        </w:rPr>
        <w:t xml:space="preserve"> [accessed: 8 March 2019].</w:t>
      </w:r>
    </w:p>
  </w:footnote>
  <w:footnote w:id="101">
    <w:p w14:paraId="4EBA11F8" w14:textId="08AD1304"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Taylor, D. (2018) ‘</w:t>
      </w:r>
      <w:hyperlink r:id="rId92" w:history="1">
        <w:r w:rsidRPr="00E5046A">
          <w:rPr>
            <w:rStyle w:val="Hyperlink"/>
            <w:rFonts w:ascii="Arial" w:hAnsi="Arial" w:cs="Arial"/>
            <w:lang w:val="en"/>
          </w:rPr>
          <w:t>Home Office faces £1m bill for shortchanging victims of trafficking</w:t>
        </w:r>
      </w:hyperlink>
      <w:r w:rsidRPr="00E5046A">
        <w:rPr>
          <w:rFonts w:ascii="Arial" w:hAnsi="Arial" w:cs="Arial"/>
          <w:lang w:val="en"/>
        </w:rPr>
        <w:t xml:space="preserve">’, </w:t>
      </w:r>
      <w:r w:rsidRPr="00E5046A">
        <w:rPr>
          <w:rFonts w:ascii="Arial" w:hAnsi="Arial" w:cs="Arial"/>
          <w:i/>
          <w:iCs/>
        </w:rPr>
        <w:t>The Guardian</w:t>
      </w:r>
      <w:r w:rsidRPr="00E5046A">
        <w:rPr>
          <w:rFonts w:ascii="Arial" w:hAnsi="Arial" w:cs="Arial"/>
          <w:iCs/>
        </w:rPr>
        <w:t>,</w:t>
      </w:r>
      <w:r w:rsidRPr="00E5046A">
        <w:rPr>
          <w:rFonts w:ascii="Arial" w:hAnsi="Arial" w:cs="Arial"/>
          <w:lang w:val="en"/>
        </w:rPr>
        <w:t xml:space="preserve"> 8 November </w:t>
      </w:r>
      <w:r w:rsidRPr="00E5046A">
        <w:rPr>
          <w:rFonts w:ascii="Arial" w:hAnsi="Arial" w:cs="Arial"/>
        </w:rPr>
        <w:t>[accessed: 8 March 2019].</w:t>
      </w:r>
    </w:p>
  </w:footnote>
  <w:footnote w:id="102">
    <w:p w14:paraId="4507E2CB" w14:textId="4D6A1612"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Welsh Government (2015), ‘</w:t>
      </w:r>
      <w:hyperlink r:id="rId93" w:history="1">
        <w:r w:rsidRPr="00E5046A">
          <w:rPr>
            <w:rStyle w:val="Hyperlink"/>
            <w:rFonts w:cs="Arial"/>
          </w:rPr>
          <w:t>Written statement - A Fair-Work Future for Wales</w:t>
        </w:r>
      </w:hyperlink>
      <w:r w:rsidRPr="00E5046A">
        <w:rPr>
          <w:rFonts w:cs="Arial"/>
        </w:rPr>
        <w:t>’ [accessed: 8 March 2019].</w:t>
      </w:r>
    </w:p>
  </w:footnote>
  <w:footnote w:id="103">
    <w:p w14:paraId="5A944D4D" w14:textId="48E94930" w:rsidR="00AE42CD" w:rsidRPr="00E5046A" w:rsidRDefault="00AE42CD" w:rsidP="00664589">
      <w:pPr>
        <w:pStyle w:val="EndnoteText"/>
        <w:rPr>
          <w:rFonts w:ascii="Arial" w:hAnsi="Arial" w:cs="Arial"/>
          <w:highlight w:val="yellow"/>
        </w:rPr>
      </w:pPr>
      <w:r w:rsidRPr="00E5046A">
        <w:rPr>
          <w:rStyle w:val="FootnoteReference"/>
          <w:rFonts w:ascii="Arial" w:hAnsi="Arial" w:cs="Arial"/>
        </w:rPr>
        <w:footnoteRef/>
      </w:r>
      <w:r w:rsidRPr="00E5046A">
        <w:rPr>
          <w:rFonts w:ascii="Arial" w:hAnsi="Arial" w:cs="Arial"/>
        </w:rPr>
        <w:t xml:space="preserve"> National Preventative Mechanism (2015), ‘</w:t>
      </w:r>
      <w:hyperlink r:id="rId94" w:history="1">
        <w:r w:rsidRPr="00E5046A">
          <w:rPr>
            <w:rStyle w:val="Hyperlink"/>
            <w:rFonts w:ascii="Arial" w:hAnsi="Arial" w:cs="Arial"/>
          </w:rPr>
          <w:t>Ensuring the independence of NPM personnel. Guidance for members of the UK National Preventive Mechanism</w:t>
        </w:r>
      </w:hyperlink>
      <w:r w:rsidRPr="00E5046A">
        <w:rPr>
          <w:rFonts w:ascii="Arial" w:hAnsi="Arial" w:cs="Arial"/>
        </w:rPr>
        <w:t>’ [accessed: 8 March 2019].</w:t>
      </w:r>
    </w:p>
  </w:footnote>
  <w:footnote w:id="104">
    <w:p w14:paraId="06666EB9" w14:textId="38A98437" w:rsidR="00AE42CD" w:rsidRPr="00E5046A" w:rsidRDefault="00AE42CD" w:rsidP="00664589">
      <w:pPr>
        <w:pStyle w:val="EndnoteText"/>
        <w:rPr>
          <w:rFonts w:ascii="Arial" w:hAnsi="Arial" w:cs="Arial"/>
          <w:highlight w:val="yellow"/>
        </w:rPr>
      </w:pPr>
      <w:r w:rsidRPr="00E5046A">
        <w:rPr>
          <w:rStyle w:val="FootnoteReference"/>
          <w:rFonts w:ascii="Arial" w:hAnsi="Arial" w:cs="Arial"/>
        </w:rPr>
        <w:footnoteRef/>
      </w:r>
      <w:r w:rsidRPr="00E5046A">
        <w:rPr>
          <w:rFonts w:ascii="Arial" w:hAnsi="Arial" w:cs="Arial"/>
        </w:rPr>
        <w:t xml:space="preserve"> National Preventative Mechanism (2017), ‘</w:t>
      </w:r>
      <w:hyperlink r:id="rId95" w:history="1">
        <w:r w:rsidRPr="00E5046A">
          <w:rPr>
            <w:rStyle w:val="Hyperlink"/>
            <w:rFonts w:ascii="Arial" w:hAnsi="Arial" w:cs="Arial"/>
          </w:rPr>
          <w:t>Monitoring places of detention: seventh annual report of the United Kingdom’s National Preventative Mechanism</w:t>
        </w:r>
      </w:hyperlink>
      <w:r w:rsidRPr="00E5046A">
        <w:rPr>
          <w:rFonts w:ascii="Arial" w:hAnsi="Arial" w:cs="Arial"/>
        </w:rPr>
        <w:t>’ [accessed: 8 March 2019].</w:t>
      </w:r>
    </w:p>
  </w:footnote>
  <w:footnote w:id="105">
    <w:p w14:paraId="22B26A54" w14:textId="5A41FA49"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Ibid. </w:t>
      </w:r>
    </w:p>
  </w:footnote>
  <w:footnote w:id="106">
    <w:p w14:paraId="31A5D80E" w14:textId="78503C93" w:rsidR="00AE42CD" w:rsidRPr="001A0590" w:rsidRDefault="00AE42CD" w:rsidP="001A0590">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National Preventative Mechanism.  (2018), ‘</w:t>
      </w:r>
      <w:hyperlink r:id="rId96" w:history="1">
        <w:r w:rsidRPr="00E5046A">
          <w:rPr>
            <w:rStyle w:val="Hyperlink"/>
            <w:rFonts w:ascii="Arial" w:hAnsi="Arial" w:cs="Arial"/>
          </w:rPr>
          <w:t>Monitoring places of detention: eighth annual report of the United Kingdom’s National Preventative Mechanism</w:t>
        </w:r>
      </w:hyperlink>
      <w:r>
        <w:rPr>
          <w:rFonts w:ascii="Arial" w:hAnsi="Arial" w:cs="Arial"/>
        </w:rPr>
        <w:t>’ [accessed: 8 March 2019].</w:t>
      </w:r>
    </w:p>
  </w:footnote>
  <w:footnote w:id="107">
    <w:p w14:paraId="425E6C20" w14:textId="15BB1458"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Hansard (2017), ‘</w:t>
      </w:r>
      <w:hyperlink r:id="rId97" w:history="1">
        <w:r w:rsidRPr="00E5046A">
          <w:rPr>
            <w:rStyle w:val="Hyperlink"/>
            <w:rFonts w:ascii="Arial" w:hAnsi="Arial" w:cs="Arial"/>
          </w:rPr>
          <w:t>Optional Protocol to the Convention Against Torture (OPCAT): Written statement HLWS412</w:t>
        </w:r>
      </w:hyperlink>
      <w:r w:rsidRPr="00E5046A">
        <w:rPr>
          <w:rFonts w:ascii="Arial" w:hAnsi="Arial" w:cs="Arial"/>
        </w:rPr>
        <w:t>’ [accessed: 8 March 2019].</w:t>
      </w:r>
    </w:p>
  </w:footnote>
  <w:footnote w:id="108">
    <w:p w14:paraId="3B66D5B3" w14:textId="30A556CE"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Hansard (2014), </w:t>
      </w:r>
      <w:hyperlink r:id="rId98" w:anchor="14032769001887" w:history="1">
        <w:r w:rsidRPr="00E5046A">
          <w:rPr>
            <w:rStyle w:val="Hyperlink"/>
            <w:rFonts w:ascii="Arial" w:hAnsi="Arial" w:cs="Arial"/>
            <w:lang w:val="en"/>
          </w:rPr>
          <w:t>Statement from the Minister for Armed Forces on the Baha Mousa report</w:t>
        </w:r>
      </w:hyperlink>
      <w:r w:rsidRPr="00E5046A">
        <w:rPr>
          <w:rStyle w:val="Hyperlink"/>
          <w:rFonts w:ascii="Arial" w:hAnsi="Arial" w:cs="Arial"/>
          <w:lang w:val="en"/>
        </w:rPr>
        <w:t xml:space="preserve"> </w:t>
      </w:r>
      <w:r w:rsidRPr="00E5046A">
        <w:rPr>
          <w:rFonts w:ascii="Arial" w:hAnsi="Arial" w:cs="Arial"/>
        </w:rPr>
        <w:t>[accessed: 8 March 2019].</w:t>
      </w:r>
    </w:p>
  </w:footnote>
  <w:footnote w:id="109">
    <w:p w14:paraId="73211834" w14:textId="52A72A76" w:rsidR="00AE42CD" w:rsidRPr="00E5046A" w:rsidRDefault="00AE42CD" w:rsidP="00E33607">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National Preventative Mechanism.  (2018), ‘</w:t>
      </w:r>
      <w:hyperlink r:id="rId99" w:history="1">
        <w:r w:rsidRPr="00E5046A">
          <w:rPr>
            <w:rStyle w:val="Hyperlink"/>
            <w:rFonts w:ascii="Arial" w:hAnsi="Arial" w:cs="Arial"/>
          </w:rPr>
          <w:t>Monitoring places of detention: eighth annual report of the United Kingdom’s National Preventative Mechanism</w:t>
        </w:r>
      </w:hyperlink>
      <w:r w:rsidRPr="00E5046A">
        <w:rPr>
          <w:rFonts w:ascii="Arial" w:hAnsi="Arial" w:cs="Arial"/>
        </w:rPr>
        <w:t>’ [accessed: 8 March 2019].</w:t>
      </w:r>
    </w:p>
  </w:footnote>
  <w:footnote w:id="110">
    <w:p w14:paraId="57AA7D79" w14:textId="37CE4685"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 Inspectorate of Prisons (2017), ‘</w:t>
      </w:r>
      <w:hyperlink r:id="rId100" w:history="1">
        <w:r w:rsidRPr="00E5046A">
          <w:rPr>
            <w:rStyle w:val="Hyperlink"/>
            <w:rFonts w:ascii="Arial" w:hAnsi="Arial" w:cs="Arial"/>
          </w:rPr>
          <w:t>Life in prisons: living conditions’</w:t>
        </w:r>
      </w:hyperlink>
      <w:r w:rsidRPr="00E5046A">
        <w:rPr>
          <w:rFonts w:ascii="Arial" w:hAnsi="Arial" w:cs="Arial"/>
        </w:rPr>
        <w:t xml:space="preserve"> [accessed: 8 March 2019].</w:t>
      </w:r>
    </w:p>
  </w:footnote>
  <w:footnote w:id="111">
    <w:p w14:paraId="429C6B17" w14:textId="7E995D9E" w:rsidR="00AE42CD" w:rsidRPr="001A0590" w:rsidRDefault="00AE42CD" w:rsidP="001A0590">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Ministry of Justice (2018), </w:t>
      </w:r>
      <w:hyperlink r:id="rId101" w:history="1">
        <w:r w:rsidRPr="00E5046A">
          <w:rPr>
            <w:rStyle w:val="Hyperlink"/>
            <w:rFonts w:ascii="Arial" w:hAnsi="Arial" w:cs="Arial"/>
          </w:rPr>
          <w:t>HMPPS Annual Digest 2017/18</w:t>
        </w:r>
      </w:hyperlink>
      <w:r>
        <w:rPr>
          <w:rFonts w:ascii="Arial" w:hAnsi="Arial" w:cs="Arial"/>
        </w:rPr>
        <w:t xml:space="preserve"> [accessed: 17 March 2019].</w:t>
      </w:r>
    </w:p>
  </w:footnote>
  <w:footnote w:id="112">
    <w:p w14:paraId="05C52CEC" w14:textId="585B9E53"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Ibid.</w:t>
      </w:r>
    </w:p>
  </w:footnote>
  <w:footnote w:id="113">
    <w:p w14:paraId="78590BDC" w14:textId="4DB60B27"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Pr>
          <w:rFonts w:ascii="Arial" w:hAnsi="Arial" w:cs="Arial"/>
        </w:rPr>
        <w:t>Wales Governance Centre</w:t>
      </w:r>
      <w:r w:rsidRPr="00E5046A">
        <w:rPr>
          <w:rFonts w:ascii="Arial" w:hAnsi="Arial" w:cs="Arial"/>
        </w:rPr>
        <w:t xml:space="preserve"> (2019), ‘</w:t>
      </w:r>
      <w:hyperlink r:id="rId102" w:history="1">
        <w:r w:rsidRPr="00E5046A">
          <w:rPr>
            <w:rStyle w:val="Hyperlink"/>
            <w:rFonts w:ascii="Arial" w:hAnsi="Arial" w:cs="Arial"/>
          </w:rPr>
          <w:t>Sentencing and immediate custody in Wales: A factfile</w:t>
        </w:r>
      </w:hyperlink>
      <w:r w:rsidRPr="00E5046A">
        <w:rPr>
          <w:rFonts w:ascii="Arial" w:hAnsi="Arial" w:cs="Arial"/>
        </w:rPr>
        <w:t>’ [accessed: 17 March 2019].</w:t>
      </w:r>
    </w:p>
  </w:footnote>
  <w:footnote w:id="114">
    <w:p w14:paraId="0B28E49F" w14:textId="62C1951C"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Welsh Government (2017), ‘</w:t>
      </w:r>
      <w:hyperlink r:id="rId103" w:history="1">
        <w:r w:rsidRPr="00E5046A">
          <w:rPr>
            <w:rStyle w:val="Hyperlink"/>
            <w:rFonts w:ascii="Arial" w:hAnsi="Arial" w:cs="Arial"/>
          </w:rPr>
          <w:t>A framework to support positive change for those at risk of offending in Wales</w:t>
        </w:r>
      </w:hyperlink>
      <w:r w:rsidRPr="00E5046A">
        <w:rPr>
          <w:rFonts w:ascii="Arial" w:hAnsi="Arial" w:cs="Arial"/>
        </w:rPr>
        <w:t>’ [accessed: 8 March 2019].</w:t>
      </w:r>
    </w:p>
  </w:footnote>
  <w:footnote w:id="115">
    <w:p w14:paraId="3AD7583E" w14:textId="7B6C62C9" w:rsidR="00AE42CD" w:rsidRPr="00E5046A" w:rsidRDefault="00AE42CD" w:rsidP="00664589">
      <w:pPr>
        <w:pStyle w:val="EndnoteText"/>
        <w:rPr>
          <w:rFonts w:ascii="Arial" w:hAnsi="Arial" w:cs="Arial"/>
          <w:highlight w:val="green"/>
        </w:rPr>
      </w:pPr>
      <w:r w:rsidRPr="00E5046A">
        <w:rPr>
          <w:rStyle w:val="FootnoteReference"/>
          <w:rFonts w:ascii="Arial" w:hAnsi="Arial" w:cs="Arial"/>
        </w:rPr>
        <w:footnoteRef/>
      </w:r>
      <w:r w:rsidRPr="00E5046A">
        <w:rPr>
          <w:rFonts w:ascii="Arial" w:hAnsi="Arial" w:cs="Arial"/>
        </w:rPr>
        <w:t xml:space="preserve"> Lammy, D. (2017), ‘</w:t>
      </w:r>
      <w:hyperlink r:id="rId104" w:history="1">
        <w:r w:rsidRPr="00E5046A">
          <w:rPr>
            <w:rStyle w:val="Hyperlink"/>
            <w:rFonts w:ascii="Arial" w:hAnsi="Arial" w:cs="Arial"/>
          </w:rPr>
          <w:t>Treatment of, and outcomes for Black, Asian and Minority Ethnic individuals in the criminal justice system</w:t>
        </w:r>
      </w:hyperlink>
      <w:r w:rsidRPr="00E5046A">
        <w:rPr>
          <w:rFonts w:ascii="Arial" w:hAnsi="Arial" w:cs="Arial"/>
        </w:rPr>
        <w:t>’ [accessed: 8 March 2019].</w:t>
      </w:r>
      <w:r w:rsidRPr="00E5046A">
        <w:rPr>
          <w:rFonts w:ascii="Arial" w:hAnsi="Arial" w:cs="Arial"/>
          <w:highlight w:val="green"/>
        </w:rPr>
        <w:t xml:space="preserve"> </w:t>
      </w:r>
    </w:p>
  </w:footnote>
  <w:footnote w:id="116">
    <w:p w14:paraId="72610A01" w14:textId="0816C30B"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Ibid.</w:t>
      </w:r>
    </w:p>
  </w:footnote>
  <w:footnote w:id="117">
    <w:p w14:paraId="0FC9AD25" w14:textId="4D15B0C6"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t>
      </w:r>
      <w:r>
        <w:rPr>
          <w:rFonts w:cs="Arial"/>
        </w:rPr>
        <w:t>Wales Governance Centre</w:t>
      </w:r>
      <w:r w:rsidRPr="00E5046A">
        <w:rPr>
          <w:rFonts w:cs="Arial"/>
        </w:rPr>
        <w:t xml:space="preserve"> (2019), ‘</w:t>
      </w:r>
      <w:hyperlink r:id="rId105" w:history="1">
        <w:r w:rsidRPr="00E5046A">
          <w:rPr>
            <w:rStyle w:val="Hyperlink"/>
            <w:rFonts w:cs="Arial"/>
          </w:rPr>
          <w:t>Sentencing and immediate custody in Wales: A factfile</w:t>
        </w:r>
      </w:hyperlink>
      <w:r w:rsidRPr="00E5046A">
        <w:rPr>
          <w:rFonts w:cs="Arial"/>
        </w:rPr>
        <w:t>’ [accessed: 17 March 2019].</w:t>
      </w:r>
    </w:p>
  </w:footnote>
  <w:footnote w:id="118">
    <w:p w14:paraId="470423C1" w14:textId="2629E944"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Ministry of Justice (2017), ‘</w:t>
      </w:r>
      <w:hyperlink r:id="rId106" w:history="1">
        <w:r w:rsidRPr="00E5046A">
          <w:rPr>
            <w:rStyle w:val="Hyperlink"/>
            <w:rFonts w:cs="Arial"/>
          </w:rPr>
          <w:t>Government response to the Lammy Review on the treatment of, and the outcomes for, Black, Asian and Minority Ethnic individuals in the Criminal Justice System</w:t>
        </w:r>
      </w:hyperlink>
      <w:r w:rsidRPr="00E5046A">
        <w:rPr>
          <w:rFonts w:cs="Arial"/>
        </w:rPr>
        <w:t xml:space="preserve">’ </w:t>
      </w:r>
      <w:r w:rsidRPr="00E5046A">
        <w:rPr>
          <w:rFonts w:cs="Arial"/>
          <w:bCs/>
        </w:rPr>
        <w:t>[accessed: 8 March 2019].</w:t>
      </w:r>
    </w:p>
  </w:footnote>
  <w:footnote w:id="119">
    <w:p w14:paraId="04DC8F9D" w14:textId="3F698187"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Ministry of Justice (2018), ‘</w:t>
      </w:r>
      <w:hyperlink r:id="rId107" w:history="1">
        <w:r w:rsidRPr="00E5046A">
          <w:rPr>
            <w:rStyle w:val="Hyperlink"/>
            <w:rFonts w:cs="Arial"/>
            <w:bCs/>
          </w:rPr>
          <w:t>Tackling Racial Disparity in the Criminal Justice System: 2018 Update</w:t>
        </w:r>
      </w:hyperlink>
      <w:r w:rsidRPr="00E5046A">
        <w:rPr>
          <w:rFonts w:cs="Arial"/>
          <w:bCs/>
        </w:rPr>
        <w:t>’ [accessed: 8 March 2019].</w:t>
      </w:r>
    </w:p>
  </w:footnote>
  <w:footnote w:id="120">
    <w:p w14:paraId="1C7E2E1D" w14:textId="7D426E60"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HM Chief Inspector of Prisons (2018), ‘</w:t>
      </w:r>
      <w:hyperlink r:id="rId108" w:history="1">
        <w:r w:rsidRPr="00E5046A">
          <w:rPr>
            <w:rFonts w:cs="Arial"/>
          </w:rPr>
          <w:t>A</w:t>
        </w:r>
        <w:r w:rsidRPr="00E5046A">
          <w:rPr>
            <w:rStyle w:val="Hyperlink"/>
            <w:rFonts w:cs="Arial"/>
          </w:rPr>
          <w:t>nnual report 2017-18</w:t>
        </w:r>
      </w:hyperlink>
      <w:r w:rsidRPr="00E5046A">
        <w:rPr>
          <w:rFonts w:cs="Arial"/>
        </w:rPr>
        <w:t>’ [accessed: 8 March 2019].</w:t>
      </w:r>
    </w:p>
  </w:footnote>
  <w:footnote w:id="121">
    <w:p w14:paraId="2FBBCB3A" w14:textId="7B7246C4"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Howard League for Penal Reform (2016), ‘</w:t>
      </w:r>
      <w:hyperlink r:id="rId109" w:history="1">
        <w:r w:rsidRPr="00E5046A">
          <w:rPr>
            <w:rStyle w:val="Hyperlink"/>
            <w:rFonts w:cs="Arial"/>
          </w:rPr>
          <w:t>Preventing prison suicide</w:t>
        </w:r>
      </w:hyperlink>
      <w:r w:rsidRPr="00E5046A">
        <w:rPr>
          <w:rFonts w:cs="Arial"/>
        </w:rPr>
        <w:t>’ [accessed: 8 March 2019].</w:t>
      </w:r>
    </w:p>
  </w:footnote>
  <w:footnote w:id="122">
    <w:p w14:paraId="7F734F14" w14:textId="4B095AF2" w:rsidR="00AE42CD" w:rsidRPr="00E5046A" w:rsidRDefault="00AE42CD" w:rsidP="004B0E33">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Committee of Public Accounts (2017), ‘</w:t>
      </w:r>
      <w:hyperlink r:id="rId110" w:history="1">
        <w:r w:rsidRPr="00E5046A">
          <w:rPr>
            <w:rStyle w:val="Hyperlink"/>
            <w:rFonts w:ascii="Arial" w:hAnsi="Arial" w:cs="Arial"/>
          </w:rPr>
          <w:t>Mental health in prisons: eighth report of session 2017-19</w:t>
        </w:r>
      </w:hyperlink>
      <w:r w:rsidRPr="00E5046A">
        <w:rPr>
          <w:rFonts w:ascii="Arial" w:hAnsi="Arial" w:cs="Arial"/>
        </w:rPr>
        <w:t xml:space="preserve">’  </w:t>
      </w:r>
    </w:p>
    <w:p w14:paraId="52704EDB" w14:textId="6E7EC827" w:rsidR="00AE42CD" w:rsidRPr="00E5046A" w:rsidRDefault="00AE42CD" w:rsidP="00664589">
      <w:pPr>
        <w:pStyle w:val="EndnoteText"/>
        <w:rPr>
          <w:rFonts w:ascii="Arial" w:hAnsi="Arial" w:cs="Arial"/>
        </w:rPr>
      </w:pPr>
      <w:r w:rsidRPr="00E5046A">
        <w:rPr>
          <w:rFonts w:ascii="Arial" w:hAnsi="Arial" w:cs="Arial"/>
        </w:rPr>
        <w:t>[accessed: 8 March 2019].</w:t>
      </w:r>
    </w:p>
  </w:footnote>
  <w:footnote w:id="123">
    <w:p w14:paraId="398DF8C8" w14:textId="206B3F19" w:rsidR="00AE42CD" w:rsidRPr="00E5046A" w:rsidRDefault="00AE42CD" w:rsidP="00BA4D3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Ministry of Justice (2018), ‘</w:t>
      </w:r>
      <w:hyperlink r:id="rId111" w:history="1">
        <w:r w:rsidRPr="00E5046A">
          <w:rPr>
            <w:rStyle w:val="Hyperlink"/>
            <w:rFonts w:ascii="Arial" w:hAnsi="Arial" w:cs="Arial"/>
          </w:rPr>
          <w:t>Safety in custody statistics, England and Wales: deaths in prison custody to September 2018; Assaults and Self-harm to June 2018</w:t>
        </w:r>
      </w:hyperlink>
      <w:r w:rsidRPr="00E5046A">
        <w:rPr>
          <w:rFonts w:ascii="Arial" w:hAnsi="Arial" w:cs="Arial"/>
        </w:rPr>
        <w:t>’ [accessed: 8 March 2019].</w:t>
      </w:r>
    </w:p>
  </w:footnote>
  <w:footnote w:id="124">
    <w:p w14:paraId="168DE69A" w14:textId="62382C52"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Ibid.</w:t>
      </w:r>
    </w:p>
  </w:footnote>
  <w:footnote w:id="125">
    <w:p w14:paraId="5CD46288" w14:textId="21E3BF05"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Wales Governance Centre (2018), </w:t>
      </w:r>
      <w:hyperlink r:id="rId112" w:history="1">
        <w:r w:rsidRPr="00E5046A">
          <w:rPr>
            <w:rStyle w:val="Hyperlink"/>
            <w:rFonts w:ascii="Arial" w:hAnsi="Arial" w:cs="Arial"/>
            <w:i/>
          </w:rPr>
          <w:t>Imprisonment in Wales: A Factfile</w:t>
        </w:r>
      </w:hyperlink>
      <w:r w:rsidRPr="00E5046A">
        <w:rPr>
          <w:rFonts w:ascii="Arial" w:hAnsi="Arial" w:cs="Arial"/>
        </w:rPr>
        <w:t xml:space="preserve"> [accessed: 9 March 2019]</w:t>
      </w:r>
    </w:p>
  </w:footnote>
  <w:footnote w:id="126">
    <w:p w14:paraId="5AD4EB46" w14:textId="1A583605" w:rsidR="00AE42CD" w:rsidRPr="00E5046A" w:rsidRDefault="00AE42CD" w:rsidP="00C32DAA">
      <w:pPr>
        <w:pStyle w:val="Parabeforeanother"/>
        <w:spacing w:after="0"/>
        <w:rPr>
          <w:sz w:val="20"/>
          <w:szCs w:val="20"/>
          <w:lang w:eastAsia="en-GB"/>
        </w:rPr>
      </w:pPr>
      <w:r w:rsidRPr="00E5046A">
        <w:rPr>
          <w:rStyle w:val="FootnoteReference"/>
          <w:sz w:val="20"/>
          <w:szCs w:val="20"/>
        </w:rPr>
        <w:footnoteRef/>
      </w:r>
      <w:r w:rsidRPr="00E5046A">
        <w:rPr>
          <w:sz w:val="20"/>
          <w:szCs w:val="20"/>
        </w:rPr>
        <w:t xml:space="preserve"> National Audit Office (2017), ‘</w:t>
      </w:r>
      <w:hyperlink r:id="rId113" w:history="1">
        <w:r w:rsidRPr="00E5046A">
          <w:rPr>
            <w:rStyle w:val="Hyperlink"/>
            <w:sz w:val="20"/>
            <w:szCs w:val="20"/>
          </w:rPr>
          <w:t>Mental health in prisons’</w:t>
        </w:r>
      </w:hyperlink>
      <w:r w:rsidRPr="00E5046A">
        <w:rPr>
          <w:sz w:val="20"/>
          <w:szCs w:val="20"/>
        </w:rPr>
        <w:t xml:space="preserve"> [accessed: 8 March 2019].</w:t>
      </w:r>
    </w:p>
  </w:footnote>
  <w:footnote w:id="127">
    <w:p w14:paraId="3552BD8A" w14:textId="613A1B29"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EHRC (2015), ‘</w:t>
      </w:r>
      <w:hyperlink r:id="rId114" w:history="1">
        <w:r w:rsidRPr="00E5046A">
          <w:rPr>
            <w:rStyle w:val="Hyperlink"/>
            <w:rFonts w:ascii="Arial" w:hAnsi="Arial" w:cs="Arial"/>
          </w:rPr>
          <w:t>Preventing deaths in detention of adults with mental health conditions</w:t>
        </w:r>
      </w:hyperlink>
      <w:r w:rsidRPr="00E5046A">
        <w:rPr>
          <w:rFonts w:ascii="Arial" w:hAnsi="Arial" w:cs="Arial"/>
        </w:rPr>
        <w:t>’ [accessed: 8 March 2019].</w:t>
      </w:r>
    </w:p>
  </w:footnote>
  <w:footnote w:id="128">
    <w:p w14:paraId="423E1A32" w14:textId="6C4D4C1B"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EHRC (2016), ‘</w:t>
      </w:r>
      <w:hyperlink r:id="rId115" w:history="1">
        <w:r w:rsidRPr="00E5046A">
          <w:rPr>
            <w:rStyle w:val="Hyperlink"/>
            <w:rFonts w:ascii="Arial" w:hAnsi="Arial" w:cs="Arial"/>
          </w:rPr>
          <w:t>Preventing deaths in detention of adults with mental health conditions: progress review</w:t>
        </w:r>
      </w:hyperlink>
      <w:r w:rsidRPr="00E5046A">
        <w:rPr>
          <w:rFonts w:ascii="Arial" w:hAnsi="Arial" w:cs="Arial"/>
        </w:rPr>
        <w:t>’ [accessed: 17 March 2019].</w:t>
      </w:r>
    </w:p>
  </w:footnote>
  <w:footnote w:id="129">
    <w:p w14:paraId="637FB971" w14:textId="586763BB" w:rsidR="00AE42CD" w:rsidRPr="001A0590" w:rsidRDefault="00AE42CD" w:rsidP="001A0590">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Ministry of Justice (2018), ‘</w:t>
      </w:r>
      <w:hyperlink r:id="rId116" w:history="1">
        <w:r w:rsidRPr="00E5046A">
          <w:rPr>
            <w:rStyle w:val="Hyperlink"/>
            <w:rFonts w:ascii="Arial" w:hAnsi="Arial" w:cs="Arial"/>
          </w:rPr>
          <w:t>Safety in Custody Statistics, England and Wales: Deaths in Prison Custody to September 2018; Assaults and Self-harm to June 2018</w:t>
        </w:r>
      </w:hyperlink>
      <w:r>
        <w:rPr>
          <w:rFonts w:ascii="Arial" w:hAnsi="Arial" w:cs="Arial"/>
        </w:rPr>
        <w:t>’ [accessed: 8 March 2019].</w:t>
      </w:r>
    </w:p>
  </w:footnote>
  <w:footnote w:id="130">
    <w:p w14:paraId="35FA169E" w14:textId="483AE907" w:rsidR="00AE42CD" w:rsidRPr="00E5046A" w:rsidRDefault="00AE42CD" w:rsidP="00C32DAA">
      <w:pPr>
        <w:pStyle w:val="FootnoteText"/>
        <w:rPr>
          <w:rFonts w:cs="Arial"/>
          <w:b/>
        </w:rPr>
      </w:pPr>
      <w:r w:rsidRPr="00E5046A">
        <w:rPr>
          <w:rStyle w:val="FootnoteReference"/>
          <w:rFonts w:cs="Arial"/>
        </w:rPr>
        <w:footnoteRef/>
      </w:r>
      <w:r w:rsidRPr="00E5046A">
        <w:rPr>
          <w:rFonts w:cs="Arial"/>
        </w:rPr>
        <w:t xml:space="preserve"> Hansard (2018), ‘</w:t>
      </w:r>
      <w:hyperlink r:id="rId117" w:history="1">
        <w:r w:rsidRPr="00E5046A">
          <w:rPr>
            <w:rStyle w:val="Hyperlink"/>
            <w:rFonts w:cs="Arial"/>
          </w:rPr>
          <w:t>Prisons: Overcrowding: Written question HL11934</w:t>
        </w:r>
      </w:hyperlink>
      <w:r w:rsidRPr="00E5046A">
        <w:rPr>
          <w:rFonts w:cs="Arial"/>
        </w:rPr>
        <w:t>’ [accessed: 8 March 2019].</w:t>
      </w:r>
    </w:p>
  </w:footnote>
  <w:footnote w:id="131">
    <w:p w14:paraId="56427AD2" w14:textId="170A9068"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NHS England (2018), ‘</w:t>
      </w:r>
      <w:hyperlink r:id="rId118" w:history="1">
        <w:r w:rsidRPr="00E5046A">
          <w:rPr>
            <w:rStyle w:val="Hyperlink"/>
            <w:rFonts w:cs="Arial"/>
          </w:rPr>
          <w:t>About liaison and diversion</w:t>
        </w:r>
      </w:hyperlink>
      <w:r w:rsidRPr="00E5046A">
        <w:rPr>
          <w:rFonts w:cs="Arial"/>
        </w:rPr>
        <w:t>’ [accessed: 8 March 2019].</w:t>
      </w:r>
    </w:p>
  </w:footnote>
  <w:footnote w:id="132">
    <w:p w14:paraId="4F6EB8CF" w14:textId="7A8F0D7E"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EHRC (2018), ‘</w:t>
      </w:r>
      <w:hyperlink r:id="rId119" w:history="1">
        <w:r w:rsidRPr="00E5046A">
          <w:rPr>
            <w:rStyle w:val="Hyperlink"/>
            <w:rFonts w:ascii="Arial" w:hAnsi="Arial" w:cs="Arial"/>
          </w:rPr>
          <w:t>Is Britain Fairer? The state of equality and human rights in 2018</w:t>
        </w:r>
      </w:hyperlink>
      <w:r w:rsidRPr="00E5046A">
        <w:rPr>
          <w:rFonts w:ascii="Arial" w:hAnsi="Arial" w:cs="Arial"/>
        </w:rPr>
        <w:t>’ [accessed: 8 March 2019].</w:t>
      </w:r>
    </w:p>
  </w:footnote>
  <w:footnote w:id="133">
    <w:p w14:paraId="65B4B3F7" w14:textId="4CB613EE" w:rsidR="00AE42CD" w:rsidRPr="00D737BE" w:rsidRDefault="00AE42CD" w:rsidP="00C32DAA">
      <w:pPr>
        <w:pStyle w:val="FootnoteText"/>
        <w:rPr>
          <w:rFonts w:cs="Arial"/>
        </w:rPr>
      </w:pPr>
      <w:r w:rsidRPr="00E5046A">
        <w:rPr>
          <w:rStyle w:val="FootnoteReference"/>
          <w:rFonts w:cs="Arial"/>
        </w:rPr>
        <w:footnoteRef/>
      </w:r>
      <w:r w:rsidRPr="00E5046A">
        <w:rPr>
          <w:rFonts w:cs="Arial"/>
        </w:rPr>
        <w:t xml:space="preserve"> Ministry of Justice (2018), ‘</w:t>
      </w:r>
      <w:hyperlink r:id="rId120" w:history="1">
        <w:r w:rsidRPr="00E5046A">
          <w:rPr>
            <w:rStyle w:val="Hyperlink"/>
            <w:rFonts w:cs="Arial"/>
          </w:rPr>
          <w:t>Female Offender Strategy</w:t>
        </w:r>
      </w:hyperlink>
      <w:r w:rsidRPr="00E5046A">
        <w:rPr>
          <w:rFonts w:cs="Arial"/>
        </w:rPr>
        <w:t>’ [</w:t>
      </w:r>
      <w:r w:rsidRPr="00D737BE">
        <w:rPr>
          <w:rFonts w:cs="Arial"/>
        </w:rPr>
        <w:t xml:space="preserve">accessed: 20 March 2019]. </w:t>
      </w:r>
    </w:p>
  </w:footnote>
  <w:footnote w:id="134">
    <w:p w14:paraId="6068F19B" w14:textId="23B8F90F" w:rsidR="00AE42CD" w:rsidRPr="00D737BE" w:rsidRDefault="00AE42CD" w:rsidP="00C32DAA">
      <w:pPr>
        <w:pStyle w:val="FootnoteText"/>
        <w:rPr>
          <w:rFonts w:cs="Arial"/>
        </w:rPr>
      </w:pPr>
      <w:r w:rsidRPr="00D737BE">
        <w:rPr>
          <w:rStyle w:val="FootnoteReference"/>
          <w:rFonts w:cs="Arial"/>
        </w:rPr>
        <w:footnoteRef/>
      </w:r>
      <w:r w:rsidRPr="00D737BE">
        <w:rPr>
          <w:rFonts w:cs="Arial"/>
        </w:rPr>
        <w:t xml:space="preserve"> Cardiff University (2019), ‘</w:t>
      </w:r>
      <w:hyperlink r:id="rId121" w:history="1">
        <w:r w:rsidRPr="00D737BE">
          <w:rPr>
            <w:rStyle w:val="Hyperlink"/>
            <w:rFonts w:cs="Arial"/>
          </w:rPr>
          <w:t>Sentencing and immediate custody in Wales: A factfile</w:t>
        </w:r>
      </w:hyperlink>
      <w:r w:rsidRPr="00D737BE">
        <w:rPr>
          <w:rFonts w:cs="Arial"/>
        </w:rPr>
        <w:t>’ [accessed: 17 March 2019].</w:t>
      </w:r>
    </w:p>
  </w:footnote>
  <w:footnote w:id="135">
    <w:p w14:paraId="3509B036" w14:textId="0B4A2FE3" w:rsidR="00AE42CD" w:rsidRPr="00D737BE" w:rsidRDefault="00AE42CD" w:rsidP="00664589">
      <w:pPr>
        <w:pStyle w:val="EndnoteText"/>
        <w:rPr>
          <w:rFonts w:ascii="Arial" w:hAnsi="Arial" w:cs="Arial"/>
        </w:rPr>
      </w:pPr>
      <w:r w:rsidRPr="00D737BE">
        <w:rPr>
          <w:rStyle w:val="FootnoteReference"/>
          <w:rFonts w:ascii="Arial" w:hAnsi="Arial" w:cs="Arial"/>
        </w:rPr>
        <w:footnoteRef/>
      </w:r>
      <w:r w:rsidRPr="00D737BE">
        <w:rPr>
          <w:rFonts w:ascii="Arial" w:hAnsi="Arial" w:cs="Arial"/>
        </w:rPr>
        <w:t xml:space="preserve"> Drinkwater, N. (2018), ‘</w:t>
      </w:r>
      <w:hyperlink r:id="rId122" w:history="1">
        <w:r w:rsidRPr="00D737BE">
          <w:rPr>
            <w:rStyle w:val="Hyperlink"/>
            <w:rFonts w:ascii="Arial" w:hAnsi="Arial" w:cs="Arial"/>
          </w:rPr>
          <w:t>Ensuring a distinct approach: the Ministry of Justice launch their Female Offender Strategy</w:t>
        </w:r>
      </w:hyperlink>
      <w:r w:rsidRPr="00D737BE">
        <w:rPr>
          <w:rFonts w:ascii="Arial" w:hAnsi="Arial" w:cs="Arial"/>
        </w:rPr>
        <w:t>’ [accessed: 8 March 2019].</w:t>
      </w:r>
    </w:p>
  </w:footnote>
  <w:footnote w:id="136">
    <w:p w14:paraId="4FB9C67B" w14:textId="617A9640" w:rsidR="00AE42CD" w:rsidRPr="00D737BE" w:rsidRDefault="00AE42CD" w:rsidP="00C32DAA">
      <w:pPr>
        <w:pStyle w:val="FootnoteText"/>
        <w:rPr>
          <w:rFonts w:cs="Arial"/>
        </w:rPr>
      </w:pPr>
      <w:r w:rsidRPr="00D737BE">
        <w:rPr>
          <w:rStyle w:val="FootnoteReference"/>
          <w:rFonts w:cs="Arial"/>
        </w:rPr>
        <w:footnoteRef/>
      </w:r>
      <w:r w:rsidRPr="00D737BE">
        <w:rPr>
          <w:rFonts w:cs="Arial"/>
        </w:rPr>
        <w:t xml:space="preserve"> Ministry of Justice (2018), ‘</w:t>
      </w:r>
      <w:hyperlink r:id="rId123" w:history="1">
        <w:r w:rsidRPr="00D737BE">
          <w:rPr>
            <w:rStyle w:val="Hyperlink"/>
            <w:rFonts w:cs="Arial"/>
          </w:rPr>
          <w:t>Publication of female offender strategy</w:t>
        </w:r>
      </w:hyperlink>
      <w:r w:rsidRPr="00D737BE">
        <w:rPr>
          <w:rFonts w:cs="Arial"/>
        </w:rPr>
        <w:t>’ [accessed: 20 March 2019].</w:t>
      </w:r>
    </w:p>
  </w:footnote>
  <w:footnote w:id="137">
    <w:p w14:paraId="250045BC" w14:textId="4F7201FE" w:rsidR="00AE42CD" w:rsidRPr="00D737BE" w:rsidRDefault="00AE42CD" w:rsidP="00C32DAA">
      <w:pPr>
        <w:pStyle w:val="FootnoteText"/>
        <w:rPr>
          <w:rFonts w:cs="Arial"/>
        </w:rPr>
      </w:pPr>
      <w:r w:rsidRPr="00D737BE">
        <w:rPr>
          <w:rStyle w:val="FootnoteReference"/>
          <w:rFonts w:cs="Arial"/>
        </w:rPr>
        <w:footnoteRef/>
      </w:r>
      <w:r w:rsidRPr="00D737BE">
        <w:rPr>
          <w:rFonts w:cs="Arial"/>
        </w:rPr>
        <w:t xml:space="preserve"> Agenda (2018), ‘</w:t>
      </w:r>
      <w:hyperlink r:id="rId124" w:history="1">
        <w:r w:rsidRPr="00D737BE">
          <w:rPr>
            <w:rStyle w:val="Hyperlink"/>
            <w:rFonts w:cs="Arial"/>
          </w:rPr>
          <w:t>Open Letter from the Justice Secretary</w:t>
        </w:r>
      </w:hyperlink>
      <w:r w:rsidRPr="00D737BE">
        <w:rPr>
          <w:rFonts w:cs="Arial"/>
        </w:rPr>
        <w:t>’ [accessed: 20 March 2019].</w:t>
      </w:r>
    </w:p>
  </w:footnote>
  <w:footnote w:id="138">
    <w:p w14:paraId="16800A1A" w14:textId="4CDA4BEB" w:rsidR="00AE42CD" w:rsidRPr="00D737BE" w:rsidRDefault="00AE42CD" w:rsidP="00C32DAA">
      <w:pPr>
        <w:pStyle w:val="FootnoteText"/>
        <w:rPr>
          <w:rFonts w:cs="Arial"/>
        </w:rPr>
      </w:pPr>
      <w:r w:rsidRPr="00D737BE">
        <w:rPr>
          <w:rStyle w:val="FootnoteReference"/>
          <w:rFonts w:cs="Arial"/>
        </w:rPr>
        <w:footnoteRef/>
      </w:r>
      <w:r w:rsidRPr="00D737BE">
        <w:rPr>
          <w:rFonts w:cs="Arial"/>
        </w:rPr>
        <w:t xml:space="preserve"> Ministry of Justice (2018), ‘</w:t>
      </w:r>
      <w:hyperlink r:id="rId125" w:history="1">
        <w:r w:rsidRPr="00D737BE">
          <w:rPr>
            <w:rStyle w:val="Hyperlink"/>
            <w:rFonts w:cs="Arial"/>
          </w:rPr>
          <w:t>Vulnerable offenders steered towards treatment</w:t>
        </w:r>
      </w:hyperlink>
      <w:r w:rsidRPr="00D737BE">
        <w:rPr>
          <w:rFonts w:cs="Arial"/>
        </w:rPr>
        <w:t>’ [accessed 20 March 2019].</w:t>
      </w:r>
    </w:p>
  </w:footnote>
  <w:footnote w:id="139">
    <w:p w14:paraId="491041E4" w14:textId="1C60CB0F" w:rsidR="00AE42CD" w:rsidRPr="00E5046A" w:rsidRDefault="00AE42CD" w:rsidP="001A0590">
      <w:pPr>
        <w:pStyle w:val="EndnoteText"/>
        <w:rPr>
          <w:rFonts w:cs="Arial"/>
        </w:rPr>
      </w:pPr>
      <w:r w:rsidRPr="00D737BE">
        <w:rPr>
          <w:rStyle w:val="FootnoteReference"/>
          <w:rFonts w:ascii="Arial" w:hAnsi="Arial" w:cs="Arial"/>
        </w:rPr>
        <w:footnoteRef/>
      </w:r>
      <w:r w:rsidRPr="00D737BE">
        <w:rPr>
          <w:rFonts w:ascii="Arial" w:hAnsi="Arial" w:cs="Arial"/>
        </w:rPr>
        <w:t xml:space="preserve"> Committee on Persons with Disabilities (2014), ‘</w:t>
      </w:r>
      <w:hyperlink r:id="rId126" w:history="1">
        <w:r w:rsidRPr="00D737BE">
          <w:rPr>
            <w:rStyle w:val="Hyperlink"/>
            <w:rFonts w:ascii="Arial" w:hAnsi="Arial" w:cs="Arial"/>
          </w:rPr>
          <w:t>General comment 1</w:t>
        </w:r>
      </w:hyperlink>
      <w:r w:rsidRPr="00D737BE">
        <w:rPr>
          <w:rFonts w:ascii="Arial" w:hAnsi="Arial" w:cs="Arial"/>
        </w:rPr>
        <w:t>’ [accessed: 8 March 2019]; UNCRPD (2016), ‘</w:t>
      </w:r>
      <w:hyperlink r:id="rId127" w:history="1">
        <w:r w:rsidRPr="00D737BE">
          <w:rPr>
            <w:rStyle w:val="Hyperlink"/>
            <w:rFonts w:ascii="Arial" w:hAnsi="Arial" w:cs="Arial"/>
            <w:color w:val="auto"/>
          </w:rPr>
          <w:t>Guidelines on periodic reporting to the Committee on the Rights of Persons with Disabilities, including under the simplified reporting procedures</w:t>
        </w:r>
      </w:hyperlink>
      <w:r w:rsidRPr="00E5046A">
        <w:rPr>
          <w:rFonts w:ascii="Arial" w:hAnsi="Arial" w:cs="Arial"/>
        </w:rPr>
        <w:t>’ [accessed: 8 March 2019].</w:t>
      </w:r>
    </w:p>
  </w:footnote>
  <w:footnote w:id="140">
    <w:p w14:paraId="0FBC9562" w14:textId="2973C34C"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sidRPr="00E5046A">
        <w:rPr>
          <w:rFonts w:ascii="Arial" w:hAnsi="Arial" w:cs="Arial"/>
          <w:i/>
        </w:rPr>
        <w:t xml:space="preserve">Secretary of State for Justice v. MM </w:t>
      </w:r>
      <w:r w:rsidRPr="00E5046A">
        <w:rPr>
          <w:rFonts w:ascii="Arial" w:hAnsi="Arial" w:cs="Arial"/>
          <w:lang w:val="en"/>
        </w:rPr>
        <w:t>[2018] UKSC 60</w:t>
      </w:r>
      <w:r w:rsidRPr="00E5046A">
        <w:rPr>
          <w:rFonts w:ascii="Arial" w:hAnsi="Arial" w:cs="Arial"/>
        </w:rPr>
        <w:t xml:space="preserve">; </w:t>
      </w:r>
      <w:r w:rsidRPr="00E5046A">
        <w:rPr>
          <w:rFonts w:ascii="Arial" w:hAnsi="Arial" w:cs="Arial"/>
          <w:i/>
        </w:rPr>
        <w:t xml:space="preserve">Welsh Ministers v PJ </w:t>
      </w:r>
      <w:r w:rsidRPr="00E5046A">
        <w:rPr>
          <w:rFonts w:ascii="Arial" w:hAnsi="Arial" w:cs="Arial"/>
        </w:rPr>
        <w:t>[2017] EWCA Civ 194.</w:t>
      </w:r>
    </w:p>
  </w:footnote>
  <w:footnote w:id="141">
    <w:p w14:paraId="50BB8400" w14:textId="7286A7F2"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EHRC (2016), ‘</w:t>
      </w:r>
      <w:hyperlink r:id="rId128" w:history="1">
        <w:r w:rsidRPr="00E5046A">
          <w:rPr>
            <w:rStyle w:val="Hyperlink"/>
            <w:rFonts w:cs="Arial"/>
          </w:rPr>
          <w:t>Preventing deaths in detention of adults with mental health conditions: progress review</w:t>
        </w:r>
      </w:hyperlink>
      <w:r w:rsidRPr="00E5046A">
        <w:rPr>
          <w:rFonts w:cs="Arial"/>
        </w:rPr>
        <w:t>’ [accessed: 17 March 2019].</w:t>
      </w:r>
    </w:p>
  </w:footnote>
  <w:footnote w:id="142">
    <w:p w14:paraId="44C3E511" w14:textId="69148CEF"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Lammy, D. (2017), ‘</w:t>
      </w:r>
      <w:hyperlink r:id="rId129" w:history="1">
        <w:r w:rsidRPr="00E5046A">
          <w:rPr>
            <w:rStyle w:val="Hyperlink"/>
            <w:rFonts w:cs="Arial"/>
          </w:rPr>
          <w:t>Treatment of, and outcomes for Black, Asian and Minority Ethnic individuals in the criminal justice system</w:t>
        </w:r>
      </w:hyperlink>
      <w:r w:rsidRPr="00E5046A">
        <w:rPr>
          <w:rFonts w:cs="Arial"/>
        </w:rPr>
        <w:t>’ [accessed: 8 March 2019].</w:t>
      </w:r>
      <w:r w:rsidRPr="00E5046A">
        <w:rPr>
          <w:rFonts w:cs="Arial"/>
          <w:highlight w:val="green"/>
        </w:rPr>
        <w:t xml:space="preserve"> </w:t>
      </w:r>
    </w:p>
  </w:footnote>
  <w:footnote w:id="143">
    <w:p w14:paraId="2A379AB0" w14:textId="578498B3" w:rsidR="00AE42CD" w:rsidRPr="00E5046A" w:rsidRDefault="00AE42CD" w:rsidP="00A61CFA">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Prison Reform Trust (2017), ‘</w:t>
      </w:r>
      <w:hyperlink r:id="rId130" w:history="1">
        <w:r w:rsidRPr="00E5046A">
          <w:rPr>
            <w:rStyle w:val="Hyperlink"/>
            <w:rFonts w:ascii="Arial" w:hAnsi="Arial" w:cs="Arial"/>
          </w:rPr>
          <w:t>Counted Out: Black, Asian and minority ethnic women in the criminal justice system</w:t>
        </w:r>
      </w:hyperlink>
      <w:r w:rsidRPr="00E5046A">
        <w:rPr>
          <w:rFonts w:ascii="Arial" w:hAnsi="Arial" w:cs="Arial"/>
        </w:rPr>
        <w:t>’ [accessed: 8 March 2019].</w:t>
      </w:r>
      <w:r w:rsidRPr="00E5046A">
        <w:rPr>
          <w:rFonts w:ascii="Arial" w:hAnsi="Arial" w:cs="Arial"/>
          <w:highlight w:val="green"/>
        </w:rPr>
        <w:t xml:space="preserve"> </w:t>
      </w:r>
    </w:p>
  </w:footnote>
  <w:footnote w:id="144">
    <w:p w14:paraId="32361FCA" w14:textId="6C0839D0"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PPO  (2017), ‘</w:t>
      </w:r>
      <w:hyperlink r:id="rId131" w:history="1">
        <w:r w:rsidRPr="00E5046A">
          <w:rPr>
            <w:rStyle w:val="Hyperlink"/>
            <w:rFonts w:ascii="Arial" w:hAnsi="Arial" w:cs="Arial"/>
          </w:rPr>
          <w:t>Learning Lessons Bulletin: Transgender prisoners, PPO Investigations</w:t>
        </w:r>
      </w:hyperlink>
      <w:r w:rsidRPr="00E5046A">
        <w:rPr>
          <w:rFonts w:ascii="Arial" w:hAnsi="Arial" w:cs="Arial"/>
        </w:rPr>
        <w:t>’ [accessed: 8 March 2019].</w:t>
      </w:r>
    </w:p>
  </w:footnote>
  <w:footnote w:id="145">
    <w:p w14:paraId="616E57A8" w14:textId="509F8667"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Ministry of Justice and Youth Justice Board (2019), ‘</w:t>
      </w:r>
      <w:hyperlink r:id="rId132" w:history="1">
        <w:r w:rsidRPr="00E5046A">
          <w:rPr>
            <w:rStyle w:val="Hyperlink"/>
            <w:rFonts w:ascii="Arial" w:hAnsi="Arial" w:cs="Arial"/>
          </w:rPr>
          <w:t>Youth Justice Statistics 2017-2018 England and Wales</w:t>
        </w:r>
      </w:hyperlink>
      <w:r w:rsidRPr="00E5046A">
        <w:rPr>
          <w:rFonts w:ascii="Arial" w:hAnsi="Arial" w:cs="Arial"/>
        </w:rPr>
        <w:t>’ [accessed: 8 March 2019].</w:t>
      </w:r>
    </w:p>
  </w:footnote>
  <w:footnote w:id="146">
    <w:p w14:paraId="6125A89D" w14:textId="55ABA660"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HM Inspectorate of Prisons (2019), ‘</w:t>
      </w:r>
      <w:hyperlink r:id="rId133" w:history="1">
        <w:r w:rsidRPr="00E5046A">
          <w:rPr>
            <w:rStyle w:val="Hyperlink"/>
            <w:rFonts w:cs="Arial"/>
          </w:rPr>
          <w:t>Children in Custody: 2017-2018: an analysis of 12-18-year-olds’ perceptions of their experiences in secure training centres and young offender institutions</w:t>
        </w:r>
      </w:hyperlink>
      <w:r w:rsidRPr="00E5046A">
        <w:rPr>
          <w:rFonts w:cs="Arial"/>
        </w:rPr>
        <w:t>’ [accessed: 8 March 2019].</w:t>
      </w:r>
    </w:p>
  </w:footnote>
  <w:footnote w:id="147">
    <w:p w14:paraId="7CC26E0A" w14:textId="29A4A9FC"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HMIP (2018), ‘</w:t>
      </w:r>
      <w:hyperlink r:id="rId134" w:history="1">
        <w:r w:rsidRPr="00E5046A">
          <w:rPr>
            <w:rStyle w:val="Hyperlink"/>
            <w:rFonts w:cs="Arial"/>
          </w:rPr>
          <w:t>HM Chief Inspector of Prisons for England and Wales: Annual report 2017-18</w:t>
        </w:r>
      </w:hyperlink>
      <w:r w:rsidRPr="00E5046A">
        <w:rPr>
          <w:rFonts w:cs="Arial"/>
        </w:rPr>
        <w:t>’ [accessed: 17 March 2019].</w:t>
      </w:r>
    </w:p>
  </w:footnote>
  <w:footnote w:id="148">
    <w:p w14:paraId="4A048220" w14:textId="308E18A7"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HMIP (2017), ‘</w:t>
      </w:r>
      <w:hyperlink r:id="rId135" w:history="1">
        <w:r w:rsidRPr="00E5046A">
          <w:rPr>
            <w:rStyle w:val="Hyperlink"/>
            <w:rFonts w:cs="Arial"/>
          </w:rPr>
          <w:t>HM Chief Inspector of Prisons for England and Wales: Annual report 2016-17</w:t>
        </w:r>
      </w:hyperlink>
      <w:r w:rsidRPr="00E5046A">
        <w:rPr>
          <w:rFonts w:cs="Arial"/>
        </w:rPr>
        <w:t>’ [accessed: 8 March 2019].</w:t>
      </w:r>
    </w:p>
  </w:footnote>
  <w:footnote w:id="149">
    <w:p w14:paraId="2A00CF48" w14:textId="41577447"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HMIP (2018), ‘</w:t>
      </w:r>
      <w:hyperlink r:id="rId136" w:history="1">
        <w:r w:rsidRPr="00E5046A">
          <w:rPr>
            <w:rStyle w:val="Hyperlink"/>
            <w:rFonts w:cs="Arial"/>
          </w:rPr>
          <w:t>HM Chief Inspector of Prisons for England and Wales: Annual report 2017-18</w:t>
        </w:r>
      </w:hyperlink>
      <w:r w:rsidRPr="00E5046A">
        <w:rPr>
          <w:rFonts w:cs="Arial"/>
        </w:rPr>
        <w:t>’ [accessed: 17 March 2019].</w:t>
      </w:r>
    </w:p>
  </w:footnote>
  <w:footnote w:id="150">
    <w:p w14:paraId="7C1CC5D5" w14:textId="5955D7DA"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HMIP (2017), ‘</w:t>
      </w:r>
      <w:hyperlink r:id="rId137" w:history="1">
        <w:r w:rsidRPr="00E5046A">
          <w:rPr>
            <w:rStyle w:val="Hyperlink"/>
            <w:rFonts w:ascii="Arial" w:hAnsi="Arial" w:cs="Arial"/>
          </w:rPr>
          <w:t>Children in custody 2016-17: an analysis of 12-18-year-olds’ perceptions of their experiences in secure training centres and young offender institutions</w:t>
        </w:r>
      </w:hyperlink>
      <w:r w:rsidRPr="00E5046A">
        <w:rPr>
          <w:rFonts w:ascii="Arial" w:hAnsi="Arial" w:cs="Arial"/>
        </w:rPr>
        <w:t>’ [accessed: 8 March 2019].</w:t>
      </w:r>
    </w:p>
  </w:footnote>
  <w:footnote w:id="151">
    <w:p w14:paraId="76DE83EC" w14:textId="7F254D4F"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Youth Justice Board/Ministry of Justice (2019), </w:t>
      </w:r>
      <w:hyperlink r:id="rId138" w:history="1">
        <w:r w:rsidRPr="00E5046A">
          <w:rPr>
            <w:rStyle w:val="Hyperlink"/>
            <w:rFonts w:cs="Arial"/>
          </w:rPr>
          <w:t>Youth Justice Statistics 2017-2018 – England and Wales</w:t>
        </w:r>
      </w:hyperlink>
      <w:r w:rsidRPr="00E5046A">
        <w:rPr>
          <w:rFonts w:cs="Arial"/>
        </w:rPr>
        <w:t xml:space="preserve"> [accessed: 17 March 2019].</w:t>
      </w:r>
    </w:p>
  </w:footnote>
  <w:footnote w:id="152">
    <w:p w14:paraId="5177E533" w14:textId="2F2EF319"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Ministry of Justice (2019), ‘</w:t>
      </w:r>
      <w:hyperlink r:id="rId139" w:history="1">
        <w:r w:rsidRPr="00E5046A">
          <w:rPr>
            <w:rStyle w:val="Hyperlink"/>
            <w:rFonts w:ascii="Arial" w:hAnsi="Arial" w:cs="Arial"/>
            <w:lang w:val="en"/>
          </w:rPr>
          <w:t>Safety in Custody quarterly: update to September 2018</w:t>
        </w:r>
      </w:hyperlink>
      <w:r w:rsidRPr="00E5046A">
        <w:rPr>
          <w:rFonts w:ascii="Arial" w:hAnsi="Arial" w:cs="Arial"/>
          <w:lang w:val="en"/>
        </w:rPr>
        <w:t xml:space="preserve">’ </w:t>
      </w:r>
      <w:r w:rsidRPr="00E5046A">
        <w:rPr>
          <w:rFonts w:ascii="Arial" w:hAnsi="Arial" w:cs="Arial"/>
        </w:rPr>
        <w:t>[accessed: 8 March 2019].</w:t>
      </w:r>
    </w:p>
  </w:footnote>
  <w:footnote w:id="153">
    <w:p w14:paraId="7FA0C817" w14:textId="68FFE0C5"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Wales Governance Centre (2018), ‘</w:t>
      </w:r>
      <w:hyperlink r:id="rId140" w:history="1">
        <w:r w:rsidRPr="00E5046A">
          <w:rPr>
            <w:rStyle w:val="Hyperlink"/>
            <w:rFonts w:ascii="Arial" w:hAnsi="Arial" w:cs="Arial"/>
          </w:rPr>
          <w:t>Imprisonment in Wales: A factfile</w:t>
        </w:r>
      </w:hyperlink>
      <w:r w:rsidRPr="00E5046A">
        <w:rPr>
          <w:rFonts w:ascii="Arial" w:hAnsi="Arial" w:cs="Arial"/>
        </w:rPr>
        <w:t>’ [accessed: 8 March 2019].</w:t>
      </w:r>
    </w:p>
  </w:footnote>
  <w:footnote w:id="154">
    <w:p w14:paraId="56291024" w14:textId="0F102551"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sidRPr="00E5046A">
        <w:rPr>
          <w:rFonts w:ascii="Arial" w:hAnsi="Arial" w:cs="Arial"/>
          <w:bCs/>
        </w:rPr>
        <w:t>Youth Justice Board for England and Wales (2016), ‘</w:t>
      </w:r>
      <w:hyperlink r:id="rId141" w:history="1">
        <w:r w:rsidRPr="00E5046A">
          <w:rPr>
            <w:rStyle w:val="Hyperlink"/>
            <w:rFonts w:ascii="Arial" w:hAnsi="Arial" w:cs="Arial"/>
            <w:bCs/>
          </w:rPr>
          <w:t>YJB response to Medway Improvement Board report</w:t>
        </w:r>
      </w:hyperlink>
      <w:r w:rsidRPr="00E5046A">
        <w:rPr>
          <w:rFonts w:ascii="Arial" w:hAnsi="Arial" w:cs="Arial"/>
          <w:bCs/>
        </w:rPr>
        <w:t xml:space="preserve">’ </w:t>
      </w:r>
      <w:r w:rsidRPr="00E5046A">
        <w:rPr>
          <w:rFonts w:ascii="Arial" w:hAnsi="Arial" w:cs="Arial"/>
        </w:rPr>
        <w:t>[accessed: 8 March 2019].</w:t>
      </w:r>
    </w:p>
  </w:footnote>
  <w:footnote w:id="155">
    <w:p w14:paraId="005D239A" w14:textId="78128C56"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Medway Improvement Board and Ministry of Justice (2016), ‘</w:t>
      </w:r>
      <w:hyperlink r:id="rId142" w:history="1">
        <w:r w:rsidRPr="00E5046A">
          <w:rPr>
            <w:rStyle w:val="Hyperlink"/>
            <w:rFonts w:cs="Arial"/>
          </w:rPr>
          <w:t>Medway Improvement Board: Final Report of the Board’s Advice to Secretary of State for Justice</w:t>
        </w:r>
      </w:hyperlink>
      <w:r w:rsidRPr="00E5046A">
        <w:rPr>
          <w:rFonts w:cs="Arial"/>
        </w:rPr>
        <w:t xml:space="preserve">’ [accessed: 8 March 2019]. </w:t>
      </w:r>
      <w:r w:rsidRPr="00E5046A" w:rsidDel="00F42D38">
        <w:rPr>
          <w:rFonts w:cs="Arial"/>
        </w:rPr>
        <w:t xml:space="preserve"> </w:t>
      </w:r>
    </w:p>
  </w:footnote>
  <w:footnote w:id="156">
    <w:p w14:paraId="102B7B5A" w14:textId="12085BA6"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Taylor, C. (2016), ‘</w:t>
      </w:r>
      <w:hyperlink r:id="rId143" w:history="1">
        <w:r w:rsidRPr="00E5046A">
          <w:rPr>
            <w:rStyle w:val="Hyperlink"/>
            <w:rFonts w:ascii="Arial" w:hAnsi="Arial" w:cs="Arial"/>
          </w:rPr>
          <w:t>Review of the youth justice system in England and Wales</w:t>
        </w:r>
      </w:hyperlink>
      <w:r w:rsidRPr="00E5046A">
        <w:rPr>
          <w:rFonts w:ascii="Arial" w:hAnsi="Arial" w:cs="Arial"/>
        </w:rPr>
        <w:t xml:space="preserve">’ </w:t>
      </w:r>
      <w:r>
        <w:rPr>
          <w:rFonts w:ascii="Arial" w:hAnsi="Arial" w:cs="Arial"/>
        </w:rPr>
        <w:t>[accessed: 20 March 2019]</w:t>
      </w:r>
    </w:p>
  </w:footnote>
  <w:footnote w:id="157">
    <w:p w14:paraId="6F27EC35" w14:textId="4F220683"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Ministry of Justice (2019), ‘</w:t>
      </w:r>
      <w:hyperlink r:id="rId144" w:history="1">
        <w:r w:rsidRPr="00E5046A">
          <w:rPr>
            <w:rStyle w:val="Hyperlink"/>
            <w:rFonts w:cs="Arial"/>
          </w:rPr>
          <w:t>Our Secure Schools Vision</w:t>
        </w:r>
      </w:hyperlink>
      <w:r w:rsidRPr="00E5046A">
        <w:rPr>
          <w:rFonts w:cs="Arial"/>
        </w:rPr>
        <w:t xml:space="preserve">’ [accessed: 8 March 2019]. </w:t>
      </w:r>
    </w:p>
  </w:footnote>
  <w:footnote w:id="158">
    <w:p w14:paraId="5FBD6AB1" w14:textId="792804E4"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sidRPr="00E5046A">
        <w:rPr>
          <w:rFonts w:ascii="Arial" w:hAnsi="Arial" w:cs="Arial"/>
          <w:lang w:val="en-US"/>
        </w:rPr>
        <w:t>Standing Committee for Youth Justice (2018), ‘</w:t>
      </w:r>
      <w:hyperlink r:id="rId145" w:history="1">
        <w:r w:rsidRPr="00E5046A">
          <w:rPr>
            <w:rStyle w:val="Hyperlink"/>
            <w:rFonts w:ascii="Arial" w:hAnsi="Arial" w:cs="Arial"/>
            <w:lang w:val="en-US"/>
          </w:rPr>
          <w:t>SCYJ responds to Secure School Pilot announcement</w:t>
        </w:r>
      </w:hyperlink>
      <w:r w:rsidRPr="00E5046A">
        <w:rPr>
          <w:rFonts w:ascii="Arial" w:hAnsi="Arial" w:cs="Arial"/>
          <w:lang w:val="en-US"/>
        </w:rPr>
        <w:t xml:space="preserve">’ </w:t>
      </w:r>
      <w:r w:rsidRPr="00E5046A">
        <w:rPr>
          <w:rFonts w:ascii="Arial" w:hAnsi="Arial" w:cs="Arial"/>
        </w:rPr>
        <w:t>[accessed: 8 March 2019].</w:t>
      </w:r>
    </w:p>
  </w:footnote>
  <w:footnote w:id="159">
    <w:p w14:paraId="00B2E31E" w14:textId="0D2EE2D5"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 Inspectorate of Constabulary and Fire and Rescue Services. (2017), ‘</w:t>
      </w:r>
      <w:hyperlink r:id="rId146" w:history="1">
        <w:r w:rsidRPr="00E5046A">
          <w:rPr>
            <w:rStyle w:val="Hyperlink"/>
            <w:rFonts w:ascii="Arial" w:hAnsi="Arial" w:cs="Arial"/>
          </w:rPr>
          <w:t xml:space="preserve">Report on an unannounced inspection visit to police custody suites in </w:t>
        </w:r>
        <w:r w:rsidRPr="00E5046A">
          <w:rPr>
            <w:rStyle w:val="Hyperlink"/>
            <w:rFonts w:ascii="Arial" w:hAnsi="Arial" w:cs="Arial"/>
            <w:bCs/>
          </w:rPr>
          <w:t>Metropolitan Police Service North and North East clusters</w:t>
        </w:r>
      </w:hyperlink>
      <w:r w:rsidRPr="00E5046A">
        <w:rPr>
          <w:rFonts w:ascii="Arial" w:hAnsi="Arial" w:cs="Arial"/>
          <w:bCs/>
        </w:rPr>
        <w:t xml:space="preserve">’ </w:t>
      </w:r>
      <w:r w:rsidRPr="00E5046A">
        <w:rPr>
          <w:rFonts w:ascii="Arial" w:hAnsi="Arial" w:cs="Arial"/>
        </w:rPr>
        <w:t>[accessed: 8 March 2019].</w:t>
      </w:r>
    </w:p>
  </w:footnote>
  <w:footnote w:id="160">
    <w:p w14:paraId="69BFAF11" w14:textId="77777777"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t>
      </w:r>
      <w:r w:rsidRPr="00E5046A">
        <w:rPr>
          <w:rFonts w:cs="Arial"/>
          <w:lang w:val="en"/>
        </w:rPr>
        <w:t>Section 38(6) of the Police and Criminal Evidence Act 1984.</w:t>
      </w:r>
    </w:p>
  </w:footnote>
  <w:footnote w:id="161">
    <w:p w14:paraId="79AC0FB7" w14:textId="3085E3F4"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Home Office (2017), ‘</w:t>
      </w:r>
      <w:hyperlink r:id="rId147" w:history="1">
        <w:r w:rsidRPr="00E5046A">
          <w:rPr>
            <w:rStyle w:val="Hyperlink"/>
            <w:rFonts w:cs="Arial"/>
          </w:rPr>
          <w:t>Concordat on children in custody</w:t>
        </w:r>
      </w:hyperlink>
      <w:r w:rsidRPr="00E5046A">
        <w:rPr>
          <w:rFonts w:cs="Arial"/>
        </w:rPr>
        <w:t xml:space="preserve">’ [accessed: 8 March 2019].  </w:t>
      </w:r>
    </w:p>
  </w:footnote>
  <w:footnote w:id="162">
    <w:p w14:paraId="58E3E467" w14:textId="7C02C4E8"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United Nations High Commissioner for Refugees (2012), ‘</w:t>
      </w:r>
      <w:hyperlink r:id="rId148" w:history="1">
        <w:r w:rsidRPr="00E5046A">
          <w:rPr>
            <w:rStyle w:val="Hyperlink"/>
            <w:rFonts w:cs="Arial"/>
          </w:rPr>
          <w:t>Detention guidelines: Guidelines on the applicable criteria and standards relating to the detention of asylum seekers and alternatives to detention</w:t>
        </w:r>
      </w:hyperlink>
      <w:r w:rsidRPr="00E5046A">
        <w:rPr>
          <w:rFonts w:cs="Arial"/>
        </w:rPr>
        <w:t>’ [accessed: 8 March 2019].</w:t>
      </w:r>
    </w:p>
  </w:footnote>
  <w:footnote w:id="163">
    <w:p w14:paraId="39BE2640" w14:textId="2690E502" w:rsidR="00AE42CD" w:rsidRPr="004D3F0B"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 Chief Inspector of Prisons (2017), ‘</w:t>
      </w:r>
      <w:hyperlink r:id="rId149" w:history="1">
        <w:r w:rsidRPr="00E5046A">
          <w:rPr>
            <w:rStyle w:val="Hyperlink"/>
            <w:rFonts w:ascii="Arial" w:hAnsi="Arial" w:cs="Arial"/>
          </w:rPr>
          <w:t>Report on an unannounced inspection of Yarl’s Wood Immigration Removal Centre</w:t>
        </w:r>
      </w:hyperlink>
      <w:r w:rsidRPr="00E5046A">
        <w:rPr>
          <w:rFonts w:ascii="Arial" w:hAnsi="Arial" w:cs="Arial"/>
        </w:rPr>
        <w:t>’ [accessed 8 March 2018]; HMIP (2018), ‘</w:t>
      </w:r>
      <w:hyperlink r:id="rId150" w:history="1">
        <w:r w:rsidRPr="00E5046A">
          <w:rPr>
            <w:rStyle w:val="Hyperlink"/>
            <w:rFonts w:ascii="Arial" w:hAnsi="Arial" w:cs="Arial"/>
          </w:rPr>
          <w:t>Report on an unannounced inspection of Heathrow Immigration Removal Centre Harmondsworth Site</w:t>
        </w:r>
      </w:hyperlink>
      <w:r w:rsidRPr="00E5046A">
        <w:rPr>
          <w:rFonts w:ascii="Arial" w:hAnsi="Arial" w:cs="Arial"/>
        </w:rPr>
        <w:t>’ [accessed: 8 March 2019]; Amnesty International UK (2017), ‘</w:t>
      </w:r>
      <w:hyperlink r:id="rId151" w:history="1">
        <w:r w:rsidRPr="00E5046A">
          <w:rPr>
            <w:rStyle w:val="Hyperlink"/>
            <w:rFonts w:ascii="Arial" w:hAnsi="Arial" w:cs="Arial"/>
          </w:rPr>
          <w:t>A Matter of Routine: the use of immigration detention in the UK</w:t>
        </w:r>
      </w:hyperlink>
      <w:r w:rsidRPr="00E5046A">
        <w:rPr>
          <w:rFonts w:ascii="Arial" w:hAnsi="Arial" w:cs="Arial"/>
        </w:rPr>
        <w:t>’  [accessed: 8 March 2019]; British Medical Association. (2017),</w:t>
      </w:r>
      <w:r w:rsidRPr="00E5046A">
        <w:rPr>
          <w:rFonts w:ascii="Arial" w:hAnsi="Arial" w:cs="Arial"/>
          <w:i/>
        </w:rPr>
        <w:t xml:space="preserve"> ‘</w:t>
      </w:r>
      <w:hyperlink r:id="rId152" w:history="1">
        <w:r w:rsidRPr="00E5046A">
          <w:rPr>
            <w:rStyle w:val="Hyperlink"/>
            <w:rFonts w:ascii="Arial" w:hAnsi="Arial" w:cs="Arial"/>
          </w:rPr>
          <w:t>Locked up, locked out: health and human rights in immigration detention</w:t>
        </w:r>
      </w:hyperlink>
      <w:r w:rsidRPr="00E5046A">
        <w:rPr>
          <w:rFonts w:ascii="Arial" w:hAnsi="Arial" w:cs="Arial"/>
        </w:rPr>
        <w:t>’ [accessed: 8 March 2019]; Lindley, A</w:t>
      </w:r>
      <w:r w:rsidRPr="004D3F0B">
        <w:rPr>
          <w:rFonts w:ascii="Arial" w:hAnsi="Arial" w:cs="Arial"/>
        </w:rPr>
        <w:t>. (2017), ‘</w:t>
      </w:r>
      <w:hyperlink r:id="rId153" w:history="1">
        <w:r w:rsidRPr="004D3F0B">
          <w:rPr>
            <w:rStyle w:val="Hyperlink"/>
            <w:rFonts w:ascii="Arial" w:hAnsi="Arial" w:cs="Arial"/>
          </w:rPr>
          <w:t>Injustice in Immigration Detention Perspectives from legal professionals</w:t>
        </w:r>
      </w:hyperlink>
      <w:r w:rsidRPr="004D3F0B">
        <w:rPr>
          <w:rFonts w:ascii="Arial" w:hAnsi="Arial" w:cs="Arial"/>
        </w:rPr>
        <w:t>’ [accessed: 20 March 2019].</w:t>
      </w:r>
    </w:p>
  </w:footnote>
  <w:footnote w:id="164">
    <w:p w14:paraId="56F2E293" w14:textId="2591CCB4" w:rsidR="00AE42CD" w:rsidRPr="00E5046A" w:rsidRDefault="00AE42CD" w:rsidP="00C32DAA">
      <w:pPr>
        <w:pStyle w:val="FootnoteText"/>
        <w:rPr>
          <w:rFonts w:cs="Arial"/>
        </w:rPr>
      </w:pPr>
      <w:r w:rsidRPr="004D3F0B">
        <w:rPr>
          <w:rStyle w:val="FootnoteReference"/>
          <w:rFonts w:cs="Arial"/>
        </w:rPr>
        <w:footnoteRef/>
      </w:r>
      <w:r w:rsidRPr="004D3F0B">
        <w:rPr>
          <w:rFonts w:cs="Arial"/>
        </w:rPr>
        <w:t xml:space="preserve"> Home Office (2018), ‘</w:t>
      </w:r>
      <w:hyperlink r:id="rId154" w:history="1">
        <w:r w:rsidRPr="004D3F0B">
          <w:rPr>
            <w:rStyle w:val="Hyperlink"/>
            <w:rFonts w:cs="Arial"/>
            <w:color w:val="auto"/>
            <w:lang w:val="en"/>
          </w:rPr>
          <w:t>Immigration Statistics, year ending September 2018</w:t>
        </w:r>
      </w:hyperlink>
      <w:r w:rsidRPr="004D3F0B">
        <w:rPr>
          <w:rFonts w:cs="Arial"/>
          <w:lang w:val="en"/>
        </w:rPr>
        <w:t>’</w:t>
      </w:r>
      <w:r w:rsidRPr="004D3F0B">
        <w:rPr>
          <w:rFonts w:cs="Arial"/>
          <w:i/>
          <w:lang w:val="en"/>
        </w:rPr>
        <w:t xml:space="preserve"> </w:t>
      </w:r>
      <w:r w:rsidRPr="004D3F0B">
        <w:rPr>
          <w:rStyle w:val="Hyperlink"/>
          <w:rFonts w:cs="Arial"/>
          <w:color w:val="auto"/>
          <w:lang w:val="en"/>
        </w:rPr>
        <w:t>[accessed: 8</w:t>
      </w:r>
      <w:r w:rsidRPr="00E5046A">
        <w:rPr>
          <w:rStyle w:val="Hyperlink"/>
          <w:rFonts w:cs="Arial"/>
          <w:color w:val="auto"/>
          <w:lang w:val="en"/>
        </w:rPr>
        <w:t xml:space="preserve"> March 2019].</w:t>
      </w:r>
      <w:r w:rsidRPr="00E5046A">
        <w:rPr>
          <w:rFonts w:cs="Arial"/>
          <w:i/>
          <w:lang w:val="en"/>
        </w:rPr>
        <w:t xml:space="preserve"> </w:t>
      </w:r>
      <w:r w:rsidRPr="00E5046A">
        <w:rPr>
          <w:rFonts w:cs="Arial"/>
          <w:lang w:val="en"/>
        </w:rPr>
        <w:t xml:space="preserve"> </w:t>
      </w:r>
    </w:p>
  </w:footnote>
  <w:footnote w:id="165">
    <w:p w14:paraId="3EEAF639" w14:textId="58A377C6"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HMIP (2018), ‘</w:t>
      </w:r>
      <w:hyperlink r:id="rId155" w:history="1">
        <w:r w:rsidRPr="00E5046A">
          <w:rPr>
            <w:rStyle w:val="Hyperlink"/>
            <w:rFonts w:cs="Arial"/>
          </w:rPr>
          <w:t>Report on an unannounced inspection of Heathrow Immigration Removal Centre Harmondsworth Site</w:t>
        </w:r>
      </w:hyperlink>
      <w:r w:rsidRPr="00E5046A">
        <w:rPr>
          <w:rFonts w:cs="Arial"/>
        </w:rPr>
        <w:t>’ [accessed: 8 March 2019].</w:t>
      </w:r>
    </w:p>
  </w:footnote>
  <w:footnote w:id="166">
    <w:p w14:paraId="58A76D8B" w14:textId="7E920B31" w:rsidR="00AE42CD" w:rsidRPr="00E5046A" w:rsidRDefault="00AE42CD" w:rsidP="00F4106E">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Shaw, S. (2018), ‘</w:t>
      </w:r>
      <w:hyperlink r:id="rId156" w:history="1">
        <w:r w:rsidRPr="00E5046A">
          <w:rPr>
            <w:rStyle w:val="Hyperlink"/>
            <w:rFonts w:ascii="Arial" w:hAnsi="Arial" w:cs="Arial"/>
            <w:color w:val="auto"/>
          </w:rPr>
          <w:t>Assessment of government progress in implementing the report on the welfare in detention of vulnerable persons: a follow-up report to the Home Office</w:t>
        </w:r>
      </w:hyperlink>
      <w:r w:rsidRPr="00E5046A">
        <w:rPr>
          <w:rFonts w:ascii="Arial" w:hAnsi="Arial" w:cs="Arial"/>
        </w:rPr>
        <w:t>’ [accessed: 8 March 2019].</w:t>
      </w:r>
    </w:p>
    <w:p w14:paraId="56F4B3DC" w14:textId="21FD7FC8" w:rsidR="00AE42CD" w:rsidRPr="00E5046A" w:rsidRDefault="00AE42CD" w:rsidP="00C32DAA">
      <w:pPr>
        <w:pStyle w:val="FootnoteText"/>
        <w:rPr>
          <w:rFonts w:cs="Arial"/>
        </w:rPr>
      </w:pPr>
    </w:p>
  </w:footnote>
  <w:footnote w:id="167">
    <w:p w14:paraId="442D963A" w14:textId="1D8E45EB"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All Party Parliamentary Group on Refugees &amp; All Party Parliamentary Group on Migration (2015), ‘</w:t>
      </w:r>
      <w:hyperlink r:id="rId157" w:history="1">
        <w:r w:rsidRPr="00E5046A">
          <w:rPr>
            <w:rStyle w:val="Hyperlink"/>
            <w:rFonts w:cs="Arial"/>
            <w:color w:val="auto"/>
          </w:rPr>
          <w:t>The Report of the Inquiry into the Use of Immigration Detention in the United Kingdom</w:t>
        </w:r>
      </w:hyperlink>
      <w:r w:rsidRPr="00E5046A">
        <w:rPr>
          <w:rFonts w:cs="Arial"/>
          <w:i/>
        </w:rPr>
        <w:t>’</w:t>
      </w:r>
      <w:r w:rsidRPr="00E5046A">
        <w:rPr>
          <w:rFonts w:cs="Arial"/>
        </w:rPr>
        <w:t xml:space="preserve"> [accessed: 8 March 2019].</w:t>
      </w:r>
    </w:p>
  </w:footnote>
  <w:footnote w:id="168">
    <w:p w14:paraId="23E90098" w14:textId="7C78A0EF"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t>
      </w:r>
      <w:r w:rsidRPr="00E5046A">
        <w:rPr>
          <w:rFonts w:cs="Arial"/>
          <w:i/>
        </w:rPr>
        <w:t>R (on the Application of MD) v SSHD</w:t>
      </w:r>
      <w:r w:rsidRPr="00E5046A">
        <w:rPr>
          <w:rFonts w:cs="Arial"/>
        </w:rPr>
        <w:t xml:space="preserve"> [2014] EWHC 2249 (Admin); </w:t>
      </w:r>
      <w:r w:rsidRPr="00E5046A">
        <w:rPr>
          <w:rFonts w:cs="Arial"/>
          <w:i/>
        </w:rPr>
        <w:t>R (on the Application of HA (Nigeria)) v SSHD</w:t>
      </w:r>
      <w:r w:rsidRPr="00E5046A">
        <w:rPr>
          <w:rFonts w:cs="Arial"/>
        </w:rPr>
        <w:t xml:space="preserve"> [2012] EWHC 979 (Admin); </w:t>
      </w:r>
      <w:r w:rsidRPr="00E5046A">
        <w:rPr>
          <w:rFonts w:cs="Arial"/>
          <w:i/>
        </w:rPr>
        <w:t>ARF v SSHD</w:t>
      </w:r>
      <w:r w:rsidRPr="00E5046A">
        <w:rPr>
          <w:rFonts w:cs="Arial"/>
        </w:rPr>
        <w:t xml:space="preserve"> [2017] EWHC 10 (QB).</w:t>
      </w:r>
    </w:p>
  </w:footnote>
  <w:footnote w:id="169">
    <w:p w14:paraId="3CC892AC" w14:textId="76B928AA" w:rsidR="00AE42CD" w:rsidRPr="00E5046A" w:rsidRDefault="00AE42CD" w:rsidP="00F10188">
      <w:pPr>
        <w:pStyle w:val="FootnoteText"/>
        <w:rPr>
          <w:rFonts w:cs="Arial"/>
        </w:rPr>
      </w:pPr>
      <w:r w:rsidRPr="00E5046A">
        <w:rPr>
          <w:rStyle w:val="FootnoteReference"/>
          <w:rFonts w:cs="Arial"/>
        </w:rPr>
        <w:footnoteRef/>
      </w:r>
      <w:r w:rsidRPr="00E5046A">
        <w:rPr>
          <w:rFonts w:cs="Arial"/>
        </w:rPr>
        <w:t xml:space="preserve"> JCHR (2019), ‘</w:t>
      </w:r>
      <w:hyperlink r:id="rId158" w:history="1">
        <w:r w:rsidRPr="00E5046A">
          <w:rPr>
            <w:rStyle w:val="Hyperlink"/>
            <w:rFonts w:cs="Arial"/>
            <w:color w:val="auto"/>
          </w:rPr>
          <w:t>Immigration Detention Inquiry</w:t>
        </w:r>
      </w:hyperlink>
      <w:r w:rsidRPr="00E5046A">
        <w:rPr>
          <w:rFonts w:cs="Arial"/>
        </w:rPr>
        <w:t>’ [accessed: 8 March 2019].</w:t>
      </w:r>
    </w:p>
  </w:footnote>
  <w:footnote w:id="170">
    <w:p w14:paraId="75AFA6F3" w14:textId="3D393679" w:rsidR="00AE42CD" w:rsidRPr="00E5046A" w:rsidRDefault="00AE42CD" w:rsidP="00C32DAA">
      <w:pPr>
        <w:pStyle w:val="FootnoteText"/>
        <w:rPr>
          <w:rFonts w:cs="Arial"/>
          <w:lang w:val="en-US"/>
        </w:rPr>
      </w:pPr>
      <w:r w:rsidRPr="00E5046A">
        <w:rPr>
          <w:rStyle w:val="FootnoteReference"/>
          <w:rFonts w:cs="Arial"/>
        </w:rPr>
        <w:footnoteRef/>
      </w:r>
      <w:r w:rsidRPr="00E5046A">
        <w:rPr>
          <w:rFonts w:cs="Arial"/>
        </w:rPr>
        <w:t xml:space="preserve"> </w:t>
      </w:r>
      <w:r>
        <w:rPr>
          <w:rFonts w:cs="Arial"/>
        </w:rPr>
        <w:t>UK Parliament</w:t>
      </w:r>
      <w:r w:rsidRPr="00E5046A">
        <w:rPr>
          <w:rFonts w:cs="Arial"/>
          <w:lang w:val="en-US"/>
        </w:rPr>
        <w:t xml:space="preserve"> (2018), ‘</w:t>
      </w:r>
      <w:hyperlink r:id="rId159" w:history="1">
        <w:r w:rsidRPr="00E5046A">
          <w:rPr>
            <w:rStyle w:val="Hyperlink"/>
            <w:rFonts w:cs="Arial"/>
          </w:rPr>
          <w:t>Written evidence from the Equality and Human Rights Commission (IMD0019)</w:t>
        </w:r>
      </w:hyperlink>
      <w:r w:rsidRPr="00E5046A">
        <w:rPr>
          <w:rFonts w:cs="Arial"/>
          <w:lang w:val="en-US"/>
        </w:rPr>
        <w:t>’</w:t>
      </w:r>
      <w:r w:rsidRPr="00E5046A">
        <w:rPr>
          <w:rFonts w:cs="Arial"/>
          <w:i/>
          <w:lang w:val="en-US"/>
        </w:rPr>
        <w:t>.</w:t>
      </w:r>
      <w:r w:rsidRPr="00E5046A">
        <w:rPr>
          <w:rFonts w:cs="Arial"/>
          <w:lang w:val="en-US"/>
        </w:rPr>
        <w:t xml:space="preserve"> [accessed: 8 March 2019]. </w:t>
      </w:r>
    </w:p>
  </w:footnote>
  <w:footnote w:id="171">
    <w:p w14:paraId="6EA4A9A4" w14:textId="6494ADFB" w:rsidR="00AE42CD" w:rsidRPr="00E5046A" w:rsidRDefault="00AE42CD" w:rsidP="00C32DAA">
      <w:pPr>
        <w:pStyle w:val="FootnoteText"/>
        <w:rPr>
          <w:rFonts w:cs="Arial"/>
          <w:lang w:val="en-US"/>
        </w:rPr>
      </w:pPr>
      <w:r w:rsidRPr="00E5046A">
        <w:rPr>
          <w:rStyle w:val="FootnoteReference"/>
          <w:rFonts w:cs="Arial"/>
        </w:rPr>
        <w:footnoteRef/>
      </w:r>
      <w:r w:rsidRPr="00E5046A">
        <w:rPr>
          <w:rFonts w:cs="Arial"/>
        </w:rPr>
        <w:t xml:space="preserve"> Panorama (2017), ‘</w:t>
      </w:r>
      <w:hyperlink r:id="rId160" w:history="1">
        <w:r w:rsidRPr="00E5046A">
          <w:rPr>
            <w:rStyle w:val="Hyperlink"/>
            <w:rFonts w:cs="Arial"/>
          </w:rPr>
          <w:t>Undercover: Britain’s Immigration Secrets</w:t>
        </w:r>
      </w:hyperlink>
      <w:r w:rsidRPr="00E5046A">
        <w:rPr>
          <w:rFonts w:cs="Arial"/>
        </w:rPr>
        <w:t xml:space="preserve">’ [accessed: 8 March 2019].  </w:t>
      </w:r>
    </w:p>
  </w:footnote>
  <w:footnote w:id="172">
    <w:p w14:paraId="3E0CF20A" w14:textId="5D4D37F4"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Taylor, D. (2018), ‘</w:t>
      </w:r>
      <w:hyperlink r:id="rId161" w:history="1">
        <w:r w:rsidRPr="00E5046A">
          <w:rPr>
            <w:rStyle w:val="Hyperlink"/>
            <w:rFonts w:cs="Arial"/>
          </w:rPr>
          <w:t>Home Office agrees to inquiry into immigrant abuse allegations</w:t>
        </w:r>
      </w:hyperlink>
      <w:r w:rsidRPr="00E5046A">
        <w:rPr>
          <w:rFonts w:cs="Arial"/>
        </w:rPr>
        <w:t xml:space="preserve">’, </w:t>
      </w:r>
      <w:r w:rsidRPr="00E5046A">
        <w:rPr>
          <w:rFonts w:cs="Arial"/>
          <w:i/>
        </w:rPr>
        <w:t>The Guardian</w:t>
      </w:r>
      <w:r w:rsidRPr="00E5046A">
        <w:rPr>
          <w:rFonts w:cs="Arial"/>
        </w:rPr>
        <w:t>, 11 October [accessed: 8 March 2019].</w:t>
      </w:r>
    </w:p>
  </w:footnote>
  <w:footnote w:id="173">
    <w:p w14:paraId="62292F9D" w14:textId="4D6FD2AD"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Equality and Human Rights Commission (2015), ‘</w:t>
      </w:r>
      <w:hyperlink r:id="rId162" w:history="1">
        <w:r w:rsidRPr="00E5046A">
          <w:rPr>
            <w:rStyle w:val="Hyperlink"/>
            <w:rFonts w:ascii="Arial" w:hAnsi="Arial" w:cs="Arial"/>
          </w:rPr>
          <w:t>Human rights framework for adults in detention</w:t>
        </w:r>
      </w:hyperlink>
      <w:r w:rsidRPr="00E5046A">
        <w:rPr>
          <w:rFonts w:ascii="Arial" w:hAnsi="Arial" w:cs="Arial"/>
        </w:rPr>
        <w:t>’ [accessed: 7 March 2019]</w:t>
      </w:r>
    </w:p>
  </w:footnote>
  <w:footnote w:id="174">
    <w:p w14:paraId="61148F25" w14:textId="5EB8A513"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UK Visas and Immigration and Immigration Enforcement (2016), ‘</w:t>
      </w:r>
      <w:hyperlink r:id="rId163" w:history="1">
        <w:r w:rsidRPr="00E5046A">
          <w:rPr>
            <w:rStyle w:val="Hyperlink"/>
            <w:rFonts w:ascii="Arial" w:hAnsi="Arial" w:cs="Arial"/>
          </w:rPr>
          <w:t>Adults at risk in immigration detention</w:t>
        </w:r>
      </w:hyperlink>
      <w:r w:rsidRPr="00E5046A">
        <w:rPr>
          <w:rFonts w:ascii="Arial" w:hAnsi="Arial" w:cs="Arial"/>
        </w:rPr>
        <w:t>’ [accessed: 8 March 2019]; Home Office (2019), ‘</w:t>
      </w:r>
      <w:hyperlink r:id="rId164" w:history="1">
        <w:r w:rsidRPr="00E5046A">
          <w:rPr>
            <w:rStyle w:val="Hyperlink"/>
            <w:rFonts w:ascii="Arial" w:hAnsi="Arial" w:cs="Arial"/>
          </w:rPr>
          <w:t>Adults at risk in immigration detention: 5.0</w:t>
        </w:r>
      </w:hyperlink>
      <w:r w:rsidRPr="00E5046A">
        <w:rPr>
          <w:rFonts w:ascii="Arial" w:hAnsi="Arial" w:cs="Arial"/>
        </w:rPr>
        <w:t xml:space="preserve">’ (accompanying policy guidance) [accessed: 17 March 2019].  </w:t>
      </w:r>
    </w:p>
  </w:footnote>
  <w:footnote w:id="175">
    <w:p w14:paraId="6CC47AF8" w14:textId="14D36AFE"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Shaw, S. (2018), ‘</w:t>
      </w:r>
      <w:hyperlink r:id="rId165" w:history="1">
        <w:r w:rsidRPr="00E5046A">
          <w:rPr>
            <w:rStyle w:val="Hyperlink"/>
            <w:rFonts w:ascii="Arial" w:hAnsi="Arial" w:cs="Arial"/>
            <w:color w:val="auto"/>
          </w:rPr>
          <w:t>Assessment of government progress in implementing the report on the welfare in detention of vulnerable persons: a follow-up report to the Home Office</w:t>
        </w:r>
      </w:hyperlink>
      <w:r w:rsidRPr="00E5046A">
        <w:rPr>
          <w:rFonts w:ascii="Arial" w:hAnsi="Arial" w:cs="Arial"/>
        </w:rPr>
        <w:t>’ [accessed: 8 March 2019].</w:t>
      </w:r>
    </w:p>
  </w:footnote>
  <w:footnote w:id="176">
    <w:p w14:paraId="48AE77F3" w14:textId="50A8F188"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t>
      </w:r>
      <w:hyperlink r:id="rId166" w:history="1">
        <w:r w:rsidRPr="00E5046A">
          <w:rPr>
            <w:rStyle w:val="Hyperlink"/>
            <w:rFonts w:cs="Arial"/>
          </w:rPr>
          <w:t>The Detention Centre Rules 2001</w:t>
        </w:r>
      </w:hyperlink>
      <w:r w:rsidRPr="00E5046A">
        <w:rPr>
          <w:rFonts w:cs="Arial"/>
        </w:rPr>
        <w:t xml:space="preserve"> [accessed: 8 March 2019].  </w:t>
      </w:r>
    </w:p>
  </w:footnote>
  <w:footnote w:id="177">
    <w:p w14:paraId="683C88DB" w14:textId="41073B5F"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t>
      </w:r>
      <w:r w:rsidRPr="00E5046A" w:rsidDel="00633CD8">
        <w:rPr>
          <w:rFonts w:cs="Arial"/>
          <w:i/>
        </w:rPr>
        <w:t xml:space="preserve">Medical Justice &amp; </w:t>
      </w:r>
      <w:r w:rsidRPr="00E5046A">
        <w:rPr>
          <w:rFonts w:cs="Arial"/>
          <w:i/>
        </w:rPr>
        <w:t xml:space="preserve">7 </w:t>
      </w:r>
      <w:r w:rsidRPr="00E5046A" w:rsidDel="00633CD8">
        <w:rPr>
          <w:rFonts w:cs="Arial"/>
          <w:i/>
        </w:rPr>
        <w:t>Others v SSHD</w:t>
      </w:r>
      <w:r w:rsidRPr="00E5046A">
        <w:rPr>
          <w:rFonts w:cs="Arial"/>
          <w:i/>
        </w:rPr>
        <w:t xml:space="preserve"> </w:t>
      </w:r>
      <w:r w:rsidRPr="00E5046A">
        <w:rPr>
          <w:rFonts w:cs="Arial"/>
        </w:rPr>
        <w:t>[2017] EWHC 2461 (Admin).</w:t>
      </w:r>
    </w:p>
  </w:footnote>
  <w:footnote w:id="178">
    <w:p w14:paraId="755B22C1" w14:textId="0DA13252"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Home Office (2018), ‘</w:t>
      </w:r>
      <w:hyperlink r:id="rId167" w:history="1">
        <w:r w:rsidRPr="00E5046A">
          <w:rPr>
            <w:rStyle w:val="Hyperlink"/>
            <w:rFonts w:cs="Arial"/>
          </w:rPr>
          <w:t>Adults at risk in detention: 3.0</w:t>
        </w:r>
      </w:hyperlink>
      <w:r w:rsidRPr="00E5046A">
        <w:rPr>
          <w:rFonts w:cs="Arial"/>
        </w:rPr>
        <w:t>’ [accessed: 8 March 2019].</w:t>
      </w:r>
    </w:p>
  </w:footnote>
  <w:footnote w:id="179">
    <w:p w14:paraId="44514737" w14:textId="2F3E2A54"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The Detention Centre (Amendment) Rules 2018 (SI 411/2018)</w:t>
      </w:r>
      <w:r w:rsidRPr="00E5046A">
        <w:rPr>
          <w:rFonts w:cs="Arial"/>
          <w:i/>
        </w:rPr>
        <w:t>.</w:t>
      </w:r>
    </w:p>
  </w:footnote>
  <w:footnote w:id="180">
    <w:p w14:paraId="7D25E19E" w14:textId="2F43CDB5" w:rsidR="00AE42CD" w:rsidRPr="00E5046A" w:rsidRDefault="00AE42CD" w:rsidP="00C32DAA">
      <w:pPr>
        <w:pStyle w:val="FootnoteText"/>
        <w:rPr>
          <w:rFonts w:cs="Arial"/>
          <w:highlight w:val="yellow"/>
        </w:rPr>
      </w:pPr>
      <w:r w:rsidRPr="00E5046A">
        <w:rPr>
          <w:rStyle w:val="FootnoteReference"/>
          <w:rFonts w:cs="Arial"/>
        </w:rPr>
        <w:footnoteRef/>
      </w:r>
      <w:r w:rsidRPr="00E5046A">
        <w:rPr>
          <w:rFonts w:cs="Arial"/>
        </w:rPr>
        <w:t xml:space="preserve"> Shaw, S. (2018), paragraph 2.145. </w:t>
      </w:r>
    </w:p>
  </w:footnote>
  <w:footnote w:id="181">
    <w:p w14:paraId="314D6608" w14:textId="659F201A" w:rsidR="00AE42CD" w:rsidRPr="00E5046A" w:rsidRDefault="00AE42CD" w:rsidP="00C32DAA">
      <w:pPr>
        <w:pStyle w:val="FootnoteText"/>
        <w:rPr>
          <w:rFonts w:cs="Arial"/>
          <w:highlight w:val="yellow"/>
        </w:rPr>
      </w:pPr>
      <w:r w:rsidRPr="00E5046A">
        <w:rPr>
          <w:rStyle w:val="FootnoteReference"/>
          <w:rFonts w:cs="Arial"/>
        </w:rPr>
        <w:footnoteRef/>
      </w:r>
      <w:r w:rsidRPr="00E5046A">
        <w:rPr>
          <w:rFonts w:cs="Arial"/>
        </w:rPr>
        <w:t xml:space="preserve"> Home Office (2018), ‘</w:t>
      </w:r>
      <w:hyperlink r:id="rId168" w:history="1">
        <w:r w:rsidRPr="00E5046A">
          <w:rPr>
            <w:rStyle w:val="Hyperlink"/>
            <w:rFonts w:cs="Arial"/>
          </w:rPr>
          <w:t>Adults at risk in detention: 3.0</w:t>
        </w:r>
      </w:hyperlink>
      <w:r w:rsidRPr="00E5046A">
        <w:rPr>
          <w:rFonts w:cs="Arial"/>
        </w:rPr>
        <w:t>’ [accessed: 8 March 2019].</w:t>
      </w:r>
    </w:p>
  </w:footnote>
  <w:footnote w:id="182">
    <w:p w14:paraId="01500FA9" w14:textId="77B5B95C"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Shaw, S. (2018), paragraph 4.21.</w:t>
      </w:r>
    </w:p>
  </w:footnote>
  <w:footnote w:id="183">
    <w:p w14:paraId="77757632" w14:textId="249F62CF" w:rsidR="00AE42CD" w:rsidRPr="00E5046A" w:rsidRDefault="00AE42CD" w:rsidP="00C32DAA">
      <w:pPr>
        <w:pStyle w:val="FootnoteText"/>
        <w:rPr>
          <w:rFonts w:cs="Arial"/>
          <w:highlight w:val="yellow"/>
        </w:rPr>
      </w:pPr>
      <w:r w:rsidRPr="00E5046A">
        <w:rPr>
          <w:rStyle w:val="FootnoteReference"/>
          <w:rFonts w:cs="Arial"/>
        </w:rPr>
        <w:footnoteRef/>
      </w:r>
      <w:r w:rsidRPr="00E5046A">
        <w:rPr>
          <w:rFonts w:cs="Arial"/>
        </w:rPr>
        <w:t xml:space="preserve"> Shaw. S. (2018).</w:t>
      </w:r>
    </w:p>
  </w:footnote>
  <w:footnote w:id="184">
    <w:p w14:paraId="70445805" w14:textId="66451030"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JCHR (2019).</w:t>
      </w:r>
    </w:p>
  </w:footnote>
  <w:footnote w:id="185">
    <w:p w14:paraId="08F1A6F0" w14:textId="7CCF3644"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t>
      </w:r>
      <w:r w:rsidRPr="00E5046A">
        <w:rPr>
          <w:rFonts w:cs="Arial"/>
          <w:i/>
        </w:rPr>
        <w:t xml:space="preserve">R (on the application of VC by his litigation friend the Official Solicitor) v SSHD </w:t>
      </w:r>
      <w:r w:rsidRPr="00E5046A">
        <w:rPr>
          <w:rFonts w:cs="Arial"/>
        </w:rPr>
        <w:t>[2018] EWCA Civ 57 (</w:t>
      </w:r>
      <w:r w:rsidRPr="00E5046A">
        <w:rPr>
          <w:rFonts w:cs="Arial"/>
          <w:i/>
        </w:rPr>
        <w:t>VC</w:t>
      </w:r>
      <w:r w:rsidRPr="00E5046A">
        <w:rPr>
          <w:rFonts w:cs="Arial"/>
        </w:rPr>
        <w:t xml:space="preserve"> Court of Appeal judgment);</w:t>
      </w:r>
      <w:r w:rsidRPr="00E5046A">
        <w:rPr>
          <w:rFonts w:cs="Arial"/>
          <w:i/>
        </w:rPr>
        <w:t>R (on the application of MDA by his litigation friend the Official Solicitor) v SSHD, EHRC intervening</w:t>
      </w:r>
      <w:r w:rsidRPr="00E5046A">
        <w:rPr>
          <w:rFonts w:cs="Arial"/>
        </w:rPr>
        <w:t xml:space="preserve"> [2017] EWHC 2132 (Admin).</w:t>
      </w:r>
    </w:p>
  </w:footnote>
  <w:footnote w:id="186">
    <w:p w14:paraId="399E070D" w14:textId="289BBCD3"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t>
      </w:r>
      <w:r w:rsidRPr="00E5046A">
        <w:rPr>
          <w:rFonts w:cs="Arial"/>
          <w:i/>
        </w:rPr>
        <w:t>R (Detention Action) v First-tier Tribunal</w:t>
      </w:r>
      <w:r w:rsidRPr="00E5046A">
        <w:rPr>
          <w:rFonts w:cs="Arial"/>
        </w:rPr>
        <w:t xml:space="preserve"> [2015] EWCA Civ 840.</w:t>
      </w:r>
    </w:p>
  </w:footnote>
  <w:footnote w:id="187">
    <w:p w14:paraId="7E814A98" w14:textId="504A55B6"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Ministry of Justice (2016), ‘</w:t>
      </w:r>
      <w:hyperlink r:id="rId169" w:history="1">
        <w:r w:rsidRPr="00E5046A">
          <w:rPr>
            <w:rStyle w:val="Hyperlink"/>
            <w:rFonts w:ascii="Arial" w:hAnsi="Arial" w:cs="Arial"/>
          </w:rPr>
          <w:t>Immigration and asylum appeals: consultation on proposals to expedite appeals by immigration detainees</w:t>
        </w:r>
      </w:hyperlink>
      <w:r w:rsidRPr="00E5046A">
        <w:rPr>
          <w:rFonts w:ascii="Arial" w:hAnsi="Arial" w:cs="Arial"/>
        </w:rPr>
        <w:t>’ [accessed: 8 March 2019].</w:t>
      </w:r>
    </w:p>
  </w:footnote>
  <w:footnote w:id="188">
    <w:p w14:paraId="4117B75C" w14:textId="77777777"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Ibid., paragraph 19 and 25.</w:t>
      </w:r>
    </w:p>
  </w:footnote>
  <w:footnote w:id="189">
    <w:p w14:paraId="45E20DED" w14:textId="4773CDDE"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Ministry of Justice  (2017), ‘</w:t>
      </w:r>
      <w:hyperlink r:id="rId170" w:history="1">
        <w:r w:rsidRPr="00E5046A">
          <w:rPr>
            <w:rStyle w:val="Hyperlink"/>
            <w:rFonts w:cs="Arial"/>
          </w:rPr>
          <w:t>Immigration &amp; asylum appeals: the Government’s response to its consultation on proposals to expedite appeals by immigration detainees</w:t>
        </w:r>
      </w:hyperlink>
      <w:r w:rsidRPr="00E5046A">
        <w:rPr>
          <w:rFonts w:cs="Arial"/>
        </w:rPr>
        <w:t>’ [accessed: 8 March 2019].</w:t>
      </w:r>
    </w:p>
  </w:footnote>
  <w:footnote w:id="190">
    <w:p w14:paraId="0C3D1E35" w14:textId="3CF9B1A9"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Tribunal Procedures Committee (2018), ‘</w:t>
      </w:r>
      <w:hyperlink r:id="rId171" w:history="1">
        <w:r w:rsidRPr="00E5046A">
          <w:rPr>
            <w:rStyle w:val="Hyperlink"/>
            <w:rFonts w:ascii="Arial" w:hAnsi="Arial" w:cs="Arial"/>
          </w:rPr>
          <w:t>Consultation on Tribunal Procedure (first-tier tribunal) (Immigration and asylum chamber) Rules 2014 and Tribunal Procedure (Upper Tribunal) Rules 2008 in relation to detained appellants</w:t>
        </w:r>
      </w:hyperlink>
      <w:r w:rsidRPr="00E5046A">
        <w:rPr>
          <w:rFonts w:ascii="Arial" w:hAnsi="Arial" w:cs="Arial"/>
        </w:rPr>
        <w:t>’[accessed: 8 March 2019].</w:t>
      </w:r>
    </w:p>
  </w:footnote>
  <w:footnote w:id="191">
    <w:p w14:paraId="1FBC9A51" w14:textId="472FDD3C"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EHRC (2016), ‘</w:t>
      </w:r>
      <w:hyperlink r:id="rId172" w:history="1">
        <w:r w:rsidRPr="00E5046A">
          <w:rPr>
            <w:rStyle w:val="Hyperlink"/>
            <w:rFonts w:cs="Arial"/>
          </w:rPr>
          <w:t>Response to the Ministry of Justice consultation on proposals for an expedited appeals process for detained immigration and asylum appellants’</w:t>
        </w:r>
      </w:hyperlink>
      <w:r w:rsidRPr="00E5046A">
        <w:rPr>
          <w:rFonts w:cs="Arial"/>
        </w:rPr>
        <w:t xml:space="preserve"> [accessed: 8 March 2019].</w:t>
      </w:r>
    </w:p>
  </w:footnote>
  <w:footnote w:id="192">
    <w:p w14:paraId="2178DEB5" w14:textId="69C93F7C" w:rsidR="00AE42CD" w:rsidRPr="00E5046A" w:rsidRDefault="00AE42CD" w:rsidP="001D7AB0">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UNHCR (2015), </w:t>
      </w:r>
      <w:r w:rsidRPr="00E5046A">
        <w:rPr>
          <w:rFonts w:ascii="Arial" w:hAnsi="Arial" w:cs="Arial"/>
          <w:i/>
        </w:rPr>
        <w:t>‘</w:t>
      </w:r>
      <w:hyperlink r:id="rId173" w:history="1">
        <w:r w:rsidRPr="00E5046A">
          <w:rPr>
            <w:rStyle w:val="Hyperlink"/>
            <w:rFonts w:ascii="Arial" w:hAnsi="Arial" w:cs="Arial"/>
          </w:rPr>
          <w:t>Immigration Bill 2015: Parliamentary Briefing for House of Commons</w:t>
        </w:r>
      </w:hyperlink>
      <w:r w:rsidRPr="00E5046A">
        <w:rPr>
          <w:rFonts w:ascii="Arial" w:hAnsi="Arial" w:cs="Arial"/>
          <w:iCs/>
        </w:rPr>
        <w:t xml:space="preserve">’ </w:t>
      </w:r>
      <w:r w:rsidRPr="00E5046A">
        <w:rPr>
          <w:rFonts w:ascii="Arial" w:hAnsi="Arial" w:cs="Arial"/>
        </w:rPr>
        <w:t>[accessed: 8 March 2019].</w:t>
      </w:r>
    </w:p>
  </w:footnote>
  <w:footnote w:id="193">
    <w:p w14:paraId="350491F5" w14:textId="2B23D68C"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NHS Digital (2018), ‘</w:t>
      </w:r>
      <w:hyperlink r:id="rId174" w:history="1">
        <w:r w:rsidRPr="00E5046A">
          <w:rPr>
            <w:rStyle w:val="Hyperlink"/>
            <w:rFonts w:cs="Arial"/>
          </w:rPr>
          <w:t>Mental Health Act Statistics, Annual Figures: 2017-18</w:t>
        </w:r>
      </w:hyperlink>
      <w:r w:rsidRPr="00E5046A">
        <w:rPr>
          <w:rFonts w:cs="Arial"/>
        </w:rPr>
        <w:t>’ [accessed: 8 March 2019].</w:t>
      </w:r>
    </w:p>
  </w:footnote>
  <w:footnote w:id="194">
    <w:p w14:paraId="0B60336E" w14:textId="7DB68D88" w:rsidR="00AE42CD" w:rsidRPr="007C24A5" w:rsidRDefault="00AE42CD" w:rsidP="007C24A5">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Welsh Government (2018), ‘</w:t>
      </w:r>
      <w:hyperlink r:id="rId175" w:history="1">
        <w:r w:rsidRPr="00E5046A">
          <w:rPr>
            <w:rStyle w:val="Hyperlink"/>
            <w:rFonts w:ascii="Arial" w:hAnsi="Arial" w:cs="Arial"/>
          </w:rPr>
          <w:t>Statistical First Release: admission of patients to mental health facilities in Wales, 2016-17</w:t>
        </w:r>
      </w:hyperlink>
      <w:r>
        <w:rPr>
          <w:rFonts w:ascii="Arial" w:hAnsi="Arial" w:cs="Arial"/>
        </w:rPr>
        <w:t>’ [accessed 8 March 2019].</w:t>
      </w:r>
    </w:p>
  </w:footnote>
  <w:footnote w:id="195">
    <w:p w14:paraId="04A1CB1F" w14:textId="521BAF60"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All-Party Parliamentary Group on Mental Health (2018), ‘</w:t>
      </w:r>
      <w:hyperlink r:id="rId176" w:history="1">
        <w:r w:rsidRPr="00E5046A">
          <w:rPr>
            <w:rStyle w:val="Hyperlink"/>
            <w:rFonts w:ascii="Arial" w:hAnsi="Arial" w:cs="Arial"/>
          </w:rPr>
          <w:t>Progress of the Five Year Forward View for Mental Health: On the road to parity</w:t>
        </w:r>
      </w:hyperlink>
      <w:r w:rsidRPr="00E5046A">
        <w:rPr>
          <w:rFonts w:ascii="Arial" w:hAnsi="Arial" w:cs="Arial"/>
        </w:rPr>
        <w:t>’ [accessed 8 March 2019].</w:t>
      </w:r>
    </w:p>
  </w:footnote>
  <w:footnote w:id="196">
    <w:p w14:paraId="4DFA14AA" w14:textId="7584245E"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NHS Digital (2018).</w:t>
      </w:r>
    </w:p>
  </w:footnote>
  <w:footnote w:id="197">
    <w:p w14:paraId="0DF7A4A3" w14:textId="0B398486"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EHRC (2018), Our recommendations to the Independent Review of the Mental Health Act, 19 November.</w:t>
      </w:r>
    </w:p>
  </w:footnote>
  <w:footnote w:id="198">
    <w:p w14:paraId="7073C3C0" w14:textId="2789BC07"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Health Inspectorate Wales (2017), ‘</w:t>
      </w:r>
      <w:hyperlink r:id="rId177" w:history="1">
        <w:r w:rsidRPr="00E5046A">
          <w:rPr>
            <w:rStyle w:val="Hyperlink"/>
            <w:rFonts w:ascii="Arial" w:hAnsi="Arial" w:cs="Arial"/>
          </w:rPr>
          <w:t>Annual report 2016-17</w:t>
        </w:r>
      </w:hyperlink>
      <w:r w:rsidRPr="00E5046A">
        <w:rPr>
          <w:rFonts w:ascii="Arial" w:hAnsi="Arial" w:cs="Arial"/>
        </w:rPr>
        <w:t xml:space="preserve">’ [accessed: 8 March 2019].  </w:t>
      </w:r>
    </w:p>
  </w:footnote>
  <w:footnote w:id="199">
    <w:p w14:paraId="242981FB" w14:textId="51E1AE64"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Department of Health (2012), ‘</w:t>
      </w:r>
      <w:hyperlink r:id="rId178" w:history="1">
        <w:r w:rsidRPr="00E5046A">
          <w:rPr>
            <w:rStyle w:val="Hyperlink"/>
            <w:rFonts w:cs="Arial"/>
          </w:rPr>
          <w:t>Transforming care: A national response to Winterbourne View Hospital</w:t>
        </w:r>
      </w:hyperlink>
      <w:r w:rsidRPr="00E5046A">
        <w:rPr>
          <w:rFonts w:cs="Arial"/>
        </w:rPr>
        <w:t xml:space="preserve">’ [accessed: 17 March 2019].  </w:t>
      </w:r>
    </w:p>
  </w:footnote>
  <w:footnote w:id="200">
    <w:p w14:paraId="58F0DFC7" w14:textId="6B41ECC4" w:rsidR="00AE42CD" w:rsidRPr="00E5046A" w:rsidRDefault="00AE42CD" w:rsidP="004835A2">
      <w:pPr>
        <w:pStyle w:val="EndnoteText"/>
        <w:rPr>
          <w:rStyle w:val="Hyperlink"/>
          <w:rFonts w:ascii="Arial" w:hAnsi="Arial" w:cs="Arial"/>
          <w:bCs/>
          <w:color w:val="auto"/>
          <w:lang w:val="en"/>
        </w:rPr>
      </w:pPr>
      <w:r w:rsidRPr="00E5046A">
        <w:rPr>
          <w:rStyle w:val="FootnoteReference"/>
          <w:rFonts w:ascii="Arial" w:hAnsi="Arial" w:cs="Arial"/>
        </w:rPr>
        <w:footnoteRef/>
      </w:r>
      <w:r w:rsidRPr="00E5046A">
        <w:rPr>
          <w:rFonts w:ascii="Arial" w:hAnsi="Arial" w:cs="Arial"/>
        </w:rPr>
        <w:t xml:space="preserve"> NHS Digital (2018), ‘</w:t>
      </w:r>
      <w:hyperlink r:id="rId179" w:history="1">
        <w:r w:rsidRPr="00E5046A">
          <w:rPr>
            <w:rStyle w:val="Hyperlink"/>
            <w:rFonts w:ascii="Arial" w:hAnsi="Arial" w:cs="Arial"/>
          </w:rPr>
          <w:t>Learning Disability Services Monthly Statistics</w:t>
        </w:r>
      </w:hyperlink>
      <w:r w:rsidRPr="00E5046A">
        <w:rPr>
          <w:rFonts w:ascii="Arial" w:hAnsi="Arial" w:cs="Arial"/>
          <w:bCs/>
          <w:lang w:val="en"/>
        </w:rPr>
        <w:t xml:space="preserve">’ </w:t>
      </w:r>
      <w:r w:rsidRPr="00E5046A">
        <w:rPr>
          <w:rFonts w:ascii="Arial" w:hAnsi="Arial" w:cs="Arial"/>
        </w:rPr>
        <w:t xml:space="preserve">[accessed: 8 March 2019].  </w:t>
      </w:r>
    </w:p>
    <w:p w14:paraId="676C3CF1" w14:textId="00F2CCDF" w:rsidR="00AE42CD" w:rsidRPr="00E5046A" w:rsidRDefault="00AE42CD" w:rsidP="00C32DAA">
      <w:pPr>
        <w:pStyle w:val="FootnoteText"/>
        <w:rPr>
          <w:rFonts w:cs="Arial"/>
        </w:rPr>
      </w:pPr>
    </w:p>
  </w:footnote>
  <w:footnote w:id="201">
    <w:p w14:paraId="3E6AE3AF" w14:textId="290601D7"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Welsh Government (2018), ‘</w:t>
      </w:r>
      <w:hyperlink r:id="rId180" w:history="1">
        <w:r w:rsidRPr="00E5046A">
          <w:rPr>
            <w:rStyle w:val="Hyperlink"/>
            <w:rFonts w:cs="Arial"/>
          </w:rPr>
          <w:t>Local authorities registers on people with disabilities</w:t>
        </w:r>
      </w:hyperlink>
      <w:r w:rsidRPr="00E5046A">
        <w:rPr>
          <w:rFonts w:cs="Arial"/>
        </w:rPr>
        <w:t>’ [accessed 8 March 2019].</w:t>
      </w:r>
    </w:p>
  </w:footnote>
  <w:footnote w:id="202">
    <w:p w14:paraId="25AD8D43" w14:textId="0DA6ADB4" w:rsidR="00AE42CD" w:rsidRPr="00E5046A" w:rsidRDefault="00AE42CD" w:rsidP="00C32DAA">
      <w:pPr>
        <w:contextualSpacing/>
        <w:rPr>
          <w:rFonts w:cs="Arial"/>
          <w:sz w:val="20"/>
          <w:szCs w:val="20"/>
        </w:rPr>
      </w:pPr>
      <w:r w:rsidRPr="00E5046A">
        <w:rPr>
          <w:rStyle w:val="FootnoteReference"/>
          <w:rFonts w:cs="Arial"/>
          <w:sz w:val="20"/>
          <w:szCs w:val="20"/>
        </w:rPr>
        <w:footnoteRef/>
      </w:r>
      <w:r w:rsidRPr="00E5046A">
        <w:rPr>
          <w:rFonts w:cs="Arial"/>
          <w:sz w:val="20"/>
          <w:szCs w:val="20"/>
        </w:rPr>
        <w:t xml:space="preserve"> Council for Disabled Children (2017) ‘</w:t>
      </w:r>
      <w:hyperlink r:id="rId181" w:history="1">
        <w:r w:rsidRPr="00E5046A">
          <w:rPr>
            <w:rStyle w:val="Hyperlink"/>
            <w:rFonts w:cs="Arial"/>
            <w:sz w:val="20"/>
            <w:szCs w:val="20"/>
          </w:rPr>
          <w:t>These are our children: A review, by Dame Christine Lenehan Director, Council for Disabled Children</w:t>
        </w:r>
      </w:hyperlink>
      <w:r w:rsidRPr="00E5046A">
        <w:rPr>
          <w:rFonts w:cs="Arial"/>
          <w:sz w:val="20"/>
          <w:szCs w:val="20"/>
        </w:rPr>
        <w:t>’ [accessed 8 March 2019].</w:t>
      </w:r>
      <w:r w:rsidRPr="00E5046A" w:rsidDel="004835A2">
        <w:rPr>
          <w:rFonts w:cs="Arial"/>
          <w:sz w:val="20"/>
          <w:szCs w:val="20"/>
        </w:rPr>
        <w:t xml:space="preserve"> </w:t>
      </w:r>
      <w:r w:rsidRPr="00E5046A">
        <w:rPr>
          <w:rFonts w:cs="Arial"/>
          <w:sz w:val="20"/>
          <w:szCs w:val="20"/>
        </w:rPr>
        <w:t xml:space="preserve"> </w:t>
      </w:r>
    </w:p>
  </w:footnote>
  <w:footnote w:id="203">
    <w:p w14:paraId="0E111145" w14:textId="4E6291C8" w:rsidR="00AE42CD" w:rsidRPr="00E5046A" w:rsidRDefault="00AE42CD" w:rsidP="00664589">
      <w:pPr>
        <w:contextualSpacing/>
        <w:rPr>
          <w:rFonts w:cs="Arial"/>
          <w:sz w:val="20"/>
          <w:szCs w:val="20"/>
        </w:rPr>
      </w:pPr>
      <w:r w:rsidRPr="00E5046A">
        <w:rPr>
          <w:rStyle w:val="FootnoteReference"/>
          <w:rFonts w:cs="Arial"/>
          <w:sz w:val="20"/>
          <w:szCs w:val="20"/>
        </w:rPr>
        <w:footnoteRef/>
      </w:r>
      <w:r w:rsidRPr="00E5046A">
        <w:rPr>
          <w:rFonts w:cs="Arial"/>
          <w:sz w:val="20"/>
          <w:szCs w:val="20"/>
        </w:rPr>
        <w:t xml:space="preserve"> JCHR, ‘</w:t>
      </w:r>
      <w:hyperlink r:id="rId182" w:history="1">
        <w:r w:rsidRPr="00E5046A">
          <w:rPr>
            <w:rStyle w:val="Hyperlink"/>
            <w:rFonts w:cs="Arial"/>
            <w:sz w:val="20"/>
            <w:szCs w:val="20"/>
          </w:rPr>
          <w:t>Inquiry on conditions in learning disability inpatient units, oral hearing</w:t>
        </w:r>
      </w:hyperlink>
      <w:r w:rsidRPr="00E5046A">
        <w:rPr>
          <w:rFonts w:cs="Arial"/>
          <w:sz w:val="20"/>
          <w:szCs w:val="20"/>
        </w:rPr>
        <w:t>’ [accessed 8 March 2019].</w:t>
      </w:r>
      <w:r w:rsidRPr="00E5046A" w:rsidDel="004835A2">
        <w:rPr>
          <w:rFonts w:cs="Arial"/>
          <w:sz w:val="20"/>
          <w:szCs w:val="20"/>
        </w:rPr>
        <w:t xml:space="preserve"> </w:t>
      </w:r>
      <w:r w:rsidRPr="00E5046A">
        <w:rPr>
          <w:rFonts w:cs="Arial"/>
          <w:sz w:val="20"/>
          <w:szCs w:val="20"/>
        </w:rPr>
        <w:t xml:space="preserve"> </w:t>
      </w:r>
    </w:p>
  </w:footnote>
  <w:footnote w:id="204">
    <w:p w14:paraId="3FD033F2" w14:textId="367F72C2" w:rsidR="00AE42CD" w:rsidRPr="00E5046A" w:rsidRDefault="00AE42CD" w:rsidP="00664589">
      <w:pPr>
        <w:contextualSpacing/>
        <w:rPr>
          <w:rFonts w:cs="Arial"/>
          <w:sz w:val="20"/>
          <w:szCs w:val="20"/>
        </w:rPr>
      </w:pPr>
      <w:r w:rsidRPr="00E5046A">
        <w:rPr>
          <w:rStyle w:val="FootnoteReference"/>
          <w:rFonts w:cs="Arial"/>
          <w:sz w:val="20"/>
          <w:szCs w:val="20"/>
        </w:rPr>
        <w:footnoteRef/>
      </w:r>
      <w:r w:rsidRPr="00E5046A">
        <w:rPr>
          <w:rFonts w:cs="Arial"/>
          <w:sz w:val="20"/>
          <w:szCs w:val="20"/>
        </w:rPr>
        <w:t xml:space="preserve"> EHRC (2018), </w:t>
      </w:r>
      <w:hyperlink r:id="rId183" w:history="1">
        <w:r w:rsidRPr="00E5046A">
          <w:rPr>
            <w:rStyle w:val="Hyperlink"/>
            <w:rFonts w:cs="Arial"/>
            <w:sz w:val="20"/>
            <w:szCs w:val="20"/>
          </w:rPr>
          <w:t>Twitter statement</w:t>
        </w:r>
      </w:hyperlink>
      <w:r w:rsidRPr="00E5046A">
        <w:rPr>
          <w:rFonts w:cs="Arial"/>
          <w:sz w:val="20"/>
          <w:szCs w:val="20"/>
        </w:rPr>
        <w:t xml:space="preserve"> [accessed 9 March 2019].</w:t>
      </w:r>
      <w:r w:rsidRPr="00E5046A" w:rsidDel="004835A2">
        <w:rPr>
          <w:rFonts w:cs="Arial"/>
          <w:sz w:val="20"/>
          <w:szCs w:val="20"/>
        </w:rPr>
        <w:t xml:space="preserve"> </w:t>
      </w:r>
      <w:r w:rsidRPr="00E5046A">
        <w:rPr>
          <w:rFonts w:cs="Arial"/>
          <w:sz w:val="20"/>
          <w:szCs w:val="20"/>
        </w:rPr>
        <w:t xml:space="preserve"> </w:t>
      </w:r>
    </w:p>
  </w:footnote>
  <w:footnote w:id="205">
    <w:p w14:paraId="3165A760" w14:textId="4B111164" w:rsidR="00AE42CD" w:rsidRPr="004D3F0B" w:rsidRDefault="00AE42CD" w:rsidP="00664589">
      <w:pPr>
        <w:pStyle w:val="EndnoteText"/>
        <w:contextualSpacing/>
        <w:rPr>
          <w:rFonts w:ascii="Arial" w:hAnsi="Arial" w:cs="Arial"/>
        </w:rPr>
      </w:pPr>
      <w:r w:rsidRPr="00E5046A">
        <w:rPr>
          <w:rStyle w:val="FootnoteReference"/>
          <w:rFonts w:ascii="Arial" w:hAnsi="Arial" w:cs="Arial"/>
        </w:rPr>
        <w:footnoteRef/>
      </w:r>
      <w:r w:rsidRPr="00E5046A">
        <w:rPr>
          <w:rFonts w:ascii="Arial" w:hAnsi="Arial" w:cs="Arial"/>
        </w:rPr>
        <w:t xml:space="preserve"> </w:t>
      </w:r>
      <w:r w:rsidRPr="004D3F0B">
        <w:rPr>
          <w:rFonts w:ascii="Arial" w:hAnsi="Arial" w:cs="Arial"/>
        </w:rPr>
        <w:t xml:space="preserve">Department of Health and Social Care (2017), ‘ </w:t>
      </w:r>
      <w:hyperlink r:id="rId184" w:history="1">
        <w:r w:rsidRPr="004D3F0B">
          <w:rPr>
            <w:rStyle w:val="Hyperlink"/>
            <w:rFonts w:ascii="Arial" w:hAnsi="Arial" w:cs="Arial"/>
          </w:rPr>
          <w:t>Terms of Reference - Independent Review of the Mental Health Act 1983</w:t>
        </w:r>
      </w:hyperlink>
      <w:r w:rsidRPr="004D3F0B">
        <w:rPr>
          <w:rFonts w:ascii="Arial" w:hAnsi="Arial" w:cs="Arial"/>
          <w:bCs/>
          <w:lang w:val="en"/>
        </w:rPr>
        <w:t xml:space="preserve">’ </w:t>
      </w:r>
      <w:r w:rsidRPr="004D3F0B">
        <w:rPr>
          <w:rFonts w:ascii="Arial" w:hAnsi="Arial" w:cs="Arial"/>
        </w:rPr>
        <w:t>[accessed on 8 March 2019].</w:t>
      </w:r>
    </w:p>
  </w:footnote>
  <w:footnote w:id="206">
    <w:p w14:paraId="23D2ED43" w14:textId="2230F053" w:rsidR="00AE42CD" w:rsidRPr="00E5046A" w:rsidRDefault="00AE42CD" w:rsidP="00664589">
      <w:pPr>
        <w:pStyle w:val="EndnoteText"/>
        <w:rPr>
          <w:rFonts w:ascii="Arial" w:hAnsi="Arial" w:cs="Arial"/>
        </w:rPr>
      </w:pPr>
      <w:r w:rsidRPr="004D3F0B">
        <w:rPr>
          <w:rStyle w:val="FootnoteReference"/>
          <w:rFonts w:ascii="Arial" w:hAnsi="Arial" w:cs="Arial"/>
        </w:rPr>
        <w:footnoteRef/>
      </w:r>
      <w:r w:rsidRPr="004D3F0B">
        <w:rPr>
          <w:rFonts w:ascii="Arial" w:hAnsi="Arial" w:cs="Arial"/>
        </w:rPr>
        <w:t xml:space="preserve"> EHRC (2018), Our recommendations to the Independent Review of the Mental Health Act, 19 November.</w:t>
      </w:r>
    </w:p>
  </w:footnote>
  <w:footnote w:id="207">
    <w:p w14:paraId="6DE4DF94" w14:textId="73923DC5"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Department of Health and Social Care </w:t>
      </w:r>
      <w:r w:rsidRPr="00E5046A">
        <w:rPr>
          <w:rFonts w:ascii="Arial" w:hAnsi="Arial" w:cs="Arial"/>
          <w:bCs/>
        </w:rPr>
        <w:t>(2018), ‘</w:t>
      </w:r>
      <w:hyperlink r:id="rId185" w:history="1">
        <w:r w:rsidRPr="00E5046A">
          <w:rPr>
            <w:rStyle w:val="Hyperlink"/>
            <w:rFonts w:ascii="Arial" w:hAnsi="Arial" w:cs="Arial"/>
          </w:rPr>
          <w:t xml:space="preserve">Modernising the Mental Health Act: </w:t>
        </w:r>
        <w:r w:rsidRPr="00E5046A">
          <w:rPr>
            <w:rStyle w:val="Hyperlink"/>
            <w:rFonts w:ascii="Arial" w:hAnsi="Arial" w:cs="Arial"/>
            <w:bCs/>
          </w:rPr>
          <w:t>I</w:t>
        </w:r>
        <w:r w:rsidRPr="00E5046A">
          <w:rPr>
            <w:rStyle w:val="Hyperlink"/>
            <w:rFonts w:ascii="Arial" w:hAnsi="Arial" w:cs="Arial"/>
          </w:rPr>
          <w:t>ncreasing choice, reducing compulsion</w:t>
        </w:r>
      </w:hyperlink>
      <w:r w:rsidRPr="00E5046A">
        <w:rPr>
          <w:rFonts w:ascii="Arial" w:hAnsi="Arial" w:cs="Arial"/>
          <w:bCs/>
        </w:rPr>
        <w:t xml:space="preserve">’ </w:t>
      </w:r>
      <w:r w:rsidRPr="00E5046A">
        <w:rPr>
          <w:rFonts w:ascii="Arial" w:hAnsi="Arial" w:cs="Arial"/>
        </w:rPr>
        <w:t xml:space="preserve">[accessed 9 March 2019]. </w:t>
      </w:r>
    </w:p>
  </w:footnote>
  <w:footnote w:id="208">
    <w:p w14:paraId="00623279" w14:textId="7CEB7EB6"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Welsh Government (2015), ‘</w:t>
      </w:r>
      <w:hyperlink r:id="rId186" w:history="1">
        <w:r w:rsidRPr="00E5046A">
          <w:rPr>
            <w:rStyle w:val="Hyperlink"/>
            <w:rFonts w:cs="Arial"/>
          </w:rPr>
          <w:t>The duty to review: Final report: Post-legislative assessment of the Mental Health (Wales) Measure 2010</w:t>
        </w:r>
      </w:hyperlink>
      <w:r w:rsidRPr="00E5046A">
        <w:rPr>
          <w:rFonts w:cs="Arial"/>
        </w:rPr>
        <w:t>’ [accessed 8 March, 2019].</w:t>
      </w:r>
    </w:p>
  </w:footnote>
  <w:footnote w:id="209">
    <w:p w14:paraId="5236E941" w14:textId="673849E1"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sidRPr="00E5046A">
        <w:rPr>
          <w:rFonts w:ascii="Arial" w:hAnsi="Arial" w:cs="Arial"/>
          <w:i/>
        </w:rPr>
        <w:t>P (by his litigation friend the Official Solicitor) v Cheshire West &amp; Others [2014]</w:t>
      </w:r>
      <w:r w:rsidRPr="00E5046A">
        <w:rPr>
          <w:rFonts w:ascii="Arial" w:hAnsi="Arial" w:cs="Arial"/>
        </w:rPr>
        <w:t xml:space="preserve"> UKSC 19. </w:t>
      </w:r>
    </w:p>
  </w:footnote>
  <w:footnote w:id="210">
    <w:p w14:paraId="1F9F3D48" w14:textId="048B1B6F" w:rsidR="00AE42CD" w:rsidRPr="00E5046A" w:rsidRDefault="00AE42CD" w:rsidP="00664589">
      <w:pPr>
        <w:pStyle w:val="EndnoteText"/>
        <w:rPr>
          <w:rFonts w:ascii="Arial" w:hAnsi="Arial" w:cs="Arial"/>
          <w:u w:val="single"/>
        </w:rPr>
      </w:pPr>
      <w:r w:rsidRPr="00E5046A">
        <w:rPr>
          <w:rStyle w:val="FootnoteReference"/>
          <w:rFonts w:ascii="Arial" w:hAnsi="Arial" w:cs="Arial"/>
        </w:rPr>
        <w:footnoteRef/>
      </w:r>
      <w:r w:rsidRPr="00E5046A">
        <w:rPr>
          <w:rFonts w:ascii="Arial" w:hAnsi="Arial" w:cs="Arial"/>
        </w:rPr>
        <w:t xml:space="preserve"> Health and Social Care Information Centre (2018), </w:t>
      </w:r>
      <w:hyperlink r:id="rId187" w:history="1">
        <w:r w:rsidRPr="00E5046A">
          <w:rPr>
            <w:rStyle w:val="Hyperlink"/>
            <w:rFonts w:ascii="Arial" w:hAnsi="Arial" w:cs="Arial"/>
          </w:rPr>
          <w:t>Mental Capacity Act 2005, Deprivation of Liberty Safeguards, England, 2017-18</w:t>
        </w:r>
      </w:hyperlink>
      <w:r w:rsidRPr="00E5046A">
        <w:rPr>
          <w:rFonts w:ascii="Arial" w:hAnsi="Arial" w:cs="Arial"/>
        </w:rPr>
        <w:t xml:space="preserve"> [accessed 17 March, 2019].</w:t>
      </w:r>
    </w:p>
  </w:footnote>
  <w:footnote w:id="211">
    <w:p w14:paraId="3AFEACC7" w14:textId="23BFB3DD" w:rsidR="00AE42CD" w:rsidRPr="00E5046A" w:rsidRDefault="00AE42CD" w:rsidP="00664589">
      <w:pPr>
        <w:pStyle w:val="EndnoteText"/>
        <w:rPr>
          <w:rFonts w:ascii="Arial" w:hAnsi="Arial" w:cs="Arial"/>
          <w:u w:val="single"/>
        </w:rPr>
      </w:pPr>
      <w:r w:rsidRPr="00E5046A">
        <w:rPr>
          <w:rStyle w:val="FootnoteReference"/>
          <w:rFonts w:ascii="Arial" w:hAnsi="Arial" w:cs="Arial"/>
        </w:rPr>
        <w:footnoteRef/>
      </w:r>
      <w:r w:rsidRPr="00E5046A">
        <w:rPr>
          <w:rFonts w:ascii="Arial" w:hAnsi="Arial" w:cs="Arial"/>
        </w:rPr>
        <w:t xml:space="preserve"> Law Commission (2017), ‘</w:t>
      </w:r>
      <w:hyperlink r:id="rId188" w:history="1">
        <w:r w:rsidRPr="00E5046A">
          <w:rPr>
            <w:rStyle w:val="Hyperlink"/>
            <w:rFonts w:ascii="Arial" w:hAnsi="Arial" w:cs="Arial"/>
          </w:rPr>
          <w:t>Mental Capacity and Deprivation of Liberty</w:t>
        </w:r>
      </w:hyperlink>
      <w:r w:rsidRPr="00E5046A">
        <w:rPr>
          <w:rFonts w:ascii="Arial" w:hAnsi="Arial" w:cs="Arial"/>
        </w:rPr>
        <w:t>’</w:t>
      </w:r>
      <w:r w:rsidRPr="00E5046A">
        <w:rPr>
          <w:rFonts w:ascii="Arial" w:hAnsi="Arial" w:cs="Arial"/>
          <w:bCs/>
        </w:rPr>
        <w:t xml:space="preserve"> </w:t>
      </w:r>
      <w:r w:rsidRPr="00E5046A">
        <w:rPr>
          <w:rFonts w:ascii="Arial" w:hAnsi="Arial" w:cs="Arial"/>
        </w:rPr>
        <w:t>[accessed 9 March, 2019].</w:t>
      </w:r>
    </w:p>
  </w:footnote>
  <w:footnote w:id="212">
    <w:p w14:paraId="57371BEB" w14:textId="01961060" w:rsidR="00AE42CD" w:rsidRPr="00E5046A" w:rsidRDefault="00AE42CD" w:rsidP="00664589">
      <w:pPr>
        <w:pStyle w:val="EndnoteText"/>
        <w:rPr>
          <w:rFonts w:ascii="Arial" w:hAnsi="Arial" w:cs="Arial"/>
          <w:bCs/>
        </w:rPr>
      </w:pPr>
      <w:r w:rsidRPr="00E5046A">
        <w:rPr>
          <w:rStyle w:val="FootnoteReference"/>
          <w:rFonts w:ascii="Arial" w:hAnsi="Arial" w:cs="Arial"/>
        </w:rPr>
        <w:footnoteRef/>
      </w:r>
      <w:r w:rsidRPr="00E5046A">
        <w:rPr>
          <w:rFonts w:ascii="Arial" w:hAnsi="Arial" w:cs="Arial"/>
        </w:rPr>
        <w:t xml:space="preserve"> JCHR (2018), ‘</w:t>
      </w:r>
      <w:hyperlink r:id="rId189" w:history="1">
        <w:r w:rsidRPr="00E5046A">
          <w:rPr>
            <w:rStyle w:val="Hyperlink"/>
            <w:rFonts w:ascii="Arial" w:hAnsi="Arial" w:cs="Arial"/>
          </w:rPr>
          <w:t>The Right to Freedom and Safety: Reform of the Deprivation of Liberty Safeguards</w:t>
        </w:r>
      </w:hyperlink>
      <w:r w:rsidRPr="00E5046A">
        <w:rPr>
          <w:rFonts w:ascii="Arial" w:hAnsi="Arial" w:cs="Arial"/>
          <w:bCs/>
        </w:rPr>
        <w:t xml:space="preserve">’, </w:t>
      </w:r>
      <w:r w:rsidRPr="00E5046A">
        <w:rPr>
          <w:rFonts w:ascii="Arial" w:hAnsi="Arial" w:cs="Arial"/>
        </w:rPr>
        <w:t>[accessed 9 March, 2019].</w:t>
      </w:r>
    </w:p>
  </w:footnote>
  <w:footnote w:id="213">
    <w:p w14:paraId="543F0342" w14:textId="603D3088" w:rsidR="00AE42CD" w:rsidRPr="00E5046A" w:rsidRDefault="00AE42CD">
      <w:pPr>
        <w:rPr>
          <w:rFonts w:cs="Arial"/>
          <w:sz w:val="20"/>
          <w:szCs w:val="20"/>
        </w:rPr>
      </w:pPr>
      <w:r w:rsidRPr="00E5046A">
        <w:rPr>
          <w:rStyle w:val="FootnoteReference"/>
          <w:rFonts w:cs="Arial"/>
          <w:sz w:val="20"/>
          <w:szCs w:val="20"/>
        </w:rPr>
        <w:footnoteRef/>
      </w:r>
      <w:r w:rsidRPr="00E5046A">
        <w:rPr>
          <w:rFonts w:cs="Arial"/>
          <w:sz w:val="20"/>
          <w:szCs w:val="20"/>
        </w:rPr>
        <w:t xml:space="preserve"> Healthcare Inspectorate Wales (2017), ‘</w:t>
      </w:r>
      <w:hyperlink r:id="rId190" w:history="1">
        <w:r w:rsidRPr="00E5046A">
          <w:rPr>
            <w:rStyle w:val="Hyperlink"/>
            <w:rFonts w:cs="Arial"/>
            <w:sz w:val="20"/>
            <w:szCs w:val="20"/>
          </w:rPr>
          <w:t>Deprivation of Liberty Safeguards: Annual Monitoring Report for Health and Social Care 2016-17</w:t>
        </w:r>
      </w:hyperlink>
      <w:r w:rsidRPr="00E5046A">
        <w:rPr>
          <w:rFonts w:cs="Arial"/>
          <w:sz w:val="20"/>
          <w:szCs w:val="20"/>
        </w:rPr>
        <w:t>’</w:t>
      </w:r>
      <w:r w:rsidRPr="00E5046A">
        <w:rPr>
          <w:rFonts w:cs="Arial"/>
          <w:i/>
          <w:sz w:val="20"/>
          <w:szCs w:val="20"/>
        </w:rPr>
        <w:t xml:space="preserve"> </w:t>
      </w:r>
      <w:r w:rsidRPr="00E5046A">
        <w:rPr>
          <w:rFonts w:cs="Arial"/>
          <w:sz w:val="20"/>
          <w:szCs w:val="20"/>
        </w:rPr>
        <w:t>[accessed 17 March, 2019].</w:t>
      </w:r>
    </w:p>
  </w:footnote>
  <w:footnote w:id="214">
    <w:p w14:paraId="077E672F" w14:textId="1549AE16" w:rsidR="00AE42CD" w:rsidRDefault="00AE42CD">
      <w:pPr>
        <w:pStyle w:val="FootnoteText"/>
      </w:pPr>
      <w:r>
        <w:rPr>
          <w:rStyle w:val="FootnoteReference"/>
        </w:rPr>
        <w:footnoteRef/>
      </w:r>
      <w:r>
        <w:t xml:space="preserve"> </w:t>
      </w:r>
      <w:r w:rsidRPr="00F873DB">
        <w:t>Law Commission (2017), ‘</w:t>
      </w:r>
      <w:hyperlink r:id="rId191" w:history="1">
        <w:r w:rsidRPr="00F873DB">
          <w:rPr>
            <w:rStyle w:val="Hyperlink"/>
          </w:rPr>
          <w:t>Mental Capacity and Deprivation of Liberty</w:t>
        </w:r>
      </w:hyperlink>
      <w:r w:rsidRPr="00F873DB">
        <w:t>’</w:t>
      </w:r>
      <w:r w:rsidRPr="00F873DB">
        <w:rPr>
          <w:bCs/>
        </w:rPr>
        <w:t xml:space="preserve"> </w:t>
      </w:r>
      <w:r w:rsidRPr="00F873DB">
        <w:t>[accessed 9 March, 2019].</w:t>
      </w:r>
    </w:p>
  </w:footnote>
  <w:footnote w:id="215">
    <w:p w14:paraId="066A2C8C" w14:textId="6F91C64F" w:rsidR="00AE42CD" w:rsidRDefault="00AE42CD">
      <w:pPr>
        <w:pStyle w:val="FootnoteText"/>
      </w:pPr>
      <w:r>
        <w:rPr>
          <w:rStyle w:val="FootnoteReference"/>
        </w:rPr>
        <w:footnoteRef/>
      </w:r>
      <w:r>
        <w:t xml:space="preserve"> </w:t>
      </w:r>
      <w:hyperlink r:id="rId192" w:history="1">
        <w:r w:rsidRPr="00F873DB">
          <w:rPr>
            <w:rStyle w:val="Hyperlink"/>
          </w:rPr>
          <w:t>Mental Capacity (Amendment) Bill</w:t>
        </w:r>
      </w:hyperlink>
      <w:r>
        <w:t xml:space="preserve"> [HL] 2017-19 [accessed: 20 March 2019]</w:t>
      </w:r>
    </w:p>
  </w:footnote>
  <w:footnote w:id="216">
    <w:p w14:paraId="07F235B3" w14:textId="6C2E8EDA" w:rsidR="00AE42CD" w:rsidRDefault="00AE42CD">
      <w:pPr>
        <w:pStyle w:val="FootnoteText"/>
      </w:pPr>
      <w:r>
        <w:rPr>
          <w:rStyle w:val="FootnoteReference"/>
        </w:rPr>
        <w:footnoteRef/>
      </w:r>
      <w:r>
        <w:t xml:space="preserve"> CQC (2017), ‘</w:t>
      </w:r>
      <w:hyperlink r:id="rId193" w:history="1">
        <w:r w:rsidRPr="00F873DB">
          <w:rPr>
            <w:rStyle w:val="Hyperlink"/>
          </w:rPr>
          <w:t>Review of children and young people’s mental health services</w:t>
        </w:r>
      </w:hyperlink>
      <w:r>
        <w:t>’ [accessed 20 March 2019]; CQC (2018) ‘</w:t>
      </w:r>
      <w:hyperlink r:id="rId194" w:history="1">
        <w:r w:rsidRPr="00F873DB">
          <w:rPr>
            <w:rStyle w:val="Hyperlink"/>
          </w:rPr>
          <w:t>Are we listening? Review of Children and young peoples mental health services</w:t>
        </w:r>
      </w:hyperlink>
      <w:r>
        <w:t>’</w:t>
      </w:r>
      <w:r w:rsidRPr="00F873DB">
        <w:t xml:space="preserve">, </w:t>
      </w:r>
    </w:p>
  </w:footnote>
  <w:footnote w:id="217">
    <w:p w14:paraId="092444B0" w14:textId="682EDB37" w:rsidR="00AE42CD" w:rsidRPr="00E5046A" w:rsidRDefault="00AE42CD" w:rsidP="00664589">
      <w:pPr>
        <w:pStyle w:val="EndnoteText"/>
        <w:rPr>
          <w:rFonts w:ascii="Arial" w:hAnsi="Arial" w:cs="Arial"/>
        </w:rPr>
      </w:pPr>
      <w:r w:rsidRPr="00E5046A">
        <w:rPr>
          <w:rStyle w:val="FootnoteReference"/>
          <w:rFonts w:ascii="Arial" w:hAnsi="Arial" w:cs="Arial"/>
        </w:rPr>
        <w:footnoteRef/>
      </w:r>
      <w:r>
        <w:rPr>
          <w:rFonts w:ascii="Arial" w:hAnsi="Arial" w:cs="Arial"/>
        </w:rPr>
        <w:t xml:space="preserve"> CCE</w:t>
      </w:r>
      <w:r w:rsidRPr="00E5046A">
        <w:rPr>
          <w:rFonts w:ascii="Arial" w:hAnsi="Arial" w:cs="Arial"/>
        </w:rPr>
        <w:t xml:space="preserve"> (2018), ‘</w:t>
      </w:r>
      <w:hyperlink r:id="rId195" w:history="1">
        <w:r w:rsidRPr="00E5046A">
          <w:rPr>
            <w:rStyle w:val="Hyperlink"/>
            <w:rFonts w:ascii="Arial" w:hAnsi="Arial" w:cs="Arial"/>
            <w:color w:val="auto"/>
          </w:rPr>
          <w:t>Children’s Mental Health briefing</w:t>
        </w:r>
      </w:hyperlink>
      <w:r w:rsidRPr="00E5046A">
        <w:rPr>
          <w:rStyle w:val="Hyperlink"/>
          <w:rFonts w:ascii="Arial" w:hAnsi="Arial" w:cs="Arial"/>
          <w:color w:val="auto"/>
        </w:rPr>
        <w:t>’</w:t>
      </w:r>
      <w:r w:rsidRPr="00E5046A">
        <w:rPr>
          <w:rFonts w:ascii="Arial" w:hAnsi="Arial" w:cs="Arial"/>
        </w:rPr>
        <w:t xml:space="preserve"> [accessed: 9 March 2019]. </w:t>
      </w:r>
    </w:p>
  </w:footnote>
  <w:footnote w:id="218">
    <w:p w14:paraId="6366F93C" w14:textId="3BFD6246" w:rsidR="00AE42CD" w:rsidRPr="00E5046A" w:rsidRDefault="00AE42CD" w:rsidP="00B76B94">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EHRC (2018), ‘</w:t>
      </w:r>
      <w:hyperlink r:id="rId196" w:history="1">
        <w:r w:rsidRPr="00E5046A">
          <w:rPr>
            <w:rStyle w:val="Hyperlink"/>
            <w:rFonts w:ascii="Arial" w:hAnsi="Arial" w:cs="Arial"/>
            <w:color w:val="auto"/>
          </w:rPr>
          <w:t>Is Wales Fairer? 2018</w:t>
        </w:r>
      </w:hyperlink>
      <w:r w:rsidRPr="00E5046A">
        <w:rPr>
          <w:rStyle w:val="Hyperlink"/>
          <w:rFonts w:ascii="Arial" w:hAnsi="Arial" w:cs="Arial"/>
          <w:color w:val="auto"/>
        </w:rPr>
        <w:t>’</w:t>
      </w:r>
      <w:r w:rsidRPr="00E5046A">
        <w:rPr>
          <w:rFonts w:ascii="Arial" w:hAnsi="Arial" w:cs="Arial"/>
        </w:rPr>
        <w:t xml:space="preserve"> [accessed: 9 March 2019].</w:t>
      </w:r>
    </w:p>
    <w:p w14:paraId="4F6BDAAB" w14:textId="70182AC9" w:rsidR="00AE42CD" w:rsidRPr="00E5046A" w:rsidRDefault="00AE42CD" w:rsidP="00C32DAA">
      <w:pPr>
        <w:pStyle w:val="FootnoteText"/>
        <w:rPr>
          <w:rFonts w:cs="Arial"/>
        </w:rPr>
      </w:pPr>
    </w:p>
  </w:footnote>
  <w:footnote w:id="219">
    <w:p w14:paraId="77B0BDF1" w14:textId="541A4025"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Section 81 of the </w:t>
      </w:r>
      <w:hyperlink r:id="rId197" w:history="1">
        <w:r w:rsidRPr="00E5046A">
          <w:rPr>
            <w:rStyle w:val="Hyperlink"/>
            <w:rFonts w:ascii="Arial" w:hAnsi="Arial" w:cs="Arial"/>
          </w:rPr>
          <w:t>Policing and Crime Act 2017</w:t>
        </w:r>
      </w:hyperlink>
      <w:r w:rsidRPr="00E5046A">
        <w:rPr>
          <w:rFonts w:ascii="Arial" w:hAnsi="Arial" w:cs="Arial"/>
        </w:rPr>
        <w:t xml:space="preserve">, as an amendment to the Mental Health Act 1983. </w:t>
      </w:r>
      <w:r w:rsidRPr="00E5046A">
        <w:rPr>
          <w:rFonts w:ascii="Arial" w:hAnsi="Arial" w:cs="Arial"/>
          <w:highlight w:val="green"/>
        </w:rPr>
        <w:t xml:space="preserve"> </w:t>
      </w:r>
    </w:p>
  </w:footnote>
  <w:footnote w:id="220">
    <w:p w14:paraId="3B0D74EF" w14:textId="6BC978FC"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sidRPr="00E5046A">
        <w:rPr>
          <w:rStyle w:val="Hyperlink"/>
          <w:rFonts w:ascii="Arial" w:hAnsi="Arial" w:cs="Arial"/>
          <w:color w:val="auto"/>
          <w:u w:val="none"/>
        </w:rPr>
        <w:t>National Police Chiefs’ Council (2015), ‘</w:t>
      </w:r>
      <w:hyperlink r:id="rId198" w:history="1">
        <w:r w:rsidRPr="00E5046A">
          <w:rPr>
            <w:rStyle w:val="Hyperlink"/>
            <w:rFonts w:ascii="Arial" w:hAnsi="Arial" w:cs="Arial"/>
            <w:color w:val="auto"/>
          </w:rPr>
          <w:t>Use of Section 136 Mental Health Act 1983 in 2014-15</w:t>
        </w:r>
      </w:hyperlink>
      <w:r w:rsidRPr="00E5046A">
        <w:rPr>
          <w:rStyle w:val="Hyperlink"/>
          <w:rFonts w:ascii="Arial" w:hAnsi="Arial" w:cs="Arial"/>
          <w:color w:val="auto"/>
        </w:rPr>
        <w:t xml:space="preserve">’ </w:t>
      </w:r>
      <w:r w:rsidRPr="00E5046A">
        <w:rPr>
          <w:rFonts w:ascii="Arial" w:hAnsi="Arial" w:cs="Arial"/>
        </w:rPr>
        <w:t>[accessed: 9 March 2019]; UK Government (2018), ‘</w:t>
      </w:r>
      <w:hyperlink r:id="rId199" w:history="1">
        <w:r w:rsidRPr="00E5046A">
          <w:rPr>
            <w:rStyle w:val="Hyperlink"/>
            <w:rFonts w:ascii="Arial" w:hAnsi="Arial" w:cs="Arial"/>
            <w:color w:val="auto"/>
          </w:rPr>
          <w:t>Detentions under the Mental Health Act</w:t>
        </w:r>
      </w:hyperlink>
      <w:r w:rsidRPr="00E5046A">
        <w:rPr>
          <w:rStyle w:val="Hyperlink"/>
          <w:rFonts w:ascii="Arial" w:hAnsi="Arial" w:cs="Arial"/>
          <w:color w:val="auto"/>
        </w:rPr>
        <w:t xml:space="preserve"> (1983) - Police powers and procedures, 2017/18’</w:t>
      </w:r>
      <w:r w:rsidRPr="00E5046A">
        <w:rPr>
          <w:rFonts w:ascii="Arial" w:hAnsi="Arial" w:cs="Arial"/>
        </w:rPr>
        <w:t xml:space="preserve"> [accessed: 9 March 2019].</w:t>
      </w:r>
    </w:p>
  </w:footnote>
  <w:footnote w:id="221">
    <w:p w14:paraId="0E4BB7D0" w14:textId="0E8A602F"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Ibid.</w:t>
      </w:r>
    </w:p>
  </w:footnote>
  <w:footnote w:id="222">
    <w:p w14:paraId="09D768E1" w14:textId="06E8331A"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Education Policy Institute (2018), ‘</w:t>
      </w:r>
      <w:hyperlink r:id="rId200" w:history="1">
        <w:r w:rsidRPr="00E5046A">
          <w:rPr>
            <w:rStyle w:val="Hyperlink"/>
            <w:rFonts w:ascii="Arial" w:hAnsi="Arial" w:cs="Arial"/>
            <w:color w:val="auto"/>
          </w:rPr>
          <w:t>Access to children and young people’s mental health services</w:t>
        </w:r>
      </w:hyperlink>
      <w:r w:rsidRPr="00E5046A">
        <w:rPr>
          <w:rStyle w:val="Hyperlink"/>
          <w:rFonts w:ascii="Arial" w:hAnsi="Arial" w:cs="Arial"/>
          <w:color w:val="auto"/>
        </w:rPr>
        <w:t>’</w:t>
      </w:r>
      <w:r w:rsidRPr="00E5046A">
        <w:rPr>
          <w:rFonts w:ascii="Arial" w:hAnsi="Arial" w:cs="Arial"/>
        </w:rPr>
        <w:t xml:space="preserve"> [accessed: 17 March 2019].</w:t>
      </w:r>
    </w:p>
  </w:footnote>
  <w:footnote w:id="223">
    <w:p w14:paraId="315E4B1B" w14:textId="21E1F0CC" w:rsidR="00AE42CD" w:rsidRPr="00E5046A" w:rsidRDefault="00AE42CD" w:rsidP="00B76B94">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CQC (2018), ‘</w:t>
      </w:r>
      <w:hyperlink r:id="rId201" w:history="1">
        <w:r w:rsidRPr="00E5046A">
          <w:rPr>
            <w:rStyle w:val="Hyperlink"/>
            <w:rFonts w:ascii="Arial" w:hAnsi="Arial" w:cs="Arial"/>
          </w:rPr>
          <w:t>Are we listening? Review of Children and Young People’s Mental Health Services</w:t>
        </w:r>
      </w:hyperlink>
      <w:r w:rsidRPr="00E5046A">
        <w:rPr>
          <w:rFonts w:ascii="Arial" w:hAnsi="Arial" w:cs="Arial"/>
        </w:rPr>
        <w:t>’ [accessed: 9 March 2019].</w:t>
      </w:r>
    </w:p>
    <w:p w14:paraId="27DF29B3" w14:textId="09FE4E9B" w:rsidR="00AE42CD" w:rsidRPr="00E5046A" w:rsidRDefault="00AE42CD" w:rsidP="00C32DAA">
      <w:pPr>
        <w:pStyle w:val="FootnoteText"/>
        <w:rPr>
          <w:rFonts w:cs="Arial"/>
        </w:rPr>
      </w:pPr>
    </w:p>
  </w:footnote>
  <w:footnote w:id="224">
    <w:p w14:paraId="374F8714" w14:textId="6A773D1F"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EHRC </w:t>
      </w:r>
      <w:r>
        <w:rPr>
          <w:rFonts w:ascii="Arial" w:hAnsi="Arial" w:cs="Arial"/>
        </w:rPr>
        <w:t xml:space="preserve">(2019), </w:t>
      </w:r>
      <w:hyperlink r:id="rId202" w:history="1">
        <w:r w:rsidRPr="00365AC4">
          <w:rPr>
            <w:rStyle w:val="Hyperlink"/>
            <w:rFonts w:ascii="Arial" w:hAnsi="Arial" w:cs="Arial"/>
          </w:rPr>
          <w:t>Human Rights framework for restraint</w:t>
        </w:r>
      </w:hyperlink>
      <w:r>
        <w:rPr>
          <w:rFonts w:ascii="Arial" w:hAnsi="Arial" w:cs="Arial"/>
        </w:rPr>
        <w:t xml:space="preserve"> [accessed 20 March 2019]</w:t>
      </w:r>
    </w:p>
  </w:footnote>
  <w:footnote w:id="225">
    <w:p w14:paraId="00FDD5F3" w14:textId="4241C476"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Article 39 (2017), ‘</w:t>
      </w:r>
      <w:hyperlink r:id="rId203" w:history="1">
        <w:r w:rsidRPr="00E5046A">
          <w:rPr>
            <w:rStyle w:val="Hyperlink"/>
            <w:rFonts w:ascii="Arial" w:hAnsi="Arial" w:cs="Arial"/>
            <w:color w:val="auto"/>
          </w:rPr>
          <w:t>Submission to Ministry of Justice: authorisation of pain-inducing restraint on children during escorts</w:t>
        </w:r>
      </w:hyperlink>
      <w:r w:rsidRPr="00E5046A">
        <w:rPr>
          <w:rFonts w:ascii="Arial" w:hAnsi="Arial" w:cs="Arial"/>
        </w:rPr>
        <w:t xml:space="preserve">’ [accessed: 8 March 2019] </w:t>
      </w:r>
    </w:p>
  </w:footnote>
  <w:footnote w:id="226">
    <w:p w14:paraId="250569ED" w14:textId="430677E4"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hyperlink r:id="rId204" w:history="1">
        <w:r w:rsidRPr="00E5046A">
          <w:rPr>
            <w:rStyle w:val="Hyperlink"/>
            <w:rFonts w:ascii="Arial" w:hAnsi="Arial" w:cs="Arial"/>
            <w:color w:val="auto"/>
          </w:rPr>
          <w:t>YOI Rules</w:t>
        </w:r>
      </w:hyperlink>
      <w:r w:rsidRPr="00E5046A">
        <w:rPr>
          <w:rFonts w:ascii="Arial" w:hAnsi="Arial" w:cs="Arial"/>
        </w:rPr>
        <w:t xml:space="preserve"> r. 52 (1) [accessed: 8 March 2019].</w:t>
      </w:r>
    </w:p>
  </w:footnote>
  <w:footnote w:id="227">
    <w:p w14:paraId="5BBD67BD" w14:textId="1F92593E"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hyperlink r:id="rId205" w:history="1">
        <w:r w:rsidRPr="00E5046A">
          <w:rPr>
            <w:rStyle w:val="Hyperlink"/>
            <w:rFonts w:ascii="Arial" w:hAnsi="Arial" w:cs="Arial"/>
            <w:color w:val="auto"/>
          </w:rPr>
          <w:t>STC Rules</w:t>
        </w:r>
      </w:hyperlink>
      <w:r w:rsidRPr="00E5046A">
        <w:rPr>
          <w:rFonts w:ascii="Arial" w:hAnsi="Arial" w:cs="Arial"/>
        </w:rPr>
        <w:t xml:space="preserve"> r. 38 (1) [accessed: 8 March 2019].</w:t>
      </w:r>
    </w:p>
  </w:footnote>
  <w:footnote w:id="228">
    <w:p w14:paraId="0C419D4F" w14:textId="05383582"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HMIP (2017), </w:t>
      </w:r>
      <w:hyperlink r:id="rId206" w:history="1">
        <w:r w:rsidRPr="00E5046A">
          <w:rPr>
            <w:rStyle w:val="Hyperlink"/>
            <w:rFonts w:ascii="Arial" w:hAnsi="Arial" w:cs="Arial"/>
            <w:i/>
            <w:color w:val="auto"/>
          </w:rPr>
          <w:t>HM Chief Inspector of Prisons for England and Wales: annual report 2016-17</w:t>
        </w:r>
      </w:hyperlink>
      <w:r w:rsidRPr="00E5046A">
        <w:rPr>
          <w:rFonts w:ascii="Arial" w:hAnsi="Arial" w:cs="Arial"/>
        </w:rPr>
        <w:t>, [accessed: 8 March 2019].</w:t>
      </w:r>
    </w:p>
  </w:footnote>
  <w:footnote w:id="229">
    <w:p w14:paraId="4C3CA130" w14:textId="2B5A03BE" w:rsidR="00AE42CD" w:rsidRPr="00323772" w:rsidRDefault="00AE42CD" w:rsidP="00323772">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HMIP (2018), </w:t>
      </w:r>
      <w:hyperlink r:id="rId207" w:history="1">
        <w:r w:rsidRPr="00E5046A">
          <w:rPr>
            <w:rStyle w:val="Hyperlink"/>
            <w:rFonts w:ascii="Arial" w:hAnsi="Arial" w:cs="Arial"/>
            <w:i/>
            <w:color w:val="auto"/>
          </w:rPr>
          <w:t>HM Chief Inspector of Prisons for England and Wales: annual report 2017-18</w:t>
        </w:r>
      </w:hyperlink>
      <w:r>
        <w:rPr>
          <w:rFonts w:ascii="Arial" w:hAnsi="Arial" w:cs="Arial"/>
        </w:rPr>
        <w:t xml:space="preserve"> [accessed: 8 March 2019].</w:t>
      </w:r>
    </w:p>
  </w:footnote>
  <w:footnote w:id="230">
    <w:p w14:paraId="4D007ED6" w14:textId="197FCBB4"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Ministry of Justice (2018), </w:t>
      </w:r>
      <w:hyperlink r:id="rId208" w:history="1">
        <w:r w:rsidRPr="00E5046A">
          <w:rPr>
            <w:rStyle w:val="Hyperlink"/>
            <w:rFonts w:ascii="Arial" w:hAnsi="Arial" w:cs="Arial"/>
            <w:bCs/>
            <w:i/>
            <w:color w:val="auto"/>
          </w:rPr>
          <w:t>Tackling Racial Disparity in the Criminal Justice System: 2018 Update</w:t>
        </w:r>
      </w:hyperlink>
      <w:r w:rsidRPr="00E5046A">
        <w:rPr>
          <w:rFonts w:ascii="Arial" w:hAnsi="Arial" w:cs="Arial"/>
          <w:bCs/>
        </w:rPr>
        <w:t xml:space="preserve"> [accessed: 8 March 2019].</w:t>
      </w:r>
    </w:p>
  </w:footnote>
  <w:footnote w:id="231">
    <w:p w14:paraId="270EADC3" w14:textId="4A58D987" w:rsidR="00AE42CD" w:rsidRPr="00E5046A" w:rsidRDefault="00AE42CD" w:rsidP="00664589">
      <w:pPr>
        <w:pStyle w:val="Heading1"/>
        <w:shd w:val="clear" w:color="auto" w:fill="FFFFFF"/>
        <w:spacing w:before="0"/>
        <w:textAlignment w:val="baseline"/>
        <w:rPr>
          <w:rFonts w:ascii="Arial" w:eastAsia="Times New Roman" w:hAnsi="Arial" w:cs="Arial"/>
          <w:sz w:val="20"/>
          <w:szCs w:val="20"/>
        </w:rPr>
      </w:pPr>
      <w:r w:rsidRPr="00E5046A">
        <w:rPr>
          <w:rStyle w:val="FootnoteReference"/>
          <w:rFonts w:ascii="Arial" w:hAnsi="Arial" w:cs="Arial"/>
          <w:color w:val="auto"/>
          <w:sz w:val="20"/>
          <w:szCs w:val="20"/>
        </w:rPr>
        <w:footnoteRef/>
      </w:r>
      <w:r w:rsidRPr="00E5046A">
        <w:rPr>
          <w:rFonts w:ascii="Arial" w:hAnsi="Arial" w:cs="Arial"/>
          <w:color w:val="auto"/>
          <w:sz w:val="20"/>
          <w:szCs w:val="20"/>
        </w:rPr>
        <w:t xml:space="preserve"> Ministry of Justice (2018), ‘</w:t>
      </w:r>
      <w:hyperlink r:id="rId209" w:history="1">
        <w:r w:rsidRPr="00E5046A">
          <w:rPr>
            <w:rStyle w:val="Hyperlink"/>
            <w:rFonts w:ascii="Arial" w:hAnsi="Arial" w:cs="Arial"/>
            <w:sz w:val="20"/>
            <w:szCs w:val="20"/>
          </w:rPr>
          <w:t>Prison officer safety equipment rolled out’</w:t>
        </w:r>
      </w:hyperlink>
      <w:r w:rsidRPr="00E5046A">
        <w:rPr>
          <w:rFonts w:ascii="Arial" w:hAnsi="Arial" w:cs="Arial"/>
          <w:color w:val="auto"/>
          <w:sz w:val="20"/>
          <w:szCs w:val="20"/>
        </w:rPr>
        <w:t xml:space="preserve"> </w:t>
      </w:r>
      <w:r w:rsidRPr="00E5046A">
        <w:rPr>
          <w:rFonts w:ascii="Arial" w:hAnsi="Arial" w:cs="Arial"/>
          <w:bCs/>
          <w:color w:val="auto"/>
          <w:sz w:val="20"/>
          <w:szCs w:val="20"/>
        </w:rPr>
        <w:t>[accessed: 17 March 2019]</w:t>
      </w:r>
      <w:r w:rsidRPr="00E5046A">
        <w:rPr>
          <w:rFonts w:ascii="Arial" w:hAnsi="Arial" w:cs="Arial"/>
          <w:bCs/>
          <w:sz w:val="20"/>
          <w:szCs w:val="20"/>
        </w:rPr>
        <w:t>.</w:t>
      </w:r>
    </w:p>
  </w:footnote>
  <w:footnote w:id="232">
    <w:p w14:paraId="792CD965" w14:textId="4C46D013"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CPT (2017), </w:t>
      </w:r>
      <w:hyperlink r:id="rId210" w:history="1">
        <w:r w:rsidRPr="00E5046A">
          <w:rPr>
            <w:rStyle w:val="Hyperlink"/>
            <w:rFonts w:ascii="Arial" w:hAnsi="Arial" w:cs="Arial"/>
          </w:rPr>
          <w:t>Report to the Government of the United Kingdom on the visit to the United Kingdom carried out by the European Committee for the Prevention of Torture and Inhuman or Degrading Treatment or Punishment (CPT) from 30 March to 12 April 2016 (20)</w:t>
        </w:r>
      </w:hyperlink>
      <w:r w:rsidRPr="00E5046A">
        <w:rPr>
          <w:rFonts w:ascii="Arial" w:hAnsi="Arial" w:cs="Arial"/>
        </w:rPr>
        <w:t xml:space="preserve"> [accessed: 8 March 2019].</w:t>
      </w:r>
    </w:p>
  </w:footnote>
  <w:footnote w:id="233">
    <w:p w14:paraId="489CE370" w14:textId="5A4F0DD5"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Ministry of Justice (2018), ‘</w:t>
      </w:r>
      <w:hyperlink r:id="rId211" w:history="1">
        <w:r w:rsidRPr="00E5046A">
          <w:rPr>
            <w:rStyle w:val="Hyperlink"/>
            <w:rFonts w:ascii="Arial" w:hAnsi="Arial" w:cs="Arial"/>
          </w:rPr>
          <w:t>Prison officer safety equipment rolled out</w:t>
        </w:r>
      </w:hyperlink>
      <w:r w:rsidRPr="00E5046A">
        <w:rPr>
          <w:rFonts w:ascii="Arial" w:hAnsi="Arial" w:cs="Arial"/>
          <w:lang w:val="en"/>
        </w:rPr>
        <w:t xml:space="preserve">’ </w:t>
      </w:r>
      <w:r w:rsidRPr="00E5046A">
        <w:rPr>
          <w:rFonts w:ascii="Arial" w:hAnsi="Arial" w:cs="Arial"/>
          <w:bCs/>
        </w:rPr>
        <w:t>[accessed: 17 March 2019].</w:t>
      </w:r>
    </w:p>
  </w:footnote>
  <w:footnote w:id="234">
    <w:p w14:paraId="45CE2152" w14:textId="4A02CCB7"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HMPPS (2018), ‘</w:t>
      </w:r>
      <w:hyperlink r:id="rId212" w:history="1">
        <w:r w:rsidRPr="00E5046A">
          <w:rPr>
            <w:rStyle w:val="Hyperlink"/>
            <w:rFonts w:ascii="Arial" w:hAnsi="Arial" w:cs="Arial"/>
            <w:color w:val="auto"/>
          </w:rPr>
          <w:t>PAVA in Prisons Project Evaluation Report</w:t>
        </w:r>
      </w:hyperlink>
      <w:r w:rsidRPr="00E5046A">
        <w:rPr>
          <w:rStyle w:val="Hyperlink"/>
          <w:rFonts w:ascii="Arial" w:hAnsi="Arial" w:cs="Arial"/>
          <w:color w:val="auto"/>
        </w:rPr>
        <w:t>’</w:t>
      </w:r>
      <w:r w:rsidRPr="00E5046A">
        <w:rPr>
          <w:rFonts w:ascii="Arial" w:hAnsi="Arial" w:cs="Arial"/>
        </w:rPr>
        <w:t xml:space="preserve"> [accessed: 8 March 2019]; Prison Reform Trust (2018), ‘</w:t>
      </w:r>
      <w:hyperlink r:id="rId213" w:history="1">
        <w:r w:rsidRPr="00E5046A">
          <w:rPr>
            <w:rStyle w:val="Hyperlink"/>
            <w:rFonts w:ascii="Arial" w:hAnsi="Arial" w:cs="Arial"/>
            <w:color w:val="auto"/>
          </w:rPr>
          <w:t>Prison Reform Trust calls for urgent moratorium on PAVA spray roll-out</w:t>
        </w:r>
      </w:hyperlink>
      <w:r w:rsidRPr="00E5046A">
        <w:rPr>
          <w:rFonts w:ascii="Arial" w:hAnsi="Arial" w:cs="Arial"/>
        </w:rPr>
        <w:t>’  [accessed: 8 March 2019].</w:t>
      </w:r>
    </w:p>
  </w:footnote>
  <w:footnote w:id="235">
    <w:p w14:paraId="0FE11445" w14:textId="4295D983"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Prison Reform Trust (2018), ‘</w:t>
      </w:r>
      <w:hyperlink r:id="rId214" w:history="1">
        <w:r w:rsidRPr="00E5046A">
          <w:rPr>
            <w:rStyle w:val="Hyperlink"/>
            <w:rFonts w:ascii="Arial" w:hAnsi="Arial" w:cs="Arial"/>
            <w:color w:val="auto"/>
          </w:rPr>
          <w:t>PAVA spray: a Prison Reform Trust Position Paper</w:t>
        </w:r>
      </w:hyperlink>
      <w:r w:rsidRPr="00E5046A">
        <w:rPr>
          <w:rStyle w:val="Hyperlink"/>
          <w:rFonts w:ascii="Arial" w:hAnsi="Arial" w:cs="Arial"/>
          <w:color w:val="auto"/>
        </w:rPr>
        <w:t>’</w:t>
      </w:r>
      <w:r w:rsidRPr="00E5046A">
        <w:rPr>
          <w:rFonts w:ascii="Arial" w:hAnsi="Arial" w:cs="Arial"/>
        </w:rPr>
        <w:t xml:space="preserve"> [accessed: 8 March 2019]. </w:t>
      </w:r>
    </w:p>
  </w:footnote>
  <w:footnote w:id="236">
    <w:p w14:paraId="48D34780" w14:textId="59A4D10F"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UK Parliament Joint Committee on Human Rights (2018), ‘</w:t>
      </w:r>
      <w:hyperlink r:id="rId215" w:history="1">
        <w:r w:rsidRPr="00E5046A">
          <w:rPr>
            <w:rStyle w:val="Hyperlink"/>
            <w:rFonts w:ascii="Arial" w:hAnsi="Arial" w:cs="Arial"/>
            <w:color w:val="auto"/>
          </w:rPr>
          <w:t>Oral evidence inquiry into the use of restraint and solitary confinement in youth custody</w:t>
        </w:r>
      </w:hyperlink>
      <w:r w:rsidRPr="00E5046A">
        <w:rPr>
          <w:rStyle w:val="Hyperlink"/>
          <w:rFonts w:ascii="Arial" w:hAnsi="Arial" w:cs="Arial"/>
          <w:color w:val="auto"/>
        </w:rPr>
        <w:t>’</w:t>
      </w:r>
      <w:r w:rsidRPr="00E5046A">
        <w:rPr>
          <w:rFonts w:ascii="Arial" w:hAnsi="Arial" w:cs="Arial"/>
        </w:rPr>
        <w:t xml:space="preserve"> [accessed: 9 March 2019].</w:t>
      </w:r>
    </w:p>
  </w:footnote>
  <w:footnote w:id="237">
    <w:p w14:paraId="6C6AC852" w14:textId="4CD0A7E0" w:rsidR="00AE42CD" w:rsidRPr="00E5046A" w:rsidRDefault="00AE42CD" w:rsidP="001A0590">
      <w:pPr>
        <w:pStyle w:val="EndnoteText"/>
        <w:rPr>
          <w:rFonts w:cs="Arial"/>
          <w:b/>
          <w:bCs/>
        </w:rPr>
      </w:pPr>
      <w:r w:rsidRPr="00E5046A">
        <w:rPr>
          <w:rStyle w:val="FootnoteReference"/>
          <w:rFonts w:ascii="Arial" w:hAnsi="Arial" w:cs="Arial"/>
        </w:rPr>
        <w:footnoteRef/>
      </w:r>
      <w:r w:rsidRPr="00E5046A">
        <w:rPr>
          <w:rFonts w:ascii="Arial" w:hAnsi="Arial" w:cs="Arial"/>
        </w:rPr>
        <w:t xml:space="preserve"> </w:t>
      </w:r>
      <w:r w:rsidRPr="00E5046A">
        <w:rPr>
          <w:rFonts w:ascii="Arial" w:hAnsi="Arial" w:cs="Arial"/>
          <w:bCs/>
        </w:rPr>
        <w:t>BBC News (2018), ‘</w:t>
      </w:r>
      <w:hyperlink r:id="rId216" w:history="1">
        <w:r w:rsidRPr="00E5046A">
          <w:rPr>
            <w:rStyle w:val="Hyperlink"/>
            <w:rFonts w:ascii="Arial" w:hAnsi="Arial" w:cs="Arial"/>
          </w:rPr>
          <w:t>G4S staff at Medway youth jail cleared of misconduct</w:t>
        </w:r>
        <w:r w:rsidRPr="00E5046A">
          <w:rPr>
            <w:rStyle w:val="Hyperlink"/>
            <w:rFonts w:ascii="Arial" w:hAnsi="Arial" w:cs="Arial"/>
            <w:bCs/>
          </w:rPr>
          <w:t>’</w:t>
        </w:r>
      </w:hyperlink>
      <w:r w:rsidRPr="00E5046A">
        <w:rPr>
          <w:rFonts w:ascii="Arial" w:hAnsi="Arial" w:cs="Arial"/>
          <w:bCs/>
        </w:rPr>
        <w:t xml:space="preserve">, 26 March [accessed: 17 March 2019].  </w:t>
      </w:r>
    </w:p>
  </w:footnote>
  <w:footnote w:id="238">
    <w:p w14:paraId="5793F549" w14:textId="215DF8B6"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CQC, HMIP and Ofsted (2016), ‘</w:t>
      </w:r>
      <w:hyperlink r:id="rId217" w:history="1">
        <w:r w:rsidRPr="00E5046A">
          <w:rPr>
            <w:rStyle w:val="Hyperlink"/>
            <w:rFonts w:ascii="Arial" w:hAnsi="Arial" w:cs="Arial"/>
            <w:color w:val="auto"/>
          </w:rPr>
          <w:t>Inspection of Medway Secure Training Centre</w:t>
        </w:r>
      </w:hyperlink>
      <w:r w:rsidRPr="00E5046A">
        <w:rPr>
          <w:rStyle w:val="Hyperlink"/>
          <w:rFonts w:ascii="Arial" w:hAnsi="Arial" w:cs="Arial"/>
          <w:color w:val="auto"/>
        </w:rPr>
        <w:t>’</w:t>
      </w:r>
      <w:r w:rsidRPr="00E5046A">
        <w:rPr>
          <w:rFonts w:ascii="Arial" w:hAnsi="Arial" w:cs="Arial"/>
        </w:rPr>
        <w:t xml:space="preserve"> [accessed: 8 March 2019].</w:t>
      </w:r>
    </w:p>
  </w:footnote>
  <w:footnote w:id="239">
    <w:p w14:paraId="6235E954" w14:textId="63B1B5BA"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CQC, HMIP and Ofsted (2018), ‘</w:t>
      </w:r>
      <w:hyperlink r:id="rId218" w:history="1">
        <w:r w:rsidRPr="00E5046A">
          <w:rPr>
            <w:rStyle w:val="Hyperlink"/>
            <w:rFonts w:ascii="Arial" w:hAnsi="Arial" w:cs="Arial"/>
            <w:color w:val="auto"/>
          </w:rPr>
          <w:t>Inspection of Medway Secure Training Centre</w:t>
        </w:r>
      </w:hyperlink>
      <w:r w:rsidRPr="00E5046A">
        <w:rPr>
          <w:rStyle w:val="Hyperlink"/>
          <w:rFonts w:ascii="Arial" w:hAnsi="Arial" w:cs="Arial"/>
          <w:color w:val="auto"/>
        </w:rPr>
        <w:t>’</w:t>
      </w:r>
      <w:r w:rsidRPr="00E5046A">
        <w:rPr>
          <w:rFonts w:ascii="Arial" w:hAnsi="Arial" w:cs="Arial"/>
        </w:rPr>
        <w:t xml:space="preserve"> [accessed: 8 March 2019]. </w:t>
      </w:r>
    </w:p>
  </w:footnote>
  <w:footnote w:id="240">
    <w:p w14:paraId="4945265D" w14:textId="0B741E11"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Walters, A. (2019) ‘</w:t>
      </w:r>
      <w:hyperlink r:id="rId219" w:history="1">
        <w:r w:rsidRPr="00E5046A">
          <w:rPr>
            <w:rStyle w:val="Hyperlink"/>
            <w:rFonts w:ascii="Arial" w:hAnsi="Arial" w:cs="Arial"/>
            <w:bCs/>
            <w:color w:val="auto"/>
          </w:rPr>
          <w:t>Learning for organisations arising from incidents at Medway Secure Training Centre</w:t>
        </w:r>
      </w:hyperlink>
      <w:r w:rsidRPr="00E5046A">
        <w:rPr>
          <w:rStyle w:val="Hyperlink"/>
          <w:rFonts w:ascii="Arial" w:hAnsi="Arial" w:cs="Arial"/>
          <w:bCs/>
          <w:color w:val="auto"/>
        </w:rPr>
        <w:t>’</w:t>
      </w:r>
      <w:r w:rsidRPr="00E5046A">
        <w:rPr>
          <w:rFonts w:ascii="Arial" w:hAnsi="Arial" w:cs="Arial"/>
        </w:rPr>
        <w:t xml:space="preserve"> [accessed: 8 March 2019].</w:t>
      </w:r>
    </w:p>
  </w:footnote>
  <w:footnote w:id="241">
    <w:p w14:paraId="7CDD985F" w14:textId="7D3910BA"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HMIP (2018), ‘</w:t>
      </w:r>
      <w:hyperlink r:id="rId220" w:history="1">
        <w:r w:rsidRPr="00E5046A">
          <w:rPr>
            <w:rStyle w:val="Hyperlink"/>
            <w:rFonts w:ascii="Arial" w:hAnsi="Arial" w:cs="Arial"/>
            <w:color w:val="auto"/>
          </w:rPr>
          <w:t>HM Chief Inspector of Prisons for England and Wales: annual report 2017-18</w:t>
        </w:r>
      </w:hyperlink>
      <w:r w:rsidRPr="00E5046A">
        <w:rPr>
          <w:rStyle w:val="Hyperlink"/>
          <w:rFonts w:ascii="Arial" w:hAnsi="Arial" w:cs="Arial"/>
          <w:color w:val="auto"/>
        </w:rPr>
        <w:t>’</w:t>
      </w:r>
      <w:r w:rsidRPr="00E5046A">
        <w:rPr>
          <w:rFonts w:ascii="Arial" w:hAnsi="Arial" w:cs="Arial"/>
        </w:rPr>
        <w:t xml:space="preserve"> [accessed: 8 March 2019].</w:t>
      </w:r>
    </w:p>
  </w:footnote>
  <w:footnote w:id="242">
    <w:p w14:paraId="5C2B6581" w14:textId="164A613A" w:rsidR="00AE42CD" w:rsidRPr="00E5046A" w:rsidRDefault="00AE42CD" w:rsidP="00664589">
      <w:pPr>
        <w:pStyle w:val="EndnoteText"/>
        <w:pBdr>
          <w:left w:val="nil"/>
        </w:pBdr>
        <w:rPr>
          <w:rFonts w:ascii="Arial" w:hAnsi="Arial" w:cs="Arial"/>
        </w:rPr>
      </w:pPr>
      <w:r w:rsidRPr="00E5046A">
        <w:rPr>
          <w:rFonts w:ascii="Arial" w:hAnsi="Arial" w:cs="Arial"/>
          <w:vertAlign w:val="superscript"/>
        </w:rPr>
        <w:footnoteRef/>
      </w:r>
      <w:r w:rsidRPr="00E5046A">
        <w:rPr>
          <w:rFonts w:ascii="Arial" w:eastAsia="Arial Unicode MS" w:hAnsi="Arial" w:cs="Arial"/>
        </w:rPr>
        <w:t xml:space="preserve"> Ministry of Justice (2018), ‘</w:t>
      </w:r>
      <w:hyperlink r:id="rId221" w:history="1">
        <w:r w:rsidRPr="00E5046A">
          <w:rPr>
            <w:rStyle w:val="Hyperlink"/>
            <w:rFonts w:ascii="Arial" w:eastAsia="Arial Unicode MS" w:hAnsi="Arial" w:cs="Arial"/>
            <w:color w:val="auto"/>
          </w:rPr>
          <w:t>The use of pain-inducing techniques in the youth secure estate</w:t>
        </w:r>
      </w:hyperlink>
      <w:r w:rsidRPr="00E5046A">
        <w:rPr>
          <w:rStyle w:val="Hyperlink"/>
          <w:rFonts w:ascii="Arial" w:eastAsia="Arial Unicode MS" w:hAnsi="Arial" w:cs="Arial"/>
          <w:color w:val="auto"/>
        </w:rPr>
        <w:t>’</w:t>
      </w:r>
      <w:r w:rsidRPr="00E5046A">
        <w:rPr>
          <w:rFonts w:ascii="Arial" w:eastAsia="Arial Unicode MS" w:hAnsi="Arial" w:cs="Arial"/>
        </w:rPr>
        <w:t xml:space="preserve"> [accessed: 8 March 2019]. </w:t>
      </w:r>
    </w:p>
  </w:footnote>
  <w:footnote w:id="243">
    <w:p w14:paraId="07E1DC69" w14:textId="11369828"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Children's Commissioner for England (2018), ‘</w:t>
      </w:r>
      <w:hyperlink r:id="rId222" w:history="1">
        <w:r w:rsidRPr="00E5046A">
          <w:rPr>
            <w:rStyle w:val="Hyperlink"/>
            <w:rFonts w:ascii="Arial" w:hAnsi="Arial" w:cs="Arial"/>
            <w:color w:val="auto"/>
          </w:rPr>
          <w:t>A report on the use of segregation in youth custody in England</w:t>
        </w:r>
      </w:hyperlink>
      <w:r w:rsidRPr="00E5046A">
        <w:rPr>
          <w:rStyle w:val="Hyperlink"/>
          <w:rFonts w:ascii="Arial" w:hAnsi="Arial" w:cs="Arial"/>
          <w:color w:val="auto"/>
        </w:rPr>
        <w:t>’</w:t>
      </w:r>
      <w:r w:rsidRPr="00E5046A">
        <w:rPr>
          <w:rFonts w:ascii="Arial" w:hAnsi="Arial" w:cs="Arial"/>
        </w:rPr>
        <w:t xml:space="preserve"> [accessed: 8 March 2019].</w:t>
      </w:r>
    </w:p>
  </w:footnote>
  <w:footnote w:id="244">
    <w:p w14:paraId="7ED153C0" w14:textId="267C6CC5"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sidRPr="00E5046A">
        <w:rPr>
          <w:rFonts w:ascii="Arial" w:hAnsi="Arial" w:cs="Arial"/>
          <w:lang w:val="en"/>
        </w:rPr>
        <w:t>General Assembly (2011), ‘</w:t>
      </w:r>
      <w:hyperlink r:id="rId223" w:history="1">
        <w:r w:rsidRPr="00E5046A">
          <w:rPr>
            <w:rStyle w:val="Hyperlink"/>
            <w:rFonts w:ascii="Arial" w:hAnsi="Arial" w:cs="Arial"/>
            <w:color w:val="auto"/>
            <w:lang w:val="en"/>
          </w:rPr>
          <w:t>Special Rapporteur on Torture Tells Third Committee Use of Prolonged Solitary Confinement on Rise, Calls for Global Ban on Practice</w:t>
        </w:r>
      </w:hyperlink>
      <w:r w:rsidRPr="00E5046A">
        <w:rPr>
          <w:rStyle w:val="Hyperlink"/>
          <w:rFonts w:ascii="Arial" w:hAnsi="Arial" w:cs="Arial"/>
          <w:color w:val="auto"/>
          <w:lang w:val="en"/>
        </w:rPr>
        <w:t>’</w:t>
      </w:r>
      <w:r w:rsidRPr="00E5046A">
        <w:rPr>
          <w:rFonts w:ascii="Arial" w:hAnsi="Arial" w:cs="Arial"/>
          <w:lang w:val="en"/>
        </w:rPr>
        <w:t xml:space="preserve"> [accessed: 8 March 2019]. </w:t>
      </w:r>
    </w:p>
  </w:footnote>
  <w:footnote w:id="245">
    <w:p w14:paraId="3F86E203" w14:textId="3E628707"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Home Office (2018), ‘</w:t>
      </w:r>
      <w:hyperlink r:id="rId224" w:history="1">
        <w:r w:rsidRPr="00E5046A">
          <w:rPr>
            <w:rStyle w:val="Hyperlink"/>
            <w:rFonts w:ascii="Arial" w:hAnsi="Arial" w:cs="Arial"/>
            <w:color w:val="auto"/>
          </w:rPr>
          <w:t>Police use of force statistics, England and Wales: April 2017 to March 2018’</w:t>
        </w:r>
      </w:hyperlink>
      <w:r w:rsidRPr="00E5046A">
        <w:rPr>
          <w:rFonts w:ascii="Arial" w:hAnsi="Arial" w:cs="Arial"/>
        </w:rPr>
        <w:t xml:space="preserve"> [accessed 9: January 2019].</w:t>
      </w:r>
    </w:p>
  </w:footnote>
  <w:footnote w:id="246">
    <w:p w14:paraId="34997145" w14:textId="688692F6" w:rsidR="00AE42CD" w:rsidRPr="007C24A5" w:rsidRDefault="00AE42CD" w:rsidP="007C24A5">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Child Rights Alliance England (2016), ‘</w:t>
      </w:r>
      <w:hyperlink r:id="rId225" w:history="1">
        <w:r w:rsidRPr="00E5046A">
          <w:rPr>
            <w:rStyle w:val="Hyperlink"/>
            <w:rFonts w:ascii="Arial" w:hAnsi="Arial" w:cs="Arial"/>
            <w:color w:val="auto"/>
          </w:rPr>
          <w:t>Briefing on Policing and Criminal Justice</w:t>
        </w:r>
      </w:hyperlink>
      <w:r w:rsidRPr="00E5046A">
        <w:rPr>
          <w:rStyle w:val="Hyperlink"/>
          <w:rFonts w:ascii="Arial" w:hAnsi="Arial" w:cs="Arial"/>
          <w:color w:val="auto"/>
        </w:rPr>
        <w:t>’</w:t>
      </w:r>
      <w:r>
        <w:rPr>
          <w:rFonts w:ascii="Arial" w:hAnsi="Arial" w:cs="Arial"/>
        </w:rPr>
        <w:t xml:space="preserve"> [accessed: 8 March 2019].</w:t>
      </w:r>
    </w:p>
  </w:footnote>
  <w:footnote w:id="247">
    <w:p w14:paraId="1D53C074" w14:textId="23B3F058"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CPT (2017), ‘</w:t>
      </w:r>
      <w:hyperlink r:id="rId226" w:history="1">
        <w:r w:rsidRPr="00E5046A">
          <w:rPr>
            <w:rStyle w:val="Hyperlink"/>
            <w:rFonts w:ascii="Arial" w:hAnsi="Arial" w:cs="Arial"/>
          </w:rPr>
          <w:t>Report to the Government of the United Kingdom on the visit to the United Kingdom carried out by the CPT from 30 March to 12 April 2016 (20)</w:t>
        </w:r>
      </w:hyperlink>
      <w:r w:rsidRPr="00E5046A">
        <w:rPr>
          <w:rFonts w:ascii="Arial" w:hAnsi="Arial" w:cs="Arial"/>
        </w:rPr>
        <w:t>’ [accessed: 8 March 2019].</w:t>
      </w:r>
    </w:p>
  </w:footnote>
  <w:footnote w:id="248">
    <w:p w14:paraId="310AF23D" w14:textId="02F080DD" w:rsidR="00AE42CD" w:rsidRPr="00E5046A" w:rsidRDefault="00AE42CD" w:rsidP="00663C64">
      <w:pPr>
        <w:pStyle w:val="FootnoteText"/>
        <w:rPr>
          <w:rFonts w:cs="Arial"/>
        </w:rPr>
      </w:pPr>
      <w:r w:rsidRPr="00E5046A">
        <w:rPr>
          <w:rStyle w:val="FootnoteReference"/>
          <w:rFonts w:cs="Arial"/>
        </w:rPr>
        <w:footnoteRef/>
      </w:r>
      <w:r w:rsidRPr="00E5046A">
        <w:rPr>
          <w:rFonts w:cs="Arial"/>
        </w:rPr>
        <w:t xml:space="preserve"> EHRC (2017), ‘</w:t>
      </w:r>
      <w:hyperlink r:id="rId227" w:history="1">
        <w:r w:rsidRPr="00E5046A">
          <w:rPr>
            <w:rStyle w:val="Hyperlink"/>
            <w:rFonts w:cs="Arial"/>
            <w:color w:val="auto"/>
          </w:rPr>
          <w:t>Being disabled in Britain: a journey less equal</w:t>
        </w:r>
      </w:hyperlink>
      <w:r w:rsidRPr="00E5046A">
        <w:rPr>
          <w:rStyle w:val="Hyperlink"/>
          <w:rFonts w:cs="Arial"/>
          <w:color w:val="auto"/>
        </w:rPr>
        <w:t>’</w:t>
      </w:r>
      <w:r w:rsidRPr="00E5046A">
        <w:rPr>
          <w:rFonts w:cs="Arial"/>
        </w:rPr>
        <w:t xml:space="preserve"> [accessed: 10 January 2019].</w:t>
      </w:r>
    </w:p>
  </w:footnote>
  <w:footnote w:id="249">
    <w:p w14:paraId="0BFBEEAC" w14:textId="3B3ECF2B"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sidRPr="00E5046A">
        <w:rPr>
          <w:rFonts w:ascii="Arial" w:hAnsi="Arial" w:cs="Arial"/>
          <w:lang w:val="en"/>
        </w:rPr>
        <w:t>NHS Digital (2018), ‘</w:t>
      </w:r>
      <w:hyperlink r:id="rId228" w:history="1">
        <w:r w:rsidRPr="00E5046A">
          <w:rPr>
            <w:rStyle w:val="Hyperlink"/>
            <w:rFonts w:ascii="Arial" w:hAnsi="Arial" w:cs="Arial"/>
            <w:color w:val="auto"/>
            <w:lang w:val="en"/>
          </w:rPr>
          <w:t>LDA - Restraints, assaults and self-harm data 2016-2018</w:t>
        </w:r>
      </w:hyperlink>
      <w:r w:rsidRPr="00E5046A">
        <w:rPr>
          <w:rStyle w:val="Hyperlink"/>
          <w:rFonts w:ascii="Arial" w:hAnsi="Arial" w:cs="Arial"/>
          <w:color w:val="auto"/>
          <w:lang w:val="en"/>
        </w:rPr>
        <w:t>’</w:t>
      </w:r>
      <w:r w:rsidRPr="00E5046A">
        <w:rPr>
          <w:rFonts w:ascii="Arial" w:hAnsi="Arial" w:cs="Arial"/>
          <w:lang w:val="en"/>
        </w:rPr>
        <w:t xml:space="preserve"> [accessed: 8 March 2019]. </w:t>
      </w:r>
    </w:p>
  </w:footnote>
  <w:footnote w:id="250">
    <w:p w14:paraId="5AFFEE29" w14:textId="378EF119" w:rsidR="00AE42CD" w:rsidRPr="00E5046A" w:rsidRDefault="00AE42CD" w:rsidP="00664589">
      <w:pPr>
        <w:pStyle w:val="EndnoteText"/>
        <w:rPr>
          <w:rFonts w:ascii="Arial" w:hAnsi="Arial" w:cs="Arial"/>
          <w:highlight w:val="green"/>
        </w:rPr>
      </w:pPr>
      <w:r w:rsidRPr="00E5046A">
        <w:rPr>
          <w:rStyle w:val="FootnoteReference"/>
          <w:rFonts w:ascii="Arial" w:hAnsi="Arial" w:cs="Arial"/>
        </w:rPr>
        <w:footnoteRef/>
      </w:r>
      <w:r w:rsidRPr="00E5046A">
        <w:rPr>
          <w:rFonts w:ascii="Arial" w:hAnsi="Arial" w:cs="Arial"/>
        </w:rPr>
        <w:t xml:space="preserve"> Welsh Assembly Government (2005), ‘</w:t>
      </w:r>
      <w:hyperlink r:id="rId229" w:history="1">
        <w:r w:rsidRPr="00E5046A">
          <w:rPr>
            <w:rStyle w:val="Hyperlink"/>
            <w:rFonts w:ascii="Arial" w:hAnsi="Arial" w:cs="Arial"/>
            <w:color w:val="auto"/>
          </w:rPr>
          <w:t>Framework for restrictive physical intervention policy and practice’</w:t>
        </w:r>
      </w:hyperlink>
      <w:r w:rsidRPr="00E5046A">
        <w:rPr>
          <w:rFonts w:ascii="Arial" w:hAnsi="Arial" w:cs="Arial"/>
        </w:rPr>
        <w:t xml:space="preserve"> [accessed: 8 March 2019].</w:t>
      </w:r>
    </w:p>
  </w:footnote>
  <w:footnote w:id="251">
    <w:p w14:paraId="2FD7EF94" w14:textId="7F7982E1" w:rsidR="00AE42CD" w:rsidRPr="00E5046A" w:rsidRDefault="00AE42CD" w:rsidP="009E4DD2">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Welsh Government (2016), ‘</w:t>
      </w:r>
      <w:hyperlink r:id="rId230" w:history="1">
        <w:r w:rsidRPr="00E5046A">
          <w:rPr>
            <w:rStyle w:val="Hyperlink"/>
            <w:rFonts w:ascii="Arial" w:hAnsi="Arial" w:cs="Arial"/>
            <w:color w:val="auto"/>
          </w:rPr>
          <w:t>Mental Health Act 1983: code of practice for Wales review</w:t>
        </w:r>
      </w:hyperlink>
      <w:r w:rsidRPr="00E5046A">
        <w:rPr>
          <w:rStyle w:val="Hyperlink"/>
          <w:rFonts w:ascii="Arial" w:hAnsi="Arial" w:cs="Arial"/>
          <w:color w:val="auto"/>
        </w:rPr>
        <w:t>’</w:t>
      </w:r>
      <w:r w:rsidRPr="00E5046A">
        <w:rPr>
          <w:rFonts w:ascii="Arial" w:hAnsi="Arial" w:cs="Arial"/>
        </w:rPr>
        <w:t xml:space="preserve"> </w:t>
      </w:r>
    </w:p>
    <w:p w14:paraId="27608525" w14:textId="0BBBCBC0" w:rsidR="00AE42CD" w:rsidRPr="00E5046A" w:rsidRDefault="00AE42CD" w:rsidP="00664589">
      <w:pPr>
        <w:pStyle w:val="EndnoteText"/>
        <w:rPr>
          <w:rFonts w:ascii="Arial" w:hAnsi="Arial" w:cs="Arial"/>
        </w:rPr>
      </w:pPr>
      <w:r w:rsidRPr="00E5046A">
        <w:rPr>
          <w:rFonts w:ascii="Arial" w:hAnsi="Arial" w:cs="Arial"/>
        </w:rPr>
        <w:t>[accessed: 8 March 2019].</w:t>
      </w:r>
    </w:p>
  </w:footnote>
  <w:footnote w:id="252">
    <w:p w14:paraId="3CE0A5A6" w14:textId="350C5835" w:rsidR="00AE42CD" w:rsidRPr="00E5046A" w:rsidRDefault="00AE42CD" w:rsidP="00663C64">
      <w:pPr>
        <w:pStyle w:val="FootnoteText"/>
        <w:rPr>
          <w:rFonts w:cs="Arial"/>
        </w:rPr>
      </w:pPr>
      <w:r w:rsidRPr="00E5046A">
        <w:rPr>
          <w:rStyle w:val="FootnoteReference"/>
          <w:rFonts w:cs="Arial"/>
        </w:rPr>
        <w:footnoteRef/>
      </w:r>
      <w:r w:rsidRPr="00E5046A">
        <w:rPr>
          <w:rFonts w:cs="Arial"/>
        </w:rPr>
        <w:t xml:space="preserve"> Mind (2015), ‘</w:t>
      </w:r>
      <w:hyperlink r:id="rId231" w:history="1">
        <w:r w:rsidRPr="00E5046A">
          <w:rPr>
            <w:rStyle w:val="Hyperlink"/>
            <w:rFonts w:cs="Arial"/>
            <w:color w:val="auto"/>
          </w:rPr>
          <w:t>Restraint in mental health services: what the guidance says’</w:t>
        </w:r>
      </w:hyperlink>
      <w:r w:rsidRPr="00E5046A">
        <w:rPr>
          <w:rFonts w:cs="Arial"/>
        </w:rPr>
        <w:t xml:space="preserve"> [accessed: 9 March 2019].</w:t>
      </w:r>
    </w:p>
  </w:footnote>
  <w:footnote w:id="253">
    <w:p w14:paraId="113F968B" w14:textId="5094F919"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Mental Health Units (Use of Force) Act 2018 (‘Seni’s Law’). </w:t>
      </w:r>
    </w:p>
  </w:footnote>
  <w:footnote w:id="254">
    <w:p w14:paraId="4F7EFFAD" w14:textId="10EEAD4F" w:rsidR="00AE42CD" w:rsidRPr="00E5046A" w:rsidRDefault="00AE42CD" w:rsidP="007C39AB">
      <w:pPr>
        <w:pStyle w:val="EndnoteText"/>
        <w:rPr>
          <w:rFonts w:cs="Arial"/>
        </w:rPr>
      </w:pPr>
      <w:r w:rsidRPr="00E5046A">
        <w:rPr>
          <w:rStyle w:val="FootnoteReference"/>
          <w:rFonts w:ascii="Arial" w:hAnsi="Arial" w:cs="Arial"/>
        </w:rPr>
        <w:footnoteRef/>
      </w:r>
      <w:r w:rsidRPr="00E5046A">
        <w:rPr>
          <w:rFonts w:ascii="Arial" w:hAnsi="Arial" w:cs="Arial"/>
        </w:rPr>
        <w:t xml:space="preserve"> Independent Review of the Mental Health Act (2018), ‘</w:t>
      </w:r>
      <w:hyperlink r:id="rId232" w:history="1">
        <w:r w:rsidRPr="00E5046A">
          <w:rPr>
            <w:rStyle w:val="Hyperlink"/>
            <w:rFonts w:ascii="Arial" w:hAnsi="Arial" w:cs="Arial"/>
            <w:color w:val="auto"/>
          </w:rPr>
          <w:t>Modernising the Mental Health Act: increasing choice, reducing compulsion</w:t>
        </w:r>
      </w:hyperlink>
      <w:r w:rsidRPr="00E5046A">
        <w:rPr>
          <w:rStyle w:val="Hyperlink"/>
          <w:rFonts w:ascii="Arial" w:hAnsi="Arial" w:cs="Arial"/>
          <w:color w:val="auto"/>
        </w:rPr>
        <w:t>’</w:t>
      </w:r>
      <w:r w:rsidRPr="00E5046A">
        <w:rPr>
          <w:rFonts w:ascii="Arial" w:hAnsi="Arial" w:cs="Arial"/>
        </w:rPr>
        <w:t xml:space="preserve"> [accessed: 9 March 2019].</w:t>
      </w:r>
    </w:p>
  </w:footnote>
  <w:footnote w:id="255">
    <w:p w14:paraId="56237DFE" w14:textId="31A4F66F"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CQC (2018), ‘</w:t>
      </w:r>
      <w:hyperlink r:id="rId233" w:history="1">
        <w:r w:rsidRPr="00E5046A">
          <w:rPr>
            <w:rStyle w:val="Hyperlink"/>
            <w:rFonts w:ascii="Arial" w:hAnsi="Arial" w:cs="Arial"/>
            <w:bCs/>
            <w:color w:val="auto"/>
          </w:rPr>
          <w:t>Thematic review of the use of restraint, prolonged seclusion and segregation for people with mental health problems, learning disabilities and/or autism</w:t>
        </w:r>
      </w:hyperlink>
      <w:r w:rsidRPr="00E5046A">
        <w:rPr>
          <w:rStyle w:val="Hyperlink"/>
          <w:rFonts w:ascii="Arial" w:hAnsi="Arial" w:cs="Arial"/>
          <w:bCs/>
          <w:color w:val="auto"/>
        </w:rPr>
        <w:t>’</w:t>
      </w:r>
      <w:r w:rsidRPr="00E5046A">
        <w:rPr>
          <w:rFonts w:ascii="Arial" w:hAnsi="Arial" w:cs="Arial"/>
          <w:bCs/>
        </w:rPr>
        <w:t xml:space="preserve"> [accessed: 9 March 2019].</w:t>
      </w:r>
      <w:r w:rsidRPr="00E5046A">
        <w:rPr>
          <w:rFonts w:ascii="Arial" w:hAnsi="Arial" w:cs="Arial"/>
          <w:b/>
          <w:bCs/>
        </w:rPr>
        <w:t xml:space="preserve"> </w:t>
      </w:r>
    </w:p>
  </w:footnote>
  <w:footnote w:id="256">
    <w:p w14:paraId="28CB2FF2" w14:textId="7194DFF1"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DfE (2013), ‘</w:t>
      </w:r>
      <w:hyperlink r:id="rId234" w:history="1">
        <w:r w:rsidRPr="00E5046A">
          <w:rPr>
            <w:rStyle w:val="Hyperlink"/>
            <w:rFonts w:ascii="Arial" w:hAnsi="Arial" w:cs="Arial"/>
            <w:color w:val="auto"/>
          </w:rPr>
          <w:t>Guidance. Use of Reasonable Force in Schools</w:t>
        </w:r>
      </w:hyperlink>
      <w:r w:rsidRPr="00E5046A">
        <w:rPr>
          <w:rStyle w:val="Hyperlink"/>
          <w:rFonts w:ascii="Arial" w:hAnsi="Arial" w:cs="Arial"/>
          <w:color w:val="auto"/>
        </w:rPr>
        <w:t>’</w:t>
      </w:r>
      <w:r w:rsidRPr="00E5046A">
        <w:rPr>
          <w:rFonts w:ascii="Arial" w:hAnsi="Arial" w:cs="Arial"/>
        </w:rPr>
        <w:t xml:space="preserve"> [accessed: 9 March 2019]. </w:t>
      </w:r>
    </w:p>
  </w:footnote>
  <w:footnote w:id="257">
    <w:p w14:paraId="15FB1ED9" w14:textId="300C67EE"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DfE (2013), ‘</w:t>
      </w:r>
      <w:hyperlink r:id="rId235" w:history="1">
        <w:r w:rsidRPr="00E5046A">
          <w:rPr>
            <w:rStyle w:val="Hyperlink"/>
            <w:rFonts w:ascii="Arial" w:hAnsi="Arial" w:cs="Arial"/>
            <w:color w:val="auto"/>
          </w:rPr>
          <w:t>Use of reasonable force: advice for headteachers, staff and governing bodies</w:t>
        </w:r>
      </w:hyperlink>
      <w:r w:rsidRPr="00E5046A">
        <w:rPr>
          <w:rStyle w:val="Hyperlink"/>
          <w:rFonts w:ascii="Arial" w:hAnsi="Arial" w:cs="Arial"/>
          <w:color w:val="auto"/>
        </w:rPr>
        <w:t>’</w:t>
      </w:r>
      <w:r w:rsidRPr="00E5046A">
        <w:rPr>
          <w:rFonts w:ascii="Arial" w:hAnsi="Arial" w:cs="Arial"/>
        </w:rPr>
        <w:t xml:space="preserve"> [accessed: 9 March 2019]. </w:t>
      </w:r>
    </w:p>
  </w:footnote>
  <w:footnote w:id="258">
    <w:p w14:paraId="5DDB2CB1" w14:textId="5E2F7461"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UNCRC (2016), ‘</w:t>
      </w:r>
      <w:hyperlink r:id="rId236" w:history="1">
        <w:r w:rsidRPr="00E5046A">
          <w:rPr>
            <w:rStyle w:val="Hyperlink"/>
            <w:rFonts w:ascii="Arial" w:hAnsi="Arial" w:cs="Arial"/>
            <w:bCs/>
            <w:color w:val="auto"/>
          </w:rPr>
          <w:t>Concluding observations on the fifth periodic report of the United Kingdom of Great Britain and Northern Ireland</w:t>
        </w:r>
      </w:hyperlink>
      <w:r w:rsidRPr="00E5046A">
        <w:rPr>
          <w:rStyle w:val="Hyperlink"/>
          <w:rFonts w:ascii="Arial" w:hAnsi="Arial" w:cs="Arial"/>
          <w:bCs/>
          <w:color w:val="auto"/>
        </w:rPr>
        <w:t>’</w:t>
      </w:r>
      <w:r w:rsidRPr="00E5046A">
        <w:rPr>
          <w:rFonts w:ascii="Arial" w:hAnsi="Arial" w:cs="Arial"/>
          <w:bCs/>
        </w:rPr>
        <w:t xml:space="preserve"> [accessed: 9 March 2019].</w:t>
      </w:r>
    </w:p>
  </w:footnote>
  <w:footnote w:id="259">
    <w:p w14:paraId="3C4E758B" w14:textId="4FCA305E" w:rsidR="00AE42CD" w:rsidRPr="00E5046A" w:rsidRDefault="00AE42CD" w:rsidP="00664589">
      <w:pPr>
        <w:pStyle w:val="EndnoteText"/>
        <w:rPr>
          <w:rFonts w:ascii="Arial" w:hAnsi="Arial" w:cs="Arial"/>
        </w:rPr>
      </w:pPr>
      <w:r w:rsidRPr="00E5046A">
        <w:rPr>
          <w:rStyle w:val="FootnoteReference"/>
          <w:rFonts w:ascii="Arial" w:hAnsi="Arial" w:cs="Arial"/>
        </w:rPr>
        <w:footnoteRef/>
      </w:r>
      <w:r>
        <w:rPr>
          <w:rFonts w:ascii="Arial" w:hAnsi="Arial" w:cs="Arial"/>
        </w:rPr>
        <w:t xml:space="preserve"> CCE</w:t>
      </w:r>
      <w:r w:rsidRPr="00E5046A">
        <w:rPr>
          <w:rFonts w:ascii="Arial" w:hAnsi="Arial" w:cs="Arial"/>
        </w:rPr>
        <w:t xml:space="preserve"> (2014), ‘</w:t>
      </w:r>
      <w:hyperlink r:id="rId237" w:history="1">
        <w:r w:rsidRPr="00E5046A">
          <w:rPr>
            <w:rStyle w:val="Hyperlink"/>
            <w:rFonts w:ascii="Arial" w:hAnsi="Arial" w:cs="Arial"/>
            <w:color w:val="auto"/>
          </w:rPr>
          <w:t>The views and experiences of children in special residential school</w:t>
        </w:r>
      </w:hyperlink>
      <w:r w:rsidRPr="00E5046A">
        <w:rPr>
          <w:rStyle w:val="Hyperlink"/>
          <w:rFonts w:ascii="Arial" w:hAnsi="Arial" w:cs="Arial"/>
          <w:color w:val="auto"/>
        </w:rPr>
        <w:t>’</w:t>
      </w:r>
      <w:r w:rsidRPr="00E5046A">
        <w:rPr>
          <w:rFonts w:ascii="Arial" w:hAnsi="Arial" w:cs="Arial"/>
        </w:rPr>
        <w:t xml:space="preserve"> [accessed: 9 March 2019].</w:t>
      </w:r>
    </w:p>
  </w:footnote>
  <w:footnote w:id="260">
    <w:p w14:paraId="290016E9" w14:textId="24486B6A" w:rsidR="00AE42CD" w:rsidRPr="007C24A5" w:rsidRDefault="00AE42CD" w:rsidP="007C24A5">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BBC (2017), </w:t>
      </w:r>
      <w:hyperlink r:id="rId238" w:history="1">
        <w:r w:rsidRPr="00E5046A">
          <w:rPr>
            <w:rFonts w:ascii="Arial" w:hAnsi="Arial" w:cs="Arial"/>
          </w:rPr>
          <w:t>‘</w:t>
        </w:r>
        <w:r w:rsidRPr="00E5046A">
          <w:rPr>
            <w:rStyle w:val="Hyperlink"/>
            <w:rFonts w:ascii="Arial" w:hAnsi="Arial" w:cs="Arial"/>
            <w:color w:val="auto"/>
          </w:rPr>
          <w:t>Hundreds of restraint injuries at special schools</w:t>
        </w:r>
      </w:hyperlink>
      <w:r w:rsidRPr="00E5046A">
        <w:rPr>
          <w:rStyle w:val="Hyperlink"/>
          <w:rFonts w:ascii="Arial" w:hAnsi="Arial" w:cs="Arial"/>
          <w:color w:val="auto"/>
        </w:rPr>
        <w:t>’</w:t>
      </w:r>
      <w:r>
        <w:rPr>
          <w:rFonts w:ascii="Arial" w:hAnsi="Arial" w:cs="Arial"/>
        </w:rPr>
        <w:t xml:space="preserve"> [accessed: 9 March 2019]. </w:t>
      </w:r>
    </w:p>
  </w:footnote>
  <w:footnote w:id="261">
    <w:p w14:paraId="037BB214" w14:textId="77777777" w:rsidR="00AE42CD" w:rsidRPr="00E5046A" w:rsidRDefault="00AE42CD" w:rsidP="00C32DAA">
      <w:pPr>
        <w:pStyle w:val="FootnoteText"/>
        <w:rPr>
          <w:rFonts w:cs="Arial"/>
          <w:highlight w:val="yellow"/>
        </w:rPr>
      </w:pPr>
      <w:r w:rsidRPr="00E5046A">
        <w:rPr>
          <w:rStyle w:val="FootnoteReference"/>
          <w:rFonts w:cs="Arial"/>
        </w:rPr>
        <w:footnoteRef/>
      </w:r>
      <w:r w:rsidRPr="00E5046A">
        <w:rPr>
          <w:rFonts w:cs="Arial"/>
        </w:rPr>
        <w:t xml:space="preserve"> </w:t>
      </w:r>
      <w:r w:rsidRPr="007C20F8">
        <w:rPr>
          <w:rFonts w:cs="Arial"/>
        </w:rPr>
        <w:t>Information provided by the Welsh Government on 13 February 2019.</w:t>
      </w:r>
    </w:p>
  </w:footnote>
  <w:footnote w:id="262">
    <w:p w14:paraId="3B6B5D0B" w14:textId="782CD056"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UK Government (2017), ‘</w:t>
      </w:r>
      <w:hyperlink r:id="rId239" w:history="1">
        <w:r w:rsidRPr="00E5046A">
          <w:rPr>
            <w:rStyle w:val="Hyperlink"/>
            <w:rFonts w:cs="Arial"/>
          </w:rPr>
          <w:t>Restraint and restrictive intervention: draft guidance</w:t>
        </w:r>
        <w:r w:rsidRPr="00E5046A">
          <w:rPr>
            <w:rStyle w:val="Hyperlink"/>
            <w:rFonts w:cs="Arial"/>
            <w:lang w:val="en"/>
          </w:rPr>
          <w:t>’</w:t>
        </w:r>
      </w:hyperlink>
      <w:r w:rsidRPr="00E5046A">
        <w:rPr>
          <w:rFonts w:cs="Arial"/>
          <w:lang w:val="en"/>
        </w:rPr>
        <w:t xml:space="preserve"> </w:t>
      </w:r>
      <w:r w:rsidRPr="00E5046A">
        <w:rPr>
          <w:rFonts w:cs="Arial"/>
        </w:rPr>
        <w:t>[accessed: 17 March 2019].</w:t>
      </w:r>
      <w:r w:rsidRPr="00E5046A">
        <w:rPr>
          <w:rFonts w:cs="Arial"/>
          <w:lang w:val="en"/>
        </w:rPr>
        <w:t xml:space="preserve"> </w:t>
      </w:r>
    </w:p>
  </w:footnote>
  <w:footnote w:id="263">
    <w:p w14:paraId="20DD362E" w14:textId="0F5A25BE"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Angiolini, E. (2017), ‘</w:t>
      </w:r>
      <w:hyperlink r:id="rId240" w:history="1">
        <w:r w:rsidRPr="00E5046A">
          <w:rPr>
            <w:rStyle w:val="Hyperlink"/>
            <w:rFonts w:ascii="Arial" w:hAnsi="Arial" w:cs="Arial"/>
            <w:color w:val="auto"/>
          </w:rPr>
          <w:t>Report of the Independent Review of Deaths and Serious Incidents in Police Custody</w:t>
        </w:r>
      </w:hyperlink>
      <w:r w:rsidRPr="00E5046A">
        <w:rPr>
          <w:rStyle w:val="Hyperlink"/>
          <w:rFonts w:ascii="Arial" w:hAnsi="Arial" w:cs="Arial"/>
          <w:color w:val="auto"/>
        </w:rPr>
        <w:t>’</w:t>
      </w:r>
      <w:r w:rsidRPr="00E5046A">
        <w:rPr>
          <w:rFonts w:ascii="Arial" w:hAnsi="Arial" w:cs="Arial"/>
        </w:rPr>
        <w:t xml:space="preserve"> [accessed: 9 March 2019].</w:t>
      </w:r>
    </w:p>
  </w:footnote>
  <w:footnote w:id="264">
    <w:p w14:paraId="1B253186" w14:textId="1B12787F" w:rsidR="00AE42CD" w:rsidRPr="00E5046A" w:rsidRDefault="00AE42CD" w:rsidP="009E4DD2">
      <w:pPr>
        <w:pStyle w:val="EndnoteText"/>
        <w:rPr>
          <w:rFonts w:ascii="Arial" w:hAnsi="Arial" w:cs="Arial"/>
        </w:rPr>
      </w:pPr>
      <w:r w:rsidRPr="00E5046A">
        <w:rPr>
          <w:rStyle w:val="FootnoteReference"/>
          <w:rFonts w:ascii="Arial" w:hAnsi="Arial" w:cs="Arial"/>
        </w:rPr>
        <w:footnoteRef/>
      </w:r>
      <w:r>
        <w:rPr>
          <w:rFonts w:ascii="Arial" w:hAnsi="Arial" w:cs="Arial"/>
        </w:rPr>
        <w:t xml:space="preserve"> CCE</w:t>
      </w:r>
      <w:r w:rsidRPr="00E5046A">
        <w:rPr>
          <w:rFonts w:ascii="Arial" w:hAnsi="Arial" w:cs="Arial"/>
        </w:rPr>
        <w:t xml:space="preserve"> (2015), ‘</w:t>
      </w:r>
      <w:hyperlink r:id="rId241" w:history="1">
        <w:r w:rsidRPr="00E5046A">
          <w:rPr>
            <w:rStyle w:val="Hyperlink"/>
            <w:rFonts w:ascii="Arial" w:hAnsi="Arial" w:cs="Arial"/>
            <w:color w:val="auto"/>
          </w:rPr>
          <w:t>Unlocking Potential – report into the isolation of young people in custody in England</w:t>
        </w:r>
      </w:hyperlink>
      <w:r w:rsidRPr="00E5046A">
        <w:rPr>
          <w:rStyle w:val="Hyperlink"/>
          <w:rFonts w:ascii="Arial" w:hAnsi="Arial" w:cs="Arial"/>
          <w:color w:val="auto"/>
        </w:rPr>
        <w:t>’</w:t>
      </w:r>
      <w:r w:rsidRPr="00E5046A">
        <w:rPr>
          <w:rFonts w:ascii="Arial" w:hAnsi="Arial" w:cs="Arial"/>
        </w:rPr>
        <w:t xml:space="preserve"> </w:t>
      </w:r>
    </w:p>
    <w:p w14:paraId="4585BC1F" w14:textId="0DE48D80" w:rsidR="00AE42CD" w:rsidRPr="00E5046A" w:rsidRDefault="00AE42CD" w:rsidP="00664589">
      <w:pPr>
        <w:pStyle w:val="EndnoteText"/>
        <w:rPr>
          <w:rFonts w:ascii="Arial" w:hAnsi="Arial" w:cs="Arial"/>
        </w:rPr>
      </w:pPr>
      <w:r w:rsidRPr="00E5046A">
        <w:rPr>
          <w:rFonts w:ascii="Arial" w:hAnsi="Arial" w:cs="Arial"/>
        </w:rPr>
        <w:t>[accessed: 9 March 2019].</w:t>
      </w:r>
    </w:p>
  </w:footnote>
  <w:footnote w:id="265">
    <w:p w14:paraId="368ED54B" w14:textId="096252DE"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UNCRPD (2017), ‘</w:t>
      </w:r>
      <w:hyperlink r:id="rId242" w:history="1">
        <w:r w:rsidRPr="00E5046A">
          <w:rPr>
            <w:rStyle w:val="Hyperlink"/>
            <w:rFonts w:ascii="Arial" w:hAnsi="Arial" w:cs="Arial"/>
            <w:bCs/>
            <w:color w:val="auto"/>
          </w:rPr>
          <w:t>Concluding observations on the initial report of the United Kingdom of Great Britain and Northern Ireland</w:t>
        </w:r>
      </w:hyperlink>
      <w:r w:rsidRPr="00E5046A">
        <w:rPr>
          <w:rStyle w:val="Hyperlink"/>
          <w:rFonts w:ascii="Arial" w:hAnsi="Arial" w:cs="Arial"/>
          <w:bCs/>
          <w:color w:val="auto"/>
        </w:rPr>
        <w:t>’</w:t>
      </w:r>
      <w:r w:rsidRPr="00E5046A">
        <w:rPr>
          <w:rFonts w:ascii="Arial" w:hAnsi="Arial" w:cs="Arial"/>
          <w:bCs/>
        </w:rPr>
        <w:t xml:space="preserve"> [accessed: 8 March 2019]; </w:t>
      </w:r>
      <w:r w:rsidRPr="00E5046A">
        <w:rPr>
          <w:rFonts w:ascii="Arial" w:hAnsi="Arial" w:cs="Arial"/>
        </w:rPr>
        <w:t>UN CERD (2016), ‘</w:t>
      </w:r>
      <w:hyperlink r:id="rId243" w:history="1">
        <w:r w:rsidRPr="00E5046A">
          <w:rPr>
            <w:rStyle w:val="Hyperlink"/>
            <w:rFonts w:ascii="Arial" w:hAnsi="Arial" w:cs="Arial"/>
            <w:bCs/>
            <w:color w:val="auto"/>
          </w:rPr>
          <w:t>Concluding observations on the twenty-first to twenty-third periodic reports of United Kingdom</w:t>
        </w:r>
      </w:hyperlink>
      <w:r w:rsidRPr="00E5046A">
        <w:rPr>
          <w:rStyle w:val="Hyperlink"/>
          <w:rFonts w:ascii="Arial" w:hAnsi="Arial" w:cs="Arial"/>
          <w:bCs/>
          <w:color w:val="auto"/>
        </w:rPr>
        <w:t>’</w:t>
      </w:r>
      <w:r w:rsidRPr="00E5046A">
        <w:rPr>
          <w:rFonts w:ascii="Arial" w:hAnsi="Arial" w:cs="Arial"/>
          <w:bCs/>
        </w:rPr>
        <w:t xml:space="preserve"> [accessed: 8 March 2019].</w:t>
      </w:r>
      <w:r w:rsidRPr="00E5046A">
        <w:rPr>
          <w:rFonts w:ascii="Arial" w:hAnsi="Arial" w:cs="Arial"/>
        </w:rPr>
        <w:t xml:space="preserve">  </w:t>
      </w:r>
    </w:p>
  </w:footnote>
  <w:footnote w:id="266">
    <w:p w14:paraId="20996488" w14:textId="18448769" w:rsidR="00AE42CD" w:rsidRPr="007C24A5" w:rsidRDefault="00AE42CD" w:rsidP="007C24A5">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Agenda (2017). ‘</w:t>
      </w:r>
      <w:hyperlink r:id="rId244" w:history="1">
        <w:r w:rsidRPr="00E5046A">
          <w:rPr>
            <w:rStyle w:val="Hyperlink"/>
            <w:rFonts w:ascii="Arial" w:hAnsi="Arial" w:cs="Arial"/>
            <w:color w:val="auto"/>
          </w:rPr>
          <w:t>Agenda briefing on the use of restraint against women and girls</w:t>
        </w:r>
      </w:hyperlink>
      <w:r>
        <w:rPr>
          <w:rFonts w:ascii="Arial" w:hAnsi="Arial" w:cs="Arial"/>
        </w:rPr>
        <w:t>’ [accessed: 9 March 2019].</w:t>
      </w:r>
    </w:p>
  </w:footnote>
  <w:footnote w:id="267">
    <w:p w14:paraId="37B2776B" w14:textId="3328384F"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CQC (2018), ‘</w:t>
      </w:r>
      <w:hyperlink r:id="rId245" w:history="1">
        <w:r w:rsidRPr="00E5046A">
          <w:rPr>
            <w:rStyle w:val="Hyperlink"/>
            <w:rFonts w:ascii="Arial" w:hAnsi="Arial" w:cs="Arial"/>
            <w:color w:val="auto"/>
          </w:rPr>
          <w:t>State of Care in Mental Health Services 2014-17</w:t>
        </w:r>
      </w:hyperlink>
      <w:r w:rsidRPr="00E5046A">
        <w:rPr>
          <w:rStyle w:val="Hyperlink"/>
          <w:rFonts w:ascii="Arial" w:hAnsi="Arial" w:cs="Arial"/>
          <w:color w:val="auto"/>
        </w:rPr>
        <w:t>’</w:t>
      </w:r>
      <w:r w:rsidRPr="00E5046A">
        <w:rPr>
          <w:rFonts w:ascii="Arial" w:hAnsi="Arial" w:cs="Arial"/>
        </w:rPr>
        <w:t xml:space="preserve"> [accessed: 15 January 2019].</w:t>
      </w:r>
    </w:p>
  </w:footnote>
  <w:footnote w:id="268">
    <w:p w14:paraId="549C1EAF" w14:textId="7C9152F4"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Mental Health Units (Use of Force) Act 2018 (‘Seni’s Law’).</w:t>
      </w:r>
    </w:p>
  </w:footnote>
  <w:footnote w:id="269">
    <w:p w14:paraId="0451FF1D" w14:textId="500579BC"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Home Office (2018), ‘</w:t>
      </w:r>
      <w:hyperlink r:id="rId246" w:history="1">
        <w:r w:rsidRPr="00E5046A">
          <w:rPr>
            <w:rStyle w:val="Hyperlink"/>
            <w:rFonts w:ascii="Arial" w:hAnsi="Arial" w:cs="Arial"/>
            <w:color w:val="auto"/>
          </w:rPr>
          <w:t>User Guide to “Police use of force statistics, England and Wales</w:t>
        </w:r>
      </w:hyperlink>
      <w:r w:rsidRPr="00E5046A">
        <w:rPr>
          <w:rStyle w:val="Hyperlink"/>
          <w:rFonts w:ascii="Arial" w:hAnsi="Arial" w:cs="Arial"/>
          <w:color w:val="auto"/>
        </w:rPr>
        <w:t>’</w:t>
      </w:r>
      <w:r w:rsidRPr="00E5046A">
        <w:rPr>
          <w:rFonts w:ascii="Arial" w:hAnsi="Arial" w:cs="Arial"/>
        </w:rPr>
        <w:t xml:space="preserve"> [accessed: 9 January 2019].</w:t>
      </w:r>
    </w:p>
  </w:footnote>
  <w:footnote w:id="270">
    <w:p w14:paraId="58B49F5A" w14:textId="7D1C12A9"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EHRC (2016), ‘</w:t>
      </w:r>
      <w:hyperlink r:id="rId247" w:history="1">
        <w:r w:rsidRPr="00E5046A">
          <w:rPr>
            <w:rStyle w:val="Hyperlink"/>
            <w:rFonts w:ascii="Arial" w:hAnsi="Arial" w:cs="Arial"/>
            <w:color w:val="auto"/>
          </w:rPr>
          <w:t>Preventing deaths in detention: progress review</w:t>
        </w:r>
      </w:hyperlink>
      <w:r w:rsidRPr="00E5046A">
        <w:rPr>
          <w:rStyle w:val="Hyperlink"/>
          <w:rFonts w:ascii="Arial" w:hAnsi="Arial" w:cs="Arial"/>
          <w:color w:val="auto"/>
        </w:rPr>
        <w:t>’</w:t>
      </w:r>
      <w:r w:rsidRPr="00E5046A">
        <w:rPr>
          <w:rFonts w:ascii="Arial" w:hAnsi="Arial" w:cs="Arial"/>
        </w:rPr>
        <w:t xml:space="preserve"> [accessed: 9 March 2019].</w:t>
      </w:r>
    </w:p>
  </w:footnote>
  <w:footnote w:id="271">
    <w:p w14:paraId="245212CB" w14:textId="655F9522"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David Lammy (2017), ‘</w:t>
      </w:r>
      <w:hyperlink r:id="rId248" w:history="1">
        <w:r w:rsidRPr="00E5046A">
          <w:rPr>
            <w:rStyle w:val="Hyperlink"/>
            <w:rFonts w:ascii="Arial" w:hAnsi="Arial" w:cs="Arial"/>
            <w:color w:val="auto"/>
          </w:rPr>
          <w:t>An independent review into the treatment of, and outcomes for, Black, Asian and Minority Ethnic individuals in the Criminal Justice System</w:t>
        </w:r>
      </w:hyperlink>
      <w:r w:rsidRPr="00E5046A">
        <w:rPr>
          <w:rStyle w:val="Hyperlink"/>
          <w:rFonts w:ascii="Arial" w:hAnsi="Arial" w:cs="Arial"/>
          <w:color w:val="auto"/>
        </w:rPr>
        <w:t>’</w:t>
      </w:r>
      <w:r w:rsidRPr="00E5046A">
        <w:rPr>
          <w:rFonts w:ascii="Arial" w:hAnsi="Arial" w:cs="Arial"/>
        </w:rPr>
        <w:t xml:space="preserve"> [accessed: 9 March 2019] .</w:t>
      </w:r>
    </w:p>
  </w:footnote>
  <w:footnote w:id="272">
    <w:p w14:paraId="7BA7BA14" w14:textId="7D75AE21"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Ministry of Justice (2018), ‘</w:t>
      </w:r>
      <w:hyperlink r:id="rId249" w:history="1">
        <w:r w:rsidRPr="00E5046A">
          <w:rPr>
            <w:rStyle w:val="Hyperlink"/>
            <w:rFonts w:ascii="Arial" w:hAnsi="Arial" w:cs="Arial"/>
            <w:bCs/>
            <w:color w:val="auto"/>
          </w:rPr>
          <w:t>Tackling Racial Disparity in the Criminal Justice System: 2018 Update</w:t>
        </w:r>
      </w:hyperlink>
      <w:r w:rsidRPr="00E5046A">
        <w:rPr>
          <w:rStyle w:val="Hyperlink"/>
          <w:rFonts w:ascii="Arial" w:hAnsi="Arial" w:cs="Arial"/>
          <w:bCs/>
          <w:color w:val="auto"/>
        </w:rPr>
        <w:t>’</w:t>
      </w:r>
      <w:r w:rsidRPr="00E5046A">
        <w:rPr>
          <w:rFonts w:ascii="Arial" w:hAnsi="Arial" w:cs="Arial"/>
          <w:bCs/>
        </w:rPr>
        <w:t xml:space="preserve"> [accessed: 8 March 2019].</w:t>
      </w:r>
    </w:p>
  </w:footnote>
  <w:footnote w:id="273">
    <w:p w14:paraId="6C9A8447" w14:textId="7FB1CB83" w:rsidR="00AE42CD" w:rsidRPr="007C24A5" w:rsidRDefault="00AE42CD" w:rsidP="007C24A5">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OFSTED (2018), ‘</w:t>
      </w:r>
      <w:hyperlink r:id="rId250" w:history="1">
        <w:r w:rsidRPr="00E5046A">
          <w:rPr>
            <w:rFonts w:ascii="Arial" w:hAnsi="Arial" w:cs="Arial"/>
            <w:u w:val="single"/>
          </w:rPr>
          <w:t>Social Care Common Inspection Framework: Boarding Schools and Residential Special Schools</w:t>
        </w:r>
      </w:hyperlink>
      <w:r w:rsidRPr="00E5046A">
        <w:rPr>
          <w:rFonts w:ascii="Arial" w:hAnsi="Arial" w:cs="Arial"/>
          <w:u w:val="single"/>
        </w:rPr>
        <w:t>’</w:t>
      </w:r>
      <w:r>
        <w:rPr>
          <w:rFonts w:ascii="Arial" w:hAnsi="Arial" w:cs="Arial"/>
        </w:rPr>
        <w:t xml:space="preserve"> [accessed: 9 March 2019].</w:t>
      </w:r>
    </w:p>
  </w:footnote>
  <w:footnote w:id="274">
    <w:p w14:paraId="7ED19119" w14:textId="190A5B0A"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OFSTED (2018), ‘</w:t>
      </w:r>
      <w:hyperlink r:id="rId251" w:history="1">
        <w:r w:rsidRPr="00E5046A">
          <w:rPr>
            <w:rStyle w:val="Hyperlink"/>
            <w:rFonts w:ascii="Arial" w:hAnsi="Arial" w:cs="Arial"/>
            <w:color w:val="auto"/>
          </w:rPr>
          <w:t>School Inspection Handbook</w:t>
        </w:r>
      </w:hyperlink>
      <w:r w:rsidRPr="00E5046A">
        <w:rPr>
          <w:rStyle w:val="Hyperlink"/>
          <w:rFonts w:ascii="Arial" w:hAnsi="Arial" w:cs="Arial"/>
          <w:color w:val="auto"/>
        </w:rPr>
        <w:t>’</w:t>
      </w:r>
      <w:r w:rsidRPr="00E5046A">
        <w:rPr>
          <w:rFonts w:ascii="Arial" w:hAnsi="Arial" w:cs="Arial"/>
        </w:rPr>
        <w:t xml:space="preserve"> [accessed: 27 February 2019].</w:t>
      </w:r>
    </w:p>
  </w:footnote>
  <w:footnote w:id="275">
    <w:p w14:paraId="48B86F48" w14:textId="2D2EB942"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MoJ (2012), ‘</w:t>
      </w:r>
      <w:hyperlink r:id="rId252" w:history="1">
        <w:r w:rsidRPr="00E5046A">
          <w:rPr>
            <w:rStyle w:val="Hyperlink"/>
            <w:rFonts w:ascii="Arial" w:hAnsi="Arial" w:cs="Arial"/>
            <w:color w:val="auto"/>
          </w:rPr>
          <w:t>Prisoner complaints, Prison Service Instruction</w:t>
        </w:r>
      </w:hyperlink>
      <w:r w:rsidRPr="00E5046A">
        <w:rPr>
          <w:rStyle w:val="Hyperlink"/>
          <w:rFonts w:ascii="Arial" w:hAnsi="Arial" w:cs="Arial"/>
          <w:color w:val="auto"/>
        </w:rPr>
        <w:t>’</w:t>
      </w:r>
      <w:r w:rsidRPr="00E5046A">
        <w:rPr>
          <w:rFonts w:ascii="Arial" w:hAnsi="Arial" w:cs="Arial"/>
        </w:rPr>
        <w:t xml:space="preserve"> [accessed: 9 March 2019].</w:t>
      </w:r>
    </w:p>
  </w:footnote>
  <w:footnote w:id="276">
    <w:p w14:paraId="6691F917" w14:textId="5F4415D9"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PPO (2018), ‘</w:t>
      </w:r>
      <w:hyperlink r:id="rId253" w:history="1">
        <w:r w:rsidRPr="00E5046A">
          <w:rPr>
            <w:rStyle w:val="Hyperlink"/>
            <w:rFonts w:ascii="Arial" w:hAnsi="Arial" w:cs="Arial"/>
            <w:color w:val="auto"/>
          </w:rPr>
          <w:t>Annual report 2017-18</w:t>
        </w:r>
      </w:hyperlink>
      <w:r w:rsidRPr="00E5046A">
        <w:rPr>
          <w:rStyle w:val="Hyperlink"/>
          <w:rFonts w:ascii="Arial" w:hAnsi="Arial" w:cs="Arial"/>
          <w:color w:val="auto"/>
        </w:rPr>
        <w:t>’</w:t>
      </w:r>
      <w:r w:rsidRPr="00E5046A">
        <w:rPr>
          <w:rFonts w:ascii="Arial" w:hAnsi="Arial" w:cs="Arial"/>
        </w:rPr>
        <w:t xml:space="preserve"> [accessed: 9 March 2019]. </w:t>
      </w:r>
    </w:p>
  </w:footnote>
  <w:footnote w:id="277">
    <w:p w14:paraId="090DE2B1" w14:textId="4475D4E4"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PPO (2018), ‘</w:t>
      </w:r>
      <w:hyperlink r:id="rId254" w:history="1">
        <w:r w:rsidRPr="00E5046A">
          <w:rPr>
            <w:rStyle w:val="Hyperlink"/>
            <w:rFonts w:ascii="Arial" w:hAnsi="Arial" w:cs="Arial"/>
            <w:color w:val="auto"/>
          </w:rPr>
          <w:t>Annual report 2017-18</w:t>
        </w:r>
      </w:hyperlink>
      <w:r w:rsidRPr="00E5046A">
        <w:rPr>
          <w:rStyle w:val="Hyperlink"/>
          <w:rFonts w:ascii="Arial" w:hAnsi="Arial" w:cs="Arial"/>
          <w:color w:val="auto"/>
        </w:rPr>
        <w:t>’</w:t>
      </w:r>
      <w:r w:rsidRPr="00E5046A">
        <w:rPr>
          <w:rFonts w:ascii="Arial" w:hAnsi="Arial" w:cs="Arial"/>
        </w:rPr>
        <w:t xml:space="preserve"> [accessed: 9 March 2019]. </w:t>
      </w:r>
    </w:p>
  </w:footnote>
  <w:footnote w:id="278">
    <w:p w14:paraId="74BE5306" w14:textId="1E764D35"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Zahid Mubarek Trust and Prison Reform Trust (2017), ‘</w:t>
      </w:r>
      <w:hyperlink r:id="rId255" w:history="1">
        <w:r w:rsidRPr="00E5046A">
          <w:rPr>
            <w:rStyle w:val="Hyperlink"/>
            <w:rFonts w:ascii="Arial" w:hAnsi="Arial" w:cs="Arial"/>
            <w:color w:val="auto"/>
          </w:rPr>
          <w:t>Tackling discrimination in prison: Still not a fair response</w:t>
        </w:r>
      </w:hyperlink>
      <w:r w:rsidRPr="00E5046A">
        <w:rPr>
          <w:rStyle w:val="Hyperlink"/>
          <w:rFonts w:ascii="Arial" w:hAnsi="Arial" w:cs="Arial"/>
          <w:color w:val="auto"/>
        </w:rPr>
        <w:t>’</w:t>
      </w:r>
      <w:r w:rsidRPr="00E5046A">
        <w:rPr>
          <w:rFonts w:ascii="Arial" w:hAnsi="Arial" w:cs="Arial"/>
        </w:rPr>
        <w:t xml:space="preserve"> [accessed: 9 March 2019].</w:t>
      </w:r>
    </w:p>
  </w:footnote>
  <w:footnote w:id="279">
    <w:p w14:paraId="44840C42" w14:textId="02925D03"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JCHR (2018), ‘</w:t>
      </w:r>
      <w:hyperlink r:id="rId256" w:history="1">
        <w:r w:rsidRPr="00E5046A">
          <w:rPr>
            <w:rStyle w:val="Hyperlink"/>
            <w:rFonts w:ascii="Arial" w:hAnsi="Arial" w:cs="Arial"/>
            <w:color w:val="auto"/>
          </w:rPr>
          <w:t>Oral Evidence, Inquiry into restraint and segregation in youth detention</w:t>
        </w:r>
      </w:hyperlink>
      <w:r w:rsidRPr="00E5046A">
        <w:rPr>
          <w:rStyle w:val="Hyperlink"/>
          <w:rFonts w:ascii="Arial" w:hAnsi="Arial" w:cs="Arial"/>
          <w:color w:val="auto"/>
        </w:rPr>
        <w:t>’</w:t>
      </w:r>
      <w:r w:rsidRPr="00E5046A">
        <w:rPr>
          <w:rFonts w:ascii="Arial" w:hAnsi="Arial" w:cs="Arial"/>
        </w:rPr>
        <w:t xml:space="preserve"> [accessed 22 October 2018].</w:t>
      </w:r>
    </w:p>
  </w:footnote>
  <w:footnote w:id="280">
    <w:p w14:paraId="18D71C37" w14:textId="19F9454F"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PPO (2017), ‘</w:t>
      </w:r>
      <w:hyperlink r:id="rId257" w:history="1">
        <w:r w:rsidRPr="00E5046A">
          <w:rPr>
            <w:rStyle w:val="Hyperlink"/>
            <w:rFonts w:ascii="Arial" w:hAnsi="Arial" w:cs="Arial"/>
            <w:color w:val="auto"/>
          </w:rPr>
          <w:t>Complaints from young people in custody: lessons learnt</w:t>
        </w:r>
      </w:hyperlink>
      <w:r w:rsidRPr="00E5046A">
        <w:rPr>
          <w:rStyle w:val="Hyperlink"/>
          <w:rFonts w:ascii="Arial" w:hAnsi="Arial" w:cs="Arial"/>
          <w:color w:val="auto"/>
        </w:rPr>
        <w:t>’</w:t>
      </w:r>
      <w:r w:rsidRPr="00E5046A">
        <w:rPr>
          <w:rFonts w:ascii="Arial" w:hAnsi="Arial" w:cs="Arial"/>
        </w:rPr>
        <w:t xml:space="preserve"> [accessed 22 October 2018]. </w:t>
      </w:r>
    </w:p>
  </w:footnote>
  <w:footnote w:id="281">
    <w:p w14:paraId="0F623476" w14:textId="0AE4A1B3"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Policing and Crime Act 2017.</w:t>
      </w:r>
    </w:p>
  </w:footnote>
  <w:footnote w:id="282">
    <w:p w14:paraId="45835B79" w14:textId="7FF7D7E9" w:rsidR="00AE42CD" w:rsidRPr="007C24A5" w:rsidRDefault="00AE42CD" w:rsidP="007C24A5">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PPO (2018), ‘</w:t>
      </w:r>
      <w:hyperlink r:id="rId258" w:history="1">
        <w:r w:rsidRPr="00E5046A">
          <w:rPr>
            <w:rStyle w:val="Hyperlink"/>
            <w:rFonts w:ascii="Arial" w:hAnsi="Arial" w:cs="Arial"/>
            <w:color w:val="auto"/>
          </w:rPr>
          <w:t>Annual report 2017-18</w:t>
        </w:r>
      </w:hyperlink>
      <w:r w:rsidRPr="00E5046A">
        <w:rPr>
          <w:rStyle w:val="Hyperlink"/>
          <w:rFonts w:ascii="Arial" w:hAnsi="Arial" w:cs="Arial"/>
          <w:color w:val="auto"/>
        </w:rPr>
        <w:t>’</w:t>
      </w:r>
      <w:r w:rsidRPr="00E5046A">
        <w:rPr>
          <w:rFonts w:ascii="Arial" w:hAnsi="Arial" w:cs="Arial"/>
        </w:rPr>
        <w:t xml:space="preserve"> [accessed: 9 March 2019]; House of Commons Home Affairs Committee (2013), ‘</w:t>
      </w:r>
      <w:hyperlink r:id="rId259" w:history="1">
        <w:r w:rsidRPr="00E5046A">
          <w:rPr>
            <w:rStyle w:val="Hyperlink"/>
            <w:rFonts w:ascii="Arial" w:hAnsi="Arial" w:cs="Arial"/>
            <w:color w:val="auto"/>
          </w:rPr>
          <w:t>Independent Police Complaints Commission: eleventh report of session 2012–13</w:t>
        </w:r>
      </w:hyperlink>
      <w:r>
        <w:rPr>
          <w:rFonts w:ascii="Arial" w:hAnsi="Arial" w:cs="Arial"/>
        </w:rPr>
        <w:t>’. [accessed 9 March 2019].</w:t>
      </w:r>
    </w:p>
  </w:footnote>
  <w:footnote w:id="283">
    <w:p w14:paraId="5B590B2B" w14:textId="162668C6" w:rsidR="00AE42CD" w:rsidRPr="00E5046A" w:rsidRDefault="00AE42CD" w:rsidP="00664589">
      <w:pPr>
        <w:pStyle w:val="EndnoteText"/>
        <w:rPr>
          <w:rFonts w:ascii="Arial" w:hAnsi="Arial" w:cs="Arial"/>
        </w:rPr>
      </w:pPr>
      <w:r w:rsidRPr="00E5046A">
        <w:rPr>
          <w:rStyle w:val="FootnoteReference"/>
          <w:rFonts w:ascii="Arial" w:hAnsi="Arial" w:cs="Arial"/>
        </w:rPr>
        <w:footnoteRef/>
      </w:r>
      <w:r>
        <w:rPr>
          <w:rFonts w:ascii="Arial" w:hAnsi="Arial" w:cs="Arial"/>
        </w:rPr>
        <w:t xml:space="preserve"> CCE</w:t>
      </w:r>
      <w:r w:rsidRPr="00E5046A">
        <w:rPr>
          <w:rFonts w:ascii="Arial" w:hAnsi="Arial" w:cs="Arial"/>
        </w:rPr>
        <w:t xml:space="preserve"> (2015), ‘</w:t>
      </w:r>
      <w:hyperlink r:id="rId260" w:history="1">
        <w:r w:rsidRPr="00E5046A">
          <w:rPr>
            <w:rStyle w:val="Hyperlink"/>
            <w:rFonts w:ascii="Arial" w:hAnsi="Arial" w:cs="Arial"/>
            <w:color w:val="auto"/>
          </w:rPr>
          <w:t>Speaking up: When children and young people want to complain about school</w:t>
        </w:r>
      </w:hyperlink>
      <w:r w:rsidRPr="00E5046A">
        <w:rPr>
          <w:rStyle w:val="Hyperlink"/>
          <w:rFonts w:ascii="Arial" w:hAnsi="Arial" w:cs="Arial"/>
          <w:color w:val="auto"/>
        </w:rPr>
        <w:t>’</w:t>
      </w:r>
      <w:r w:rsidRPr="00E5046A">
        <w:rPr>
          <w:rFonts w:ascii="Arial" w:hAnsi="Arial" w:cs="Arial"/>
        </w:rPr>
        <w:t xml:space="preserve"> [accessed: 9 March 2019].</w:t>
      </w:r>
    </w:p>
  </w:footnote>
  <w:footnote w:id="284">
    <w:p w14:paraId="020E6524" w14:textId="17CFE814"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UNCAT (2013), ‘</w:t>
      </w:r>
      <w:hyperlink r:id="rId261" w:history="1">
        <w:r w:rsidRPr="00E5046A">
          <w:rPr>
            <w:rStyle w:val="Hyperlink"/>
            <w:rFonts w:ascii="Arial" w:hAnsi="Arial" w:cs="Arial"/>
            <w:bCs/>
            <w:color w:val="auto"/>
          </w:rPr>
          <w:t>Concluding observations on the fifth periodic report of the United Kingdom of Great Britain and Northern Ireland</w:t>
        </w:r>
      </w:hyperlink>
      <w:r w:rsidRPr="00E5046A">
        <w:rPr>
          <w:rStyle w:val="Hyperlink"/>
          <w:rFonts w:ascii="Arial" w:hAnsi="Arial" w:cs="Arial"/>
          <w:bCs/>
          <w:color w:val="auto"/>
        </w:rPr>
        <w:t>’</w:t>
      </w:r>
      <w:r w:rsidRPr="00E5046A">
        <w:rPr>
          <w:rFonts w:ascii="Arial" w:hAnsi="Arial" w:cs="Arial"/>
          <w:bCs/>
        </w:rPr>
        <w:t xml:space="preserve"> [accessed: 9 March 2019]</w:t>
      </w:r>
      <w:r w:rsidRPr="00E5046A">
        <w:rPr>
          <w:rFonts w:ascii="Arial" w:hAnsi="Arial" w:cs="Arial"/>
          <w:b/>
          <w:bCs/>
        </w:rPr>
        <w:t xml:space="preserve"> .</w:t>
      </w:r>
      <w:r w:rsidRPr="00E5046A">
        <w:rPr>
          <w:rFonts w:ascii="Arial" w:hAnsi="Arial" w:cs="Arial"/>
        </w:rPr>
        <w:t xml:space="preserve"> </w:t>
      </w:r>
    </w:p>
  </w:footnote>
  <w:footnote w:id="285">
    <w:p w14:paraId="7D4AB47F" w14:textId="6B6CD3BC"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Children Act 2004. </w:t>
      </w:r>
    </w:p>
  </w:footnote>
  <w:footnote w:id="286">
    <w:p w14:paraId="35FB629A" w14:textId="6736B6B1"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UK Parliament (2011), ‘</w:t>
      </w:r>
      <w:hyperlink r:id="rId262" w:history="1">
        <w:r w:rsidRPr="00E5046A">
          <w:rPr>
            <w:rStyle w:val="Hyperlink"/>
            <w:rFonts w:ascii="Arial" w:hAnsi="Arial" w:cs="Arial"/>
            <w:color w:val="auto"/>
          </w:rPr>
          <w:t>Rights of Children and Young Persons (Wales) Measure 2011</w:t>
        </w:r>
      </w:hyperlink>
      <w:r w:rsidRPr="00E5046A">
        <w:rPr>
          <w:rStyle w:val="Hyperlink"/>
          <w:rFonts w:ascii="Arial" w:hAnsi="Arial" w:cs="Arial"/>
          <w:color w:val="auto"/>
        </w:rPr>
        <w:t>’</w:t>
      </w:r>
      <w:r w:rsidRPr="00E5046A">
        <w:rPr>
          <w:rFonts w:ascii="Arial" w:hAnsi="Arial" w:cs="Arial"/>
        </w:rPr>
        <w:t xml:space="preserve"> [accessed: 6 December 2018].</w:t>
      </w:r>
    </w:p>
  </w:footnote>
  <w:footnote w:id="287">
    <w:p w14:paraId="08027F19" w14:textId="36C2FCE8"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Welsh Government (2018), ‘</w:t>
      </w:r>
      <w:hyperlink r:id="rId263" w:history="1">
        <w:r w:rsidRPr="00E5046A">
          <w:rPr>
            <w:rStyle w:val="Hyperlink"/>
            <w:rFonts w:ascii="Arial" w:hAnsi="Arial" w:cs="Arial"/>
            <w:color w:val="auto"/>
          </w:rPr>
          <w:t>Legislative proposal to remove the defence of reasonable punishment: summary of responses’</w:t>
        </w:r>
      </w:hyperlink>
      <w:r w:rsidRPr="00E5046A">
        <w:rPr>
          <w:rFonts w:ascii="Arial" w:hAnsi="Arial" w:cs="Arial"/>
        </w:rPr>
        <w:t xml:space="preserve"> [accessed: 9 March 2019]. </w:t>
      </w:r>
    </w:p>
  </w:footnote>
  <w:footnote w:id="288">
    <w:p w14:paraId="1D5C6CBD" w14:textId="1935DB8A" w:rsidR="00AE42CD" w:rsidRPr="00E5046A" w:rsidRDefault="00AE42CD" w:rsidP="006F3A06">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National Assembly for Wales (2018), ‘</w:t>
      </w:r>
      <w:hyperlink r:id="rId264" w:anchor="A44995" w:history="1">
        <w:r w:rsidRPr="00E5046A">
          <w:rPr>
            <w:rStyle w:val="Hyperlink"/>
            <w:rFonts w:ascii="Arial" w:hAnsi="Arial" w:cs="Arial"/>
            <w:color w:val="auto"/>
            <w:lang w:val="en"/>
          </w:rPr>
          <w:t>Statement by the First Minister: The Legislative Programme</w:t>
        </w:r>
      </w:hyperlink>
      <w:r w:rsidRPr="00E5046A">
        <w:rPr>
          <w:rStyle w:val="Hyperlink"/>
          <w:rFonts w:ascii="Arial" w:hAnsi="Arial" w:cs="Arial"/>
          <w:color w:val="auto"/>
          <w:lang w:val="en"/>
        </w:rPr>
        <w:t>’</w:t>
      </w:r>
      <w:r w:rsidRPr="00E5046A">
        <w:rPr>
          <w:rFonts w:ascii="Arial" w:hAnsi="Arial" w:cs="Arial"/>
          <w:lang w:val="en"/>
        </w:rPr>
        <w:t xml:space="preserve"> [accessed: 9 March 2019]</w:t>
      </w:r>
      <w:r w:rsidRPr="00E5046A">
        <w:rPr>
          <w:rFonts w:ascii="Arial" w:hAnsi="Arial" w:cs="Arial"/>
        </w:rPr>
        <w:t>.</w:t>
      </w:r>
    </w:p>
    <w:p w14:paraId="62D28AB1" w14:textId="4426CC22" w:rsidR="00AE42CD" w:rsidRPr="00E5046A" w:rsidRDefault="00AE42CD" w:rsidP="00C32DAA">
      <w:pPr>
        <w:pStyle w:val="FootnoteText"/>
        <w:rPr>
          <w:rFonts w:cs="Arial"/>
        </w:rPr>
      </w:pPr>
    </w:p>
  </w:footnote>
  <w:footnote w:id="289">
    <w:p w14:paraId="421F9360" w14:textId="629F9F14"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Prime Minister’s Office and The Right Honourable Theresa May MP (2017), ‘</w:t>
      </w:r>
      <w:hyperlink r:id="rId265" w:history="1">
        <w:r w:rsidRPr="00E5046A">
          <w:rPr>
            <w:rStyle w:val="Hyperlink"/>
            <w:rFonts w:ascii="Arial" w:hAnsi="Arial" w:cs="Arial"/>
            <w:color w:val="auto"/>
          </w:rPr>
          <w:t>PM statement following London terror attack</w:t>
        </w:r>
      </w:hyperlink>
      <w:r w:rsidRPr="00E5046A">
        <w:rPr>
          <w:rStyle w:val="Hyperlink"/>
          <w:rFonts w:ascii="Arial" w:hAnsi="Arial" w:cs="Arial"/>
          <w:color w:val="auto"/>
        </w:rPr>
        <w:t>’</w:t>
      </w:r>
      <w:r w:rsidRPr="00E5046A">
        <w:rPr>
          <w:rFonts w:ascii="Arial" w:hAnsi="Arial" w:cs="Arial"/>
        </w:rPr>
        <w:t xml:space="preserve"> [accessed: 2 November 2018].</w:t>
      </w:r>
    </w:p>
  </w:footnote>
  <w:footnote w:id="290">
    <w:p w14:paraId="50659301" w14:textId="33EA7C08"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hyperlink r:id="rId266" w:history="1">
        <w:r w:rsidRPr="00E5046A">
          <w:rPr>
            <w:rStyle w:val="Hyperlink"/>
            <w:rFonts w:ascii="Arial" w:hAnsi="Arial" w:cs="Arial"/>
          </w:rPr>
          <w:t>Counter-terrorism and Border Security Act 2019</w:t>
        </w:r>
      </w:hyperlink>
      <w:r w:rsidRPr="00E5046A">
        <w:rPr>
          <w:rFonts w:ascii="Arial" w:hAnsi="Arial" w:cs="Arial"/>
        </w:rPr>
        <w:t xml:space="preserve">. </w:t>
      </w:r>
    </w:p>
  </w:footnote>
  <w:footnote w:id="291">
    <w:p w14:paraId="2D6575C5" w14:textId="2290B627" w:rsidR="00AE42CD" w:rsidRPr="00E5046A" w:rsidRDefault="00AE42CD" w:rsidP="008F06FB">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Schedule 7 of Terrorism Act 2000; EHRC (2015), ‘</w:t>
      </w:r>
      <w:hyperlink r:id="rId267" w:history="1">
        <w:r w:rsidRPr="00E5046A">
          <w:rPr>
            <w:rStyle w:val="Hyperlink"/>
            <w:rFonts w:ascii="Arial" w:hAnsi="Arial" w:cs="Arial"/>
          </w:rPr>
          <w:t>Civil and Political Rights in the UK. EHRC Submission to the United Nations Human Rights Committee on the UK’s Implementation of ICCPR</w:t>
        </w:r>
      </w:hyperlink>
      <w:r w:rsidRPr="00E5046A">
        <w:rPr>
          <w:rFonts w:ascii="Arial" w:hAnsi="Arial" w:cs="Arial"/>
        </w:rPr>
        <w:t>.</w:t>
      </w:r>
    </w:p>
    <w:p w14:paraId="63C571FD" w14:textId="38D5A20D" w:rsidR="00AE42CD" w:rsidRPr="00E5046A" w:rsidRDefault="00AE42CD" w:rsidP="00664589">
      <w:pPr>
        <w:pStyle w:val="EndnoteText"/>
        <w:rPr>
          <w:rFonts w:ascii="Arial" w:hAnsi="Arial" w:cs="Arial"/>
        </w:rPr>
      </w:pPr>
      <w:r w:rsidRPr="00E5046A">
        <w:rPr>
          <w:rFonts w:ascii="Arial" w:hAnsi="Arial" w:cs="Arial"/>
        </w:rPr>
        <w:t>[accessed: 8 March 2019]</w:t>
      </w:r>
    </w:p>
  </w:footnote>
  <w:footnote w:id="292">
    <w:p w14:paraId="28B2F4F1" w14:textId="50A5909F"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Max Hill QC (2018), ‘</w:t>
      </w:r>
      <w:hyperlink r:id="rId268" w:history="1">
        <w:r w:rsidRPr="00E5046A">
          <w:rPr>
            <w:rStyle w:val="Hyperlink"/>
            <w:rFonts w:ascii="Arial" w:hAnsi="Arial" w:cs="Arial"/>
            <w:color w:val="auto"/>
          </w:rPr>
          <w:t>The Terrorism Acts in 2017: Report of the Independent Reviewer of Terrorism Legislation</w:t>
        </w:r>
      </w:hyperlink>
      <w:r w:rsidRPr="00E5046A">
        <w:rPr>
          <w:rStyle w:val="Hyperlink"/>
          <w:rFonts w:ascii="Arial" w:hAnsi="Arial" w:cs="Arial"/>
          <w:color w:val="auto"/>
        </w:rPr>
        <w:t>’</w:t>
      </w:r>
      <w:r w:rsidRPr="00E5046A">
        <w:rPr>
          <w:rFonts w:ascii="Arial" w:hAnsi="Arial" w:cs="Arial"/>
        </w:rPr>
        <w:t xml:space="preserve"> [accessed: 8 March 2018].</w:t>
      </w:r>
    </w:p>
  </w:footnote>
  <w:footnote w:id="293">
    <w:p w14:paraId="746B88F4" w14:textId="4AE4E299" w:rsidR="00AE42CD" w:rsidRPr="007C24A5" w:rsidRDefault="00AE42CD" w:rsidP="007C24A5">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Home Office (2018), ‘</w:t>
      </w:r>
      <w:hyperlink r:id="rId269" w:history="1">
        <w:r w:rsidRPr="00E5046A">
          <w:rPr>
            <w:rStyle w:val="Hyperlink"/>
            <w:rFonts w:ascii="Arial" w:hAnsi="Arial" w:cs="Arial"/>
            <w:bCs/>
          </w:rPr>
          <w:t>Operation of police powers under the Terrorism Act 2000 and subsequent legislation: Arrests, outcomes</w:t>
        </w:r>
        <w:r w:rsidRPr="00E5046A">
          <w:rPr>
            <w:rStyle w:val="Hyperlink"/>
            <w:rFonts w:ascii="Arial" w:hAnsi="Arial" w:cs="Arial"/>
          </w:rPr>
          <w:t>, and stop and search, Great Britain, quarterly update to June 2018</w:t>
        </w:r>
      </w:hyperlink>
      <w:r w:rsidRPr="00E5046A">
        <w:rPr>
          <w:rFonts w:ascii="Arial" w:hAnsi="Arial" w:cs="Arial"/>
          <w:bCs/>
        </w:rPr>
        <w:t>’</w:t>
      </w:r>
      <w:r>
        <w:rPr>
          <w:rFonts w:ascii="Arial" w:hAnsi="Arial" w:cs="Arial"/>
        </w:rPr>
        <w:t xml:space="preserve"> [accessed: 8 March 2019]. </w:t>
      </w:r>
    </w:p>
  </w:footnote>
  <w:footnote w:id="294">
    <w:p w14:paraId="5C71FCD0" w14:textId="798A8FDE" w:rsidR="00AE42CD" w:rsidRPr="00E5046A" w:rsidRDefault="00AE42CD" w:rsidP="00664589">
      <w:pPr>
        <w:pStyle w:val="EndnoteText"/>
        <w:rPr>
          <w:rFonts w:ascii="Arial" w:hAnsi="Arial" w:cs="Arial"/>
          <w:bCs/>
        </w:rPr>
      </w:pPr>
      <w:r w:rsidRPr="00E5046A">
        <w:rPr>
          <w:rStyle w:val="FootnoteReference"/>
          <w:rFonts w:ascii="Arial" w:hAnsi="Arial" w:cs="Arial"/>
        </w:rPr>
        <w:footnoteRef/>
      </w:r>
      <w:r w:rsidRPr="00E5046A">
        <w:rPr>
          <w:rFonts w:ascii="Arial" w:hAnsi="Arial" w:cs="Arial"/>
        </w:rPr>
        <w:t xml:space="preserve"> JCHR (2018), ‘</w:t>
      </w:r>
      <w:hyperlink r:id="rId270" w:history="1">
        <w:r w:rsidRPr="00E5046A">
          <w:rPr>
            <w:rStyle w:val="Hyperlink"/>
            <w:rFonts w:ascii="Arial" w:hAnsi="Arial" w:cs="Arial"/>
            <w:bCs/>
            <w:color w:val="auto"/>
          </w:rPr>
          <w:t>Second Legislative Scrutiny Report: Counter-Terrorism and Border Security Bill</w:t>
        </w:r>
      </w:hyperlink>
      <w:r w:rsidRPr="00E5046A">
        <w:rPr>
          <w:rStyle w:val="Hyperlink"/>
          <w:rFonts w:ascii="Arial" w:hAnsi="Arial" w:cs="Arial"/>
          <w:bCs/>
          <w:color w:val="auto"/>
        </w:rPr>
        <w:t>’</w:t>
      </w:r>
      <w:r w:rsidRPr="00E5046A">
        <w:rPr>
          <w:rFonts w:ascii="Arial" w:hAnsi="Arial" w:cs="Arial"/>
          <w:bCs/>
        </w:rPr>
        <w:t xml:space="preserve"> [accessed: 8 March 2019]</w:t>
      </w:r>
      <w:r w:rsidRPr="00E5046A">
        <w:rPr>
          <w:rFonts w:ascii="Arial" w:eastAsia="Calibri" w:hAnsi="Arial" w:cs="Arial"/>
        </w:rPr>
        <w:t xml:space="preserve">; </w:t>
      </w:r>
      <w:r w:rsidRPr="00E5046A">
        <w:rPr>
          <w:rFonts w:ascii="Arial" w:hAnsi="Arial" w:cs="Arial"/>
          <w:bCs/>
        </w:rPr>
        <w:t>Liberty (October 2018), ‘</w:t>
      </w:r>
      <w:hyperlink r:id="rId271" w:history="1">
        <w:r w:rsidRPr="00E5046A">
          <w:rPr>
            <w:rStyle w:val="Hyperlink"/>
            <w:rFonts w:ascii="Arial" w:hAnsi="Arial" w:cs="Arial"/>
            <w:color w:val="auto"/>
          </w:rPr>
          <w:t>Briefing on the Counter-Terrorism and Border Security Bill for Second Reading in the House of Lords</w:t>
        </w:r>
      </w:hyperlink>
      <w:r w:rsidRPr="00E5046A">
        <w:rPr>
          <w:rStyle w:val="Hyperlink"/>
          <w:rFonts w:ascii="Arial" w:hAnsi="Arial" w:cs="Arial"/>
          <w:color w:val="auto"/>
        </w:rPr>
        <w:t>’</w:t>
      </w:r>
      <w:r w:rsidRPr="00E5046A">
        <w:rPr>
          <w:rFonts w:ascii="Arial" w:hAnsi="Arial" w:cs="Arial"/>
        </w:rPr>
        <w:t xml:space="preserve"> [accessed: 8 March 2019].</w:t>
      </w:r>
    </w:p>
  </w:footnote>
  <w:footnote w:id="295">
    <w:p w14:paraId="1BFCA14A" w14:textId="53BE3873"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Human Rights Committee (2015), ‘</w:t>
      </w:r>
      <w:hyperlink r:id="rId272" w:history="1">
        <w:r w:rsidRPr="00E5046A">
          <w:rPr>
            <w:rStyle w:val="Hyperlink"/>
            <w:rFonts w:ascii="Arial" w:hAnsi="Arial" w:cs="Arial"/>
            <w:color w:val="auto"/>
          </w:rPr>
          <w:t>Concluding Observations on the seventh periodic report of the United Kingdom of Great Britain and Northern Ireland</w:t>
        </w:r>
      </w:hyperlink>
      <w:r w:rsidRPr="00E5046A">
        <w:rPr>
          <w:rStyle w:val="Hyperlink"/>
          <w:rFonts w:ascii="Arial" w:hAnsi="Arial" w:cs="Arial"/>
          <w:color w:val="auto"/>
        </w:rPr>
        <w:t>’</w:t>
      </w:r>
      <w:r w:rsidRPr="00E5046A">
        <w:rPr>
          <w:rFonts w:ascii="Arial" w:hAnsi="Arial" w:cs="Arial"/>
        </w:rPr>
        <w:t xml:space="preserve"> [accessed: 8 March 2019]. </w:t>
      </w:r>
    </w:p>
  </w:footnote>
  <w:footnote w:id="296">
    <w:p w14:paraId="21C5C501" w14:textId="70A68DE2" w:rsidR="00AE42CD" w:rsidRPr="007C39AB" w:rsidRDefault="00AE42CD" w:rsidP="007C39AB">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Matrix Chambers (2018), ‘</w:t>
      </w:r>
      <w:hyperlink r:id="rId273" w:history="1">
        <w:r w:rsidRPr="00E5046A">
          <w:rPr>
            <w:rStyle w:val="Hyperlink"/>
            <w:rFonts w:ascii="Arial" w:hAnsi="Arial" w:cs="Arial"/>
            <w:color w:val="auto"/>
          </w:rPr>
          <w:t>Court orders a closed material procedure for two claimants within the Iraqi civilian group litigation</w:t>
        </w:r>
      </w:hyperlink>
      <w:r w:rsidRPr="00E5046A">
        <w:rPr>
          <w:rStyle w:val="Hyperlink"/>
          <w:rFonts w:ascii="Arial" w:hAnsi="Arial" w:cs="Arial"/>
          <w:color w:val="auto"/>
        </w:rPr>
        <w:t xml:space="preserve">’ [accessed: 8 March 2019]; </w:t>
      </w:r>
      <w:r w:rsidRPr="00E5046A">
        <w:rPr>
          <w:rFonts w:ascii="Arial" w:hAnsi="Arial" w:cs="Arial"/>
        </w:rPr>
        <w:t>Shaheen Rahman QC (2017), ‘</w:t>
      </w:r>
      <w:hyperlink r:id="rId274" w:history="1">
        <w:r w:rsidRPr="00E5046A">
          <w:rPr>
            <w:rStyle w:val="Hyperlink"/>
            <w:rFonts w:ascii="Arial" w:hAnsi="Arial" w:cs="Arial"/>
            <w:color w:val="auto"/>
          </w:rPr>
          <w:t>Secret evidence and closed hearings</w:t>
        </w:r>
      </w:hyperlink>
      <w:r w:rsidRPr="00E5046A">
        <w:rPr>
          <w:rStyle w:val="Hyperlink"/>
          <w:rFonts w:ascii="Arial" w:hAnsi="Arial" w:cs="Arial"/>
          <w:color w:val="auto"/>
        </w:rPr>
        <w:t>’</w:t>
      </w:r>
      <w:r w:rsidRPr="00E5046A">
        <w:rPr>
          <w:rFonts w:ascii="Arial" w:hAnsi="Arial" w:cs="Arial"/>
        </w:rPr>
        <w:t xml:space="preserve"> [accessed: 8 March 2019].</w:t>
      </w:r>
    </w:p>
  </w:footnote>
  <w:footnote w:id="297">
    <w:p w14:paraId="17A47291" w14:textId="768CAFD4"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Alasdair Henderson (2017), ‘</w:t>
      </w:r>
      <w:hyperlink r:id="rId275" w:history="1">
        <w:r w:rsidRPr="00E5046A">
          <w:rPr>
            <w:rStyle w:val="Hyperlink"/>
            <w:rFonts w:ascii="Arial" w:hAnsi="Arial" w:cs="Arial"/>
            <w:color w:val="auto"/>
          </w:rPr>
          <w:t>When can a closed material procedure be used?</w:t>
        </w:r>
      </w:hyperlink>
      <w:r w:rsidRPr="00E5046A">
        <w:rPr>
          <w:rStyle w:val="Hyperlink"/>
          <w:rFonts w:ascii="Arial" w:hAnsi="Arial" w:cs="Arial"/>
          <w:color w:val="auto"/>
        </w:rPr>
        <w:t>’</w:t>
      </w:r>
      <w:r w:rsidRPr="00E5046A">
        <w:rPr>
          <w:rFonts w:ascii="Arial" w:hAnsi="Arial" w:cs="Arial"/>
        </w:rPr>
        <w:t xml:space="preserve"> [accessed: 8 March 2019].</w:t>
      </w:r>
    </w:p>
  </w:footnote>
  <w:footnote w:id="298">
    <w:p w14:paraId="1ACBF59A" w14:textId="759511E1"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Ministry of Justice (2019), ‘</w:t>
      </w:r>
      <w:hyperlink r:id="rId276" w:history="1">
        <w:r w:rsidRPr="00E5046A">
          <w:rPr>
            <w:rStyle w:val="Hyperlink"/>
            <w:rFonts w:ascii="Arial" w:hAnsi="Arial" w:cs="Arial"/>
          </w:rPr>
          <w:t>Use of closed material procedure reports</w:t>
        </w:r>
      </w:hyperlink>
      <w:r w:rsidRPr="00E5046A">
        <w:rPr>
          <w:rFonts w:ascii="Arial" w:hAnsi="Arial" w:cs="Arial"/>
        </w:rPr>
        <w:t>’ [accessed: 20 March 2019].</w:t>
      </w:r>
    </w:p>
  </w:footnote>
  <w:footnote w:id="299">
    <w:p w14:paraId="1D99CF04" w14:textId="0649E9D6"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sidRPr="00E5046A">
        <w:rPr>
          <w:rFonts w:ascii="Arial" w:hAnsi="Arial" w:cs="Arial"/>
          <w:bCs/>
          <w:lang w:val="en"/>
        </w:rPr>
        <w:t>Hansard (2018), ‘</w:t>
      </w:r>
      <w:hyperlink r:id="rId277" w:history="1">
        <w:r w:rsidRPr="00E5046A">
          <w:rPr>
            <w:rStyle w:val="Hyperlink"/>
            <w:rFonts w:ascii="Arial" w:hAnsi="Arial" w:cs="Arial"/>
            <w:bCs/>
            <w:color w:val="auto"/>
            <w:lang w:val="en"/>
          </w:rPr>
          <w:t>Justice and Security Act 2013: Written question 152051</w:t>
        </w:r>
      </w:hyperlink>
      <w:r w:rsidRPr="00E5046A">
        <w:rPr>
          <w:rStyle w:val="Hyperlink"/>
          <w:rFonts w:ascii="Arial" w:hAnsi="Arial" w:cs="Arial"/>
          <w:bCs/>
          <w:color w:val="auto"/>
          <w:lang w:val="en"/>
        </w:rPr>
        <w:t>’</w:t>
      </w:r>
      <w:r w:rsidRPr="00E5046A">
        <w:rPr>
          <w:rFonts w:ascii="Arial" w:hAnsi="Arial" w:cs="Arial"/>
          <w:bCs/>
          <w:lang w:val="en"/>
        </w:rPr>
        <w:t xml:space="preserve"> [accessed: 8 March 2019].</w:t>
      </w:r>
    </w:p>
  </w:footnote>
  <w:footnote w:id="300">
    <w:p w14:paraId="30A79D87" w14:textId="39CD3B68" w:rsidR="00AE42CD" w:rsidRPr="005E1E33" w:rsidRDefault="00AE42CD" w:rsidP="005E1E33">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UNCERD (2016),</w:t>
      </w:r>
      <w:r w:rsidRPr="00E5046A">
        <w:rPr>
          <w:rFonts w:ascii="Arial" w:hAnsi="Arial" w:cs="Arial"/>
          <w:i/>
        </w:rPr>
        <w:t xml:space="preserve"> ‘</w:t>
      </w:r>
      <w:hyperlink r:id="rId278" w:history="1">
        <w:r w:rsidRPr="00E5046A">
          <w:rPr>
            <w:rStyle w:val="Hyperlink"/>
            <w:rFonts w:ascii="Arial" w:hAnsi="Arial" w:cs="Arial"/>
            <w:bCs/>
            <w:i/>
            <w:color w:val="auto"/>
          </w:rPr>
          <w:t>Concluding observations on the twenty-first to twenty-third periodic reports of United Kingdom</w:t>
        </w:r>
      </w:hyperlink>
      <w:r w:rsidRPr="00E5046A">
        <w:rPr>
          <w:rStyle w:val="Hyperlink"/>
          <w:rFonts w:ascii="Arial" w:hAnsi="Arial" w:cs="Arial"/>
          <w:bCs/>
          <w:i/>
          <w:color w:val="auto"/>
        </w:rPr>
        <w:t>’</w:t>
      </w:r>
      <w:r w:rsidRPr="00E5046A">
        <w:rPr>
          <w:rFonts w:ascii="Arial" w:hAnsi="Arial" w:cs="Arial"/>
          <w:bCs/>
          <w:i/>
        </w:rPr>
        <w:t xml:space="preserve"> </w:t>
      </w:r>
      <w:r w:rsidRPr="00E5046A">
        <w:rPr>
          <w:rFonts w:ascii="Arial" w:hAnsi="Arial" w:cs="Arial"/>
          <w:bCs/>
        </w:rPr>
        <w:t>[accessed: 8 March 2019].</w:t>
      </w:r>
      <w:r>
        <w:rPr>
          <w:rFonts w:ascii="Arial" w:hAnsi="Arial" w:cs="Arial"/>
        </w:rPr>
        <w:t xml:space="preserve">  </w:t>
      </w:r>
    </w:p>
  </w:footnote>
  <w:footnote w:id="301">
    <w:p w14:paraId="29530C0D" w14:textId="604F856A"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 Government (2015), </w:t>
      </w:r>
      <w:hyperlink r:id="rId279" w:history="1">
        <w:r w:rsidRPr="00E5046A">
          <w:rPr>
            <w:rStyle w:val="Hyperlink"/>
            <w:rFonts w:ascii="Arial" w:hAnsi="Arial" w:cs="Arial"/>
            <w:i/>
            <w:color w:val="auto"/>
          </w:rPr>
          <w:t>Revised Prevent Duty Guidance: for England and Wales</w:t>
        </w:r>
      </w:hyperlink>
      <w:r w:rsidRPr="00E5046A">
        <w:rPr>
          <w:rFonts w:ascii="Arial" w:hAnsi="Arial" w:cs="Arial"/>
        </w:rPr>
        <w:t xml:space="preserve"> [accessed: 8 March 2019].</w:t>
      </w:r>
    </w:p>
  </w:footnote>
  <w:footnote w:id="302">
    <w:p w14:paraId="7202178D" w14:textId="2EC6455E"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Section 20 of the Counter-terrorism and Border Security Act 2019.</w:t>
      </w:r>
    </w:p>
  </w:footnote>
  <w:footnote w:id="303">
    <w:p w14:paraId="554E6B57" w14:textId="36C899EA"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Home Office (2018), ‘</w:t>
      </w:r>
      <w:hyperlink r:id="rId280" w:history="1">
        <w:r w:rsidRPr="00E5046A">
          <w:rPr>
            <w:rStyle w:val="Hyperlink"/>
            <w:rFonts w:ascii="Arial" w:hAnsi="Arial" w:cs="Arial"/>
          </w:rPr>
          <w:t>Individuals referred to and supported through the Prevent Programme, April 2017 to March 2018</w:t>
        </w:r>
      </w:hyperlink>
      <w:r w:rsidRPr="00E5046A">
        <w:rPr>
          <w:rFonts w:ascii="Arial" w:hAnsi="Arial" w:cs="Arial"/>
        </w:rPr>
        <w:t>’ [accessed: 8 March 2019].</w:t>
      </w:r>
    </w:p>
  </w:footnote>
  <w:footnote w:id="304">
    <w:p w14:paraId="3C78D0D5" w14:textId="3C00D4AF"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Open Society Justice Initiative (2016), ‘</w:t>
      </w:r>
      <w:hyperlink r:id="rId281" w:history="1">
        <w:r w:rsidRPr="00E5046A">
          <w:rPr>
            <w:rStyle w:val="Hyperlink"/>
            <w:rFonts w:ascii="Arial" w:hAnsi="Arial" w:cs="Arial"/>
            <w:color w:val="auto"/>
          </w:rPr>
          <w:t>Eroding Trust: The UK’s Prevent Counter-Extremism Strategy in Health and Education</w:t>
        </w:r>
      </w:hyperlink>
      <w:r w:rsidRPr="00E5046A">
        <w:rPr>
          <w:rStyle w:val="Hyperlink"/>
          <w:rFonts w:ascii="Arial" w:hAnsi="Arial" w:cs="Arial"/>
          <w:color w:val="auto"/>
        </w:rPr>
        <w:t>’</w:t>
      </w:r>
      <w:r w:rsidRPr="00E5046A">
        <w:rPr>
          <w:rFonts w:ascii="Arial" w:hAnsi="Arial" w:cs="Arial"/>
        </w:rPr>
        <w:t xml:space="preserve"> [accessed: 8 March 2019].</w:t>
      </w:r>
    </w:p>
  </w:footnote>
  <w:footnote w:id="305">
    <w:p w14:paraId="01F04842" w14:textId="6F7F421A"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Grierson, J. (2018), </w:t>
      </w:r>
      <w:hyperlink r:id="rId282" w:history="1">
        <w:r w:rsidRPr="00E5046A">
          <w:rPr>
            <w:rStyle w:val="Hyperlink"/>
            <w:rFonts w:ascii="Arial" w:hAnsi="Arial" w:cs="Arial"/>
            <w:color w:val="auto"/>
          </w:rPr>
          <w:t>‘UK Government criticised over change in death penalty stance on Isis pair’</w:t>
        </w:r>
      </w:hyperlink>
      <w:r w:rsidRPr="00E5046A">
        <w:rPr>
          <w:rFonts w:ascii="Arial" w:hAnsi="Arial" w:cs="Arial"/>
        </w:rPr>
        <w:t xml:space="preserve">, </w:t>
      </w:r>
      <w:r w:rsidRPr="00E5046A">
        <w:rPr>
          <w:rFonts w:ascii="Arial" w:hAnsi="Arial" w:cs="Arial"/>
          <w:i/>
        </w:rPr>
        <w:t xml:space="preserve">The Guardian, </w:t>
      </w:r>
      <w:r w:rsidRPr="00E5046A">
        <w:rPr>
          <w:rFonts w:ascii="Arial" w:hAnsi="Arial" w:cs="Arial"/>
        </w:rPr>
        <w:t xml:space="preserve">23 July [accessed: 17 March 2019]. </w:t>
      </w:r>
    </w:p>
  </w:footnote>
  <w:footnote w:id="306">
    <w:p w14:paraId="7A10CD63" w14:textId="013C5FEA"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Hansard (2018), </w:t>
      </w:r>
      <w:hyperlink r:id="rId283" w:history="1">
        <w:r w:rsidRPr="00E5046A">
          <w:rPr>
            <w:rStyle w:val="Hyperlink"/>
            <w:rFonts w:ascii="Arial" w:hAnsi="Arial" w:cs="Arial"/>
          </w:rPr>
          <w:t>Capital punishment Written question HL9890</w:t>
        </w:r>
      </w:hyperlink>
      <w:r w:rsidRPr="00E5046A">
        <w:rPr>
          <w:rFonts w:ascii="Arial" w:hAnsi="Arial" w:cs="Arial"/>
        </w:rPr>
        <w:t xml:space="preserve"> [accessed: 8 March 2019].</w:t>
      </w:r>
    </w:p>
  </w:footnote>
  <w:footnote w:id="307">
    <w:p w14:paraId="37C9D62B" w14:textId="484641E7" w:rsidR="00AE42CD" w:rsidRPr="00E5046A" w:rsidRDefault="00AE42CD" w:rsidP="00122D31">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 Government (2011), ‘</w:t>
      </w:r>
      <w:hyperlink r:id="rId284" w:history="1">
        <w:r w:rsidRPr="00E5046A">
          <w:rPr>
            <w:rStyle w:val="Hyperlink"/>
            <w:rFonts w:ascii="Arial" w:hAnsi="Arial" w:cs="Arial"/>
            <w:color w:val="auto"/>
          </w:rPr>
          <w:t>Overseas Security and Justice Guidance (OSJA), Human Rights Guidance</w:t>
        </w:r>
      </w:hyperlink>
      <w:r w:rsidRPr="00E5046A">
        <w:rPr>
          <w:rStyle w:val="Hyperlink"/>
          <w:rFonts w:ascii="Arial" w:hAnsi="Arial" w:cs="Arial"/>
          <w:color w:val="auto"/>
        </w:rPr>
        <w:t>’</w:t>
      </w:r>
      <w:r w:rsidRPr="00E5046A">
        <w:rPr>
          <w:rFonts w:ascii="Arial" w:hAnsi="Arial" w:cs="Arial"/>
        </w:rPr>
        <w:t xml:space="preserve"> [accessed: 8 March 2019].</w:t>
      </w:r>
    </w:p>
    <w:p w14:paraId="71A43EC2" w14:textId="67863C95" w:rsidR="00AE42CD" w:rsidRPr="00E5046A" w:rsidRDefault="00AE42CD" w:rsidP="00C32DAA">
      <w:pPr>
        <w:pStyle w:val="FootnoteText"/>
        <w:rPr>
          <w:rFonts w:cs="Arial"/>
        </w:rPr>
      </w:pPr>
    </w:p>
  </w:footnote>
  <w:footnote w:id="308">
    <w:p w14:paraId="450889B1" w14:textId="6ACC446E"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Matthews-King, A (2018), </w:t>
      </w:r>
      <w:hyperlink r:id="rId285" w:history="1">
        <w:r w:rsidRPr="00E5046A">
          <w:rPr>
            <w:rStyle w:val="Hyperlink"/>
            <w:rFonts w:cs="Arial"/>
            <w:color w:val="auto"/>
          </w:rPr>
          <w:t>‘Gosport hospital scandal’</w:t>
        </w:r>
      </w:hyperlink>
      <w:r w:rsidRPr="00E5046A">
        <w:rPr>
          <w:rFonts w:cs="Arial"/>
        </w:rPr>
        <w:t xml:space="preserve">, </w:t>
      </w:r>
      <w:r w:rsidRPr="00E5046A">
        <w:rPr>
          <w:rFonts w:cs="Arial"/>
          <w:i/>
        </w:rPr>
        <w:t>Independent</w:t>
      </w:r>
      <w:r w:rsidRPr="00E5046A">
        <w:rPr>
          <w:rFonts w:cs="Arial"/>
        </w:rPr>
        <w:t xml:space="preserve">, 19 June [accessed: 17 March 2019].    </w:t>
      </w:r>
    </w:p>
  </w:footnote>
  <w:footnote w:id="309">
    <w:p w14:paraId="739736D2" w14:textId="590450A9"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CQC (2017), ‘</w:t>
      </w:r>
      <w:hyperlink r:id="rId286" w:anchor="guidance" w:history="1">
        <w:r w:rsidRPr="00E5046A">
          <w:rPr>
            <w:rStyle w:val="Hyperlink"/>
            <w:rFonts w:ascii="Arial" w:hAnsi="Arial" w:cs="Arial"/>
            <w:color w:val="auto"/>
          </w:rPr>
          <w:t>Health and Social Care Act 2008 (Regulated Activities) Regulations 2014: Regulation 20</w:t>
        </w:r>
      </w:hyperlink>
      <w:r w:rsidRPr="00E5046A">
        <w:rPr>
          <w:rStyle w:val="Hyperlink"/>
          <w:rFonts w:ascii="Arial" w:hAnsi="Arial" w:cs="Arial"/>
          <w:color w:val="auto"/>
        </w:rPr>
        <w:t>’</w:t>
      </w:r>
      <w:r w:rsidRPr="00E5046A">
        <w:rPr>
          <w:rFonts w:ascii="Arial" w:hAnsi="Arial" w:cs="Arial"/>
        </w:rPr>
        <w:t xml:space="preserve"> [accessed: 8 March 2019].    </w:t>
      </w:r>
    </w:p>
  </w:footnote>
  <w:footnote w:id="310">
    <w:p w14:paraId="0B1F093C" w14:textId="0414B246"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CQC (2016), ‘</w:t>
      </w:r>
      <w:hyperlink r:id="rId287" w:history="1">
        <w:r w:rsidRPr="00E5046A">
          <w:rPr>
            <w:rStyle w:val="Hyperlink"/>
            <w:rFonts w:ascii="Arial" w:hAnsi="Arial" w:cs="Arial"/>
            <w:color w:val="auto"/>
          </w:rPr>
          <w:t>Learning, candour and accountability: A review of the way NHS trusts review and investigate the deaths of patients in England</w:t>
        </w:r>
      </w:hyperlink>
      <w:r w:rsidRPr="00E5046A">
        <w:rPr>
          <w:rStyle w:val="Hyperlink"/>
          <w:rFonts w:ascii="Arial" w:hAnsi="Arial" w:cs="Arial"/>
          <w:color w:val="auto"/>
        </w:rPr>
        <w:t>’</w:t>
      </w:r>
      <w:r w:rsidRPr="00E5046A">
        <w:rPr>
          <w:rFonts w:ascii="Arial" w:hAnsi="Arial" w:cs="Arial"/>
        </w:rPr>
        <w:t xml:space="preserve"> [accessed: 8 March 2019].</w:t>
      </w:r>
    </w:p>
  </w:footnote>
  <w:footnote w:id="311">
    <w:p w14:paraId="40B1E87C" w14:textId="5D1EAFD4" w:rsidR="00AE42CD" w:rsidRPr="007C24A5" w:rsidRDefault="00AE42CD" w:rsidP="007C24A5">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Welsh Government (2018), ‘</w:t>
      </w:r>
      <w:hyperlink r:id="rId288" w:history="1">
        <w:r w:rsidRPr="00E5046A">
          <w:rPr>
            <w:rStyle w:val="Hyperlink"/>
            <w:rFonts w:ascii="Arial" w:hAnsi="Arial" w:cs="Arial"/>
            <w:bCs/>
            <w:i/>
            <w:color w:val="auto"/>
            <w:lang w:val="en"/>
          </w:rPr>
          <w:t>First Minister sets out legislative priorities</w:t>
        </w:r>
      </w:hyperlink>
      <w:r w:rsidRPr="00E5046A">
        <w:rPr>
          <w:rStyle w:val="Hyperlink"/>
          <w:rFonts w:ascii="Arial" w:hAnsi="Arial" w:cs="Arial"/>
          <w:bCs/>
          <w:i/>
          <w:color w:val="auto"/>
          <w:lang w:val="en"/>
        </w:rPr>
        <w:t>’</w:t>
      </w:r>
      <w:r w:rsidRPr="00E5046A">
        <w:rPr>
          <w:rFonts w:ascii="Arial" w:hAnsi="Arial" w:cs="Arial"/>
          <w:bCs/>
          <w:lang w:val="en"/>
        </w:rPr>
        <w:t xml:space="preserve"> [accessed: 8 March 2019]. </w:t>
      </w:r>
    </w:p>
  </w:footnote>
  <w:footnote w:id="312">
    <w:p w14:paraId="0430C4E7" w14:textId="541BDEE8"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hyperlink r:id="rId289" w:history="1">
        <w:r w:rsidRPr="00E5046A">
          <w:rPr>
            <w:rStyle w:val="Hyperlink"/>
            <w:rFonts w:ascii="Arial" w:hAnsi="Arial" w:cs="Arial"/>
          </w:rPr>
          <w:t>The Regulated Services (Service Providers and Responsible Individuals) (Wales) Regulations 2017</w:t>
        </w:r>
      </w:hyperlink>
      <w:r w:rsidRPr="00E5046A">
        <w:rPr>
          <w:rFonts w:ascii="Arial" w:hAnsi="Arial" w:cs="Arial"/>
          <w:bCs/>
          <w:lang w:val="en"/>
        </w:rPr>
        <w:t>.</w:t>
      </w:r>
      <w:r w:rsidRPr="00E5046A">
        <w:rPr>
          <w:rFonts w:ascii="Arial" w:hAnsi="Arial" w:cs="Arial"/>
          <w:b/>
          <w:bCs/>
          <w:lang w:val="en"/>
        </w:rPr>
        <w:t xml:space="preserve"> </w:t>
      </w:r>
    </w:p>
  </w:footnote>
  <w:footnote w:id="313">
    <w:p w14:paraId="5DFE7BF4" w14:textId="2672A08C"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Cardiff University (2018), ‘</w:t>
      </w:r>
      <w:hyperlink r:id="rId290" w:history="1">
        <w:r w:rsidRPr="00E5046A">
          <w:rPr>
            <w:rStyle w:val="Hyperlink"/>
            <w:rFonts w:ascii="Arial" w:hAnsi="Arial" w:cs="Arial"/>
            <w:color w:val="auto"/>
          </w:rPr>
          <w:t>News: Freedom to Speak Up Guardians</w:t>
        </w:r>
      </w:hyperlink>
      <w:r w:rsidRPr="00E5046A">
        <w:rPr>
          <w:rFonts w:ascii="Arial" w:hAnsi="Arial" w:cs="Arial"/>
        </w:rPr>
        <w:t>’ [accessed: 8 March 2019].</w:t>
      </w:r>
    </w:p>
  </w:footnote>
  <w:footnote w:id="314">
    <w:p w14:paraId="06E615AA" w14:textId="0AA1C457"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CQC (2017), ‘</w:t>
      </w:r>
      <w:hyperlink r:id="rId291" w:history="1">
        <w:r w:rsidRPr="00E5046A">
          <w:rPr>
            <w:rStyle w:val="Hyperlink"/>
            <w:rFonts w:ascii="Arial" w:hAnsi="Arial" w:cs="Arial"/>
            <w:color w:val="auto"/>
          </w:rPr>
          <w:t>National Guardian Annual Report</w:t>
        </w:r>
      </w:hyperlink>
      <w:r w:rsidRPr="00E5046A">
        <w:rPr>
          <w:rStyle w:val="Hyperlink"/>
          <w:rFonts w:ascii="Arial" w:hAnsi="Arial" w:cs="Arial"/>
          <w:color w:val="auto"/>
        </w:rPr>
        <w:t>’</w:t>
      </w:r>
      <w:r w:rsidRPr="00E5046A">
        <w:rPr>
          <w:rFonts w:ascii="Arial" w:hAnsi="Arial" w:cs="Arial"/>
          <w:i/>
        </w:rPr>
        <w:t xml:space="preserve"> </w:t>
      </w:r>
      <w:r w:rsidRPr="00E5046A">
        <w:rPr>
          <w:rFonts w:ascii="Arial" w:hAnsi="Arial" w:cs="Arial"/>
        </w:rPr>
        <w:t>[accessed: 8 March 2019].</w:t>
      </w:r>
    </w:p>
  </w:footnote>
  <w:footnote w:id="315">
    <w:p w14:paraId="43D9BBF3" w14:textId="2BA48836"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NHS Wales (2016), ‘</w:t>
      </w:r>
      <w:hyperlink r:id="rId292" w:history="1">
        <w:r w:rsidRPr="00E5046A">
          <w:rPr>
            <w:rStyle w:val="Hyperlink"/>
            <w:rFonts w:ascii="Arial" w:hAnsi="Arial" w:cs="Arial"/>
            <w:color w:val="auto"/>
          </w:rPr>
          <w:t>Freedom to Speak Up Safely launched</w:t>
        </w:r>
      </w:hyperlink>
      <w:r w:rsidRPr="00E5046A">
        <w:rPr>
          <w:rStyle w:val="Hyperlink"/>
          <w:rFonts w:ascii="Arial" w:hAnsi="Arial" w:cs="Arial"/>
          <w:color w:val="auto"/>
        </w:rPr>
        <w:t>’</w:t>
      </w:r>
      <w:r w:rsidRPr="00E5046A">
        <w:rPr>
          <w:rFonts w:ascii="Arial" w:hAnsi="Arial" w:cs="Arial"/>
        </w:rPr>
        <w:t xml:space="preserve"> [accessed: 8 March 2019].</w:t>
      </w:r>
    </w:p>
  </w:footnote>
  <w:footnote w:id="316">
    <w:p w14:paraId="130C4507" w14:textId="25415549" w:rsidR="00AE42CD" w:rsidRPr="00E5046A" w:rsidRDefault="00AE42CD" w:rsidP="00C32DAA">
      <w:pPr>
        <w:pStyle w:val="Default"/>
        <w:rPr>
          <w:rFonts w:eastAsiaTheme="minorHAnsi" w:cs="Arial"/>
          <w:color w:val="auto"/>
          <w:sz w:val="20"/>
          <w:lang w:eastAsia="en-US"/>
        </w:rPr>
      </w:pPr>
      <w:r w:rsidRPr="00E5046A">
        <w:rPr>
          <w:rStyle w:val="FootnoteReference"/>
          <w:rFonts w:cs="Arial"/>
          <w:color w:val="auto"/>
          <w:sz w:val="20"/>
        </w:rPr>
        <w:footnoteRef/>
      </w:r>
      <w:r w:rsidRPr="00E5046A">
        <w:rPr>
          <w:rFonts w:cs="Arial"/>
          <w:color w:val="auto"/>
          <w:sz w:val="20"/>
        </w:rPr>
        <w:t xml:space="preserve"> </w:t>
      </w:r>
      <w:r w:rsidRPr="00E5046A">
        <w:rPr>
          <w:rFonts w:eastAsiaTheme="minorHAnsi" w:cs="Arial"/>
          <w:color w:val="auto"/>
          <w:sz w:val="20"/>
          <w:lang w:eastAsia="en-US"/>
        </w:rPr>
        <w:t>National Quality Board (2017),</w:t>
      </w:r>
      <w:r w:rsidRPr="00E5046A">
        <w:rPr>
          <w:rFonts w:cs="Arial"/>
          <w:color w:val="auto"/>
          <w:sz w:val="20"/>
        </w:rPr>
        <w:t xml:space="preserve"> </w:t>
      </w:r>
      <w:hyperlink r:id="rId293" w:history="1">
        <w:r w:rsidRPr="00E5046A">
          <w:rPr>
            <w:rStyle w:val="Hyperlink"/>
            <w:rFonts w:eastAsiaTheme="minorHAnsi" w:cs="Arial"/>
            <w:sz w:val="20"/>
            <w:lang w:eastAsia="en-US"/>
          </w:rPr>
          <w:t>National Guidance on Learning from Deaths</w:t>
        </w:r>
        <w:r w:rsidRPr="00E5046A">
          <w:rPr>
            <w:rStyle w:val="Hyperlink"/>
            <w:rFonts w:cs="Arial"/>
            <w:sz w:val="20"/>
          </w:rPr>
          <w:t>: A Framework for NHS Trusts and NHS Foundation Trusts on Identifying, Reporting, Investigating and Learning from Deaths in Care</w:t>
        </w:r>
      </w:hyperlink>
      <w:r w:rsidRPr="00E5046A">
        <w:rPr>
          <w:rFonts w:eastAsiaTheme="minorHAnsi" w:cs="Arial"/>
          <w:color w:val="auto"/>
          <w:sz w:val="20"/>
          <w:lang w:eastAsia="en-US"/>
        </w:rPr>
        <w:t xml:space="preserve"> [accessed: 8 March 2019].    </w:t>
      </w:r>
    </w:p>
  </w:footnote>
  <w:footnote w:id="317">
    <w:p w14:paraId="58C0D8A9" w14:textId="3144142B"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EHRC (2018), </w:t>
      </w:r>
      <w:hyperlink r:id="rId294" w:history="1">
        <w:r w:rsidRPr="00E5046A">
          <w:rPr>
            <w:rStyle w:val="Hyperlink"/>
            <w:rFonts w:ascii="Arial" w:hAnsi="Arial" w:cs="Arial"/>
            <w:color w:val="auto"/>
          </w:rPr>
          <w:t>Written evidence to the draft Health Service Safety Investigations Bill committee</w:t>
        </w:r>
      </w:hyperlink>
      <w:r w:rsidRPr="00E5046A">
        <w:rPr>
          <w:rFonts w:ascii="Arial" w:hAnsi="Arial" w:cs="Arial"/>
        </w:rPr>
        <w:t xml:space="preserve"> [accessed: 8 March 2019].</w:t>
      </w:r>
    </w:p>
  </w:footnote>
  <w:footnote w:id="318">
    <w:p w14:paraId="7944B14B" w14:textId="277E0174"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hyperlink r:id="rId295" w:history="1">
        <w:r w:rsidRPr="00E5046A">
          <w:rPr>
            <w:rStyle w:val="Hyperlink"/>
            <w:rFonts w:ascii="Arial" w:hAnsi="Arial" w:cs="Arial"/>
          </w:rPr>
          <w:t>Healthcare Safety Investigation Branch website</w:t>
        </w:r>
      </w:hyperlink>
      <w:r w:rsidRPr="00E5046A">
        <w:rPr>
          <w:rFonts w:ascii="Arial" w:hAnsi="Arial" w:cs="Arial"/>
        </w:rPr>
        <w:t xml:space="preserve"> [accessed: 17 March 2019].</w:t>
      </w:r>
    </w:p>
  </w:footnote>
  <w:footnote w:id="319">
    <w:p w14:paraId="5B528BA5" w14:textId="1EEF0C9F" w:rsidR="00AE42CD" w:rsidRPr="003C1836" w:rsidRDefault="00AE42CD" w:rsidP="003C1836">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EHRC (2015), ‘</w:t>
      </w:r>
      <w:hyperlink r:id="rId296" w:history="1">
        <w:r w:rsidRPr="00E5046A">
          <w:rPr>
            <w:rStyle w:val="Hyperlink"/>
            <w:rFonts w:ascii="Arial" w:hAnsi="Arial" w:cs="Arial"/>
            <w:color w:val="auto"/>
          </w:rPr>
          <w:t>Preventing Deaths in Detention of Adults with Mental Health Conditions’</w:t>
        </w:r>
      </w:hyperlink>
      <w:r w:rsidRPr="00E5046A">
        <w:rPr>
          <w:rStyle w:val="Hyperlink"/>
          <w:rFonts w:ascii="Arial" w:hAnsi="Arial" w:cs="Arial"/>
          <w:color w:val="auto"/>
        </w:rPr>
        <w:t xml:space="preserve"> </w:t>
      </w:r>
      <w:r>
        <w:rPr>
          <w:rFonts w:ascii="Arial" w:hAnsi="Arial" w:cs="Arial"/>
        </w:rPr>
        <w:t>[accessed: 8 March 2019].</w:t>
      </w:r>
    </w:p>
  </w:footnote>
  <w:footnote w:id="320">
    <w:p w14:paraId="08C42D75" w14:textId="3D75F04B"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Hansard (2018), ‘</w:t>
      </w:r>
      <w:hyperlink r:id="rId297" w:history="1">
        <w:r w:rsidRPr="00E5046A">
          <w:rPr>
            <w:rStyle w:val="Hyperlink"/>
            <w:rFonts w:ascii="Arial" w:hAnsi="Arial" w:cs="Arial"/>
            <w:color w:val="auto"/>
          </w:rPr>
          <w:t xml:space="preserve">Parliamentary briefing: </w:t>
        </w:r>
        <w:r w:rsidRPr="00E5046A">
          <w:rPr>
            <w:rStyle w:val="Hyperlink"/>
            <w:rFonts w:ascii="Arial" w:hAnsi="Arial" w:cs="Arial"/>
            <w:bCs/>
            <w:color w:val="auto"/>
          </w:rPr>
          <w:t>Draft Health Service Safety Investigations Bill - A new capability for investigating patient safety incidents</w:t>
        </w:r>
      </w:hyperlink>
      <w:r w:rsidRPr="00E5046A">
        <w:rPr>
          <w:rStyle w:val="Hyperlink"/>
          <w:rFonts w:ascii="Arial" w:hAnsi="Arial" w:cs="Arial"/>
          <w:bCs/>
          <w:color w:val="auto"/>
        </w:rPr>
        <w:t>’</w:t>
      </w:r>
      <w:r w:rsidRPr="00E5046A">
        <w:rPr>
          <w:rFonts w:ascii="Arial" w:hAnsi="Arial" w:cs="Arial"/>
          <w:bCs/>
        </w:rPr>
        <w:t xml:space="preserve">, [accessed: 8 March 2019]. </w:t>
      </w:r>
    </w:p>
  </w:footnote>
  <w:footnote w:id="321">
    <w:p w14:paraId="6910A649" w14:textId="1841FE7D"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CQC (2018), ‘</w:t>
      </w:r>
      <w:hyperlink r:id="rId298" w:history="1">
        <w:r w:rsidRPr="00E5046A">
          <w:rPr>
            <w:rStyle w:val="Hyperlink"/>
            <w:rFonts w:ascii="Arial" w:hAnsi="Arial" w:cs="Arial"/>
            <w:color w:val="auto"/>
          </w:rPr>
          <w:t>Sexual safety on mental health wards</w:t>
        </w:r>
      </w:hyperlink>
      <w:r w:rsidRPr="00E5046A">
        <w:rPr>
          <w:rStyle w:val="Hyperlink"/>
          <w:rFonts w:ascii="Arial" w:hAnsi="Arial" w:cs="Arial"/>
          <w:color w:val="auto"/>
        </w:rPr>
        <w:t>’</w:t>
      </w:r>
      <w:r w:rsidRPr="00E5046A">
        <w:rPr>
          <w:rFonts w:ascii="Arial" w:hAnsi="Arial" w:cs="Arial"/>
        </w:rPr>
        <w:t xml:space="preserve"> [accessed: 8 March 2019].</w:t>
      </w:r>
    </w:p>
  </w:footnote>
  <w:footnote w:id="322">
    <w:p w14:paraId="3EC834FB" w14:textId="73AB5E83"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hyperlink r:id="rId299" w:history="1">
        <w:r w:rsidRPr="00E5046A">
          <w:rPr>
            <w:rStyle w:val="Hyperlink"/>
            <w:rFonts w:ascii="Arial" w:hAnsi="Arial" w:cs="Arial"/>
          </w:rPr>
          <w:t>Draft Health Services Safety Investigations Bill, September 2017</w:t>
        </w:r>
      </w:hyperlink>
      <w:r w:rsidRPr="00E5046A">
        <w:rPr>
          <w:rFonts w:ascii="Arial" w:hAnsi="Arial" w:cs="Arial"/>
        </w:rPr>
        <w:t xml:space="preserve">.  </w:t>
      </w:r>
    </w:p>
  </w:footnote>
  <w:footnote w:id="323">
    <w:p w14:paraId="21A561B2" w14:textId="0B5EAD60"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EHRC (2018), </w:t>
      </w:r>
      <w:hyperlink r:id="rId300" w:history="1">
        <w:r w:rsidRPr="00954E68">
          <w:rPr>
            <w:rStyle w:val="Hyperlink"/>
            <w:rFonts w:cs="Arial"/>
          </w:rPr>
          <w:t>Written evidence to the Draft Health service Safety Investigations Bill Committee</w:t>
        </w:r>
      </w:hyperlink>
      <w:r w:rsidR="00954E68">
        <w:rPr>
          <w:rFonts w:cs="Arial"/>
        </w:rPr>
        <w:t xml:space="preserve"> [accessed 8 March 2019]</w:t>
      </w:r>
      <w:r w:rsidRPr="00E5046A">
        <w:rPr>
          <w:rFonts w:cs="Arial"/>
        </w:rPr>
        <w:t xml:space="preserve">. </w:t>
      </w:r>
    </w:p>
  </w:footnote>
  <w:footnote w:id="324">
    <w:p w14:paraId="60A19B57" w14:textId="6A336003"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National Audit Office (2018), ‘</w:t>
      </w:r>
      <w:hyperlink r:id="rId301" w:history="1">
        <w:r w:rsidRPr="00E5046A">
          <w:rPr>
            <w:rStyle w:val="Hyperlink"/>
            <w:rFonts w:ascii="Arial" w:hAnsi="Arial" w:cs="Arial"/>
            <w:color w:val="auto"/>
          </w:rPr>
          <w:t>Financial sustainability of local authorities</w:t>
        </w:r>
      </w:hyperlink>
      <w:r w:rsidRPr="00E5046A">
        <w:rPr>
          <w:rStyle w:val="Hyperlink"/>
          <w:rFonts w:ascii="Arial" w:hAnsi="Arial" w:cs="Arial"/>
          <w:color w:val="auto"/>
        </w:rPr>
        <w:t>’</w:t>
      </w:r>
      <w:r w:rsidRPr="00E5046A">
        <w:rPr>
          <w:rFonts w:ascii="Arial" w:hAnsi="Arial" w:cs="Arial"/>
        </w:rPr>
        <w:t xml:space="preserve"> [accessed: 8 March 2019].</w:t>
      </w:r>
    </w:p>
  </w:footnote>
  <w:footnote w:id="325">
    <w:p w14:paraId="32D142DB" w14:textId="5DDBBA92"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CQC (2016), ‘</w:t>
      </w:r>
      <w:hyperlink r:id="rId302" w:history="1">
        <w:r w:rsidRPr="00E5046A">
          <w:rPr>
            <w:rStyle w:val="Hyperlink"/>
            <w:rFonts w:ascii="Arial" w:hAnsi="Arial" w:cs="Arial"/>
            <w:color w:val="auto"/>
          </w:rPr>
          <w:t>The state of health care and adult social care in England 2015-16</w:t>
        </w:r>
      </w:hyperlink>
      <w:r w:rsidRPr="00E5046A">
        <w:rPr>
          <w:rStyle w:val="Hyperlink"/>
          <w:rFonts w:ascii="Arial" w:hAnsi="Arial" w:cs="Arial"/>
          <w:color w:val="auto"/>
        </w:rPr>
        <w:t>’</w:t>
      </w:r>
      <w:r w:rsidRPr="00E5046A">
        <w:rPr>
          <w:rFonts w:ascii="Arial" w:hAnsi="Arial" w:cs="Arial"/>
        </w:rPr>
        <w:t xml:space="preserve"> [accessed: 8 March 2019].</w:t>
      </w:r>
    </w:p>
  </w:footnote>
  <w:footnote w:id="326">
    <w:p w14:paraId="20FE94C4" w14:textId="51916DB2"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UNCRPD (2017), ‘</w:t>
      </w:r>
      <w:hyperlink r:id="rId303" w:history="1">
        <w:r w:rsidRPr="00E5046A">
          <w:rPr>
            <w:rStyle w:val="Hyperlink"/>
            <w:rFonts w:ascii="Arial" w:hAnsi="Arial" w:cs="Arial"/>
            <w:bCs/>
            <w:color w:val="auto"/>
          </w:rPr>
          <w:t>Concluding observations on the initial report of the United Kingdom of Great Britain and Northern Ireland</w:t>
        </w:r>
      </w:hyperlink>
      <w:r w:rsidRPr="00E5046A">
        <w:rPr>
          <w:rStyle w:val="Hyperlink"/>
          <w:rFonts w:ascii="Arial" w:hAnsi="Arial" w:cs="Arial"/>
          <w:bCs/>
          <w:color w:val="auto"/>
        </w:rPr>
        <w:t>’</w:t>
      </w:r>
      <w:r w:rsidRPr="00E5046A">
        <w:rPr>
          <w:rFonts w:ascii="Arial" w:hAnsi="Arial" w:cs="Arial"/>
          <w:bCs/>
        </w:rPr>
        <w:t xml:space="preserve"> [accessed: 8 March 2019].</w:t>
      </w:r>
    </w:p>
  </w:footnote>
  <w:footnote w:id="327">
    <w:p w14:paraId="01EAE43D" w14:textId="5780FBC7" w:rsidR="00AE42CD" w:rsidRPr="007C24A5" w:rsidRDefault="00AE42CD" w:rsidP="007C24A5">
      <w:pPr>
        <w:autoSpaceDE w:val="0"/>
        <w:autoSpaceDN w:val="0"/>
        <w:adjustRightInd w:val="0"/>
        <w:spacing w:line="240" w:lineRule="auto"/>
        <w:rPr>
          <w:rFonts w:cs="Arial"/>
          <w:sz w:val="20"/>
          <w:szCs w:val="20"/>
        </w:rPr>
      </w:pPr>
      <w:r w:rsidRPr="00E5046A">
        <w:rPr>
          <w:rStyle w:val="FootnoteReference"/>
          <w:rFonts w:cs="Arial"/>
          <w:sz w:val="20"/>
          <w:szCs w:val="20"/>
        </w:rPr>
        <w:footnoteRef/>
      </w:r>
      <w:r w:rsidRPr="00E5046A">
        <w:rPr>
          <w:rFonts w:cs="Arial"/>
          <w:sz w:val="20"/>
          <w:szCs w:val="20"/>
        </w:rPr>
        <w:t xml:space="preserve"> Care and Support Alliance (2018), ‘</w:t>
      </w:r>
      <w:hyperlink r:id="rId304" w:history="1">
        <w:r w:rsidRPr="00E5046A">
          <w:rPr>
            <w:rStyle w:val="Hyperlink"/>
            <w:rFonts w:cs="Arial"/>
            <w:color w:val="auto"/>
            <w:sz w:val="20"/>
            <w:szCs w:val="20"/>
          </w:rPr>
          <w:t>Voices from the social care crisis: An opportunity to end a broken system, once and for all</w:t>
        </w:r>
      </w:hyperlink>
      <w:r w:rsidRPr="00E5046A">
        <w:rPr>
          <w:rStyle w:val="Hyperlink"/>
          <w:rFonts w:cs="Arial"/>
          <w:color w:val="auto"/>
          <w:sz w:val="20"/>
          <w:szCs w:val="20"/>
        </w:rPr>
        <w:t>’</w:t>
      </w:r>
      <w:r>
        <w:rPr>
          <w:rFonts w:cs="Arial"/>
          <w:sz w:val="20"/>
          <w:szCs w:val="20"/>
        </w:rPr>
        <w:t xml:space="preserve"> [accessed: 8 March 2019].</w:t>
      </w:r>
    </w:p>
  </w:footnote>
  <w:footnote w:id="328">
    <w:p w14:paraId="2B429994" w14:textId="0200CBF9"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bCs/>
          <w:color w:val="FF0000"/>
          <w:lang w:val="en"/>
        </w:rPr>
        <w:t xml:space="preserve"> </w:t>
      </w:r>
      <w:r w:rsidRPr="00E5046A">
        <w:rPr>
          <w:rFonts w:ascii="Arial" w:hAnsi="Arial" w:cs="Arial"/>
          <w:bCs/>
          <w:lang w:val="en"/>
        </w:rPr>
        <w:t xml:space="preserve">Ungoed-Thomas, J. and Lawrence, S. (2017), </w:t>
      </w:r>
      <w:r w:rsidRPr="00E5046A">
        <w:rPr>
          <w:rFonts w:ascii="Arial" w:hAnsi="Arial" w:cs="Arial"/>
        </w:rPr>
        <w:t>‘</w:t>
      </w:r>
      <w:hyperlink r:id="rId305" w:history="1">
        <w:r w:rsidRPr="00E5046A">
          <w:rPr>
            <w:rStyle w:val="Hyperlink"/>
            <w:rFonts w:ascii="Arial" w:hAnsi="Arial" w:cs="Arial"/>
            <w:color w:val="auto"/>
          </w:rPr>
          <w:t>CQC: 100 elderly people a day hurt in homes</w:t>
        </w:r>
      </w:hyperlink>
      <w:r w:rsidRPr="00E5046A">
        <w:rPr>
          <w:rFonts w:ascii="Arial" w:hAnsi="Arial" w:cs="Arial"/>
        </w:rPr>
        <w:t xml:space="preserve">’, </w:t>
      </w:r>
      <w:r w:rsidRPr="00E5046A">
        <w:rPr>
          <w:rFonts w:ascii="Arial" w:hAnsi="Arial" w:cs="Arial"/>
          <w:i/>
        </w:rPr>
        <w:t>Sunday Times</w:t>
      </w:r>
      <w:r w:rsidRPr="00E5046A">
        <w:rPr>
          <w:rFonts w:ascii="Arial" w:hAnsi="Arial" w:cs="Arial"/>
        </w:rPr>
        <w:t>, 15 October [accessed: 8 March 2019].</w:t>
      </w:r>
    </w:p>
  </w:footnote>
  <w:footnote w:id="329">
    <w:p w14:paraId="350A9D0F" w14:textId="75CE7BCB"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Luchinskaya, D., Ogle, J. and Trickey, M. (2017), ‘</w:t>
      </w:r>
      <w:hyperlink r:id="rId306" w:history="1">
        <w:r w:rsidRPr="00E5046A">
          <w:rPr>
            <w:rStyle w:val="Hyperlink"/>
            <w:rFonts w:ascii="Arial" w:hAnsi="Arial" w:cs="Arial"/>
            <w:color w:val="auto"/>
          </w:rPr>
          <w:t>A delicate balance? Health and social care spending in Wales’</w:t>
        </w:r>
      </w:hyperlink>
      <w:r w:rsidRPr="00E5046A">
        <w:rPr>
          <w:rFonts w:ascii="Arial" w:hAnsi="Arial" w:cs="Arial"/>
        </w:rPr>
        <w:t xml:space="preserve"> [accessed: 7 March 2019].  </w:t>
      </w:r>
    </w:p>
  </w:footnote>
  <w:footnote w:id="330">
    <w:p w14:paraId="73380E34" w14:textId="0D700FA3"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Older People’s Commissioner for Wales (2017), ‘</w:t>
      </w:r>
      <w:hyperlink r:id="rId307" w:history="1">
        <w:r w:rsidRPr="00E5046A">
          <w:rPr>
            <w:rStyle w:val="Hyperlink"/>
            <w:rFonts w:ascii="Arial" w:hAnsi="Arial" w:cs="Arial"/>
            <w:color w:val="auto"/>
          </w:rPr>
          <w:t>A Place to call home: impact and analysis</w:t>
        </w:r>
      </w:hyperlink>
      <w:r w:rsidRPr="00E5046A">
        <w:rPr>
          <w:rStyle w:val="Hyperlink"/>
          <w:rFonts w:ascii="Arial" w:hAnsi="Arial" w:cs="Arial"/>
          <w:color w:val="auto"/>
        </w:rPr>
        <w:t>’</w:t>
      </w:r>
      <w:r w:rsidRPr="00E5046A">
        <w:rPr>
          <w:rFonts w:ascii="Arial" w:hAnsi="Arial" w:cs="Arial"/>
        </w:rPr>
        <w:t xml:space="preserve"> [accessed: 8 March 2019]. </w:t>
      </w:r>
    </w:p>
  </w:footnote>
  <w:footnote w:id="331">
    <w:p w14:paraId="4885E537" w14:textId="6AB30B70"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NHS Digital (2017), ‘</w:t>
      </w:r>
      <w:hyperlink r:id="rId308" w:history="1">
        <w:r w:rsidRPr="00E5046A">
          <w:rPr>
            <w:rStyle w:val="Hyperlink"/>
            <w:rFonts w:ascii="Arial" w:hAnsi="Arial" w:cs="Arial"/>
            <w:color w:val="auto"/>
          </w:rPr>
          <w:t>Safeguarding adults collection (SAC) England 2016-17 Experimental Statistics</w:t>
        </w:r>
      </w:hyperlink>
      <w:r w:rsidRPr="00E5046A">
        <w:rPr>
          <w:rStyle w:val="Hyperlink"/>
          <w:rFonts w:ascii="Arial" w:hAnsi="Arial" w:cs="Arial"/>
          <w:color w:val="auto"/>
        </w:rPr>
        <w:t>’</w:t>
      </w:r>
      <w:r w:rsidRPr="00E5046A">
        <w:rPr>
          <w:rFonts w:ascii="Arial" w:hAnsi="Arial" w:cs="Arial"/>
        </w:rPr>
        <w:t xml:space="preserve"> [accessed: 8 March 2019]. </w:t>
      </w:r>
    </w:p>
  </w:footnote>
  <w:footnote w:id="332">
    <w:p w14:paraId="53B7406D" w14:textId="71CAC4F7"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EHRC (2018) ‘</w:t>
      </w:r>
      <w:hyperlink r:id="rId309" w:history="1">
        <w:r w:rsidRPr="00E5046A">
          <w:rPr>
            <w:rStyle w:val="Hyperlink"/>
            <w:rFonts w:ascii="Arial" w:hAnsi="Arial" w:cs="Arial"/>
            <w:color w:val="auto"/>
          </w:rPr>
          <w:t>Is Britain Fairer? 2018 Final report</w:t>
        </w:r>
      </w:hyperlink>
      <w:r w:rsidRPr="00E5046A">
        <w:rPr>
          <w:rStyle w:val="Hyperlink"/>
          <w:rFonts w:ascii="Arial" w:hAnsi="Arial" w:cs="Arial"/>
          <w:color w:val="auto"/>
        </w:rPr>
        <w:t>’</w:t>
      </w:r>
      <w:r w:rsidRPr="00E5046A">
        <w:rPr>
          <w:rFonts w:ascii="Arial" w:hAnsi="Arial" w:cs="Arial"/>
        </w:rPr>
        <w:t xml:space="preserve"> [accessed: 8 March 2019].</w:t>
      </w:r>
    </w:p>
  </w:footnote>
  <w:footnote w:id="333">
    <w:p w14:paraId="13EC6BC7" w14:textId="45326C79" w:rsidR="00AE42CD" w:rsidRPr="00E5046A" w:rsidRDefault="00AE42CD" w:rsidP="00122D31">
      <w:pPr>
        <w:autoSpaceDE w:val="0"/>
        <w:autoSpaceDN w:val="0"/>
        <w:adjustRightInd w:val="0"/>
        <w:spacing w:line="240" w:lineRule="auto"/>
        <w:rPr>
          <w:rFonts w:cs="Arial"/>
          <w:sz w:val="20"/>
          <w:szCs w:val="20"/>
        </w:rPr>
      </w:pPr>
      <w:r w:rsidRPr="00E5046A">
        <w:rPr>
          <w:rStyle w:val="FootnoteReference"/>
          <w:rFonts w:cs="Arial"/>
          <w:sz w:val="20"/>
          <w:szCs w:val="20"/>
        </w:rPr>
        <w:footnoteRef/>
      </w:r>
      <w:r w:rsidRPr="00E5046A">
        <w:rPr>
          <w:rFonts w:cs="Arial"/>
          <w:sz w:val="20"/>
          <w:szCs w:val="20"/>
        </w:rPr>
        <w:t xml:space="preserve"> Care Inspectorate Wales and Health Inspectorate Wales (2016), ‘</w:t>
      </w:r>
      <w:hyperlink r:id="rId310" w:history="1">
        <w:r w:rsidRPr="00E5046A">
          <w:rPr>
            <w:rStyle w:val="Hyperlink"/>
            <w:rFonts w:cs="Arial"/>
            <w:color w:val="auto"/>
            <w:sz w:val="20"/>
            <w:szCs w:val="20"/>
          </w:rPr>
          <w:t>National inspection of care and support for people with learning disabilities: overview</w:t>
        </w:r>
      </w:hyperlink>
      <w:r w:rsidRPr="00E5046A">
        <w:rPr>
          <w:rStyle w:val="Hyperlink"/>
          <w:rFonts w:cs="Arial"/>
          <w:color w:val="auto"/>
          <w:sz w:val="20"/>
          <w:szCs w:val="20"/>
        </w:rPr>
        <w:t>’</w:t>
      </w:r>
      <w:r w:rsidRPr="00E5046A">
        <w:rPr>
          <w:rFonts w:cs="Arial"/>
          <w:sz w:val="20"/>
          <w:szCs w:val="20"/>
        </w:rPr>
        <w:t xml:space="preserve"> [accessed: 8 March 2019].</w:t>
      </w:r>
    </w:p>
    <w:p w14:paraId="115F7001" w14:textId="5793D656" w:rsidR="00AE42CD" w:rsidRPr="00E5046A" w:rsidRDefault="00AE42CD" w:rsidP="00122D31">
      <w:pPr>
        <w:autoSpaceDE w:val="0"/>
        <w:autoSpaceDN w:val="0"/>
        <w:adjustRightInd w:val="0"/>
        <w:spacing w:line="240" w:lineRule="auto"/>
        <w:rPr>
          <w:rFonts w:cs="Arial"/>
          <w:sz w:val="20"/>
          <w:szCs w:val="20"/>
        </w:rPr>
      </w:pPr>
    </w:p>
  </w:footnote>
  <w:footnote w:id="334">
    <w:p w14:paraId="1558A0FF" w14:textId="45D1ACC2"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Anderson, D. and Walker, C. (2017), ‘</w:t>
      </w:r>
      <w:hyperlink r:id="rId311" w:history="1">
        <w:r w:rsidRPr="00E5046A">
          <w:rPr>
            <w:rStyle w:val="Hyperlink"/>
            <w:rFonts w:ascii="Arial" w:hAnsi="Arial" w:cs="Arial"/>
            <w:color w:val="auto"/>
          </w:rPr>
          <w:t>Deportation with assurances</w:t>
        </w:r>
      </w:hyperlink>
      <w:r w:rsidRPr="00E5046A">
        <w:rPr>
          <w:rStyle w:val="Hyperlink"/>
          <w:rFonts w:ascii="Arial" w:hAnsi="Arial" w:cs="Arial"/>
          <w:color w:val="auto"/>
        </w:rPr>
        <w:t>’</w:t>
      </w:r>
      <w:r w:rsidRPr="00E5046A">
        <w:rPr>
          <w:rFonts w:ascii="Arial" w:hAnsi="Arial" w:cs="Arial"/>
        </w:rPr>
        <w:t xml:space="preserve"> [accessed: 8 March 2019].</w:t>
      </w:r>
    </w:p>
  </w:footnote>
  <w:footnote w:id="335">
    <w:p w14:paraId="1B8351E6" w14:textId="114F9BD5"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sidRPr="00E5046A">
        <w:rPr>
          <w:rFonts w:ascii="Arial" w:hAnsi="Arial" w:cs="Arial"/>
          <w:i/>
        </w:rPr>
        <w:t>BB, PP, W, U, Y and Z v SSHD</w:t>
      </w:r>
      <w:r w:rsidRPr="00E5046A">
        <w:rPr>
          <w:rFonts w:ascii="Arial" w:hAnsi="Arial" w:cs="Arial"/>
        </w:rPr>
        <w:t>, Appeal Nos SC/39/2005, SC/34/2005, SC/54/2005, SC/32/2005, SC/36/2005, SC/37/2005.</w:t>
      </w:r>
    </w:p>
  </w:footnote>
  <w:footnote w:id="336">
    <w:p w14:paraId="501E3723" w14:textId="19EBAC0B"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Anderson, D. and Walker, C. (2017), ibid.</w:t>
      </w:r>
    </w:p>
  </w:footnote>
  <w:footnote w:id="337">
    <w:p w14:paraId="612B6E27" w14:textId="76A18B95"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Anderson, D. and Walker, C. (2017), ibid.</w:t>
      </w:r>
    </w:p>
  </w:footnote>
  <w:footnote w:id="338">
    <w:p w14:paraId="5A2DA60F" w14:textId="58FCBF85"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 Government (2018), ‘</w:t>
      </w:r>
      <w:hyperlink r:id="rId312" w:history="1">
        <w:r w:rsidRPr="00E5046A">
          <w:rPr>
            <w:rStyle w:val="Hyperlink"/>
            <w:rFonts w:ascii="Arial" w:hAnsi="Arial" w:cs="Arial"/>
          </w:rPr>
          <w:t>The Government response to the report on deportation with assurances by the Independent Reviewer of Terrorism Legislation</w:t>
        </w:r>
      </w:hyperlink>
      <w:r w:rsidRPr="00E5046A">
        <w:rPr>
          <w:rFonts w:ascii="Arial" w:hAnsi="Arial" w:cs="Arial"/>
        </w:rPr>
        <w:t>’ [accessed: 24 October 2018].</w:t>
      </w:r>
    </w:p>
  </w:footnote>
  <w:footnote w:id="339">
    <w:p w14:paraId="244869C3" w14:textId="77777777"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Ibid.</w:t>
      </w:r>
    </w:p>
  </w:footnote>
  <w:footnote w:id="340">
    <w:p w14:paraId="0038EE5F" w14:textId="5A3E6621" w:rsidR="00AE42CD" w:rsidRPr="00E5046A" w:rsidRDefault="00AE42CD" w:rsidP="00E5046A">
      <w:pPr>
        <w:pStyle w:val="EndnoteText"/>
        <w:rPr>
          <w:rFonts w:ascii="Arial" w:hAnsi="Arial" w:cs="Arial"/>
          <w:lang w:val="en"/>
        </w:rPr>
      </w:pPr>
      <w:r w:rsidRPr="00E5046A">
        <w:rPr>
          <w:rStyle w:val="FootnoteReference"/>
          <w:rFonts w:ascii="Arial" w:hAnsi="Arial" w:cs="Arial"/>
        </w:rPr>
        <w:footnoteRef/>
      </w:r>
      <w:r w:rsidRPr="00E5046A">
        <w:rPr>
          <w:rFonts w:ascii="Arial" w:hAnsi="Arial" w:cs="Arial"/>
        </w:rPr>
        <w:t xml:space="preserve"> </w:t>
      </w:r>
      <w:hyperlink r:id="rId313" w:history="1">
        <w:r w:rsidRPr="00E5046A">
          <w:rPr>
            <w:rStyle w:val="Hyperlink"/>
            <w:rFonts w:ascii="Arial" w:hAnsi="Arial" w:cs="Arial"/>
          </w:rPr>
          <w:t>UK’s Immigration Rules, Part 14</w:t>
        </w:r>
      </w:hyperlink>
      <w:r w:rsidRPr="00E5046A">
        <w:rPr>
          <w:rFonts w:ascii="Arial" w:hAnsi="Arial" w:cs="Arial"/>
          <w:lang w:val="en"/>
        </w:rPr>
        <w:t xml:space="preserve"> [accessed: 10 October 2018].</w:t>
      </w:r>
    </w:p>
  </w:footnote>
  <w:footnote w:id="341">
    <w:p w14:paraId="231D66BD" w14:textId="4E1EEA3E"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Migrants Resource Centre (2016), ‘</w:t>
      </w:r>
      <w:hyperlink r:id="rId314" w:history="1">
        <w:r w:rsidRPr="00E5046A">
          <w:rPr>
            <w:rStyle w:val="Hyperlink"/>
            <w:rFonts w:ascii="Arial" w:hAnsi="Arial" w:cs="Arial"/>
            <w:color w:val="auto"/>
          </w:rPr>
          <w:t>Joint Submission to the Human Rights Council at the 27th Session of the Universal Periodic Review – United Kingdom</w:t>
        </w:r>
      </w:hyperlink>
      <w:r w:rsidRPr="00E5046A">
        <w:rPr>
          <w:rStyle w:val="Hyperlink"/>
          <w:rFonts w:ascii="Arial" w:hAnsi="Arial" w:cs="Arial"/>
          <w:color w:val="auto"/>
        </w:rPr>
        <w:t>’</w:t>
      </w:r>
      <w:r w:rsidRPr="00E5046A">
        <w:rPr>
          <w:rFonts w:ascii="Arial" w:hAnsi="Arial" w:cs="Arial"/>
        </w:rPr>
        <w:t xml:space="preserve"> [accessed: 11 October 2018].</w:t>
      </w:r>
    </w:p>
  </w:footnote>
  <w:footnote w:id="342">
    <w:p w14:paraId="39FB2B4A" w14:textId="597508BE"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European Network on Statelessness (2016), ‘</w:t>
      </w:r>
      <w:hyperlink r:id="rId315" w:history="1">
        <w:r w:rsidRPr="00E5046A">
          <w:rPr>
            <w:rStyle w:val="Hyperlink"/>
            <w:rFonts w:ascii="Arial" w:hAnsi="Arial" w:cs="Arial"/>
            <w:color w:val="auto"/>
          </w:rPr>
          <w:t>Protecting stateless persons from arbitrary detention in the United Kingdom</w:t>
        </w:r>
      </w:hyperlink>
      <w:r w:rsidRPr="00E5046A">
        <w:rPr>
          <w:rStyle w:val="Hyperlink"/>
          <w:rFonts w:ascii="Arial" w:hAnsi="Arial" w:cs="Arial"/>
          <w:color w:val="auto"/>
        </w:rPr>
        <w:t>’</w:t>
      </w:r>
      <w:r w:rsidRPr="00E5046A">
        <w:rPr>
          <w:rFonts w:ascii="Arial" w:hAnsi="Arial" w:cs="Arial"/>
        </w:rPr>
        <w:t xml:space="preserve"> [accessed: 8 March 2019].</w:t>
      </w:r>
      <w:r w:rsidRPr="00E5046A">
        <w:rPr>
          <w:rStyle w:val="CommentReference"/>
          <w:rFonts w:ascii="Arial" w:hAnsi="Arial" w:cs="Arial"/>
          <w:sz w:val="20"/>
          <w:szCs w:val="20"/>
        </w:rPr>
        <w:t xml:space="preserve"> </w:t>
      </w:r>
    </w:p>
  </w:footnote>
  <w:footnote w:id="343">
    <w:p w14:paraId="3C02B494" w14:textId="7740FE0B" w:rsidR="00AE42CD" w:rsidRPr="00E5046A" w:rsidRDefault="00AE42CD">
      <w:pPr>
        <w:pStyle w:val="FootnoteText"/>
        <w:rPr>
          <w:rFonts w:cs="Arial"/>
        </w:rPr>
      </w:pPr>
      <w:r w:rsidRPr="00E5046A">
        <w:rPr>
          <w:rStyle w:val="FootnoteReference"/>
          <w:rFonts w:cs="Arial"/>
        </w:rPr>
        <w:footnoteRef/>
      </w:r>
      <w:r w:rsidRPr="00E5046A">
        <w:rPr>
          <w:rFonts w:cs="Arial"/>
        </w:rPr>
        <w:t xml:space="preserve"> European Network on Statelessness (2016).</w:t>
      </w:r>
    </w:p>
  </w:footnote>
  <w:footnote w:id="344">
    <w:p w14:paraId="0C17EABE" w14:textId="29788CAF"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Migrants Resource Centre (2016), p.12; European Network on Statelessness (2016).</w:t>
      </w:r>
    </w:p>
  </w:footnote>
  <w:footnote w:id="345">
    <w:p w14:paraId="0C953219" w14:textId="52850324"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Lyons, K. (2018) ‘</w:t>
      </w:r>
      <w:hyperlink r:id="rId316" w:history="1">
        <w:r w:rsidRPr="00E5046A">
          <w:rPr>
            <w:rStyle w:val="Hyperlink"/>
            <w:rFonts w:ascii="Arial" w:hAnsi="Arial" w:cs="Arial"/>
            <w:color w:val="auto"/>
          </w:rPr>
          <w:t>UK Home Office tells stateless man: Go home</w:t>
        </w:r>
      </w:hyperlink>
      <w:r w:rsidRPr="00E5046A">
        <w:rPr>
          <w:rFonts w:ascii="Arial" w:hAnsi="Arial" w:cs="Arial"/>
        </w:rPr>
        <w:t xml:space="preserve">’, </w:t>
      </w:r>
      <w:r w:rsidRPr="00E5046A">
        <w:rPr>
          <w:rFonts w:ascii="Arial" w:hAnsi="Arial" w:cs="Arial"/>
          <w:i/>
        </w:rPr>
        <w:t>The Guardian</w:t>
      </w:r>
      <w:r w:rsidRPr="00E5046A">
        <w:rPr>
          <w:rFonts w:ascii="Arial" w:hAnsi="Arial" w:cs="Arial"/>
        </w:rPr>
        <w:t xml:space="preserve">, 22 January [accessed: 8 March 2019].    </w:t>
      </w:r>
    </w:p>
  </w:footnote>
  <w:footnote w:id="346">
    <w:p w14:paraId="52AFAFF7" w14:textId="4708CB76"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Project for the Registration of Children as British Citizens (2018), ‘</w:t>
      </w:r>
      <w:hyperlink r:id="rId317" w:history="1">
        <w:r w:rsidRPr="00E5046A">
          <w:rPr>
            <w:rStyle w:val="Hyperlink"/>
            <w:rFonts w:ascii="Arial" w:hAnsi="Arial" w:cs="Arial"/>
            <w:color w:val="auto"/>
          </w:rPr>
          <w:t>Briefing for Parliamentarians on Home Office Fees for children registering as British citizens</w:t>
        </w:r>
      </w:hyperlink>
      <w:r w:rsidRPr="00E5046A">
        <w:rPr>
          <w:rStyle w:val="Hyperlink"/>
          <w:rFonts w:ascii="Arial" w:hAnsi="Arial" w:cs="Arial"/>
          <w:color w:val="auto"/>
        </w:rPr>
        <w:t>’</w:t>
      </w:r>
      <w:r w:rsidRPr="00E5046A">
        <w:rPr>
          <w:rFonts w:ascii="Arial" w:hAnsi="Arial" w:cs="Arial"/>
        </w:rPr>
        <w:t xml:space="preserve"> [accessed: 8 March 2019].</w:t>
      </w:r>
    </w:p>
  </w:footnote>
  <w:footnote w:id="347">
    <w:p w14:paraId="38FE6A20" w14:textId="49FEF4CE"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Bezzano, J. and Carter, J. (2018), ‘</w:t>
      </w:r>
      <w:hyperlink r:id="rId318" w:history="1">
        <w:r w:rsidRPr="00E5046A">
          <w:rPr>
            <w:rStyle w:val="Hyperlink"/>
            <w:rFonts w:ascii="Arial" w:hAnsi="Arial" w:cs="Arial"/>
            <w:color w:val="auto"/>
          </w:rPr>
          <w:t>Statelessness in practice: Implementation of the UK statelessness application procedure</w:t>
        </w:r>
      </w:hyperlink>
      <w:r w:rsidRPr="00E5046A">
        <w:rPr>
          <w:rStyle w:val="Hyperlink"/>
          <w:rFonts w:ascii="Arial" w:hAnsi="Arial" w:cs="Arial"/>
          <w:color w:val="auto"/>
        </w:rPr>
        <w:t>’</w:t>
      </w:r>
      <w:r w:rsidRPr="00E5046A">
        <w:rPr>
          <w:rFonts w:ascii="Arial" w:hAnsi="Arial" w:cs="Arial"/>
        </w:rPr>
        <w:t>, University of Liverpool [accessed: 8 March 2019].</w:t>
      </w:r>
    </w:p>
  </w:footnote>
  <w:footnote w:id="348">
    <w:p w14:paraId="133A2DD6" w14:textId="78761679"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Home Office (2016), ‘</w:t>
      </w:r>
      <w:hyperlink r:id="rId319" w:history="1">
        <w:r w:rsidRPr="00E5046A">
          <w:rPr>
            <w:rStyle w:val="Hyperlink"/>
            <w:rFonts w:ascii="Arial" w:hAnsi="Arial" w:cs="Arial"/>
            <w:color w:val="auto"/>
          </w:rPr>
          <w:t>Asylum Policy Instruction - Statelessness and applications for leave to remain</w:t>
        </w:r>
      </w:hyperlink>
      <w:r w:rsidRPr="00E5046A">
        <w:rPr>
          <w:rStyle w:val="Hyperlink"/>
          <w:rFonts w:ascii="Arial" w:hAnsi="Arial" w:cs="Arial"/>
          <w:color w:val="auto"/>
        </w:rPr>
        <w:t>’</w:t>
      </w:r>
      <w:r w:rsidRPr="00E5046A">
        <w:rPr>
          <w:rFonts w:ascii="Arial" w:hAnsi="Arial" w:cs="Arial"/>
        </w:rPr>
        <w:t xml:space="preserve"> [accessed: 8 March 2019].</w:t>
      </w:r>
    </w:p>
  </w:footnote>
  <w:footnote w:id="349">
    <w:p w14:paraId="3FCA8D04" w14:textId="39CEBA20"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European Network on Statelessness (2016). </w:t>
      </w:r>
    </w:p>
  </w:footnote>
  <w:footnote w:id="350">
    <w:p w14:paraId="58909A29" w14:textId="16F03693" w:rsidR="00AE42CD" w:rsidRPr="00E5046A" w:rsidRDefault="00AE42CD" w:rsidP="00C32DAA">
      <w:pPr>
        <w:autoSpaceDE w:val="0"/>
        <w:autoSpaceDN w:val="0"/>
        <w:adjustRightInd w:val="0"/>
        <w:spacing w:line="240" w:lineRule="auto"/>
        <w:rPr>
          <w:rFonts w:cs="Arial"/>
          <w:sz w:val="20"/>
          <w:szCs w:val="20"/>
        </w:rPr>
      </w:pPr>
      <w:r w:rsidRPr="00E5046A">
        <w:rPr>
          <w:rStyle w:val="FootnoteReference"/>
          <w:rFonts w:cs="Arial"/>
          <w:sz w:val="20"/>
          <w:szCs w:val="20"/>
        </w:rPr>
        <w:footnoteRef/>
      </w:r>
      <w:r w:rsidRPr="00E5046A">
        <w:rPr>
          <w:rFonts w:cs="Arial"/>
          <w:sz w:val="20"/>
          <w:szCs w:val="20"/>
        </w:rPr>
        <w:t xml:space="preserve"> ONS (2018), ‘</w:t>
      </w:r>
      <w:hyperlink r:id="rId320" w:history="1">
        <w:r w:rsidRPr="00E5046A">
          <w:rPr>
            <w:rStyle w:val="Hyperlink"/>
            <w:rFonts w:cs="Arial"/>
            <w:sz w:val="20"/>
            <w:szCs w:val="20"/>
          </w:rPr>
          <w:t>Sexual offences in England and Wales: year ending March 2017 – appendix tables</w:t>
        </w:r>
      </w:hyperlink>
      <w:r w:rsidRPr="00E5046A">
        <w:rPr>
          <w:rFonts w:cs="Arial"/>
          <w:sz w:val="20"/>
          <w:szCs w:val="20"/>
        </w:rPr>
        <w:t>’ [accessed: 23 August 2018].</w:t>
      </w:r>
    </w:p>
  </w:footnote>
  <w:footnote w:id="351">
    <w:p w14:paraId="3E76EA37" w14:textId="31AAE30B"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ONS (2018), ‘</w:t>
      </w:r>
      <w:hyperlink r:id="rId321" w:history="1">
        <w:r w:rsidRPr="00E5046A">
          <w:rPr>
            <w:rStyle w:val="Hyperlink"/>
            <w:rFonts w:ascii="Arial" w:hAnsi="Arial" w:cs="Arial"/>
          </w:rPr>
          <w:t>Sexual offences in England and Wales: year ending March 2017</w:t>
        </w:r>
      </w:hyperlink>
      <w:r w:rsidRPr="00E5046A">
        <w:rPr>
          <w:rFonts w:ascii="Arial" w:hAnsi="Arial" w:cs="Arial"/>
        </w:rPr>
        <w:t xml:space="preserve">’ </w:t>
      </w:r>
      <w:r w:rsidRPr="00E5046A">
        <w:rPr>
          <w:rFonts w:ascii="Arial" w:hAnsi="Arial" w:cs="Arial"/>
          <w:shd w:val="clear" w:color="auto" w:fill="FFFFFF"/>
        </w:rPr>
        <w:t>[accessed: 17 March 2019].</w:t>
      </w:r>
      <w:r w:rsidRPr="00E5046A">
        <w:rPr>
          <w:rFonts w:ascii="Arial" w:hAnsi="Arial" w:cs="Arial"/>
        </w:rPr>
        <w:t xml:space="preserve"> </w:t>
      </w:r>
    </w:p>
  </w:footnote>
  <w:footnote w:id="352">
    <w:p w14:paraId="73041938" w14:textId="34480724"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ONS (2018), ‘</w:t>
      </w:r>
      <w:hyperlink r:id="rId322" w:history="1">
        <w:r w:rsidRPr="00E5046A">
          <w:rPr>
            <w:rStyle w:val="Hyperlink"/>
            <w:rFonts w:ascii="Arial" w:hAnsi="Arial" w:cs="Arial"/>
          </w:rPr>
          <w:t>Domestic abuse in England and Wales: year ending March 2018</w:t>
        </w:r>
      </w:hyperlink>
      <w:r w:rsidRPr="00E5046A">
        <w:rPr>
          <w:rFonts w:ascii="Arial" w:hAnsi="Arial" w:cs="Arial"/>
          <w:lang w:val="en"/>
        </w:rPr>
        <w:t>’</w:t>
      </w:r>
      <w:r w:rsidRPr="00E5046A">
        <w:rPr>
          <w:rFonts w:ascii="Arial" w:hAnsi="Arial" w:cs="Arial"/>
        </w:rPr>
        <w:t xml:space="preserve"> </w:t>
      </w:r>
      <w:r w:rsidRPr="00E5046A">
        <w:rPr>
          <w:rFonts w:ascii="Arial" w:hAnsi="Arial" w:cs="Arial"/>
          <w:shd w:val="clear" w:color="auto" w:fill="FFFFFF"/>
        </w:rPr>
        <w:t>[accessed: 17 March 2019].</w:t>
      </w:r>
      <w:r w:rsidRPr="00E5046A">
        <w:rPr>
          <w:rFonts w:ascii="Arial" w:hAnsi="Arial" w:cs="Arial"/>
        </w:rPr>
        <w:t xml:space="preserve"> </w:t>
      </w:r>
    </w:p>
  </w:footnote>
  <w:footnote w:id="353">
    <w:p w14:paraId="7F485FFE" w14:textId="376DB096" w:rsidR="00AE42CD" w:rsidRPr="00E5046A" w:rsidRDefault="00AE42CD" w:rsidP="00664589">
      <w:pPr>
        <w:pStyle w:val="EndnoteText"/>
        <w:contextualSpacing/>
        <w:rPr>
          <w:rFonts w:ascii="Arial" w:hAnsi="Arial" w:cs="Arial"/>
        </w:rPr>
      </w:pPr>
      <w:r w:rsidRPr="00E5046A">
        <w:rPr>
          <w:rStyle w:val="FootnoteReference"/>
          <w:rFonts w:ascii="Arial" w:hAnsi="Arial" w:cs="Arial"/>
        </w:rPr>
        <w:footnoteRef/>
      </w:r>
      <w:r w:rsidRPr="00E5046A">
        <w:rPr>
          <w:rFonts w:ascii="Arial" w:hAnsi="Arial" w:cs="Arial"/>
        </w:rPr>
        <w:t xml:space="preserve"> IKWRO (2017), ‘</w:t>
      </w:r>
      <w:hyperlink r:id="rId323" w:history="1">
        <w:r w:rsidRPr="00E5046A">
          <w:rPr>
            <w:rStyle w:val="Hyperlink"/>
            <w:rFonts w:ascii="Arial" w:hAnsi="Arial" w:cs="Arial"/>
          </w:rPr>
          <w:t>53% rise in “honour” based violence cases reported to the police since the criminalisation of forced marriage</w:t>
        </w:r>
      </w:hyperlink>
      <w:r w:rsidRPr="00E5046A">
        <w:rPr>
          <w:rFonts w:ascii="Arial" w:hAnsi="Arial" w:cs="Arial"/>
        </w:rPr>
        <w:t xml:space="preserve">’ [accessed: 29 April 2018]. </w:t>
      </w:r>
    </w:p>
  </w:footnote>
  <w:footnote w:id="354">
    <w:p w14:paraId="16978DC9" w14:textId="33E593A3" w:rsidR="00AE42CD" w:rsidRPr="00E5046A" w:rsidRDefault="00AE42CD" w:rsidP="00664589">
      <w:pPr>
        <w:pStyle w:val="EndnoteText"/>
        <w:contextualSpacing/>
        <w:rPr>
          <w:rFonts w:ascii="Arial" w:hAnsi="Arial" w:cs="Arial"/>
        </w:rPr>
      </w:pPr>
      <w:r w:rsidRPr="00E5046A">
        <w:rPr>
          <w:rStyle w:val="FootnoteReference"/>
          <w:rFonts w:ascii="Arial" w:hAnsi="Arial" w:cs="Arial"/>
        </w:rPr>
        <w:footnoteRef/>
      </w:r>
      <w:r w:rsidRPr="00E5046A">
        <w:rPr>
          <w:rFonts w:ascii="Arial" w:hAnsi="Arial" w:cs="Arial"/>
        </w:rPr>
        <w:t xml:space="preserve"> Home Office (2018), ‘</w:t>
      </w:r>
      <w:hyperlink r:id="rId324" w:history="1">
        <w:r w:rsidRPr="00E5046A">
          <w:rPr>
            <w:rStyle w:val="Hyperlink"/>
            <w:rFonts w:ascii="Arial" w:hAnsi="Arial" w:cs="Arial"/>
          </w:rPr>
          <w:t>Rape incidents and crime data year ending March 2017 to year ending March 2018</w:t>
        </w:r>
      </w:hyperlink>
      <w:r w:rsidRPr="00E5046A">
        <w:rPr>
          <w:rFonts w:ascii="Arial" w:hAnsi="Arial" w:cs="Arial"/>
        </w:rPr>
        <w:t xml:space="preserve">’ </w:t>
      </w:r>
      <w:r w:rsidRPr="00E5046A">
        <w:rPr>
          <w:rFonts w:ascii="Arial" w:hAnsi="Arial" w:cs="Arial"/>
          <w:shd w:val="clear" w:color="auto" w:fill="FFFFFF"/>
        </w:rPr>
        <w:t>[accessed: 8 March 2019].</w:t>
      </w:r>
      <w:r w:rsidRPr="00E5046A">
        <w:rPr>
          <w:rFonts w:ascii="Arial" w:hAnsi="Arial" w:cs="Arial"/>
        </w:rPr>
        <w:t xml:space="preserve"> </w:t>
      </w:r>
    </w:p>
  </w:footnote>
  <w:footnote w:id="355">
    <w:p w14:paraId="4F270AE5" w14:textId="2087F598"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 Crown Prosecution Service Inspectorate (2016), ‘</w:t>
      </w:r>
      <w:hyperlink r:id="rId325" w:history="1">
        <w:r w:rsidRPr="00E5046A">
          <w:rPr>
            <w:rStyle w:val="Hyperlink"/>
            <w:rFonts w:ascii="Arial" w:hAnsi="Arial" w:cs="Arial"/>
          </w:rPr>
          <w:t>Thematic review of the CPS rape and serious sexual offences units</w:t>
        </w:r>
      </w:hyperlink>
      <w:r w:rsidRPr="00E5046A">
        <w:rPr>
          <w:rFonts w:ascii="Arial" w:hAnsi="Arial" w:cs="Arial"/>
          <w:i/>
        </w:rPr>
        <w:t xml:space="preserve">’ </w:t>
      </w:r>
      <w:r w:rsidRPr="00E5046A">
        <w:rPr>
          <w:rFonts w:ascii="Arial" w:hAnsi="Arial" w:cs="Arial"/>
        </w:rPr>
        <w:t>[accessed: 17 March 2019].</w:t>
      </w:r>
    </w:p>
  </w:footnote>
  <w:footnote w:id="356">
    <w:p w14:paraId="27D9D9D8" w14:textId="432CE830"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CPS (2018)’ ‘</w:t>
      </w:r>
      <w:hyperlink r:id="rId326" w:history="1">
        <w:r w:rsidRPr="00E5046A">
          <w:rPr>
            <w:rStyle w:val="Hyperlink"/>
            <w:rFonts w:cs="Arial"/>
          </w:rPr>
          <w:t>Violence against Women and Girls Report 2017-2018</w:t>
        </w:r>
      </w:hyperlink>
      <w:r w:rsidRPr="00E5046A">
        <w:rPr>
          <w:rFonts w:cs="Arial"/>
        </w:rPr>
        <w:t>’</w:t>
      </w:r>
    </w:p>
  </w:footnote>
  <w:footnote w:id="357">
    <w:p w14:paraId="6B870776" w14:textId="098F2367"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Bowcott, O. (2019), ‘</w:t>
      </w:r>
      <w:hyperlink r:id="rId327" w:history="1">
        <w:r w:rsidRPr="00E5046A">
          <w:rPr>
            <w:rStyle w:val="Hyperlink"/>
            <w:rFonts w:ascii="Arial" w:hAnsi="Arial" w:cs="Arial"/>
          </w:rPr>
          <w:t>John Worboys’ victims win human rights case against police’</w:t>
        </w:r>
      </w:hyperlink>
      <w:r w:rsidRPr="00E5046A">
        <w:rPr>
          <w:rFonts w:ascii="Arial" w:hAnsi="Arial" w:cs="Arial"/>
        </w:rPr>
        <w:t xml:space="preserve">, </w:t>
      </w:r>
      <w:r w:rsidRPr="00E5046A">
        <w:rPr>
          <w:rFonts w:ascii="Arial" w:hAnsi="Arial" w:cs="Arial"/>
          <w:i/>
        </w:rPr>
        <w:t>The Guardian</w:t>
      </w:r>
      <w:r w:rsidRPr="00E5046A">
        <w:rPr>
          <w:rFonts w:ascii="Arial" w:hAnsi="Arial" w:cs="Arial"/>
        </w:rPr>
        <w:t>, 21 February [accessed: 8 March 2019].</w:t>
      </w:r>
    </w:p>
  </w:footnote>
  <w:footnote w:id="358">
    <w:p w14:paraId="36362B76" w14:textId="3A49D5BA"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HMIC (2015), ‘</w:t>
      </w:r>
      <w:hyperlink r:id="rId328" w:history="1">
        <w:r w:rsidRPr="00E5046A">
          <w:rPr>
            <w:rStyle w:val="Hyperlink"/>
            <w:rFonts w:ascii="Arial" w:hAnsi="Arial" w:cs="Arial"/>
          </w:rPr>
          <w:t>The depths of dishonour: hidden voices and shameful crimes.  An inspection of the policy response to honour-based violence, forced marriage and female genital mutilation</w:t>
        </w:r>
      </w:hyperlink>
      <w:r w:rsidRPr="00E5046A">
        <w:rPr>
          <w:rFonts w:ascii="Arial" w:hAnsi="Arial" w:cs="Arial"/>
          <w:i/>
        </w:rPr>
        <w:t>’</w:t>
      </w:r>
      <w:r w:rsidRPr="00E5046A">
        <w:rPr>
          <w:rFonts w:ascii="Arial" w:hAnsi="Arial" w:cs="Arial"/>
        </w:rPr>
        <w:t xml:space="preserve"> [accessed: 8 March 2019].  </w:t>
      </w:r>
    </w:p>
  </w:footnote>
  <w:footnote w:id="359">
    <w:p w14:paraId="744F5669" w14:textId="27DAC4DB" w:rsidR="00AE42CD" w:rsidRPr="00E5046A" w:rsidRDefault="00AE42CD" w:rsidP="009A0798">
      <w:pPr>
        <w:autoSpaceDE w:val="0"/>
        <w:autoSpaceDN w:val="0"/>
        <w:adjustRightInd w:val="0"/>
        <w:rPr>
          <w:rFonts w:cs="Arial"/>
          <w:sz w:val="20"/>
          <w:szCs w:val="20"/>
          <w:lang w:eastAsia="en-GB"/>
        </w:rPr>
      </w:pPr>
      <w:r w:rsidRPr="00E5046A">
        <w:rPr>
          <w:rStyle w:val="FootnoteReference"/>
          <w:rFonts w:cs="Arial"/>
          <w:sz w:val="20"/>
          <w:szCs w:val="20"/>
        </w:rPr>
        <w:footnoteRef/>
      </w:r>
      <w:r w:rsidRPr="00E5046A">
        <w:rPr>
          <w:rFonts w:cs="Arial"/>
          <w:sz w:val="20"/>
          <w:szCs w:val="20"/>
        </w:rPr>
        <w:t xml:space="preserve"> </w:t>
      </w:r>
      <w:r w:rsidRPr="00E5046A">
        <w:rPr>
          <w:rFonts w:cs="Arial"/>
          <w:sz w:val="20"/>
          <w:szCs w:val="20"/>
          <w:lang w:eastAsia="en-GB"/>
        </w:rPr>
        <w:t>Home Office (2016), ‘</w:t>
      </w:r>
      <w:hyperlink r:id="rId329" w:history="1">
        <w:r w:rsidRPr="00E5046A">
          <w:rPr>
            <w:rStyle w:val="Hyperlink"/>
            <w:rFonts w:cs="Arial"/>
            <w:sz w:val="20"/>
            <w:szCs w:val="20"/>
          </w:rPr>
          <w:t>Domestic violence protection orders</w:t>
        </w:r>
      </w:hyperlink>
      <w:r w:rsidRPr="00E5046A">
        <w:rPr>
          <w:rFonts w:cs="Arial"/>
          <w:iCs/>
          <w:sz w:val="20"/>
          <w:szCs w:val="20"/>
          <w:lang w:eastAsia="en-GB"/>
        </w:rPr>
        <w:t xml:space="preserve">’ </w:t>
      </w:r>
      <w:r w:rsidRPr="00E5046A">
        <w:rPr>
          <w:rFonts w:cs="Arial"/>
          <w:sz w:val="20"/>
          <w:szCs w:val="20"/>
          <w:lang w:eastAsia="en-GB"/>
        </w:rPr>
        <w:t xml:space="preserve">[accessed: </w:t>
      </w:r>
      <w:r>
        <w:rPr>
          <w:rFonts w:cs="Arial"/>
          <w:sz w:val="20"/>
          <w:szCs w:val="20"/>
          <w:lang w:eastAsia="en-GB"/>
        </w:rPr>
        <w:t>20 March 2019</w:t>
      </w:r>
      <w:r w:rsidRPr="00E5046A">
        <w:rPr>
          <w:rFonts w:cs="Arial"/>
          <w:sz w:val="20"/>
          <w:szCs w:val="20"/>
          <w:lang w:eastAsia="en-GB"/>
        </w:rPr>
        <w:t>].</w:t>
      </w:r>
    </w:p>
  </w:footnote>
  <w:footnote w:id="360">
    <w:p w14:paraId="16EC9EC3" w14:textId="2AEDB75D" w:rsidR="00AE42CD" w:rsidRPr="00E5046A" w:rsidRDefault="00AE42CD" w:rsidP="00664589">
      <w:pPr>
        <w:pStyle w:val="EndnoteText"/>
        <w:rPr>
          <w:rFonts w:ascii="Arial" w:hAnsi="Arial" w:cs="Arial"/>
          <w:color w:val="FF0000"/>
          <w:lang w:eastAsia="en-GB"/>
        </w:rPr>
      </w:pPr>
      <w:r w:rsidRPr="00E5046A">
        <w:rPr>
          <w:rStyle w:val="FootnoteReference"/>
          <w:rFonts w:ascii="Arial" w:hAnsi="Arial" w:cs="Arial"/>
        </w:rPr>
        <w:footnoteRef/>
      </w:r>
      <w:r w:rsidRPr="00E5046A">
        <w:rPr>
          <w:rFonts w:ascii="Arial" w:hAnsi="Arial" w:cs="Arial"/>
        </w:rPr>
        <w:t xml:space="preserve"> </w:t>
      </w:r>
      <w:r w:rsidRPr="00E5046A">
        <w:rPr>
          <w:rFonts w:ascii="Arial" w:hAnsi="Arial" w:cs="Arial"/>
          <w:lang w:eastAsia="en-GB"/>
        </w:rPr>
        <w:t>CPS, ‘</w:t>
      </w:r>
      <w:hyperlink r:id="rId330" w:history="1">
        <w:r w:rsidRPr="00E5046A">
          <w:rPr>
            <w:rStyle w:val="Hyperlink"/>
            <w:rFonts w:ascii="Arial" w:hAnsi="Arial" w:cs="Arial"/>
          </w:rPr>
          <w:t>Domestic Abuse Guidelines for Prosecutors</w:t>
        </w:r>
      </w:hyperlink>
      <w:r w:rsidRPr="00E5046A">
        <w:rPr>
          <w:rFonts w:ascii="Arial" w:hAnsi="Arial" w:cs="Arial"/>
          <w:lang w:eastAsia="en-GB"/>
        </w:rPr>
        <w:t>’ [accessed: 8 March 2019]</w:t>
      </w:r>
    </w:p>
  </w:footnote>
  <w:footnote w:id="361">
    <w:p w14:paraId="550BC4B7" w14:textId="7CEED13A" w:rsidR="00AE42CD" w:rsidRPr="00E5046A" w:rsidRDefault="00AE42CD" w:rsidP="0020180B">
      <w:pPr>
        <w:autoSpaceDE w:val="0"/>
        <w:autoSpaceDN w:val="0"/>
        <w:adjustRightInd w:val="0"/>
        <w:rPr>
          <w:rFonts w:cs="Arial"/>
          <w:sz w:val="20"/>
          <w:szCs w:val="20"/>
        </w:rPr>
      </w:pPr>
      <w:r w:rsidRPr="00E5046A">
        <w:rPr>
          <w:rStyle w:val="FootnoteReference"/>
          <w:rFonts w:cs="Arial"/>
          <w:sz w:val="20"/>
          <w:szCs w:val="20"/>
        </w:rPr>
        <w:footnoteRef/>
      </w:r>
      <w:r w:rsidRPr="00E5046A">
        <w:rPr>
          <w:rFonts w:cs="Arial"/>
          <w:sz w:val="20"/>
          <w:szCs w:val="20"/>
        </w:rPr>
        <w:t xml:space="preserve"> </w:t>
      </w:r>
      <w:r w:rsidRPr="00E5046A">
        <w:rPr>
          <w:rFonts w:cs="Arial"/>
          <w:sz w:val="20"/>
          <w:szCs w:val="20"/>
          <w:lang w:eastAsia="en-GB"/>
        </w:rPr>
        <w:t>Home Office (2016), ‘</w:t>
      </w:r>
      <w:hyperlink r:id="rId331" w:history="1">
        <w:r w:rsidRPr="00E5046A">
          <w:rPr>
            <w:rStyle w:val="Hyperlink"/>
            <w:rFonts w:cs="Arial"/>
            <w:color w:val="auto"/>
            <w:sz w:val="20"/>
            <w:szCs w:val="20"/>
          </w:rPr>
          <w:t>Ending Violence against Women and Girls Strategy 2016 – 2020</w:t>
        </w:r>
      </w:hyperlink>
      <w:r w:rsidRPr="00E5046A">
        <w:rPr>
          <w:rFonts w:cs="Arial"/>
          <w:i/>
          <w:sz w:val="20"/>
          <w:szCs w:val="20"/>
          <w:lang w:eastAsia="en-GB"/>
        </w:rPr>
        <w:t xml:space="preserve">’ </w:t>
      </w:r>
      <w:r w:rsidRPr="00E5046A">
        <w:rPr>
          <w:rFonts w:cs="Arial"/>
          <w:sz w:val="20"/>
          <w:szCs w:val="20"/>
          <w:lang w:eastAsia="en-GB"/>
        </w:rPr>
        <w:t>[accessed: 9 March 2019].</w:t>
      </w:r>
    </w:p>
  </w:footnote>
  <w:footnote w:id="362">
    <w:p w14:paraId="3F868483" w14:textId="035524C4" w:rsidR="00AE42CD" w:rsidRPr="00E5046A" w:rsidRDefault="00AE42CD" w:rsidP="00664589">
      <w:pPr>
        <w:pStyle w:val="EndnoteText"/>
        <w:rPr>
          <w:rFonts w:ascii="Arial" w:hAnsi="Arial" w:cs="Arial"/>
          <w:color w:val="FF0000"/>
        </w:rPr>
      </w:pPr>
      <w:r w:rsidRPr="00E5046A">
        <w:rPr>
          <w:rStyle w:val="FootnoteReference"/>
          <w:rFonts w:ascii="Arial" w:hAnsi="Arial" w:cs="Arial"/>
        </w:rPr>
        <w:footnoteRef/>
      </w:r>
      <w:r w:rsidRPr="00E5046A">
        <w:rPr>
          <w:rFonts w:ascii="Arial" w:hAnsi="Arial" w:cs="Arial"/>
        </w:rPr>
        <w:t xml:space="preserve"> Ibid; UK Government (2017), </w:t>
      </w:r>
      <w:hyperlink r:id="rId332" w:history="1">
        <w:r w:rsidRPr="00E5046A">
          <w:rPr>
            <w:rStyle w:val="Hyperlink"/>
            <w:rFonts w:ascii="Arial" w:hAnsi="Arial" w:cs="Arial"/>
          </w:rPr>
          <w:t>Spring Budget 2017</w:t>
        </w:r>
      </w:hyperlink>
      <w:r w:rsidRPr="00E5046A">
        <w:rPr>
          <w:rFonts w:ascii="Arial" w:hAnsi="Arial" w:cs="Arial"/>
        </w:rPr>
        <w:t xml:space="preserve"> [accessed: 7 March 2019].</w:t>
      </w:r>
    </w:p>
  </w:footnote>
  <w:footnote w:id="363">
    <w:p w14:paraId="26965BE0" w14:textId="7EFAFEB4" w:rsidR="00AE42CD" w:rsidRPr="007C39AB" w:rsidRDefault="00AE42CD" w:rsidP="007C39AB">
      <w:pPr>
        <w:autoSpaceDE w:val="0"/>
        <w:autoSpaceDN w:val="0"/>
        <w:adjustRightInd w:val="0"/>
        <w:spacing w:line="240" w:lineRule="auto"/>
        <w:rPr>
          <w:rFonts w:cs="Arial"/>
          <w:color w:val="FF0000"/>
          <w:sz w:val="20"/>
          <w:szCs w:val="20"/>
        </w:rPr>
      </w:pPr>
      <w:r w:rsidRPr="00E5046A">
        <w:rPr>
          <w:rStyle w:val="FootnoteReference"/>
          <w:rFonts w:cs="Arial"/>
          <w:sz w:val="20"/>
          <w:szCs w:val="20"/>
        </w:rPr>
        <w:footnoteRef/>
      </w:r>
      <w:r w:rsidRPr="00E5046A">
        <w:rPr>
          <w:rFonts w:cs="Arial"/>
          <w:sz w:val="20"/>
          <w:szCs w:val="20"/>
        </w:rPr>
        <w:t xml:space="preserve"> EHRC (2014), ‘</w:t>
      </w:r>
      <w:hyperlink r:id="rId333" w:history="1">
        <w:r w:rsidRPr="00E5046A">
          <w:rPr>
            <w:rStyle w:val="Hyperlink"/>
            <w:rFonts w:cs="Arial"/>
            <w:color w:val="auto"/>
            <w:sz w:val="20"/>
            <w:szCs w:val="20"/>
          </w:rPr>
          <w:t>Written evidence submitted by the EHRC to the JCHR Inquiry into violence against women and girls</w:t>
        </w:r>
      </w:hyperlink>
      <w:r w:rsidRPr="00E5046A">
        <w:rPr>
          <w:rFonts w:cs="Arial"/>
          <w:sz w:val="20"/>
          <w:szCs w:val="20"/>
        </w:rPr>
        <w:t>’ [accessed: 8 March 2019].</w:t>
      </w:r>
      <w:r w:rsidRPr="00E5046A">
        <w:rPr>
          <w:rFonts w:cs="Arial"/>
          <w:b/>
          <w:bCs/>
          <w:sz w:val="20"/>
          <w:szCs w:val="20"/>
        </w:rPr>
        <w:t xml:space="preserve"> </w:t>
      </w:r>
      <w:r w:rsidRPr="00E5046A">
        <w:rPr>
          <w:rFonts w:cs="Arial"/>
          <w:sz w:val="20"/>
          <w:szCs w:val="20"/>
        </w:rPr>
        <w:t xml:space="preserve"> </w:t>
      </w:r>
    </w:p>
  </w:footnote>
  <w:footnote w:id="364">
    <w:p w14:paraId="714F6262" w14:textId="6C2BF3C1"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EHRC (2018), ‘</w:t>
      </w:r>
      <w:hyperlink r:id="rId334" w:history="1">
        <w:r w:rsidRPr="00E5046A">
          <w:rPr>
            <w:rStyle w:val="Hyperlink"/>
            <w:rFonts w:ascii="Arial" w:hAnsi="Arial" w:cs="Arial"/>
          </w:rPr>
          <w:t>Is Britain Fairer? 2018 Final Report</w:t>
        </w:r>
      </w:hyperlink>
      <w:r w:rsidRPr="00E5046A">
        <w:rPr>
          <w:rFonts w:ascii="Arial" w:hAnsi="Arial" w:cs="Arial"/>
        </w:rPr>
        <w:t>’ [accessed: 7 March 2019].</w:t>
      </w:r>
    </w:p>
  </w:footnote>
  <w:footnote w:id="365">
    <w:p w14:paraId="0D7E4AC8" w14:textId="00FCE63E"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UK Government (2019), ‘</w:t>
      </w:r>
      <w:hyperlink r:id="rId335" w:history="1">
        <w:r w:rsidRPr="00E5046A">
          <w:rPr>
            <w:rStyle w:val="Hyperlink"/>
            <w:rFonts w:cs="Arial"/>
          </w:rPr>
          <w:t>Government sets out key measures to tackle violence against women and girls</w:t>
        </w:r>
      </w:hyperlink>
      <w:r w:rsidRPr="00E5046A">
        <w:rPr>
          <w:rFonts w:cs="Arial"/>
          <w:lang w:val="en"/>
        </w:rPr>
        <w:t xml:space="preserve">’ </w:t>
      </w:r>
      <w:r w:rsidRPr="00E5046A">
        <w:rPr>
          <w:rFonts w:cs="Arial"/>
        </w:rPr>
        <w:t>[accessed: 17 March 2019].</w:t>
      </w:r>
    </w:p>
  </w:footnote>
  <w:footnote w:id="366">
    <w:p w14:paraId="5ABEF631" w14:textId="54D6B97A" w:rsidR="00AE42CD" w:rsidRPr="00E5046A" w:rsidRDefault="00AE42CD" w:rsidP="0020180B">
      <w:pPr>
        <w:autoSpaceDE w:val="0"/>
        <w:autoSpaceDN w:val="0"/>
        <w:adjustRightInd w:val="0"/>
        <w:rPr>
          <w:rFonts w:cs="Arial"/>
          <w:sz w:val="20"/>
          <w:szCs w:val="20"/>
          <w:lang w:eastAsia="en-GB"/>
        </w:rPr>
      </w:pPr>
      <w:r w:rsidRPr="00E5046A">
        <w:rPr>
          <w:rStyle w:val="FootnoteReference"/>
          <w:rFonts w:cs="Arial"/>
          <w:sz w:val="20"/>
          <w:szCs w:val="20"/>
        </w:rPr>
        <w:footnoteRef/>
      </w:r>
      <w:r w:rsidRPr="00E5046A">
        <w:rPr>
          <w:rFonts w:cs="Arial"/>
          <w:sz w:val="20"/>
          <w:szCs w:val="20"/>
        </w:rPr>
        <w:t xml:space="preserve"> </w:t>
      </w:r>
      <w:hyperlink r:id="rId336" w:history="1">
        <w:r w:rsidRPr="00E5046A">
          <w:rPr>
            <w:rStyle w:val="Hyperlink"/>
            <w:rFonts w:cs="Arial"/>
            <w:sz w:val="20"/>
            <w:szCs w:val="20"/>
          </w:rPr>
          <w:t>Violence against Women, Domestic Abuse and Sexual Violence (Wales) Act 2015</w:t>
        </w:r>
      </w:hyperlink>
      <w:r w:rsidRPr="00E5046A">
        <w:rPr>
          <w:rFonts w:cs="Arial"/>
          <w:sz w:val="20"/>
          <w:szCs w:val="20"/>
          <w:lang w:eastAsia="en-GB"/>
        </w:rPr>
        <w:t xml:space="preserve"> [accessed:</w:t>
      </w:r>
      <w:r>
        <w:rPr>
          <w:rFonts w:cs="Arial"/>
          <w:sz w:val="20"/>
          <w:szCs w:val="20"/>
          <w:lang w:eastAsia="en-GB"/>
        </w:rPr>
        <w:t xml:space="preserve"> 20 March 2019</w:t>
      </w:r>
      <w:r w:rsidRPr="00E5046A">
        <w:rPr>
          <w:rFonts w:cs="Arial"/>
          <w:sz w:val="20"/>
          <w:szCs w:val="20"/>
          <w:lang w:eastAsia="en-GB"/>
        </w:rPr>
        <w:t xml:space="preserve">].  </w:t>
      </w:r>
    </w:p>
  </w:footnote>
  <w:footnote w:id="367">
    <w:p w14:paraId="6AF7AF42" w14:textId="7A9366BC"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Welsh Government (2018), ‘</w:t>
      </w:r>
      <w:hyperlink r:id="rId337" w:history="1">
        <w:r w:rsidRPr="00E5046A">
          <w:rPr>
            <w:rStyle w:val="Hyperlink"/>
            <w:rFonts w:ascii="Arial" w:hAnsi="Arial" w:cs="Arial"/>
          </w:rPr>
          <w:t>Violence against women, domestic abuse and sexual violence: Progress report for the period 1 April 2017 to 31 March 2018</w:t>
        </w:r>
      </w:hyperlink>
      <w:r w:rsidRPr="00E5046A">
        <w:rPr>
          <w:rFonts w:ascii="Arial" w:hAnsi="Arial" w:cs="Arial"/>
        </w:rPr>
        <w:t>’ [accessed 6 December 2018].</w:t>
      </w:r>
    </w:p>
  </w:footnote>
  <w:footnote w:id="368">
    <w:p w14:paraId="3EAEF680" w14:textId="5271E6D9" w:rsidR="00AE42CD" w:rsidRPr="00E5046A" w:rsidRDefault="00AE42CD" w:rsidP="00C32DAA">
      <w:pPr>
        <w:autoSpaceDE w:val="0"/>
        <w:autoSpaceDN w:val="0"/>
        <w:adjustRightInd w:val="0"/>
        <w:spacing w:line="240" w:lineRule="auto"/>
        <w:rPr>
          <w:rFonts w:cs="Arial"/>
          <w:sz w:val="20"/>
          <w:szCs w:val="20"/>
        </w:rPr>
      </w:pPr>
      <w:r w:rsidRPr="00E5046A">
        <w:rPr>
          <w:rStyle w:val="FootnoteReference"/>
          <w:rFonts w:cs="Arial"/>
          <w:sz w:val="20"/>
          <w:szCs w:val="20"/>
        </w:rPr>
        <w:footnoteRef/>
      </w:r>
      <w:r w:rsidRPr="00E5046A">
        <w:rPr>
          <w:rFonts w:cs="Arial"/>
          <w:sz w:val="20"/>
          <w:szCs w:val="20"/>
        </w:rPr>
        <w:t xml:space="preserve"> </w:t>
      </w:r>
      <w:hyperlink r:id="rId338" w:history="1">
        <w:r w:rsidRPr="00E5046A">
          <w:rPr>
            <w:rStyle w:val="Hyperlink"/>
            <w:rFonts w:cs="Arial"/>
            <w:sz w:val="20"/>
            <w:szCs w:val="20"/>
          </w:rPr>
          <w:t>Serious Crime Act 2015</w:t>
        </w:r>
      </w:hyperlink>
      <w:r w:rsidRPr="00E5046A">
        <w:rPr>
          <w:rFonts w:cs="Arial"/>
          <w:color w:val="0000FF"/>
          <w:sz w:val="20"/>
          <w:szCs w:val="20"/>
        </w:rPr>
        <w:t xml:space="preserve"> </w:t>
      </w:r>
      <w:r w:rsidRPr="00E5046A">
        <w:rPr>
          <w:rFonts w:cs="Arial"/>
          <w:color w:val="000000"/>
          <w:sz w:val="20"/>
          <w:szCs w:val="20"/>
        </w:rPr>
        <w:t>[accessed: 3 December 2018].</w:t>
      </w:r>
    </w:p>
  </w:footnote>
  <w:footnote w:id="369">
    <w:p w14:paraId="59335F5F" w14:textId="7079FCC7" w:rsidR="00AE42CD" w:rsidRPr="00E5046A" w:rsidRDefault="00AE42CD" w:rsidP="00E5046A">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sidRPr="00E5046A">
        <w:rPr>
          <w:rFonts w:ascii="Arial" w:hAnsi="Arial" w:cs="Arial"/>
          <w:lang w:val="en"/>
        </w:rPr>
        <w:t>Dearden, L. (2019), ‘</w:t>
      </w:r>
      <w:hyperlink r:id="rId339" w:history="1">
        <w:r w:rsidRPr="00E5046A">
          <w:rPr>
            <w:rStyle w:val="Hyperlink"/>
            <w:rFonts w:ascii="Arial" w:hAnsi="Arial" w:cs="Arial"/>
            <w:color w:val="auto"/>
            <w:lang w:val="en"/>
          </w:rPr>
          <w:t>FGM conviction: Mother of girl, 3, becomes first person found guilty of female genital mutilation in UK</w:t>
        </w:r>
      </w:hyperlink>
      <w:r w:rsidRPr="00E5046A">
        <w:rPr>
          <w:rFonts w:ascii="Arial" w:hAnsi="Arial" w:cs="Arial"/>
          <w:lang w:val="en"/>
        </w:rPr>
        <w:t xml:space="preserve">’, </w:t>
      </w:r>
      <w:r w:rsidRPr="00E5046A">
        <w:rPr>
          <w:rFonts w:ascii="Arial" w:hAnsi="Arial" w:cs="Arial"/>
          <w:i/>
          <w:lang w:val="en"/>
        </w:rPr>
        <w:t>Independent</w:t>
      </w:r>
      <w:r w:rsidRPr="00E5046A">
        <w:rPr>
          <w:rFonts w:ascii="Arial" w:hAnsi="Arial" w:cs="Arial"/>
          <w:lang w:val="en"/>
        </w:rPr>
        <w:t xml:space="preserve">, 1 February </w:t>
      </w:r>
      <w:r w:rsidRPr="00E5046A">
        <w:rPr>
          <w:rFonts w:ascii="Arial" w:hAnsi="Arial" w:cs="Arial"/>
        </w:rPr>
        <w:t>[accessed: 8 March 2019].</w:t>
      </w:r>
    </w:p>
  </w:footnote>
  <w:footnote w:id="370">
    <w:p w14:paraId="771E1070" w14:textId="58B02183" w:rsidR="00AE42CD" w:rsidRPr="00E5046A" w:rsidRDefault="00AE42CD" w:rsidP="00664589">
      <w:pPr>
        <w:rPr>
          <w:rFonts w:cs="Arial"/>
          <w:sz w:val="20"/>
          <w:szCs w:val="20"/>
        </w:rPr>
      </w:pPr>
      <w:r w:rsidRPr="00E5046A">
        <w:rPr>
          <w:rStyle w:val="FootnoteReference"/>
          <w:rFonts w:cs="Arial"/>
          <w:sz w:val="20"/>
          <w:szCs w:val="20"/>
        </w:rPr>
        <w:footnoteRef/>
      </w:r>
      <w:r w:rsidRPr="00E5046A">
        <w:rPr>
          <w:rFonts w:cs="Arial"/>
          <w:sz w:val="20"/>
          <w:szCs w:val="20"/>
        </w:rPr>
        <w:t xml:space="preserve"> Welsh Government (2013), ‘</w:t>
      </w:r>
      <w:hyperlink r:id="rId340" w:history="1">
        <w:r w:rsidRPr="00E5046A">
          <w:rPr>
            <w:rStyle w:val="Hyperlink"/>
            <w:rFonts w:cs="Arial"/>
            <w:sz w:val="20"/>
            <w:szCs w:val="20"/>
          </w:rPr>
          <w:t xml:space="preserve">Written </w:t>
        </w:r>
        <w:r w:rsidRPr="00E5046A">
          <w:rPr>
            <w:rStyle w:val="Hyperlink"/>
            <w:rFonts w:cs="Arial"/>
            <w:bCs/>
            <w:sz w:val="20"/>
            <w:szCs w:val="20"/>
            <w:lang w:val="en"/>
          </w:rPr>
          <w:t>statement - female genital mutilatio</w:t>
        </w:r>
        <w:r w:rsidRPr="00E5046A">
          <w:rPr>
            <w:rStyle w:val="Hyperlink"/>
            <w:rFonts w:cs="Arial"/>
            <w:sz w:val="20"/>
            <w:szCs w:val="20"/>
          </w:rPr>
          <w:t>n</w:t>
        </w:r>
      </w:hyperlink>
      <w:r w:rsidRPr="00E5046A">
        <w:rPr>
          <w:rFonts w:cs="Arial"/>
          <w:bCs/>
          <w:sz w:val="20"/>
          <w:szCs w:val="20"/>
          <w:lang w:val="en"/>
        </w:rPr>
        <w:t xml:space="preserve">’ </w:t>
      </w:r>
      <w:r w:rsidRPr="00E5046A">
        <w:rPr>
          <w:rFonts w:cs="Arial"/>
          <w:sz w:val="20"/>
          <w:szCs w:val="20"/>
        </w:rPr>
        <w:t>[accessed: 8 March 2019].</w:t>
      </w:r>
    </w:p>
  </w:footnote>
  <w:footnote w:id="371">
    <w:p w14:paraId="57699F68" w14:textId="188BFF10"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Royal College of Midwives (2018), ‘</w:t>
      </w:r>
      <w:hyperlink r:id="rId341" w:history="1">
        <w:r w:rsidRPr="00E5046A">
          <w:rPr>
            <w:rStyle w:val="Hyperlink"/>
            <w:rFonts w:ascii="Arial" w:hAnsi="Arial" w:cs="Arial"/>
          </w:rPr>
          <w:t>A major step in the campaign to stop FGM in Wales’ says RCM on opening of first specialist FGM clinic in Wales</w:t>
        </w:r>
      </w:hyperlink>
      <w:r w:rsidRPr="00E5046A">
        <w:rPr>
          <w:rFonts w:ascii="Arial" w:hAnsi="Arial" w:cs="Arial"/>
        </w:rPr>
        <w:t>’ [accessed 8 March 2019].</w:t>
      </w:r>
    </w:p>
  </w:footnote>
  <w:footnote w:id="372">
    <w:p w14:paraId="0A154967" w14:textId="761DC6FD" w:rsidR="00AE42CD" w:rsidRPr="00E5046A" w:rsidRDefault="00AE42CD" w:rsidP="00C32DAA">
      <w:pPr>
        <w:autoSpaceDE w:val="0"/>
        <w:autoSpaceDN w:val="0"/>
        <w:adjustRightInd w:val="0"/>
        <w:rPr>
          <w:rFonts w:cs="Arial"/>
          <w:sz w:val="20"/>
          <w:szCs w:val="20"/>
          <w:lang w:eastAsia="en-GB"/>
        </w:rPr>
      </w:pPr>
      <w:r w:rsidRPr="00E5046A">
        <w:rPr>
          <w:rStyle w:val="FootnoteReference"/>
          <w:rFonts w:cs="Arial"/>
          <w:sz w:val="20"/>
          <w:szCs w:val="20"/>
        </w:rPr>
        <w:footnoteRef/>
      </w:r>
      <w:r w:rsidRPr="00E5046A">
        <w:rPr>
          <w:rFonts w:cs="Arial"/>
          <w:sz w:val="20"/>
          <w:szCs w:val="20"/>
          <w:lang w:eastAsia="en-GB"/>
        </w:rPr>
        <w:t xml:space="preserve"> HM Government (2019),</w:t>
      </w:r>
      <w:r w:rsidRPr="00E5046A">
        <w:rPr>
          <w:rFonts w:cs="Arial"/>
          <w:sz w:val="20"/>
          <w:szCs w:val="20"/>
        </w:rPr>
        <w:t xml:space="preserve"> ‘</w:t>
      </w:r>
      <w:hyperlink r:id="rId342" w:history="1">
        <w:r w:rsidRPr="00E5046A">
          <w:rPr>
            <w:rStyle w:val="Hyperlink"/>
            <w:rFonts w:cs="Arial"/>
            <w:sz w:val="20"/>
            <w:szCs w:val="20"/>
          </w:rPr>
          <w:t>Transforming the Response to Domestic Abuse: Consultation Response and Draft Bill</w:t>
        </w:r>
      </w:hyperlink>
      <w:r w:rsidRPr="00E5046A">
        <w:rPr>
          <w:rFonts w:cs="Arial"/>
          <w:sz w:val="20"/>
          <w:szCs w:val="20"/>
          <w:lang w:eastAsia="en-GB"/>
        </w:rPr>
        <w:t>’ [accessed: 8 March 2019].</w:t>
      </w:r>
    </w:p>
  </w:footnote>
  <w:footnote w:id="373">
    <w:p w14:paraId="6DADA81E" w14:textId="2FC4EAF8"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sidRPr="00E5046A">
        <w:rPr>
          <w:rFonts w:ascii="Arial" w:hAnsi="Arial" w:cs="Arial"/>
          <w:lang w:eastAsia="en-GB"/>
        </w:rPr>
        <w:t>EHRC (2018), ‘</w:t>
      </w:r>
      <w:hyperlink r:id="rId343" w:history="1">
        <w:r w:rsidRPr="00E5046A">
          <w:rPr>
            <w:rStyle w:val="Hyperlink"/>
            <w:rFonts w:ascii="Arial" w:hAnsi="Arial" w:cs="Arial"/>
          </w:rPr>
          <w:t xml:space="preserve">Response of the </w:t>
        </w:r>
        <w:r w:rsidRPr="00E5046A">
          <w:rPr>
            <w:rStyle w:val="Hyperlink"/>
            <w:rFonts w:ascii="Arial" w:hAnsi="Arial" w:cs="Arial"/>
            <w:lang w:eastAsia="en-GB"/>
          </w:rPr>
          <w:t>EHRC</w:t>
        </w:r>
        <w:r w:rsidRPr="00E5046A">
          <w:rPr>
            <w:rStyle w:val="Hyperlink"/>
            <w:rFonts w:ascii="Arial" w:hAnsi="Arial" w:cs="Arial"/>
          </w:rPr>
          <w:t xml:space="preserve"> to the Consultation: Transforming the response to domestic abuse</w:t>
        </w:r>
      </w:hyperlink>
      <w:r w:rsidRPr="00E5046A">
        <w:rPr>
          <w:rFonts w:ascii="Arial" w:hAnsi="Arial" w:cs="Arial"/>
          <w:lang w:eastAsia="en-GB"/>
        </w:rPr>
        <w:t>’ [accessed: 7 March 2019].</w:t>
      </w:r>
    </w:p>
  </w:footnote>
  <w:footnote w:id="374">
    <w:p w14:paraId="4D633B8D" w14:textId="3D51CCBC" w:rsidR="00AE42CD" w:rsidRPr="00E5046A" w:rsidRDefault="00AE42CD" w:rsidP="00E5046A">
      <w:pPr>
        <w:autoSpaceDE w:val="0"/>
        <w:autoSpaceDN w:val="0"/>
        <w:adjustRightInd w:val="0"/>
        <w:rPr>
          <w:rFonts w:cs="Arial"/>
          <w:sz w:val="20"/>
          <w:szCs w:val="20"/>
        </w:rPr>
      </w:pPr>
      <w:r w:rsidRPr="00E5046A">
        <w:rPr>
          <w:rStyle w:val="FootnoteReference"/>
          <w:rFonts w:cs="Arial"/>
          <w:sz w:val="20"/>
          <w:szCs w:val="20"/>
        </w:rPr>
        <w:footnoteRef/>
      </w:r>
      <w:r w:rsidRPr="00E5046A">
        <w:rPr>
          <w:rFonts w:cs="Arial"/>
          <w:sz w:val="20"/>
          <w:szCs w:val="20"/>
        </w:rPr>
        <w:t xml:space="preserve"> </w:t>
      </w:r>
      <w:hyperlink r:id="rId344" w:history="1">
        <w:r w:rsidRPr="00E5046A">
          <w:rPr>
            <w:rStyle w:val="Hyperlink"/>
            <w:rFonts w:cs="Arial"/>
            <w:sz w:val="20"/>
            <w:szCs w:val="20"/>
          </w:rPr>
          <w:t>Preventing and Combating Violence Against Women and Domestic Violence (Ratification of the Convention) Act (2017)</w:t>
        </w:r>
      </w:hyperlink>
      <w:r w:rsidRPr="00E5046A">
        <w:rPr>
          <w:rFonts w:cs="Arial"/>
          <w:sz w:val="20"/>
          <w:szCs w:val="20"/>
          <w:lang w:eastAsia="en-GB"/>
        </w:rPr>
        <w:t xml:space="preserve"> [accessed: </w:t>
      </w:r>
      <w:r>
        <w:rPr>
          <w:rFonts w:cs="Arial"/>
          <w:sz w:val="20"/>
          <w:szCs w:val="20"/>
          <w:lang w:eastAsia="en-GB"/>
        </w:rPr>
        <w:t>20 March 2019</w:t>
      </w:r>
      <w:r w:rsidRPr="00E5046A">
        <w:rPr>
          <w:rFonts w:cs="Arial"/>
          <w:sz w:val="20"/>
          <w:szCs w:val="20"/>
          <w:lang w:eastAsia="en-GB"/>
        </w:rPr>
        <w:t>].</w:t>
      </w:r>
    </w:p>
  </w:footnote>
  <w:footnote w:id="375">
    <w:p w14:paraId="72F073A6" w14:textId="15AF7CB2"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Hansard (2018), ‘</w:t>
      </w:r>
      <w:hyperlink r:id="rId345" w:history="1">
        <w:r w:rsidRPr="00E5046A">
          <w:rPr>
            <w:rStyle w:val="Hyperlink"/>
            <w:rFonts w:ascii="Arial" w:hAnsi="Arial" w:cs="Arial"/>
          </w:rPr>
          <w:t>Written ministerial statement dated 30 Oct 2018’</w:t>
        </w:r>
      </w:hyperlink>
      <w:r w:rsidRPr="00E5046A">
        <w:rPr>
          <w:rFonts w:ascii="Arial" w:hAnsi="Arial" w:cs="Arial"/>
        </w:rPr>
        <w:t xml:space="preserve"> </w:t>
      </w:r>
      <w:r w:rsidRPr="00E5046A">
        <w:rPr>
          <w:rFonts w:ascii="Arial" w:hAnsi="Arial" w:cs="Arial"/>
          <w:lang w:eastAsia="en-GB"/>
        </w:rPr>
        <w:t>[accessed: 17 March 2019].</w:t>
      </w:r>
    </w:p>
  </w:footnote>
  <w:footnote w:id="376">
    <w:p w14:paraId="0D91A8EF" w14:textId="68C6A054"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HM Government (January 2019).</w:t>
      </w:r>
    </w:p>
  </w:footnote>
  <w:footnote w:id="377">
    <w:p w14:paraId="280A9598" w14:textId="62E98D27" w:rsidR="00AE42CD" w:rsidRPr="00E5046A" w:rsidRDefault="00AE42CD" w:rsidP="00C32DAA">
      <w:pPr>
        <w:pStyle w:val="FootnoteText"/>
        <w:rPr>
          <w:rFonts w:cs="Arial"/>
          <w:highlight w:val="yellow"/>
        </w:rPr>
      </w:pPr>
      <w:r w:rsidRPr="00E5046A">
        <w:rPr>
          <w:rStyle w:val="FootnoteReference"/>
          <w:rFonts w:cs="Arial"/>
        </w:rPr>
        <w:footnoteRef/>
      </w:r>
      <w:r w:rsidRPr="00E5046A">
        <w:rPr>
          <w:rFonts w:cs="Arial"/>
        </w:rPr>
        <w:t xml:space="preserve"> The Bureau of Investigative Journalism (2017), ‘</w:t>
      </w:r>
      <w:hyperlink r:id="rId346" w:history="1">
        <w:r w:rsidRPr="00E5046A">
          <w:rPr>
            <w:rStyle w:val="Hyperlink"/>
            <w:rFonts w:cs="Arial"/>
          </w:rPr>
          <w:t>Revealed: Thousands of vulnerable women turned away as refuge funding is cut</w:t>
        </w:r>
      </w:hyperlink>
      <w:r w:rsidRPr="00E5046A">
        <w:rPr>
          <w:rFonts w:cs="Arial"/>
        </w:rPr>
        <w:t xml:space="preserve">’ </w:t>
      </w:r>
      <w:r w:rsidRPr="00EA4325">
        <w:rPr>
          <w:rFonts w:cs="Arial"/>
        </w:rPr>
        <w:t>[accessed: 2</w:t>
      </w:r>
      <w:r>
        <w:rPr>
          <w:rFonts w:cs="Arial"/>
        </w:rPr>
        <w:t>0 March 2019</w:t>
      </w:r>
      <w:r w:rsidRPr="00EA4325">
        <w:rPr>
          <w:rFonts w:cs="Arial"/>
        </w:rPr>
        <w:t>].</w:t>
      </w:r>
    </w:p>
  </w:footnote>
  <w:footnote w:id="378">
    <w:p w14:paraId="3919A79C" w14:textId="21A5E64C"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Welsh Women’s Aid (2017), ‘</w:t>
      </w:r>
      <w:hyperlink r:id="rId347" w:history="1">
        <w:r w:rsidRPr="00E5046A">
          <w:rPr>
            <w:rStyle w:val="Hyperlink"/>
            <w:rFonts w:ascii="Arial" w:hAnsi="Arial" w:cs="Arial"/>
            <w:color w:val="auto"/>
          </w:rPr>
          <w:t>State of the Nation report 2017</w:t>
        </w:r>
      </w:hyperlink>
      <w:r w:rsidRPr="00E5046A">
        <w:rPr>
          <w:rFonts w:ascii="Arial" w:hAnsi="Arial" w:cs="Arial"/>
        </w:rPr>
        <w:t>’ [accessed: 13 February 2019].</w:t>
      </w:r>
    </w:p>
  </w:footnote>
  <w:footnote w:id="379">
    <w:p w14:paraId="283FD8C6" w14:textId="1361463E"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Women’s Aid (2018), </w:t>
      </w:r>
      <w:r w:rsidRPr="00E5046A">
        <w:rPr>
          <w:rFonts w:ascii="Arial" w:hAnsi="Arial" w:cs="Arial"/>
          <w:i/>
        </w:rPr>
        <w:t>Survival and beyond: The Domestic Abuse Report 2017</w:t>
      </w:r>
      <w:r w:rsidRPr="00E5046A">
        <w:rPr>
          <w:rFonts w:ascii="Arial" w:hAnsi="Arial" w:cs="Arial"/>
        </w:rPr>
        <w:t xml:space="preserve">. Available at: </w:t>
      </w:r>
      <w:hyperlink r:id="rId348" w:history="1">
        <w:r w:rsidRPr="00E5046A">
          <w:rPr>
            <w:rStyle w:val="Hyperlink"/>
            <w:rFonts w:ascii="Arial" w:hAnsi="Arial" w:cs="Arial"/>
            <w:color w:val="auto"/>
          </w:rPr>
          <w:t>https://www.womensaid.org.uk/survival-beyond-report/</w:t>
        </w:r>
      </w:hyperlink>
      <w:r w:rsidRPr="00E5046A">
        <w:rPr>
          <w:rFonts w:ascii="Arial" w:hAnsi="Arial" w:cs="Arial"/>
        </w:rPr>
        <w:t xml:space="preserve"> [accessed: 8 March 2019].</w:t>
      </w:r>
    </w:p>
  </w:footnote>
  <w:footnote w:id="380">
    <w:p w14:paraId="346BFA40" w14:textId="3DD2C0FB"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Welsh Women’s Aid (2017), ‘</w:t>
      </w:r>
      <w:hyperlink r:id="rId349" w:history="1">
        <w:r w:rsidRPr="00E5046A">
          <w:rPr>
            <w:rStyle w:val="Hyperlink"/>
            <w:rFonts w:ascii="Arial" w:hAnsi="Arial" w:cs="Arial"/>
            <w:color w:val="auto"/>
          </w:rPr>
          <w:t>State of the Nation report 2017</w:t>
        </w:r>
      </w:hyperlink>
      <w:r w:rsidRPr="00E5046A">
        <w:rPr>
          <w:rFonts w:ascii="Arial" w:hAnsi="Arial" w:cs="Arial"/>
        </w:rPr>
        <w:t>’ [accessed: 13 February 2019].</w:t>
      </w:r>
    </w:p>
  </w:footnote>
  <w:footnote w:id="381">
    <w:p w14:paraId="2D6C2651" w14:textId="44A6445C"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All-Party Parliamentary Group on Sexual Violence (2018), ‘</w:t>
      </w:r>
      <w:hyperlink r:id="rId350" w:history="1">
        <w:r w:rsidRPr="00E5046A">
          <w:rPr>
            <w:rStyle w:val="Hyperlink"/>
            <w:rFonts w:ascii="Arial" w:hAnsi="Arial" w:cs="Arial"/>
          </w:rPr>
          <w:t>Report into the Funding and Commissioning of Sexual Violence and Abuse Services</w:t>
        </w:r>
      </w:hyperlink>
      <w:r w:rsidRPr="00E5046A">
        <w:rPr>
          <w:rFonts w:ascii="Arial" w:hAnsi="Arial" w:cs="Arial"/>
        </w:rPr>
        <w:t>’ [accessed: 17 March 2019].</w:t>
      </w:r>
    </w:p>
  </w:footnote>
  <w:footnote w:id="382">
    <w:p w14:paraId="32A3CB93" w14:textId="0417B482" w:rsidR="00AE42CD" w:rsidRPr="00E5046A" w:rsidRDefault="00AE42CD" w:rsidP="009A0798">
      <w:pPr>
        <w:autoSpaceDE w:val="0"/>
        <w:autoSpaceDN w:val="0"/>
        <w:adjustRightInd w:val="0"/>
        <w:rPr>
          <w:rStyle w:val="Hyperlink"/>
          <w:rFonts w:cs="Arial"/>
          <w:sz w:val="20"/>
          <w:szCs w:val="20"/>
        </w:rPr>
      </w:pPr>
      <w:r w:rsidRPr="00E5046A">
        <w:rPr>
          <w:rStyle w:val="FootnoteReference"/>
          <w:rFonts w:cs="Arial"/>
          <w:sz w:val="20"/>
          <w:szCs w:val="20"/>
        </w:rPr>
        <w:footnoteRef/>
      </w:r>
      <w:r w:rsidRPr="00E5046A">
        <w:rPr>
          <w:rFonts w:cs="Arial"/>
          <w:sz w:val="20"/>
          <w:szCs w:val="20"/>
        </w:rPr>
        <w:t xml:space="preserve"> </w:t>
      </w:r>
      <w:r w:rsidRPr="00E5046A">
        <w:rPr>
          <w:rFonts w:cs="Arial"/>
          <w:sz w:val="20"/>
          <w:szCs w:val="20"/>
          <w:lang w:eastAsia="en-GB"/>
        </w:rPr>
        <w:t>All Party Parliamentary Group on Domestic and Sexual Violence, Women’s Aid, Rape Crisis England &amp; Wales (2015), ‘</w:t>
      </w:r>
      <w:r w:rsidRPr="00E5046A">
        <w:rPr>
          <w:rFonts w:cs="Arial"/>
          <w:sz w:val="20"/>
          <w:szCs w:val="20"/>
          <w:lang w:eastAsia="en-GB"/>
        </w:rPr>
        <w:fldChar w:fldCharType="begin"/>
      </w:r>
      <w:r w:rsidRPr="00E5046A">
        <w:rPr>
          <w:rFonts w:cs="Arial"/>
          <w:sz w:val="20"/>
          <w:szCs w:val="20"/>
          <w:lang w:eastAsia="en-GB"/>
        </w:rPr>
        <w:instrText xml:space="preserve"> HYPERLINK "https://www.womensaid.org.uk/appg-reports/" </w:instrText>
      </w:r>
      <w:r w:rsidRPr="00E5046A">
        <w:rPr>
          <w:rFonts w:cs="Arial"/>
          <w:sz w:val="20"/>
          <w:szCs w:val="20"/>
          <w:lang w:eastAsia="en-GB"/>
        </w:rPr>
        <w:fldChar w:fldCharType="separate"/>
      </w:r>
      <w:r w:rsidRPr="00E5046A">
        <w:rPr>
          <w:rStyle w:val="Hyperlink"/>
          <w:rFonts w:cs="Arial"/>
          <w:sz w:val="20"/>
          <w:szCs w:val="20"/>
        </w:rPr>
        <w:t>The changing landscape of domestic and sexual violence services: All-</w:t>
      </w:r>
    </w:p>
    <w:p w14:paraId="69D247C7" w14:textId="7E236C21" w:rsidR="00AE42CD" w:rsidRPr="00E5046A" w:rsidRDefault="00AE42CD" w:rsidP="009A0798">
      <w:pPr>
        <w:autoSpaceDE w:val="0"/>
        <w:autoSpaceDN w:val="0"/>
        <w:adjustRightInd w:val="0"/>
        <w:rPr>
          <w:rFonts w:cs="Arial"/>
          <w:sz w:val="20"/>
          <w:szCs w:val="20"/>
          <w:lang w:eastAsia="en-GB"/>
        </w:rPr>
      </w:pPr>
      <w:r w:rsidRPr="00E5046A">
        <w:rPr>
          <w:rStyle w:val="Hyperlink"/>
          <w:rFonts w:cs="Arial"/>
          <w:sz w:val="20"/>
          <w:szCs w:val="20"/>
        </w:rPr>
        <w:t>Party Parliamentary Group on Domestic and Sexual Violence inquiry</w:t>
      </w:r>
      <w:r w:rsidRPr="00E5046A">
        <w:rPr>
          <w:rFonts w:cs="Arial"/>
          <w:sz w:val="20"/>
          <w:szCs w:val="20"/>
          <w:lang w:eastAsia="en-GB"/>
        </w:rPr>
        <w:fldChar w:fldCharType="end"/>
      </w:r>
      <w:r w:rsidRPr="00E5046A">
        <w:rPr>
          <w:rFonts w:cs="Arial"/>
          <w:sz w:val="20"/>
          <w:szCs w:val="20"/>
          <w:lang w:eastAsia="en-GB"/>
        </w:rPr>
        <w:t xml:space="preserve">’ [accessed: 8 March 2019]. </w:t>
      </w:r>
    </w:p>
  </w:footnote>
  <w:footnote w:id="383">
    <w:p w14:paraId="43189939" w14:textId="5C5EE81B"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Women’s Aid (2018).</w:t>
      </w:r>
    </w:p>
  </w:footnote>
  <w:footnote w:id="384">
    <w:p w14:paraId="21BB0A2F" w14:textId="5BBD5102"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Ministry of Housing, Communities &amp; Local Government (2018), ‘</w:t>
      </w:r>
      <w:hyperlink r:id="rId351" w:history="1">
        <w:r w:rsidRPr="00E5046A">
          <w:rPr>
            <w:rStyle w:val="Hyperlink"/>
            <w:rFonts w:cs="Arial"/>
          </w:rPr>
          <w:t>2018/20 Fund for Domestic Abuse Services</w:t>
        </w:r>
      </w:hyperlink>
      <w:r w:rsidRPr="00E5046A">
        <w:rPr>
          <w:rFonts w:cs="Arial"/>
        </w:rPr>
        <w:t>: Bidding Prospectus’ [accessed: 17 March 2019].</w:t>
      </w:r>
    </w:p>
  </w:footnote>
  <w:footnote w:id="385">
    <w:p w14:paraId="1F8264D3" w14:textId="4343187C"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Ministry of Justice (2018), ‘</w:t>
      </w:r>
      <w:hyperlink r:id="rId352" w:history="1">
        <w:r w:rsidRPr="00E5046A">
          <w:rPr>
            <w:rStyle w:val="Hyperlink"/>
            <w:rFonts w:cs="Arial"/>
          </w:rPr>
          <w:t>Government increases funding for rape and sexual abuse victims</w:t>
        </w:r>
      </w:hyperlink>
      <w:r w:rsidRPr="00E5046A">
        <w:rPr>
          <w:rFonts w:cs="Arial"/>
          <w:lang w:val="en"/>
        </w:rPr>
        <w:t xml:space="preserve">’ </w:t>
      </w:r>
      <w:r w:rsidRPr="00E5046A">
        <w:rPr>
          <w:rFonts w:cs="Arial"/>
        </w:rPr>
        <w:t>[accessed: 17 March 2019].</w:t>
      </w:r>
    </w:p>
  </w:footnote>
  <w:footnote w:id="386">
    <w:p w14:paraId="2C5B085A" w14:textId="6A699DE1"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Pr>
          <w:rFonts w:ascii="Arial" w:hAnsi="Arial" w:cs="Arial"/>
        </w:rPr>
        <w:t>Evans, M. (2019) ‘</w:t>
      </w:r>
      <w:hyperlink r:id="rId353" w:history="1">
        <w:r w:rsidRPr="00E5514B">
          <w:rPr>
            <w:rStyle w:val="Hyperlink"/>
            <w:rFonts w:ascii="Arial" w:hAnsi="Arial" w:cs="Arial"/>
          </w:rPr>
          <w:t>Five convicted of historic physical abuse at Medomsley detention centre</w:t>
        </w:r>
      </w:hyperlink>
      <w:r>
        <w:rPr>
          <w:rFonts w:ascii="Arial" w:hAnsi="Arial" w:cs="Arial"/>
        </w:rPr>
        <w:t xml:space="preserve">’, </w:t>
      </w:r>
      <w:r>
        <w:rPr>
          <w:rFonts w:ascii="Arial" w:hAnsi="Arial" w:cs="Arial"/>
          <w:i/>
        </w:rPr>
        <w:t>The Telegraph</w:t>
      </w:r>
      <w:r>
        <w:rPr>
          <w:rFonts w:ascii="Arial" w:hAnsi="Arial" w:cs="Arial"/>
        </w:rPr>
        <w:t>, 8 March [accessed: 20 March 2019.</w:t>
      </w:r>
    </w:p>
  </w:footnote>
  <w:footnote w:id="387">
    <w:p w14:paraId="3B5C21EA" w14:textId="5E144E93"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NSPCC (2018), ‘</w:t>
      </w:r>
      <w:hyperlink r:id="rId354" w:history="1">
        <w:r w:rsidRPr="00E5046A">
          <w:rPr>
            <w:rStyle w:val="Hyperlink"/>
            <w:rFonts w:ascii="Arial" w:hAnsi="Arial" w:cs="Arial"/>
          </w:rPr>
          <w:t>How safe are our children?</w:t>
        </w:r>
      </w:hyperlink>
      <w:r w:rsidRPr="00E5046A">
        <w:rPr>
          <w:rFonts w:ascii="Arial" w:hAnsi="Arial" w:cs="Arial"/>
          <w:i/>
        </w:rPr>
        <w:t>’</w:t>
      </w:r>
      <w:r w:rsidRPr="00E5046A">
        <w:rPr>
          <w:rFonts w:ascii="Arial" w:hAnsi="Arial" w:cs="Arial"/>
        </w:rPr>
        <w:t xml:space="preserve"> [accessed: 8 March 2019].</w:t>
      </w:r>
    </w:p>
  </w:footnote>
  <w:footnote w:id="388">
    <w:p w14:paraId="588DD0D8" w14:textId="71E2896C"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hyperlink r:id="rId355" w:history="1">
        <w:r w:rsidRPr="00E5046A">
          <w:rPr>
            <w:rStyle w:val="Hyperlink"/>
            <w:rFonts w:ascii="Arial" w:hAnsi="Arial" w:cs="Arial"/>
          </w:rPr>
          <w:t>Independent Inquiry into Child Sexual Exploitation in Rotherham (1997-2013)</w:t>
        </w:r>
      </w:hyperlink>
      <w:r w:rsidRPr="00E5046A">
        <w:rPr>
          <w:rFonts w:ascii="Arial" w:hAnsi="Arial" w:cs="Arial"/>
          <w:lang w:val="en"/>
        </w:rPr>
        <w:t xml:space="preserve"> </w:t>
      </w:r>
      <w:r w:rsidRPr="00E5046A">
        <w:rPr>
          <w:rFonts w:ascii="Arial" w:hAnsi="Arial" w:cs="Arial"/>
        </w:rPr>
        <w:t xml:space="preserve">[accessed 3 December 2018]; </w:t>
      </w:r>
      <w:hyperlink r:id="rId356" w:history="1">
        <w:r w:rsidRPr="00E5046A">
          <w:rPr>
            <w:rStyle w:val="Hyperlink"/>
            <w:rFonts w:ascii="Arial" w:hAnsi="Arial" w:cs="Arial"/>
          </w:rPr>
          <w:t>Independent Inquiry into Child Sexual Exploitation in Telford</w:t>
        </w:r>
      </w:hyperlink>
      <w:r w:rsidRPr="00E5046A">
        <w:rPr>
          <w:rFonts w:ascii="Arial" w:hAnsi="Arial" w:cs="Arial"/>
          <w:bCs/>
          <w:lang w:val="en"/>
        </w:rPr>
        <w:t xml:space="preserve"> </w:t>
      </w:r>
      <w:r w:rsidRPr="00E5046A">
        <w:rPr>
          <w:rFonts w:ascii="Arial" w:hAnsi="Arial" w:cs="Arial"/>
        </w:rPr>
        <w:t>[accessed: 17 March 2019].</w:t>
      </w:r>
    </w:p>
  </w:footnote>
  <w:footnote w:id="389">
    <w:p w14:paraId="5391C935" w14:textId="5BEBAC8C" w:rsidR="00AE42CD" w:rsidRPr="009279B8" w:rsidRDefault="00AE42CD" w:rsidP="009279B8">
      <w:pPr>
        <w:pStyle w:val="EndnoteText"/>
        <w:rPr>
          <w:rFonts w:ascii="Arial" w:hAnsi="Arial" w:cs="Arial"/>
          <w:color w:val="FF0000"/>
        </w:rPr>
      </w:pPr>
      <w:r w:rsidRPr="00E5046A">
        <w:rPr>
          <w:rStyle w:val="FootnoteReference"/>
          <w:rFonts w:ascii="Arial" w:hAnsi="Arial" w:cs="Arial"/>
        </w:rPr>
        <w:footnoteRef/>
      </w:r>
      <w:r w:rsidRPr="00E5046A">
        <w:rPr>
          <w:rFonts w:ascii="Arial" w:hAnsi="Arial" w:cs="Arial"/>
        </w:rPr>
        <w:t xml:space="preserve"> </w:t>
      </w:r>
      <w:hyperlink r:id="rId357" w:history="1">
        <w:r w:rsidRPr="00E5046A">
          <w:rPr>
            <w:rStyle w:val="Hyperlink"/>
            <w:rFonts w:ascii="Arial" w:hAnsi="Arial" w:cs="Arial"/>
          </w:rPr>
          <w:t>IICSA</w:t>
        </w:r>
      </w:hyperlink>
      <w:r w:rsidRPr="00E5046A">
        <w:rPr>
          <w:rFonts w:ascii="Arial" w:hAnsi="Arial" w:cs="Arial"/>
          <w:color w:val="FF0000"/>
        </w:rPr>
        <w:t xml:space="preserve"> </w:t>
      </w:r>
      <w:r w:rsidRPr="00E5046A">
        <w:rPr>
          <w:rFonts w:ascii="Arial" w:hAnsi="Arial" w:cs="Arial"/>
        </w:rPr>
        <w:t>[accessed: 9 March 2019].</w:t>
      </w:r>
    </w:p>
  </w:footnote>
  <w:footnote w:id="390">
    <w:p w14:paraId="1AE0CED2" w14:textId="66A01729"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IICSA (2018), ‘</w:t>
      </w:r>
      <w:hyperlink r:id="rId358" w:history="1">
        <w:r w:rsidRPr="00E5046A">
          <w:rPr>
            <w:rStyle w:val="Hyperlink"/>
            <w:rFonts w:ascii="Arial" w:hAnsi="Arial" w:cs="Arial"/>
          </w:rPr>
          <w:t>Interim report of the Independent Inquiry into Child Sexual Abuse’</w:t>
        </w:r>
      </w:hyperlink>
      <w:r w:rsidRPr="00E5046A">
        <w:rPr>
          <w:rFonts w:ascii="Arial" w:hAnsi="Arial" w:cs="Arial"/>
        </w:rPr>
        <w:t xml:space="preserve"> [accessed: </w:t>
      </w:r>
      <w:r>
        <w:rPr>
          <w:rFonts w:ascii="Arial" w:hAnsi="Arial" w:cs="Arial"/>
        </w:rPr>
        <w:t>20 March 2019</w:t>
      </w:r>
      <w:r w:rsidRPr="00E5046A">
        <w:rPr>
          <w:rFonts w:ascii="Arial" w:hAnsi="Arial" w:cs="Arial"/>
        </w:rPr>
        <w:t xml:space="preserve">]. </w:t>
      </w:r>
      <w:r w:rsidRPr="00693E84">
        <w:rPr>
          <w:rFonts w:ascii="Arial" w:hAnsi="Arial" w:cs="Arial"/>
          <w:lang w:val="en"/>
        </w:rPr>
        <w:t xml:space="preserve">Similar conclusions were reached by the </w:t>
      </w:r>
      <w:hyperlink r:id="rId359" w:history="1">
        <w:r w:rsidRPr="00693E84">
          <w:rPr>
            <w:rStyle w:val="Hyperlink"/>
            <w:rFonts w:ascii="Arial" w:hAnsi="Arial" w:cs="Arial"/>
          </w:rPr>
          <w:t>Independent Inquiry into Child Sexual Exploitation in Rotherham (1997-2013)</w:t>
        </w:r>
      </w:hyperlink>
      <w:r w:rsidRPr="00693E84">
        <w:rPr>
          <w:rFonts w:ascii="Arial" w:hAnsi="Arial" w:cs="Arial"/>
        </w:rPr>
        <w:t xml:space="preserve"> [accessed 3 December 2018].</w:t>
      </w:r>
    </w:p>
  </w:footnote>
  <w:footnote w:id="391">
    <w:p w14:paraId="3D6B1C97" w14:textId="20F5D2AB"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IICSA (2018).</w:t>
      </w:r>
    </w:p>
  </w:footnote>
  <w:footnote w:id="392">
    <w:p w14:paraId="4181C399" w14:textId="77777777" w:rsidR="00AE42CD" w:rsidRDefault="00AE42CD" w:rsidP="003A6DDE">
      <w:pPr>
        <w:pStyle w:val="FootnoteText"/>
      </w:pPr>
      <w:r>
        <w:rPr>
          <w:rStyle w:val="FootnoteReference"/>
        </w:rPr>
        <w:footnoteRef/>
      </w:r>
      <w:r>
        <w:t xml:space="preserve"> IICSA (2019), </w:t>
      </w:r>
      <w:hyperlink r:id="rId360" w:history="1">
        <w:r w:rsidRPr="008E3925">
          <w:rPr>
            <w:rStyle w:val="Hyperlink"/>
          </w:rPr>
          <w:t>Sexual abuse of children in custodial institutions: 2009-2017. Investigation Report</w:t>
        </w:r>
      </w:hyperlink>
      <w:r>
        <w:t xml:space="preserve"> [accessed 15 March 2019]</w:t>
      </w:r>
    </w:p>
  </w:footnote>
  <w:footnote w:id="393">
    <w:p w14:paraId="51349F93" w14:textId="222FE81E"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Victim Support (2017), ‘</w:t>
      </w:r>
      <w:hyperlink r:id="rId361" w:history="1">
        <w:r w:rsidRPr="00E5046A">
          <w:rPr>
            <w:rStyle w:val="Hyperlink"/>
            <w:rFonts w:ascii="Arial" w:hAnsi="Arial" w:cs="Arial"/>
          </w:rPr>
          <w:t>Charity coalition responds to updated CICA guidelines for child sexual abuse victims</w:t>
        </w:r>
      </w:hyperlink>
      <w:r w:rsidRPr="00E5046A">
        <w:rPr>
          <w:rFonts w:ascii="Arial" w:hAnsi="Arial" w:cs="Arial"/>
          <w:lang w:val="en"/>
        </w:rPr>
        <w:t>’</w:t>
      </w:r>
      <w:r w:rsidRPr="00E5046A">
        <w:rPr>
          <w:rFonts w:ascii="Arial" w:hAnsi="Arial" w:cs="Arial"/>
        </w:rPr>
        <w:t xml:space="preserve"> [accessed: 7 March 2019].</w:t>
      </w:r>
    </w:p>
  </w:footnote>
  <w:footnote w:id="394">
    <w:p w14:paraId="6ADAB89F" w14:textId="6665CBE0"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 Government (2018). ‘</w:t>
      </w:r>
      <w:hyperlink r:id="rId362" w:history="1">
        <w:r w:rsidRPr="00E5046A">
          <w:rPr>
            <w:rStyle w:val="Hyperlink"/>
            <w:rFonts w:ascii="Arial" w:hAnsi="Arial" w:cs="Arial"/>
          </w:rPr>
          <w:t>Victim Strategy</w:t>
        </w:r>
      </w:hyperlink>
      <w:r w:rsidRPr="00E5046A">
        <w:rPr>
          <w:rFonts w:ascii="Arial" w:hAnsi="Arial" w:cs="Arial"/>
        </w:rPr>
        <w:t>’ [accessed:</w:t>
      </w:r>
      <w:r>
        <w:rPr>
          <w:rFonts w:ascii="Arial" w:hAnsi="Arial" w:cs="Arial"/>
        </w:rPr>
        <w:t xml:space="preserve"> 20 March 2019</w:t>
      </w:r>
      <w:r w:rsidRPr="00E5046A">
        <w:rPr>
          <w:rFonts w:ascii="Arial" w:hAnsi="Arial" w:cs="Arial"/>
        </w:rPr>
        <w:t>].</w:t>
      </w:r>
    </w:p>
  </w:footnote>
  <w:footnote w:id="395">
    <w:p w14:paraId="63E98D04" w14:textId="79D1F222"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sidRPr="00E5046A">
        <w:rPr>
          <w:rFonts w:ascii="Arial" w:hAnsi="Arial" w:cs="Arial"/>
          <w:color w:val="FF0000"/>
          <w:lang w:eastAsia="en-GB"/>
        </w:rPr>
        <w:t xml:space="preserve"> </w:t>
      </w:r>
      <w:r w:rsidRPr="00E5046A">
        <w:rPr>
          <w:rFonts w:ascii="Arial" w:hAnsi="Arial" w:cs="Arial"/>
          <w:lang w:eastAsia="en-GB"/>
        </w:rPr>
        <w:t>Crown Prosecution Service (2017), ‘</w:t>
      </w:r>
      <w:hyperlink r:id="rId363" w:history="1">
        <w:r w:rsidRPr="00E5046A">
          <w:rPr>
            <w:rStyle w:val="Hyperlink"/>
            <w:rFonts w:ascii="Arial" w:hAnsi="Arial" w:cs="Arial"/>
          </w:rPr>
          <w:t>Violence against women and girls report 2016–17</w:t>
        </w:r>
        <w:r w:rsidRPr="00E5046A">
          <w:rPr>
            <w:rStyle w:val="Hyperlink"/>
            <w:rFonts w:ascii="Arial" w:hAnsi="Arial" w:cs="Arial"/>
            <w:lang w:eastAsia="en-GB"/>
          </w:rPr>
          <w:t>:</w:t>
        </w:r>
        <w:r w:rsidRPr="00E5046A">
          <w:rPr>
            <w:rStyle w:val="Hyperlink"/>
            <w:rFonts w:ascii="Arial" w:hAnsi="Arial" w:cs="Arial"/>
          </w:rPr>
          <w:t xml:space="preserve"> Tenth edition</w:t>
        </w:r>
      </w:hyperlink>
      <w:r w:rsidRPr="00E5046A">
        <w:rPr>
          <w:rFonts w:ascii="Arial" w:hAnsi="Arial" w:cs="Arial"/>
          <w:lang w:eastAsia="en-GB"/>
        </w:rPr>
        <w:t>’</w:t>
      </w:r>
      <w:r w:rsidRPr="00E5046A">
        <w:rPr>
          <w:rFonts w:ascii="Arial" w:hAnsi="Arial" w:cs="Arial"/>
        </w:rPr>
        <w:t xml:space="preserve"> [accessed: 23 October 2018].</w:t>
      </w:r>
    </w:p>
  </w:footnote>
  <w:footnote w:id="396">
    <w:p w14:paraId="11D3C9F8" w14:textId="20BAEFEB" w:rsidR="00AE42CD" w:rsidRPr="003A6FBF" w:rsidRDefault="00AE42CD" w:rsidP="003A6FBF">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Office for National Statistics (2018), ‘</w:t>
      </w:r>
      <w:hyperlink r:id="rId364" w:anchor="reporting-of-sexual-assault-by-rape-or-penetration" w:history="1">
        <w:r w:rsidRPr="00E5046A">
          <w:rPr>
            <w:rStyle w:val="Hyperlink"/>
            <w:rFonts w:ascii="Arial" w:hAnsi="Arial" w:cs="Arial"/>
            <w:color w:val="auto"/>
            <w:lang w:val="en"/>
          </w:rPr>
          <w:t>Sexual offences in England and Wales: year ending March 2017</w:t>
        </w:r>
      </w:hyperlink>
      <w:r w:rsidRPr="00E5046A">
        <w:rPr>
          <w:rStyle w:val="Hyperlink"/>
          <w:rFonts w:ascii="Arial" w:hAnsi="Arial" w:cs="Arial"/>
          <w:color w:val="auto"/>
          <w:lang w:val="en"/>
        </w:rPr>
        <w:t>’</w:t>
      </w:r>
      <w:r w:rsidRPr="00E5046A">
        <w:rPr>
          <w:rFonts w:ascii="Arial" w:hAnsi="Arial" w:cs="Arial"/>
          <w:lang w:val="en"/>
        </w:rPr>
        <w:t xml:space="preserve"> [accessed: 8 March 2019].</w:t>
      </w:r>
      <w:r w:rsidRPr="00E5046A">
        <w:rPr>
          <w:rStyle w:val="Hyperlink"/>
          <w:rFonts w:ascii="Arial" w:hAnsi="Arial" w:cs="Arial"/>
          <w:color w:val="auto"/>
          <w:lang w:val="en"/>
        </w:rPr>
        <w:t xml:space="preserve"> </w:t>
      </w:r>
      <w:r w:rsidRPr="00E5046A">
        <w:rPr>
          <w:rFonts w:ascii="Arial" w:hAnsi="Arial" w:cs="Arial"/>
          <w:lang w:val="en"/>
        </w:rPr>
        <w:t xml:space="preserve">  </w:t>
      </w:r>
    </w:p>
  </w:footnote>
  <w:footnote w:id="397">
    <w:p w14:paraId="2BC1BBDD" w14:textId="617905EA" w:rsidR="00AE42CD" w:rsidRPr="00E5046A" w:rsidRDefault="00AE42CD" w:rsidP="009A0798">
      <w:pPr>
        <w:pStyle w:val="EndnoteText"/>
        <w:rPr>
          <w:rFonts w:ascii="Arial" w:hAnsi="Arial" w:cs="Arial"/>
          <w:color w:val="FF0000"/>
        </w:rPr>
      </w:pPr>
      <w:r w:rsidRPr="00E5046A">
        <w:rPr>
          <w:rStyle w:val="FootnoteReference"/>
          <w:rFonts w:ascii="Arial" w:hAnsi="Arial" w:cs="Arial"/>
        </w:rPr>
        <w:footnoteRef/>
      </w:r>
      <w:r w:rsidRPr="00E5046A">
        <w:rPr>
          <w:rFonts w:ascii="Arial" w:hAnsi="Arial" w:cs="Arial"/>
        </w:rPr>
        <w:t xml:space="preserve"> HM Government (2018), ‘</w:t>
      </w:r>
      <w:hyperlink r:id="rId365" w:history="1">
        <w:r w:rsidRPr="00E5046A">
          <w:rPr>
            <w:rStyle w:val="Hyperlink"/>
            <w:rFonts w:ascii="Arial" w:hAnsi="Arial" w:cs="Arial"/>
            <w:color w:val="auto"/>
          </w:rPr>
          <w:t>Government response to the Interim Report by the Independent Inquiry into Child Sexual Abuse</w:t>
        </w:r>
      </w:hyperlink>
      <w:r w:rsidRPr="00E5046A">
        <w:rPr>
          <w:rStyle w:val="Hyperlink"/>
          <w:rFonts w:ascii="Arial" w:hAnsi="Arial" w:cs="Arial"/>
          <w:color w:val="auto"/>
        </w:rPr>
        <w:t>’</w:t>
      </w:r>
      <w:r w:rsidRPr="00E5046A">
        <w:rPr>
          <w:rFonts w:ascii="Arial" w:hAnsi="Arial" w:cs="Arial"/>
        </w:rPr>
        <w:t xml:space="preserve"> [accessed: 8 March 2019]; National Independent Safeguarding Board Wales (2018), ‘</w:t>
      </w:r>
      <w:hyperlink r:id="rId366" w:history="1">
        <w:r w:rsidRPr="00E5046A">
          <w:rPr>
            <w:rStyle w:val="Hyperlink"/>
            <w:rFonts w:ascii="Arial" w:hAnsi="Arial" w:cs="Arial"/>
            <w:color w:val="auto"/>
          </w:rPr>
          <w:t>Independent Inquiry into Child Sexual Abuse Recommendations</w:t>
        </w:r>
      </w:hyperlink>
      <w:r w:rsidRPr="00E5046A">
        <w:rPr>
          <w:rStyle w:val="Hyperlink"/>
          <w:rFonts w:ascii="Arial" w:hAnsi="Arial" w:cs="Arial"/>
          <w:color w:val="auto"/>
        </w:rPr>
        <w:t>’</w:t>
      </w:r>
      <w:r w:rsidRPr="00E5046A">
        <w:rPr>
          <w:rFonts w:ascii="Arial" w:hAnsi="Arial" w:cs="Arial"/>
        </w:rPr>
        <w:t xml:space="preserve"> [accessed: 8 March 2019]. </w:t>
      </w:r>
    </w:p>
    <w:p w14:paraId="04F7D7B5" w14:textId="05D2360A" w:rsidR="00AE42CD" w:rsidRPr="00E5046A" w:rsidRDefault="00AE42CD" w:rsidP="00664589">
      <w:pPr>
        <w:pStyle w:val="EndnoteText"/>
        <w:rPr>
          <w:rFonts w:ascii="Arial" w:hAnsi="Arial" w:cs="Arial"/>
        </w:rPr>
      </w:pPr>
    </w:p>
  </w:footnote>
  <w:footnote w:id="398">
    <w:p w14:paraId="331AFF77" w14:textId="615B6524"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Walters, M.A., Brown, R. and Wiedlitzka, S. (2016), ‘</w:t>
      </w:r>
      <w:hyperlink r:id="rId367" w:history="1">
        <w:r w:rsidRPr="00E5046A">
          <w:rPr>
            <w:rStyle w:val="Hyperlink"/>
            <w:rFonts w:ascii="Arial" w:hAnsi="Arial" w:cs="Arial"/>
          </w:rPr>
          <w:t>Equality and Human Rights Commission research report 102: Causes and motivations of hate crime</w:t>
        </w:r>
      </w:hyperlink>
      <w:r w:rsidRPr="00E5046A">
        <w:rPr>
          <w:rFonts w:ascii="Arial" w:hAnsi="Arial" w:cs="Arial"/>
          <w:i/>
        </w:rPr>
        <w:t xml:space="preserve">’ </w:t>
      </w:r>
      <w:r w:rsidRPr="00E5046A">
        <w:rPr>
          <w:rFonts w:ascii="Arial" w:hAnsi="Arial" w:cs="Arial"/>
        </w:rPr>
        <w:t>[accessed: 8 March 2019].</w:t>
      </w:r>
    </w:p>
  </w:footnote>
  <w:footnote w:id="399">
    <w:p w14:paraId="2DC7415D" w14:textId="2E0AFBE4"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Mullany, L. and Trickett, L. (2018), ‘</w:t>
      </w:r>
      <w:hyperlink r:id="rId368" w:history="1">
        <w:r w:rsidRPr="00E5046A">
          <w:rPr>
            <w:rStyle w:val="Hyperlink"/>
            <w:rFonts w:ascii="Arial" w:hAnsi="Arial" w:cs="Arial"/>
          </w:rPr>
          <w:t>Misogyny hate crime evaluation report</w:t>
        </w:r>
      </w:hyperlink>
      <w:r w:rsidRPr="00E5046A">
        <w:rPr>
          <w:rFonts w:ascii="Arial" w:hAnsi="Arial" w:cs="Arial"/>
        </w:rPr>
        <w:t>’ [accessed: 8 March 2019].</w:t>
      </w:r>
    </w:p>
  </w:footnote>
  <w:footnote w:id="400">
    <w:p w14:paraId="50234B0D" w14:textId="6A1CD001"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Home Office (2018), ‘</w:t>
      </w:r>
      <w:hyperlink r:id="rId369" w:history="1">
        <w:r w:rsidRPr="00E5046A">
          <w:rPr>
            <w:rStyle w:val="Hyperlink"/>
            <w:rFonts w:ascii="Arial" w:hAnsi="Arial" w:cs="Arial"/>
          </w:rPr>
          <w:t>Hate crime, England and Wales, 2017 to 2018: data tables; table 2: Hate crimes recorded by the police, by monitored strand, 2011/12 to 2017/18</w:t>
        </w:r>
      </w:hyperlink>
      <w:r w:rsidRPr="00E5046A">
        <w:rPr>
          <w:rFonts w:ascii="Arial" w:hAnsi="Arial" w:cs="Arial"/>
        </w:rPr>
        <w:t>’ [accessed: 1 November 2018].</w:t>
      </w:r>
    </w:p>
  </w:footnote>
  <w:footnote w:id="401">
    <w:p w14:paraId="75030963" w14:textId="0F13CDD5" w:rsidR="00AE42CD" w:rsidRPr="00E5046A" w:rsidRDefault="00AE42CD" w:rsidP="00664589">
      <w:pPr>
        <w:pStyle w:val="EndnoteText"/>
        <w:rPr>
          <w:rFonts w:ascii="Arial" w:hAnsi="Arial" w:cs="Arial"/>
          <w:color w:val="FF0000"/>
        </w:rPr>
      </w:pPr>
      <w:r w:rsidRPr="00E5046A">
        <w:rPr>
          <w:rStyle w:val="FootnoteReference"/>
          <w:rFonts w:ascii="Arial" w:hAnsi="Arial" w:cs="Arial"/>
        </w:rPr>
        <w:footnoteRef/>
      </w:r>
      <w:r w:rsidRPr="00E5046A">
        <w:rPr>
          <w:rFonts w:ascii="Arial" w:hAnsi="Arial" w:cs="Arial"/>
        </w:rPr>
        <w:t xml:space="preserve"> Home Office (2018), ‘</w:t>
      </w:r>
      <w:hyperlink r:id="rId370" w:history="1">
        <w:r w:rsidRPr="00E5046A">
          <w:rPr>
            <w:rStyle w:val="Hyperlink"/>
            <w:rFonts w:ascii="Arial" w:hAnsi="Arial" w:cs="Arial"/>
          </w:rPr>
          <w:t>Hate crime, England and Wales, 2017/18</w:t>
        </w:r>
      </w:hyperlink>
      <w:r w:rsidRPr="00E5046A">
        <w:rPr>
          <w:rFonts w:ascii="Arial" w:hAnsi="Arial" w:cs="Arial"/>
        </w:rPr>
        <w:t>’ [accessed: 8 March 2019].</w:t>
      </w:r>
    </w:p>
  </w:footnote>
  <w:footnote w:id="402">
    <w:p w14:paraId="108C08BD" w14:textId="77777777"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Ibid.</w:t>
      </w:r>
    </w:p>
  </w:footnote>
  <w:footnote w:id="403">
    <w:p w14:paraId="6737F22E" w14:textId="55A8D6F7"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Home Office (2017), ‘</w:t>
      </w:r>
      <w:hyperlink r:id="rId371" w:history="1">
        <w:r w:rsidRPr="00E5046A">
          <w:rPr>
            <w:rStyle w:val="Hyperlink"/>
            <w:rFonts w:ascii="Arial" w:hAnsi="Arial" w:cs="Arial"/>
          </w:rPr>
          <w:t>Hate crime, England and Wales, 2016/17’</w:t>
        </w:r>
      </w:hyperlink>
      <w:r w:rsidRPr="00E5046A">
        <w:rPr>
          <w:rFonts w:ascii="Arial" w:hAnsi="Arial" w:cs="Arial"/>
        </w:rPr>
        <w:t xml:space="preserve"> [accessed: 8 March 2019].</w:t>
      </w:r>
    </w:p>
  </w:footnote>
  <w:footnote w:id="404">
    <w:p w14:paraId="6852BF67" w14:textId="19FF7FF9" w:rsidR="00AE42CD" w:rsidRPr="009279B8" w:rsidRDefault="00AE42CD" w:rsidP="009279B8">
      <w:pPr>
        <w:pStyle w:val="EndnoteText"/>
        <w:rPr>
          <w:rFonts w:ascii="Arial" w:hAnsi="Arial" w:cs="Arial"/>
          <w:color w:val="FF0000"/>
        </w:rPr>
      </w:pPr>
      <w:r w:rsidRPr="00E5046A">
        <w:rPr>
          <w:rStyle w:val="FootnoteReference"/>
          <w:rFonts w:ascii="Arial" w:hAnsi="Arial" w:cs="Arial"/>
        </w:rPr>
        <w:footnoteRef/>
      </w:r>
      <w:r w:rsidRPr="00E5046A">
        <w:rPr>
          <w:rFonts w:ascii="Arial" w:hAnsi="Arial" w:cs="Arial"/>
        </w:rPr>
        <w:t xml:space="preserve"> Walters, M.A., Wiedlitzka, S., Owusu-Bempah, A. and Goodall, K. (2018), ‘</w:t>
      </w:r>
      <w:hyperlink r:id="rId372" w:history="1">
        <w:r w:rsidRPr="00E5046A">
          <w:rPr>
            <w:rStyle w:val="Hyperlink"/>
            <w:rFonts w:ascii="Arial" w:hAnsi="Arial" w:cs="Arial"/>
          </w:rPr>
          <w:t>Hate crime and the legal process: options for law reform</w:t>
        </w:r>
      </w:hyperlink>
      <w:r w:rsidRPr="00E5046A">
        <w:rPr>
          <w:rFonts w:ascii="Arial" w:hAnsi="Arial" w:cs="Arial"/>
        </w:rPr>
        <w:t xml:space="preserve">’ [accessed: 9 March 2019]. </w:t>
      </w:r>
    </w:p>
  </w:footnote>
  <w:footnote w:id="405">
    <w:p w14:paraId="4985B373" w14:textId="266D6331"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Stonewall (2018), ‘</w:t>
      </w:r>
      <w:hyperlink r:id="rId373" w:history="1">
        <w:r w:rsidRPr="00E5046A">
          <w:rPr>
            <w:rStyle w:val="Hyperlink"/>
            <w:rFonts w:ascii="Arial" w:hAnsi="Arial" w:cs="Arial"/>
          </w:rPr>
          <w:t>LGBT in Britain: Trans report</w:t>
        </w:r>
      </w:hyperlink>
      <w:r w:rsidRPr="00E5046A">
        <w:rPr>
          <w:rFonts w:ascii="Arial" w:hAnsi="Arial" w:cs="Arial"/>
        </w:rPr>
        <w:t xml:space="preserve">’ [accessed: 8 March 2019]. </w:t>
      </w:r>
    </w:p>
  </w:footnote>
  <w:footnote w:id="406">
    <w:p w14:paraId="2942253C" w14:textId="45B89FFC"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HMICFRS (2018), ‘</w:t>
      </w:r>
      <w:hyperlink r:id="rId374" w:history="1">
        <w:r w:rsidRPr="00E5046A">
          <w:rPr>
            <w:rStyle w:val="Hyperlink"/>
            <w:rFonts w:ascii="Arial" w:hAnsi="Arial" w:cs="Arial"/>
          </w:rPr>
          <w:t>Understanding the difference: the initial police response to hate crime</w:t>
        </w:r>
      </w:hyperlink>
      <w:r w:rsidRPr="00E5046A">
        <w:rPr>
          <w:rFonts w:ascii="Arial" w:hAnsi="Arial" w:cs="Arial"/>
        </w:rPr>
        <w:t>’ [accessed: 8 March 2019].</w:t>
      </w:r>
    </w:p>
  </w:footnote>
  <w:footnote w:id="407">
    <w:p w14:paraId="699B3C32" w14:textId="45EFA012"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Walters, M. A., Wiedlitzka, S and Owusu-Bempah, A. (2017), ‘</w:t>
      </w:r>
      <w:hyperlink r:id="rId375" w:history="1">
        <w:r w:rsidRPr="00E5046A">
          <w:rPr>
            <w:rStyle w:val="Hyperlink"/>
            <w:rFonts w:ascii="Arial" w:hAnsi="Arial" w:cs="Arial"/>
            <w:color w:val="auto"/>
          </w:rPr>
          <w:t>Hate crime and the legal process: options for law reform: Project Report’</w:t>
        </w:r>
      </w:hyperlink>
      <w:r w:rsidRPr="00E5046A">
        <w:rPr>
          <w:rFonts w:ascii="Arial" w:hAnsi="Arial" w:cs="Arial"/>
        </w:rPr>
        <w:t xml:space="preserve"> [accessed: 8 March 2019].</w:t>
      </w:r>
    </w:p>
  </w:footnote>
  <w:footnote w:id="408">
    <w:p w14:paraId="03613C5C" w14:textId="77777777"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Ibid. </w:t>
      </w:r>
    </w:p>
  </w:footnote>
  <w:footnote w:id="409">
    <w:p w14:paraId="44554201" w14:textId="77777777"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Ibid.</w:t>
      </w:r>
    </w:p>
  </w:footnote>
  <w:footnote w:id="410">
    <w:p w14:paraId="15D1FD21" w14:textId="3AB28428"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sidRPr="00E5046A">
        <w:rPr>
          <w:rStyle w:val="Hyperlink"/>
          <w:rFonts w:ascii="Arial" w:hAnsi="Arial" w:cs="Arial"/>
          <w:color w:val="auto"/>
        </w:rPr>
        <w:t>Law Commission (2014), ‘</w:t>
      </w:r>
      <w:hyperlink r:id="rId376" w:history="1">
        <w:r w:rsidRPr="00E5046A">
          <w:rPr>
            <w:rStyle w:val="Hyperlink"/>
            <w:rFonts w:ascii="Arial" w:hAnsi="Arial" w:cs="Arial"/>
            <w:color w:val="auto"/>
          </w:rPr>
          <w:t>Hate Crime: Should the Current Offences be Extended?</w:t>
        </w:r>
      </w:hyperlink>
      <w:r w:rsidRPr="00E5046A">
        <w:rPr>
          <w:rStyle w:val="Hyperlink"/>
          <w:rFonts w:ascii="Arial" w:hAnsi="Arial" w:cs="Arial"/>
          <w:color w:val="auto"/>
        </w:rPr>
        <w:t xml:space="preserve">’ [accessed: 8 March 2019]; </w:t>
      </w:r>
      <w:r w:rsidRPr="00E5046A">
        <w:rPr>
          <w:rFonts w:ascii="Arial" w:hAnsi="Arial" w:cs="Arial"/>
        </w:rPr>
        <w:t>and Walters, M. A., Wiedlitzka, S and Owusu-Bempah, A. (2017).</w:t>
      </w:r>
    </w:p>
  </w:footnote>
  <w:footnote w:id="411">
    <w:p w14:paraId="33E88985" w14:textId="78A8F04E" w:rsidR="00AE42CD" w:rsidRPr="009279B8" w:rsidRDefault="00AE42CD" w:rsidP="009279B8">
      <w:pPr>
        <w:pStyle w:val="EndnoteText"/>
        <w:rPr>
          <w:rFonts w:ascii="Arial" w:hAnsi="Arial" w:cs="Arial"/>
          <w:color w:val="FF0000"/>
        </w:rPr>
      </w:pPr>
      <w:r w:rsidRPr="00E5046A">
        <w:rPr>
          <w:rStyle w:val="FootnoteReference"/>
          <w:rFonts w:ascii="Arial" w:hAnsi="Arial" w:cs="Arial"/>
        </w:rPr>
        <w:footnoteRef/>
      </w:r>
      <w:r w:rsidRPr="00E5046A">
        <w:rPr>
          <w:rFonts w:ascii="Arial" w:hAnsi="Arial" w:cs="Arial"/>
        </w:rPr>
        <w:t xml:space="preserve"> Home Office (2016), ‘</w:t>
      </w:r>
      <w:hyperlink r:id="rId377" w:history="1">
        <w:r w:rsidRPr="00E5046A">
          <w:rPr>
            <w:rStyle w:val="Hyperlink"/>
            <w:rFonts w:ascii="Arial" w:hAnsi="Arial" w:cs="Arial"/>
          </w:rPr>
          <w:t>Action against hate: the UK Government’s plan for tackling hate crime</w:t>
        </w:r>
      </w:hyperlink>
      <w:r w:rsidRPr="00E5046A">
        <w:rPr>
          <w:rFonts w:ascii="Arial" w:hAnsi="Arial" w:cs="Arial"/>
        </w:rPr>
        <w:t>’. [accessed: 8 March 2019].</w:t>
      </w:r>
    </w:p>
  </w:footnote>
  <w:footnote w:id="412">
    <w:p w14:paraId="7AF0856F" w14:textId="26AA0B70"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Walters, M. and Brown, R. (2016), ‘</w:t>
      </w:r>
      <w:hyperlink r:id="rId378" w:history="1">
        <w:r w:rsidRPr="00E5046A">
          <w:rPr>
            <w:rStyle w:val="Hyperlink"/>
            <w:rFonts w:ascii="Arial" w:hAnsi="Arial" w:cs="Arial"/>
          </w:rPr>
          <w:t>Preventing hate crime: emerging practices and recommendations for the improved management of criminal justice interventions</w:t>
        </w:r>
      </w:hyperlink>
      <w:r w:rsidRPr="00E5046A">
        <w:rPr>
          <w:rFonts w:ascii="Arial" w:hAnsi="Arial" w:cs="Arial"/>
        </w:rPr>
        <w:t>’ [accessed: 9 March 2019].</w:t>
      </w:r>
    </w:p>
  </w:footnote>
  <w:footnote w:id="413">
    <w:p w14:paraId="783BF685" w14:textId="0458312D"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 Government (2018), ‘</w:t>
      </w:r>
      <w:hyperlink r:id="rId379" w:history="1">
        <w:r w:rsidRPr="00E5046A">
          <w:rPr>
            <w:rStyle w:val="Hyperlink"/>
            <w:rFonts w:ascii="Arial" w:hAnsi="Arial" w:cs="Arial"/>
          </w:rPr>
          <w:t>Action against hate: the UK Government’s plan for tackling hate crime: two years on</w:t>
        </w:r>
      </w:hyperlink>
      <w:r w:rsidRPr="00E5046A">
        <w:rPr>
          <w:rFonts w:ascii="Arial" w:hAnsi="Arial" w:cs="Arial"/>
        </w:rPr>
        <w:t xml:space="preserve">’ [accessed: 8 March 2019]. </w:t>
      </w:r>
    </w:p>
  </w:footnote>
  <w:footnote w:id="414">
    <w:p w14:paraId="2F6D4E9E" w14:textId="6AC0FB8D"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Welsh Government (2017), ‘</w:t>
      </w:r>
      <w:hyperlink r:id="rId380" w:history="1">
        <w:r w:rsidRPr="00E5046A">
          <w:rPr>
            <w:rStyle w:val="Hyperlink"/>
            <w:rFonts w:ascii="Arial" w:hAnsi="Arial" w:cs="Arial"/>
          </w:rPr>
          <w:t>Tackling hate crimes and incidents: framework for action. 2016–17 progress report</w:t>
        </w:r>
      </w:hyperlink>
      <w:r w:rsidRPr="00E5046A">
        <w:rPr>
          <w:rFonts w:ascii="Arial" w:hAnsi="Arial" w:cs="Arial"/>
        </w:rPr>
        <w:t>’ [accessed: 7 March 2019].</w:t>
      </w:r>
    </w:p>
  </w:footnote>
  <w:footnote w:id="415">
    <w:p w14:paraId="0F6DD872" w14:textId="26A724AB"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HMCPSI and HMICFRS (2018), ‘</w:t>
      </w:r>
      <w:hyperlink r:id="rId381" w:history="1">
        <w:r w:rsidRPr="00E5046A">
          <w:rPr>
            <w:rStyle w:val="Hyperlink"/>
            <w:rFonts w:ascii="Arial" w:hAnsi="Arial" w:cs="Arial"/>
          </w:rPr>
          <w:t>Joint inspection of the handling of cases involving disability hate crime</w:t>
        </w:r>
      </w:hyperlink>
      <w:r w:rsidRPr="00E5046A">
        <w:rPr>
          <w:rFonts w:ascii="Arial" w:hAnsi="Arial" w:cs="Arial"/>
        </w:rPr>
        <w:t>’ [accessed: 8 March 2019].</w:t>
      </w:r>
    </w:p>
  </w:footnote>
  <w:footnote w:id="416">
    <w:p w14:paraId="0415471D" w14:textId="77777777" w:rsidR="00AE42CD" w:rsidRPr="00E5046A" w:rsidRDefault="00AE42CD" w:rsidP="00C32DAA">
      <w:pPr>
        <w:pStyle w:val="FootnoteText"/>
        <w:rPr>
          <w:rFonts w:cs="Arial"/>
        </w:rPr>
      </w:pPr>
      <w:r w:rsidRPr="00E5046A">
        <w:rPr>
          <w:rStyle w:val="FootnoteReference"/>
          <w:rFonts w:cs="Arial"/>
        </w:rPr>
        <w:footnoteRef/>
      </w:r>
      <w:r w:rsidRPr="00E5046A">
        <w:rPr>
          <w:rFonts w:cs="Arial"/>
        </w:rPr>
        <w:t xml:space="preserve"> Ibid.</w:t>
      </w:r>
    </w:p>
  </w:footnote>
  <w:footnote w:id="417">
    <w:p w14:paraId="3F55D1C4" w14:textId="5874BDB4" w:rsidR="00AE42CD" w:rsidRPr="003A6FBF" w:rsidRDefault="00AE42CD" w:rsidP="003A6FBF">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HM Government (2018), ‘</w:t>
      </w:r>
      <w:hyperlink r:id="rId382" w:history="1">
        <w:r w:rsidRPr="00E5046A">
          <w:rPr>
            <w:rStyle w:val="Hyperlink"/>
            <w:rFonts w:ascii="Arial" w:hAnsi="Arial" w:cs="Arial"/>
          </w:rPr>
          <w:t>Victims strategy’</w:t>
        </w:r>
      </w:hyperlink>
      <w:r w:rsidRPr="00E5046A">
        <w:rPr>
          <w:rFonts w:ascii="Arial" w:hAnsi="Arial" w:cs="Arial"/>
        </w:rPr>
        <w:t xml:space="preserve"> [accessed: 8 March 2019].</w:t>
      </w:r>
    </w:p>
  </w:footnote>
  <w:footnote w:id="418">
    <w:p w14:paraId="7F0995C5" w14:textId="2A8168E5" w:rsidR="00AE42CD" w:rsidRPr="00E5046A" w:rsidRDefault="00AE42CD" w:rsidP="00DE442D">
      <w:pPr>
        <w:pStyle w:val="EndnoteText"/>
        <w:rPr>
          <w:rFonts w:ascii="Arial" w:hAnsi="Arial" w:cs="Arial"/>
          <w:color w:val="FF0000"/>
        </w:rPr>
      </w:pPr>
      <w:r w:rsidRPr="00E5046A">
        <w:rPr>
          <w:rStyle w:val="FootnoteReference"/>
          <w:rFonts w:ascii="Arial" w:hAnsi="Arial" w:cs="Arial"/>
        </w:rPr>
        <w:footnoteRef/>
      </w:r>
      <w:r w:rsidRPr="00E5046A">
        <w:rPr>
          <w:rFonts w:ascii="Arial" w:hAnsi="Arial" w:cs="Arial"/>
        </w:rPr>
        <w:t xml:space="preserve"> Law Commission (2018), ‘</w:t>
      </w:r>
      <w:hyperlink r:id="rId383" w:history="1">
        <w:r w:rsidRPr="00E5046A">
          <w:rPr>
            <w:rStyle w:val="Hyperlink"/>
            <w:rFonts w:ascii="Arial" w:hAnsi="Arial" w:cs="Arial"/>
          </w:rPr>
          <w:t>Law Commission review into hate crime announced</w:t>
        </w:r>
      </w:hyperlink>
      <w:r w:rsidRPr="00E5046A">
        <w:rPr>
          <w:rFonts w:ascii="Arial" w:hAnsi="Arial" w:cs="Arial"/>
        </w:rPr>
        <w:t>’ [accessed: 8 March 2019].</w:t>
      </w:r>
    </w:p>
    <w:p w14:paraId="5A5D28D0" w14:textId="5159F037" w:rsidR="00AE42CD" w:rsidRPr="00E5046A" w:rsidRDefault="00AE42CD" w:rsidP="00C32DAA">
      <w:pPr>
        <w:pStyle w:val="FootnoteText"/>
        <w:rPr>
          <w:rFonts w:cs="Arial"/>
        </w:rPr>
      </w:pPr>
    </w:p>
  </w:footnote>
  <w:footnote w:id="419">
    <w:p w14:paraId="42F3A0E2" w14:textId="69607135"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Section 50 of the Children and Young Person’s Act 1933 (as amended). </w:t>
      </w:r>
    </w:p>
  </w:footnote>
  <w:footnote w:id="420">
    <w:p w14:paraId="176FD878" w14:textId="16EC3B24"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Child Rights International Network, </w:t>
      </w:r>
      <w:hyperlink r:id="rId384" w:history="1">
        <w:r w:rsidRPr="00E5046A">
          <w:rPr>
            <w:rStyle w:val="Hyperlink"/>
            <w:rFonts w:ascii="Arial" w:hAnsi="Arial" w:cs="Arial"/>
          </w:rPr>
          <w:t>Minimum Ages of Criminal Responsibility in Europe</w:t>
        </w:r>
      </w:hyperlink>
      <w:r w:rsidRPr="00E5046A">
        <w:rPr>
          <w:rFonts w:ascii="Arial" w:hAnsi="Arial" w:cs="Arial"/>
        </w:rPr>
        <w:t>,</w:t>
      </w:r>
      <w:r w:rsidRPr="00E5046A">
        <w:rPr>
          <w:rStyle w:val="Hyperlink"/>
          <w:rFonts w:ascii="Arial" w:hAnsi="Arial" w:cs="Arial"/>
          <w:color w:val="auto"/>
        </w:rPr>
        <w:t xml:space="preserve">  </w:t>
      </w:r>
      <w:r w:rsidRPr="00E5046A">
        <w:rPr>
          <w:rFonts w:ascii="Arial" w:hAnsi="Arial" w:cs="Arial"/>
        </w:rPr>
        <w:t>[accessed: 8 March 2019].</w:t>
      </w:r>
    </w:p>
  </w:footnote>
  <w:footnote w:id="421">
    <w:p w14:paraId="38D02951" w14:textId="4B0F1D12"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w:t>
      </w:r>
      <w:r>
        <w:rPr>
          <w:rFonts w:ascii="Arial" w:hAnsi="Arial" w:cs="Arial"/>
        </w:rPr>
        <w:t xml:space="preserve">UN </w:t>
      </w:r>
      <w:r w:rsidRPr="00E5046A">
        <w:rPr>
          <w:rFonts w:ascii="Arial" w:hAnsi="Arial" w:cs="Arial"/>
        </w:rPr>
        <w:t xml:space="preserve">(1989), Convention on the Rights of the Child, Article 40(3)(a); </w:t>
      </w:r>
      <w:r>
        <w:rPr>
          <w:rFonts w:ascii="Arial" w:hAnsi="Arial" w:cs="Arial"/>
        </w:rPr>
        <w:t>UN</w:t>
      </w:r>
      <w:r w:rsidRPr="00E5046A">
        <w:rPr>
          <w:rFonts w:ascii="Arial" w:hAnsi="Arial" w:cs="Arial"/>
        </w:rPr>
        <w:t xml:space="preserve">CRC General Comment no. 10 addressing Article 40 UNCRC; </w:t>
      </w:r>
      <w:r>
        <w:rPr>
          <w:rFonts w:ascii="Arial" w:hAnsi="Arial" w:cs="Arial"/>
        </w:rPr>
        <w:t>UN</w:t>
      </w:r>
      <w:r w:rsidRPr="00E5046A">
        <w:rPr>
          <w:rFonts w:ascii="Arial" w:hAnsi="Arial" w:cs="Arial"/>
        </w:rPr>
        <w:t xml:space="preserve"> Standard Minimum Rules for the Administration of Juvenile Justice (The Beijing Rules)</w:t>
      </w:r>
      <w:r>
        <w:rPr>
          <w:rFonts w:ascii="Arial" w:hAnsi="Arial" w:cs="Arial"/>
        </w:rPr>
        <w:t>, a</w:t>
      </w:r>
      <w:r w:rsidRPr="00E5046A">
        <w:rPr>
          <w:rFonts w:ascii="Arial" w:hAnsi="Arial" w:cs="Arial"/>
        </w:rPr>
        <w:t>dopted by General Assembly resolution 40/33 of 29 November 1985.</w:t>
      </w:r>
    </w:p>
  </w:footnote>
  <w:footnote w:id="422">
    <w:p w14:paraId="24CDEB55" w14:textId="53EC74A7"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Age of Criminal Responsibility (Scotland) Bill stage 2, 31 January 2019. </w:t>
      </w:r>
    </w:p>
  </w:footnote>
  <w:footnote w:id="423">
    <w:p w14:paraId="0AC9ECBB" w14:textId="19F4DAD3"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UNCRC, </w:t>
      </w:r>
      <w:hyperlink r:id="rId385" w:history="1">
        <w:r w:rsidRPr="00E5046A">
          <w:rPr>
            <w:rStyle w:val="Hyperlink"/>
            <w:rFonts w:ascii="Arial" w:hAnsi="Arial" w:cs="Arial"/>
          </w:rPr>
          <w:t>Draft General Comment No. 24 (201x), replacing General Comment No. 10 (2007). Children’s Rights in Juvenile Justice</w:t>
        </w:r>
      </w:hyperlink>
      <w:r w:rsidRPr="00E5046A">
        <w:rPr>
          <w:rFonts w:ascii="Arial" w:hAnsi="Arial" w:cs="Arial"/>
        </w:rPr>
        <w:t xml:space="preserve"> [accessed: 17 March 2019].</w:t>
      </w:r>
    </w:p>
  </w:footnote>
  <w:footnote w:id="424">
    <w:p w14:paraId="7F8B7508" w14:textId="49C5E1F5"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Ministry of Justice (2018), </w:t>
      </w:r>
      <w:hyperlink r:id="rId386" w:history="1">
        <w:r w:rsidRPr="00E5046A">
          <w:rPr>
            <w:rStyle w:val="Hyperlink"/>
            <w:rFonts w:ascii="Arial" w:hAnsi="Arial" w:cs="Arial"/>
            <w:color w:val="auto"/>
          </w:rPr>
          <w:t>Youth Justice Annual Statistics 2016-2017</w:t>
        </w:r>
      </w:hyperlink>
      <w:r w:rsidRPr="00E5046A">
        <w:rPr>
          <w:rFonts w:ascii="Arial" w:hAnsi="Arial" w:cs="Arial"/>
        </w:rPr>
        <w:t>: Table 3.3 [accessed: 8 March 2019].</w:t>
      </w:r>
    </w:p>
  </w:footnote>
  <w:footnote w:id="425">
    <w:p w14:paraId="5D8FB735" w14:textId="18640D5A" w:rsidR="00AE42CD" w:rsidRPr="00E5046A" w:rsidRDefault="00AE42CD" w:rsidP="00FA4354">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Houses of Parliament (2018), ‘</w:t>
      </w:r>
      <w:hyperlink r:id="rId387" w:history="1">
        <w:r w:rsidRPr="00E5046A">
          <w:rPr>
            <w:rStyle w:val="Hyperlink"/>
            <w:rFonts w:ascii="Arial" w:hAnsi="Arial" w:cs="Arial"/>
          </w:rPr>
          <w:t>Age of Criminal Responsibility’. POSTNOTE, no. 577</w:t>
        </w:r>
      </w:hyperlink>
      <w:r w:rsidRPr="00E5046A">
        <w:rPr>
          <w:rFonts w:ascii="Arial" w:hAnsi="Arial" w:cs="Arial"/>
        </w:rPr>
        <w:t>, June 2018</w:t>
      </w:r>
    </w:p>
    <w:p w14:paraId="2415AF77" w14:textId="760EB8D0" w:rsidR="00AE42CD" w:rsidRPr="00E5046A" w:rsidRDefault="00AE42CD" w:rsidP="00664589">
      <w:pPr>
        <w:pStyle w:val="EndnoteText"/>
        <w:rPr>
          <w:rFonts w:ascii="Arial" w:hAnsi="Arial" w:cs="Arial"/>
        </w:rPr>
      </w:pPr>
      <w:r w:rsidRPr="00E5046A">
        <w:rPr>
          <w:rFonts w:ascii="Arial" w:hAnsi="Arial" w:cs="Arial"/>
        </w:rPr>
        <w:t>[accessed: 8 March 2019]</w:t>
      </w:r>
    </w:p>
  </w:footnote>
  <w:footnote w:id="426">
    <w:p w14:paraId="6EF92FEF" w14:textId="5D2CC856"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UK Government, ‘</w:t>
      </w:r>
      <w:hyperlink r:id="rId388" w:history="1">
        <w:r w:rsidRPr="00E5046A">
          <w:rPr>
            <w:rStyle w:val="Hyperlink"/>
            <w:rFonts w:ascii="Arial" w:hAnsi="Arial" w:cs="Arial"/>
            <w:color w:val="auto"/>
          </w:rPr>
          <w:t xml:space="preserve">Sixth </w:t>
        </w:r>
        <w:r w:rsidRPr="00E5046A">
          <w:rPr>
            <w:rStyle w:val="Hyperlink"/>
            <w:rFonts w:ascii="Arial" w:hAnsi="Arial" w:cs="Arial"/>
            <w:bCs/>
            <w:color w:val="auto"/>
          </w:rPr>
          <w:t>periodic report of the United Kingdom, British Overseas Territories and Crown Dependencies</w:t>
        </w:r>
      </w:hyperlink>
      <w:r w:rsidRPr="00E5046A">
        <w:rPr>
          <w:rStyle w:val="Hyperlink"/>
          <w:rFonts w:ascii="Arial" w:hAnsi="Arial" w:cs="Arial"/>
          <w:bCs/>
          <w:color w:val="auto"/>
        </w:rPr>
        <w:t xml:space="preserve"> to the UNCAT’</w:t>
      </w:r>
      <w:r w:rsidRPr="00E5046A">
        <w:rPr>
          <w:rFonts w:ascii="Arial" w:hAnsi="Arial" w:cs="Arial"/>
          <w:i/>
        </w:rPr>
        <w:t xml:space="preserve"> </w:t>
      </w:r>
      <w:r w:rsidRPr="00E5046A">
        <w:rPr>
          <w:rFonts w:ascii="Arial" w:hAnsi="Arial" w:cs="Arial"/>
        </w:rPr>
        <w:t>[accessed: 7 March 2019]</w:t>
      </w:r>
    </w:p>
  </w:footnote>
  <w:footnote w:id="427">
    <w:p w14:paraId="68B0DD81" w14:textId="1148C7F2" w:rsidR="00AE42CD" w:rsidRPr="00E5046A" w:rsidRDefault="00AE42CD" w:rsidP="00664589">
      <w:pPr>
        <w:pStyle w:val="EndnoteText"/>
        <w:rPr>
          <w:rFonts w:ascii="Arial" w:hAnsi="Arial" w:cs="Arial"/>
          <w:u w:val="single"/>
        </w:rPr>
      </w:pPr>
      <w:r w:rsidRPr="00E5046A">
        <w:rPr>
          <w:rStyle w:val="FootnoteReference"/>
          <w:rFonts w:ascii="Arial" w:hAnsi="Arial" w:cs="Arial"/>
        </w:rPr>
        <w:footnoteRef/>
      </w:r>
      <w:r w:rsidRPr="00E5046A">
        <w:rPr>
          <w:rStyle w:val="Hyperlink"/>
          <w:rFonts w:ascii="Arial" w:hAnsi="Arial" w:cs="Arial"/>
          <w:color w:val="auto"/>
          <w:u w:val="none"/>
        </w:rPr>
        <w:t xml:space="preserve"> </w:t>
      </w:r>
      <w:hyperlink r:id="rId389" w:history="1">
        <w:r w:rsidRPr="00E5046A">
          <w:rPr>
            <w:rStyle w:val="Hyperlink"/>
            <w:rFonts w:ascii="Arial" w:hAnsi="Arial" w:cs="Arial"/>
          </w:rPr>
          <w:t>The Age of Criminal Responsibility Bill 2017</w:t>
        </w:r>
      </w:hyperlink>
      <w:r w:rsidRPr="00E5046A">
        <w:rPr>
          <w:rFonts w:ascii="Arial" w:hAnsi="Arial" w:cs="Arial"/>
        </w:rPr>
        <w:t xml:space="preserve"> </w:t>
      </w:r>
      <w:r w:rsidRPr="00E5046A">
        <w:rPr>
          <w:rStyle w:val="Hyperlink"/>
          <w:rFonts w:ascii="Arial" w:hAnsi="Arial" w:cs="Arial"/>
          <w:color w:val="auto"/>
        </w:rPr>
        <w:t xml:space="preserve">[accessed: 8 March 2019]; </w:t>
      </w:r>
      <w:r w:rsidRPr="00E5046A">
        <w:rPr>
          <w:rFonts w:ascii="Arial" w:hAnsi="Arial" w:cs="Arial"/>
        </w:rPr>
        <w:t>Child Rights Alliance for England and Just for Kids Law (2017), ‘</w:t>
      </w:r>
      <w:hyperlink r:id="rId390" w:history="1">
        <w:r w:rsidRPr="00E5046A">
          <w:rPr>
            <w:rStyle w:val="Hyperlink"/>
            <w:rFonts w:ascii="Arial" w:hAnsi="Arial" w:cs="Arial"/>
          </w:rPr>
          <w:t>Age of Criminal Responsibility Bill House of Lords Second Reading briefing</w:t>
        </w:r>
      </w:hyperlink>
      <w:r w:rsidRPr="00E5046A">
        <w:rPr>
          <w:rFonts w:ascii="Arial" w:hAnsi="Arial" w:cs="Arial"/>
          <w:bCs/>
        </w:rPr>
        <w:t xml:space="preserve">’ </w:t>
      </w:r>
      <w:r w:rsidRPr="00E5046A">
        <w:rPr>
          <w:rStyle w:val="Hyperlink"/>
          <w:rFonts w:ascii="Arial" w:hAnsi="Arial" w:cs="Arial"/>
          <w:color w:val="auto"/>
        </w:rPr>
        <w:t>[accessed: 8 March 2019].</w:t>
      </w:r>
    </w:p>
  </w:footnote>
  <w:footnote w:id="428">
    <w:p w14:paraId="642E9D77" w14:textId="04946042" w:rsidR="00AE42CD" w:rsidRPr="00E5046A" w:rsidRDefault="00AE42CD" w:rsidP="00664589">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Age of Criminal Responsibility Bill 2017. </w:t>
      </w:r>
    </w:p>
  </w:footnote>
  <w:footnote w:id="429">
    <w:p w14:paraId="15FF1BFA" w14:textId="6316A822" w:rsidR="00AE42CD" w:rsidRPr="00E5046A" w:rsidRDefault="00AE42CD" w:rsidP="00FA4354">
      <w:pPr>
        <w:rPr>
          <w:rFonts w:cs="Arial"/>
          <w:sz w:val="20"/>
          <w:szCs w:val="20"/>
        </w:rPr>
      </w:pPr>
      <w:r w:rsidRPr="00E5046A">
        <w:rPr>
          <w:rStyle w:val="FootnoteReference"/>
          <w:rFonts w:cs="Arial"/>
          <w:sz w:val="20"/>
          <w:szCs w:val="20"/>
        </w:rPr>
        <w:footnoteRef/>
      </w:r>
      <w:r w:rsidRPr="00E5046A">
        <w:rPr>
          <w:rFonts w:cs="Arial"/>
          <w:sz w:val="20"/>
          <w:szCs w:val="20"/>
        </w:rPr>
        <w:t xml:space="preserve"> Hazel, N. (2008), ‘</w:t>
      </w:r>
      <w:hyperlink r:id="rId391" w:history="1">
        <w:r w:rsidRPr="00E5046A">
          <w:rPr>
            <w:rStyle w:val="Hyperlink"/>
            <w:rFonts w:cs="Arial"/>
            <w:sz w:val="20"/>
            <w:szCs w:val="20"/>
          </w:rPr>
          <w:t>Cross-national comparison of youth justice</w:t>
        </w:r>
      </w:hyperlink>
      <w:r w:rsidRPr="00E5046A">
        <w:rPr>
          <w:rFonts w:cs="Arial"/>
          <w:sz w:val="20"/>
          <w:szCs w:val="20"/>
        </w:rPr>
        <w:t xml:space="preserve">’ </w:t>
      </w:r>
      <w:r w:rsidRPr="00E5046A">
        <w:rPr>
          <w:rStyle w:val="Hyperlink"/>
          <w:rFonts w:cs="Arial"/>
          <w:color w:val="auto"/>
          <w:sz w:val="20"/>
          <w:szCs w:val="20"/>
        </w:rPr>
        <w:t>[accessed: 8 March 2019].</w:t>
      </w:r>
    </w:p>
    <w:p w14:paraId="6B5BC4E1" w14:textId="6506BE73" w:rsidR="00AE42CD" w:rsidRPr="00E5046A" w:rsidRDefault="00AE42CD" w:rsidP="00C32DAA">
      <w:pPr>
        <w:pStyle w:val="FootnoteText"/>
        <w:rPr>
          <w:rFonts w:cs="Aria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560CC" w14:textId="77777777" w:rsidR="00AE42CD" w:rsidRDefault="00AE42CD" w:rsidP="00C32DAA">
    <w:pPr>
      <w:spacing w:line="240" w:lineRule="auto"/>
      <w:rPr>
        <w:sz w:val="16"/>
        <w:szCs w:val="16"/>
      </w:rPr>
    </w:pPr>
  </w:p>
  <w:p w14:paraId="0A3F553E" w14:textId="77777777" w:rsidR="00AE42CD" w:rsidRDefault="00AE42CD" w:rsidP="00C32DAA">
    <w:pPr>
      <w:spacing w:line="240" w:lineRule="auto"/>
      <w:rPr>
        <w:sz w:val="16"/>
        <w:szCs w:val="16"/>
      </w:rPr>
    </w:pPr>
  </w:p>
  <w:p w14:paraId="3AB5EAEA" w14:textId="77777777" w:rsidR="00AE42CD" w:rsidRPr="00063FCE" w:rsidRDefault="00AE42CD" w:rsidP="00C32DAA">
    <w:pPr>
      <w:spacing w:line="240" w:lineRule="auto"/>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CB574" w14:textId="425DCDFC" w:rsidR="00AE42CD" w:rsidRPr="006347A9" w:rsidRDefault="00AE42CD" w:rsidP="00C32DAA">
    <w:pPr>
      <w:pStyle w:val="Heading2"/>
      <w:tabs>
        <w:tab w:val="right" w:pos="9498"/>
      </w:tabs>
      <w:spacing w:before="0" w:after="0" w:line="312" w:lineRule="auto"/>
      <w:ind w:left="-567"/>
      <w:rPr>
        <w:sz w:val="16"/>
        <w:szCs w:val="16"/>
      </w:rPr>
    </w:pPr>
    <w:r>
      <w:rPr>
        <w:b w:val="0"/>
        <w:sz w:val="16"/>
        <w:szCs w:val="16"/>
      </w:rPr>
      <w:t>Torture in the UK: update report</w:t>
    </w:r>
    <w:r w:rsidRPr="006347A9">
      <w:rPr>
        <w:b w:val="0"/>
        <w:sz w:val="16"/>
        <w:szCs w:val="16"/>
      </w:rPr>
      <w:tab/>
    </w:r>
    <w:r>
      <w:rPr>
        <w:sz w:val="16"/>
        <w:szCs w:val="16"/>
      </w:rPr>
      <w:t>Contents</w:t>
    </w:r>
  </w:p>
  <w:p w14:paraId="51F9F51D" w14:textId="77777777" w:rsidR="00AE42CD" w:rsidRDefault="00AE42CD" w:rsidP="005F0CC1">
    <w:pPr>
      <w:tabs>
        <w:tab w:val="left" w:pos="5700"/>
      </w:tabs>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80688" w14:textId="68EF6B7D" w:rsidR="00AE42CD" w:rsidRPr="006347A9" w:rsidRDefault="00AE42CD" w:rsidP="00C32DAA">
    <w:pPr>
      <w:pStyle w:val="Heading2"/>
      <w:tabs>
        <w:tab w:val="right" w:pos="9498"/>
      </w:tabs>
      <w:spacing w:before="0" w:after="0" w:line="312" w:lineRule="auto"/>
      <w:ind w:left="-567"/>
      <w:rPr>
        <w:sz w:val="16"/>
        <w:szCs w:val="16"/>
      </w:rPr>
    </w:pPr>
    <w:r>
      <w:rPr>
        <w:b w:val="0"/>
        <w:sz w:val="16"/>
        <w:szCs w:val="16"/>
      </w:rPr>
      <w:t>Torture in the UK: update report</w:t>
    </w:r>
    <w:r w:rsidRPr="006347A9">
      <w:rPr>
        <w:b w:val="0"/>
        <w:sz w:val="16"/>
        <w:szCs w:val="16"/>
      </w:rPr>
      <w:tab/>
    </w:r>
    <w:r>
      <w:rPr>
        <w:sz w:val="16"/>
        <w:szCs w:val="16"/>
      </w:rPr>
      <w:t>Glossary</w:t>
    </w:r>
  </w:p>
  <w:p w14:paraId="31AF79A8" w14:textId="77777777" w:rsidR="00AE42CD" w:rsidRDefault="00AE42CD" w:rsidP="005F0CC1">
    <w:pPr>
      <w:tabs>
        <w:tab w:val="left" w:pos="5700"/>
      </w:tabs>
    </w:pPr>
    <w:r>
      <w:tab/>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EE5C08" w14:textId="1313C536" w:rsidR="00AE42CD" w:rsidRPr="006347A9" w:rsidRDefault="00AE42CD" w:rsidP="00C32DAA">
    <w:pPr>
      <w:pStyle w:val="Heading2"/>
      <w:tabs>
        <w:tab w:val="right" w:pos="9498"/>
      </w:tabs>
      <w:spacing w:before="0" w:after="0" w:line="312" w:lineRule="auto"/>
      <w:ind w:left="-567"/>
      <w:rPr>
        <w:sz w:val="16"/>
        <w:szCs w:val="16"/>
      </w:rPr>
    </w:pPr>
    <w:r>
      <w:rPr>
        <w:b w:val="0"/>
        <w:sz w:val="16"/>
        <w:szCs w:val="16"/>
      </w:rPr>
      <w:t>Torture in the UK: update report</w:t>
    </w:r>
    <w:r w:rsidRPr="006347A9">
      <w:rPr>
        <w:b w:val="0"/>
        <w:sz w:val="16"/>
        <w:szCs w:val="16"/>
      </w:rPr>
      <w:tab/>
    </w:r>
    <w:r>
      <w:rPr>
        <w:sz w:val="16"/>
        <w:szCs w:val="16"/>
      </w:rPr>
      <w:t>Introduction</w:t>
    </w:r>
  </w:p>
  <w:p w14:paraId="7C4D699B" w14:textId="77777777" w:rsidR="00AE42CD" w:rsidRDefault="00AE42CD" w:rsidP="005F0CC1">
    <w:pPr>
      <w:tabs>
        <w:tab w:val="left" w:pos="5700"/>
      </w:tabs>
    </w:pPr>
    <w:r>
      <w:tab/>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D8AFA" w14:textId="65932195" w:rsidR="00AE42CD" w:rsidRPr="006347A9" w:rsidRDefault="00AE42CD" w:rsidP="00C32DAA">
    <w:pPr>
      <w:pStyle w:val="Heading2"/>
      <w:tabs>
        <w:tab w:val="right" w:pos="9498"/>
      </w:tabs>
      <w:spacing w:before="0" w:after="0" w:line="312" w:lineRule="auto"/>
      <w:ind w:left="-567"/>
      <w:rPr>
        <w:sz w:val="16"/>
        <w:szCs w:val="16"/>
      </w:rPr>
    </w:pPr>
    <w:r>
      <w:rPr>
        <w:b w:val="0"/>
        <w:sz w:val="16"/>
        <w:szCs w:val="16"/>
      </w:rPr>
      <w:t>Torture in the UK: update report</w:t>
    </w:r>
    <w:r w:rsidRPr="006347A9">
      <w:rPr>
        <w:b w:val="0"/>
        <w:sz w:val="16"/>
        <w:szCs w:val="16"/>
      </w:rPr>
      <w:tab/>
    </w:r>
    <w:r>
      <w:rPr>
        <w:sz w:val="16"/>
        <w:szCs w:val="16"/>
      </w:rPr>
      <w:t>Incorporation of CAT into domestic law</w:t>
    </w:r>
  </w:p>
  <w:p w14:paraId="79B94D31" w14:textId="77777777" w:rsidR="00AE42CD" w:rsidRDefault="00AE42CD" w:rsidP="005F0CC1">
    <w:pPr>
      <w:tabs>
        <w:tab w:val="left" w:pos="5700"/>
      </w:tabs>
    </w:pPr>
    <w:r>
      <w:tab/>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9CFCF8" w14:textId="64A84BF8" w:rsidR="00AE42CD" w:rsidRPr="006347A9" w:rsidRDefault="00AE42CD" w:rsidP="0045689C">
    <w:pPr>
      <w:pStyle w:val="Heading2"/>
      <w:tabs>
        <w:tab w:val="right" w:pos="9498"/>
      </w:tabs>
      <w:spacing w:before="0" w:after="0" w:line="312" w:lineRule="auto"/>
      <w:ind w:left="-567"/>
      <w:rPr>
        <w:sz w:val="16"/>
        <w:szCs w:val="16"/>
      </w:rPr>
    </w:pPr>
    <w:r>
      <w:rPr>
        <w:b w:val="0"/>
        <w:sz w:val="16"/>
        <w:szCs w:val="16"/>
      </w:rPr>
      <w:t>Torture in the UK: update report</w:t>
    </w:r>
    <w:r w:rsidRPr="006347A9">
      <w:rPr>
        <w:b w:val="0"/>
        <w:sz w:val="16"/>
        <w:szCs w:val="16"/>
      </w:rPr>
      <w:tab/>
    </w:r>
    <w:r>
      <w:rPr>
        <w:sz w:val="16"/>
        <w:szCs w:val="16"/>
      </w:rPr>
      <w:t>Overseas detainees</w:t>
    </w:r>
  </w:p>
  <w:p w14:paraId="02A18A18" w14:textId="77777777" w:rsidR="00AE42CD" w:rsidRDefault="00AE42CD" w:rsidP="005F0CC1">
    <w:pPr>
      <w:tabs>
        <w:tab w:val="left" w:pos="5700"/>
      </w:tabs>
    </w:pPr>
    <w:r>
      <w:tab/>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9D45B" w14:textId="18964CB7" w:rsidR="00AE42CD" w:rsidRPr="006347A9" w:rsidRDefault="00AE42CD" w:rsidP="0045689C">
    <w:pPr>
      <w:pStyle w:val="Heading2"/>
      <w:tabs>
        <w:tab w:val="right" w:pos="9498"/>
      </w:tabs>
      <w:spacing w:before="0" w:after="0" w:line="312" w:lineRule="auto"/>
      <w:ind w:left="-567"/>
      <w:rPr>
        <w:sz w:val="16"/>
        <w:szCs w:val="16"/>
      </w:rPr>
    </w:pPr>
    <w:r>
      <w:rPr>
        <w:b w:val="0"/>
        <w:sz w:val="16"/>
        <w:szCs w:val="16"/>
      </w:rPr>
      <w:t>Torture in the UK: update report</w:t>
    </w:r>
    <w:r w:rsidRPr="006347A9">
      <w:rPr>
        <w:b w:val="0"/>
        <w:sz w:val="16"/>
        <w:szCs w:val="16"/>
      </w:rPr>
      <w:tab/>
    </w:r>
    <w:r>
      <w:rPr>
        <w:sz w:val="16"/>
        <w:szCs w:val="16"/>
      </w:rPr>
      <w:t>Impact of legal aid reforms on access to justice</w:t>
    </w:r>
  </w:p>
  <w:p w14:paraId="5804937B" w14:textId="77777777" w:rsidR="00AE42CD" w:rsidRDefault="00AE42CD" w:rsidP="005F0CC1">
    <w:pPr>
      <w:tabs>
        <w:tab w:val="left" w:pos="5700"/>
      </w:tabs>
    </w:pPr>
    <w:r>
      <w:tab/>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1DEC7" w14:textId="20868CDA" w:rsidR="00AE42CD" w:rsidRDefault="00AE42CD" w:rsidP="00600D54">
    <w:pPr>
      <w:pStyle w:val="Heading2"/>
      <w:tabs>
        <w:tab w:val="right" w:pos="9498"/>
      </w:tabs>
      <w:spacing w:before="0" w:after="0" w:line="312" w:lineRule="auto"/>
      <w:ind w:left="-567"/>
    </w:pPr>
    <w:r>
      <w:rPr>
        <w:b w:val="0"/>
        <w:sz w:val="16"/>
        <w:szCs w:val="16"/>
      </w:rPr>
      <w:t>Torture in the UK: update report</w:t>
    </w:r>
    <w:r w:rsidRPr="006347A9">
      <w:rPr>
        <w:b w:val="0"/>
        <w:sz w:val="16"/>
        <w:szCs w:val="16"/>
      </w:rPr>
      <w:tab/>
    </w:r>
    <w:r>
      <w:rPr>
        <w:sz w:val="16"/>
        <w:szCs w:val="16"/>
      </w:rPr>
      <w:t>Human trafficking and modern slavery</w:t>
    </w:r>
  </w:p>
  <w:p w14:paraId="2BCC6ADC" w14:textId="77777777" w:rsidR="00AE42CD" w:rsidRDefault="00AE42CD" w:rsidP="005F0CC1">
    <w:pPr>
      <w:tabs>
        <w:tab w:val="left" w:pos="5700"/>
      </w:tabs>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871B2" w14:textId="51100665" w:rsidR="00AE42CD" w:rsidRDefault="00AE42CD" w:rsidP="00586703">
    <w:pPr>
      <w:pStyle w:val="Heading2"/>
      <w:tabs>
        <w:tab w:val="right" w:pos="9498"/>
      </w:tabs>
      <w:spacing w:before="0" w:after="0" w:line="312" w:lineRule="auto"/>
      <w:ind w:left="-567"/>
    </w:pPr>
    <w:r>
      <w:rPr>
        <w:b w:val="0"/>
        <w:sz w:val="16"/>
        <w:szCs w:val="16"/>
      </w:rPr>
      <w:t>Torture in the UK: update report</w:t>
    </w:r>
    <w:r w:rsidRPr="006347A9">
      <w:rPr>
        <w:b w:val="0"/>
        <w:sz w:val="16"/>
        <w:szCs w:val="16"/>
      </w:rPr>
      <w:tab/>
    </w:r>
    <w:r>
      <w:rPr>
        <w:sz w:val="16"/>
        <w:szCs w:val="16"/>
      </w:rPr>
      <w:t>The National Preventative Mechanism</w:t>
    </w:r>
  </w:p>
  <w:p w14:paraId="282EBE24" w14:textId="77777777" w:rsidR="00AE42CD" w:rsidRDefault="00AE42CD" w:rsidP="005F0CC1">
    <w:pPr>
      <w:tabs>
        <w:tab w:val="left" w:pos="5700"/>
      </w:tabs>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A5043" w14:textId="5F9A9377" w:rsidR="00AE42CD" w:rsidRDefault="00AE42CD" w:rsidP="00586703">
    <w:pPr>
      <w:pStyle w:val="Heading2"/>
      <w:tabs>
        <w:tab w:val="right" w:pos="9498"/>
      </w:tabs>
      <w:spacing w:before="0" w:after="0" w:line="312" w:lineRule="auto"/>
      <w:ind w:left="-567"/>
    </w:pPr>
    <w:r>
      <w:rPr>
        <w:b w:val="0"/>
        <w:sz w:val="16"/>
        <w:szCs w:val="16"/>
      </w:rPr>
      <w:t>Torture in the UK: update report</w:t>
    </w:r>
    <w:r w:rsidRPr="006347A9">
      <w:rPr>
        <w:b w:val="0"/>
        <w:sz w:val="16"/>
        <w:szCs w:val="16"/>
      </w:rPr>
      <w:tab/>
    </w:r>
    <w:r>
      <w:rPr>
        <w:sz w:val="16"/>
        <w:szCs w:val="16"/>
      </w:rPr>
      <w:t>Conditions of detention</w:t>
    </w:r>
  </w:p>
  <w:p w14:paraId="19061DC4" w14:textId="77777777" w:rsidR="00AE42CD" w:rsidRDefault="00AE42CD" w:rsidP="005F0CC1">
    <w:pPr>
      <w:tabs>
        <w:tab w:val="left" w:pos="5700"/>
      </w:tabs>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9FA16E" w14:textId="457B16BA" w:rsidR="00AE42CD" w:rsidRDefault="00AE42CD" w:rsidP="00586703">
    <w:pPr>
      <w:pStyle w:val="Heading2"/>
      <w:tabs>
        <w:tab w:val="right" w:pos="9498"/>
      </w:tabs>
      <w:spacing w:before="0" w:after="0" w:line="312" w:lineRule="auto"/>
      <w:ind w:left="-567"/>
    </w:pPr>
    <w:r>
      <w:rPr>
        <w:b w:val="0"/>
        <w:sz w:val="16"/>
        <w:szCs w:val="16"/>
      </w:rPr>
      <w:t>Torture in the UK: update report</w:t>
    </w:r>
    <w:r w:rsidRPr="006347A9">
      <w:rPr>
        <w:b w:val="0"/>
        <w:sz w:val="16"/>
        <w:szCs w:val="16"/>
      </w:rPr>
      <w:tab/>
    </w:r>
    <w:r>
      <w:rPr>
        <w:sz w:val="16"/>
        <w:szCs w:val="16"/>
      </w:rPr>
      <w:t>Use of restraint</w:t>
    </w:r>
  </w:p>
  <w:p w14:paraId="2A00F232" w14:textId="77777777" w:rsidR="00AE42CD" w:rsidRDefault="00AE42CD" w:rsidP="005F0CC1">
    <w:pPr>
      <w:tabs>
        <w:tab w:val="left" w:pos="5700"/>
      </w:tabs>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A0BB8" w14:textId="7B1AD0E9" w:rsidR="00AE42CD" w:rsidRDefault="00AE42CD" w:rsidP="00586703">
    <w:pPr>
      <w:pStyle w:val="Heading2"/>
      <w:tabs>
        <w:tab w:val="right" w:pos="9498"/>
      </w:tabs>
      <w:spacing w:before="0" w:after="0" w:line="312" w:lineRule="auto"/>
      <w:ind w:left="-567"/>
    </w:pPr>
    <w:r>
      <w:rPr>
        <w:b w:val="0"/>
        <w:sz w:val="16"/>
        <w:szCs w:val="16"/>
      </w:rPr>
      <w:t>Torture in the UK: update report</w:t>
    </w:r>
    <w:r w:rsidRPr="006347A9">
      <w:rPr>
        <w:b w:val="0"/>
        <w:sz w:val="16"/>
        <w:szCs w:val="16"/>
      </w:rPr>
      <w:tab/>
    </w:r>
    <w:r>
      <w:rPr>
        <w:sz w:val="16"/>
        <w:szCs w:val="16"/>
      </w:rPr>
      <w:t>Counter-terrorism measures</w:t>
    </w:r>
  </w:p>
  <w:p w14:paraId="52B056ED" w14:textId="77777777" w:rsidR="00AE42CD" w:rsidRDefault="00AE42CD" w:rsidP="005F0CC1">
    <w:pPr>
      <w:tabs>
        <w:tab w:val="left" w:pos="5700"/>
      </w:tabs>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121C4" w14:textId="1B12ACDB" w:rsidR="00AE42CD" w:rsidRDefault="00AE42CD" w:rsidP="003C1836">
    <w:pPr>
      <w:pStyle w:val="Heading2"/>
      <w:tabs>
        <w:tab w:val="right" w:pos="9498"/>
      </w:tabs>
      <w:spacing w:before="0" w:after="0" w:line="312" w:lineRule="auto"/>
      <w:ind w:left="-567"/>
    </w:pPr>
    <w:r>
      <w:rPr>
        <w:b w:val="0"/>
        <w:sz w:val="16"/>
        <w:szCs w:val="16"/>
      </w:rPr>
      <w:t>Torture in the UK: update report</w:t>
    </w:r>
    <w:r w:rsidRPr="006347A9">
      <w:rPr>
        <w:b w:val="0"/>
        <w:sz w:val="16"/>
        <w:szCs w:val="16"/>
      </w:rPr>
      <w:tab/>
    </w:r>
    <w:r>
      <w:rPr>
        <w:sz w:val="16"/>
        <w:szCs w:val="16"/>
      </w:rPr>
      <w:t>Ill-treatment of people receiving health and social care services</w:t>
    </w:r>
  </w:p>
  <w:p w14:paraId="50193B23" w14:textId="77777777" w:rsidR="00AE42CD" w:rsidRDefault="00AE42CD" w:rsidP="005F0CC1">
    <w:pPr>
      <w:tabs>
        <w:tab w:val="left" w:pos="5700"/>
      </w:tabs>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D9A3EC" w14:textId="53CA1FE8" w:rsidR="00AE42CD" w:rsidRDefault="00AE42CD" w:rsidP="00317F1A">
    <w:pPr>
      <w:pStyle w:val="Heading2"/>
      <w:tabs>
        <w:tab w:val="right" w:pos="9498"/>
      </w:tabs>
      <w:spacing w:before="0" w:after="0" w:line="312" w:lineRule="auto"/>
      <w:ind w:left="-567"/>
    </w:pPr>
    <w:r>
      <w:rPr>
        <w:b w:val="0"/>
        <w:sz w:val="16"/>
        <w:szCs w:val="16"/>
      </w:rPr>
      <w:t>Torture in the UK: update report</w:t>
    </w:r>
    <w:r w:rsidRPr="006347A9">
      <w:rPr>
        <w:b w:val="0"/>
        <w:sz w:val="16"/>
        <w:szCs w:val="16"/>
      </w:rPr>
      <w:tab/>
    </w:r>
    <w:r>
      <w:rPr>
        <w:sz w:val="16"/>
        <w:szCs w:val="16"/>
      </w:rPr>
      <w:t>Asylum and migration procedures</w:t>
    </w:r>
  </w:p>
  <w:p w14:paraId="5F72752A" w14:textId="77777777" w:rsidR="00AE42CD" w:rsidRDefault="00AE42CD" w:rsidP="005F0CC1">
    <w:pPr>
      <w:tabs>
        <w:tab w:val="left" w:pos="5700"/>
      </w:tabs>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F495B" w14:textId="77777777" w:rsidR="00AE42CD" w:rsidRDefault="00AE42CD" w:rsidP="00317F1A">
    <w:pPr>
      <w:pStyle w:val="Heading2"/>
      <w:tabs>
        <w:tab w:val="right" w:pos="9498"/>
      </w:tabs>
      <w:spacing w:before="0" w:after="0" w:line="312" w:lineRule="auto"/>
      <w:ind w:left="-567"/>
    </w:pPr>
    <w:r>
      <w:rPr>
        <w:b w:val="0"/>
        <w:sz w:val="16"/>
        <w:szCs w:val="16"/>
      </w:rPr>
      <w:t>Torture in the UK: update report</w:t>
    </w:r>
    <w:r w:rsidRPr="006347A9">
      <w:rPr>
        <w:b w:val="0"/>
        <w:sz w:val="16"/>
        <w:szCs w:val="16"/>
      </w:rPr>
      <w:tab/>
    </w:r>
    <w:r>
      <w:rPr>
        <w:sz w:val="16"/>
        <w:szCs w:val="16"/>
      </w:rPr>
      <w:t>Violence against women and girls</w:t>
    </w:r>
  </w:p>
  <w:p w14:paraId="7F8E1035" w14:textId="77777777" w:rsidR="00AE42CD" w:rsidRDefault="00AE42CD" w:rsidP="005F0CC1">
    <w:pPr>
      <w:tabs>
        <w:tab w:val="left" w:pos="5700"/>
      </w:tabs>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57EB5" w14:textId="77777777" w:rsidR="00AE42CD" w:rsidRDefault="00AE42CD" w:rsidP="003C1836">
    <w:pPr>
      <w:pStyle w:val="Heading2"/>
      <w:tabs>
        <w:tab w:val="right" w:pos="9498"/>
      </w:tabs>
      <w:spacing w:before="0" w:after="0" w:line="312" w:lineRule="auto"/>
      <w:ind w:left="-567"/>
    </w:pPr>
    <w:r>
      <w:rPr>
        <w:b w:val="0"/>
        <w:sz w:val="16"/>
        <w:szCs w:val="16"/>
      </w:rPr>
      <w:t>Torture in the UK: update report</w:t>
    </w:r>
    <w:r w:rsidRPr="006347A9">
      <w:rPr>
        <w:b w:val="0"/>
        <w:sz w:val="16"/>
        <w:szCs w:val="16"/>
      </w:rPr>
      <w:tab/>
    </w:r>
    <w:r>
      <w:rPr>
        <w:sz w:val="16"/>
        <w:szCs w:val="16"/>
      </w:rPr>
      <w:t>Child sexual abuse</w:t>
    </w:r>
  </w:p>
  <w:p w14:paraId="522A9E2D" w14:textId="77777777" w:rsidR="00AE42CD" w:rsidRDefault="00AE42CD" w:rsidP="005F0CC1">
    <w:pPr>
      <w:tabs>
        <w:tab w:val="left" w:pos="5700"/>
      </w:tabs>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459BFD" w14:textId="42C3CE05" w:rsidR="00AE42CD" w:rsidRDefault="00AE42CD" w:rsidP="003C1836">
    <w:pPr>
      <w:pStyle w:val="Heading2"/>
      <w:tabs>
        <w:tab w:val="right" w:pos="9498"/>
      </w:tabs>
      <w:spacing w:before="0" w:after="0" w:line="312" w:lineRule="auto"/>
      <w:ind w:left="-567"/>
    </w:pPr>
    <w:r>
      <w:rPr>
        <w:b w:val="0"/>
        <w:sz w:val="16"/>
        <w:szCs w:val="16"/>
      </w:rPr>
      <w:t>Torture in the UK: update report</w:t>
    </w:r>
    <w:r w:rsidRPr="006347A9">
      <w:rPr>
        <w:b w:val="0"/>
        <w:sz w:val="16"/>
        <w:szCs w:val="16"/>
      </w:rPr>
      <w:tab/>
    </w:r>
    <w:r>
      <w:rPr>
        <w:sz w:val="16"/>
        <w:szCs w:val="16"/>
      </w:rPr>
      <w:t>Hate crime</w:t>
    </w: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C3E3A" w14:textId="25979734" w:rsidR="00AE42CD" w:rsidRDefault="00AE42CD" w:rsidP="003C1836">
    <w:pPr>
      <w:pStyle w:val="Heading2"/>
      <w:tabs>
        <w:tab w:val="right" w:pos="9498"/>
      </w:tabs>
      <w:spacing w:before="0" w:after="0" w:line="312" w:lineRule="auto"/>
      <w:ind w:left="-567"/>
    </w:pPr>
    <w:r>
      <w:rPr>
        <w:b w:val="0"/>
        <w:sz w:val="16"/>
        <w:szCs w:val="16"/>
      </w:rPr>
      <w:t>Torture in the UK: update report</w:t>
    </w:r>
    <w:r w:rsidRPr="006347A9">
      <w:rPr>
        <w:b w:val="0"/>
        <w:sz w:val="16"/>
        <w:szCs w:val="16"/>
      </w:rPr>
      <w:tab/>
    </w:r>
    <w:r>
      <w:rPr>
        <w:sz w:val="16"/>
        <w:szCs w:val="16"/>
      </w:rPr>
      <w:t>Minimum age of criminal responsibility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10BEE"/>
    <w:multiLevelType w:val="hybridMultilevel"/>
    <w:tmpl w:val="28C2FEBC"/>
    <w:lvl w:ilvl="0" w:tplc="BA22497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B71B2"/>
    <w:multiLevelType w:val="hybridMultilevel"/>
    <w:tmpl w:val="07A46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C5CD2"/>
    <w:multiLevelType w:val="hybridMultilevel"/>
    <w:tmpl w:val="6BB8F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E30CEA"/>
    <w:multiLevelType w:val="hybridMultilevel"/>
    <w:tmpl w:val="62BEA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F57FE"/>
    <w:multiLevelType w:val="hybridMultilevel"/>
    <w:tmpl w:val="FF3662B4"/>
    <w:lvl w:ilvl="0" w:tplc="8DFA21F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C824A0"/>
    <w:multiLevelType w:val="hybridMultilevel"/>
    <w:tmpl w:val="7A80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A25207"/>
    <w:multiLevelType w:val="hybridMultilevel"/>
    <w:tmpl w:val="5CF20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727E50"/>
    <w:multiLevelType w:val="hybridMultilevel"/>
    <w:tmpl w:val="D368E35A"/>
    <w:lvl w:ilvl="0" w:tplc="DA7092D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B213C"/>
    <w:multiLevelType w:val="hybridMultilevel"/>
    <w:tmpl w:val="55368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850A79"/>
    <w:multiLevelType w:val="hybridMultilevel"/>
    <w:tmpl w:val="C6682360"/>
    <w:lvl w:ilvl="0" w:tplc="80000124">
      <w:start w:val="1"/>
      <w:numFmt w:val="bullet"/>
      <w:lvlText w:val=""/>
      <w:lvlJc w:val="left"/>
      <w:pPr>
        <w:ind w:left="720" w:hanging="360"/>
      </w:pPr>
      <w:rPr>
        <w:rFonts w:ascii="Symbol" w:hAnsi="Symbol" w:hint="default"/>
        <w:b w:val="0"/>
        <w:i w:val="0"/>
        <w:caps w:val="0"/>
        <w:strike w:val="0"/>
        <w:dstrike w:val="0"/>
        <w:outline w:val="0"/>
        <w:shadow w:val="0"/>
        <w:emboss w:val="0"/>
        <w:imprint w:val="0"/>
        <w:vanish w:val="0"/>
        <w:color w:val="000000"/>
        <w:sz w:val="22"/>
        <w:vertAlign w:val="baseline"/>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106809"/>
    <w:multiLevelType w:val="hybridMultilevel"/>
    <w:tmpl w:val="B83AF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6F1324"/>
    <w:multiLevelType w:val="hybridMultilevel"/>
    <w:tmpl w:val="EA509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7639DC"/>
    <w:multiLevelType w:val="hybridMultilevel"/>
    <w:tmpl w:val="D388C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C71E29"/>
    <w:multiLevelType w:val="hybridMultilevel"/>
    <w:tmpl w:val="951CF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FE26E5"/>
    <w:multiLevelType w:val="hybridMultilevel"/>
    <w:tmpl w:val="C0A87FD0"/>
    <w:lvl w:ilvl="0" w:tplc="08090001">
      <w:start w:val="1"/>
      <w:numFmt w:val="bullet"/>
      <w:pStyle w:val="Indented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A47FD9"/>
    <w:multiLevelType w:val="hybridMultilevel"/>
    <w:tmpl w:val="FA320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2B2DA9"/>
    <w:multiLevelType w:val="hybridMultilevel"/>
    <w:tmpl w:val="6422E926"/>
    <w:lvl w:ilvl="0" w:tplc="3FD89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5536364"/>
    <w:multiLevelType w:val="hybridMultilevel"/>
    <w:tmpl w:val="7F3A3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8E4D3C"/>
    <w:multiLevelType w:val="hybridMultilevel"/>
    <w:tmpl w:val="87B47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38527B"/>
    <w:multiLevelType w:val="hybridMultilevel"/>
    <w:tmpl w:val="25327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7E4E9A"/>
    <w:multiLevelType w:val="hybridMultilevel"/>
    <w:tmpl w:val="5D20F4E6"/>
    <w:lvl w:ilvl="0" w:tplc="08090001">
      <w:start w:val="1"/>
      <w:numFmt w:val="bullet"/>
      <w:lvlText w:val=""/>
      <w:lvlJc w:val="left"/>
      <w:pPr>
        <w:ind w:left="720" w:hanging="360"/>
      </w:pPr>
      <w:rPr>
        <w:rFonts w:ascii="Symbol" w:hAnsi="Symbo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3F2CB1"/>
    <w:multiLevelType w:val="hybridMultilevel"/>
    <w:tmpl w:val="9F10A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F07709"/>
    <w:multiLevelType w:val="hybridMultilevel"/>
    <w:tmpl w:val="7E4A80D0"/>
    <w:lvl w:ilvl="0" w:tplc="80000124">
      <w:start w:val="1"/>
      <w:numFmt w:val="bullet"/>
      <w:lvlText w:val=""/>
      <w:lvlJc w:val="left"/>
      <w:pPr>
        <w:ind w:left="720" w:hanging="360"/>
      </w:pPr>
      <w:rPr>
        <w:rFonts w:ascii="Symbol" w:hAnsi="Symbol" w:hint="default"/>
        <w:b w:val="0"/>
        <w:i w:val="0"/>
        <w:caps w:val="0"/>
        <w:strike w:val="0"/>
        <w:dstrike w:val="0"/>
        <w:outline w:val="0"/>
        <w:shadow w:val="0"/>
        <w:emboss w:val="0"/>
        <w:imprint w:val="0"/>
        <w:vanish w:val="0"/>
        <w:color w:val="000000"/>
        <w:sz w:val="22"/>
        <w:vertAlign w:val="baseline"/>
      </w:rPr>
    </w:lvl>
    <w:lvl w:ilvl="1" w:tplc="0FC42180">
      <w:numFmt w:val="bullet"/>
      <w:pStyle w:val="Bullets-sub-bullets"/>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A171FB"/>
    <w:multiLevelType w:val="hybridMultilevel"/>
    <w:tmpl w:val="DF3A5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B902CE"/>
    <w:multiLevelType w:val="hybridMultilevel"/>
    <w:tmpl w:val="DC5E8A48"/>
    <w:lvl w:ilvl="0" w:tplc="88D6E7CC">
      <w:start w:val="1"/>
      <w:numFmt w:val="decimal"/>
      <w:pStyle w:val="Numberedlistlastingroup"/>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11178FC"/>
    <w:multiLevelType w:val="hybridMultilevel"/>
    <w:tmpl w:val="8284AA96"/>
    <w:lvl w:ilvl="0" w:tplc="597EBACC">
      <w:start w:val="1"/>
      <w:numFmt w:val="bullet"/>
      <w:pStyle w:val="Indentedlast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93E0EA0"/>
    <w:multiLevelType w:val="hybridMultilevel"/>
    <w:tmpl w:val="62467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BB06AE"/>
    <w:multiLevelType w:val="hybridMultilevel"/>
    <w:tmpl w:val="FB4E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F2676B"/>
    <w:multiLevelType w:val="hybridMultilevel"/>
    <w:tmpl w:val="2A30EA20"/>
    <w:lvl w:ilvl="0" w:tplc="AF2CE18A">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0A63CE"/>
    <w:multiLevelType w:val="hybridMultilevel"/>
    <w:tmpl w:val="7CE01888"/>
    <w:lvl w:ilvl="0" w:tplc="A992D970">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4E803BC"/>
    <w:multiLevelType w:val="multilevel"/>
    <w:tmpl w:val="DA4E6686"/>
    <w:lvl w:ilvl="0">
      <w:start w:val="4"/>
      <w:numFmt w:val="decimal"/>
      <w:lvlText w:val="%1."/>
      <w:lvlJc w:val="left"/>
      <w:pPr>
        <w:ind w:left="720" w:hanging="360"/>
      </w:pPr>
      <w:rPr>
        <w:rFonts w:hint="default"/>
        <w:b/>
      </w:rPr>
    </w:lvl>
    <w:lvl w:ilvl="1">
      <w:start w:val="1"/>
      <w:numFmt w:val="decimal"/>
      <w:isLgl/>
      <w:lvlText w:val="%1.%2"/>
      <w:lvlJc w:val="left"/>
      <w:pPr>
        <w:ind w:left="893" w:hanging="53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5E50B80"/>
    <w:multiLevelType w:val="hybridMultilevel"/>
    <w:tmpl w:val="8DE03094"/>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6204C83"/>
    <w:multiLevelType w:val="hybridMultilevel"/>
    <w:tmpl w:val="11507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376788"/>
    <w:multiLevelType w:val="hybridMultilevel"/>
    <w:tmpl w:val="45EA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280CBE"/>
    <w:multiLevelType w:val="hybridMultilevel"/>
    <w:tmpl w:val="EA1CE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304945"/>
    <w:multiLevelType w:val="hybridMultilevel"/>
    <w:tmpl w:val="610EC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C608AB"/>
    <w:multiLevelType w:val="multilevel"/>
    <w:tmpl w:val="676CF72C"/>
    <w:lvl w:ilvl="0">
      <w:start w:val="10"/>
      <w:numFmt w:val="decimal"/>
      <w:lvlText w:val="%1"/>
      <w:lvlJc w:val="left"/>
      <w:pPr>
        <w:ind w:left="473" w:hanging="473"/>
      </w:pPr>
      <w:rPr>
        <w:rFonts w:hint="default"/>
      </w:rPr>
    </w:lvl>
    <w:lvl w:ilvl="1">
      <w:start w:val="2"/>
      <w:numFmt w:val="decimal"/>
      <w:lvlText w:val="%1.%2"/>
      <w:lvlJc w:val="left"/>
      <w:pPr>
        <w:ind w:left="473" w:hanging="47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85A00CB"/>
    <w:multiLevelType w:val="hybridMultilevel"/>
    <w:tmpl w:val="AD644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8D33F8"/>
    <w:multiLevelType w:val="multilevel"/>
    <w:tmpl w:val="E676CE06"/>
    <w:lvl w:ilvl="0">
      <w:start w:val="1"/>
      <w:numFmt w:val="decimal"/>
      <w:lvlText w:val="%1."/>
      <w:lvlJc w:val="left"/>
      <w:pPr>
        <w:ind w:left="390" w:hanging="390"/>
      </w:pPr>
      <w:rPr>
        <w:rFonts w:hint="default"/>
        <w:b/>
      </w:rPr>
    </w:lvl>
    <w:lvl w:ilvl="1">
      <w:start w:val="1"/>
      <w:numFmt w:val="decimal"/>
      <w:lvlText w:val="%1.%2."/>
      <w:lvlJc w:val="left"/>
      <w:pPr>
        <w:ind w:left="1146"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9" w15:restartNumberingAfterBreak="0">
    <w:nsid w:val="6B527197"/>
    <w:multiLevelType w:val="hybridMultilevel"/>
    <w:tmpl w:val="F5B841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DB80A3F"/>
    <w:multiLevelType w:val="multilevel"/>
    <w:tmpl w:val="A972F430"/>
    <w:lvl w:ilvl="0">
      <w:start w:val="1"/>
      <w:numFmt w:val="bullet"/>
      <w:lvlText w:val=""/>
      <w:lvlJc w:val="left"/>
      <w:pPr>
        <w:ind w:left="473" w:hanging="473"/>
      </w:pPr>
      <w:rPr>
        <w:rFonts w:ascii="Symbol" w:hAnsi="Symbol" w:hint="default"/>
      </w:rPr>
    </w:lvl>
    <w:lvl w:ilvl="1">
      <w:start w:val="2"/>
      <w:numFmt w:val="decimal"/>
      <w:lvlText w:val="%1.%2"/>
      <w:lvlJc w:val="left"/>
      <w:pPr>
        <w:ind w:left="473" w:hanging="47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FE608F7"/>
    <w:multiLevelType w:val="hybridMultilevel"/>
    <w:tmpl w:val="061E07FE"/>
    <w:lvl w:ilvl="0" w:tplc="F97459D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831576"/>
    <w:multiLevelType w:val="hybridMultilevel"/>
    <w:tmpl w:val="71A07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35795F"/>
    <w:multiLevelType w:val="hybridMultilevel"/>
    <w:tmpl w:val="BF442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151C94"/>
    <w:multiLevelType w:val="hybridMultilevel"/>
    <w:tmpl w:val="53DA28EE"/>
    <w:lvl w:ilvl="0" w:tplc="80000124">
      <w:start w:val="1"/>
      <w:numFmt w:val="bullet"/>
      <w:pStyle w:val="Bullet-followedbyothers"/>
      <w:lvlText w:val=""/>
      <w:lvlJc w:val="left"/>
      <w:pPr>
        <w:ind w:left="720" w:hanging="360"/>
      </w:pPr>
      <w:rPr>
        <w:rFonts w:ascii="Symbol" w:hAnsi="Symbol" w:hint="default"/>
        <w:b w:val="0"/>
        <w:i w:val="0"/>
        <w:caps w:val="0"/>
        <w:strike w:val="0"/>
        <w:dstrike w:val="0"/>
        <w:outline w:val="0"/>
        <w:shadow w:val="0"/>
        <w:emboss w:val="0"/>
        <w:imprint w:val="0"/>
        <w:vanish w:val="0"/>
        <w:color w:val="000000"/>
        <w:sz w:val="22"/>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CC4C40"/>
    <w:multiLevelType w:val="hybridMultilevel"/>
    <w:tmpl w:val="F78433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C1618C3"/>
    <w:multiLevelType w:val="hybridMultilevel"/>
    <w:tmpl w:val="4AD08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2F5379"/>
    <w:multiLevelType w:val="hybridMultilevel"/>
    <w:tmpl w:val="BD4232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5731DF"/>
    <w:multiLevelType w:val="hybridMultilevel"/>
    <w:tmpl w:val="E0A81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18183F"/>
    <w:multiLevelType w:val="hybridMultilevel"/>
    <w:tmpl w:val="E5FECF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FC02EFB"/>
    <w:multiLevelType w:val="hybridMultilevel"/>
    <w:tmpl w:val="26ACF42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4"/>
  </w:num>
  <w:num w:numId="2">
    <w:abstractNumId w:val="22"/>
  </w:num>
  <w:num w:numId="3">
    <w:abstractNumId w:val="24"/>
  </w:num>
  <w:num w:numId="4">
    <w:abstractNumId w:val="16"/>
  </w:num>
  <w:num w:numId="5">
    <w:abstractNumId w:val="46"/>
  </w:num>
  <w:num w:numId="6">
    <w:abstractNumId w:val="23"/>
  </w:num>
  <w:num w:numId="7">
    <w:abstractNumId w:val="15"/>
  </w:num>
  <w:num w:numId="8">
    <w:abstractNumId w:val="49"/>
  </w:num>
  <w:num w:numId="9">
    <w:abstractNumId w:val="29"/>
  </w:num>
  <w:num w:numId="10">
    <w:abstractNumId w:val="33"/>
  </w:num>
  <w:num w:numId="11">
    <w:abstractNumId w:val="43"/>
  </w:num>
  <w:num w:numId="12">
    <w:abstractNumId w:val="3"/>
  </w:num>
  <w:num w:numId="13">
    <w:abstractNumId w:val="21"/>
  </w:num>
  <w:num w:numId="14">
    <w:abstractNumId w:val="6"/>
  </w:num>
  <w:num w:numId="15">
    <w:abstractNumId w:val="41"/>
  </w:num>
  <w:num w:numId="16">
    <w:abstractNumId w:val="28"/>
  </w:num>
  <w:num w:numId="17">
    <w:abstractNumId w:val="36"/>
  </w:num>
  <w:num w:numId="18">
    <w:abstractNumId w:val="12"/>
  </w:num>
  <w:num w:numId="19">
    <w:abstractNumId w:val="27"/>
  </w:num>
  <w:num w:numId="20">
    <w:abstractNumId w:val="40"/>
  </w:num>
  <w:num w:numId="21">
    <w:abstractNumId w:val="30"/>
  </w:num>
  <w:num w:numId="22">
    <w:abstractNumId w:val="37"/>
  </w:num>
  <w:num w:numId="23">
    <w:abstractNumId w:val="4"/>
  </w:num>
  <w:num w:numId="24">
    <w:abstractNumId w:val="2"/>
  </w:num>
  <w:num w:numId="25">
    <w:abstractNumId w:val="35"/>
  </w:num>
  <w:num w:numId="26">
    <w:abstractNumId w:val="18"/>
  </w:num>
  <w:num w:numId="27">
    <w:abstractNumId w:val="47"/>
  </w:num>
  <w:num w:numId="28">
    <w:abstractNumId w:val="42"/>
  </w:num>
  <w:num w:numId="29">
    <w:abstractNumId w:val="39"/>
  </w:num>
  <w:num w:numId="30">
    <w:abstractNumId w:val="13"/>
  </w:num>
  <w:num w:numId="31">
    <w:abstractNumId w:val="1"/>
  </w:num>
  <w:num w:numId="32">
    <w:abstractNumId w:val="34"/>
  </w:num>
  <w:num w:numId="33">
    <w:abstractNumId w:val="20"/>
  </w:num>
  <w:num w:numId="34">
    <w:abstractNumId w:val="10"/>
  </w:num>
  <w:num w:numId="35">
    <w:abstractNumId w:val="31"/>
  </w:num>
  <w:num w:numId="36">
    <w:abstractNumId w:val="8"/>
  </w:num>
  <w:num w:numId="37">
    <w:abstractNumId w:val="48"/>
  </w:num>
  <w:num w:numId="38">
    <w:abstractNumId w:val="45"/>
  </w:num>
  <w:num w:numId="39">
    <w:abstractNumId w:val="7"/>
  </w:num>
  <w:num w:numId="40">
    <w:abstractNumId w:val="0"/>
  </w:num>
  <w:num w:numId="41">
    <w:abstractNumId w:val="11"/>
  </w:num>
  <w:num w:numId="42">
    <w:abstractNumId w:val="5"/>
  </w:num>
  <w:num w:numId="43">
    <w:abstractNumId w:val="19"/>
  </w:num>
  <w:num w:numId="44">
    <w:abstractNumId w:val="14"/>
  </w:num>
  <w:num w:numId="45">
    <w:abstractNumId w:val="26"/>
  </w:num>
  <w:num w:numId="46">
    <w:abstractNumId w:val="50"/>
  </w:num>
  <w:num w:numId="47">
    <w:abstractNumId w:val="38"/>
  </w:num>
  <w:num w:numId="48">
    <w:abstractNumId w:val="50"/>
  </w:num>
  <w:num w:numId="49">
    <w:abstractNumId w:val="32"/>
  </w:num>
  <w:num w:numId="50">
    <w:abstractNumId w:val="17"/>
  </w:num>
  <w:num w:numId="51">
    <w:abstractNumId w:val="9"/>
  </w:num>
  <w:num w:numId="52">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D9B"/>
    <w:rsid w:val="00000FB5"/>
    <w:rsid w:val="00001C99"/>
    <w:rsid w:val="00002E87"/>
    <w:rsid w:val="00003A4D"/>
    <w:rsid w:val="0001208B"/>
    <w:rsid w:val="00012865"/>
    <w:rsid w:val="000133D7"/>
    <w:rsid w:val="00022178"/>
    <w:rsid w:val="00024189"/>
    <w:rsid w:val="00026875"/>
    <w:rsid w:val="000279CA"/>
    <w:rsid w:val="0003005E"/>
    <w:rsid w:val="00037637"/>
    <w:rsid w:val="0004054D"/>
    <w:rsid w:val="00050593"/>
    <w:rsid w:val="000556B6"/>
    <w:rsid w:val="00055793"/>
    <w:rsid w:val="00055C41"/>
    <w:rsid w:val="00055E17"/>
    <w:rsid w:val="00057AC4"/>
    <w:rsid w:val="00082603"/>
    <w:rsid w:val="00083147"/>
    <w:rsid w:val="000909E4"/>
    <w:rsid w:val="00092EF9"/>
    <w:rsid w:val="000A1D7E"/>
    <w:rsid w:val="000A6904"/>
    <w:rsid w:val="000B2D77"/>
    <w:rsid w:val="000B354C"/>
    <w:rsid w:val="000C66F1"/>
    <w:rsid w:val="000D4B48"/>
    <w:rsid w:val="000D760C"/>
    <w:rsid w:val="000E54B3"/>
    <w:rsid w:val="000F394B"/>
    <w:rsid w:val="000F3C2F"/>
    <w:rsid w:val="000F525F"/>
    <w:rsid w:val="000F689C"/>
    <w:rsid w:val="001077E4"/>
    <w:rsid w:val="00114F0D"/>
    <w:rsid w:val="00115B78"/>
    <w:rsid w:val="00117045"/>
    <w:rsid w:val="001178AA"/>
    <w:rsid w:val="00122D31"/>
    <w:rsid w:val="00132FAC"/>
    <w:rsid w:val="00143650"/>
    <w:rsid w:val="001441A7"/>
    <w:rsid w:val="00145CB0"/>
    <w:rsid w:val="00152E91"/>
    <w:rsid w:val="0015520A"/>
    <w:rsid w:val="00156D45"/>
    <w:rsid w:val="00157291"/>
    <w:rsid w:val="00157CCF"/>
    <w:rsid w:val="0016218E"/>
    <w:rsid w:val="00171060"/>
    <w:rsid w:val="00171067"/>
    <w:rsid w:val="0017197C"/>
    <w:rsid w:val="00173635"/>
    <w:rsid w:val="00187495"/>
    <w:rsid w:val="00194AEC"/>
    <w:rsid w:val="00194CE5"/>
    <w:rsid w:val="00196C2D"/>
    <w:rsid w:val="00197C05"/>
    <w:rsid w:val="001A0590"/>
    <w:rsid w:val="001B37DF"/>
    <w:rsid w:val="001B77AE"/>
    <w:rsid w:val="001B77F5"/>
    <w:rsid w:val="001C00BE"/>
    <w:rsid w:val="001C2E49"/>
    <w:rsid w:val="001D12EA"/>
    <w:rsid w:val="001D140E"/>
    <w:rsid w:val="001D53FF"/>
    <w:rsid w:val="001D6989"/>
    <w:rsid w:val="001D7AB0"/>
    <w:rsid w:val="001E5AC9"/>
    <w:rsid w:val="001F2BAD"/>
    <w:rsid w:val="001F2D56"/>
    <w:rsid w:val="001F7BEB"/>
    <w:rsid w:val="0020180B"/>
    <w:rsid w:val="00206E01"/>
    <w:rsid w:val="00207576"/>
    <w:rsid w:val="00214F8E"/>
    <w:rsid w:val="00215B7D"/>
    <w:rsid w:val="0022765F"/>
    <w:rsid w:val="00231B88"/>
    <w:rsid w:val="00234F4D"/>
    <w:rsid w:val="00241156"/>
    <w:rsid w:val="00253797"/>
    <w:rsid w:val="00254855"/>
    <w:rsid w:val="0026131E"/>
    <w:rsid w:val="002613D2"/>
    <w:rsid w:val="0026156D"/>
    <w:rsid w:val="0026438D"/>
    <w:rsid w:val="00265DBC"/>
    <w:rsid w:val="002745AB"/>
    <w:rsid w:val="00282BA1"/>
    <w:rsid w:val="002A085D"/>
    <w:rsid w:val="002A3C03"/>
    <w:rsid w:val="002B13E2"/>
    <w:rsid w:val="002B754D"/>
    <w:rsid w:val="002B76F6"/>
    <w:rsid w:val="002C3E71"/>
    <w:rsid w:val="002C5513"/>
    <w:rsid w:val="002D3C94"/>
    <w:rsid w:val="002D6CD5"/>
    <w:rsid w:val="002E74D9"/>
    <w:rsid w:val="002F4504"/>
    <w:rsid w:val="002F45FA"/>
    <w:rsid w:val="002F6346"/>
    <w:rsid w:val="00302D61"/>
    <w:rsid w:val="003034B2"/>
    <w:rsid w:val="00303A26"/>
    <w:rsid w:val="00306B7E"/>
    <w:rsid w:val="00307031"/>
    <w:rsid w:val="00311DFA"/>
    <w:rsid w:val="00317F1A"/>
    <w:rsid w:val="00323772"/>
    <w:rsid w:val="00343993"/>
    <w:rsid w:val="00344303"/>
    <w:rsid w:val="00344E4D"/>
    <w:rsid w:val="00346788"/>
    <w:rsid w:val="003467A6"/>
    <w:rsid w:val="00360EBC"/>
    <w:rsid w:val="00360F33"/>
    <w:rsid w:val="00363D94"/>
    <w:rsid w:val="00365AC4"/>
    <w:rsid w:val="00365B49"/>
    <w:rsid w:val="00366B59"/>
    <w:rsid w:val="00367080"/>
    <w:rsid w:val="0037196F"/>
    <w:rsid w:val="00372B09"/>
    <w:rsid w:val="0038356F"/>
    <w:rsid w:val="003842B3"/>
    <w:rsid w:val="00392B00"/>
    <w:rsid w:val="003A57EC"/>
    <w:rsid w:val="003A62C0"/>
    <w:rsid w:val="003A6DDE"/>
    <w:rsid w:val="003A6FBF"/>
    <w:rsid w:val="003A6FE2"/>
    <w:rsid w:val="003A770F"/>
    <w:rsid w:val="003B00F6"/>
    <w:rsid w:val="003B1A6F"/>
    <w:rsid w:val="003B617A"/>
    <w:rsid w:val="003C1836"/>
    <w:rsid w:val="003C36A7"/>
    <w:rsid w:val="003D3564"/>
    <w:rsid w:val="003D4740"/>
    <w:rsid w:val="003E1022"/>
    <w:rsid w:val="003E1B79"/>
    <w:rsid w:val="003F216A"/>
    <w:rsid w:val="003F5886"/>
    <w:rsid w:val="003F694B"/>
    <w:rsid w:val="004014AE"/>
    <w:rsid w:val="00402BE5"/>
    <w:rsid w:val="00405051"/>
    <w:rsid w:val="00405463"/>
    <w:rsid w:val="0040570F"/>
    <w:rsid w:val="0040773A"/>
    <w:rsid w:val="0041505B"/>
    <w:rsid w:val="00416B1A"/>
    <w:rsid w:val="0042023F"/>
    <w:rsid w:val="00422C4A"/>
    <w:rsid w:val="00423679"/>
    <w:rsid w:val="00435B58"/>
    <w:rsid w:val="0045689C"/>
    <w:rsid w:val="00457D5C"/>
    <w:rsid w:val="004706B5"/>
    <w:rsid w:val="00482911"/>
    <w:rsid w:val="004835A2"/>
    <w:rsid w:val="0049281F"/>
    <w:rsid w:val="00493700"/>
    <w:rsid w:val="00493BB0"/>
    <w:rsid w:val="004A3BD2"/>
    <w:rsid w:val="004A4912"/>
    <w:rsid w:val="004B0E33"/>
    <w:rsid w:val="004B11EB"/>
    <w:rsid w:val="004B22B5"/>
    <w:rsid w:val="004C070B"/>
    <w:rsid w:val="004C160F"/>
    <w:rsid w:val="004C5704"/>
    <w:rsid w:val="004D2852"/>
    <w:rsid w:val="004D289E"/>
    <w:rsid w:val="004D2D61"/>
    <w:rsid w:val="004D3F0B"/>
    <w:rsid w:val="004D77B1"/>
    <w:rsid w:val="004E6863"/>
    <w:rsid w:val="004F23E2"/>
    <w:rsid w:val="004F5FE4"/>
    <w:rsid w:val="004F63FA"/>
    <w:rsid w:val="005010D9"/>
    <w:rsid w:val="005044CA"/>
    <w:rsid w:val="00506C7D"/>
    <w:rsid w:val="00511589"/>
    <w:rsid w:val="00511C12"/>
    <w:rsid w:val="00525C62"/>
    <w:rsid w:val="005279D7"/>
    <w:rsid w:val="00533033"/>
    <w:rsid w:val="00534EBE"/>
    <w:rsid w:val="00543941"/>
    <w:rsid w:val="00546CBD"/>
    <w:rsid w:val="005531F9"/>
    <w:rsid w:val="0055783D"/>
    <w:rsid w:val="00572402"/>
    <w:rsid w:val="00574CF8"/>
    <w:rsid w:val="00577A2E"/>
    <w:rsid w:val="00581ABF"/>
    <w:rsid w:val="00582DE4"/>
    <w:rsid w:val="0058433D"/>
    <w:rsid w:val="005856EA"/>
    <w:rsid w:val="00586703"/>
    <w:rsid w:val="00592360"/>
    <w:rsid w:val="00594046"/>
    <w:rsid w:val="005946AA"/>
    <w:rsid w:val="00595406"/>
    <w:rsid w:val="005A4167"/>
    <w:rsid w:val="005A5946"/>
    <w:rsid w:val="005B7306"/>
    <w:rsid w:val="005C1F3A"/>
    <w:rsid w:val="005C3B9A"/>
    <w:rsid w:val="005D029B"/>
    <w:rsid w:val="005E1E33"/>
    <w:rsid w:val="005E351C"/>
    <w:rsid w:val="005E3BF9"/>
    <w:rsid w:val="005E4F42"/>
    <w:rsid w:val="005F0CC1"/>
    <w:rsid w:val="005F4BAE"/>
    <w:rsid w:val="005F66FA"/>
    <w:rsid w:val="005F70FD"/>
    <w:rsid w:val="00600D54"/>
    <w:rsid w:val="00604286"/>
    <w:rsid w:val="006061A2"/>
    <w:rsid w:val="006101E1"/>
    <w:rsid w:val="006208C3"/>
    <w:rsid w:val="006241A2"/>
    <w:rsid w:val="00627F3E"/>
    <w:rsid w:val="0063601A"/>
    <w:rsid w:val="00637304"/>
    <w:rsid w:val="006401CE"/>
    <w:rsid w:val="00646B55"/>
    <w:rsid w:val="00647897"/>
    <w:rsid w:val="006528E3"/>
    <w:rsid w:val="006537B0"/>
    <w:rsid w:val="00663C64"/>
    <w:rsid w:val="00664589"/>
    <w:rsid w:val="00666129"/>
    <w:rsid w:val="006740EF"/>
    <w:rsid w:val="006825F3"/>
    <w:rsid w:val="006924F8"/>
    <w:rsid w:val="00693E84"/>
    <w:rsid w:val="00695E85"/>
    <w:rsid w:val="00696B33"/>
    <w:rsid w:val="00697368"/>
    <w:rsid w:val="006A1C60"/>
    <w:rsid w:val="006A66B6"/>
    <w:rsid w:val="006C09B7"/>
    <w:rsid w:val="006C1686"/>
    <w:rsid w:val="006C5712"/>
    <w:rsid w:val="006D5F5A"/>
    <w:rsid w:val="006D7472"/>
    <w:rsid w:val="006D74AE"/>
    <w:rsid w:val="006D7955"/>
    <w:rsid w:val="006E3B40"/>
    <w:rsid w:val="006F0722"/>
    <w:rsid w:val="006F2F0E"/>
    <w:rsid w:val="006F3A06"/>
    <w:rsid w:val="006F634E"/>
    <w:rsid w:val="00703F24"/>
    <w:rsid w:val="00710680"/>
    <w:rsid w:val="00715412"/>
    <w:rsid w:val="00722621"/>
    <w:rsid w:val="007228E7"/>
    <w:rsid w:val="00733F9D"/>
    <w:rsid w:val="007350A3"/>
    <w:rsid w:val="0074099D"/>
    <w:rsid w:val="00744525"/>
    <w:rsid w:val="00753D51"/>
    <w:rsid w:val="00755851"/>
    <w:rsid w:val="00762622"/>
    <w:rsid w:val="00763BBC"/>
    <w:rsid w:val="007678C9"/>
    <w:rsid w:val="007754DA"/>
    <w:rsid w:val="00777BAD"/>
    <w:rsid w:val="00780E84"/>
    <w:rsid w:val="007826EC"/>
    <w:rsid w:val="0078659B"/>
    <w:rsid w:val="00795B3E"/>
    <w:rsid w:val="007970B4"/>
    <w:rsid w:val="007970FC"/>
    <w:rsid w:val="007978DD"/>
    <w:rsid w:val="007A3A4E"/>
    <w:rsid w:val="007A597E"/>
    <w:rsid w:val="007A71B6"/>
    <w:rsid w:val="007B602F"/>
    <w:rsid w:val="007B714F"/>
    <w:rsid w:val="007C20F8"/>
    <w:rsid w:val="007C24A5"/>
    <w:rsid w:val="007C39AB"/>
    <w:rsid w:val="007D2ED5"/>
    <w:rsid w:val="007D58F1"/>
    <w:rsid w:val="007F277D"/>
    <w:rsid w:val="007F713D"/>
    <w:rsid w:val="00804DB9"/>
    <w:rsid w:val="00805268"/>
    <w:rsid w:val="008179C3"/>
    <w:rsid w:val="00820A13"/>
    <w:rsid w:val="008218C8"/>
    <w:rsid w:val="008250A6"/>
    <w:rsid w:val="008261B4"/>
    <w:rsid w:val="008301FD"/>
    <w:rsid w:val="0083255F"/>
    <w:rsid w:val="00833D48"/>
    <w:rsid w:val="00834F38"/>
    <w:rsid w:val="008367BD"/>
    <w:rsid w:val="00836B9A"/>
    <w:rsid w:val="008427B3"/>
    <w:rsid w:val="0085405C"/>
    <w:rsid w:val="008550FB"/>
    <w:rsid w:val="0085579E"/>
    <w:rsid w:val="00857BF1"/>
    <w:rsid w:val="00860135"/>
    <w:rsid w:val="0086423F"/>
    <w:rsid w:val="00873C5B"/>
    <w:rsid w:val="0088034F"/>
    <w:rsid w:val="008844C6"/>
    <w:rsid w:val="0089151A"/>
    <w:rsid w:val="008964D9"/>
    <w:rsid w:val="008A2F3C"/>
    <w:rsid w:val="008A49E0"/>
    <w:rsid w:val="008A6399"/>
    <w:rsid w:val="008B344B"/>
    <w:rsid w:val="008B3D18"/>
    <w:rsid w:val="008C0E35"/>
    <w:rsid w:val="008C1DEF"/>
    <w:rsid w:val="008C5E19"/>
    <w:rsid w:val="008E4A77"/>
    <w:rsid w:val="008E4E50"/>
    <w:rsid w:val="008E6BE7"/>
    <w:rsid w:val="008E710F"/>
    <w:rsid w:val="008E7268"/>
    <w:rsid w:val="008F06FB"/>
    <w:rsid w:val="008F5AFF"/>
    <w:rsid w:val="008F7CF6"/>
    <w:rsid w:val="00903C51"/>
    <w:rsid w:val="00903CF3"/>
    <w:rsid w:val="00907D2F"/>
    <w:rsid w:val="0091035C"/>
    <w:rsid w:val="00913B6B"/>
    <w:rsid w:val="009279B8"/>
    <w:rsid w:val="009315F6"/>
    <w:rsid w:val="00935338"/>
    <w:rsid w:val="00937E10"/>
    <w:rsid w:val="00941B35"/>
    <w:rsid w:val="00942591"/>
    <w:rsid w:val="00945951"/>
    <w:rsid w:val="0095032F"/>
    <w:rsid w:val="009540FA"/>
    <w:rsid w:val="00954E68"/>
    <w:rsid w:val="0096149B"/>
    <w:rsid w:val="00970D9B"/>
    <w:rsid w:val="00971B7C"/>
    <w:rsid w:val="00971D99"/>
    <w:rsid w:val="00976CA0"/>
    <w:rsid w:val="0098176D"/>
    <w:rsid w:val="00987445"/>
    <w:rsid w:val="009915DF"/>
    <w:rsid w:val="00995C47"/>
    <w:rsid w:val="009A0798"/>
    <w:rsid w:val="009A2B86"/>
    <w:rsid w:val="009A746F"/>
    <w:rsid w:val="009A79CB"/>
    <w:rsid w:val="009B1151"/>
    <w:rsid w:val="009B29E9"/>
    <w:rsid w:val="009B44F8"/>
    <w:rsid w:val="009B524B"/>
    <w:rsid w:val="009B6AC2"/>
    <w:rsid w:val="009C15CE"/>
    <w:rsid w:val="009C1982"/>
    <w:rsid w:val="009C45F1"/>
    <w:rsid w:val="009C7E21"/>
    <w:rsid w:val="009D069D"/>
    <w:rsid w:val="009D3D2F"/>
    <w:rsid w:val="009D5D5E"/>
    <w:rsid w:val="009E1620"/>
    <w:rsid w:val="009E4DD2"/>
    <w:rsid w:val="009E6EF7"/>
    <w:rsid w:val="009F75B0"/>
    <w:rsid w:val="00A02867"/>
    <w:rsid w:val="00A10F4A"/>
    <w:rsid w:val="00A11222"/>
    <w:rsid w:val="00A151E7"/>
    <w:rsid w:val="00A1534E"/>
    <w:rsid w:val="00A262DB"/>
    <w:rsid w:val="00A26872"/>
    <w:rsid w:val="00A30DC7"/>
    <w:rsid w:val="00A35FF7"/>
    <w:rsid w:val="00A37845"/>
    <w:rsid w:val="00A42E90"/>
    <w:rsid w:val="00A43A0E"/>
    <w:rsid w:val="00A43C67"/>
    <w:rsid w:val="00A52121"/>
    <w:rsid w:val="00A558A0"/>
    <w:rsid w:val="00A57781"/>
    <w:rsid w:val="00A61BAA"/>
    <w:rsid w:val="00A61CFA"/>
    <w:rsid w:val="00A65880"/>
    <w:rsid w:val="00A67B83"/>
    <w:rsid w:val="00A73579"/>
    <w:rsid w:val="00A7481C"/>
    <w:rsid w:val="00A760A2"/>
    <w:rsid w:val="00A83FE1"/>
    <w:rsid w:val="00A84D8B"/>
    <w:rsid w:val="00A86D3B"/>
    <w:rsid w:val="00A906BA"/>
    <w:rsid w:val="00A9254E"/>
    <w:rsid w:val="00AA5700"/>
    <w:rsid w:val="00AC2F6A"/>
    <w:rsid w:val="00AC41B6"/>
    <w:rsid w:val="00AC7F5E"/>
    <w:rsid w:val="00AD0299"/>
    <w:rsid w:val="00AD096F"/>
    <w:rsid w:val="00AD3912"/>
    <w:rsid w:val="00AD5254"/>
    <w:rsid w:val="00AD73A7"/>
    <w:rsid w:val="00AD7FC2"/>
    <w:rsid w:val="00AE2DAD"/>
    <w:rsid w:val="00AE42CD"/>
    <w:rsid w:val="00AE663C"/>
    <w:rsid w:val="00AE74E4"/>
    <w:rsid w:val="00AF307F"/>
    <w:rsid w:val="00AF4B68"/>
    <w:rsid w:val="00AF6938"/>
    <w:rsid w:val="00AF78E6"/>
    <w:rsid w:val="00B014CB"/>
    <w:rsid w:val="00B01C9A"/>
    <w:rsid w:val="00B04AA3"/>
    <w:rsid w:val="00B06F82"/>
    <w:rsid w:val="00B35277"/>
    <w:rsid w:val="00B5254A"/>
    <w:rsid w:val="00B526F1"/>
    <w:rsid w:val="00B7639F"/>
    <w:rsid w:val="00B76B94"/>
    <w:rsid w:val="00B76EF9"/>
    <w:rsid w:val="00B85936"/>
    <w:rsid w:val="00B93156"/>
    <w:rsid w:val="00B974DD"/>
    <w:rsid w:val="00BA35C5"/>
    <w:rsid w:val="00BA4D39"/>
    <w:rsid w:val="00BB0516"/>
    <w:rsid w:val="00BB3771"/>
    <w:rsid w:val="00BB6EDF"/>
    <w:rsid w:val="00BC565A"/>
    <w:rsid w:val="00BD4203"/>
    <w:rsid w:val="00BF283C"/>
    <w:rsid w:val="00BF633A"/>
    <w:rsid w:val="00C02BCC"/>
    <w:rsid w:val="00C03F0D"/>
    <w:rsid w:val="00C10742"/>
    <w:rsid w:val="00C12D8A"/>
    <w:rsid w:val="00C14349"/>
    <w:rsid w:val="00C16414"/>
    <w:rsid w:val="00C22F8F"/>
    <w:rsid w:val="00C243D6"/>
    <w:rsid w:val="00C26793"/>
    <w:rsid w:val="00C271C3"/>
    <w:rsid w:val="00C276E4"/>
    <w:rsid w:val="00C329C8"/>
    <w:rsid w:val="00C32DAA"/>
    <w:rsid w:val="00C419F2"/>
    <w:rsid w:val="00C514D5"/>
    <w:rsid w:val="00C55996"/>
    <w:rsid w:val="00C57987"/>
    <w:rsid w:val="00C57D5E"/>
    <w:rsid w:val="00C601D8"/>
    <w:rsid w:val="00C61472"/>
    <w:rsid w:val="00C64577"/>
    <w:rsid w:val="00C744A7"/>
    <w:rsid w:val="00C761A8"/>
    <w:rsid w:val="00C76D5C"/>
    <w:rsid w:val="00C82656"/>
    <w:rsid w:val="00C8402B"/>
    <w:rsid w:val="00C90B6F"/>
    <w:rsid w:val="00C95C2C"/>
    <w:rsid w:val="00C96D24"/>
    <w:rsid w:val="00CA04FC"/>
    <w:rsid w:val="00CA4AB5"/>
    <w:rsid w:val="00CA6614"/>
    <w:rsid w:val="00CB4047"/>
    <w:rsid w:val="00CC7074"/>
    <w:rsid w:val="00CD1978"/>
    <w:rsid w:val="00CD309A"/>
    <w:rsid w:val="00CD6BC3"/>
    <w:rsid w:val="00CD717B"/>
    <w:rsid w:val="00CE4777"/>
    <w:rsid w:val="00CE5273"/>
    <w:rsid w:val="00CE7E85"/>
    <w:rsid w:val="00CF2563"/>
    <w:rsid w:val="00CF2C6D"/>
    <w:rsid w:val="00CF4512"/>
    <w:rsid w:val="00CF6A61"/>
    <w:rsid w:val="00D005C5"/>
    <w:rsid w:val="00D06CE9"/>
    <w:rsid w:val="00D07F96"/>
    <w:rsid w:val="00D114ED"/>
    <w:rsid w:val="00D33FEE"/>
    <w:rsid w:val="00D3468F"/>
    <w:rsid w:val="00D374CF"/>
    <w:rsid w:val="00D40C3C"/>
    <w:rsid w:val="00D43A5C"/>
    <w:rsid w:val="00D459DF"/>
    <w:rsid w:val="00D46BA4"/>
    <w:rsid w:val="00D50208"/>
    <w:rsid w:val="00D56859"/>
    <w:rsid w:val="00D60062"/>
    <w:rsid w:val="00D619E4"/>
    <w:rsid w:val="00D61BB1"/>
    <w:rsid w:val="00D62B0B"/>
    <w:rsid w:val="00D70F44"/>
    <w:rsid w:val="00D737BE"/>
    <w:rsid w:val="00D8074B"/>
    <w:rsid w:val="00D80F1E"/>
    <w:rsid w:val="00D83F03"/>
    <w:rsid w:val="00D853FB"/>
    <w:rsid w:val="00D932BE"/>
    <w:rsid w:val="00D979ED"/>
    <w:rsid w:val="00DA2B57"/>
    <w:rsid w:val="00DA33C5"/>
    <w:rsid w:val="00DA36DF"/>
    <w:rsid w:val="00DB2B1D"/>
    <w:rsid w:val="00DB3B8D"/>
    <w:rsid w:val="00DC125E"/>
    <w:rsid w:val="00DC1BF2"/>
    <w:rsid w:val="00DC3819"/>
    <w:rsid w:val="00DC749A"/>
    <w:rsid w:val="00DC7651"/>
    <w:rsid w:val="00DD2714"/>
    <w:rsid w:val="00DD2881"/>
    <w:rsid w:val="00DD28B6"/>
    <w:rsid w:val="00DD348A"/>
    <w:rsid w:val="00DD3622"/>
    <w:rsid w:val="00DD423C"/>
    <w:rsid w:val="00DD7977"/>
    <w:rsid w:val="00DE0226"/>
    <w:rsid w:val="00DE23CF"/>
    <w:rsid w:val="00DE442D"/>
    <w:rsid w:val="00DE447E"/>
    <w:rsid w:val="00DF0BBF"/>
    <w:rsid w:val="00DF183B"/>
    <w:rsid w:val="00DF1E56"/>
    <w:rsid w:val="00DF53FD"/>
    <w:rsid w:val="00E00EDD"/>
    <w:rsid w:val="00E02B40"/>
    <w:rsid w:val="00E038C5"/>
    <w:rsid w:val="00E070F1"/>
    <w:rsid w:val="00E14298"/>
    <w:rsid w:val="00E1442E"/>
    <w:rsid w:val="00E14E82"/>
    <w:rsid w:val="00E224BC"/>
    <w:rsid w:val="00E226EF"/>
    <w:rsid w:val="00E23E27"/>
    <w:rsid w:val="00E306FB"/>
    <w:rsid w:val="00E321CE"/>
    <w:rsid w:val="00E33607"/>
    <w:rsid w:val="00E33863"/>
    <w:rsid w:val="00E42E6D"/>
    <w:rsid w:val="00E47086"/>
    <w:rsid w:val="00E5046A"/>
    <w:rsid w:val="00E52CDA"/>
    <w:rsid w:val="00E5368F"/>
    <w:rsid w:val="00E5514B"/>
    <w:rsid w:val="00E64CB4"/>
    <w:rsid w:val="00E71628"/>
    <w:rsid w:val="00E717AD"/>
    <w:rsid w:val="00E80E18"/>
    <w:rsid w:val="00E91B2A"/>
    <w:rsid w:val="00E96791"/>
    <w:rsid w:val="00EA2564"/>
    <w:rsid w:val="00EA4325"/>
    <w:rsid w:val="00EA4542"/>
    <w:rsid w:val="00EA7913"/>
    <w:rsid w:val="00EB2214"/>
    <w:rsid w:val="00EB2A93"/>
    <w:rsid w:val="00EC627B"/>
    <w:rsid w:val="00ED24D8"/>
    <w:rsid w:val="00ED4567"/>
    <w:rsid w:val="00ED71D3"/>
    <w:rsid w:val="00EE1C14"/>
    <w:rsid w:val="00EE2603"/>
    <w:rsid w:val="00EE329C"/>
    <w:rsid w:val="00EF6A30"/>
    <w:rsid w:val="00F02C34"/>
    <w:rsid w:val="00F02ECD"/>
    <w:rsid w:val="00F03947"/>
    <w:rsid w:val="00F03B04"/>
    <w:rsid w:val="00F06CA3"/>
    <w:rsid w:val="00F10188"/>
    <w:rsid w:val="00F11969"/>
    <w:rsid w:val="00F14154"/>
    <w:rsid w:val="00F14AE8"/>
    <w:rsid w:val="00F203DA"/>
    <w:rsid w:val="00F20CAD"/>
    <w:rsid w:val="00F251AA"/>
    <w:rsid w:val="00F40033"/>
    <w:rsid w:val="00F4106E"/>
    <w:rsid w:val="00F42ADE"/>
    <w:rsid w:val="00F42D38"/>
    <w:rsid w:val="00F46D33"/>
    <w:rsid w:val="00F479D8"/>
    <w:rsid w:val="00F5392C"/>
    <w:rsid w:val="00F546C1"/>
    <w:rsid w:val="00F5587E"/>
    <w:rsid w:val="00F5640B"/>
    <w:rsid w:val="00F61E04"/>
    <w:rsid w:val="00F80406"/>
    <w:rsid w:val="00F82953"/>
    <w:rsid w:val="00F82D9F"/>
    <w:rsid w:val="00F873DB"/>
    <w:rsid w:val="00F957BA"/>
    <w:rsid w:val="00F977D3"/>
    <w:rsid w:val="00FA4354"/>
    <w:rsid w:val="00FC23EC"/>
    <w:rsid w:val="00FC3EE9"/>
    <w:rsid w:val="00FC59E2"/>
    <w:rsid w:val="00FD2223"/>
    <w:rsid w:val="00FD2C6B"/>
    <w:rsid w:val="00FD3D72"/>
    <w:rsid w:val="00FD7536"/>
    <w:rsid w:val="00FD7DC0"/>
    <w:rsid w:val="00FE08F3"/>
    <w:rsid w:val="00FE5360"/>
    <w:rsid w:val="00FE5883"/>
    <w:rsid w:val="00FF0F94"/>
    <w:rsid w:val="00FF50A2"/>
    <w:rsid w:val="00FF5E98"/>
    <w:rsid w:val="00FF767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0F3899"/>
  <w15:chartTrackingRefBased/>
  <w15:docId w15:val="{6ABA2765-2CD7-4F16-93E2-3B26BE00A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D7955"/>
    <w:pPr>
      <w:spacing w:after="0" w:line="300" w:lineRule="auto"/>
    </w:pPr>
    <w:rPr>
      <w:rFonts w:ascii="Arial" w:eastAsia="Calibri" w:hAnsi="Arial" w:cs="Times New Roman"/>
      <w:sz w:val="24"/>
    </w:rPr>
  </w:style>
  <w:style w:type="paragraph" w:styleId="Heading1">
    <w:name w:val="heading 1"/>
    <w:basedOn w:val="Normal"/>
    <w:next w:val="Normal"/>
    <w:link w:val="Heading1Char"/>
    <w:uiPriority w:val="9"/>
    <w:qFormat/>
    <w:rsid w:val="00970D9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rsid w:val="00970D9B"/>
    <w:pPr>
      <w:keepNext/>
      <w:keepLines/>
      <w:spacing w:before="200" w:after="120"/>
      <w:outlineLvl w:val="1"/>
    </w:pPr>
    <w:rPr>
      <w:rFonts w:eastAsia="Times New Roman"/>
      <w:b/>
      <w:bCs/>
      <w:szCs w:val="26"/>
    </w:rPr>
  </w:style>
  <w:style w:type="paragraph" w:styleId="Heading3">
    <w:name w:val="heading 3"/>
    <w:basedOn w:val="Normal"/>
    <w:next w:val="Normal"/>
    <w:link w:val="Heading3Char"/>
    <w:uiPriority w:val="9"/>
    <w:semiHidden/>
    <w:unhideWhenUsed/>
    <w:rsid w:val="00A30DC7"/>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D9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70D9B"/>
    <w:rPr>
      <w:rFonts w:ascii="Arial" w:eastAsia="Times New Roman" w:hAnsi="Arial" w:cs="Times New Roman"/>
      <w:b/>
      <w:bCs/>
      <w:sz w:val="24"/>
      <w:szCs w:val="26"/>
    </w:rPr>
  </w:style>
  <w:style w:type="character" w:styleId="Hyperlink">
    <w:name w:val="Hyperlink"/>
    <w:uiPriority w:val="99"/>
    <w:unhideWhenUsed/>
    <w:qFormat/>
    <w:rsid w:val="00970D9B"/>
    <w:rPr>
      <w:color w:val="0000FF"/>
      <w:u w:val="single"/>
    </w:rPr>
  </w:style>
  <w:style w:type="paragraph" w:customStyle="1" w:styleId="Parabeforeanother">
    <w:name w:val="&gt; Para before another"/>
    <w:basedOn w:val="Normal"/>
    <w:qFormat/>
    <w:rsid w:val="00970D9B"/>
    <w:pPr>
      <w:spacing w:after="160" w:line="312" w:lineRule="auto"/>
    </w:pPr>
    <w:rPr>
      <w:rFonts w:cs="Arial"/>
      <w:szCs w:val="24"/>
    </w:rPr>
  </w:style>
  <w:style w:type="paragraph" w:customStyle="1" w:styleId="Title-subsections">
    <w:name w:val="&gt; Title - subsections"/>
    <w:basedOn w:val="Heading3"/>
    <w:qFormat/>
    <w:rsid w:val="00A30DC7"/>
    <w:pPr>
      <w:spacing w:after="100"/>
    </w:pPr>
    <w:rPr>
      <w:rFonts w:ascii="Arial" w:hAnsi="Arial"/>
      <w:b/>
      <w:color w:val="auto"/>
    </w:rPr>
  </w:style>
  <w:style w:type="paragraph" w:customStyle="1" w:styleId="Parabeforenewsection">
    <w:name w:val="&gt; Para before new section"/>
    <w:basedOn w:val="Parabeforeanother"/>
    <w:qFormat/>
    <w:rsid w:val="00970D9B"/>
    <w:pPr>
      <w:spacing w:after="680"/>
    </w:pPr>
    <w:rPr>
      <w:rFonts w:cs="Times New Roman"/>
    </w:rPr>
  </w:style>
  <w:style w:type="paragraph" w:customStyle="1" w:styleId="Title-chapterpink">
    <w:name w:val="&gt; Title - chapter pink"/>
    <w:basedOn w:val="Heading1"/>
    <w:qFormat/>
    <w:rsid w:val="00F251AA"/>
    <w:pPr>
      <w:spacing w:before="0" w:after="320" w:line="288" w:lineRule="auto"/>
    </w:pPr>
    <w:rPr>
      <w:rFonts w:ascii="Georgia" w:eastAsia="Times New Roman" w:hAnsi="Georgia" w:cs="Times New Roman"/>
      <w:bCs/>
      <w:color w:val="D40F7D"/>
      <w:sz w:val="48"/>
      <w:szCs w:val="48"/>
    </w:rPr>
  </w:style>
  <w:style w:type="paragraph" w:customStyle="1" w:styleId="Parabeforebulletss">
    <w:name w:val="&gt; Para before bullets/#s"/>
    <w:basedOn w:val="Normal"/>
    <w:qFormat/>
    <w:rsid w:val="00970D9B"/>
    <w:pPr>
      <w:spacing w:after="60" w:line="312" w:lineRule="auto"/>
    </w:pPr>
    <w:rPr>
      <w:szCs w:val="24"/>
    </w:rPr>
  </w:style>
  <w:style w:type="paragraph" w:customStyle="1" w:styleId="Bullet-followedbyothers">
    <w:name w:val="&gt; Bullet - followed by others"/>
    <w:basedOn w:val="Normal"/>
    <w:qFormat/>
    <w:rsid w:val="00970D9B"/>
    <w:pPr>
      <w:numPr>
        <w:numId w:val="1"/>
      </w:numPr>
      <w:spacing w:after="40" w:line="312" w:lineRule="auto"/>
      <w:ind w:left="340" w:hanging="340"/>
    </w:pPr>
    <w:rPr>
      <w:szCs w:val="24"/>
    </w:rPr>
  </w:style>
  <w:style w:type="paragraph" w:customStyle="1" w:styleId="Bullet-lastingroup">
    <w:name w:val="&gt; Bullet - last in group"/>
    <w:basedOn w:val="Bullet-followedbyothers"/>
    <w:qFormat/>
    <w:rsid w:val="00970D9B"/>
    <w:pPr>
      <w:spacing w:after="240"/>
    </w:pPr>
  </w:style>
  <w:style w:type="paragraph" w:customStyle="1" w:styleId="Title-sectionspink">
    <w:name w:val="&gt; Title - sections pink"/>
    <w:basedOn w:val="Heading2"/>
    <w:qFormat/>
    <w:rsid w:val="00C26793"/>
    <w:pPr>
      <w:pBdr>
        <w:bottom w:val="dotted" w:sz="4" w:space="1" w:color="auto"/>
      </w:pBdr>
      <w:spacing w:before="0" w:after="320" w:line="312" w:lineRule="auto"/>
    </w:pPr>
    <w:rPr>
      <w:color w:val="D40F7D"/>
      <w:sz w:val="28"/>
    </w:rPr>
  </w:style>
  <w:style w:type="paragraph" w:customStyle="1" w:styleId="Bullets-sub-bullets">
    <w:name w:val="&gt; Bullets - sub-bullets"/>
    <w:basedOn w:val="Bullet-followedbyothers"/>
    <w:qFormat/>
    <w:rsid w:val="00970D9B"/>
    <w:pPr>
      <w:numPr>
        <w:ilvl w:val="1"/>
        <w:numId w:val="2"/>
      </w:numPr>
      <w:ind w:left="737" w:hanging="340"/>
    </w:pPr>
    <w:rPr>
      <w:rFonts w:cs="Arial"/>
      <w:szCs w:val="28"/>
    </w:rPr>
  </w:style>
  <w:style w:type="paragraph" w:customStyle="1" w:styleId="Parabeforenewsubsection">
    <w:name w:val="&gt; Para before new subsection"/>
    <w:basedOn w:val="Parabeforenewsection"/>
    <w:qFormat/>
    <w:rsid w:val="00970D9B"/>
    <w:pPr>
      <w:spacing w:after="420"/>
    </w:pPr>
    <w:rPr>
      <w:rFonts w:cs="Arial"/>
    </w:rPr>
  </w:style>
  <w:style w:type="paragraph" w:customStyle="1" w:styleId="Numberedlist">
    <w:name w:val="&gt; Numbered list"/>
    <w:basedOn w:val="Bullet-followedbyothers"/>
    <w:qFormat/>
    <w:rsid w:val="00970D9B"/>
    <w:pPr>
      <w:numPr>
        <w:numId w:val="0"/>
      </w:numPr>
      <w:tabs>
        <w:tab w:val="num" w:pos="360"/>
      </w:tabs>
      <w:ind w:left="425" w:hanging="425"/>
    </w:pPr>
  </w:style>
  <w:style w:type="paragraph" w:customStyle="1" w:styleId="Numberedlistlastingroup">
    <w:name w:val="&gt; Numbered list (last in group)"/>
    <w:basedOn w:val="Bullet-followedbyothers"/>
    <w:qFormat/>
    <w:rsid w:val="00970D9B"/>
    <w:pPr>
      <w:numPr>
        <w:numId w:val="3"/>
      </w:numPr>
      <w:spacing w:after="160"/>
      <w:ind w:left="425" w:hanging="425"/>
    </w:pPr>
  </w:style>
  <w:style w:type="paragraph" w:styleId="ListParagraph">
    <w:name w:val="List Paragraph"/>
    <w:aliases w:val="F5 List Paragraph,List Paragraph1,Dot pt,No Spacing1,List Paragraph Char Char Char,Indicator Text,Colorful List - Accent 11,Numbered Para 1,Bullet 1,Bullet Points,MAIN CONTENT,List Paragraph2,Normal numbered,List Paragraph11,OBC Bullet"/>
    <w:basedOn w:val="Normal"/>
    <w:link w:val="ListParagraphChar"/>
    <w:uiPriority w:val="34"/>
    <w:qFormat/>
    <w:rsid w:val="00C32DAA"/>
    <w:pPr>
      <w:spacing w:after="160" w:line="259" w:lineRule="auto"/>
      <w:ind w:left="720"/>
      <w:contextualSpacing/>
    </w:pPr>
    <w:rPr>
      <w:rFonts w:asciiTheme="minorHAnsi" w:eastAsiaTheme="minorHAnsi" w:hAnsiTheme="minorHAnsi" w:cstheme="minorBidi"/>
      <w:sz w:val="22"/>
    </w:rPr>
  </w:style>
  <w:style w:type="character" w:customStyle="1" w:styleId="ListParagraphChar">
    <w:name w:val="List Paragraph Char"/>
    <w:aliases w:val="F5 List Paragraph Char,List Paragraph1 Char,Dot pt Char,No Spacing1 Char,List Paragraph Char Char Char Char,Indicator Text Char,Colorful List - Accent 11 Char,Numbered Para 1 Char,Bullet 1 Char,Bullet Points Char,MAIN CONTENT Char"/>
    <w:basedOn w:val="DefaultParagraphFont"/>
    <w:link w:val="ListParagraph"/>
    <w:uiPriority w:val="34"/>
    <w:qFormat/>
    <w:locked/>
    <w:rsid w:val="00C32DAA"/>
  </w:style>
  <w:style w:type="paragraph" w:styleId="NoSpacing">
    <w:name w:val="No Spacing"/>
    <w:uiPriority w:val="1"/>
    <w:qFormat/>
    <w:rsid w:val="00C32DAA"/>
    <w:pPr>
      <w:spacing w:after="0" w:line="240" w:lineRule="auto"/>
    </w:pPr>
    <w:rPr>
      <w:rFonts w:ascii="Arial" w:eastAsia="Calibri" w:hAnsi="Arial" w:cs="Times New Roman"/>
      <w:sz w:val="24"/>
    </w:rPr>
  </w:style>
  <w:style w:type="paragraph" w:styleId="FootnoteText">
    <w:name w:val="footnote text"/>
    <w:aliases w:val="Footnote Text Char Char,Footnote Text Char1 Char Char,Footnote Text Char Char Char Char,Footnote Text Char1 Char Char Char Char,Footnote Char Char Char Char Char,Footnote Text Char Char Char Char Char Char,FA Fu,Char,fn,5_G, Char,footnotes"/>
    <w:basedOn w:val="Normal"/>
    <w:link w:val="FootnoteTextChar"/>
    <w:uiPriority w:val="99"/>
    <w:unhideWhenUsed/>
    <w:qFormat/>
    <w:rsid w:val="00C32DAA"/>
    <w:pPr>
      <w:spacing w:line="240" w:lineRule="auto"/>
    </w:pPr>
    <w:rPr>
      <w:sz w:val="20"/>
      <w:szCs w:val="20"/>
    </w:rPr>
  </w:style>
  <w:style w:type="character" w:customStyle="1" w:styleId="FootnoteTextChar">
    <w:name w:val="Footnote Text Char"/>
    <w:aliases w:val="Footnote Text Char Char Char,Footnote Text Char1 Char Char Char,Footnote Text Char Char Char Char Char,Footnote Text Char1 Char Char Char Char Char,Footnote Char Char Char Char Char Char,FA Fu Char,Char Char,fn Char,5_G Char"/>
    <w:basedOn w:val="DefaultParagraphFont"/>
    <w:link w:val="FootnoteText"/>
    <w:uiPriority w:val="99"/>
    <w:rsid w:val="00C32DAA"/>
    <w:rPr>
      <w:rFonts w:ascii="Arial" w:eastAsia="Calibri" w:hAnsi="Arial" w:cs="Times New Roman"/>
      <w:sz w:val="20"/>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link w:val="4GCharCharChar"/>
    <w:uiPriority w:val="99"/>
    <w:unhideWhenUsed/>
    <w:qFormat/>
    <w:rsid w:val="00C32DAA"/>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32DAA"/>
    <w:pPr>
      <w:spacing w:after="160" w:line="240" w:lineRule="exact"/>
      <w:jc w:val="both"/>
    </w:pPr>
    <w:rPr>
      <w:rFonts w:asciiTheme="minorHAnsi" w:eastAsiaTheme="minorHAnsi" w:hAnsiTheme="minorHAnsi" w:cstheme="minorBidi"/>
      <w:sz w:val="22"/>
      <w:vertAlign w:val="superscript"/>
    </w:rPr>
  </w:style>
  <w:style w:type="character" w:styleId="CommentReference">
    <w:name w:val="annotation reference"/>
    <w:basedOn w:val="DefaultParagraphFont"/>
    <w:uiPriority w:val="99"/>
    <w:unhideWhenUsed/>
    <w:rsid w:val="00C32DAA"/>
    <w:rPr>
      <w:sz w:val="16"/>
      <w:szCs w:val="16"/>
    </w:rPr>
  </w:style>
  <w:style w:type="paragraph" w:styleId="CommentText">
    <w:name w:val="annotation text"/>
    <w:basedOn w:val="Normal"/>
    <w:link w:val="CommentTextChar"/>
    <w:uiPriority w:val="99"/>
    <w:unhideWhenUsed/>
    <w:rsid w:val="00C32DAA"/>
    <w:pPr>
      <w:spacing w:after="200" w:line="240" w:lineRule="auto"/>
    </w:pPr>
    <w:rPr>
      <w:sz w:val="20"/>
      <w:szCs w:val="20"/>
    </w:rPr>
  </w:style>
  <w:style w:type="character" w:customStyle="1" w:styleId="CommentTextChar">
    <w:name w:val="Comment Text Char"/>
    <w:basedOn w:val="DefaultParagraphFont"/>
    <w:link w:val="CommentText"/>
    <w:uiPriority w:val="99"/>
    <w:rsid w:val="00C32DAA"/>
    <w:rPr>
      <w:rFonts w:ascii="Arial" w:eastAsia="Calibri" w:hAnsi="Arial" w:cs="Times New Roman"/>
      <w:sz w:val="20"/>
      <w:szCs w:val="20"/>
    </w:rPr>
  </w:style>
  <w:style w:type="paragraph" w:styleId="BalloonText">
    <w:name w:val="Balloon Text"/>
    <w:basedOn w:val="Normal"/>
    <w:link w:val="BalloonTextChar"/>
    <w:uiPriority w:val="99"/>
    <w:semiHidden/>
    <w:unhideWhenUsed/>
    <w:rsid w:val="00C32DAA"/>
    <w:pPr>
      <w:spacing w:line="240" w:lineRule="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C32DAA"/>
    <w:rPr>
      <w:rFonts w:ascii="Segoe UI" w:hAnsi="Segoe UI" w:cs="Segoe UI"/>
      <w:sz w:val="18"/>
      <w:szCs w:val="18"/>
    </w:rPr>
  </w:style>
  <w:style w:type="paragraph" w:styleId="CommentSubject">
    <w:name w:val="annotation subject"/>
    <w:basedOn w:val="CommentText"/>
    <w:next w:val="CommentText"/>
    <w:link w:val="CommentSubjectChar"/>
    <w:uiPriority w:val="99"/>
    <w:unhideWhenUsed/>
    <w:rsid w:val="00C32DAA"/>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rsid w:val="00C32DAA"/>
    <w:rPr>
      <w:rFonts w:ascii="Arial" w:eastAsia="Calibri" w:hAnsi="Arial" w:cs="Times New Roman"/>
      <w:b/>
      <w:bCs/>
      <w:sz w:val="20"/>
      <w:szCs w:val="20"/>
    </w:rPr>
  </w:style>
  <w:style w:type="paragraph" w:customStyle="1" w:styleId="Default">
    <w:name w:val="Default"/>
    <w:rsid w:val="00C32DAA"/>
    <w:pPr>
      <w:spacing w:after="0" w:line="240" w:lineRule="auto"/>
    </w:pPr>
    <w:rPr>
      <w:rFonts w:ascii="Arial" w:eastAsia="ヒラギノ角ゴ Pro W3" w:hAnsi="Arial" w:cs="Times New Roman"/>
      <w:color w:val="000000"/>
      <w:sz w:val="24"/>
      <w:szCs w:val="20"/>
      <w:lang w:eastAsia="en-GB"/>
    </w:rPr>
  </w:style>
  <w:style w:type="paragraph" w:customStyle="1" w:styleId="FootnoteText1">
    <w:name w:val="Footnote Text1"/>
    <w:rsid w:val="00C32DAA"/>
    <w:pPr>
      <w:spacing w:after="0" w:line="240" w:lineRule="auto"/>
    </w:pPr>
    <w:rPr>
      <w:rFonts w:ascii="Helvetica" w:eastAsia="ヒラギノ角ゴ Pro W3" w:hAnsi="Helvetica" w:cs="Times New Roman"/>
      <w:color w:val="000000"/>
      <w:sz w:val="20"/>
      <w:szCs w:val="20"/>
      <w:lang w:eastAsia="en-GB"/>
    </w:rPr>
  </w:style>
  <w:style w:type="paragraph" w:customStyle="1" w:styleId="Pa6">
    <w:name w:val="Pa6"/>
    <w:basedOn w:val="Default"/>
    <w:next w:val="Default"/>
    <w:uiPriority w:val="99"/>
    <w:rsid w:val="00C32DAA"/>
    <w:pPr>
      <w:autoSpaceDE w:val="0"/>
      <w:autoSpaceDN w:val="0"/>
      <w:adjustRightInd w:val="0"/>
      <w:spacing w:line="241" w:lineRule="atLeast"/>
    </w:pPr>
    <w:rPr>
      <w:rFonts w:ascii="Foundry Form Sans Bold" w:eastAsiaTheme="minorHAnsi" w:hAnsi="Foundry Form Sans Bold" w:cstheme="minorBidi"/>
      <w:color w:val="auto"/>
      <w:szCs w:val="24"/>
      <w:lang w:eastAsia="en-US"/>
    </w:rPr>
  </w:style>
  <w:style w:type="character" w:customStyle="1" w:styleId="A1">
    <w:name w:val="A1"/>
    <w:uiPriority w:val="99"/>
    <w:rsid w:val="00C32DAA"/>
    <w:rPr>
      <w:rFonts w:cs="Foundry Form Sans Bold"/>
      <w:color w:val="000000"/>
      <w:sz w:val="78"/>
      <w:szCs w:val="78"/>
    </w:rPr>
  </w:style>
  <w:style w:type="character" w:customStyle="1" w:styleId="A4">
    <w:name w:val="A4"/>
    <w:uiPriority w:val="99"/>
    <w:rsid w:val="00C32DAA"/>
    <w:rPr>
      <w:rFonts w:ascii="Foundry Form Sans Book" w:hAnsi="Foundry Form Sans Book" w:cs="Foundry Form Sans Book"/>
      <w:color w:val="000000"/>
      <w:sz w:val="40"/>
      <w:szCs w:val="40"/>
    </w:rPr>
  </w:style>
  <w:style w:type="paragraph" w:customStyle="1" w:styleId="p">
    <w:name w:val="p"/>
    <w:basedOn w:val="Normal"/>
    <w:rsid w:val="00C32DAA"/>
    <w:pPr>
      <w:spacing w:before="100" w:beforeAutospacing="1" w:after="100" w:afterAutospacing="1" w:line="240" w:lineRule="auto"/>
    </w:pPr>
    <w:rPr>
      <w:rFonts w:ascii="Times New Roman" w:eastAsia="Times New Roman" w:hAnsi="Times New Roman"/>
      <w:szCs w:val="24"/>
      <w:lang w:eastAsia="en-GB"/>
    </w:rPr>
  </w:style>
  <w:style w:type="character" w:styleId="FollowedHyperlink">
    <w:name w:val="FollowedHyperlink"/>
    <w:basedOn w:val="DefaultParagraphFont"/>
    <w:uiPriority w:val="99"/>
    <w:semiHidden/>
    <w:unhideWhenUsed/>
    <w:rsid w:val="00C32DAA"/>
    <w:rPr>
      <w:color w:val="954F72" w:themeColor="followedHyperlink"/>
      <w:u w:val="single"/>
    </w:rPr>
  </w:style>
  <w:style w:type="paragraph" w:styleId="Header">
    <w:name w:val="header"/>
    <w:basedOn w:val="Normal"/>
    <w:link w:val="HeaderChar"/>
    <w:uiPriority w:val="99"/>
    <w:unhideWhenUsed/>
    <w:rsid w:val="00C32DAA"/>
    <w:pPr>
      <w:tabs>
        <w:tab w:val="center" w:pos="4513"/>
        <w:tab w:val="right" w:pos="9026"/>
      </w:tabs>
      <w:spacing w:line="240" w:lineRule="auto"/>
    </w:pPr>
    <w:rPr>
      <w:rFonts w:asciiTheme="minorHAnsi" w:eastAsiaTheme="minorHAnsi" w:hAnsiTheme="minorHAnsi" w:cstheme="minorBidi"/>
      <w:sz w:val="22"/>
    </w:rPr>
  </w:style>
  <w:style w:type="character" w:customStyle="1" w:styleId="HeaderChar">
    <w:name w:val="Header Char"/>
    <w:basedOn w:val="DefaultParagraphFont"/>
    <w:link w:val="Header"/>
    <w:uiPriority w:val="99"/>
    <w:rsid w:val="00C32DAA"/>
  </w:style>
  <w:style w:type="paragraph" w:styleId="Footer">
    <w:name w:val="footer"/>
    <w:basedOn w:val="Normal"/>
    <w:link w:val="FooterChar"/>
    <w:uiPriority w:val="99"/>
    <w:unhideWhenUsed/>
    <w:rsid w:val="00C32DAA"/>
    <w:pPr>
      <w:tabs>
        <w:tab w:val="center" w:pos="4513"/>
        <w:tab w:val="right" w:pos="9026"/>
      </w:tabs>
      <w:spacing w:line="240" w:lineRule="auto"/>
    </w:pPr>
    <w:rPr>
      <w:rFonts w:asciiTheme="minorHAnsi" w:eastAsiaTheme="minorHAnsi" w:hAnsiTheme="minorHAnsi" w:cstheme="minorBidi"/>
      <w:sz w:val="22"/>
    </w:rPr>
  </w:style>
  <w:style w:type="character" w:customStyle="1" w:styleId="FooterChar">
    <w:name w:val="Footer Char"/>
    <w:basedOn w:val="DefaultParagraphFont"/>
    <w:link w:val="Footer"/>
    <w:uiPriority w:val="99"/>
    <w:rsid w:val="00C32DAA"/>
  </w:style>
  <w:style w:type="table" w:styleId="TableGrid">
    <w:name w:val="Table Grid"/>
    <w:basedOn w:val="TableNormal"/>
    <w:uiPriority w:val="59"/>
    <w:rsid w:val="00C3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70">
    <w:name w:val="CM70"/>
    <w:basedOn w:val="Default"/>
    <w:next w:val="Default"/>
    <w:uiPriority w:val="99"/>
    <w:rsid w:val="00C32DAA"/>
    <w:pPr>
      <w:autoSpaceDE w:val="0"/>
      <w:autoSpaceDN w:val="0"/>
      <w:adjustRightInd w:val="0"/>
    </w:pPr>
    <w:rPr>
      <w:rFonts w:eastAsiaTheme="minorHAnsi" w:cs="Arial"/>
      <w:color w:val="auto"/>
      <w:szCs w:val="24"/>
      <w:lang w:eastAsia="en-US"/>
    </w:rPr>
  </w:style>
  <w:style w:type="character" w:styleId="Strong">
    <w:name w:val="Strong"/>
    <w:basedOn w:val="DefaultParagraphFont"/>
    <w:qFormat/>
    <w:rsid w:val="00C32DAA"/>
    <w:rPr>
      <w:b/>
      <w:bCs/>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uiPriority w:val="99"/>
    <w:rsid w:val="00C32DAA"/>
    <w:pPr>
      <w:spacing w:after="160" w:line="240" w:lineRule="exact"/>
      <w:jc w:val="both"/>
    </w:pPr>
    <w:rPr>
      <w:rFonts w:ascii="Calibri" w:hAnsi="Calibri"/>
      <w:sz w:val="20"/>
      <w:szCs w:val="20"/>
      <w:vertAlign w:val="superscript"/>
      <w:lang w:eastAsia="en-GB"/>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
    <w:basedOn w:val="Normal"/>
    <w:uiPriority w:val="99"/>
    <w:rsid w:val="00C32DAA"/>
    <w:pPr>
      <w:spacing w:after="160" w:line="240" w:lineRule="exact"/>
    </w:pPr>
    <w:rPr>
      <w:rFonts w:ascii="Calibri" w:hAnsi="Calibri"/>
      <w:sz w:val="20"/>
      <w:szCs w:val="20"/>
      <w:vertAlign w:val="superscript"/>
      <w:lang w:eastAsia="en-GB"/>
    </w:rPr>
  </w:style>
  <w:style w:type="character" w:customStyle="1" w:styleId="EndnoteTextChar">
    <w:name w:val="Endnote Text Char"/>
    <w:basedOn w:val="DefaultParagraphFont"/>
    <w:link w:val="EndnoteText"/>
    <w:uiPriority w:val="99"/>
    <w:rsid w:val="00C32DAA"/>
    <w:rPr>
      <w:sz w:val="20"/>
      <w:szCs w:val="20"/>
    </w:rPr>
  </w:style>
  <w:style w:type="paragraph" w:styleId="EndnoteText">
    <w:name w:val="endnote text"/>
    <w:basedOn w:val="Normal"/>
    <w:link w:val="EndnoteTextChar"/>
    <w:uiPriority w:val="99"/>
    <w:unhideWhenUsed/>
    <w:rsid w:val="00C32DAA"/>
    <w:pPr>
      <w:spacing w:line="240" w:lineRule="auto"/>
    </w:pPr>
    <w:rPr>
      <w:rFonts w:asciiTheme="minorHAnsi" w:eastAsiaTheme="minorHAnsi" w:hAnsiTheme="minorHAnsi" w:cstheme="minorBidi"/>
      <w:sz w:val="20"/>
      <w:szCs w:val="20"/>
    </w:rPr>
  </w:style>
  <w:style w:type="paragraph" w:customStyle="1" w:styleId="CM15">
    <w:name w:val="CM15"/>
    <w:basedOn w:val="Default"/>
    <w:next w:val="Default"/>
    <w:uiPriority w:val="99"/>
    <w:rsid w:val="00C32DAA"/>
    <w:pPr>
      <w:autoSpaceDE w:val="0"/>
      <w:autoSpaceDN w:val="0"/>
      <w:adjustRightInd w:val="0"/>
      <w:spacing w:line="328" w:lineRule="atLeast"/>
    </w:pPr>
    <w:rPr>
      <w:rFonts w:eastAsiaTheme="minorHAnsi" w:cs="Arial"/>
      <w:color w:val="auto"/>
      <w:szCs w:val="24"/>
      <w:lang w:eastAsia="en-US"/>
    </w:rPr>
  </w:style>
  <w:style w:type="paragraph" w:styleId="Title">
    <w:name w:val="Title"/>
    <w:basedOn w:val="Normal"/>
    <w:next w:val="Normal"/>
    <w:link w:val="TitleChar"/>
    <w:uiPriority w:val="10"/>
    <w:qFormat/>
    <w:rsid w:val="00C32DAA"/>
    <w:pPr>
      <w:spacing w:after="300" w:line="240" w:lineRule="auto"/>
      <w:contextualSpacing/>
    </w:pPr>
    <w:rPr>
      <w:rFonts w:eastAsia="Times New Roman"/>
      <w:b/>
      <w:spacing w:val="5"/>
      <w:kern w:val="28"/>
      <w:sz w:val="52"/>
      <w:szCs w:val="52"/>
    </w:rPr>
  </w:style>
  <w:style w:type="character" w:customStyle="1" w:styleId="TitleChar">
    <w:name w:val="Title Char"/>
    <w:basedOn w:val="DefaultParagraphFont"/>
    <w:link w:val="Title"/>
    <w:uiPriority w:val="10"/>
    <w:rsid w:val="00C32DAA"/>
    <w:rPr>
      <w:rFonts w:ascii="Arial" w:eastAsia="Times New Roman" w:hAnsi="Arial" w:cs="Times New Roman"/>
      <w:b/>
      <w:spacing w:val="5"/>
      <w:kern w:val="28"/>
      <w:sz w:val="52"/>
      <w:szCs w:val="52"/>
    </w:rPr>
  </w:style>
  <w:style w:type="character" w:styleId="EndnoteReference">
    <w:name w:val="endnote reference"/>
    <w:basedOn w:val="DefaultParagraphFont"/>
    <w:uiPriority w:val="99"/>
    <w:semiHidden/>
    <w:unhideWhenUsed/>
    <w:rsid w:val="00A73579"/>
    <w:rPr>
      <w:vertAlign w:val="superscript"/>
    </w:rPr>
  </w:style>
  <w:style w:type="paragraph" w:styleId="TOCHeading">
    <w:name w:val="TOC Heading"/>
    <w:basedOn w:val="Heading1"/>
    <w:next w:val="Normal"/>
    <w:uiPriority w:val="39"/>
    <w:unhideWhenUsed/>
    <w:qFormat/>
    <w:rsid w:val="0095032F"/>
    <w:pPr>
      <w:spacing w:line="259" w:lineRule="auto"/>
      <w:outlineLvl w:val="9"/>
    </w:pPr>
    <w:rPr>
      <w:lang w:val="en-US"/>
    </w:rPr>
  </w:style>
  <w:style w:type="paragraph" w:styleId="TOC1">
    <w:name w:val="toc 1"/>
    <w:basedOn w:val="Normal"/>
    <w:next w:val="Normal"/>
    <w:autoRedefine/>
    <w:uiPriority w:val="39"/>
    <w:unhideWhenUsed/>
    <w:rsid w:val="00D979ED"/>
    <w:pPr>
      <w:tabs>
        <w:tab w:val="right" w:leader="dot" w:pos="9016"/>
      </w:tabs>
      <w:spacing w:after="100"/>
    </w:pPr>
    <w:rPr>
      <w:b/>
      <w:bCs/>
      <w:noProof/>
    </w:rPr>
  </w:style>
  <w:style w:type="paragraph" w:styleId="TOC2">
    <w:name w:val="toc 2"/>
    <w:basedOn w:val="Normal"/>
    <w:next w:val="Normal"/>
    <w:autoRedefine/>
    <w:uiPriority w:val="39"/>
    <w:unhideWhenUsed/>
    <w:rsid w:val="00D979ED"/>
    <w:pPr>
      <w:tabs>
        <w:tab w:val="right" w:leader="dot" w:pos="9016"/>
      </w:tabs>
      <w:spacing w:after="100"/>
      <w:ind w:left="240"/>
    </w:pPr>
    <w:rPr>
      <w:noProof/>
    </w:rPr>
  </w:style>
  <w:style w:type="character" w:styleId="Emphasis">
    <w:name w:val="Emphasis"/>
    <w:basedOn w:val="DefaultParagraphFont"/>
    <w:uiPriority w:val="20"/>
    <w:qFormat/>
    <w:rsid w:val="00CD1978"/>
    <w:rPr>
      <w:i/>
      <w:iCs/>
    </w:rPr>
  </w:style>
  <w:style w:type="character" w:customStyle="1" w:styleId="Heading3Char">
    <w:name w:val="Heading 3 Char"/>
    <w:basedOn w:val="DefaultParagraphFont"/>
    <w:link w:val="Heading3"/>
    <w:uiPriority w:val="9"/>
    <w:semiHidden/>
    <w:rsid w:val="00A30DC7"/>
    <w:rPr>
      <w:rFonts w:asciiTheme="majorHAnsi" w:eastAsiaTheme="majorEastAsia" w:hAnsiTheme="majorHAnsi" w:cstheme="majorBidi"/>
      <w:color w:val="1F4D78" w:themeColor="accent1" w:themeShade="7F"/>
      <w:sz w:val="24"/>
      <w:szCs w:val="24"/>
    </w:rPr>
  </w:style>
  <w:style w:type="character" w:customStyle="1" w:styleId="selectable">
    <w:name w:val="selectable"/>
    <w:basedOn w:val="DefaultParagraphFont"/>
    <w:rsid w:val="00780E84"/>
  </w:style>
  <w:style w:type="character" w:customStyle="1" w:styleId="UnresolvedMention">
    <w:name w:val="Unresolved Mention"/>
    <w:basedOn w:val="DefaultParagraphFont"/>
    <w:uiPriority w:val="99"/>
    <w:semiHidden/>
    <w:unhideWhenUsed/>
    <w:rsid w:val="00DA33C5"/>
    <w:rPr>
      <w:color w:val="605E5C"/>
      <w:shd w:val="clear" w:color="auto" w:fill="E1DFDD"/>
    </w:rPr>
  </w:style>
  <w:style w:type="paragraph" w:customStyle="1" w:styleId="Indentedbullets">
    <w:name w:val="&gt; Indented bullets"/>
    <w:basedOn w:val="Normal"/>
    <w:qFormat/>
    <w:rsid w:val="006D74AE"/>
    <w:pPr>
      <w:numPr>
        <w:numId w:val="44"/>
      </w:numPr>
      <w:spacing w:after="40" w:line="312" w:lineRule="auto"/>
      <w:ind w:left="568" w:hanging="284"/>
    </w:pPr>
    <w:rPr>
      <w:rFonts w:eastAsia="Times New Roman" w:cs="Arial"/>
      <w:szCs w:val="24"/>
    </w:rPr>
  </w:style>
  <w:style w:type="paragraph" w:customStyle="1" w:styleId="Indentedlastbullet">
    <w:name w:val="&gt; Indented last bullet"/>
    <w:basedOn w:val="Normal"/>
    <w:qFormat/>
    <w:rsid w:val="006D74AE"/>
    <w:pPr>
      <w:numPr>
        <w:numId w:val="52"/>
      </w:numPr>
      <w:spacing w:after="160" w:line="312" w:lineRule="auto"/>
    </w:pPr>
    <w:rPr>
      <w:rFonts w:eastAsia="Times New Roman" w:cs="Arial"/>
      <w:szCs w:val="24"/>
    </w:rPr>
  </w:style>
  <w:style w:type="paragraph" w:styleId="TOC3">
    <w:name w:val="toc 3"/>
    <w:basedOn w:val="Normal"/>
    <w:next w:val="Normal"/>
    <w:autoRedefine/>
    <w:uiPriority w:val="39"/>
    <w:unhideWhenUsed/>
    <w:rsid w:val="005856EA"/>
    <w:pPr>
      <w:spacing w:after="100"/>
      <w:ind w:left="480"/>
    </w:pPr>
  </w:style>
  <w:style w:type="paragraph" w:styleId="TOC9">
    <w:name w:val="toc 9"/>
    <w:basedOn w:val="Normal"/>
    <w:next w:val="Normal"/>
    <w:autoRedefine/>
    <w:uiPriority w:val="39"/>
    <w:unhideWhenUsed/>
    <w:rsid w:val="005856EA"/>
    <w:pPr>
      <w:spacing w:after="100" w:line="259" w:lineRule="auto"/>
      <w:ind w:left="1760"/>
    </w:pPr>
    <w:rPr>
      <w:rFonts w:asciiTheme="minorHAnsi" w:eastAsiaTheme="minorEastAsia" w:hAnsiTheme="minorHAnsi" w:cstheme="minorBidi"/>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054709">
      <w:bodyDiv w:val="1"/>
      <w:marLeft w:val="0"/>
      <w:marRight w:val="0"/>
      <w:marTop w:val="0"/>
      <w:marBottom w:val="0"/>
      <w:divBdr>
        <w:top w:val="none" w:sz="0" w:space="0" w:color="auto"/>
        <w:left w:val="none" w:sz="0" w:space="0" w:color="auto"/>
        <w:bottom w:val="none" w:sz="0" w:space="0" w:color="auto"/>
        <w:right w:val="none" w:sz="0" w:space="0" w:color="auto"/>
      </w:divBdr>
    </w:div>
    <w:div w:id="479619835">
      <w:bodyDiv w:val="1"/>
      <w:marLeft w:val="0"/>
      <w:marRight w:val="0"/>
      <w:marTop w:val="0"/>
      <w:marBottom w:val="0"/>
      <w:divBdr>
        <w:top w:val="none" w:sz="0" w:space="0" w:color="auto"/>
        <w:left w:val="none" w:sz="0" w:space="0" w:color="auto"/>
        <w:bottom w:val="none" w:sz="0" w:space="0" w:color="auto"/>
        <w:right w:val="none" w:sz="0" w:space="0" w:color="auto"/>
      </w:divBdr>
    </w:div>
    <w:div w:id="538587088">
      <w:bodyDiv w:val="1"/>
      <w:marLeft w:val="0"/>
      <w:marRight w:val="0"/>
      <w:marTop w:val="0"/>
      <w:marBottom w:val="0"/>
      <w:divBdr>
        <w:top w:val="none" w:sz="0" w:space="0" w:color="auto"/>
        <w:left w:val="none" w:sz="0" w:space="0" w:color="auto"/>
        <w:bottom w:val="none" w:sz="0" w:space="0" w:color="auto"/>
        <w:right w:val="none" w:sz="0" w:space="0" w:color="auto"/>
      </w:divBdr>
    </w:div>
    <w:div w:id="1708218882">
      <w:bodyDiv w:val="1"/>
      <w:marLeft w:val="0"/>
      <w:marRight w:val="0"/>
      <w:marTop w:val="0"/>
      <w:marBottom w:val="0"/>
      <w:divBdr>
        <w:top w:val="none" w:sz="0" w:space="0" w:color="auto"/>
        <w:left w:val="none" w:sz="0" w:space="0" w:color="auto"/>
        <w:bottom w:val="none" w:sz="0" w:space="0" w:color="auto"/>
        <w:right w:val="none" w:sz="0" w:space="0" w:color="auto"/>
      </w:divBdr>
    </w:div>
    <w:div w:id="1745951615">
      <w:bodyDiv w:val="1"/>
      <w:marLeft w:val="0"/>
      <w:marRight w:val="0"/>
      <w:marTop w:val="0"/>
      <w:marBottom w:val="0"/>
      <w:divBdr>
        <w:top w:val="none" w:sz="0" w:space="0" w:color="auto"/>
        <w:left w:val="none" w:sz="0" w:space="0" w:color="auto"/>
        <w:bottom w:val="none" w:sz="0" w:space="0" w:color="auto"/>
        <w:right w:val="none" w:sz="0" w:space="0" w:color="auto"/>
      </w:divBdr>
      <w:divsChild>
        <w:div w:id="1381130489">
          <w:marLeft w:val="0"/>
          <w:marRight w:val="0"/>
          <w:marTop w:val="0"/>
          <w:marBottom w:val="0"/>
          <w:divBdr>
            <w:top w:val="none" w:sz="0" w:space="0" w:color="auto"/>
            <w:left w:val="none" w:sz="0" w:space="0" w:color="auto"/>
            <w:bottom w:val="none" w:sz="0" w:space="0" w:color="auto"/>
            <w:right w:val="none" w:sz="0" w:space="0" w:color="auto"/>
          </w:divBdr>
          <w:divsChild>
            <w:div w:id="1299412572">
              <w:marLeft w:val="-225"/>
              <w:marRight w:val="-225"/>
              <w:marTop w:val="0"/>
              <w:marBottom w:val="0"/>
              <w:divBdr>
                <w:top w:val="none" w:sz="0" w:space="0" w:color="auto"/>
                <w:left w:val="none" w:sz="0" w:space="0" w:color="auto"/>
                <w:bottom w:val="none" w:sz="0" w:space="0" w:color="auto"/>
                <w:right w:val="none" w:sz="0" w:space="0" w:color="auto"/>
              </w:divBdr>
              <w:divsChild>
                <w:div w:id="101622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175816">
      <w:bodyDiv w:val="1"/>
      <w:marLeft w:val="0"/>
      <w:marRight w:val="0"/>
      <w:marTop w:val="0"/>
      <w:marBottom w:val="0"/>
      <w:divBdr>
        <w:top w:val="none" w:sz="0" w:space="0" w:color="auto"/>
        <w:left w:val="none" w:sz="0" w:space="0" w:color="auto"/>
        <w:bottom w:val="none" w:sz="0" w:space="0" w:color="auto"/>
        <w:right w:val="none" w:sz="0" w:space="0" w:color="auto"/>
      </w:divBdr>
    </w:div>
    <w:div w:id="2040281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header" Target="header16.xml"/><Relationship Id="rId3" Type="http://schemas.openxmlformats.org/officeDocument/2006/relationships/styles" Target="styles.xml"/><Relationship Id="rId21" Type="http://schemas.openxmlformats.org/officeDocument/2006/relationships/header" Target="header11.xml"/><Relationship Id="rId34" Type="http://schemas.microsoft.com/office/2016/09/relationships/commentsIds" Target="commentsId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7.xml"/><Relationship Id="rId25" Type="http://schemas.openxmlformats.org/officeDocument/2006/relationships/header" Target="header15.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10.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4.xml"/><Relationship Id="rId37"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13.xml"/><Relationship Id="rId28" Type="http://schemas.openxmlformats.org/officeDocument/2006/relationships/header" Target="header18.xml"/><Relationship Id="rId36" Type="http://schemas.openxmlformats.org/officeDocument/2006/relationships/customXml" Target="../customXml/item3.xml"/><Relationship Id="rId10" Type="http://schemas.openxmlformats.org/officeDocument/2006/relationships/footer" Target="footer2.xml"/><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12.xml"/><Relationship Id="rId27" Type="http://schemas.openxmlformats.org/officeDocument/2006/relationships/header" Target="header17.xml"/><Relationship Id="rId30" Type="http://schemas.openxmlformats.org/officeDocument/2006/relationships/theme" Target="theme/theme1.xml"/><Relationship Id="rId35" Type="http://schemas.openxmlformats.org/officeDocument/2006/relationships/customXml" Target="../customXml/item2.xml"/><Relationship Id="rId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hyperlink" Target="http://www.equalityhumanrights.com" TargetMode="External"/></Relationships>
</file>

<file path=word/_rels/footnotes.xml.rels><?xml version="1.0" encoding="UTF-8" standalone="yes"?>
<Relationships xmlns="http://schemas.openxmlformats.org/package/2006/relationships"><Relationship Id="rId117" Type="http://schemas.openxmlformats.org/officeDocument/2006/relationships/hyperlink" Target="https://www.parliament.uk/business/publications/written-questions-answers-statements/written-question/Lords/2018-11-29/HL11934/" TargetMode="External"/><Relationship Id="rId299" Type="http://schemas.openxmlformats.org/officeDocument/2006/relationships/hyperlink" Target="https://assets.publishing.service.gov.uk/government/uploads/system/uploads/attachment_data/file/645961/Draft_bill_health_service_safety_investigations_bill.pdf" TargetMode="External"/><Relationship Id="rId21" Type="http://schemas.openxmlformats.org/officeDocument/2006/relationships/hyperlink" Target="https://assets.publishing.service.gov.uk/government/uploads/system/uploads/attachment_data/file/758224/HMG_ResponseToISCDetaineeReports.pdf" TargetMode="External"/><Relationship Id="rId63" Type="http://schemas.openxmlformats.org/officeDocument/2006/relationships/hyperlink" Target="https://www.gov.uk/government/news/changes-to-the-lord-chancellors-exceptional-funding-guidance-for-inquests" TargetMode="External"/><Relationship Id="rId159" Type="http://schemas.openxmlformats.org/officeDocument/2006/relationships/hyperlink" Target="http://data.parliament.uk/writtenevidence/committeeevidence.svc/evidencedocument/human-rights-committee/immigration-detention/written/88970.html" TargetMode="External"/><Relationship Id="rId324" Type="http://schemas.openxmlformats.org/officeDocument/2006/relationships/hyperlink" Target="https://www.gov.uk/government/statistics/police-recorded-crime-open-data-tables" TargetMode="External"/><Relationship Id="rId366" Type="http://schemas.openxmlformats.org/officeDocument/2006/relationships/hyperlink" Target="http://safeguardingboard.wales/2018/12/10/independent-inquiry-into-child-sexual-abuse-recommendations/" TargetMode="External"/><Relationship Id="rId170" Type="http://schemas.openxmlformats.org/officeDocument/2006/relationships/hyperlink" Target="https://assets.publishing.service.gov.uk/government/uploads/system/uploads/attachment_data/file/608831/dft-consultation-response.pdf" TargetMode="External"/><Relationship Id="rId191" Type="http://schemas.openxmlformats.org/officeDocument/2006/relationships/hyperlink" Target="https://s3-eu-west-2.amazonaws.com/lawcom-prod-storage-11jsxou24uy7q/uploads/2017/03/Mental_Capacity_Report_Summary.pdf" TargetMode="External"/><Relationship Id="rId205" Type="http://schemas.openxmlformats.org/officeDocument/2006/relationships/hyperlink" Target="http://www.legislation.gov.uk/uksi/1998/472/article/38/made" TargetMode="External"/><Relationship Id="rId226" Type="http://schemas.openxmlformats.org/officeDocument/2006/relationships/hyperlink" Target="https://rm.coe.int/168070a773" TargetMode="External"/><Relationship Id="rId247" Type="http://schemas.openxmlformats.org/officeDocument/2006/relationships/hyperlink" Target="https://www.equalityhumanrights.com/en/inquiries-and-investigations/preventing-deaths-detention-adults-mental-health-conditions/preventing" TargetMode="External"/><Relationship Id="rId107" Type="http://schemas.openxmlformats.org/officeDocument/2006/relationships/hyperlink" Target="https://assets.publishing.service.gov.uk/government/uploads/system/uploads/attachment_data/file/747335/tackling-racial-disparity-criminal-justice-system-2018-update-web.pdf" TargetMode="External"/><Relationship Id="rId268" Type="http://schemas.openxmlformats.org/officeDocument/2006/relationships/hyperlink" Target="https://terrorismlegislationreviewer.independent.gov.uk/wp-content/uploads/2018/10/The_Terrorism_Acts_in_2017.pdf" TargetMode="External"/><Relationship Id="rId289" Type="http://schemas.openxmlformats.org/officeDocument/2006/relationships/hyperlink" Target="http://www.legislation.gov.uk/wsi/2017/1264/contents/made" TargetMode="External"/><Relationship Id="rId11" Type="http://schemas.openxmlformats.org/officeDocument/2006/relationships/hyperlink" Target="https://www.gov.uk/government/news/government-to-protect-armed-forces-from-persistent-legal-claims-in-future-overseas-operations" TargetMode="External"/><Relationship Id="rId32" Type="http://schemas.openxmlformats.org/officeDocument/2006/relationships/hyperlink" Target="https://assets.publishing.service.gov.uk/government/uploads/system/uploads/attachment_data/file/557941/FPCM1042_HC_458_Accessible.pdf" TargetMode="External"/><Relationship Id="rId53" Type="http://schemas.openxmlformats.org/officeDocument/2006/relationships/hyperlink" Target="https://publications.parliament.uk/pa/jt201719/jtselect/jtrights/669/669.pdf" TargetMode="External"/><Relationship Id="rId74" Type="http://schemas.openxmlformats.org/officeDocument/2006/relationships/hyperlink" Target="http://www.kalayaan.org.uk/wp-content/uploads/2014/09/atmg_class_acts_report_web_final.pdf" TargetMode="External"/><Relationship Id="rId128" Type="http://schemas.openxmlformats.org/officeDocument/2006/relationships/hyperlink" Target="https://www.equalityhumanrights.com/en/inquiries-and-investigations/preventing-deaths-detention-adults-mental-health-conditions/preventing" TargetMode="External"/><Relationship Id="rId149" Type="http://schemas.openxmlformats.org/officeDocument/2006/relationships/hyperlink" Target="https://www.justiceinspectorates.gov.uk/hmiprisons/wp-content/uploads/sites/4/2017/11/Yarls-Wood-Web-2017.pdf" TargetMode="External"/><Relationship Id="rId314" Type="http://schemas.openxmlformats.org/officeDocument/2006/relationships/hyperlink" Target="https://www.statelessness.eu/sites/www.statelessness.eu/files/attachments/resources/ISI-MRC-LLC-ENS-UK-UPR-Submission-Session-27-2016.pdf" TargetMode="External"/><Relationship Id="rId335" Type="http://schemas.openxmlformats.org/officeDocument/2006/relationships/hyperlink" Target="https://www.gov.uk/government/news/government-sets-out-key-measures-to-tackle-violence-against-women-and-girls" TargetMode="External"/><Relationship Id="rId356" Type="http://schemas.openxmlformats.org/officeDocument/2006/relationships/hyperlink" Target="https://www.iitcse.com/about-us.html" TargetMode="External"/><Relationship Id="rId377" Type="http://schemas.openxmlformats.org/officeDocument/2006/relationships/hyperlink" Target="https://assets.publishing.service.gov.uk/government/uploads/system/uploads/attachment_data/file/543679/Action_Against_Hate_-_UK_Government_s_Plan_to_Tackle_Hate_Crime_2016.pdf" TargetMode="External"/><Relationship Id="rId5" Type="http://schemas.openxmlformats.org/officeDocument/2006/relationships/hyperlink" Target="https://www.equalityhumanrights.com/sites/default/files/eu-withdrawal-bill-legal-advice-jason-coppel-qc.pdf" TargetMode="External"/><Relationship Id="rId95" Type="http://schemas.openxmlformats.org/officeDocument/2006/relationships/hyperlink" Target="https://s3-eu-west-2.amazonaws.com/npm-prod-storage-19n0nag2nk8xk/uploads/2017/01/NPM-annual-report-corrected.pdf" TargetMode="External"/><Relationship Id="rId160" Type="http://schemas.openxmlformats.org/officeDocument/2006/relationships/hyperlink" Target="https://www.bbc.co.uk/programmes/b094mhsn" TargetMode="External"/><Relationship Id="rId181" Type="http://schemas.openxmlformats.org/officeDocument/2006/relationships/hyperlink" Target="https://assets.publishing.service.gov.uk/government/uploads/system/uploads/attachment_data/file/585376/Lenehan_Review_Report.pdf" TargetMode="External"/><Relationship Id="rId216" Type="http://schemas.openxmlformats.org/officeDocument/2006/relationships/hyperlink" Target="https://www.bbc.co.uk/news/uk-england-kent-43542325" TargetMode="External"/><Relationship Id="rId237" Type="http://schemas.openxmlformats.org/officeDocument/2006/relationships/hyperlink" Target="https://www.childrenscommissioner.gov.uk/wp-content/uploads/2017/07/The_views_and_experiences_of_children_in_residential_special_schools_.pdf" TargetMode="External"/><Relationship Id="rId258" Type="http://schemas.openxmlformats.org/officeDocument/2006/relationships/hyperlink" Target="https://s3-eu-west-2.amazonaws.com/ppo-prod-storage-1g9rkhjhkjmgw/uploads/2018/10/PPO_Annual-Report-2017-18_WEB_final.pdf" TargetMode="External"/><Relationship Id="rId279" Type="http://schemas.openxmlformats.org/officeDocument/2006/relationships/hyperlink" Target="https://assets.publishing.service.gov.uk/government/uploads/system/uploads/attachment_data/file/445977/3799_Revised_Prevent_Duty_Guidance__England_Wales_V2-Interactive.pdf" TargetMode="External"/><Relationship Id="rId22" Type="http://schemas.openxmlformats.org/officeDocument/2006/relationships/hyperlink" Target="https://www.theguardian.com/world/2015/oct/30/shaker-aamer-to-seek-damages-over-guantanamo-bay-incarcaration" TargetMode="External"/><Relationship Id="rId43" Type="http://schemas.openxmlformats.org/officeDocument/2006/relationships/hyperlink" Target="https://assets.publishing.service.gov.uk/government/uploads/system/uploads/attachment_data/file/777038/post-implementation-review-of-part-1-of-laspo.pdf" TargetMode="External"/><Relationship Id="rId64" Type="http://schemas.openxmlformats.org/officeDocument/2006/relationships/hyperlink" Target="https://consult.justice.gov.uk/digital-communications/review-of-legal-aid-for-inquests/supporting_documents/reviewoflegalaidforinquests.pdf" TargetMode="External"/><Relationship Id="rId118" Type="http://schemas.openxmlformats.org/officeDocument/2006/relationships/hyperlink" Target="https://www.england.nhs.uk/commissioning/health-just/liaison-and-diversion/about/" TargetMode="External"/><Relationship Id="rId139" Type="http://schemas.openxmlformats.org/officeDocument/2006/relationships/hyperlink" Target="https://www.gov.uk/government/statistics/safety-in-custody-quarterly-update-to-september-2018" TargetMode="External"/><Relationship Id="rId290" Type="http://schemas.openxmlformats.org/officeDocument/2006/relationships/hyperlink" Target="https://www.cardiff.ac.uk/news/view/1136388-freedom-to-speak-up-guardians" TargetMode="External"/><Relationship Id="rId304" Type="http://schemas.openxmlformats.org/officeDocument/2006/relationships/hyperlink" Target="http://careandsupportalliance.com/wp-content/uploads/2018/05/Final-report-CSA.pdf" TargetMode="External"/><Relationship Id="rId325" Type="http://schemas.openxmlformats.org/officeDocument/2006/relationships/hyperlink" Target="https://www.justiceinspectorates.gov.uk/hmcpsi/wp-content/uploads/sites/3/2016/02/RASSO_thm_Feb16_rpt.pdf" TargetMode="External"/><Relationship Id="rId346" Type="http://schemas.openxmlformats.org/officeDocument/2006/relationships/hyperlink" Target="https://www.thebureauinvestigates.com/stories/2017-10-16/a-system-at-breaking-point" TargetMode="External"/><Relationship Id="rId367" Type="http://schemas.openxmlformats.org/officeDocument/2006/relationships/hyperlink" Target="https://www.equalityhumanrights.com/sites/default/files/research-report-102-causes-and-motivations-of-hate-crime.pdf" TargetMode="External"/><Relationship Id="rId388" Type="http://schemas.openxmlformats.org/officeDocument/2006/relationships/hyperlink" Target="https://assets.publishing.service.gov.uk/government/uploads/system/uploads/attachment_data/file/663316/uk-6th-periodic-report-under-cat.pdf" TargetMode="External"/><Relationship Id="rId85" Type="http://schemas.openxmlformats.org/officeDocument/2006/relationships/hyperlink" Target="https://www.equalityhumanrights.com/sites/default/files/civil-and-political-rights-in-the-uk-iccpr-submission-may-2015.pdf" TargetMode="External"/><Relationship Id="rId150" Type="http://schemas.openxmlformats.org/officeDocument/2006/relationships/hyperlink" Target="https://www.justiceinspectorates.gov.uk/hmiprisons/wp-content/uploads/sites/4/2018/03/Harmondsworth-Web-2017.pdf" TargetMode="External"/><Relationship Id="rId171" Type="http://schemas.openxmlformats.org/officeDocument/2006/relationships/hyperlink" Target="https://assets.publishing.service.gov.uk/government/uploads/system/uploads/attachment_data/file/723738/tpc-consultation-july-2018.pdf" TargetMode="External"/><Relationship Id="rId192" Type="http://schemas.openxmlformats.org/officeDocument/2006/relationships/hyperlink" Target="https://services.parliament.uk/bills/2017-19/mentalcapacityamendment.html" TargetMode="External"/><Relationship Id="rId206" Type="http://schemas.openxmlformats.org/officeDocument/2006/relationships/hyperlink" Target="https://www.gov.uk/government/publications/hm-chief-inspector-of-prisons-annual-report-2016-to-2017" TargetMode="External"/><Relationship Id="rId227" Type="http://schemas.openxmlformats.org/officeDocument/2006/relationships/hyperlink" Target="https://www.equalityhumanrights.com/en/publication-download/being-disabled-britain-journey-less-equal" TargetMode="External"/><Relationship Id="rId248" Type="http://schemas.openxmlformats.org/officeDocument/2006/relationships/hyperlink" Target="https://assets.publishing.service.gov.uk/government/uploads/system/uploads/attachment_data/file/643001/lammy-review-final-report.pdf" TargetMode="External"/><Relationship Id="rId269" Type="http://schemas.openxmlformats.org/officeDocument/2006/relationships/hyperlink" Target="https://assets.publishing.service.gov.uk/government/uploads/system/uploads/attachment_data/file/739972/police-powers-terrorism-jun2018-hosb1918.pdf" TargetMode="External"/><Relationship Id="rId12" Type="http://schemas.openxmlformats.org/officeDocument/2006/relationships/hyperlink" Target="http://docstore.ohchr.org/SelfServices/FilesHandler.ashx?enc=6QkG1d%2FPPRiCAqhKb7yhskvE%2BTuw1mw%2FKU18dCyrYrZhDDP8yaSRi%2Fv43pYTgmQ5n7dAGFdDalfzYTJnWNYOXxeLRAIVgbwcSm2ZXH%2BcD%2B%2F6IT0pc7BkgqlATQUZPVhi" TargetMode="External"/><Relationship Id="rId33" Type="http://schemas.openxmlformats.org/officeDocument/2006/relationships/hyperlink" Target="https://b1cba9b3-a-5e6631fd-s-sites.googlegroups.com/a/independent.gov.uk/isc/files/20180628_HC1114_Report_Detainee_Mistreatment_and_Rendition-Current_Issues.pdf?attachauth=ANoY7cra5Vg9SVAvA6x3hVm6PsqMYTfT9fbMNE0qjiNUBnbUUK10fH64cGOKBAjkxMrLh6w004B2xEVE28DEYSHvxrd1FnONI_w9TOhJKWIcrUEs6Si1M0ZpoCgYE6mhxMyLm_iDnYmpWitxNYaxLixtXmifLWwqEzYy5CQNcofbzHGwzt0ryTZ18Wb48QElR_uBk-atxpJ6YWB0tmMm6j79AoeJAVLaq2C8O5nHp8g_mOHX2BAUhBRhGCsjsKCbqMVgJCaWuO3IejrrYSFtJ9yV9_QjT-GMLY5fyOook4j9Bn3auX57TA8%3D&amp;attredirects=2&amp;safe=strict" TargetMode="External"/><Relationship Id="rId108" Type="http://schemas.openxmlformats.org/officeDocument/2006/relationships/hyperlink" Target="https://www.justiceinspectorates.gov.uk/hmiprisons/wp-content/uploads/sites/4/2018/07/6.4472_HMI-Prisons_AR-2017-18_Content_A4_Final_WEB.pdf" TargetMode="External"/><Relationship Id="rId129" Type="http://schemas.openxmlformats.org/officeDocument/2006/relationships/hyperlink" Target="https://assets.publishing.service.gov.uk/government/uploads/system/uploads/attachment_data/file/643001/lammy-review-final-report.pdf" TargetMode="External"/><Relationship Id="rId280" Type="http://schemas.openxmlformats.org/officeDocument/2006/relationships/hyperlink" Target="https://assets.publishing.service.gov.uk/government/uploads/system/uploads/attachment_data/file/763254/individuals-referred-supported-prevent-programme-apr2017-mar2018-hosb3118.pdf" TargetMode="External"/><Relationship Id="rId315" Type="http://schemas.openxmlformats.org/officeDocument/2006/relationships/hyperlink" Target="https://www.statelessness.eu/sites/www.statelessness.eu/files/ENS_Detention_Reports_UK.pdf" TargetMode="External"/><Relationship Id="rId336" Type="http://schemas.openxmlformats.org/officeDocument/2006/relationships/hyperlink" Target="https://www.legislation.gov.uk/anaw/2015/3/contents" TargetMode="External"/><Relationship Id="rId357" Type="http://schemas.openxmlformats.org/officeDocument/2006/relationships/hyperlink" Target="https://www.iicsa.org.uk/" TargetMode="External"/><Relationship Id="rId54" Type="http://schemas.openxmlformats.org/officeDocument/2006/relationships/hyperlink" Target="https://www.parliament.uk/business/publications/written-questions-answers-statements/written-statement/Commons/2018-07-12/HCWS853/" TargetMode="External"/><Relationship Id="rId75" Type="http://schemas.openxmlformats.org/officeDocument/2006/relationships/hyperlink" Target="https://services.parliament.uk/bills/2017-19/humantraffickingchildprotection.html" TargetMode="External"/><Relationship Id="rId96" Type="http://schemas.openxmlformats.org/officeDocument/2006/relationships/hyperlink" Target="https://s3-eu-west-2.amazonaws.com/npm-prod-storage-19n0nag2nk8xk/uploads/2018/02/6.4122_NPM_AR2016-17_v4_web.pdf" TargetMode="External"/><Relationship Id="rId140" Type="http://schemas.openxmlformats.org/officeDocument/2006/relationships/hyperlink" Target="https://www.cardiff.ac.uk/__data/assets/pdf_file/0008/1195577/Imprisonment-in-Wales-A-Factfile.pdf" TargetMode="External"/><Relationship Id="rId161" Type="http://schemas.openxmlformats.org/officeDocument/2006/relationships/hyperlink" Target="https://www.theguardian.com/uk-news/2018/oct/11/home-office-agrees-inquiry-immigrant-abuse-claims-detainees-removal-centres" TargetMode="External"/><Relationship Id="rId182" Type="http://schemas.openxmlformats.org/officeDocument/2006/relationships/hyperlink" Target="https://www.parliament.uk/business/committees/committees-a-z/joint-select/human-rights-committee/news-parliament-2017/learning-disabilities-inpatient-evidence-17-19/" TargetMode="External"/><Relationship Id="rId217" Type="http://schemas.openxmlformats.org/officeDocument/2006/relationships/hyperlink" Target="https://files.api.ofsted.gov.uk/v1/file/50000025" TargetMode="External"/><Relationship Id="rId378" Type="http://schemas.openxmlformats.org/officeDocument/2006/relationships/hyperlink" Target="http://sro.sussex.ac.uk/64925/" TargetMode="External"/><Relationship Id="rId6" Type="http://schemas.openxmlformats.org/officeDocument/2006/relationships/hyperlink" Target="http://ec.europa.eu/justice/grants1/programmes-2014-2020/rec/index_en.htm%20%5bAccessed:%207%20March%202019%5d" TargetMode="External"/><Relationship Id="rId238" Type="http://schemas.openxmlformats.org/officeDocument/2006/relationships/hyperlink" Target="https://www.bbc.co.uk/news/uk-39530915" TargetMode="External"/><Relationship Id="rId259" Type="http://schemas.openxmlformats.org/officeDocument/2006/relationships/hyperlink" Target="https://publications.parliament.uk/pa/cm201213/cmselect/cmhaff/494/494.pdf" TargetMode="External"/><Relationship Id="rId23" Type="http://schemas.openxmlformats.org/officeDocument/2006/relationships/hyperlink" Target="https://assets.publishing.service.gov.uk/government/uploads/system/uploads/attachment_data/file/649525/20171003-IHAT_NEW_master_copy_website_work_completed_table-HQComms_O.pdf" TargetMode="External"/><Relationship Id="rId119" Type="http://schemas.openxmlformats.org/officeDocument/2006/relationships/hyperlink" Target="https://www.equalityhumanrights.com/sites/default/files/is-britain-fairer-2018-pre-lay.pdf" TargetMode="External"/><Relationship Id="rId270" Type="http://schemas.openxmlformats.org/officeDocument/2006/relationships/hyperlink" Target="https://publications.parliament.uk/pa/jt201719/jtselect/jtrights/1616/161602.htm" TargetMode="External"/><Relationship Id="rId291" Type="http://schemas.openxmlformats.org/officeDocument/2006/relationships/hyperlink" Target="https://www.cqc.org.uk/sites/default/files/20171115_ngo_annualreport201617.pdf" TargetMode="External"/><Relationship Id="rId305" Type="http://schemas.openxmlformats.org/officeDocument/2006/relationships/hyperlink" Target="https://www.thetimes.co.uk/article/care-quality-commission-100-elderly-people-a-day-badly-hurt-in-homes-85lt5rqxg" TargetMode="External"/><Relationship Id="rId326" Type="http://schemas.openxmlformats.org/officeDocument/2006/relationships/hyperlink" Target="https://www.cps.gov.uk/sites/default/files/documents/publications/cps-vawg-report-2018.pdf" TargetMode="External"/><Relationship Id="rId347" Type="http://schemas.openxmlformats.org/officeDocument/2006/relationships/hyperlink" Target="http://www.welshwomensaid.org.uk/2017/12/welsh-womens-aid-state-sector-report-2017/" TargetMode="External"/><Relationship Id="rId44" Type="http://schemas.openxmlformats.org/officeDocument/2006/relationships/hyperlink" Target="https://www.lawsociety.org.uk/policy-campaigns/consultation-responses/ministry-of-justice-laspo-part-1-post-implementation-review-law-society-response/" TargetMode="External"/><Relationship Id="rId65" Type="http://schemas.openxmlformats.org/officeDocument/2006/relationships/hyperlink" Target="https://assets.publishing.service.gov.uk/government/uploads/system/uploads/attachment_data/file/777036/legal-support-the-way-ahead.pdf" TargetMode="External"/><Relationship Id="rId86" Type="http://schemas.openxmlformats.org/officeDocument/2006/relationships/hyperlink" Target="http://www.kalayaan.org.uk/wp-content/uploads/2014/09/atmg_class_acts_report_web_final.pdf" TargetMode="External"/><Relationship Id="rId130" Type="http://schemas.openxmlformats.org/officeDocument/2006/relationships/hyperlink" Target="http://www.prisonreformtrust.org.uk/Portals/0/Documents/Counted%20Out.pdf" TargetMode="External"/><Relationship Id="rId151" Type="http://schemas.openxmlformats.org/officeDocument/2006/relationships/hyperlink" Target="https://www.amnesty.org.uk/files/2017-12/A%20Matter%20Of%20Routine%20ADVANCE%20COPY.PDF?ya06n1Z2uH6J0bP8HmO7R2Pn7nabDymO" TargetMode="External"/><Relationship Id="rId368" Type="http://schemas.openxmlformats.org/officeDocument/2006/relationships/hyperlink" Target="http://www.nottinghamwomenscentre.com/wp-content/uploads/2018/07/Misogyny-Hate-Crime-Evaluation-Report-June-2018.pdf" TargetMode="External"/><Relationship Id="rId389" Type="http://schemas.openxmlformats.org/officeDocument/2006/relationships/hyperlink" Target="http://scyj.org.uk/wp-content/uploads/2017/09/SCYJ-briefing-Age-of-Criminal-Responsibility-Bill.pdf" TargetMode="External"/><Relationship Id="rId172" Type="http://schemas.openxmlformats.org/officeDocument/2006/relationships/hyperlink" Target="https://www.equalityhumanrights.com/en/legal-responses/response-ministry-justice-consultation-proposals-expedited-appeals-process-detained" TargetMode="External"/><Relationship Id="rId193" Type="http://schemas.openxmlformats.org/officeDocument/2006/relationships/hyperlink" Target="https://www.cqc.org.uk/sites/default/files/20171103_cypmhphase1_report.pdf" TargetMode="External"/><Relationship Id="rId207" Type="http://schemas.openxmlformats.org/officeDocument/2006/relationships/hyperlink" Target="https://www.justiceinspectorates.gov.uk/hmiprisons/wp-content/uploads/sites/4/2018/07/6.4472_HMI-Prisons_AR-2017-18_Content_A4_Final_WEB.pdf" TargetMode="External"/><Relationship Id="rId228" Type="http://schemas.openxmlformats.org/officeDocument/2006/relationships/hyperlink" Target="https://digital.nhs.uk/data-and-information/find-data-and-publications/supplementary-information/2018-supplementary-information-files/lda---restraints-assaults-and-self-harm-data-2016-2018" TargetMode="External"/><Relationship Id="rId249" Type="http://schemas.openxmlformats.org/officeDocument/2006/relationships/hyperlink" Target="https://assets.publishing.service.gov.uk/government/uploads/system/uploads/attachment_data/file/747335/tackling-racial-disparity-criminal-justice-system-2018-update-web.pdf" TargetMode="External"/><Relationship Id="rId13" Type="http://schemas.openxmlformats.org/officeDocument/2006/relationships/hyperlink" Target="https://tbinternet.ohchr.org/_layouts/treatybodyexternal/Download.aspx?symbolno=CAT/C/GBR/CO/5&amp;Lang=En" TargetMode="External"/><Relationship Id="rId109" Type="http://schemas.openxmlformats.org/officeDocument/2006/relationships/hyperlink" Target="https://howardleague.org/publications/preventing-prison-suicide-2/" TargetMode="External"/><Relationship Id="rId260" Type="http://schemas.openxmlformats.org/officeDocument/2006/relationships/hyperlink" Target="https://www.childrenscommissioner.gov.uk/publication/speaking-up-when-children-and-young-people-want-to-complain-about-school/" TargetMode="External"/><Relationship Id="rId281" Type="http://schemas.openxmlformats.org/officeDocument/2006/relationships/hyperlink" Target="https://www.opensocietyfoundations.org/reports/eroding-trust-uk-s-prevent-counter-extremism-strategy-health-and-education" TargetMode="External"/><Relationship Id="rId316" Type="http://schemas.openxmlformats.org/officeDocument/2006/relationships/hyperlink" Target="https://www.theguardian.com/uk-news/2018/jan/22/uk-home-office-tells-stateless-man-go-home" TargetMode="External"/><Relationship Id="rId337" Type="http://schemas.openxmlformats.org/officeDocument/2006/relationships/hyperlink" Target="http://www.assembly.wales/laid%20documents/gen-ld11618/gen-ld11618-e.pdf" TargetMode="External"/><Relationship Id="rId34" Type="http://schemas.openxmlformats.org/officeDocument/2006/relationships/hyperlink" Target="https://www.parliament.uk/business/publications/written-questions-answers-statements/written-statement/Commons/2018-06-28/HCWS808/" TargetMode="External"/><Relationship Id="rId55" Type="http://schemas.openxmlformats.org/officeDocument/2006/relationships/hyperlink" Target="https://www.gov.uk/government/statistics/legal-aid-statistics-july-to-september-2018" TargetMode="External"/><Relationship Id="rId76" Type="http://schemas.openxmlformats.org/officeDocument/2006/relationships/hyperlink" Target="https://www.antislavery.org/brexit-modern-slavery/" TargetMode="External"/><Relationship Id="rId97" Type="http://schemas.openxmlformats.org/officeDocument/2006/relationships/hyperlink" Target="https://www.parliament.uk/business/publications/written-questions-answers-statements/written-statement/Lords/2017-01-12/HLWS412/" TargetMode="External"/><Relationship Id="rId120" Type="http://schemas.openxmlformats.org/officeDocument/2006/relationships/hyperlink" Target="https://www.gov.uk/government/publications/female-offender-strategy" TargetMode="External"/><Relationship Id="rId141" Type="http://schemas.openxmlformats.org/officeDocument/2006/relationships/hyperlink" Target="https://www.gov.uk/government/news/yjb-response-to-medway-improvement-board-report" TargetMode="External"/><Relationship Id="rId358" Type="http://schemas.openxmlformats.org/officeDocument/2006/relationships/hyperlink" Target="https://www.iicsa.org.uk/reports/interim" TargetMode="External"/><Relationship Id="rId379" Type="http://schemas.openxmlformats.org/officeDocument/2006/relationships/hyperlink" Target="https://assets.publishing.service.gov.uk/government/uploads/system/uploads/attachment_data/file/748175/Hate_crime_refresh_2018_FINAL_WEB.PDF" TargetMode="External"/><Relationship Id="rId7" Type="http://schemas.openxmlformats.org/officeDocument/2006/relationships/hyperlink" Target="https://assets.publishing.service.gov.uk/government/uploads/system/uploads/attachment_data/file/725288/The_future_relationship_between_the_United_Kingdom_and_the_European_Union.pdf" TargetMode="External"/><Relationship Id="rId162" Type="http://schemas.openxmlformats.org/officeDocument/2006/relationships/hyperlink" Target="https://www.equalityhumanrights.com/sites/default/files/human_rights_framework_2.pdf" TargetMode="External"/><Relationship Id="rId183" Type="http://schemas.openxmlformats.org/officeDocument/2006/relationships/hyperlink" Target="https://twitter.com/ehrc/status/1073247695056355338?lang=en-gb" TargetMode="External"/><Relationship Id="rId218" Type="http://schemas.openxmlformats.org/officeDocument/2006/relationships/hyperlink" Target="https://files.api.ofsted.gov.uk/v1/file/50004467" TargetMode="External"/><Relationship Id="rId239" Type="http://schemas.openxmlformats.org/officeDocument/2006/relationships/hyperlink" Target="https://www.gov.uk/government/consultations/restraint-and-restrictive-intervention-draft-guidance" TargetMode="External"/><Relationship Id="rId390" Type="http://schemas.openxmlformats.org/officeDocument/2006/relationships/hyperlink" Target="http://www.crae.org.uk/media/123783/CRAE-second-reading-AOCR-PMB-Sept-17.pdf" TargetMode="External"/><Relationship Id="rId250" Type="http://schemas.openxmlformats.org/officeDocument/2006/relationships/hyperlink" Target="https://www.gov.uk/guidance/social-care-common-inspection-framework-sccif-boarding-schools/5-evaluation-criteria" TargetMode="External"/><Relationship Id="rId271" Type="http://schemas.openxmlformats.org/officeDocument/2006/relationships/hyperlink" Target="https://www.libertyhumanrights.org.uk/sites/default/files/Liberty%27s%20Briefing%20on%20the%20Counter-Terrorism%20and%20Border%20Security%20Bill%20for%20Second%20Reading%20in%20the%20House%20of%20Lords.pdf" TargetMode="External"/><Relationship Id="rId292" Type="http://schemas.openxmlformats.org/officeDocument/2006/relationships/hyperlink" Target="http://www.wales.nhs.uk/news/42223" TargetMode="External"/><Relationship Id="rId306" Type="http://schemas.openxmlformats.org/officeDocument/2006/relationships/hyperlink" Target="https://socialcare.wales/research-and-data/research-on-care-finder/a-delicate-balancehealth-and-social-care-spending-in-wales" TargetMode="External"/><Relationship Id="rId24" Type="http://schemas.openxmlformats.org/officeDocument/2006/relationships/hyperlink" Target="https://www.theguardian.com/news/2018/jun/07/british-troops-war-crimes-iraq-historic-allegations-team" TargetMode="External"/><Relationship Id="rId45" Type="http://schemas.openxmlformats.org/officeDocument/2006/relationships/hyperlink" Target="https://publications.parliament.uk/pa/jt201719/jtselect/jtrights/669/669.pdf" TargetMode="External"/><Relationship Id="rId66" Type="http://schemas.openxmlformats.org/officeDocument/2006/relationships/hyperlink" Target="https://gov.wales/newsroom/firstminister/2017/170918-first-minister-establishes-commission-on-justice-in-wales/?lang=en" TargetMode="External"/><Relationship Id="rId87" Type="http://schemas.openxmlformats.org/officeDocument/2006/relationships/hyperlink" Target="https://www.gov.uk/government/publications/independent-anti-slavery-commissioner-letter-of-resignation" TargetMode="External"/><Relationship Id="rId110" Type="http://schemas.openxmlformats.org/officeDocument/2006/relationships/hyperlink" Target="https://publications.parliament.uk/pa/cm201719/cmselect/cmpubacc/400/400.pdf" TargetMode="External"/><Relationship Id="rId131" Type="http://schemas.openxmlformats.org/officeDocument/2006/relationships/hyperlink" Target="https://s3-eu-west-2.amazonaws.com/ppo-dev-storage-4dvljl6iqfyh/uploads/2017/01/PPO-Learning-Lessons-Bulletin_Transgender-prisoners_Final_WEB_Jan-17.pdf" TargetMode="External"/><Relationship Id="rId327" Type="http://schemas.openxmlformats.org/officeDocument/2006/relationships/hyperlink" Target="https://www.theguardian.com/uk-news/2018/feb/21/john-worboys-victims-win-human-rights-case-against-police" TargetMode="External"/><Relationship Id="rId348" Type="http://schemas.openxmlformats.org/officeDocument/2006/relationships/hyperlink" Target="https://www.womensaid.org.uk/survival-beyond-report/" TargetMode="External"/><Relationship Id="rId369" Type="http://schemas.openxmlformats.org/officeDocument/2006/relationships/hyperlink" Target="https://www.gov.uk/government/statistics/hate-crime-england-and-wales-2017-to-2018" TargetMode="External"/><Relationship Id="rId152" Type="http://schemas.openxmlformats.org/officeDocument/2006/relationships/hyperlink" Target="https://www.bma.org.uk/collective-voice/policy-and-research/ethics/health-and-human-rights-in-immigration-detention" TargetMode="External"/><Relationship Id="rId173" Type="http://schemas.openxmlformats.org/officeDocument/2006/relationships/hyperlink" Target="http://www.unhcr.org/uk/57515da27.pdf" TargetMode="External"/><Relationship Id="rId194" Type="http://schemas.openxmlformats.org/officeDocument/2006/relationships/hyperlink" Target="https://www.cqc.org.uk/sites/default/files/20180308b_arewelistening_report.pdf" TargetMode="External"/><Relationship Id="rId208" Type="http://schemas.openxmlformats.org/officeDocument/2006/relationships/hyperlink" Target="https://assets.publishing.service.gov.uk/government/uploads/system/uploads/attachment_data/file/747335/tackling-racial-disparity-criminal-justice-system-2018-update-web.pdf" TargetMode="External"/><Relationship Id="rId229" Type="http://schemas.openxmlformats.org/officeDocument/2006/relationships/hyperlink" Target="https://gov.wales/caec/publications/childrenandyoungpeople/physicalintervention/frameworken.pdf?lang=en" TargetMode="External"/><Relationship Id="rId380" Type="http://schemas.openxmlformats.org/officeDocument/2006/relationships/hyperlink" Target="https://gov.wales/topics/people-and-communities/equality-diversity/rightsequality/hate-crime/?lang=en" TargetMode="External"/><Relationship Id="rId240" Type="http://schemas.openxmlformats.org/officeDocument/2006/relationships/hyperlink" Target="https://assets.publishing.service.gov.uk/government/uploads/system/uploads/attachment_data/file/655401/Report_of_Angiolini_Review_ISBN_Accessible.pdf" TargetMode="External"/><Relationship Id="rId261" Type="http://schemas.openxmlformats.org/officeDocument/2006/relationships/hyperlink" Target="https://tbinternet.ohchr.org/_layouts/treatybodyexternal/Download.aspx?symbolno=CAT/C/GBR/CO/5&amp;Lang=En" TargetMode="External"/><Relationship Id="rId14" Type="http://schemas.openxmlformats.org/officeDocument/2006/relationships/hyperlink" Target="https://assets.publishing.service.gov.uk/government/uploads/system/uploads/attachment_data/file/663316/uk-6th-periodic-report-under-cat.pdf" TargetMode="External"/><Relationship Id="rId35" Type="http://schemas.openxmlformats.org/officeDocument/2006/relationships/hyperlink" Target="https://www.gov.uk/government/publications/legal-aid-reform-in-england-and-wales-the-government-response" TargetMode="External"/><Relationship Id="rId56" Type="http://schemas.openxmlformats.org/officeDocument/2006/relationships/hyperlink" Target="https://assets.publishing.service.gov.uk/government/uploads/system/uploads/attachment_data/file/777038/post-implementation-review-of-part-1-of-laspo.pdf" TargetMode="External"/><Relationship Id="rId77" Type="http://schemas.openxmlformats.org/officeDocument/2006/relationships/hyperlink" Target="https://www.parliament.uk/business/publications/written-questions-answers-statements/written-question/Commons/2018-11-21/194087/" TargetMode="External"/><Relationship Id="rId100" Type="http://schemas.openxmlformats.org/officeDocument/2006/relationships/hyperlink" Target="https://www.justiceinspectorates.gov.uk/hmiprisons/inspections/life-in-prison-living-conditions/" TargetMode="External"/><Relationship Id="rId282" Type="http://schemas.openxmlformats.org/officeDocument/2006/relationships/hyperlink" Target="https://www.theguardian.com/uk-news/2018/jul/23/uk-will-not-oppose-us-death-penalty-for-isis-beatles" TargetMode="External"/><Relationship Id="rId317" Type="http://schemas.openxmlformats.org/officeDocument/2006/relationships/hyperlink" Target="https://prcbc.files.wordpress.com/2015/08/briefing-on-fees1.pdf" TargetMode="External"/><Relationship Id="rId338" Type="http://schemas.openxmlformats.org/officeDocument/2006/relationships/hyperlink" Target="http://www.legislation.gov.uk/ukpga/2015/9/contents/enacted" TargetMode="External"/><Relationship Id="rId359" Type="http://schemas.openxmlformats.org/officeDocument/2006/relationships/hyperlink" Target="https://www.rotherham.gov.uk/downloads/file/1407/independent_inquiry_cse_in_rotherham" TargetMode="External"/><Relationship Id="rId8" Type="http://schemas.openxmlformats.org/officeDocument/2006/relationships/hyperlink" Target="https://www.parliament.uk/documents/lords-committees/eu-justice-subcommittee/CWM/EAtoLB-PolDeclationReferencetoECHR040119.pdf" TargetMode="External"/><Relationship Id="rId98" Type="http://schemas.openxmlformats.org/officeDocument/2006/relationships/hyperlink" Target="https://publications.parliament.uk/pa/cm201314/cmhansrd/cm140327/wmstext/140327m0001.htm" TargetMode="External"/><Relationship Id="rId121" Type="http://schemas.openxmlformats.org/officeDocument/2006/relationships/hyperlink" Target="https://www.cardiff.ac.uk/__data/assets/pdf_file/0010/1417339/Sentencing-and-Immediate-Custody-in-Wales-A-Factfile-140119.pdf" TargetMode="External"/><Relationship Id="rId142" Type="http://schemas.openxmlformats.org/officeDocument/2006/relationships/hyperlink" Target="https://www.gov.uk/government/publications/medway-improvement-board-report-and-moj-response-to-its-recommendations" TargetMode="External"/><Relationship Id="rId163" Type="http://schemas.openxmlformats.org/officeDocument/2006/relationships/hyperlink" Target="https://www.gov.uk/government/publications/adults-at-risk-in-immigration-detention" TargetMode="External"/><Relationship Id="rId184" Type="http://schemas.openxmlformats.org/officeDocument/2006/relationships/hyperlink" Target="https://www.gov.uk/government/publications/mental-health-act-independent-review/terms-of-reference-independent-review-of-the-mental-health-act-1983" TargetMode="External"/><Relationship Id="rId219" Type="http://schemas.openxmlformats.org/officeDocument/2006/relationships/hyperlink" Target="http://www.mscb.org.uk/pdf/MSCB%20-%20Medway%20STC%20Overview%20Report%20-%20Final%20Version1.pdf" TargetMode="External"/><Relationship Id="rId370" Type="http://schemas.openxmlformats.org/officeDocument/2006/relationships/hyperlink" Target="https://assets.publishing.service.gov.uk/government/uploads/system/uploads/attachment_data/file/748598/hate-crime-1718-hosb2018.pdf" TargetMode="External"/><Relationship Id="rId391" Type="http://schemas.openxmlformats.org/officeDocument/2006/relationships/hyperlink" Target="https://dera.ioe.ac.uk/7996/1/Cross_national_final.pdf" TargetMode="External"/><Relationship Id="rId230" Type="http://schemas.openxmlformats.org/officeDocument/2006/relationships/hyperlink" Target="https://gov.wales/docs/dhss/publications/160920mentalacten.pdf" TargetMode="External"/><Relationship Id="rId251" Type="http://schemas.openxmlformats.org/officeDocument/2006/relationships/hyperlink" Target="https://assets.publishing.service.gov.uk/government/uploads/system/uploads/attachment_data/file/730127/School_inspection_handbook_section_5_270718.pdf" TargetMode="External"/><Relationship Id="rId25" Type="http://schemas.openxmlformats.org/officeDocument/2006/relationships/hyperlink" Target="https://www.theguardian.com/uk-news/2014/dec/17/al-sweady-inquiry-uk-troops-mistreated-iraqi-prisoners-not-murder" TargetMode="External"/><Relationship Id="rId46" Type="http://schemas.openxmlformats.org/officeDocument/2006/relationships/hyperlink" Target="https://assets.publishing.service.gov.uk/government/uploads/system/uploads/attachment_data/file/777038/post-implementation-review-of-part-1-of-laspo.pdf" TargetMode="External"/><Relationship Id="rId67" Type="http://schemas.openxmlformats.org/officeDocument/2006/relationships/hyperlink" Target="https://beta.gov.wales/commission-justice-wales" TargetMode="External"/><Relationship Id="rId272" Type="http://schemas.openxmlformats.org/officeDocument/2006/relationships/hyperlink" Target="https://tbinternet.ohchr.org/_layouts/treatybodyexternal/Download.aspx?symbolno=CCPR/C/GBR/CO/7&amp;Lang=En" TargetMode="External"/><Relationship Id="rId293" Type="http://schemas.openxmlformats.org/officeDocument/2006/relationships/hyperlink" Target="https://www.england.nhs.uk/wp-content/uploads/2017/03/nqb-national-guidance-learning-from-deaths.pdf" TargetMode="External"/><Relationship Id="rId307" Type="http://schemas.openxmlformats.org/officeDocument/2006/relationships/hyperlink" Target="https://digital.nhs.uk/data-and-information/publications/statistical/safeguarding-adults/2016-17" TargetMode="External"/><Relationship Id="rId328" Type="http://schemas.openxmlformats.org/officeDocument/2006/relationships/hyperlink" Target="https://www.justiceinspectorates.gov.uk/hmicfrs/publications/the-depths-of-dishonour/" TargetMode="External"/><Relationship Id="rId349" Type="http://schemas.openxmlformats.org/officeDocument/2006/relationships/hyperlink" Target="http://www.welshwomensaid.org.uk/2017/12/welsh-womens-aid-state-sector-report-2017/" TargetMode="External"/><Relationship Id="rId88" Type="http://schemas.openxmlformats.org/officeDocument/2006/relationships/hyperlink" Target="https://www.independent.co.uk/news/uk/home-news/uk-modern-slavery-tsar-home-office-sara-thornton-police-thames-valley-oxfordd-grooming-kevin-hyland-a8760881.html" TargetMode="External"/><Relationship Id="rId111" Type="http://schemas.openxmlformats.org/officeDocument/2006/relationships/hyperlink" Target="https://assets.publishing.service.gov.uk/government/uploads/system/uploads/attachment_data/file/750582/safety-in-custody-bulletin-2018-q2.pdf" TargetMode="External"/><Relationship Id="rId132" Type="http://schemas.openxmlformats.org/officeDocument/2006/relationships/hyperlink" Target="https://assets.publishing.service.gov.uk/government/uploads/system/uploads/attachment_data/file/774866/youth_justice_statistics_bulletin_2017_2018.pdf" TargetMode="External"/><Relationship Id="rId153" Type="http://schemas.openxmlformats.org/officeDocument/2006/relationships/hyperlink" Target="https://www.barcouncil.org.uk/media/623583/171130_injustice_in_immigration_detention_dr_anna_lindley.pdf" TargetMode="External"/><Relationship Id="rId174" Type="http://schemas.openxmlformats.org/officeDocument/2006/relationships/hyperlink" Target="https://digital.nhs.uk/data-and-information/publications/statistical/mental-health-act-statistics-annual-figures/2017-18-annual-figures" TargetMode="External"/><Relationship Id="rId195" Type="http://schemas.openxmlformats.org/officeDocument/2006/relationships/hyperlink" Target="https://www.childrenscommissioner.gov.uk/publication/childrens-mental-health-briefing/" TargetMode="External"/><Relationship Id="rId209" Type="http://schemas.openxmlformats.org/officeDocument/2006/relationships/hyperlink" Target="https://www.gov.uk/government/news/prison-officer-safety-equipment-rolled-out" TargetMode="External"/><Relationship Id="rId360" Type="http://schemas.openxmlformats.org/officeDocument/2006/relationships/hyperlink" Target="https://www.iicsa.org.uk/reports/cici" TargetMode="External"/><Relationship Id="rId381" Type="http://schemas.openxmlformats.org/officeDocument/2006/relationships/hyperlink" Target="https://www.justiceinspectorates.gov.uk/cjji/wp-content/uploads/sites/2/2018/10/CJJI_DHC_thm_Oct18._rpt.pdf" TargetMode="External"/><Relationship Id="rId220" Type="http://schemas.openxmlformats.org/officeDocument/2006/relationships/hyperlink" Target="https://www.justiceinspectorates.gov.uk/hmiprisons/wp-content/uploads/sites/4/2018/07/6.4472_HMI-Prisons_AR-2017-18_Content_A4_Final_WEB.pdf" TargetMode="External"/><Relationship Id="rId241" Type="http://schemas.openxmlformats.org/officeDocument/2006/relationships/hyperlink" Target="http://solitaryconfinement.org/uploads/Unlocking_Potential_-_supporting_research_1.pdf" TargetMode="External"/><Relationship Id="rId15" Type="http://schemas.openxmlformats.org/officeDocument/2006/relationships/hyperlink" Target="https://publications.parliament.uk/pa/jt200506/jtselect/jtrights/185/185we28.htm" TargetMode="External"/><Relationship Id="rId36" Type="http://schemas.openxmlformats.org/officeDocument/2006/relationships/hyperlink" Target="https://www.equalityhumanrights.com/sites/default/files/consultation-response-on-post-implementation-review-of-laspo-september-2018.doc" TargetMode="External"/><Relationship Id="rId57" Type="http://schemas.openxmlformats.org/officeDocument/2006/relationships/hyperlink" Target="https://assets.publishing.service.gov.uk/government/uploads/system/uploads/attachment_data/file/777038/post-implementation-review-of-part-1-of-laspo.pdf" TargetMode="External"/><Relationship Id="rId262" Type="http://schemas.openxmlformats.org/officeDocument/2006/relationships/hyperlink" Target="http://www.legislation.gov.uk/mwa/2011/2/contents" TargetMode="External"/><Relationship Id="rId283" Type="http://schemas.openxmlformats.org/officeDocument/2006/relationships/hyperlink" Target="https://www.parliament.uk/business/publications/written-questions-answers-statements/written-question/Lords/2018-07-24/HL9890/" TargetMode="External"/><Relationship Id="rId318" Type="http://schemas.openxmlformats.org/officeDocument/2006/relationships/hyperlink" Target="https://www.ein.org.uk/news/liverpool-law-clinic-examines-implementation-uks-statelessness-application-procedure" TargetMode="External"/><Relationship Id="rId339" Type="http://schemas.openxmlformats.org/officeDocument/2006/relationships/hyperlink" Target="https://www.independent.co.uk/news/uk/crime/fgm-first-uk-conviction-mother-three-year-old-female-genital-mutilation-witchcraft-london-a8758641.html" TargetMode="External"/><Relationship Id="rId78" Type="http://schemas.openxmlformats.org/officeDocument/2006/relationships/hyperlink" Target="https://www.labourexploitation.org/publications/flex-working-paper-access-compensation-victims-human-trafficking" TargetMode="External"/><Relationship Id="rId99" Type="http://schemas.openxmlformats.org/officeDocument/2006/relationships/hyperlink" Target="https://s3-eu-west-2.amazonaws.com/npm-prod-storage-19n0nag2nk8xk/uploads/2018/02/6.4122_NPM_AR2016-17_v4_web.pdf" TargetMode="External"/><Relationship Id="rId101" Type="http://schemas.openxmlformats.org/officeDocument/2006/relationships/hyperlink" Target="https://assets.publishing.service.gov.uk/government/uploads/system/uploads/attachment_data/file/747823/annual-hmpps-digest-2017-18.pdf" TargetMode="External"/><Relationship Id="rId122" Type="http://schemas.openxmlformats.org/officeDocument/2006/relationships/hyperlink" Target="https://www.clinks.org/community/blog-posts/ensuring-distinct-approach-ministry-justice-launch-their-female-offender" TargetMode="External"/><Relationship Id="rId143" Type="http://schemas.openxmlformats.org/officeDocument/2006/relationships/hyperlink" Target="https://www.gov.uk/government/publications/review-of-the-youth-justice-system" TargetMode="External"/><Relationship Id="rId164" Type="http://schemas.openxmlformats.org/officeDocument/2006/relationships/hyperlink" Target="https://assets.publishing.service.gov.uk/government/uploads/system/uploads/attachment_data/file/721603/adults-at-risk-policy-guidance_v3.pdf" TargetMode="External"/><Relationship Id="rId185" Type="http://schemas.openxmlformats.org/officeDocument/2006/relationships/hyperlink" Target="https://assets.publishing.service.gov.uk/government/uploads/system/uploads/attachment_data/file/762206/MHA_reviewFINAL.pdf" TargetMode="External"/><Relationship Id="rId350" Type="http://schemas.openxmlformats.org/officeDocument/2006/relationships/hyperlink" Target="https://rapecrisis.org.uk/media/1920/report-on-funding-and-commissioning-of-sv-and-abuse-services-2018.pdf" TargetMode="External"/><Relationship Id="rId371" Type="http://schemas.openxmlformats.org/officeDocument/2006/relationships/hyperlink" Target="https://www.gov.uk/government/statistics/hate-crime-england-and-wales-2016-%20to-2017" TargetMode="External"/><Relationship Id="rId9" Type="http://schemas.openxmlformats.org/officeDocument/2006/relationships/hyperlink" Target="https://www.parliament.uk/business/lords/media-centre/house-of-lords-media-notices/2019/january-2019/human-rights-act-is-not-safe-after-brexit" TargetMode="External"/><Relationship Id="rId210" Type="http://schemas.openxmlformats.org/officeDocument/2006/relationships/hyperlink" Target="https://rm.coe.int/168070a773" TargetMode="External"/><Relationship Id="rId26" Type="http://schemas.openxmlformats.org/officeDocument/2006/relationships/hyperlink" Target="https://www.gov.uk/guidance/service-police-legacy-investigations" TargetMode="External"/><Relationship Id="rId231" Type="http://schemas.openxmlformats.org/officeDocument/2006/relationships/hyperlink" Target="https://www.mind.org.uk/media/24416468/restraintguidanceweb1.pdf" TargetMode="External"/><Relationship Id="rId252" Type="http://schemas.openxmlformats.org/officeDocument/2006/relationships/hyperlink" Target="https://www.justice.gov.uk/offenders/psis/prison-service-instructions-2012" TargetMode="External"/><Relationship Id="rId273" Type="http://schemas.openxmlformats.org/officeDocument/2006/relationships/hyperlink" Target="https://www.matrixlaw.co.uk/judgments/court-ordered-a-closed-material-procedure-for-two-claimants-within-the-iraqi-civilian-group-litigation/" TargetMode="External"/><Relationship Id="rId294" Type="http://schemas.openxmlformats.org/officeDocument/2006/relationships/hyperlink" Target="https://www.equalityhumanrights.com/sites/default/files/written_evidence_submitted_to_the_draft_health_service_safety_investigations_bill_committee_june_2018.pdf" TargetMode="External"/><Relationship Id="rId308" Type="http://schemas.openxmlformats.org/officeDocument/2006/relationships/hyperlink" Target="https://digital.nhs.uk/data-and-information/publications/statistical/safeguarding-adults/2016-17" TargetMode="External"/><Relationship Id="rId329" Type="http://schemas.openxmlformats.org/officeDocument/2006/relationships/hyperlink" Target="https://www.gov.uk/government/publications/domestic-violence-protection-orders" TargetMode="External"/><Relationship Id="rId47" Type="http://schemas.openxmlformats.org/officeDocument/2006/relationships/hyperlink" Target="https://assets.publishing.service.gov.uk/government/uploads/system/uploads/attachment_data/file/777036/legal-support-the-way-ahead.pdf" TargetMode="External"/><Relationship Id="rId68" Type="http://schemas.openxmlformats.org/officeDocument/2006/relationships/hyperlink" Target="http://www.legislation.gov.uk/ukpga/2015/30/contents/enacted" TargetMode="External"/><Relationship Id="rId89" Type="http://schemas.openxmlformats.org/officeDocument/2006/relationships/hyperlink" Target="http://webarchive.nationalarchives.gov.uk/20141202113228/https:/nrm.homeoffice.gov.uk/documents/2014/11/nrm-final-report.pdf" TargetMode="External"/><Relationship Id="rId112" Type="http://schemas.openxmlformats.org/officeDocument/2006/relationships/hyperlink" Target="https://www.cardiff.ac.uk/__data/assets/pdf_file/0008/1195577/Imprisonment-in-Wales-A-Factfile.pdf" TargetMode="External"/><Relationship Id="rId133" Type="http://schemas.openxmlformats.org/officeDocument/2006/relationships/hyperlink" Target="https://www.justiceinspectorates.gov.uk/hmiprisons/wp-content/uploads/sites/4/2019/01/6.5164_HMI_Children-in-Custody-2017-18_A4_v10_web.pdf" TargetMode="External"/><Relationship Id="rId154" Type="http://schemas.openxmlformats.org/officeDocument/2006/relationships/hyperlink" Target="https://www.gov.uk/government/statistics/immigration-statistics-year-ending-september-2018" TargetMode="External"/><Relationship Id="rId175" Type="http://schemas.openxmlformats.org/officeDocument/2006/relationships/hyperlink" Target="https://gov.wales/docs/statistics/2018/180131-admission-patients-mental-health-facilities-2016-17-en.pdf" TargetMode="External"/><Relationship Id="rId340" Type="http://schemas.openxmlformats.org/officeDocument/2006/relationships/hyperlink" Target="https://gov.wales/about/cabinet/cabinetstatements/previous-administration/2013/fgm/?lang=en" TargetMode="External"/><Relationship Id="rId361" Type="http://schemas.openxmlformats.org/officeDocument/2006/relationships/hyperlink" Target="https://www.victimsupport.org.uk/more-us/press/press-releases/charity-coalition-responds-updated-cica-guidelines-child-sexual-abuse" TargetMode="External"/><Relationship Id="rId196" Type="http://schemas.openxmlformats.org/officeDocument/2006/relationships/hyperlink" Target="https://www.equalityhumanrights.com/en/publication-download/wales-fairer-2018" TargetMode="External"/><Relationship Id="rId200" Type="http://schemas.openxmlformats.org/officeDocument/2006/relationships/hyperlink" Target="https://epi.org.uk/wp-content/uploads/2018/10/EPI_Access-to-CAMHS-2018.pdf" TargetMode="External"/><Relationship Id="rId382" Type="http://schemas.openxmlformats.org/officeDocument/2006/relationships/hyperlink" Target="https://assets.publishing.service.gov.uk/government/uploads/system/uploads/attachment_data/file/746930/victim-strategy.pdf" TargetMode="External"/><Relationship Id="rId16" Type="http://schemas.openxmlformats.org/officeDocument/2006/relationships/hyperlink" Target="https://tbinternet.ohchr.org/_layouts/treatybodyexternal/Download.aspx?symbolno=CAT%20per%20cent2FC%20per%20cent2F67%20per%20cent2FAdd.2&amp;Lang=en" TargetMode="External"/><Relationship Id="rId221" Type="http://schemas.openxmlformats.org/officeDocument/2006/relationships/hyperlink" Target="https://www.parliament.uk/documents/commons-committees/Justice/correspondence/Letter%20dated%2018%20Nov%202018%20from%20Edward%20Argar%20on%20use%20of%20pain%20inducing%20techniques%20in%20the%20youth%20secure%20estate.pdf" TargetMode="External"/><Relationship Id="rId242" Type="http://schemas.openxmlformats.org/officeDocument/2006/relationships/hyperlink" Target="https://tbinternet.ohchr.org/_layouts/treatybodyexternal/Download.aspx?symbolno=CRPD/C/GBR/CO/1&amp;Lang=En" TargetMode="External"/><Relationship Id="rId263" Type="http://schemas.openxmlformats.org/officeDocument/2006/relationships/hyperlink" Target="https://beta.gov.wales/legislative-proposal-remove-defence-reasonable-punishment" TargetMode="External"/><Relationship Id="rId284" Type="http://schemas.openxmlformats.org/officeDocument/2006/relationships/hyperlink" Target="https://assets.publishing.service.gov.uk/government/uploads/system/uploads/attachment_data/file/583304/OSJA_Guidance_2017.pdf" TargetMode="External"/><Relationship Id="rId319" Type="http://schemas.openxmlformats.org/officeDocument/2006/relationships/hyperlink" Target="https://assets.publishing.service.gov.uk/government/uploads/system/uploads/attachment_data/file/501509/Statelessness_AI_v2.0__EXT_.pdf" TargetMode="External"/><Relationship Id="rId37" Type="http://schemas.openxmlformats.org/officeDocument/2006/relationships/hyperlink" Target="https://www.equalityhumanrights.com/en/inquiries-and-investigations/legal-aid-victims-discrimination-our-inquiry" TargetMode="External"/><Relationship Id="rId58" Type="http://schemas.openxmlformats.org/officeDocument/2006/relationships/hyperlink" Target="https://assets.publishing.service.gov.uk/government/uploads/system/uploads/attachment_data/file/777036/legal-support-the-way-ahead.pdf" TargetMode="External"/><Relationship Id="rId79" Type="http://schemas.openxmlformats.org/officeDocument/2006/relationships/hyperlink" Target="https://www.gov.uk/government/news/modern-slavery-victims-to-receive-longer-period-of-support" TargetMode="External"/><Relationship Id="rId102" Type="http://schemas.openxmlformats.org/officeDocument/2006/relationships/hyperlink" Target="https://www.cardiff.ac.uk/__data/assets/pdf_file/0010/1417339/Sentencing-and-Immediate-Custody-in-Wales-A-Factfile-140119.pdf" TargetMode="External"/><Relationship Id="rId123" Type="http://schemas.openxmlformats.org/officeDocument/2006/relationships/hyperlink" Target="https://weareagenda.org/wp-content/uploads/2018/07/Letter-from-David-Gauke-re-ABFO-letter-11.7.18.pdf" TargetMode="External"/><Relationship Id="rId144" Type="http://schemas.openxmlformats.org/officeDocument/2006/relationships/hyperlink" Target="https://assets.publishing.service.gov.uk/government/uploads/system/uploads/attachment_data/file/712904/secure-schools-vision.pdf" TargetMode="External"/><Relationship Id="rId330" Type="http://schemas.openxmlformats.org/officeDocument/2006/relationships/hyperlink" Target="https://www.cps.gov.uk/legal-guidance/domestic-abuse-guidelines-prosecutors" TargetMode="External"/><Relationship Id="rId90" Type="http://schemas.openxmlformats.org/officeDocument/2006/relationships/hyperlink" Target="https://www.gov.uk/government/news/modern-slavery-taskforce-agrees-new-measures-to-support-victims" TargetMode="External"/><Relationship Id="rId165" Type="http://schemas.openxmlformats.org/officeDocument/2006/relationships/hyperlink" Target="https://assets.publishing.service.gov.uk/government/uploads/system/uploads/attachment_data/file/728376/Shaw_report_2018_Final_web_accessible.pdf" TargetMode="External"/><Relationship Id="rId186" Type="http://schemas.openxmlformats.org/officeDocument/2006/relationships/hyperlink" Target="https://gov.wales/topics/health/nhswales/mental-health-services/law/measure/?lang=en" TargetMode="External"/><Relationship Id="rId351" Type="http://schemas.openxmlformats.org/officeDocument/2006/relationships/hyperlink" Target="https://assets.publishing.service.gov.uk/government/uploads/system/uploads/attachment_data/file/721495/Fund_for_domestic_abuse_services_2018-20_prospectus.pdf" TargetMode="External"/><Relationship Id="rId372" Type="http://schemas.openxmlformats.org/officeDocument/2006/relationships/hyperlink" Target="https://www.sussex.ac.uk/webteam/gateway/file.php?name=final-report---hate-crime-and-the-legal-process.pdf&amp;site=539" TargetMode="External"/><Relationship Id="rId211" Type="http://schemas.openxmlformats.org/officeDocument/2006/relationships/hyperlink" Target="https://www.gov.uk/government/news/prison-officer-safety-equipment-rolled-out" TargetMode="External"/><Relationship Id="rId232" Type="http://schemas.openxmlformats.org/officeDocument/2006/relationships/hyperlink" Target="https://www.gov.uk/government/publications/modernising-the-mental-health-act-final-report-from-the-independent-review" TargetMode="External"/><Relationship Id="rId253" Type="http://schemas.openxmlformats.org/officeDocument/2006/relationships/hyperlink" Target="https://s3-eu-west-2.amazonaws.com/ppo-prod-storage-1g9rkhjhkjmgw/uploads/2018/10/PPO_Annual-Report-2017-18_WEB_final.pdf" TargetMode="External"/><Relationship Id="rId274" Type="http://schemas.openxmlformats.org/officeDocument/2006/relationships/hyperlink" Target="https://ukhumanrightsblog.com/wp-content/uploads/2017/10/secret-evidence-and-closed-hearings.pdf" TargetMode="External"/><Relationship Id="rId295" Type="http://schemas.openxmlformats.org/officeDocument/2006/relationships/hyperlink" Target="https://www.hsib.org.uk/about-us" TargetMode="External"/><Relationship Id="rId309" Type="http://schemas.openxmlformats.org/officeDocument/2006/relationships/hyperlink" Target="https://www.equalityhumanrights.com/en/britain-fairer" TargetMode="External"/><Relationship Id="rId27" Type="http://schemas.openxmlformats.org/officeDocument/2006/relationships/hyperlink" Target="https://assets.publishing.service.gov.uk/government/uploads/system/uploads/attachment_data/file/758500/20181120-SPLI_FINAL_QTR_REPORT_Jul-Sep18.pdf" TargetMode="External"/><Relationship Id="rId48" Type="http://schemas.openxmlformats.org/officeDocument/2006/relationships/hyperlink" Target="http://www.legislation.gov.uk/ukpga/2012/10/contents/enacted" TargetMode="External"/><Relationship Id="rId69" Type="http://schemas.openxmlformats.org/officeDocument/2006/relationships/hyperlink" Target="https://assets.publishing.service.gov.uk/government/uploads/system/uploads/attachment_data/file/749346/2018_UK_Annual_Report_on_Modern_Slavery.pdf" TargetMode="External"/><Relationship Id="rId113" Type="http://schemas.openxmlformats.org/officeDocument/2006/relationships/hyperlink" Target="https://www.nao.org.uk/wp-content/uploads/2017/06/Mental-health-in-prisons.pdf" TargetMode="External"/><Relationship Id="rId134" Type="http://schemas.openxmlformats.org/officeDocument/2006/relationships/hyperlink" Target="https://www.justiceinspectorates.gov.uk/hmiprisons/wp-content/uploads/sites/4/2018/07/6.4472_HMI-Prisons_AR-2017-18_Content_A4_Final_WEB.pdf" TargetMode="External"/><Relationship Id="rId320" Type="http://schemas.openxmlformats.org/officeDocument/2006/relationships/hyperlink" Target="https://www.ons.gov.uk/peoplepopulationandcommunity/crimeandjustice/datasets/sexualoffencesappendixtables" TargetMode="External"/><Relationship Id="rId80" Type="http://schemas.openxmlformats.org/officeDocument/2006/relationships/hyperlink" Target="http://www.kalayaan.org.uk/wp-content/uploads/2018/05/QuestionnaireNGOs_EN-17-05-2018-K-ASI.pdf" TargetMode="External"/><Relationship Id="rId155" Type="http://schemas.openxmlformats.org/officeDocument/2006/relationships/hyperlink" Target="https://www.justiceinspectorates.gov.uk/hmiprisons/wp-content/uploads/sites/4/2018/03/Harmondsworth-Web-2017.pdf" TargetMode="External"/><Relationship Id="rId176" Type="http://schemas.openxmlformats.org/officeDocument/2006/relationships/hyperlink" Target="https://www.rethink.org/media/3563402/on-the-road-to-parity-final-report.pdf" TargetMode="External"/><Relationship Id="rId197" Type="http://schemas.openxmlformats.org/officeDocument/2006/relationships/hyperlink" Target="http://www.legislation.gov.uk/ukpga/2017/3/section/81/enacted" TargetMode="External"/><Relationship Id="rId341" Type="http://schemas.openxmlformats.org/officeDocument/2006/relationships/hyperlink" Target="https://www.rcm.org.uk/news-views-and-analysis/news/%E2%80%98a-major-step-in-the-campaign-to-stop-fgm-in-wales%E2%80%99-says-rcm-on-opening" TargetMode="External"/><Relationship Id="rId362" Type="http://schemas.openxmlformats.org/officeDocument/2006/relationships/hyperlink" Target="https://www.gov.uk/government/publications/victims-strategy" TargetMode="External"/><Relationship Id="rId383" Type="http://schemas.openxmlformats.org/officeDocument/2006/relationships/hyperlink" Target="https://www.lawcom.gov.uk/law-commission-review-into-hate-crime-announced/" TargetMode="External"/><Relationship Id="rId201" Type="http://schemas.openxmlformats.org/officeDocument/2006/relationships/hyperlink" Target="https://www.cqc.org.uk/sites/default/files/20180308b_arewelistening_report.pdf" TargetMode="External"/><Relationship Id="rId222" Type="http://schemas.openxmlformats.org/officeDocument/2006/relationships/hyperlink" Target="https://www.childrenscommissioner.gov.uk/wp-content/uploads/2018/10/Segregation-report-final.pdf" TargetMode="External"/><Relationship Id="rId243" Type="http://schemas.openxmlformats.org/officeDocument/2006/relationships/hyperlink" Target="https://www.equalityhumanrights.com/sites/default/files/icerd-_concluding_observations.pdf" TargetMode="External"/><Relationship Id="rId264" Type="http://schemas.openxmlformats.org/officeDocument/2006/relationships/hyperlink" Target="http://record.assembly.wales/Plenary/5000" TargetMode="External"/><Relationship Id="rId285" Type="http://schemas.openxmlformats.org/officeDocument/2006/relationships/hyperlink" Target="https://www.independent.co.uk/news/health/gosport-war-memorial-hospital-deaths-scandal-jane-barton-shipman-a8406456.html" TargetMode="External"/><Relationship Id="rId17" Type="http://schemas.openxmlformats.org/officeDocument/2006/relationships/hyperlink" Target="https://www.parliament.uk/business/news/2013/december/statement-on-detainee-inquiry-19-december-2013/" TargetMode="External"/><Relationship Id="rId38" Type="http://schemas.openxmlformats.org/officeDocument/2006/relationships/hyperlink" Target="https://www.gov.uk/government/publications/post-implementation-review-of-laspo" TargetMode="External"/><Relationship Id="rId59" Type="http://schemas.openxmlformats.org/officeDocument/2006/relationships/hyperlink" Target="http://www.legislation.gov.uk/ukpga/2012/10/contents/enacted" TargetMode="External"/><Relationship Id="rId103" Type="http://schemas.openxmlformats.org/officeDocument/2006/relationships/hyperlink" Target="https://gov.wales/docs/dsjlg/publications/180301-framework-support-positive-change-risk-of-offending-wales-en-v1.pdf" TargetMode="External"/><Relationship Id="rId124" Type="http://schemas.openxmlformats.org/officeDocument/2006/relationships/hyperlink" Target="https://weareagenda.org/wp-content/uploads/2018/07/Letter-from-David-Gauke-re-ABFO-letter-11.7.18.pdf" TargetMode="External"/><Relationship Id="rId310" Type="http://schemas.openxmlformats.org/officeDocument/2006/relationships/hyperlink" Target="https://careinspectorate.wales/sites/default/files/2018-03/160628overviewen.pdf" TargetMode="External"/><Relationship Id="rId70" Type="http://schemas.openxmlformats.org/officeDocument/2006/relationships/hyperlink" Target="https://www.gov.uk/government/publications/independent-anti-slavery-commissioners-annual-report-2016-to-2017" TargetMode="External"/><Relationship Id="rId91" Type="http://schemas.openxmlformats.org/officeDocument/2006/relationships/hyperlink" Target="https://www.parliament.uk/documents/commons-committees/public-accounts/Correspondence/2017-19/Home_Office_to_Committee_follow_up_from_27_June.pdf" TargetMode="External"/><Relationship Id="rId145" Type="http://schemas.openxmlformats.org/officeDocument/2006/relationships/hyperlink" Target="http://scyj.org.uk/2018/10/scyj-responds-to-secure-school-pilot-announcement/" TargetMode="External"/><Relationship Id="rId166" Type="http://schemas.openxmlformats.org/officeDocument/2006/relationships/hyperlink" Target="http://www.legislation.gov.uk/uksi/2001/238/article/35/made" TargetMode="External"/><Relationship Id="rId187" Type="http://schemas.openxmlformats.org/officeDocument/2006/relationships/hyperlink" Target="https://files.digital.nhs.uk/04/B15A3A/DoLS%201718%20Final%20Report.pdf" TargetMode="External"/><Relationship Id="rId331" Type="http://schemas.openxmlformats.org/officeDocument/2006/relationships/hyperlink" Target="https://www.gov.uk/government/publications/strategy-to-end-violence-against-women-and-girls-2016-to-2020" TargetMode="External"/><Relationship Id="rId352" Type="http://schemas.openxmlformats.org/officeDocument/2006/relationships/hyperlink" Target="https://www.gov.uk/government/news/government-increases-funding-for-rape-and-sexual-abuse-victims" TargetMode="External"/><Relationship Id="rId373" Type="http://schemas.openxmlformats.org/officeDocument/2006/relationships/hyperlink" Target="https://www.stonewall.org.uk/sites/default/files/lgbt-in-britain-trans.pdf" TargetMode="External"/><Relationship Id="rId1" Type="http://schemas.openxmlformats.org/officeDocument/2006/relationships/hyperlink" Target="https://tbinternet.ohchr.org/_layouts/treatybodyexternal/Download.aspx?symbolno=CAT/C/GBR/QPR/6&amp;Lang=en" TargetMode="External"/><Relationship Id="rId212" Type="http://schemas.openxmlformats.org/officeDocument/2006/relationships/hyperlink" Target="http://www.prisonreformtrust.org.uk/PressPolicy/News/vw/1/ItemID/603" TargetMode="External"/><Relationship Id="rId233" Type="http://schemas.openxmlformats.org/officeDocument/2006/relationships/hyperlink" Target="https://www.cqc.org.uk/sites/default/files/20181203_restraint-thematic_tor.pdf" TargetMode="External"/><Relationship Id="rId254" Type="http://schemas.openxmlformats.org/officeDocument/2006/relationships/hyperlink" Target="https://s3-eu-west-2.amazonaws.com/ppo-prod-storage-1g9rkhjhkjmgw/uploads/2018/10/PPO_Annual-Report-2017-18_WEB_final.pdf" TargetMode="External"/><Relationship Id="rId28" Type="http://schemas.openxmlformats.org/officeDocument/2006/relationships/hyperlink" Target="https://ukhumanrightsblog.com/2017/01/24/you-win-some-you-lose-some-rahmatullah-no-2-in-the-supreme-court/" TargetMode="External"/><Relationship Id="rId49" Type="http://schemas.openxmlformats.org/officeDocument/2006/relationships/hyperlink" Target="https://www.refugee-action.org.uk/wp-content/uploads/2018/07/Access-to-Justice-July-18-1.pdf" TargetMode="External"/><Relationship Id="rId114" Type="http://schemas.openxmlformats.org/officeDocument/2006/relationships/hyperlink" Target="https://www.equalityhumanrights.com/en/publication-download/preventing-deaths-detention-adults-mental-health-conditions-report" TargetMode="External"/><Relationship Id="rId275" Type="http://schemas.openxmlformats.org/officeDocument/2006/relationships/hyperlink" Target="https://ukhumanrightsblog.com/2017/12/07/when-can-a-closed-material-procedure-be-used/" TargetMode="External"/><Relationship Id="rId296" Type="http://schemas.openxmlformats.org/officeDocument/2006/relationships/hyperlink" Target="https://www.equalityhumanrights.com/en/publication-download/preventing-deaths-detention-adults-mental-health-conditions-report" TargetMode="External"/><Relationship Id="rId300" Type="http://schemas.openxmlformats.org/officeDocument/2006/relationships/hyperlink" Target="https://www.equalityhumanrights.com/sites/default/files/written_evidence_submitted_to_the_draft_health_service_safety_investigations_bill_committee_june_2018.pdf" TargetMode="External"/><Relationship Id="rId60" Type="http://schemas.openxmlformats.org/officeDocument/2006/relationships/hyperlink" Target="https://www.gov.uk/government/statistics/legal-aid-statistics-april-to-june-2018" TargetMode="External"/><Relationship Id="rId81" Type="http://schemas.openxmlformats.org/officeDocument/2006/relationships/hyperlink" Target="https://www.gov.uk/government/publications/modern-slavery-act-2015-independent-review-terms-of-reference/review-of-the-modern-slavery-act-2015-terms-of-reference" TargetMode="External"/><Relationship Id="rId135" Type="http://schemas.openxmlformats.org/officeDocument/2006/relationships/hyperlink" Target="https://assets.publishing.service.gov.uk/government/uploads/system/uploads/attachment_data/file/629719/hmip-annual-report-2016-17.pdf" TargetMode="External"/><Relationship Id="rId156" Type="http://schemas.openxmlformats.org/officeDocument/2006/relationships/hyperlink" Target="https://assets.publishing.service.gov.uk/government/uploads/system/uploads/attachment_data/file/728376/Shaw_report_2018_Final_web_accessible.pdf" TargetMode="External"/><Relationship Id="rId177" Type="http://schemas.openxmlformats.org/officeDocument/2006/relationships/hyperlink" Target="http://hiw.org.uk/%20docs/hiw/reports/170801annualreporten.pdf" TargetMode="External"/><Relationship Id="rId198" Type="http://schemas.openxmlformats.org/officeDocument/2006/relationships/hyperlink" Target="https://www.npcc.police.uk/documents/edhr/2015/Section%20136%20MHA%20201415%20Data.pdf" TargetMode="External"/><Relationship Id="rId321" Type="http://schemas.openxmlformats.org/officeDocument/2006/relationships/hyperlink" Target="https://www.ons.gov.uk/peoplepopulationandcommunity/crimeandjustice/articles/sexualoffencesinenglandandwales/yearendingmarch2017" TargetMode="External"/><Relationship Id="rId342" Type="http://schemas.openxmlformats.org/officeDocument/2006/relationships/hyperlink" Target="https://assets.publishing.service.gov.uk/government/uploads/system/uploads/attachment_data/file/772202/CCS1218158068-Web_Accessible.pdf" TargetMode="External"/><Relationship Id="rId363" Type="http://schemas.openxmlformats.org/officeDocument/2006/relationships/hyperlink" Target="https://www.cps.gov.uk/sites/default/files/documents/publications/cps-vawg-report-2017_0.pdf" TargetMode="External"/><Relationship Id="rId384" Type="http://schemas.openxmlformats.org/officeDocument/2006/relationships/hyperlink" Target="https://www.crin.org/en/home/ages/europ" TargetMode="External"/><Relationship Id="rId202" Type="http://schemas.openxmlformats.org/officeDocument/2006/relationships/hyperlink" Target="https://www.equalityhumanrights.com/en/publication-download/human-rights-framework-restraint" TargetMode="External"/><Relationship Id="rId223" Type="http://schemas.openxmlformats.org/officeDocument/2006/relationships/hyperlink" Target="https://www.un.org/press/en/2011/gashc4014.doc.htm" TargetMode="External"/><Relationship Id="rId244" Type="http://schemas.openxmlformats.org/officeDocument/2006/relationships/hyperlink" Target="https://weareagenda.org/wp-content/uploads/2017/03/Restraint-FOI-research-briefing-FINAL1.pdf" TargetMode="External"/><Relationship Id="rId18" Type="http://schemas.openxmlformats.org/officeDocument/2006/relationships/hyperlink" Target="https://www.theguardian.com/world/2013/dec/18/inquiry-rendition-torture-isc" TargetMode="External"/><Relationship Id="rId39" Type="http://schemas.openxmlformats.org/officeDocument/2006/relationships/hyperlink" Target="https://assets.publishing.service.gov.uk/government/uploads/system/uploads/attachment_data/file/777038/post-implementation-review-of-part-1-of-laspo.pdf" TargetMode="External"/><Relationship Id="rId265" Type="http://schemas.openxmlformats.org/officeDocument/2006/relationships/hyperlink" Target="https://www.gov.uk/government/speeches/pm-statement-following-london-terror-attack-4-june-2017" TargetMode="External"/><Relationship Id="rId286" Type="http://schemas.openxmlformats.org/officeDocument/2006/relationships/hyperlink" Target="https://www.cqc.org.uk/guidance-providers/regulations-enforcement/regulation-20-duty-candour" TargetMode="External"/><Relationship Id="rId50" Type="http://schemas.openxmlformats.org/officeDocument/2006/relationships/hyperlink" Target="http://www.legislation.gov.uk/ukpga/2012/10/contents/enacted" TargetMode="External"/><Relationship Id="rId104" Type="http://schemas.openxmlformats.org/officeDocument/2006/relationships/hyperlink" Target="https://assets.publishing.service.gov.uk/government/uploads/system/uploads/attachment_data/file/643001/lammy-review-final-report.pdf" TargetMode="External"/><Relationship Id="rId125" Type="http://schemas.openxmlformats.org/officeDocument/2006/relationships/hyperlink" Target="https://www.gov.uk/government/news/vulnerable-offenders-steered-towards-treatment" TargetMode="External"/><Relationship Id="rId146" Type="http://schemas.openxmlformats.org/officeDocument/2006/relationships/hyperlink" Target="https://www.justiceinspectorates.gov.uk/hmiprisons/wp-content/uploads/sites/4/2017/11/MPS-N-NE-clusters-Web-2017.pdf" TargetMode="External"/><Relationship Id="rId167" Type="http://schemas.openxmlformats.org/officeDocument/2006/relationships/hyperlink" Target="https://assets.publishing.service.gov.uk/government/uploads/system/uploads/attachment_data/file/721603/adults-at-risk-policy-guidance_v3.pdf" TargetMode="External"/><Relationship Id="rId188" Type="http://schemas.openxmlformats.org/officeDocument/2006/relationships/hyperlink" Target="https://s3-eu-west-2.amazonaws.com/lawcom-prod-storage-11jsxou24uy7q/uploads/2017/03/Mental_Capacity_Report_Summary.pdf" TargetMode="External"/><Relationship Id="rId311" Type="http://schemas.openxmlformats.org/officeDocument/2006/relationships/hyperlink" Target="https://assets.publishing.service.gov.uk/government/uploads/system/uploads/attachment_data/file/630812/59541_Cm_9462_Print.pdf" TargetMode="External"/><Relationship Id="rId332" Type="http://schemas.openxmlformats.org/officeDocument/2006/relationships/hyperlink" Target="https://www.gov.uk/government/news/spring-budget-2017-support-for-women-unveiled-by-chancellor" TargetMode="External"/><Relationship Id="rId353" Type="http://schemas.openxmlformats.org/officeDocument/2006/relationships/hyperlink" Target="https://www.telegraph.co.uk/news/2019/03/12/five-convicted-historic-physical-abuse-medomsley-detention-centre/" TargetMode="External"/><Relationship Id="rId374" Type="http://schemas.openxmlformats.org/officeDocument/2006/relationships/hyperlink" Target="https://www.justiceinspectorates.gov.uk/hmicfrs/wp-content/uploads/understanding-the-difference-the-initial-police-response-to-hate-crime.pdf" TargetMode="External"/><Relationship Id="rId71" Type="http://schemas.openxmlformats.org/officeDocument/2006/relationships/hyperlink" Target="https://www.equalityhumanrights.com/en/file/14611/download?token=w14flfv" TargetMode="External"/><Relationship Id="rId92" Type="http://schemas.openxmlformats.org/officeDocument/2006/relationships/hyperlink" Target="https://www.theguardian.com/law/2018/nov/08/cuts-to-trafficking-victims-support-payments-ruled-unlawful" TargetMode="External"/><Relationship Id="rId213" Type="http://schemas.openxmlformats.org/officeDocument/2006/relationships/hyperlink" Target="http://www.prisonreformtrust.org.uk/PressPolicy/News/vw/1/ItemID/603" TargetMode="External"/><Relationship Id="rId234" Type="http://schemas.openxmlformats.org/officeDocument/2006/relationships/hyperlink" Target="https://www.gov.uk/government/publications/use-of-reasonable-force-in-schools" TargetMode="External"/><Relationship Id="rId2" Type="http://schemas.openxmlformats.org/officeDocument/2006/relationships/hyperlink" Target="https://www.equalityhumanrights.com/en/file/4716/download?token=bnnYklqz" TargetMode="External"/><Relationship Id="rId29" Type="http://schemas.openxmlformats.org/officeDocument/2006/relationships/hyperlink" Target="https://pure.ulster.ac.uk/ws/portalfiles/portal/12694027/THE_UK_MILITARY_IN_IRAQ_1Oct2018.pdf" TargetMode="External"/><Relationship Id="rId255" Type="http://schemas.openxmlformats.org/officeDocument/2006/relationships/hyperlink" Target="http://www.prisonreformtrust.org.uk/Portals/0/Documents/Tackling%20discrimination.pdf" TargetMode="External"/><Relationship Id="rId276" Type="http://schemas.openxmlformats.org/officeDocument/2006/relationships/hyperlink" Target="https://www.gov.uk/government/collections/use-of-closed-material-procedure-reports" TargetMode="External"/><Relationship Id="rId297" Type="http://schemas.openxmlformats.org/officeDocument/2006/relationships/hyperlink" Target="https://publications.parliament.uk/pa/jt201719/jtselect/jthssib/1064/106402.htm" TargetMode="External"/><Relationship Id="rId40" Type="http://schemas.openxmlformats.org/officeDocument/2006/relationships/hyperlink" Target="https://publications.parliament.uk/pa/jt201719/jtselect/jtrights/669/669.pdf" TargetMode="External"/><Relationship Id="rId115" Type="http://schemas.openxmlformats.org/officeDocument/2006/relationships/hyperlink" Target="https://www.equalityhumanrights.com/en/inquiries-and-investigations/preventing-deaths-detention-adults-mental-health-conditions/preventing" TargetMode="External"/><Relationship Id="rId136" Type="http://schemas.openxmlformats.org/officeDocument/2006/relationships/hyperlink" Target="https://www.justiceinspectorates.gov.uk/hmiprisons/wp-content/uploads/sites/4/2018/07/6.4472_HMI-Prisons_AR-2017-18_Content_A4_Final_WEB.pdf" TargetMode="External"/><Relationship Id="rId157" Type="http://schemas.openxmlformats.org/officeDocument/2006/relationships/hyperlink" Target="https://detentioninquiry.files.wordpress.com/2015/03/immigration-detention-inquiry-report.pdf" TargetMode="External"/><Relationship Id="rId178" Type="http://schemas.openxmlformats.org/officeDocument/2006/relationships/hyperlink" Target="https://assets.publishing.service.gov.uk/government/uploads/system/uploads/attachment_data/file/213215/final-report.pdf" TargetMode="External"/><Relationship Id="rId301" Type="http://schemas.openxmlformats.org/officeDocument/2006/relationships/hyperlink" Target="https://www.nao.org.uk/report/financial-sustainability-of-local-authorities-2018/" TargetMode="External"/><Relationship Id="rId322" Type="http://schemas.openxmlformats.org/officeDocument/2006/relationships/hyperlink" Target="https://www.ons.gov.uk/peoplepopulationandcommunity/crimeandjustice/bulletins/domesticabuseinenglandandwales/yearendingmarch2018" TargetMode="External"/><Relationship Id="rId343" Type="http://schemas.openxmlformats.org/officeDocument/2006/relationships/hyperlink" Target="https://www.equalityhumanrights.com/sites/default/files/consultation-response-transforming-response-to-domestic-abuse-may-2018.pdf" TargetMode="External"/><Relationship Id="rId364" Type="http://schemas.openxmlformats.org/officeDocument/2006/relationships/hyperlink" Target="https://www.ons.gov.uk/peoplepopulationandcommunity/crimeandjustice/articles/sexualoffencesinenglandandwales/yearendingmarch2017" TargetMode="External"/><Relationship Id="rId61" Type="http://schemas.openxmlformats.org/officeDocument/2006/relationships/hyperlink" Target="https://publications.parliament.uk/pa/jt201719/jtselect/jtrights/669/669.pdf" TargetMode="External"/><Relationship Id="rId82" Type="http://schemas.openxmlformats.org/officeDocument/2006/relationships/hyperlink" Target="https://rm.coe.int/16806abcdc" TargetMode="External"/><Relationship Id="rId199" Type="http://schemas.openxmlformats.org/officeDocument/2006/relationships/hyperlink" Target="https://www.npcc.police.uk/documents/edhr/2015/Section%20136%20MHA%20201415%20Data.pdf;%20https:/assets.publishing.service.gov.uk/government/uploads/system/uploads/attachment_data/file/751156/detentions-mental-health-act-police-powers-procedures-mar18-hosb2418-tables.ods" TargetMode="External"/><Relationship Id="rId203" Type="http://schemas.openxmlformats.org/officeDocument/2006/relationships/hyperlink" Target="https://article39.org.uk/wp-content/uploads/2017/12/article-39-submission-pain-inducing-restraint-14-dec-2017.pdf" TargetMode="External"/><Relationship Id="rId385" Type="http://schemas.openxmlformats.org/officeDocument/2006/relationships/hyperlink" Target="https://www.ohchr.org/Documents/HRBodies/CRC/GC24/GeneralComment24.pdf" TargetMode="External"/><Relationship Id="rId19" Type="http://schemas.openxmlformats.org/officeDocument/2006/relationships/hyperlink" Target="https://tbinternet.ohchr.org/_layouts/treatybodyexternal/Download.aspx?symbolno=CCPR/C/GBR/CO/7&amp;Lang=En" TargetMode="External"/><Relationship Id="rId224" Type="http://schemas.openxmlformats.org/officeDocument/2006/relationships/hyperlink" Target="https://assets.publishing.service.gov.uk/government/uploads/system/uploads/attachment_data/file/764894/police-use-of-force-apr2017-mar2018-hosb3018.pdf" TargetMode="External"/><Relationship Id="rId245" Type="http://schemas.openxmlformats.org/officeDocument/2006/relationships/hyperlink" Target="https://www.cqc.org.uk/sites/default/files/20170720_stateofmh_report.pdf" TargetMode="External"/><Relationship Id="rId266" Type="http://schemas.openxmlformats.org/officeDocument/2006/relationships/hyperlink" Target="http://www.legislation.gov.uk/ukpga/2019/3/contents/enacted/data.htm" TargetMode="External"/><Relationship Id="rId287" Type="http://schemas.openxmlformats.org/officeDocument/2006/relationships/hyperlink" Target="https://www.cqc.org.uk/sites/default/files/20161213-learning-candour-accountability-full-report.pdf" TargetMode="External"/><Relationship Id="rId30" Type="http://schemas.openxmlformats.org/officeDocument/2006/relationships/hyperlink" Target="https://www.gov.uk/government/collections/review-of-systemic-issues-arising-from-military-operations-overseas-index" TargetMode="External"/><Relationship Id="rId105" Type="http://schemas.openxmlformats.org/officeDocument/2006/relationships/hyperlink" Target="https://www.cardiff.ac.uk/__data/assets/pdf_file/0010/1417339/Sentencing-and-Immediate-Custody-in-Wales-A-Factfile-140119.pdf" TargetMode="External"/><Relationship Id="rId126" Type="http://schemas.openxmlformats.org/officeDocument/2006/relationships/hyperlink" Target="https://tbinternet.ohchr.org/_layouts/treatybodyexternal/Download.aspx?symbolno=CRPD/C/GC/1" TargetMode="External"/><Relationship Id="rId147" Type="http://schemas.openxmlformats.org/officeDocument/2006/relationships/hyperlink" Target="https://www.gov.uk/government/publications/concordat-on-children-in-custody" TargetMode="External"/><Relationship Id="rId168" Type="http://schemas.openxmlformats.org/officeDocument/2006/relationships/hyperlink" Target="https://assets.publishing.service.gov.uk/government/uploads/system/uploads/attachment_data/file/721603/adults-at-risk-policy-guidance_v3.pdf" TargetMode="External"/><Relationship Id="rId312" Type="http://schemas.openxmlformats.org/officeDocument/2006/relationships/hyperlink" Target="https://assets.publishing.service.gov.uk/government/uploads/system/uploads/attachment_data/file/747014/Government_response_to_report_on_Deportation_with_Assurances.pdf" TargetMode="External"/><Relationship Id="rId333" Type="http://schemas.openxmlformats.org/officeDocument/2006/relationships/hyperlink" Target="http://data.parliament.uk/writtenevidence/committeeevidence.svc/evidencedocument/human-rights-committee/violence-against-women-and-girls/written/7840.html" TargetMode="External"/><Relationship Id="rId354" Type="http://schemas.openxmlformats.org/officeDocument/2006/relationships/hyperlink" Target="https://thecpsu.org.uk/resource-library/research/how-safe-are-our-children-2018/" TargetMode="External"/><Relationship Id="rId51" Type="http://schemas.openxmlformats.org/officeDocument/2006/relationships/hyperlink" Target="https://www.statelessness.eu/sites/www.statelessness.eu/files/ENS_Detention_Reports_UK.pdf" TargetMode="External"/><Relationship Id="rId72" Type="http://schemas.openxmlformats.org/officeDocument/2006/relationships/hyperlink" Target="http://www.nationalcrimeagency.gov.uk/publications/national-referral-mechanism-statistics/2017-nrm-statistics/884-nrm-annual-report-2017/file" TargetMode="External"/><Relationship Id="rId93" Type="http://schemas.openxmlformats.org/officeDocument/2006/relationships/hyperlink" Target="https://gov.wales/about/cabinet/cabinetstatements/2017/fairworkfutureforwales/?lang=en" TargetMode="External"/><Relationship Id="rId189" Type="http://schemas.openxmlformats.org/officeDocument/2006/relationships/hyperlink" Target="https://publications.parliament.uk/pa/jt201719/jtselect/jtrights/890/890.pdf" TargetMode="External"/><Relationship Id="rId375" Type="http://schemas.openxmlformats.org/officeDocument/2006/relationships/hyperlink" Target="http://sro.sussex.ac.uk/id/eprint/70598/" TargetMode="External"/><Relationship Id="rId3" Type="http://schemas.openxmlformats.org/officeDocument/2006/relationships/hyperlink" Target="http://docstore.ohchr.org/SelfServices/FilesHandler.ashx?enc=6QkG1d%2FPPRiCAqhKb7yhskvE%2BTuw1mw%2FKU18dCyrYrZhDDP8yaSRi%2Fv43pYTgmQ5n7dAGFdDalfzYTJnWNYOXxeLRAIVgbwcSm2ZXH%2BcD%2B%2F6IT0pc7BkgqlATQUZPVhi" TargetMode="External"/><Relationship Id="rId214" Type="http://schemas.openxmlformats.org/officeDocument/2006/relationships/hyperlink" Target="http://www.prisonreformtrust.org.uk/Portals/0/Documents/PAVA%20PRT%20position%20paper.pdf" TargetMode="External"/><Relationship Id="rId235" Type="http://schemas.openxmlformats.org/officeDocument/2006/relationships/hyperlink" Target="https://assets.publishing.service.gov.uk/government/uploads/system/uploads/attachment_data/file/444051/Use_of_reasonable_force_advice_Reviewed_July_2015.pdf" TargetMode="External"/><Relationship Id="rId256" Type="http://schemas.openxmlformats.org/officeDocument/2006/relationships/hyperlink" Target="http://data.parliament.uk/writtenevidence/committeeevidence.svc/evidencedocument/human-rights-committee/youth-detention-solitary-confinement-and-restraint/oral/91715.html" TargetMode="External"/><Relationship Id="rId277" Type="http://schemas.openxmlformats.org/officeDocument/2006/relationships/hyperlink" Target="https://www.parliament.uk/business/publications/written-questions-answers-statements/written-question/Commons/2018-06-11/152051/" TargetMode="External"/><Relationship Id="rId298" Type="http://schemas.openxmlformats.org/officeDocument/2006/relationships/hyperlink" Target="https://www.cqc.org.uk/sites/default/files/20180911c_sexualsafetymh_report.pdf" TargetMode="External"/><Relationship Id="rId116" Type="http://schemas.openxmlformats.org/officeDocument/2006/relationships/hyperlink" Target="https://www.gov.uk/government/statistics/safety-in-custody-quarterly-update-to-march-2018" TargetMode="External"/><Relationship Id="rId137" Type="http://schemas.openxmlformats.org/officeDocument/2006/relationships/hyperlink" Target="https://www.justiceinspectorates.gov.uk/hmiprisons/wp-content/uploads/sites/4/2017/11/6.3903_HMIP_Children-in-Custody-2016-17_FINAL_WEB_221117.pdf" TargetMode="External"/><Relationship Id="rId158" Type="http://schemas.openxmlformats.org/officeDocument/2006/relationships/hyperlink" Target="https://www.parliament.uk/business/committees/committees-a-z/joint-select/human-rights-committee/news-parliament-2017/draft-human-rights-act-report-published-17-19/" TargetMode="External"/><Relationship Id="rId302" Type="http://schemas.openxmlformats.org/officeDocument/2006/relationships/hyperlink" Target="https://www.cqc.org.uk/sites/default/files/20161019_stateofcare1516_web.pdf" TargetMode="External"/><Relationship Id="rId323" Type="http://schemas.openxmlformats.org/officeDocument/2006/relationships/hyperlink" Target="http://ikwro.org.uk/2017/11/violence-criminalisation-marriage/" TargetMode="External"/><Relationship Id="rId344" Type="http://schemas.openxmlformats.org/officeDocument/2006/relationships/hyperlink" Target="http://www.legislation.gov.uk/ukpga/2017/18/contents/enacted" TargetMode="External"/><Relationship Id="rId20" Type="http://schemas.openxmlformats.org/officeDocument/2006/relationships/hyperlink" Target="https://b1cba9b3-a-5e6631fd-s-sites.googlegroups.com/a/independent.gov.uk/isc/files/20180628_HC1113_Report_Detainee_Mistreatment_and_Rendition_2001_10.pdf?attachauth=ANoY7crB12Fb_S3L0bANESXzMOeaTnQa4KHSIG0FYKFDIlFrhRu-VKZsjxZw_z3ugT6trOohge-1Ko0RzdeEyUKhMkiwBlkbvac9PZtRZcxGgW5uLUIB6e5EKbqpD5CeiHewnIGRDo9CKilgsqbqIt4lJaPfFf9Rox6SxVvj5hySgCoN8vdN6IKP5L80YbqvXHDJYLzNFy_OOeIRL3upTnTBvWHWHcSUIaI3NM1OufK1cHrAOAygmtykOSnJD-Nr7FTPQvBgz5uLcW70Echaupj3ARBf4asoOLKWWUqwkLDWkApl77GWzRE%3D&amp;attredirects=0" TargetMode="External"/><Relationship Id="rId41" Type="http://schemas.openxmlformats.org/officeDocument/2006/relationships/hyperlink" Target="https://www.judiciary.gov.uk/wp-content/uploads/2016/02/queen-v-sos-rights-of-women-judgment.pdf" TargetMode="External"/><Relationship Id="rId62" Type="http://schemas.openxmlformats.org/officeDocument/2006/relationships/hyperlink" Target="http://data.parliament.uk/writtenevidence/committeeevidence.svc/evidencedocument/human-rights-committee/enforcing-human-rights/written/79441.html" TargetMode="External"/><Relationship Id="rId83" Type="http://schemas.openxmlformats.org/officeDocument/2006/relationships/hyperlink" Target="https://www.parliament.uk/business/publications/written-questions-answers-statements/written-statement/Lords/2016-03-07/HLWS568/" TargetMode="External"/><Relationship Id="rId179" Type="http://schemas.openxmlformats.org/officeDocument/2006/relationships/hyperlink" Target="https://digital.nhs.uk/data-and-information/publications/statistical/learning-disability-services-statistics/provisional-statistics-at-july-2018-mhsds-may-2018-final" TargetMode="External"/><Relationship Id="rId365" Type="http://schemas.openxmlformats.org/officeDocument/2006/relationships/hyperlink" Target="https://assets.publishing.service.gov.uk/government/uploads/system/uploads/attachment_data/file/765917/CCS207_CCS1218194158-001_Gov_Resp_to_IICSA.PDF" TargetMode="External"/><Relationship Id="rId386" Type="http://schemas.openxmlformats.org/officeDocument/2006/relationships/hyperlink" Target="https://www.gov.uk/government/statistics/youth-justice-annual-statistics-2016-to-2017" TargetMode="External"/><Relationship Id="rId190" Type="http://schemas.openxmlformats.org/officeDocument/2006/relationships/hyperlink" Target="http://hiw.org.uk/docs/hiw/reports/180412dolsen.pdf" TargetMode="External"/><Relationship Id="rId204" Type="http://schemas.openxmlformats.org/officeDocument/2006/relationships/hyperlink" Target="http://www.legislation.gov.uk/uksi/2000/3371/article/52/made" TargetMode="External"/><Relationship Id="rId225" Type="http://schemas.openxmlformats.org/officeDocument/2006/relationships/hyperlink" Target="http://www.crae.org.uk/media/118312/crae_scr2016_b8_cjs-web.pdf" TargetMode="External"/><Relationship Id="rId246" Type="http://schemas.openxmlformats.org/officeDocument/2006/relationships/hyperlink" Target="https://assets.publishing.service.gov.uk/government/uploads/system/uploads/attachment_data/file/763512/user-guide-police-use-of-force.pdf" TargetMode="External"/><Relationship Id="rId267" Type="http://schemas.openxmlformats.org/officeDocument/2006/relationships/hyperlink" Target="https://www.equalityhumanrights.com/sites/default/files/civil-and-political-rights-in-the-uk-iccpr-submission-may-2015.pdf" TargetMode="External"/><Relationship Id="rId288" Type="http://schemas.openxmlformats.org/officeDocument/2006/relationships/hyperlink" Target="https://gov.wales/newsroom/firstminister/2018/180716-first-minister-sets-out-legislative-priorities/?lang=en" TargetMode="External"/><Relationship Id="rId106" Type="http://schemas.openxmlformats.org/officeDocument/2006/relationships/hyperlink" Target="https://assets.publishing.service.gov.uk/government/uploads/system/uploads/attachment_data/file/669206/Response_to_David_Lammy_Review.pdf" TargetMode="External"/><Relationship Id="rId127" Type="http://schemas.openxmlformats.org/officeDocument/2006/relationships/hyperlink" Target="https://www.ohchr.org/EN/HRBodies/CRPD/Pages/Guidelines.aspx" TargetMode="External"/><Relationship Id="rId313" Type="http://schemas.openxmlformats.org/officeDocument/2006/relationships/hyperlink" Target="https://www.gov.uk/guidance/immigration-rules/immigration-rules-part-14-stateless-persons" TargetMode="External"/><Relationship Id="rId10" Type="http://schemas.openxmlformats.org/officeDocument/2006/relationships/hyperlink" Target="https://www.independent.co.uk/news/uk/politics/brexit-theresa-may-human-rights-act-conservatives-mps-eu-commons-parliament-a8736276.html" TargetMode="External"/><Relationship Id="rId31" Type="http://schemas.openxmlformats.org/officeDocument/2006/relationships/hyperlink" Target="https://tbinternet.ohchr.org/_layouts/treatybodyexternal/Download.aspx?symbolno=CAT/C/GBR/CO/5&amp;Lang=En" TargetMode="External"/><Relationship Id="rId52" Type="http://schemas.openxmlformats.org/officeDocument/2006/relationships/hyperlink" Target="https://publications.parliament.uk/pa/jt201314/jtselect/jtrights/9/9.pdf" TargetMode="External"/><Relationship Id="rId73" Type="http://schemas.openxmlformats.org/officeDocument/2006/relationships/hyperlink" Target="https://www.thetimes.co.uk/article/police-treat-traffickedchildren-like-criminals-hkczd9sgz" TargetMode="External"/><Relationship Id="rId94" Type="http://schemas.openxmlformats.org/officeDocument/2006/relationships/hyperlink" Target="https://s3-eu-west-2.amazonaws.com/npm-prod-storage-19n0nag2nk8xk/uploads/2015/05/NPM-guidance_Ensuring-the-independence-of-NPM-personnel.pdf" TargetMode="External"/><Relationship Id="rId148" Type="http://schemas.openxmlformats.org/officeDocument/2006/relationships/hyperlink" Target="https://www.refworld.org/pdfid/503489533b8.pdf" TargetMode="External"/><Relationship Id="rId169" Type="http://schemas.openxmlformats.org/officeDocument/2006/relationships/hyperlink" Target="https://consult.justice.gov.uk/digital-communications/expedited-immigration-appeals-detained-appellants/%20%5baccessed:%208%20March%202019%5d." TargetMode="External"/><Relationship Id="rId334" Type="http://schemas.openxmlformats.org/officeDocument/2006/relationships/hyperlink" Target="https://www.equalityhumanrights.com/en/publication-download/britain-fairer-2018" TargetMode="External"/><Relationship Id="rId355" Type="http://schemas.openxmlformats.org/officeDocument/2006/relationships/hyperlink" Target="https://www.rotherham.gov.uk/downloads/file/1407/independent_inquiry_cse_in_rotherham" TargetMode="External"/><Relationship Id="rId376" Type="http://schemas.openxmlformats.org/officeDocument/2006/relationships/hyperlink" Target="https://assets.publishing.service.gov.uk/government/uploads/system/uploads/attachment_data/file/316099/9781474104852_Web.pdf" TargetMode="External"/><Relationship Id="rId4" Type="http://schemas.openxmlformats.org/officeDocument/2006/relationships/hyperlink" Target="https://www.equalityhumanrights.com/sites/default/files/human_rights_framework_2.pdf" TargetMode="External"/><Relationship Id="rId180" Type="http://schemas.openxmlformats.org/officeDocument/2006/relationships/hyperlink" Target="https://gov.wales/statistics-and-research/local-authority-registers-people-disabilities/?lang=en" TargetMode="External"/><Relationship Id="rId215" Type="http://schemas.openxmlformats.org/officeDocument/2006/relationships/hyperlink" Target="http://data.parliament.uk/writtenevidence/committeeevidence.svc/evidencedocument/human-rights-committee/youth-detention-solitary-confinement-and-restraint/oral/91715.html" TargetMode="External"/><Relationship Id="rId236" Type="http://schemas.openxmlformats.org/officeDocument/2006/relationships/hyperlink" Target="http://docstore.ohchr.org/SelfServices/FilesHandler.ashx?enc=6QkG1d%2fPPRiCAqhKb7yhskHOj6VpDS%2f%2fJqg2Jxb9gncnUyUgbnuttBweOlylfyYPkBbwffitW2JurgBRuMMxZqnGgerUdpjxij3uZ0bjQBOLNTNvQ9fUIEOvA5LtW0GL" TargetMode="External"/><Relationship Id="rId257" Type="http://schemas.openxmlformats.org/officeDocument/2006/relationships/hyperlink" Target="https://s3-eu-west-2.amazonaws.com/ppo-prod-storage-1g9rkhjhkjmgw/uploads/2017/02/PPO-Learning-Lessons-Bulletin_Young_people_in_custody_Feb17_Final.pdf" TargetMode="External"/><Relationship Id="rId278" Type="http://schemas.openxmlformats.org/officeDocument/2006/relationships/hyperlink" Target="https://www.equalityhumanrights.com/sites/default/files/icerd-_concluding_observations.pdf" TargetMode="External"/><Relationship Id="rId303" Type="http://schemas.openxmlformats.org/officeDocument/2006/relationships/hyperlink" Target="https://tbinternet.ohchr.org/_layouts/treatybodyexternal/Download.aspx?symbolno=CRPD/C/GBR/CO/1&amp;Lang=En" TargetMode="External"/><Relationship Id="rId42" Type="http://schemas.openxmlformats.org/officeDocument/2006/relationships/hyperlink" Target="https://www.gov.uk/government/news/more-legal-aid-support-for-victims-of-domestic-violence" TargetMode="External"/><Relationship Id="rId84" Type="http://schemas.openxmlformats.org/officeDocument/2006/relationships/hyperlink" Target="https://tbinternet.ohchr.org/Treaties/CEDAW/Shared%20Documents/GBR/INT_CEDAW_CSS_GBR_33690_E.doc" TargetMode="External"/><Relationship Id="rId138" Type="http://schemas.openxmlformats.org/officeDocument/2006/relationships/hyperlink" Target="https://assets.publishing.service.gov.uk/government/uploads/system/uploads/attachment_data/file/774866/youth_justice_statistics_bulletin_2017_2018.pdf" TargetMode="External"/><Relationship Id="rId345" Type="http://schemas.openxmlformats.org/officeDocument/2006/relationships/hyperlink" Target="https://www.parliament.uk/business/publications/written-questions-answers-statements/written-statement/Commons/2018-10-30/HCWS1048/" TargetMode="External"/><Relationship Id="rId387" Type="http://schemas.openxmlformats.org/officeDocument/2006/relationships/hyperlink" Target="http://researchbriefings.files.parliament.uk/documents/POST-PN-0577/POST-PN-057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CDB4FA-F9DB-426D-A0B8-6EAC6FBFEDF9}"/>
</file>

<file path=customXml/itemProps2.xml><?xml version="1.0" encoding="utf-8"?>
<ds:datastoreItem xmlns:ds="http://schemas.openxmlformats.org/officeDocument/2006/customXml" ds:itemID="{0037BEED-D995-45C2-ADE7-8367BCCC3067}"/>
</file>

<file path=customXml/itemProps3.xml><?xml version="1.0" encoding="utf-8"?>
<ds:datastoreItem xmlns:ds="http://schemas.openxmlformats.org/officeDocument/2006/customXml" ds:itemID="{898D5B9E-01FF-464F-B63B-6771C53F3623}"/>
</file>

<file path=customXml/itemProps4.xml><?xml version="1.0" encoding="utf-8"?>
<ds:datastoreItem xmlns:ds="http://schemas.openxmlformats.org/officeDocument/2006/customXml" ds:itemID="{4B95C98F-949C-4A56-932C-FD6D75E40CE9}"/>
</file>

<file path=docProps/app.xml><?xml version="1.0" encoding="utf-8"?>
<Properties xmlns="http://schemas.openxmlformats.org/officeDocument/2006/extended-properties" xmlns:vt="http://schemas.openxmlformats.org/officeDocument/2006/docPropsVTypes">
  <Template>Normal</Template>
  <TotalTime>131</TotalTime>
  <Pages>77</Pages>
  <Words>21490</Words>
  <Characters>122498</Characters>
  <Application>Microsoft Office Word</Application>
  <DocSecurity>0</DocSecurity>
  <Lines>1020</Lines>
  <Paragraphs>287</Paragraphs>
  <ScaleCrop>false</ScaleCrop>
  <HeadingPairs>
    <vt:vector size="2" baseType="variant">
      <vt:variant>
        <vt:lpstr>Title</vt:lpstr>
      </vt:variant>
      <vt:variant>
        <vt:i4>1</vt:i4>
      </vt:variant>
    </vt:vector>
  </HeadingPairs>
  <TitlesOfParts>
    <vt:vector size="1" baseType="lpstr">
      <vt:lpstr/>
    </vt:vector>
  </TitlesOfParts>
  <Company>EHRC</Company>
  <LinksUpToDate>false</LinksUpToDate>
  <CharactersWithSpaces>143701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Grant</dc:creator>
  <cp:keywords/>
  <dc:description/>
  <cp:lastModifiedBy>Elena Jurado</cp:lastModifiedBy>
  <cp:revision>36</cp:revision>
  <cp:lastPrinted>2019-03-22T09:52:00Z</cp:lastPrinted>
  <dcterms:created xsi:type="dcterms:W3CDTF">2019-03-21T18:15:00Z</dcterms:created>
  <dcterms:modified xsi:type="dcterms:W3CDTF">2019-03-22T12:59:00Z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