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21137" w14:textId="20847196" w:rsidR="007E4485" w:rsidRPr="00FB5890" w:rsidRDefault="007E4485" w:rsidP="000D40A0">
      <w:pPr>
        <w:jc w:val="right"/>
        <w:rPr>
          <w:rFonts w:ascii="Times New Roman" w:hAnsi="Times New Roman" w:cs="Times New Roman"/>
          <w:color w:val="1D1C1D"/>
          <w:shd w:val="clear" w:color="auto" w:fill="FFFFFF"/>
          <w:lang w:val="es-ES_tradnl"/>
        </w:rPr>
      </w:pPr>
      <w:bookmarkStart w:id="0" w:name="_GoBack"/>
      <w:bookmarkEnd w:id="0"/>
      <w:r w:rsidRPr="00FB5890">
        <w:rPr>
          <w:rFonts w:ascii="Times New Roman" w:hAnsi="Times New Roman" w:cs="Times New Roman"/>
          <w:color w:val="1D1C1D"/>
          <w:shd w:val="clear" w:color="auto" w:fill="FFFFFF"/>
          <w:lang w:val="es-ES_tradnl"/>
        </w:rPr>
        <w:t xml:space="preserve">Washington DC, </w:t>
      </w:r>
      <w:r w:rsidR="00E25787" w:rsidRPr="00FB5890">
        <w:rPr>
          <w:rFonts w:ascii="Times New Roman" w:hAnsi="Times New Roman" w:cs="Times New Roman"/>
          <w:color w:val="1D1C1D"/>
          <w:shd w:val="clear" w:color="auto" w:fill="FFFFFF"/>
          <w:lang w:val="es-ES_tradnl"/>
        </w:rPr>
        <w:t>29 de agosto de</w:t>
      </w:r>
      <w:r w:rsidRPr="00FB5890">
        <w:rPr>
          <w:rFonts w:ascii="Times New Roman" w:hAnsi="Times New Roman" w:cs="Times New Roman"/>
          <w:color w:val="1D1C1D"/>
          <w:shd w:val="clear" w:color="auto" w:fill="FFFFFF"/>
          <w:lang w:val="es-ES_tradnl"/>
        </w:rPr>
        <w:t xml:space="preserve"> 2022</w:t>
      </w:r>
    </w:p>
    <w:p w14:paraId="4FB2AD17" w14:textId="1A0B1CC3" w:rsidR="000D40A0" w:rsidRPr="00FB5890" w:rsidRDefault="000D40A0" w:rsidP="000D40A0">
      <w:pPr>
        <w:spacing w:after="0" w:line="240" w:lineRule="auto"/>
        <w:jc w:val="both"/>
        <w:rPr>
          <w:rFonts w:ascii="Times New Roman" w:hAnsi="Times New Roman" w:cs="Times New Roman"/>
          <w:b/>
          <w:bCs/>
          <w:color w:val="1D1C1D"/>
          <w:shd w:val="clear" w:color="auto" w:fill="FFFFFF"/>
          <w:lang w:val="es-ES_tradnl"/>
        </w:rPr>
      </w:pPr>
      <w:r w:rsidRPr="00FB5890">
        <w:rPr>
          <w:rFonts w:ascii="Times New Roman" w:hAnsi="Times New Roman" w:cs="Times New Roman"/>
          <w:b/>
          <w:bCs/>
          <w:color w:val="1D1C1D"/>
          <w:shd w:val="clear" w:color="auto" w:fill="FFFFFF"/>
          <w:lang w:val="es-ES_tradnl"/>
        </w:rPr>
        <w:t>Comité de Derechos Económicos, Sociales y Culturales</w:t>
      </w:r>
      <w:r w:rsidR="00D00DAF" w:rsidRPr="00FB5890">
        <w:rPr>
          <w:rFonts w:ascii="Times New Roman" w:hAnsi="Times New Roman" w:cs="Times New Roman"/>
          <w:b/>
          <w:bCs/>
          <w:color w:val="1D1C1D"/>
          <w:shd w:val="clear" w:color="auto" w:fill="FFFFFF"/>
          <w:lang w:val="es-ES_tradnl"/>
        </w:rPr>
        <w:t xml:space="preserve"> (Comité DESC)</w:t>
      </w:r>
    </w:p>
    <w:p w14:paraId="4CB9967B" w14:textId="215E5A6A" w:rsidR="000D40A0" w:rsidRPr="00FB5890" w:rsidRDefault="000D40A0" w:rsidP="000D40A0">
      <w:pPr>
        <w:spacing w:after="0" w:line="240" w:lineRule="auto"/>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Consejo de Derechos Humanos</w:t>
      </w:r>
      <w:r w:rsidR="00E76718" w:rsidRPr="00FB5890">
        <w:rPr>
          <w:rFonts w:ascii="Times New Roman" w:hAnsi="Times New Roman" w:cs="Times New Roman"/>
          <w:color w:val="1D1C1D"/>
          <w:shd w:val="clear" w:color="auto" w:fill="FFFFFF"/>
          <w:lang w:val="es-ES_tradnl"/>
        </w:rPr>
        <w:t xml:space="preserve"> y División de </w:t>
      </w:r>
      <w:r w:rsidR="00D00DAF" w:rsidRPr="00FB5890">
        <w:rPr>
          <w:rFonts w:ascii="Times New Roman" w:hAnsi="Times New Roman" w:cs="Times New Roman"/>
          <w:color w:val="1D1C1D"/>
          <w:shd w:val="clear" w:color="auto" w:fill="FFFFFF"/>
          <w:lang w:val="es-ES_tradnl"/>
        </w:rPr>
        <w:t>Mecanismos de Tratados</w:t>
      </w:r>
    </w:p>
    <w:p w14:paraId="7DB6EB13" w14:textId="7F952768" w:rsidR="00D00DAF" w:rsidRPr="00FB5890" w:rsidRDefault="00D00DAF" w:rsidP="000D40A0">
      <w:pPr>
        <w:spacing w:after="0" w:line="240" w:lineRule="auto"/>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Oficina del Alto Comisionado de las Naciones Unidas para los Derechos Humanos</w:t>
      </w:r>
    </w:p>
    <w:p w14:paraId="1082F3A5" w14:textId="77B33D71" w:rsidR="000D40A0" w:rsidRPr="00536FD3" w:rsidRDefault="000D40A0" w:rsidP="000D40A0">
      <w:pPr>
        <w:spacing w:after="0" w:line="240" w:lineRule="auto"/>
        <w:jc w:val="both"/>
        <w:rPr>
          <w:rFonts w:ascii="Times New Roman" w:hAnsi="Times New Roman" w:cs="Times New Roman"/>
          <w:color w:val="1D1C1D"/>
          <w:shd w:val="clear" w:color="auto" w:fill="FFFFFF"/>
          <w:lang w:val="fr-FR"/>
        </w:rPr>
      </w:pPr>
      <w:r w:rsidRPr="00536FD3">
        <w:rPr>
          <w:rFonts w:ascii="Times New Roman" w:hAnsi="Times New Roman" w:cs="Times New Roman"/>
          <w:color w:val="1D1C1D"/>
          <w:shd w:val="clear" w:color="auto" w:fill="FFFFFF"/>
          <w:lang w:val="fr-FR"/>
        </w:rPr>
        <w:t>Palais Wilson - 52, rue des Pâquis</w:t>
      </w:r>
    </w:p>
    <w:p w14:paraId="5C54FE37" w14:textId="0F555BEB" w:rsidR="000D40A0" w:rsidRPr="00536FD3" w:rsidRDefault="000D40A0" w:rsidP="006575D8">
      <w:pPr>
        <w:spacing w:after="0" w:line="240" w:lineRule="auto"/>
        <w:jc w:val="both"/>
        <w:rPr>
          <w:rFonts w:ascii="Times New Roman" w:hAnsi="Times New Roman" w:cs="Times New Roman"/>
          <w:color w:val="1D1C1D"/>
          <w:shd w:val="clear" w:color="auto" w:fill="FFFFFF"/>
          <w:lang w:val="fr-FR"/>
        </w:rPr>
      </w:pPr>
      <w:r w:rsidRPr="00536FD3">
        <w:rPr>
          <w:rFonts w:ascii="Times New Roman" w:hAnsi="Times New Roman" w:cs="Times New Roman"/>
          <w:color w:val="1D1C1D"/>
          <w:shd w:val="clear" w:color="auto" w:fill="FFFFFF"/>
          <w:lang w:val="fr-FR"/>
        </w:rPr>
        <w:t xml:space="preserve">CH-1201 </w:t>
      </w:r>
      <w:r w:rsidR="00D00DAF" w:rsidRPr="00536FD3">
        <w:rPr>
          <w:rFonts w:ascii="Times New Roman" w:hAnsi="Times New Roman" w:cs="Times New Roman"/>
          <w:color w:val="1D1C1D"/>
          <w:shd w:val="clear" w:color="auto" w:fill="FFFFFF"/>
          <w:lang w:val="fr-FR"/>
        </w:rPr>
        <w:t>Ginebra</w:t>
      </w:r>
      <w:r w:rsidRPr="00536FD3">
        <w:rPr>
          <w:rFonts w:ascii="Times New Roman" w:hAnsi="Times New Roman" w:cs="Times New Roman"/>
          <w:color w:val="1D1C1D"/>
          <w:shd w:val="clear" w:color="auto" w:fill="FFFFFF"/>
          <w:lang w:val="fr-FR"/>
        </w:rPr>
        <w:t xml:space="preserve"> (</w:t>
      </w:r>
      <w:r w:rsidR="00D00DAF" w:rsidRPr="00536FD3">
        <w:rPr>
          <w:rFonts w:ascii="Times New Roman" w:hAnsi="Times New Roman" w:cs="Times New Roman"/>
          <w:color w:val="1D1C1D"/>
          <w:shd w:val="clear" w:color="auto" w:fill="FFFFFF"/>
          <w:lang w:val="fr-FR"/>
        </w:rPr>
        <w:t>Suiza</w:t>
      </w:r>
      <w:r w:rsidRPr="00536FD3">
        <w:rPr>
          <w:rFonts w:ascii="Times New Roman" w:hAnsi="Times New Roman" w:cs="Times New Roman"/>
          <w:color w:val="1D1C1D"/>
          <w:shd w:val="clear" w:color="auto" w:fill="FFFFFF"/>
          <w:lang w:val="fr-FR"/>
        </w:rPr>
        <w:t>)</w:t>
      </w:r>
    </w:p>
    <w:p w14:paraId="58B40EC0" w14:textId="0BB8B3E4" w:rsidR="006575D8" w:rsidRPr="00536FD3" w:rsidRDefault="006575D8" w:rsidP="006575D8">
      <w:pPr>
        <w:spacing w:after="0" w:line="240" w:lineRule="auto"/>
        <w:jc w:val="both"/>
        <w:rPr>
          <w:rFonts w:ascii="Times New Roman" w:hAnsi="Times New Roman" w:cs="Times New Roman"/>
          <w:color w:val="1D1C1D"/>
          <w:shd w:val="clear" w:color="auto" w:fill="FFFFFF"/>
          <w:lang w:val="fr-FR"/>
        </w:rPr>
      </w:pPr>
    </w:p>
    <w:p w14:paraId="58730F2B" w14:textId="0A35421F" w:rsidR="00BB358C" w:rsidRPr="00FB5890" w:rsidRDefault="00305485" w:rsidP="00F9570E">
      <w:pPr>
        <w:autoSpaceDE w:val="0"/>
        <w:autoSpaceDN w:val="0"/>
        <w:adjustRightInd w:val="0"/>
        <w:spacing w:after="0" w:line="240" w:lineRule="auto"/>
        <w:jc w:val="both"/>
        <w:rPr>
          <w:rFonts w:ascii="Times New Roman" w:hAnsi="Times New Roman" w:cs="Times New Roman"/>
          <w:color w:val="000000"/>
          <w:lang w:val="es-ES_tradnl"/>
        </w:rPr>
      </w:pPr>
      <w:r w:rsidRPr="00FB5890">
        <w:rPr>
          <w:rFonts w:ascii="Times New Roman" w:hAnsi="Times New Roman" w:cs="Times New Roman"/>
          <w:color w:val="000000"/>
          <w:lang w:val="es-ES_tradnl"/>
        </w:rPr>
        <w:t xml:space="preserve">Desde la </w:t>
      </w:r>
      <w:r w:rsidR="006B08B6" w:rsidRPr="00FB5890">
        <w:rPr>
          <w:rFonts w:ascii="Times New Roman" w:hAnsi="Times New Roman" w:cs="Times New Roman"/>
          <w:color w:val="000000"/>
          <w:lang w:val="es-ES_tradnl"/>
        </w:rPr>
        <w:t>Iniciativa Salud y Derechos Humanos del</w:t>
      </w:r>
      <w:r w:rsidR="000D40A0" w:rsidRPr="00FB5890">
        <w:rPr>
          <w:rFonts w:ascii="Times New Roman" w:hAnsi="Times New Roman" w:cs="Times New Roman"/>
          <w:color w:val="000000"/>
          <w:lang w:val="es-ES_tradnl"/>
        </w:rPr>
        <w:t xml:space="preserve"> Instituto O’Neill en Derecho y Salud Global de la Universidad de Georgetown (“Instituto O’Neill”)</w:t>
      </w:r>
      <w:r w:rsidR="00BB358C" w:rsidRPr="00FB5890">
        <w:rPr>
          <w:rStyle w:val="EndnoteReference"/>
          <w:rFonts w:ascii="Times New Roman" w:hAnsi="Times New Roman" w:cs="Times New Roman"/>
          <w:color w:val="000000"/>
          <w:lang w:val="es-ES_tradnl"/>
        </w:rPr>
        <w:endnoteReference w:id="1"/>
      </w:r>
      <w:r w:rsidR="00BB358C" w:rsidRPr="00FB5890">
        <w:rPr>
          <w:rFonts w:ascii="Times New Roman" w:hAnsi="Times New Roman" w:cs="Times New Roman"/>
          <w:color w:val="000000"/>
          <w:lang w:val="es-ES_tradnl"/>
        </w:rPr>
        <w:t xml:space="preserve">, nos permitimos presentar la siguiente comunicación dentro del proceso implementado por el Comité DESC para adoptar y aprobar observaciones finales para el Estado de El Salvador en relación con su sexto reporte periódico, presentado de conformidad con los artículos 16 y 17 del Pacto Internacional de Derechos Económicos Sociales y Culturales (“PIDESC”). </w:t>
      </w:r>
    </w:p>
    <w:p w14:paraId="64AC5B07" w14:textId="77777777" w:rsidR="00BB358C" w:rsidRPr="00FB5890" w:rsidRDefault="00BB358C" w:rsidP="00F9570E">
      <w:pPr>
        <w:autoSpaceDE w:val="0"/>
        <w:autoSpaceDN w:val="0"/>
        <w:adjustRightInd w:val="0"/>
        <w:spacing w:after="0" w:line="240" w:lineRule="auto"/>
        <w:jc w:val="both"/>
        <w:rPr>
          <w:rFonts w:ascii="Times New Roman" w:hAnsi="Times New Roman" w:cs="Times New Roman"/>
          <w:color w:val="000000"/>
          <w:lang w:val="es-ES_tradnl"/>
        </w:rPr>
      </w:pPr>
    </w:p>
    <w:p w14:paraId="666813CF" w14:textId="17BF3A12" w:rsidR="00BB358C" w:rsidRPr="00FB5890" w:rsidRDefault="00BB358C" w:rsidP="00E37B15">
      <w:pPr>
        <w:autoSpaceDE w:val="0"/>
        <w:autoSpaceDN w:val="0"/>
        <w:adjustRightInd w:val="0"/>
        <w:spacing w:after="0" w:line="240" w:lineRule="auto"/>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000000"/>
          <w:lang w:val="es-ES_tradnl"/>
        </w:rPr>
        <w:t>El Comité DESC en su lista de cuestiones relativas al mencionado reporte periódico incluyó el tema de la salud sexual y reproductiva de El Salvador y la necesidad de asegurar que el actual régimen legal sea conforme con estándares internacionales de derechos humanos</w:t>
      </w:r>
      <w:r w:rsidRPr="00FB5890">
        <w:rPr>
          <w:rStyle w:val="EndnoteReference"/>
          <w:rFonts w:ascii="Times New Roman" w:hAnsi="Times New Roman" w:cs="Times New Roman"/>
          <w:color w:val="000000"/>
          <w:lang w:val="es-ES_tradnl"/>
        </w:rPr>
        <w:endnoteReference w:id="2"/>
      </w:r>
      <w:r w:rsidRPr="00FB5890">
        <w:rPr>
          <w:rFonts w:ascii="Times New Roman" w:hAnsi="Times New Roman" w:cs="Times New Roman"/>
          <w:color w:val="000000"/>
          <w:lang w:val="es-ES_tradnl"/>
        </w:rPr>
        <w:t xml:space="preserve">. En ese tenor, y con el propósito de contribuir a la adopción de estándares en la materia, el Instituto O’Neill presenta este escrito, </w:t>
      </w:r>
      <w:r w:rsidR="005C74AC" w:rsidRPr="00FB5890">
        <w:rPr>
          <w:rFonts w:ascii="Times New Roman" w:hAnsi="Times New Roman" w:cs="Times New Roman"/>
          <w:color w:val="000000"/>
          <w:lang w:val="es-ES_tradnl"/>
        </w:rPr>
        <w:t xml:space="preserve">el cual </w:t>
      </w:r>
      <w:r w:rsidRPr="00FB5890">
        <w:rPr>
          <w:rFonts w:ascii="Times New Roman" w:hAnsi="Times New Roman" w:cs="Times New Roman"/>
          <w:color w:val="1D1C1D"/>
          <w:shd w:val="clear" w:color="auto" w:fill="FFFFFF"/>
          <w:lang w:val="es-ES_tradnl"/>
        </w:rPr>
        <w:t xml:space="preserve">está dividido en tres apartados. En el primero se aborda la criminalización absoluta del aborto en El Salvador, con motivo de la reforma al </w:t>
      </w:r>
      <w:r w:rsidR="006B08B6" w:rsidRPr="00FB5890">
        <w:rPr>
          <w:rFonts w:ascii="Times New Roman" w:hAnsi="Times New Roman" w:cs="Times New Roman"/>
          <w:color w:val="1D1C1D"/>
          <w:shd w:val="clear" w:color="auto" w:fill="FFFFFF"/>
          <w:lang w:val="es-ES_tradnl"/>
        </w:rPr>
        <w:t>C</w:t>
      </w:r>
      <w:r w:rsidRPr="00FB5890">
        <w:rPr>
          <w:rFonts w:ascii="Times New Roman" w:hAnsi="Times New Roman" w:cs="Times New Roman"/>
          <w:color w:val="1D1C1D"/>
          <w:shd w:val="clear" w:color="auto" w:fill="FFFFFF"/>
          <w:lang w:val="es-ES_tradnl"/>
        </w:rPr>
        <w:t xml:space="preserve">ódigo </w:t>
      </w:r>
      <w:r w:rsidR="006B08B6" w:rsidRPr="00FB5890">
        <w:rPr>
          <w:rFonts w:ascii="Times New Roman" w:hAnsi="Times New Roman" w:cs="Times New Roman"/>
          <w:color w:val="1D1C1D"/>
          <w:shd w:val="clear" w:color="auto" w:fill="FFFFFF"/>
          <w:lang w:val="es-ES_tradnl"/>
        </w:rPr>
        <w:t>P</w:t>
      </w:r>
      <w:r w:rsidRPr="00FB5890">
        <w:rPr>
          <w:rFonts w:ascii="Times New Roman" w:hAnsi="Times New Roman" w:cs="Times New Roman"/>
          <w:color w:val="1D1C1D"/>
          <w:shd w:val="clear" w:color="auto" w:fill="FFFFFF"/>
          <w:lang w:val="es-ES_tradnl"/>
        </w:rPr>
        <w:t>enal, como medida</w:t>
      </w:r>
      <w:r w:rsidR="006B08B6" w:rsidRPr="00FB5890">
        <w:rPr>
          <w:rFonts w:ascii="Times New Roman" w:hAnsi="Times New Roman" w:cs="Times New Roman"/>
          <w:color w:val="1D1C1D"/>
          <w:shd w:val="clear" w:color="auto" w:fill="FFFFFF"/>
          <w:lang w:val="es-ES_tradnl"/>
        </w:rPr>
        <w:t xml:space="preserve"> deliberadamente</w:t>
      </w:r>
      <w:r w:rsidRPr="00FB5890">
        <w:rPr>
          <w:rFonts w:ascii="Times New Roman" w:hAnsi="Times New Roman" w:cs="Times New Roman"/>
          <w:color w:val="1D1C1D"/>
          <w:shd w:val="clear" w:color="auto" w:fill="FFFFFF"/>
          <w:lang w:val="es-ES_tradnl"/>
        </w:rPr>
        <w:t xml:space="preserve"> regresiva</w:t>
      </w:r>
      <w:r w:rsidR="006B08B6" w:rsidRPr="00FB5890">
        <w:rPr>
          <w:rFonts w:ascii="Times New Roman" w:hAnsi="Times New Roman" w:cs="Times New Roman"/>
          <w:color w:val="1D1C1D"/>
          <w:shd w:val="clear" w:color="auto" w:fill="FFFFFF"/>
          <w:lang w:val="es-ES_tradnl"/>
        </w:rPr>
        <w:t xml:space="preserve"> que no encuentra justificación aceptable</w:t>
      </w:r>
      <w:r w:rsidRPr="00FB5890">
        <w:rPr>
          <w:rFonts w:ascii="Times New Roman" w:hAnsi="Times New Roman" w:cs="Times New Roman"/>
          <w:color w:val="1D1C1D"/>
          <w:shd w:val="clear" w:color="auto" w:fill="FFFFFF"/>
          <w:lang w:val="es-ES_tradnl"/>
        </w:rPr>
        <w:t>. En el segundo se</w:t>
      </w:r>
      <w:r w:rsidR="006B08B6" w:rsidRPr="00FB5890">
        <w:rPr>
          <w:rFonts w:ascii="Times New Roman" w:hAnsi="Times New Roman" w:cs="Times New Roman"/>
          <w:color w:val="1D1C1D"/>
          <w:shd w:val="clear" w:color="auto" w:fill="FFFFFF"/>
          <w:lang w:val="es-ES_tradnl"/>
        </w:rPr>
        <w:t xml:space="preserve"> plantean consideraciones sobre la violación al</w:t>
      </w:r>
      <w:r w:rsidRPr="00FB5890">
        <w:rPr>
          <w:rFonts w:ascii="Times New Roman" w:hAnsi="Times New Roman" w:cs="Times New Roman"/>
          <w:color w:val="1D1C1D"/>
          <w:shd w:val="clear" w:color="auto" w:fill="FFFFFF"/>
          <w:lang w:val="es-ES_tradnl"/>
        </w:rPr>
        <w:t xml:space="preserve"> secreto profesional en el contexto de la</w:t>
      </w:r>
      <w:r w:rsidR="006B08B6" w:rsidRPr="00FB5890">
        <w:rPr>
          <w:rFonts w:ascii="Times New Roman" w:hAnsi="Times New Roman" w:cs="Times New Roman"/>
          <w:color w:val="1D1C1D"/>
          <w:shd w:val="clear" w:color="auto" w:fill="FFFFFF"/>
          <w:lang w:val="es-ES_tradnl"/>
        </w:rPr>
        <w:t xml:space="preserve"> salud reproductiva</w:t>
      </w:r>
      <w:r w:rsidRPr="00FB5890">
        <w:rPr>
          <w:rFonts w:ascii="Times New Roman" w:hAnsi="Times New Roman" w:cs="Times New Roman"/>
          <w:color w:val="1D1C1D"/>
          <w:shd w:val="clear" w:color="auto" w:fill="FFFFFF"/>
          <w:lang w:val="es-ES_tradnl"/>
        </w:rPr>
        <w:t xml:space="preserve">. En esta sección se analiza </w:t>
      </w:r>
      <w:r w:rsidR="00305485" w:rsidRPr="00FB5890">
        <w:rPr>
          <w:rFonts w:ascii="Times New Roman" w:hAnsi="Times New Roman" w:cs="Times New Roman"/>
          <w:color w:val="1D1C1D"/>
          <w:shd w:val="clear" w:color="auto" w:fill="FFFFFF"/>
          <w:lang w:val="es-ES_tradnl"/>
        </w:rPr>
        <w:t>el</w:t>
      </w:r>
      <w:r w:rsidRPr="00FB5890">
        <w:rPr>
          <w:rFonts w:ascii="Times New Roman" w:hAnsi="Times New Roman" w:cs="Times New Roman"/>
          <w:color w:val="1D1C1D"/>
          <w:shd w:val="clear" w:color="auto" w:fill="FFFFFF"/>
          <w:lang w:val="es-ES_tradnl"/>
        </w:rPr>
        <w:t xml:space="preserve"> secreto profesional como parte esencial del derecho a la salud, con atención especial a su aplicación en el contexto de la salud sexual y reproductiva, y los problemas regulatorios asociados con el marco jurídico salvadoreño actual en esta materia. En el tercer apartado se incluyen </w:t>
      </w:r>
      <w:r w:rsidR="00305485" w:rsidRPr="00FB5890">
        <w:rPr>
          <w:rFonts w:ascii="Times New Roman" w:hAnsi="Times New Roman" w:cs="Times New Roman"/>
          <w:color w:val="1D1C1D"/>
          <w:shd w:val="clear" w:color="auto" w:fill="FFFFFF"/>
          <w:lang w:val="es-ES_tradnl"/>
        </w:rPr>
        <w:t xml:space="preserve">algunas solicitudes con base en los dos temas que abordamos en el documento. </w:t>
      </w:r>
    </w:p>
    <w:p w14:paraId="6ED3E217" w14:textId="77777777" w:rsidR="00BB358C" w:rsidRPr="00FB5890" w:rsidRDefault="00BB358C" w:rsidP="00E37B15">
      <w:pPr>
        <w:autoSpaceDE w:val="0"/>
        <w:autoSpaceDN w:val="0"/>
        <w:adjustRightInd w:val="0"/>
        <w:spacing w:after="0" w:line="240" w:lineRule="auto"/>
        <w:jc w:val="both"/>
        <w:rPr>
          <w:rFonts w:ascii="Times New Roman" w:hAnsi="Times New Roman" w:cs="Times New Roman"/>
          <w:color w:val="000000"/>
          <w:lang w:val="es-ES_tradnl"/>
        </w:rPr>
      </w:pPr>
    </w:p>
    <w:p w14:paraId="3F7C75F3" w14:textId="17D88BD5" w:rsidR="00BB358C" w:rsidRPr="00FB5890" w:rsidRDefault="00BB358C" w:rsidP="004141E5">
      <w:pPr>
        <w:pStyle w:val="ListParagraph"/>
        <w:numPr>
          <w:ilvl w:val="0"/>
          <w:numId w:val="1"/>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La criminalización absoluta del aborto en El Salvador como violación al principio de no regresividad</w:t>
      </w:r>
    </w:p>
    <w:p w14:paraId="14499B1E" w14:textId="05F1B8CD" w:rsidR="00BB358C" w:rsidRPr="00FB5890" w:rsidRDefault="00BB358C" w:rsidP="004141E5">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Mediante Decreto Legislativo No. 1030, publicado el 26 de abril de 1997 y vigente desde el 20 de abril de 1998, se reformó el artículo 133 del Código Penal salvadoreño para eliminar las causales bajo las cuales el aborto </w:t>
      </w:r>
      <w:r w:rsidR="00AD117E" w:rsidRPr="00FB5890">
        <w:rPr>
          <w:rFonts w:ascii="Times New Roman" w:hAnsi="Times New Roman" w:cs="Times New Roman"/>
          <w:color w:val="1D1C1D"/>
          <w:shd w:val="clear" w:color="auto" w:fill="FFFFFF"/>
          <w:lang w:val="es-ES_tradnl"/>
        </w:rPr>
        <w:t>no era punible</w:t>
      </w:r>
      <w:r w:rsidRPr="00FB5890">
        <w:rPr>
          <w:rFonts w:ascii="Times New Roman" w:hAnsi="Times New Roman" w:cs="Times New Roman"/>
          <w:color w:val="1D1C1D"/>
          <w:shd w:val="clear" w:color="auto" w:fill="FFFFFF"/>
          <w:lang w:val="es-ES_tradnl"/>
        </w:rPr>
        <w:t xml:space="preserve">. Como se desarrollará en este apartado, el retorno al sistema de penalización </w:t>
      </w:r>
      <w:r w:rsidR="00041037" w:rsidRPr="00FB5890">
        <w:rPr>
          <w:rFonts w:ascii="Times New Roman" w:hAnsi="Times New Roman" w:cs="Times New Roman"/>
          <w:color w:val="1D1C1D"/>
          <w:shd w:val="clear" w:color="auto" w:fill="FFFFFF"/>
          <w:lang w:val="es-ES_tradnl"/>
        </w:rPr>
        <w:t xml:space="preserve">absoluta del aborto </w:t>
      </w:r>
      <w:r w:rsidRPr="00FB5890">
        <w:rPr>
          <w:rFonts w:ascii="Times New Roman" w:hAnsi="Times New Roman" w:cs="Times New Roman"/>
          <w:color w:val="1D1C1D"/>
          <w:shd w:val="clear" w:color="auto" w:fill="FFFFFF"/>
          <w:lang w:val="es-ES_tradnl"/>
        </w:rPr>
        <w:t>constituye una medida regresiva y violatoria del derecho a la salud</w:t>
      </w:r>
      <w:r w:rsidR="00AD117E" w:rsidRPr="00FB5890">
        <w:rPr>
          <w:rFonts w:ascii="Times New Roman" w:hAnsi="Times New Roman" w:cs="Times New Roman"/>
          <w:color w:val="1D1C1D"/>
          <w:shd w:val="clear" w:color="auto" w:fill="FFFFFF"/>
          <w:lang w:val="es-ES_tradnl"/>
        </w:rPr>
        <w:t>, entre otros derechos humanos a la luz de los estándares internacionales aplicables</w:t>
      </w:r>
      <w:r w:rsidRPr="00FB5890">
        <w:rPr>
          <w:rFonts w:ascii="Times New Roman" w:hAnsi="Times New Roman" w:cs="Times New Roman"/>
          <w:color w:val="1D1C1D"/>
          <w:shd w:val="clear" w:color="auto" w:fill="FFFFFF"/>
          <w:lang w:val="es-ES_tradnl"/>
        </w:rPr>
        <w:t>.</w:t>
      </w:r>
    </w:p>
    <w:p w14:paraId="217FC90F" w14:textId="0E35AB1B" w:rsidR="00BB358C" w:rsidRPr="00FB5890" w:rsidRDefault="00BB358C" w:rsidP="00DF4136">
      <w:pPr>
        <w:pStyle w:val="ListParagraph"/>
        <w:numPr>
          <w:ilvl w:val="0"/>
          <w:numId w:val="2"/>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El principio de no regresividad </w:t>
      </w:r>
    </w:p>
    <w:p w14:paraId="4CDE23F4" w14:textId="4A0694CA" w:rsidR="0033456E" w:rsidRPr="00FB5890" w:rsidRDefault="0033456E" w:rsidP="00CC103E">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000000" w:themeColor="text1"/>
          <w:lang w:val="es-ES_tradnl"/>
        </w:rPr>
        <w:t>El PIDESC contempla en varios preceptos la obligación estatal de cumplir de manera progresiva con los DESC, en particular en su segundo artículo.</w:t>
      </w:r>
      <w:r w:rsidR="00AF66DD" w:rsidRPr="00FB5890">
        <w:rPr>
          <w:rFonts w:ascii="Times New Roman" w:hAnsi="Times New Roman" w:cs="Times New Roman"/>
          <w:color w:val="1D1C1D"/>
          <w:shd w:val="clear" w:color="auto" w:fill="FFFFFF"/>
          <w:lang w:val="es-ES_tradnl"/>
        </w:rPr>
        <w:t xml:space="preserve"> </w:t>
      </w:r>
      <w:r w:rsidRPr="00FB5890">
        <w:rPr>
          <w:rFonts w:ascii="Times New Roman" w:hAnsi="Times New Roman" w:cs="Times New Roman"/>
          <w:color w:val="000000" w:themeColor="text1"/>
          <w:lang w:val="es-ES_tradnl"/>
        </w:rPr>
        <w:t>El principio de cumplimiento progresivo exige que los Estados adopten las medidas necesarias hasta el máximo de los recursos disponibles para lograr progresivamente la plena efectividad estos derechos</w:t>
      </w:r>
      <w:r w:rsidRPr="00FB5890">
        <w:rPr>
          <w:vertAlign w:val="superscript"/>
          <w:lang w:val="es-ES_tradnl"/>
        </w:rPr>
        <w:endnoteReference w:id="3"/>
      </w:r>
      <w:r w:rsidRPr="00FB5890">
        <w:rPr>
          <w:rFonts w:ascii="Times New Roman" w:hAnsi="Times New Roman" w:cs="Times New Roman"/>
          <w:color w:val="000000" w:themeColor="text1"/>
          <w:lang w:val="es-ES_tradnl"/>
        </w:rPr>
        <w:t xml:space="preserve">. De manera correlativa, el principio de no regresividad prohíbe adoptar políticas y medidas que demeriten la situación de los DESC, como lo es el derecho a la salud. </w:t>
      </w:r>
    </w:p>
    <w:p w14:paraId="1B480821" w14:textId="7BB16971" w:rsidR="00DE74FE" w:rsidRPr="00FB5890" w:rsidRDefault="00C31677" w:rsidP="00CC103E">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Tal y como lo ha reconocido </w:t>
      </w:r>
      <w:r w:rsidR="00DE74FE" w:rsidRPr="00FB5890">
        <w:rPr>
          <w:rFonts w:ascii="Times New Roman" w:hAnsi="Times New Roman" w:cs="Times New Roman"/>
          <w:color w:val="1D1C1D"/>
          <w:shd w:val="clear" w:color="auto" w:fill="FFFFFF"/>
          <w:lang w:val="es-ES_tradnl"/>
        </w:rPr>
        <w:t xml:space="preserve">el </w:t>
      </w:r>
      <w:r w:rsidRPr="00FB5890">
        <w:rPr>
          <w:rFonts w:ascii="Times New Roman" w:hAnsi="Times New Roman" w:cs="Times New Roman"/>
          <w:color w:val="1D1C1D"/>
          <w:shd w:val="clear" w:color="auto" w:fill="FFFFFF"/>
          <w:lang w:val="es-ES_tradnl"/>
        </w:rPr>
        <w:t xml:space="preserve">Comité DESC </w:t>
      </w:r>
      <w:r w:rsidR="00DE74FE" w:rsidRPr="00FB5890">
        <w:rPr>
          <w:rFonts w:ascii="Times New Roman" w:hAnsi="Times New Roman" w:cs="Times New Roman"/>
          <w:color w:val="1D1C1D"/>
          <w:shd w:val="clear" w:color="auto" w:fill="FFFFFF"/>
          <w:lang w:val="es-ES_tradnl"/>
        </w:rPr>
        <w:t>desde su Observación General 3</w:t>
      </w:r>
      <w:r w:rsidR="006D5B70" w:rsidRPr="00FB5890">
        <w:rPr>
          <w:rStyle w:val="EndnoteReference"/>
          <w:rFonts w:ascii="Times New Roman" w:hAnsi="Times New Roman" w:cs="Times New Roman"/>
          <w:color w:val="1D1C1D"/>
          <w:shd w:val="clear" w:color="auto" w:fill="FFFFFF"/>
          <w:lang w:val="es-ES_tradnl"/>
        </w:rPr>
        <w:endnoteReference w:id="4"/>
      </w:r>
      <w:r w:rsidR="00016583" w:rsidRPr="00FB5890">
        <w:rPr>
          <w:rFonts w:ascii="Times New Roman" w:hAnsi="Times New Roman" w:cs="Times New Roman"/>
          <w:color w:val="1D1C1D"/>
          <w:shd w:val="clear" w:color="auto" w:fill="FFFFFF"/>
          <w:lang w:val="es-ES_tradnl"/>
        </w:rPr>
        <w:t xml:space="preserve">, </w:t>
      </w:r>
      <w:r w:rsidR="006D5B70" w:rsidRPr="00FB5890">
        <w:rPr>
          <w:rFonts w:ascii="Times New Roman" w:hAnsi="Times New Roman" w:cs="Times New Roman"/>
          <w:color w:val="1D1C1D"/>
          <w:shd w:val="clear" w:color="auto" w:fill="FFFFFF"/>
          <w:lang w:val="es-ES_tradnl"/>
        </w:rPr>
        <w:t>“</w:t>
      </w:r>
      <w:r w:rsidR="00016583" w:rsidRPr="00FB5890">
        <w:rPr>
          <w:rFonts w:ascii="Times New Roman" w:hAnsi="Times New Roman" w:cs="Times New Roman"/>
          <w:color w:val="1D1C1D"/>
          <w:shd w:val="clear" w:color="auto" w:fill="FFFFFF"/>
          <w:lang w:val="es-ES_tradnl"/>
        </w:rPr>
        <w:t>e</w:t>
      </w:r>
      <w:r w:rsidR="006D5B70" w:rsidRPr="00FB5890">
        <w:rPr>
          <w:rFonts w:ascii="Times New Roman" w:hAnsi="Times New Roman" w:cs="Times New Roman"/>
          <w:color w:val="1D1C1D"/>
          <w:shd w:val="clear" w:color="auto" w:fill="FFFFFF"/>
          <w:lang w:val="es-ES_tradnl"/>
        </w:rPr>
        <w:t xml:space="preserve">n caso de que un Estado Parte aduzca ‘limitaciones de recursos’ para explicar cualquier medida regresiva que haya adoptado, […] examinará esa información en función de las circunstancias concretas del país de que se trate y con arreglo a los siguientes criterios objetivos: a) </w:t>
      </w:r>
      <w:r w:rsidR="0033456E" w:rsidRPr="00FB5890">
        <w:rPr>
          <w:rFonts w:ascii="Times New Roman" w:hAnsi="Times New Roman" w:cs="Times New Roman"/>
          <w:color w:val="1D1C1D"/>
          <w:shd w:val="clear" w:color="auto" w:fill="FFFFFF"/>
          <w:lang w:val="es-ES_tradnl"/>
        </w:rPr>
        <w:t>e</w:t>
      </w:r>
      <w:r w:rsidR="006D5B70" w:rsidRPr="00FB5890">
        <w:rPr>
          <w:rFonts w:ascii="Times New Roman" w:hAnsi="Times New Roman" w:cs="Times New Roman"/>
          <w:color w:val="1D1C1D"/>
          <w:shd w:val="clear" w:color="auto" w:fill="FFFFFF"/>
          <w:lang w:val="es-ES_tradnl"/>
        </w:rPr>
        <w:t xml:space="preserve">l nivel de desarrollo del país; b) </w:t>
      </w:r>
      <w:r w:rsidR="0033456E" w:rsidRPr="00FB5890">
        <w:rPr>
          <w:rFonts w:ascii="Times New Roman" w:hAnsi="Times New Roman" w:cs="Times New Roman"/>
          <w:color w:val="1D1C1D"/>
          <w:shd w:val="clear" w:color="auto" w:fill="FFFFFF"/>
          <w:lang w:val="es-ES_tradnl"/>
        </w:rPr>
        <w:t>l</w:t>
      </w:r>
      <w:r w:rsidR="006D5B70" w:rsidRPr="00FB5890">
        <w:rPr>
          <w:rFonts w:ascii="Times New Roman" w:hAnsi="Times New Roman" w:cs="Times New Roman"/>
          <w:color w:val="1D1C1D"/>
          <w:shd w:val="clear" w:color="auto" w:fill="FFFFFF"/>
          <w:lang w:val="es-ES_tradnl"/>
        </w:rPr>
        <w:t xml:space="preserve">a gravedad de la presunta infracción, teniendo particularmente en cuenta si la situación afecta al disfrute de los derechos básicos enunciados en el Pacto; c) </w:t>
      </w:r>
      <w:r w:rsidR="0033456E" w:rsidRPr="00FB5890">
        <w:rPr>
          <w:rFonts w:ascii="Times New Roman" w:hAnsi="Times New Roman" w:cs="Times New Roman"/>
          <w:color w:val="1D1C1D"/>
          <w:shd w:val="clear" w:color="auto" w:fill="FFFFFF"/>
          <w:lang w:val="es-ES_tradnl"/>
        </w:rPr>
        <w:t>l</w:t>
      </w:r>
      <w:r w:rsidR="006D5B70" w:rsidRPr="00FB5890">
        <w:rPr>
          <w:rFonts w:ascii="Times New Roman" w:hAnsi="Times New Roman" w:cs="Times New Roman"/>
          <w:color w:val="1D1C1D"/>
          <w:shd w:val="clear" w:color="auto" w:fill="FFFFFF"/>
          <w:lang w:val="es-ES_tradnl"/>
        </w:rPr>
        <w:t xml:space="preserve">a situación económica del país en ese momento, teniendo particularmente en cuenta si el país atraviesa un período de recesión económica; d) </w:t>
      </w:r>
      <w:r w:rsidR="0033456E" w:rsidRPr="00FB5890">
        <w:rPr>
          <w:rFonts w:ascii="Times New Roman" w:hAnsi="Times New Roman" w:cs="Times New Roman"/>
          <w:color w:val="1D1C1D"/>
          <w:shd w:val="clear" w:color="auto" w:fill="FFFFFF"/>
          <w:lang w:val="es-ES_tradnl"/>
        </w:rPr>
        <w:t>l</w:t>
      </w:r>
      <w:r w:rsidR="006D5B70" w:rsidRPr="00FB5890">
        <w:rPr>
          <w:rFonts w:ascii="Times New Roman" w:hAnsi="Times New Roman" w:cs="Times New Roman"/>
          <w:color w:val="1D1C1D"/>
          <w:shd w:val="clear" w:color="auto" w:fill="FFFFFF"/>
          <w:lang w:val="es-ES_tradnl"/>
        </w:rPr>
        <w:t xml:space="preserve">a existencia de otras necesidades importantes que el Estado Parte deba satisfacer con los recursos limitados de que dispone; por ejemplo, debido a un reciente desastre natural o a un reciente conflicto armado interno o internacional; e) </w:t>
      </w:r>
      <w:r w:rsidR="0033456E" w:rsidRPr="00FB5890">
        <w:rPr>
          <w:rFonts w:ascii="Times New Roman" w:hAnsi="Times New Roman" w:cs="Times New Roman"/>
          <w:color w:val="1D1C1D"/>
          <w:shd w:val="clear" w:color="auto" w:fill="FFFFFF"/>
          <w:lang w:val="es-ES_tradnl"/>
        </w:rPr>
        <w:t>si</w:t>
      </w:r>
      <w:r w:rsidR="006D5B70" w:rsidRPr="00FB5890">
        <w:rPr>
          <w:rFonts w:ascii="Times New Roman" w:hAnsi="Times New Roman" w:cs="Times New Roman"/>
          <w:color w:val="1D1C1D"/>
          <w:shd w:val="clear" w:color="auto" w:fill="FFFFFF"/>
          <w:lang w:val="es-ES_tradnl"/>
        </w:rPr>
        <w:t xml:space="preserve"> el Estado Parte trató de encontrar opciones de bajo costo, y f) </w:t>
      </w:r>
      <w:r w:rsidR="0033456E" w:rsidRPr="00FB5890">
        <w:rPr>
          <w:rFonts w:ascii="Times New Roman" w:hAnsi="Times New Roman" w:cs="Times New Roman"/>
          <w:color w:val="1D1C1D"/>
          <w:shd w:val="clear" w:color="auto" w:fill="FFFFFF"/>
          <w:lang w:val="es-ES_tradnl"/>
        </w:rPr>
        <w:t>s</w:t>
      </w:r>
      <w:r w:rsidR="006D5B70" w:rsidRPr="00FB5890">
        <w:rPr>
          <w:rFonts w:ascii="Times New Roman" w:hAnsi="Times New Roman" w:cs="Times New Roman"/>
          <w:color w:val="1D1C1D"/>
          <w:shd w:val="clear" w:color="auto" w:fill="FFFFFF"/>
          <w:lang w:val="es-ES_tradnl"/>
        </w:rPr>
        <w:t xml:space="preserve">i el Estado </w:t>
      </w:r>
      <w:r w:rsidR="006D5B70" w:rsidRPr="00FB5890">
        <w:rPr>
          <w:rFonts w:ascii="Times New Roman" w:hAnsi="Times New Roman" w:cs="Times New Roman"/>
          <w:color w:val="1D1C1D"/>
          <w:shd w:val="clear" w:color="auto" w:fill="FFFFFF"/>
          <w:lang w:val="es-ES_tradnl"/>
        </w:rPr>
        <w:lastRenderedPageBreak/>
        <w:t>Parte recabó cooperación y asistencia de la comunidad internacional o rechazó sin motivos suficientes los recursos ofrecidos por la comunidad internacional para la aplicación de lo dispuesto en el Pacto”</w:t>
      </w:r>
      <w:r w:rsidR="006E22DC" w:rsidRPr="00FB5890">
        <w:rPr>
          <w:rStyle w:val="EndnoteReference"/>
          <w:rFonts w:ascii="Times New Roman" w:hAnsi="Times New Roman" w:cs="Times New Roman"/>
          <w:color w:val="1D1C1D"/>
          <w:shd w:val="clear" w:color="auto" w:fill="FFFFFF"/>
          <w:lang w:val="es-ES_tradnl"/>
        </w:rPr>
        <w:endnoteReference w:id="5"/>
      </w:r>
      <w:r w:rsidR="006D5B70" w:rsidRPr="00FB5890">
        <w:rPr>
          <w:rFonts w:ascii="Times New Roman" w:hAnsi="Times New Roman" w:cs="Times New Roman"/>
          <w:color w:val="1D1C1D"/>
          <w:shd w:val="clear" w:color="auto" w:fill="FFFFFF"/>
          <w:lang w:val="es-ES_tradnl"/>
        </w:rPr>
        <w:t xml:space="preserve">. </w:t>
      </w:r>
    </w:p>
    <w:p w14:paraId="11E54604" w14:textId="10B55BD5" w:rsidR="00257659" w:rsidRPr="00FB5890" w:rsidRDefault="00257659" w:rsidP="00257659">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000000" w:themeColor="text1"/>
          <w:lang w:val="es-ES_tradnl"/>
        </w:rPr>
        <w:t>En la Observación General No. 14, sobre el derecho a la salud, el Comité DESC señaló que</w:t>
      </w:r>
      <w:r w:rsidR="00FB5890">
        <w:rPr>
          <w:rFonts w:ascii="Times New Roman" w:hAnsi="Times New Roman" w:cs="Times New Roman"/>
          <w:color w:val="000000" w:themeColor="text1"/>
          <w:lang w:val="es-ES_tradnl"/>
        </w:rPr>
        <w:t>:</w:t>
      </w:r>
      <w:r w:rsidR="00800B42" w:rsidRPr="00FB5890">
        <w:rPr>
          <w:rFonts w:ascii="Times New Roman" w:hAnsi="Times New Roman" w:cs="Times New Roman"/>
          <w:color w:val="000000" w:themeColor="text1"/>
          <w:lang w:val="es-ES_tradnl"/>
        </w:rPr>
        <w:t xml:space="preserve"> “Al igual que en el caso de los demás derechos enunciados en el Pacto, existe una fuerte presunción de que no son permisibles las medidas regresivas adoptadas en relación con el derecho a la salud</w:t>
      </w:r>
      <w:r w:rsidR="00020260" w:rsidRPr="00FB5890">
        <w:rPr>
          <w:rFonts w:ascii="Times New Roman" w:hAnsi="Times New Roman" w:cs="Times New Roman"/>
          <w:color w:val="000000" w:themeColor="text1"/>
          <w:lang w:val="es-ES_tradnl"/>
        </w:rPr>
        <w:t>”</w:t>
      </w:r>
      <w:r w:rsidR="00020260" w:rsidRPr="00FB5890">
        <w:rPr>
          <w:rStyle w:val="EndnoteReference"/>
          <w:rFonts w:ascii="Times New Roman" w:hAnsi="Times New Roman" w:cs="Times New Roman"/>
          <w:color w:val="000000" w:themeColor="text1"/>
          <w:lang w:val="es-ES_tradnl"/>
        </w:rPr>
        <w:endnoteReference w:id="6"/>
      </w:r>
      <w:r w:rsidR="00800B42" w:rsidRPr="00FB5890">
        <w:rPr>
          <w:rFonts w:ascii="Times New Roman" w:hAnsi="Times New Roman" w:cs="Times New Roman"/>
          <w:color w:val="000000" w:themeColor="text1"/>
          <w:lang w:val="es-ES_tradnl"/>
        </w:rPr>
        <w:t>.</w:t>
      </w:r>
      <w:r w:rsidR="00020260" w:rsidRPr="00FB5890">
        <w:rPr>
          <w:rFonts w:ascii="Times New Roman" w:hAnsi="Times New Roman" w:cs="Times New Roman"/>
          <w:color w:val="000000" w:themeColor="text1"/>
          <w:lang w:val="es-ES_tradnl"/>
        </w:rPr>
        <w:t xml:space="preserve"> Algunas de las acciones que han sido expresamente reconocidas por el Comité DESC como medidas regresivas, y constituyen violaciones al derecho a la salud, son: la derogación de normas necesarias para el continuo disfrute del derecho a la salud</w:t>
      </w:r>
      <w:r w:rsidR="00FB5890">
        <w:rPr>
          <w:rStyle w:val="EndnoteReference"/>
          <w:rFonts w:ascii="Times New Roman" w:hAnsi="Times New Roman" w:cs="Times New Roman"/>
          <w:color w:val="000000" w:themeColor="text1"/>
          <w:lang w:val="es-ES_tradnl"/>
        </w:rPr>
        <w:endnoteReference w:id="7"/>
      </w:r>
      <w:r w:rsidR="00020260" w:rsidRPr="00FB5890">
        <w:rPr>
          <w:rFonts w:ascii="Times New Roman" w:hAnsi="Times New Roman" w:cs="Times New Roman"/>
          <w:color w:val="000000" w:themeColor="text1"/>
          <w:lang w:val="es-ES_tradnl"/>
        </w:rPr>
        <w:t xml:space="preserve"> y “la promulgación de leyes que penalicen determinadas conductas y decisiones en materia de salud sexual y reproductiva”</w:t>
      </w:r>
      <w:r w:rsidR="00020260" w:rsidRPr="00FB5890">
        <w:rPr>
          <w:rStyle w:val="EndnoteReference"/>
          <w:rFonts w:ascii="Times New Roman" w:hAnsi="Times New Roman" w:cs="Times New Roman"/>
          <w:color w:val="000000" w:themeColor="text1"/>
          <w:lang w:val="es-ES_tradnl"/>
        </w:rPr>
        <w:endnoteReference w:id="8"/>
      </w:r>
      <w:r w:rsidR="00020260" w:rsidRPr="00FB5890">
        <w:rPr>
          <w:rFonts w:ascii="Times New Roman" w:hAnsi="Times New Roman" w:cs="Times New Roman"/>
          <w:color w:val="000000" w:themeColor="text1"/>
          <w:lang w:val="es-ES_tradnl"/>
        </w:rPr>
        <w:t xml:space="preserve">. </w:t>
      </w:r>
    </w:p>
    <w:p w14:paraId="23BBD4B5" w14:textId="3E97ACB0" w:rsidR="00257659" w:rsidRPr="00FB5890" w:rsidRDefault="00257659" w:rsidP="00257659">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Tal y como el Comité DESC lo ha establecido anteriormente, las medidas regresivas deben ser evitadas y existe una fuerte presunción de que no están generalmente permitidas. Sin embargo, en caso de ser adoptadas, el Estado Parte del PIDESC tiene la carga de la prueba de que las mismas sean adoptada</w:t>
      </w:r>
      <w:r w:rsidR="00020260" w:rsidRPr="00FB5890">
        <w:rPr>
          <w:rFonts w:ascii="Times New Roman" w:hAnsi="Times New Roman" w:cs="Times New Roman"/>
          <w:color w:val="000000" w:themeColor="text1"/>
          <w:lang w:val="es-ES_tradnl"/>
        </w:rPr>
        <w:t>s. “Si se adoptan cualesquiera medidas deliberadamente regresivas, corresponde al Estado Parte demostrar que se han aplicado tras el examen más exhaustivo de todas las alternativas posibles y que esas medidas están debidamente justificadas por referencia a la totalidad de los derechos enunciados en el Pacto en relación con la plena utilización de los recursos máximos disponibles del Estado Parte”</w:t>
      </w:r>
      <w:r w:rsidR="00020260" w:rsidRPr="00FB5890">
        <w:rPr>
          <w:rStyle w:val="EndnoteReference"/>
          <w:rFonts w:ascii="Times New Roman" w:hAnsi="Times New Roman" w:cs="Times New Roman"/>
          <w:color w:val="000000" w:themeColor="text1"/>
          <w:lang w:val="es-ES_tradnl"/>
        </w:rPr>
        <w:endnoteReference w:id="9"/>
      </w:r>
      <w:r w:rsidR="00020260" w:rsidRPr="00FB5890">
        <w:rPr>
          <w:rFonts w:ascii="Times New Roman" w:hAnsi="Times New Roman" w:cs="Times New Roman"/>
          <w:color w:val="000000" w:themeColor="text1"/>
          <w:lang w:val="es-ES_tradnl"/>
        </w:rPr>
        <w:t>.</w:t>
      </w:r>
    </w:p>
    <w:p w14:paraId="659A84B6" w14:textId="79BB3556" w:rsidR="00257659" w:rsidRPr="00FB5890" w:rsidRDefault="00257659" w:rsidP="00CC103E">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Tratándose del derecho a la salud sexual y reproductiva, si el Estado decide adoptar medidas regresivas, debe cumplir con su carga de la prueba y “probar su necesidad”</w:t>
      </w:r>
      <w:r w:rsidRPr="00FB5890">
        <w:rPr>
          <w:rStyle w:val="EndnoteReference"/>
          <w:rFonts w:ascii="Times New Roman" w:hAnsi="Times New Roman" w:cs="Times New Roman"/>
          <w:color w:val="000000" w:themeColor="text1"/>
          <w:lang w:val="es-ES_tradnl"/>
        </w:rPr>
        <w:endnoteReference w:id="10"/>
      </w:r>
      <w:r w:rsidRPr="00FB5890">
        <w:rPr>
          <w:rFonts w:ascii="Times New Roman" w:hAnsi="Times New Roman" w:cs="Times New Roman"/>
          <w:color w:val="000000" w:themeColor="text1"/>
          <w:lang w:val="es-ES_tradnl"/>
        </w:rPr>
        <w:t>. En circunstancias extremas en que sea “inevitable adoptar medidas regresivas, los Estados deben velar por que esas medidas sean solo temporales, no afecten de forma desproporcionada a personas y grupos desfavorecidos y marginados, y no se apliquen de otra forma con carácter discriminatorio”</w:t>
      </w:r>
      <w:r w:rsidRPr="00FB5890">
        <w:rPr>
          <w:rStyle w:val="EndnoteReference"/>
          <w:rFonts w:ascii="Times New Roman" w:hAnsi="Times New Roman" w:cs="Times New Roman"/>
          <w:color w:val="000000" w:themeColor="text1"/>
          <w:lang w:val="es-ES_tradnl"/>
        </w:rPr>
        <w:endnoteReference w:id="11"/>
      </w:r>
      <w:r w:rsidRPr="00FB5890">
        <w:rPr>
          <w:rFonts w:ascii="Times New Roman" w:hAnsi="Times New Roman" w:cs="Times New Roman"/>
          <w:color w:val="000000" w:themeColor="text1"/>
          <w:lang w:val="es-ES_tradnl"/>
        </w:rPr>
        <w:t>. Paralelamente, los parámetros desarrollados por el Comité DESC deben ser tomados en cuenta por el Estado al evaluar la permisibilidad excepcional de una medida regresiva en materia de salud.</w:t>
      </w:r>
    </w:p>
    <w:p w14:paraId="75E10C20" w14:textId="0D663271" w:rsidR="00BB358C" w:rsidRPr="00FB5890" w:rsidRDefault="00257659" w:rsidP="00CC103E">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Los criterios desarrollados por el Comité DESC han</w:t>
      </w:r>
      <w:r w:rsidR="00DE74FE" w:rsidRPr="00FB5890">
        <w:rPr>
          <w:rFonts w:ascii="Times New Roman" w:hAnsi="Times New Roman" w:cs="Times New Roman"/>
          <w:color w:val="1D1C1D"/>
          <w:shd w:val="clear" w:color="auto" w:fill="FFFFFF"/>
          <w:lang w:val="es-ES_tradnl"/>
        </w:rPr>
        <w:t xml:space="preserve"> </w:t>
      </w:r>
      <w:r w:rsidRPr="00FB5890">
        <w:rPr>
          <w:rFonts w:ascii="Times New Roman" w:hAnsi="Times New Roman" w:cs="Times New Roman"/>
          <w:color w:val="1D1C1D"/>
          <w:shd w:val="clear" w:color="auto" w:fill="FFFFFF"/>
          <w:lang w:val="es-ES_tradnl"/>
        </w:rPr>
        <w:t>tenido un impacto</w:t>
      </w:r>
      <w:r w:rsidR="00DE74FE" w:rsidRPr="00FB5890">
        <w:rPr>
          <w:rFonts w:ascii="Times New Roman" w:hAnsi="Times New Roman" w:cs="Times New Roman"/>
          <w:color w:val="1D1C1D"/>
          <w:shd w:val="clear" w:color="auto" w:fill="FFFFFF"/>
          <w:lang w:val="es-ES_tradnl"/>
        </w:rPr>
        <w:t xml:space="preserve"> en la protecci</w:t>
      </w:r>
      <w:r w:rsidR="000D709E" w:rsidRPr="00FB5890">
        <w:rPr>
          <w:rFonts w:ascii="Times New Roman" w:hAnsi="Times New Roman" w:cs="Times New Roman"/>
          <w:color w:val="1D1C1D"/>
          <w:shd w:val="clear" w:color="auto" w:fill="FFFFFF"/>
          <w:lang w:val="es-ES_tradnl"/>
        </w:rPr>
        <w:t>ó</w:t>
      </w:r>
      <w:r w:rsidR="00DE74FE" w:rsidRPr="00FB5890">
        <w:rPr>
          <w:rFonts w:ascii="Times New Roman" w:hAnsi="Times New Roman" w:cs="Times New Roman"/>
          <w:color w:val="1D1C1D"/>
          <w:shd w:val="clear" w:color="auto" w:fill="FFFFFF"/>
          <w:lang w:val="es-ES_tradnl"/>
        </w:rPr>
        <w:t>n judicial de los derechos sociales y</w:t>
      </w:r>
      <w:r w:rsidRPr="00FB5890">
        <w:rPr>
          <w:rFonts w:ascii="Times New Roman" w:hAnsi="Times New Roman" w:cs="Times New Roman"/>
          <w:color w:val="1D1C1D"/>
          <w:shd w:val="clear" w:color="auto" w:fill="FFFFFF"/>
          <w:lang w:val="es-ES_tradnl"/>
        </w:rPr>
        <w:t xml:space="preserve"> en particular</w:t>
      </w:r>
      <w:r w:rsidR="00DE74FE" w:rsidRPr="00FB5890">
        <w:rPr>
          <w:rFonts w:ascii="Times New Roman" w:hAnsi="Times New Roman" w:cs="Times New Roman"/>
          <w:color w:val="1D1C1D"/>
          <w:shd w:val="clear" w:color="auto" w:fill="FFFFFF"/>
          <w:lang w:val="es-ES_tradnl"/>
        </w:rPr>
        <w:t xml:space="preserve"> del derecho a la salud en otros sistemas de protecc</w:t>
      </w:r>
      <w:r w:rsidR="000D709E" w:rsidRPr="00FB5890">
        <w:rPr>
          <w:rFonts w:ascii="Times New Roman" w:hAnsi="Times New Roman" w:cs="Times New Roman"/>
          <w:color w:val="1D1C1D"/>
          <w:shd w:val="clear" w:color="auto" w:fill="FFFFFF"/>
          <w:lang w:val="es-ES_tradnl"/>
        </w:rPr>
        <w:t>ió</w:t>
      </w:r>
      <w:r w:rsidR="00DE74FE" w:rsidRPr="00FB5890">
        <w:rPr>
          <w:rFonts w:ascii="Times New Roman" w:hAnsi="Times New Roman" w:cs="Times New Roman"/>
          <w:color w:val="1D1C1D"/>
          <w:shd w:val="clear" w:color="auto" w:fill="FFFFFF"/>
          <w:lang w:val="es-ES_tradnl"/>
        </w:rPr>
        <w:t xml:space="preserve">n como el Sistema Interamericano de Derechos Humanos (“SIDH). En este </w:t>
      </w:r>
      <w:r w:rsidR="003F2858" w:rsidRPr="00FB5890">
        <w:rPr>
          <w:rFonts w:ascii="Times New Roman" w:hAnsi="Times New Roman" w:cs="Times New Roman"/>
          <w:color w:val="1D1C1D"/>
          <w:shd w:val="clear" w:color="auto" w:fill="FFFFFF"/>
          <w:lang w:val="es-ES_tradnl"/>
        </w:rPr>
        <w:t>sentido, la</w:t>
      </w:r>
      <w:r w:rsidR="009C4754" w:rsidRPr="00FB5890">
        <w:rPr>
          <w:rFonts w:ascii="Times New Roman" w:hAnsi="Times New Roman" w:cs="Times New Roman"/>
          <w:color w:val="1D1C1D"/>
          <w:shd w:val="clear" w:color="auto" w:fill="FFFFFF"/>
          <w:lang w:val="es-ES_tradnl"/>
        </w:rPr>
        <w:t xml:space="preserve"> </w:t>
      </w:r>
      <w:r w:rsidR="00BB358C" w:rsidRPr="00FB5890">
        <w:rPr>
          <w:rFonts w:ascii="Times New Roman" w:hAnsi="Times New Roman" w:cs="Times New Roman"/>
          <w:color w:val="1D1C1D"/>
          <w:shd w:val="clear" w:color="auto" w:fill="FFFFFF"/>
          <w:lang w:val="es-ES_tradnl"/>
        </w:rPr>
        <w:t>Corte ID</w:t>
      </w:r>
      <w:r w:rsidR="001F269C" w:rsidRPr="00FB5890">
        <w:rPr>
          <w:rFonts w:ascii="Times New Roman" w:hAnsi="Times New Roman" w:cs="Times New Roman"/>
          <w:color w:val="1D1C1D"/>
          <w:shd w:val="clear" w:color="auto" w:fill="FFFFFF"/>
          <w:lang w:val="es-ES_tradnl"/>
        </w:rPr>
        <w:t xml:space="preserve">H ha </w:t>
      </w:r>
      <w:r w:rsidR="003F2858" w:rsidRPr="00FB5890">
        <w:rPr>
          <w:rFonts w:ascii="Times New Roman" w:hAnsi="Times New Roman" w:cs="Times New Roman"/>
          <w:color w:val="1D1C1D"/>
          <w:shd w:val="clear" w:color="auto" w:fill="FFFFFF"/>
          <w:lang w:val="es-ES_tradnl"/>
        </w:rPr>
        <w:t>establecido</w:t>
      </w:r>
      <w:r w:rsidR="001F269C" w:rsidRPr="00FB5890">
        <w:rPr>
          <w:rFonts w:ascii="Times New Roman" w:hAnsi="Times New Roman" w:cs="Times New Roman"/>
          <w:color w:val="1D1C1D"/>
          <w:shd w:val="clear" w:color="auto" w:fill="FFFFFF"/>
          <w:lang w:val="es-ES_tradnl"/>
        </w:rPr>
        <w:t xml:space="preserve"> que </w:t>
      </w:r>
      <w:r w:rsidR="00BB358C" w:rsidRPr="00FB5890">
        <w:rPr>
          <w:rFonts w:ascii="Times New Roman" w:hAnsi="Times New Roman" w:cs="Times New Roman"/>
          <w:color w:val="1D1C1D"/>
          <w:shd w:val="clear" w:color="auto" w:fill="FFFFFF"/>
          <w:lang w:val="es-ES_tradnl"/>
        </w:rPr>
        <w:t xml:space="preserve">el deber de no regresividad es correlativo a la obligación de </w:t>
      </w:r>
      <w:r w:rsidR="00AA6C9E" w:rsidRPr="00FB5890">
        <w:rPr>
          <w:rFonts w:ascii="Times New Roman" w:hAnsi="Times New Roman" w:cs="Times New Roman"/>
          <w:color w:val="1D1C1D"/>
          <w:shd w:val="clear" w:color="auto" w:fill="FFFFFF"/>
          <w:lang w:val="es-ES_tradnl"/>
        </w:rPr>
        <w:t>cumplimiento progresivo</w:t>
      </w:r>
      <w:r w:rsidR="00BB358C" w:rsidRPr="00FB5890">
        <w:rPr>
          <w:rStyle w:val="EndnoteReference"/>
          <w:rFonts w:ascii="Times New Roman" w:hAnsi="Times New Roman" w:cs="Times New Roman"/>
          <w:lang w:val="es-ES_tradnl"/>
        </w:rPr>
        <w:endnoteReference w:id="12"/>
      </w:r>
      <w:r w:rsidR="00BB358C" w:rsidRPr="00FB5890">
        <w:rPr>
          <w:rFonts w:ascii="Times New Roman" w:hAnsi="Times New Roman" w:cs="Times New Roman"/>
          <w:lang w:val="es-ES_tradnl"/>
        </w:rPr>
        <w:t xml:space="preserve">, y ambos </w:t>
      </w:r>
      <w:r w:rsidR="00BB358C" w:rsidRPr="00FB5890">
        <w:rPr>
          <w:rFonts w:ascii="Times New Roman" w:hAnsi="Times New Roman" w:cs="Times New Roman"/>
          <w:color w:val="1D1C1D"/>
          <w:shd w:val="clear" w:color="auto" w:fill="FFFFFF"/>
          <w:lang w:val="es-ES_tradnl"/>
        </w:rPr>
        <w:t xml:space="preserve">acarrean el compromiso de avanzar en la cobertura de los derechos </w:t>
      </w:r>
      <w:r w:rsidR="00041037" w:rsidRPr="00FB5890">
        <w:rPr>
          <w:rFonts w:ascii="Times New Roman" w:hAnsi="Times New Roman" w:cs="Times New Roman"/>
          <w:color w:val="1D1C1D"/>
          <w:shd w:val="clear" w:color="auto" w:fill="FFFFFF"/>
          <w:lang w:val="es-ES_tradnl"/>
        </w:rPr>
        <w:t xml:space="preserve">económicos, sociales y culturales (“DESC”) </w:t>
      </w:r>
      <w:r w:rsidR="00BB358C" w:rsidRPr="00FB5890">
        <w:rPr>
          <w:rFonts w:ascii="Times New Roman" w:hAnsi="Times New Roman" w:cs="Times New Roman"/>
          <w:color w:val="1D1C1D"/>
          <w:shd w:val="clear" w:color="auto" w:fill="FFFFFF"/>
          <w:lang w:val="es-ES_tradnl"/>
        </w:rPr>
        <w:t xml:space="preserve">de manera incremental. </w:t>
      </w:r>
      <w:r w:rsidR="00BB358C" w:rsidRPr="00FB5890">
        <w:rPr>
          <w:rFonts w:ascii="Times New Roman" w:hAnsi="Times New Roman" w:cs="Times New Roman"/>
          <w:color w:val="000000" w:themeColor="text1"/>
          <w:lang w:val="es-ES_tradnl"/>
        </w:rPr>
        <w:t xml:space="preserve"> </w:t>
      </w:r>
      <w:r w:rsidR="001E4C39" w:rsidRPr="00FB5890">
        <w:rPr>
          <w:rFonts w:ascii="Times New Roman" w:hAnsi="Times New Roman" w:cs="Times New Roman"/>
          <w:color w:val="000000" w:themeColor="text1"/>
          <w:lang w:val="es-ES_tradnl"/>
        </w:rPr>
        <w:t>Al efecto, la Corte IDH especificó</w:t>
      </w:r>
      <w:r w:rsidR="003F2858" w:rsidRPr="00FB5890">
        <w:rPr>
          <w:rFonts w:ascii="Times New Roman" w:hAnsi="Times New Roman" w:cs="Times New Roman"/>
          <w:color w:val="000000" w:themeColor="text1"/>
          <w:lang w:val="es-ES_tradnl"/>
        </w:rPr>
        <w:t>: “</w:t>
      </w:r>
      <w:r w:rsidR="006154BA" w:rsidRPr="00FB5890">
        <w:rPr>
          <w:rFonts w:ascii="Times New Roman" w:hAnsi="Times New Roman" w:cs="Times New Roman"/>
          <w:color w:val="000000" w:themeColor="text1"/>
          <w:lang w:val="es-ES_tradnl"/>
        </w:rPr>
        <w:t xml:space="preserve">existen dos tipos de obligaciones que derivan del reconocimiento de los DESCA, conforme al artículo 26 de la Convención: aquellas de exigibilidad inmediata, y aquellas de carácter progresivo. Al respecto, la Corte recuerda que, en relación con las primeras (obligaciones de exigibilidad inmediata), los Estados deberán adoptar medidas eficaces a fin de garantizar el acceso sin discriminación a las prestaciones reconocidas para el derecho a la salud, garantizar la igualdad de derechos entre hombres y mujeres, y en general avanzar hacia la plena efectividad de los DESCA. Respecto a las segundas (obligaciones de carácter progresivo), la realización progresiva significa que los Estados </w:t>
      </w:r>
      <w:r w:rsidR="003F2858">
        <w:rPr>
          <w:rFonts w:ascii="Times New Roman" w:hAnsi="Times New Roman" w:cs="Times New Roman"/>
          <w:color w:val="000000" w:themeColor="text1"/>
          <w:lang w:val="es-ES_tradnl"/>
        </w:rPr>
        <w:t>P</w:t>
      </w:r>
      <w:r w:rsidR="006154BA" w:rsidRPr="00FB5890">
        <w:rPr>
          <w:rFonts w:ascii="Times New Roman" w:hAnsi="Times New Roman" w:cs="Times New Roman"/>
          <w:color w:val="000000" w:themeColor="text1"/>
          <w:lang w:val="es-ES_tradnl"/>
        </w:rPr>
        <w:t>artes tienen la obligación concreta y constante de avanzar lo más expedita y eficazmente posible hacia la plena efectividad de dicho derecho, en la medida de sus recursos disponibles, por vía legislativa u otros medios apropiados. Asimismo, se impone la obligación de no regresividad frente a la realización de los derechos alcanzados. En virtud de lo anterior, las obligaciones convencionales de respeto y garantía, así como de adopción de medidas de derecho interno (artículos 1.1 y 2), resultan fundamentales para alcanzar su efectividad”</w:t>
      </w:r>
      <w:r w:rsidR="00F6457C" w:rsidRPr="00FB5890">
        <w:rPr>
          <w:rStyle w:val="EndnoteReference"/>
          <w:rFonts w:ascii="Times New Roman" w:hAnsi="Times New Roman" w:cs="Times New Roman"/>
          <w:color w:val="000000" w:themeColor="text1"/>
          <w:lang w:val="es-ES_tradnl"/>
        </w:rPr>
        <w:endnoteReference w:id="13"/>
      </w:r>
      <w:r w:rsidR="006154BA" w:rsidRPr="00FB5890">
        <w:rPr>
          <w:rFonts w:ascii="Times New Roman" w:hAnsi="Times New Roman" w:cs="Times New Roman"/>
          <w:color w:val="000000" w:themeColor="text1"/>
          <w:lang w:val="es-ES_tradnl"/>
        </w:rPr>
        <w:t>.</w:t>
      </w:r>
    </w:p>
    <w:p w14:paraId="6B6E2762" w14:textId="25D16AF0" w:rsidR="0033456E" w:rsidRPr="00FB5890" w:rsidRDefault="003F2858" w:rsidP="00A2245C">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Así</w:t>
      </w:r>
      <w:r w:rsidR="001B372C" w:rsidRPr="00FB5890">
        <w:rPr>
          <w:rFonts w:ascii="Times New Roman" w:hAnsi="Times New Roman" w:cs="Times New Roman"/>
          <w:color w:val="1D1C1D"/>
          <w:shd w:val="clear" w:color="auto" w:fill="FFFFFF"/>
          <w:lang w:val="es-ES_tradnl"/>
        </w:rPr>
        <w:t>,</w:t>
      </w:r>
      <w:r>
        <w:rPr>
          <w:rFonts w:ascii="Times New Roman" w:hAnsi="Times New Roman" w:cs="Times New Roman"/>
          <w:color w:val="1D1C1D"/>
          <w:shd w:val="clear" w:color="auto" w:fill="FFFFFF"/>
          <w:lang w:val="es-ES_tradnl"/>
        </w:rPr>
        <w:t xml:space="preserve"> </w:t>
      </w:r>
      <w:r w:rsidR="001B372C" w:rsidRPr="00FB5890">
        <w:rPr>
          <w:rFonts w:ascii="Times New Roman" w:hAnsi="Times New Roman" w:cs="Times New Roman"/>
          <w:color w:val="1D1C1D"/>
          <w:shd w:val="clear" w:color="auto" w:fill="FFFFFF"/>
          <w:lang w:val="es-ES_tradnl"/>
        </w:rPr>
        <w:t>el</w:t>
      </w:r>
      <w:r w:rsidR="00BB358C" w:rsidRPr="00FB5890">
        <w:rPr>
          <w:rFonts w:ascii="Times New Roman" w:hAnsi="Times New Roman" w:cs="Times New Roman"/>
          <w:color w:val="1D1C1D"/>
          <w:shd w:val="clear" w:color="auto" w:fill="FFFFFF"/>
          <w:lang w:val="es-ES_tradnl"/>
        </w:rPr>
        <w:t xml:space="preserve"> cumplimiento progresivo de las obligaciones en materia de salud significa “la obligación concreta y constante de avanzar lo más expedita y eficazmente posible hacia la plena efectividad de dicho derecho, en la medida de sus recursos disponibles, por vía legislativa u otros medios apropiados”</w:t>
      </w:r>
      <w:r w:rsidR="00BB358C" w:rsidRPr="00FB5890">
        <w:rPr>
          <w:rStyle w:val="EndnoteReference"/>
          <w:rFonts w:ascii="Times New Roman" w:hAnsi="Times New Roman" w:cs="Times New Roman"/>
          <w:color w:val="1D1C1D"/>
          <w:shd w:val="clear" w:color="auto" w:fill="FFFFFF"/>
          <w:lang w:val="es-ES_tradnl"/>
        </w:rPr>
        <w:endnoteReference w:id="14"/>
      </w:r>
      <w:r w:rsidR="00BB358C" w:rsidRPr="00FB5890">
        <w:rPr>
          <w:rFonts w:ascii="Times New Roman" w:hAnsi="Times New Roman" w:cs="Times New Roman"/>
          <w:color w:val="1D1C1D"/>
          <w:shd w:val="clear" w:color="auto" w:fill="FFFFFF"/>
          <w:lang w:val="es-ES_tradnl"/>
        </w:rPr>
        <w:t xml:space="preserve">. </w:t>
      </w:r>
    </w:p>
    <w:p w14:paraId="13A3B85E" w14:textId="503C7433" w:rsidR="00BB358C" w:rsidRPr="00FB5890" w:rsidRDefault="00BB358C" w:rsidP="00674869">
      <w:pPr>
        <w:pStyle w:val="ListParagraph"/>
        <w:numPr>
          <w:ilvl w:val="0"/>
          <w:numId w:val="2"/>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Análisis de la reforma del artículo 133 conforme al principio de no regresividad</w:t>
      </w:r>
    </w:p>
    <w:p w14:paraId="6B328438" w14:textId="0D3F2B5A" w:rsidR="00BB358C" w:rsidRPr="00FB5890" w:rsidRDefault="00BB358C"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Antes de la reforma del Código Penal en 1998, el </w:t>
      </w:r>
      <w:r w:rsidR="00995FB7" w:rsidRPr="00FB5890">
        <w:rPr>
          <w:rFonts w:ascii="Times New Roman" w:hAnsi="Times New Roman" w:cs="Times New Roman"/>
          <w:color w:val="000000" w:themeColor="text1"/>
          <w:lang w:val="es-ES_tradnl"/>
        </w:rPr>
        <w:t>C</w:t>
      </w:r>
      <w:r w:rsidRPr="00FB5890">
        <w:rPr>
          <w:rFonts w:ascii="Times New Roman" w:hAnsi="Times New Roman" w:cs="Times New Roman"/>
          <w:color w:val="000000" w:themeColor="text1"/>
          <w:lang w:val="es-ES_tradnl"/>
        </w:rPr>
        <w:t>ódigo</w:t>
      </w:r>
      <w:r w:rsidR="00995FB7" w:rsidRPr="00FB5890">
        <w:rPr>
          <w:rFonts w:ascii="Times New Roman" w:hAnsi="Times New Roman" w:cs="Times New Roman"/>
          <w:color w:val="000000" w:themeColor="text1"/>
          <w:lang w:val="es-ES_tradnl"/>
        </w:rPr>
        <w:t xml:space="preserve"> Penal de 1973 </w:t>
      </w:r>
      <w:r w:rsidRPr="00FB5890">
        <w:rPr>
          <w:rFonts w:ascii="Times New Roman" w:hAnsi="Times New Roman" w:cs="Times New Roman"/>
          <w:color w:val="000000" w:themeColor="text1"/>
          <w:lang w:val="es-ES_tradnl"/>
        </w:rPr>
        <w:t xml:space="preserve"> establecía que el aborto “no era punible” cuando</w:t>
      </w:r>
      <w:r w:rsidRPr="00FB5890">
        <w:rPr>
          <w:rFonts w:ascii="Times New Roman" w:hAnsi="Times New Roman" w:cs="Times New Roman"/>
          <w:color w:val="000000" w:themeColor="text1"/>
          <w:vertAlign w:val="superscript"/>
          <w:lang w:val="es-ES_tradnl"/>
        </w:rPr>
        <w:endnoteReference w:id="15"/>
      </w:r>
      <w:r w:rsidRPr="00FB5890">
        <w:rPr>
          <w:rFonts w:ascii="Times New Roman" w:hAnsi="Times New Roman" w:cs="Times New Roman"/>
          <w:color w:val="000000" w:themeColor="text1"/>
          <w:lang w:val="es-ES_tradnl"/>
        </w:rPr>
        <w:t xml:space="preserve">: (i) se tratara de un “aborto culposo propio que se hubiere ocasionado la mujer o la tentativa de esta para </w:t>
      </w:r>
      <w:r w:rsidRPr="00FB5890">
        <w:rPr>
          <w:rFonts w:ascii="Times New Roman" w:hAnsi="Times New Roman" w:cs="Times New Roman"/>
          <w:color w:val="000000" w:themeColor="text1"/>
          <w:lang w:val="es-ES_tradnl"/>
        </w:rPr>
        <w:lastRenderedPageBreak/>
        <w:t xml:space="preserve">causar su aborto”; (ii) fuera realizado “con el propósito de salvar la vida de la madre”; (iii) fuera “consecuencia de un delito de violación o de estupro y se ejecutare con consentimiento de la mujer”; </w:t>
      </w:r>
      <w:r w:rsidR="000117B6" w:rsidRPr="00FB5890">
        <w:rPr>
          <w:rFonts w:ascii="Times New Roman" w:hAnsi="Times New Roman" w:cs="Times New Roman"/>
          <w:color w:val="000000" w:themeColor="text1"/>
          <w:lang w:val="es-ES_tradnl"/>
        </w:rPr>
        <w:t>o</w:t>
      </w:r>
      <w:r w:rsidRPr="00FB5890">
        <w:rPr>
          <w:rFonts w:ascii="Times New Roman" w:hAnsi="Times New Roman" w:cs="Times New Roman"/>
          <w:color w:val="000000" w:themeColor="text1"/>
          <w:lang w:val="es-ES_tradnl"/>
        </w:rPr>
        <w:t xml:space="preserve"> (iv) fuera realizado “con el consentimiento de la mujer cuando el propósito sea evitar una deformidad previsible grave en el producto de la concepción”. De esta manera, entre 1973 y 1998, El Salvador incorporó a la legislación penal una serie de causales bajo las cuales se justificaba y era permitido el aborto</w:t>
      </w:r>
      <w:r w:rsidR="008561F3" w:rsidRPr="00FB5890">
        <w:rPr>
          <w:rFonts w:ascii="Times New Roman" w:hAnsi="Times New Roman" w:cs="Times New Roman"/>
          <w:color w:val="000000" w:themeColor="text1"/>
          <w:lang w:val="es-ES_tradnl"/>
        </w:rPr>
        <w:t>. E</w:t>
      </w:r>
      <w:r w:rsidRPr="00FB5890">
        <w:rPr>
          <w:rFonts w:ascii="Times New Roman" w:hAnsi="Times New Roman" w:cs="Times New Roman"/>
          <w:color w:val="000000" w:themeColor="text1"/>
          <w:lang w:val="es-ES_tradnl"/>
        </w:rPr>
        <w:t>st</w:t>
      </w:r>
      <w:r w:rsidR="002541E4" w:rsidRPr="00FB5890">
        <w:rPr>
          <w:rFonts w:ascii="Times New Roman" w:hAnsi="Times New Roman" w:cs="Times New Roman"/>
          <w:color w:val="000000" w:themeColor="text1"/>
          <w:lang w:val="es-ES_tradnl"/>
        </w:rPr>
        <w:t xml:space="preserve">e régimen de causales, que permitía el acceso a la interrupción del embarazo en determinadas circunstancias, </w:t>
      </w:r>
      <w:r w:rsidR="00475CFE" w:rsidRPr="00FB5890">
        <w:rPr>
          <w:rFonts w:ascii="Times New Roman" w:hAnsi="Times New Roman" w:cs="Times New Roman"/>
          <w:color w:val="000000" w:themeColor="text1"/>
          <w:lang w:val="es-ES_tradnl"/>
        </w:rPr>
        <w:t>era t</w:t>
      </w:r>
      <w:r w:rsidRPr="00FB5890">
        <w:rPr>
          <w:rFonts w:ascii="Times New Roman" w:hAnsi="Times New Roman" w:cs="Times New Roman"/>
          <w:color w:val="000000" w:themeColor="text1"/>
          <w:lang w:val="es-ES_tradnl"/>
        </w:rPr>
        <w:t xml:space="preserve">endiente a proteger y garantizar el derecho a la salud de las mujeres, por medio de cada una de las tres causales. </w:t>
      </w:r>
    </w:p>
    <w:p w14:paraId="08CF357A" w14:textId="5B4EA26E" w:rsidR="004A437D" w:rsidRPr="00FB5890" w:rsidRDefault="00BB358C" w:rsidP="00634CFC">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El Salvador es Estado Parte del PIDESC</w:t>
      </w:r>
      <w:r w:rsidR="00A23D14" w:rsidRPr="00FB5890">
        <w:rPr>
          <w:rStyle w:val="EndnoteReference"/>
          <w:rFonts w:ascii="Times New Roman" w:hAnsi="Times New Roman" w:cs="Times New Roman"/>
          <w:color w:val="000000" w:themeColor="text1"/>
          <w:lang w:val="es-ES_tradnl"/>
        </w:rPr>
        <w:endnoteReference w:id="16"/>
      </w:r>
      <w:r w:rsidR="00A011FC" w:rsidRPr="00FB5890">
        <w:rPr>
          <w:rFonts w:ascii="Times New Roman" w:hAnsi="Times New Roman" w:cs="Times New Roman"/>
          <w:color w:val="000000" w:themeColor="text1"/>
          <w:lang w:val="es-ES_tradnl"/>
        </w:rPr>
        <w:t xml:space="preserve"> desde 1979</w:t>
      </w:r>
      <w:r w:rsidR="00B93BF7" w:rsidRPr="00FB5890">
        <w:rPr>
          <w:rFonts w:ascii="Times New Roman" w:hAnsi="Times New Roman" w:cs="Times New Roman"/>
          <w:color w:val="000000" w:themeColor="text1"/>
          <w:lang w:val="es-ES_tradnl"/>
        </w:rPr>
        <w:t xml:space="preserve"> </w:t>
      </w:r>
      <w:r w:rsidRPr="00FB5890">
        <w:rPr>
          <w:rFonts w:ascii="Times New Roman" w:hAnsi="Times New Roman" w:cs="Times New Roman"/>
          <w:color w:val="000000" w:themeColor="text1"/>
          <w:lang w:val="es-ES_tradnl"/>
        </w:rPr>
        <w:t>y como tal debe cumplir con sus obligaciones</w:t>
      </w:r>
      <w:r w:rsidR="004E3A84" w:rsidRPr="00FB5890">
        <w:rPr>
          <w:rFonts w:ascii="Times New Roman" w:hAnsi="Times New Roman" w:cs="Times New Roman"/>
          <w:color w:val="000000" w:themeColor="text1"/>
          <w:lang w:val="es-ES_tradnl"/>
        </w:rPr>
        <w:t>, tanto las</w:t>
      </w:r>
      <w:r w:rsidR="00BB724B" w:rsidRPr="00FB5890">
        <w:rPr>
          <w:rFonts w:ascii="Times New Roman" w:hAnsi="Times New Roman" w:cs="Times New Roman"/>
          <w:color w:val="000000" w:themeColor="text1"/>
          <w:lang w:val="es-ES_tradnl"/>
        </w:rPr>
        <w:t xml:space="preserve"> </w:t>
      </w:r>
      <w:r w:rsidRPr="00FB5890">
        <w:rPr>
          <w:rFonts w:ascii="Times New Roman" w:hAnsi="Times New Roman" w:cs="Times New Roman"/>
          <w:color w:val="000000" w:themeColor="text1"/>
          <w:lang w:val="es-ES_tradnl"/>
        </w:rPr>
        <w:t xml:space="preserve">de exigibilidad inmediata </w:t>
      </w:r>
      <w:r w:rsidR="004E3A84" w:rsidRPr="00FB5890">
        <w:rPr>
          <w:rFonts w:ascii="Times New Roman" w:hAnsi="Times New Roman" w:cs="Times New Roman"/>
          <w:color w:val="000000" w:themeColor="text1"/>
          <w:lang w:val="es-ES_tradnl"/>
        </w:rPr>
        <w:t>como las de cumplimiento</w:t>
      </w:r>
      <w:r w:rsidRPr="00FB5890">
        <w:rPr>
          <w:rFonts w:ascii="Times New Roman" w:hAnsi="Times New Roman" w:cs="Times New Roman"/>
          <w:color w:val="000000" w:themeColor="text1"/>
          <w:lang w:val="es-ES_tradnl"/>
        </w:rPr>
        <w:t xml:space="preserve"> progresivo en materia de salud sexual y reproductiva.</w:t>
      </w:r>
      <w:r w:rsidR="00AA0E8B" w:rsidRPr="00FB5890">
        <w:rPr>
          <w:rFonts w:ascii="Times New Roman" w:hAnsi="Times New Roman" w:cs="Times New Roman"/>
          <w:color w:val="000000" w:themeColor="text1"/>
          <w:lang w:val="es-ES_tradnl"/>
        </w:rPr>
        <w:t xml:space="preserve"> </w:t>
      </w:r>
      <w:r w:rsidRPr="00FB5890">
        <w:rPr>
          <w:rFonts w:ascii="Times New Roman" w:hAnsi="Times New Roman" w:cs="Times New Roman"/>
          <w:color w:val="000000" w:themeColor="text1"/>
          <w:lang w:val="es-ES_tradnl"/>
        </w:rPr>
        <w:t>Para asegurar el cumplimiento de est</w:t>
      </w:r>
      <w:r w:rsidR="003E045C" w:rsidRPr="00FB5890">
        <w:rPr>
          <w:rFonts w:ascii="Times New Roman" w:hAnsi="Times New Roman" w:cs="Times New Roman"/>
          <w:color w:val="000000" w:themeColor="text1"/>
          <w:lang w:val="es-ES_tradnl"/>
        </w:rPr>
        <w:t xml:space="preserve">os </w:t>
      </w:r>
      <w:r w:rsidRPr="00FB5890">
        <w:rPr>
          <w:rFonts w:ascii="Times New Roman" w:hAnsi="Times New Roman" w:cs="Times New Roman"/>
          <w:color w:val="000000" w:themeColor="text1"/>
          <w:lang w:val="es-ES_tradnl"/>
        </w:rPr>
        <w:t>derecho</w:t>
      </w:r>
      <w:r w:rsidR="003E045C" w:rsidRPr="00FB5890">
        <w:rPr>
          <w:rFonts w:ascii="Times New Roman" w:hAnsi="Times New Roman" w:cs="Times New Roman"/>
          <w:color w:val="000000" w:themeColor="text1"/>
          <w:lang w:val="es-ES_tradnl"/>
        </w:rPr>
        <w:t>s</w:t>
      </w:r>
      <w:r w:rsidRPr="00FB5890">
        <w:rPr>
          <w:rFonts w:ascii="Times New Roman" w:hAnsi="Times New Roman" w:cs="Times New Roman"/>
          <w:color w:val="000000" w:themeColor="text1"/>
          <w:lang w:val="es-ES_tradnl"/>
        </w:rPr>
        <w:t>, existe la obligación de crear condiciones que garanticen a todos asistencia médica y servicios médicos</w:t>
      </w:r>
      <w:r w:rsidRPr="00FB5890">
        <w:rPr>
          <w:rFonts w:ascii="Times New Roman" w:hAnsi="Times New Roman" w:cs="Times New Roman"/>
          <w:color w:val="000000" w:themeColor="text1"/>
          <w:vertAlign w:val="superscript"/>
          <w:lang w:val="es-ES_tradnl"/>
        </w:rPr>
        <w:endnoteReference w:id="17"/>
      </w:r>
      <w:r w:rsidRPr="00FB5890">
        <w:rPr>
          <w:rFonts w:ascii="Times New Roman" w:hAnsi="Times New Roman" w:cs="Times New Roman"/>
          <w:color w:val="000000" w:themeColor="text1"/>
          <w:lang w:val="es-ES_tradnl"/>
        </w:rPr>
        <w:t>, las cuales incluyen “toda una serie de servicios de atención de la salud sexual y reproductiva de buena calidad”</w:t>
      </w:r>
      <w:r w:rsidRPr="00FB5890">
        <w:rPr>
          <w:rFonts w:ascii="Times New Roman" w:hAnsi="Times New Roman" w:cs="Times New Roman"/>
          <w:color w:val="000000" w:themeColor="text1"/>
          <w:vertAlign w:val="superscript"/>
          <w:lang w:val="es-ES_tradnl"/>
        </w:rPr>
        <w:endnoteReference w:id="18"/>
      </w:r>
      <w:r w:rsidRPr="00FB5890">
        <w:rPr>
          <w:rFonts w:ascii="Times New Roman" w:hAnsi="Times New Roman" w:cs="Times New Roman"/>
          <w:color w:val="000000" w:themeColor="text1"/>
          <w:lang w:val="es-ES_tradnl"/>
        </w:rPr>
        <w:t>.</w:t>
      </w:r>
    </w:p>
    <w:p w14:paraId="62975EE1" w14:textId="1D22095B" w:rsidR="00E62840" w:rsidRPr="00FB5890" w:rsidRDefault="007933DB"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La vigencia de </w:t>
      </w:r>
      <w:r w:rsidR="00BA3FDB" w:rsidRPr="00FB5890">
        <w:rPr>
          <w:rFonts w:ascii="Times New Roman" w:hAnsi="Times New Roman" w:cs="Times New Roman"/>
          <w:color w:val="000000" w:themeColor="text1"/>
          <w:lang w:val="es-ES_tradnl"/>
        </w:rPr>
        <w:t>las</w:t>
      </w:r>
      <w:r w:rsidRPr="00FB5890">
        <w:rPr>
          <w:rFonts w:ascii="Times New Roman" w:hAnsi="Times New Roman" w:cs="Times New Roman"/>
          <w:color w:val="000000" w:themeColor="text1"/>
          <w:lang w:val="es-ES_tradnl"/>
        </w:rPr>
        <w:t xml:space="preserve"> causales de no punibilidad en el Código Penal </w:t>
      </w:r>
      <w:r w:rsidR="003F2858" w:rsidRPr="00FB5890">
        <w:rPr>
          <w:rFonts w:ascii="Times New Roman" w:hAnsi="Times New Roman" w:cs="Times New Roman"/>
          <w:color w:val="000000" w:themeColor="text1"/>
          <w:lang w:val="es-ES_tradnl"/>
        </w:rPr>
        <w:t>anterior</w:t>
      </w:r>
      <w:r w:rsidR="00BA3FDB" w:rsidRPr="00FB5890">
        <w:rPr>
          <w:rFonts w:ascii="Times New Roman" w:hAnsi="Times New Roman" w:cs="Times New Roman"/>
          <w:color w:val="000000" w:themeColor="text1"/>
          <w:lang w:val="es-ES_tradnl"/>
        </w:rPr>
        <w:t xml:space="preserve"> habilitaba que las mujeres</w:t>
      </w:r>
      <w:r w:rsidR="0064661E" w:rsidRPr="00FB5890">
        <w:rPr>
          <w:rFonts w:ascii="Times New Roman" w:hAnsi="Times New Roman" w:cs="Times New Roman"/>
          <w:color w:val="000000" w:themeColor="text1"/>
          <w:lang w:val="es-ES_tradnl"/>
        </w:rPr>
        <w:t xml:space="preserve"> y niñas</w:t>
      </w:r>
      <w:r w:rsidR="00BA3FDB" w:rsidRPr="00FB5890">
        <w:rPr>
          <w:rFonts w:ascii="Times New Roman" w:hAnsi="Times New Roman" w:cs="Times New Roman"/>
          <w:color w:val="000000" w:themeColor="text1"/>
          <w:lang w:val="es-ES_tradnl"/>
        </w:rPr>
        <w:t xml:space="preserve"> en situaciones muy extremas pudieran acceder a la interrupción </w:t>
      </w:r>
      <w:r w:rsidR="00BA0C6D" w:rsidRPr="00FB5890">
        <w:rPr>
          <w:rFonts w:ascii="Times New Roman" w:hAnsi="Times New Roman" w:cs="Times New Roman"/>
          <w:color w:val="000000" w:themeColor="text1"/>
          <w:lang w:val="es-ES_tradnl"/>
        </w:rPr>
        <w:t xml:space="preserve">legal </w:t>
      </w:r>
      <w:r w:rsidR="00BA3FDB" w:rsidRPr="00FB5890">
        <w:rPr>
          <w:rFonts w:ascii="Times New Roman" w:hAnsi="Times New Roman" w:cs="Times New Roman"/>
          <w:color w:val="000000" w:themeColor="text1"/>
          <w:lang w:val="es-ES_tradnl"/>
        </w:rPr>
        <w:t>del embarazo que constituye un bien y servicio de salud reproductiva. Además, al evitar que las mujeres</w:t>
      </w:r>
      <w:r w:rsidR="0064661E" w:rsidRPr="00FB5890">
        <w:rPr>
          <w:rFonts w:ascii="Times New Roman" w:hAnsi="Times New Roman" w:cs="Times New Roman"/>
          <w:color w:val="000000" w:themeColor="text1"/>
          <w:lang w:val="es-ES_tradnl"/>
        </w:rPr>
        <w:t xml:space="preserve"> y niñas</w:t>
      </w:r>
      <w:r w:rsidR="00BA3FDB" w:rsidRPr="00FB5890">
        <w:rPr>
          <w:rFonts w:ascii="Times New Roman" w:hAnsi="Times New Roman" w:cs="Times New Roman"/>
          <w:color w:val="000000" w:themeColor="text1"/>
          <w:lang w:val="es-ES_tradnl"/>
        </w:rPr>
        <w:t xml:space="preserve"> tuvieran que buscar abortos inseguros en circunstancias en las cuales continuar forzadamente con un embarazo es una carga inaceptable para el marco jurídico internacional de los derechos humanos, la vigencia del referido Código Penal también prevenía posibles afectaciones a la salud de las mujeres</w:t>
      </w:r>
      <w:r w:rsidR="0064661E" w:rsidRPr="00FB5890">
        <w:rPr>
          <w:rFonts w:ascii="Times New Roman" w:hAnsi="Times New Roman" w:cs="Times New Roman"/>
          <w:color w:val="000000" w:themeColor="text1"/>
          <w:lang w:val="es-ES_tradnl"/>
        </w:rPr>
        <w:t xml:space="preserve"> y niñas</w:t>
      </w:r>
      <w:r w:rsidR="00BA3FDB" w:rsidRPr="00FB5890">
        <w:rPr>
          <w:rFonts w:ascii="Times New Roman" w:hAnsi="Times New Roman" w:cs="Times New Roman"/>
          <w:color w:val="000000" w:themeColor="text1"/>
          <w:lang w:val="es-ES_tradnl"/>
        </w:rPr>
        <w:t xml:space="preserve"> e incluso a su vida. </w:t>
      </w:r>
      <w:r w:rsidR="00E62840" w:rsidRPr="00FB5890">
        <w:rPr>
          <w:rFonts w:ascii="Times New Roman" w:hAnsi="Times New Roman" w:cs="Times New Roman"/>
          <w:color w:val="000000" w:themeColor="text1"/>
          <w:lang w:val="es-ES_tradnl"/>
        </w:rPr>
        <w:t xml:space="preserve">Igualmente, el Código Penal anterior, mediante estas causales de no punibilidad, no constituía una anulación absoluta de los derechos de la mujer </w:t>
      </w:r>
      <w:r w:rsidR="0064661E" w:rsidRPr="00FB5890">
        <w:rPr>
          <w:rFonts w:ascii="Times New Roman" w:hAnsi="Times New Roman" w:cs="Times New Roman"/>
          <w:color w:val="000000" w:themeColor="text1"/>
          <w:lang w:val="es-ES_tradnl"/>
        </w:rPr>
        <w:t xml:space="preserve">o niña </w:t>
      </w:r>
      <w:r w:rsidR="00E62840" w:rsidRPr="00FB5890">
        <w:rPr>
          <w:rFonts w:ascii="Times New Roman" w:hAnsi="Times New Roman" w:cs="Times New Roman"/>
          <w:color w:val="000000" w:themeColor="text1"/>
          <w:lang w:val="es-ES_tradnl"/>
        </w:rPr>
        <w:t>embarazada, incluyendo el derecho a la salud física y mental. Con el marco jurídico actual, se prioriza de manera absoluta la protección de la vida en gestación y se elimina toda consideración o posibilidad de ponderación con la salud física y mental de las mujeres</w:t>
      </w:r>
      <w:r w:rsidR="0064661E" w:rsidRPr="00FB5890">
        <w:rPr>
          <w:rFonts w:ascii="Times New Roman" w:hAnsi="Times New Roman" w:cs="Times New Roman"/>
          <w:color w:val="000000" w:themeColor="text1"/>
          <w:lang w:val="es-ES_tradnl"/>
        </w:rPr>
        <w:t xml:space="preserve"> y niñas</w:t>
      </w:r>
      <w:r w:rsidR="00E62840" w:rsidRPr="00FB5890">
        <w:rPr>
          <w:rFonts w:ascii="Times New Roman" w:hAnsi="Times New Roman" w:cs="Times New Roman"/>
          <w:color w:val="000000" w:themeColor="text1"/>
          <w:lang w:val="es-ES_tradnl"/>
        </w:rPr>
        <w:t xml:space="preserve">, independientemente de la gravedad de su afectación en las referidas causales. </w:t>
      </w:r>
    </w:p>
    <w:p w14:paraId="4B515E27" w14:textId="1220D6D3" w:rsidR="00C90247" w:rsidRPr="00FB5890" w:rsidRDefault="00421F9D"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En efecto, este Comité </w:t>
      </w:r>
      <w:r w:rsidR="00F9350C" w:rsidRPr="00FB5890">
        <w:rPr>
          <w:rFonts w:ascii="Times New Roman" w:hAnsi="Times New Roman" w:cs="Times New Roman"/>
          <w:color w:val="000000" w:themeColor="text1"/>
          <w:lang w:val="es-ES_tradnl"/>
        </w:rPr>
        <w:t xml:space="preserve">DESC </w:t>
      </w:r>
      <w:r w:rsidR="00FA619A" w:rsidRPr="00FB5890">
        <w:rPr>
          <w:rFonts w:ascii="Times New Roman" w:hAnsi="Times New Roman" w:cs="Times New Roman"/>
          <w:color w:val="000000" w:themeColor="text1"/>
          <w:lang w:val="es-ES_tradnl"/>
        </w:rPr>
        <w:t xml:space="preserve">ya </w:t>
      </w:r>
      <w:r w:rsidR="00F9350C" w:rsidRPr="00FB5890">
        <w:rPr>
          <w:rFonts w:ascii="Times New Roman" w:hAnsi="Times New Roman" w:cs="Times New Roman"/>
          <w:color w:val="000000" w:themeColor="text1"/>
          <w:lang w:val="es-ES_tradnl"/>
        </w:rPr>
        <w:t>ha</w:t>
      </w:r>
      <w:r w:rsidR="00FA619A" w:rsidRPr="00FB5890">
        <w:rPr>
          <w:rFonts w:ascii="Times New Roman" w:hAnsi="Times New Roman" w:cs="Times New Roman"/>
          <w:color w:val="000000" w:themeColor="text1"/>
          <w:lang w:val="es-ES_tradnl"/>
        </w:rPr>
        <w:t xml:space="preserve"> manifestado en ocasiones anteriores su preocupación por la persistencia de la total prohibición del aborto, expresando que afecta particularmente a mujeres pobres y con un nivel menor de educación. Asimismo, el Comité DESC ha e</w:t>
      </w:r>
      <w:r w:rsidR="00F9350C" w:rsidRPr="00FB5890">
        <w:rPr>
          <w:rFonts w:ascii="Times New Roman" w:hAnsi="Times New Roman" w:cs="Times New Roman"/>
          <w:color w:val="000000" w:themeColor="text1"/>
          <w:lang w:val="es-ES_tradnl"/>
        </w:rPr>
        <w:t>x</w:t>
      </w:r>
      <w:r w:rsidR="007212C0" w:rsidRPr="00FB5890">
        <w:rPr>
          <w:rFonts w:ascii="Times New Roman" w:hAnsi="Times New Roman" w:cs="Times New Roman"/>
          <w:color w:val="000000" w:themeColor="text1"/>
          <w:lang w:val="es-ES_tradnl"/>
        </w:rPr>
        <w:t>h</w:t>
      </w:r>
      <w:r w:rsidR="00F9350C" w:rsidRPr="00FB5890">
        <w:rPr>
          <w:rFonts w:ascii="Times New Roman" w:hAnsi="Times New Roman" w:cs="Times New Roman"/>
          <w:color w:val="000000" w:themeColor="text1"/>
          <w:lang w:val="es-ES_tradnl"/>
        </w:rPr>
        <w:t>ortado al Estado</w:t>
      </w:r>
      <w:r w:rsidR="00FA619A" w:rsidRPr="00FB5890">
        <w:rPr>
          <w:rFonts w:ascii="Times New Roman" w:hAnsi="Times New Roman" w:cs="Times New Roman"/>
          <w:color w:val="000000" w:themeColor="text1"/>
          <w:lang w:val="es-ES_tradnl"/>
        </w:rPr>
        <w:t xml:space="preserve"> de El Salvador a que revise su legislación para hacerla compatible con otros derechos fundamentales como el de la salud y la vida de la mujer, así como con su dignidad</w:t>
      </w:r>
      <w:r w:rsidR="00B3732E" w:rsidRPr="00FB5890">
        <w:rPr>
          <w:rFonts w:ascii="Times New Roman" w:hAnsi="Times New Roman" w:cs="Times New Roman"/>
          <w:color w:val="000000" w:themeColor="text1"/>
          <w:lang w:val="es-ES_tradnl"/>
        </w:rPr>
        <w:t xml:space="preserve">; y </w:t>
      </w:r>
      <w:r w:rsidR="00FA619A" w:rsidRPr="00FB5890">
        <w:rPr>
          <w:rFonts w:ascii="Times New Roman" w:hAnsi="Times New Roman" w:cs="Times New Roman"/>
          <w:color w:val="000000" w:themeColor="text1"/>
          <w:lang w:val="es-ES_tradnl"/>
        </w:rPr>
        <w:t xml:space="preserve">le ha </w:t>
      </w:r>
      <w:r w:rsidR="00482D87" w:rsidRPr="00FB5890">
        <w:rPr>
          <w:rFonts w:ascii="Times New Roman" w:hAnsi="Times New Roman" w:cs="Times New Roman"/>
          <w:color w:val="000000" w:themeColor="text1"/>
          <w:lang w:val="es-ES_tradnl"/>
        </w:rPr>
        <w:t>instado a proporcionar</w:t>
      </w:r>
      <w:r w:rsidR="00FA619A" w:rsidRPr="00FB5890">
        <w:rPr>
          <w:rFonts w:ascii="Times New Roman" w:hAnsi="Times New Roman" w:cs="Times New Roman"/>
          <w:color w:val="000000" w:themeColor="text1"/>
          <w:lang w:val="es-ES_tradnl"/>
        </w:rPr>
        <w:t xml:space="preserve"> atención de calidad para el tratamiento de las complicaciones derivadas de los abortos practicados en condiciones de riesgo, en lugar de priorizar su persecución penal</w:t>
      </w:r>
      <w:r w:rsidR="00B3732E" w:rsidRPr="00FB5890">
        <w:rPr>
          <w:rStyle w:val="EndnoteReference"/>
          <w:rFonts w:ascii="Times New Roman" w:hAnsi="Times New Roman" w:cs="Times New Roman"/>
          <w:color w:val="000000" w:themeColor="text1"/>
          <w:lang w:val="es-ES_tradnl"/>
        </w:rPr>
        <w:endnoteReference w:id="19"/>
      </w:r>
      <w:r w:rsidR="00FA619A" w:rsidRPr="00FB5890">
        <w:rPr>
          <w:rFonts w:ascii="Times New Roman" w:hAnsi="Times New Roman" w:cs="Times New Roman"/>
          <w:color w:val="000000" w:themeColor="text1"/>
          <w:lang w:val="es-ES_tradnl"/>
        </w:rPr>
        <w:t>.</w:t>
      </w:r>
    </w:p>
    <w:p w14:paraId="22D19B8F" w14:textId="4C8B6867" w:rsidR="00BB358C" w:rsidRPr="00FB5890" w:rsidRDefault="00421F9D"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Consideramos que en el presente examen periódico, es importante que el Comité DESC reitere su posición sobre la criminalización absoluta del aborto en El Salvador bajo el derecho a la salud y agregue que se trató de una medida deliberadamente regresiva e injustificada y, por lo tanto, contraria al PIDESC. </w:t>
      </w:r>
    </w:p>
    <w:p w14:paraId="59C38226" w14:textId="43700E29" w:rsidR="00BB358C" w:rsidRPr="00FB5890" w:rsidRDefault="00BB358C"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La reforma inviabilizó el acceso a la interrupción</w:t>
      </w:r>
      <w:r w:rsidR="0064661E" w:rsidRPr="00FB5890">
        <w:rPr>
          <w:rFonts w:ascii="Times New Roman" w:hAnsi="Times New Roman" w:cs="Times New Roman"/>
          <w:color w:val="000000" w:themeColor="text1"/>
          <w:lang w:val="es-ES_tradnl"/>
        </w:rPr>
        <w:t xml:space="preserve"> legal</w:t>
      </w:r>
      <w:r w:rsidRPr="00FB5890">
        <w:rPr>
          <w:rFonts w:ascii="Times New Roman" w:hAnsi="Times New Roman" w:cs="Times New Roman"/>
          <w:color w:val="000000" w:themeColor="text1"/>
          <w:lang w:val="es-ES_tradnl"/>
        </w:rPr>
        <w:t xml:space="preserve"> del embarazo en situaciones extremas</w:t>
      </w:r>
      <w:r w:rsidR="000117B6" w:rsidRPr="00FB5890">
        <w:rPr>
          <w:rFonts w:ascii="Times New Roman" w:hAnsi="Times New Roman" w:cs="Times New Roman"/>
          <w:color w:val="000000" w:themeColor="text1"/>
          <w:lang w:val="es-ES_tradnl"/>
        </w:rPr>
        <w:t xml:space="preserve"> </w:t>
      </w:r>
      <w:r w:rsidR="00B34933" w:rsidRPr="00FB5890">
        <w:rPr>
          <w:rFonts w:ascii="Times New Roman" w:hAnsi="Times New Roman" w:cs="Times New Roman"/>
          <w:color w:val="000000" w:themeColor="text1"/>
          <w:lang w:val="es-ES_tradnl"/>
        </w:rPr>
        <w:t xml:space="preserve">que estaban </w:t>
      </w:r>
      <w:r w:rsidR="000117B6" w:rsidRPr="00FB5890">
        <w:rPr>
          <w:rFonts w:ascii="Times New Roman" w:hAnsi="Times New Roman" w:cs="Times New Roman"/>
          <w:color w:val="000000" w:themeColor="text1"/>
          <w:lang w:val="es-ES_tradnl"/>
        </w:rPr>
        <w:t>protegidas previamente por las causales no punibilidad.</w:t>
      </w:r>
      <w:r w:rsidRPr="00FB5890">
        <w:rPr>
          <w:rFonts w:ascii="Times New Roman" w:hAnsi="Times New Roman" w:cs="Times New Roman"/>
          <w:color w:val="000000" w:themeColor="text1"/>
          <w:lang w:val="es-ES_tradnl"/>
        </w:rPr>
        <w:t xml:space="preserve"> Esto es incompatible con el ejercicio y el disfrute del derecho a la salud sexual y reproductiva de las niñas y mujeres en El Salvador. El Comité CEDAW ha señalado con frecuencia que las leyes restrictivas de aborto constituyen una violación del derecho a la salud</w:t>
      </w:r>
      <w:r w:rsidRPr="00FB5890">
        <w:rPr>
          <w:rFonts w:ascii="Times New Roman" w:hAnsi="Times New Roman" w:cs="Times New Roman"/>
          <w:color w:val="000000" w:themeColor="text1"/>
          <w:vertAlign w:val="superscript"/>
          <w:lang w:val="es-ES_tradnl"/>
        </w:rPr>
        <w:endnoteReference w:id="20"/>
      </w:r>
      <w:r w:rsidRPr="00FB5890">
        <w:rPr>
          <w:rFonts w:ascii="Times New Roman" w:hAnsi="Times New Roman" w:cs="Times New Roman"/>
          <w:color w:val="000000" w:themeColor="text1"/>
          <w:lang w:val="es-ES_tradnl"/>
        </w:rPr>
        <w:t xml:space="preserve">. A su vez, el Relator sobre el derecho a </w:t>
      </w:r>
      <w:r w:rsidR="000117B6" w:rsidRPr="00FB5890">
        <w:rPr>
          <w:rFonts w:ascii="Times New Roman" w:hAnsi="Times New Roman" w:cs="Times New Roman"/>
          <w:color w:val="000000" w:themeColor="text1"/>
          <w:lang w:val="es-ES_tradnl"/>
        </w:rPr>
        <w:t>la</w:t>
      </w:r>
      <w:r w:rsidRPr="00FB5890">
        <w:rPr>
          <w:rFonts w:ascii="Times New Roman" w:hAnsi="Times New Roman" w:cs="Times New Roman"/>
          <w:color w:val="000000" w:themeColor="text1"/>
          <w:lang w:val="es-ES_tradnl"/>
        </w:rPr>
        <w:t xml:space="preserve"> salud ha dicho que “la promulgación o el mantenimiento de leyes que penalicen el aborto puede constituir una violación de los Estados de respetar, proteger y hacer efectivo el derecho a la salud”</w:t>
      </w:r>
      <w:r w:rsidRPr="00FB5890">
        <w:rPr>
          <w:rFonts w:ascii="Times New Roman" w:hAnsi="Times New Roman" w:cs="Times New Roman"/>
          <w:color w:val="000000" w:themeColor="text1"/>
          <w:vertAlign w:val="superscript"/>
          <w:lang w:val="es-ES_tradnl"/>
        </w:rPr>
        <w:endnoteReference w:id="21"/>
      </w:r>
      <w:r w:rsidRPr="00FB5890">
        <w:rPr>
          <w:rFonts w:ascii="Times New Roman" w:hAnsi="Times New Roman" w:cs="Times New Roman"/>
          <w:color w:val="000000" w:themeColor="text1"/>
          <w:lang w:val="es-ES_tradnl"/>
        </w:rPr>
        <w:t xml:space="preserve">. </w:t>
      </w:r>
    </w:p>
    <w:p w14:paraId="1E1F1FEF" w14:textId="20EB970B" w:rsidR="00AA2EAD" w:rsidRPr="00FB5890" w:rsidRDefault="00BB358C"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Al emplearse los parámetros sentados por el Comité DESC es evidente que el sistema de penalización </w:t>
      </w:r>
      <w:r w:rsidR="000117B6" w:rsidRPr="00FB5890">
        <w:rPr>
          <w:rFonts w:ascii="Times New Roman" w:hAnsi="Times New Roman" w:cs="Times New Roman"/>
          <w:color w:val="000000" w:themeColor="text1"/>
          <w:lang w:val="es-ES_tradnl"/>
        </w:rPr>
        <w:t xml:space="preserve">absoluta </w:t>
      </w:r>
      <w:r w:rsidRPr="00FB5890">
        <w:rPr>
          <w:rFonts w:ascii="Times New Roman" w:hAnsi="Times New Roman" w:cs="Times New Roman"/>
          <w:color w:val="000000" w:themeColor="text1"/>
          <w:lang w:val="es-ES_tradnl"/>
        </w:rPr>
        <w:t>del aborto en El Salvador es una medida</w:t>
      </w:r>
      <w:r w:rsidR="0064661E" w:rsidRPr="00FB5890">
        <w:rPr>
          <w:rFonts w:ascii="Times New Roman" w:hAnsi="Times New Roman" w:cs="Times New Roman"/>
          <w:color w:val="000000" w:themeColor="text1"/>
          <w:lang w:val="es-ES_tradnl"/>
        </w:rPr>
        <w:t xml:space="preserve"> deliberadamente</w:t>
      </w:r>
      <w:r w:rsidRPr="00FB5890">
        <w:rPr>
          <w:rFonts w:ascii="Times New Roman" w:hAnsi="Times New Roman" w:cs="Times New Roman"/>
          <w:color w:val="000000" w:themeColor="text1"/>
          <w:lang w:val="es-ES_tradnl"/>
        </w:rPr>
        <w:t xml:space="preserve"> regresiva.</w:t>
      </w:r>
      <w:r w:rsidR="0064661E" w:rsidRPr="00FB5890">
        <w:rPr>
          <w:rFonts w:ascii="Times New Roman" w:hAnsi="Times New Roman" w:cs="Times New Roman"/>
          <w:color w:val="000000" w:themeColor="text1"/>
          <w:lang w:val="es-ES_tradnl"/>
        </w:rPr>
        <w:t xml:space="preserve"> Por ello, </w:t>
      </w:r>
      <w:r w:rsidRPr="00FB5890">
        <w:rPr>
          <w:rFonts w:ascii="Times New Roman" w:hAnsi="Times New Roman" w:cs="Times New Roman"/>
          <w:color w:val="000000" w:themeColor="text1"/>
          <w:lang w:val="es-ES_tradnl"/>
        </w:rPr>
        <w:t>es necesario que el Estado haya hecho “el examen más exhaustivo de todas las alternativas posibles y que las medidas es</w:t>
      </w:r>
      <w:r w:rsidR="00D91188" w:rsidRPr="00FB5890">
        <w:rPr>
          <w:rFonts w:ascii="Times New Roman" w:hAnsi="Times New Roman" w:cs="Times New Roman"/>
          <w:color w:val="000000" w:themeColor="text1"/>
          <w:lang w:val="es-ES_tradnl"/>
        </w:rPr>
        <w:t>t</w:t>
      </w:r>
      <w:r w:rsidRPr="00FB5890">
        <w:rPr>
          <w:rFonts w:ascii="Times New Roman" w:hAnsi="Times New Roman" w:cs="Times New Roman"/>
          <w:color w:val="000000" w:themeColor="text1"/>
          <w:lang w:val="es-ES_tradnl"/>
        </w:rPr>
        <w:t>én debidamente justificadas por referencia a la totalidad de los derechos enunciados en el Pacto en relación con la plena utilización de los recursos máximos disponibles”</w:t>
      </w:r>
      <w:r w:rsidRPr="00FB5890">
        <w:rPr>
          <w:rFonts w:ascii="Times New Roman" w:hAnsi="Times New Roman" w:cs="Times New Roman"/>
          <w:color w:val="000000" w:themeColor="text1"/>
          <w:vertAlign w:val="superscript"/>
          <w:lang w:val="es-ES_tradnl"/>
        </w:rPr>
        <w:endnoteReference w:id="22"/>
      </w:r>
      <w:r w:rsidRPr="00FB5890">
        <w:rPr>
          <w:rFonts w:ascii="Times New Roman" w:hAnsi="Times New Roman" w:cs="Times New Roman"/>
          <w:color w:val="000000" w:themeColor="text1"/>
          <w:lang w:val="es-ES_tradnl"/>
        </w:rPr>
        <w:t xml:space="preserve">. En el caso de la reforma del Código Penal en 1998, consta expresamente en la exposición de motivos que la legislación se modificó de modo sustancial para proteger la vida del </w:t>
      </w:r>
      <w:r w:rsidRPr="00FB5890">
        <w:rPr>
          <w:rFonts w:ascii="Times New Roman" w:hAnsi="Times New Roman" w:cs="Times New Roman"/>
          <w:i/>
          <w:color w:val="000000" w:themeColor="text1"/>
          <w:lang w:val="es-ES_tradnl"/>
        </w:rPr>
        <w:t>nasciturus</w:t>
      </w:r>
      <w:r w:rsidRPr="00FB5890">
        <w:rPr>
          <w:rFonts w:ascii="Times New Roman" w:hAnsi="Times New Roman" w:cs="Times New Roman"/>
          <w:color w:val="000000" w:themeColor="text1"/>
          <w:vertAlign w:val="superscript"/>
          <w:lang w:val="es-ES_tradnl"/>
        </w:rPr>
        <w:endnoteReference w:id="23"/>
      </w:r>
      <w:r w:rsidR="00EB75AF" w:rsidRPr="00FB5890">
        <w:rPr>
          <w:rFonts w:ascii="Times New Roman" w:hAnsi="Times New Roman" w:cs="Times New Roman"/>
          <w:iCs/>
          <w:color w:val="000000" w:themeColor="text1"/>
          <w:lang w:val="es-ES_tradnl"/>
        </w:rPr>
        <w:t xml:space="preserve"> mediante la </w:t>
      </w:r>
      <w:r w:rsidR="00EB75AF" w:rsidRPr="00FB5890">
        <w:rPr>
          <w:rFonts w:ascii="Times New Roman" w:hAnsi="Times New Roman" w:cs="Times New Roman"/>
          <w:iCs/>
          <w:color w:val="000000" w:themeColor="text1"/>
          <w:lang w:val="es-ES_tradnl"/>
        </w:rPr>
        <w:lastRenderedPageBreak/>
        <w:t xml:space="preserve">eliminación del </w:t>
      </w:r>
      <w:r w:rsidRPr="00FB5890">
        <w:rPr>
          <w:rFonts w:ascii="Times New Roman" w:hAnsi="Times New Roman" w:cs="Times New Roman"/>
          <w:bCs/>
          <w:color w:val="000000" w:themeColor="text1"/>
          <w:lang w:val="es-ES_tradnl"/>
        </w:rPr>
        <w:t>acceso al aborto</w:t>
      </w:r>
      <w:r w:rsidR="00EB75AF" w:rsidRPr="00FB5890">
        <w:rPr>
          <w:rFonts w:ascii="Times New Roman" w:hAnsi="Times New Roman" w:cs="Times New Roman"/>
          <w:bCs/>
          <w:color w:val="000000" w:themeColor="text1"/>
          <w:lang w:val="es-ES_tradnl"/>
        </w:rPr>
        <w:t xml:space="preserve"> legal</w:t>
      </w:r>
      <w:r w:rsidRPr="00FB5890">
        <w:rPr>
          <w:rFonts w:ascii="Times New Roman" w:hAnsi="Times New Roman" w:cs="Times New Roman"/>
          <w:color w:val="000000" w:themeColor="text1"/>
          <w:lang w:val="es-ES_tradnl"/>
        </w:rPr>
        <w:t xml:space="preserve"> </w:t>
      </w:r>
      <w:r w:rsidRPr="00FB5890">
        <w:rPr>
          <w:rFonts w:ascii="Times New Roman" w:hAnsi="Times New Roman" w:cs="Times New Roman"/>
          <w:bCs/>
          <w:color w:val="000000" w:themeColor="text1"/>
          <w:lang w:val="es-ES_tradnl"/>
        </w:rPr>
        <w:t>en las situaciones que antes constituían excepciones a la prohibición general.</w:t>
      </w:r>
      <w:r w:rsidRPr="00FB5890">
        <w:rPr>
          <w:rFonts w:ascii="Times New Roman" w:hAnsi="Times New Roman" w:cs="Times New Roman"/>
          <w:color w:val="000000" w:themeColor="text1"/>
          <w:lang w:val="es-ES_tradnl"/>
        </w:rPr>
        <w:t xml:space="preserve"> Además de la clara y patente intención de las autoridades legislativas salvadoreñas, no hay evidencia de un análisis de diferentes opciones disponibles que pudieran haber sido menos restrictivas, o que pudieran haber garantizado la protección de los derechos en juego.</w:t>
      </w:r>
      <w:r w:rsidR="00AA2EAD" w:rsidRPr="00FB5890">
        <w:rPr>
          <w:rFonts w:ascii="Times New Roman" w:hAnsi="Times New Roman" w:cs="Times New Roman"/>
          <w:color w:val="000000" w:themeColor="text1"/>
          <w:lang w:val="es-ES_tradnl"/>
        </w:rPr>
        <w:t xml:space="preserve"> </w:t>
      </w:r>
    </w:p>
    <w:p w14:paraId="72243065" w14:textId="3F72E17D" w:rsidR="00BB358C" w:rsidRPr="00FB5890" w:rsidRDefault="00AA2EAD" w:rsidP="00D14DDB">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Al contrario, se optó por la medida más severa para lograr la finalidad de proteger la vida en gestación, anulando los derechos de las mujeres y niñas embarazadas en situaciones extremas. De hecho, se trata de una justificación que no sólo no exploró alternativas y que no se relaciona con “la totalidad de los derechos enunciados en el Pacto” ni con la plena utilización de los recursos disponibles, sino que además, es abiertamente incompatible con las obligaciones internacionales de El Salvador, como lo demuestran los múltiples casos conocidos por los Comités de tratados en los que se ha establecido la responsabilidad internacional de los Estados por la falta de acceso al aborto en las mismas condiciones extremas en las que se criminalizó, de manera regresiva, mediante la reforma del 1998. </w:t>
      </w:r>
      <w:r w:rsidR="0074360E" w:rsidRPr="00FB5890">
        <w:rPr>
          <w:rFonts w:ascii="Times New Roman" w:hAnsi="Times New Roman" w:cs="Times New Roman"/>
          <w:color w:val="000000" w:themeColor="text1"/>
          <w:lang w:val="es-ES_tradnl"/>
        </w:rPr>
        <w:t>Además, es una medida discriminatoria puesto que está documentado que</w:t>
      </w:r>
      <w:r w:rsidR="009D7A61" w:rsidRPr="00FB5890">
        <w:rPr>
          <w:rFonts w:ascii="Times New Roman" w:hAnsi="Times New Roman" w:cs="Times New Roman"/>
          <w:color w:val="000000" w:themeColor="text1"/>
          <w:lang w:val="es-ES_tradnl"/>
        </w:rPr>
        <w:t xml:space="preserve"> la</w:t>
      </w:r>
      <w:r w:rsidR="0074360E" w:rsidRPr="00FB5890">
        <w:rPr>
          <w:rFonts w:ascii="Times New Roman" w:hAnsi="Times New Roman" w:cs="Times New Roman"/>
          <w:color w:val="000000" w:themeColor="text1"/>
          <w:lang w:val="es-ES_tradnl"/>
        </w:rPr>
        <w:t xml:space="preserve"> criminalización absoluta del aborto </w:t>
      </w:r>
      <w:r w:rsidR="009D7A61" w:rsidRPr="00FB5890">
        <w:rPr>
          <w:rFonts w:ascii="Times New Roman" w:hAnsi="Times New Roman" w:cs="Times New Roman"/>
          <w:color w:val="000000" w:themeColor="text1"/>
          <w:lang w:val="es-ES_tradnl"/>
        </w:rPr>
        <w:t xml:space="preserve">en el El Salvador </w:t>
      </w:r>
      <w:r w:rsidR="0074360E" w:rsidRPr="00FB5890">
        <w:rPr>
          <w:rFonts w:ascii="Times New Roman" w:hAnsi="Times New Roman" w:cs="Times New Roman"/>
          <w:color w:val="000000" w:themeColor="text1"/>
          <w:lang w:val="es-ES_tradnl"/>
        </w:rPr>
        <w:t>tiene un impacto adverso desproporcionado en las mujeres y niñas más pobres y vulnerables</w:t>
      </w:r>
      <w:r w:rsidR="0009663C" w:rsidRPr="00FB5890">
        <w:rPr>
          <w:rStyle w:val="EndnoteReference"/>
          <w:rFonts w:ascii="Times New Roman" w:hAnsi="Times New Roman" w:cs="Times New Roman"/>
          <w:color w:val="000000" w:themeColor="text1"/>
          <w:lang w:val="es-ES_tradnl"/>
        </w:rPr>
        <w:endnoteReference w:id="24"/>
      </w:r>
      <w:r w:rsidR="0074360E" w:rsidRPr="00FB5890">
        <w:rPr>
          <w:rFonts w:ascii="Times New Roman" w:hAnsi="Times New Roman" w:cs="Times New Roman"/>
          <w:color w:val="000000" w:themeColor="text1"/>
          <w:lang w:val="es-ES_tradnl"/>
        </w:rPr>
        <w:t>.</w:t>
      </w:r>
      <w:r w:rsidR="008B34D2" w:rsidRPr="00FB5890">
        <w:rPr>
          <w:rFonts w:ascii="Times New Roman" w:hAnsi="Times New Roman" w:cs="Times New Roman"/>
          <w:color w:val="000000" w:themeColor="text1"/>
          <w:lang w:val="es-ES_tradnl"/>
        </w:rPr>
        <w:t xml:space="preserve"> El carácter discriminatorio de la medida, en adición a todo lo anterior, la hace una medida deliberadamente regresiva e injustificada. </w:t>
      </w:r>
    </w:p>
    <w:p w14:paraId="4F9B5EED" w14:textId="038812DC" w:rsidR="00BB358C" w:rsidRPr="00FB5890" w:rsidRDefault="00BB358C" w:rsidP="00E733C8">
      <w:pPr>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La reforma del artículo 133 del Código Penal para eliminar las causales que hacían no punible el aborto empeoró la accesibilidad y calidad de los servicios de salud sexual y reproductiva en los casos en que las mujeres embarazadas tienen un riesgo para su vida, fueron víctimas de una violación que derivó en un embarazo, o el feto </w:t>
      </w:r>
      <w:r w:rsidR="00EB75AF" w:rsidRPr="00FB5890">
        <w:rPr>
          <w:rFonts w:ascii="Times New Roman" w:hAnsi="Times New Roman" w:cs="Times New Roman"/>
          <w:color w:val="000000" w:themeColor="text1"/>
          <w:lang w:val="es-ES_tradnl"/>
        </w:rPr>
        <w:t>fuera inviable</w:t>
      </w:r>
      <w:r w:rsidRPr="00FB5890">
        <w:rPr>
          <w:rFonts w:ascii="Times New Roman" w:hAnsi="Times New Roman" w:cs="Times New Roman"/>
          <w:color w:val="000000" w:themeColor="text1"/>
          <w:lang w:val="es-ES_tradnl"/>
        </w:rPr>
        <w:t xml:space="preserve">. En atención a que </w:t>
      </w:r>
      <w:r w:rsidR="00041037" w:rsidRPr="00FB5890">
        <w:rPr>
          <w:rFonts w:ascii="Times New Roman" w:hAnsi="Times New Roman" w:cs="Times New Roman"/>
          <w:color w:val="000000" w:themeColor="text1"/>
          <w:lang w:val="es-ES_tradnl"/>
        </w:rPr>
        <w:t>el Estado no cumplió con la carga de la prueba de realizar un examen de las alternativas menos lesivas disponibles,</w:t>
      </w:r>
      <w:r w:rsidR="000117B6" w:rsidRPr="00FB5890">
        <w:rPr>
          <w:rFonts w:ascii="Times New Roman" w:hAnsi="Times New Roman" w:cs="Times New Roman"/>
          <w:color w:val="000000" w:themeColor="text1"/>
          <w:lang w:val="es-ES_tradnl"/>
        </w:rPr>
        <w:t xml:space="preserve"> de justificar la necesidad de la medida,</w:t>
      </w:r>
      <w:r w:rsidR="00041037" w:rsidRPr="00FB5890">
        <w:rPr>
          <w:rFonts w:ascii="Times New Roman" w:hAnsi="Times New Roman" w:cs="Times New Roman"/>
          <w:color w:val="000000" w:themeColor="text1"/>
          <w:lang w:val="es-ES_tradnl"/>
        </w:rPr>
        <w:t xml:space="preserve"> y a que </w:t>
      </w:r>
      <w:r w:rsidRPr="00FB5890">
        <w:rPr>
          <w:rFonts w:ascii="Times New Roman" w:hAnsi="Times New Roman" w:cs="Times New Roman"/>
          <w:color w:val="000000" w:themeColor="text1"/>
          <w:lang w:val="es-ES_tradnl"/>
        </w:rPr>
        <w:t xml:space="preserve">la </w:t>
      </w:r>
      <w:r w:rsidR="000117B6" w:rsidRPr="00FB5890">
        <w:rPr>
          <w:rFonts w:ascii="Times New Roman" w:hAnsi="Times New Roman" w:cs="Times New Roman"/>
          <w:color w:val="000000" w:themeColor="text1"/>
          <w:lang w:val="es-ES_tradnl"/>
        </w:rPr>
        <w:t>misma</w:t>
      </w:r>
      <w:r w:rsidR="00041037" w:rsidRPr="00FB5890">
        <w:rPr>
          <w:rFonts w:ascii="Times New Roman" w:hAnsi="Times New Roman" w:cs="Times New Roman"/>
          <w:color w:val="000000" w:themeColor="text1"/>
          <w:lang w:val="es-ES_tradnl"/>
        </w:rPr>
        <w:t xml:space="preserve"> </w:t>
      </w:r>
      <w:r w:rsidRPr="00FB5890">
        <w:rPr>
          <w:rFonts w:ascii="Times New Roman" w:hAnsi="Times New Roman" w:cs="Times New Roman"/>
          <w:color w:val="000000" w:themeColor="text1"/>
          <w:lang w:val="es-ES_tradnl"/>
        </w:rPr>
        <w:t>no cumple con los parámetros abordados por el Comité DESC para determinar como posible la adopción de una medida regresiva, la reforma penal</w:t>
      </w:r>
      <w:r w:rsidR="00041037" w:rsidRPr="00FB5890">
        <w:rPr>
          <w:rFonts w:ascii="Times New Roman" w:hAnsi="Times New Roman" w:cs="Times New Roman"/>
          <w:color w:val="000000" w:themeColor="text1"/>
          <w:lang w:val="es-ES_tradnl"/>
        </w:rPr>
        <w:t xml:space="preserve"> en comento</w:t>
      </w:r>
      <w:r w:rsidRPr="00FB5890">
        <w:rPr>
          <w:rFonts w:ascii="Times New Roman" w:hAnsi="Times New Roman" w:cs="Times New Roman"/>
          <w:color w:val="000000" w:themeColor="text1"/>
          <w:lang w:val="es-ES_tradnl"/>
        </w:rPr>
        <w:t xml:space="preserve"> constituye una medida regresiva no permitida a la luz de las obligaciones internacionales de El Salvador, derivadas del PIDESC</w:t>
      </w:r>
      <w:r w:rsidR="000117B6" w:rsidRPr="00FB5890">
        <w:rPr>
          <w:rFonts w:ascii="Times New Roman" w:hAnsi="Times New Roman" w:cs="Times New Roman"/>
          <w:color w:val="000000" w:themeColor="text1"/>
          <w:lang w:val="es-ES_tradnl"/>
        </w:rPr>
        <w:t xml:space="preserve"> y de otros instrumentos internacionales</w:t>
      </w:r>
      <w:r w:rsidRPr="00FB5890">
        <w:rPr>
          <w:rFonts w:ascii="Times New Roman" w:hAnsi="Times New Roman" w:cs="Times New Roman"/>
          <w:color w:val="000000" w:themeColor="text1"/>
          <w:lang w:val="es-ES_tradnl"/>
        </w:rPr>
        <w:t>.</w:t>
      </w:r>
    </w:p>
    <w:p w14:paraId="16959240" w14:textId="77777777" w:rsidR="00BB358C" w:rsidRPr="00FB5890" w:rsidRDefault="00BB358C" w:rsidP="004141E5">
      <w:pPr>
        <w:pStyle w:val="ListParagraph"/>
        <w:numPr>
          <w:ilvl w:val="0"/>
          <w:numId w:val="1"/>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La violación al secreto profesional en el contexto de la criminalización de emergencias obstétricas</w:t>
      </w:r>
    </w:p>
    <w:p w14:paraId="3290721B" w14:textId="08DF343B" w:rsidR="00BB358C" w:rsidRPr="00FB5890" w:rsidRDefault="00BB358C" w:rsidP="0088590D">
      <w:pPr>
        <w:pStyle w:val="ListParagraph"/>
        <w:ind w:left="0"/>
        <w:jc w:val="both"/>
        <w:rPr>
          <w:rFonts w:ascii="Times New Roman" w:hAnsi="Times New Roman" w:cs="Times New Roman"/>
          <w:color w:val="1D1C1D"/>
          <w:shd w:val="clear" w:color="auto" w:fill="FFFFFF"/>
          <w:lang w:val="es-ES_tradnl"/>
        </w:rPr>
      </w:pPr>
    </w:p>
    <w:p w14:paraId="331F7B6D" w14:textId="1C60D713" w:rsidR="00BB358C" w:rsidRPr="00FB5890" w:rsidRDefault="00BB358C" w:rsidP="006C3C46">
      <w:pPr>
        <w:pStyle w:val="ListParagraph"/>
        <w:numPr>
          <w:ilvl w:val="0"/>
          <w:numId w:val="5"/>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El secreto </w:t>
      </w:r>
      <w:r w:rsidR="00B02251" w:rsidRPr="00FB5890">
        <w:rPr>
          <w:rFonts w:ascii="Times New Roman" w:hAnsi="Times New Roman" w:cs="Times New Roman"/>
          <w:b/>
          <w:color w:val="1D1C1D"/>
          <w:shd w:val="clear" w:color="auto" w:fill="FFFFFF"/>
          <w:lang w:val="es-ES_tradnl"/>
        </w:rPr>
        <w:t xml:space="preserve">médico </w:t>
      </w:r>
      <w:r w:rsidRPr="00FB5890">
        <w:rPr>
          <w:rFonts w:ascii="Times New Roman" w:hAnsi="Times New Roman" w:cs="Times New Roman"/>
          <w:b/>
          <w:color w:val="1D1C1D"/>
          <w:shd w:val="clear" w:color="auto" w:fill="FFFFFF"/>
          <w:lang w:val="es-ES_tradnl"/>
        </w:rPr>
        <w:t xml:space="preserve">como parte del derecho a la salud bajo el PIDESC </w:t>
      </w:r>
    </w:p>
    <w:p w14:paraId="4FE32E48" w14:textId="77777777" w:rsidR="00BB358C" w:rsidRPr="00FB5890" w:rsidRDefault="00BB358C" w:rsidP="006C3C46">
      <w:pPr>
        <w:pStyle w:val="ListParagraph"/>
        <w:ind w:left="780"/>
        <w:jc w:val="both"/>
        <w:rPr>
          <w:rFonts w:ascii="Times New Roman" w:hAnsi="Times New Roman" w:cs="Times New Roman"/>
          <w:color w:val="1D1C1D"/>
          <w:shd w:val="clear" w:color="auto" w:fill="FFFFFF"/>
          <w:lang w:val="es-ES_tradnl"/>
        </w:rPr>
      </w:pPr>
    </w:p>
    <w:p w14:paraId="75E37C2B" w14:textId="50613E1C" w:rsidR="00BB358C" w:rsidRPr="00FB5890" w:rsidRDefault="00BB358C" w:rsidP="00C23FA7">
      <w:pPr>
        <w:pStyle w:val="ListParagraph"/>
        <w:spacing w:after="0" w:line="240" w:lineRule="auto"/>
        <w:ind w:left="0"/>
        <w:jc w:val="both"/>
        <w:rPr>
          <w:rFonts w:ascii="Times New Roman" w:hAnsi="Times New Roman" w:cs="Times New Roman"/>
          <w:lang w:val="es-ES_tradnl"/>
        </w:rPr>
      </w:pPr>
      <w:r w:rsidRPr="00FB5890">
        <w:rPr>
          <w:rFonts w:ascii="Times New Roman" w:hAnsi="Times New Roman" w:cs="Times New Roman"/>
          <w:color w:val="1D1C1D"/>
          <w:shd w:val="clear" w:color="auto" w:fill="FFFFFF"/>
          <w:lang w:val="es-ES_tradnl"/>
        </w:rPr>
        <w:t>El derecho a la salud abarca cuatro elementos esenciales e interrelacionados: disponibilidad, accesibilidad, aceptabilidad y calidad</w:t>
      </w:r>
      <w:r w:rsidRPr="00FB5890">
        <w:rPr>
          <w:rStyle w:val="EndnoteReference"/>
          <w:rFonts w:ascii="Times New Roman" w:hAnsi="Times New Roman" w:cs="Times New Roman"/>
          <w:color w:val="1D1C1D"/>
          <w:shd w:val="clear" w:color="auto" w:fill="FFFFFF"/>
          <w:lang w:val="es-ES_tradnl"/>
        </w:rPr>
        <w:endnoteReference w:id="25"/>
      </w:r>
      <w:r w:rsidRPr="00FB5890">
        <w:rPr>
          <w:rFonts w:ascii="Times New Roman" w:hAnsi="Times New Roman" w:cs="Times New Roman"/>
          <w:color w:val="1D1C1D"/>
          <w:shd w:val="clear" w:color="auto" w:fill="FFFFFF"/>
          <w:lang w:val="es-ES_tradnl"/>
        </w:rPr>
        <w:t xml:space="preserve">. </w:t>
      </w:r>
      <w:r w:rsidRPr="00FB5890">
        <w:rPr>
          <w:rFonts w:ascii="Times New Roman" w:hAnsi="Times New Roman" w:cs="Times New Roman"/>
          <w:lang w:val="es-ES_tradnl"/>
        </w:rPr>
        <w:t xml:space="preserve">Dos elementos del derecho a la salud son particularmente relevantes cuando se analiza la confidencialidad en la relación médico-paciente: el de </w:t>
      </w:r>
      <w:r w:rsidRPr="00FB5890">
        <w:rPr>
          <w:rFonts w:ascii="Times New Roman" w:hAnsi="Times New Roman" w:cs="Times New Roman"/>
          <w:i/>
          <w:lang w:val="es-ES_tradnl"/>
        </w:rPr>
        <w:t>aceptabilidad</w:t>
      </w:r>
      <w:r w:rsidRPr="00FB5890">
        <w:rPr>
          <w:rFonts w:ascii="Times New Roman" w:hAnsi="Times New Roman" w:cs="Times New Roman"/>
          <w:lang w:val="es-ES_tradnl"/>
        </w:rPr>
        <w:t xml:space="preserve"> y el de </w:t>
      </w:r>
      <w:r w:rsidRPr="00FB5890">
        <w:rPr>
          <w:rFonts w:ascii="Times New Roman" w:hAnsi="Times New Roman" w:cs="Times New Roman"/>
          <w:i/>
          <w:lang w:val="es-ES_tradnl"/>
        </w:rPr>
        <w:t>accesibilidad</w:t>
      </w:r>
      <w:r w:rsidRPr="00FB5890">
        <w:rPr>
          <w:rFonts w:ascii="Times New Roman" w:hAnsi="Times New Roman" w:cs="Times New Roman"/>
          <w:lang w:val="es-ES_tradnl"/>
        </w:rPr>
        <w:t>. El elemento de aceptabilidad</w:t>
      </w:r>
      <w:r w:rsidRPr="00FB5890">
        <w:rPr>
          <w:rFonts w:ascii="Times New Roman" w:hAnsi="Times New Roman" w:cs="Times New Roman"/>
          <w:color w:val="000000" w:themeColor="text1"/>
          <w:lang w:val="es-ES_tradnl"/>
        </w:rPr>
        <w:t xml:space="preserve"> requiere que los </w:t>
      </w:r>
      <w:r w:rsidRPr="00FB5890">
        <w:rPr>
          <w:rFonts w:ascii="Times New Roman" w:hAnsi="Times New Roman" w:cs="Times New Roman"/>
          <w:lang w:val="es-ES_tradnl"/>
        </w:rPr>
        <w:t>establecimientos, bienes y servicios de salud sean respetuosos de la ética médica, de las minorías, y “sensibles a los requisitos del género”</w:t>
      </w:r>
      <w:r w:rsidRPr="00FB5890">
        <w:rPr>
          <w:rStyle w:val="EndnoteReference"/>
          <w:rFonts w:ascii="Times New Roman" w:hAnsi="Times New Roman" w:cs="Times New Roman"/>
          <w:lang w:val="es-ES_tradnl"/>
        </w:rPr>
        <w:endnoteReference w:id="26"/>
      </w:r>
      <w:r w:rsidRPr="00FB5890">
        <w:rPr>
          <w:rFonts w:ascii="Times New Roman" w:hAnsi="Times New Roman" w:cs="Times New Roman"/>
          <w:lang w:val="es-ES_tradnl"/>
        </w:rPr>
        <w:t>. Además, para que los servicios sanitarios sean aceptables, “deben ser concebidos para respetar la confidencialidad y mejorar el estado de salud de las personas de que se trate”</w:t>
      </w:r>
      <w:r w:rsidRPr="00FB5890">
        <w:rPr>
          <w:rStyle w:val="EndnoteReference"/>
          <w:rFonts w:ascii="Times New Roman" w:hAnsi="Times New Roman" w:cs="Times New Roman"/>
          <w:lang w:val="es-ES_tradnl"/>
        </w:rPr>
        <w:endnoteReference w:id="27"/>
      </w:r>
      <w:r w:rsidRPr="00FB5890">
        <w:rPr>
          <w:rFonts w:ascii="Times New Roman" w:hAnsi="Times New Roman" w:cs="Times New Roman"/>
          <w:lang w:val="es-ES_tradnl"/>
        </w:rPr>
        <w:t>.</w:t>
      </w:r>
    </w:p>
    <w:p w14:paraId="404CFA9E" w14:textId="77777777" w:rsidR="00BB358C" w:rsidRPr="00FB5890" w:rsidRDefault="00BB358C" w:rsidP="00C23FA7">
      <w:pPr>
        <w:pStyle w:val="ListParagraph"/>
        <w:spacing w:after="0" w:line="240" w:lineRule="auto"/>
        <w:ind w:left="0"/>
        <w:jc w:val="both"/>
        <w:rPr>
          <w:rFonts w:ascii="Times New Roman" w:hAnsi="Times New Roman" w:cs="Times New Roman"/>
          <w:lang w:val="es-ES_tradnl"/>
        </w:rPr>
      </w:pPr>
    </w:p>
    <w:p w14:paraId="4A185C21" w14:textId="77777777" w:rsidR="00BB358C" w:rsidRPr="00FB5890" w:rsidRDefault="00BB358C" w:rsidP="006C3C46">
      <w:pPr>
        <w:jc w:val="both"/>
        <w:rPr>
          <w:rFonts w:ascii="Times New Roman" w:hAnsi="Times New Roman" w:cs="Times New Roman"/>
          <w:lang w:val="es-ES_tradnl"/>
        </w:rPr>
      </w:pPr>
      <w:r w:rsidRPr="00FB5890">
        <w:rPr>
          <w:rFonts w:ascii="Times New Roman" w:hAnsi="Times New Roman" w:cs="Times New Roman"/>
          <w:lang w:val="es-ES_tradnl"/>
        </w:rPr>
        <w:t xml:space="preserve">Asimismo, de acuerdo con el elemento de </w:t>
      </w:r>
      <w:r w:rsidRPr="00FB5890">
        <w:rPr>
          <w:rFonts w:ascii="Times New Roman" w:hAnsi="Times New Roman" w:cs="Times New Roman"/>
          <w:i/>
          <w:lang w:val="es-ES_tradnl"/>
        </w:rPr>
        <w:t>aceptabilidad</w:t>
      </w:r>
      <w:r w:rsidRPr="00FB5890">
        <w:rPr>
          <w:rFonts w:ascii="Times New Roman" w:hAnsi="Times New Roman" w:cs="Times New Roman"/>
          <w:lang w:val="es-ES_tradnl"/>
        </w:rPr>
        <w:t>, el secreto profesional debe ser respetado como parte de los principios que rigen el actuar del personal médico y que aseguran la confidencialidad de la información médica. Así, la aplicabilidad de los criterios contenidos en las normas éticas rectoras del comportamiento médico se vuelve relevante desde la óptica de la aceptabilidad. En ese sentido, el Comité DESC ha afirmado que el cumplimiento de los principios de ética médica es necesario, entre otras cosas, para asegurar la provisión de bienes y servicios médicos aceptables</w:t>
      </w:r>
      <w:r w:rsidRPr="00FB5890">
        <w:rPr>
          <w:rStyle w:val="EndnoteReference"/>
          <w:rFonts w:ascii="Times New Roman" w:hAnsi="Times New Roman" w:cs="Times New Roman"/>
          <w:color w:val="000000" w:themeColor="text1"/>
          <w:lang w:val="es-ES_tradnl"/>
        </w:rPr>
        <w:endnoteReference w:id="28"/>
      </w:r>
      <w:r w:rsidRPr="00FB5890">
        <w:rPr>
          <w:rFonts w:ascii="Times New Roman" w:hAnsi="Times New Roman" w:cs="Times New Roman"/>
          <w:lang w:val="es-ES_tradnl"/>
        </w:rPr>
        <w:t xml:space="preserve">. </w:t>
      </w:r>
    </w:p>
    <w:p w14:paraId="467BC088" w14:textId="15C5D1BB" w:rsidR="00204E52" w:rsidRPr="00FB5890" w:rsidRDefault="00BB358C" w:rsidP="006E5D0C">
      <w:pPr>
        <w:jc w:val="both"/>
        <w:rPr>
          <w:rFonts w:ascii="Times New Roman" w:hAnsi="Times New Roman" w:cs="Times New Roman"/>
          <w:lang w:val="es-ES_tradnl"/>
        </w:rPr>
      </w:pPr>
      <w:r w:rsidRPr="00FB5890">
        <w:rPr>
          <w:rFonts w:ascii="Times New Roman" w:hAnsi="Times New Roman" w:cs="Times New Roman"/>
          <w:lang w:val="es-ES_tradnl"/>
        </w:rPr>
        <w:t xml:space="preserve">Por otro lado, el elemento de </w:t>
      </w:r>
      <w:r w:rsidRPr="00FB5890">
        <w:rPr>
          <w:rFonts w:ascii="Times New Roman" w:hAnsi="Times New Roman" w:cs="Times New Roman"/>
          <w:i/>
          <w:lang w:val="es-ES_tradnl"/>
        </w:rPr>
        <w:t>accesibilidad</w:t>
      </w:r>
      <w:r w:rsidRPr="00FB5890">
        <w:rPr>
          <w:rFonts w:ascii="Times New Roman" w:hAnsi="Times New Roman" w:cs="Times New Roman"/>
          <w:lang w:val="es-ES_tradnl"/>
        </w:rPr>
        <w:t xml:space="preserve"> contiene cuatro dimensiones superpuestas: no discriminación; accesibilidad física; accesibilidad económica y acceso a la </w:t>
      </w:r>
      <w:r w:rsidR="003F2858" w:rsidRPr="00FB5890">
        <w:rPr>
          <w:rFonts w:ascii="Times New Roman" w:hAnsi="Times New Roman" w:cs="Times New Roman"/>
          <w:lang w:val="es-ES_tradnl"/>
        </w:rPr>
        <w:t>información</w:t>
      </w:r>
      <w:r w:rsidRPr="00FB5890">
        <w:rPr>
          <w:rStyle w:val="EndnoteReference"/>
          <w:rFonts w:ascii="Times New Roman" w:hAnsi="Times New Roman" w:cs="Times New Roman"/>
          <w:lang w:val="es-ES_tradnl"/>
        </w:rPr>
        <w:endnoteReference w:id="29"/>
      </w:r>
      <w:r w:rsidRPr="00FB5890">
        <w:rPr>
          <w:rFonts w:ascii="Times New Roman" w:hAnsi="Times New Roman" w:cs="Times New Roman"/>
          <w:lang w:val="es-ES_tradnl"/>
        </w:rPr>
        <w:t xml:space="preserve">. En particular, el derecho de acceder a la </w:t>
      </w:r>
      <w:r w:rsidR="003F2858" w:rsidRPr="00FB5890">
        <w:rPr>
          <w:rFonts w:ascii="Times New Roman" w:hAnsi="Times New Roman" w:cs="Times New Roman"/>
          <w:lang w:val="es-ES_tradnl"/>
        </w:rPr>
        <w:t>información</w:t>
      </w:r>
      <w:r w:rsidRPr="00FB5890">
        <w:rPr>
          <w:rFonts w:ascii="Times New Roman" w:hAnsi="Times New Roman" w:cs="Times New Roman"/>
          <w:lang w:val="es-ES_tradnl"/>
        </w:rPr>
        <w:t xml:space="preserve"> relacionada con la salud “comprende el derecho de solicitar, recibir y difundir </w:t>
      </w:r>
      <w:r w:rsidR="003F2858" w:rsidRPr="00FB5890">
        <w:rPr>
          <w:rFonts w:ascii="Times New Roman" w:hAnsi="Times New Roman" w:cs="Times New Roman"/>
          <w:lang w:val="es-ES_tradnl"/>
        </w:rPr>
        <w:t>información</w:t>
      </w:r>
      <w:r w:rsidRPr="00FB5890">
        <w:rPr>
          <w:rFonts w:ascii="Times New Roman" w:hAnsi="Times New Roman" w:cs="Times New Roman"/>
          <w:lang w:val="es-ES_tradnl"/>
        </w:rPr>
        <w:t xml:space="preserve"> e ideas acerca de las cuestiones relacionadas con la salud”</w:t>
      </w:r>
      <w:r w:rsidRPr="00FB5890">
        <w:rPr>
          <w:rStyle w:val="EndnoteReference"/>
          <w:rFonts w:ascii="Times New Roman" w:hAnsi="Times New Roman" w:cs="Times New Roman"/>
          <w:lang w:val="es-ES_tradnl"/>
        </w:rPr>
        <w:endnoteReference w:id="30"/>
      </w:r>
      <w:r w:rsidRPr="00FB5890">
        <w:rPr>
          <w:rFonts w:ascii="Times New Roman" w:hAnsi="Times New Roman" w:cs="Times New Roman"/>
          <w:lang w:val="es-ES_tradnl"/>
        </w:rPr>
        <w:t xml:space="preserve">. La prerrogativa de acceder a la </w:t>
      </w:r>
      <w:r w:rsidR="003F2858" w:rsidRPr="00FB5890">
        <w:rPr>
          <w:rFonts w:ascii="Times New Roman" w:hAnsi="Times New Roman" w:cs="Times New Roman"/>
          <w:lang w:val="es-ES_tradnl"/>
        </w:rPr>
        <w:t>información</w:t>
      </w:r>
      <w:r w:rsidRPr="00FB5890">
        <w:rPr>
          <w:rFonts w:ascii="Times New Roman" w:hAnsi="Times New Roman" w:cs="Times New Roman"/>
          <w:lang w:val="es-ES_tradnl"/>
        </w:rPr>
        <w:t xml:space="preserve"> “no debe menoscabar el derecho a que los datos personales relativos a la salud sean tratados con confidencialidad”</w:t>
      </w:r>
      <w:r w:rsidRPr="00FB5890">
        <w:rPr>
          <w:rStyle w:val="EndnoteReference"/>
          <w:rFonts w:ascii="Times New Roman" w:hAnsi="Times New Roman" w:cs="Times New Roman"/>
          <w:lang w:val="es-ES_tradnl"/>
        </w:rPr>
        <w:endnoteReference w:id="31"/>
      </w:r>
      <w:r w:rsidRPr="00FB5890">
        <w:rPr>
          <w:rFonts w:ascii="Times New Roman" w:hAnsi="Times New Roman" w:cs="Times New Roman"/>
          <w:lang w:val="es-ES_tradnl"/>
        </w:rPr>
        <w:t xml:space="preserve">. El </w:t>
      </w:r>
      <w:r w:rsidRPr="00FB5890">
        <w:rPr>
          <w:rFonts w:ascii="Times New Roman" w:hAnsi="Times New Roman" w:cs="Times New Roman"/>
          <w:lang w:val="es-ES_tradnl"/>
        </w:rPr>
        <w:lastRenderedPageBreak/>
        <w:t>principio de accesibilidad exige que las personas que reciben servicios médicos tengan la certeza de que su información será tratada de manera confidencial</w:t>
      </w:r>
      <w:r w:rsidRPr="00FB5890">
        <w:rPr>
          <w:rStyle w:val="EndnoteReference"/>
          <w:rFonts w:ascii="Times New Roman" w:hAnsi="Times New Roman" w:cs="Times New Roman"/>
          <w:lang w:val="es-ES_tradnl"/>
        </w:rPr>
        <w:endnoteReference w:id="32"/>
      </w:r>
      <w:r w:rsidRPr="00FB5890">
        <w:rPr>
          <w:rFonts w:ascii="Times New Roman" w:hAnsi="Times New Roman" w:cs="Times New Roman"/>
          <w:lang w:val="es-ES_tradnl"/>
        </w:rPr>
        <w:t xml:space="preserve">. En el mismo sentido, en la Observación General número 22, el Comité DESC </w:t>
      </w:r>
      <w:r w:rsidRPr="00FB5890">
        <w:rPr>
          <w:rFonts w:ascii="Times New Roman" w:hAnsi="Times New Roman" w:cs="Times New Roman"/>
          <w:color w:val="000000" w:themeColor="text1"/>
          <w:lang w:val="es-ES_tradnl"/>
        </w:rPr>
        <w:t>señaló que los datos y la información personal relativa a la salud debe ser tratada con carácter privado y confidencial</w:t>
      </w:r>
      <w:r w:rsidRPr="00FB5890">
        <w:rPr>
          <w:rStyle w:val="EndnoteReference"/>
          <w:rFonts w:ascii="Times New Roman" w:hAnsi="Times New Roman" w:cs="Times New Roman"/>
          <w:color w:val="000000" w:themeColor="text1"/>
          <w:lang w:val="es-ES_tradnl"/>
        </w:rPr>
        <w:endnoteReference w:id="33"/>
      </w:r>
      <w:r w:rsidRPr="00FB5890">
        <w:rPr>
          <w:rFonts w:ascii="Times New Roman" w:hAnsi="Times New Roman" w:cs="Times New Roman"/>
          <w:color w:val="000000" w:themeColor="text1"/>
          <w:lang w:val="es-ES_tradnl"/>
        </w:rPr>
        <w:t xml:space="preserve">. </w:t>
      </w:r>
    </w:p>
    <w:p w14:paraId="75EB6153" w14:textId="3F453EEE" w:rsidR="00BB358C" w:rsidRPr="00FB5890" w:rsidRDefault="00BB358C" w:rsidP="00A65E37">
      <w:pPr>
        <w:jc w:val="both"/>
        <w:rPr>
          <w:rFonts w:ascii="Times New Roman" w:hAnsi="Times New Roman" w:cs="Times New Roman"/>
          <w:lang w:val="es-ES_tradnl"/>
        </w:rPr>
      </w:pPr>
      <w:r w:rsidRPr="00FB5890">
        <w:rPr>
          <w:rFonts w:ascii="Times New Roman" w:hAnsi="Times New Roman" w:cs="Times New Roman"/>
          <w:b/>
          <w:lang w:val="es-ES_tradnl"/>
        </w:rPr>
        <w:t xml:space="preserve">Excepciones al secreto profesional y a la obligación de confidencialidad del personal médico </w:t>
      </w:r>
    </w:p>
    <w:p w14:paraId="0B4D2289" w14:textId="1ADE0B20" w:rsidR="00BB358C" w:rsidRPr="00FB5890" w:rsidRDefault="00BB358C" w:rsidP="00AD3A26">
      <w:pPr>
        <w:pStyle w:val="ListParagraph"/>
        <w:spacing w:after="0" w:line="240" w:lineRule="auto"/>
        <w:ind w:left="0"/>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 xml:space="preserve">El derecho a la confidencialidad no es absoluto y existen ciertas situaciones en las que el personal médico debe romper con el mismo, como cuando se encuentra en una posición privilegiada para </w:t>
      </w:r>
      <w:r w:rsidR="005F6218" w:rsidRPr="00FB5890">
        <w:rPr>
          <w:rFonts w:ascii="Times New Roman" w:hAnsi="Times New Roman" w:cs="Times New Roman"/>
          <w:color w:val="000000" w:themeColor="text1"/>
          <w:lang w:val="es-ES_tradnl"/>
        </w:rPr>
        <w:t>p</w:t>
      </w:r>
      <w:r w:rsidRPr="00FB5890">
        <w:rPr>
          <w:rFonts w:ascii="Times New Roman" w:hAnsi="Times New Roman" w:cs="Times New Roman"/>
          <w:color w:val="000000" w:themeColor="text1"/>
          <w:lang w:val="es-ES_tradnl"/>
        </w:rPr>
        <w:t>r</w:t>
      </w:r>
      <w:r w:rsidR="005F6218" w:rsidRPr="00FB5890">
        <w:rPr>
          <w:rFonts w:ascii="Times New Roman" w:hAnsi="Times New Roman" w:cs="Times New Roman"/>
          <w:color w:val="000000" w:themeColor="text1"/>
          <w:lang w:val="es-ES_tradnl"/>
        </w:rPr>
        <w:t xml:space="preserve">evenir la comisión de un acto delictivo a futuro. </w:t>
      </w:r>
      <w:r w:rsidRPr="00FB5890">
        <w:rPr>
          <w:rFonts w:ascii="Times New Roman" w:hAnsi="Times New Roman" w:cs="Times New Roman"/>
          <w:color w:val="000000" w:themeColor="text1"/>
          <w:lang w:val="es-ES_tradnl"/>
        </w:rPr>
        <w:t xml:space="preserve">Así, en estos contextos excepcionales, surge un deber de denuncia que podría prevalecer sobre la confidencialidad, en atención a que el personal médico actúa teniendo en cuenta el mejor interés de su paciente y siempre dentro de un marco legal específico. </w:t>
      </w:r>
    </w:p>
    <w:p w14:paraId="123E7E76" w14:textId="77777777" w:rsidR="00BB358C" w:rsidRPr="00FB5890" w:rsidRDefault="00BB358C" w:rsidP="00AD3A26">
      <w:pPr>
        <w:pStyle w:val="ListParagraph"/>
        <w:spacing w:after="0" w:line="240" w:lineRule="auto"/>
        <w:ind w:left="0"/>
        <w:jc w:val="both"/>
        <w:rPr>
          <w:rFonts w:ascii="Times New Roman" w:hAnsi="Times New Roman" w:cs="Times New Roman"/>
          <w:color w:val="000000" w:themeColor="text1"/>
          <w:lang w:val="es-ES_tradnl"/>
        </w:rPr>
      </w:pPr>
    </w:p>
    <w:p w14:paraId="1BC14B59" w14:textId="0D8133F5" w:rsidR="00BB358C" w:rsidRPr="00FB5890" w:rsidRDefault="00BB358C" w:rsidP="00AD3A26">
      <w:pPr>
        <w:pStyle w:val="ListParagraph"/>
        <w:spacing w:after="0" w:line="240" w:lineRule="auto"/>
        <w:ind w:left="0"/>
        <w:jc w:val="both"/>
        <w:rPr>
          <w:rFonts w:ascii="Times New Roman" w:hAnsi="Times New Roman" w:cs="Times New Roman"/>
          <w:color w:val="000000" w:themeColor="text1"/>
          <w:lang w:val="es-ES_tradnl"/>
        </w:rPr>
      </w:pPr>
      <w:r w:rsidRPr="00FB5890">
        <w:rPr>
          <w:rFonts w:ascii="Times New Roman" w:hAnsi="Times New Roman" w:cs="Times New Roman"/>
          <w:color w:val="000000" w:themeColor="text1"/>
          <w:lang w:val="es-ES_tradnl"/>
        </w:rPr>
        <w:t>En ese sentido, el Comité de los Derechos del Niño ha recomendado que los Estados prevean “reglamentos específicos que introduzcan la obligatoriedad de denunciar [los] incidentes”</w:t>
      </w:r>
      <w:r w:rsidRPr="00FB5890">
        <w:rPr>
          <w:rStyle w:val="EndnoteReference"/>
          <w:rFonts w:ascii="Times New Roman" w:hAnsi="Times New Roman" w:cs="Times New Roman"/>
          <w:color w:val="000000" w:themeColor="text1"/>
          <w:lang w:val="es-ES_tradnl"/>
        </w:rPr>
        <w:endnoteReference w:id="34"/>
      </w:r>
      <w:r w:rsidRPr="00FB5890">
        <w:rPr>
          <w:rFonts w:ascii="Times New Roman" w:hAnsi="Times New Roman" w:cs="Times New Roman"/>
          <w:color w:val="000000" w:themeColor="text1"/>
          <w:lang w:val="es-ES_tradnl"/>
        </w:rPr>
        <w:t xml:space="preserve"> considerados como “prácticas nocivas”, como lo es el matrimonio infantil o forzoso, la mutilación genital femenina, y aquellos que cumplan con lo previsto por la Recomendación General No. 31</w:t>
      </w:r>
      <w:r w:rsidRPr="00FB5890">
        <w:rPr>
          <w:rStyle w:val="EndnoteReference"/>
          <w:rFonts w:ascii="Times New Roman" w:hAnsi="Times New Roman" w:cs="Times New Roman"/>
          <w:color w:val="000000" w:themeColor="text1"/>
          <w:lang w:val="es-ES_tradnl"/>
        </w:rPr>
        <w:endnoteReference w:id="35"/>
      </w:r>
      <w:r w:rsidRPr="00FB5890">
        <w:rPr>
          <w:rFonts w:ascii="Times New Roman" w:hAnsi="Times New Roman" w:cs="Times New Roman"/>
          <w:color w:val="000000" w:themeColor="text1"/>
          <w:lang w:val="es-ES_tradnl"/>
        </w:rPr>
        <w:t>. La Relatora Especial sobre la violencia contra la mujer ha recomendado a los estados reformar las leyes existentes a efecto de permitir al personal médico, excepcionalmente, incumplir con el deber de confidencialidad, y poder así reportar a las instituciones correspondientes casos de violencia contra la mujer</w:t>
      </w:r>
      <w:r w:rsidRPr="00FB5890">
        <w:rPr>
          <w:rStyle w:val="EndnoteReference"/>
          <w:rFonts w:ascii="Times New Roman" w:hAnsi="Times New Roman" w:cs="Times New Roman"/>
          <w:color w:val="000000" w:themeColor="text1"/>
          <w:lang w:val="es-ES_tradnl"/>
        </w:rPr>
        <w:endnoteReference w:id="36"/>
      </w:r>
      <w:r w:rsidRPr="00FB5890">
        <w:rPr>
          <w:rFonts w:ascii="Times New Roman" w:hAnsi="Times New Roman" w:cs="Times New Roman"/>
          <w:color w:val="000000" w:themeColor="text1"/>
          <w:lang w:val="es-ES_tradnl"/>
        </w:rPr>
        <w:t>. En casos de niños víctimas de violencia, la Relatoría sobre la venta y explotación sexual de niños ha recomendado definir la obligación de reportar en función de los derechos de los niños, incluyendo los requisitos la confidencialidad y privacidad. Para ello, se sugiere incorporar estándares que establezcan la obligación de denunciar la violencia en regulaciones de todas las instituciones que estén involucradas con niños en riesgo</w:t>
      </w:r>
      <w:r w:rsidRPr="00FB5890">
        <w:rPr>
          <w:rStyle w:val="EndnoteReference"/>
          <w:rFonts w:ascii="Times New Roman" w:hAnsi="Times New Roman" w:cs="Times New Roman"/>
          <w:color w:val="000000" w:themeColor="text1"/>
          <w:lang w:val="es-ES_tradnl"/>
        </w:rPr>
        <w:endnoteReference w:id="37"/>
      </w:r>
      <w:r w:rsidRPr="00FB5890">
        <w:rPr>
          <w:rFonts w:ascii="Times New Roman" w:hAnsi="Times New Roman" w:cs="Times New Roman"/>
          <w:color w:val="000000" w:themeColor="text1"/>
          <w:lang w:val="es-ES_tradnl"/>
        </w:rPr>
        <w:t xml:space="preserve">. </w:t>
      </w:r>
    </w:p>
    <w:p w14:paraId="4A6D3725" w14:textId="77777777" w:rsidR="00BB358C" w:rsidRPr="00FB5890" w:rsidRDefault="00BB358C" w:rsidP="00D276E8">
      <w:pPr>
        <w:pStyle w:val="ListParagraph"/>
        <w:spacing w:after="0" w:line="240" w:lineRule="auto"/>
        <w:ind w:left="0"/>
        <w:jc w:val="both"/>
        <w:rPr>
          <w:rFonts w:ascii="Times New Roman" w:hAnsi="Times New Roman" w:cs="Times New Roman"/>
          <w:color w:val="000000" w:themeColor="text1"/>
          <w:lang w:val="es-ES_tradnl"/>
        </w:rPr>
      </w:pPr>
    </w:p>
    <w:p w14:paraId="09A7658E" w14:textId="77777777" w:rsidR="00BB358C" w:rsidRPr="00FB5890" w:rsidRDefault="00BB358C" w:rsidP="003D5995">
      <w:pPr>
        <w:pStyle w:val="ListParagraph"/>
        <w:shd w:val="clear" w:color="auto" w:fill="FFFFFF"/>
        <w:spacing w:after="0" w:line="240" w:lineRule="auto"/>
        <w:ind w:left="0"/>
        <w:jc w:val="both"/>
        <w:rPr>
          <w:rFonts w:ascii="Times New Roman" w:hAnsi="Times New Roman" w:cs="Times New Roman"/>
          <w:lang w:val="es-ES_tradnl"/>
        </w:rPr>
      </w:pPr>
    </w:p>
    <w:p w14:paraId="7A2C71C1" w14:textId="55C7A24C" w:rsidR="00BB358C" w:rsidRPr="00FB5890" w:rsidRDefault="00BB358C" w:rsidP="0088590D">
      <w:pPr>
        <w:pStyle w:val="ListParagraph"/>
        <w:numPr>
          <w:ilvl w:val="0"/>
          <w:numId w:val="5"/>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El </w:t>
      </w:r>
      <w:r w:rsidR="00B02251" w:rsidRPr="00FB5890">
        <w:rPr>
          <w:rFonts w:ascii="Times New Roman" w:hAnsi="Times New Roman" w:cs="Times New Roman"/>
          <w:b/>
          <w:color w:val="1D1C1D"/>
          <w:shd w:val="clear" w:color="auto" w:fill="FFFFFF"/>
          <w:lang w:val="es-ES_tradnl"/>
        </w:rPr>
        <w:t xml:space="preserve">enfoque de la Corte IDH sobre el </w:t>
      </w:r>
      <w:r w:rsidRPr="00FB5890">
        <w:rPr>
          <w:rFonts w:ascii="Times New Roman" w:hAnsi="Times New Roman" w:cs="Times New Roman"/>
          <w:b/>
          <w:color w:val="1D1C1D"/>
          <w:shd w:val="clear" w:color="auto" w:fill="FFFFFF"/>
          <w:lang w:val="es-ES_tradnl"/>
        </w:rPr>
        <w:t xml:space="preserve">secreto </w:t>
      </w:r>
      <w:r w:rsidR="00B02251" w:rsidRPr="00FB5890">
        <w:rPr>
          <w:rFonts w:ascii="Times New Roman" w:hAnsi="Times New Roman" w:cs="Times New Roman"/>
          <w:b/>
          <w:color w:val="1D1C1D"/>
          <w:shd w:val="clear" w:color="auto" w:fill="FFFFFF"/>
          <w:lang w:val="es-ES_tradnl"/>
        </w:rPr>
        <w:t xml:space="preserve">médico </w:t>
      </w:r>
      <w:r w:rsidRPr="00FB5890">
        <w:rPr>
          <w:rFonts w:ascii="Times New Roman" w:hAnsi="Times New Roman" w:cs="Times New Roman"/>
          <w:b/>
          <w:color w:val="1D1C1D"/>
          <w:shd w:val="clear" w:color="auto" w:fill="FFFFFF"/>
          <w:lang w:val="es-ES_tradnl"/>
        </w:rPr>
        <w:t>en El Salvador</w:t>
      </w:r>
    </w:p>
    <w:p w14:paraId="6732C89E" w14:textId="2A3679E6" w:rsidR="00BB358C" w:rsidRPr="00FB5890" w:rsidRDefault="00BB358C" w:rsidP="0088404B">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El 2 de noviembre de 2021 la Corte IDH emitió la sentencia del caso </w:t>
      </w:r>
      <w:r w:rsidRPr="00FB5890">
        <w:rPr>
          <w:rFonts w:ascii="Times New Roman" w:hAnsi="Times New Roman" w:cs="Times New Roman"/>
          <w:i/>
          <w:color w:val="1D1C1D"/>
          <w:shd w:val="clear" w:color="auto" w:fill="FFFFFF"/>
          <w:lang w:val="es-ES_tradnl"/>
        </w:rPr>
        <w:t>Manuela y otros v. El Salvador</w:t>
      </w:r>
      <w:r w:rsidRPr="00FB5890">
        <w:rPr>
          <w:rFonts w:ascii="Times New Roman" w:hAnsi="Times New Roman" w:cs="Times New Roman"/>
          <w:color w:val="1D1C1D"/>
          <w:shd w:val="clear" w:color="auto" w:fill="FFFFFF"/>
          <w:lang w:val="es-ES_tradnl"/>
        </w:rPr>
        <w:t>. Como parte del contexto fáctico, la Corte IDH advirtió que, a raíz de la penalización absoluta del aborto en El Salvador, se ha criminalizado a mujeres que han sufrido abortos espontáneos y otras emergencias obstétricas en dicho país</w:t>
      </w:r>
      <w:r w:rsidRPr="00FB5890">
        <w:rPr>
          <w:rStyle w:val="EndnoteReference"/>
          <w:rFonts w:ascii="Times New Roman" w:hAnsi="Times New Roman" w:cs="Times New Roman"/>
          <w:color w:val="1D1C1D"/>
          <w:shd w:val="clear" w:color="auto" w:fill="FFFFFF"/>
          <w:lang w:val="es-ES_tradnl"/>
        </w:rPr>
        <w:endnoteReference w:id="38"/>
      </w:r>
      <w:r w:rsidRPr="00FB5890">
        <w:rPr>
          <w:rFonts w:ascii="Times New Roman" w:hAnsi="Times New Roman" w:cs="Times New Roman"/>
          <w:color w:val="1D1C1D"/>
          <w:shd w:val="clear" w:color="auto" w:fill="FFFFFF"/>
          <w:lang w:val="es-ES_tradnl"/>
        </w:rPr>
        <w:t>. En el mismo sentido se pronunció la Comisión IDH en su informe de fondo emitido en el mismo caso, así como el propio Comité DESC, en sus observaciones finales sobre los informes periódicos tercero, cuarto y quinto combinados de El Salvador. En dichas observaciones el Comité DESC advirtió que este problema de criminalización de mujeres que se encuentran en una “situación grave de riesgo para la salud”</w:t>
      </w:r>
      <w:r w:rsidRPr="00FB5890">
        <w:rPr>
          <w:rStyle w:val="EndnoteReference"/>
          <w:rFonts w:ascii="Times New Roman" w:hAnsi="Times New Roman" w:cs="Times New Roman"/>
          <w:color w:val="1D1C1D"/>
          <w:shd w:val="clear" w:color="auto" w:fill="FFFFFF"/>
          <w:lang w:val="es-ES_tradnl"/>
        </w:rPr>
        <w:endnoteReference w:id="39"/>
      </w:r>
      <w:r w:rsidRPr="00FB5890">
        <w:rPr>
          <w:rFonts w:ascii="Times New Roman" w:hAnsi="Times New Roman" w:cs="Times New Roman"/>
          <w:color w:val="1D1C1D"/>
          <w:shd w:val="clear" w:color="auto" w:fill="FFFFFF"/>
          <w:lang w:val="es-ES_tradnl"/>
        </w:rPr>
        <w:t>, “afecta particularmente a mujeres pobres y con un nivel menor de educación”</w:t>
      </w:r>
      <w:r w:rsidRPr="00FB5890">
        <w:rPr>
          <w:rStyle w:val="EndnoteReference"/>
          <w:rFonts w:ascii="Times New Roman" w:hAnsi="Times New Roman" w:cs="Times New Roman"/>
          <w:color w:val="1D1C1D"/>
          <w:shd w:val="clear" w:color="auto" w:fill="FFFFFF"/>
          <w:lang w:val="es-ES_tradnl"/>
        </w:rPr>
        <w:endnoteReference w:id="40"/>
      </w:r>
      <w:r w:rsidRPr="00FB5890">
        <w:rPr>
          <w:rFonts w:ascii="Times New Roman" w:hAnsi="Times New Roman" w:cs="Times New Roman"/>
          <w:color w:val="1D1C1D"/>
          <w:shd w:val="clear" w:color="auto" w:fill="FFFFFF"/>
          <w:lang w:val="es-ES_tradnl"/>
        </w:rPr>
        <w:t xml:space="preserve">. </w:t>
      </w:r>
    </w:p>
    <w:p w14:paraId="5058F01E" w14:textId="5BC9B632" w:rsidR="00BB358C" w:rsidRPr="00FB5890" w:rsidRDefault="00BB358C" w:rsidP="0088404B">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Los hechos del caso de Manuela se enmarcan dentro de este contexto. Manuela era una mujer con escasos recursos, analfabeta y con problemas de salud, y que sufrió una emergencia obstétrica. Manuela recibió una negligente atención sanitaria y fue criminalizada por la presunta comisión de un homicidio como consecuencia de la denuncia e información divulgada a autoridades policiales y fiscales por parte del personal médico que la atendió.</w:t>
      </w:r>
    </w:p>
    <w:p w14:paraId="7689522A" w14:textId="6C234A20" w:rsidR="00BB358C" w:rsidRPr="00FB5890" w:rsidRDefault="00BB358C" w:rsidP="0088404B">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En relación con el secreto profesional, la Corte IDH resolvió en la sentencia </w:t>
      </w:r>
      <w:r w:rsidRPr="00FB5890">
        <w:rPr>
          <w:rFonts w:ascii="Times New Roman" w:hAnsi="Times New Roman" w:cs="Times New Roman"/>
          <w:i/>
          <w:color w:val="1D1C1D"/>
          <w:shd w:val="clear" w:color="auto" w:fill="FFFFFF"/>
          <w:lang w:val="es-ES_tradnl"/>
        </w:rPr>
        <w:t>Manuela</w:t>
      </w:r>
      <w:r w:rsidRPr="00FB5890">
        <w:rPr>
          <w:rFonts w:ascii="Times New Roman" w:hAnsi="Times New Roman" w:cs="Times New Roman"/>
          <w:color w:val="1D1C1D"/>
          <w:shd w:val="clear" w:color="auto" w:fill="FFFFFF"/>
          <w:lang w:val="es-ES_tradnl"/>
        </w:rPr>
        <w:t xml:space="preserve"> que “las personas tienen derecho a que la atención médica sea confidencial y a la protección de los datos de salud”</w:t>
      </w:r>
      <w:r w:rsidRPr="00FB5890">
        <w:rPr>
          <w:rStyle w:val="EndnoteReference"/>
          <w:rFonts w:ascii="Times New Roman" w:hAnsi="Times New Roman" w:cs="Times New Roman"/>
          <w:color w:val="1D1C1D"/>
          <w:shd w:val="clear" w:color="auto" w:fill="FFFFFF"/>
          <w:lang w:val="es-ES_tradnl"/>
        </w:rPr>
        <w:endnoteReference w:id="41"/>
      </w:r>
      <w:r w:rsidRPr="00FB5890">
        <w:rPr>
          <w:rFonts w:ascii="Times New Roman" w:hAnsi="Times New Roman" w:cs="Times New Roman"/>
          <w:color w:val="1D1C1D"/>
          <w:shd w:val="clear" w:color="auto" w:fill="FFFFFF"/>
          <w:lang w:val="es-ES_tradnl"/>
        </w:rPr>
        <w:t>. Esta protección trae como consecuencia que la información obtenida por el personal médico no debe ser difundida y está protegida por el secreto profesional</w:t>
      </w:r>
      <w:r w:rsidRPr="00FB5890">
        <w:rPr>
          <w:rStyle w:val="EndnoteReference"/>
          <w:rFonts w:ascii="Times New Roman" w:hAnsi="Times New Roman" w:cs="Times New Roman"/>
          <w:color w:val="1D1C1D"/>
          <w:shd w:val="clear" w:color="auto" w:fill="FFFFFF"/>
          <w:lang w:val="es-ES_tradnl"/>
        </w:rPr>
        <w:endnoteReference w:id="42"/>
      </w:r>
      <w:r w:rsidRPr="00FB5890">
        <w:rPr>
          <w:rFonts w:ascii="Times New Roman" w:hAnsi="Times New Roman" w:cs="Times New Roman"/>
          <w:color w:val="1D1C1D"/>
          <w:shd w:val="clear" w:color="auto" w:fill="FFFFFF"/>
          <w:lang w:val="es-ES_tradnl"/>
        </w:rPr>
        <w:t>, tal y como también lo establecen diversos instrumentos relativos a la ética de la atención médica</w:t>
      </w:r>
      <w:r w:rsidRPr="00FB5890">
        <w:rPr>
          <w:rStyle w:val="EndnoteReference"/>
          <w:rFonts w:ascii="Times New Roman" w:hAnsi="Times New Roman" w:cs="Times New Roman"/>
          <w:color w:val="1D1C1D"/>
          <w:shd w:val="clear" w:color="auto" w:fill="FFFFFF"/>
          <w:lang w:val="es-ES_tradnl"/>
        </w:rPr>
        <w:endnoteReference w:id="43"/>
      </w:r>
      <w:r w:rsidRPr="00FB5890">
        <w:rPr>
          <w:rFonts w:ascii="Times New Roman" w:hAnsi="Times New Roman" w:cs="Times New Roman"/>
          <w:color w:val="1D1C1D"/>
          <w:shd w:val="clear" w:color="auto" w:fill="FFFFFF"/>
          <w:lang w:val="es-ES_tradnl"/>
        </w:rPr>
        <w:t>. Sin embargo, la Corte IDH recalcó que la confidencialidad en la atención médica, y la consecuente protección de los datos de salud, “no es un derecho absoluto y, por lo tanto, puede ser restringido por los Estados siempre que las injerencias no sean abusivas o arbitrarias; por ello, deben estar previstas en ley, perseguir un fin legítimo y ser necesarias en una sociedad democrática”</w:t>
      </w:r>
      <w:r w:rsidRPr="00FB5890">
        <w:rPr>
          <w:rStyle w:val="EndnoteReference"/>
          <w:rFonts w:ascii="Times New Roman" w:hAnsi="Times New Roman" w:cs="Times New Roman"/>
          <w:color w:val="1D1C1D"/>
          <w:shd w:val="clear" w:color="auto" w:fill="FFFFFF"/>
          <w:lang w:val="es-ES_tradnl"/>
        </w:rPr>
        <w:endnoteReference w:id="44"/>
      </w:r>
      <w:r w:rsidRPr="00FB5890">
        <w:rPr>
          <w:rFonts w:ascii="Times New Roman" w:hAnsi="Times New Roman" w:cs="Times New Roman"/>
          <w:color w:val="1D1C1D"/>
          <w:shd w:val="clear" w:color="auto" w:fill="FFFFFF"/>
          <w:lang w:val="es-ES_tradnl"/>
        </w:rPr>
        <w:t>.</w:t>
      </w:r>
    </w:p>
    <w:p w14:paraId="352142A8" w14:textId="65910A00" w:rsidR="00BB358C" w:rsidRPr="00FB5890" w:rsidRDefault="00BB358C" w:rsidP="0078783B">
      <w:pPr>
        <w:pStyle w:val="ListParagraph"/>
        <w:numPr>
          <w:ilvl w:val="0"/>
          <w:numId w:val="7"/>
        </w:numPr>
        <w:ind w:left="990"/>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Regulación ambigua y contradictoria del marco jurídico salvadoreño por lo que hace al secreto </w:t>
      </w:r>
      <w:r w:rsidR="00AC531C" w:rsidRPr="00FB5890">
        <w:rPr>
          <w:rFonts w:ascii="Times New Roman" w:hAnsi="Times New Roman" w:cs="Times New Roman"/>
          <w:b/>
          <w:color w:val="1D1C1D"/>
          <w:shd w:val="clear" w:color="auto" w:fill="FFFFFF"/>
          <w:lang w:val="es-ES_tradnl"/>
        </w:rPr>
        <w:t xml:space="preserve">médico </w:t>
      </w:r>
      <w:r w:rsidRPr="00FB5890">
        <w:rPr>
          <w:rFonts w:ascii="Times New Roman" w:hAnsi="Times New Roman" w:cs="Times New Roman"/>
          <w:b/>
          <w:color w:val="1D1C1D"/>
          <w:shd w:val="clear" w:color="auto" w:fill="FFFFFF"/>
          <w:lang w:val="es-ES_tradnl"/>
        </w:rPr>
        <w:t>y el deber de denuncia, y la confidencialidad de la información médica y la excepcionalidad de su divulgación</w:t>
      </w:r>
    </w:p>
    <w:p w14:paraId="3473E8A6" w14:textId="61934023" w:rsidR="00BB358C" w:rsidRPr="00FB5890" w:rsidRDefault="00BB358C" w:rsidP="003219CD">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La Corte IDH analizó la manera en que la denuncia presentada por la médica de Manuela, realizada al amparo de una regulación ambigua y contradictoria, cumplía con los principios que deben regir en caso de existir una injerencia a la confidencialidad de la información médica. La Corte evaluó la legalidad, finalidad e idoneidad, necesidad y proporcionalidad de la denuncia como una restricción al derecho a la confidencialidad. </w:t>
      </w:r>
    </w:p>
    <w:p w14:paraId="3BEEB294" w14:textId="19F8CD3F" w:rsidR="00BB358C" w:rsidRPr="00FB5890" w:rsidRDefault="00BB358C" w:rsidP="00D964C0">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Por lo que hace al requisito de legalidad y como consideración previa, la Corte destacó que una ley debe ser “precisa e indicar reglas claras y detalladas”</w:t>
      </w:r>
      <w:r w:rsidRPr="00FB5890">
        <w:rPr>
          <w:rStyle w:val="EndnoteReference"/>
          <w:rFonts w:ascii="Times New Roman" w:hAnsi="Times New Roman" w:cs="Times New Roman"/>
          <w:color w:val="1D1C1D"/>
          <w:shd w:val="clear" w:color="auto" w:fill="FFFFFF"/>
          <w:lang w:val="es-ES_tradnl"/>
        </w:rPr>
        <w:endnoteReference w:id="45"/>
      </w:r>
      <w:r w:rsidRPr="00FB5890">
        <w:rPr>
          <w:rFonts w:ascii="Times New Roman" w:hAnsi="Times New Roman" w:cs="Times New Roman"/>
          <w:color w:val="1D1C1D"/>
          <w:shd w:val="clear" w:color="auto" w:fill="FFFFFF"/>
          <w:lang w:val="es-ES_tradnl"/>
        </w:rPr>
        <w:t>, “carecer de ambigüedad de tal forma que no genere dudas en los encargados de aplicar la restricción, y no permita que actúen de manera arbitraria y discrecional, realizando interpretaciones extensivas de la misma”</w:t>
      </w:r>
      <w:r w:rsidRPr="00FB5890">
        <w:rPr>
          <w:rStyle w:val="EndnoteReference"/>
          <w:rFonts w:ascii="Times New Roman" w:hAnsi="Times New Roman" w:cs="Times New Roman"/>
          <w:color w:val="1D1C1D"/>
          <w:shd w:val="clear" w:color="auto" w:fill="FFFFFF"/>
          <w:lang w:val="es-ES_tradnl"/>
        </w:rPr>
        <w:endnoteReference w:id="46"/>
      </w:r>
      <w:r w:rsidRPr="00FB5890">
        <w:rPr>
          <w:rFonts w:ascii="Times New Roman" w:hAnsi="Times New Roman" w:cs="Times New Roman"/>
          <w:color w:val="1D1C1D"/>
          <w:shd w:val="clear" w:color="auto" w:fill="FFFFFF"/>
          <w:lang w:val="es-ES_tradnl"/>
        </w:rPr>
        <w:t>. Adicionalmente, la regulación de una restricción debe ser previsible y accesible</w:t>
      </w:r>
      <w:r w:rsidRPr="00FB5890">
        <w:rPr>
          <w:rStyle w:val="EndnoteReference"/>
          <w:rFonts w:ascii="Times New Roman" w:hAnsi="Times New Roman" w:cs="Times New Roman"/>
          <w:color w:val="1D1C1D"/>
          <w:shd w:val="clear" w:color="auto" w:fill="FFFFFF"/>
          <w:lang w:val="es-ES_tradnl"/>
        </w:rPr>
        <w:endnoteReference w:id="47"/>
      </w:r>
      <w:r w:rsidRPr="00FB5890">
        <w:rPr>
          <w:rFonts w:ascii="Times New Roman" w:hAnsi="Times New Roman" w:cs="Times New Roman"/>
          <w:color w:val="1D1C1D"/>
          <w:shd w:val="clear" w:color="auto" w:fill="FFFFFF"/>
          <w:lang w:val="es-ES_tradnl"/>
        </w:rPr>
        <w:t>. La Corte consideró que la legislación salvadoreña no es “lo suficientemente clara sobre si existe o no un deber de denuncia por parte del personal médico que conoce de un posible hecho punible por medio de la información amparada por el secreto profesional, ni tampoco establece regulaciones específicas al secreto profesional relacionada con emergencias obstétricas”</w:t>
      </w:r>
      <w:r w:rsidRPr="00FB5890">
        <w:rPr>
          <w:rStyle w:val="EndnoteReference"/>
          <w:rFonts w:ascii="Times New Roman" w:hAnsi="Times New Roman" w:cs="Times New Roman"/>
          <w:color w:val="1D1C1D"/>
          <w:shd w:val="clear" w:color="auto" w:fill="FFFFFF"/>
          <w:lang w:val="es-ES_tradnl"/>
        </w:rPr>
        <w:endnoteReference w:id="48"/>
      </w:r>
      <w:r w:rsidRPr="00FB5890">
        <w:rPr>
          <w:rFonts w:ascii="Times New Roman" w:hAnsi="Times New Roman" w:cs="Times New Roman"/>
          <w:color w:val="1D1C1D"/>
          <w:shd w:val="clear" w:color="auto" w:fill="FFFFFF"/>
          <w:lang w:val="es-ES_tradnl"/>
        </w:rPr>
        <w:t xml:space="preserve">. En ese sentido, tal y como lo retomó la Corte IDH, el perito Oscar A. Cabrera señaló que </w:t>
      </w:r>
      <w:r w:rsidRPr="00FB5890">
        <w:rPr>
          <w:rFonts w:ascii="Times New Roman" w:hAnsi="Times New Roman" w:cs="Times New Roman"/>
          <w:lang w:val="es-ES_tradnl"/>
        </w:rPr>
        <w:t>“la carencia de marcos regulatorios que establezcan con claridad la excepcionalidad de las restricciones al secreto médico, así como los casos muy acotados en los cuales dichas restricciones son aceptables, deriva a en otorgar absoluta discrecionalidad al personal médico para determinar el cumplimiento de sus deberes y obligaciones”</w:t>
      </w:r>
      <w:r w:rsidRPr="00FB5890">
        <w:rPr>
          <w:rStyle w:val="EndnoteReference"/>
          <w:rFonts w:ascii="Times New Roman" w:hAnsi="Times New Roman" w:cs="Times New Roman"/>
          <w:lang w:val="es-ES_tradnl"/>
        </w:rPr>
        <w:endnoteReference w:id="49"/>
      </w:r>
      <w:r w:rsidRPr="00FB5890">
        <w:rPr>
          <w:rFonts w:ascii="Times New Roman" w:hAnsi="Times New Roman" w:cs="Times New Roman"/>
          <w:lang w:val="es-ES_tradnl"/>
        </w:rPr>
        <w:t>.</w:t>
      </w:r>
    </w:p>
    <w:p w14:paraId="4623569C" w14:textId="50864C60" w:rsidR="00BB358C" w:rsidRPr="00FB5890" w:rsidRDefault="00BB358C" w:rsidP="00171B20">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Dada la falta de claridad y contradicción entre las distintas normas salvadoreñas</w:t>
      </w:r>
      <w:r w:rsidRPr="00FB5890">
        <w:rPr>
          <w:rStyle w:val="EndnoteReference"/>
          <w:rFonts w:ascii="Times New Roman" w:hAnsi="Times New Roman" w:cs="Times New Roman"/>
          <w:color w:val="1D1C1D"/>
          <w:shd w:val="clear" w:color="auto" w:fill="FFFFFF"/>
          <w:lang w:val="es-ES_tradnl"/>
        </w:rPr>
        <w:endnoteReference w:id="50"/>
      </w:r>
      <w:r w:rsidRPr="00FB5890">
        <w:rPr>
          <w:rFonts w:ascii="Times New Roman" w:hAnsi="Times New Roman" w:cs="Times New Roman"/>
          <w:color w:val="1D1C1D"/>
          <w:shd w:val="clear" w:color="auto" w:fill="FFFFFF"/>
          <w:lang w:val="es-ES_tradnl"/>
        </w:rPr>
        <w:t>, la Corte determinó que la divulgación de la información sobre la salud sexual y reproductiva de Manuela no cumplió con el requisito de legalidad, y que “en relación con emergencias obstétricas, la legislación debe señalar de forma clara que, el deber de preservar el secreto profesional médico es una excepción a la obligación general de denuncia”</w:t>
      </w:r>
      <w:r w:rsidRPr="00FB5890">
        <w:rPr>
          <w:rStyle w:val="EndnoteReference"/>
          <w:rFonts w:ascii="Times New Roman" w:hAnsi="Times New Roman" w:cs="Times New Roman"/>
          <w:color w:val="1D1C1D"/>
          <w:shd w:val="clear" w:color="auto" w:fill="FFFFFF"/>
          <w:lang w:val="es-ES_tradnl"/>
        </w:rPr>
        <w:endnoteReference w:id="51"/>
      </w:r>
      <w:r w:rsidRPr="00FB5890">
        <w:rPr>
          <w:rFonts w:ascii="Times New Roman" w:hAnsi="Times New Roman" w:cs="Times New Roman"/>
          <w:color w:val="1D1C1D"/>
          <w:shd w:val="clear" w:color="auto" w:fill="FFFFFF"/>
          <w:lang w:val="es-ES_tradnl"/>
        </w:rPr>
        <w:t xml:space="preserve"> en cabeza de cualquier persona, de un funcionario público o de una persona encargada de un centro hospitalario u otro establecimiento semejante.</w:t>
      </w:r>
    </w:p>
    <w:p w14:paraId="65550648" w14:textId="215DA0E1" w:rsidR="00BB358C" w:rsidRPr="00FB5890" w:rsidRDefault="00BB358C" w:rsidP="00AA26ED">
      <w:pPr>
        <w:jc w:val="both"/>
        <w:rPr>
          <w:rFonts w:ascii="Times New Roman" w:hAnsi="Times New Roman" w:cs="Times New Roman"/>
          <w:lang w:val="es-ES_tradnl"/>
        </w:rPr>
      </w:pPr>
      <w:r w:rsidRPr="00FB5890">
        <w:rPr>
          <w:rFonts w:ascii="Times New Roman" w:hAnsi="Times New Roman" w:cs="Times New Roman"/>
          <w:color w:val="1D1C1D"/>
          <w:shd w:val="clear" w:color="auto" w:fill="FFFFFF"/>
          <w:lang w:val="es-ES_tradnl"/>
        </w:rPr>
        <w:t xml:space="preserve">Respecto de la finalidad e idoneidad de la restricción, la Corte determinó que </w:t>
      </w:r>
      <w:r w:rsidRPr="00FB5890">
        <w:rPr>
          <w:rFonts w:ascii="Times New Roman" w:hAnsi="Times New Roman" w:cs="Times New Roman"/>
          <w:lang w:val="es-ES_tradnl"/>
        </w:rPr>
        <w:t>“la finalidad de la restricción no era la protección de la vida de un niño o niña, sino cumplir con la obligación internacional de investigar, juzgar y, en su caso, sancionar los delitos cometidos en contra de niñas y niños”, y esta finalidad está permitida por la CADH. Por lo que hace al requisito de necesidad se estimó que era incierto si se hubiera podido investigar el presunto delito si el personal médico no hubiera divulgado la información, por lo que “podría ser una medida necesaria”</w:t>
      </w:r>
      <w:r w:rsidRPr="00FB5890">
        <w:rPr>
          <w:rStyle w:val="EndnoteReference"/>
          <w:rFonts w:ascii="Times New Roman" w:hAnsi="Times New Roman" w:cs="Times New Roman"/>
          <w:lang w:val="es-ES_tradnl"/>
        </w:rPr>
        <w:endnoteReference w:id="52"/>
      </w:r>
      <w:r w:rsidRPr="00FB5890">
        <w:rPr>
          <w:rFonts w:ascii="Times New Roman" w:hAnsi="Times New Roman" w:cs="Times New Roman"/>
          <w:lang w:val="es-ES_tradnl"/>
        </w:rPr>
        <w:t xml:space="preserve">. </w:t>
      </w:r>
    </w:p>
    <w:p w14:paraId="022DC1CF" w14:textId="75C1E761" w:rsidR="00BB358C" w:rsidRPr="00FB5890" w:rsidRDefault="006922DB" w:rsidP="003C7849">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Sin embargo, </w:t>
      </w:r>
      <w:r w:rsidR="00BB358C" w:rsidRPr="00FB5890">
        <w:rPr>
          <w:rFonts w:ascii="Times New Roman" w:hAnsi="Times New Roman" w:cs="Times New Roman"/>
          <w:color w:val="1D1C1D"/>
          <w:shd w:val="clear" w:color="auto" w:fill="FFFFFF"/>
          <w:lang w:val="es-ES_tradnl"/>
        </w:rPr>
        <w:t>al analizar la proporcionalidad de la restricción, la Corte IDH consideró que “la divulgación de información médica puede restringir el acceso a una atención médica adecuada de mujeres que necesiten asistencia médica, pero eviten ir a un hospital por miedo a ser criminalizadas, lo que pone en riesgo sus derechos a la salud, a la integridad personal y a la vida”</w:t>
      </w:r>
      <w:r w:rsidR="00BB358C" w:rsidRPr="00FB5890">
        <w:rPr>
          <w:rStyle w:val="EndnoteReference"/>
          <w:rFonts w:ascii="Times New Roman" w:hAnsi="Times New Roman" w:cs="Times New Roman"/>
          <w:color w:val="1D1C1D"/>
          <w:shd w:val="clear" w:color="auto" w:fill="FFFFFF"/>
          <w:lang w:val="es-ES_tradnl"/>
        </w:rPr>
        <w:endnoteReference w:id="53"/>
      </w:r>
      <w:r w:rsidR="00BB358C" w:rsidRPr="00FB5890">
        <w:rPr>
          <w:rFonts w:ascii="Times New Roman" w:hAnsi="Times New Roman" w:cs="Times New Roman"/>
          <w:color w:val="1D1C1D"/>
          <w:shd w:val="clear" w:color="auto" w:fill="FFFFFF"/>
          <w:lang w:val="es-ES_tradnl"/>
        </w:rPr>
        <w:t xml:space="preserve">. Así, existe, según la Corte, un conflicto aparente entre la obligación de guardar el secreto profesional y el deber de denunciar. </w:t>
      </w:r>
      <w:r w:rsidR="00FD5489" w:rsidRPr="00FB5890">
        <w:rPr>
          <w:rFonts w:ascii="Times New Roman" w:hAnsi="Times New Roman" w:cs="Times New Roman"/>
          <w:color w:val="1D1C1D"/>
          <w:shd w:val="clear" w:color="auto" w:fill="FFFFFF"/>
          <w:lang w:val="es-ES_tradnl"/>
        </w:rPr>
        <w:t>Frente a ello</w:t>
      </w:r>
      <w:r w:rsidR="00BB358C" w:rsidRPr="00FB5890">
        <w:rPr>
          <w:rFonts w:ascii="Times New Roman" w:hAnsi="Times New Roman" w:cs="Times New Roman"/>
          <w:color w:val="1D1C1D"/>
          <w:shd w:val="clear" w:color="auto" w:fill="FFFFFF"/>
          <w:lang w:val="es-ES_tradnl"/>
        </w:rPr>
        <w:t>, “tratándose de casos de urgencias obstétricas, en que está en juego la vida de la mujer, debe privilegiarse el deber de guardar el secreto profesional”</w:t>
      </w:r>
      <w:r w:rsidR="00BB358C" w:rsidRPr="00FB5890">
        <w:rPr>
          <w:rStyle w:val="EndnoteReference"/>
          <w:rFonts w:ascii="Times New Roman" w:hAnsi="Times New Roman" w:cs="Times New Roman"/>
          <w:color w:val="1D1C1D"/>
          <w:shd w:val="clear" w:color="auto" w:fill="FFFFFF"/>
          <w:lang w:val="es-ES_tradnl"/>
        </w:rPr>
        <w:endnoteReference w:id="54"/>
      </w:r>
      <w:r w:rsidR="00BB358C" w:rsidRPr="00FB5890">
        <w:rPr>
          <w:rFonts w:ascii="Times New Roman" w:hAnsi="Times New Roman" w:cs="Times New Roman"/>
          <w:color w:val="1D1C1D"/>
          <w:shd w:val="clear" w:color="auto" w:fill="FFFFFF"/>
          <w:lang w:val="es-ES_tradnl"/>
        </w:rPr>
        <w:t>. En el caso concreto, la Corte consideró que las afectaciones causadas por la denuncia presentada por la médica de Manuela fueron desproporcionadas frente a las ventajas que se obtuvieron mediante la misma</w:t>
      </w:r>
      <w:r w:rsidR="00BB358C" w:rsidRPr="00FB5890">
        <w:rPr>
          <w:rStyle w:val="EndnoteReference"/>
          <w:rFonts w:ascii="Times New Roman" w:hAnsi="Times New Roman" w:cs="Times New Roman"/>
          <w:color w:val="1D1C1D"/>
          <w:shd w:val="clear" w:color="auto" w:fill="FFFFFF"/>
          <w:lang w:val="es-ES_tradnl"/>
        </w:rPr>
        <w:endnoteReference w:id="55"/>
      </w:r>
      <w:r w:rsidR="00BB358C" w:rsidRPr="00FB5890">
        <w:rPr>
          <w:rFonts w:ascii="Times New Roman" w:hAnsi="Times New Roman" w:cs="Times New Roman"/>
          <w:color w:val="1D1C1D"/>
          <w:shd w:val="clear" w:color="auto" w:fill="FFFFFF"/>
          <w:lang w:val="es-ES_tradnl"/>
        </w:rPr>
        <w:t>. Por ello, la denuncia de la médica violó los derechos a la vida privada y a la salud de Manuela.</w:t>
      </w:r>
    </w:p>
    <w:p w14:paraId="7F6B2668" w14:textId="2FC160A7" w:rsidR="00BB358C" w:rsidRPr="00FB5890" w:rsidRDefault="00BB358C" w:rsidP="0078783B">
      <w:pPr>
        <w:pStyle w:val="ListParagraph"/>
        <w:numPr>
          <w:ilvl w:val="0"/>
          <w:numId w:val="7"/>
        </w:numPr>
        <w:ind w:left="990"/>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Reparaciones ordenadas por la Corte IDH </w:t>
      </w:r>
    </w:p>
    <w:p w14:paraId="460542B4" w14:textId="3658716F" w:rsidR="00BB358C" w:rsidRPr="00FB5890" w:rsidRDefault="00BB358C" w:rsidP="007C460D">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Como parte de las reparaciones ordenadas por la Corte IDH, la Corte dictó garantías de no repetición consistentes principalmente en reformas normativas que deben ser ejecutadas por el Estado</w:t>
      </w:r>
      <w:r w:rsidR="006922DB" w:rsidRPr="00FB5890">
        <w:rPr>
          <w:rFonts w:ascii="Times New Roman" w:hAnsi="Times New Roman" w:cs="Times New Roman"/>
          <w:color w:val="1D1C1D"/>
          <w:shd w:val="clear" w:color="auto" w:fill="FFFFFF"/>
          <w:lang w:val="es-ES_tradnl"/>
        </w:rPr>
        <w:t xml:space="preserve"> y que consideramos de especial relevancia para el presente examen del informe periódico de El Salvador. </w:t>
      </w:r>
      <w:r w:rsidRPr="00FB5890">
        <w:rPr>
          <w:rFonts w:ascii="Times New Roman" w:hAnsi="Times New Roman" w:cs="Times New Roman"/>
          <w:color w:val="1D1C1D"/>
          <w:shd w:val="clear" w:color="auto" w:fill="FFFFFF"/>
          <w:lang w:val="es-ES_tradnl"/>
        </w:rPr>
        <w:t xml:space="preserve">A continuación, se abordan las reformas </w:t>
      </w:r>
      <w:r w:rsidR="00595E21" w:rsidRPr="00FB5890">
        <w:rPr>
          <w:rFonts w:ascii="Times New Roman" w:hAnsi="Times New Roman" w:cs="Times New Roman"/>
          <w:color w:val="1D1C1D"/>
          <w:shd w:val="clear" w:color="auto" w:fill="FFFFFF"/>
          <w:lang w:val="es-ES_tradnl"/>
        </w:rPr>
        <w:t xml:space="preserve">estructurales </w:t>
      </w:r>
      <w:r w:rsidRPr="00FB5890">
        <w:rPr>
          <w:rFonts w:ascii="Times New Roman" w:hAnsi="Times New Roman" w:cs="Times New Roman"/>
          <w:color w:val="1D1C1D"/>
          <w:shd w:val="clear" w:color="auto" w:fill="FFFFFF"/>
          <w:lang w:val="es-ES_tradnl"/>
        </w:rPr>
        <w:t>que</w:t>
      </w:r>
      <w:r w:rsidR="00595E21" w:rsidRPr="00FB5890">
        <w:rPr>
          <w:rFonts w:ascii="Times New Roman" w:hAnsi="Times New Roman" w:cs="Times New Roman"/>
          <w:color w:val="1D1C1D"/>
          <w:shd w:val="clear" w:color="auto" w:fill="FFFFFF"/>
          <w:lang w:val="es-ES_tradnl"/>
        </w:rPr>
        <w:t xml:space="preserve"> el Comité </w:t>
      </w:r>
      <w:r w:rsidR="00DB08E5" w:rsidRPr="00FB5890">
        <w:rPr>
          <w:rFonts w:ascii="Times New Roman" w:hAnsi="Times New Roman" w:cs="Times New Roman"/>
          <w:color w:val="1D1C1D"/>
          <w:shd w:val="clear" w:color="auto" w:fill="FFFFFF"/>
          <w:lang w:val="es-ES_tradnl"/>
        </w:rPr>
        <w:t xml:space="preserve">DESC </w:t>
      </w:r>
      <w:r w:rsidR="00595E21" w:rsidRPr="00FB5890">
        <w:rPr>
          <w:rFonts w:ascii="Times New Roman" w:hAnsi="Times New Roman" w:cs="Times New Roman"/>
          <w:color w:val="1D1C1D"/>
          <w:shd w:val="clear" w:color="auto" w:fill="FFFFFF"/>
          <w:lang w:val="es-ES_tradnl"/>
        </w:rPr>
        <w:t xml:space="preserve">podría incluir en sus recomendaciones a fin de favorecer que el Estado adecúe su ordenamiento jurídico interno a los contenidos del derecho a la salud relacionados con el deber de confidencialidad. </w:t>
      </w:r>
    </w:p>
    <w:p w14:paraId="4E268871" w14:textId="357A7CEF" w:rsidR="00BB358C" w:rsidRPr="00FB5890" w:rsidRDefault="00BB358C" w:rsidP="00CB16B8">
      <w:pPr>
        <w:pStyle w:val="ListParagraph"/>
        <w:numPr>
          <w:ilvl w:val="0"/>
          <w:numId w:val="14"/>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Regular el secreto profesional y sus excepciones y adopción de protocolos y guías médicas de atención a las emergencias obstétricas</w:t>
      </w:r>
    </w:p>
    <w:p w14:paraId="30FFC120" w14:textId="5C8616AD" w:rsidR="00BB358C" w:rsidRPr="00FB5890" w:rsidRDefault="00BB358C" w:rsidP="00CE5AB8">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En primer lugar, la Corte ordenó a El Salvador regular el secreto profesional médico y sus excepciones, y adaptar los protocolos y guías médicas de atención de las emergencias obstétricas. De acuerdo con la sentencia, El Salvador </w:t>
      </w:r>
      <w:r w:rsidR="003F2858" w:rsidRPr="00FB5890">
        <w:rPr>
          <w:rFonts w:ascii="Times New Roman" w:hAnsi="Times New Roman" w:cs="Times New Roman"/>
          <w:color w:val="1D1C1D"/>
          <w:shd w:val="clear" w:color="auto" w:fill="FFFFFF"/>
          <w:lang w:val="es-ES_tradnl"/>
        </w:rPr>
        <w:t>debe emitir</w:t>
      </w:r>
      <w:r w:rsidRPr="00FB5890">
        <w:rPr>
          <w:rFonts w:ascii="Times New Roman" w:hAnsi="Times New Roman" w:cs="Times New Roman"/>
          <w:color w:val="1D1C1D"/>
          <w:shd w:val="clear" w:color="auto" w:fill="FFFFFF"/>
          <w:lang w:val="es-ES_tradnl"/>
        </w:rPr>
        <w:t xml:space="preserve"> una “regulación clara sobre los alcances del secreto profesional médico, la protección de la historia clínica y sus excepciones, de conformidad con los estándares desarrollados”</w:t>
      </w:r>
      <w:r w:rsidRPr="00FB5890">
        <w:rPr>
          <w:rStyle w:val="EndnoteReference"/>
          <w:rFonts w:ascii="Times New Roman" w:hAnsi="Times New Roman" w:cs="Times New Roman"/>
          <w:color w:val="1D1C1D"/>
          <w:shd w:val="clear" w:color="auto" w:fill="FFFFFF"/>
          <w:lang w:val="es-ES_tradnl"/>
        </w:rPr>
        <w:endnoteReference w:id="56"/>
      </w:r>
      <w:r w:rsidRPr="00FB5890">
        <w:rPr>
          <w:rFonts w:ascii="Times New Roman" w:hAnsi="Times New Roman" w:cs="Times New Roman"/>
          <w:color w:val="1D1C1D"/>
          <w:shd w:val="clear" w:color="auto" w:fill="FFFFFF"/>
          <w:lang w:val="es-ES_tradnl"/>
        </w:rPr>
        <w:t xml:space="preserve"> en la propia sentencia. En particular, la regulación debe establecer expresamente que</w:t>
      </w:r>
      <w:r w:rsidRPr="00FB5890">
        <w:rPr>
          <w:rStyle w:val="EndnoteReference"/>
          <w:rFonts w:ascii="Times New Roman" w:hAnsi="Times New Roman" w:cs="Times New Roman"/>
          <w:color w:val="1D1C1D"/>
          <w:shd w:val="clear" w:color="auto" w:fill="FFFFFF"/>
          <w:lang w:val="es-ES_tradnl"/>
        </w:rPr>
        <w:endnoteReference w:id="57"/>
      </w:r>
      <w:r w:rsidRPr="00FB5890">
        <w:rPr>
          <w:rFonts w:ascii="Times New Roman" w:hAnsi="Times New Roman" w:cs="Times New Roman"/>
          <w:color w:val="1D1C1D"/>
          <w:shd w:val="clear" w:color="auto" w:fill="FFFFFF"/>
          <w:lang w:val="es-ES_tradnl"/>
        </w:rPr>
        <w:t>: (i) el personal médico no debe denunciar a mujeres que hayan recibido atención médica con motivo de una emergencia obstétrica; (ii) la falta de denuncia por parte del personal de salud en estos casos no conlleva represalias administrativas, penales o de otra índole; (iii) el personal de salud debe mantener el secreto profesional médico, frente a cuestionamientos de las autoridades; y (iv) los supuestos en los cuales se puede difundir la historia clínica, las salvaguardas claras sobre el resguardo de dicha información y la forma en que esta puede ser difundida, exigiendo que la misma se realice solo mediante orden fundamentaba por una autoridad competente y, tras la cual, se divulgue solo lo necesario para el caso concreto. En tanto dicha regulación no se encuentre vigente, la Corte ordenó al Estado “que se abstenga de aplicar la legislación actual respecto de la obligación del personal de salud de denunciar posibles casos de aborto”</w:t>
      </w:r>
      <w:r w:rsidRPr="00FB5890">
        <w:rPr>
          <w:rStyle w:val="EndnoteReference"/>
          <w:rFonts w:ascii="Times New Roman" w:hAnsi="Times New Roman" w:cs="Times New Roman"/>
          <w:color w:val="1D1C1D"/>
          <w:shd w:val="clear" w:color="auto" w:fill="FFFFFF"/>
          <w:lang w:val="es-ES_tradnl"/>
        </w:rPr>
        <w:endnoteReference w:id="58"/>
      </w:r>
      <w:r w:rsidRPr="00FB5890">
        <w:rPr>
          <w:rFonts w:ascii="Times New Roman" w:hAnsi="Times New Roman" w:cs="Times New Roman"/>
          <w:color w:val="1D1C1D"/>
          <w:shd w:val="clear" w:color="auto" w:fill="FFFFFF"/>
          <w:lang w:val="es-ES_tradnl"/>
        </w:rPr>
        <w:t>.</w:t>
      </w:r>
    </w:p>
    <w:p w14:paraId="32D476F8" w14:textId="663888C9" w:rsidR="00BB358C" w:rsidRPr="00FB5890" w:rsidRDefault="00BB358C" w:rsidP="006A1602">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Además, la Corte ordenó al Estado adoptar</w:t>
      </w:r>
      <w:r w:rsidR="002808D9" w:rsidRPr="00FB5890">
        <w:rPr>
          <w:rFonts w:ascii="Times New Roman" w:hAnsi="Times New Roman" w:cs="Times New Roman"/>
          <w:color w:val="1D1C1D"/>
          <w:shd w:val="clear" w:color="auto" w:fill="FFFFFF"/>
          <w:lang w:val="es-ES_tradnl"/>
        </w:rPr>
        <w:t xml:space="preserve"> </w:t>
      </w:r>
      <w:r w:rsidRPr="00FB5890">
        <w:rPr>
          <w:rFonts w:ascii="Times New Roman" w:hAnsi="Times New Roman" w:cs="Times New Roman"/>
          <w:color w:val="1D1C1D"/>
          <w:shd w:val="clear" w:color="auto" w:fill="FFFFFF"/>
          <w:lang w:val="es-ES_tradnl"/>
        </w:rPr>
        <w:t>un protocolo para la atención de mujeres que requieren atención médica de urgencia por emergencias obstétricas</w:t>
      </w:r>
      <w:r w:rsidRPr="00FB5890">
        <w:rPr>
          <w:rStyle w:val="EndnoteReference"/>
          <w:rFonts w:ascii="Times New Roman" w:hAnsi="Times New Roman" w:cs="Times New Roman"/>
          <w:color w:val="1D1C1D"/>
          <w:shd w:val="clear" w:color="auto" w:fill="FFFFFF"/>
          <w:lang w:val="es-ES_tradnl"/>
        </w:rPr>
        <w:endnoteReference w:id="59"/>
      </w:r>
      <w:r w:rsidRPr="00FB5890">
        <w:rPr>
          <w:rFonts w:ascii="Times New Roman" w:hAnsi="Times New Roman" w:cs="Times New Roman"/>
          <w:color w:val="1D1C1D"/>
          <w:shd w:val="clear" w:color="auto" w:fill="FFFFFF"/>
          <w:lang w:val="es-ES_tradnl"/>
        </w:rPr>
        <w:t>. Este protocolo debe estar dirigido al personal de salud de instituciones públicas y privadas de El Salvador, y debe contener criterios claros para asegurar que en la atención de estas mujeres. Como mínimo, el protocolo debe: (i) a</w:t>
      </w:r>
      <w:r w:rsidRPr="00FB5890">
        <w:rPr>
          <w:rFonts w:ascii="Times New Roman" w:hAnsi="Times New Roman" w:cs="Times New Roman"/>
          <w:lang w:val="es-ES_tradnl"/>
        </w:rPr>
        <w:t xml:space="preserve">segurar la confidencialidad de la información a la que el personal médico tiene acceso en razón de su profesión; </w:t>
      </w:r>
      <w:r w:rsidRPr="00FB5890">
        <w:rPr>
          <w:rFonts w:ascii="Times New Roman" w:hAnsi="Times New Roman" w:cs="Times New Roman"/>
          <w:color w:val="1D1C1D"/>
          <w:shd w:val="clear" w:color="auto" w:fill="FFFFFF"/>
          <w:lang w:val="es-ES_tradnl"/>
        </w:rPr>
        <w:t>(ii) e</w:t>
      </w:r>
      <w:r w:rsidRPr="00FB5890">
        <w:rPr>
          <w:rFonts w:ascii="Times New Roman" w:hAnsi="Times New Roman" w:cs="Times New Roman"/>
          <w:lang w:val="es-ES_tradnl"/>
        </w:rPr>
        <w:t xml:space="preserve">stablecer que el acceso a servicios de salud no está condicionado por la presunta comisión de un delito o por la cooperación de las pacientes en un proceso penal; y </w:t>
      </w:r>
      <w:r w:rsidRPr="00FB5890">
        <w:rPr>
          <w:rFonts w:ascii="Times New Roman" w:hAnsi="Times New Roman" w:cs="Times New Roman"/>
          <w:color w:val="1D1C1D"/>
          <w:shd w:val="clear" w:color="auto" w:fill="FFFFFF"/>
          <w:lang w:val="es-ES_tradnl"/>
        </w:rPr>
        <w:t xml:space="preserve">(iii) </w:t>
      </w:r>
      <w:r w:rsidRPr="00FB5890">
        <w:rPr>
          <w:rFonts w:ascii="Times New Roman" w:hAnsi="Times New Roman" w:cs="Times New Roman"/>
          <w:lang w:val="es-ES_tradnl"/>
        </w:rPr>
        <w:t>prever la obligación del personal de salud de abstenerse de interrogar a las pacientes con la finalidad de obtener confesiones o denunciarlas</w:t>
      </w:r>
      <w:r w:rsidRPr="00FB5890">
        <w:rPr>
          <w:rStyle w:val="EndnoteReference"/>
          <w:rFonts w:ascii="Times New Roman" w:hAnsi="Times New Roman" w:cs="Times New Roman"/>
          <w:lang w:val="es-ES_tradnl"/>
        </w:rPr>
        <w:endnoteReference w:id="60"/>
      </w:r>
      <w:r w:rsidRPr="00FB5890">
        <w:rPr>
          <w:rFonts w:ascii="Times New Roman" w:hAnsi="Times New Roman" w:cs="Times New Roman"/>
          <w:lang w:val="es-ES_tradnl"/>
        </w:rPr>
        <w:t xml:space="preserve">. </w:t>
      </w:r>
    </w:p>
    <w:p w14:paraId="08FB06E4" w14:textId="0B26A957" w:rsidR="00BB358C" w:rsidRPr="00FB5890" w:rsidRDefault="00BB358C" w:rsidP="002C627B">
      <w:pPr>
        <w:pStyle w:val="ListParagraph"/>
        <w:numPr>
          <w:ilvl w:val="0"/>
          <w:numId w:val="14"/>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Capacitar y sensibilizar a funcionarios judiciales y al personal de salud</w:t>
      </w:r>
    </w:p>
    <w:p w14:paraId="2914CDD2" w14:textId="37C5B8E4" w:rsidR="00BB358C" w:rsidRPr="00FB5890" w:rsidRDefault="00BB358C" w:rsidP="00523A6D">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Como otra medida de reparación relevante para los objetos del presente escrito se encuentra la obligación estatal de adoptar, “un plan de capacitación y sensibilización dirigido tanto a funcionarios judiciales, como al personal de salud del Hospital Nacional Rosales”</w:t>
      </w:r>
      <w:r w:rsidRPr="00FB5890">
        <w:rPr>
          <w:rStyle w:val="EndnoteReference"/>
          <w:rFonts w:ascii="Times New Roman" w:hAnsi="Times New Roman" w:cs="Times New Roman"/>
          <w:color w:val="1D1C1D"/>
          <w:shd w:val="clear" w:color="auto" w:fill="FFFFFF"/>
          <w:lang w:val="es-ES_tradnl"/>
        </w:rPr>
        <w:endnoteReference w:id="61"/>
      </w:r>
      <w:r w:rsidRPr="00FB5890">
        <w:rPr>
          <w:rFonts w:ascii="Times New Roman" w:hAnsi="Times New Roman" w:cs="Times New Roman"/>
          <w:color w:val="1D1C1D"/>
          <w:shd w:val="clear" w:color="auto" w:fill="FFFFFF"/>
          <w:lang w:val="es-ES_tradnl"/>
        </w:rPr>
        <w:t>.</w:t>
      </w:r>
    </w:p>
    <w:p w14:paraId="004E0C75" w14:textId="73F4A18E" w:rsidR="00BB358C" w:rsidRPr="00FB5890" w:rsidRDefault="00BB358C" w:rsidP="00523A6D">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La capacitación a funcionarios judiciales que intervienen en los procesos penales instaurados en contra de mujeres criminalizadas por delitos relacionados con emergencias obstétricas, como aborto o infanticidio, debe incluir, además de lo señalado expresamente en la sentencia</w:t>
      </w:r>
      <w:r w:rsidRPr="00FB5890">
        <w:rPr>
          <w:rStyle w:val="EndnoteReference"/>
          <w:rFonts w:ascii="Times New Roman" w:hAnsi="Times New Roman" w:cs="Times New Roman"/>
          <w:color w:val="1D1C1D"/>
          <w:shd w:val="clear" w:color="auto" w:fill="FFFFFF"/>
          <w:lang w:val="es-ES_tradnl"/>
        </w:rPr>
        <w:endnoteReference w:id="62"/>
      </w:r>
      <w:r w:rsidRPr="00FB5890">
        <w:rPr>
          <w:rFonts w:ascii="Times New Roman" w:hAnsi="Times New Roman" w:cs="Times New Roman"/>
          <w:color w:val="1D1C1D"/>
          <w:shd w:val="clear" w:color="auto" w:fill="FFFFFF"/>
          <w:lang w:val="es-ES_tradnl"/>
        </w:rPr>
        <w:t xml:space="preserve">, la obligación de respetar la confidencialidad de la relación médico-paciente y la obligación de no solicitar al personal médico que incumpla con el secreto profesional. </w:t>
      </w:r>
    </w:p>
    <w:p w14:paraId="43500936" w14:textId="3F46782B" w:rsidR="00BB358C" w:rsidRPr="00FB5890" w:rsidRDefault="00BB358C" w:rsidP="006A1602">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Por su parte, la capacitación al personal de salud debe, como lo indicó la Corte IDH, incluir </w:t>
      </w:r>
      <w:r w:rsidRPr="00FB5890">
        <w:rPr>
          <w:rFonts w:ascii="Times New Roman" w:hAnsi="Times New Roman" w:cs="Times New Roman"/>
          <w:lang w:val="es-ES_tradnl"/>
        </w:rPr>
        <w:t>“un curso de capacitación sobre el secreto profesional médico, dirigido al personal sanitario y médico del Hospital Nacional Rosales”</w:t>
      </w:r>
      <w:r w:rsidRPr="00FB5890">
        <w:rPr>
          <w:rStyle w:val="EndnoteReference"/>
          <w:rFonts w:ascii="Times New Roman" w:hAnsi="Times New Roman" w:cs="Times New Roman"/>
          <w:lang w:val="es-ES_tradnl"/>
        </w:rPr>
        <w:endnoteReference w:id="63"/>
      </w:r>
      <w:r w:rsidRPr="00FB5890">
        <w:rPr>
          <w:rFonts w:ascii="Times New Roman" w:hAnsi="Times New Roman" w:cs="Times New Roman"/>
          <w:lang w:val="es-ES_tradnl"/>
        </w:rPr>
        <w:t>, de conformidad con los estándares desarrollados en la sentencia relativos, entre otros, a los alcances del secreto profesional médico y sus excepciones, así como con el protocolo para la atención de mujeres que requieran atención médica de urgencia por emergencias obstétricas.</w:t>
      </w:r>
    </w:p>
    <w:p w14:paraId="69174652" w14:textId="042A9C6E" w:rsidR="00BB358C" w:rsidRPr="00FB5890" w:rsidRDefault="00BB358C" w:rsidP="002C627B">
      <w:pPr>
        <w:pStyle w:val="ListParagraph"/>
        <w:numPr>
          <w:ilvl w:val="0"/>
          <w:numId w:val="14"/>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Diseñar e implementar un programa de educación sexual y reproductiva</w:t>
      </w:r>
    </w:p>
    <w:p w14:paraId="0CA0AC46" w14:textId="79F0B7A6" w:rsidR="00BB358C" w:rsidRPr="00FB5890" w:rsidRDefault="00BB358C" w:rsidP="00CE5AB8">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 xml:space="preserve">La Corte IDH ordenó al Estado </w:t>
      </w:r>
      <w:r w:rsidR="002808D9" w:rsidRPr="00FB5890">
        <w:rPr>
          <w:rFonts w:ascii="Times New Roman" w:hAnsi="Times New Roman" w:cs="Times New Roman"/>
          <w:color w:val="1D1C1D"/>
          <w:shd w:val="clear" w:color="auto" w:fill="FFFFFF"/>
          <w:lang w:val="es-ES_tradnl"/>
        </w:rPr>
        <w:t xml:space="preserve">que </w:t>
      </w:r>
      <w:r w:rsidRPr="00FB5890">
        <w:rPr>
          <w:rFonts w:ascii="Times New Roman" w:hAnsi="Times New Roman" w:cs="Times New Roman"/>
          <w:color w:val="1D1C1D"/>
          <w:shd w:val="clear" w:color="auto" w:fill="FFFFFF"/>
          <w:lang w:val="es-ES_tradnl"/>
        </w:rPr>
        <w:t>diseñe e implemente contenido específico sobre la sexualidad y la reproducción en los programas escolares. Este contenido debe ser integral, no discriminatorio, estar basado en pruebas, ser científicamente riguroso, y adecuado en función de la edad y capacidad evolutivas de las niñas, niños y adolescentes</w:t>
      </w:r>
      <w:r w:rsidRPr="00FB5890">
        <w:rPr>
          <w:rStyle w:val="EndnoteReference"/>
          <w:rFonts w:ascii="Times New Roman" w:hAnsi="Times New Roman" w:cs="Times New Roman"/>
          <w:color w:val="1D1C1D"/>
          <w:shd w:val="clear" w:color="auto" w:fill="FFFFFF"/>
          <w:lang w:val="es-ES_tradnl"/>
        </w:rPr>
        <w:endnoteReference w:id="64"/>
      </w:r>
      <w:r w:rsidRPr="00FB5890">
        <w:rPr>
          <w:rFonts w:ascii="Times New Roman" w:hAnsi="Times New Roman" w:cs="Times New Roman"/>
          <w:color w:val="1D1C1D"/>
          <w:shd w:val="clear" w:color="auto" w:fill="FFFFFF"/>
          <w:lang w:val="es-ES_tradnl"/>
        </w:rPr>
        <w:t>.</w:t>
      </w:r>
    </w:p>
    <w:p w14:paraId="42352290" w14:textId="150C03F9" w:rsidR="00BB358C" w:rsidRPr="00FB5890" w:rsidRDefault="00BB358C" w:rsidP="002C627B">
      <w:pPr>
        <w:pStyle w:val="ListParagraph"/>
        <w:numPr>
          <w:ilvl w:val="0"/>
          <w:numId w:val="14"/>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 xml:space="preserve">Brindar atención medica integral a las mujeres que sufren emergencias obstétricas </w:t>
      </w:r>
    </w:p>
    <w:p w14:paraId="1033C823" w14:textId="48A42F88" w:rsidR="00945B61" w:rsidRPr="00FB5890" w:rsidRDefault="00BB358C" w:rsidP="00945B61">
      <w:pPr>
        <w:jc w:val="both"/>
        <w:rPr>
          <w:rFonts w:ascii="Times New Roman" w:hAnsi="Times New Roman" w:cs="Times New Roman"/>
          <w:color w:val="1D1C1D"/>
          <w:shd w:val="clear" w:color="auto" w:fill="FFFFFF"/>
          <w:lang w:val="es-ES_tradnl"/>
        </w:rPr>
      </w:pPr>
      <w:r w:rsidRPr="00FB5890">
        <w:rPr>
          <w:rFonts w:ascii="Times New Roman" w:hAnsi="Times New Roman" w:cs="Times New Roman"/>
          <w:color w:val="1D1C1D"/>
          <w:shd w:val="clear" w:color="auto" w:fill="FFFFFF"/>
          <w:lang w:val="es-ES_tradnl"/>
        </w:rPr>
        <w:t>La Corte ordenó al estado tomar de forma inmediata “las medidas necesarias para asegurar la atención médica integral de las mujeres que sufran emergencias obstétricas”</w:t>
      </w:r>
      <w:r w:rsidRPr="00FB5890">
        <w:rPr>
          <w:rStyle w:val="EndnoteReference"/>
          <w:rFonts w:ascii="Times New Roman" w:hAnsi="Times New Roman" w:cs="Times New Roman"/>
          <w:color w:val="1D1C1D"/>
          <w:shd w:val="clear" w:color="auto" w:fill="FFFFFF"/>
          <w:lang w:val="es-ES_tradnl"/>
        </w:rPr>
        <w:endnoteReference w:id="65"/>
      </w:r>
      <w:r w:rsidRPr="00FB5890">
        <w:rPr>
          <w:rFonts w:ascii="Times New Roman" w:hAnsi="Times New Roman" w:cs="Times New Roman"/>
          <w:color w:val="1D1C1D"/>
          <w:shd w:val="clear" w:color="auto" w:fill="FFFFFF"/>
          <w:lang w:val="es-ES_tradnl"/>
        </w:rPr>
        <w:t>.</w:t>
      </w:r>
      <w:r w:rsidR="002C627B" w:rsidRPr="00FB5890">
        <w:rPr>
          <w:rFonts w:ascii="Times New Roman" w:hAnsi="Times New Roman" w:cs="Times New Roman"/>
          <w:color w:val="1D1C1D"/>
          <w:shd w:val="clear" w:color="auto" w:fill="FFFFFF"/>
          <w:lang w:val="es-ES_tradnl"/>
        </w:rPr>
        <w:t xml:space="preserve"> </w:t>
      </w:r>
    </w:p>
    <w:p w14:paraId="5A129C96" w14:textId="61FF804F" w:rsidR="0027137C" w:rsidRPr="00FB5890" w:rsidRDefault="005E2C21" w:rsidP="005C31A5">
      <w:pPr>
        <w:pStyle w:val="ListParagraph"/>
        <w:numPr>
          <w:ilvl w:val="0"/>
          <w:numId w:val="1"/>
        </w:numPr>
        <w:jc w:val="both"/>
        <w:rPr>
          <w:rFonts w:ascii="Times New Roman" w:hAnsi="Times New Roman" w:cs="Times New Roman"/>
          <w:b/>
          <w:color w:val="1D1C1D"/>
          <w:shd w:val="clear" w:color="auto" w:fill="FFFFFF"/>
          <w:lang w:val="es-ES_tradnl"/>
        </w:rPr>
      </w:pPr>
      <w:r w:rsidRPr="00FB5890">
        <w:rPr>
          <w:rFonts w:ascii="Times New Roman" w:hAnsi="Times New Roman" w:cs="Times New Roman"/>
          <w:b/>
          <w:color w:val="1D1C1D"/>
          <w:shd w:val="clear" w:color="auto" w:fill="FFFFFF"/>
          <w:lang w:val="es-ES_tradnl"/>
        </w:rPr>
        <w:t>Solicitudes</w:t>
      </w:r>
    </w:p>
    <w:p w14:paraId="4382C901" w14:textId="3D7238DA" w:rsidR="00171B20" w:rsidRPr="00FB5890" w:rsidRDefault="0027137C" w:rsidP="00D878FD">
      <w:pPr>
        <w:jc w:val="both"/>
        <w:rPr>
          <w:rFonts w:ascii="Times New Roman" w:hAnsi="Times New Roman" w:cs="Times New Roman"/>
          <w:i/>
          <w:color w:val="1D1C1D"/>
          <w:shd w:val="clear" w:color="auto" w:fill="FFFFFF"/>
          <w:lang w:val="es-ES_tradnl"/>
        </w:rPr>
      </w:pPr>
      <w:r w:rsidRPr="00FB5890">
        <w:rPr>
          <w:rFonts w:ascii="Times New Roman" w:hAnsi="Times New Roman" w:cs="Times New Roman"/>
          <w:color w:val="1D1C1D"/>
          <w:shd w:val="clear" w:color="auto" w:fill="FFFFFF"/>
          <w:lang w:val="es-ES_tradnl"/>
        </w:rPr>
        <w:t>En atención a lo previamente expuesto en el presente escrito, solicitamos atentamente a este Honorable Comité que:</w:t>
      </w:r>
      <w:r w:rsidR="00A94247" w:rsidRPr="00FB5890">
        <w:rPr>
          <w:rFonts w:ascii="Times New Roman" w:hAnsi="Times New Roman" w:cs="Times New Roman"/>
          <w:color w:val="1D1C1D"/>
          <w:shd w:val="clear" w:color="auto" w:fill="FFFFFF"/>
          <w:lang w:val="es-ES_tradnl"/>
        </w:rPr>
        <w:t xml:space="preserve"> (i) m</w:t>
      </w:r>
      <w:r w:rsidRPr="00FB5890">
        <w:rPr>
          <w:rFonts w:ascii="Times New Roman" w:hAnsi="Times New Roman" w:cs="Times New Roman"/>
          <w:color w:val="1D1C1D"/>
          <w:shd w:val="clear" w:color="auto" w:fill="FFFFFF"/>
          <w:lang w:val="es-ES_tradnl"/>
        </w:rPr>
        <w:t xml:space="preserve">anifieste que la reforma al </w:t>
      </w:r>
      <w:r w:rsidR="002A0AAD" w:rsidRPr="00FB5890">
        <w:rPr>
          <w:rFonts w:ascii="Times New Roman" w:hAnsi="Times New Roman" w:cs="Times New Roman"/>
          <w:color w:val="1D1C1D"/>
          <w:shd w:val="clear" w:color="auto" w:fill="FFFFFF"/>
          <w:lang w:val="es-ES_tradnl"/>
        </w:rPr>
        <w:t>C</w:t>
      </w:r>
      <w:r w:rsidRPr="00FB5890">
        <w:rPr>
          <w:rFonts w:ascii="Times New Roman" w:hAnsi="Times New Roman" w:cs="Times New Roman"/>
          <w:color w:val="1D1C1D"/>
          <w:shd w:val="clear" w:color="auto" w:fill="FFFFFF"/>
          <w:lang w:val="es-ES_tradnl"/>
        </w:rPr>
        <w:t xml:space="preserve">ódigo </w:t>
      </w:r>
      <w:r w:rsidR="002A0AAD" w:rsidRPr="00FB5890">
        <w:rPr>
          <w:rFonts w:ascii="Times New Roman" w:hAnsi="Times New Roman" w:cs="Times New Roman"/>
          <w:color w:val="1D1C1D"/>
          <w:shd w:val="clear" w:color="auto" w:fill="FFFFFF"/>
          <w:lang w:val="es-ES_tradnl"/>
        </w:rPr>
        <w:t>P</w:t>
      </w:r>
      <w:r w:rsidRPr="00FB5890">
        <w:rPr>
          <w:rFonts w:ascii="Times New Roman" w:hAnsi="Times New Roman" w:cs="Times New Roman"/>
          <w:color w:val="1D1C1D"/>
          <w:shd w:val="clear" w:color="auto" w:fill="FFFFFF"/>
          <w:lang w:val="es-ES_tradnl"/>
        </w:rPr>
        <w:t>enal salvadoreño, vigente desde 1998 y por la que se eliminaron las causales bajo las cuales el aborto</w:t>
      </w:r>
      <w:r w:rsidR="00435ECD" w:rsidRPr="00FB5890">
        <w:rPr>
          <w:rFonts w:ascii="Times New Roman" w:hAnsi="Times New Roman" w:cs="Times New Roman"/>
          <w:color w:val="1D1C1D"/>
          <w:shd w:val="clear" w:color="auto" w:fill="FFFFFF"/>
          <w:lang w:val="es-ES_tradnl"/>
        </w:rPr>
        <w:t xml:space="preserve"> no era punible</w:t>
      </w:r>
      <w:r w:rsidRPr="00FB5890">
        <w:rPr>
          <w:rFonts w:ascii="Times New Roman" w:hAnsi="Times New Roman" w:cs="Times New Roman"/>
          <w:color w:val="1D1C1D"/>
          <w:shd w:val="clear" w:color="auto" w:fill="FFFFFF"/>
          <w:lang w:val="es-ES_tradnl"/>
        </w:rPr>
        <w:t>, es una medida</w:t>
      </w:r>
      <w:r w:rsidR="00FA7E7D" w:rsidRPr="00FB5890">
        <w:rPr>
          <w:rFonts w:ascii="Times New Roman" w:hAnsi="Times New Roman" w:cs="Times New Roman"/>
          <w:color w:val="1D1C1D"/>
          <w:shd w:val="clear" w:color="auto" w:fill="FFFFFF"/>
          <w:lang w:val="es-ES_tradnl"/>
        </w:rPr>
        <w:t xml:space="preserve"> deliberadamente</w:t>
      </w:r>
      <w:r w:rsidRPr="00FB5890">
        <w:rPr>
          <w:rFonts w:ascii="Times New Roman" w:hAnsi="Times New Roman" w:cs="Times New Roman"/>
          <w:color w:val="1D1C1D"/>
          <w:shd w:val="clear" w:color="auto" w:fill="FFFFFF"/>
          <w:lang w:val="es-ES_tradnl"/>
        </w:rPr>
        <w:t xml:space="preserve"> </w:t>
      </w:r>
      <w:r w:rsidR="00041037" w:rsidRPr="00FB5890">
        <w:rPr>
          <w:rFonts w:ascii="Times New Roman" w:hAnsi="Times New Roman" w:cs="Times New Roman"/>
          <w:color w:val="1D1C1D"/>
          <w:shd w:val="clear" w:color="auto" w:fill="FFFFFF"/>
          <w:lang w:val="es-ES_tradnl"/>
        </w:rPr>
        <w:t xml:space="preserve">regresiva </w:t>
      </w:r>
      <w:r w:rsidRPr="00FB5890">
        <w:rPr>
          <w:rFonts w:ascii="Times New Roman" w:hAnsi="Times New Roman" w:cs="Times New Roman"/>
          <w:color w:val="1D1C1D"/>
          <w:shd w:val="clear" w:color="auto" w:fill="FFFFFF"/>
          <w:lang w:val="es-ES_tradnl"/>
        </w:rPr>
        <w:t xml:space="preserve">que no </w:t>
      </w:r>
      <w:r w:rsidR="00041037" w:rsidRPr="00FB5890">
        <w:rPr>
          <w:rFonts w:ascii="Times New Roman" w:hAnsi="Times New Roman" w:cs="Times New Roman"/>
          <w:color w:val="1D1C1D"/>
          <w:shd w:val="clear" w:color="auto" w:fill="FFFFFF"/>
          <w:lang w:val="es-ES_tradnl"/>
        </w:rPr>
        <w:t>cumple con</w:t>
      </w:r>
      <w:r w:rsidRPr="00FB5890">
        <w:rPr>
          <w:rFonts w:ascii="Times New Roman" w:hAnsi="Times New Roman" w:cs="Times New Roman"/>
          <w:color w:val="1D1C1D"/>
          <w:shd w:val="clear" w:color="auto" w:fill="FFFFFF"/>
          <w:lang w:val="es-ES_tradnl"/>
        </w:rPr>
        <w:t xml:space="preserve"> los parámetros </w:t>
      </w:r>
      <w:r w:rsidR="00041037" w:rsidRPr="00FB5890">
        <w:rPr>
          <w:rFonts w:ascii="Times New Roman" w:hAnsi="Times New Roman" w:cs="Times New Roman"/>
          <w:color w:val="1D1C1D"/>
          <w:shd w:val="clear" w:color="auto" w:fill="FFFFFF"/>
          <w:lang w:val="es-ES_tradnl"/>
        </w:rPr>
        <w:t>del Comité DESC que justificarían su adopción</w:t>
      </w:r>
      <w:r w:rsidRPr="00FB5890">
        <w:rPr>
          <w:rFonts w:ascii="Times New Roman" w:hAnsi="Times New Roman" w:cs="Times New Roman"/>
          <w:color w:val="1D1C1D"/>
          <w:shd w:val="clear" w:color="auto" w:fill="FFFFFF"/>
          <w:lang w:val="es-ES_tradnl"/>
        </w:rPr>
        <w:t>, y por tanto, constituy</w:t>
      </w:r>
      <w:r w:rsidR="00D878FD" w:rsidRPr="00FB5890">
        <w:rPr>
          <w:rFonts w:ascii="Times New Roman" w:hAnsi="Times New Roman" w:cs="Times New Roman"/>
          <w:color w:val="1D1C1D"/>
          <w:shd w:val="clear" w:color="auto" w:fill="FFFFFF"/>
          <w:lang w:val="es-ES_tradnl"/>
        </w:rPr>
        <w:t>e</w:t>
      </w:r>
      <w:r w:rsidRPr="00FB5890">
        <w:rPr>
          <w:rFonts w:ascii="Times New Roman" w:hAnsi="Times New Roman" w:cs="Times New Roman"/>
          <w:color w:val="1D1C1D"/>
          <w:shd w:val="clear" w:color="auto" w:fill="FFFFFF"/>
          <w:lang w:val="es-ES_tradnl"/>
        </w:rPr>
        <w:t xml:space="preserve"> una medida violatoria de las obligaciones internacionales de El Salvador, a la luz del PIDESC; </w:t>
      </w:r>
      <w:r w:rsidR="00A94247" w:rsidRPr="00FB5890">
        <w:rPr>
          <w:rFonts w:ascii="Times New Roman" w:hAnsi="Times New Roman" w:cs="Times New Roman"/>
          <w:color w:val="1D1C1D"/>
          <w:shd w:val="clear" w:color="auto" w:fill="FFFFFF"/>
          <w:lang w:val="es-ES_tradnl"/>
        </w:rPr>
        <w:t xml:space="preserve">(ii) </w:t>
      </w:r>
      <w:r w:rsidR="00435ECD" w:rsidRPr="00FB5890">
        <w:rPr>
          <w:rFonts w:ascii="Times New Roman" w:hAnsi="Times New Roman" w:cs="Times New Roman"/>
          <w:color w:val="1D1C1D"/>
          <w:shd w:val="clear" w:color="auto" w:fill="FFFFFF"/>
          <w:lang w:val="es-ES_tradnl"/>
        </w:rPr>
        <w:t>reitere la recomendación de despenalizar el aborto al menos en las causales de riesgo para la vida y la salud, cuando el embarazo es producto de una violación y cuando hay inviabilidad fetal;</w:t>
      </w:r>
      <w:r w:rsidR="005F0575" w:rsidRPr="00FB5890">
        <w:rPr>
          <w:rFonts w:ascii="Times New Roman" w:hAnsi="Times New Roman" w:cs="Times New Roman"/>
          <w:color w:val="1D1C1D"/>
          <w:shd w:val="clear" w:color="auto" w:fill="FFFFFF"/>
          <w:lang w:val="es-ES_tradnl"/>
        </w:rPr>
        <w:t xml:space="preserve"> (iii) exprese que el marco normativo actual en materia de secreto médico, por su falta de claridad y sus implicaciones en la criminalización del aborto y de emergencias obstétricas es violatorio del derecho a la salud;</w:t>
      </w:r>
      <w:r w:rsidR="009E5073" w:rsidRPr="00FB5890">
        <w:rPr>
          <w:rFonts w:ascii="Times New Roman" w:hAnsi="Times New Roman" w:cs="Times New Roman"/>
          <w:color w:val="1D1C1D"/>
          <w:shd w:val="clear" w:color="auto" w:fill="FFFFFF"/>
          <w:lang w:val="es-ES_tradnl"/>
        </w:rPr>
        <w:t xml:space="preserve"> y</w:t>
      </w:r>
      <w:r w:rsidR="005F0575" w:rsidRPr="00FB5890">
        <w:rPr>
          <w:rFonts w:ascii="Times New Roman" w:hAnsi="Times New Roman" w:cs="Times New Roman"/>
          <w:color w:val="1D1C1D"/>
          <w:shd w:val="clear" w:color="auto" w:fill="FFFFFF"/>
          <w:lang w:val="es-ES_tradnl"/>
        </w:rPr>
        <w:t xml:space="preserve"> (iv) recomien</w:t>
      </w:r>
      <w:r w:rsidR="003A1389" w:rsidRPr="00FB5890">
        <w:rPr>
          <w:rFonts w:ascii="Times New Roman" w:hAnsi="Times New Roman" w:cs="Times New Roman"/>
          <w:color w:val="1D1C1D"/>
          <w:shd w:val="clear" w:color="auto" w:fill="FFFFFF"/>
          <w:lang w:val="es-ES_tradnl"/>
        </w:rPr>
        <w:t>d</w:t>
      </w:r>
      <w:r w:rsidR="005F0575" w:rsidRPr="00FB5890">
        <w:rPr>
          <w:rFonts w:ascii="Times New Roman" w:hAnsi="Times New Roman" w:cs="Times New Roman"/>
          <w:color w:val="1D1C1D"/>
          <w:shd w:val="clear" w:color="auto" w:fill="FFFFFF"/>
          <w:lang w:val="es-ES_tradnl"/>
        </w:rPr>
        <w:t xml:space="preserve">e a </w:t>
      </w:r>
      <w:r w:rsidRPr="00FB5890">
        <w:rPr>
          <w:rFonts w:ascii="Times New Roman" w:hAnsi="Times New Roman" w:cs="Times New Roman"/>
          <w:color w:val="1D1C1D"/>
          <w:shd w:val="clear" w:color="auto" w:fill="FFFFFF"/>
          <w:lang w:val="es-ES_tradnl"/>
        </w:rPr>
        <w:t>El Salvador de emitir una legislación</w:t>
      </w:r>
      <w:r w:rsidR="00364AA0" w:rsidRPr="00FB5890">
        <w:rPr>
          <w:rFonts w:ascii="Times New Roman" w:hAnsi="Times New Roman" w:cs="Times New Roman"/>
          <w:color w:val="1D1C1D"/>
          <w:shd w:val="clear" w:color="auto" w:fill="FFFFFF"/>
          <w:lang w:val="es-ES_tradnl"/>
        </w:rPr>
        <w:t xml:space="preserve"> y protocolos</w:t>
      </w:r>
      <w:r w:rsidRPr="00FB5890">
        <w:rPr>
          <w:rFonts w:ascii="Times New Roman" w:hAnsi="Times New Roman" w:cs="Times New Roman"/>
          <w:color w:val="1D1C1D"/>
          <w:shd w:val="clear" w:color="auto" w:fill="FFFFFF"/>
          <w:lang w:val="es-ES_tradnl"/>
        </w:rPr>
        <w:t xml:space="preserve"> clara </w:t>
      </w:r>
      <w:r w:rsidR="00AB1A22" w:rsidRPr="00FB5890">
        <w:rPr>
          <w:rFonts w:ascii="Times New Roman" w:hAnsi="Times New Roman" w:cs="Times New Roman"/>
          <w:color w:val="1D1C1D"/>
          <w:shd w:val="clear" w:color="auto" w:fill="FFFFFF"/>
          <w:lang w:val="es-ES_tradnl"/>
        </w:rPr>
        <w:t xml:space="preserve">y comprensible </w:t>
      </w:r>
      <w:r w:rsidRPr="00FB5890">
        <w:rPr>
          <w:rFonts w:ascii="Times New Roman" w:hAnsi="Times New Roman" w:cs="Times New Roman"/>
          <w:color w:val="1D1C1D"/>
          <w:shd w:val="clear" w:color="auto" w:fill="FFFFFF"/>
          <w:lang w:val="es-ES_tradnl"/>
        </w:rPr>
        <w:t xml:space="preserve">sobre la </w:t>
      </w:r>
      <w:r w:rsidR="00AB1A22" w:rsidRPr="00FB5890">
        <w:rPr>
          <w:rFonts w:ascii="Times New Roman" w:hAnsi="Times New Roman" w:cs="Times New Roman"/>
          <w:color w:val="1D1C1D"/>
          <w:shd w:val="clear" w:color="auto" w:fill="FFFFFF"/>
          <w:lang w:val="es-ES_tradnl"/>
        </w:rPr>
        <w:t xml:space="preserve">obligación del personal médico de guardar el secreto </w:t>
      </w:r>
      <w:r w:rsidR="005F0575" w:rsidRPr="00FB5890">
        <w:rPr>
          <w:rFonts w:ascii="Times New Roman" w:hAnsi="Times New Roman" w:cs="Times New Roman"/>
          <w:color w:val="1D1C1D"/>
          <w:shd w:val="clear" w:color="auto" w:fill="FFFFFF"/>
          <w:lang w:val="es-ES_tradnl"/>
        </w:rPr>
        <w:t xml:space="preserve">médico </w:t>
      </w:r>
      <w:r w:rsidR="00AB1A22" w:rsidRPr="00FB5890">
        <w:rPr>
          <w:rFonts w:ascii="Times New Roman" w:hAnsi="Times New Roman" w:cs="Times New Roman"/>
          <w:color w:val="1D1C1D"/>
          <w:shd w:val="clear" w:color="auto" w:fill="FFFFFF"/>
          <w:lang w:val="es-ES_tradnl"/>
        </w:rPr>
        <w:t>en casos de emergencias obstétricas</w:t>
      </w:r>
      <w:r w:rsidR="00396D4C" w:rsidRPr="00FB5890">
        <w:rPr>
          <w:rFonts w:ascii="Times New Roman" w:hAnsi="Times New Roman" w:cs="Times New Roman"/>
          <w:color w:val="1D1C1D"/>
          <w:shd w:val="clear" w:color="auto" w:fill="FFFFFF"/>
          <w:lang w:val="es-ES_tradnl"/>
        </w:rPr>
        <w:t>. Lo anterior a la luz del PIDESC y tomando en cuenta</w:t>
      </w:r>
      <w:r w:rsidR="009E5073" w:rsidRPr="00FB5890">
        <w:rPr>
          <w:rFonts w:ascii="Times New Roman" w:hAnsi="Times New Roman" w:cs="Times New Roman"/>
          <w:color w:val="1D1C1D"/>
          <w:shd w:val="clear" w:color="auto" w:fill="FFFFFF"/>
          <w:lang w:val="es-ES_tradnl"/>
        </w:rPr>
        <w:t xml:space="preserve">, en la medida de lo relevante, </w:t>
      </w:r>
      <w:r w:rsidR="00396D4C" w:rsidRPr="00FB5890">
        <w:rPr>
          <w:rFonts w:ascii="Times New Roman" w:hAnsi="Times New Roman" w:cs="Times New Roman"/>
          <w:color w:val="1D1C1D"/>
          <w:shd w:val="clear" w:color="auto" w:fill="FFFFFF"/>
          <w:lang w:val="es-ES_tradnl"/>
        </w:rPr>
        <w:t>l</w:t>
      </w:r>
      <w:r w:rsidR="00C03C2C" w:rsidRPr="00FB5890">
        <w:rPr>
          <w:rFonts w:ascii="Times New Roman" w:hAnsi="Times New Roman" w:cs="Times New Roman"/>
          <w:color w:val="1D1C1D"/>
          <w:shd w:val="clear" w:color="auto" w:fill="FFFFFF"/>
          <w:lang w:val="es-ES_tradnl"/>
        </w:rPr>
        <w:t xml:space="preserve">as medidas de no repetición ordenadas </w:t>
      </w:r>
      <w:r w:rsidR="00396D4C" w:rsidRPr="00FB5890">
        <w:rPr>
          <w:rFonts w:ascii="Times New Roman" w:hAnsi="Times New Roman" w:cs="Times New Roman"/>
          <w:color w:val="1D1C1D"/>
          <w:shd w:val="clear" w:color="auto" w:fill="FFFFFF"/>
          <w:lang w:val="es-ES_tradnl"/>
        </w:rPr>
        <w:t xml:space="preserve">por la Corte IDH en la sentencia de </w:t>
      </w:r>
      <w:r w:rsidR="00396D4C" w:rsidRPr="00FB5890">
        <w:rPr>
          <w:rFonts w:ascii="Times New Roman" w:hAnsi="Times New Roman" w:cs="Times New Roman"/>
          <w:i/>
          <w:color w:val="1D1C1D"/>
          <w:shd w:val="clear" w:color="auto" w:fill="FFFFFF"/>
          <w:lang w:val="es-ES_tradnl"/>
        </w:rPr>
        <w:t>Manuela</w:t>
      </w:r>
      <w:r w:rsidR="009E5073" w:rsidRPr="00FB5890">
        <w:rPr>
          <w:rFonts w:ascii="Times New Roman" w:hAnsi="Times New Roman" w:cs="Times New Roman"/>
          <w:i/>
          <w:color w:val="1D1C1D"/>
          <w:shd w:val="clear" w:color="auto" w:fill="FFFFFF"/>
          <w:lang w:val="es-ES_tradnl"/>
        </w:rPr>
        <w:t xml:space="preserve">. </w:t>
      </w:r>
    </w:p>
    <w:p w14:paraId="61FBCF05" w14:textId="6E607F43" w:rsidR="007F4FA6" w:rsidRPr="00FB5890" w:rsidRDefault="007F4FA6" w:rsidP="00D878FD">
      <w:pPr>
        <w:jc w:val="both"/>
        <w:rPr>
          <w:rFonts w:ascii="Times New Roman" w:hAnsi="Times New Roman" w:cs="Times New Roman"/>
          <w:i/>
          <w:color w:val="1D1C1D"/>
          <w:shd w:val="clear" w:color="auto" w:fill="FFFFFF"/>
          <w:lang w:val="es-ES_trad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F4FA6" w:rsidRPr="00FB5890" w14:paraId="537F097B" w14:textId="77777777" w:rsidTr="007E32AF">
        <w:trPr>
          <w:trHeight w:val="1116"/>
        </w:trPr>
        <w:tc>
          <w:tcPr>
            <w:tcW w:w="4675" w:type="dxa"/>
          </w:tcPr>
          <w:p w14:paraId="54A3339B" w14:textId="77777777" w:rsidR="007F4FA6" w:rsidRPr="00FB5890" w:rsidRDefault="007F4FA6" w:rsidP="007E32AF">
            <w:pPr>
              <w:rPr>
                <w:rFonts w:ascii="Times New Roman" w:hAnsi="Times New Roman" w:cs="Times New Roman"/>
                <w:noProof/>
                <w:lang w:val="es-ES_tradnl"/>
              </w:rPr>
            </w:pPr>
            <w:r w:rsidRPr="00FB5890">
              <w:rPr>
                <w:rFonts w:ascii="Times New Roman" w:hAnsi="Times New Roman" w:cs="Times New Roman"/>
                <w:noProof/>
                <w:lang w:val="en-GB" w:eastAsia="en-GB"/>
              </w:rPr>
              <w:drawing>
                <wp:inline distT="0" distB="0" distL="0" distR="0" wp14:anchorId="55EF30DE" wp14:editId="54329D3F">
                  <wp:extent cx="2377440" cy="498334"/>
                  <wp:effectExtent l="0" t="0" r="0" b="0"/>
                  <wp:docPr id="5" name="Picture 5"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7926" cy="538262"/>
                          </a:xfrm>
                          <a:prstGeom prst="rect">
                            <a:avLst/>
                          </a:prstGeom>
                        </pic:spPr>
                      </pic:pic>
                    </a:graphicData>
                  </a:graphic>
                </wp:inline>
              </w:drawing>
            </w:r>
          </w:p>
        </w:tc>
        <w:tc>
          <w:tcPr>
            <w:tcW w:w="4675" w:type="dxa"/>
          </w:tcPr>
          <w:p w14:paraId="13FFB2E7" w14:textId="77777777" w:rsidR="007F4FA6" w:rsidRPr="00FB5890" w:rsidRDefault="007F4FA6" w:rsidP="007E32AF">
            <w:pPr>
              <w:rPr>
                <w:rFonts w:ascii="Times New Roman" w:hAnsi="Times New Roman" w:cs="Times New Roman"/>
                <w:noProof/>
                <w:lang w:val="es-ES_tradnl"/>
              </w:rPr>
            </w:pPr>
            <w:r w:rsidRPr="00FB5890">
              <w:rPr>
                <w:rFonts w:ascii="Times New Roman" w:hAnsi="Times New Roman" w:cs="Times New Roman"/>
                <w:noProof/>
                <w:lang w:val="en-GB" w:eastAsia="en-GB"/>
              </w:rPr>
              <w:drawing>
                <wp:inline distT="0" distB="0" distL="0" distR="0" wp14:anchorId="34C7699B" wp14:editId="612B327A">
                  <wp:extent cx="1724297" cy="645590"/>
                  <wp:effectExtent l="0" t="0" r="3175" b="2540"/>
                  <wp:docPr id="1" name="Picture 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895660" cy="709750"/>
                          </a:xfrm>
                          <a:prstGeom prst="rect">
                            <a:avLst/>
                          </a:prstGeom>
                        </pic:spPr>
                      </pic:pic>
                    </a:graphicData>
                  </a:graphic>
                </wp:inline>
              </w:drawing>
            </w:r>
          </w:p>
        </w:tc>
      </w:tr>
      <w:tr w:rsidR="007F4FA6" w:rsidRPr="00FB5890" w14:paraId="61F1F53C" w14:textId="77777777" w:rsidTr="007E32AF">
        <w:trPr>
          <w:trHeight w:val="774"/>
        </w:trPr>
        <w:tc>
          <w:tcPr>
            <w:tcW w:w="4675" w:type="dxa"/>
          </w:tcPr>
          <w:p w14:paraId="4B9B8B0D"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Oscar A. Cabrera</w:t>
            </w:r>
          </w:p>
          <w:p w14:paraId="2932439F"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Abogado y Director</w:t>
            </w:r>
          </w:p>
          <w:p w14:paraId="0858F2B2"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sz w:val="22"/>
                <w:szCs w:val="22"/>
                <w:lang w:val="es-ES_tradnl"/>
              </w:rPr>
              <w:t>Profesor Visitante, Facultad de Derecho</w:t>
            </w:r>
          </w:p>
        </w:tc>
        <w:tc>
          <w:tcPr>
            <w:tcW w:w="4675" w:type="dxa"/>
          </w:tcPr>
          <w:p w14:paraId="57635886"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Silvia Serrano Guzmán</w:t>
            </w:r>
          </w:p>
          <w:p w14:paraId="1947FFEC"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Abogada y Directora Asociada</w:t>
            </w:r>
          </w:p>
          <w:p w14:paraId="7A31C225"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sz w:val="22"/>
                <w:szCs w:val="22"/>
                <w:lang w:val="es-ES_tradnl"/>
              </w:rPr>
              <w:t>Profesora Adjunta, Facultad de Derecho</w:t>
            </w:r>
          </w:p>
        </w:tc>
      </w:tr>
      <w:tr w:rsidR="007F4FA6" w:rsidRPr="00FB5890" w14:paraId="123B1E40" w14:textId="77777777" w:rsidTr="007E32AF">
        <w:trPr>
          <w:trHeight w:val="1386"/>
        </w:trPr>
        <w:tc>
          <w:tcPr>
            <w:tcW w:w="4675" w:type="dxa"/>
          </w:tcPr>
          <w:p w14:paraId="1A59D8F0" w14:textId="77777777" w:rsidR="007F4FA6" w:rsidRPr="00FB5890" w:rsidRDefault="007F4FA6" w:rsidP="007E32AF">
            <w:pPr>
              <w:rPr>
                <w:rFonts w:ascii="Times New Roman" w:hAnsi="Times New Roman" w:cs="Times New Roman"/>
                <w:lang w:val="es-ES_tradnl"/>
              </w:rPr>
            </w:pPr>
          </w:p>
          <w:p w14:paraId="03E43660"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noProof/>
                <w:lang w:val="en-GB" w:eastAsia="en-GB"/>
              </w:rPr>
              <w:drawing>
                <wp:inline distT="0" distB="0" distL="0" distR="0" wp14:anchorId="513C63FC" wp14:editId="14D4A972">
                  <wp:extent cx="1079863" cy="679914"/>
                  <wp:effectExtent l="0" t="0" r="0" b="6350"/>
                  <wp:docPr id="7" name="Picture 7"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whiteboa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1094952" cy="689414"/>
                          </a:xfrm>
                          <a:prstGeom prst="rect">
                            <a:avLst/>
                          </a:prstGeom>
                        </pic:spPr>
                      </pic:pic>
                    </a:graphicData>
                  </a:graphic>
                </wp:inline>
              </w:drawing>
            </w:r>
          </w:p>
        </w:tc>
        <w:tc>
          <w:tcPr>
            <w:tcW w:w="4675" w:type="dxa"/>
          </w:tcPr>
          <w:p w14:paraId="6506A36A" w14:textId="77777777" w:rsidR="007F4FA6" w:rsidRPr="00FB5890" w:rsidRDefault="007F4FA6" w:rsidP="007E32AF">
            <w:pPr>
              <w:rPr>
                <w:rFonts w:ascii="Times New Roman" w:hAnsi="Times New Roman" w:cs="Times New Roman"/>
                <w:lang w:val="es-ES_tradnl"/>
              </w:rPr>
            </w:pPr>
          </w:p>
          <w:p w14:paraId="4AB80F98"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noProof/>
                <w:lang w:val="en-GB" w:eastAsia="en-GB"/>
              </w:rPr>
              <w:drawing>
                <wp:inline distT="0" distB="0" distL="0" distR="0" wp14:anchorId="3D75274C" wp14:editId="527160E1">
                  <wp:extent cx="1036320" cy="727993"/>
                  <wp:effectExtent l="0" t="0" r="5080" b="0"/>
                  <wp:docPr id="8" name="Picture 8"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Shape&#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60858" cy="745231"/>
                          </a:xfrm>
                          <a:prstGeom prst="rect">
                            <a:avLst/>
                          </a:prstGeom>
                        </pic:spPr>
                      </pic:pic>
                    </a:graphicData>
                  </a:graphic>
                </wp:inline>
              </w:drawing>
            </w:r>
          </w:p>
        </w:tc>
      </w:tr>
      <w:tr w:rsidR="007F4FA6" w:rsidRPr="00FB5890" w14:paraId="0A07525B" w14:textId="77777777" w:rsidTr="007E32AF">
        <w:tc>
          <w:tcPr>
            <w:tcW w:w="4675" w:type="dxa"/>
          </w:tcPr>
          <w:p w14:paraId="01044389"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Ivonne Garza Garza</w:t>
            </w:r>
          </w:p>
          <w:p w14:paraId="1B9FA0C9"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sz w:val="22"/>
                <w:szCs w:val="22"/>
                <w:lang w:val="es-ES_tradnl"/>
              </w:rPr>
              <w:t>Abogada y Asociada</w:t>
            </w:r>
          </w:p>
        </w:tc>
        <w:tc>
          <w:tcPr>
            <w:tcW w:w="4675" w:type="dxa"/>
          </w:tcPr>
          <w:p w14:paraId="55E7F378" w14:textId="77777777" w:rsidR="007F4FA6" w:rsidRPr="00FB5890" w:rsidRDefault="007F4FA6" w:rsidP="007E32AF">
            <w:pPr>
              <w:rPr>
                <w:rFonts w:ascii="Times New Roman" w:hAnsi="Times New Roman" w:cs="Times New Roman"/>
                <w:sz w:val="22"/>
                <w:szCs w:val="22"/>
                <w:lang w:val="es-ES_tradnl"/>
              </w:rPr>
            </w:pPr>
            <w:r w:rsidRPr="00FB5890">
              <w:rPr>
                <w:rFonts w:ascii="Times New Roman" w:hAnsi="Times New Roman" w:cs="Times New Roman"/>
                <w:sz w:val="22"/>
                <w:szCs w:val="22"/>
                <w:lang w:val="es-ES_tradnl"/>
              </w:rPr>
              <w:t>Aura Guerrero</w:t>
            </w:r>
          </w:p>
          <w:p w14:paraId="3E742DA1" w14:textId="77777777" w:rsidR="007F4FA6" w:rsidRPr="00FB5890" w:rsidRDefault="007F4FA6" w:rsidP="007E32AF">
            <w:pPr>
              <w:rPr>
                <w:rFonts w:ascii="Times New Roman" w:hAnsi="Times New Roman" w:cs="Times New Roman"/>
                <w:lang w:val="es-ES_tradnl"/>
              </w:rPr>
            </w:pPr>
            <w:r w:rsidRPr="00FB5890">
              <w:rPr>
                <w:rFonts w:ascii="Times New Roman" w:hAnsi="Times New Roman" w:cs="Times New Roman"/>
                <w:sz w:val="22"/>
                <w:szCs w:val="22"/>
                <w:lang w:val="es-ES_tradnl"/>
              </w:rPr>
              <w:t>Abogada y Asociada</w:t>
            </w:r>
          </w:p>
        </w:tc>
      </w:tr>
    </w:tbl>
    <w:p w14:paraId="06FF18A4" w14:textId="77777777" w:rsidR="007F4FA6" w:rsidRPr="00FB5890" w:rsidRDefault="007F4FA6" w:rsidP="00D878FD">
      <w:pPr>
        <w:jc w:val="both"/>
        <w:rPr>
          <w:rFonts w:ascii="Times New Roman" w:hAnsi="Times New Roman" w:cs="Times New Roman"/>
          <w:color w:val="1D1C1D"/>
          <w:shd w:val="clear" w:color="auto" w:fill="FFFFFF"/>
          <w:lang w:val="es-ES_tradnl"/>
        </w:rPr>
      </w:pPr>
    </w:p>
    <w:p w14:paraId="3F0277C7" w14:textId="26E30E52" w:rsidR="00517EC6" w:rsidRPr="00FB5890" w:rsidRDefault="00517EC6" w:rsidP="00D878FD">
      <w:pPr>
        <w:jc w:val="both"/>
        <w:rPr>
          <w:rFonts w:ascii="Times New Roman" w:hAnsi="Times New Roman" w:cs="Times New Roman"/>
          <w:b/>
          <w:color w:val="1D1C1D"/>
          <w:shd w:val="clear" w:color="auto" w:fill="FFFFFF"/>
          <w:lang w:val="es-ES_tradnl"/>
        </w:rPr>
      </w:pPr>
    </w:p>
    <w:sectPr w:rsidR="00517EC6" w:rsidRPr="00FB5890" w:rsidSect="003C5D17">
      <w:headerReference w:type="default" r:id="rId12"/>
      <w:footerReference w:type="default" r:id="rId13"/>
      <w:endnotePr>
        <w:numFmt w:val="decimal"/>
      </w:endnotePr>
      <w:pgSz w:w="12240" w:h="15840"/>
      <w:pgMar w:top="990" w:right="1170" w:bottom="90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32274" w14:textId="77777777" w:rsidR="00043EBA" w:rsidRDefault="00043EBA" w:rsidP="004141E5">
      <w:pPr>
        <w:spacing w:after="0" w:line="240" w:lineRule="auto"/>
      </w:pPr>
      <w:r>
        <w:separator/>
      </w:r>
    </w:p>
  </w:endnote>
  <w:endnote w:type="continuationSeparator" w:id="0">
    <w:p w14:paraId="79F96EB0" w14:textId="77777777" w:rsidR="00043EBA" w:rsidRDefault="00043EBA" w:rsidP="004141E5">
      <w:pPr>
        <w:spacing w:after="0" w:line="240" w:lineRule="auto"/>
      </w:pPr>
      <w:r>
        <w:continuationSeparator/>
      </w:r>
    </w:p>
  </w:endnote>
  <w:endnote w:id="1">
    <w:p w14:paraId="149C75A7" w14:textId="33D85590" w:rsidR="00BB358C" w:rsidRPr="00FB5890" w:rsidRDefault="00BB358C" w:rsidP="00FB5890">
      <w:pPr>
        <w:autoSpaceDE w:val="0"/>
        <w:autoSpaceDN w:val="0"/>
        <w:adjustRightInd w:val="0"/>
        <w:spacing w:after="0" w:line="240" w:lineRule="auto"/>
        <w:jc w:val="both"/>
        <w:rPr>
          <w:rFonts w:ascii="Times New Roman" w:hAnsi="Times New Roman" w:cs="Times New Roman"/>
          <w:color w:val="000000"/>
          <w:sz w:val="20"/>
          <w:szCs w:val="20"/>
        </w:rPr>
      </w:pPr>
      <w:r w:rsidRPr="00FB5890">
        <w:rPr>
          <w:rStyle w:val="EndnoteReference"/>
          <w:rFonts w:ascii="Times New Roman" w:hAnsi="Times New Roman" w:cs="Times New Roman"/>
          <w:sz w:val="20"/>
          <w:szCs w:val="20"/>
        </w:rPr>
        <w:endnoteRef/>
      </w:r>
      <w:r w:rsidRPr="00FB5890">
        <w:rPr>
          <w:rFonts w:ascii="Times New Roman" w:hAnsi="Times New Roman" w:cs="Times New Roman"/>
          <w:sz w:val="20"/>
          <w:szCs w:val="20"/>
        </w:rPr>
        <w:t xml:space="preserve"> </w:t>
      </w:r>
      <w:r w:rsidRPr="00FB5890">
        <w:rPr>
          <w:rFonts w:ascii="Times New Roman" w:hAnsi="Times New Roman" w:cs="Times New Roman"/>
          <w:color w:val="000000"/>
          <w:sz w:val="20"/>
          <w:szCs w:val="20"/>
        </w:rPr>
        <w:t>El Instituto O’Neill es una institución sin fines de lucro situada en la Facultad de Derecho de la Universidad de Georgetown en Washington, D.C., que opera como un proyecto conjunto de la Facultad de Derecho y de la Facultad de Enfermería y Estudios sobre la Salud y cuenta con importantes recursos intelectuales de otras áreas de la Universidad, incluyendo la Facultad de Medicina, la Facultad de Política Pública y el Instituto Kennedy de Ética. La misión del Instituto O’Neill consiste en proveer soluciones innovadoras a los problemas más críticos de salud a nivel doméstico y global. En este sentido, el Instituto O’Neill busca contribuir a un entendimiento más vigoroso y profundo de las múltiples maneras en las que el derecho, incluyendo los derechos humanos, puede ser utilizado para mejorar la salud.</w:t>
      </w:r>
    </w:p>
  </w:endnote>
  <w:endnote w:id="2">
    <w:p w14:paraId="7AA92120" w14:textId="1E4E8BD5"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i/>
        </w:rPr>
        <w:t>Véase</w:t>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{"citationID":"D7FbU9X1","properties":{"formattedCitation":"Comit\\uc0\\u233{} DESC, \\uc0\\u8216{}Lista de Cuestiones Relativas al Sexto Informe Peri\\uc0\\u243{}dico de El Salvador\\uc0\\u8217{} (2020) E/C.12/SLV/Q/6 para 22 &lt;https://tbinternet.ohchr.org/_layouts/15/treatybodyexternal/Download.aspx?symbolno=E%2fC.12%2fSLV%2fQ%2f6&amp;Lang=en&gt; accessed 24 August 2022.","plainCitation":"Comité DESC, ‘Lista de Cuestiones Relativas al Sexto Informe Periódico de El Salvador’ (2020) E/C.12/SLV/Q/6 para 22 &lt;https://tbinternet.ohchr.org/_layouts/15/treatybodyexternal/Download.aspx?symbolno=E%2fC.12%2fSLV%2fQ%2f6&amp;Lang=en&gt; accessed 24 August 2022.","noteIndex":2},"citationItems":[{"id":222,"uris":["http://zotero.org/users/9900632/items/68WI3CES"],"itemData":{"id":222,"type":"report","number":"E/C.12/SLV/Q/6","title":"Lista de cuestiones relativas al sexto informe periódico de El Salvador","URL":"https://tbinternet.ohchr.org/_layouts/15/treatybodyexternal/Download.aspx?symbolno=E%2fC.12%2fSLV%2fQ%2f6&amp;Lang=en","author":[{"family":"Comité DESC","given":""}],"accessed":{"date-parts":[["2022",8,24]]},"issued":{"date-parts":[["2020",11,5]]}},"locator":"22","label":"paragraph"}],"schema":"https://github.com/citation-style-language/schema/raw/master/csl-citation.json"}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Comité DESC, ‘Lista de Cuestiones Relativas al Sexto Informe Periódico de El Salvador’ (2020) E/C.12/SLV/Q/6 para 22 &lt;https://tbinternet.ohchr.org/_layouts/15/treatybodyexternal/Download.aspx?symbolno=E%2fC.12%2fSLV%2fQ%2f6&amp;Lang=en&gt; accessed 24 August 2022.</w:t>
      </w:r>
      <w:r w:rsidRPr="00FB5890">
        <w:rPr>
          <w:rFonts w:ascii="Times New Roman" w:hAnsi="Times New Roman" w:cs="Times New Roman"/>
        </w:rPr>
        <w:fldChar w:fldCharType="end"/>
      </w:r>
    </w:p>
  </w:endnote>
  <w:endnote w:id="3">
    <w:p w14:paraId="3A533F69" w14:textId="77777777" w:rsidR="0033456E" w:rsidRPr="00FB5890" w:rsidRDefault="0033456E" w:rsidP="00FB5890">
      <w:pPr>
        <w:spacing w:after="0" w:line="240" w:lineRule="auto"/>
        <w:jc w:val="both"/>
        <w:rPr>
          <w:rFonts w:ascii="Times New Roman" w:hAnsi="Times New Roman" w:cs="Times New Roman"/>
          <w:color w:val="000000" w:themeColor="text1"/>
          <w:sz w:val="20"/>
          <w:szCs w:val="20"/>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Según el art. 2.1, los Estados parte: “se compromete[n] a adoptar medidas […] hasta el máximo de los recursos de que disponga[n], para lograr progresivamente, por todos los medios apropiados, inclusive en particular la adopción de medidas legislativas, la plena efectividad de los derechos aquí reconocidos”.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{"citationID":"MtJhL3ld","properties":{"formattedCitation":"Pacto Internacional de Derechos Econ\\uc0\\u243{}micos, Sociales y Culturales 1966.","plainCitation":"Pacto Internacional de Derechos Económicos, Sociales y Culturales 1966.","noteIndex":6},"citationItems":[{"id":175,"uris":["http://zotero.org/users/9900632/items/LFCSTKWZ"],"itemData":{"id":175,"type":"legislation","title":"Pacto Internacional de Derechos Económicos, Sociales y Culturales","title-short":"PIDESC","URL":"http://hrlibrary.umn.edu/instree/b2esc.htm","volume":"GA, Res. 2200A (XXI), Doc. ONU A/6316, 993 U.N.T.S.3","accessed":{"date-parts":[["2022",8,18]]},"issued":{"date-parts":[["1966"]]}}}],"schema":"https://github.com/citation-style-language/schema/raw/master/csl-citation.json"}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Pacto Internacional de Derechos Económicos, Sociales y Culturales 1966.</w:t>
      </w:r>
      <w:r w:rsidRPr="00FB5890">
        <w:rPr>
          <w:rFonts w:ascii="Times New Roman" w:hAnsi="Times New Roman" w:cs="Times New Roman"/>
          <w:color w:val="000000" w:themeColor="text1"/>
          <w:sz w:val="20"/>
          <w:szCs w:val="20"/>
          <w:lang w:val="es-ES"/>
        </w:rPr>
        <w:fldChar w:fldCharType="end"/>
      </w:r>
      <w:r w:rsidRPr="00FB5890">
        <w:rPr>
          <w:rFonts w:ascii="Times New Roman" w:hAnsi="Times New Roman" w:cs="Times New Roman"/>
          <w:color w:val="000000" w:themeColor="text1"/>
          <w:sz w:val="20"/>
          <w:szCs w:val="20"/>
        </w:rPr>
        <w:t xml:space="preserve"> </w:t>
      </w:r>
      <w:r w:rsidRPr="00FB5890">
        <w:rPr>
          <w:rFonts w:ascii="Times New Roman" w:hAnsi="Times New Roman" w:cs="Times New Roman"/>
          <w:i/>
          <w:color w:val="000000" w:themeColor="text1"/>
          <w:sz w:val="20"/>
          <w:szCs w:val="20"/>
          <w:lang w:val="es-ES"/>
        </w:rPr>
        <w:t>Ver también</w:t>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{"citationID":"vullaCXM","properties":{"formattedCitation":"Comit\\uc0\\u233{} DESC, \\uc0\\u8216{}Observaci\\uc0\\u243{}n General No. 3, La \\uc0\\u205{}ndole de Las Obligaciones de Los Estados Partes\\uc0\\u8217{} (1990) E/1991/23 para 9 &lt;https://tbinternet.ohchr.org/_layouts/15/treatybodyexternal/Download.aspx?symbolno=INT%2fCESCR%2fGEC%2f4758&amp;Lang=en&gt;.","plainCitation":"Comité DESC, ‘Observación General No. 3, La Índole de Las Obligaciones de Los Estados Partes’ (1990) E/1991/23 para 9 &lt;https://tbinternet.ohchr.org/_layouts/15/treatybodyexternal/Download.aspx?symbolno=INT%2fCESCR%2fGEC%2f4758&amp;Lang=en&gt;.","noteIndex":6},"citationItems":[{"id":176,"uris":["http://zotero.org/users/9900632/items/ENX4BM5F"],"itemData":{"id":176,"type":"report","number":"E/1991/23","title":"Observación General No. 3, La índole de las obligaciones de los Estados Partes","URL":"https://tbinternet.ohchr.org/_layouts/15/treatybodyexternal/Download.aspx?symbolno=INT%2fCESCR%2fGEC%2f4758&amp;Lang=en","author":[{"family":"Comité DESC","given":""}],"issued":{"date-parts":[["1990"]]}},"locator":"9","label":"paragraph"}],"schema":"https://github.com/citation-style-language/schema/raw/master/csl-citation.json"}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DESC, ‘Observación General No. 3, La Índole de Las Obligaciones de Los Estados Partes’ (1990) E/1991/23 para 9 &lt;https://tbinternet.ohchr.org/_layouts/15/treatybodyexternal/Download.aspx?symbolno=INT%2fCESCR%2fGEC%2f4758&amp;Lang=en&gt;.</w:t>
      </w:r>
      <w:r w:rsidRPr="00FB5890">
        <w:rPr>
          <w:rFonts w:ascii="Times New Roman" w:hAnsi="Times New Roman" w:cs="Times New Roman"/>
          <w:color w:val="000000" w:themeColor="text1"/>
          <w:sz w:val="20"/>
          <w:szCs w:val="20"/>
          <w:lang w:val="es-ES"/>
        </w:rPr>
        <w:fldChar w:fldCharType="end"/>
      </w:r>
      <w:r w:rsidRPr="00FB5890">
        <w:rPr>
          <w:rFonts w:ascii="Times New Roman" w:hAnsi="Times New Roman" w:cs="Times New Roman"/>
          <w:color w:val="000000" w:themeColor="text1"/>
          <w:sz w:val="20"/>
          <w:szCs w:val="20"/>
          <w:lang w:val="es-ES"/>
        </w:rPr>
        <w:t xml:space="preserve"> (El concepto de progresiva efectividad constituye un reconocimiento del hecho de que la plena efectividad de todos los derechos económicos, sociales y culturales en general no podrá lograrse en un breve período de tiempo […]. Sin embargo, el hecho de que la efectividad a lo largo del tiempo, o en otras palabras progresivamente, se prevea en relación con el Pacto no se ha de interpretar equivocadamente como que priva a la obligación de todo contenido significativo […] la frase debe interpretarse a la luz del objetivo general […] que es establecer claras obligaciones para los Estados parte con respecto a la plena efectividad de los derechos de que se trata. Este impone así una obligación de proceder lo más expedita y eficazmente con miras a lograr ese objetivo.”)</w:t>
      </w:r>
    </w:p>
  </w:endnote>
  <w:endnote w:id="4">
    <w:p w14:paraId="569ED789" w14:textId="0B2114AF" w:rsidR="006D5B70" w:rsidRPr="00FB5890" w:rsidRDefault="006D5B70" w:rsidP="00FB5890">
      <w:pPr>
        <w:pStyle w:val="EndnoteText"/>
        <w:jc w:val="both"/>
        <w:rPr>
          <w:rFonts w:ascii="Times New Roman" w:hAnsi="Times New Roman" w:cs="Times New Roman"/>
          <w:lang w:val="es-ES"/>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lang w:val="es-ES"/>
        </w:rPr>
        <w:t xml:space="preserve">Naciones Unidas, Comité de Derechos Económicos, Sociales y Culturales, Observación General No. 3: La índole de las obligaciones de los </w:t>
      </w:r>
      <w:r w:rsidR="006F34EE" w:rsidRPr="00FB5890">
        <w:rPr>
          <w:rFonts w:ascii="Times New Roman" w:hAnsi="Times New Roman" w:cs="Times New Roman"/>
          <w:lang w:val="es-ES"/>
        </w:rPr>
        <w:t>Estados Parte</w:t>
      </w:r>
      <w:r w:rsidRPr="00FB5890">
        <w:rPr>
          <w:rFonts w:ascii="Times New Roman" w:hAnsi="Times New Roman" w:cs="Times New Roman"/>
          <w:lang w:val="es-ES"/>
        </w:rPr>
        <w:t xml:space="preserve"> (párrafo 1 del artículo 2 del Pacto), U.N. Doc. E/1991/23, Quinto Período de Sesiones (1990), párr. 9. </w:t>
      </w:r>
    </w:p>
  </w:endnote>
  <w:endnote w:id="5">
    <w:p w14:paraId="6D9BF1BD" w14:textId="54DE28BB" w:rsidR="006E22DC" w:rsidRPr="00FB5890" w:rsidRDefault="006E22DC" w:rsidP="00FB5890">
      <w:pPr>
        <w:pStyle w:val="EndnoteText"/>
        <w:jc w:val="both"/>
        <w:rPr>
          <w:rFonts w:ascii="Times New Roman" w:hAnsi="Times New Roman" w:cs="Times New Roman"/>
          <w:lang w:val="es-ES"/>
        </w:rPr>
      </w:pPr>
      <w:r w:rsidRPr="00FB5890">
        <w:rPr>
          <w:rStyle w:val="EndnoteReference"/>
          <w:rFonts w:ascii="Times New Roman" w:hAnsi="Times New Roman" w:cs="Times New Roman"/>
        </w:rPr>
        <w:endnoteRef/>
      </w:r>
      <w:r w:rsidRPr="00FB5890">
        <w:rPr>
          <w:rFonts w:ascii="Times New Roman" w:hAnsi="Times New Roman" w:cs="Times New Roman"/>
          <w:lang w:val="es-ES"/>
        </w:rPr>
        <w:t xml:space="preserve">Naciones Unidas, Comité de Derechos Económicos, Sociales y Culturales, Observación General No. 3: La índole de las obligaciones de los </w:t>
      </w:r>
      <w:r w:rsidR="006F34EE" w:rsidRPr="00FB5890">
        <w:rPr>
          <w:rFonts w:ascii="Times New Roman" w:hAnsi="Times New Roman" w:cs="Times New Roman"/>
          <w:lang w:val="es-ES"/>
        </w:rPr>
        <w:t>Estados Parte</w:t>
      </w:r>
      <w:r w:rsidRPr="00FB5890">
        <w:rPr>
          <w:rFonts w:ascii="Times New Roman" w:hAnsi="Times New Roman" w:cs="Times New Roman"/>
          <w:lang w:val="es-ES"/>
        </w:rPr>
        <w:t xml:space="preserve"> (párrafo 1 del artículo 2 del Pacto), U.N. Doc. E/1991/23, Quinto Período de Sesiones (1990), párr. 9. Véase también:</w:t>
      </w:r>
      <w:r w:rsidRPr="00FB5890">
        <w:rPr>
          <w:rFonts w:ascii="Times New Roman" w:hAnsi="Times New Roman" w:cs="Times New Roman"/>
        </w:rPr>
        <w:t xml:space="preserve"> </w:t>
      </w:r>
      <w:r w:rsidRPr="00FB5890">
        <w:rPr>
          <w:rFonts w:ascii="Times New Roman" w:hAnsi="Times New Roman" w:cs="Times New Roman"/>
          <w:color w:val="1D1C1D"/>
          <w:shd w:val="clear" w:color="auto" w:fill="FFFFFF"/>
          <w:lang w:val="es-ES"/>
        </w:rPr>
        <w:t xml:space="preserve">Naciones Unidas, Comité de Derechos Económicos, Sociales y Culturales, Declaración sobre la “Evaluación de la obligación de adoptar medidas hasta el ‘máximo de los recursos de que disponga’ de conformidad con un protocolo facultativo del Pacto”, E/C.12/2007/1, 38º Período de Sesiones, 21 de septiembre de 2007, párr. 10. </w:t>
      </w:r>
    </w:p>
  </w:endnote>
  <w:endnote w:id="6">
    <w:p w14:paraId="178CE75C" w14:textId="77ABADC3" w:rsidR="00020260" w:rsidRPr="00FB5890" w:rsidRDefault="00020260" w:rsidP="00FB5890">
      <w:pPr>
        <w:pStyle w:val="EndnoteText"/>
        <w:jc w:val="both"/>
        <w:rPr>
          <w:rFonts w:ascii="Times New Roman" w:hAnsi="Times New Roman" w:cs="Times New Roman"/>
          <w:lang w:val="es-ES"/>
        </w:rPr>
      </w:pPr>
      <w:r w:rsidRPr="00FB5890">
        <w:rPr>
          <w:rStyle w:val="EndnoteReference"/>
          <w:rFonts w:ascii="Times New Roman" w:hAnsi="Times New Roman" w:cs="Times New Roman"/>
        </w:rPr>
        <w:endnoteRef/>
      </w:r>
      <w:r w:rsidRPr="00FB5890">
        <w:rPr>
          <w:rFonts w:ascii="Times New Roman" w:hAnsi="Times New Roman" w:cs="Times New Roman"/>
        </w:rPr>
        <w:t xml:space="preserve"> Comité DESC, ‘Observación General No. 14, El Derecho al Disfrute Del Más Alto Nivel Posible de Salud’ (2000) </w:t>
      </w:r>
      <w:r w:rsidRPr="00FB5890">
        <w:rPr>
          <w:rFonts w:ascii="Times New Roman" w:hAnsi="Times New Roman" w:cs="Times New Roman"/>
          <w:color w:val="000000" w:themeColor="text1"/>
          <w:lang w:val="es-ES"/>
        </w:rPr>
        <w:fldChar w:fldCharType="begin"/>
      </w:r>
      <w:r w:rsidRPr="00FB5890">
        <w:rPr>
          <w:rFonts w:ascii="Times New Roman" w:hAnsi="Times New Roman" w:cs="Times New Roman"/>
          <w:color w:val="000000" w:themeColor="text1"/>
          <w:lang w:val="es-ES"/>
        </w:rPr>
        <w:instrText xml:space="preserve"> ADDIN ZOTERO_ITEM CSL_CITATION {"citationID":"thqf3xhZ","properties":{"formattedCitation":"Comit\\uc0\\u233{} DESC, \\uc0\\u8216{}Observaci\\uc0\\u243{}n General No. 14, El Derecho al Disfrute Del M\\uc0\\u225{}s Alto Nivel Posible de Salud\\uc0\\u8217{} (2000) E/C. 12/2000/4 para 48 &lt;https://www.acnur.org/fileadmin/Documentos/BDL/2001/1451.pdf&gt; accessed 18 August 2022.","plainCitation":"Comité DESC, ‘Observación General No. 14, El Derecho al Disfrute Del Más Alto Nivel Posible de Salud’ (2000) E/C. 12/2000/4 para 48 &lt;https://www.acnur.org/fileadmin/Documentos/BDL/2001/1451.pdf&gt; accessed 18 August 2022.","noteIndex":9},"citationItems":[{"id":179,"uris":["http://zotero.org/users/9900632/items/D5MBQHCA"],"itemData":{"id":179,"type":"report","number":"E/C.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DESC","given":""}],"accessed":{"date-parts":[["2022",8,18]]},"issued":{"date-parts":[["2000"]]}},"locator":"48","label":"paragraph"}],"schema":"https://github.com/citation-style-language/schema/raw/master/csl-citation.json"} </w:instrText>
      </w:r>
      <w:r w:rsidRPr="00FB5890">
        <w:rPr>
          <w:rFonts w:ascii="Times New Roman" w:hAnsi="Times New Roman" w:cs="Times New Roman"/>
          <w:color w:val="000000" w:themeColor="text1"/>
          <w:lang w:val="es-ES"/>
        </w:rPr>
        <w:fldChar w:fldCharType="separate"/>
      </w:r>
      <w:r w:rsidRPr="00FB5890">
        <w:rPr>
          <w:rFonts w:ascii="Times New Roman" w:hAnsi="Times New Roman" w:cs="Times New Roman"/>
        </w:rPr>
        <w:t>E/C. 12/2000/4 para 32 &lt;https://www.acnur.org/fileadmin/Documentos/BDL/2001/1451.pdf&gt; accessed 18 August 2022.</w:t>
      </w:r>
      <w:r w:rsidRPr="00FB5890">
        <w:rPr>
          <w:rFonts w:ascii="Times New Roman" w:hAnsi="Times New Roman" w:cs="Times New Roman"/>
          <w:color w:val="000000" w:themeColor="text1"/>
          <w:lang w:val="es-ES"/>
        </w:rPr>
        <w:fldChar w:fldCharType="end"/>
      </w:r>
    </w:p>
  </w:endnote>
  <w:endnote w:id="7">
    <w:p w14:paraId="1890A265" w14:textId="48AE7892" w:rsidR="00FB5890" w:rsidRPr="00FB5890" w:rsidRDefault="00FB5890" w:rsidP="00FB5890">
      <w:pPr>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sz w:val="20"/>
          <w:szCs w:val="20"/>
        </w:rPr>
        <w:endnoteRef/>
      </w:r>
      <w:r w:rsidRPr="00FB5890">
        <w:rPr>
          <w:rFonts w:ascii="Times New Roman" w:hAnsi="Times New Roman" w:cs="Times New Roman"/>
          <w:sz w:val="20"/>
          <w:szCs w:val="20"/>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{"citationID":"thqf3xhZ","properties":{"formattedCitation":"Comit\\uc0\\u233{} DESC, \\uc0\\u8216{}Observaci\\uc0\\u243{}n General No. 14, El Derecho al Disfrute Del M\\uc0\\u225{}s Alto Nivel Posible de Salud\\uc0\\u8217{} (2000) E/C. 12/2000/4 para 48 &lt;https://www.acnur.org/fileadmin/Documentos/BDL/2001/1451.pdf&gt; accessed 18 August 2022.","plainCitation":"Comité DESC, ‘Observación General No. 14, El Derecho al Disfrute Del Más Alto Nivel Posible de Salud’ (2000) E/C. 12/2000/4 para 48 &lt;https://www.acnur.org/fileadmin/Documentos/BDL/2001/1451.pdf&gt; accessed 18 August 2022.","noteIndex":9},"citationItems":[{"id":179,"uris":["http://zotero.org/users/9900632/items/D5MBQHCA"],"itemData":{"id":179,"type":"report","number":"E/C.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DESC","given":""}],"accessed":{"date-parts":[["2022",8,18]]},"issued":{"date-parts":[["2000"]]}},"locator":"48","label":"paragraph"}],"schema":"https://github.com/citation-style-language/schema/raw/master/csl-citation.json"}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DESC, ‘Observación General No. 14, El Derecho al Disfrute Del Más Alto Nivel Posible de Salud’ (2000) E/C. 12/2000/4 para 48 &lt;https://www.acnur.org/fileadmin/Documentos/BDL/2001/1451.pdf&gt; accessed 18 August 2022.</w:t>
      </w:r>
      <w:r w:rsidRPr="00FB5890">
        <w:rPr>
          <w:rFonts w:ascii="Times New Roman" w:hAnsi="Times New Roman" w:cs="Times New Roman"/>
          <w:color w:val="000000" w:themeColor="text1"/>
          <w:sz w:val="20"/>
          <w:szCs w:val="20"/>
          <w:lang w:val="es-ES"/>
        </w:rPr>
        <w:fldChar w:fldCharType="end"/>
      </w:r>
    </w:p>
  </w:endnote>
  <w:endnote w:id="8">
    <w:p w14:paraId="555DEC9A" w14:textId="76D11E5F" w:rsidR="00020260" w:rsidRPr="00FB5890" w:rsidRDefault="00020260"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{"citationID":"30pchHFY","properties":{"formattedCitation":"Comit\\uc0\\u233{} DESC, \\uc0\\u8216{}Observaci\\uc0\\u243{}n General No. 22, Relativa al Derecho a La Salud Sexual y Reproductiva\\uc0\\u8217{} (2016) E/C.12/GC/22 para 38 &lt;https://documents-dds-ny.un.org/doc/UNDOC/GEN/G16/089/35/PDF/G1608935.pdf?OpenElement&gt; accessed 18 August 2022.","plainCitation":"Comité DESC, ‘Observación General No. 22, Relativa al Derecho a La Salud Sexual y Reproductiva’ (2016) E/C.12/GC/22 para 38 &lt;https://documents-dds-ny.un.org/doc/UNDOC/GEN/G16/089/35/PDF/G1608935.pdf?OpenElement&gt; accessed 18 August 2022.","noteIndex":11},"citationItems":[{"id":181,"uris":["http://zotero.org/users/9900632/items/52HPY9GB"],"itemData":{"id":181,"type":"report","number":"E/C.12/GC/22","title":"Observación General No. 22, relativa al derecho a la salud sexual y reproductiva","URL":"https://documents-dds-ny.un.org/doc/UNDOC/GEN/G16/089/35/PDF/G1608935.pdf?OpenElement","author":[{"family":"Comité DESC","given":""}],"accessed":{"date-parts":[["2022",8,18]]},"issued":{"date-parts":[["2016"]]}},"locator":"38","label":"paragraph"}],"schema":"https://github.com/citation-style-language/schema/raw/master/csl-citation.json"}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Comité DESC, ‘Observación General No. 22, Relativa al Derecho a La Salud Sexual y Reproductiva’ (2016) E/C.12/GC/22 para 38 &lt;https://documents-dds-ny.un.org/doc/UNDOC/GEN/G16/089/35/PDF/G1608935.pdf?OpenElement&gt; accessed 18 August 2022.</w:t>
      </w:r>
      <w:r w:rsidRPr="00FB5890">
        <w:rPr>
          <w:rFonts w:ascii="Times New Roman" w:hAnsi="Times New Roman" w:cs="Times New Roman"/>
        </w:rPr>
        <w:fldChar w:fldCharType="end"/>
      </w:r>
    </w:p>
  </w:endnote>
  <w:endnote w:id="9">
    <w:p w14:paraId="54E02DA5" w14:textId="77777777" w:rsidR="00020260" w:rsidRPr="00FB5890" w:rsidRDefault="00020260" w:rsidP="00FB5890">
      <w:pPr>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sz w:val="20"/>
          <w:szCs w:val="20"/>
        </w:rPr>
        <w:endnoteRef/>
      </w:r>
      <w:r w:rsidRPr="00FB5890">
        <w:rPr>
          <w:rFonts w:ascii="Times New Roman" w:hAnsi="Times New Roman" w:cs="Times New Roman"/>
          <w:sz w:val="20"/>
          <w:szCs w:val="20"/>
        </w:rPr>
        <w:t xml:space="preserve"> Comité DESC, ‘Observación General No. 14, El Derecho al Disfrute Del Más Alto Nivel Posible de Salud’ (2000)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{"citationID":"thqf3xhZ","properties":{"formattedCitation":"Comit\\uc0\\u233{} DESC, \\uc0\\u8216{}Observaci\\uc0\\u243{}n General No. 14, El Derecho al Disfrute Del M\\uc0\\u225{}s Alto Nivel Posible de Salud\\uc0\\u8217{} (2000) E/C. 12/2000/4 para 48 &lt;https://www.acnur.org/fileadmin/Documentos/BDL/2001/1451.pdf&gt; accessed 18 August 2022.","plainCitation":"Comité DESC, ‘Observación General No. 14, El Derecho al Disfrute Del Más Alto Nivel Posible de Salud’ (2000) E/C. 12/2000/4 para 48 &lt;https://www.acnur.org/fileadmin/Documentos/BDL/2001/1451.pdf&gt; accessed 18 August 2022.","noteIndex":9},"citationItems":[{"id":179,"uris":["http://zotero.org/users/9900632/items/D5MBQHCA"],"itemData":{"id":179,"type":"report","number":"E/C.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DESC","given":""}],"accessed":{"date-parts":[["2022",8,18]]},"issued":{"date-parts":[["2000"]]}},"locator":"48","label":"paragraph"}],"schema":"https://github.com/citation-style-language/schema/raw/master/csl-citation.json"}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E/C. 12/2000/4 para 32 &lt;https://www.acnur.org/fileadmin/Documentos/BDL/2001/1451.pdf&gt; accessed 18 August 2022.</w:t>
      </w:r>
      <w:r w:rsidRPr="00FB5890">
        <w:rPr>
          <w:rFonts w:ascii="Times New Roman" w:hAnsi="Times New Roman" w:cs="Times New Roman"/>
          <w:color w:val="000000" w:themeColor="text1"/>
          <w:sz w:val="20"/>
          <w:szCs w:val="20"/>
          <w:lang w:val="es-ES"/>
        </w:rPr>
        <w:fldChar w:fldCharType="end"/>
      </w:r>
    </w:p>
  </w:endnote>
  <w:endnote w:id="10">
    <w:p w14:paraId="00E5FB04" w14:textId="77777777" w:rsidR="00257659" w:rsidRPr="00FB5890" w:rsidRDefault="00257659"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{"citationID":"bV88hM6b","properties":{"formattedCitation":"Comit\\uc0\\u233{} DESC, \\uc0\\u8216{}Observaci\\uc0\\u243{}n General No. 22, Relativa al Derecho a La Salud Sexual y Reproductiva\\uc0\\u8217{} (n 11) para 38.","plainCitation":"Comité DESC, ‘Observación General No. 22, Relativa al Derecho a La Salud Sexual y Reproductiva’ (n 11) para 38.","noteIndex":15},"citationItems":[{"id":181,"uris":["http://zotero.org/users/9900632/items/52HPY9GB"],"itemData":{"id":181,"type":"report","number":"E/C.12/GC/22","title":"Observación General No. 22, relativa al derecho a la salud sexual y reproductiva","URL":"https://documents-dds-ny.un.org/doc/UNDOC/GEN/G16/089/35/PDF/G1608935.pdf?OpenElement","author":[{"family":"Comité DESC","given":""}],"accessed":{"date-parts":[["2022",8,18]]},"issued":{"date-parts":[["2016"]]}},"locator":"38","label":"paragraph"}],"schema":"https://github.com/citation-style-language/schema/raw/master/csl-citation.json"}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Comité DESC, ‘Observación General No. 22, Relativa al Derecho a La Salud Sexual y Reproductiva’ (n 11) para 38.</w:t>
      </w:r>
      <w:r w:rsidRPr="00FB5890">
        <w:rPr>
          <w:rFonts w:ascii="Times New Roman" w:hAnsi="Times New Roman" w:cs="Times New Roman"/>
        </w:rPr>
        <w:fldChar w:fldCharType="end"/>
      </w:r>
    </w:p>
  </w:endnote>
  <w:endnote w:id="11">
    <w:p w14:paraId="11DB799C" w14:textId="77777777" w:rsidR="00257659" w:rsidRPr="00FB5890" w:rsidRDefault="00257659"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{"citationID":"UXlMMrTa","properties":{"formattedCitation":"ibid.","plainCitation":"ibid.","noteIndex":16},"citationItems":[{"id":181,"uris":["http://zotero.org/users/9900632/items/52HPY9GB"],"itemData":{"id":181,"type":"report","number":"E/C.12/GC/22","title":"Observación General No. 22, relativa al derecho a la salud sexual y reproductiva","URL":"https://documents-dds-ny.un.org/doc/UNDOC/GEN/G16/089/35/PDF/G1608935.pdf?OpenElement","author":[{"family":"Comité DESC","given":""}],"accessed":{"date-parts":[["2022",8,18]]},"issued":{"date-parts":[["2016"]]}},"locator":"38","label":"paragraph"}],"schema":"https://github.com/citation-style-language/schema/raw/master/csl-citation.json"}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w:t>
      </w:r>
      <w:r w:rsidRPr="00FB5890">
        <w:rPr>
          <w:rFonts w:ascii="Times New Roman" w:hAnsi="Times New Roman" w:cs="Times New Roman"/>
        </w:rPr>
        <w:fldChar w:fldCharType="end"/>
      </w:r>
    </w:p>
  </w:endnote>
  <w:endnote w:id="12">
    <w:p w14:paraId="13ACFBE4" w14:textId="0FEF2E2B"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{"citationID":"mh5g7EKJ","properties":{"formattedCitation":"{\\i{}Cuscul Pivaral y otros Vs Guatemala, Excepci\\uc0\\u243{}n Preliminar, Fondo, Reparaciones y Costas} (2018) Serie C No. 359 (Corte IDH) [143].","plainCitation":"Cuscul Pivaral y otros Vs Guatemala, Excepción Preliminar, Fondo, Reparaciones y Costas (2018) Serie C No. 359 (Corte IDH) [143].","noteIndex":4},"citationItems":[{"id":180,"uris":["http://zotero.org/users/9900632/items/3T4CVVZH"],"itemData":{"id":180,"type":"legal_case","authority":"Corte IDH","title":"Cuscul Pivaral y otros Vs. Guatemala, Excepción Preliminar, Fondo, Reparaciones y Costas","URL":"https://www.corteidh.or.cr/docs/casos/articulos/seriec_359_esp.pdf","volume":"Serie C No. 359","accessed":{"date-parts":[["2022",8,18]]},"issued":{"date-parts":[["2018"]],"season":"de agosto de"}},"locator":"143","label":"paragraph"}],"schema":"https://github.com/citation-style-language/schema/raw/master/csl-citation.json"}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i/>
          <w:iCs/>
        </w:rPr>
        <w:t>Cuscul Pivaral y otros Vs Guatemala, Excepción Preliminar, Fondo, Reparaciones y Costas</w:t>
      </w:r>
      <w:r w:rsidRPr="00FB5890">
        <w:rPr>
          <w:rFonts w:ascii="Times New Roman" w:hAnsi="Times New Roman" w:cs="Times New Roman"/>
        </w:rPr>
        <w:t xml:space="preserve"> (2018) Serie C No. 359 (Corte IDH) [143].</w:t>
      </w:r>
      <w:r w:rsidRPr="00FB5890">
        <w:rPr>
          <w:rFonts w:ascii="Times New Roman" w:hAnsi="Times New Roman" w:cs="Times New Roman"/>
        </w:rPr>
        <w:fldChar w:fldCharType="end"/>
      </w:r>
    </w:p>
  </w:endnote>
  <w:endnote w:id="13">
    <w:p w14:paraId="217407C5" w14:textId="7D894927" w:rsidR="00F6457C" w:rsidRPr="00FB5890" w:rsidRDefault="00F6457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i/>
          <w:iCs/>
        </w:rPr>
        <w:t>Vera Rojas y Otros Vs Chile, Excepciones preliminares, Fondo, Reparaciones y Costas</w:t>
      </w:r>
      <w:r w:rsidRPr="00FB5890">
        <w:rPr>
          <w:rFonts w:ascii="Times New Roman" w:hAnsi="Times New Roman" w:cs="Times New Roman"/>
        </w:rPr>
        <w:t xml:space="preserve"> (2021) Serie C No. 439 (Corte IDH)</w:t>
      </w:r>
    </w:p>
  </w:endnote>
  <w:endnote w:id="14">
    <w:p w14:paraId="0A2EC7B1" w14:textId="07AA54E3"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{"citationID":"10OPY74b","properties":{"formattedCitation":"{\\i{}Vera Rojas y Otros Vs Chile, Excepciones preliminares, Fondo, Reparaciones y Costas} (2021) Serie C No. 439 (Corte IDH) [96].","plainCitation":"Vera Rojas y Otros Vs Chile, Excepciones preliminares, Fondo, Reparaciones y Costas (2021) Serie C No. 439 (Corte IDH) [96].","noteIndex":8},"citationItems":[{"id":224,"uris":["http://zotero.org/users/9900632/items/IFSUXNAV"],"itemData":{"id":224,"type":"legal_case","authority":"Corte IDH","title":"Vera Rojas y Otros Vs. Chile, Excepciones preliminares, Fondo, Reparaciones y Costas","URL":"https://www.corteidh.or.cr/docs/casos/articulos/seriec_439_esp.pdf","volume":"Serie C No. 439","accessed":{"date-parts":[["2022",8,24]]},"issued":{"date-parts":[["2021",10,1]]}},"locator":"96","label":"paragraph"}],"schema":"https://github.com/citation-style-language/schema/raw/master/csl-citation.json"}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i/>
          <w:iCs/>
        </w:rPr>
        <w:t>Vera Rojas y Otros Vs Chile, Excepciones preliminares, Fondo, Reparaciones y Costas</w:t>
      </w:r>
      <w:r w:rsidRPr="00FB5890">
        <w:rPr>
          <w:rFonts w:ascii="Times New Roman" w:hAnsi="Times New Roman" w:cs="Times New Roman"/>
        </w:rPr>
        <w:t xml:space="preserve"> (2021) Serie C No. 439 (Corte IDH) [96].</w:t>
      </w:r>
      <w:r w:rsidRPr="00FB5890">
        <w:rPr>
          <w:rFonts w:ascii="Times New Roman" w:hAnsi="Times New Roman" w:cs="Times New Roman"/>
        </w:rPr>
        <w:fldChar w:fldCharType="end"/>
      </w:r>
    </w:p>
  </w:endnote>
  <w:endnote w:id="15">
    <w:p w14:paraId="115647B6" w14:textId="30716543" w:rsidR="00BB358C" w:rsidRPr="00FB5890" w:rsidRDefault="00BB358C" w:rsidP="00FB5890">
      <w:pPr>
        <w:pBdr>
          <w:top w:val="nil"/>
          <w:left w:val="nil"/>
          <w:bottom w:val="nil"/>
          <w:right w:val="nil"/>
          <w:between w:val="nil"/>
        </w:pBd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Asamblea Legislativa de El Salvador, 1973, Código Penal, artículo 169.</w:t>
      </w:r>
    </w:p>
  </w:endnote>
  <w:endnote w:id="16">
    <w:p w14:paraId="739D690E" w14:textId="4D24B493" w:rsidR="00A23D14" w:rsidRPr="00FB5890" w:rsidRDefault="00A23D14" w:rsidP="00FB5890">
      <w:pPr>
        <w:pStyle w:val="EndnoteText"/>
        <w:jc w:val="both"/>
        <w:rPr>
          <w:rFonts w:ascii="Times New Roman" w:hAnsi="Times New Roman" w:cs="Times New Roman"/>
          <w:lang w:val="es-ES_tradnl"/>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lang w:val="es-ES_tradnl"/>
        </w:rPr>
        <w:t>El Salvador firmó el PIDESC el 21 de septiembre de 1967</w:t>
      </w:r>
      <w:r w:rsidR="003F2858">
        <w:rPr>
          <w:rFonts w:ascii="Times New Roman" w:hAnsi="Times New Roman" w:cs="Times New Roman"/>
          <w:lang w:val="es-ES_tradnl"/>
        </w:rPr>
        <w:t xml:space="preserve"> y lo</w:t>
      </w:r>
      <w:r w:rsidRPr="00FB5890">
        <w:rPr>
          <w:rFonts w:ascii="Times New Roman" w:hAnsi="Times New Roman" w:cs="Times New Roman"/>
          <w:lang w:val="es-ES_tradnl"/>
        </w:rPr>
        <w:t xml:space="preserve"> ratificó </w:t>
      </w:r>
      <w:r w:rsidR="00AF66DD" w:rsidRPr="00FB5890">
        <w:rPr>
          <w:rFonts w:ascii="Times New Roman" w:hAnsi="Times New Roman" w:cs="Times New Roman"/>
          <w:lang w:val="es-ES_tradnl"/>
        </w:rPr>
        <w:t xml:space="preserve">el 30 de noviembre de 1979. </w:t>
      </w:r>
      <w:r w:rsidR="00BB1B04" w:rsidRPr="00FB5890">
        <w:rPr>
          <w:rFonts w:ascii="Times New Roman" w:hAnsi="Times New Roman" w:cs="Times New Roman"/>
          <w:lang w:val="es-ES_tradnl"/>
        </w:rPr>
        <w:t xml:space="preserve">Desde 2011, aceptó la competencia del Comité DESC para los mecanismos de consultas y denuncias. </w:t>
      </w:r>
    </w:p>
  </w:endnote>
  <w:endnote w:id="17">
    <w:p w14:paraId="318C7BE6" w14:textId="77777777" w:rsidR="00BB358C" w:rsidRPr="00FB5890" w:rsidRDefault="00BB358C" w:rsidP="00FB5890">
      <w:pPr>
        <w:pBdr>
          <w:top w:val="nil"/>
          <w:left w:val="nil"/>
          <w:bottom w:val="nil"/>
          <w:right w:val="nil"/>
          <w:between w:val="nil"/>
        </w:pBdr>
        <w:spacing w:after="0" w:line="240" w:lineRule="auto"/>
        <w:jc w:val="both"/>
        <w:rPr>
          <w:rFonts w:ascii="Times New Roman" w:hAnsi="Times New Roman" w:cs="Times New Roman"/>
          <w:color w:val="000000" w:themeColor="text1"/>
          <w:sz w:val="20"/>
          <w:szCs w:val="20"/>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rPr>
        <w:instrText xml:space="preserve"> ADDIN ZOTERO_ITEM CSL_CITATION {"citationID":"RFu08Ppi","properties":{"formattedCitation":"PIDESC no 12.2.d.","plainCitation":"PIDESC no 12.2.d.","noteIndex":19},"citationItems":[{"id":175,"uris":["http://zotero.org/users/9900632/items/LFCSTKWZ"],"itemData":{"id":175,"type":"legislation","title":"Pacto Internacional de Derechos Económicos, Sociales y Culturales","title-short":"PIDESC","URL":"http://hrlibrary.umn.edu/instree/b2esc.htm","volume":"GA, Res. 2200A (XXI), Doc. ONU A/6316, 993 U.N.T.S.3","accessed":{"date-parts":[["2022",8,18]]},"issued":{"date-parts":[["1966"]]}},"locator":"12.2.d","label":"issue"}],"schema":"https://github.com/citation-style-language/schema/raw/master/csl-citation.json"}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PIDESC no 12.2.d.</w:t>
      </w:r>
      <w:r w:rsidRPr="00FB5890">
        <w:rPr>
          <w:rFonts w:ascii="Times New Roman" w:hAnsi="Times New Roman" w:cs="Times New Roman"/>
          <w:color w:val="000000" w:themeColor="text1"/>
          <w:sz w:val="20"/>
          <w:szCs w:val="20"/>
          <w:lang w:val="es-ES"/>
        </w:rPr>
        <w:fldChar w:fldCharType="end"/>
      </w:r>
    </w:p>
  </w:endnote>
  <w:endnote w:id="18">
    <w:p w14:paraId="7579E4E4" w14:textId="77777777" w:rsidR="00BB358C" w:rsidRPr="00FB5890" w:rsidRDefault="00BB358C" w:rsidP="00FB5890">
      <w:pPr>
        <w:pBdr>
          <w:top w:val="nil"/>
          <w:left w:val="nil"/>
          <w:bottom w:val="nil"/>
          <w:right w:val="nil"/>
          <w:between w:val="nil"/>
        </w:pBd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{"citationID":"U3fnwuUI","properties":{"formattedCitation":"Comit\\uc0\\u233{} DESC, \\uc0\\u8216{}Observaci\\uc0\\u243{}n General No. 22, Relativa al Derecho a La Salud Sexual y Reproductiva\\uc0\\u8217{} (n 11) para 45.","plainCitation":"Comité DESC, ‘Observación General No. 22, Relativa al Derecho a La Salud Sexual y Reproductiva’ (n 11) para 45.","noteIndex":20},"citationItems":[{"id":181,"uris":["http://zotero.org/users/9900632/items/52HPY9GB"],"itemData":{"id":181,"type":"report","number":"E/C.12/GC/22","title":"Observación General No. 22, relativa al derecho a la salud sexual y reproductiva","URL":"https://documents-dds-ny.un.org/doc/UNDOC/GEN/G16/089/35/PDF/G1608935.pdf?OpenElement","author":[{"family":"Comité DESC","given":""}],"accessed":{"date-parts":[["2022",8,18]]},"issued":{"date-parts":[["2016"]]}},"locator":"45","label":"paragraph"}],"schema":"https://github.com/citation-style-language/schema/raw/master/csl-citation.json"}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DESC, ‘Observación General No. 22, Relativa al Derecho a La Salud Sexual y Reproductiva’ (n 11) para 45.</w:t>
      </w:r>
      <w:r w:rsidRPr="00FB5890">
        <w:rPr>
          <w:rFonts w:ascii="Times New Roman" w:hAnsi="Times New Roman" w:cs="Times New Roman"/>
          <w:color w:val="000000" w:themeColor="text1"/>
          <w:sz w:val="20"/>
          <w:szCs w:val="20"/>
          <w:lang w:val="es-ES"/>
        </w:rPr>
        <w:fldChar w:fldCharType="end"/>
      </w:r>
    </w:p>
  </w:endnote>
  <w:endnote w:id="19">
    <w:p w14:paraId="1A90FCB7" w14:textId="06E68622" w:rsidR="00B3732E" w:rsidRPr="00FB5890" w:rsidRDefault="00B3732E" w:rsidP="00FB5890">
      <w:pPr>
        <w:pStyle w:val="FootnoteText"/>
        <w:jc w:val="both"/>
        <w:rPr>
          <w:rFonts w:ascii="Times New Roman" w:hAnsi="Times New Roman" w:cs="Times New Roman"/>
          <w:color w:val="0563C1" w:themeColor="hyperlink"/>
          <w:u w:val="single"/>
          <w:lang w:val="es-CO"/>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lang w:val="es-CO"/>
        </w:rPr>
        <w:t xml:space="preserve">Comité DESC, </w:t>
      </w:r>
      <w:r w:rsidRPr="00FB5890">
        <w:rPr>
          <w:rFonts w:ascii="Times New Roman" w:hAnsi="Times New Roman" w:cs="Times New Roman"/>
          <w:i/>
          <w:lang w:val="es-CO"/>
        </w:rPr>
        <w:t>Observaciones finales sobre los informes periódicos tercero, cuarto y quinto combinados: El Salvador</w:t>
      </w:r>
      <w:r w:rsidRPr="00FB5890">
        <w:rPr>
          <w:rFonts w:ascii="Times New Roman" w:hAnsi="Times New Roman" w:cs="Times New Roman"/>
          <w:lang w:val="es-CO"/>
        </w:rPr>
        <w:t>, párr. 22, Doc. de la ONU E/C.12/SLV/CO/3-5 (2014)</w:t>
      </w:r>
      <w:r w:rsidRPr="00FB5890">
        <w:rPr>
          <w:rStyle w:val="Hyperlink"/>
          <w:rFonts w:ascii="Times New Roman" w:hAnsi="Times New Roman" w:cs="Times New Roman"/>
          <w:lang w:val="es-CO"/>
        </w:rPr>
        <w:t xml:space="preserve">. </w:t>
      </w:r>
    </w:p>
  </w:endnote>
  <w:endnote w:id="20">
    <w:p w14:paraId="3C64D42E" w14:textId="264DF35B" w:rsidR="00BB358C" w:rsidRPr="00FB5890" w:rsidRDefault="00BB358C" w:rsidP="00FB5890">
      <w:pPr>
        <w:pBdr>
          <w:top w:val="nil"/>
          <w:left w:val="nil"/>
          <w:bottom w:val="nil"/>
          <w:right w:val="nil"/>
          <w:between w:val="nil"/>
        </w:pBd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i/>
          <w:iCs/>
          <w:color w:val="000000" w:themeColor="text1"/>
          <w:sz w:val="20"/>
          <w:szCs w:val="20"/>
          <w:lang w:val="es-ES"/>
        </w:rPr>
        <w:t>Véanse, por ejemplo</w:t>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{"citationID":"iOHUORz7","properties":{"formattedCitation":"Comit\\uc0\\u233{} CEDAW, \\uc0\\u8216{}Informe Del Comit\\uc0\\u233{} CEDAW, 20 y 21 Periodo de Sesiones, Belice\\uc0\\u8217{} (1999) A/54/38 paras 56\\uc0\\u8211{}57 &lt;https://digitallibrary.un.org/record/286459?ln=es&gt; accessed 18 August 2022; Comit\\uc0\\u233{} CEDAW, \\uc0\\u8216{}Informe Del Comit\\uc0\\u233{} CEDAW, 20 y 21 Periodo de Sesiones, Chile\\uc0\\u8217{} (1999) A/54/38 para 228 &lt;https://digitallibrary.un.org/record/286459?ln=es&gt; accessed 18 August 2022; Comit\\uc0\\u233{} CEDAW, \\uc0\\u8216{}Informe Del Comit\\uc0\\u233{} CEDAW, 20 y 21 Periodo de Sesiones, Colombia\\uc0\\u8217{} (1999) A/54/38 para 393 &lt;https://digitallibrary.un.org/record/286459?ln=es&gt; accessed 18 August 2022; Comit\\uc0\\u233{} CEDAW, \\uc0\\u8216{}Informe Del Comit\\uc0\\u233{} CEDAW, 18 y 19 Periodo de Sesiones, Rep\\uc0\\u250{}blica Dominicana\\uc0\\u8217{} (1998) A/53/38 para 337 &lt;https://documents-dds-ny.un.org/doc/UNDOC/GEN/N98/256/62/PDF/N9825662.pdf?OpenElement&gt; accessed 18 August 2022.","plainCitation":"Comité CEDAW, ‘Informe Del Comité CEDAW, 20 y 21 Periodo de Sesiones, Belice’ (1999) A/54/38 paras 56–57 &lt;https://digitallibrary.un.org/record/286459?ln=es&gt; accessed 18 August 2022; Comité CEDAW, ‘Informe Del Comité CEDAW, 20 y 21 Periodo de Sesiones, Chile’ (1999) A/54/38 para 228 &lt;https://digitallibrary.un.org/record/286459?ln=es&gt; accessed 18 August 2022; Comité CEDAW, ‘Informe Del Comité CEDAW, 20 y 21 Periodo de Sesiones, Colombia’ (1999) A/54/38 para 393 &lt;https://digitallibrary.un.org/record/286459?ln=es&gt; accessed 18 August 2022; Comité CEDAW, ‘Informe Del Comité CEDAW, 18 y 19 Periodo de Sesiones, República Dominicana’ (1998) A/53/38 para 337 &lt;https://documents-dds-ny.un.org/doc/UNDOC/GEN/N98/256/62/PDF/N9825662.pdf?OpenElement&gt; accessed 18 August 2022.","noteIndex":24},"citationItems":[{"id":189,"uris":["http://zotero.org/users/9900632/items/W9LH9M7Z"],"itemData":{"id":189,"type":"report","number":"A/54/38","title":"Informe del Comité CEDAW, 20 y 21 periodo de sesiones, Belice","URL":"https://digitallibrary.un.org/record/286459?ln=es","author":[{"family":"Comité CEDAW","given":""}],"accessed":{"date-parts":[["2022",8,18]]},"issued":{"date-parts":[["1999"]]}},"locator":"56 -57","label":"paragraph"},{"id":190,"uris":["http://zotero.org/users/9900632/items/XF23TNKK"],"itemData":{"id":190,"type":"report","number":"A/54/38","title":"Informe del Comité CEDAW, 20 y 21 periodo de sesiones, Chile","URL":"https://digitallibrary.un.org/record/286459?ln=es","author":[{"family":"Comité CEDAW","given":""}],"accessed":{"date-parts":[["2022",8,18]]},"issued":{"date-parts":[["1999"]]}},"locator":"228","label":"paragraph"},{"id":191,"uris":["http://zotero.org/users/9900632/items/2LSYPWQS"],"itemData":{"id":191,"type":"report","number":"A/54/38","title":"Informe del Comité CEDAW, 20 y 21 periodo de sesiones, Colombia","URL":"https://digitallibrary.un.org/record/286459?ln=es","author":[{"family":"Comité CEDAW","given":""}],"accessed":{"date-parts":[["2022",8,18]]},"issued":{"date-parts":[["1999"]]}},"locator":"393","label":"paragraph"},{"id":192,"uris":["http://zotero.org/users/9900632/items/MTTEPP2V"],"itemData":{"id":192,"type":"report","number":"A/53/38","title":"Informe del Comité CEDAW, 18 y 19 periodo de sesiones, República Dominicana","URL":"https://documents-dds-ny.un.org/doc/UNDOC/GEN/N98/256/62/PDF/N9825662.pdf?OpenElement","author":[{"family":"Comité CEDAW","given":""}],"accessed":{"date-parts":[["2022",8,18]]},"issued":{"date-parts":[["1998"]]}},"locator":"337","label":"paragraph"}],"schema":"https://github.com/citation-style-language/schema/raw/master/csl-citation.json"}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CEDAW, ‘Informe Del Comité CEDAW, 20 y 21 Periodo de Sesiones, Belice’ (1999) A/54/38 paras 56–57 &lt;https://digitallibrary.un.org/record/286459?ln=es&gt; accessed 18 August 2022; Comité CEDAW, ‘Informe Del Comité CEDAW, 20 y 21 Periodo de Sesiones, Chile’ (1999) A/54/38 para 228 &lt;https://digitallibrary.un.org/record/286459?ln=es&gt; accessed 18 August 2022; Comité CEDAW, ‘Informe Del Comité CEDAW, 20 y 21 Periodo de Sesiones, Colombia’ (1999) A/54/38 para 393 &lt;https://digitallibrary.un.org/record/286459?ln=es&gt; accessed 18 August 2022; Comité CEDAW, ‘Informe Del Comité CEDAW, 18 y 19 Periodo de Sesiones, República Dominicana’ (1998) A/53/38 para 337 &lt;https://documents-dds-ny.un.org/doc/UNDOC/GEN/N98/256/62/PDF/N9825662.pdf?OpenElement&gt; accessed 18 August 2022.</w:t>
      </w:r>
      <w:r w:rsidRPr="00FB5890">
        <w:rPr>
          <w:rFonts w:ascii="Times New Roman" w:hAnsi="Times New Roman" w:cs="Times New Roman"/>
          <w:color w:val="000000" w:themeColor="text1"/>
          <w:sz w:val="20"/>
          <w:szCs w:val="20"/>
          <w:lang w:val="es-ES"/>
        </w:rPr>
        <w:fldChar w:fldCharType="end"/>
      </w:r>
    </w:p>
  </w:endnote>
  <w:endnote w:id="21">
    <w:p w14:paraId="032CC387" w14:textId="03847668"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{"citationID":"4A4bIKKo","properties":{"formattedCitation":"Anand Grover, Relator Especial del Consejo de and Derechos Humanos sobre el derecho a la salud, \\uc0\\u8216{}Informe Provisional Del Relator Especial Sobre El Derecho de Toda Persona al Disfrute Del M\\uc0\\u225{}s Alto Nivel Posible de Salud F\\uc0\\u237{}sica y Mental\\uc0\\u8217{} (2011) A/66/254 para 21 &lt;https://documents-dds-ny.un.org/doc/UNDOC/GEN/N11/443/61/PDF/N1144361.pdf?OpenElement&gt; accessed 18 August 2022.","plainCitation":"Anand Grover, Relator Especial del Consejo de and Derechos Humanos sobre el derecho a la salud, ‘Informe Provisional Del Relator Especial Sobre El Derecho de Toda Persona al Disfrute Del Más Alto Nivel Posible de Salud Física y Mental’ (2011) A/66/254 para 21 &lt;https://documents-dds-ny.un.org/doc/UNDOC/GEN/N11/443/61/PDF/N1144361.pdf?OpenElement&gt; accessed 18 August 2022.","noteIndex":25},"citationItems":[{"id":195,"uris":["http://zotero.org/users/9900632/items/AIBXPTLT"],"itemData":{"id":195,"type":"report","number":"A/66/254","title":"Informe provisional del relator especial sobre el derecho de toda persona al disfrute del más alto nivel posible de salud física y mental","URL":"https://documents-dds-ny.un.org/doc/UNDOC/GEN/N11/443/61/PDF/N1144361.pdf?OpenElement","author":[{"literal":"Anand Grover, Relator Especial del Consejo de"},{"literal":"Derechos Humanos sobre el derecho a la salud"}],"accessed":{"date-parts":[["2022",8,18]]},"issued":{"date-parts":[["2011",8,3]]}},"locator":"21","label":"paragraph"}],"schema":"https://github.com/citation-style-language/schema/raw/master/csl-citation.json"}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Anand Grover, Relator Especial del Consejo de and Derechos Humanos sobre el derecho a la salud, ‘Informe Provisional Del Relator Especial Sobre El Derecho de Toda Persona al Disfrute Del Más Alto Nivel Posible de Salud Física y Mental’ (2011) A/66/254 para 21 &lt;https://documents-dds-ny.un.org/doc/UNDOC/GEN/N11/443/61/PDF/N1144361.pdf?OpenElement&gt; accessed 18 August 2022.</w:t>
      </w:r>
      <w:r w:rsidRPr="00FB5890">
        <w:rPr>
          <w:rFonts w:ascii="Times New Roman" w:hAnsi="Times New Roman" w:cs="Times New Roman"/>
          <w:color w:val="000000" w:themeColor="text1"/>
          <w:sz w:val="20"/>
          <w:szCs w:val="20"/>
          <w:lang w:val="es-ES"/>
        </w:rPr>
        <w:fldChar w:fldCharType="end"/>
      </w:r>
    </w:p>
  </w:endnote>
  <w:endnote w:id="22">
    <w:p w14:paraId="47144409" w14:textId="5A0BE8EA"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{"citationID":"dQ6ZRUQl","properties":{"formattedCitation":"Comit\\uc0\\u233{} DESC, \\uc0\\u8216{}Observaci\\uc0\\u243{}n General No. 14, El Derecho al Disfrute Del M\\uc0\\u225{}s Alto Nivel Posible de Salud\\uc0\\u8217{} (n 9) para 32.","plainCitation":"Comité DESC, ‘Observación General No. 14, El Derecho al Disfrute Del Más Alto Nivel Posible de Salud’ (n 9) para 32.","noteIndex":26},"citationItems":[{"id":179,"uris":["http://zotero.org/users/9900632/items/D5MBQHCA"],"itemData":{"id":179,"type":"report","number":"E/C.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DESC","given":""}],"accessed":{"date-parts":[["2022",8,18]]},"issued":{"date-parts":[["2000"]]}},"locator":"32","label":"paragraph"}],"schema":"https://github.com/citation-style-language/schema/raw/master/csl-citation.json"}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DESC, ‘Observación General No. 14, El Derecho al Disfrute Del Más Alto Nivel Posible de Salud’ (n 9) para 32.</w:t>
      </w:r>
      <w:r w:rsidRPr="00FB5890">
        <w:rPr>
          <w:rFonts w:ascii="Times New Roman" w:hAnsi="Times New Roman" w:cs="Times New Roman"/>
          <w:color w:val="000000" w:themeColor="text1"/>
          <w:sz w:val="20"/>
          <w:szCs w:val="20"/>
          <w:lang w:val="es-ES"/>
        </w:rPr>
        <w:fldChar w:fldCharType="end"/>
      </w:r>
    </w:p>
  </w:endnote>
  <w:endnote w:id="23">
    <w:p w14:paraId="7E14CE5E" w14:textId="77777777"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Fonts w:ascii="Times New Roman" w:hAnsi="Times New Roman" w:cs="Times New Roman"/>
          <w:color w:val="000000" w:themeColor="text1"/>
          <w:sz w:val="20"/>
          <w:szCs w:val="20"/>
          <w:vertAlign w:val="superscript"/>
        </w:rPr>
        <w:endnoteRef/>
      </w:r>
      <w:r w:rsidRPr="00FB5890">
        <w:rPr>
          <w:rFonts w:ascii="Times New Roman" w:hAnsi="Times New Roman" w:cs="Times New Roman"/>
          <w:color w:val="000000" w:themeColor="text1"/>
          <w:sz w:val="20"/>
          <w:szCs w:val="20"/>
          <w:lang w:val="es-ES"/>
        </w:rPr>
        <w:t xml:space="preserve"> Asamblea Legislativa de El Salvador y Programa de las Naciones Unidas para el Desarrollo, Documentos básicos de la Nueva Normativa Penal, Exposición de Motivos del Código Penal, 3.4.d). Disponible en: </w:t>
      </w:r>
      <w:hyperlink r:id="rId1">
        <w:r w:rsidRPr="00FB5890">
          <w:rPr>
            <w:rFonts w:ascii="Times New Roman" w:hAnsi="Times New Roman" w:cs="Times New Roman"/>
            <w:color w:val="000000" w:themeColor="text1"/>
            <w:sz w:val="20"/>
            <w:szCs w:val="20"/>
            <w:u w:val="single"/>
            <w:lang w:val="es-ES"/>
          </w:rPr>
          <w:t>http://www.csj.gob.sv/BVirtual.nsf/0/7d642e135de21c7306256b41006f5d81?OpenDocument</w:t>
        </w:r>
      </w:hyperlink>
    </w:p>
  </w:endnote>
  <w:endnote w:id="24">
    <w:p w14:paraId="3541528D" w14:textId="44AF7D1F" w:rsidR="0009663C" w:rsidRPr="00FB5890" w:rsidRDefault="0009663C" w:rsidP="00FB5890">
      <w:pPr>
        <w:pStyle w:val="FootnoteText"/>
        <w:jc w:val="both"/>
        <w:rPr>
          <w:rFonts w:ascii="Times New Roman" w:hAnsi="Times New Roman" w:cs="Times New Roman"/>
          <w:lang w:val="es-AR"/>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003D5A03">
        <w:rPr>
          <w:rFonts w:ascii="Times New Roman" w:hAnsi="Times New Roman" w:cs="Times New Roman"/>
        </w:rPr>
        <w:t xml:space="preserve">Corte IDH, </w:t>
      </w:r>
      <w:r w:rsidRPr="00FB5890">
        <w:rPr>
          <w:rFonts w:ascii="Times New Roman" w:hAnsi="Times New Roman" w:cs="Times New Roman"/>
          <w:lang w:val="es-ES"/>
        </w:rPr>
        <w:t>Manuela y Otros vs. El Salvador</w:t>
      </w:r>
      <w:r w:rsidR="003D5A03">
        <w:rPr>
          <w:rFonts w:ascii="Times New Roman" w:hAnsi="Times New Roman" w:cs="Times New Roman"/>
          <w:lang w:val="es-ES"/>
        </w:rPr>
        <w:t xml:space="preserve">, </w:t>
      </w:r>
      <w:r w:rsidRPr="00FB5890">
        <w:rPr>
          <w:rFonts w:ascii="Times New Roman" w:hAnsi="Times New Roman" w:cs="Times New Roman"/>
          <w:lang w:val="es-ES"/>
        </w:rPr>
        <w:t xml:space="preserve">Excepciones Preliminares, Fondo, Reparaciones y Costas. Sentencia de 2 de noviembre de 2021, </w:t>
      </w:r>
      <w:r w:rsidR="00BF7710" w:rsidRPr="00FB5890">
        <w:rPr>
          <w:rFonts w:ascii="Times New Roman" w:hAnsi="Times New Roman" w:cs="Times New Roman"/>
          <w:lang w:val="es-ES"/>
        </w:rPr>
        <w:t xml:space="preserve">párrs. 253, 254 y </w:t>
      </w:r>
      <w:r w:rsidRPr="00FB5890">
        <w:rPr>
          <w:rFonts w:ascii="Times New Roman" w:hAnsi="Times New Roman" w:cs="Times New Roman"/>
          <w:lang w:val="es-ES"/>
        </w:rPr>
        <w:t>Voto razonado concurrente del Juez Ricardo C. Pérez Manrique</w:t>
      </w:r>
      <w:r w:rsidRPr="00FB5890">
        <w:rPr>
          <w:rFonts w:ascii="Times New Roman" w:hAnsi="Times New Roman" w:cs="Times New Roman"/>
          <w:lang w:val="es-AR"/>
        </w:rPr>
        <w:t>.</w:t>
      </w:r>
    </w:p>
  </w:endnote>
  <w:endnote w:id="25">
    <w:p w14:paraId="09EAC0C3" w14:textId="3E7A0125" w:rsidR="00BB358C" w:rsidRPr="00FB5890" w:rsidRDefault="00BB358C" w:rsidP="00FB5890">
      <w:pPr>
        <w:spacing w:after="0" w:line="240" w:lineRule="auto"/>
        <w:jc w:val="both"/>
        <w:rPr>
          <w:rFonts w:ascii="Times New Roman" w:hAnsi="Times New Roman" w:cs="Times New Roman"/>
          <w:sz w:val="20"/>
          <w:szCs w:val="20"/>
        </w:rPr>
      </w:pPr>
      <w:r w:rsidRPr="00FB5890">
        <w:rPr>
          <w:rStyle w:val="EndnoteReference"/>
          <w:rFonts w:ascii="Times New Roman" w:hAnsi="Times New Roman" w:cs="Times New Roman"/>
          <w:sz w:val="20"/>
          <w:szCs w:val="20"/>
        </w:rPr>
        <w:endnoteRef/>
      </w:r>
      <w:r w:rsidRPr="00FB5890">
        <w:rPr>
          <w:rFonts w:ascii="Times New Roman" w:hAnsi="Times New Roman" w:cs="Times New Roman"/>
          <w:sz w:val="20"/>
          <w:szCs w:val="20"/>
        </w:rPr>
        <w:t xml:space="preserve"> </w:t>
      </w:r>
      <w:r w:rsidRPr="00FB5890">
        <w:rPr>
          <w:rFonts w:ascii="Times New Roman" w:hAnsi="Times New Roman" w:cs="Times New Roman"/>
          <w:sz w:val="20"/>
          <w:szCs w:val="20"/>
        </w:rPr>
        <w:fldChar w:fldCharType="begin"/>
      </w:r>
      <w:r w:rsidRPr="00FB5890">
        <w:rPr>
          <w:rFonts w:ascii="Times New Roman" w:hAnsi="Times New Roman" w:cs="Times New Roman"/>
          <w:sz w:val="20"/>
          <w:szCs w:val="20"/>
        </w:rPr>
        <w:instrText xml:space="preserve"> ADDIN ZOTERO_ITEM CSL_CITATION {"citationID":"pdyenJyc","properties":{"formattedCitation":"ibid 12.","plainCitation":"ibid 12.","noteIndex":29},"citationItems":[{"id":179,"uris":["http://zotero.org/users/9900632/items/D5MBQHCA"],"itemData":{"id":179,"type":"report","number":"E/C.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DESC","given":""}],"accessed":{"date-parts":[["2022",8,18]]},"issued":{"date-parts":[["2000"]]}},"locator":"12","label":"paragraph"}],"schema":"https://github.com/citation-style-language/schema/raw/master/csl-citation.json"} </w:instrText>
      </w:r>
      <w:r w:rsidRPr="00FB5890">
        <w:rPr>
          <w:rFonts w:ascii="Times New Roman" w:hAnsi="Times New Roman" w:cs="Times New Roman"/>
          <w:sz w:val="20"/>
          <w:szCs w:val="20"/>
        </w:rPr>
        <w:fldChar w:fldCharType="separate"/>
      </w:r>
      <w:r w:rsidRPr="00FB5890">
        <w:rPr>
          <w:rFonts w:ascii="Times New Roman" w:hAnsi="Times New Roman" w:cs="Times New Roman"/>
          <w:sz w:val="20"/>
          <w:szCs w:val="20"/>
        </w:rPr>
        <w:t>ibid 12.</w:t>
      </w:r>
      <w:r w:rsidRPr="00FB5890">
        <w:rPr>
          <w:rFonts w:ascii="Times New Roman" w:hAnsi="Times New Roman" w:cs="Times New Roman"/>
          <w:sz w:val="20"/>
          <w:szCs w:val="20"/>
        </w:rPr>
        <w:fldChar w:fldCharType="end"/>
      </w:r>
    </w:p>
  </w:endnote>
  <w:endnote w:id="26">
    <w:p w14:paraId="2FBE99CE" w14:textId="144F0EFD" w:rsidR="00BB358C" w:rsidRPr="00FB5890" w:rsidRDefault="00BB358C" w:rsidP="00FB5890">
      <w:pPr>
        <w:pStyle w:val="EndnoteText"/>
        <w:jc w:val="both"/>
        <w:rPr>
          <w:rFonts w:ascii="Times New Roman" w:hAnsi="Times New Roman" w:cs="Times New Roman"/>
          <w:color w:val="000000" w:themeColor="text1"/>
          <w:lang w:val="es-ES"/>
        </w:rPr>
      </w:pPr>
      <w:r w:rsidRPr="00FB5890">
        <w:rPr>
          <w:rStyle w:val="EndnoteReference"/>
          <w:rFonts w:ascii="Times New Roman" w:hAnsi="Times New Roman" w:cs="Times New Roman"/>
          <w:color w:val="000000" w:themeColor="text1"/>
        </w:rPr>
        <w:endnoteRef/>
      </w:r>
      <w:r w:rsidRPr="00FB5890">
        <w:rPr>
          <w:rFonts w:ascii="Times New Roman" w:hAnsi="Times New Roman" w:cs="Times New Roman"/>
          <w:color w:val="000000" w:themeColor="text1"/>
          <w:lang w:val="es-ES"/>
        </w:rPr>
        <w:t xml:space="preserve"> </w:t>
      </w:r>
      <w:r w:rsidRPr="00FB5890">
        <w:rPr>
          <w:rFonts w:ascii="Times New Roman" w:hAnsi="Times New Roman" w:cs="Times New Roman"/>
          <w:color w:val="000000" w:themeColor="text1"/>
          <w:lang w:val="es-ES"/>
        </w:rPr>
        <w:fldChar w:fldCharType="begin"/>
      </w:r>
      <w:r w:rsidRPr="00FB5890">
        <w:rPr>
          <w:rFonts w:ascii="Times New Roman" w:hAnsi="Times New Roman" w:cs="Times New Roman"/>
          <w:color w:val="000000" w:themeColor="text1"/>
          <w:lang w:val="es-ES"/>
        </w:rPr>
        <w:instrText xml:space="preserve"> ADDIN ZOTERO_ITEM CSL_CITATION {"citationID":"IkCi6Xq4","properties":{"formattedCitation":"ibid 12, c).","plainCitation":"ibid 12, c).","noteIndex":30},"citationItems":[{"id":179,"uris":["http://zotero.org/users/9900632/items/D5MBQHCA"],"itemData":{"id":179,"type":"report","number":"E/C.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 c)","label":"paragraph"}],"schema":"https://github.com/citation-style-language/schema/raw/master/csl-citation.json"} </w:instrText>
      </w:r>
      <w:r w:rsidRPr="00FB5890">
        <w:rPr>
          <w:rFonts w:ascii="Times New Roman" w:hAnsi="Times New Roman" w:cs="Times New Roman"/>
          <w:color w:val="000000" w:themeColor="text1"/>
          <w:lang w:val="es-ES"/>
        </w:rPr>
        <w:fldChar w:fldCharType="separate"/>
      </w:r>
      <w:r w:rsidRPr="00FB5890">
        <w:rPr>
          <w:rFonts w:ascii="Times New Roman" w:hAnsi="Times New Roman" w:cs="Times New Roman"/>
        </w:rPr>
        <w:t>ibid 12, c).</w:t>
      </w:r>
      <w:r w:rsidRPr="00FB5890">
        <w:rPr>
          <w:rFonts w:ascii="Times New Roman" w:hAnsi="Times New Roman" w:cs="Times New Roman"/>
          <w:color w:val="000000" w:themeColor="text1"/>
          <w:lang w:val="es-ES"/>
        </w:rPr>
        <w:fldChar w:fldCharType="end"/>
      </w:r>
    </w:p>
  </w:endnote>
  <w:endnote w:id="27">
    <w:p w14:paraId="2A3F0391" w14:textId="3AFE06B2"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color w:val="000000" w:themeColor="text1"/>
          <w:sz w:val="20"/>
          <w:szCs w:val="20"/>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{"citationID":"ZzzLzsyc","properties":{"formattedCitation":"ibid.","plainCitation":"ibid.","noteIndex":31},"citationItems":[{"id":179,"uris":["http://zotero.org/users/9900632/items/D5MBQHCA"],"itemData":{"id":179,"type":"report","number":"E/C.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 c)","label":"paragraph"}],"schema":"https://github.com/citation-style-language/schema/raw/master/csl-citation.json"}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ibid.</w:t>
      </w:r>
      <w:r w:rsidRPr="00FB5890">
        <w:rPr>
          <w:rFonts w:ascii="Times New Roman" w:hAnsi="Times New Roman" w:cs="Times New Roman"/>
          <w:color w:val="000000" w:themeColor="text1"/>
          <w:sz w:val="20"/>
          <w:szCs w:val="20"/>
          <w:lang w:val="es-ES"/>
        </w:rPr>
        <w:fldChar w:fldCharType="end"/>
      </w:r>
      <w:r w:rsidRPr="00FB5890">
        <w:rPr>
          <w:rFonts w:ascii="Times New Roman" w:hAnsi="Times New Roman" w:cs="Times New Roman"/>
          <w:i/>
          <w:iCs/>
          <w:color w:val="000000" w:themeColor="text1"/>
          <w:sz w:val="20"/>
          <w:szCs w:val="20"/>
          <w:lang w:val="es-ES"/>
        </w:rPr>
        <w:t>Véase</w:t>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{"citationID":"bPXAT189","properties":{"formattedCitation":"Comit\\uc0\\u233{}  de los Derechos del Ni\\uc0\\u241{}o, \\uc0\\u8216{}Observaci\\uc0\\u243{}n General No. 4, La Salud y El Desarrollo de Los Adolescentes En El Contexto de La Covnenci\\uc0\\u243{}n Sobre Los Derechos Del Ni\\uc0\\u241{}o\\uc0\\u8217{} (2003) CRC/GC/2003/4 paras 41, b) &lt;https://documents-dds-ny.un.org/doc/UNDOC/GEN/G03/427/27/PDF/G0342727.pdf?OpenElement&gt; accessed 18 August 2022; Comit\\uc0\\u233{}  de los Derechos del Ni\\uc0\\u241{}o, \\uc0\\u8216{}Observaci\\uc0\\u243{}n General No. 3, El VIH/SIDA y Los Derechos Del Ni\\uc0\\u241{}o\\uc0\\u8217{} (20003) CRC/GC/2003/3 para 38 &lt;https://tbinternet.ohchr.org/_layouts/15/treatybodyexternal/Download.aspx?symbolno=CRC%2fGC%2f2003%2f3&amp;Lang=en&gt; accessed 18 August 2022.","plainCitation":"Comité  de los Derechos del Niño, ‘Observación General No. 4, La Salud y El Desarrollo de Los Adolescentes En El Contexto de La Covnención Sobre Los Derechos Del Niño’ (2003) CRC/GC/2003/4 paras 41, b) &lt;https://documents-dds-ny.un.org/doc/UNDOC/GEN/G03/427/27/PDF/G0342727.pdf?OpenElement&gt; accessed 18 August 2022; Comité  de los Derechos del Niño, ‘Observación General No. 3, El VIH/SIDA y Los Derechos Del Niño’ (20003) CRC/GC/2003/3 para 38 &lt;https://tbinternet.ohchr.org/_layouts/15/treatybodyexternal/Download.aspx?symbolno=CRC%2fGC%2f2003%2f3&amp;Lang=en&gt; accessed 18 August 2022.","noteIndex":31},"citationItems":[{"id":196,"uris":["http://zotero.org/users/9900632/items/R4L9D6YR"],"itemData":{"id":196,"type":"report","number":"CRC/GC/2003/4","title":"Observación General No. 4, La salud y el desarrollo de los adolescentes en el contexto de la Covnención sobre los Derechos del Niño","URL":"https://documents-dds-ny.un.org/doc/UNDOC/GEN/G03/427/27/PDF/G0342727.pdf?OpenElement","author":[{"family":"Comité  de los Derechos del Niño","given":""}],"accessed":{"date-parts":[["2022",8,18]]},"issued":{"date-parts":[["2003"]]}},"locator":"41, b)","label":"paragraph"},{"id":197,"uris":["http://zotero.org/users/9900632/items/L6K997Y7"],"itemData":{"id":197,"type":"report","number":"CRC/GC/2003/3","title":"Observación General No. 3, El VIH/SIDA y los derechos del niño","URL":"https://tbinternet.ohchr.org/_layouts/15/treatybodyexternal/Download.aspx?symbolno=CRC%2fGC%2f2003%2f3&amp;Lang=en","author":[{"family":"Comité  de los Derechos del Niño","given":""}],"accessed":{"date-parts":[["2022",8,18]]},"issued":{"literal":"20003"}},"locator":"38","label":"paragraph"}],"schema":"https://github.com/citation-style-language/schema/raw/master/csl-citation.json"}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 los Derechos del Niño, ‘Observación General No. 4, La Salud y El Desarrollo de Los Adolescentes En El Contexto de La Covnención Sobre Los Derechos Del Niño’ (2003) CRC/GC/2003/4 paras 41, b) &lt;https://documents-dds-ny.un.org/doc/UNDOC/GEN/G03/427/27/PDF/G0342727.pdf?OpenElement&gt; accessed 18 August 2022; Comité  de los Derechos del Niño, ‘Observación General No. 3, El VIH/SIDA y Los Derechos Del Niño’ (20003) CRC/GC/2003/3 para 38 &lt;https://tbinternet.ohchr.org/_layouts/15/treatybodyexternal/Download.aspx?symbolno=CRC%2fGC%2f2003%2f3&amp;Lang=en&gt; accessed 18 August 2022.</w:t>
      </w:r>
      <w:r w:rsidRPr="00FB5890">
        <w:rPr>
          <w:rFonts w:ascii="Times New Roman" w:hAnsi="Times New Roman" w:cs="Times New Roman"/>
          <w:color w:val="000000" w:themeColor="text1"/>
          <w:sz w:val="20"/>
          <w:szCs w:val="20"/>
          <w:lang w:val="es-ES"/>
        </w:rPr>
        <w:fldChar w:fldCharType="end"/>
      </w:r>
    </w:p>
  </w:endnote>
  <w:endnote w:id="28">
    <w:p w14:paraId="01355657" w14:textId="586DF9C5" w:rsidR="00BB358C" w:rsidRPr="00FB5890" w:rsidRDefault="00BB358C" w:rsidP="00FB5890">
      <w:pPr>
        <w:pStyle w:val="EndnoteText"/>
        <w:jc w:val="both"/>
        <w:rPr>
          <w:rFonts w:ascii="Times New Roman" w:hAnsi="Times New Roman" w:cs="Times New Roman"/>
          <w:color w:val="000000" w:themeColor="text1"/>
          <w:lang w:val="es-ES"/>
        </w:rPr>
      </w:pPr>
      <w:r w:rsidRPr="00FB5890">
        <w:rPr>
          <w:rStyle w:val="EndnoteReference"/>
          <w:rFonts w:ascii="Times New Roman" w:hAnsi="Times New Roman" w:cs="Times New Roman"/>
          <w:color w:val="000000" w:themeColor="text1"/>
        </w:rPr>
        <w:endnoteRef/>
      </w:r>
      <w:r w:rsidRPr="00FB5890">
        <w:rPr>
          <w:rFonts w:ascii="Times New Roman" w:hAnsi="Times New Roman" w:cs="Times New Roman"/>
          <w:color w:val="000000" w:themeColor="text1"/>
          <w:lang w:val="es-ES"/>
        </w:rPr>
        <w:t xml:space="preserve"> </w:t>
      </w:r>
      <w:r w:rsidRPr="00FB5890">
        <w:rPr>
          <w:rFonts w:ascii="Times New Roman" w:hAnsi="Times New Roman" w:cs="Times New Roman"/>
          <w:color w:val="000000" w:themeColor="text1"/>
          <w:lang w:val="es-ES"/>
        </w:rPr>
        <w:fldChar w:fldCharType="begin"/>
      </w:r>
      <w:r w:rsidRPr="00FB5890">
        <w:rPr>
          <w:rFonts w:ascii="Times New Roman" w:hAnsi="Times New Roman" w:cs="Times New Roman"/>
          <w:color w:val="000000" w:themeColor="text1"/>
          <w:lang w:val="es-ES"/>
        </w:rPr>
        <w:instrText xml:space="preserve"> ADDIN ZOTERO_ITEM CSL_CITATION {"citationID":"w9evHV7h","properties":{"formattedCitation":"Comit\\uc0\\u233{} DESC, \\uc0\\u8216{}Observaci\\uc0\\u243{}n General No. 14, El Derecho al Disfrute Del M\\uc0\\u225{}s Alto Nivel Posible de Salud\\uc0\\u8217{} (n 9) paras 12, c).","plainCitation":"Comité DESC, ‘Observación General No. 14, El Derecho al Disfrute Del Más Alto Nivel Posible de Salud’ (n 9) paras 12, c).","noteIndex":32},"citationItems":[{"id":179,"uris":["http://zotero.org/users/9900632/items/D5MBQHCA"],"itemData":{"id":179,"type":"report","number":"E/C.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 c)","label":"paragraph"}],"schema":"https://github.com/citation-style-language/schema/raw/master/csl-citation.json"} </w:instrText>
      </w:r>
      <w:r w:rsidRPr="00FB5890">
        <w:rPr>
          <w:rFonts w:ascii="Times New Roman" w:hAnsi="Times New Roman" w:cs="Times New Roman"/>
          <w:color w:val="000000" w:themeColor="text1"/>
          <w:lang w:val="es-ES"/>
        </w:rPr>
        <w:fldChar w:fldCharType="separate"/>
      </w:r>
      <w:r w:rsidRPr="00FB5890">
        <w:rPr>
          <w:rFonts w:ascii="Times New Roman" w:hAnsi="Times New Roman" w:cs="Times New Roman"/>
        </w:rPr>
        <w:t>Comité DESC, ‘Observación General No. 14, El Derecho al Disfrute Del Más Alto Nivel Posible de Salud’ (n 9) paras 12, c).</w:t>
      </w:r>
      <w:r w:rsidRPr="00FB5890">
        <w:rPr>
          <w:rFonts w:ascii="Times New Roman" w:hAnsi="Times New Roman" w:cs="Times New Roman"/>
          <w:color w:val="000000" w:themeColor="text1"/>
          <w:lang w:val="es-ES"/>
        </w:rPr>
        <w:fldChar w:fldCharType="end"/>
      </w:r>
    </w:p>
  </w:endnote>
  <w:endnote w:id="29">
    <w:p w14:paraId="68854DF1" w14:textId="5FE2C5C1" w:rsidR="00BB358C" w:rsidRPr="00FB5890" w:rsidRDefault="00BB358C" w:rsidP="00FB5890">
      <w:pPr>
        <w:pStyle w:val="NormalWeb"/>
        <w:spacing w:before="0" w:beforeAutospacing="0" w:after="0" w:afterAutospacing="0"/>
        <w:jc w:val="both"/>
        <w:rPr>
          <w:color w:val="000000" w:themeColor="text1"/>
          <w:sz w:val="20"/>
          <w:szCs w:val="20"/>
        </w:rPr>
      </w:pPr>
      <w:r w:rsidRPr="00FB5890">
        <w:rPr>
          <w:rStyle w:val="EndnoteReference"/>
          <w:color w:val="000000" w:themeColor="text1"/>
          <w:sz w:val="20"/>
          <w:szCs w:val="20"/>
        </w:rPr>
        <w:endnoteRef/>
      </w:r>
      <w:r w:rsidRPr="00FB5890">
        <w:rPr>
          <w:color w:val="000000" w:themeColor="text1"/>
          <w:sz w:val="20"/>
          <w:szCs w:val="20"/>
        </w:rPr>
        <w:t xml:space="preserve"> </w:t>
      </w:r>
      <w:r w:rsidRPr="00FB5890">
        <w:rPr>
          <w:color w:val="000000" w:themeColor="text1"/>
          <w:sz w:val="20"/>
          <w:szCs w:val="20"/>
          <w:lang w:val="es-ES"/>
        </w:rPr>
        <w:fldChar w:fldCharType="begin"/>
      </w:r>
      <w:r w:rsidRPr="00FB5890">
        <w:rPr>
          <w:color w:val="000000" w:themeColor="text1"/>
          <w:sz w:val="20"/>
          <w:szCs w:val="20"/>
        </w:rPr>
        <w:instrText xml:space="preserve"> ADDIN ZOTERO_ITEM CSL_CITATION {"citationID":"J3aaU7iz","properties":{"formattedCitation":"ibid 12.","plainCitation":"ibid 12.","noteIndex":33},"citationItems":[{"id":179,"uris":["http://zotero.org/users/9900632/items/D5MBQHCA"],"itemData":{"id":179,"type":"report","number":"E/C.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DESC","given":""}],"accessed":{"date-parts":[["2022",8,18]]},"issued":{"date-parts":[["2000"]]}},"locator":"12","label":"paragraph"}],"schema":"https://github.com/citation-style-language/schema/raw/master/csl-citation.json"} </w:instrText>
      </w:r>
      <w:r w:rsidRPr="00FB5890">
        <w:rPr>
          <w:color w:val="000000" w:themeColor="text1"/>
          <w:sz w:val="20"/>
          <w:szCs w:val="20"/>
          <w:lang w:val="es-ES"/>
        </w:rPr>
        <w:fldChar w:fldCharType="separate"/>
      </w:r>
      <w:r w:rsidRPr="00FB5890">
        <w:rPr>
          <w:sz w:val="20"/>
          <w:szCs w:val="20"/>
        </w:rPr>
        <w:t>ibid 12.</w:t>
      </w:r>
      <w:r w:rsidRPr="00FB5890">
        <w:rPr>
          <w:color w:val="000000" w:themeColor="text1"/>
          <w:sz w:val="20"/>
          <w:szCs w:val="20"/>
          <w:lang w:val="es-ES"/>
        </w:rPr>
        <w:fldChar w:fldCharType="end"/>
      </w:r>
    </w:p>
  </w:endnote>
  <w:endnote w:id="30">
    <w:p w14:paraId="5D0C0F2F" w14:textId="39632684" w:rsidR="00BB358C" w:rsidRPr="00FB5890" w:rsidRDefault="00BB358C" w:rsidP="00FB5890">
      <w:pPr>
        <w:pStyle w:val="NormalWeb"/>
        <w:spacing w:before="0" w:beforeAutospacing="0" w:after="0" w:afterAutospacing="0"/>
        <w:jc w:val="both"/>
        <w:rPr>
          <w:color w:val="000000" w:themeColor="text1"/>
          <w:sz w:val="20"/>
          <w:szCs w:val="20"/>
        </w:rPr>
      </w:pPr>
      <w:r w:rsidRPr="00FB5890">
        <w:rPr>
          <w:rStyle w:val="EndnoteReference"/>
          <w:color w:val="000000" w:themeColor="text1"/>
          <w:sz w:val="20"/>
          <w:szCs w:val="20"/>
        </w:rPr>
        <w:endnoteRef/>
      </w:r>
      <w:r w:rsidRPr="00FB5890">
        <w:rPr>
          <w:color w:val="000000" w:themeColor="text1"/>
          <w:sz w:val="20"/>
          <w:szCs w:val="20"/>
        </w:rPr>
        <w:t xml:space="preserve"> </w:t>
      </w:r>
      <w:r w:rsidRPr="00FB5890">
        <w:rPr>
          <w:color w:val="000000" w:themeColor="text1"/>
          <w:sz w:val="20"/>
          <w:szCs w:val="20"/>
          <w:lang w:val="es-ES"/>
        </w:rPr>
        <w:fldChar w:fldCharType="begin"/>
      </w:r>
      <w:r w:rsidRPr="00FB5890">
        <w:rPr>
          <w:color w:val="000000" w:themeColor="text1"/>
          <w:sz w:val="20"/>
          <w:szCs w:val="20"/>
        </w:rPr>
        <w:instrText xml:space="preserve"> ADDIN ZOTERO_ITEM CSL_CITATION {"citationID":"qihYBcfQ","properties":{"formattedCitation":"ibid.","plainCitation":"ibid.","noteIndex":34},"citationItems":[{"id":179,"uris":["http://zotero.org/users/9900632/items/D5MBQHCA"],"itemData":{"id":179,"type":"report","number":"E/C.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DESC","given":""}],"accessed":{"date-parts":[["2022",8,18]]},"issued":{"date-parts":[["2000"]]}},"locator":"12","label":"paragraph"}],"schema":"https://github.com/citation-style-language/schema/raw/master/csl-citation.json"} </w:instrText>
      </w:r>
      <w:r w:rsidRPr="00FB5890">
        <w:rPr>
          <w:color w:val="000000" w:themeColor="text1"/>
          <w:sz w:val="20"/>
          <w:szCs w:val="20"/>
          <w:lang w:val="es-ES"/>
        </w:rPr>
        <w:fldChar w:fldCharType="separate"/>
      </w:r>
      <w:r w:rsidRPr="00FB5890">
        <w:rPr>
          <w:sz w:val="20"/>
          <w:szCs w:val="20"/>
        </w:rPr>
        <w:t>ibid.</w:t>
      </w:r>
      <w:r w:rsidRPr="00FB5890">
        <w:rPr>
          <w:color w:val="000000" w:themeColor="text1"/>
          <w:sz w:val="20"/>
          <w:szCs w:val="20"/>
          <w:lang w:val="es-ES"/>
        </w:rPr>
        <w:fldChar w:fldCharType="end"/>
      </w:r>
    </w:p>
  </w:endnote>
  <w:endnote w:id="31">
    <w:p w14:paraId="32AF68D9" w14:textId="7157435C" w:rsidR="00BB358C" w:rsidRPr="00FB5890" w:rsidRDefault="00BB358C" w:rsidP="00FB5890">
      <w:pPr>
        <w:pStyle w:val="NormalWeb"/>
        <w:spacing w:before="0" w:beforeAutospacing="0" w:after="0" w:afterAutospacing="0"/>
        <w:jc w:val="both"/>
        <w:rPr>
          <w:color w:val="000000" w:themeColor="text1"/>
          <w:sz w:val="20"/>
          <w:szCs w:val="20"/>
        </w:rPr>
      </w:pPr>
      <w:r w:rsidRPr="00FB5890">
        <w:rPr>
          <w:rStyle w:val="EndnoteReference"/>
          <w:color w:val="000000" w:themeColor="text1"/>
          <w:sz w:val="20"/>
          <w:szCs w:val="20"/>
        </w:rPr>
        <w:endnoteRef/>
      </w:r>
      <w:r w:rsidRPr="00FB5890">
        <w:rPr>
          <w:color w:val="000000" w:themeColor="text1"/>
          <w:sz w:val="20"/>
          <w:szCs w:val="20"/>
        </w:rPr>
        <w:t xml:space="preserve"> </w:t>
      </w:r>
      <w:r w:rsidRPr="00FB5890">
        <w:rPr>
          <w:color w:val="000000" w:themeColor="text1"/>
          <w:sz w:val="20"/>
          <w:szCs w:val="20"/>
          <w:lang w:val="es-ES"/>
        </w:rPr>
        <w:fldChar w:fldCharType="begin"/>
      </w:r>
      <w:r w:rsidRPr="00FB5890">
        <w:rPr>
          <w:color w:val="000000" w:themeColor="text1"/>
          <w:sz w:val="20"/>
          <w:szCs w:val="20"/>
        </w:rPr>
        <w:instrText xml:space="preserve"> ADDIN ZOTERO_ITEM CSL_CITATION {"citationID":"fuDGiyVe","properties":{"formattedCitation":"ibid 12, b), iv).","plainCitation":"ibid 12, b), iv).","noteIndex":35},"citationItems":[{"id":179,"uris":["http://zotero.org/users/9900632/items/D5MBQHCA"],"itemData":{"id":179,"type":"report","number":"E/C.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 b), iv)","label":"paragraph"}],"schema":"https://github.com/citation-style-language/schema/raw/master/csl-citation.json"} </w:instrText>
      </w:r>
      <w:r w:rsidRPr="00FB5890">
        <w:rPr>
          <w:color w:val="000000" w:themeColor="text1"/>
          <w:sz w:val="20"/>
          <w:szCs w:val="20"/>
          <w:lang w:val="es-ES"/>
        </w:rPr>
        <w:fldChar w:fldCharType="separate"/>
      </w:r>
      <w:r w:rsidRPr="00FB5890">
        <w:rPr>
          <w:sz w:val="20"/>
          <w:szCs w:val="20"/>
        </w:rPr>
        <w:t>ibid 12, b), iv).</w:t>
      </w:r>
      <w:r w:rsidRPr="00FB5890">
        <w:rPr>
          <w:color w:val="000000" w:themeColor="text1"/>
          <w:sz w:val="20"/>
          <w:szCs w:val="20"/>
          <w:lang w:val="es-ES"/>
        </w:rPr>
        <w:fldChar w:fldCharType="end"/>
      </w:r>
    </w:p>
  </w:endnote>
  <w:endnote w:id="32">
    <w:p w14:paraId="67E979D1" w14:textId="363134AE" w:rsidR="00BB358C" w:rsidRPr="00FB5890" w:rsidRDefault="00BB358C" w:rsidP="00FB5890">
      <w:pPr>
        <w:pStyle w:val="EndnoteText"/>
        <w:jc w:val="both"/>
        <w:rPr>
          <w:rFonts w:ascii="Times New Roman" w:hAnsi="Times New Roman" w:cs="Times New Roman"/>
          <w:color w:val="000000" w:themeColor="text1"/>
          <w:lang w:val="es-ES"/>
        </w:rPr>
      </w:pPr>
      <w:r w:rsidRPr="00FB5890">
        <w:rPr>
          <w:rStyle w:val="EndnoteReference"/>
          <w:rFonts w:ascii="Times New Roman" w:hAnsi="Times New Roman" w:cs="Times New Roman"/>
          <w:color w:val="000000" w:themeColor="text1"/>
        </w:rPr>
        <w:endnoteRef/>
      </w:r>
      <w:r w:rsidRPr="00FB5890">
        <w:rPr>
          <w:rFonts w:ascii="Times New Roman" w:hAnsi="Times New Roman" w:cs="Times New Roman"/>
          <w:color w:val="000000" w:themeColor="text1"/>
          <w:lang w:val="es-ES"/>
        </w:rPr>
        <w:t xml:space="preserve"> </w:t>
      </w:r>
      <w:r w:rsidRPr="00FB5890">
        <w:rPr>
          <w:rFonts w:ascii="Times New Roman" w:hAnsi="Times New Roman" w:cs="Times New Roman"/>
          <w:color w:val="000000" w:themeColor="text1"/>
          <w:lang w:val="es-ES"/>
        </w:rPr>
        <w:fldChar w:fldCharType="begin"/>
      </w:r>
      <w:r w:rsidRPr="00FB5890">
        <w:rPr>
          <w:rFonts w:ascii="Times New Roman" w:hAnsi="Times New Roman" w:cs="Times New Roman"/>
          <w:color w:val="000000" w:themeColor="text1"/>
          <w:lang w:val="es-ES"/>
        </w:rPr>
        <w:instrText xml:space="preserve"> ADDIN ZOTERO_ITEM CSL_CITATION {"citationID":"mHMuBzPT","properties":{"formattedCitation":"ibid.","plainCitation":"ibid.","noteIndex":36},"citationItems":[{"id":179,"uris":["http://zotero.org/users/9900632/items/D5MBQHCA"],"itemData":{"id":179,"type":"report","number":"E/C. 12/2000/4","title":"Observación General No. 14, El derecho al disfrute del más alto nivel posible de salud","URL":"https://www.acnur.org/fileadmin/Documentos/BDL/2001/1451.pdf","author":[{"family":"Comité DESC","given":""}],"accessed":{"date-parts":[["2022",8,18]]},"issued":{"date-parts":[["2000"]]}},"locator":"12, b), iv)","label":"paragraph"}],"schema":"https://github.com/citation-style-language/schema/raw/master/csl-citation.json"} </w:instrText>
      </w:r>
      <w:r w:rsidRPr="00FB5890">
        <w:rPr>
          <w:rFonts w:ascii="Times New Roman" w:hAnsi="Times New Roman" w:cs="Times New Roman"/>
          <w:color w:val="000000" w:themeColor="text1"/>
          <w:lang w:val="es-ES"/>
        </w:rPr>
        <w:fldChar w:fldCharType="separate"/>
      </w:r>
      <w:r w:rsidRPr="00FB5890">
        <w:rPr>
          <w:rFonts w:ascii="Times New Roman" w:hAnsi="Times New Roman" w:cs="Times New Roman"/>
        </w:rPr>
        <w:t>ibid.</w:t>
      </w:r>
      <w:r w:rsidRPr="00FB5890">
        <w:rPr>
          <w:rFonts w:ascii="Times New Roman" w:hAnsi="Times New Roman" w:cs="Times New Roman"/>
          <w:color w:val="000000" w:themeColor="text1"/>
          <w:lang w:val="es-ES"/>
        </w:rPr>
        <w:fldChar w:fldCharType="end"/>
      </w:r>
    </w:p>
  </w:endnote>
  <w:endnote w:id="33">
    <w:p w14:paraId="0E562075" w14:textId="0BDE5826" w:rsidR="00BB358C" w:rsidRPr="00FB5890" w:rsidRDefault="00BB358C" w:rsidP="00FB5890">
      <w:pPr>
        <w:spacing w:after="0" w:line="240" w:lineRule="auto"/>
        <w:jc w:val="both"/>
        <w:rPr>
          <w:rFonts w:ascii="Times New Roman" w:hAnsi="Times New Roman" w:cs="Times New Roman"/>
          <w:color w:val="000000" w:themeColor="text1"/>
          <w:sz w:val="20"/>
          <w:szCs w:val="20"/>
        </w:rPr>
      </w:pPr>
      <w:r w:rsidRPr="00FB5890">
        <w:rPr>
          <w:rStyle w:val="EndnoteReference"/>
          <w:rFonts w:ascii="Times New Roman" w:hAnsi="Times New Roman" w:cs="Times New Roman"/>
          <w:color w:val="000000" w:themeColor="text1"/>
          <w:sz w:val="20"/>
          <w:szCs w:val="20"/>
        </w:rPr>
        <w:endnoteRef/>
      </w:r>
      <w:r w:rsidRPr="00FB5890">
        <w:rPr>
          <w:rFonts w:ascii="Times New Roman" w:hAnsi="Times New Roman" w:cs="Times New Roman"/>
          <w:color w:val="000000" w:themeColor="text1"/>
          <w:sz w:val="20"/>
          <w:szCs w:val="20"/>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rPr>
        <w:instrText xml:space="preserve"> ADDIN ZOTERO_ITEM CSL_CITATION {"citationID":"blbtM8Tp","properties":{"formattedCitation":"Comit\\uc0\\u233{} DESC, \\uc0\\u8216{}Observaci\\uc0\\u243{}n General No. 22, Relativa al Derecho a La Salud Sexual y Reproductiva\\uc0\\u8217{} (n 11) paras 19 and 40.","plainCitation":"Comité DESC, ‘Observación General No. 22, Relativa al Derecho a La Salud Sexual y Reproductiva’ (n 11) paras 19 and 40.","noteIndex":37},"citationItems":[{"id":181,"uris":["http://zotero.org/users/9900632/items/52HPY9GB"],"itemData":{"id":181,"type":"report","number":"E/C.12/GC/22","title":"Observación General No. 22, relativa al derecho a la salud sexual y reproductiva","URL":"https://documents-dds-ny.un.org/doc/UNDOC/GEN/G16/089/35/PDF/G1608935.pdf?OpenElement","author":[{"family":"Comité DESC","given":""}],"accessed":{"date-parts":[["2022",8,18]]},"issued":{"date-parts":[["2016"]]}},"locator":"19 and 40","label":"paragraph"}],"schema":"https://github.com/citation-style-language/schema/raw/master/csl-citation.json"}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DESC, ‘Observación General No. 22, Relativa al Derecho a La Salud Sexual y Reproductiva’ (n 11) paras 19 and 40.</w:t>
      </w:r>
      <w:r w:rsidRPr="00FB5890">
        <w:rPr>
          <w:rFonts w:ascii="Times New Roman" w:hAnsi="Times New Roman" w:cs="Times New Roman"/>
          <w:color w:val="000000" w:themeColor="text1"/>
          <w:sz w:val="20"/>
          <w:szCs w:val="20"/>
          <w:lang w:val="es-ES"/>
        </w:rPr>
        <w:fldChar w:fldCharType="end"/>
      </w:r>
    </w:p>
  </w:endnote>
  <w:endnote w:id="34">
    <w:p w14:paraId="19F43491" w14:textId="05A3950F"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color w:val="000000" w:themeColor="text1"/>
          <w:sz w:val="20"/>
          <w:szCs w:val="20"/>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{"citationID":"lKovnthd","properties":{"formattedCitation":"Comit\\uc0\\u233{} CEDAW and Comit\\uc0\\u233{}  de los Derechos del Ni\\uc0\\u241{}o, \\uc0\\u8216{}Recomendaci\\uc0\\u243{}n General N\\uc0\\u250{}m. 31 Del Comit\\uc0\\u233{} Para La Eliminaci\\uc0\\u243{}n de La Discriminaci\\uc0\\u243{}n Contra La Mujer y Observaci\\uc0\\u243{}n General N\\uc0\\u250{}m. 18 Del Comit\\uc0\\u233{} de Los Derechos Del Ni\\uc0\\u241{}o Sobre Las Pr\\uc0\\u225{}cticas Nocivas, Adoptadas de Manera Conjunta\\uc0\\u8217{} (2014) CEDAW/C/GC/31/CRC/C/GC/18 para 49 y 55 j) &lt;https://tbinternet.ohchr.org/_layouts/15/treatybodyexternal/Download.aspx?symbolno=CEDAW%2fC%2fGC%2f31%2fCRC%2fC%2fGC%2f18&amp;Lang=en&gt; accessed 18 August 2022.","plainCitation":"Comité CEDAW and Comité  de los Derechos del Niño, ‘Recomendación General Núm. 31 Del Comité Para La Eliminación de La Discriminación Contra La Mujer y Observación General Núm. 18 Del Comité de Los Derechos Del Niño Sobre Las Prácticas Nocivas, Adoptadas de Manera Conjunta’ (2014) CEDAW/C/GC/31/CRC/C/GC/18 para 49 y 55 j) &lt;https://tbinternet.ohchr.org/_layouts/15/treatybodyexternal/Download.aspx?symbolno=CEDAW%2fC%2fGC%2f31%2fCRC%2fC%2fGC%2f18&amp;Lang=en&gt; accessed 18 August 2022.","noteIndex":45},"citationItems":[{"id":202,"uris":["http://zotero.org/users/9900632/items/B8D3LR5L"],"itemData":{"id":202,"type":"report","number":"CEDAW/C/GC/31/CRC/C/GC/18","title":"Recomendación general núm. 31 del Comité para la Eliminación de la Discriminación contra la Mujer y observación general núm. 18 del Comité de los Derechos del Niño sobre las prácticas nocivas, adoptadas de manera conjunta","URL":"https://tbinternet.ohchr.org/_layouts/15/treatybodyexternal/Download.aspx?symbolno=CEDAW%2fC%2fGC%2f31%2fCRC%2fC%2fGC%2f18&amp;Lang=en","author":[{"family":"Comité CEDAW","given":""},{"family":"Comité  de los Derechos del Niño","given":""}],"accessed":{"date-parts":[["2022",8,18]]},"issued":{"date-parts":[["2014"]]}},"locator":"49 y 55 j)","label":"paragraph"}],"schema":"https://github.com/citation-style-language/schema/raw/master/csl-citation.json"}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Comité CEDAW and Comité  de los Derechos del Niño, ‘Recomendación General Núm. 31 Del Comité Para La Eliminación de La Discriminación Contra La Mujer y Observación General Núm. 18 Del Comité de Los Derechos Del Niño Sobre Las Prácticas Nocivas, Adoptadas de Manera Conjunta’ (2014) CEDAW/C/GC/31/CRC/C/GC/18 para 49 y 55 j) &lt;https://tbinternet.ohchr.org/_layouts/15/treatybodyexternal/Download.aspx?symbolno=CEDAW%2fC%2fGC%2f31%2fCRC%2fC%2fGC%2f18&amp;Lang=en&gt; accessed 18 August 2022.</w:t>
      </w:r>
      <w:r w:rsidRPr="00FB5890">
        <w:rPr>
          <w:rFonts w:ascii="Times New Roman" w:hAnsi="Times New Roman" w:cs="Times New Roman"/>
          <w:color w:val="000000" w:themeColor="text1"/>
          <w:sz w:val="20"/>
          <w:szCs w:val="20"/>
          <w:lang w:val="es-ES"/>
        </w:rPr>
        <w:fldChar w:fldCharType="end"/>
      </w:r>
    </w:p>
  </w:endnote>
  <w:endnote w:id="35">
    <w:p w14:paraId="489165A2" w14:textId="5AA872A3" w:rsidR="00BB358C" w:rsidRPr="00FB5890" w:rsidRDefault="00BB358C" w:rsidP="00FB5890">
      <w:pPr>
        <w:pStyle w:val="EndnoteText"/>
        <w:jc w:val="both"/>
        <w:rPr>
          <w:rFonts w:ascii="Times New Roman" w:hAnsi="Times New Roman" w:cs="Times New Roman"/>
          <w:color w:val="000000" w:themeColor="text1"/>
          <w:lang w:val="es-ES"/>
        </w:rPr>
      </w:pPr>
      <w:r w:rsidRPr="00FB5890">
        <w:rPr>
          <w:rStyle w:val="EndnoteReference"/>
          <w:rFonts w:ascii="Times New Roman" w:hAnsi="Times New Roman" w:cs="Times New Roman"/>
          <w:color w:val="000000" w:themeColor="text1"/>
        </w:rPr>
        <w:endnoteRef/>
      </w:r>
      <w:r w:rsidRPr="00FB5890">
        <w:rPr>
          <w:rFonts w:ascii="Times New Roman" w:hAnsi="Times New Roman" w:cs="Times New Roman"/>
          <w:color w:val="000000" w:themeColor="text1"/>
          <w:lang w:val="es-ES"/>
        </w:rPr>
        <w:t xml:space="preserve"> </w:t>
      </w:r>
      <w:r w:rsidRPr="00FB5890">
        <w:rPr>
          <w:rFonts w:ascii="Times New Roman" w:hAnsi="Times New Roman" w:cs="Times New Roman"/>
          <w:color w:val="000000" w:themeColor="text1"/>
          <w:lang w:val="es-ES"/>
        </w:rPr>
        <w:fldChar w:fldCharType="begin"/>
      </w:r>
      <w:r w:rsidRPr="00FB5890">
        <w:rPr>
          <w:rFonts w:ascii="Times New Roman" w:hAnsi="Times New Roman" w:cs="Times New Roman"/>
          <w:color w:val="000000" w:themeColor="text1"/>
          <w:lang w:val="es-ES"/>
        </w:rPr>
        <w:instrText xml:space="preserve"> ADDIN ZOTERO_ITEM CSL_CITATION {"citationID":"m6R3uh2A","properties":{"formattedCitation":"ibid 15 y 16.","plainCitation":"ibid 15 y 16.","noteIndex":46},"citationItems":[{"id":202,"uris":["http://zotero.org/users/9900632/items/B8D3LR5L"],"itemData":{"id":202,"type":"report","number":"CEDAW/C/GC/31/CRC/C/GC/18","title":"Recomendación general núm. 31 del Comité para la Eliminación de la Discriminación contra la Mujer y observación general núm. 18 del Comité de los Derechos del Niño sobre las prácticas nocivas, adoptadas de manera conjunta","URL":"https://tbinternet.ohchr.org/_layouts/15/treatybodyexternal/Download.aspx?symbolno=CEDAW%2fC%2fGC%2f31%2fCRC%2fC%2fGC%2f18&amp;Lang=en","author":[{"family":"Comité CEDAW","given":""},{"family":"Comité  de los Derechos del Niño","given":""}],"accessed":{"date-parts":[["2022",8,18]]},"issued":{"date-parts":[["2014"]]}},"locator":"15 y 16","label":"paragraph"}],"schema":"https://github.com/citation-style-language/schema/raw/master/csl-citation.json"} </w:instrText>
      </w:r>
      <w:r w:rsidRPr="00FB5890">
        <w:rPr>
          <w:rFonts w:ascii="Times New Roman" w:hAnsi="Times New Roman" w:cs="Times New Roman"/>
          <w:color w:val="000000" w:themeColor="text1"/>
          <w:lang w:val="es-ES"/>
        </w:rPr>
        <w:fldChar w:fldCharType="separate"/>
      </w:r>
      <w:r w:rsidRPr="00FB5890">
        <w:rPr>
          <w:rFonts w:ascii="Times New Roman" w:hAnsi="Times New Roman" w:cs="Times New Roman"/>
        </w:rPr>
        <w:t>ibid 15 y 16.</w:t>
      </w:r>
      <w:r w:rsidRPr="00FB5890">
        <w:rPr>
          <w:rFonts w:ascii="Times New Roman" w:hAnsi="Times New Roman" w:cs="Times New Roman"/>
          <w:color w:val="000000" w:themeColor="text1"/>
          <w:lang w:val="es-ES"/>
        </w:rPr>
        <w:fldChar w:fldCharType="end"/>
      </w:r>
    </w:p>
  </w:endnote>
  <w:endnote w:id="36">
    <w:p w14:paraId="0CF4D238" w14:textId="441003F5" w:rsidR="00BB358C" w:rsidRPr="00FB5890" w:rsidRDefault="00BB358C" w:rsidP="00FB5890">
      <w:pPr>
        <w:kinsoku w:val="0"/>
        <w:overflowPunct w:val="0"/>
        <w:autoSpaceDE w:val="0"/>
        <w:autoSpaceDN w:val="0"/>
        <w:adjustRightInd w:val="0"/>
        <w:snapToGrid w:val="0"/>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color w:val="000000" w:themeColor="text1"/>
          <w:sz w:val="20"/>
          <w:szCs w:val="20"/>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{"citationID":"LXSVdvdz","properties":{"formattedCitation":"ONU, \\uc0\\u8216{}Informe de La Relatora Especial Sobre La Violencia Contra La Mujer, Sus Causas y Consecuencias Relativo a Su Misi\\uc0\\u243{}n a Georgia\\uc0\\u8217{} (2016) A/HRC/32/42/Add.3 para 99 &lt;https://documents-dds-ny.un.org/doc/UNDOC/GEN/G16/164/43/PDF/G1616443.pdf?OpenElement&gt; accessed 18 August 2022.","plainCitation":"ONU, ‘Informe de La Relatora Especial Sobre La Violencia Contra La Mujer, Sus Causas y Consecuencias Relativo a Su Misión a Georgia’ (2016) A/HRC/32/42/Add.3 para 99 &lt;https://documents-dds-ny.un.org/doc/UNDOC/GEN/G16/164/43/PDF/G1616443.pdf?OpenElement&gt; accessed 18 August 2022.","noteIndex":47},"citationItems":[{"id":203,"uris":["http://zotero.org/users/9900632/items/HIHG8K7A"],"itemData":{"id":203,"type":"report","number":"A/HRC/32/42/Add.3","title":"Informe de la Relatora Especial sobre la violencia contra la mujer, sus causas y consecuencias relativo a su misión a Georgia","URL":"https://documents-dds-ny.un.org/doc/UNDOC/GEN/G16/164/43/PDF/G1616443.pdf?OpenElement","author":[{"family":"ONU","given":""}],"accessed":{"date-parts":[["2022",8,18]]},"issued":{"date-parts":[["2016"]]}},"locator":"99","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ONU, ‘Informe de La Relatora Especial Sobre La Violencia Contra La Mujer, Sus Causas y Consecuencias Relativo a Su Misión a Georgia’ (2016) A/HRC/32/42/Add.3 para 99 &lt;https://documents-dds-ny.un.org/doc/UNDOC/GEN/G16/164/43/PDF/G1616443.pdf?OpenElement&gt; accessed 18 August 2022.</w:t>
      </w:r>
      <w:r w:rsidRPr="00FB5890">
        <w:rPr>
          <w:rFonts w:ascii="Times New Roman" w:hAnsi="Times New Roman" w:cs="Times New Roman"/>
          <w:color w:val="000000" w:themeColor="text1"/>
          <w:sz w:val="20"/>
          <w:szCs w:val="20"/>
          <w:lang w:val="es-ES"/>
        </w:rPr>
        <w:fldChar w:fldCharType="end"/>
      </w:r>
    </w:p>
  </w:endnote>
  <w:endnote w:id="37">
    <w:p w14:paraId="27316412" w14:textId="6996635A" w:rsidR="00BB358C" w:rsidRPr="00FB5890" w:rsidRDefault="00BB358C" w:rsidP="00FB5890">
      <w:pPr>
        <w:spacing w:after="0" w:line="240" w:lineRule="auto"/>
        <w:jc w:val="both"/>
        <w:rPr>
          <w:rFonts w:ascii="Times New Roman" w:hAnsi="Times New Roman" w:cs="Times New Roman"/>
          <w:color w:val="000000" w:themeColor="text1"/>
          <w:sz w:val="20"/>
          <w:szCs w:val="20"/>
          <w:lang w:val="es-ES"/>
        </w:rPr>
      </w:pPr>
      <w:r w:rsidRPr="00FB5890">
        <w:rPr>
          <w:rStyle w:val="EndnoteReference"/>
          <w:rFonts w:ascii="Times New Roman" w:hAnsi="Times New Roman" w:cs="Times New Roman"/>
          <w:color w:val="000000" w:themeColor="text1"/>
          <w:sz w:val="20"/>
          <w:szCs w:val="20"/>
        </w:rPr>
        <w:endnoteRef/>
      </w:r>
      <w:r w:rsidRPr="00FB5890">
        <w:rPr>
          <w:rFonts w:ascii="Times New Roman" w:hAnsi="Times New Roman" w:cs="Times New Roman"/>
          <w:color w:val="000000" w:themeColor="text1"/>
          <w:sz w:val="20"/>
          <w:szCs w:val="20"/>
          <w:lang w:val="es-ES"/>
        </w:rPr>
        <w:t xml:space="preserve"> </w:t>
      </w:r>
      <w:r w:rsidRPr="00FB5890">
        <w:rPr>
          <w:rFonts w:ascii="Times New Roman" w:hAnsi="Times New Roman" w:cs="Times New Roman"/>
          <w:color w:val="000000" w:themeColor="text1"/>
          <w:sz w:val="20"/>
          <w:szCs w:val="20"/>
          <w:lang w:val="es-ES"/>
        </w:rPr>
        <w:fldChar w:fldCharType="begin"/>
      </w:r>
      <w:r w:rsidRPr="00FB5890">
        <w:rPr>
          <w:rFonts w:ascii="Times New Roman" w:hAnsi="Times New Roman" w:cs="Times New Roman"/>
          <w:color w:val="000000" w:themeColor="text1"/>
          <w:sz w:val="20"/>
          <w:szCs w:val="20"/>
          <w:lang w:val="es-ES"/>
        </w:rPr>
        <w:instrText xml:space="preserve"> ADDIN ZOTERO_ITEM CSL_CITATION {"citationID":"wn1LYZ8E","properties":{"formattedCitation":"ONU, \\uc0\\u8216{}Informe Conjunto de La Relatora Especial Sobre La Venta de Ni\\uc0\\u241{}os, La Prostituci\\uc0\\u243{}n Infantil y La Utilizaci\\uc0\\u243{}n de Ni\\uc0\\u241{}os En La La Pornograf\\uc0\\u237{}a y La Representante Especial Del Secretario General Sobre La Violencia Contra Los Ni\\uc0\\u241{}os\\uc0\\u8217{} (2011) A/HRC/16/56 para 112 &lt;https://documents-dds-ny.un.org/doc/UNDOC/GEN/G11/115/71/PDF/G1111571.pdf?OpenElement&gt; accessed 18 August 2022.","plainCitation":"ONU, ‘Informe Conjunto de La Relatora Especial Sobre La Venta de Niños, La Prostitución Infantil y La Utilización de Niños En La La Pornografía y La Representante Especial Del Secretario General Sobre La Violencia Contra Los Niños’ (2011) A/HRC/16/56 para 112 &lt;https://documents-dds-ny.un.org/doc/UNDOC/GEN/G11/115/71/PDF/G1111571.pdf?OpenElement&gt; accessed 18 August 2022.","noteIndex":48},"citationItems":[{"id":204,"uris":["http://zotero.org/users/9900632/items/LV7KMDQC"],"itemData":{"id":204,"type":"report","number":"A/HRC/16/56","title":"Informe conjunto de la Relatora Especial sobre la venta de niños, la prostitución infantil y la utilización de niños en la la pornografía y la Representante Especial del Secretario General sobre la violencia contra los niños","URL":"https://documents-dds-ny.un.org/doc/UNDOC/GEN/G11/115/71/PDF/G1111571.pdf?OpenElement","author":[{"family":"ONU","given":""}],"accessed":{"date-parts":[["2022",8,18]]},"issued":{"date-parts":[["2011"]]}},"locator":"112","label":"paragraph"}],"schema":"https://github.com/citation-style-language/schema/raw/master/csl-citation.json"} </w:instrText>
      </w:r>
      <w:r w:rsidRPr="00FB5890">
        <w:rPr>
          <w:rFonts w:ascii="Times New Roman" w:hAnsi="Times New Roman" w:cs="Times New Roman"/>
          <w:color w:val="000000" w:themeColor="text1"/>
          <w:sz w:val="20"/>
          <w:szCs w:val="20"/>
          <w:lang w:val="es-ES"/>
        </w:rPr>
        <w:fldChar w:fldCharType="separate"/>
      </w:r>
      <w:r w:rsidRPr="00FB5890">
        <w:rPr>
          <w:rFonts w:ascii="Times New Roman" w:hAnsi="Times New Roman" w:cs="Times New Roman"/>
          <w:sz w:val="20"/>
          <w:szCs w:val="20"/>
        </w:rPr>
        <w:t>ONU, ‘Informe Conjunto de La Relatora Especial Sobre La Venta de Niños, La Prostitución Infantil y La Utilización de Niños En La La Pornografía y La Representante Especial Del Secretario General Sobre La Violencia Contra Los Niños’ (2011) A/HRC/16/56 para 112 &lt;https://documents-dds-ny.un.org/doc/UNDOC/GEN/G11/115/71/PDF/G1111571.pdf?OpenElement&gt; accessed 18 August 2022.</w:t>
      </w:r>
      <w:r w:rsidRPr="00FB5890">
        <w:rPr>
          <w:rFonts w:ascii="Times New Roman" w:hAnsi="Times New Roman" w:cs="Times New Roman"/>
          <w:color w:val="000000" w:themeColor="text1"/>
          <w:sz w:val="20"/>
          <w:szCs w:val="20"/>
          <w:lang w:val="es-ES"/>
        </w:rPr>
        <w:fldChar w:fldCharType="end"/>
      </w:r>
    </w:p>
  </w:endnote>
  <w:endnote w:id="38">
    <w:p w14:paraId="0A97C844" w14:textId="22F466DD" w:rsidR="00BB358C" w:rsidRPr="003D5A03" w:rsidRDefault="00BB358C" w:rsidP="003D5A03">
      <w:pPr>
        <w:pStyle w:val="FootnoteText"/>
        <w:jc w:val="both"/>
        <w:rPr>
          <w:rFonts w:ascii="Times New Roman" w:hAnsi="Times New Roman" w:cs="Times New Roman"/>
          <w:lang w:val="es-AR"/>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003D5A03">
        <w:rPr>
          <w:rFonts w:ascii="Times New Roman" w:hAnsi="Times New Roman" w:cs="Times New Roman"/>
        </w:rPr>
        <w:t xml:space="preserve">Corte IDH, </w:t>
      </w:r>
      <w:r w:rsidR="003D5A03" w:rsidRPr="00FB5890">
        <w:rPr>
          <w:rFonts w:ascii="Times New Roman" w:hAnsi="Times New Roman" w:cs="Times New Roman"/>
          <w:lang w:val="es-ES"/>
        </w:rPr>
        <w:t>Manuela y Otros vs. El Salvador</w:t>
      </w:r>
      <w:r w:rsidR="003D5A03">
        <w:rPr>
          <w:rFonts w:ascii="Times New Roman" w:hAnsi="Times New Roman" w:cs="Times New Roman"/>
          <w:lang w:val="es-ES"/>
        </w:rPr>
        <w:t xml:space="preserve">, </w:t>
      </w:r>
      <w:r w:rsidR="003D5A03" w:rsidRPr="00FB5890">
        <w:rPr>
          <w:rFonts w:ascii="Times New Roman" w:hAnsi="Times New Roman" w:cs="Times New Roman"/>
          <w:lang w:val="es-ES"/>
        </w:rPr>
        <w:t>Excepciones Preliminares, Fondo, Reparaciones y Costas. Sentencia de 2 de noviembre de 2021, párr</w:t>
      </w:r>
      <w:r w:rsidR="003D5A03">
        <w:rPr>
          <w:rFonts w:ascii="Times New Roman" w:hAnsi="Times New Roman" w:cs="Times New Roman"/>
          <w:lang w:val="es-ES"/>
        </w:rPr>
        <w:t>s</w:t>
      </w:r>
      <w:r w:rsidR="003D5A03" w:rsidRPr="00FB5890">
        <w:rPr>
          <w:rFonts w:ascii="Times New Roman" w:hAnsi="Times New Roman" w:cs="Times New Roman"/>
          <w:lang w:val="es-ES"/>
        </w:rPr>
        <w:t xml:space="preserve">. </w:t>
      </w:r>
      <w:r w:rsidR="003D5A03">
        <w:rPr>
          <w:rFonts w:ascii="Times New Roman" w:hAnsi="Times New Roman" w:cs="Times New Roman"/>
          <w:lang w:val="es-ES"/>
        </w:rPr>
        <w:t xml:space="preserve">41 y 42. </w:t>
      </w:r>
    </w:p>
  </w:endnote>
  <w:endnote w:id="39">
    <w:p w14:paraId="1C539C60" w14:textId="1139FB3C"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{"citationID":"mSYAcd2g","properties":{"formattedCitation":"Comit\\uc0\\u233{} DESC, \\uc0\\u8216{}Observaciones Finales Sobre Los Informes Peri\\uc0\\u243{}dicos Tercero, Cuarto y Quinto Combinados de El Salvador\\uc0\\u8217{} (2014) E/C.12/SLV/CO/3-5 para 22 &lt;https://documents-dds-ny.un.org/doc/UNDOC/GEN/G14/056/11/PDF/G1405611.pdf?OpenElement&gt; accessed 19 August 2022.","plainCitation":"Comité DESC, ‘Observaciones Finales Sobre Los Informes Periódicos Tercero, Cuarto y Quinto Combinados de El Salvador’ (2014) E/C.12/SLV/CO/3-5 para 22 &lt;https://documents-dds-ny.un.org/doc/UNDOC/GEN/G14/056/11/PDF/G1405611.pdf?OpenElement&gt; accessed 19 August 2022.","noteIndex":51},"citationItems":[{"id":216,"uris":["http://zotero.org/users/9900632/items/M4YF3K3Y"],"itemData":{"id":216,"type":"report","number":"E/C.12/SLV/CO/3-5","title":"Observaciones finales sobre los informes periódicos tercero, cuarto y quinto combinados de El Salvador","URL":"https://documents-dds-ny.un.org/doc/UNDOC/GEN/G14/056/11/PDF/G1405611.pdf?OpenElement","author":[{"family":"Comité DESC","given":""}],"accessed":{"date-parts":[["2022",8,19]]},"issued":{"date-parts":[["2014",6,19]]}},"locator":"22","label":"paragraph"}],"schema":"https://github.com/citation-style-language/schema/raw/master/csl-citation.json"}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Comité DESC, ‘Observaciones Finales Sobre Los Informes Periódicos Tercero, Cuarto y Quinto Combinados de El Salvador’ (2014) E/C.12/SLV/CO/3-5 para 22 &lt;https://documents-dds-ny.un.org/doc/UNDOC/GEN/G14/056/11/PDF/G1405611.pdf?OpenElement&gt; accessed 19 August 2022.</w:t>
      </w:r>
      <w:r w:rsidRPr="00FB5890">
        <w:rPr>
          <w:rFonts w:ascii="Times New Roman" w:hAnsi="Times New Roman" w:cs="Times New Roman"/>
        </w:rPr>
        <w:fldChar w:fldCharType="end"/>
      </w:r>
    </w:p>
  </w:endnote>
  <w:endnote w:id="40">
    <w:p w14:paraId="54EB3DF3" w14:textId="3A553BCA"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T7e1R0gX","properties":{"formattedCitation":"ibid.","plainCitation":"ibid.","noteIndex":52},"citationItems":[{"id":216,"uris":["http://zotero.org/users/9900632/items/M4YF3K3Y"],"itemData":{"id":216,"type":"report","number":"E/C.12/SLV/CO/3-5","title":"Observaciones finales sobre los informes periódicos tercero, cuarto y quinto combinados de El Salvador","URL":"https://documents-dds-ny.un.org/doc/UNDOC/GEN/G14/056/11/PDF/G1405611.pdf?OpenElement","author":[{"family":"Comité DESC","given":""}],"accessed":{"date-parts":[["2022",8,19]]},"issued":{"date-parts":[["2014",6,19]]}},"locator":"22","label":"paragraph"}],"schema":"https://github.com/citation-style-language/schema/raw/master/csl-citation.json"}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w:t>
      </w:r>
      <w:r w:rsidRPr="00FB5890">
        <w:rPr>
          <w:rFonts w:ascii="Times New Roman" w:hAnsi="Times New Roman" w:cs="Times New Roman"/>
        </w:rPr>
        <w:fldChar w:fldCharType="end"/>
      </w:r>
    </w:p>
  </w:endnote>
  <w:endnote w:id="41">
    <w:p w14:paraId="2FCED324" w14:textId="3EC4A2D4" w:rsidR="00BB358C" w:rsidRPr="003D5A03" w:rsidRDefault="00BB358C" w:rsidP="003D5A03">
      <w:pPr>
        <w:pStyle w:val="FootnoteText"/>
        <w:jc w:val="both"/>
        <w:rPr>
          <w:rFonts w:ascii="Times New Roman" w:hAnsi="Times New Roman" w:cs="Times New Roman"/>
          <w:lang w:val="es-AR"/>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003D5A03">
        <w:rPr>
          <w:rFonts w:ascii="Times New Roman" w:hAnsi="Times New Roman" w:cs="Times New Roman"/>
        </w:rPr>
        <w:t xml:space="preserve">Corte IDH, </w:t>
      </w:r>
      <w:r w:rsidR="003D5A03" w:rsidRPr="00FB5890">
        <w:rPr>
          <w:rFonts w:ascii="Times New Roman" w:hAnsi="Times New Roman" w:cs="Times New Roman"/>
          <w:lang w:val="es-ES"/>
        </w:rPr>
        <w:t>Manuela y Otros vs. El Salvador</w:t>
      </w:r>
      <w:r w:rsidR="003D5A03">
        <w:rPr>
          <w:rFonts w:ascii="Times New Roman" w:hAnsi="Times New Roman" w:cs="Times New Roman"/>
          <w:lang w:val="es-ES"/>
        </w:rPr>
        <w:t xml:space="preserve">, </w:t>
      </w:r>
      <w:r w:rsidR="003D5A03" w:rsidRPr="00FB5890">
        <w:rPr>
          <w:rFonts w:ascii="Times New Roman" w:hAnsi="Times New Roman" w:cs="Times New Roman"/>
          <w:lang w:val="es-ES"/>
        </w:rPr>
        <w:t>Excepciones Preliminares, Fondo, Reparaciones y Costas. Sentencia de 2 de noviembre de 2021, párr. 2</w:t>
      </w:r>
      <w:r w:rsidR="003D5A03">
        <w:rPr>
          <w:rFonts w:ascii="Times New Roman" w:hAnsi="Times New Roman" w:cs="Times New Roman"/>
          <w:lang w:val="es-ES"/>
        </w:rPr>
        <w:t xml:space="preserve">06. </w:t>
      </w:r>
    </w:p>
  </w:endnote>
  <w:endnote w:id="42">
    <w:p w14:paraId="7F1D3D6F" w14:textId="2518CCF0"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{"citationID":"DJOpRYBw","properties":{"formattedCitation":"ibid.","plainCitation":"ibid.","noteIndex":54},"citationItems":[{"id":217,"uris":["http://zotero.org/users/9900632/items/34BF54WP"],"itemData":{"id":217,"type":"legal_case","authority":"Corte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441","accessed":{"date-parts":[["2022",8,19]]},"issued":{"date-parts":[["2021",11,2]]}},"locator":"206","label":"paragraph"}],"schema":"https://github.com/citation-style-language/schema/raw/master/csl-citation.json"}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w:t>
      </w:r>
      <w:r w:rsidRPr="00FB5890">
        <w:rPr>
          <w:rFonts w:ascii="Times New Roman" w:hAnsi="Times New Roman" w:cs="Times New Roman"/>
        </w:rPr>
        <w:fldChar w:fldCharType="end"/>
      </w:r>
    </w:p>
  </w:endnote>
  <w:endnote w:id="43">
    <w:p w14:paraId="6D05D2F9" w14:textId="65006BEE"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i/>
        </w:rPr>
        <w:t>Véase</w:t>
      </w:r>
      <w:r w:rsidRPr="00FB5890">
        <w:rPr>
          <w:rFonts w:ascii="Times New Roman" w:hAnsi="Times New Roman" w:cs="Times New Roman"/>
        </w:rPr>
        <w:t>, por ejemplo, el juramento hipocrático, la Declaración Universal sobre Bioética y Derechos Humanos, la Declaración de Ginebra adoptada por la Asociación Mundial de Medicina en 1948, el Código Internacional de Ética Médica y la Declaración de Lisboa sobre los Derechos del Paciente.</w:t>
      </w:r>
    </w:p>
  </w:endnote>
  <w:endnote w:id="44">
    <w:p w14:paraId="2432343B" w14:textId="18A767B3" w:rsidR="00BB358C" w:rsidRPr="003D5A03" w:rsidRDefault="00BB358C" w:rsidP="003D5A03">
      <w:pPr>
        <w:pStyle w:val="FootnoteText"/>
        <w:jc w:val="both"/>
        <w:rPr>
          <w:rFonts w:ascii="Times New Roman" w:hAnsi="Times New Roman" w:cs="Times New Roman"/>
          <w:lang w:val="es-AR"/>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003D5A03">
        <w:rPr>
          <w:rFonts w:ascii="Times New Roman" w:hAnsi="Times New Roman" w:cs="Times New Roman"/>
        </w:rPr>
        <w:t xml:space="preserve">Corte IDH, </w:t>
      </w:r>
      <w:r w:rsidR="003D5A03" w:rsidRPr="00FB5890">
        <w:rPr>
          <w:rFonts w:ascii="Times New Roman" w:hAnsi="Times New Roman" w:cs="Times New Roman"/>
          <w:lang w:val="es-ES"/>
        </w:rPr>
        <w:t>Manuela y Otros vs. El Salvador</w:t>
      </w:r>
      <w:r w:rsidR="003D5A03">
        <w:rPr>
          <w:rFonts w:ascii="Times New Roman" w:hAnsi="Times New Roman" w:cs="Times New Roman"/>
          <w:lang w:val="es-ES"/>
        </w:rPr>
        <w:t xml:space="preserve">, </w:t>
      </w:r>
      <w:r w:rsidR="003D5A03" w:rsidRPr="00FB5890">
        <w:rPr>
          <w:rFonts w:ascii="Times New Roman" w:hAnsi="Times New Roman" w:cs="Times New Roman"/>
          <w:lang w:val="es-ES"/>
        </w:rPr>
        <w:t>Excepciones Preliminares, Fondo, Reparaciones y Costas. Sentencia de 2 de noviembre de 2021, párr. 2</w:t>
      </w:r>
      <w:r w:rsidR="003D5A03">
        <w:rPr>
          <w:rFonts w:ascii="Times New Roman" w:hAnsi="Times New Roman" w:cs="Times New Roman"/>
          <w:lang w:val="es-ES"/>
        </w:rPr>
        <w:t xml:space="preserve">07.  </w:t>
      </w:r>
    </w:p>
  </w:endnote>
  <w:endnote w:id="45">
    <w:p w14:paraId="45DBF419" w14:textId="4D4E0E2F"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{"citationID":"WfDIjeIK","properties":{"formattedCitation":"ibid 212.","plainCitation":"ibid 212.","noteIndex":57},"citationItems":[{"id":217,"uris":["http://zotero.org/users/9900632/items/34BF54WP"],"itemData":{"id":217,"type":"legal_case","authority":"Corte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212.</w:t>
      </w:r>
      <w:r w:rsidRPr="00FB5890">
        <w:rPr>
          <w:rFonts w:ascii="Times New Roman" w:hAnsi="Times New Roman" w:cs="Times New Roman"/>
        </w:rPr>
        <w:fldChar w:fldCharType="end"/>
      </w:r>
    </w:p>
  </w:endnote>
  <w:endnote w:id="46">
    <w:p w14:paraId="289E4611" w14:textId="07B084FD"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{"citationID":"fTd1kXIJ","properties":{"formattedCitation":"ibid.","plainCitation":"ibid.","noteIndex":58},"citationItems":[{"id":217,"uris":["http://zotero.org/users/9900632/items/34BF54WP"],"itemData":{"id":217,"type":"legal_case","authority":"Corte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w:t>
      </w:r>
      <w:r w:rsidRPr="00FB5890">
        <w:rPr>
          <w:rFonts w:ascii="Times New Roman" w:hAnsi="Times New Roman" w:cs="Times New Roman"/>
        </w:rPr>
        <w:fldChar w:fldCharType="end"/>
      </w:r>
    </w:p>
  </w:endnote>
  <w:endnote w:id="47">
    <w:p w14:paraId="17923945" w14:textId="7F14CC00"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{"citationID":"htMRceLh","properties":{"formattedCitation":"ibid.","plainCitation":"ibid.","noteIndex":59},"citationItems":[{"id":217,"uris":["http://zotero.org/users/9900632/items/34BF54WP"],"itemData":{"id":217,"type":"legal_case","authority":"Corte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441","accessed":{"date-parts":[["2022",8,19]]},"issued":{"date-parts":[["2021",11,2]]}},"locator":"212","label":"paragraph"}],"schema":"https://github.com/citation-style-language/schema/raw/master/csl-citation.json"}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w:t>
      </w:r>
      <w:r w:rsidRPr="00FB5890">
        <w:rPr>
          <w:rFonts w:ascii="Times New Roman" w:hAnsi="Times New Roman" w:cs="Times New Roman"/>
        </w:rPr>
        <w:fldChar w:fldCharType="end"/>
      </w:r>
    </w:p>
  </w:endnote>
  <w:endnote w:id="48">
    <w:p w14:paraId="61C7D13A" w14:textId="70BA5101"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{"citationID":"pMzOe9bM","properties":{"formattedCitation":"ibid 213 y 286.","plainCitation":"ibid 213 y 286.","noteIndex":60},"citationItems":[{"id":217,"uris":["http://zotero.org/users/9900632/items/34BF54WP"],"itemData":{"id":217,"type":"legal_case","authority":"Corte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441","accessed":{"date-parts":[["2022",8,19]]},"issued":{"date-parts":[["2021",11,2]]}},"locator":"213 y 286","label":"paragraph"}],"schema":"https://github.com/citation-style-language/schema/raw/master/csl-citation.json"}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213 y 286.</w:t>
      </w:r>
      <w:r w:rsidRPr="00FB5890">
        <w:rPr>
          <w:rFonts w:ascii="Times New Roman" w:hAnsi="Times New Roman" w:cs="Times New Roman"/>
        </w:rPr>
        <w:fldChar w:fldCharType="end"/>
      </w:r>
    </w:p>
  </w:endnote>
  <w:endnote w:id="49">
    <w:p w14:paraId="0FD5B44F" w14:textId="3263FC50"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{"citationID":"aSdMlQLA","properties":{"formattedCitation":"ibid 214.","plainCitation":"ibid 214.","noteIndex":61},"citationItems":[{"id":217,"uris":["http://zotero.org/users/9900632/items/34BF54WP"],"itemData":{"id":217,"type":"legal_case","authority":"Corte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441","accessed":{"date-parts":[["2022",8,19]]},"issued":{"date-parts":[["2021",11,2]]}},"locator":"214","label":"paragraph"}],"schema":"https://github.com/citation-style-language/schema/raw/master/csl-citation.json"}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214.</w:t>
      </w:r>
      <w:r w:rsidRPr="00FB5890">
        <w:rPr>
          <w:rFonts w:ascii="Times New Roman" w:hAnsi="Times New Roman" w:cs="Times New Roman"/>
        </w:rPr>
        <w:fldChar w:fldCharType="end"/>
      </w:r>
    </w:p>
  </w:endnote>
  <w:endnote w:id="50">
    <w:p w14:paraId="2DF9E29A" w14:textId="045881CD" w:rsidR="00BB358C" w:rsidRPr="00FB5890" w:rsidRDefault="00BB358C" w:rsidP="00FB5890">
      <w:pPr>
        <w:pStyle w:val="Default"/>
        <w:jc w:val="both"/>
        <w:rPr>
          <w:rFonts w:ascii="Times New Roman" w:hAnsi="Times New Roman" w:cs="Times New Roman"/>
          <w:sz w:val="20"/>
          <w:szCs w:val="20"/>
        </w:rPr>
      </w:pPr>
      <w:r w:rsidRPr="00FB5890">
        <w:rPr>
          <w:rStyle w:val="EndnoteReference"/>
          <w:rFonts w:ascii="Times New Roman" w:hAnsi="Times New Roman" w:cs="Times New Roman"/>
          <w:sz w:val="20"/>
          <w:szCs w:val="20"/>
        </w:rPr>
        <w:endnoteRef/>
      </w:r>
      <w:r w:rsidRPr="00FB5890">
        <w:rPr>
          <w:rFonts w:ascii="Times New Roman" w:hAnsi="Times New Roman" w:cs="Times New Roman"/>
          <w:sz w:val="20"/>
          <w:szCs w:val="20"/>
        </w:rPr>
        <w:t xml:space="preserve"> “El Código de Salud de El Salvador establece como una de las excepciones a la inviolabilidad del secreto profesional que “mantenerlo, vulnere las leyes vigentes”. Por otra parte, la legislación penal establecía el deber de los médicos de mantener el secreto profesional, y, por ende, abstenerse de declarar, y por otro parte, establecía una obligación de denunciar la ocurrencia de un hecho punible. Si bien uno de los artículos del Código Procesal Penal, establecía como excepción al deber de denuncia que personal médico hubiese tenido conocimiento del mismo “bajo el amparo del secreto profesional”, el Código Penal tipificaba en el artículo 312 la falta de denuncia por parte de funcionarios públicos, sin que se estableciese excepción alguna” </w:t>
      </w:r>
      <w:r w:rsidRPr="00FB5890">
        <w:rPr>
          <w:rFonts w:ascii="Times New Roman" w:hAnsi="Times New Roman" w:cs="Times New Roman"/>
          <w:sz w:val="20"/>
          <w:szCs w:val="20"/>
        </w:rPr>
        <w:fldChar w:fldCharType="begin"/>
      </w:r>
      <w:r w:rsidRPr="00FB5890">
        <w:rPr>
          <w:rFonts w:ascii="Times New Roman" w:hAnsi="Times New Roman" w:cs="Times New Roman"/>
          <w:sz w:val="20"/>
          <w:szCs w:val="20"/>
        </w:rPr>
        <w:instrText xml:space="preserve"> ADDIN ZOTERO_ITEM CSL_CITATION {"citationID":"8v5R5BX2","properties":{"formattedCitation":"ibid 213.","plainCitation":"ibid 213.","noteIndex":62},"citationItems":[{"id":217,"uris":["http://zotero.org/users/9900632/items/34BF54WP"],"itemData":{"id":217,"type":"legal_case","authority":"Corte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441","accessed":{"date-parts":[["2022",8,19]]},"issued":{"date-parts":[["2021",11,2]]}},"locator":"213","label":"paragraph"}],"schema":"https://github.com/citation-style-language/schema/raw/master/csl-citation.json"} </w:instrText>
      </w:r>
      <w:r w:rsidRPr="00FB5890">
        <w:rPr>
          <w:rFonts w:ascii="Times New Roman" w:hAnsi="Times New Roman" w:cs="Times New Roman"/>
          <w:sz w:val="20"/>
          <w:szCs w:val="20"/>
        </w:rPr>
        <w:fldChar w:fldCharType="separate"/>
      </w:r>
      <w:r w:rsidRPr="00FB5890">
        <w:rPr>
          <w:rFonts w:ascii="Times New Roman" w:hAnsi="Times New Roman" w:cs="Times New Roman"/>
          <w:sz w:val="20"/>
          <w:szCs w:val="20"/>
        </w:rPr>
        <w:t>ibid 213.</w:t>
      </w:r>
      <w:r w:rsidRPr="00FB5890">
        <w:rPr>
          <w:rFonts w:ascii="Times New Roman" w:hAnsi="Times New Roman" w:cs="Times New Roman"/>
          <w:sz w:val="20"/>
          <w:szCs w:val="20"/>
        </w:rPr>
        <w:fldChar w:fldCharType="end"/>
      </w:r>
    </w:p>
  </w:endnote>
  <w:endnote w:id="51">
    <w:p w14:paraId="16C598E0" w14:textId="7295548A"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{"citationID":"QtPA8vkH","properties":{"formattedCitation":"ibid 215.","plainCitation":"ibid 215.","noteIndex":63},"citationItems":[{"id":217,"uris":["http://zotero.org/users/9900632/items/34BF54WP"],"itemData":{"id":217,"type":"legal_case","authority":"Corte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441","accessed":{"date-parts":[["2022",8,19]]},"issued":{"date-parts":[["2021",11,2]]}},"locator":"215","label":"paragraph"}],"schema":"https://github.com/citation-style-language/schema/raw/master/csl-citation.json"}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215.</w:t>
      </w:r>
      <w:r w:rsidRPr="00FB5890">
        <w:rPr>
          <w:rFonts w:ascii="Times New Roman" w:hAnsi="Times New Roman" w:cs="Times New Roman"/>
        </w:rPr>
        <w:fldChar w:fldCharType="end"/>
      </w:r>
    </w:p>
  </w:endnote>
  <w:endnote w:id="52">
    <w:p w14:paraId="2E607398" w14:textId="64DAB12E"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{"citationID":"HioKsx9M","properties":{"formattedCitation":"ibid 219.","plainCitation":"ibid 219.","noteIndex":64},"citationItems":[{"id":217,"uris":["http://zotero.org/users/9900632/items/34BF54WP"],"itemData":{"id":217,"type":"legal_case","authority":"Corte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441","accessed":{"date-parts":[["2022",8,19]]},"issued":{"date-parts":[["2021",11,2]]}},"locator":"219","label":"paragraph"}],"schema":"https://github.com/citation-style-language/schema/raw/master/csl-citation.json"}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219.</w:t>
      </w:r>
      <w:r w:rsidRPr="00FB5890">
        <w:rPr>
          <w:rFonts w:ascii="Times New Roman" w:hAnsi="Times New Roman" w:cs="Times New Roman"/>
        </w:rPr>
        <w:fldChar w:fldCharType="end"/>
      </w:r>
    </w:p>
  </w:endnote>
  <w:endnote w:id="53">
    <w:p w14:paraId="78C7EC92" w14:textId="55A6B31B"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{"citationID":"vMkXiW3N","properties":{"formattedCitation":"ibid 224.","plainCitation":"ibid 224.","noteIndex":65},"citationItems":[{"id":217,"uris":["http://zotero.org/users/9900632/items/34BF54WP"],"itemData":{"id":217,"type":"legal_case","authority":"Corte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441","accessed":{"date-parts":[["2022",8,19]]},"issued":{"date-parts":[["2021",11,2]]}},"locator":"224","label":"paragraph"}],"schema":"https://github.com/citation-style-language/schema/raw/master/csl-citation.json"}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224.</w:t>
      </w:r>
      <w:r w:rsidRPr="00FB5890">
        <w:rPr>
          <w:rFonts w:ascii="Times New Roman" w:hAnsi="Times New Roman" w:cs="Times New Roman"/>
        </w:rPr>
        <w:fldChar w:fldCharType="end"/>
      </w:r>
    </w:p>
  </w:endnote>
  <w:endnote w:id="54">
    <w:p w14:paraId="03F3EB99" w14:textId="590804CA"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{"citationID":"jLaiwuJ1","properties":{"formattedCitation":"ibid.","plainCitation":"ibid.","noteIndex":66},"citationItems":[{"id":217,"uris":["http://zotero.org/users/9900632/items/34BF54WP"],"itemData":{"id":217,"type":"legal_case","authority":"Corte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441","accessed":{"date-parts":[["2022",8,19]]},"issued":{"date-parts":[["2021",11,2]]}},"locator":"224","label":"paragraph"}],"schema":"https://github.com/citation-style-language/schema/raw/master/csl-citation.json"}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r w:rsidRPr="00FB5890">
        <w:rPr>
          <w:rFonts w:ascii="Times New Roman" w:hAnsi="Times New Roman" w:cs="Times New Roman"/>
          <w:lang w:val="en-US"/>
        </w:rPr>
        <w:t xml:space="preserve"> </w:t>
      </w:r>
    </w:p>
  </w:endnote>
  <w:endnote w:id="55">
    <w:p w14:paraId="0443EBE1" w14:textId="13A44F44"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{"citationID":"X1dV64Hu","properties":{"formattedCitation":"ibid.","plainCitation":"ibid.","noteIndex":67},"citationItems":[{"id":217,"uris":["http://zotero.org/users/9900632/items/34BF54WP"],"itemData":{"id":217,"type":"legal_case","authority":"Corte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441","accessed":{"date-parts":[["2022",8,19]]},"issued":{"date-parts":[["2021",11,2]]}},"locator":"224","label":"paragraph"}],"schema":"https://github.com/citation-style-language/schema/raw/master/csl-citation.json"}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p>
  </w:endnote>
  <w:endnote w:id="56">
    <w:p w14:paraId="79294037" w14:textId="3B1C52B1"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{"citationID":"WBuVtu3M","properties":{"formattedCitation":"ibid 286.","plainCitation":"ibid 286.","noteIndex":73},"citationItems":[{"id":217,"uris":["http://zotero.org/users/9900632/items/34BF54WP"],"itemData":{"id":217,"type":"legal_case","authority":"Corte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441","accessed":{"date-parts":[["2022",8,19]]},"issued":{"date-parts":[["2021",11,2]]}},"locator":"286","label":"paragraph"}],"schema":"https://github.com/citation-style-language/schema/raw/master/csl-citation.json"}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286.</w:t>
      </w:r>
      <w:r w:rsidRPr="00FB5890">
        <w:rPr>
          <w:rFonts w:ascii="Times New Roman" w:hAnsi="Times New Roman" w:cs="Times New Roman"/>
        </w:rPr>
        <w:fldChar w:fldCharType="end"/>
      </w:r>
    </w:p>
  </w:endnote>
  <w:endnote w:id="57">
    <w:p w14:paraId="57C6B20E" w14:textId="2223EA0E"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{"citationID":"WyaUUBC6","properties":{"formattedCitation":"ibid.","plainCitation":"ibid.","noteIndex":74},"citationItems":[{"id":217,"uris":["http://zotero.org/users/9900632/items/34BF54WP"],"itemData":{"id":217,"type":"legal_case","authority":"Corte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441","accessed":{"date-parts":[["2022",8,19]]},"issued":{"date-parts":[["2021",11,2]]}},"locator":"286","label":"paragraph"}],"schema":"https://github.com/citation-style-language/schema/raw/master/csl-citation.json"}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p>
  </w:endnote>
  <w:endnote w:id="58">
    <w:p w14:paraId="507B39F8" w14:textId="5198ED8E"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{"citationID":"aouHQaOA","properties":{"formattedCitation":"ibid.","plainCitation":"ibid.","noteIndex":75},"citationItems":[{"id":217,"uris":["http://zotero.org/users/9900632/items/34BF54WP"],"itemData":{"id":217,"type":"legal_case","authority":"Corte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441","accessed":{"date-parts":[["2022",8,19]]},"issued":{"date-parts":[["2021",11,2]]}},"locator":"286","label":"paragraph"}],"schema":"https://github.com/citation-style-language/schema/raw/master/csl-citation.json"}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p>
  </w:endnote>
  <w:endnote w:id="59">
    <w:p w14:paraId="29384B38" w14:textId="56827CAF"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{"citationID":"Onz6ykIh","properties":{"formattedCitation":"ibid 287.","plainCitation":"ibid 287.","noteIndex":76},"citationItems":[{"id":217,"uris":["http://zotero.org/users/9900632/items/34BF54WP"],"itemData":{"id":217,"type":"legal_case","authority":"Corte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441","accessed":{"date-parts":[["2022",8,19]]},"issued":{"date-parts":[["2021",11,2]]}},"locator":"287","label":"paragraph"}],"schema":"https://github.com/citation-style-language/schema/raw/master/csl-citation.json"}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287.</w:t>
      </w:r>
      <w:r w:rsidRPr="00FB5890">
        <w:rPr>
          <w:rFonts w:ascii="Times New Roman" w:hAnsi="Times New Roman" w:cs="Times New Roman"/>
        </w:rPr>
        <w:fldChar w:fldCharType="end"/>
      </w:r>
    </w:p>
  </w:endnote>
  <w:endnote w:id="60">
    <w:p w14:paraId="2B2AA025" w14:textId="0D57F767"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{"citationID":"79SfWYRE","properties":{"formattedCitation":"ibid.","plainCitation":"ibid.","noteIndex":77},"citationItems":[{"id":217,"uris":["http://zotero.org/users/9900632/items/34BF54WP"],"itemData":{"id":217,"type":"legal_case","authority":"Corte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441","accessed":{"date-parts":[["2022",8,19]]},"issued":{"date-parts":[["2021",11,2]]}},"locator":"287","label":"paragraph"}],"schema":"https://github.com/citation-style-language/schema/raw/master/csl-citation.json"}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p>
  </w:endnote>
  <w:endnote w:id="61">
    <w:p w14:paraId="7789F6EF" w14:textId="42167F86"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{"citationID":"zkVZzXhh","properties":{"formattedCitation":"ibid 293.","plainCitation":"ibid 293.","noteIndex":78},"citationItems":[{"id":217,"uris":["http://zotero.org/users/9900632/items/34BF54WP"],"itemData":{"id":217,"type":"legal_case","authority":"Corte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441","accessed":{"date-parts":[["2022",8,19]]},"issued":{"date-parts":[["2021",11,2]]}},"locator":"293","label":"paragraph"}],"schema":"https://github.com/citation-style-language/schema/raw/master/csl-citation.json"}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 293.</w:t>
      </w:r>
      <w:r w:rsidRPr="00FB5890">
        <w:rPr>
          <w:rFonts w:ascii="Times New Roman" w:hAnsi="Times New Roman" w:cs="Times New Roman"/>
        </w:rPr>
        <w:fldChar w:fldCharType="end"/>
      </w:r>
    </w:p>
  </w:endnote>
  <w:endnote w:id="62">
    <w:p w14:paraId="5FD0FDAC" w14:textId="1943AD58"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lang w:val="en-US"/>
        </w:rPr>
        <w:t xml:space="preserve"> </w:t>
      </w:r>
      <w:r w:rsidRPr="00FB5890">
        <w:rPr>
          <w:rFonts w:ascii="Times New Roman" w:hAnsi="Times New Roman" w:cs="Times New Roman"/>
          <w:i/>
          <w:lang w:val="en-US"/>
        </w:rPr>
        <w:t>Véase</w:t>
      </w:r>
      <w:r w:rsidRPr="00FB5890">
        <w:rPr>
          <w:rFonts w:ascii="Times New Roman" w:hAnsi="Times New Roman" w:cs="Times New Roman"/>
          <w:lang w:val="en-US"/>
        </w:rPr>
        <w:t xml:space="preserve"> </w:t>
      </w:r>
      <w:r w:rsidRPr="00FB5890">
        <w:rPr>
          <w:rFonts w:ascii="Times New Roman" w:hAnsi="Times New Roman" w:cs="Times New Roman"/>
        </w:rPr>
        <w:fldChar w:fldCharType="begin"/>
      </w:r>
      <w:r w:rsidRPr="00FB5890">
        <w:rPr>
          <w:rFonts w:ascii="Times New Roman" w:hAnsi="Times New Roman" w:cs="Times New Roman"/>
          <w:lang w:val="en-US"/>
        </w:rPr>
        <w:instrText xml:space="preserve"> ADDIN ZOTERO_ITEM CSL_CITATION {"citationID":"NWCBW7md","properties":{"formattedCitation":"ibid.","plainCitation":"ibid.","noteIndex":79},"citationItems":[{"id":217,"uris":["http://zotero.org/users/9900632/items/34BF54WP"],"itemData":{"id":217,"type":"legal_case","authority":"Corte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441","accessed":{"date-parts":[["2022",8,19]]},"issued":{"date-parts":[["2021",11,2]]}},"locator":"293","label":"paragraph"}],"schema":"https://github.com/citation-style-language/schema/raw/master/csl-citation.json"}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lang w:val="en-US"/>
        </w:rPr>
        <w:t>ibid.</w:t>
      </w:r>
      <w:r w:rsidRPr="00FB5890">
        <w:rPr>
          <w:rFonts w:ascii="Times New Roman" w:hAnsi="Times New Roman" w:cs="Times New Roman"/>
        </w:rPr>
        <w:fldChar w:fldCharType="end"/>
      </w:r>
    </w:p>
  </w:endnote>
  <w:endnote w:id="63">
    <w:p w14:paraId="4854E2D3" w14:textId="368DA9E3"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{"citationID":"y20zG0cf","properties":{"formattedCitation":"ibid 294.","plainCitation":"ibid 294.","noteIndex":80},"citationItems":[{"id":217,"uris":["http://zotero.org/users/9900632/items/34BF54WP"],"itemData":{"id":217,"type":"legal_case","authority":"Corte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441","accessed":{"date-parts":[["2022",8,19]]},"issued":{"date-parts":[["2021",11,2]]}},"locator":"294","label":"paragraph"}],"schema":"https://github.com/citation-style-language/schema/raw/master/csl-citation.json"}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294.</w:t>
      </w:r>
      <w:r w:rsidRPr="00FB5890">
        <w:rPr>
          <w:rFonts w:ascii="Times New Roman" w:hAnsi="Times New Roman" w:cs="Times New Roman"/>
        </w:rPr>
        <w:fldChar w:fldCharType="end"/>
      </w:r>
    </w:p>
  </w:endnote>
  <w:endnote w:id="64">
    <w:p w14:paraId="6FAA222E" w14:textId="0D1DDF9C" w:rsidR="00BB358C" w:rsidRPr="00FB5890" w:rsidRDefault="00BB358C" w:rsidP="00FB5890">
      <w:pPr>
        <w:pStyle w:val="EndnoteText"/>
        <w:jc w:val="both"/>
        <w:rPr>
          <w:rFonts w:ascii="Times New Roman" w:hAnsi="Times New Roman" w:cs="Times New Roman"/>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{"citationID":"a3Qjux3g","properties":{"formattedCitation":"ibid 297.","plainCitation":"ibid 297.","noteIndex":81},"citationItems":[{"id":217,"uris":["http://zotero.org/users/9900632/items/34BF54WP"],"itemData":{"id":217,"type":"legal_case","authority":"Corte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441","accessed":{"date-parts":[["2022",8,19]]},"issued":{"date-parts":[["2021",11,2]]}},"locator":"297","label":"paragraph"}],"schema":"https://github.com/citation-style-language/schema/raw/master/csl-citation.json"}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297.</w:t>
      </w:r>
      <w:r w:rsidRPr="00FB5890">
        <w:rPr>
          <w:rFonts w:ascii="Times New Roman" w:hAnsi="Times New Roman" w:cs="Times New Roman"/>
        </w:rPr>
        <w:fldChar w:fldCharType="end"/>
      </w:r>
    </w:p>
  </w:endnote>
  <w:endnote w:id="65">
    <w:p w14:paraId="4802CEF2" w14:textId="3A9DABD5" w:rsidR="00BB358C" w:rsidRPr="00FB5890" w:rsidRDefault="00BB358C" w:rsidP="00FB5890">
      <w:pPr>
        <w:pStyle w:val="EndnoteText"/>
        <w:jc w:val="both"/>
        <w:rPr>
          <w:rFonts w:ascii="Times New Roman" w:hAnsi="Times New Roman" w:cs="Times New Roman"/>
          <w:lang w:val="en-US"/>
        </w:rPr>
      </w:pPr>
      <w:r w:rsidRPr="00FB5890">
        <w:rPr>
          <w:rStyle w:val="EndnoteReference"/>
          <w:rFonts w:ascii="Times New Roman" w:hAnsi="Times New Roman" w:cs="Times New Roman"/>
        </w:rPr>
        <w:endnoteRef/>
      </w:r>
      <w:r w:rsidRPr="00FB5890">
        <w:rPr>
          <w:rFonts w:ascii="Times New Roman" w:hAnsi="Times New Roman" w:cs="Times New Roman"/>
        </w:rPr>
        <w:t xml:space="preserve"> </w:t>
      </w:r>
      <w:r w:rsidRPr="00FB5890">
        <w:rPr>
          <w:rFonts w:ascii="Times New Roman" w:hAnsi="Times New Roman" w:cs="Times New Roman"/>
        </w:rPr>
        <w:fldChar w:fldCharType="begin"/>
      </w:r>
      <w:r w:rsidRPr="00FB5890">
        <w:rPr>
          <w:rFonts w:ascii="Times New Roman" w:hAnsi="Times New Roman" w:cs="Times New Roman"/>
        </w:rPr>
        <w:instrText xml:space="preserve"> ADDIN ZOTERO_ITEM CSL_CITATION {"citationID":"DqsmKJzj","properties":{"formattedCitation":"ibid 299.","plainCitation":"ibid 299.","noteIndex":82},"citationItems":[{"id":217,"uris":["http://zotero.org/users/9900632/items/34BF54WP"],"itemData":{"id":217,"type":"legal_case","authority":"Corte IDH","title":"Manuela y otros Vs. El Salvador. Excepciones preliminares, Fondo, Reparaciones y Costas","URL":"https://www.corteidh.or.cr/docs/casos/articulos/seriec_441_esp.pdf","volume":"Serie C No. 441","accessed":{"date-parts":[["2022",8,19]]},"issued":{"date-parts":[["2021",11,2]]}},"locator":"299","label":"paragraph"}],"schema":"https://github.com/citation-style-language/schema/raw/master/csl-citation.json"} </w:instrText>
      </w:r>
      <w:r w:rsidRPr="00FB5890">
        <w:rPr>
          <w:rFonts w:ascii="Times New Roman" w:hAnsi="Times New Roman" w:cs="Times New Roman"/>
        </w:rPr>
        <w:fldChar w:fldCharType="separate"/>
      </w:r>
      <w:r w:rsidRPr="00FB5890">
        <w:rPr>
          <w:rFonts w:ascii="Times New Roman" w:hAnsi="Times New Roman" w:cs="Times New Roman"/>
        </w:rPr>
        <w:t>ibid 299.</w:t>
      </w:r>
      <w:r w:rsidRPr="00FB5890">
        <w:rPr>
          <w:rFonts w:ascii="Times New Roman" w:hAnsi="Times New Roman" w:cs="Times New Roman"/>
        </w:rPr>
        <w:fldChar w:fldCharType="end"/>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955849666"/>
      <w:docPartObj>
        <w:docPartGallery w:val="Page Numbers (Bottom of Page)"/>
        <w:docPartUnique/>
      </w:docPartObj>
    </w:sdtPr>
    <w:sdtEndPr>
      <w:rPr>
        <w:noProof/>
      </w:rPr>
    </w:sdtEndPr>
    <w:sdtContent>
      <w:p w14:paraId="746D9524" w14:textId="5F77A3E0" w:rsidR="00B4376F" w:rsidRPr="008F2636" w:rsidRDefault="00B4376F">
        <w:pPr>
          <w:pStyle w:val="Footer"/>
          <w:jc w:val="right"/>
          <w:rPr>
            <w:rFonts w:ascii="Times New Roman" w:hAnsi="Times New Roman" w:cs="Times New Roman"/>
          </w:rPr>
        </w:pPr>
        <w:r w:rsidRPr="008F2636">
          <w:rPr>
            <w:rFonts w:ascii="Times New Roman" w:hAnsi="Times New Roman" w:cs="Times New Roman"/>
          </w:rPr>
          <w:fldChar w:fldCharType="begin"/>
        </w:r>
        <w:r w:rsidRPr="008F2636">
          <w:rPr>
            <w:rFonts w:ascii="Times New Roman" w:hAnsi="Times New Roman" w:cs="Times New Roman"/>
          </w:rPr>
          <w:instrText xml:space="preserve"> PAGE   \* MERGEFORMAT </w:instrText>
        </w:r>
        <w:r w:rsidRPr="008F2636">
          <w:rPr>
            <w:rFonts w:ascii="Times New Roman" w:hAnsi="Times New Roman" w:cs="Times New Roman"/>
          </w:rPr>
          <w:fldChar w:fldCharType="separate"/>
        </w:r>
        <w:r w:rsidR="00536FD3">
          <w:rPr>
            <w:rFonts w:ascii="Times New Roman" w:hAnsi="Times New Roman" w:cs="Times New Roman"/>
            <w:noProof/>
          </w:rPr>
          <w:t>1</w:t>
        </w:r>
        <w:r w:rsidRPr="008F2636">
          <w:rPr>
            <w:rFonts w:ascii="Times New Roman" w:hAnsi="Times New Roman" w:cs="Times New Roman"/>
            <w:noProof/>
          </w:rPr>
          <w:fldChar w:fldCharType="end"/>
        </w:r>
      </w:p>
    </w:sdtContent>
  </w:sdt>
  <w:p w14:paraId="2AFF7C18" w14:textId="77777777" w:rsidR="00B4376F" w:rsidRPr="008F2636" w:rsidRDefault="00B4376F">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7BDAB5" w14:textId="77777777" w:rsidR="00043EBA" w:rsidRDefault="00043EBA" w:rsidP="004141E5">
      <w:pPr>
        <w:spacing w:after="0" w:line="240" w:lineRule="auto"/>
      </w:pPr>
      <w:r>
        <w:separator/>
      </w:r>
    </w:p>
  </w:footnote>
  <w:footnote w:type="continuationSeparator" w:id="0">
    <w:p w14:paraId="5817C2B2" w14:textId="77777777" w:rsidR="00043EBA" w:rsidRDefault="00043EBA" w:rsidP="004141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3A2F7" w14:textId="69A24153" w:rsidR="00B4376F" w:rsidRDefault="00B4376F" w:rsidP="00382DBA">
    <w:pPr>
      <w:pStyle w:val="Header"/>
      <w:ind w:left="-90"/>
    </w:pPr>
    <w:r w:rsidRPr="00AB678C">
      <w:rPr>
        <w:noProof/>
        <w:lang w:val="en-GB" w:eastAsia="en-GB"/>
      </w:rPr>
      <w:drawing>
        <wp:inline distT="0" distB="0" distL="0" distR="0" wp14:anchorId="68971CB3" wp14:editId="10B0F621">
          <wp:extent cx="932718" cy="459599"/>
          <wp:effectExtent l="0" t="0" r="1270" b="0"/>
          <wp:docPr id="19" name="Picture 1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1"/>
                  <a:stretch>
                    <a:fillRect/>
                  </a:stretch>
                </pic:blipFill>
                <pic:spPr>
                  <a:xfrm>
                    <a:off x="0" y="0"/>
                    <a:ext cx="970634" cy="478282"/>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66FD7"/>
    <w:multiLevelType w:val="hybridMultilevel"/>
    <w:tmpl w:val="552C0D22"/>
    <w:lvl w:ilvl="0" w:tplc="580A0015">
      <w:start w:val="1"/>
      <w:numFmt w:val="upp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 w15:restartNumberingAfterBreak="0">
    <w:nsid w:val="0F165EA6"/>
    <w:multiLevelType w:val="hybridMultilevel"/>
    <w:tmpl w:val="74F69A00"/>
    <w:lvl w:ilvl="0" w:tplc="41C0C82A">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 w15:restartNumberingAfterBreak="0">
    <w:nsid w:val="0F485EA8"/>
    <w:multiLevelType w:val="hybridMultilevel"/>
    <w:tmpl w:val="1C289E12"/>
    <w:lvl w:ilvl="0" w:tplc="580A0019">
      <w:start w:val="1"/>
      <w:numFmt w:val="lowerLetter"/>
      <w:lvlText w:val="%1."/>
      <w:lvlJc w:val="left"/>
      <w:pPr>
        <w:ind w:left="780" w:hanging="360"/>
      </w:pPr>
    </w:lvl>
    <w:lvl w:ilvl="1" w:tplc="580A0019" w:tentative="1">
      <w:start w:val="1"/>
      <w:numFmt w:val="lowerLetter"/>
      <w:lvlText w:val="%2."/>
      <w:lvlJc w:val="left"/>
      <w:pPr>
        <w:ind w:left="1500" w:hanging="360"/>
      </w:pPr>
    </w:lvl>
    <w:lvl w:ilvl="2" w:tplc="580A001B" w:tentative="1">
      <w:start w:val="1"/>
      <w:numFmt w:val="lowerRoman"/>
      <w:lvlText w:val="%3."/>
      <w:lvlJc w:val="right"/>
      <w:pPr>
        <w:ind w:left="2220" w:hanging="180"/>
      </w:pPr>
    </w:lvl>
    <w:lvl w:ilvl="3" w:tplc="580A000F" w:tentative="1">
      <w:start w:val="1"/>
      <w:numFmt w:val="decimal"/>
      <w:lvlText w:val="%4."/>
      <w:lvlJc w:val="left"/>
      <w:pPr>
        <w:ind w:left="2940" w:hanging="360"/>
      </w:pPr>
    </w:lvl>
    <w:lvl w:ilvl="4" w:tplc="580A0019" w:tentative="1">
      <w:start w:val="1"/>
      <w:numFmt w:val="lowerLetter"/>
      <w:lvlText w:val="%5."/>
      <w:lvlJc w:val="left"/>
      <w:pPr>
        <w:ind w:left="3660" w:hanging="360"/>
      </w:pPr>
    </w:lvl>
    <w:lvl w:ilvl="5" w:tplc="580A001B">
      <w:start w:val="1"/>
      <w:numFmt w:val="lowerRoman"/>
      <w:lvlText w:val="%6."/>
      <w:lvlJc w:val="right"/>
      <w:pPr>
        <w:ind w:left="4380" w:hanging="180"/>
      </w:pPr>
    </w:lvl>
    <w:lvl w:ilvl="6" w:tplc="580A000F" w:tentative="1">
      <w:start w:val="1"/>
      <w:numFmt w:val="decimal"/>
      <w:lvlText w:val="%7."/>
      <w:lvlJc w:val="left"/>
      <w:pPr>
        <w:ind w:left="5100" w:hanging="360"/>
      </w:pPr>
    </w:lvl>
    <w:lvl w:ilvl="7" w:tplc="580A0019" w:tentative="1">
      <w:start w:val="1"/>
      <w:numFmt w:val="lowerLetter"/>
      <w:lvlText w:val="%8."/>
      <w:lvlJc w:val="left"/>
      <w:pPr>
        <w:ind w:left="5820" w:hanging="360"/>
      </w:pPr>
    </w:lvl>
    <w:lvl w:ilvl="8" w:tplc="580A001B" w:tentative="1">
      <w:start w:val="1"/>
      <w:numFmt w:val="lowerRoman"/>
      <w:lvlText w:val="%9."/>
      <w:lvlJc w:val="right"/>
      <w:pPr>
        <w:ind w:left="6540" w:hanging="180"/>
      </w:pPr>
    </w:lvl>
  </w:abstractNum>
  <w:abstractNum w:abstractNumId="3" w15:restartNumberingAfterBreak="0">
    <w:nsid w:val="32E410C2"/>
    <w:multiLevelType w:val="hybridMultilevel"/>
    <w:tmpl w:val="7234C090"/>
    <w:lvl w:ilvl="0" w:tplc="580A0001">
      <w:start w:val="1"/>
      <w:numFmt w:val="bullet"/>
      <w:lvlText w:val=""/>
      <w:lvlJc w:val="left"/>
      <w:pPr>
        <w:ind w:left="1080" w:hanging="720"/>
      </w:pPr>
      <w:rPr>
        <w:rFonts w:ascii="Symbol" w:hAnsi="Symbol"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4" w15:restartNumberingAfterBreak="0">
    <w:nsid w:val="3837466B"/>
    <w:multiLevelType w:val="hybridMultilevel"/>
    <w:tmpl w:val="A10CF1D2"/>
    <w:lvl w:ilvl="0" w:tplc="C674FBCE">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 w15:restartNumberingAfterBreak="0">
    <w:nsid w:val="57616575"/>
    <w:multiLevelType w:val="hybridMultilevel"/>
    <w:tmpl w:val="F30CCF18"/>
    <w:lvl w:ilvl="0" w:tplc="C98C9EFE">
      <w:start w:val="1"/>
      <w:numFmt w:val="decimal"/>
      <w:lvlText w:val="%1."/>
      <w:lvlJc w:val="left"/>
      <w:pPr>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95269D5"/>
    <w:multiLevelType w:val="hybridMultilevel"/>
    <w:tmpl w:val="9C90AACE"/>
    <w:lvl w:ilvl="0" w:tplc="580A0019">
      <w:start w:val="9"/>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7" w15:restartNumberingAfterBreak="0">
    <w:nsid w:val="5F5D478B"/>
    <w:multiLevelType w:val="hybridMultilevel"/>
    <w:tmpl w:val="0A9EB786"/>
    <w:lvl w:ilvl="0" w:tplc="580A0001">
      <w:start w:val="1"/>
      <w:numFmt w:val="bullet"/>
      <w:lvlText w:val=""/>
      <w:lvlJc w:val="left"/>
      <w:pPr>
        <w:ind w:left="1080" w:hanging="720"/>
      </w:pPr>
      <w:rPr>
        <w:rFonts w:ascii="Symbol" w:hAnsi="Symbol"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5FBB43BE"/>
    <w:multiLevelType w:val="hybridMultilevel"/>
    <w:tmpl w:val="38267F6C"/>
    <w:lvl w:ilvl="0" w:tplc="1AD26AF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649A452D"/>
    <w:multiLevelType w:val="hybridMultilevel"/>
    <w:tmpl w:val="79D8D18E"/>
    <w:lvl w:ilvl="0" w:tplc="CC0C8A12">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AC388A76">
      <w:start w:val="1"/>
      <w:numFmt w:val="lowerRoman"/>
      <w:lvlText w:val="%3."/>
      <w:lvlJc w:val="right"/>
      <w:pPr>
        <w:ind w:left="2160" w:hanging="180"/>
      </w:pPr>
      <w:rPr>
        <w:i w:val="0"/>
      </w:rPr>
    </w:lvl>
    <w:lvl w:ilvl="3" w:tplc="580A0001">
      <w:start w:val="1"/>
      <w:numFmt w:val="bullet"/>
      <w:lvlText w:val=""/>
      <w:lvlJc w:val="left"/>
      <w:pPr>
        <w:ind w:left="2880" w:hanging="360"/>
      </w:pPr>
      <w:rPr>
        <w:rFonts w:ascii="Symbol" w:hAnsi="Symbol" w:hint="default"/>
      </w:rPr>
    </w:lvl>
    <w:lvl w:ilvl="4" w:tplc="580A0019">
      <w:start w:val="1"/>
      <w:numFmt w:val="lowerLetter"/>
      <w:lvlText w:val="%5."/>
      <w:lvlJc w:val="left"/>
      <w:pPr>
        <w:ind w:left="3600" w:hanging="360"/>
      </w:pPr>
    </w:lvl>
    <w:lvl w:ilvl="5" w:tplc="683E69FA">
      <w:start w:val="4"/>
      <w:numFmt w:val="bullet"/>
      <w:lvlText w:val="-"/>
      <w:lvlJc w:val="left"/>
      <w:pPr>
        <w:ind w:left="4500" w:hanging="360"/>
      </w:pPr>
      <w:rPr>
        <w:rFonts w:ascii="Times New Roman" w:eastAsiaTheme="minorHAnsi" w:hAnsi="Times New Roman" w:cs="Times New Roman" w:hint="default"/>
      </w:r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73A12A8B"/>
    <w:multiLevelType w:val="hybridMultilevel"/>
    <w:tmpl w:val="721AB7AA"/>
    <w:lvl w:ilvl="0" w:tplc="968C0170">
      <w:start w:val="1"/>
      <w:numFmt w:val="lowerRoman"/>
      <w:lvlText w:val="%1)"/>
      <w:lvlJc w:val="left"/>
      <w:pPr>
        <w:ind w:left="1080" w:hanging="72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start w:val="1"/>
      <w:numFmt w:val="decimal"/>
      <w:lvlText w:val="%4."/>
      <w:lvlJc w:val="left"/>
      <w:pPr>
        <w:ind w:left="2880" w:hanging="360"/>
      </w:pPr>
    </w:lvl>
    <w:lvl w:ilvl="4" w:tplc="580A0019">
      <w:start w:val="1"/>
      <w:numFmt w:val="lowerLetter"/>
      <w:lvlText w:val="%5."/>
      <w:lvlJc w:val="left"/>
      <w:pPr>
        <w:ind w:left="3600" w:hanging="360"/>
      </w:pPr>
    </w:lvl>
    <w:lvl w:ilvl="5" w:tplc="580A001B">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1" w15:restartNumberingAfterBreak="0">
    <w:nsid w:val="76586504"/>
    <w:multiLevelType w:val="hybridMultilevel"/>
    <w:tmpl w:val="19DA01F8"/>
    <w:lvl w:ilvl="0" w:tplc="AC388A76">
      <w:start w:val="1"/>
      <w:numFmt w:val="lowerRoman"/>
      <w:lvlText w:val="%1."/>
      <w:lvlJc w:val="right"/>
      <w:pPr>
        <w:ind w:left="2160" w:hanging="180"/>
      </w:pPr>
      <w:rPr>
        <w:i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2" w15:restartNumberingAfterBreak="0">
    <w:nsid w:val="7C337216"/>
    <w:multiLevelType w:val="hybridMultilevel"/>
    <w:tmpl w:val="1C289E12"/>
    <w:lvl w:ilvl="0" w:tplc="580A0019">
      <w:start w:val="1"/>
      <w:numFmt w:val="lowerLetter"/>
      <w:lvlText w:val="%1."/>
      <w:lvlJc w:val="left"/>
      <w:pPr>
        <w:ind w:left="780" w:hanging="360"/>
      </w:pPr>
    </w:lvl>
    <w:lvl w:ilvl="1" w:tplc="580A0019" w:tentative="1">
      <w:start w:val="1"/>
      <w:numFmt w:val="lowerLetter"/>
      <w:lvlText w:val="%2."/>
      <w:lvlJc w:val="left"/>
      <w:pPr>
        <w:ind w:left="1500" w:hanging="360"/>
      </w:pPr>
    </w:lvl>
    <w:lvl w:ilvl="2" w:tplc="580A001B" w:tentative="1">
      <w:start w:val="1"/>
      <w:numFmt w:val="lowerRoman"/>
      <w:lvlText w:val="%3."/>
      <w:lvlJc w:val="right"/>
      <w:pPr>
        <w:ind w:left="2220" w:hanging="180"/>
      </w:pPr>
    </w:lvl>
    <w:lvl w:ilvl="3" w:tplc="580A000F" w:tentative="1">
      <w:start w:val="1"/>
      <w:numFmt w:val="decimal"/>
      <w:lvlText w:val="%4."/>
      <w:lvlJc w:val="left"/>
      <w:pPr>
        <w:ind w:left="2940" w:hanging="360"/>
      </w:pPr>
    </w:lvl>
    <w:lvl w:ilvl="4" w:tplc="580A0019" w:tentative="1">
      <w:start w:val="1"/>
      <w:numFmt w:val="lowerLetter"/>
      <w:lvlText w:val="%5."/>
      <w:lvlJc w:val="left"/>
      <w:pPr>
        <w:ind w:left="3660" w:hanging="360"/>
      </w:pPr>
    </w:lvl>
    <w:lvl w:ilvl="5" w:tplc="580A001B" w:tentative="1">
      <w:start w:val="1"/>
      <w:numFmt w:val="lowerRoman"/>
      <w:lvlText w:val="%6."/>
      <w:lvlJc w:val="right"/>
      <w:pPr>
        <w:ind w:left="4380" w:hanging="180"/>
      </w:pPr>
    </w:lvl>
    <w:lvl w:ilvl="6" w:tplc="580A000F" w:tentative="1">
      <w:start w:val="1"/>
      <w:numFmt w:val="decimal"/>
      <w:lvlText w:val="%7."/>
      <w:lvlJc w:val="left"/>
      <w:pPr>
        <w:ind w:left="5100" w:hanging="360"/>
      </w:pPr>
    </w:lvl>
    <w:lvl w:ilvl="7" w:tplc="580A0019" w:tentative="1">
      <w:start w:val="1"/>
      <w:numFmt w:val="lowerLetter"/>
      <w:lvlText w:val="%8."/>
      <w:lvlJc w:val="left"/>
      <w:pPr>
        <w:ind w:left="5820" w:hanging="360"/>
      </w:pPr>
    </w:lvl>
    <w:lvl w:ilvl="8" w:tplc="580A001B" w:tentative="1">
      <w:start w:val="1"/>
      <w:numFmt w:val="lowerRoman"/>
      <w:lvlText w:val="%9."/>
      <w:lvlJc w:val="right"/>
      <w:pPr>
        <w:ind w:left="6540" w:hanging="180"/>
      </w:pPr>
    </w:lvl>
  </w:abstractNum>
  <w:abstractNum w:abstractNumId="13" w15:restartNumberingAfterBreak="0">
    <w:nsid w:val="7FBD370E"/>
    <w:multiLevelType w:val="hybridMultilevel"/>
    <w:tmpl w:val="1214DB6E"/>
    <w:lvl w:ilvl="0" w:tplc="580A000B">
      <w:start w:val="1"/>
      <w:numFmt w:val="bullet"/>
      <w:lvlText w:val=""/>
      <w:lvlJc w:val="left"/>
      <w:pPr>
        <w:ind w:left="720" w:hanging="360"/>
      </w:pPr>
      <w:rPr>
        <w:rFonts w:ascii="Wingdings" w:hAnsi="Wingdings"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9"/>
  </w:num>
  <w:num w:numId="2">
    <w:abstractNumId w:val="12"/>
  </w:num>
  <w:num w:numId="3">
    <w:abstractNumId w:val="5"/>
  </w:num>
  <w:num w:numId="4">
    <w:abstractNumId w:val="0"/>
  </w:num>
  <w:num w:numId="5">
    <w:abstractNumId w:val="2"/>
  </w:num>
  <w:num w:numId="6">
    <w:abstractNumId w:val="6"/>
  </w:num>
  <w:num w:numId="7">
    <w:abstractNumId w:val="11"/>
  </w:num>
  <w:num w:numId="8">
    <w:abstractNumId w:val="8"/>
  </w:num>
  <w:num w:numId="9">
    <w:abstractNumId w:val="10"/>
  </w:num>
  <w:num w:numId="10">
    <w:abstractNumId w:val="4"/>
  </w:num>
  <w:num w:numId="11">
    <w:abstractNumId w:val="3"/>
  </w:num>
  <w:num w:numId="12">
    <w:abstractNumId w:val="1"/>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180"/>
    <w:rsid w:val="000117B6"/>
    <w:rsid w:val="00016583"/>
    <w:rsid w:val="00020260"/>
    <w:rsid w:val="00030213"/>
    <w:rsid w:val="00037EB7"/>
    <w:rsid w:val="00041037"/>
    <w:rsid w:val="0004311C"/>
    <w:rsid w:val="00043EBA"/>
    <w:rsid w:val="000504F0"/>
    <w:rsid w:val="000568AE"/>
    <w:rsid w:val="0006777E"/>
    <w:rsid w:val="0009663C"/>
    <w:rsid w:val="000B4333"/>
    <w:rsid w:val="000C4E99"/>
    <w:rsid w:val="000D40A0"/>
    <w:rsid w:val="000D5012"/>
    <w:rsid w:val="000D709E"/>
    <w:rsid w:val="000E2CF0"/>
    <w:rsid w:val="000E3799"/>
    <w:rsid w:val="00125D71"/>
    <w:rsid w:val="001273C5"/>
    <w:rsid w:val="001425F1"/>
    <w:rsid w:val="001446DC"/>
    <w:rsid w:val="00167336"/>
    <w:rsid w:val="00171B20"/>
    <w:rsid w:val="00173885"/>
    <w:rsid w:val="001803E4"/>
    <w:rsid w:val="0018753F"/>
    <w:rsid w:val="001A0038"/>
    <w:rsid w:val="001A6B8B"/>
    <w:rsid w:val="001B35A8"/>
    <w:rsid w:val="001B372C"/>
    <w:rsid w:val="001E1D21"/>
    <w:rsid w:val="001E4C39"/>
    <w:rsid w:val="001F269C"/>
    <w:rsid w:val="0020315A"/>
    <w:rsid w:val="00204E52"/>
    <w:rsid w:val="002063A0"/>
    <w:rsid w:val="002376F7"/>
    <w:rsid w:val="00240FC6"/>
    <w:rsid w:val="002541E4"/>
    <w:rsid w:val="00257659"/>
    <w:rsid w:val="00264DDC"/>
    <w:rsid w:val="0027137C"/>
    <w:rsid w:val="002808D9"/>
    <w:rsid w:val="00282D20"/>
    <w:rsid w:val="00285160"/>
    <w:rsid w:val="002A0AAD"/>
    <w:rsid w:val="002B0268"/>
    <w:rsid w:val="002C627B"/>
    <w:rsid w:val="002D56FF"/>
    <w:rsid w:val="002E0A9D"/>
    <w:rsid w:val="00300234"/>
    <w:rsid w:val="0030078E"/>
    <w:rsid w:val="00305485"/>
    <w:rsid w:val="00313A0A"/>
    <w:rsid w:val="003200BC"/>
    <w:rsid w:val="003219CD"/>
    <w:rsid w:val="00322322"/>
    <w:rsid w:val="003279E1"/>
    <w:rsid w:val="0033456E"/>
    <w:rsid w:val="00337A1A"/>
    <w:rsid w:val="0034016D"/>
    <w:rsid w:val="00361EBE"/>
    <w:rsid w:val="00364AA0"/>
    <w:rsid w:val="0037045D"/>
    <w:rsid w:val="00382DBA"/>
    <w:rsid w:val="00384044"/>
    <w:rsid w:val="0039320D"/>
    <w:rsid w:val="003934B6"/>
    <w:rsid w:val="00396D4C"/>
    <w:rsid w:val="003A1389"/>
    <w:rsid w:val="003A6A8D"/>
    <w:rsid w:val="003B12B6"/>
    <w:rsid w:val="003B2AFF"/>
    <w:rsid w:val="003B4D3C"/>
    <w:rsid w:val="003C0AD2"/>
    <w:rsid w:val="003C5D17"/>
    <w:rsid w:val="003C7849"/>
    <w:rsid w:val="003C784C"/>
    <w:rsid w:val="003D43A8"/>
    <w:rsid w:val="003D5995"/>
    <w:rsid w:val="003D5A03"/>
    <w:rsid w:val="003E045C"/>
    <w:rsid w:val="003E249C"/>
    <w:rsid w:val="003F274C"/>
    <w:rsid w:val="003F2858"/>
    <w:rsid w:val="0040762A"/>
    <w:rsid w:val="0041118D"/>
    <w:rsid w:val="004141E5"/>
    <w:rsid w:val="00421F9D"/>
    <w:rsid w:val="00423C7A"/>
    <w:rsid w:val="00435ECD"/>
    <w:rsid w:val="0044232A"/>
    <w:rsid w:val="00463167"/>
    <w:rsid w:val="00475CFE"/>
    <w:rsid w:val="00482D87"/>
    <w:rsid w:val="0048338D"/>
    <w:rsid w:val="004A0509"/>
    <w:rsid w:val="004A31E8"/>
    <w:rsid w:val="004A437D"/>
    <w:rsid w:val="004A441A"/>
    <w:rsid w:val="004C4335"/>
    <w:rsid w:val="004E2DAC"/>
    <w:rsid w:val="004E3A84"/>
    <w:rsid w:val="004E3ECC"/>
    <w:rsid w:val="005066D8"/>
    <w:rsid w:val="00517EC6"/>
    <w:rsid w:val="00523A6D"/>
    <w:rsid w:val="00532D42"/>
    <w:rsid w:val="00536FD3"/>
    <w:rsid w:val="00544302"/>
    <w:rsid w:val="00546795"/>
    <w:rsid w:val="0057456B"/>
    <w:rsid w:val="0058314B"/>
    <w:rsid w:val="005923FD"/>
    <w:rsid w:val="00595E21"/>
    <w:rsid w:val="00595F67"/>
    <w:rsid w:val="005A6311"/>
    <w:rsid w:val="005B1D39"/>
    <w:rsid w:val="005B3515"/>
    <w:rsid w:val="005B5ED0"/>
    <w:rsid w:val="005C31A5"/>
    <w:rsid w:val="005C74AC"/>
    <w:rsid w:val="005E15D5"/>
    <w:rsid w:val="005E2C21"/>
    <w:rsid w:val="005F0575"/>
    <w:rsid w:val="005F50E7"/>
    <w:rsid w:val="005F6218"/>
    <w:rsid w:val="006154BA"/>
    <w:rsid w:val="00627E27"/>
    <w:rsid w:val="00634CFC"/>
    <w:rsid w:val="0064661E"/>
    <w:rsid w:val="00656180"/>
    <w:rsid w:val="006575D8"/>
    <w:rsid w:val="00657C8E"/>
    <w:rsid w:val="00674869"/>
    <w:rsid w:val="00683821"/>
    <w:rsid w:val="00684413"/>
    <w:rsid w:val="006922DB"/>
    <w:rsid w:val="0069329F"/>
    <w:rsid w:val="006A0668"/>
    <w:rsid w:val="006A1602"/>
    <w:rsid w:val="006A6126"/>
    <w:rsid w:val="006B08B6"/>
    <w:rsid w:val="006C3C46"/>
    <w:rsid w:val="006C4BB6"/>
    <w:rsid w:val="006D1AFB"/>
    <w:rsid w:val="006D5B70"/>
    <w:rsid w:val="006E16D0"/>
    <w:rsid w:val="006E22DC"/>
    <w:rsid w:val="006E2EB4"/>
    <w:rsid w:val="006E5D0C"/>
    <w:rsid w:val="006E680B"/>
    <w:rsid w:val="006F34EE"/>
    <w:rsid w:val="006F6729"/>
    <w:rsid w:val="00715635"/>
    <w:rsid w:val="00717332"/>
    <w:rsid w:val="007212C0"/>
    <w:rsid w:val="00726622"/>
    <w:rsid w:val="00732CA7"/>
    <w:rsid w:val="0074360E"/>
    <w:rsid w:val="007443F6"/>
    <w:rsid w:val="00753DA9"/>
    <w:rsid w:val="00765214"/>
    <w:rsid w:val="00766D10"/>
    <w:rsid w:val="0077574D"/>
    <w:rsid w:val="007811E8"/>
    <w:rsid w:val="0078783B"/>
    <w:rsid w:val="007933DB"/>
    <w:rsid w:val="007C460D"/>
    <w:rsid w:val="007D654F"/>
    <w:rsid w:val="007E4485"/>
    <w:rsid w:val="007E53A8"/>
    <w:rsid w:val="007E7C73"/>
    <w:rsid w:val="007F2440"/>
    <w:rsid w:val="007F27D2"/>
    <w:rsid w:val="007F2EE3"/>
    <w:rsid w:val="007F4FA6"/>
    <w:rsid w:val="00800B42"/>
    <w:rsid w:val="00804A62"/>
    <w:rsid w:val="00823EFC"/>
    <w:rsid w:val="00824417"/>
    <w:rsid w:val="008337E7"/>
    <w:rsid w:val="00852B6D"/>
    <w:rsid w:val="008561F3"/>
    <w:rsid w:val="00861313"/>
    <w:rsid w:val="00861AB1"/>
    <w:rsid w:val="008645CA"/>
    <w:rsid w:val="00875F82"/>
    <w:rsid w:val="00877C36"/>
    <w:rsid w:val="0088020C"/>
    <w:rsid w:val="0088404B"/>
    <w:rsid w:val="0088590D"/>
    <w:rsid w:val="00886D77"/>
    <w:rsid w:val="008A2B6E"/>
    <w:rsid w:val="008A3245"/>
    <w:rsid w:val="008B0003"/>
    <w:rsid w:val="008B34D2"/>
    <w:rsid w:val="008E0FE6"/>
    <w:rsid w:val="008F2636"/>
    <w:rsid w:val="00912E06"/>
    <w:rsid w:val="00913E0B"/>
    <w:rsid w:val="0092149A"/>
    <w:rsid w:val="00931D4F"/>
    <w:rsid w:val="00941EB5"/>
    <w:rsid w:val="00945B61"/>
    <w:rsid w:val="0094620E"/>
    <w:rsid w:val="00974B0C"/>
    <w:rsid w:val="00995E63"/>
    <w:rsid w:val="00995FB7"/>
    <w:rsid w:val="009A1CE4"/>
    <w:rsid w:val="009B3585"/>
    <w:rsid w:val="009C4754"/>
    <w:rsid w:val="009D5EE9"/>
    <w:rsid w:val="009D73D4"/>
    <w:rsid w:val="009D7A61"/>
    <w:rsid w:val="009E2709"/>
    <w:rsid w:val="009E5073"/>
    <w:rsid w:val="009F4A53"/>
    <w:rsid w:val="00A011FC"/>
    <w:rsid w:val="00A01395"/>
    <w:rsid w:val="00A05647"/>
    <w:rsid w:val="00A21BB4"/>
    <w:rsid w:val="00A2245C"/>
    <w:rsid w:val="00A23D14"/>
    <w:rsid w:val="00A25AA6"/>
    <w:rsid w:val="00A277A4"/>
    <w:rsid w:val="00A31988"/>
    <w:rsid w:val="00A43BF1"/>
    <w:rsid w:val="00A450E3"/>
    <w:rsid w:val="00A641AB"/>
    <w:rsid w:val="00A642D0"/>
    <w:rsid w:val="00A65E37"/>
    <w:rsid w:val="00A6770A"/>
    <w:rsid w:val="00A7750D"/>
    <w:rsid w:val="00A83422"/>
    <w:rsid w:val="00A94247"/>
    <w:rsid w:val="00AA0E8B"/>
    <w:rsid w:val="00AA26ED"/>
    <w:rsid w:val="00AA2EAD"/>
    <w:rsid w:val="00AA404C"/>
    <w:rsid w:val="00AA6C9E"/>
    <w:rsid w:val="00AB1A22"/>
    <w:rsid w:val="00AB7211"/>
    <w:rsid w:val="00AC21BA"/>
    <w:rsid w:val="00AC531C"/>
    <w:rsid w:val="00AC6400"/>
    <w:rsid w:val="00AD117E"/>
    <w:rsid w:val="00AD1D89"/>
    <w:rsid w:val="00AD3A26"/>
    <w:rsid w:val="00AD46D2"/>
    <w:rsid w:val="00AF1792"/>
    <w:rsid w:val="00AF66DD"/>
    <w:rsid w:val="00AF71A1"/>
    <w:rsid w:val="00B02251"/>
    <w:rsid w:val="00B15169"/>
    <w:rsid w:val="00B16C12"/>
    <w:rsid w:val="00B23183"/>
    <w:rsid w:val="00B34933"/>
    <w:rsid w:val="00B3732E"/>
    <w:rsid w:val="00B4376F"/>
    <w:rsid w:val="00B45FC5"/>
    <w:rsid w:val="00B46765"/>
    <w:rsid w:val="00B51ABA"/>
    <w:rsid w:val="00B75992"/>
    <w:rsid w:val="00B8028B"/>
    <w:rsid w:val="00B93BF7"/>
    <w:rsid w:val="00BA0C6D"/>
    <w:rsid w:val="00BA3FDB"/>
    <w:rsid w:val="00BB1B04"/>
    <w:rsid w:val="00BB358C"/>
    <w:rsid w:val="00BB724B"/>
    <w:rsid w:val="00BD7E17"/>
    <w:rsid w:val="00BF2C93"/>
    <w:rsid w:val="00BF73C0"/>
    <w:rsid w:val="00BF7710"/>
    <w:rsid w:val="00C03C2C"/>
    <w:rsid w:val="00C13303"/>
    <w:rsid w:val="00C23FA7"/>
    <w:rsid w:val="00C25241"/>
    <w:rsid w:val="00C31677"/>
    <w:rsid w:val="00C35C7B"/>
    <w:rsid w:val="00C45404"/>
    <w:rsid w:val="00C64C8E"/>
    <w:rsid w:val="00C666D4"/>
    <w:rsid w:val="00C732BF"/>
    <w:rsid w:val="00C83609"/>
    <w:rsid w:val="00C86034"/>
    <w:rsid w:val="00C90212"/>
    <w:rsid w:val="00C90247"/>
    <w:rsid w:val="00CB16B8"/>
    <w:rsid w:val="00CC103E"/>
    <w:rsid w:val="00CE5AB8"/>
    <w:rsid w:val="00D00DAF"/>
    <w:rsid w:val="00D14DDB"/>
    <w:rsid w:val="00D276E8"/>
    <w:rsid w:val="00D30723"/>
    <w:rsid w:val="00D73C6B"/>
    <w:rsid w:val="00D82A88"/>
    <w:rsid w:val="00D878FD"/>
    <w:rsid w:val="00D91188"/>
    <w:rsid w:val="00D964C0"/>
    <w:rsid w:val="00DB08E5"/>
    <w:rsid w:val="00DB32E5"/>
    <w:rsid w:val="00DC0D94"/>
    <w:rsid w:val="00DE74FE"/>
    <w:rsid w:val="00DF4136"/>
    <w:rsid w:val="00E25787"/>
    <w:rsid w:val="00E37B15"/>
    <w:rsid w:val="00E6102E"/>
    <w:rsid w:val="00E61586"/>
    <w:rsid w:val="00E62840"/>
    <w:rsid w:val="00E646BF"/>
    <w:rsid w:val="00E72346"/>
    <w:rsid w:val="00E733C8"/>
    <w:rsid w:val="00E73AD2"/>
    <w:rsid w:val="00E76718"/>
    <w:rsid w:val="00EB75AF"/>
    <w:rsid w:val="00EF61B9"/>
    <w:rsid w:val="00F009BA"/>
    <w:rsid w:val="00F06A13"/>
    <w:rsid w:val="00F14BFB"/>
    <w:rsid w:val="00F6457C"/>
    <w:rsid w:val="00F83ED0"/>
    <w:rsid w:val="00F91318"/>
    <w:rsid w:val="00F926A1"/>
    <w:rsid w:val="00F9350C"/>
    <w:rsid w:val="00F94BF6"/>
    <w:rsid w:val="00F9570E"/>
    <w:rsid w:val="00FA2412"/>
    <w:rsid w:val="00FA619A"/>
    <w:rsid w:val="00FA7E7D"/>
    <w:rsid w:val="00FB5890"/>
    <w:rsid w:val="00FD5489"/>
    <w:rsid w:val="00FE219F"/>
    <w:rsid w:val="00FE3C54"/>
    <w:rsid w:val="00FE7FAE"/>
    <w:rsid w:val="00FF31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860C12"/>
  <w15:chartTrackingRefBased/>
  <w15:docId w15:val="{D647AE1F-775F-4E2E-957A-F2DD05E7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41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2,Lista vistosa - Énfasis 11,Párrafo de lista1,Footnote,List Paragraph1"/>
    <w:basedOn w:val="Normal"/>
    <w:link w:val="ListParagraphChar"/>
    <w:uiPriority w:val="34"/>
    <w:qFormat/>
    <w:rsid w:val="004141E5"/>
    <w:pPr>
      <w:ind w:left="720"/>
      <w:contextualSpacing/>
    </w:pPr>
  </w:style>
  <w:style w:type="paragraph" w:styleId="Footer">
    <w:name w:val="footer"/>
    <w:basedOn w:val="Normal"/>
    <w:link w:val="FooterChar"/>
    <w:uiPriority w:val="99"/>
    <w:unhideWhenUsed/>
    <w:rsid w:val="00414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1E5"/>
  </w:style>
  <w:style w:type="character" w:styleId="PlaceholderText">
    <w:name w:val="Placeholder Text"/>
    <w:basedOn w:val="DefaultParagraphFont"/>
    <w:uiPriority w:val="99"/>
    <w:semiHidden/>
    <w:rsid w:val="004141E5"/>
    <w:rPr>
      <w:color w:val="808080"/>
    </w:rPr>
  </w:style>
  <w:style w:type="paragraph" w:styleId="FootnoteText">
    <w:name w:val="footnote text"/>
    <w:aliases w:val="Footnote Text Char Char Char Char Char,Footnote Text Cha,Footnote Text Char Char Char Char,Footnote reference,FA Fu,Footnote Text Char Char Char,FA Fußnotentext,FA Fuﬂnotentext,FA Fu?notentext,Footnote Text Char Char,f,Texto nota pie Car"/>
    <w:basedOn w:val="Normal"/>
    <w:link w:val="FootnoteTextChar"/>
    <w:unhideWhenUsed/>
    <w:qFormat/>
    <w:rsid w:val="004141E5"/>
    <w:pPr>
      <w:spacing w:after="0" w:line="240" w:lineRule="auto"/>
    </w:pPr>
    <w:rPr>
      <w:sz w:val="20"/>
      <w:szCs w:val="20"/>
    </w:rPr>
  </w:style>
  <w:style w:type="character" w:customStyle="1" w:styleId="FootnoteTextChar">
    <w:name w:val="Footnote Text Char"/>
    <w:aliases w:val="Footnote Text Char Char Char Char Char Char,Footnote Text Cha Char,Footnote Text Char Char Char Char Char1,Footnote reference Char,FA Fu Char,Footnote Text Char Char Char Char1,FA Fußnotentext Char,FA Fuﬂnotentext Char,f Char"/>
    <w:basedOn w:val="DefaultParagraphFont"/>
    <w:link w:val="FootnoteText"/>
    <w:qFormat/>
    <w:rsid w:val="004141E5"/>
    <w:rPr>
      <w:sz w:val="20"/>
      <w:szCs w:val="20"/>
    </w:rPr>
  </w:style>
  <w:style w:type="character" w:styleId="FootnoteReference">
    <w:name w:val="footnote reference"/>
    <w:aliases w:val="4_G Char Char Char,Footnote text Char Char Char,16 Point Char Char Char,Superscript 6 Point Char Char Char,Superscript 6 Point + 11 pt Char Char Char,Footnotes refss Char Char Char,Footnote Ref Char Char Char,ftref Char Char Char,Ref"/>
    <w:basedOn w:val="DefaultParagraphFont"/>
    <w:link w:val="4GCharChar"/>
    <w:uiPriority w:val="99"/>
    <w:unhideWhenUsed/>
    <w:qFormat/>
    <w:rsid w:val="004141E5"/>
    <w:rPr>
      <w:vertAlign w:val="superscript"/>
    </w:rPr>
  </w:style>
  <w:style w:type="paragraph" w:customStyle="1" w:styleId="4GCharChar">
    <w:name w:val="4_G Char Char"/>
    <w:aliases w:val="Footnote text Char Char,16 Point Char Char,Superscript 6 Point Char Char,Superscript 6 Point + 11 pt Char Char,Footnotes refss Char Char,Footnote Ref Char Char,ftref Char Char,Footnote Refernece Char Char,[0] Char Char,4"/>
    <w:basedOn w:val="Normal"/>
    <w:link w:val="FootnoteReference"/>
    <w:uiPriority w:val="99"/>
    <w:rsid w:val="00C23FA7"/>
    <w:pPr>
      <w:spacing w:after="0" w:line="240" w:lineRule="auto"/>
      <w:jc w:val="both"/>
    </w:pPr>
    <w:rPr>
      <w:vertAlign w:val="superscript"/>
    </w:rPr>
  </w:style>
  <w:style w:type="character" w:customStyle="1" w:styleId="ListParagraphChar">
    <w:name w:val="List Paragraph Char"/>
    <w:aliases w:val="List Paragraph2 Char,Lista vistosa - Énfasis 11 Char,Párrafo de lista1 Char,Footnote Char,List Paragraph1 Char"/>
    <w:basedOn w:val="DefaultParagraphFont"/>
    <w:link w:val="ListParagraph"/>
    <w:uiPriority w:val="34"/>
    <w:rsid w:val="00C23FA7"/>
  </w:style>
  <w:style w:type="paragraph" w:styleId="NormalWeb">
    <w:name w:val="Normal (Web)"/>
    <w:basedOn w:val="Normal"/>
    <w:uiPriority w:val="99"/>
    <w:unhideWhenUsed/>
    <w:rsid w:val="006C3C4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A277A4"/>
    <w:pPr>
      <w:autoSpaceDE w:val="0"/>
      <w:autoSpaceDN w:val="0"/>
      <w:adjustRightInd w:val="0"/>
      <w:spacing w:after="0" w:line="240" w:lineRule="auto"/>
    </w:pPr>
    <w:rPr>
      <w:rFonts w:ascii="Verdana" w:hAnsi="Verdana" w:cs="Verdana"/>
      <w:color w:val="000000"/>
      <w:sz w:val="24"/>
      <w:szCs w:val="24"/>
    </w:rPr>
  </w:style>
  <w:style w:type="character" w:styleId="Hyperlink">
    <w:name w:val="Hyperlink"/>
    <w:basedOn w:val="DefaultParagraphFont"/>
    <w:uiPriority w:val="99"/>
    <w:unhideWhenUsed/>
    <w:rsid w:val="00AD3A26"/>
    <w:rPr>
      <w:color w:val="0563C1" w:themeColor="hyperlink"/>
      <w:u w:val="single"/>
    </w:rPr>
  </w:style>
  <w:style w:type="paragraph" w:customStyle="1" w:styleId="s32b251d">
    <w:name w:val="s32b251d"/>
    <w:basedOn w:val="Normal"/>
    <w:rsid w:val="00AD3A2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7d2086b4">
    <w:name w:val="s7d2086b4"/>
    <w:basedOn w:val="DefaultParagraphFont"/>
    <w:rsid w:val="00AD3A26"/>
  </w:style>
  <w:style w:type="character" w:customStyle="1" w:styleId="sb8d990e2">
    <w:name w:val="sb8d990e2"/>
    <w:basedOn w:val="DefaultParagraphFont"/>
    <w:rsid w:val="00AD3A26"/>
  </w:style>
  <w:style w:type="character" w:customStyle="1" w:styleId="sf8bfa2bc">
    <w:name w:val="sf8bfa2bc"/>
    <w:basedOn w:val="DefaultParagraphFont"/>
    <w:rsid w:val="00AD3A26"/>
  </w:style>
  <w:style w:type="character" w:customStyle="1" w:styleId="UnresolvedMention">
    <w:name w:val="Unresolved Mention"/>
    <w:basedOn w:val="DefaultParagraphFont"/>
    <w:uiPriority w:val="99"/>
    <w:semiHidden/>
    <w:unhideWhenUsed/>
    <w:rsid w:val="008B0003"/>
    <w:rPr>
      <w:color w:val="605E5C"/>
      <w:shd w:val="clear" w:color="auto" w:fill="E1DFDD"/>
    </w:rPr>
  </w:style>
  <w:style w:type="paragraph" w:styleId="Header">
    <w:name w:val="header"/>
    <w:basedOn w:val="Normal"/>
    <w:link w:val="HeaderChar"/>
    <w:uiPriority w:val="99"/>
    <w:unhideWhenUsed/>
    <w:rsid w:val="008A32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3245"/>
  </w:style>
  <w:style w:type="paragraph" w:styleId="Revision">
    <w:name w:val="Revision"/>
    <w:hidden/>
    <w:uiPriority w:val="99"/>
    <w:semiHidden/>
    <w:rsid w:val="00FA2412"/>
    <w:pPr>
      <w:spacing w:after="0" w:line="240" w:lineRule="auto"/>
    </w:pPr>
  </w:style>
  <w:style w:type="character" w:styleId="CommentReference">
    <w:name w:val="annotation reference"/>
    <w:basedOn w:val="DefaultParagraphFont"/>
    <w:uiPriority w:val="99"/>
    <w:semiHidden/>
    <w:unhideWhenUsed/>
    <w:rsid w:val="00B8028B"/>
    <w:rPr>
      <w:sz w:val="16"/>
      <w:szCs w:val="16"/>
    </w:rPr>
  </w:style>
  <w:style w:type="paragraph" w:styleId="CommentText">
    <w:name w:val="annotation text"/>
    <w:basedOn w:val="Normal"/>
    <w:link w:val="CommentTextChar"/>
    <w:uiPriority w:val="99"/>
    <w:semiHidden/>
    <w:unhideWhenUsed/>
    <w:rsid w:val="00B8028B"/>
    <w:pPr>
      <w:spacing w:line="240" w:lineRule="auto"/>
    </w:pPr>
    <w:rPr>
      <w:sz w:val="20"/>
      <w:szCs w:val="20"/>
    </w:rPr>
  </w:style>
  <w:style w:type="character" w:customStyle="1" w:styleId="CommentTextChar">
    <w:name w:val="Comment Text Char"/>
    <w:basedOn w:val="DefaultParagraphFont"/>
    <w:link w:val="CommentText"/>
    <w:uiPriority w:val="99"/>
    <w:semiHidden/>
    <w:rsid w:val="00B8028B"/>
    <w:rPr>
      <w:sz w:val="20"/>
      <w:szCs w:val="20"/>
    </w:rPr>
  </w:style>
  <w:style w:type="paragraph" w:styleId="CommentSubject">
    <w:name w:val="annotation subject"/>
    <w:basedOn w:val="CommentText"/>
    <w:next w:val="CommentText"/>
    <w:link w:val="CommentSubjectChar"/>
    <w:uiPriority w:val="99"/>
    <w:semiHidden/>
    <w:unhideWhenUsed/>
    <w:rsid w:val="00B8028B"/>
    <w:rPr>
      <w:b/>
      <w:bCs/>
    </w:rPr>
  </w:style>
  <w:style w:type="character" w:customStyle="1" w:styleId="CommentSubjectChar">
    <w:name w:val="Comment Subject Char"/>
    <w:basedOn w:val="CommentTextChar"/>
    <w:link w:val="CommentSubject"/>
    <w:uiPriority w:val="99"/>
    <w:semiHidden/>
    <w:rsid w:val="00B8028B"/>
    <w:rPr>
      <w:b/>
      <w:bCs/>
      <w:sz w:val="20"/>
      <w:szCs w:val="20"/>
    </w:rPr>
  </w:style>
  <w:style w:type="paragraph" w:styleId="BalloonText">
    <w:name w:val="Balloon Text"/>
    <w:basedOn w:val="Normal"/>
    <w:link w:val="BalloonTextChar"/>
    <w:uiPriority w:val="99"/>
    <w:semiHidden/>
    <w:unhideWhenUsed/>
    <w:rsid w:val="005066D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066D8"/>
    <w:rPr>
      <w:rFonts w:ascii="Times New Roman" w:hAnsi="Times New Roman" w:cs="Times New Roman"/>
      <w:sz w:val="18"/>
      <w:szCs w:val="18"/>
    </w:rPr>
  </w:style>
  <w:style w:type="paragraph" w:styleId="EndnoteText">
    <w:name w:val="endnote text"/>
    <w:basedOn w:val="Normal"/>
    <w:link w:val="EndnoteTextChar"/>
    <w:uiPriority w:val="99"/>
    <w:unhideWhenUsed/>
    <w:rsid w:val="00BB358C"/>
    <w:pPr>
      <w:spacing w:after="0" w:line="240" w:lineRule="auto"/>
    </w:pPr>
    <w:rPr>
      <w:sz w:val="20"/>
      <w:szCs w:val="20"/>
    </w:rPr>
  </w:style>
  <w:style w:type="character" w:customStyle="1" w:styleId="EndnoteTextChar">
    <w:name w:val="Endnote Text Char"/>
    <w:basedOn w:val="DefaultParagraphFont"/>
    <w:link w:val="EndnoteText"/>
    <w:uiPriority w:val="99"/>
    <w:rsid w:val="00BB358C"/>
    <w:rPr>
      <w:sz w:val="20"/>
      <w:szCs w:val="20"/>
    </w:rPr>
  </w:style>
  <w:style w:type="character" w:styleId="EndnoteReference">
    <w:name w:val="endnote reference"/>
    <w:basedOn w:val="DefaultParagraphFont"/>
    <w:uiPriority w:val="99"/>
    <w:semiHidden/>
    <w:unhideWhenUsed/>
    <w:rsid w:val="00BB358C"/>
    <w:rPr>
      <w:vertAlign w:val="superscript"/>
    </w:rPr>
  </w:style>
  <w:style w:type="table" w:styleId="TableGrid">
    <w:name w:val="Table Grid"/>
    <w:basedOn w:val="TableNormal"/>
    <w:uiPriority w:val="39"/>
    <w:rsid w:val="007F4FA6"/>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4462144">
      <w:bodyDiv w:val="1"/>
      <w:marLeft w:val="0"/>
      <w:marRight w:val="0"/>
      <w:marTop w:val="0"/>
      <w:marBottom w:val="0"/>
      <w:divBdr>
        <w:top w:val="none" w:sz="0" w:space="0" w:color="auto"/>
        <w:left w:val="none" w:sz="0" w:space="0" w:color="auto"/>
        <w:bottom w:val="none" w:sz="0" w:space="0" w:color="auto"/>
        <w:right w:val="none" w:sz="0" w:space="0" w:color="auto"/>
      </w:divBdr>
    </w:div>
    <w:div w:id="365567011">
      <w:bodyDiv w:val="1"/>
      <w:marLeft w:val="0"/>
      <w:marRight w:val="0"/>
      <w:marTop w:val="0"/>
      <w:marBottom w:val="0"/>
      <w:divBdr>
        <w:top w:val="none" w:sz="0" w:space="0" w:color="auto"/>
        <w:left w:val="none" w:sz="0" w:space="0" w:color="auto"/>
        <w:bottom w:val="none" w:sz="0" w:space="0" w:color="auto"/>
        <w:right w:val="none" w:sz="0" w:space="0" w:color="auto"/>
      </w:divBdr>
    </w:div>
    <w:div w:id="511184777">
      <w:bodyDiv w:val="1"/>
      <w:marLeft w:val="0"/>
      <w:marRight w:val="0"/>
      <w:marTop w:val="0"/>
      <w:marBottom w:val="0"/>
      <w:divBdr>
        <w:top w:val="none" w:sz="0" w:space="0" w:color="auto"/>
        <w:left w:val="none" w:sz="0" w:space="0" w:color="auto"/>
        <w:bottom w:val="none" w:sz="0" w:space="0" w:color="auto"/>
        <w:right w:val="none" w:sz="0" w:space="0" w:color="auto"/>
      </w:divBdr>
    </w:div>
    <w:div w:id="735977133">
      <w:bodyDiv w:val="1"/>
      <w:marLeft w:val="0"/>
      <w:marRight w:val="0"/>
      <w:marTop w:val="0"/>
      <w:marBottom w:val="0"/>
      <w:divBdr>
        <w:top w:val="none" w:sz="0" w:space="0" w:color="auto"/>
        <w:left w:val="none" w:sz="0" w:space="0" w:color="auto"/>
        <w:bottom w:val="none" w:sz="0" w:space="0" w:color="auto"/>
        <w:right w:val="none" w:sz="0" w:space="0" w:color="auto"/>
      </w:divBdr>
    </w:div>
    <w:div w:id="806552992">
      <w:bodyDiv w:val="1"/>
      <w:marLeft w:val="0"/>
      <w:marRight w:val="0"/>
      <w:marTop w:val="0"/>
      <w:marBottom w:val="0"/>
      <w:divBdr>
        <w:top w:val="none" w:sz="0" w:space="0" w:color="auto"/>
        <w:left w:val="none" w:sz="0" w:space="0" w:color="auto"/>
        <w:bottom w:val="none" w:sz="0" w:space="0" w:color="auto"/>
        <w:right w:val="none" w:sz="0" w:space="0" w:color="auto"/>
      </w:divBdr>
    </w:div>
    <w:div w:id="985740607">
      <w:bodyDiv w:val="1"/>
      <w:marLeft w:val="0"/>
      <w:marRight w:val="0"/>
      <w:marTop w:val="0"/>
      <w:marBottom w:val="0"/>
      <w:divBdr>
        <w:top w:val="none" w:sz="0" w:space="0" w:color="auto"/>
        <w:left w:val="none" w:sz="0" w:space="0" w:color="auto"/>
        <w:bottom w:val="none" w:sz="0" w:space="0" w:color="auto"/>
        <w:right w:val="none" w:sz="0" w:space="0" w:color="auto"/>
      </w:divBdr>
    </w:div>
    <w:div w:id="1173834887">
      <w:bodyDiv w:val="1"/>
      <w:marLeft w:val="0"/>
      <w:marRight w:val="0"/>
      <w:marTop w:val="0"/>
      <w:marBottom w:val="0"/>
      <w:divBdr>
        <w:top w:val="none" w:sz="0" w:space="0" w:color="auto"/>
        <w:left w:val="none" w:sz="0" w:space="0" w:color="auto"/>
        <w:bottom w:val="none" w:sz="0" w:space="0" w:color="auto"/>
        <w:right w:val="none" w:sz="0" w:space="0" w:color="auto"/>
      </w:divBdr>
    </w:div>
    <w:div w:id="1992518989">
      <w:bodyDiv w:val="1"/>
      <w:marLeft w:val="0"/>
      <w:marRight w:val="0"/>
      <w:marTop w:val="0"/>
      <w:marBottom w:val="0"/>
      <w:divBdr>
        <w:top w:val="none" w:sz="0" w:space="0" w:color="auto"/>
        <w:left w:val="none" w:sz="0" w:space="0" w:color="auto"/>
        <w:bottom w:val="none" w:sz="0" w:space="0" w:color="auto"/>
        <w:right w:val="none" w:sz="0" w:space="0" w:color="auto"/>
      </w:divBdr>
    </w:div>
    <w:div w:id="2123378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hyperlink" Target="http://www.csj.gob.sv/BVirtual.nsf/0/7d642e135de21c7306256b41006f5d81?OpenDocu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39E59B-F446-46E2-8F4F-E8FC4FB21A7A}">
  <ds:schemaRefs>
    <ds:schemaRef ds:uri="http://schemas.openxmlformats.org/officeDocument/2006/bibliography"/>
  </ds:schemaRefs>
</ds:datastoreItem>
</file>

<file path=customXml/itemProps2.xml><?xml version="1.0" encoding="utf-8"?>
<ds:datastoreItem xmlns:ds="http://schemas.openxmlformats.org/officeDocument/2006/customXml" ds:itemID="{19066419-7E9E-44C1-9BC5-5A9C17230BC3}"/>
</file>

<file path=customXml/itemProps3.xml><?xml version="1.0" encoding="utf-8"?>
<ds:datastoreItem xmlns:ds="http://schemas.openxmlformats.org/officeDocument/2006/customXml" ds:itemID="{6D086149-B10F-4A23-A304-7D3CCBC2E9A5}"/>
</file>

<file path=customXml/itemProps4.xml><?xml version="1.0" encoding="utf-8"?>
<ds:datastoreItem xmlns:ds="http://schemas.openxmlformats.org/officeDocument/2006/customXml" ds:itemID="{164289BA-54FE-4FF7-91C7-82BF66ACD03E}"/>
</file>

<file path=docProps/app.xml><?xml version="1.0" encoding="utf-8"?>
<Properties xmlns="http://schemas.openxmlformats.org/officeDocument/2006/extended-properties" xmlns:vt="http://schemas.openxmlformats.org/officeDocument/2006/docPropsVTypes">
  <Template>Normal.dotm</Template>
  <TotalTime>1</TotalTime>
  <Pages>5</Pages>
  <Words>4873</Words>
  <Characters>27777</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Georgetown University</Company>
  <LinksUpToDate>false</LinksUpToDate>
  <CharactersWithSpaces>32585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Aura Guerrero</dc:creator>
  <cp:keywords/>
  <dc:description/>
  <cp:lastModifiedBy>REYNAUD Céline</cp:lastModifiedBy>
  <cp:revision>2</cp:revision>
  <dcterms:created xsi:type="dcterms:W3CDTF">2022-08-30T12:38:00Z</dcterms:created>
  <dcterms:modified xsi:type="dcterms:W3CDTF">2022-08-30T12:38:00Z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zotero-version="6.0.13"&gt;&lt;session id="5BbmOyAq"/&gt;&lt;style id="http://www.zotero.org/styles/oscola" hasBibliography="1" bibliographyStyleHasBeenSet="0"/&gt;&lt;prefs&gt;&lt;pref name="fieldType" value="Field"/&gt;&lt;pref name="noteType" value="1"/&gt;&lt;/pre</vt:lpwstr>
  </property>
  <property fmtid="{D5CDD505-2E9C-101B-9397-08002B2CF9AE}" pid="3" name="ZOTERO_PREF_2">
    <vt:lpwstr>fs&gt;&lt;/data&gt;</vt:lpwstr>
  </property>
  <property fmtid="{D5CDD505-2E9C-101B-9397-08002B2CF9AE}" pid="4" name="ContentTypeId">
    <vt:lpwstr>0x010100FAE5DBF0ADA998469064B64F53A76F3C</vt:lpwstr>
  </property>
</Properties>
</file>