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1CA12" w14:textId="78FC9BF7" w:rsidR="00C05D9B" w:rsidRPr="004B1E4E" w:rsidRDefault="00C05D9B" w:rsidP="00626C39"/>
    <w:p w14:paraId="43F13231" w14:textId="7CAD421B" w:rsidR="004B1E4E" w:rsidRDefault="00B05FC5" w:rsidP="40B962A2">
      <w:pPr>
        <w:pStyle w:val="TitlePageHeading"/>
        <w:tabs>
          <w:tab w:val="left" w:pos="5370"/>
        </w:tabs>
      </w:pPr>
      <w:r>
        <w:t>Qatar</w:t>
      </w:r>
      <w:r w:rsidR="0061441D">
        <w:t>’s</w:t>
      </w:r>
      <w:r w:rsidR="5EE94364">
        <w:t xml:space="preserve"> </w:t>
      </w:r>
      <w:r w:rsidR="004B1E4E">
        <w:t>Compliance with</w:t>
      </w:r>
      <w:r w:rsidR="3A66F4F4">
        <w:t xml:space="preserve"> </w:t>
      </w:r>
      <w:r>
        <w:t>the Convention on the Rights of the Child</w:t>
      </w:r>
      <w:r w:rsidR="00E114C5">
        <w:t xml:space="preserve">: </w:t>
      </w:r>
    </w:p>
    <w:p w14:paraId="09E2FD92" w14:textId="12A820E6" w:rsidR="002974D7" w:rsidRDefault="002974D7" w:rsidP="40B962A2">
      <w:pPr>
        <w:pStyle w:val="TitlePageHeading"/>
        <w:tabs>
          <w:tab w:val="left" w:pos="5370"/>
        </w:tabs>
      </w:pPr>
      <w:r>
        <w:t>The Death Penalty</w:t>
      </w:r>
    </w:p>
    <w:p w14:paraId="5DC74E00" w14:textId="0D86E8FA" w:rsidR="00550A8F" w:rsidRPr="00550A8F" w:rsidRDefault="00550A8F" w:rsidP="00550A8F">
      <w:pPr>
        <w:pStyle w:val="TitlePageHeading"/>
      </w:pPr>
    </w:p>
    <w:p w14:paraId="26D24DDC" w14:textId="7BEA484F" w:rsidR="004B1E4E" w:rsidRPr="00550A8F" w:rsidRDefault="004B1E4E" w:rsidP="00550A8F">
      <w:pPr>
        <w:pStyle w:val="TitlePageHeading"/>
      </w:pPr>
      <w:r w:rsidRPr="00550A8F">
        <w:t xml:space="preserve">Submitted by </w:t>
      </w:r>
      <w:r w:rsidR="00AA7FCB" w:rsidRPr="00550A8F">
        <w:t>T</w:t>
      </w:r>
      <w:r w:rsidRPr="00550A8F">
        <w:t>he Advocates for Human Rights</w:t>
      </w:r>
    </w:p>
    <w:p w14:paraId="25D3BE21" w14:textId="0D3E4BE1" w:rsidR="00550A8F" w:rsidRDefault="004B1E4E" w:rsidP="00550A8F">
      <w:pPr>
        <w:pStyle w:val="TitlePageSubheading"/>
      </w:pPr>
      <w:r>
        <w:t>a non-governmental organization in special consultative status with ECOSOC</w:t>
      </w:r>
      <w:r w:rsidR="00624A10">
        <w:t xml:space="preserve"> since 1996</w:t>
      </w:r>
      <w:r w:rsidR="00550A8F">
        <w:t xml:space="preserve"> </w:t>
      </w:r>
    </w:p>
    <w:p w14:paraId="17F944FD" w14:textId="33228482" w:rsidR="0031222C" w:rsidRPr="00C1420E" w:rsidRDefault="0031222C" w:rsidP="00550A8F">
      <w:pPr>
        <w:pStyle w:val="TitlePageSubheading"/>
        <w:rPr>
          <w:b/>
          <w:bCs/>
        </w:rPr>
      </w:pPr>
      <w:r>
        <w:rPr>
          <w:b/>
          <w:bCs/>
        </w:rPr>
        <w:t xml:space="preserve">Ensemble </w:t>
      </w:r>
      <w:proofErr w:type="spellStart"/>
      <w:r w:rsidR="004A6040">
        <w:rPr>
          <w:b/>
          <w:bCs/>
        </w:rPr>
        <w:t>c</w:t>
      </w:r>
      <w:r>
        <w:rPr>
          <w:b/>
          <w:bCs/>
        </w:rPr>
        <w:t>ontre</w:t>
      </w:r>
      <w:proofErr w:type="spellEnd"/>
      <w:r>
        <w:rPr>
          <w:b/>
          <w:bCs/>
        </w:rPr>
        <w:t xml:space="preserve"> la </w:t>
      </w:r>
      <w:proofErr w:type="spellStart"/>
      <w:r w:rsidR="00486BBE">
        <w:rPr>
          <w:b/>
          <w:bCs/>
        </w:rPr>
        <w:t>p</w:t>
      </w:r>
      <w:r>
        <w:rPr>
          <w:b/>
          <w:bCs/>
        </w:rPr>
        <w:t>eine</w:t>
      </w:r>
      <w:proofErr w:type="spellEnd"/>
      <w:r>
        <w:rPr>
          <w:b/>
          <w:bCs/>
        </w:rPr>
        <w:t xml:space="preserve"> de </w:t>
      </w:r>
      <w:r w:rsidR="00486BBE">
        <w:rPr>
          <w:b/>
          <w:bCs/>
        </w:rPr>
        <w:t>m</w:t>
      </w:r>
      <w:r>
        <w:rPr>
          <w:b/>
          <w:bCs/>
        </w:rPr>
        <w:t>ort</w:t>
      </w:r>
    </w:p>
    <w:p w14:paraId="5D0E9FCD" w14:textId="4A0A2A09" w:rsidR="00716FA6" w:rsidRDefault="002974D7" w:rsidP="0031166B">
      <w:pPr>
        <w:pStyle w:val="TitlePageSubheading"/>
      </w:pPr>
      <w:r>
        <w:t>and</w:t>
      </w:r>
    </w:p>
    <w:p w14:paraId="044F9EC5" w14:textId="3DB1E89C" w:rsidR="002974D7" w:rsidRDefault="002974D7" w:rsidP="0031166B">
      <w:pPr>
        <w:pStyle w:val="TitlePageSubheading"/>
        <w:rPr>
          <w:b/>
          <w:bCs/>
        </w:rPr>
      </w:pPr>
      <w:r>
        <w:rPr>
          <w:b/>
          <w:bCs/>
        </w:rPr>
        <w:t>The World Coalition Against the Death Penalty</w:t>
      </w:r>
    </w:p>
    <w:p w14:paraId="16D64DE9" w14:textId="77777777" w:rsidR="002974D7" w:rsidRPr="002974D7" w:rsidRDefault="002974D7" w:rsidP="0031166B">
      <w:pPr>
        <w:pStyle w:val="TitlePageSubheading"/>
      </w:pPr>
    </w:p>
    <w:p w14:paraId="24E688AE" w14:textId="01337924" w:rsidR="004B1E4E" w:rsidRPr="00CA5CC2" w:rsidRDefault="004B1E4E" w:rsidP="0031166B">
      <w:pPr>
        <w:pStyle w:val="TitlePageSubheading"/>
      </w:pPr>
      <w:r w:rsidRPr="00CA5CC2">
        <w:t>for the</w:t>
      </w:r>
      <w:r w:rsidR="00EE3828">
        <w:t xml:space="preserve"> </w:t>
      </w:r>
      <w:r w:rsidR="0061777F">
        <w:t>99</w:t>
      </w:r>
      <w:r w:rsidR="00A94C86">
        <w:t>th</w:t>
      </w:r>
      <w:r w:rsidRPr="00CA5CC2">
        <w:t xml:space="preserve"> Session of the </w:t>
      </w:r>
      <w:r w:rsidR="0061777F">
        <w:t>Committee on the Rights of the Child</w:t>
      </w:r>
    </w:p>
    <w:p w14:paraId="2364C833" w14:textId="4ECD8032" w:rsidR="0031166B" w:rsidRDefault="00C340E3" w:rsidP="0031166B">
      <w:pPr>
        <w:pStyle w:val="TitlePageSubheading"/>
      </w:pPr>
      <w:r>
        <w:t>5</w:t>
      </w:r>
      <w:r w:rsidR="005933C7">
        <w:t>–</w:t>
      </w:r>
      <w:r>
        <w:t>23</w:t>
      </w:r>
      <w:r w:rsidR="009C77F2">
        <w:t xml:space="preserve"> </w:t>
      </w:r>
      <w:r>
        <w:t>May 2025</w:t>
      </w:r>
    </w:p>
    <w:p w14:paraId="4E22A074" w14:textId="77777777" w:rsidR="005933C7" w:rsidRDefault="005933C7" w:rsidP="0031166B">
      <w:pPr>
        <w:pStyle w:val="TitlePageSubheading"/>
      </w:pPr>
    </w:p>
    <w:p w14:paraId="3D93E372" w14:textId="0F0AC732" w:rsidR="00C214BA" w:rsidRDefault="00C214BA" w:rsidP="0031166B">
      <w:pPr>
        <w:pStyle w:val="TitlePageSubheading"/>
      </w:pPr>
      <w:r>
        <w:t xml:space="preserve">Submitted </w:t>
      </w:r>
      <w:r w:rsidR="00C340E3">
        <w:t>1 April 2025</w:t>
      </w:r>
    </w:p>
    <w:p w14:paraId="4EBFAEDD" w14:textId="5A1D8358" w:rsidR="004B1E4E" w:rsidRPr="004B1E4E" w:rsidRDefault="004B1E4E" w:rsidP="40B962A2">
      <w:pPr>
        <w:pStyle w:val="TitlePageSubheading"/>
      </w:pPr>
    </w:p>
    <w:p w14:paraId="00756CF9" w14:textId="475A9E6E" w:rsidR="004B1E4E" w:rsidRDefault="56F42F0B" w:rsidP="008C19BE">
      <w:pPr>
        <w:widowControl w:val="0"/>
        <w:spacing w:after="240"/>
        <w:jc w:val="both"/>
        <w:rPr>
          <w:color w:val="000000" w:themeColor="text1"/>
        </w:rPr>
      </w:pPr>
      <w:r w:rsidRPr="40B962A2">
        <w:rPr>
          <w:rStyle w:val="BoilerplateTitleChar0"/>
          <w:rFonts w:eastAsia="Times New Roman" w:cs="Times New Roman"/>
          <w:color w:val="000000" w:themeColor="text1"/>
          <w:szCs w:val="24"/>
        </w:rPr>
        <w:t>The Advocates for Human Rights</w:t>
      </w:r>
      <w:r w:rsidRPr="40B962A2">
        <w:rPr>
          <w:rStyle w:val="AuthorDescriptiontextChar"/>
          <w:rFonts w:eastAsia="Times New Roman"/>
          <w:color w:val="000000" w:themeColor="text1"/>
        </w:rPr>
        <w:t xml:space="preserve"> (The Advocates) is a volunteer-based non-governmental organization committed to the impartial promotion and protection of international human rights standards and the rule of law since its founding in 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 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Pr="40B962A2">
        <w:rPr>
          <w:color w:val="000000" w:themeColor="text1"/>
        </w:rPr>
        <w:t xml:space="preserve">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036F5442" w14:textId="0F3C6169" w:rsidR="004A6040" w:rsidRDefault="004A6040" w:rsidP="008C19BE">
      <w:pPr>
        <w:widowControl w:val="0"/>
        <w:spacing w:after="240"/>
        <w:jc w:val="both"/>
        <w:rPr>
          <w:color w:val="000000" w:themeColor="text1"/>
        </w:rPr>
      </w:pPr>
      <w:r w:rsidRPr="00C1420E">
        <w:rPr>
          <w:b/>
          <w:bCs/>
          <w:color w:val="000000" w:themeColor="text1"/>
        </w:rPr>
        <w:t>ECPM</w:t>
      </w:r>
      <w:r w:rsidRPr="004A6040">
        <w:rPr>
          <w:color w:val="000000" w:themeColor="text1"/>
        </w:rPr>
        <w:t xml:space="preserve"> (Ensemble </w:t>
      </w:r>
      <w:proofErr w:type="spellStart"/>
      <w:r w:rsidRPr="004A6040">
        <w:rPr>
          <w:color w:val="000000" w:themeColor="text1"/>
        </w:rPr>
        <w:t>contre</w:t>
      </w:r>
      <w:proofErr w:type="spellEnd"/>
      <w:r w:rsidRPr="004A6040">
        <w:rPr>
          <w:color w:val="000000" w:themeColor="text1"/>
        </w:rPr>
        <w:t xml:space="preserve"> la </w:t>
      </w:r>
      <w:proofErr w:type="spellStart"/>
      <w:r w:rsidRPr="004A6040">
        <w:rPr>
          <w:color w:val="000000" w:themeColor="text1"/>
        </w:rPr>
        <w:t>peine</w:t>
      </w:r>
      <w:proofErr w:type="spellEnd"/>
      <w:r w:rsidRPr="004A6040">
        <w:rPr>
          <w:color w:val="000000" w:themeColor="text1"/>
        </w:rPr>
        <w:t xml:space="preserve"> de mort/Together Against the Death Penalty) is a French nongovernmental </w:t>
      </w:r>
      <w:proofErr w:type="spellStart"/>
      <w:r w:rsidRPr="004A6040">
        <w:rPr>
          <w:color w:val="000000" w:themeColor="text1"/>
        </w:rPr>
        <w:t>organisation</w:t>
      </w:r>
      <w:proofErr w:type="spellEnd"/>
      <w:r w:rsidRPr="004A6040">
        <w:rPr>
          <w:color w:val="000000" w:themeColor="text1"/>
        </w:rPr>
        <w:t xml:space="preserve"> that fights against the death penalty worldwide and in all circumstances by uniting and rallying abolitionist forces across the world. The </w:t>
      </w:r>
      <w:proofErr w:type="spellStart"/>
      <w:r w:rsidRPr="004A6040">
        <w:rPr>
          <w:color w:val="000000" w:themeColor="text1"/>
        </w:rPr>
        <w:t>organisation</w:t>
      </w:r>
      <w:proofErr w:type="spellEnd"/>
      <w:r w:rsidRPr="004A6040">
        <w:rPr>
          <w:color w:val="000000" w:themeColor="text1"/>
        </w:rPr>
        <w:t xml:space="preserve"> advocates with international bodies and encourages universal abolition through education, information, local partnerships and public awareness campaigns. ECPM is the </w:t>
      </w:r>
      <w:proofErr w:type="spellStart"/>
      <w:r w:rsidRPr="004A6040">
        <w:rPr>
          <w:color w:val="000000" w:themeColor="text1"/>
        </w:rPr>
        <w:t>organiser</w:t>
      </w:r>
      <w:proofErr w:type="spellEnd"/>
      <w:r w:rsidRPr="004A6040">
        <w:rPr>
          <w:color w:val="000000" w:themeColor="text1"/>
        </w:rPr>
        <w:t xml:space="preserve"> of the World Congresses against the death penalty and a founding member of the World Coalition Against the Death Penalty. In 2016, ECPM was granted consultative status with ECOSOC.</w:t>
      </w:r>
    </w:p>
    <w:p w14:paraId="6D55D554" w14:textId="25C156B3" w:rsidR="004B1E4E" w:rsidRPr="00C340E3" w:rsidRDefault="008C510C" w:rsidP="00C340E3">
      <w:pPr>
        <w:widowControl w:val="0"/>
        <w:spacing w:after="240"/>
        <w:jc w:val="both"/>
        <w:rPr>
          <w:rFonts w:eastAsia="TimesNewRomanPSMT"/>
        </w:rPr>
      </w:pPr>
      <w:r w:rsidRPr="00845DA2">
        <w:rPr>
          <w:b/>
          <w:bCs/>
        </w:rPr>
        <w:t xml:space="preserve">The World Coalition Against the Death Penalty </w:t>
      </w:r>
      <w:r w:rsidRPr="00845DA2">
        <w:rPr>
          <w:rFonts w:eastAsia="TimesNewRomanPSMT"/>
        </w:rPr>
        <w:t>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1E08338B" w14:textId="77777777" w:rsidR="008C19BE" w:rsidRDefault="008C19BE">
      <w:pPr>
        <w:rPr>
          <w:b/>
          <w:caps/>
        </w:rPr>
      </w:pPr>
      <w:r>
        <w:br w:type="page"/>
      </w:r>
    </w:p>
    <w:p w14:paraId="1FC77D31" w14:textId="1CA26BA4" w:rsidR="004B1E4E" w:rsidRPr="004B1E4E" w:rsidRDefault="004B1E4E" w:rsidP="008C19BE">
      <w:pPr>
        <w:pStyle w:val="ExecutiveSummary"/>
        <w:spacing w:after="240"/>
      </w:pPr>
      <w:r>
        <w:lastRenderedPageBreak/>
        <w:t>Executive Summary</w:t>
      </w:r>
    </w:p>
    <w:p w14:paraId="6CD9AC33" w14:textId="3D702539" w:rsidR="004B1E4E" w:rsidRDefault="00AB7CF3" w:rsidP="00234644">
      <w:pPr>
        <w:pStyle w:val="Paragraph"/>
      </w:pPr>
      <w:r>
        <w:t xml:space="preserve">Qatar’s Penal Code </w:t>
      </w:r>
      <w:r w:rsidR="00B677BC">
        <w:t xml:space="preserve">appears to contain </w:t>
      </w:r>
      <w:r>
        <w:t>a loophole</w:t>
      </w:r>
      <w:r w:rsidR="00B677BC">
        <w:t xml:space="preserve"> by </w:t>
      </w:r>
      <w:r w:rsidR="00AD45CB">
        <w:t xml:space="preserve">which courts may sentence </w:t>
      </w:r>
      <w:r w:rsidR="0036485E">
        <w:t>a person</w:t>
      </w:r>
      <w:r w:rsidR="00372780">
        <w:t xml:space="preserve"> to death for homicide committed when the </w:t>
      </w:r>
      <w:r w:rsidR="0036485E">
        <w:t xml:space="preserve">person </w:t>
      </w:r>
      <w:r w:rsidR="00372780">
        <w:t>was under the age of 18</w:t>
      </w:r>
      <w:r w:rsidR="00C66409">
        <w:t xml:space="preserve">. While the Penal Code prohibits the death penalty for juvenile offenders, the relevant </w:t>
      </w:r>
      <w:r w:rsidR="0036485E">
        <w:t>prohibition</w:t>
      </w:r>
      <w:r w:rsidR="00C66409">
        <w:t xml:space="preserve"> does not </w:t>
      </w:r>
      <w:r w:rsidR="0036485E">
        <w:t xml:space="preserve">appear to </w:t>
      </w:r>
      <w:r w:rsidR="00C66409">
        <w:t xml:space="preserve">apply to retribution, or </w:t>
      </w:r>
      <w:proofErr w:type="spellStart"/>
      <w:r w:rsidR="00C66409">
        <w:rPr>
          <w:i/>
          <w:iCs/>
        </w:rPr>
        <w:t>qisas</w:t>
      </w:r>
      <w:proofErr w:type="spellEnd"/>
      <w:r w:rsidR="007B0072">
        <w:t>, offenses, including murder, if either the offender or the victim is Muslim.</w:t>
      </w:r>
      <w:r w:rsidR="00D314FD">
        <w:t xml:space="preserve"> As an urgent matter, Qatar must close this loophole and uniformly prohibit death sentences for any crimes committed when the offender was believed to be under the age of 18 years.</w:t>
      </w:r>
    </w:p>
    <w:p w14:paraId="75B00959" w14:textId="6AAD1DCF" w:rsidR="008F2F99" w:rsidRDefault="00630CDC" w:rsidP="00C05D23">
      <w:pPr>
        <w:pStyle w:val="SectionSummary"/>
      </w:pPr>
      <w:r>
        <w:t>Qatar</w:t>
      </w:r>
      <w:r w:rsidR="008F2F99" w:rsidRPr="008F2F99">
        <w:t xml:space="preserve"> fails to uphold its obligations under the </w:t>
      </w:r>
      <w:r>
        <w:t>Convention on the Rights of the Child</w:t>
      </w:r>
    </w:p>
    <w:p w14:paraId="71FF20C1" w14:textId="0903B5FB" w:rsidR="004B1E4E" w:rsidRDefault="0091080A" w:rsidP="000C15B7">
      <w:pPr>
        <w:pStyle w:val="SectionHeading"/>
        <w:keepNext/>
      </w:pPr>
      <w:r>
        <w:t>Qatar fails to ensure that the child justice system protects against</w:t>
      </w:r>
      <w:r w:rsidR="003157B1">
        <w:t xml:space="preserve"> imposition of the death penalty for </w:t>
      </w:r>
      <w:r w:rsidR="00243774">
        <w:t xml:space="preserve">juvenile offenders </w:t>
      </w:r>
      <w:r w:rsidR="003157B1">
        <w:t>(LOIPR para. 35</w:t>
      </w:r>
      <w:r w:rsidR="00051508">
        <w:t>(a)-(b)</w:t>
      </w:r>
      <w:r w:rsidR="00616E8C">
        <w:t>)</w:t>
      </w:r>
      <w:r w:rsidR="00243774">
        <w:t>.</w:t>
      </w:r>
    </w:p>
    <w:p w14:paraId="639881D3" w14:textId="174752C3" w:rsidR="00757A1C" w:rsidRDefault="00243774" w:rsidP="00C05D23">
      <w:pPr>
        <w:pStyle w:val="Paragraph"/>
      </w:pPr>
      <w:r>
        <w:t>The Committee asked for information about “[t]he adoption of the bill on the rights of the child raising the minimum age of criminal responsibility in accordance with internationally accepted standards” as well as “[m]</w:t>
      </w:r>
      <w:proofErr w:type="spellStart"/>
      <w:r>
        <w:t>easures</w:t>
      </w:r>
      <w:proofErr w:type="spellEnd"/>
      <w:r>
        <w:t xml:space="preserve"> to repeal all domestic legal provisions providing for life imprisonment, hard </w:t>
      </w:r>
      <w:proofErr w:type="spellStart"/>
      <w:r>
        <w:t>labour</w:t>
      </w:r>
      <w:proofErr w:type="spellEnd"/>
      <w:r>
        <w:t xml:space="preserve"> and flogging for offences committed by persons under the age of 18 years.”</w:t>
      </w:r>
      <w:r w:rsidR="004D51DD" w:rsidRPr="007A23AF">
        <w:rPr>
          <w:rStyle w:val="FootnoteReference"/>
        </w:rPr>
        <w:footnoteReference w:id="2"/>
      </w:r>
    </w:p>
    <w:p w14:paraId="6BCB9A46" w14:textId="3BE2A34D" w:rsidR="00F16374" w:rsidRDefault="0038148A" w:rsidP="006309C4">
      <w:pPr>
        <w:pStyle w:val="Paragraph"/>
      </w:pPr>
      <w:r>
        <w:t xml:space="preserve">In reply, Qatar states that </w:t>
      </w:r>
      <w:r w:rsidR="00535887">
        <w:t>it is “working toward the adoption of” the draft law on the rights of the child, which would raise the minimum age of criminal responsibility from 7 to 12</w:t>
      </w:r>
      <w:r w:rsidR="006309C4">
        <w:t xml:space="preserve"> and establish special procedures for any case involving a child accused of an offense.</w:t>
      </w:r>
      <w:r w:rsidR="007C7CCE" w:rsidRPr="00AC040C">
        <w:rPr>
          <w:rStyle w:val="FootnoteReference"/>
        </w:rPr>
        <w:footnoteReference w:id="3"/>
      </w:r>
      <w:r w:rsidR="00D66137">
        <w:t xml:space="preserve"> Qatar adds that it has set up a special court to try offenses committed by minors</w:t>
      </w:r>
      <w:r w:rsidR="00967BC5">
        <w:t>, and that the State must appoint a lawyer to defend the minor accused of having committed a criminal offense.</w:t>
      </w:r>
      <w:r w:rsidR="00967BC5">
        <w:rPr>
          <w:rStyle w:val="FootnoteReference"/>
        </w:rPr>
        <w:footnoteReference w:id="4"/>
      </w:r>
    </w:p>
    <w:p w14:paraId="2A681348" w14:textId="77777777" w:rsidR="00A6503C" w:rsidRPr="00C86A49" w:rsidRDefault="00A6503C" w:rsidP="00A6503C">
      <w:pPr>
        <w:pStyle w:val="Paragraph"/>
      </w:pPr>
      <w:r>
        <w:t xml:space="preserve">In 2021, </w:t>
      </w:r>
      <w:r w:rsidRPr="00C86A49">
        <w:t>Qatar asserted to the Human Rights Committee that “Legislators have set tight controls on the application of the death penalty whereby its use is restricted within strict limits. This is consistent with article 6 of the Covenant and with the Committee’s general comment No. 36 on the right to life.”</w:t>
      </w:r>
      <w:r w:rsidRPr="00C86A49">
        <w:rPr>
          <w:rStyle w:val="FootnoteReference"/>
        </w:rPr>
        <w:footnoteReference w:id="5"/>
      </w:r>
    </w:p>
    <w:p w14:paraId="75B87C75" w14:textId="07F4A730" w:rsidR="00A6503C" w:rsidRPr="00C86A49" w:rsidRDefault="00A6503C" w:rsidP="00A6503C">
      <w:pPr>
        <w:pStyle w:val="Paragraph"/>
      </w:pPr>
      <w:bookmarkStart w:id="0" w:name="_Ref186805969"/>
      <w:r w:rsidRPr="00C86A49">
        <w:t>Despite th</w:t>
      </w:r>
      <w:r w:rsidR="007900BF">
        <w:t>is</w:t>
      </w:r>
      <w:r w:rsidRPr="00C86A49">
        <w:t xml:space="preserve"> assertion, Qatar does not limit the death penalty to intentional killings. Qatar is a constitutional monarchy in which Emir Sheikh Hamad bin Khalifa al-Thani exercises full executive power. Sharia or Islamic law is a primary source of legislation. The </w:t>
      </w:r>
      <w:r>
        <w:t>P</w:t>
      </w:r>
      <w:r w:rsidRPr="00C86A49">
        <w:t xml:space="preserve">enal </w:t>
      </w:r>
      <w:r>
        <w:t>C</w:t>
      </w:r>
      <w:r w:rsidRPr="00C86A49">
        <w:t>ode, contained in Law No. 11 of 2004, as amended, stipulates that crimes punishable by the death penalty include murder,</w:t>
      </w:r>
      <w:r w:rsidRPr="00C86A49">
        <w:rPr>
          <w:vertAlign w:val="superscript"/>
        </w:rPr>
        <w:footnoteReference w:id="6"/>
      </w:r>
      <w:r w:rsidRPr="00C86A49">
        <w:t xml:space="preserve"> abduction leading to death,</w:t>
      </w:r>
      <w:r w:rsidRPr="00C86A49">
        <w:rPr>
          <w:vertAlign w:val="superscript"/>
        </w:rPr>
        <w:footnoteReference w:id="7"/>
      </w:r>
      <w:r w:rsidRPr="00C86A49">
        <w:t xml:space="preserve"> 11 terrorism-related offenses,</w:t>
      </w:r>
      <w:r w:rsidRPr="00C86A49">
        <w:rPr>
          <w:vertAlign w:val="superscript"/>
        </w:rPr>
        <w:footnoteReference w:id="8"/>
      </w:r>
      <w:r w:rsidRPr="00C86A49">
        <w:t xml:space="preserve"> rape,</w:t>
      </w:r>
      <w:r w:rsidRPr="00C86A49">
        <w:rPr>
          <w:vertAlign w:val="superscript"/>
        </w:rPr>
        <w:footnoteReference w:id="9"/>
      </w:r>
      <w:r w:rsidRPr="00C86A49">
        <w:t xml:space="preserve"> </w:t>
      </w:r>
      <w:r w:rsidRPr="00C86A49">
        <w:lastRenderedPageBreak/>
        <w:t>incest,</w:t>
      </w:r>
      <w:r w:rsidRPr="00C86A49">
        <w:rPr>
          <w:vertAlign w:val="superscript"/>
        </w:rPr>
        <w:footnoteReference w:id="10"/>
      </w:r>
      <w:r w:rsidRPr="00C86A49">
        <w:t xml:space="preserve"> repeat drug trafficking offenses, treason,</w:t>
      </w:r>
      <w:r w:rsidRPr="00C86A49">
        <w:rPr>
          <w:vertAlign w:val="superscript"/>
        </w:rPr>
        <w:footnoteReference w:id="11"/>
      </w:r>
      <w:r w:rsidRPr="00C86A49">
        <w:t xml:space="preserve"> espionage,</w:t>
      </w:r>
      <w:r w:rsidRPr="00C86A49">
        <w:rPr>
          <w:vertAlign w:val="superscript"/>
        </w:rPr>
        <w:footnoteReference w:id="12"/>
      </w:r>
      <w:r w:rsidRPr="00C86A49">
        <w:t xml:space="preserve"> extortion by threat of accusation of a crime of honor, such as adultery or fornication, and giving false witness with the consequence of inflicting capital punishment on the accused.</w:t>
      </w:r>
      <w:r>
        <w:rPr>
          <w:rStyle w:val="FootnoteReference"/>
        </w:rPr>
        <w:footnoteReference w:id="13"/>
      </w:r>
      <w:r w:rsidRPr="00C86A49">
        <w:t xml:space="preserve"> </w:t>
      </w:r>
      <w:bookmarkEnd w:id="0"/>
    </w:p>
    <w:p w14:paraId="654886CB" w14:textId="532BF786" w:rsidR="00A6503C" w:rsidRDefault="00A6503C" w:rsidP="00A6503C">
      <w:pPr>
        <w:pStyle w:val="Paragraph"/>
      </w:pPr>
      <w:r>
        <w:t xml:space="preserve">For an execution to go forward, the Emir must first ratify the </w:t>
      </w:r>
      <w:r w:rsidRPr="00C86A49">
        <w:t>death sentence</w:t>
      </w:r>
      <w:r w:rsidRPr="00C86A49">
        <w:rPr>
          <w:vertAlign w:val="superscript"/>
        </w:rPr>
        <w:footnoteReference w:id="14"/>
      </w:r>
      <w:r>
        <w:t>;</w:t>
      </w:r>
      <w:r w:rsidRPr="00C86A49">
        <w:t xml:space="preserve"> </w:t>
      </w:r>
      <w:r>
        <w:t xml:space="preserve">the Emir may commute a death sentence to life imprisonment </w:t>
      </w:r>
      <w:r w:rsidRPr="00C86A49">
        <w:t>if the victim’s</w:t>
      </w:r>
      <w:r>
        <w:t xml:space="preserve"> family</w:t>
      </w:r>
      <w:r w:rsidRPr="00C86A49">
        <w:t xml:space="preserve"> agree</w:t>
      </w:r>
      <w:r>
        <w:t>s</w:t>
      </w:r>
      <w:r w:rsidRPr="00C86A49">
        <w:t>.</w:t>
      </w:r>
      <w:r w:rsidRPr="00C86A49">
        <w:rPr>
          <w:rStyle w:val="FootnoteReference"/>
        </w:rPr>
        <w:footnoteReference w:id="15"/>
      </w:r>
      <w:r w:rsidRPr="00C86A49">
        <w:t xml:space="preserve"> </w:t>
      </w:r>
    </w:p>
    <w:p w14:paraId="462C0FA4" w14:textId="121DA93F" w:rsidR="005B3678" w:rsidRDefault="00BC52E7" w:rsidP="00A6503C">
      <w:pPr>
        <w:pStyle w:val="Paragraph"/>
      </w:pPr>
      <w:r>
        <w:t xml:space="preserve">It appears that </w:t>
      </w:r>
      <w:r w:rsidR="001D07DF">
        <w:t xml:space="preserve">in applying Sharia laws, </w:t>
      </w:r>
      <w:r>
        <w:t xml:space="preserve">Qatari courts </w:t>
      </w:r>
      <w:r w:rsidR="000E67BB">
        <w:t>can</w:t>
      </w:r>
      <w:r>
        <w:t xml:space="preserve"> sentence </w:t>
      </w:r>
      <w:r w:rsidR="006D3438">
        <w:t>juvenile offenders</w:t>
      </w:r>
      <w:r>
        <w:t xml:space="preserve"> to death </w:t>
      </w:r>
      <w:r w:rsidR="00FB0B19">
        <w:t>for murder under the</w:t>
      </w:r>
      <w:r w:rsidR="000D056A">
        <w:t xml:space="preserve"> </w:t>
      </w:r>
      <w:r w:rsidR="00FB0B19">
        <w:t>“</w:t>
      </w:r>
      <w:r w:rsidR="00335511">
        <w:t>retribution</w:t>
      </w:r>
      <w:r w:rsidR="00FB0B19">
        <w:t xml:space="preserve">” or </w:t>
      </w:r>
      <w:proofErr w:type="spellStart"/>
      <w:r w:rsidR="00FB0B19">
        <w:rPr>
          <w:i/>
          <w:iCs/>
        </w:rPr>
        <w:t>qisas</w:t>
      </w:r>
      <w:proofErr w:type="spellEnd"/>
      <w:r w:rsidR="00FB0B19">
        <w:t xml:space="preserve"> scheme, even though Article 20 of the </w:t>
      </w:r>
      <w:r w:rsidR="00144A34">
        <w:t>Penal Code of 2004 specifies that “[t]he death sentence may not be imposed on a juvenile who is under eighteen years of age at the time of committing the offence.”</w:t>
      </w:r>
      <w:r w:rsidR="00144A34">
        <w:rPr>
          <w:rStyle w:val="FootnoteReference"/>
        </w:rPr>
        <w:footnoteReference w:id="16"/>
      </w:r>
      <w:r w:rsidR="00976B55">
        <w:t xml:space="preserve"> Article 1 of the Penal Code specifies that “[t]he provisions of the Islamic </w:t>
      </w:r>
      <w:proofErr w:type="spellStart"/>
      <w:r w:rsidR="00976B55">
        <w:t>Shari’a</w:t>
      </w:r>
      <w:proofErr w:type="spellEnd"/>
      <w:r w:rsidR="00976B55">
        <w:t xml:space="preserve"> shall be applicable</w:t>
      </w:r>
      <w:r w:rsidR="00533FD5">
        <w:t>” for “[o]</w:t>
      </w:r>
      <w:proofErr w:type="spellStart"/>
      <w:r w:rsidR="00533FD5">
        <w:t>ffences</w:t>
      </w:r>
      <w:proofErr w:type="spellEnd"/>
      <w:r w:rsidR="00533FD5">
        <w:t xml:space="preserve"> of retribution (</w:t>
      </w:r>
      <w:proofErr w:type="spellStart"/>
      <w:r w:rsidR="00533FD5">
        <w:rPr>
          <w:i/>
          <w:iCs/>
        </w:rPr>
        <w:t>qisas</w:t>
      </w:r>
      <w:proofErr w:type="spellEnd"/>
      <w:r w:rsidR="00533FD5">
        <w:t>) and blood money (</w:t>
      </w:r>
      <w:r w:rsidR="00533FD5">
        <w:rPr>
          <w:i/>
          <w:iCs/>
        </w:rPr>
        <w:t>diya</w:t>
      </w:r>
      <w:r w:rsidR="00533FD5">
        <w:t>)” “when the defendant or the plaintiff is a Muslim,” and that in all other cases</w:t>
      </w:r>
      <w:r w:rsidR="006D3438">
        <w:t xml:space="preserve"> the Penal Code’s penalties apply.</w:t>
      </w:r>
      <w:r w:rsidR="006D3438">
        <w:rPr>
          <w:rStyle w:val="FootnoteReference"/>
        </w:rPr>
        <w:footnoteReference w:id="17"/>
      </w:r>
      <w:r w:rsidR="0096197A">
        <w:t xml:space="preserve"> Therefore</w:t>
      </w:r>
      <w:r w:rsidR="00BD3D43">
        <w:t>, if either the offender or the victim is Muslim,</w:t>
      </w:r>
      <w:r w:rsidR="0096197A">
        <w:t xml:space="preserve"> Article 20 does not seem to apply to cases of murder</w:t>
      </w:r>
      <w:r w:rsidR="003B468A">
        <w:t>, which call for “retribution” penalties.</w:t>
      </w:r>
      <w:r w:rsidR="00507CA5">
        <w:t xml:space="preserve"> </w:t>
      </w:r>
      <w:r w:rsidR="00B44A3B">
        <w:t xml:space="preserve">Qatar’s reply seems to concede as much, stating that </w:t>
      </w:r>
      <w:r w:rsidR="001B07C6">
        <w:t xml:space="preserve">Article 19 of </w:t>
      </w:r>
      <w:r w:rsidR="00B44A3B">
        <w:t xml:space="preserve">the </w:t>
      </w:r>
      <w:r w:rsidR="001B07C6">
        <w:t xml:space="preserve">Law on Minors of 1994 </w:t>
      </w:r>
      <w:r w:rsidR="007529CE">
        <w:t xml:space="preserve">prohibits death sentences for minors </w:t>
      </w:r>
      <w:r w:rsidR="001B07C6">
        <w:t>over the age of 14 and under the age of 16</w:t>
      </w:r>
      <w:r w:rsidR="00322248">
        <w:rPr>
          <w:rStyle w:val="FootnoteReference"/>
        </w:rPr>
        <w:footnoteReference w:id="18"/>
      </w:r>
      <w:r w:rsidR="00B069F4">
        <w:t xml:space="preserve">—suggesting that minors aged 16 and 17 may in fact be sentenced to death, at least </w:t>
      </w:r>
      <w:r w:rsidR="00322248">
        <w:t xml:space="preserve">for </w:t>
      </w:r>
      <w:proofErr w:type="spellStart"/>
      <w:r w:rsidR="00322248">
        <w:rPr>
          <w:i/>
          <w:iCs/>
        </w:rPr>
        <w:t>qisas</w:t>
      </w:r>
      <w:proofErr w:type="spellEnd"/>
      <w:r w:rsidR="00322248">
        <w:rPr>
          <w:i/>
          <w:iCs/>
        </w:rPr>
        <w:t xml:space="preserve"> </w:t>
      </w:r>
      <w:r w:rsidR="00322248">
        <w:t>homicide offenses.</w:t>
      </w:r>
      <w:r w:rsidR="00D0000C">
        <w:rPr>
          <w:rStyle w:val="FootnoteReference"/>
        </w:rPr>
        <w:footnoteReference w:id="19"/>
      </w:r>
    </w:p>
    <w:p w14:paraId="1759DF3A" w14:textId="6FAC826C" w:rsidR="00CC0D6D" w:rsidRPr="00F16374" w:rsidRDefault="00CC0D6D" w:rsidP="00A6503C">
      <w:pPr>
        <w:pStyle w:val="Paragraph"/>
      </w:pPr>
      <w:r>
        <w:t>Due to lack of transparency, the coauthors do not have information regarding whether any persons have been sentenced to death for murder or other crimes committed when under the age of 18 years</w:t>
      </w:r>
      <w:r w:rsidR="00B703FA">
        <w:t>.</w:t>
      </w:r>
    </w:p>
    <w:p w14:paraId="5BA5FD26" w14:textId="61B53DBE" w:rsidR="00085935" w:rsidRPr="00262845" w:rsidRDefault="00111994" w:rsidP="000C15B7">
      <w:pPr>
        <w:pStyle w:val="SectionHeading"/>
        <w:keepNext/>
      </w:pPr>
      <w:r w:rsidRPr="00262845">
        <w:t xml:space="preserve">Suggested </w:t>
      </w:r>
      <w:r w:rsidR="00B703FA">
        <w:t xml:space="preserve">questions and </w:t>
      </w:r>
      <w:r w:rsidRPr="00262845">
        <w:t>recommendations</w:t>
      </w:r>
      <w:r w:rsidR="00255789" w:rsidRPr="00262845">
        <w:t xml:space="preserve"> for</w:t>
      </w:r>
      <w:r w:rsidR="000A66B8" w:rsidRPr="00262845">
        <w:t xml:space="preserve"> the Government of </w:t>
      </w:r>
      <w:r w:rsidR="00326A4B">
        <w:t>Qatar</w:t>
      </w:r>
    </w:p>
    <w:p w14:paraId="2BA07DDF" w14:textId="446DA67F" w:rsidR="00B703FA" w:rsidRDefault="00B703FA" w:rsidP="00B703FA">
      <w:pPr>
        <w:numPr>
          <w:ilvl w:val="0"/>
          <w:numId w:val="7"/>
        </w:numPr>
        <w:spacing w:after="120"/>
        <w:ind w:left="360"/>
        <w:jc w:val="both"/>
      </w:pPr>
      <w:r>
        <w:rPr>
          <w:rStyle w:val="ParagraphChar"/>
        </w:rPr>
        <w:t xml:space="preserve">The coauthors suggest that the </w:t>
      </w:r>
      <w:r w:rsidRPr="00A975D1">
        <w:rPr>
          <w:rStyle w:val="ParagraphChar"/>
        </w:rPr>
        <w:t xml:space="preserve">Committee </w:t>
      </w:r>
      <w:r>
        <w:rPr>
          <w:rStyle w:val="ParagraphChar"/>
        </w:rPr>
        <w:t xml:space="preserve">pose the following questions to </w:t>
      </w:r>
      <w:r w:rsidRPr="00A975D1">
        <w:rPr>
          <w:rStyle w:val="ParagraphChar"/>
        </w:rPr>
        <w:t xml:space="preserve">the Government of </w:t>
      </w:r>
      <w:r>
        <w:rPr>
          <w:rStyle w:val="ParagraphChar"/>
        </w:rPr>
        <w:t>Qatar</w:t>
      </w:r>
      <w:r>
        <w:t>:</w:t>
      </w:r>
    </w:p>
    <w:p w14:paraId="50F77756" w14:textId="4EDBD617" w:rsidR="0000136B" w:rsidRDefault="0000136B" w:rsidP="0000136B">
      <w:pPr>
        <w:pStyle w:val="BulletRecommendationsQuestions"/>
        <w:rPr>
          <w:rStyle w:val="ParagraphChar"/>
        </w:rPr>
      </w:pPr>
      <w:r>
        <w:rPr>
          <w:rStyle w:val="ParagraphChar"/>
        </w:rPr>
        <w:t xml:space="preserve">Does Article 20 of the Penal Code apply to </w:t>
      </w:r>
      <w:proofErr w:type="spellStart"/>
      <w:r>
        <w:rPr>
          <w:rStyle w:val="ParagraphChar"/>
          <w:i/>
          <w:iCs/>
        </w:rPr>
        <w:t>qisas</w:t>
      </w:r>
      <w:proofErr w:type="spellEnd"/>
      <w:r>
        <w:rPr>
          <w:rStyle w:val="ParagraphChar"/>
          <w:i/>
          <w:iCs/>
        </w:rPr>
        <w:t xml:space="preserve"> </w:t>
      </w:r>
      <w:r>
        <w:rPr>
          <w:rStyle w:val="ParagraphChar"/>
        </w:rPr>
        <w:t>homicide offenses, as specified in Article 1 of the Penal Code?</w:t>
      </w:r>
    </w:p>
    <w:p w14:paraId="26647FEC" w14:textId="0273DC5F" w:rsidR="00B703FA" w:rsidRDefault="000737DF" w:rsidP="00B703FA">
      <w:pPr>
        <w:pStyle w:val="BulletRecommendationsQuestions"/>
        <w:rPr>
          <w:rStyle w:val="ParagraphChar"/>
        </w:rPr>
      </w:pPr>
      <w:r>
        <w:rPr>
          <w:rStyle w:val="ParagraphChar"/>
        </w:rPr>
        <w:t>Over the reporting period, how many people have been sentenced to death for crimes committed when under the age of 18? Please provide disaggregated data</w:t>
      </w:r>
      <w:r w:rsidR="00A863B9">
        <w:rPr>
          <w:rStyle w:val="ParagraphChar"/>
        </w:rPr>
        <w:t xml:space="preserve"> for such death sentences</w:t>
      </w:r>
      <w:r w:rsidR="00F93D4D">
        <w:rPr>
          <w:rStyle w:val="ParagraphChar"/>
        </w:rPr>
        <w:t>, broken down by age at the time of offense, age at the date of sentencing, nature of the offense, sex or gender, relationship to any codefendants or victims</w:t>
      </w:r>
      <w:r w:rsidR="00A863B9">
        <w:rPr>
          <w:rStyle w:val="ParagraphChar"/>
        </w:rPr>
        <w:t>, current location, and status of any appeals or petitions for mercy.</w:t>
      </w:r>
      <w:r w:rsidR="003D11AE">
        <w:rPr>
          <w:rStyle w:val="ParagraphChar"/>
        </w:rPr>
        <w:t xml:space="preserve"> Please also provide information regarding any demands for </w:t>
      </w:r>
      <w:proofErr w:type="gramStart"/>
      <w:r w:rsidR="003D11AE">
        <w:rPr>
          <w:rStyle w:val="ParagraphChar"/>
        </w:rPr>
        <w:t>or</w:t>
      </w:r>
      <w:proofErr w:type="gramEnd"/>
      <w:r w:rsidR="003D11AE">
        <w:rPr>
          <w:rStyle w:val="ParagraphChar"/>
        </w:rPr>
        <w:t xml:space="preserve"> payments of </w:t>
      </w:r>
      <w:r w:rsidR="003D11AE">
        <w:rPr>
          <w:rStyle w:val="ParagraphChar"/>
          <w:i/>
          <w:iCs/>
        </w:rPr>
        <w:t>diya</w:t>
      </w:r>
      <w:r w:rsidR="003D11AE">
        <w:rPr>
          <w:rStyle w:val="ParagraphChar"/>
        </w:rPr>
        <w:t xml:space="preserve">, or blood </w:t>
      </w:r>
      <w:r w:rsidR="003D11AE">
        <w:rPr>
          <w:rStyle w:val="ParagraphChar"/>
        </w:rPr>
        <w:lastRenderedPageBreak/>
        <w:t>money, for these offenses, whether any such payments were made, and in what amounts.</w:t>
      </w:r>
    </w:p>
    <w:p w14:paraId="3DE965F0" w14:textId="35DD642D" w:rsidR="0000136B" w:rsidRDefault="0000136B" w:rsidP="00B703FA">
      <w:pPr>
        <w:pStyle w:val="BulletRecommendationsQuestions"/>
        <w:rPr>
          <w:rStyle w:val="ParagraphChar"/>
        </w:rPr>
      </w:pPr>
      <w:r>
        <w:rPr>
          <w:rStyle w:val="ParagraphChar"/>
        </w:rPr>
        <w:t xml:space="preserve">When does the State Party anticipate that it will </w:t>
      </w:r>
      <w:r w:rsidR="004C22A7">
        <w:rPr>
          <w:rStyle w:val="ParagraphChar"/>
        </w:rPr>
        <w:t>adopt the draft law on the rights of the child?</w:t>
      </w:r>
    </w:p>
    <w:p w14:paraId="34A8D0C1" w14:textId="0CFBE6B5" w:rsidR="004C22A7" w:rsidRDefault="004C22A7" w:rsidP="00B703FA">
      <w:pPr>
        <w:pStyle w:val="BulletRecommendationsQuestions"/>
        <w:rPr>
          <w:rStyle w:val="ParagraphChar"/>
        </w:rPr>
      </w:pPr>
      <w:r>
        <w:rPr>
          <w:rStyle w:val="ParagraphChar"/>
        </w:rPr>
        <w:t xml:space="preserve">Would the law on the rights of the child, as currently drafted, </w:t>
      </w:r>
      <w:r w:rsidR="00CF7B21">
        <w:rPr>
          <w:rStyle w:val="ParagraphChar"/>
        </w:rPr>
        <w:t>ensure that no person could be sentenced to death for any crime committed when under the age of 18 in any circumstances?</w:t>
      </w:r>
    </w:p>
    <w:p w14:paraId="13911C89" w14:textId="7585B352" w:rsidR="00672459" w:rsidRDefault="00672459" w:rsidP="00B703FA">
      <w:pPr>
        <w:pStyle w:val="BulletRecommendationsQuestions"/>
        <w:rPr>
          <w:rStyle w:val="ParagraphChar"/>
        </w:rPr>
      </w:pPr>
      <w:r>
        <w:rPr>
          <w:rStyle w:val="ParagraphChar"/>
        </w:rPr>
        <w:t xml:space="preserve">What procedures are in place to ascertain </w:t>
      </w:r>
      <w:r w:rsidR="009923F5">
        <w:rPr>
          <w:rStyle w:val="ParagraphChar"/>
        </w:rPr>
        <w:t>the age of the alleged offender at the time of the offense when determining what penalties are available?</w:t>
      </w:r>
    </w:p>
    <w:p w14:paraId="2EB31112" w14:textId="2A7FE62F" w:rsidR="00C90DBA" w:rsidRDefault="00C90DBA" w:rsidP="00B703FA">
      <w:pPr>
        <w:pStyle w:val="BulletRecommendationsQuestions"/>
        <w:rPr>
          <w:rStyle w:val="ParagraphChar"/>
        </w:rPr>
      </w:pPr>
      <w:r>
        <w:rPr>
          <w:rStyle w:val="ParagraphChar"/>
        </w:rPr>
        <w:t>Are specific measures taken to ensure the rights of children whose parents are sentenced to death?</w:t>
      </w:r>
    </w:p>
    <w:p w14:paraId="09ED740C" w14:textId="010E8DD9" w:rsidR="00111994" w:rsidRDefault="000C15B7" w:rsidP="007B46CD">
      <w:pPr>
        <w:numPr>
          <w:ilvl w:val="0"/>
          <w:numId w:val="7"/>
        </w:numPr>
        <w:spacing w:after="120"/>
        <w:ind w:left="360"/>
        <w:jc w:val="both"/>
      </w:pPr>
      <w:r>
        <w:rPr>
          <w:rStyle w:val="ParagraphChar"/>
        </w:rPr>
        <w:t xml:space="preserve">The coauthors suggest that the </w:t>
      </w:r>
      <w:r w:rsidR="00181B2A" w:rsidRPr="00A975D1">
        <w:rPr>
          <w:rStyle w:val="ParagraphChar"/>
        </w:rPr>
        <w:t xml:space="preserve">Committee </w:t>
      </w:r>
      <w:r w:rsidR="00F5788A">
        <w:rPr>
          <w:rStyle w:val="ParagraphChar"/>
        </w:rPr>
        <w:t xml:space="preserve">recommend that </w:t>
      </w:r>
      <w:r w:rsidR="00181B2A" w:rsidRPr="00A975D1">
        <w:rPr>
          <w:rStyle w:val="ParagraphChar"/>
        </w:rPr>
        <w:t xml:space="preserve">the Government of </w:t>
      </w:r>
      <w:r w:rsidR="00326A4B">
        <w:rPr>
          <w:rStyle w:val="ParagraphChar"/>
        </w:rPr>
        <w:t>Qatar</w:t>
      </w:r>
      <w:r w:rsidR="00255789">
        <w:t>:</w:t>
      </w:r>
    </w:p>
    <w:p w14:paraId="7589B0A5" w14:textId="703796AE" w:rsidR="00255789" w:rsidRDefault="00747BEC" w:rsidP="00211315">
      <w:pPr>
        <w:pStyle w:val="BulletRecommendationsQuestions"/>
      </w:pPr>
      <w:r>
        <w:t>Take urgent measures to i</w:t>
      </w:r>
      <w:r w:rsidR="00E577BE">
        <w:t>ssue a directive</w:t>
      </w:r>
      <w:r w:rsidR="00AD45CB">
        <w:t xml:space="preserve"> to all prosecutors and judicial officers</w:t>
      </w:r>
      <w:r w:rsidR="00E577BE">
        <w:t xml:space="preserve"> clarifying that Article 20 of the Penal Code applies to all </w:t>
      </w:r>
      <w:r>
        <w:t xml:space="preserve">criminal </w:t>
      </w:r>
      <w:r w:rsidR="00E577BE">
        <w:t xml:space="preserve">offenses, including </w:t>
      </w:r>
      <w:r w:rsidR="00C269A8">
        <w:t>retribution (</w:t>
      </w:r>
      <w:proofErr w:type="spellStart"/>
      <w:r w:rsidR="00C269A8" w:rsidRPr="00C269A8">
        <w:rPr>
          <w:i/>
          <w:iCs/>
        </w:rPr>
        <w:t>qisas</w:t>
      </w:r>
      <w:proofErr w:type="spellEnd"/>
      <w:r w:rsidR="00C269A8">
        <w:t xml:space="preserve">) offenses </w:t>
      </w:r>
      <w:r w:rsidR="00E577BE" w:rsidRPr="00C269A8">
        <w:t>under</w:t>
      </w:r>
      <w:r w:rsidR="00E577BE">
        <w:t xml:space="preserve"> Sharia law</w:t>
      </w:r>
    </w:p>
    <w:p w14:paraId="3E4AA44D" w14:textId="0A0C7613" w:rsidR="00F51AFD" w:rsidRDefault="00747BEC" w:rsidP="00211315">
      <w:pPr>
        <w:pStyle w:val="BulletRecommendationsQuestions"/>
      </w:pPr>
      <w:r>
        <w:t xml:space="preserve">Take swift action to adopt the </w:t>
      </w:r>
      <w:r w:rsidR="00C66842">
        <w:t>draft law on the rights of the child, and ensure that it specifies that no person may be sentenced to death for any crime committed when under the age of 18 in any circumstances</w:t>
      </w:r>
      <w:r w:rsidR="00386237">
        <w:t>, regardless of whether the offense is enumerated in the Penal Code or falls under Sharia law referenced in Article 1 of the Penal Code.</w:t>
      </w:r>
    </w:p>
    <w:p w14:paraId="7225D04E" w14:textId="1E2F8E85" w:rsidR="00AB7CF3" w:rsidRDefault="00AB7CF3" w:rsidP="00211315">
      <w:pPr>
        <w:pStyle w:val="BulletRecommendationsQuestions"/>
      </w:pPr>
      <w:r>
        <w:t>Direct judicial authorities to promptly resentence any person currently under sentence of death for an offense they are believed to have committed when under the age of 18 years.</w:t>
      </w:r>
    </w:p>
    <w:p w14:paraId="1C1DAC05" w14:textId="4B2AC644" w:rsidR="00B677BC" w:rsidRPr="00E114C5" w:rsidRDefault="00B677BC" w:rsidP="00211315">
      <w:pPr>
        <w:pStyle w:val="BulletRecommendationsQuestions"/>
      </w:pPr>
      <w:r>
        <w:t>On at least an annual basis, publish comprehensive data regarding all persons convicted of crimes</w:t>
      </w:r>
      <w:r w:rsidR="00672459">
        <w:t xml:space="preserve"> committed when the offender was believed to have been under the age of 18, disaggregated by </w:t>
      </w:r>
      <w:r w:rsidR="00E67BF6">
        <w:rPr>
          <w:rStyle w:val="ParagraphChar"/>
        </w:rPr>
        <w:t xml:space="preserve">age at the time of offense, age at the date of sentencing, nature of the offense, sex or gender, relationship to any codefendants or victims, </w:t>
      </w:r>
      <w:r w:rsidR="007373DC">
        <w:rPr>
          <w:rStyle w:val="ParagraphChar"/>
        </w:rPr>
        <w:t xml:space="preserve">penalty imposed, </w:t>
      </w:r>
      <w:r w:rsidR="00E67BF6">
        <w:rPr>
          <w:rStyle w:val="ParagraphChar"/>
        </w:rPr>
        <w:t xml:space="preserve">amount of </w:t>
      </w:r>
      <w:r w:rsidR="00E67BF6" w:rsidRPr="00E67BF6">
        <w:rPr>
          <w:rStyle w:val="ParagraphChar"/>
          <w:i/>
          <w:iCs/>
        </w:rPr>
        <w:t>diya</w:t>
      </w:r>
      <w:r w:rsidR="00E67BF6">
        <w:rPr>
          <w:rStyle w:val="ParagraphChar"/>
        </w:rPr>
        <w:t xml:space="preserve"> demanded by the victim or victim’s family, whether </w:t>
      </w:r>
      <w:r w:rsidR="00E67BF6" w:rsidRPr="00E67BF6">
        <w:rPr>
          <w:rStyle w:val="ParagraphChar"/>
          <w:i/>
          <w:iCs/>
        </w:rPr>
        <w:t>diya</w:t>
      </w:r>
      <w:r w:rsidR="00E67BF6">
        <w:rPr>
          <w:rStyle w:val="ParagraphChar"/>
        </w:rPr>
        <w:t xml:space="preserve"> was paid and in what amount, </w:t>
      </w:r>
      <w:r w:rsidR="00CA194C">
        <w:rPr>
          <w:rStyle w:val="ParagraphChar"/>
        </w:rPr>
        <w:t xml:space="preserve">sentencing court, </w:t>
      </w:r>
      <w:r w:rsidR="007373DC">
        <w:rPr>
          <w:rStyle w:val="ParagraphChar"/>
        </w:rPr>
        <w:t xml:space="preserve">current sentence, </w:t>
      </w:r>
      <w:r w:rsidR="00E67BF6" w:rsidRPr="00E67BF6">
        <w:rPr>
          <w:rStyle w:val="ParagraphChar"/>
        </w:rPr>
        <w:t>current</w:t>
      </w:r>
      <w:r w:rsidR="00E67BF6">
        <w:rPr>
          <w:rStyle w:val="ParagraphChar"/>
        </w:rPr>
        <w:t xml:space="preserve"> location, and status of any appeals or petitions for mercy</w:t>
      </w:r>
      <w:r w:rsidR="00CA194C">
        <w:rPr>
          <w:rStyle w:val="ParagraphChar"/>
        </w:rPr>
        <w:t>.</w:t>
      </w:r>
    </w:p>
    <w:sectPr w:rsidR="00B677BC" w:rsidRPr="00E114C5" w:rsidSect="008504A9">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D04AF" w14:textId="77777777" w:rsidR="006A7DFE" w:rsidRDefault="006A7DFE">
      <w:r>
        <w:separator/>
      </w:r>
    </w:p>
  </w:endnote>
  <w:endnote w:type="continuationSeparator" w:id="0">
    <w:p w14:paraId="568042B0" w14:textId="77777777" w:rsidR="006A7DFE" w:rsidRDefault="006A7DFE">
      <w:r>
        <w:continuationSeparator/>
      </w:r>
    </w:p>
  </w:endnote>
  <w:endnote w:type="continuationNotice" w:id="1">
    <w:p w14:paraId="24AA26D4" w14:textId="77777777" w:rsidR="006A7DFE" w:rsidRDefault="006A7D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TimesNewRomanPSMT">
    <w:altName w:val="Times New Roman"/>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AECA65"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09468B3"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  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DF9C79" w14:textId="77777777" w:rsidR="006A7DFE" w:rsidRDefault="006A7DFE">
      <w:r>
        <w:separator/>
      </w:r>
    </w:p>
  </w:footnote>
  <w:footnote w:type="continuationSeparator" w:id="0">
    <w:p w14:paraId="0C48E24C" w14:textId="77777777" w:rsidR="006A7DFE" w:rsidRDefault="006A7DFE">
      <w:r>
        <w:continuationSeparator/>
      </w:r>
    </w:p>
  </w:footnote>
  <w:footnote w:type="continuationNotice" w:id="1">
    <w:p w14:paraId="1881A857" w14:textId="77777777" w:rsidR="006A7DFE" w:rsidRDefault="006A7DFE"/>
  </w:footnote>
  <w:footnote w:id="2">
    <w:p w14:paraId="0857E500" w14:textId="35DE8A72" w:rsidR="004D51DD" w:rsidRPr="00AB7CF3" w:rsidRDefault="004D51DD">
      <w:pPr>
        <w:pStyle w:val="FootnoteText"/>
        <w:rPr>
          <w:sz w:val="20"/>
          <w:szCs w:val="20"/>
        </w:rPr>
      </w:pPr>
      <w:r w:rsidRPr="00AB7CF3">
        <w:rPr>
          <w:rStyle w:val="FootnoteReference"/>
          <w:sz w:val="20"/>
          <w:szCs w:val="20"/>
        </w:rPr>
        <w:footnoteRef/>
      </w:r>
      <w:r w:rsidR="20EBB8F7" w:rsidRPr="00AB7CF3">
        <w:rPr>
          <w:sz w:val="20"/>
          <w:szCs w:val="20"/>
        </w:rPr>
        <w:t xml:space="preserve"> Committee </w:t>
      </w:r>
      <w:r w:rsidR="003F3B64" w:rsidRPr="00AB7CF3">
        <w:rPr>
          <w:sz w:val="20"/>
          <w:szCs w:val="20"/>
        </w:rPr>
        <w:t>on the Rights of the Child</w:t>
      </w:r>
      <w:r w:rsidR="20EBB8F7" w:rsidRPr="00AB7CF3">
        <w:rPr>
          <w:sz w:val="20"/>
          <w:szCs w:val="20"/>
        </w:rPr>
        <w:t xml:space="preserve">, </w:t>
      </w:r>
      <w:r w:rsidR="20EBB8F7" w:rsidRPr="00AB7CF3">
        <w:rPr>
          <w:i/>
          <w:iCs/>
          <w:sz w:val="20"/>
          <w:szCs w:val="20"/>
        </w:rPr>
        <w:t xml:space="preserve">List of issues prior to the submission of the </w:t>
      </w:r>
      <w:r w:rsidR="003F3B64" w:rsidRPr="00AB7CF3">
        <w:rPr>
          <w:i/>
          <w:iCs/>
          <w:sz w:val="20"/>
          <w:szCs w:val="20"/>
        </w:rPr>
        <w:t>combined fifth and sixth reports of Qatar</w:t>
      </w:r>
      <w:r w:rsidR="20EBB8F7" w:rsidRPr="00AB7CF3">
        <w:rPr>
          <w:sz w:val="20"/>
          <w:szCs w:val="20"/>
        </w:rPr>
        <w:t xml:space="preserve">, </w:t>
      </w:r>
      <w:r w:rsidR="003F3B64" w:rsidRPr="00AB7CF3">
        <w:rPr>
          <w:sz w:val="20"/>
          <w:szCs w:val="20"/>
        </w:rPr>
        <w:t>(14 July 2023</w:t>
      </w:r>
      <w:r w:rsidR="20EBB8F7" w:rsidRPr="00AB7CF3">
        <w:rPr>
          <w:sz w:val="20"/>
          <w:szCs w:val="20"/>
        </w:rPr>
        <w:t xml:space="preserve">), U.N. Doc. </w:t>
      </w:r>
      <w:r w:rsidR="003F3B64" w:rsidRPr="00AB7CF3">
        <w:rPr>
          <w:sz w:val="20"/>
          <w:szCs w:val="20"/>
        </w:rPr>
        <w:t>CRC/C/QAT/QPR/5-6</w:t>
      </w:r>
      <w:r w:rsidR="20EBB8F7" w:rsidRPr="00AB7CF3">
        <w:rPr>
          <w:sz w:val="20"/>
          <w:szCs w:val="20"/>
        </w:rPr>
        <w:t>, ¶</w:t>
      </w:r>
      <w:r w:rsidR="00F5788A" w:rsidRPr="00AB7CF3">
        <w:rPr>
          <w:sz w:val="20"/>
          <w:szCs w:val="20"/>
        </w:rPr>
        <w:t> </w:t>
      </w:r>
      <w:r w:rsidR="00051508" w:rsidRPr="00AB7CF3">
        <w:rPr>
          <w:sz w:val="20"/>
          <w:szCs w:val="20"/>
        </w:rPr>
        <w:t>35(a)-(b)</w:t>
      </w:r>
      <w:r w:rsidR="20EBB8F7" w:rsidRPr="00AB7CF3">
        <w:rPr>
          <w:sz w:val="20"/>
          <w:szCs w:val="20"/>
        </w:rPr>
        <w:t>.</w:t>
      </w:r>
    </w:p>
  </w:footnote>
  <w:footnote w:id="3">
    <w:p w14:paraId="2EF8D68A" w14:textId="111E3125" w:rsidR="007C7CCE" w:rsidRPr="00AB7CF3" w:rsidRDefault="007C7CCE">
      <w:pPr>
        <w:pStyle w:val="FootnoteText"/>
        <w:rPr>
          <w:sz w:val="20"/>
          <w:szCs w:val="20"/>
        </w:rPr>
      </w:pPr>
      <w:r w:rsidRPr="00AB7CF3">
        <w:rPr>
          <w:rStyle w:val="FootnoteReference"/>
          <w:sz w:val="20"/>
          <w:szCs w:val="20"/>
        </w:rPr>
        <w:footnoteRef/>
      </w:r>
      <w:r w:rsidRPr="00AB7CF3">
        <w:rPr>
          <w:sz w:val="20"/>
          <w:szCs w:val="20"/>
        </w:rPr>
        <w:t xml:space="preserve"> Committee </w:t>
      </w:r>
      <w:r w:rsidR="006309C4" w:rsidRPr="00AB7CF3">
        <w:rPr>
          <w:sz w:val="20"/>
          <w:szCs w:val="20"/>
        </w:rPr>
        <w:t>on the Rights of the Child</w:t>
      </w:r>
      <w:r w:rsidRPr="00AB7CF3">
        <w:rPr>
          <w:sz w:val="20"/>
          <w:szCs w:val="20"/>
        </w:rPr>
        <w:t xml:space="preserve">, </w:t>
      </w:r>
      <w:r w:rsidR="002711E7" w:rsidRPr="00AB7CF3">
        <w:rPr>
          <w:i/>
          <w:iCs/>
          <w:sz w:val="20"/>
          <w:szCs w:val="20"/>
        </w:rPr>
        <w:t>Fifth and sixth periodic reports submitted by Qatar under article 44 of the Convention, due in 2024</w:t>
      </w:r>
      <w:r w:rsidRPr="00AB7CF3">
        <w:rPr>
          <w:sz w:val="20"/>
          <w:szCs w:val="20"/>
        </w:rPr>
        <w:t>, (</w:t>
      </w:r>
      <w:r w:rsidR="00DE40F7" w:rsidRPr="00AB7CF3">
        <w:rPr>
          <w:sz w:val="20"/>
          <w:szCs w:val="20"/>
        </w:rPr>
        <w:t>16 July 2024</w:t>
      </w:r>
      <w:r w:rsidRPr="00AB7CF3">
        <w:rPr>
          <w:sz w:val="20"/>
          <w:szCs w:val="20"/>
        </w:rPr>
        <w:t xml:space="preserve">), U.N. Doc. </w:t>
      </w:r>
      <w:r w:rsidR="00DE40F7" w:rsidRPr="00AB7CF3">
        <w:rPr>
          <w:sz w:val="20"/>
          <w:szCs w:val="20"/>
        </w:rPr>
        <w:t>CRC/C/QAT/5-6</w:t>
      </w:r>
      <w:r w:rsidRPr="00AB7CF3">
        <w:rPr>
          <w:sz w:val="20"/>
          <w:szCs w:val="20"/>
        </w:rPr>
        <w:t>, ¶</w:t>
      </w:r>
      <w:r w:rsidR="00F5788A" w:rsidRPr="00AB7CF3">
        <w:rPr>
          <w:sz w:val="20"/>
          <w:szCs w:val="20"/>
        </w:rPr>
        <w:t> </w:t>
      </w:r>
      <w:r w:rsidR="00467556" w:rsidRPr="00AB7CF3">
        <w:rPr>
          <w:sz w:val="20"/>
          <w:szCs w:val="20"/>
        </w:rPr>
        <w:t>194</w:t>
      </w:r>
      <w:r w:rsidRPr="00AB7CF3">
        <w:rPr>
          <w:sz w:val="20"/>
          <w:szCs w:val="20"/>
        </w:rPr>
        <w:t>.</w:t>
      </w:r>
    </w:p>
  </w:footnote>
  <w:footnote w:id="4">
    <w:p w14:paraId="009F834A" w14:textId="72EAEF32" w:rsidR="00967BC5" w:rsidRPr="00AB7CF3" w:rsidRDefault="00967BC5">
      <w:pPr>
        <w:pStyle w:val="FootnoteText"/>
        <w:rPr>
          <w:sz w:val="20"/>
          <w:szCs w:val="20"/>
        </w:rPr>
      </w:pPr>
      <w:r w:rsidRPr="00AB7CF3">
        <w:rPr>
          <w:rStyle w:val="FootnoteReference"/>
          <w:sz w:val="20"/>
          <w:szCs w:val="20"/>
        </w:rPr>
        <w:footnoteRef/>
      </w:r>
      <w:r w:rsidRPr="00AB7CF3">
        <w:rPr>
          <w:sz w:val="20"/>
          <w:szCs w:val="20"/>
        </w:rPr>
        <w:t xml:space="preserve"> </w:t>
      </w:r>
      <w:r w:rsidRPr="00AB7CF3">
        <w:rPr>
          <w:i/>
          <w:iCs/>
          <w:sz w:val="20"/>
          <w:szCs w:val="20"/>
        </w:rPr>
        <w:t>Id.</w:t>
      </w:r>
      <w:r w:rsidRPr="00AB7CF3">
        <w:rPr>
          <w:sz w:val="20"/>
          <w:szCs w:val="20"/>
        </w:rPr>
        <w:t xml:space="preserve"> ¶ 195.</w:t>
      </w:r>
    </w:p>
  </w:footnote>
  <w:footnote w:id="5">
    <w:p w14:paraId="203CB34D" w14:textId="77777777" w:rsidR="00A6503C" w:rsidRPr="00AB7CF3" w:rsidRDefault="00A6503C" w:rsidP="00A6503C">
      <w:pPr>
        <w:pStyle w:val="FootnoteText"/>
        <w:rPr>
          <w:sz w:val="20"/>
          <w:szCs w:val="20"/>
        </w:rPr>
      </w:pPr>
      <w:r w:rsidRPr="00AB7CF3">
        <w:rPr>
          <w:rStyle w:val="FootnoteReference"/>
          <w:sz w:val="20"/>
          <w:szCs w:val="20"/>
        </w:rPr>
        <w:footnoteRef/>
      </w:r>
      <w:r w:rsidRPr="00AB7CF3">
        <w:rPr>
          <w:sz w:val="20"/>
          <w:szCs w:val="20"/>
        </w:rPr>
        <w:t xml:space="preserve"> Human Rights Committee, </w:t>
      </w:r>
      <w:r w:rsidRPr="00AB7CF3">
        <w:rPr>
          <w:i/>
          <w:iCs/>
          <w:sz w:val="20"/>
          <w:szCs w:val="20"/>
        </w:rPr>
        <w:t>Replies of Qatar to the list of issues in relation to its initial report</w:t>
      </w:r>
      <w:r w:rsidRPr="00AB7CF3">
        <w:rPr>
          <w:sz w:val="20"/>
          <w:szCs w:val="20"/>
        </w:rPr>
        <w:t>, U.N. Doc. CCPR/C/QAT/RQ/1, (Apr. 8, 2021), ¶ 41.</w:t>
      </w:r>
    </w:p>
  </w:footnote>
  <w:footnote w:id="6">
    <w:p w14:paraId="53B7633E" w14:textId="77777777" w:rsidR="00A6503C" w:rsidRPr="00AB7CF3" w:rsidRDefault="00A6503C" w:rsidP="00A6503C">
      <w:pPr>
        <w:rPr>
          <w:sz w:val="20"/>
          <w:szCs w:val="20"/>
        </w:rPr>
      </w:pPr>
      <w:r w:rsidRPr="00AB7CF3">
        <w:rPr>
          <w:rStyle w:val="FootnoteReference"/>
          <w:sz w:val="20"/>
          <w:szCs w:val="20"/>
        </w:rPr>
        <w:footnoteRef/>
      </w:r>
      <w:r w:rsidRPr="00AB7CF3">
        <w:rPr>
          <w:sz w:val="20"/>
          <w:szCs w:val="20"/>
        </w:rPr>
        <w:t xml:space="preserve"> Law No. 11 of 2004, Articles 300, 301, 302.</w:t>
      </w:r>
    </w:p>
  </w:footnote>
  <w:footnote w:id="7">
    <w:p w14:paraId="3D672C4C" w14:textId="77777777" w:rsidR="00A6503C" w:rsidRPr="00AB7CF3" w:rsidRDefault="00A6503C" w:rsidP="00A6503C">
      <w:pPr>
        <w:rPr>
          <w:sz w:val="20"/>
          <w:szCs w:val="20"/>
        </w:rPr>
      </w:pPr>
      <w:r w:rsidRPr="00AB7CF3">
        <w:rPr>
          <w:rStyle w:val="FootnoteReference"/>
          <w:sz w:val="20"/>
          <w:szCs w:val="20"/>
        </w:rPr>
        <w:footnoteRef/>
      </w:r>
      <w:r w:rsidRPr="00AB7CF3">
        <w:rPr>
          <w:sz w:val="20"/>
          <w:szCs w:val="20"/>
        </w:rPr>
        <w:t xml:space="preserve"> Law No. 11 of 2004, Article 318.</w:t>
      </w:r>
    </w:p>
  </w:footnote>
  <w:footnote w:id="8">
    <w:p w14:paraId="3A1B333B" w14:textId="77777777" w:rsidR="00A6503C" w:rsidRPr="00AB7CF3" w:rsidRDefault="00A6503C" w:rsidP="00A6503C">
      <w:pPr>
        <w:rPr>
          <w:sz w:val="20"/>
          <w:szCs w:val="20"/>
        </w:rPr>
      </w:pPr>
      <w:r w:rsidRPr="00AB7CF3">
        <w:rPr>
          <w:rStyle w:val="FootnoteReference"/>
          <w:sz w:val="20"/>
          <w:szCs w:val="20"/>
        </w:rPr>
        <w:footnoteRef/>
      </w:r>
      <w:r w:rsidRPr="00AB7CF3">
        <w:rPr>
          <w:sz w:val="20"/>
          <w:szCs w:val="20"/>
        </w:rPr>
        <w:t xml:space="preserve"> Law No. 11 of 2004, Articles 250, 252.</w:t>
      </w:r>
    </w:p>
  </w:footnote>
  <w:footnote w:id="9">
    <w:p w14:paraId="40892D2F" w14:textId="77777777" w:rsidR="00A6503C" w:rsidRPr="00AB7CF3" w:rsidRDefault="00A6503C" w:rsidP="00A6503C">
      <w:pPr>
        <w:rPr>
          <w:sz w:val="20"/>
          <w:szCs w:val="20"/>
        </w:rPr>
      </w:pPr>
      <w:r w:rsidRPr="00AB7CF3">
        <w:rPr>
          <w:rStyle w:val="FootnoteReference"/>
          <w:sz w:val="20"/>
          <w:szCs w:val="20"/>
        </w:rPr>
        <w:footnoteRef/>
      </w:r>
      <w:r w:rsidRPr="00AB7CF3">
        <w:rPr>
          <w:sz w:val="20"/>
          <w:szCs w:val="20"/>
        </w:rPr>
        <w:t xml:space="preserve"> Law No. 11 of 2004, Article 279.</w:t>
      </w:r>
    </w:p>
  </w:footnote>
  <w:footnote w:id="10">
    <w:p w14:paraId="69973A3D" w14:textId="77777777" w:rsidR="00A6503C" w:rsidRPr="00AB7CF3" w:rsidRDefault="00A6503C" w:rsidP="00A6503C">
      <w:pPr>
        <w:rPr>
          <w:sz w:val="20"/>
          <w:szCs w:val="20"/>
        </w:rPr>
      </w:pPr>
      <w:r w:rsidRPr="00AB7CF3">
        <w:rPr>
          <w:rStyle w:val="FootnoteReference"/>
          <w:sz w:val="20"/>
          <w:szCs w:val="20"/>
        </w:rPr>
        <w:footnoteRef/>
      </w:r>
      <w:r w:rsidRPr="00AB7CF3">
        <w:rPr>
          <w:sz w:val="20"/>
          <w:szCs w:val="20"/>
        </w:rPr>
        <w:t xml:space="preserve"> Law No. 11 of 2004, Articles 279, 280, 284.</w:t>
      </w:r>
    </w:p>
  </w:footnote>
  <w:footnote w:id="11">
    <w:p w14:paraId="69A23204" w14:textId="77777777" w:rsidR="00A6503C" w:rsidRPr="00AB7CF3" w:rsidRDefault="00A6503C" w:rsidP="00A6503C">
      <w:pPr>
        <w:rPr>
          <w:sz w:val="20"/>
          <w:szCs w:val="20"/>
        </w:rPr>
      </w:pPr>
      <w:r w:rsidRPr="00AB7CF3">
        <w:rPr>
          <w:rStyle w:val="FootnoteReference"/>
          <w:sz w:val="20"/>
          <w:szCs w:val="20"/>
        </w:rPr>
        <w:footnoteRef/>
      </w:r>
      <w:r w:rsidRPr="00AB7CF3">
        <w:rPr>
          <w:sz w:val="20"/>
          <w:szCs w:val="20"/>
        </w:rPr>
        <w:t xml:space="preserve"> Law No. 11 of 2004, Articles 98, 99, 100, 101, 103, 105, 114, 118, 130, 131, 132, 135.</w:t>
      </w:r>
    </w:p>
  </w:footnote>
  <w:footnote w:id="12">
    <w:p w14:paraId="0E65A6F6" w14:textId="77777777" w:rsidR="00A6503C" w:rsidRPr="00AB7CF3" w:rsidRDefault="00A6503C" w:rsidP="00A6503C">
      <w:pPr>
        <w:rPr>
          <w:sz w:val="20"/>
          <w:szCs w:val="20"/>
        </w:rPr>
      </w:pPr>
      <w:r w:rsidRPr="00AB7CF3">
        <w:rPr>
          <w:rStyle w:val="FootnoteReference"/>
          <w:sz w:val="20"/>
          <w:szCs w:val="20"/>
        </w:rPr>
        <w:footnoteRef/>
      </w:r>
      <w:r w:rsidRPr="00AB7CF3">
        <w:rPr>
          <w:sz w:val="20"/>
          <w:szCs w:val="20"/>
        </w:rPr>
        <w:t xml:space="preserve"> Law No. 11 of 2004, Articles 107, 110, 111.</w:t>
      </w:r>
    </w:p>
  </w:footnote>
  <w:footnote w:id="13">
    <w:p w14:paraId="6CC2E73C" w14:textId="77777777" w:rsidR="00A6503C" w:rsidRPr="00AB7CF3" w:rsidRDefault="00A6503C" w:rsidP="00A6503C">
      <w:pPr>
        <w:pStyle w:val="FootnoteText"/>
        <w:rPr>
          <w:sz w:val="20"/>
          <w:szCs w:val="20"/>
        </w:rPr>
      </w:pPr>
      <w:r w:rsidRPr="00AB7CF3">
        <w:rPr>
          <w:rStyle w:val="FootnoteReference"/>
          <w:sz w:val="20"/>
          <w:szCs w:val="20"/>
        </w:rPr>
        <w:footnoteRef/>
      </w:r>
      <w:r w:rsidRPr="00AB7CF3">
        <w:rPr>
          <w:sz w:val="20"/>
          <w:szCs w:val="20"/>
        </w:rPr>
        <w:t xml:space="preserve"> Law No. 11 of 2004, Article 1.</w:t>
      </w:r>
    </w:p>
  </w:footnote>
  <w:footnote w:id="14">
    <w:p w14:paraId="0C2DC7A9" w14:textId="77777777" w:rsidR="00A6503C" w:rsidRPr="00AB7CF3" w:rsidRDefault="00A6503C" w:rsidP="00A6503C">
      <w:pPr>
        <w:rPr>
          <w:sz w:val="20"/>
          <w:szCs w:val="20"/>
        </w:rPr>
      </w:pPr>
      <w:r w:rsidRPr="00AB7CF3">
        <w:rPr>
          <w:rStyle w:val="FootnoteReference"/>
          <w:sz w:val="20"/>
          <w:szCs w:val="20"/>
        </w:rPr>
        <w:footnoteRef/>
      </w:r>
      <w:r w:rsidRPr="00AB7CF3">
        <w:rPr>
          <w:sz w:val="20"/>
          <w:szCs w:val="20"/>
        </w:rPr>
        <w:t xml:space="preserve"> Law No. 11 of 2004, Article 58.</w:t>
      </w:r>
    </w:p>
  </w:footnote>
  <w:footnote w:id="15">
    <w:p w14:paraId="5351505F" w14:textId="77777777" w:rsidR="00A6503C" w:rsidRPr="00AB7CF3" w:rsidRDefault="00A6503C" w:rsidP="00A6503C">
      <w:pPr>
        <w:pStyle w:val="FootnoteText"/>
        <w:rPr>
          <w:sz w:val="20"/>
          <w:szCs w:val="20"/>
        </w:rPr>
      </w:pPr>
      <w:r w:rsidRPr="00AB7CF3">
        <w:rPr>
          <w:rStyle w:val="FootnoteReference"/>
          <w:sz w:val="20"/>
          <w:szCs w:val="20"/>
        </w:rPr>
        <w:footnoteRef/>
      </w:r>
      <w:r w:rsidRPr="00AB7CF3">
        <w:rPr>
          <w:sz w:val="20"/>
          <w:szCs w:val="20"/>
        </w:rPr>
        <w:t xml:space="preserve"> Human Rights Committee, </w:t>
      </w:r>
      <w:r w:rsidRPr="00AB7CF3">
        <w:rPr>
          <w:i/>
          <w:iCs/>
          <w:sz w:val="20"/>
          <w:szCs w:val="20"/>
        </w:rPr>
        <w:t xml:space="preserve">Summary record of the 3837th meeting, </w:t>
      </w:r>
      <w:r w:rsidRPr="00AB7CF3">
        <w:rPr>
          <w:sz w:val="20"/>
          <w:szCs w:val="20"/>
        </w:rPr>
        <w:t>U.N. Doc. CCPR/C/SR.3837 (Feb. 28, 2022), ¶ 33.</w:t>
      </w:r>
    </w:p>
  </w:footnote>
  <w:footnote w:id="16">
    <w:p w14:paraId="5980A0C9" w14:textId="34BFE48C" w:rsidR="00144A34" w:rsidRPr="00AB7CF3" w:rsidRDefault="00144A34">
      <w:pPr>
        <w:pStyle w:val="FootnoteText"/>
        <w:rPr>
          <w:sz w:val="20"/>
          <w:szCs w:val="20"/>
        </w:rPr>
      </w:pPr>
      <w:r w:rsidRPr="00AB7CF3">
        <w:rPr>
          <w:rStyle w:val="FootnoteReference"/>
          <w:sz w:val="20"/>
          <w:szCs w:val="20"/>
        </w:rPr>
        <w:footnoteRef/>
      </w:r>
      <w:r w:rsidRPr="00AB7CF3">
        <w:rPr>
          <w:sz w:val="20"/>
          <w:szCs w:val="20"/>
        </w:rPr>
        <w:t xml:space="preserve"> </w:t>
      </w:r>
      <w:r w:rsidR="00335511" w:rsidRPr="00AB7CF3">
        <w:rPr>
          <w:sz w:val="20"/>
          <w:szCs w:val="20"/>
        </w:rPr>
        <w:t>Law No. 11 of 2004, Article 20.</w:t>
      </w:r>
    </w:p>
  </w:footnote>
  <w:footnote w:id="17">
    <w:p w14:paraId="2C4AC360" w14:textId="2C5E2E1F" w:rsidR="006D3438" w:rsidRPr="00AB7CF3" w:rsidRDefault="006D3438">
      <w:pPr>
        <w:pStyle w:val="FootnoteText"/>
        <w:rPr>
          <w:sz w:val="20"/>
          <w:szCs w:val="20"/>
        </w:rPr>
      </w:pPr>
      <w:r w:rsidRPr="00AB7CF3">
        <w:rPr>
          <w:rStyle w:val="FootnoteReference"/>
          <w:sz w:val="20"/>
          <w:szCs w:val="20"/>
        </w:rPr>
        <w:footnoteRef/>
      </w:r>
      <w:r w:rsidRPr="00AB7CF3">
        <w:rPr>
          <w:sz w:val="20"/>
          <w:szCs w:val="20"/>
        </w:rPr>
        <w:t xml:space="preserve"> Law No. 11 of 2004, Article 1.</w:t>
      </w:r>
    </w:p>
  </w:footnote>
  <w:footnote w:id="18">
    <w:p w14:paraId="74FD97AB" w14:textId="2F9D8F38" w:rsidR="00322248" w:rsidRPr="00AB7CF3" w:rsidRDefault="00322248">
      <w:pPr>
        <w:pStyle w:val="FootnoteText"/>
        <w:rPr>
          <w:sz w:val="20"/>
          <w:szCs w:val="20"/>
        </w:rPr>
      </w:pPr>
      <w:r w:rsidRPr="00AB7CF3">
        <w:rPr>
          <w:rStyle w:val="FootnoteReference"/>
          <w:sz w:val="20"/>
          <w:szCs w:val="20"/>
        </w:rPr>
        <w:footnoteRef/>
      </w:r>
      <w:r w:rsidRPr="00AB7CF3">
        <w:rPr>
          <w:sz w:val="20"/>
          <w:szCs w:val="20"/>
        </w:rPr>
        <w:t xml:space="preserve"> Committee on the Rights of the Child, </w:t>
      </w:r>
      <w:r w:rsidRPr="00AB7CF3">
        <w:rPr>
          <w:i/>
          <w:iCs/>
          <w:sz w:val="20"/>
          <w:szCs w:val="20"/>
        </w:rPr>
        <w:t>Fifth and sixth periodic reports submitted by Qatar under article 44 of the Convention, due in 2024</w:t>
      </w:r>
      <w:r w:rsidRPr="00AB7CF3">
        <w:rPr>
          <w:sz w:val="20"/>
          <w:szCs w:val="20"/>
        </w:rPr>
        <w:t>, (16 July 2024), U.N. Doc. CRC/C/QAT/5-6, ¶ 75.</w:t>
      </w:r>
    </w:p>
  </w:footnote>
  <w:footnote w:id="19">
    <w:p w14:paraId="721C612B" w14:textId="72869B34" w:rsidR="00D0000C" w:rsidRPr="00AB7CF3" w:rsidRDefault="00D0000C">
      <w:pPr>
        <w:pStyle w:val="FootnoteText"/>
        <w:rPr>
          <w:sz w:val="20"/>
          <w:szCs w:val="20"/>
        </w:rPr>
      </w:pPr>
      <w:r w:rsidRPr="00AB7CF3">
        <w:rPr>
          <w:rStyle w:val="FootnoteReference"/>
          <w:sz w:val="20"/>
          <w:szCs w:val="20"/>
        </w:rPr>
        <w:footnoteRef/>
      </w:r>
      <w:r w:rsidRPr="00AB7CF3">
        <w:rPr>
          <w:sz w:val="20"/>
          <w:szCs w:val="20"/>
        </w:rPr>
        <w:t xml:space="preserve"> </w:t>
      </w:r>
      <w:r w:rsidRPr="00AB7CF3">
        <w:rPr>
          <w:i/>
          <w:iCs/>
          <w:sz w:val="20"/>
          <w:szCs w:val="20"/>
        </w:rPr>
        <w:t xml:space="preserve">See also </w:t>
      </w:r>
      <w:r w:rsidRPr="00AB7CF3">
        <w:rPr>
          <w:sz w:val="20"/>
          <w:szCs w:val="20"/>
        </w:rPr>
        <w:t xml:space="preserve">Child Rights International Network, </w:t>
      </w:r>
      <w:r w:rsidRPr="00AB7CF3">
        <w:rPr>
          <w:i/>
          <w:iCs/>
          <w:sz w:val="20"/>
          <w:szCs w:val="20"/>
        </w:rPr>
        <w:t>Inhuman Sentencing of Children in Qatar</w:t>
      </w:r>
      <w:r w:rsidRPr="00AB7CF3">
        <w:rPr>
          <w:sz w:val="20"/>
          <w:szCs w:val="20"/>
        </w:rPr>
        <w:t xml:space="preserve">, </w:t>
      </w:r>
      <w:r w:rsidR="00326A4B" w:rsidRPr="00AB7CF3">
        <w:rPr>
          <w:sz w:val="20"/>
          <w:szCs w:val="20"/>
        </w:rPr>
        <w:t xml:space="preserve">2016, </w:t>
      </w:r>
      <w:r w:rsidR="00326A4B" w:rsidRPr="00C1420E">
        <w:rPr>
          <w:sz w:val="20"/>
          <w:szCs w:val="20"/>
        </w:rPr>
        <w:t>https://archive.crin.org/sites/default/files/inhuman_sentencing_children_qatar_2016.pdf</w:t>
      </w:r>
      <w:r w:rsidR="00326A4B" w:rsidRPr="00AB7CF3">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7B087" w14:textId="4DB86AD6" w:rsidR="00804604" w:rsidRDefault="00661E34" w:rsidP="003F1D3D">
    <w:pPr>
      <w:pStyle w:val="Header"/>
      <w:tabs>
        <w:tab w:val="clear" w:pos="4320"/>
        <w:tab w:val="clear" w:pos="8640"/>
        <w:tab w:val="left" w:pos="3675"/>
      </w:tabs>
    </w:pPr>
    <w:r>
      <w:rPr>
        <w:noProof/>
      </w:rPr>
      <w:drawing>
        <wp:anchor distT="0" distB="0" distL="114300" distR="114300" simplePos="0" relativeHeight="251658240" behindDoc="0" locked="0" layoutInCell="1" allowOverlap="1" wp14:anchorId="0D691956" wp14:editId="429CC5FC">
          <wp:simplePos x="0" y="0"/>
          <wp:positionH relativeFrom="margin">
            <wp:posOffset>4153535</wp:posOffset>
          </wp:positionH>
          <wp:positionV relativeFrom="paragraph">
            <wp:posOffset>-232410</wp:posOffset>
          </wp:positionV>
          <wp:extent cx="2308225" cy="88455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noProof/>
        <w:lang w:val="en-029" w:eastAsia="en-029"/>
      </w:rPr>
      <w:drawing>
        <wp:anchor distT="0" distB="0" distL="114300" distR="114300" simplePos="0" relativeHeight="251660289" behindDoc="0" locked="0" layoutInCell="1" allowOverlap="1" wp14:anchorId="5D2C4AB8" wp14:editId="3E604064">
          <wp:simplePos x="0" y="0"/>
          <wp:positionH relativeFrom="column">
            <wp:posOffset>-114300</wp:posOffset>
          </wp:positionH>
          <wp:positionV relativeFrom="paragraph">
            <wp:posOffset>-217170</wp:posOffset>
          </wp:positionV>
          <wp:extent cx="1643449" cy="873170"/>
          <wp:effectExtent l="0" t="0" r="0" b="3175"/>
          <wp:wrapNone/>
          <wp:docPr id="160248401" name="Picture 160248401"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with medium confidence"/>
                  <pic:cNvPicPr/>
                </pic:nvPicPr>
                <pic:blipFill>
                  <a:blip r:embed="rId2">
                    <a:extLst>
                      <a:ext uri="{28A0092B-C50C-407E-A947-70E740481C1C}">
                        <a14:useLocalDpi xmlns:a14="http://schemas.microsoft.com/office/drawing/2010/main" val="0"/>
                      </a:ext>
                    </a:extLst>
                  </a:blip>
                  <a:stretch>
                    <a:fillRect/>
                  </a:stretch>
                </pic:blipFill>
                <pic:spPr>
                  <a:xfrm>
                    <a:off x="0" y="0"/>
                    <a:ext cx="1643449" cy="873170"/>
                  </a:xfrm>
                  <a:prstGeom prst="rect">
                    <a:avLst/>
                  </a:prstGeom>
                </pic:spPr>
              </pic:pic>
            </a:graphicData>
          </a:graphic>
          <wp14:sizeRelH relativeFrom="page">
            <wp14:pctWidth>0</wp14:pctWidth>
          </wp14:sizeRelH>
          <wp14:sizeRelV relativeFrom="page">
            <wp14:pctHeight>0</wp14:pctHeight>
          </wp14:sizeRelV>
        </wp:anchor>
      </w:drawing>
    </w:r>
    <w:r w:rsidR="003F1D3D">
      <w:tab/>
    </w:r>
    <w:r w:rsidR="006848F5" w:rsidRPr="006848F5">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47C6F800"/>
    <w:lvl w:ilvl="0" w:tplc="828A79EE">
      <w:start w:val="1"/>
      <w:numFmt w:val="decimal"/>
      <w:pStyle w:val="Paragraph"/>
      <w:lvlText w:val="%1."/>
      <w:lvlJc w:val="left"/>
      <w:pPr>
        <w:ind w:left="720" w:hanging="360"/>
      </w:pPr>
    </w:lvl>
    <w:lvl w:ilvl="1" w:tplc="D3D67184">
      <w:start w:val="1"/>
      <w:numFmt w:val="bullet"/>
      <w:pStyle w:val="BulletRecommendationsQuestions"/>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582663B"/>
    <w:multiLevelType w:val="hybridMultilevel"/>
    <w:tmpl w:val="14C08F0E"/>
    <w:lvl w:ilvl="0" w:tplc="869EBC4C">
      <w:start w:val="1"/>
      <w:numFmt w:val="upperRoman"/>
      <w:pStyle w:val="Subtitle"/>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5"/>
  </w:num>
  <w:num w:numId="2" w16cid:durableId="2029719975">
    <w:abstractNumId w:val="4"/>
  </w:num>
  <w:num w:numId="3" w16cid:durableId="1539776804">
    <w:abstractNumId w:val="7"/>
  </w:num>
  <w:num w:numId="4" w16cid:durableId="3636796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6"/>
  </w:num>
  <w:num w:numId="6" w16cid:durableId="594171688">
    <w:abstractNumId w:val="0"/>
  </w:num>
  <w:num w:numId="7" w16cid:durableId="1938251912">
    <w:abstractNumId w:val="3"/>
  </w:num>
  <w:num w:numId="8" w16cid:durableId="1784962959">
    <w:abstractNumId w:val="9"/>
  </w:num>
  <w:num w:numId="9" w16cid:durableId="1023946614">
    <w:abstractNumId w:val="1"/>
  </w:num>
  <w:num w:numId="10" w16cid:durableId="1913084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136B"/>
    <w:rsid w:val="000020A0"/>
    <w:rsid w:val="00020381"/>
    <w:rsid w:val="00030F59"/>
    <w:rsid w:val="000342B6"/>
    <w:rsid w:val="00046377"/>
    <w:rsid w:val="00051508"/>
    <w:rsid w:val="00056CF5"/>
    <w:rsid w:val="000734A4"/>
    <w:rsid w:val="000737DF"/>
    <w:rsid w:val="0008238F"/>
    <w:rsid w:val="00085935"/>
    <w:rsid w:val="000910FC"/>
    <w:rsid w:val="0009644E"/>
    <w:rsid w:val="00097CF8"/>
    <w:rsid w:val="000A1F17"/>
    <w:rsid w:val="000A66B8"/>
    <w:rsid w:val="000B042D"/>
    <w:rsid w:val="000B4DB3"/>
    <w:rsid w:val="000C15B7"/>
    <w:rsid w:val="000C6340"/>
    <w:rsid w:val="000D056A"/>
    <w:rsid w:val="000D0680"/>
    <w:rsid w:val="000E1DDC"/>
    <w:rsid w:val="000E67BB"/>
    <w:rsid w:val="000F1E67"/>
    <w:rsid w:val="000F56E0"/>
    <w:rsid w:val="001008D1"/>
    <w:rsid w:val="00111994"/>
    <w:rsid w:val="00120CB9"/>
    <w:rsid w:val="001215B4"/>
    <w:rsid w:val="001259B6"/>
    <w:rsid w:val="00136514"/>
    <w:rsid w:val="00137229"/>
    <w:rsid w:val="00143423"/>
    <w:rsid w:val="00144A34"/>
    <w:rsid w:val="00147EA4"/>
    <w:rsid w:val="0015406F"/>
    <w:rsid w:val="001565F9"/>
    <w:rsid w:val="00160BDA"/>
    <w:rsid w:val="001812D2"/>
    <w:rsid w:val="00181B2A"/>
    <w:rsid w:val="00181EF5"/>
    <w:rsid w:val="0018642B"/>
    <w:rsid w:val="001A34F4"/>
    <w:rsid w:val="001A59C1"/>
    <w:rsid w:val="001A5ED5"/>
    <w:rsid w:val="001A7AF4"/>
    <w:rsid w:val="001B07C6"/>
    <w:rsid w:val="001B1AC4"/>
    <w:rsid w:val="001B27D7"/>
    <w:rsid w:val="001B46C2"/>
    <w:rsid w:val="001B799A"/>
    <w:rsid w:val="001C42EB"/>
    <w:rsid w:val="001D07DF"/>
    <w:rsid w:val="001E26C0"/>
    <w:rsid w:val="001E58F4"/>
    <w:rsid w:val="001F17A7"/>
    <w:rsid w:val="00211315"/>
    <w:rsid w:val="00220862"/>
    <w:rsid w:val="00220D48"/>
    <w:rsid w:val="00234644"/>
    <w:rsid w:val="00237C8C"/>
    <w:rsid w:val="0024081F"/>
    <w:rsid w:val="00242F64"/>
    <w:rsid w:val="00243774"/>
    <w:rsid w:val="002439A3"/>
    <w:rsid w:val="00243E14"/>
    <w:rsid w:val="002468AD"/>
    <w:rsid w:val="00255789"/>
    <w:rsid w:val="00262845"/>
    <w:rsid w:val="002711E7"/>
    <w:rsid w:val="00272519"/>
    <w:rsid w:val="002734D9"/>
    <w:rsid w:val="00273933"/>
    <w:rsid w:val="00282223"/>
    <w:rsid w:val="00291BE8"/>
    <w:rsid w:val="002974D7"/>
    <w:rsid w:val="002A0797"/>
    <w:rsid w:val="002A4838"/>
    <w:rsid w:val="002B1275"/>
    <w:rsid w:val="002C3983"/>
    <w:rsid w:val="002C57BC"/>
    <w:rsid w:val="002D36C6"/>
    <w:rsid w:val="002E34EA"/>
    <w:rsid w:val="002E46A1"/>
    <w:rsid w:val="002F5A08"/>
    <w:rsid w:val="002F7A11"/>
    <w:rsid w:val="0031166B"/>
    <w:rsid w:val="0031222C"/>
    <w:rsid w:val="003157B1"/>
    <w:rsid w:val="00315C53"/>
    <w:rsid w:val="00322248"/>
    <w:rsid w:val="00322CB1"/>
    <w:rsid w:val="003244CB"/>
    <w:rsid w:val="00326A4B"/>
    <w:rsid w:val="00335511"/>
    <w:rsid w:val="003369A6"/>
    <w:rsid w:val="00340484"/>
    <w:rsid w:val="00344140"/>
    <w:rsid w:val="00344556"/>
    <w:rsid w:val="00345B90"/>
    <w:rsid w:val="0035378E"/>
    <w:rsid w:val="0035424D"/>
    <w:rsid w:val="0036202F"/>
    <w:rsid w:val="003627AC"/>
    <w:rsid w:val="0036485E"/>
    <w:rsid w:val="00372780"/>
    <w:rsid w:val="00374FD8"/>
    <w:rsid w:val="0038148A"/>
    <w:rsid w:val="00381DB2"/>
    <w:rsid w:val="00386237"/>
    <w:rsid w:val="00390AC3"/>
    <w:rsid w:val="003937C6"/>
    <w:rsid w:val="003A0BC2"/>
    <w:rsid w:val="003A1D3E"/>
    <w:rsid w:val="003A6F6D"/>
    <w:rsid w:val="003B468A"/>
    <w:rsid w:val="003C1E49"/>
    <w:rsid w:val="003C60FE"/>
    <w:rsid w:val="003D11AE"/>
    <w:rsid w:val="003D608F"/>
    <w:rsid w:val="003E568B"/>
    <w:rsid w:val="003E6A6D"/>
    <w:rsid w:val="003F1D3D"/>
    <w:rsid w:val="003F3B64"/>
    <w:rsid w:val="003F67F6"/>
    <w:rsid w:val="004076CD"/>
    <w:rsid w:val="00417CE5"/>
    <w:rsid w:val="00430A63"/>
    <w:rsid w:val="004474B2"/>
    <w:rsid w:val="00450118"/>
    <w:rsid w:val="00450405"/>
    <w:rsid w:val="00453314"/>
    <w:rsid w:val="00467556"/>
    <w:rsid w:val="004677F1"/>
    <w:rsid w:val="00476CC4"/>
    <w:rsid w:val="00484040"/>
    <w:rsid w:val="004866AE"/>
    <w:rsid w:val="00486BBE"/>
    <w:rsid w:val="00493951"/>
    <w:rsid w:val="004A17D9"/>
    <w:rsid w:val="004A3A8E"/>
    <w:rsid w:val="004A5B01"/>
    <w:rsid w:val="004A6040"/>
    <w:rsid w:val="004A7D93"/>
    <w:rsid w:val="004A7FF9"/>
    <w:rsid w:val="004B1E4E"/>
    <w:rsid w:val="004B4CAF"/>
    <w:rsid w:val="004B73AF"/>
    <w:rsid w:val="004C22A7"/>
    <w:rsid w:val="004C5974"/>
    <w:rsid w:val="004D2568"/>
    <w:rsid w:val="004D3EE9"/>
    <w:rsid w:val="004D51DD"/>
    <w:rsid w:val="004E150B"/>
    <w:rsid w:val="004E2CD9"/>
    <w:rsid w:val="004E7176"/>
    <w:rsid w:val="004E783D"/>
    <w:rsid w:val="004F2465"/>
    <w:rsid w:val="004F2845"/>
    <w:rsid w:val="004F34E5"/>
    <w:rsid w:val="00507CA5"/>
    <w:rsid w:val="005132BB"/>
    <w:rsid w:val="0051494C"/>
    <w:rsid w:val="00524166"/>
    <w:rsid w:val="00524C18"/>
    <w:rsid w:val="005336C2"/>
    <w:rsid w:val="00533FD5"/>
    <w:rsid w:val="00535887"/>
    <w:rsid w:val="005403E3"/>
    <w:rsid w:val="00550A8F"/>
    <w:rsid w:val="0055461C"/>
    <w:rsid w:val="00567571"/>
    <w:rsid w:val="00567887"/>
    <w:rsid w:val="00567FD1"/>
    <w:rsid w:val="00571EF6"/>
    <w:rsid w:val="005933C7"/>
    <w:rsid w:val="0059754B"/>
    <w:rsid w:val="005B0C1B"/>
    <w:rsid w:val="005B2D86"/>
    <w:rsid w:val="005B3678"/>
    <w:rsid w:val="005C183B"/>
    <w:rsid w:val="005C58B6"/>
    <w:rsid w:val="005C5BF7"/>
    <w:rsid w:val="005D4EE6"/>
    <w:rsid w:val="005D5F82"/>
    <w:rsid w:val="005F2A19"/>
    <w:rsid w:val="005F62AD"/>
    <w:rsid w:val="0060568A"/>
    <w:rsid w:val="0060622C"/>
    <w:rsid w:val="0061441D"/>
    <w:rsid w:val="00616E8C"/>
    <w:rsid w:val="0061777F"/>
    <w:rsid w:val="0061778F"/>
    <w:rsid w:val="00624A10"/>
    <w:rsid w:val="00626C39"/>
    <w:rsid w:val="006309C4"/>
    <w:rsid w:val="00630CDC"/>
    <w:rsid w:val="00643D7A"/>
    <w:rsid w:val="00646D29"/>
    <w:rsid w:val="00646DE9"/>
    <w:rsid w:val="00661E34"/>
    <w:rsid w:val="0066318F"/>
    <w:rsid w:val="00672459"/>
    <w:rsid w:val="006761A7"/>
    <w:rsid w:val="006835AA"/>
    <w:rsid w:val="006848F5"/>
    <w:rsid w:val="006927DD"/>
    <w:rsid w:val="006A7DFE"/>
    <w:rsid w:val="006B7B89"/>
    <w:rsid w:val="006D3438"/>
    <w:rsid w:val="006D39C4"/>
    <w:rsid w:val="006D4856"/>
    <w:rsid w:val="006E0467"/>
    <w:rsid w:val="006E6289"/>
    <w:rsid w:val="006E7D5B"/>
    <w:rsid w:val="006F582F"/>
    <w:rsid w:val="006F784B"/>
    <w:rsid w:val="007064C2"/>
    <w:rsid w:val="0070771A"/>
    <w:rsid w:val="007143B8"/>
    <w:rsid w:val="00715529"/>
    <w:rsid w:val="00716FA6"/>
    <w:rsid w:val="007174BE"/>
    <w:rsid w:val="0072241B"/>
    <w:rsid w:val="007316AA"/>
    <w:rsid w:val="007373DC"/>
    <w:rsid w:val="00741B9C"/>
    <w:rsid w:val="00747BEC"/>
    <w:rsid w:val="007529CE"/>
    <w:rsid w:val="00757A1C"/>
    <w:rsid w:val="007637D8"/>
    <w:rsid w:val="00765EBC"/>
    <w:rsid w:val="0077231B"/>
    <w:rsid w:val="00774643"/>
    <w:rsid w:val="007838DE"/>
    <w:rsid w:val="007900BF"/>
    <w:rsid w:val="007920C4"/>
    <w:rsid w:val="00794C0E"/>
    <w:rsid w:val="007A23AF"/>
    <w:rsid w:val="007A278F"/>
    <w:rsid w:val="007B0072"/>
    <w:rsid w:val="007B2D14"/>
    <w:rsid w:val="007B46CD"/>
    <w:rsid w:val="007C4387"/>
    <w:rsid w:val="007C7CCE"/>
    <w:rsid w:val="007D18A7"/>
    <w:rsid w:val="007D2FB7"/>
    <w:rsid w:val="007E1D60"/>
    <w:rsid w:val="007E79C4"/>
    <w:rsid w:val="007F23A8"/>
    <w:rsid w:val="007F705D"/>
    <w:rsid w:val="00800E13"/>
    <w:rsid w:val="00804604"/>
    <w:rsid w:val="0081221D"/>
    <w:rsid w:val="00826961"/>
    <w:rsid w:val="00836428"/>
    <w:rsid w:val="00841079"/>
    <w:rsid w:val="00847C78"/>
    <w:rsid w:val="008504A9"/>
    <w:rsid w:val="00852B97"/>
    <w:rsid w:val="00870521"/>
    <w:rsid w:val="00870C57"/>
    <w:rsid w:val="0087642D"/>
    <w:rsid w:val="008806CE"/>
    <w:rsid w:val="008856D7"/>
    <w:rsid w:val="00890056"/>
    <w:rsid w:val="0089523C"/>
    <w:rsid w:val="008C19BE"/>
    <w:rsid w:val="008C3B9B"/>
    <w:rsid w:val="008C510C"/>
    <w:rsid w:val="008C7B1F"/>
    <w:rsid w:val="008C7B63"/>
    <w:rsid w:val="008E0859"/>
    <w:rsid w:val="008E70CF"/>
    <w:rsid w:val="008F0BDD"/>
    <w:rsid w:val="008F2F99"/>
    <w:rsid w:val="008F3372"/>
    <w:rsid w:val="008F6084"/>
    <w:rsid w:val="009057C8"/>
    <w:rsid w:val="0091080A"/>
    <w:rsid w:val="009302F5"/>
    <w:rsid w:val="0093193B"/>
    <w:rsid w:val="00947170"/>
    <w:rsid w:val="00947B3D"/>
    <w:rsid w:val="00956E94"/>
    <w:rsid w:val="0096197A"/>
    <w:rsid w:val="00962312"/>
    <w:rsid w:val="009627A1"/>
    <w:rsid w:val="00967BC5"/>
    <w:rsid w:val="009712FE"/>
    <w:rsid w:val="00976B55"/>
    <w:rsid w:val="009778FD"/>
    <w:rsid w:val="009875AD"/>
    <w:rsid w:val="009923F5"/>
    <w:rsid w:val="009924AF"/>
    <w:rsid w:val="009A7F71"/>
    <w:rsid w:val="009B51D7"/>
    <w:rsid w:val="009C6F17"/>
    <w:rsid w:val="009C77F2"/>
    <w:rsid w:val="009D3BEA"/>
    <w:rsid w:val="009D5161"/>
    <w:rsid w:val="009E4D16"/>
    <w:rsid w:val="009F04C6"/>
    <w:rsid w:val="009F12E2"/>
    <w:rsid w:val="009F3358"/>
    <w:rsid w:val="009F478B"/>
    <w:rsid w:val="009F5D37"/>
    <w:rsid w:val="009F69C1"/>
    <w:rsid w:val="00A24703"/>
    <w:rsid w:val="00A30E21"/>
    <w:rsid w:val="00A40EE1"/>
    <w:rsid w:val="00A423ED"/>
    <w:rsid w:val="00A536F3"/>
    <w:rsid w:val="00A55FCD"/>
    <w:rsid w:val="00A60C58"/>
    <w:rsid w:val="00A6503C"/>
    <w:rsid w:val="00A72103"/>
    <w:rsid w:val="00A74E9A"/>
    <w:rsid w:val="00A75C67"/>
    <w:rsid w:val="00A863B9"/>
    <w:rsid w:val="00A91D08"/>
    <w:rsid w:val="00A94972"/>
    <w:rsid w:val="00A94C86"/>
    <w:rsid w:val="00A95161"/>
    <w:rsid w:val="00A975D1"/>
    <w:rsid w:val="00AA6318"/>
    <w:rsid w:val="00AA7FCB"/>
    <w:rsid w:val="00AB54F8"/>
    <w:rsid w:val="00AB59AE"/>
    <w:rsid w:val="00AB5BD9"/>
    <w:rsid w:val="00AB7CF3"/>
    <w:rsid w:val="00AC040C"/>
    <w:rsid w:val="00AD0AA1"/>
    <w:rsid w:val="00AD45CB"/>
    <w:rsid w:val="00AE07A3"/>
    <w:rsid w:val="00AE345C"/>
    <w:rsid w:val="00AE372A"/>
    <w:rsid w:val="00B01619"/>
    <w:rsid w:val="00B05FC5"/>
    <w:rsid w:val="00B069F4"/>
    <w:rsid w:val="00B152E6"/>
    <w:rsid w:val="00B275A9"/>
    <w:rsid w:val="00B40DBF"/>
    <w:rsid w:val="00B44231"/>
    <w:rsid w:val="00B44A3B"/>
    <w:rsid w:val="00B457C4"/>
    <w:rsid w:val="00B54060"/>
    <w:rsid w:val="00B677BC"/>
    <w:rsid w:val="00B703FA"/>
    <w:rsid w:val="00B71178"/>
    <w:rsid w:val="00B75DAC"/>
    <w:rsid w:val="00B914A2"/>
    <w:rsid w:val="00B9541E"/>
    <w:rsid w:val="00BA00D4"/>
    <w:rsid w:val="00BA4CDE"/>
    <w:rsid w:val="00BA53FD"/>
    <w:rsid w:val="00BA5990"/>
    <w:rsid w:val="00BA64DC"/>
    <w:rsid w:val="00BB0488"/>
    <w:rsid w:val="00BB3ED5"/>
    <w:rsid w:val="00BB4AB9"/>
    <w:rsid w:val="00BC07C0"/>
    <w:rsid w:val="00BC52E7"/>
    <w:rsid w:val="00BD3CFF"/>
    <w:rsid w:val="00BD3D43"/>
    <w:rsid w:val="00BE59BD"/>
    <w:rsid w:val="00C0174A"/>
    <w:rsid w:val="00C05D23"/>
    <w:rsid w:val="00C05D9B"/>
    <w:rsid w:val="00C07436"/>
    <w:rsid w:val="00C1420E"/>
    <w:rsid w:val="00C17550"/>
    <w:rsid w:val="00C214BA"/>
    <w:rsid w:val="00C26130"/>
    <w:rsid w:val="00C269A8"/>
    <w:rsid w:val="00C26B28"/>
    <w:rsid w:val="00C315B6"/>
    <w:rsid w:val="00C340E3"/>
    <w:rsid w:val="00C376F3"/>
    <w:rsid w:val="00C4132F"/>
    <w:rsid w:val="00C463D2"/>
    <w:rsid w:val="00C62A44"/>
    <w:rsid w:val="00C66409"/>
    <w:rsid w:val="00C66842"/>
    <w:rsid w:val="00C80A39"/>
    <w:rsid w:val="00C81936"/>
    <w:rsid w:val="00C84C4C"/>
    <w:rsid w:val="00C90DBA"/>
    <w:rsid w:val="00C967AB"/>
    <w:rsid w:val="00C96C0B"/>
    <w:rsid w:val="00CA1702"/>
    <w:rsid w:val="00CA194C"/>
    <w:rsid w:val="00CA5CC2"/>
    <w:rsid w:val="00CA7D78"/>
    <w:rsid w:val="00CB631F"/>
    <w:rsid w:val="00CC0D6D"/>
    <w:rsid w:val="00CC5314"/>
    <w:rsid w:val="00CC7B30"/>
    <w:rsid w:val="00CE3C6A"/>
    <w:rsid w:val="00CF5003"/>
    <w:rsid w:val="00CF5099"/>
    <w:rsid w:val="00CF7B21"/>
    <w:rsid w:val="00D0000C"/>
    <w:rsid w:val="00D0019C"/>
    <w:rsid w:val="00D12DF1"/>
    <w:rsid w:val="00D17F80"/>
    <w:rsid w:val="00D2563C"/>
    <w:rsid w:val="00D314FD"/>
    <w:rsid w:val="00D3182B"/>
    <w:rsid w:val="00D32B05"/>
    <w:rsid w:val="00D443D5"/>
    <w:rsid w:val="00D52AD6"/>
    <w:rsid w:val="00D66137"/>
    <w:rsid w:val="00D86181"/>
    <w:rsid w:val="00D861C1"/>
    <w:rsid w:val="00D86901"/>
    <w:rsid w:val="00D92835"/>
    <w:rsid w:val="00D94424"/>
    <w:rsid w:val="00DA6DB6"/>
    <w:rsid w:val="00DC41C9"/>
    <w:rsid w:val="00DC5473"/>
    <w:rsid w:val="00DC6A3F"/>
    <w:rsid w:val="00DD2F76"/>
    <w:rsid w:val="00DD3996"/>
    <w:rsid w:val="00DE2873"/>
    <w:rsid w:val="00DE3E4D"/>
    <w:rsid w:val="00DE40F7"/>
    <w:rsid w:val="00DE6FE8"/>
    <w:rsid w:val="00E114C5"/>
    <w:rsid w:val="00E13D93"/>
    <w:rsid w:val="00E162F5"/>
    <w:rsid w:val="00E1750C"/>
    <w:rsid w:val="00E24F8E"/>
    <w:rsid w:val="00E307F3"/>
    <w:rsid w:val="00E3230E"/>
    <w:rsid w:val="00E35775"/>
    <w:rsid w:val="00E42EAD"/>
    <w:rsid w:val="00E577BE"/>
    <w:rsid w:val="00E67BF6"/>
    <w:rsid w:val="00E70114"/>
    <w:rsid w:val="00E826D1"/>
    <w:rsid w:val="00E847E0"/>
    <w:rsid w:val="00E95CF7"/>
    <w:rsid w:val="00EA0EEB"/>
    <w:rsid w:val="00ED2912"/>
    <w:rsid w:val="00ED2DCC"/>
    <w:rsid w:val="00EE3828"/>
    <w:rsid w:val="00EF2BE5"/>
    <w:rsid w:val="00EF4293"/>
    <w:rsid w:val="00F042FA"/>
    <w:rsid w:val="00F16374"/>
    <w:rsid w:val="00F22813"/>
    <w:rsid w:val="00F23CD7"/>
    <w:rsid w:val="00F2442A"/>
    <w:rsid w:val="00F37BE1"/>
    <w:rsid w:val="00F40119"/>
    <w:rsid w:val="00F4107A"/>
    <w:rsid w:val="00F44F18"/>
    <w:rsid w:val="00F51AFD"/>
    <w:rsid w:val="00F5788A"/>
    <w:rsid w:val="00F612FF"/>
    <w:rsid w:val="00F6493F"/>
    <w:rsid w:val="00F66C6A"/>
    <w:rsid w:val="00F75663"/>
    <w:rsid w:val="00F811E7"/>
    <w:rsid w:val="00F9056C"/>
    <w:rsid w:val="00F92EF4"/>
    <w:rsid w:val="00F93D4D"/>
    <w:rsid w:val="00FA0942"/>
    <w:rsid w:val="00FA2927"/>
    <w:rsid w:val="00FB03FB"/>
    <w:rsid w:val="00FB0B19"/>
    <w:rsid w:val="00FB4891"/>
    <w:rsid w:val="00FC686F"/>
    <w:rsid w:val="00FC7FBE"/>
    <w:rsid w:val="00FD0EA2"/>
    <w:rsid w:val="00FD212D"/>
    <w:rsid w:val="00FE0378"/>
    <w:rsid w:val="00FE2347"/>
    <w:rsid w:val="00FF135E"/>
    <w:rsid w:val="010D602B"/>
    <w:rsid w:val="01231C56"/>
    <w:rsid w:val="0AC93A0E"/>
    <w:rsid w:val="109FC7F2"/>
    <w:rsid w:val="10AC2126"/>
    <w:rsid w:val="145D6595"/>
    <w:rsid w:val="1B2033E7"/>
    <w:rsid w:val="1CE438B3"/>
    <w:rsid w:val="20EBB8F7"/>
    <w:rsid w:val="22314E5B"/>
    <w:rsid w:val="258D87B4"/>
    <w:rsid w:val="27553789"/>
    <w:rsid w:val="28BBB97D"/>
    <w:rsid w:val="32C00178"/>
    <w:rsid w:val="33A7E4E3"/>
    <w:rsid w:val="36B575E2"/>
    <w:rsid w:val="39B972C9"/>
    <w:rsid w:val="3A66F4F4"/>
    <w:rsid w:val="3BC3FCE0"/>
    <w:rsid w:val="40B962A2"/>
    <w:rsid w:val="4585A2D8"/>
    <w:rsid w:val="4A556DC3"/>
    <w:rsid w:val="4BE342B8"/>
    <w:rsid w:val="562F667A"/>
    <w:rsid w:val="56F42F0B"/>
    <w:rsid w:val="59A9162C"/>
    <w:rsid w:val="5B244E3E"/>
    <w:rsid w:val="5B550CBF"/>
    <w:rsid w:val="5E11B3EA"/>
    <w:rsid w:val="5EE94364"/>
    <w:rsid w:val="5F5BBC50"/>
    <w:rsid w:val="631A2181"/>
    <w:rsid w:val="6368B71B"/>
    <w:rsid w:val="63D99220"/>
    <w:rsid w:val="641E7298"/>
    <w:rsid w:val="6BEF8937"/>
    <w:rsid w:val="6DD6B7F7"/>
    <w:rsid w:val="7CC43F0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727F8827-3A56-4AC1-8625-F1B6C3BA9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7"/>
      </w:numPr>
      <w:spacing w:after="120"/>
      <w:ind w:left="36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7"/>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customStyle="1" w:styleId="AuthorDescriptiontext">
    <w:name w:val="Author Description text"/>
    <w:basedOn w:val="Normal"/>
    <w:link w:val="AuthorDescriptiontextChar"/>
    <w:uiPriority w:val="1"/>
    <w:qFormat/>
    <w:rsid w:val="40B962A2"/>
    <w:pPr>
      <w:widowControl w:val="0"/>
      <w:spacing w:after="240"/>
      <w:jc w:val="both"/>
    </w:pPr>
    <w:rPr>
      <w:rFonts w:eastAsia="Arial"/>
      <w:lang w:eastAsia="en-US"/>
    </w:rPr>
  </w:style>
  <w:style w:type="character" w:customStyle="1" w:styleId="AuthorDescriptiontextChar">
    <w:name w:val="Author Description text Char"/>
    <w:basedOn w:val="DefaultParagraphFont"/>
    <w:link w:val="AuthorDescriptiontext"/>
    <w:uiPriority w:val="1"/>
    <w:rsid w:val="40B962A2"/>
    <w:rPr>
      <w:rFonts w:ascii="Times New Roman" w:eastAsia="Arial" w:hAnsi="Times New Roman" w:cs="Times New Roman"/>
      <w:sz w:val="24"/>
      <w:szCs w:val="24"/>
      <w:lang w:eastAsia="en-US"/>
    </w:rPr>
  </w:style>
  <w:style w:type="character" w:styleId="UnresolvedMention">
    <w:name w:val="Unresolved Mention"/>
    <w:basedOn w:val="DefaultParagraphFont"/>
    <w:uiPriority w:val="99"/>
    <w:semiHidden/>
    <w:unhideWhenUsed/>
    <w:rsid w:val="00326A4B"/>
    <w:rPr>
      <w:color w:val="605E5C"/>
      <w:shd w:val="clear" w:color="auto" w:fill="E1DFDD"/>
    </w:rPr>
  </w:style>
  <w:style w:type="paragraph" w:styleId="Revision">
    <w:name w:val="Revision"/>
    <w:hidden/>
    <w:uiPriority w:val="99"/>
    <w:semiHidden/>
    <w:rsid w:val="00800E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404144">
      <w:bodyDiv w:val="1"/>
      <w:marLeft w:val="0"/>
      <w:marRight w:val="0"/>
      <w:marTop w:val="0"/>
      <w:marBottom w:val="0"/>
      <w:divBdr>
        <w:top w:val="none" w:sz="0" w:space="0" w:color="auto"/>
        <w:left w:val="none" w:sz="0" w:space="0" w:color="auto"/>
        <w:bottom w:val="none" w:sz="0" w:space="0" w:color="auto"/>
        <w:right w:val="none" w:sz="0" w:space="0" w:color="auto"/>
      </w:divBdr>
      <w:divsChild>
        <w:div w:id="605232344">
          <w:marLeft w:val="0"/>
          <w:marRight w:val="0"/>
          <w:marTop w:val="0"/>
          <w:marBottom w:val="0"/>
          <w:divBdr>
            <w:top w:val="none" w:sz="0" w:space="0" w:color="auto"/>
            <w:left w:val="none" w:sz="0" w:space="0" w:color="auto"/>
            <w:bottom w:val="none" w:sz="0" w:space="0" w:color="auto"/>
            <w:right w:val="none" w:sz="0" w:space="0" w:color="auto"/>
          </w:divBdr>
        </w:div>
        <w:div w:id="1534225863">
          <w:marLeft w:val="0"/>
          <w:marRight w:val="0"/>
          <w:marTop w:val="0"/>
          <w:marBottom w:val="0"/>
          <w:divBdr>
            <w:top w:val="none" w:sz="0" w:space="0" w:color="auto"/>
            <w:left w:val="none" w:sz="0" w:space="0" w:color="auto"/>
            <w:bottom w:val="none" w:sz="0" w:space="0" w:color="auto"/>
            <w:right w:val="none" w:sz="0" w:space="0" w:color="auto"/>
          </w:divBdr>
        </w:div>
      </w:divsChild>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2126193282">
      <w:bodyDiv w:val="1"/>
      <w:marLeft w:val="0"/>
      <w:marRight w:val="0"/>
      <w:marTop w:val="0"/>
      <w:marBottom w:val="0"/>
      <w:divBdr>
        <w:top w:val="none" w:sz="0" w:space="0" w:color="auto"/>
        <w:left w:val="none" w:sz="0" w:space="0" w:color="auto"/>
        <w:bottom w:val="none" w:sz="0" w:space="0" w:color="auto"/>
        <w:right w:val="none" w:sz="0" w:space="0" w:color="auto"/>
      </w:divBdr>
      <w:divsChild>
        <w:div w:id="576019401">
          <w:marLeft w:val="0"/>
          <w:marRight w:val="0"/>
          <w:marTop w:val="0"/>
          <w:marBottom w:val="0"/>
          <w:divBdr>
            <w:top w:val="none" w:sz="0" w:space="0" w:color="auto"/>
            <w:left w:val="none" w:sz="0" w:space="0" w:color="auto"/>
            <w:bottom w:val="none" w:sz="0" w:space="0" w:color="auto"/>
            <w:right w:val="none" w:sz="0" w:space="0" w:color="auto"/>
          </w:divBdr>
        </w:div>
        <w:div w:id="10987131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7" ma:contentTypeDescription="Create a new document." ma:contentTypeScope="" ma:versionID="24b903c3e5fc16dd6bf75253b7a5da46">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30a360cf0e540fb63ef54959d4151353"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Amy Bergquist</DisplayName>
        <AccountId>51</AccountId>
        <AccountType/>
      </UserInfo>
      <UserInfo>
        <DisplayName>Verónica Cadavid González</DisplayName>
        <AccountId>1048</AccountId>
        <AccountType/>
      </UserInfo>
      <UserInfo>
        <DisplayName>Katia Galambos</DisplayName>
        <AccountId>695</AccountId>
        <AccountType/>
      </UserInfo>
      <UserInfo>
        <DisplayName>Nathan Madson</DisplayName>
        <AccountId>715</AccountId>
        <AccountType/>
      </UserInfo>
      <UserInfo>
        <DisplayName>Jennifer Prestholdt</DisplayName>
        <AccountId>43</AccountId>
        <AccountType/>
      </UserInfo>
    </SharedWithUsers>
    <TaxCatchAll xmlns="e968d4b9-9f0d-4b6f-81c6-222446f6098e" xsi:nil="true"/>
    <lcf76f155ced4ddcb4097134ff3c332f xmlns="42df7cb3-2fea-4ba3-b9bf-21660104d6d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47318B-4DDF-4F8B-91EC-6E6A9247FA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DF9B8E-7D2B-4F60-B18B-AF0D4CF80536}">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customXml/itemProps3.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4.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5.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1609</Words>
  <Characters>8255</Characters>
  <Application>Microsoft Office Word</Application>
  <DocSecurity>0</DocSecurity>
  <Lines>68</Lines>
  <Paragraphs>19</Paragraphs>
  <ScaleCrop>false</ScaleCrop>
  <Company>Minnesota Advocates for Human Rights</Company>
  <LinksUpToDate>false</LinksUpToDate>
  <CharactersWithSpaces>9845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Amy Bergquist</cp:lastModifiedBy>
  <cp:revision>3</cp:revision>
  <cp:lastPrinted>2011-09-16T20:52:00Z</cp:lastPrinted>
  <dcterms:created xsi:type="dcterms:W3CDTF">2025-04-01T21:32:00Z</dcterms:created>
  <dcterms:modified xsi:type="dcterms:W3CDTF">2025-04-01T21:32:00Z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Bergquist;#1048;#Verónica Cadavid González;#695;#Katia Galambos;#715;#Nathan Madson;#43;#Jennifer Prestholdt</vt:lpwstr>
  </property>
  <property fmtid="{D5CDD505-2E9C-101B-9397-08002B2CF9AE}" pid="7" name="ContentTypeId">
    <vt:lpwstr>0x010100452BDADA77824941B327CDF72849C9BE</vt:lpwstr>
  </property>
  <property fmtid="{D5CDD505-2E9C-101B-9397-08002B2CF9AE}" pid="8" name="MediaServiceImageTags">
    <vt:lpwstr/>
  </property>
  <property fmtid="{D5CDD505-2E9C-101B-9397-08002B2CF9AE}" pid="9" name="lcf76f155ced4ddcb4097134ff3c332f">
    <vt:lpwstr/>
  </property>
  <property fmtid="{D5CDD505-2E9C-101B-9397-08002B2CF9AE}" pid="10" name="TaxCatchAll">
    <vt:lpwstr/>
  </property>
</Properties>
</file>