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2.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3.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7D133" w14:textId="77777777" w:rsidR="00762A36" w:rsidRPr="000E7FB5" w:rsidRDefault="00762A36" w:rsidP="00762A36">
      <w:pPr>
        <w:spacing w:after="120"/>
        <w:jc w:val="center"/>
      </w:pPr>
    </w:p>
    <w:p w14:paraId="55D160CD" w14:textId="77777777" w:rsidR="00762A36" w:rsidRPr="000E7FB5" w:rsidRDefault="00762A36" w:rsidP="00762A36">
      <w:pPr>
        <w:spacing w:after="120"/>
        <w:jc w:val="center"/>
      </w:pPr>
    </w:p>
    <w:p w14:paraId="5C7B790E" w14:textId="77777777" w:rsidR="00762A36" w:rsidRDefault="00762A36" w:rsidP="00762A36">
      <w:pPr>
        <w:spacing w:after="120"/>
        <w:jc w:val="center"/>
      </w:pPr>
    </w:p>
    <w:p w14:paraId="07DFED19" w14:textId="77777777" w:rsidR="00762A36" w:rsidRDefault="00762A36" w:rsidP="00762A36">
      <w:pPr>
        <w:spacing w:after="120"/>
        <w:jc w:val="center"/>
      </w:pPr>
    </w:p>
    <w:p w14:paraId="349797D9" w14:textId="77777777" w:rsidR="00762A36" w:rsidRDefault="00762A36" w:rsidP="00762A36">
      <w:pPr>
        <w:spacing w:after="120"/>
        <w:jc w:val="center"/>
      </w:pPr>
    </w:p>
    <w:p w14:paraId="36A9296A" w14:textId="5A0D8F52" w:rsidR="00762A36" w:rsidRDefault="002075C7" w:rsidP="00762A36">
      <w:pPr>
        <w:spacing w:after="120"/>
        <w:jc w:val="center"/>
      </w:pPr>
      <w:r>
        <w:rPr>
          <w:noProof/>
          <w:lang w:eastAsia="es-AR"/>
        </w:rPr>
        <w:drawing>
          <wp:anchor distT="0" distB="0" distL="114300" distR="114300" simplePos="0" relativeHeight="251659264" behindDoc="0" locked="0" layoutInCell="1" hidden="0" allowOverlap="1" wp14:anchorId="554031D3" wp14:editId="0461CE92">
            <wp:simplePos x="0" y="0"/>
            <wp:positionH relativeFrom="column">
              <wp:posOffset>1990725</wp:posOffset>
            </wp:positionH>
            <wp:positionV relativeFrom="paragraph">
              <wp:posOffset>9525</wp:posOffset>
            </wp:positionV>
            <wp:extent cx="1323975" cy="1323975"/>
            <wp:effectExtent l="0" t="0" r="0" b="0"/>
            <wp:wrapSquare wrapText="bothSides" distT="0" distB="0" distL="114300" distR="114300"/>
            <wp:docPr id="24" name="image4.png" descr="Un dibujo de una cara feliz&#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24" name="image4.png" descr="Un dibujo de una cara feliz&#10;&#10;El contenido generado por IA puede ser incorrecto."/>
                    <pic:cNvPicPr preferRelativeResize="0"/>
                  </pic:nvPicPr>
                  <pic:blipFill>
                    <a:blip r:embed="rId11"/>
                    <a:srcRect/>
                    <a:stretch>
                      <a:fillRect/>
                    </a:stretch>
                  </pic:blipFill>
                  <pic:spPr>
                    <a:xfrm>
                      <a:off x="0" y="0"/>
                      <a:ext cx="1323975" cy="1323975"/>
                    </a:xfrm>
                    <a:prstGeom prst="rect">
                      <a:avLst/>
                    </a:prstGeom>
                    <a:ln/>
                  </pic:spPr>
                </pic:pic>
              </a:graphicData>
            </a:graphic>
          </wp:anchor>
        </w:drawing>
      </w:r>
    </w:p>
    <w:p w14:paraId="12A68939" w14:textId="77777777" w:rsidR="00762A36" w:rsidRDefault="00762A36" w:rsidP="00762A36">
      <w:pPr>
        <w:spacing w:after="120"/>
        <w:jc w:val="center"/>
      </w:pPr>
    </w:p>
    <w:p w14:paraId="19EB0EA6" w14:textId="77777777" w:rsidR="00762A36" w:rsidRPr="000E7FB5" w:rsidRDefault="00762A36" w:rsidP="00762A36">
      <w:pPr>
        <w:spacing w:after="120"/>
        <w:jc w:val="center"/>
      </w:pPr>
    </w:p>
    <w:p w14:paraId="699DBFF5" w14:textId="77777777" w:rsidR="00762A36" w:rsidRPr="000E7FB5" w:rsidRDefault="00762A36" w:rsidP="00762A36">
      <w:pPr>
        <w:spacing w:after="120"/>
        <w:jc w:val="center"/>
      </w:pPr>
    </w:p>
    <w:p w14:paraId="048377CB" w14:textId="77777777" w:rsidR="002075C7" w:rsidRDefault="002075C7" w:rsidP="00762A36">
      <w:pPr>
        <w:spacing w:after="120"/>
        <w:jc w:val="center"/>
        <w:rPr>
          <w:b/>
          <w:sz w:val="32"/>
          <w:szCs w:val="32"/>
        </w:rPr>
      </w:pPr>
    </w:p>
    <w:p w14:paraId="4275D980" w14:textId="77777777" w:rsidR="002075C7" w:rsidRDefault="002075C7" w:rsidP="00762A36">
      <w:pPr>
        <w:spacing w:after="120"/>
        <w:jc w:val="center"/>
        <w:rPr>
          <w:b/>
          <w:sz w:val="32"/>
          <w:szCs w:val="32"/>
        </w:rPr>
      </w:pPr>
    </w:p>
    <w:p w14:paraId="4EF69546" w14:textId="77777777" w:rsidR="002075C7" w:rsidRDefault="002075C7" w:rsidP="00762A36">
      <w:pPr>
        <w:spacing w:after="120"/>
        <w:jc w:val="center"/>
        <w:rPr>
          <w:b/>
          <w:sz w:val="32"/>
          <w:szCs w:val="32"/>
        </w:rPr>
      </w:pPr>
    </w:p>
    <w:p w14:paraId="63DA090C" w14:textId="3E25E608" w:rsidR="00762A36" w:rsidRPr="002075C7" w:rsidRDefault="00762A36" w:rsidP="00762A36">
      <w:pPr>
        <w:spacing w:after="120"/>
        <w:jc w:val="center"/>
        <w:rPr>
          <w:rFonts w:ascii="Times New Roman" w:hAnsi="Times New Roman" w:cs="Times New Roman"/>
          <w:b/>
          <w:sz w:val="32"/>
          <w:szCs w:val="32"/>
        </w:rPr>
      </w:pPr>
      <w:r w:rsidRPr="002075C7">
        <w:rPr>
          <w:rFonts w:ascii="Times New Roman" w:hAnsi="Times New Roman" w:cs="Times New Roman"/>
          <w:b/>
          <w:sz w:val="32"/>
          <w:szCs w:val="32"/>
        </w:rPr>
        <w:t>INFORME DE LA PROCURACIÓN PENITENCIARIA DE LA NACIÓN ANTE EL COMITÉ CONTRA LA TORTURA DE LA ONU</w:t>
      </w:r>
    </w:p>
    <w:p w14:paraId="3E99F28B" w14:textId="77777777" w:rsidR="00762A36" w:rsidRPr="002075C7" w:rsidRDefault="00762A36" w:rsidP="00762A36">
      <w:pPr>
        <w:spacing w:after="120"/>
        <w:jc w:val="center"/>
        <w:rPr>
          <w:rFonts w:ascii="Times New Roman" w:hAnsi="Times New Roman" w:cs="Times New Roman"/>
        </w:rPr>
      </w:pPr>
    </w:p>
    <w:p w14:paraId="32FA8887" w14:textId="77777777" w:rsidR="00762A36" w:rsidRPr="002075C7" w:rsidRDefault="00762A36" w:rsidP="00762A36">
      <w:pPr>
        <w:spacing w:after="120"/>
        <w:jc w:val="center"/>
        <w:rPr>
          <w:rFonts w:ascii="Times New Roman" w:hAnsi="Times New Roman" w:cs="Times New Roman"/>
        </w:rPr>
      </w:pPr>
    </w:p>
    <w:p w14:paraId="6163C40D" w14:textId="77777777" w:rsidR="00762A36" w:rsidRPr="002075C7" w:rsidRDefault="00762A36" w:rsidP="00762A36">
      <w:pPr>
        <w:spacing w:after="120"/>
        <w:jc w:val="center"/>
        <w:rPr>
          <w:rFonts w:ascii="Times New Roman" w:hAnsi="Times New Roman" w:cs="Times New Roman"/>
        </w:rPr>
      </w:pPr>
    </w:p>
    <w:p w14:paraId="4B64FF5D" w14:textId="77777777" w:rsidR="00762A36" w:rsidRPr="002075C7" w:rsidRDefault="00762A36" w:rsidP="00762A36">
      <w:pPr>
        <w:spacing w:after="120"/>
        <w:jc w:val="center"/>
        <w:rPr>
          <w:rFonts w:ascii="Times New Roman" w:hAnsi="Times New Roman" w:cs="Times New Roman"/>
        </w:rPr>
      </w:pPr>
    </w:p>
    <w:p w14:paraId="7CA5680D" w14:textId="77777777" w:rsidR="00762A36" w:rsidRPr="002075C7" w:rsidRDefault="00762A36" w:rsidP="00762A36">
      <w:pPr>
        <w:spacing w:after="120"/>
        <w:jc w:val="center"/>
        <w:rPr>
          <w:rFonts w:ascii="Times New Roman" w:hAnsi="Times New Roman" w:cs="Times New Roman"/>
        </w:rPr>
      </w:pPr>
    </w:p>
    <w:p w14:paraId="7095AFAF" w14:textId="09170C66" w:rsidR="00762A36" w:rsidRPr="002075C7" w:rsidRDefault="00762A36" w:rsidP="00762A36">
      <w:pPr>
        <w:spacing w:after="120"/>
        <w:jc w:val="center"/>
        <w:rPr>
          <w:rFonts w:ascii="Times New Roman" w:hAnsi="Times New Roman" w:cs="Times New Roman"/>
          <w:sz w:val="32"/>
          <w:szCs w:val="32"/>
        </w:rPr>
      </w:pPr>
      <w:r w:rsidRPr="002075C7">
        <w:rPr>
          <w:rFonts w:ascii="Times New Roman" w:hAnsi="Times New Roman" w:cs="Times New Roman"/>
          <w:sz w:val="32"/>
          <w:szCs w:val="32"/>
        </w:rPr>
        <w:t>Informe elaborado en oportunidad de la presentación por parte del Estado argentino del séptimo informe periódico en cumplimiento del art. 19 de la Convención contra la Tortura y otros tratos o penas crueles, inhumanas o degradantes</w:t>
      </w:r>
    </w:p>
    <w:p w14:paraId="3981BB3E" w14:textId="77777777" w:rsidR="00762A36" w:rsidRPr="002075C7" w:rsidRDefault="00762A36" w:rsidP="00762A36">
      <w:pPr>
        <w:spacing w:after="120"/>
        <w:jc w:val="center"/>
        <w:rPr>
          <w:rFonts w:ascii="Times New Roman" w:hAnsi="Times New Roman" w:cs="Times New Roman"/>
          <w:sz w:val="24"/>
          <w:szCs w:val="24"/>
        </w:rPr>
      </w:pPr>
    </w:p>
    <w:p w14:paraId="40F91E4D" w14:textId="77777777" w:rsidR="00762A36" w:rsidRPr="002075C7" w:rsidRDefault="00762A36" w:rsidP="00762A36">
      <w:pPr>
        <w:spacing w:after="120"/>
        <w:jc w:val="center"/>
        <w:rPr>
          <w:rFonts w:ascii="Times New Roman" w:hAnsi="Times New Roman" w:cs="Times New Roman"/>
          <w:sz w:val="24"/>
          <w:szCs w:val="24"/>
        </w:rPr>
      </w:pPr>
    </w:p>
    <w:p w14:paraId="300C5594" w14:textId="77777777" w:rsidR="00762A36" w:rsidRPr="002075C7" w:rsidRDefault="00762A36" w:rsidP="00762A36">
      <w:pPr>
        <w:spacing w:after="120"/>
        <w:jc w:val="center"/>
        <w:rPr>
          <w:rFonts w:ascii="Times New Roman" w:hAnsi="Times New Roman" w:cs="Times New Roman"/>
          <w:sz w:val="24"/>
          <w:szCs w:val="24"/>
        </w:rPr>
      </w:pPr>
    </w:p>
    <w:p w14:paraId="643BCDEE" w14:textId="77777777" w:rsidR="00762A36" w:rsidRPr="002075C7" w:rsidRDefault="00762A36" w:rsidP="00762A36">
      <w:pPr>
        <w:spacing w:after="120"/>
        <w:jc w:val="center"/>
        <w:rPr>
          <w:rFonts w:ascii="Times New Roman" w:hAnsi="Times New Roman" w:cs="Times New Roman"/>
          <w:sz w:val="24"/>
          <w:szCs w:val="24"/>
        </w:rPr>
      </w:pPr>
    </w:p>
    <w:p w14:paraId="65580205" w14:textId="77777777" w:rsidR="00762A36" w:rsidRPr="002075C7" w:rsidRDefault="00762A36" w:rsidP="00762A36">
      <w:pPr>
        <w:spacing w:after="120"/>
        <w:jc w:val="center"/>
        <w:rPr>
          <w:rFonts w:ascii="Times New Roman" w:hAnsi="Times New Roman" w:cs="Times New Roman"/>
          <w:sz w:val="24"/>
          <w:szCs w:val="24"/>
        </w:rPr>
      </w:pPr>
    </w:p>
    <w:p w14:paraId="7C525C7E" w14:textId="77777777" w:rsidR="00762A36" w:rsidRPr="002075C7" w:rsidRDefault="00762A36" w:rsidP="00762A36">
      <w:pPr>
        <w:spacing w:after="120"/>
        <w:jc w:val="center"/>
        <w:rPr>
          <w:rFonts w:ascii="Times New Roman" w:hAnsi="Times New Roman" w:cs="Times New Roman"/>
          <w:sz w:val="24"/>
          <w:szCs w:val="24"/>
        </w:rPr>
      </w:pPr>
    </w:p>
    <w:p w14:paraId="7EB35670" w14:textId="0B9537EA" w:rsidR="00762A36" w:rsidRPr="002075C7" w:rsidRDefault="00762A36" w:rsidP="00762A36">
      <w:pPr>
        <w:spacing w:after="120"/>
        <w:jc w:val="center"/>
        <w:rPr>
          <w:rFonts w:ascii="Times New Roman" w:hAnsi="Times New Roman" w:cs="Times New Roman"/>
          <w:sz w:val="28"/>
          <w:szCs w:val="28"/>
        </w:rPr>
      </w:pPr>
      <w:r w:rsidRPr="002075C7">
        <w:rPr>
          <w:rFonts w:ascii="Times New Roman" w:hAnsi="Times New Roman" w:cs="Times New Roman"/>
          <w:sz w:val="28"/>
          <w:szCs w:val="28"/>
        </w:rPr>
        <w:t>Octubre 2025</w:t>
      </w:r>
    </w:p>
    <w:p w14:paraId="410812E1" w14:textId="77777777" w:rsidR="00762A36" w:rsidRPr="002075C7" w:rsidRDefault="00762A36" w:rsidP="00762A36">
      <w:pPr>
        <w:spacing w:after="120"/>
        <w:jc w:val="both"/>
        <w:rPr>
          <w:rFonts w:ascii="Times New Roman" w:hAnsi="Times New Roman" w:cs="Times New Roman"/>
          <w:sz w:val="24"/>
          <w:szCs w:val="24"/>
        </w:rPr>
      </w:pPr>
    </w:p>
    <w:p w14:paraId="6DC915E1" w14:textId="77777777" w:rsidR="00762A36" w:rsidRPr="002075C7" w:rsidRDefault="00762A36" w:rsidP="00762A36">
      <w:pPr>
        <w:spacing w:after="120"/>
        <w:jc w:val="both"/>
        <w:rPr>
          <w:rFonts w:ascii="Times New Roman" w:hAnsi="Times New Roman" w:cs="Times New Roman"/>
          <w:sz w:val="24"/>
          <w:szCs w:val="24"/>
        </w:rPr>
      </w:pPr>
    </w:p>
    <w:sdt>
      <w:sdtPr>
        <w:rPr>
          <w:rFonts w:ascii="Times New Roman" w:eastAsiaTheme="minorHAnsi" w:hAnsi="Times New Roman" w:cs="Times New Roman"/>
          <w:color w:val="auto"/>
          <w:kern w:val="2"/>
          <w:sz w:val="24"/>
          <w:szCs w:val="24"/>
          <w:lang w:val="es-ES" w:eastAsia="en-US"/>
          <w14:ligatures w14:val="standardContextual"/>
        </w:rPr>
        <w:id w:val="328024982"/>
        <w:docPartObj>
          <w:docPartGallery w:val="Table of Contents"/>
          <w:docPartUnique/>
        </w:docPartObj>
      </w:sdtPr>
      <w:sdtEndPr>
        <w:rPr>
          <w:bCs/>
        </w:rPr>
      </w:sdtEndPr>
      <w:sdtContent>
        <w:p w14:paraId="01270BE7" w14:textId="420D569A" w:rsidR="00EF4C9A" w:rsidRPr="003119C7" w:rsidRDefault="00EF4C9A" w:rsidP="003119C7">
          <w:pPr>
            <w:pStyle w:val="TOCHeading"/>
            <w:spacing w:before="0" w:line="240" w:lineRule="auto"/>
            <w:rPr>
              <w:rFonts w:ascii="Times New Roman" w:hAnsi="Times New Roman" w:cs="Times New Roman"/>
              <w:sz w:val="24"/>
              <w:szCs w:val="24"/>
              <w:lang w:val="es-ES"/>
            </w:rPr>
          </w:pPr>
          <w:r w:rsidRPr="003119C7">
            <w:rPr>
              <w:rFonts w:ascii="Times New Roman" w:hAnsi="Times New Roman" w:cs="Times New Roman"/>
              <w:sz w:val="24"/>
              <w:szCs w:val="24"/>
              <w:lang w:val="es-ES"/>
            </w:rPr>
            <w:t>Contenido</w:t>
          </w:r>
        </w:p>
        <w:p w14:paraId="237E34E8" w14:textId="77777777" w:rsidR="00EF4C9A" w:rsidRPr="003119C7" w:rsidRDefault="00EF4C9A" w:rsidP="003119C7">
          <w:pPr>
            <w:spacing w:after="0" w:line="240" w:lineRule="auto"/>
            <w:rPr>
              <w:rFonts w:ascii="Times New Roman" w:hAnsi="Times New Roman" w:cs="Times New Roman"/>
              <w:sz w:val="24"/>
              <w:szCs w:val="24"/>
              <w:lang w:val="es-ES" w:eastAsia="es-AR"/>
            </w:rPr>
          </w:pPr>
        </w:p>
        <w:p w14:paraId="1F34C50A" w14:textId="77777777" w:rsidR="00D16CC6" w:rsidRPr="00D16CC6" w:rsidRDefault="00EF4C9A" w:rsidP="00D16CC6">
          <w:pPr>
            <w:pStyle w:val="TOC1"/>
            <w:tabs>
              <w:tab w:val="right" w:leader="dot" w:pos="8494"/>
            </w:tabs>
            <w:spacing w:after="0"/>
            <w:rPr>
              <w:rFonts w:ascii="Times New Roman" w:eastAsiaTheme="minorEastAsia" w:hAnsi="Times New Roman"/>
              <w:noProof/>
              <w:sz w:val="24"/>
              <w:szCs w:val="24"/>
              <w:lang w:val="es-AR" w:eastAsia="es-AR"/>
            </w:rPr>
          </w:pPr>
          <w:r w:rsidRPr="003119C7">
            <w:rPr>
              <w:rFonts w:ascii="Times New Roman" w:hAnsi="Times New Roman"/>
              <w:sz w:val="24"/>
              <w:szCs w:val="24"/>
            </w:rPr>
            <w:fldChar w:fldCharType="begin"/>
          </w:r>
          <w:r w:rsidRPr="003119C7">
            <w:rPr>
              <w:rFonts w:ascii="Times New Roman" w:hAnsi="Times New Roman"/>
              <w:sz w:val="24"/>
              <w:szCs w:val="24"/>
            </w:rPr>
            <w:instrText xml:space="preserve"> TOC \o "1-3" \h \z \u </w:instrText>
          </w:r>
          <w:r w:rsidRPr="003119C7">
            <w:rPr>
              <w:rFonts w:ascii="Times New Roman" w:hAnsi="Times New Roman"/>
              <w:sz w:val="24"/>
              <w:szCs w:val="24"/>
            </w:rPr>
            <w:fldChar w:fldCharType="separate"/>
          </w:r>
          <w:hyperlink w:anchor="_Toc210805558" w:history="1">
            <w:r w:rsidR="00D16CC6" w:rsidRPr="00D16CC6">
              <w:rPr>
                <w:rStyle w:val="Hyperlink"/>
                <w:rFonts w:ascii="Times New Roman" w:hAnsi="Times New Roman"/>
                <w:bCs/>
                <w:noProof/>
                <w:sz w:val="24"/>
                <w:szCs w:val="24"/>
              </w:rPr>
              <w:t>1. INTRODUCCIÓN</w:t>
            </w:r>
            <w:r w:rsidR="00D16CC6" w:rsidRPr="00D16CC6">
              <w:rPr>
                <w:rFonts w:ascii="Times New Roman" w:hAnsi="Times New Roman"/>
                <w:noProof/>
                <w:webHidden/>
                <w:sz w:val="24"/>
                <w:szCs w:val="24"/>
              </w:rPr>
              <w:tab/>
            </w:r>
            <w:r w:rsidR="00D16CC6" w:rsidRPr="00D16CC6">
              <w:rPr>
                <w:rFonts w:ascii="Times New Roman" w:hAnsi="Times New Roman"/>
                <w:noProof/>
                <w:webHidden/>
                <w:sz w:val="24"/>
                <w:szCs w:val="24"/>
              </w:rPr>
              <w:fldChar w:fldCharType="begin"/>
            </w:r>
            <w:r w:rsidR="00D16CC6" w:rsidRPr="00D16CC6">
              <w:rPr>
                <w:rFonts w:ascii="Times New Roman" w:hAnsi="Times New Roman"/>
                <w:noProof/>
                <w:webHidden/>
                <w:sz w:val="24"/>
                <w:szCs w:val="24"/>
              </w:rPr>
              <w:instrText xml:space="preserve"> PAGEREF _Toc210805558 \h </w:instrText>
            </w:r>
            <w:r w:rsidR="00D16CC6" w:rsidRPr="00D16CC6">
              <w:rPr>
                <w:rFonts w:ascii="Times New Roman" w:hAnsi="Times New Roman"/>
                <w:noProof/>
                <w:webHidden/>
                <w:sz w:val="24"/>
                <w:szCs w:val="24"/>
              </w:rPr>
            </w:r>
            <w:r w:rsidR="00D16CC6" w:rsidRPr="00D16CC6">
              <w:rPr>
                <w:rFonts w:ascii="Times New Roman" w:hAnsi="Times New Roman"/>
                <w:noProof/>
                <w:webHidden/>
                <w:sz w:val="24"/>
                <w:szCs w:val="24"/>
              </w:rPr>
              <w:fldChar w:fldCharType="separate"/>
            </w:r>
            <w:r w:rsidR="00DE2607">
              <w:rPr>
                <w:rFonts w:ascii="Times New Roman" w:hAnsi="Times New Roman"/>
                <w:noProof/>
                <w:webHidden/>
                <w:sz w:val="24"/>
                <w:szCs w:val="24"/>
              </w:rPr>
              <w:t>3</w:t>
            </w:r>
            <w:r w:rsidR="00D16CC6" w:rsidRPr="00D16CC6">
              <w:rPr>
                <w:rFonts w:ascii="Times New Roman" w:hAnsi="Times New Roman"/>
                <w:noProof/>
                <w:webHidden/>
                <w:sz w:val="24"/>
                <w:szCs w:val="24"/>
              </w:rPr>
              <w:fldChar w:fldCharType="end"/>
            </w:r>
          </w:hyperlink>
        </w:p>
        <w:p w14:paraId="4677C921" w14:textId="77777777" w:rsidR="00D16CC6" w:rsidRPr="00D16CC6" w:rsidRDefault="00D16CC6" w:rsidP="00D16CC6">
          <w:pPr>
            <w:pStyle w:val="TOC2"/>
            <w:tabs>
              <w:tab w:val="right" w:leader="dot" w:pos="8494"/>
            </w:tabs>
            <w:spacing w:after="0"/>
            <w:rPr>
              <w:rFonts w:ascii="Times New Roman" w:eastAsiaTheme="minorEastAsia" w:hAnsi="Times New Roman"/>
              <w:noProof/>
              <w:sz w:val="24"/>
              <w:szCs w:val="24"/>
              <w:lang w:val="es-AR" w:eastAsia="es-AR"/>
            </w:rPr>
          </w:pPr>
          <w:hyperlink w:anchor="_Toc210805559" w:history="1">
            <w:r w:rsidRPr="00D16CC6">
              <w:rPr>
                <w:rStyle w:val="Hyperlink"/>
                <w:rFonts w:ascii="Times New Roman" w:hAnsi="Times New Roman"/>
                <w:bCs/>
                <w:noProof/>
                <w:sz w:val="24"/>
                <w:szCs w:val="24"/>
              </w:rPr>
              <w:t>1.1. Acerca de la Procuración Penitenciaria y su encuadre en el Sistema Nacional de Prevención de la Tortura</w:t>
            </w:r>
            <w:r w:rsidRPr="00D16CC6">
              <w:rPr>
                <w:rFonts w:ascii="Times New Roman" w:hAnsi="Times New Roman"/>
                <w:noProof/>
                <w:webHidden/>
                <w:sz w:val="24"/>
                <w:szCs w:val="24"/>
              </w:rPr>
              <w:tab/>
            </w:r>
            <w:r w:rsidRPr="00D16CC6">
              <w:rPr>
                <w:rFonts w:ascii="Times New Roman" w:hAnsi="Times New Roman"/>
                <w:noProof/>
                <w:webHidden/>
                <w:sz w:val="24"/>
                <w:szCs w:val="24"/>
              </w:rPr>
              <w:fldChar w:fldCharType="begin"/>
            </w:r>
            <w:r w:rsidRPr="00D16CC6">
              <w:rPr>
                <w:rFonts w:ascii="Times New Roman" w:hAnsi="Times New Roman"/>
                <w:noProof/>
                <w:webHidden/>
                <w:sz w:val="24"/>
                <w:szCs w:val="24"/>
              </w:rPr>
              <w:instrText xml:space="preserve"> PAGEREF _Toc210805559 \h </w:instrText>
            </w:r>
            <w:r w:rsidRPr="00D16CC6">
              <w:rPr>
                <w:rFonts w:ascii="Times New Roman" w:hAnsi="Times New Roman"/>
                <w:noProof/>
                <w:webHidden/>
                <w:sz w:val="24"/>
                <w:szCs w:val="24"/>
              </w:rPr>
            </w:r>
            <w:r w:rsidRPr="00D16CC6">
              <w:rPr>
                <w:rFonts w:ascii="Times New Roman" w:hAnsi="Times New Roman"/>
                <w:noProof/>
                <w:webHidden/>
                <w:sz w:val="24"/>
                <w:szCs w:val="24"/>
              </w:rPr>
              <w:fldChar w:fldCharType="separate"/>
            </w:r>
            <w:r w:rsidR="00DE2607">
              <w:rPr>
                <w:rFonts w:ascii="Times New Roman" w:hAnsi="Times New Roman"/>
                <w:noProof/>
                <w:webHidden/>
                <w:sz w:val="24"/>
                <w:szCs w:val="24"/>
              </w:rPr>
              <w:t>3</w:t>
            </w:r>
            <w:r w:rsidRPr="00D16CC6">
              <w:rPr>
                <w:rFonts w:ascii="Times New Roman" w:hAnsi="Times New Roman"/>
                <w:noProof/>
                <w:webHidden/>
                <w:sz w:val="24"/>
                <w:szCs w:val="24"/>
              </w:rPr>
              <w:fldChar w:fldCharType="end"/>
            </w:r>
          </w:hyperlink>
        </w:p>
        <w:p w14:paraId="7C6BCF2D" w14:textId="77777777" w:rsidR="00D16CC6" w:rsidRPr="00D16CC6" w:rsidRDefault="00D16CC6" w:rsidP="00D16CC6">
          <w:pPr>
            <w:pStyle w:val="TOC2"/>
            <w:tabs>
              <w:tab w:val="right" w:leader="dot" w:pos="8494"/>
            </w:tabs>
            <w:spacing w:after="0"/>
            <w:rPr>
              <w:rFonts w:ascii="Times New Roman" w:eastAsiaTheme="minorEastAsia" w:hAnsi="Times New Roman"/>
              <w:noProof/>
              <w:sz w:val="24"/>
              <w:szCs w:val="24"/>
              <w:lang w:val="es-AR" w:eastAsia="es-AR"/>
            </w:rPr>
          </w:pPr>
          <w:hyperlink w:anchor="_Toc210805560" w:history="1">
            <w:r w:rsidRPr="00D16CC6">
              <w:rPr>
                <w:rStyle w:val="Hyperlink"/>
                <w:rFonts w:ascii="Times New Roman" w:hAnsi="Times New Roman"/>
                <w:bCs/>
                <w:noProof/>
                <w:sz w:val="24"/>
                <w:szCs w:val="24"/>
              </w:rPr>
              <w:t>1.2. Sobre la organización federal de la Argentina</w:t>
            </w:r>
            <w:r w:rsidRPr="00D16CC6">
              <w:rPr>
                <w:rFonts w:ascii="Times New Roman" w:hAnsi="Times New Roman"/>
                <w:noProof/>
                <w:webHidden/>
                <w:sz w:val="24"/>
                <w:szCs w:val="24"/>
              </w:rPr>
              <w:tab/>
            </w:r>
            <w:r w:rsidRPr="00D16CC6">
              <w:rPr>
                <w:rFonts w:ascii="Times New Roman" w:hAnsi="Times New Roman"/>
                <w:noProof/>
                <w:webHidden/>
                <w:sz w:val="24"/>
                <w:szCs w:val="24"/>
              </w:rPr>
              <w:fldChar w:fldCharType="begin"/>
            </w:r>
            <w:r w:rsidRPr="00D16CC6">
              <w:rPr>
                <w:rFonts w:ascii="Times New Roman" w:hAnsi="Times New Roman"/>
                <w:noProof/>
                <w:webHidden/>
                <w:sz w:val="24"/>
                <w:szCs w:val="24"/>
              </w:rPr>
              <w:instrText xml:space="preserve"> PAGEREF _Toc210805560 \h </w:instrText>
            </w:r>
            <w:r w:rsidRPr="00D16CC6">
              <w:rPr>
                <w:rFonts w:ascii="Times New Roman" w:hAnsi="Times New Roman"/>
                <w:noProof/>
                <w:webHidden/>
                <w:sz w:val="24"/>
                <w:szCs w:val="24"/>
              </w:rPr>
            </w:r>
            <w:r w:rsidRPr="00D16CC6">
              <w:rPr>
                <w:rFonts w:ascii="Times New Roman" w:hAnsi="Times New Roman"/>
                <w:noProof/>
                <w:webHidden/>
                <w:sz w:val="24"/>
                <w:szCs w:val="24"/>
              </w:rPr>
              <w:fldChar w:fldCharType="separate"/>
            </w:r>
            <w:r w:rsidR="00DE2607">
              <w:rPr>
                <w:rFonts w:ascii="Times New Roman" w:hAnsi="Times New Roman"/>
                <w:noProof/>
                <w:webHidden/>
                <w:sz w:val="24"/>
                <w:szCs w:val="24"/>
              </w:rPr>
              <w:t>4</w:t>
            </w:r>
            <w:r w:rsidRPr="00D16CC6">
              <w:rPr>
                <w:rFonts w:ascii="Times New Roman" w:hAnsi="Times New Roman"/>
                <w:noProof/>
                <w:webHidden/>
                <w:sz w:val="24"/>
                <w:szCs w:val="24"/>
              </w:rPr>
              <w:fldChar w:fldCharType="end"/>
            </w:r>
          </w:hyperlink>
        </w:p>
        <w:p w14:paraId="4EF7E988" w14:textId="77777777" w:rsidR="00D16CC6" w:rsidRPr="00D16CC6" w:rsidRDefault="00D16CC6" w:rsidP="00D16CC6">
          <w:pPr>
            <w:pStyle w:val="TOC1"/>
            <w:tabs>
              <w:tab w:val="right" w:leader="dot" w:pos="8494"/>
            </w:tabs>
            <w:spacing w:after="0"/>
            <w:rPr>
              <w:rFonts w:ascii="Times New Roman" w:eastAsiaTheme="minorEastAsia" w:hAnsi="Times New Roman"/>
              <w:noProof/>
              <w:sz w:val="24"/>
              <w:szCs w:val="24"/>
              <w:lang w:val="es-AR" w:eastAsia="es-AR"/>
            </w:rPr>
          </w:pPr>
          <w:hyperlink w:anchor="_Toc210805561" w:history="1">
            <w:r w:rsidRPr="00D16CC6">
              <w:rPr>
                <w:rStyle w:val="Hyperlink"/>
                <w:rFonts w:ascii="Times New Roman" w:hAnsi="Times New Roman"/>
                <w:bCs/>
                <w:noProof/>
                <w:sz w:val="24"/>
                <w:szCs w:val="24"/>
              </w:rPr>
              <w:t>2. SOBREPOBLACION Y CONDICIONES MATERIALES DE DETENCION EN CARCELES FEDERALES Y OTROS LUGARES DE DETENCIÓN</w:t>
            </w:r>
            <w:r w:rsidRPr="00D16CC6">
              <w:rPr>
                <w:rFonts w:ascii="Times New Roman" w:hAnsi="Times New Roman"/>
                <w:noProof/>
                <w:webHidden/>
                <w:sz w:val="24"/>
                <w:szCs w:val="24"/>
              </w:rPr>
              <w:tab/>
            </w:r>
            <w:r w:rsidRPr="00D16CC6">
              <w:rPr>
                <w:rFonts w:ascii="Times New Roman" w:hAnsi="Times New Roman"/>
                <w:noProof/>
                <w:webHidden/>
                <w:sz w:val="24"/>
                <w:szCs w:val="24"/>
              </w:rPr>
              <w:fldChar w:fldCharType="begin"/>
            </w:r>
            <w:r w:rsidRPr="00D16CC6">
              <w:rPr>
                <w:rFonts w:ascii="Times New Roman" w:hAnsi="Times New Roman"/>
                <w:noProof/>
                <w:webHidden/>
                <w:sz w:val="24"/>
                <w:szCs w:val="24"/>
              </w:rPr>
              <w:instrText xml:space="preserve"> PAGEREF _Toc210805561 \h </w:instrText>
            </w:r>
            <w:r w:rsidRPr="00D16CC6">
              <w:rPr>
                <w:rFonts w:ascii="Times New Roman" w:hAnsi="Times New Roman"/>
                <w:noProof/>
                <w:webHidden/>
                <w:sz w:val="24"/>
                <w:szCs w:val="24"/>
              </w:rPr>
            </w:r>
            <w:r w:rsidRPr="00D16CC6">
              <w:rPr>
                <w:rFonts w:ascii="Times New Roman" w:hAnsi="Times New Roman"/>
                <w:noProof/>
                <w:webHidden/>
                <w:sz w:val="24"/>
                <w:szCs w:val="24"/>
              </w:rPr>
              <w:fldChar w:fldCharType="separate"/>
            </w:r>
            <w:r w:rsidR="00DE2607">
              <w:rPr>
                <w:rFonts w:ascii="Times New Roman" w:hAnsi="Times New Roman"/>
                <w:noProof/>
                <w:webHidden/>
                <w:sz w:val="24"/>
                <w:szCs w:val="24"/>
              </w:rPr>
              <w:t>5</w:t>
            </w:r>
            <w:r w:rsidRPr="00D16CC6">
              <w:rPr>
                <w:rFonts w:ascii="Times New Roman" w:hAnsi="Times New Roman"/>
                <w:noProof/>
                <w:webHidden/>
                <w:sz w:val="24"/>
                <w:szCs w:val="24"/>
              </w:rPr>
              <w:fldChar w:fldCharType="end"/>
            </w:r>
          </w:hyperlink>
        </w:p>
        <w:p w14:paraId="17C6EDBC" w14:textId="77777777" w:rsidR="00D16CC6" w:rsidRPr="00D16CC6" w:rsidRDefault="00D16CC6" w:rsidP="00D16CC6">
          <w:pPr>
            <w:pStyle w:val="TOC2"/>
            <w:tabs>
              <w:tab w:val="right" w:leader="dot" w:pos="8494"/>
            </w:tabs>
            <w:spacing w:after="0"/>
            <w:rPr>
              <w:rFonts w:ascii="Times New Roman" w:eastAsiaTheme="minorEastAsia" w:hAnsi="Times New Roman"/>
              <w:noProof/>
              <w:sz w:val="24"/>
              <w:szCs w:val="24"/>
              <w:lang w:val="es-AR" w:eastAsia="es-AR"/>
            </w:rPr>
          </w:pPr>
          <w:hyperlink w:anchor="_Toc210805562" w:history="1">
            <w:r w:rsidRPr="00D16CC6">
              <w:rPr>
                <w:rStyle w:val="Hyperlink"/>
                <w:rFonts w:ascii="Times New Roman" w:hAnsi="Times New Roman"/>
                <w:bCs/>
                <w:noProof/>
                <w:sz w:val="24"/>
                <w:szCs w:val="24"/>
              </w:rPr>
              <w:t>2.1. Situación en cárceles federales y definición del cupo</w:t>
            </w:r>
            <w:r w:rsidRPr="00D16CC6">
              <w:rPr>
                <w:rFonts w:ascii="Times New Roman" w:hAnsi="Times New Roman"/>
                <w:noProof/>
                <w:webHidden/>
                <w:sz w:val="24"/>
                <w:szCs w:val="24"/>
              </w:rPr>
              <w:tab/>
            </w:r>
            <w:r w:rsidRPr="00D16CC6">
              <w:rPr>
                <w:rFonts w:ascii="Times New Roman" w:hAnsi="Times New Roman"/>
                <w:noProof/>
                <w:webHidden/>
                <w:sz w:val="24"/>
                <w:szCs w:val="24"/>
              </w:rPr>
              <w:fldChar w:fldCharType="begin"/>
            </w:r>
            <w:r w:rsidRPr="00D16CC6">
              <w:rPr>
                <w:rFonts w:ascii="Times New Roman" w:hAnsi="Times New Roman"/>
                <w:noProof/>
                <w:webHidden/>
                <w:sz w:val="24"/>
                <w:szCs w:val="24"/>
              </w:rPr>
              <w:instrText xml:space="preserve"> PAGEREF _Toc210805562 \h </w:instrText>
            </w:r>
            <w:r w:rsidRPr="00D16CC6">
              <w:rPr>
                <w:rFonts w:ascii="Times New Roman" w:hAnsi="Times New Roman"/>
                <w:noProof/>
                <w:webHidden/>
                <w:sz w:val="24"/>
                <w:szCs w:val="24"/>
              </w:rPr>
            </w:r>
            <w:r w:rsidRPr="00D16CC6">
              <w:rPr>
                <w:rFonts w:ascii="Times New Roman" w:hAnsi="Times New Roman"/>
                <w:noProof/>
                <w:webHidden/>
                <w:sz w:val="24"/>
                <w:szCs w:val="24"/>
              </w:rPr>
              <w:fldChar w:fldCharType="separate"/>
            </w:r>
            <w:r w:rsidR="00DE2607">
              <w:rPr>
                <w:rFonts w:ascii="Times New Roman" w:hAnsi="Times New Roman"/>
                <w:noProof/>
                <w:webHidden/>
                <w:sz w:val="24"/>
                <w:szCs w:val="24"/>
              </w:rPr>
              <w:t>5</w:t>
            </w:r>
            <w:r w:rsidRPr="00D16CC6">
              <w:rPr>
                <w:rFonts w:ascii="Times New Roman" w:hAnsi="Times New Roman"/>
                <w:noProof/>
                <w:webHidden/>
                <w:sz w:val="24"/>
                <w:szCs w:val="24"/>
              </w:rPr>
              <w:fldChar w:fldCharType="end"/>
            </w:r>
          </w:hyperlink>
        </w:p>
        <w:p w14:paraId="459B0B48" w14:textId="77777777" w:rsidR="00D16CC6" w:rsidRPr="00D16CC6" w:rsidRDefault="00D16CC6" w:rsidP="00D16CC6">
          <w:pPr>
            <w:pStyle w:val="TOC2"/>
            <w:tabs>
              <w:tab w:val="right" w:leader="dot" w:pos="8494"/>
            </w:tabs>
            <w:spacing w:after="0"/>
            <w:rPr>
              <w:rFonts w:ascii="Times New Roman" w:eastAsiaTheme="minorEastAsia" w:hAnsi="Times New Roman"/>
              <w:noProof/>
              <w:sz w:val="24"/>
              <w:szCs w:val="24"/>
              <w:lang w:val="es-AR" w:eastAsia="es-AR"/>
            </w:rPr>
          </w:pPr>
          <w:hyperlink w:anchor="_Toc210805563" w:history="1">
            <w:r w:rsidRPr="00D16CC6">
              <w:rPr>
                <w:rStyle w:val="Hyperlink"/>
                <w:rFonts w:ascii="Times New Roman" w:hAnsi="Times New Roman"/>
                <w:bCs/>
                <w:noProof/>
                <w:sz w:val="24"/>
                <w:szCs w:val="24"/>
              </w:rPr>
              <w:t>2.2. Grave crisis humanitaria en alcaidías y comisarías de la Policía de CABA</w:t>
            </w:r>
            <w:r w:rsidRPr="00D16CC6">
              <w:rPr>
                <w:rFonts w:ascii="Times New Roman" w:hAnsi="Times New Roman"/>
                <w:noProof/>
                <w:webHidden/>
                <w:sz w:val="24"/>
                <w:szCs w:val="24"/>
              </w:rPr>
              <w:tab/>
            </w:r>
            <w:r w:rsidRPr="00D16CC6">
              <w:rPr>
                <w:rFonts w:ascii="Times New Roman" w:hAnsi="Times New Roman"/>
                <w:noProof/>
                <w:webHidden/>
                <w:sz w:val="24"/>
                <w:szCs w:val="24"/>
              </w:rPr>
              <w:fldChar w:fldCharType="begin"/>
            </w:r>
            <w:r w:rsidRPr="00D16CC6">
              <w:rPr>
                <w:rFonts w:ascii="Times New Roman" w:hAnsi="Times New Roman"/>
                <w:noProof/>
                <w:webHidden/>
                <w:sz w:val="24"/>
                <w:szCs w:val="24"/>
              </w:rPr>
              <w:instrText xml:space="preserve"> PAGEREF _Toc210805563 \h </w:instrText>
            </w:r>
            <w:r w:rsidRPr="00D16CC6">
              <w:rPr>
                <w:rFonts w:ascii="Times New Roman" w:hAnsi="Times New Roman"/>
                <w:noProof/>
                <w:webHidden/>
                <w:sz w:val="24"/>
                <w:szCs w:val="24"/>
              </w:rPr>
            </w:r>
            <w:r w:rsidRPr="00D16CC6">
              <w:rPr>
                <w:rFonts w:ascii="Times New Roman" w:hAnsi="Times New Roman"/>
                <w:noProof/>
                <w:webHidden/>
                <w:sz w:val="24"/>
                <w:szCs w:val="24"/>
              </w:rPr>
              <w:fldChar w:fldCharType="separate"/>
            </w:r>
            <w:r w:rsidR="00DE2607">
              <w:rPr>
                <w:rFonts w:ascii="Times New Roman" w:hAnsi="Times New Roman"/>
                <w:noProof/>
                <w:webHidden/>
                <w:sz w:val="24"/>
                <w:szCs w:val="24"/>
              </w:rPr>
              <w:t>8</w:t>
            </w:r>
            <w:r w:rsidRPr="00D16CC6">
              <w:rPr>
                <w:rFonts w:ascii="Times New Roman" w:hAnsi="Times New Roman"/>
                <w:noProof/>
                <w:webHidden/>
                <w:sz w:val="24"/>
                <w:szCs w:val="24"/>
              </w:rPr>
              <w:fldChar w:fldCharType="end"/>
            </w:r>
          </w:hyperlink>
        </w:p>
        <w:p w14:paraId="680C95A8" w14:textId="77777777" w:rsidR="00D16CC6" w:rsidRPr="00D16CC6" w:rsidRDefault="00D16CC6" w:rsidP="00D16CC6">
          <w:pPr>
            <w:pStyle w:val="TOC2"/>
            <w:tabs>
              <w:tab w:val="right" w:leader="dot" w:pos="8494"/>
            </w:tabs>
            <w:spacing w:after="0"/>
            <w:rPr>
              <w:rFonts w:ascii="Times New Roman" w:eastAsiaTheme="minorEastAsia" w:hAnsi="Times New Roman"/>
              <w:noProof/>
              <w:sz w:val="24"/>
              <w:szCs w:val="24"/>
              <w:lang w:val="es-AR" w:eastAsia="es-AR"/>
            </w:rPr>
          </w:pPr>
          <w:hyperlink w:anchor="_Toc210805564" w:history="1">
            <w:r w:rsidRPr="00D16CC6">
              <w:rPr>
                <w:rStyle w:val="Hyperlink"/>
                <w:rFonts w:ascii="Times New Roman" w:hAnsi="Times New Roman"/>
                <w:bCs/>
                <w:noProof/>
                <w:sz w:val="24"/>
                <w:szCs w:val="24"/>
              </w:rPr>
              <w:t>2.3. Evolución del encarcelamiento de mujeres, en particular embarazadas o con hijos y acceso a medidas alternativas</w:t>
            </w:r>
            <w:r w:rsidRPr="00D16CC6">
              <w:rPr>
                <w:rFonts w:ascii="Times New Roman" w:hAnsi="Times New Roman"/>
                <w:noProof/>
                <w:webHidden/>
                <w:sz w:val="24"/>
                <w:szCs w:val="24"/>
              </w:rPr>
              <w:tab/>
            </w:r>
            <w:r w:rsidRPr="00D16CC6">
              <w:rPr>
                <w:rFonts w:ascii="Times New Roman" w:hAnsi="Times New Roman"/>
                <w:noProof/>
                <w:webHidden/>
                <w:sz w:val="24"/>
                <w:szCs w:val="24"/>
              </w:rPr>
              <w:fldChar w:fldCharType="begin"/>
            </w:r>
            <w:r w:rsidRPr="00D16CC6">
              <w:rPr>
                <w:rFonts w:ascii="Times New Roman" w:hAnsi="Times New Roman"/>
                <w:noProof/>
                <w:webHidden/>
                <w:sz w:val="24"/>
                <w:szCs w:val="24"/>
              </w:rPr>
              <w:instrText xml:space="preserve"> PAGEREF _Toc210805564 \h </w:instrText>
            </w:r>
            <w:r w:rsidRPr="00D16CC6">
              <w:rPr>
                <w:rFonts w:ascii="Times New Roman" w:hAnsi="Times New Roman"/>
                <w:noProof/>
                <w:webHidden/>
                <w:sz w:val="24"/>
                <w:szCs w:val="24"/>
              </w:rPr>
            </w:r>
            <w:r w:rsidRPr="00D16CC6">
              <w:rPr>
                <w:rFonts w:ascii="Times New Roman" w:hAnsi="Times New Roman"/>
                <w:noProof/>
                <w:webHidden/>
                <w:sz w:val="24"/>
                <w:szCs w:val="24"/>
              </w:rPr>
              <w:fldChar w:fldCharType="separate"/>
            </w:r>
            <w:r w:rsidR="00DE2607">
              <w:rPr>
                <w:rFonts w:ascii="Times New Roman" w:hAnsi="Times New Roman"/>
                <w:noProof/>
                <w:webHidden/>
                <w:sz w:val="24"/>
                <w:szCs w:val="24"/>
              </w:rPr>
              <w:t>9</w:t>
            </w:r>
            <w:r w:rsidRPr="00D16CC6">
              <w:rPr>
                <w:rFonts w:ascii="Times New Roman" w:hAnsi="Times New Roman"/>
                <w:noProof/>
                <w:webHidden/>
                <w:sz w:val="24"/>
                <w:szCs w:val="24"/>
              </w:rPr>
              <w:fldChar w:fldCharType="end"/>
            </w:r>
          </w:hyperlink>
        </w:p>
        <w:p w14:paraId="45D63954" w14:textId="77777777" w:rsidR="00D16CC6" w:rsidRPr="00D16CC6" w:rsidRDefault="00D16CC6" w:rsidP="00D16CC6">
          <w:pPr>
            <w:pStyle w:val="TOC1"/>
            <w:tabs>
              <w:tab w:val="right" w:leader="dot" w:pos="8494"/>
            </w:tabs>
            <w:spacing w:after="0"/>
            <w:rPr>
              <w:rFonts w:ascii="Times New Roman" w:eastAsiaTheme="minorEastAsia" w:hAnsi="Times New Roman"/>
              <w:noProof/>
              <w:sz w:val="24"/>
              <w:szCs w:val="24"/>
              <w:lang w:val="es-AR" w:eastAsia="es-AR"/>
            </w:rPr>
          </w:pPr>
          <w:hyperlink w:anchor="_Toc210805565" w:history="1">
            <w:r w:rsidRPr="00D16CC6">
              <w:rPr>
                <w:rStyle w:val="Hyperlink"/>
                <w:rFonts w:ascii="Times New Roman" w:hAnsi="Times New Roman"/>
                <w:bCs/>
                <w:noProof/>
                <w:sz w:val="24"/>
                <w:szCs w:val="24"/>
              </w:rPr>
              <w:t>3. PERSISTENCIA DE PRÁCTICAS DE TORTURA</w:t>
            </w:r>
            <w:r w:rsidRPr="00D16CC6">
              <w:rPr>
                <w:rFonts w:ascii="Times New Roman" w:hAnsi="Times New Roman"/>
                <w:noProof/>
                <w:webHidden/>
                <w:sz w:val="24"/>
                <w:szCs w:val="24"/>
              </w:rPr>
              <w:tab/>
            </w:r>
            <w:r w:rsidRPr="00D16CC6">
              <w:rPr>
                <w:rFonts w:ascii="Times New Roman" w:hAnsi="Times New Roman"/>
                <w:noProof/>
                <w:webHidden/>
                <w:sz w:val="24"/>
                <w:szCs w:val="24"/>
              </w:rPr>
              <w:fldChar w:fldCharType="begin"/>
            </w:r>
            <w:r w:rsidRPr="00D16CC6">
              <w:rPr>
                <w:rFonts w:ascii="Times New Roman" w:hAnsi="Times New Roman"/>
                <w:noProof/>
                <w:webHidden/>
                <w:sz w:val="24"/>
                <w:szCs w:val="24"/>
              </w:rPr>
              <w:instrText xml:space="preserve"> PAGEREF _Toc210805565 \h </w:instrText>
            </w:r>
            <w:r w:rsidRPr="00D16CC6">
              <w:rPr>
                <w:rFonts w:ascii="Times New Roman" w:hAnsi="Times New Roman"/>
                <w:noProof/>
                <w:webHidden/>
                <w:sz w:val="24"/>
                <w:szCs w:val="24"/>
              </w:rPr>
            </w:r>
            <w:r w:rsidRPr="00D16CC6">
              <w:rPr>
                <w:rFonts w:ascii="Times New Roman" w:hAnsi="Times New Roman"/>
                <w:noProof/>
                <w:webHidden/>
                <w:sz w:val="24"/>
                <w:szCs w:val="24"/>
              </w:rPr>
              <w:fldChar w:fldCharType="separate"/>
            </w:r>
            <w:r w:rsidR="00DE2607">
              <w:rPr>
                <w:rFonts w:ascii="Times New Roman" w:hAnsi="Times New Roman"/>
                <w:noProof/>
                <w:webHidden/>
                <w:sz w:val="24"/>
                <w:szCs w:val="24"/>
              </w:rPr>
              <w:t>12</w:t>
            </w:r>
            <w:r w:rsidRPr="00D16CC6">
              <w:rPr>
                <w:rFonts w:ascii="Times New Roman" w:hAnsi="Times New Roman"/>
                <w:noProof/>
                <w:webHidden/>
                <w:sz w:val="24"/>
                <w:szCs w:val="24"/>
              </w:rPr>
              <w:fldChar w:fldCharType="end"/>
            </w:r>
          </w:hyperlink>
        </w:p>
        <w:p w14:paraId="4662298D" w14:textId="77777777" w:rsidR="00D16CC6" w:rsidRPr="00D16CC6" w:rsidRDefault="00D16CC6" w:rsidP="00D16CC6">
          <w:pPr>
            <w:pStyle w:val="TOC2"/>
            <w:tabs>
              <w:tab w:val="right" w:leader="dot" w:pos="8494"/>
            </w:tabs>
            <w:spacing w:after="0"/>
            <w:rPr>
              <w:rFonts w:ascii="Times New Roman" w:eastAsiaTheme="minorEastAsia" w:hAnsi="Times New Roman"/>
              <w:noProof/>
              <w:sz w:val="24"/>
              <w:szCs w:val="24"/>
              <w:lang w:val="es-AR" w:eastAsia="es-AR"/>
            </w:rPr>
          </w:pPr>
          <w:hyperlink w:anchor="_Toc210805566" w:history="1">
            <w:r w:rsidRPr="00D16CC6">
              <w:rPr>
                <w:rStyle w:val="Hyperlink"/>
                <w:rFonts w:ascii="Times New Roman" w:hAnsi="Times New Roman"/>
                <w:bCs/>
                <w:noProof/>
                <w:sz w:val="24"/>
                <w:szCs w:val="24"/>
              </w:rPr>
              <w:t>3.1. Datos registrados por la PPN sobre casos de tortura y malos tratos en jurisdicción federal</w:t>
            </w:r>
            <w:r w:rsidRPr="00D16CC6">
              <w:rPr>
                <w:rFonts w:ascii="Times New Roman" w:hAnsi="Times New Roman"/>
                <w:noProof/>
                <w:webHidden/>
                <w:sz w:val="24"/>
                <w:szCs w:val="24"/>
              </w:rPr>
              <w:tab/>
            </w:r>
            <w:r w:rsidRPr="00D16CC6">
              <w:rPr>
                <w:rFonts w:ascii="Times New Roman" w:hAnsi="Times New Roman"/>
                <w:noProof/>
                <w:webHidden/>
                <w:sz w:val="24"/>
                <w:szCs w:val="24"/>
              </w:rPr>
              <w:fldChar w:fldCharType="begin"/>
            </w:r>
            <w:r w:rsidRPr="00D16CC6">
              <w:rPr>
                <w:rFonts w:ascii="Times New Roman" w:hAnsi="Times New Roman"/>
                <w:noProof/>
                <w:webHidden/>
                <w:sz w:val="24"/>
                <w:szCs w:val="24"/>
              </w:rPr>
              <w:instrText xml:space="preserve"> PAGEREF _Toc210805566 \h </w:instrText>
            </w:r>
            <w:r w:rsidRPr="00D16CC6">
              <w:rPr>
                <w:rFonts w:ascii="Times New Roman" w:hAnsi="Times New Roman"/>
                <w:noProof/>
                <w:webHidden/>
                <w:sz w:val="24"/>
                <w:szCs w:val="24"/>
              </w:rPr>
            </w:r>
            <w:r w:rsidRPr="00D16CC6">
              <w:rPr>
                <w:rFonts w:ascii="Times New Roman" w:hAnsi="Times New Roman"/>
                <w:noProof/>
                <w:webHidden/>
                <w:sz w:val="24"/>
                <w:szCs w:val="24"/>
              </w:rPr>
              <w:fldChar w:fldCharType="separate"/>
            </w:r>
            <w:r w:rsidR="00DE2607">
              <w:rPr>
                <w:rFonts w:ascii="Times New Roman" w:hAnsi="Times New Roman"/>
                <w:noProof/>
                <w:webHidden/>
                <w:sz w:val="24"/>
                <w:szCs w:val="24"/>
              </w:rPr>
              <w:t>12</w:t>
            </w:r>
            <w:r w:rsidRPr="00D16CC6">
              <w:rPr>
                <w:rFonts w:ascii="Times New Roman" w:hAnsi="Times New Roman"/>
                <w:noProof/>
                <w:webHidden/>
                <w:sz w:val="24"/>
                <w:szCs w:val="24"/>
              </w:rPr>
              <w:fldChar w:fldCharType="end"/>
            </w:r>
          </w:hyperlink>
        </w:p>
        <w:p w14:paraId="3EE0DE7D" w14:textId="77777777" w:rsidR="00D16CC6" w:rsidRPr="00D16CC6" w:rsidRDefault="00D16CC6" w:rsidP="00D16CC6">
          <w:pPr>
            <w:pStyle w:val="TOC2"/>
            <w:tabs>
              <w:tab w:val="right" w:leader="dot" w:pos="8494"/>
            </w:tabs>
            <w:spacing w:after="0"/>
            <w:rPr>
              <w:rFonts w:ascii="Times New Roman" w:eastAsiaTheme="minorEastAsia" w:hAnsi="Times New Roman"/>
              <w:noProof/>
              <w:sz w:val="24"/>
              <w:szCs w:val="24"/>
              <w:lang w:val="es-AR" w:eastAsia="es-AR"/>
            </w:rPr>
          </w:pPr>
          <w:hyperlink w:anchor="_Toc210805567" w:history="1">
            <w:r w:rsidRPr="00D16CC6">
              <w:rPr>
                <w:rStyle w:val="Hyperlink"/>
                <w:rFonts w:ascii="Times New Roman" w:hAnsi="Times New Roman"/>
                <w:bCs/>
                <w:noProof/>
                <w:sz w:val="24"/>
                <w:szCs w:val="24"/>
              </w:rPr>
              <w:t>3.2. Investigación judicial de casos de tortura</w:t>
            </w:r>
            <w:r w:rsidRPr="00D16CC6">
              <w:rPr>
                <w:rFonts w:ascii="Times New Roman" w:hAnsi="Times New Roman"/>
                <w:noProof/>
                <w:webHidden/>
                <w:sz w:val="24"/>
                <w:szCs w:val="24"/>
              </w:rPr>
              <w:tab/>
            </w:r>
            <w:r w:rsidRPr="00D16CC6">
              <w:rPr>
                <w:rFonts w:ascii="Times New Roman" w:hAnsi="Times New Roman"/>
                <w:noProof/>
                <w:webHidden/>
                <w:sz w:val="24"/>
                <w:szCs w:val="24"/>
              </w:rPr>
              <w:fldChar w:fldCharType="begin"/>
            </w:r>
            <w:r w:rsidRPr="00D16CC6">
              <w:rPr>
                <w:rFonts w:ascii="Times New Roman" w:hAnsi="Times New Roman"/>
                <w:noProof/>
                <w:webHidden/>
                <w:sz w:val="24"/>
                <w:szCs w:val="24"/>
              </w:rPr>
              <w:instrText xml:space="preserve"> PAGEREF _Toc210805567 \h </w:instrText>
            </w:r>
            <w:r w:rsidRPr="00D16CC6">
              <w:rPr>
                <w:rFonts w:ascii="Times New Roman" w:hAnsi="Times New Roman"/>
                <w:noProof/>
                <w:webHidden/>
                <w:sz w:val="24"/>
                <w:szCs w:val="24"/>
              </w:rPr>
            </w:r>
            <w:r w:rsidRPr="00D16CC6">
              <w:rPr>
                <w:rFonts w:ascii="Times New Roman" w:hAnsi="Times New Roman"/>
                <w:noProof/>
                <w:webHidden/>
                <w:sz w:val="24"/>
                <w:szCs w:val="24"/>
              </w:rPr>
              <w:fldChar w:fldCharType="separate"/>
            </w:r>
            <w:r w:rsidR="00DE2607">
              <w:rPr>
                <w:rFonts w:ascii="Times New Roman" w:hAnsi="Times New Roman"/>
                <w:noProof/>
                <w:webHidden/>
                <w:sz w:val="24"/>
                <w:szCs w:val="24"/>
              </w:rPr>
              <w:t>14</w:t>
            </w:r>
            <w:r w:rsidRPr="00D16CC6">
              <w:rPr>
                <w:rFonts w:ascii="Times New Roman" w:hAnsi="Times New Roman"/>
                <w:noProof/>
                <w:webHidden/>
                <w:sz w:val="24"/>
                <w:szCs w:val="24"/>
              </w:rPr>
              <w:fldChar w:fldCharType="end"/>
            </w:r>
          </w:hyperlink>
        </w:p>
        <w:p w14:paraId="53C43A33" w14:textId="77777777" w:rsidR="00D16CC6" w:rsidRPr="00D16CC6" w:rsidRDefault="00D16CC6" w:rsidP="00D16CC6">
          <w:pPr>
            <w:pStyle w:val="TOC2"/>
            <w:tabs>
              <w:tab w:val="right" w:leader="dot" w:pos="8494"/>
            </w:tabs>
            <w:spacing w:after="0"/>
            <w:rPr>
              <w:rFonts w:ascii="Times New Roman" w:eastAsiaTheme="minorEastAsia" w:hAnsi="Times New Roman"/>
              <w:noProof/>
              <w:sz w:val="24"/>
              <w:szCs w:val="24"/>
              <w:lang w:val="es-AR" w:eastAsia="es-AR"/>
            </w:rPr>
          </w:pPr>
          <w:hyperlink w:anchor="_Toc210805568" w:history="1">
            <w:r w:rsidRPr="00D16CC6">
              <w:rPr>
                <w:rStyle w:val="Hyperlink"/>
                <w:rFonts w:ascii="Times New Roman" w:hAnsi="Times New Roman"/>
                <w:noProof/>
                <w:sz w:val="24"/>
                <w:szCs w:val="24"/>
              </w:rPr>
              <w:t>3</w:t>
            </w:r>
            <w:r w:rsidRPr="00D16CC6">
              <w:rPr>
                <w:rStyle w:val="Hyperlink"/>
                <w:rFonts w:ascii="Times New Roman" w:hAnsi="Times New Roman"/>
                <w:bCs/>
                <w:noProof/>
                <w:sz w:val="24"/>
                <w:szCs w:val="24"/>
              </w:rPr>
              <w:t>.3. Definición y tipificación del delito de tortura en Argentina</w:t>
            </w:r>
            <w:r w:rsidRPr="00D16CC6">
              <w:rPr>
                <w:rFonts w:ascii="Times New Roman" w:hAnsi="Times New Roman"/>
                <w:noProof/>
                <w:webHidden/>
                <w:sz w:val="24"/>
                <w:szCs w:val="24"/>
              </w:rPr>
              <w:tab/>
            </w:r>
            <w:r w:rsidRPr="00D16CC6">
              <w:rPr>
                <w:rFonts w:ascii="Times New Roman" w:hAnsi="Times New Roman"/>
                <w:noProof/>
                <w:webHidden/>
                <w:sz w:val="24"/>
                <w:szCs w:val="24"/>
              </w:rPr>
              <w:fldChar w:fldCharType="begin"/>
            </w:r>
            <w:r w:rsidRPr="00D16CC6">
              <w:rPr>
                <w:rFonts w:ascii="Times New Roman" w:hAnsi="Times New Roman"/>
                <w:noProof/>
                <w:webHidden/>
                <w:sz w:val="24"/>
                <w:szCs w:val="24"/>
              </w:rPr>
              <w:instrText xml:space="preserve"> PAGEREF _Toc210805568 \h </w:instrText>
            </w:r>
            <w:r w:rsidRPr="00D16CC6">
              <w:rPr>
                <w:rFonts w:ascii="Times New Roman" w:hAnsi="Times New Roman"/>
                <w:noProof/>
                <w:webHidden/>
                <w:sz w:val="24"/>
                <w:szCs w:val="24"/>
              </w:rPr>
            </w:r>
            <w:r w:rsidRPr="00D16CC6">
              <w:rPr>
                <w:rFonts w:ascii="Times New Roman" w:hAnsi="Times New Roman"/>
                <w:noProof/>
                <w:webHidden/>
                <w:sz w:val="24"/>
                <w:szCs w:val="24"/>
              </w:rPr>
              <w:fldChar w:fldCharType="separate"/>
            </w:r>
            <w:r w:rsidR="00DE2607">
              <w:rPr>
                <w:rFonts w:ascii="Times New Roman" w:hAnsi="Times New Roman"/>
                <w:noProof/>
                <w:webHidden/>
                <w:sz w:val="24"/>
                <w:szCs w:val="24"/>
              </w:rPr>
              <w:t>18</w:t>
            </w:r>
            <w:r w:rsidRPr="00D16CC6">
              <w:rPr>
                <w:rFonts w:ascii="Times New Roman" w:hAnsi="Times New Roman"/>
                <w:noProof/>
                <w:webHidden/>
                <w:sz w:val="24"/>
                <w:szCs w:val="24"/>
              </w:rPr>
              <w:fldChar w:fldCharType="end"/>
            </w:r>
          </w:hyperlink>
        </w:p>
        <w:p w14:paraId="29F999BC" w14:textId="77777777" w:rsidR="00D16CC6" w:rsidRPr="00D16CC6" w:rsidRDefault="00D16CC6" w:rsidP="00D16CC6">
          <w:pPr>
            <w:pStyle w:val="TOC1"/>
            <w:tabs>
              <w:tab w:val="right" w:leader="dot" w:pos="8494"/>
            </w:tabs>
            <w:spacing w:after="0"/>
            <w:rPr>
              <w:rFonts w:ascii="Times New Roman" w:eastAsiaTheme="minorEastAsia" w:hAnsi="Times New Roman"/>
              <w:noProof/>
              <w:sz w:val="24"/>
              <w:szCs w:val="24"/>
              <w:lang w:val="es-AR" w:eastAsia="es-AR"/>
            </w:rPr>
          </w:pPr>
          <w:hyperlink w:anchor="_Toc210805569" w:history="1">
            <w:r w:rsidRPr="00D16CC6">
              <w:rPr>
                <w:rStyle w:val="Hyperlink"/>
                <w:rFonts w:ascii="Times New Roman" w:hAnsi="Times New Roman"/>
                <w:bCs/>
                <w:noProof/>
                <w:sz w:val="24"/>
                <w:szCs w:val="24"/>
              </w:rPr>
              <w:t>4. MUERTES BAJO CUSTODIA</w:t>
            </w:r>
            <w:r w:rsidRPr="00D16CC6">
              <w:rPr>
                <w:rFonts w:ascii="Times New Roman" w:hAnsi="Times New Roman"/>
                <w:noProof/>
                <w:webHidden/>
                <w:sz w:val="24"/>
                <w:szCs w:val="24"/>
              </w:rPr>
              <w:tab/>
            </w:r>
            <w:r w:rsidRPr="00D16CC6">
              <w:rPr>
                <w:rFonts w:ascii="Times New Roman" w:hAnsi="Times New Roman"/>
                <w:noProof/>
                <w:webHidden/>
                <w:sz w:val="24"/>
                <w:szCs w:val="24"/>
              </w:rPr>
              <w:fldChar w:fldCharType="begin"/>
            </w:r>
            <w:r w:rsidRPr="00D16CC6">
              <w:rPr>
                <w:rFonts w:ascii="Times New Roman" w:hAnsi="Times New Roman"/>
                <w:noProof/>
                <w:webHidden/>
                <w:sz w:val="24"/>
                <w:szCs w:val="24"/>
              </w:rPr>
              <w:instrText xml:space="preserve"> PAGEREF _Toc210805569 \h </w:instrText>
            </w:r>
            <w:r w:rsidRPr="00D16CC6">
              <w:rPr>
                <w:rFonts w:ascii="Times New Roman" w:hAnsi="Times New Roman"/>
                <w:noProof/>
                <w:webHidden/>
                <w:sz w:val="24"/>
                <w:szCs w:val="24"/>
              </w:rPr>
            </w:r>
            <w:r w:rsidRPr="00D16CC6">
              <w:rPr>
                <w:rFonts w:ascii="Times New Roman" w:hAnsi="Times New Roman"/>
                <w:noProof/>
                <w:webHidden/>
                <w:sz w:val="24"/>
                <w:szCs w:val="24"/>
              </w:rPr>
              <w:fldChar w:fldCharType="separate"/>
            </w:r>
            <w:r w:rsidR="00DE2607">
              <w:rPr>
                <w:rFonts w:ascii="Times New Roman" w:hAnsi="Times New Roman"/>
                <w:noProof/>
                <w:webHidden/>
                <w:sz w:val="24"/>
                <w:szCs w:val="24"/>
              </w:rPr>
              <w:t>20</w:t>
            </w:r>
            <w:r w:rsidRPr="00D16CC6">
              <w:rPr>
                <w:rFonts w:ascii="Times New Roman" w:hAnsi="Times New Roman"/>
                <w:noProof/>
                <w:webHidden/>
                <w:sz w:val="24"/>
                <w:szCs w:val="24"/>
              </w:rPr>
              <w:fldChar w:fldCharType="end"/>
            </w:r>
          </w:hyperlink>
        </w:p>
        <w:p w14:paraId="678B87A7" w14:textId="77777777" w:rsidR="00D16CC6" w:rsidRPr="00D16CC6" w:rsidRDefault="00D16CC6" w:rsidP="00D16CC6">
          <w:pPr>
            <w:pStyle w:val="TOC2"/>
            <w:tabs>
              <w:tab w:val="right" w:leader="dot" w:pos="8494"/>
            </w:tabs>
            <w:spacing w:after="0"/>
            <w:rPr>
              <w:rFonts w:ascii="Times New Roman" w:eastAsiaTheme="minorEastAsia" w:hAnsi="Times New Roman"/>
              <w:noProof/>
              <w:sz w:val="24"/>
              <w:szCs w:val="24"/>
              <w:lang w:val="es-AR" w:eastAsia="es-AR"/>
            </w:rPr>
          </w:pPr>
          <w:hyperlink w:anchor="_Toc210805570" w:history="1">
            <w:r w:rsidRPr="00D16CC6">
              <w:rPr>
                <w:rStyle w:val="Hyperlink"/>
                <w:rFonts w:ascii="Times New Roman" w:hAnsi="Times New Roman"/>
                <w:noProof/>
                <w:sz w:val="24"/>
                <w:szCs w:val="24"/>
              </w:rPr>
              <w:t>4.1. Muertes bajo custodia del Servicio Penitenciario Federal</w:t>
            </w:r>
            <w:r w:rsidRPr="00D16CC6">
              <w:rPr>
                <w:rFonts w:ascii="Times New Roman" w:hAnsi="Times New Roman"/>
                <w:noProof/>
                <w:webHidden/>
                <w:sz w:val="24"/>
                <w:szCs w:val="24"/>
              </w:rPr>
              <w:tab/>
            </w:r>
            <w:r w:rsidRPr="00D16CC6">
              <w:rPr>
                <w:rFonts w:ascii="Times New Roman" w:hAnsi="Times New Roman"/>
                <w:noProof/>
                <w:webHidden/>
                <w:sz w:val="24"/>
                <w:szCs w:val="24"/>
              </w:rPr>
              <w:fldChar w:fldCharType="begin"/>
            </w:r>
            <w:r w:rsidRPr="00D16CC6">
              <w:rPr>
                <w:rFonts w:ascii="Times New Roman" w:hAnsi="Times New Roman"/>
                <w:noProof/>
                <w:webHidden/>
                <w:sz w:val="24"/>
                <w:szCs w:val="24"/>
              </w:rPr>
              <w:instrText xml:space="preserve"> PAGEREF _Toc210805570 \h </w:instrText>
            </w:r>
            <w:r w:rsidRPr="00D16CC6">
              <w:rPr>
                <w:rFonts w:ascii="Times New Roman" w:hAnsi="Times New Roman"/>
                <w:noProof/>
                <w:webHidden/>
                <w:sz w:val="24"/>
                <w:szCs w:val="24"/>
              </w:rPr>
            </w:r>
            <w:r w:rsidRPr="00D16CC6">
              <w:rPr>
                <w:rFonts w:ascii="Times New Roman" w:hAnsi="Times New Roman"/>
                <w:noProof/>
                <w:webHidden/>
                <w:sz w:val="24"/>
                <w:szCs w:val="24"/>
              </w:rPr>
              <w:fldChar w:fldCharType="separate"/>
            </w:r>
            <w:r w:rsidR="00DE2607">
              <w:rPr>
                <w:rFonts w:ascii="Times New Roman" w:hAnsi="Times New Roman"/>
                <w:noProof/>
                <w:webHidden/>
                <w:sz w:val="24"/>
                <w:szCs w:val="24"/>
              </w:rPr>
              <w:t>21</w:t>
            </w:r>
            <w:r w:rsidRPr="00D16CC6">
              <w:rPr>
                <w:rFonts w:ascii="Times New Roman" w:hAnsi="Times New Roman"/>
                <w:noProof/>
                <w:webHidden/>
                <w:sz w:val="24"/>
                <w:szCs w:val="24"/>
              </w:rPr>
              <w:fldChar w:fldCharType="end"/>
            </w:r>
          </w:hyperlink>
        </w:p>
        <w:p w14:paraId="6EE00102" w14:textId="77777777" w:rsidR="00D16CC6" w:rsidRPr="00D16CC6" w:rsidRDefault="00D16CC6" w:rsidP="00D16CC6">
          <w:pPr>
            <w:pStyle w:val="TOC2"/>
            <w:tabs>
              <w:tab w:val="right" w:leader="dot" w:pos="8494"/>
            </w:tabs>
            <w:spacing w:after="0"/>
            <w:rPr>
              <w:rFonts w:ascii="Times New Roman" w:eastAsiaTheme="minorEastAsia" w:hAnsi="Times New Roman"/>
              <w:noProof/>
              <w:sz w:val="24"/>
              <w:szCs w:val="24"/>
              <w:lang w:val="es-AR" w:eastAsia="es-AR"/>
            </w:rPr>
          </w:pPr>
          <w:hyperlink w:anchor="_Toc210805571" w:history="1">
            <w:r w:rsidRPr="00D16CC6">
              <w:rPr>
                <w:rStyle w:val="Hyperlink"/>
                <w:rFonts w:ascii="Times New Roman" w:hAnsi="Times New Roman"/>
                <w:bCs/>
                <w:noProof/>
                <w:sz w:val="24"/>
                <w:szCs w:val="24"/>
              </w:rPr>
              <w:t>4.2. Muertes de personas detenidas por la justicia nacional o federal bajo custodia de fuerzas de seguridad diferentes al Servicio Penitenciario Federal</w:t>
            </w:r>
            <w:r w:rsidRPr="00D16CC6">
              <w:rPr>
                <w:rFonts w:ascii="Times New Roman" w:hAnsi="Times New Roman"/>
                <w:noProof/>
                <w:webHidden/>
                <w:sz w:val="24"/>
                <w:szCs w:val="24"/>
              </w:rPr>
              <w:tab/>
            </w:r>
            <w:r w:rsidRPr="00D16CC6">
              <w:rPr>
                <w:rFonts w:ascii="Times New Roman" w:hAnsi="Times New Roman"/>
                <w:noProof/>
                <w:webHidden/>
                <w:sz w:val="24"/>
                <w:szCs w:val="24"/>
              </w:rPr>
              <w:fldChar w:fldCharType="begin"/>
            </w:r>
            <w:r w:rsidRPr="00D16CC6">
              <w:rPr>
                <w:rFonts w:ascii="Times New Roman" w:hAnsi="Times New Roman"/>
                <w:noProof/>
                <w:webHidden/>
                <w:sz w:val="24"/>
                <w:szCs w:val="24"/>
              </w:rPr>
              <w:instrText xml:space="preserve"> PAGEREF _Toc210805571 \h </w:instrText>
            </w:r>
            <w:r w:rsidRPr="00D16CC6">
              <w:rPr>
                <w:rFonts w:ascii="Times New Roman" w:hAnsi="Times New Roman"/>
                <w:noProof/>
                <w:webHidden/>
                <w:sz w:val="24"/>
                <w:szCs w:val="24"/>
              </w:rPr>
            </w:r>
            <w:r w:rsidRPr="00D16CC6">
              <w:rPr>
                <w:rFonts w:ascii="Times New Roman" w:hAnsi="Times New Roman"/>
                <w:noProof/>
                <w:webHidden/>
                <w:sz w:val="24"/>
                <w:szCs w:val="24"/>
              </w:rPr>
              <w:fldChar w:fldCharType="separate"/>
            </w:r>
            <w:r w:rsidR="00DE2607">
              <w:rPr>
                <w:rFonts w:ascii="Times New Roman" w:hAnsi="Times New Roman"/>
                <w:noProof/>
                <w:webHidden/>
                <w:sz w:val="24"/>
                <w:szCs w:val="24"/>
              </w:rPr>
              <w:t>23</w:t>
            </w:r>
            <w:r w:rsidRPr="00D16CC6">
              <w:rPr>
                <w:rFonts w:ascii="Times New Roman" w:hAnsi="Times New Roman"/>
                <w:noProof/>
                <w:webHidden/>
                <w:sz w:val="24"/>
                <w:szCs w:val="24"/>
              </w:rPr>
              <w:fldChar w:fldCharType="end"/>
            </w:r>
          </w:hyperlink>
        </w:p>
        <w:p w14:paraId="2293A6C9" w14:textId="77777777" w:rsidR="00D16CC6" w:rsidRPr="00D16CC6" w:rsidRDefault="00D16CC6" w:rsidP="00D16CC6">
          <w:pPr>
            <w:pStyle w:val="TOC2"/>
            <w:tabs>
              <w:tab w:val="right" w:leader="dot" w:pos="8494"/>
            </w:tabs>
            <w:spacing w:after="0"/>
            <w:rPr>
              <w:rFonts w:ascii="Times New Roman" w:eastAsiaTheme="minorEastAsia" w:hAnsi="Times New Roman"/>
              <w:noProof/>
              <w:sz w:val="24"/>
              <w:szCs w:val="24"/>
              <w:lang w:val="es-AR" w:eastAsia="es-AR"/>
            </w:rPr>
          </w:pPr>
          <w:hyperlink w:anchor="_Toc210805572" w:history="1">
            <w:r w:rsidRPr="00D16CC6">
              <w:rPr>
                <w:rStyle w:val="Hyperlink"/>
                <w:rFonts w:ascii="Times New Roman" w:hAnsi="Times New Roman"/>
                <w:bCs/>
                <w:noProof/>
                <w:sz w:val="24"/>
                <w:szCs w:val="24"/>
              </w:rPr>
              <w:t>4.3. La respuesta judicial frente a las muertes bajo custodia</w:t>
            </w:r>
            <w:r w:rsidRPr="00D16CC6">
              <w:rPr>
                <w:rFonts w:ascii="Times New Roman" w:hAnsi="Times New Roman"/>
                <w:noProof/>
                <w:webHidden/>
                <w:sz w:val="24"/>
                <w:szCs w:val="24"/>
              </w:rPr>
              <w:tab/>
            </w:r>
            <w:r w:rsidRPr="00D16CC6">
              <w:rPr>
                <w:rFonts w:ascii="Times New Roman" w:hAnsi="Times New Roman"/>
                <w:noProof/>
                <w:webHidden/>
                <w:sz w:val="24"/>
                <w:szCs w:val="24"/>
              </w:rPr>
              <w:fldChar w:fldCharType="begin"/>
            </w:r>
            <w:r w:rsidRPr="00D16CC6">
              <w:rPr>
                <w:rFonts w:ascii="Times New Roman" w:hAnsi="Times New Roman"/>
                <w:noProof/>
                <w:webHidden/>
                <w:sz w:val="24"/>
                <w:szCs w:val="24"/>
              </w:rPr>
              <w:instrText xml:space="preserve"> PAGEREF _Toc210805572 \h </w:instrText>
            </w:r>
            <w:r w:rsidRPr="00D16CC6">
              <w:rPr>
                <w:rFonts w:ascii="Times New Roman" w:hAnsi="Times New Roman"/>
                <w:noProof/>
                <w:webHidden/>
                <w:sz w:val="24"/>
                <w:szCs w:val="24"/>
              </w:rPr>
            </w:r>
            <w:r w:rsidRPr="00D16CC6">
              <w:rPr>
                <w:rFonts w:ascii="Times New Roman" w:hAnsi="Times New Roman"/>
                <w:noProof/>
                <w:webHidden/>
                <w:sz w:val="24"/>
                <w:szCs w:val="24"/>
              </w:rPr>
              <w:fldChar w:fldCharType="separate"/>
            </w:r>
            <w:r w:rsidR="00DE2607">
              <w:rPr>
                <w:rFonts w:ascii="Times New Roman" w:hAnsi="Times New Roman"/>
                <w:noProof/>
                <w:webHidden/>
                <w:sz w:val="24"/>
                <w:szCs w:val="24"/>
              </w:rPr>
              <w:t>23</w:t>
            </w:r>
            <w:r w:rsidRPr="00D16CC6">
              <w:rPr>
                <w:rFonts w:ascii="Times New Roman" w:hAnsi="Times New Roman"/>
                <w:noProof/>
                <w:webHidden/>
                <w:sz w:val="24"/>
                <w:szCs w:val="24"/>
              </w:rPr>
              <w:fldChar w:fldCharType="end"/>
            </w:r>
          </w:hyperlink>
        </w:p>
        <w:p w14:paraId="157226A4" w14:textId="77777777" w:rsidR="00D16CC6" w:rsidRPr="00D16CC6" w:rsidRDefault="00D16CC6" w:rsidP="00D16CC6">
          <w:pPr>
            <w:pStyle w:val="TOC1"/>
            <w:tabs>
              <w:tab w:val="right" w:leader="dot" w:pos="8494"/>
            </w:tabs>
            <w:spacing w:after="0"/>
            <w:rPr>
              <w:rFonts w:ascii="Times New Roman" w:eastAsiaTheme="minorEastAsia" w:hAnsi="Times New Roman"/>
              <w:noProof/>
              <w:sz w:val="24"/>
              <w:szCs w:val="24"/>
              <w:lang w:val="es-AR" w:eastAsia="es-AR"/>
            </w:rPr>
          </w:pPr>
          <w:hyperlink w:anchor="_Toc210805573" w:history="1">
            <w:r w:rsidRPr="00D16CC6">
              <w:rPr>
                <w:rStyle w:val="Hyperlink"/>
                <w:rFonts w:ascii="Times New Roman" w:hAnsi="Times New Roman"/>
                <w:bCs/>
                <w:noProof/>
                <w:sz w:val="24"/>
                <w:szCs w:val="24"/>
                <w:lang w:val="pt-BR"/>
              </w:rPr>
              <w:t>5. OTROS TRATOS O PENAS CRUELES, INHUMANOS O DEGRADANTES</w:t>
            </w:r>
            <w:r w:rsidRPr="00D16CC6">
              <w:rPr>
                <w:rFonts w:ascii="Times New Roman" w:hAnsi="Times New Roman"/>
                <w:noProof/>
                <w:webHidden/>
                <w:sz w:val="24"/>
                <w:szCs w:val="24"/>
              </w:rPr>
              <w:tab/>
            </w:r>
            <w:r w:rsidRPr="00D16CC6">
              <w:rPr>
                <w:rFonts w:ascii="Times New Roman" w:hAnsi="Times New Roman"/>
                <w:noProof/>
                <w:webHidden/>
                <w:sz w:val="24"/>
                <w:szCs w:val="24"/>
              </w:rPr>
              <w:fldChar w:fldCharType="begin"/>
            </w:r>
            <w:r w:rsidRPr="00D16CC6">
              <w:rPr>
                <w:rFonts w:ascii="Times New Roman" w:hAnsi="Times New Roman"/>
                <w:noProof/>
                <w:webHidden/>
                <w:sz w:val="24"/>
                <w:szCs w:val="24"/>
              </w:rPr>
              <w:instrText xml:space="preserve"> PAGEREF _Toc210805573 \h </w:instrText>
            </w:r>
            <w:r w:rsidRPr="00D16CC6">
              <w:rPr>
                <w:rFonts w:ascii="Times New Roman" w:hAnsi="Times New Roman"/>
                <w:noProof/>
                <w:webHidden/>
                <w:sz w:val="24"/>
                <w:szCs w:val="24"/>
              </w:rPr>
            </w:r>
            <w:r w:rsidRPr="00D16CC6">
              <w:rPr>
                <w:rFonts w:ascii="Times New Roman" w:hAnsi="Times New Roman"/>
                <w:noProof/>
                <w:webHidden/>
                <w:sz w:val="24"/>
                <w:szCs w:val="24"/>
              </w:rPr>
              <w:fldChar w:fldCharType="separate"/>
            </w:r>
            <w:r w:rsidR="00DE2607">
              <w:rPr>
                <w:rFonts w:ascii="Times New Roman" w:hAnsi="Times New Roman"/>
                <w:noProof/>
                <w:webHidden/>
                <w:sz w:val="24"/>
                <w:szCs w:val="24"/>
              </w:rPr>
              <w:t>25</w:t>
            </w:r>
            <w:r w:rsidRPr="00D16CC6">
              <w:rPr>
                <w:rFonts w:ascii="Times New Roman" w:hAnsi="Times New Roman"/>
                <w:noProof/>
                <w:webHidden/>
                <w:sz w:val="24"/>
                <w:szCs w:val="24"/>
              </w:rPr>
              <w:fldChar w:fldCharType="end"/>
            </w:r>
          </w:hyperlink>
        </w:p>
        <w:p w14:paraId="57412F34" w14:textId="77777777" w:rsidR="00D16CC6" w:rsidRPr="00D16CC6" w:rsidRDefault="00D16CC6" w:rsidP="00D16CC6">
          <w:pPr>
            <w:pStyle w:val="TOC2"/>
            <w:tabs>
              <w:tab w:val="right" w:leader="dot" w:pos="8494"/>
            </w:tabs>
            <w:spacing w:after="0"/>
            <w:rPr>
              <w:rFonts w:ascii="Times New Roman" w:eastAsiaTheme="minorEastAsia" w:hAnsi="Times New Roman"/>
              <w:noProof/>
              <w:sz w:val="24"/>
              <w:szCs w:val="24"/>
              <w:lang w:val="es-AR" w:eastAsia="es-AR"/>
            </w:rPr>
          </w:pPr>
          <w:hyperlink w:anchor="_Toc210805574" w:history="1">
            <w:r w:rsidRPr="00D16CC6">
              <w:rPr>
                <w:rStyle w:val="Hyperlink"/>
                <w:rFonts w:ascii="Times New Roman" w:hAnsi="Times New Roman"/>
                <w:bCs/>
                <w:noProof/>
                <w:sz w:val="24"/>
                <w:szCs w:val="24"/>
              </w:rPr>
              <w:t>5.1. Usos del aislamiento en cárceles federales</w:t>
            </w:r>
            <w:r w:rsidRPr="00D16CC6">
              <w:rPr>
                <w:rFonts w:ascii="Times New Roman" w:hAnsi="Times New Roman"/>
                <w:noProof/>
                <w:webHidden/>
                <w:sz w:val="24"/>
                <w:szCs w:val="24"/>
              </w:rPr>
              <w:tab/>
            </w:r>
            <w:r w:rsidRPr="00D16CC6">
              <w:rPr>
                <w:rFonts w:ascii="Times New Roman" w:hAnsi="Times New Roman"/>
                <w:noProof/>
                <w:webHidden/>
                <w:sz w:val="24"/>
                <w:szCs w:val="24"/>
              </w:rPr>
              <w:fldChar w:fldCharType="begin"/>
            </w:r>
            <w:r w:rsidRPr="00D16CC6">
              <w:rPr>
                <w:rFonts w:ascii="Times New Roman" w:hAnsi="Times New Roman"/>
                <w:noProof/>
                <w:webHidden/>
                <w:sz w:val="24"/>
                <w:szCs w:val="24"/>
              </w:rPr>
              <w:instrText xml:space="preserve"> PAGEREF _Toc210805574 \h </w:instrText>
            </w:r>
            <w:r w:rsidRPr="00D16CC6">
              <w:rPr>
                <w:rFonts w:ascii="Times New Roman" w:hAnsi="Times New Roman"/>
                <w:noProof/>
                <w:webHidden/>
                <w:sz w:val="24"/>
                <w:szCs w:val="24"/>
              </w:rPr>
            </w:r>
            <w:r w:rsidRPr="00D16CC6">
              <w:rPr>
                <w:rFonts w:ascii="Times New Roman" w:hAnsi="Times New Roman"/>
                <w:noProof/>
                <w:webHidden/>
                <w:sz w:val="24"/>
                <w:szCs w:val="24"/>
              </w:rPr>
              <w:fldChar w:fldCharType="separate"/>
            </w:r>
            <w:r w:rsidR="00DE2607">
              <w:rPr>
                <w:rFonts w:ascii="Times New Roman" w:hAnsi="Times New Roman"/>
                <w:noProof/>
                <w:webHidden/>
                <w:sz w:val="24"/>
                <w:szCs w:val="24"/>
              </w:rPr>
              <w:t>25</w:t>
            </w:r>
            <w:r w:rsidRPr="00D16CC6">
              <w:rPr>
                <w:rFonts w:ascii="Times New Roman" w:hAnsi="Times New Roman"/>
                <w:noProof/>
                <w:webHidden/>
                <w:sz w:val="24"/>
                <w:szCs w:val="24"/>
              </w:rPr>
              <w:fldChar w:fldCharType="end"/>
            </w:r>
          </w:hyperlink>
        </w:p>
        <w:p w14:paraId="7ABCBE9F" w14:textId="77777777" w:rsidR="00D16CC6" w:rsidRPr="00D16CC6" w:rsidRDefault="00D16CC6" w:rsidP="00D16CC6">
          <w:pPr>
            <w:pStyle w:val="TOC2"/>
            <w:tabs>
              <w:tab w:val="right" w:leader="dot" w:pos="8494"/>
            </w:tabs>
            <w:spacing w:after="0"/>
            <w:rPr>
              <w:rFonts w:ascii="Times New Roman" w:eastAsiaTheme="minorEastAsia" w:hAnsi="Times New Roman"/>
              <w:noProof/>
              <w:sz w:val="24"/>
              <w:szCs w:val="24"/>
              <w:lang w:val="es-AR" w:eastAsia="es-AR"/>
            </w:rPr>
          </w:pPr>
          <w:hyperlink w:anchor="_Toc210805575" w:history="1">
            <w:r w:rsidRPr="00D16CC6">
              <w:rPr>
                <w:rStyle w:val="Hyperlink"/>
                <w:rFonts w:ascii="Times New Roman" w:hAnsi="Times New Roman"/>
                <w:bCs/>
                <w:noProof/>
                <w:sz w:val="24"/>
                <w:szCs w:val="24"/>
              </w:rPr>
              <w:t>5.2. Registros personales y requisas vejatorias</w:t>
            </w:r>
            <w:r w:rsidRPr="00D16CC6">
              <w:rPr>
                <w:rFonts w:ascii="Times New Roman" w:hAnsi="Times New Roman"/>
                <w:noProof/>
                <w:webHidden/>
                <w:sz w:val="24"/>
                <w:szCs w:val="24"/>
              </w:rPr>
              <w:tab/>
            </w:r>
            <w:r w:rsidRPr="00D16CC6">
              <w:rPr>
                <w:rFonts w:ascii="Times New Roman" w:hAnsi="Times New Roman"/>
                <w:noProof/>
                <w:webHidden/>
                <w:sz w:val="24"/>
                <w:szCs w:val="24"/>
              </w:rPr>
              <w:fldChar w:fldCharType="begin"/>
            </w:r>
            <w:r w:rsidRPr="00D16CC6">
              <w:rPr>
                <w:rFonts w:ascii="Times New Roman" w:hAnsi="Times New Roman"/>
                <w:noProof/>
                <w:webHidden/>
                <w:sz w:val="24"/>
                <w:szCs w:val="24"/>
              </w:rPr>
              <w:instrText xml:space="preserve"> PAGEREF _Toc210805575 \h </w:instrText>
            </w:r>
            <w:r w:rsidRPr="00D16CC6">
              <w:rPr>
                <w:rFonts w:ascii="Times New Roman" w:hAnsi="Times New Roman"/>
                <w:noProof/>
                <w:webHidden/>
                <w:sz w:val="24"/>
                <w:szCs w:val="24"/>
              </w:rPr>
            </w:r>
            <w:r w:rsidRPr="00D16CC6">
              <w:rPr>
                <w:rFonts w:ascii="Times New Roman" w:hAnsi="Times New Roman"/>
                <w:noProof/>
                <w:webHidden/>
                <w:sz w:val="24"/>
                <w:szCs w:val="24"/>
              </w:rPr>
              <w:fldChar w:fldCharType="separate"/>
            </w:r>
            <w:r w:rsidR="00DE2607">
              <w:rPr>
                <w:rFonts w:ascii="Times New Roman" w:hAnsi="Times New Roman"/>
                <w:noProof/>
                <w:webHidden/>
                <w:sz w:val="24"/>
                <w:szCs w:val="24"/>
              </w:rPr>
              <w:t>26</w:t>
            </w:r>
            <w:r w:rsidRPr="00D16CC6">
              <w:rPr>
                <w:rFonts w:ascii="Times New Roman" w:hAnsi="Times New Roman"/>
                <w:noProof/>
                <w:webHidden/>
                <w:sz w:val="24"/>
                <w:szCs w:val="24"/>
              </w:rPr>
              <w:fldChar w:fldCharType="end"/>
            </w:r>
          </w:hyperlink>
        </w:p>
        <w:p w14:paraId="35E9C6B5" w14:textId="77777777" w:rsidR="00D16CC6" w:rsidRPr="00D16CC6" w:rsidRDefault="00D16CC6" w:rsidP="00D16CC6">
          <w:pPr>
            <w:pStyle w:val="TOC2"/>
            <w:tabs>
              <w:tab w:val="right" w:leader="dot" w:pos="8494"/>
            </w:tabs>
            <w:spacing w:after="0"/>
            <w:rPr>
              <w:rFonts w:ascii="Times New Roman" w:eastAsiaTheme="minorEastAsia" w:hAnsi="Times New Roman"/>
              <w:noProof/>
              <w:sz w:val="24"/>
              <w:szCs w:val="24"/>
              <w:lang w:val="es-AR" w:eastAsia="es-AR"/>
            </w:rPr>
          </w:pPr>
          <w:hyperlink w:anchor="_Toc210805576" w:history="1">
            <w:r w:rsidRPr="00D16CC6">
              <w:rPr>
                <w:rStyle w:val="Hyperlink"/>
                <w:rFonts w:ascii="Times New Roman" w:hAnsi="Times New Roman"/>
                <w:bCs/>
                <w:noProof/>
                <w:sz w:val="24"/>
                <w:szCs w:val="24"/>
              </w:rPr>
              <w:t>5.3.  Traslado y alejamiento familiar</w:t>
            </w:r>
            <w:r w:rsidRPr="00D16CC6">
              <w:rPr>
                <w:rFonts w:ascii="Times New Roman" w:hAnsi="Times New Roman"/>
                <w:noProof/>
                <w:webHidden/>
                <w:sz w:val="24"/>
                <w:szCs w:val="24"/>
              </w:rPr>
              <w:tab/>
            </w:r>
            <w:r w:rsidRPr="00D16CC6">
              <w:rPr>
                <w:rFonts w:ascii="Times New Roman" w:hAnsi="Times New Roman"/>
                <w:noProof/>
                <w:webHidden/>
                <w:sz w:val="24"/>
                <w:szCs w:val="24"/>
              </w:rPr>
              <w:fldChar w:fldCharType="begin"/>
            </w:r>
            <w:r w:rsidRPr="00D16CC6">
              <w:rPr>
                <w:rFonts w:ascii="Times New Roman" w:hAnsi="Times New Roman"/>
                <w:noProof/>
                <w:webHidden/>
                <w:sz w:val="24"/>
                <w:szCs w:val="24"/>
              </w:rPr>
              <w:instrText xml:space="preserve"> PAGEREF _Toc210805576 \h </w:instrText>
            </w:r>
            <w:r w:rsidRPr="00D16CC6">
              <w:rPr>
                <w:rFonts w:ascii="Times New Roman" w:hAnsi="Times New Roman"/>
                <w:noProof/>
                <w:webHidden/>
                <w:sz w:val="24"/>
                <w:szCs w:val="24"/>
              </w:rPr>
            </w:r>
            <w:r w:rsidRPr="00D16CC6">
              <w:rPr>
                <w:rFonts w:ascii="Times New Roman" w:hAnsi="Times New Roman"/>
                <w:noProof/>
                <w:webHidden/>
                <w:sz w:val="24"/>
                <w:szCs w:val="24"/>
              </w:rPr>
              <w:fldChar w:fldCharType="separate"/>
            </w:r>
            <w:r w:rsidR="00DE2607">
              <w:rPr>
                <w:rFonts w:ascii="Times New Roman" w:hAnsi="Times New Roman"/>
                <w:noProof/>
                <w:webHidden/>
                <w:sz w:val="24"/>
                <w:szCs w:val="24"/>
              </w:rPr>
              <w:t>28</w:t>
            </w:r>
            <w:r w:rsidRPr="00D16CC6">
              <w:rPr>
                <w:rFonts w:ascii="Times New Roman" w:hAnsi="Times New Roman"/>
                <w:noProof/>
                <w:webHidden/>
                <w:sz w:val="24"/>
                <w:szCs w:val="24"/>
              </w:rPr>
              <w:fldChar w:fldCharType="end"/>
            </w:r>
          </w:hyperlink>
        </w:p>
        <w:p w14:paraId="6478EBC9" w14:textId="77777777" w:rsidR="00D16CC6" w:rsidRPr="00D16CC6" w:rsidRDefault="00D16CC6" w:rsidP="00D16CC6">
          <w:pPr>
            <w:pStyle w:val="TOC1"/>
            <w:tabs>
              <w:tab w:val="right" w:leader="dot" w:pos="8494"/>
            </w:tabs>
            <w:spacing w:after="0"/>
            <w:rPr>
              <w:rFonts w:ascii="Times New Roman" w:eastAsiaTheme="minorEastAsia" w:hAnsi="Times New Roman"/>
              <w:noProof/>
              <w:sz w:val="24"/>
              <w:szCs w:val="24"/>
              <w:lang w:val="es-AR" w:eastAsia="es-AR"/>
            </w:rPr>
          </w:pPr>
          <w:hyperlink w:anchor="_Toc210805577" w:history="1">
            <w:r w:rsidRPr="00D16CC6">
              <w:rPr>
                <w:rStyle w:val="Hyperlink"/>
                <w:rFonts w:ascii="Times New Roman" w:hAnsi="Times New Roman"/>
                <w:bCs/>
                <w:noProof/>
                <w:sz w:val="24"/>
                <w:szCs w:val="24"/>
              </w:rPr>
              <w:t>6. DEFICIENTE ACCESO A LA SALUD</w:t>
            </w:r>
            <w:r w:rsidRPr="00D16CC6">
              <w:rPr>
                <w:rFonts w:ascii="Times New Roman" w:hAnsi="Times New Roman"/>
                <w:noProof/>
                <w:webHidden/>
                <w:sz w:val="24"/>
                <w:szCs w:val="24"/>
              </w:rPr>
              <w:tab/>
            </w:r>
            <w:r w:rsidRPr="00D16CC6">
              <w:rPr>
                <w:rFonts w:ascii="Times New Roman" w:hAnsi="Times New Roman"/>
                <w:noProof/>
                <w:webHidden/>
                <w:sz w:val="24"/>
                <w:szCs w:val="24"/>
              </w:rPr>
              <w:fldChar w:fldCharType="begin"/>
            </w:r>
            <w:r w:rsidRPr="00D16CC6">
              <w:rPr>
                <w:rFonts w:ascii="Times New Roman" w:hAnsi="Times New Roman"/>
                <w:noProof/>
                <w:webHidden/>
                <w:sz w:val="24"/>
                <w:szCs w:val="24"/>
              </w:rPr>
              <w:instrText xml:space="preserve"> PAGEREF _Toc210805577 \h </w:instrText>
            </w:r>
            <w:r w:rsidRPr="00D16CC6">
              <w:rPr>
                <w:rFonts w:ascii="Times New Roman" w:hAnsi="Times New Roman"/>
                <w:noProof/>
                <w:webHidden/>
                <w:sz w:val="24"/>
                <w:szCs w:val="24"/>
              </w:rPr>
            </w:r>
            <w:r w:rsidRPr="00D16CC6">
              <w:rPr>
                <w:rFonts w:ascii="Times New Roman" w:hAnsi="Times New Roman"/>
                <w:noProof/>
                <w:webHidden/>
                <w:sz w:val="24"/>
                <w:szCs w:val="24"/>
              </w:rPr>
              <w:fldChar w:fldCharType="separate"/>
            </w:r>
            <w:r w:rsidR="00DE2607">
              <w:rPr>
                <w:rFonts w:ascii="Times New Roman" w:hAnsi="Times New Roman"/>
                <w:noProof/>
                <w:webHidden/>
                <w:sz w:val="24"/>
                <w:szCs w:val="24"/>
              </w:rPr>
              <w:t>29</w:t>
            </w:r>
            <w:r w:rsidRPr="00D16CC6">
              <w:rPr>
                <w:rFonts w:ascii="Times New Roman" w:hAnsi="Times New Roman"/>
                <w:noProof/>
                <w:webHidden/>
                <w:sz w:val="24"/>
                <w:szCs w:val="24"/>
              </w:rPr>
              <w:fldChar w:fldCharType="end"/>
            </w:r>
          </w:hyperlink>
        </w:p>
        <w:p w14:paraId="0DFA7CA7" w14:textId="77777777" w:rsidR="00D16CC6" w:rsidRPr="00D16CC6" w:rsidRDefault="00D16CC6" w:rsidP="00D16CC6">
          <w:pPr>
            <w:pStyle w:val="TOC1"/>
            <w:tabs>
              <w:tab w:val="right" w:leader="dot" w:pos="8494"/>
            </w:tabs>
            <w:spacing w:after="0"/>
            <w:rPr>
              <w:rFonts w:ascii="Times New Roman" w:eastAsiaTheme="minorEastAsia" w:hAnsi="Times New Roman"/>
              <w:noProof/>
              <w:sz w:val="24"/>
              <w:szCs w:val="24"/>
              <w:lang w:val="es-AR" w:eastAsia="es-AR"/>
            </w:rPr>
          </w:pPr>
          <w:hyperlink w:anchor="_Toc210805578" w:history="1">
            <w:r w:rsidRPr="00D16CC6">
              <w:rPr>
                <w:rStyle w:val="Hyperlink"/>
                <w:rFonts w:ascii="Times New Roman" w:hAnsi="Times New Roman"/>
                <w:bCs/>
                <w:noProof/>
                <w:sz w:val="24"/>
                <w:szCs w:val="24"/>
              </w:rPr>
              <w:t>7. RETROCESO EN EL ACCESO A EDUCACIÓN UNIVERSITARIA</w:t>
            </w:r>
            <w:r w:rsidRPr="00D16CC6">
              <w:rPr>
                <w:rFonts w:ascii="Times New Roman" w:hAnsi="Times New Roman"/>
                <w:noProof/>
                <w:webHidden/>
                <w:sz w:val="24"/>
                <w:szCs w:val="24"/>
              </w:rPr>
              <w:tab/>
            </w:r>
            <w:r w:rsidRPr="00D16CC6">
              <w:rPr>
                <w:rFonts w:ascii="Times New Roman" w:hAnsi="Times New Roman"/>
                <w:noProof/>
                <w:webHidden/>
                <w:sz w:val="24"/>
                <w:szCs w:val="24"/>
              </w:rPr>
              <w:fldChar w:fldCharType="begin"/>
            </w:r>
            <w:r w:rsidRPr="00D16CC6">
              <w:rPr>
                <w:rFonts w:ascii="Times New Roman" w:hAnsi="Times New Roman"/>
                <w:noProof/>
                <w:webHidden/>
                <w:sz w:val="24"/>
                <w:szCs w:val="24"/>
              </w:rPr>
              <w:instrText xml:space="preserve"> PAGEREF _Toc210805578 \h </w:instrText>
            </w:r>
            <w:r w:rsidRPr="00D16CC6">
              <w:rPr>
                <w:rFonts w:ascii="Times New Roman" w:hAnsi="Times New Roman"/>
                <w:noProof/>
                <w:webHidden/>
                <w:sz w:val="24"/>
                <w:szCs w:val="24"/>
              </w:rPr>
            </w:r>
            <w:r w:rsidRPr="00D16CC6">
              <w:rPr>
                <w:rFonts w:ascii="Times New Roman" w:hAnsi="Times New Roman"/>
                <w:noProof/>
                <w:webHidden/>
                <w:sz w:val="24"/>
                <w:szCs w:val="24"/>
              </w:rPr>
              <w:fldChar w:fldCharType="separate"/>
            </w:r>
            <w:r w:rsidR="00DE2607">
              <w:rPr>
                <w:rFonts w:ascii="Times New Roman" w:hAnsi="Times New Roman"/>
                <w:noProof/>
                <w:webHidden/>
                <w:sz w:val="24"/>
                <w:szCs w:val="24"/>
              </w:rPr>
              <w:t>31</w:t>
            </w:r>
            <w:r w:rsidRPr="00D16CC6">
              <w:rPr>
                <w:rFonts w:ascii="Times New Roman" w:hAnsi="Times New Roman"/>
                <w:noProof/>
                <w:webHidden/>
                <w:sz w:val="24"/>
                <w:szCs w:val="24"/>
              </w:rPr>
              <w:fldChar w:fldCharType="end"/>
            </w:r>
          </w:hyperlink>
        </w:p>
        <w:p w14:paraId="5D8CC518" w14:textId="77777777" w:rsidR="00D16CC6" w:rsidRPr="00D16CC6" w:rsidRDefault="00D16CC6" w:rsidP="00D16CC6">
          <w:pPr>
            <w:pStyle w:val="TOC1"/>
            <w:tabs>
              <w:tab w:val="right" w:leader="dot" w:pos="8494"/>
            </w:tabs>
            <w:spacing w:after="0"/>
            <w:rPr>
              <w:rFonts w:ascii="Times New Roman" w:eastAsiaTheme="minorEastAsia" w:hAnsi="Times New Roman"/>
              <w:noProof/>
              <w:sz w:val="24"/>
              <w:szCs w:val="24"/>
              <w:lang w:val="es-AR" w:eastAsia="es-AR"/>
            </w:rPr>
          </w:pPr>
          <w:hyperlink w:anchor="_Toc210805579" w:history="1">
            <w:r w:rsidRPr="00D16CC6">
              <w:rPr>
                <w:rStyle w:val="Hyperlink"/>
                <w:rFonts w:ascii="Times New Roman" w:hAnsi="Times New Roman"/>
                <w:bCs/>
                <w:noProof/>
                <w:sz w:val="24"/>
                <w:szCs w:val="24"/>
              </w:rPr>
              <w:t>8. REDUCCION DEL ACCESO A TRABAJO</w:t>
            </w:r>
            <w:r w:rsidRPr="00D16CC6">
              <w:rPr>
                <w:rFonts w:ascii="Times New Roman" w:hAnsi="Times New Roman"/>
                <w:noProof/>
                <w:webHidden/>
                <w:sz w:val="24"/>
                <w:szCs w:val="24"/>
              </w:rPr>
              <w:tab/>
            </w:r>
            <w:r w:rsidRPr="00D16CC6">
              <w:rPr>
                <w:rFonts w:ascii="Times New Roman" w:hAnsi="Times New Roman"/>
                <w:noProof/>
                <w:webHidden/>
                <w:sz w:val="24"/>
                <w:szCs w:val="24"/>
              </w:rPr>
              <w:fldChar w:fldCharType="begin"/>
            </w:r>
            <w:r w:rsidRPr="00D16CC6">
              <w:rPr>
                <w:rFonts w:ascii="Times New Roman" w:hAnsi="Times New Roman"/>
                <w:noProof/>
                <w:webHidden/>
                <w:sz w:val="24"/>
                <w:szCs w:val="24"/>
              </w:rPr>
              <w:instrText xml:space="preserve"> PAGEREF _Toc210805579 \h </w:instrText>
            </w:r>
            <w:r w:rsidRPr="00D16CC6">
              <w:rPr>
                <w:rFonts w:ascii="Times New Roman" w:hAnsi="Times New Roman"/>
                <w:noProof/>
                <w:webHidden/>
                <w:sz w:val="24"/>
                <w:szCs w:val="24"/>
              </w:rPr>
            </w:r>
            <w:r w:rsidRPr="00D16CC6">
              <w:rPr>
                <w:rFonts w:ascii="Times New Roman" w:hAnsi="Times New Roman"/>
                <w:noProof/>
                <w:webHidden/>
                <w:sz w:val="24"/>
                <w:szCs w:val="24"/>
              </w:rPr>
              <w:fldChar w:fldCharType="separate"/>
            </w:r>
            <w:r w:rsidR="00DE2607">
              <w:rPr>
                <w:rFonts w:ascii="Times New Roman" w:hAnsi="Times New Roman"/>
                <w:noProof/>
                <w:webHidden/>
                <w:sz w:val="24"/>
                <w:szCs w:val="24"/>
              </w:rPr>
              <w:t>32</w:t>
            </w:r>
            <w:r w:rsidRPr="00D16CC6">
              <w:rPr>
                <w:rFonts w:ascii="Times New Roman" w:hAnsi="Times New Roman"/>
                <w:noProof/>
                <w:webHidden/>
                <w:sz w:val="24"/>
                <w:szCs w:val="24"/>
              </w:rPr>
              <w:fldChar w:fldCharType="end"/>
            </w:r>
          </w:hyperlink>
        </w:p>
        <w:p w14:paraId="7C720CEC" w14:textId="77777777" w:rsidR="00D16CC6" w:rsidRPr="00D16CC6" w:rsidRDefault="00D16CC6" w:rsidP="00D16CC6">
          <w:pPr>
            <w:pStyle w:val="TOC1"/>
            <w:tabs>
              <w:tab w:val="right" w:leader="dot" w:pos="8494"/>
            </w:tabs>
            <w:spacing w:after="0"/>
            <w:rPr>
              <w:rFonts w:ascii="Times New Roman" w:eastAsiaTheme="minorEastAsia" w:hAnsi="Times New Roman"/>
              <w:noProof/>
              <w:sz w:val="24"/>
              <w:szCs w:val="24"/>
              <w:lang w:val="es-AR" w:eastAsia="es-AR"/>
            </w:rPr>
          </w:pPr>
          <w:hyperlink w:anchor="_Toc210805580" w:history="1">
            <w:r w:rsidRPr="00D16CC6">
              <w:rPr>
                <w:rStyle w:val="Hyperlink"/>
                <w:rFonts w:ascii="Times New Roman" w:hAnsi="Times New Roman"/>
                <w:bCs/>
                <w:noProof/>
                <w:sz w:val="24"/>
                <w:szCs w:val="24"/>
              </w:rPr>
              <w:t>9. NIÑOS, NIÑAS Y ADOLESCENTES EN CONFLICTO CON LA LEY PENAL</w:t>
            </w:r>
            <w:r w:rsidRPr="00D16CC6">
              <w:rPr>
                <w:rFonts w:ascii="Times New Roman" w:hAnsi="Times New Roman"/>
                <w:noProof/>
                <w:webHidden/>
                <w:sz w:val="24"/>
                <w:szCs w:val="24"/>
              </w:rPr>
              <w:tab/>
            </w:r>
            <w:r w:rsidRPr="00D16CC6">
              <w:rPr>
                <w:rFonts w:ascii="Times New Roman" w:hAnsi="Times New Roman"/>
                <w:noProof/>
                <w:webHidden/>
                <w:sz w:val="24"/>
                <w:szCs w:val="24"/>
              </w:rPr>
              <w:fldChar w:fldCharType="begin"/>
            </w:r>
            <w:r w:rsidRPr="00D16CC6">
              <w:rPr>
                <w:rFonts w:ascii="Times New Roman" w:hAnsi="Times New Roman"/>
                <w:noProof/>
                <w:webHidden/>
                <w:sz w:val="24"/>
                <w:szCs w:val="24"/>
              </w:rPr>
              <w:instrText xml:space="preserve"> PAGEREF _Toc210805580 \h </w:instrText>
            </w:r>
            <w:r w:rsidRPr="00D16CC6">
              <w:rPr>
                <w:rFonts w:ascii="Times New Roman" w:hAnsi="Times New Roman"/>
                <w:noProof/>
                <w:webHidden/>
                <w:sz w:val="24"/>
                <w:szCs w:val="24"/>
              </w:rPr>
            </w:r>
            <w:r w:rsidRPr="00D16CC6">
              <w:rPr>
                <w:rFonts w:ascii="Times New Roman" w:hAnsi="Times New Roman"/>
                <w:noProof/>
                <w:webHidden/>
                <w:sz w:val="24"/>
                <w:szCs w:val="24"/>
              </w:rPr>
              <w:fldChar w:fldCharType="separate"/>
            </w:r>
            <w:r w:rsidR="00DE2607">
              <w:rPr>
                <w:rFonts w:ascii="Times New Roman" w:hAnsi="Times New Roman"/>
                <w:noProof/>
                <w:webHidden/>
                <w:sz w:val="24"/>
                <w:szCs w:val="24"/>
              </w:rPr>
              <w:t>33</w:t>
            </w:r>
            <w:r w:rsidRPr="00D16CC6">
              <w:rPr>
                <w:rFonts w:ascii="Times New Roman" w:hAnsi="Times New Roman"/>
                <w:noProof/>
                <w:webHidden/>
                <w:sz w:val="24"/>
                <w:szCs w:val="24"/>
              </w:rPr>
              <w:fldChar w:fldCharType="end"/>
            </w:r>
          </w:hyperlink>
        </w:p>
        <w:p w14:paraId="3E66A675" w14:textId="77777777" w:rsidR="00D16CC6" w:rsidRPr="00D16CC6" w:rsidRDefault="00D16CC6" w:rsidP="00D16CC6">
          <w:pPr>
            <w:pStyle w:val="TOC1"/>
            <w:tabs>
              <w:tab w:val="right" w:leader="dot" w:pos="8494"/>
            </w:tabs>
            <w:spacing w:after="0"/>
            <w:rPr>
              <w:rFonts w:ascii="Times New Roman" w:eastAsiaTheme="minorEastAsia" w:hAnsi="Times New Roman"/>
              <w:noProof/>
              <w:sz w:val="24"/>
              <w:szCs w:val="24"/>
              <w:lang w:val="es-AR" w:eastAsia="es-AR"/>
            </w:rPr>
          </w:pPr>
          <w:hyperlink w:anchor="_Toc210805581" w:history="1">
            <w:r w:rsidRPr="00D16CC6">
              <w:rPr>
                <w:rStyle w:val="Hyperlink"/>
                <w:rFonts w:ascii="Times New Roman" w:hAnsi="Times New Roman"/>
                <w:bCs/>
                <w:noProof/>
                <w:sz w:val="24"/>
                <w:szCs w:val="24"/>
              </w:rPr>
              <w:t>10. PROCEDIMIENTOS DE DETENCIÓN Y EXPULSIÓN MIGRATORIA</w:t>
            </w:r>
            <w:r w:rsidRPr="00D16CC6">
              <w:rPr>
                <w:rFonts w:ascii="Times New Roman" w:hAnsi="Times New Roman"/>
                <w:noProof/>
                <w:webHidden/>
                <w:sz w:val="24"/>
                <w:szCs w:val="24"/>
              </w:rPr>
              <w:tab/>
            </w:r>
            <w:r w:rsidRPr="00D16CC6">
              <w:rPr>
                <w:rFonts w:ascii="Times New Roman" w:hAnsi="Times New Roman"/>
                <w:noProof/>
                <w:webHidden/>
                <w:sz w:val="24"/>
                <w:szCs w:val="24"/>
              </w:rPr>
              <w:fldChar w:fldCharType="begin"/>
            </w:r>
            <w:r w:rsidRPr="00D16CC6">
              <w:rPr>
                <w:rFonts w:ascii="Times New Roman" w:hAnsi="Times New Roman"/>
                <w:noProof/>
                <w:webHidden/>
                <w:sz w:val="24"/>
                <w:szCs w:val="24"/>
              </w:rPr>
              <w:instrText xml:space="preserve"> PAGEREF _Toc210805581 \h </w:instrText>
            </w:r>
            <w:r w:rsidRPr="00D16CC6">
              <w:rPr>
                <w:rFonts w:ascii="Times New Roman" w:hAnsi="Times New Roman"/>
                <w:noProof/>
                <w:webHidden/>
                <w:sz w:val="24"/>
                <w:szCs w:val="24"/>
              </w:rPr>
            </w:r>
            <w:r w:rsidRPr="00D16CC6">
              <w:rPr>
                <w:rFonts w:ascii="Times New Roman" w:hAnsi="Times New Roman"/>
                <w:noProof/>
                <w:webHidden/>
                <w:sz w:val="24"/>
                <w:szCs w:val="24"/>
              </w:rPr>
              <w:fldChar w:fldCharType="separate"/>
            </w:r>
            <w:r w:rsidR="00DE2607">
              <w:rPr>
                <w:rFonts w:ascii="Times New Roman" w:hAnsi="Times New Roman"/>
                <w:noProof/>
                <w:webHidden/>
                <w:sz w:val="24"/>
                <w:szCs w:val="24"/>
              </w:rPr>
              <w:t>34</w:t>
            </w:r>
            <w:r w:rsidRPr="00D16CC6">
              <w:rPr>
                <w:rFonts w:ascii="Times New Roman" w:hAnsi="Times New Roman"/>
                <w:noProof/>
                <w:webHidden/>
                <w:sz w:val="24"/>
                <w:szCs w:val="24"/>
              </w:rPr>
              <w:fldChar w:fldCharType="end"/>
            </w:r>
          </w:hyperlink>
        </w:p>
        <w:p w14:paraId="030C9F90" w14:textId="77777777" w:rsidR="00D16CC6" w:rsidRPr="00D16CC6" w:rsidRDefault="00D16CC6" w:rsidP="00D16CC6">
          <w:pPr>
            <w:pStyle w:val="TOC1"/>
            <w:tabs>
              <w:tab w:val="right" w:leader="dot" w:pos="8494"/>
            </w:tabs>
            <w:spacing w:after="0"/>
            <w:rPr>
              <w:rFonts w:ascii="Times New Roman" w:eastAsiaTheme="minorEastAsia" w:hAnsi="Times New Roman"/>
              <w:noProof/>
              <w:sz w:val="24"/>
              <w:szCs w:val="24"/>
              <w:lang w:val="es-AR" w:eastAsia="es-AR"/>
            </w:rPr>
          </w:pPr>
          <w:hyperlink w:anchor="_Toc210805582" w:history="1">
            <w:r w:rsidRPr="00D16CC6">
              <w:rPr>
                <w:rStyle w:val="Hyperlink"/>
                <w:rFonts w:ascii="Times New Roman" w:hAnsi="Times New Roman"/>
                <w:bCs/>
                <w:noProof/>
                <w:sz w:val="24"/>
                <w:szCs w:val="24"/>
              </w:rPr>
              <w:t>11. DEFICIENCIAS EN LA PRODUCCIÓN DE DATOS E INFORMACIÓN ESTADÍSTICA</w:t>
            </w:r>
            <w:r w:rsidRPr="00D16CC6">
              <w:rPr>
                <w:rFonts w:ascii="Times New Roman" w:hAnsi="Times New Roman"/>
                <w:noProof/>
                <w:webHidden/>
                <w:sz w:val="24"/>
                <w:szCs w:val="24"/>
              </w:rPr>
              <w:tab/>
            </w:r>
            <w:r w:rsidRPr="00D16CC6">
              <w:rPr>
                <w:rFonts w:ascii="Times New Roman" w:hAnsi="Times New Roman"/>
                <w:noProof/>
                <w:webHidden/>
                <w:sz w:val="24"/>
                <w:szCs w:val="24"/>
              </w:rPr>
              <w:fldChar w:fldCharType="begin"/>
            </w:r>
            <w:r w:rsidRPr="00D16CC6">
              <w:rPr>
                <w:rFonts w:ascii="Times New Roman" w:hAnsi="Times New Roman"/>
                <w:noProof/>
                <w:webHidden/>
                <w:sz w:val="24"/>
                <w:szCs w:val="24"/>
              </w:rPr>
              <w:instrText xml:space="preserve"> PAGEREF _Toc210805582 \h </w:instrText>
            </w:r>
            <w:r w:rsidRPr="00D16CC6">
              <w:rPr>
                <w:rFonts w:ascii="Times New Roman" w:hAnsi="Times New Roman"/>
                <w:noProof/>
                <w:webHidden/>
                <w:sz w:val="24"/>
                <w:szCs w:val="24"/>
              </w:rPr>
            </w:r>
            <w:r w:rsidRPr="00D16CC6">
              <w:rPr>
                <w:rFonts w:ascii="Times New Roman" w:hAnsi="Times New Roman"/>
                <w:noProof/>
                <w:webHidden/>
                <w:sz w:val="24"/>
                <w:szCs w:val="24"/>
              </w:rPr>
              <w:fldChar w:fldCharType="separate"/>
            </w:r>
            <w:r w:rsidR="00DE2607">
              <w:rPr>
                <w:rFonts w:ascii="Times New Roman" w:hAnsi="Times New Roman"/>
                <w:noProof/>
                <w:webHidden/>
                <w:sz w:val="24"/>
                <w:szCs w:val="24"/>
              </w:rPr>
              <w:t>36</w:t>
            </w:r>
            <w:r w:rsidRPr="00D16CC6">
              <w:rPr>
                <w:rFonts w:ascii="Times New Roman" w:hAnsi="Times New Roman"/>
                <w:noProof/>
                <w:webHidden/>
                <w:sz w:val="24"/>
                <w:szCs w:val="24"/>
              </w:rPr>
              <w:fldChar w:fldCharType="end"/>
            </w:r>
          </w:hyperlink>
        </w:p>
        <w:p w14:paraId="16520E9D" w14:textId="77777777" w:rsidR="00D16CC6" w:rsidRPr="00D16CC6" w:rsidRDefault="00D16CC6" w:rsidP="00D16CC6">
          <w:pPr>
            <w:pStyle w:val="TOC2"/>
            <w:tabs>
              <w:tab w:val="right" w:leader="dot" w:pos="8494"/>
            </w:tabs>
            <w:spacing w:after="0"/>
            <w:rPr>
              <w:rFonts w:ascii="Times New Roman" w:eastAsiaTheme="minorEastAsia" w:hAnsi="Times New Roman"/>
              <w:noProof/>
              <w:sz w:val="24"/>
              <w:szCs w:val="24"/>
              <w:lang w:val="es-AR" w:eastAsia="es-AR"/>
            </w:rPr>
          </w:pPr>
          <w:hyperlink w:anchor="_Toc210805583" w:history="1">
            <w:r w:rsidRPr="00D16CC6">
              <w:rPr>
                <w:rStyle w:val="Hyperlink"/>
                <w:rFonts w:ascii="Times New Roman" w:hAnsi="Times New Roman"/>
                <w:bCs/>
                <w:noProof/>
                <w:sz w:val="24"/>
                <w:szCs w:val="24"/>
              </w:rPr>
              <w:t>11.1. Ausencia de un registro nacional de personas detenidas</w:t>
            </w:r>
            <w:r w:rsidRPr="00D16CC6">
              <w:rPr>
                <w:rFonts w:ascii="Times New Roman" w:hAnsi="Times New Roman"/>
                <w:noProof/>
                <w:webHidden/>
                <w:sz w:val="24"/>
                <w:szCs w:val="24"/>
              </w:rPr>
              <w:tab/>
            </w:r>
            <w:r w:rsidRPr="00D16CC6">
              <w:rPr>
                <w:rFonts w:ascii="Times New Roman" w:hAnsi="Times New Roman"/>
                <w:noProof/>
                <w:webHidden/>
                <w:sz w:val="24"/>
                <w:szCs w:val="24"/>
              </w:rPr>
              <w:fldChar w:fldCharType="begin"/>
            </w:r>
            <w:r w:rsidRPr="00D16CC6">
              <w:rPr>
                <w:rFonts w:ascii="Times New Roman" w:hAnsi="Times New Roman"/>
                <w:noProof/>
                <w:webHidden/>
                <w:sz w:val="24"/>
                <w:szCs w:val="24"/>
              </w:rPr>
              <w:instrText xml:space="preserve"> PAGEREF _Toc210805583 \h </w:instrText>
            </w:r>
            <w:r w:rsidRPr="00D16CC6">
              <w:rPr>
                <w:rFonts w:ascii="Times New Roman" w:hAnsi="Times New Roman"/>
                <w:noProof/>
                <w:webHidden/>
                <w:sz w:val="24"/>
                <w:szCs w:val="24"/>
              </w:rPr>
            </w:r>
            <w:r w:rsidRPr="00D16CC6">
              <w:rPr>
                <w:rFonts w:ascii="Times New Roman" w:hAnsi="Times New Roman"/>
                <w:noProof/>
                <w:webHidden/>
                <w:sz w:val="24"/>
                <w:szCs w:val="24"/>
              </w:rPr>
              <w:fldChar w:fldCharType="separate"/>
            </w:r>
            <w:r w:rsidR="00DE2607">
              <w:rPr>
                <w:rFonts w:ascii="Times New Roman" w:hAnsi="Times New Roman"/>
                <w:noProof/>
                <w:webHidden/>
                <w:sz w:val="24"/>
                <w:szCs w:val="24"/>
              </w:rPr>
              <w:t>36</w:t>
            </w:r>
            <w:r w:rsidRPr="00D16CC6">
              <w:rPr>
                <w:rFonts w:ascii="Times New Roman" w:hAnsi="Times New Roman"/>
                <w:noProof/>
                <w:webHidden/>
                <w:sz w:val="24"/>
                <w:szCs w:val="24"/>
              </w:rPr>
              <w:fldChar w:fldCharType="end"/>
            </w:r>
          </w:hyperlink>
        </w:p>
        <w:p w14:paraId="65075276" w14:textId="77777777" w:rsidR="00D16CC6" w:rsidRPr="00D16CC6" w:rsidRDefault="00D16CC6" w:rsidP="00D16CC6">
          <w:pPr>
            <w:pStyle w:val="TOC2"/>
            <w:tabs>
              <w:tab w:val="right" w:leader="dot" w:pos="8494"/>
            </w:tabs>
            <w:spacing w:after="0"/>
            <w:rPr>
              <w:rFonts w:ascii="Times New Roman" w:eastAsiaTheme="minorEastAsia" w:hAnsi="Times New Roman"/>
              <w:noProof/>
              <w:sz w:val="24"/>
              <w:szCs w:val="24"/>
              <w:lang w:val="es-AR" w:eastAsia="es-AR"/>
            </w:rPr>
          </w:pPr>
          <w:hyperlink w:anchor="_Toc210805584" w:history="1">
            <w:r w:rsidRPr="00D16CC6">
              <w:rPr>
                <w:rStyle w:val="Hyperlink"/>
                <w:rFonts w:ascii="Times New Roman" w:hAnsi="Times New Roman"/>
                <w:bCs/>
                <w:noProof/>
                <w:sz w:val="24"/>
                <w:szCs w:val="24"/>
              </w:rPr>
              <w:t>11.2. Ausencia de un registro nacional de casos judiciales de tortura</w:t>
            </w:r>
            <w:r w:rsidRPr="00D16CC6">
              <w:rPr>
                <w:rFonts w:ascii="Times New Roman" w:hAnsi="Times New Roman"/>
                <w:noProof/>
                <w:webHidden/>
                <w:sz w:val="24"/>
                <w:szCs w:val="24"/>
              </w:rPr>
              <w:tab/>
            </w:r>
            <w:r w:rsidRPr="00D16CC6">
              <w:rPr>
                <w:rFonts w:ascii="Times New Roman" w:hAnsi="Times New Roman"/>
                <w:noProof/>
                <w:webHidden/>
                <w:sz w:val="24"/>
                <w:szCs w:val="24"/>
              </w:rPr>
              <w:fldChar w:fldCharType="begin"/>
            </w:r>
            <w:r w:rsidRPr="00D16CC6">
              <w:rPr>
                <w:rFonts w:ascii="Times New Roman" w:hAnsi="Times New Roman"/>
                <w:noProof/>
                <w:webHidden/>
                <w:sz w:val="24"/>
                <w:szCs w:val="24"/>
              </w:rPr>
              <w:instrText xml:space="preserve"> PAGEREF _Toc210805584 \h </w:instrText>
            </w:r>
            <w:r w:rsidRPr="00D16CC6">
              <w:rPr>
                <w:rFonts w:ascii="Times New Roman" w:hAnsi="Times New Roman"/>
                <w:noProof/>
                <w:webHidden/>
                <w:sz w:val="24"/>
                <w:szCs w:val="24"/>
              </w:rPr>
            </w:r>
            <w:r w:rsidRPr="00D16CC6">
              <w:rPr>
                <w:rFonts w:ascii="Times New Roman" w:hAnsi="Times New Roman"/>
                <w:noProof/>
                <w:webHidden/>
                <w:sz w:val="24"/>
                <w:szCs w:val="24"/>
              </w:rPr>
              <w:fldChar w:fldCharType="separate"/>
            </w:r>
            <w:r w:rsidR="00DE2607">
              <w:rPr>
                <w:rFonts w:ascii="Times New Roman" w:hAnsi="Times New Roman"/>
                <w:noProof/>
                <w:webHidden/>
                <w:sz w:val="24"/>
                <w:szCs w:val="24"/>
              </w:rPr>
              <w:t>36</w:t>
            </w:r>
            <w:r w:rsidRPr="00D16CC6">
              <w:rPr>
                <w:rFonts w:ascii="Times New Roman" w:hAnsi="Times New Roman"/>
                <w:noProof/>
                <w:webHidden/>
                <w:sz w:val="24"/>
                <w:szCs w:val="24"/>
              </w:rPr>
              <w:fldChar w:fldCharType="end"/>
            </w:r>
          </w:hyperlink>
        </w:p>
        <w:p w14:paraId="64F356E6" w14:textId="77777777" w:rsidR="00D16CC6" w:rsidRDefault="00D16CC6" w:rsidP="00D16CC6">
          <w:pPr>
            <w:pStyle w:val="TOC2"/>
            <w:tabs>
              <w:tab w:val="right" w:leader="dot" w:pos="8494"/>
            </w:tabs>
            <w:spacing w:after="0"/>
            <w:rPr>
              <w:rFonts w:asciiTheme="minorHAnsi" w:eastAsiaTheme="minorEastAsia" w:hAnsiTheme="minorHAnsi" w:cstheme="minorBidi"/>
              <w:noProof/>
              <w:lang w:val="es-AR" w:eastAsia="es-AR"/>
            </w:rPr>
          </w:pPr>
          <w:hyperlink w:anchor="_Toc210805585" w:history="1">
            <w:r w:rsidRPr="00D16CC6">
              <w:rPr>
                <w:rStyle w:val="Hyperlink"/>
                <w:rFonts w:ascii="Times New Roman" w:hAnsi="Times New Roman"/>
                <w:bCs/>
                <w:noProof/>
                <w:sz w:val="24"/>
                <w:szCs w:val="24"/>
              </w:rPr>
              <w:t>11.3. Ausencia de registro nacional de casos de muertes bajo custodia</w:t>
            </w:r>
            <w:r w:rsidRPr="00D16CC6">
              <w:rPr>
                <w:rFonts w:ascii="Times New Roman" w:hAnsi="Times New Roman"/>
                <w:noProof/>
                <w:webHidden/>
                <w:sz w:val="24"/>
                <w:szCs w:val="24"/>
              </w:rPr>
              <w:tab/>
            </w:r>
            <w:r w:rsidRPr="00D16CC6">
              <w:rPr>
                <w:rFonts w:ascii="Times New Roman" w:hAnsi="Times New Roman"/>
                <w:noProof/>
                <w:webHidden/>
                <w:sz w:val="24"/>
                <w:szCs w:val="24"/>
              </w:rPr>
              <w:fldChar w:fldCharType="begin"/>
            </w:r>
            <w:r w:rsidRPr="00D16CC6">
              <w:rPr>
                <w:rFonts w:ascii="Times New Roman" w:hAnsi="Times New Roman"/>
                <w:noProof/>
                <w:webHidden/>
                <w:sz w:val="24"/>
                <w:szCs w:val="24"/>
              </w:rPr>
              <w:instrText xml:space="preserve"> PAGEREF _Toc210805585 \h </w:instrText>
            </w:r>
            <w:r w:rsidRPr="00D16CC6">
              <w:rPr>
                <w:rFonts w:ascii="Times New Roman" w:hAnsi="Times New Roman"/>
                <w:noProof/>
                <w:webHidden/>
                <w:sz w:val="24"/>
                <w:szCs w:val="24"/>
              </w:rPr>
            </w:r>
            <w:r w:rsidRPr="00D16CC6">
              <w:rPr>
                <w:rFonts w:ascii="Times New Roman" w:hAnsi="Times New Roman"/>
                <w:noProof/>
                <w:webHidden/>
                <w:sz w:val="24"/>
                <w:szCs w:val="24"/>
              </w:rPr>
              <w:fldChar w:fldCharType="separate"/>
            </w:r>
            <w:r w:rsidR="00DE2607">
              <w:rPr>
                <w:rFonts w:ascii="Times New Roman" w:hAnsi="Times New Roman"/>
                <w:noProof/>
                <w:webHidden/>
                <w:sz w:val="24"/>
                <w:szCs w:val="24"/>
              </w:rPr>
              <w:t>37</w:t>
            </w:r>
            <w:r w:rsidRPr="00D16CC6">
              <w:rPr>
                <w:rFonts w:ascii="Times New Roman" w:hAnsi="Times New Roman"/>
                <w:noProof/>
                <w:webHidden/>
                <w:sz w:val="24"/>
                <w:szCs w:val="24"/>
              </w:rPr>
              <w:fldChar w:fldCharType="end"/>
            </w:r>
          </w:hyperlink>
        </w:p>
        <w:p w14:paraId="52004933" w14:textId="64562365" w:rsidR="00EF4C9A" w:rsidRPr="003119C7" w:rsidRDefault="00EF4C9A" w:rsidP="003119C7">
          <w:pPr>
            <w:spacing w:after="0" w:line="240" w:lineRule="auto"/>
            <w:rPr>
              <w:rFonts w:ascii="Times New Roman" w:hAnsi="Times New Roman" w:cs="Times New Roman"/>
              <w:sz w:val="24"/>
              <w:szCs w:val="24"/>
            </w:rPr>
          </w:pPr>
          <w:r w:rsidRPr="003119C7">
            <w:rPr>
              <w:rFonts w:ascii="Times New Roman" w:hAnsi="Times New Roman" w:cs="Times New Roman"/>
              <w:sz w:val="24"/>
              <w:szCs w:val="24"/>
              <w:lang w:val="es-ES"/>
            </w:rPr>
            <w:fldChar w:fldCharType="end"/>
          </w:r>
        </w:p>
      </w:sdtContent>
    </w:sdt>
    <w:p w14:paraId="44B1A7A2" w14:textId="28C48520" w:rsidR="00EF4C9A" w:rsidRDefault="00EF4C9A">
      <w:pPr>
        <w:rPr>
          <w:rStyle w:val="Hyperlink"/>
          <w:rFonts w:ascii="Times New Roman" w:hAnsi="Times New Roman" w:cs="Times New Roman"/>
          <w:noProof/>
          <w:color w:val="auto"/>
          <w:sz w:val="24"/>
          <w:szCs w:val="24"/>
          <w:u w:val="none"/>
        </w:rPr>
      </w:pPr>
      <w:r>
        <w:rPr>
          <w:rStyle w:val="Hyperlink"/>
          <w:rFonts w:ascii="Times New Roman" w:hAnsi="Times New Roman" w:cs="Times New Roman"/>
          <w:noProof/>
          <w:color w:val="auto"/>
          <w:sz w:val="24"/>
          <w:szCs w:val="24"/>
          <w:u w:val="none"/>
        </w:rPr>
        <w:br w:type="page"/>
      </w:r>
    </w:p>
    <w:p w14:paraId="24BE80DC" w14:textId="172C5391" w:rsidR="00597B52" w:rsidRPr="00921E1E" w:rsidRDefault="00597B52" w:rsidP="00BF3B61">
      <w:pPr>
        <w:pStyle w:val="Heading1"/>
        <w:rPr>
          <w:noProof/>
        </w:rPr>
      </w:pPr>
      <w:bookmarkStart w:id="0" w:name="_Toc210805558"/>
      <w:r w:rsidRPr="00921E1E">
        <w:rPr>
          <w:rStyle w:val="Hyperlink"/>
          <w:rFonts w:ascii="Times New Roman" w:hAnsi="Times New Roman" w:cs="Times New Roman"/>
          <w:b/>
          <w:bCs/>
          <w:noProof/>
          <w:color w:val="auto"/>
          <w:sz w:val="24"/>
          <w:szCs w:val="24"/>
          <w:u w:val="none"/>
        </w:rPr>
        <w:t>1. INTRODUCCIÓN</w:t>
      </w:r>
      <w:bookmarkEnd w:id="0"/>
      <w:r w:rsidRPr="00921E1E">
        <w:rPr>
          <w:noProof/>
          <w:webHidden/>
        </w:rPr>
        <w:tab/>
      </w:r>
    </w:p>
    <w:p w14:paraId="79810520" w14:textId="5BE58F17" w:rsidR="00A96BC2" w:rsidRPr="00A96BC2" w:rsidRDefault="00A96BC2" w:rsidP="004E2174">
      <w:pPr>
        <w:spacing w:after="120" w:line="240" w:lineRule="auto"/>
        <w:ind w:firstLine="708"/>
        <w:jc w:val="both"/>
        <w:rPr>
          <w:rFonts w:ascii="Times New Roman" w:hAnsi="Times New Roman" w:cs="Times New Roman"/>
          <w:sz w:val="24"/>
          <w:szCs w:val="24"/>
        </w:rPr>
      </w:pPr>
      <w:r w:rsidRPr="00A96BC2">
        <w:rPr>
          <w:rFonts w:ascii="Times New Roman" w:eastAsia="Calibri" w:hAnsi="Times New Roman" w:cs="Times New Roman"/>
          <w:sz w:val="24"/>
          <w:szCs w:val="24"/>
        </w:rPr>
        <w:t xml:space="preserve">Este </w:t>
      </w:r>
      <w:r w:rsidRPr="00A96BC2">
        <w:rPr>
          <w:rFonts w:ascii="Times New Roman" w:hAnsi="Times New Roman" w:cs="Times New Roman"/>
          <w:sz w:val="24"/>
          <w:szCs w:val="24"/>
        </w:rPr>
        <w:t>informe</w:t>
      </w:r>
      <w:r w:rsidRPr="00A96BC2">
        <w:rPr>
          <w:rFonts w:ascii="Times New Roman" w:eastAsia="Calibri" w:hAnsi="Times New Roman" w:cs="Times New Roman"/>
          <w:sz w:val="24"/>
          <w:szCs w:val="24"/>
        </w:rPr>
        <w:t xml:space="preserve"> pretende acercar al Ilustre Comité</w:t>
      </w:r>
      <w:r w:rsidR="00EE1328">
        <w:rPr>
          <w:rFonts w:ascii="Times New Roman" w:eastAsia="Calibri" w:hAnsi="Times New Roman" w:cs="Times New Roman"/>
          <w:sz w:val="24"/>
          <w:szCs w:val="24"/>
        </w:rPr>
        <w:t xml:space="preserve"> contra la Tortura (en adelante CAT)</w:t>
      </w:r>
      <w:r w:rsidRPr="00A96BC2">
        <w:rPr>
          <w:rFonts w:ascii="Times New Roman" w:eastAsia="Calibri" w:hAnsi="Times New Roman" w:cs="Times New Roman"/>
          <w:sz w:val="24"/>
          <w:szCs w:val="24"/>
        </w:rPr>
        <w:t xml:space="preserve"> información producida por la Procuración Penitenciaria de la Nación (en adelante Procuración Penitenciaria o PPN), complementaria </w:t>
      </w:r>
      <w:r>
        <w:rPr>
          <w:rFonts w:ascii="Times New Roman" w:eastAsia="Calibri" w:hAnsi="Times New Roman" w:cs="Times New Roman"/>
          <w:sz w:val="24"/>
          <w:szCs w:val="24"/>
        </w:rPr>
        <w:t xml:space="preserve">a la remitida por el Comité Nacional de Prevención de la Tortura (CNPT) </w:t>
      </w:r>
      <w:r w:rsidRPr="00A96BC2">
        <w:rPr>
          <w:rFonts w:ascii="Times New Roman" w:eastAsia="Calibri" w:hAnsi="Times New Roman" w:cs="Times New Roman"/>
          <w:sz w:val="24"/>
          <w:szCs w:val="24"/>
        </w:rPr>
        <w:t xml:space="preserve">y alternativa a la presentada por el Estado argentino, en su </w:t>
      </w:r>
      <w:r>
        <w:rPr>
          <w:rFonts w:ascii="Times New Roman" w:hAnsi="Times New Roman" w:cs="Times New Roman"/>
          <w:sz w:val="24"/>
          <w:szCs w:val="24"/>
        </w:rPr>
        <w:t>séptimo</w:t>
      </w:r>
      <w:r w:rsidRPr="00A96BC2">
        <w:rPr>
          <w:rFonts w:ascii="Times New Roman" w:eastAsia="Calibri" w:hAnsi="Times New Roman" w:cs="Times New Roman"/>
          <w:sz w:val="24"/>
          <w:szCs w:val="24"/>
        </w:rPr>
        <w:t xml:space="preserve"> Informe Periódico de la República Argentina en virtud del artículo 19 de la Convención Internacional contra la Tortura y Otros Tratos y Penas C</w:t>
      </w:r>
      <w:r w:rsidRPr="00A96BC2">
        <w:rPr>
          <w:rFonts w:ascii="Times New Roman" w:hAnsi="Times New Roman" w:cs="Times New Roman"/>
          <w:sz w:val="24"/>
          <w:szCs w:val="24"/>
        </w:rPr>
        <w:t>rueles, Inhumanos y Degradantes.</w:t>
      </w:r>
    </w:p>
    <w:p w14:paraId="65AE96E8" w14:textId="3859914A" w:rsidR="00A96BC2" w:rsidRPr="00A96BC2" w:rsidRDefault="00A96BC2" w:rsidP="004E2174">
      <w:pPr>
        <w:spacing w:after="120" w:line="240" w:lineRule="auto"/>
        <w:ind w:firstLine="709"/>
        <w:jc w:val="both"/>
        <w:rPr>
          <w:rFonts w:ascii="Times New Roman" w:hAnsi="Times New Roman" w:cs="Times New Roman"/>
          <w:sz w:val="24"/>
          <w:szCs w:val="24"/>
        </w:rPr>
      </w:pPr>
      <w:r w:rsidRPr="00A96BC2">
        <w:rPr>
          <w:rFonts w:ascii="Times New Roman" w:hAnsi="Times New Roman" w:cs="Times New Roman"/>
          <w:sz w:val="24"/>
          <w:szCs w:val="24"/>
        </w:rPr>
        <w:t xml:space="preserve">Se advierte que este informe hace referencia exclusivamente a la situación de las personas privadas de su libertad en establecimientos de detención federales o que se encuentran a disposición de la justicia federal </w:t>
      </w:r>
      <w:r>
        <w:rPr>
          <w:rFonts w:ascii="Times New Roman" w:hAnsi="Times New Roman" w:cs="Times New Roman"/>
          <w:sz w:val="24"/>
          <w:szCs w:val="24"/>
        </w:rPr>
        <w:t xml:space="preserve">o nacional </w:t>
      </w:r>
      <w:r w:rsidRPr="00A96BC2">
        <w:rPr>
          <w:rFonts w:ascii="Times New Roman" w:hAnsi="Times New Roman" w:cs="Times New Roman"/>
          <w:sz w:val="24"/>
          <w:szCs w:val="24"/>
        </w:rPr>
        <w:t>de nuestro país. Como explicaremos a continuación, la competencia funcional de la Procuración Penitenciaria se circunscribe a la protección de los derechos de las personas detenidas bajo el control, la custodia o por orden de autoridades federales.</w:t>
      </w:r>
    </w:p>
    <w:p w14:paraId="57808BD3" w14:textId="77777777" w:rsidR="00A96BC2" w:rsidRDefault="00A96BC2" w:rsidP="004E2174">
      <w:pPr>
        <w:spacing w:after="120" w:line="240" w:lineRule="auto"/>
        <w:rPr>
          <w:rStyle w:val="Hyperlink"/>
          <w:rFonts w:ascii="Times New Roman" w:hAnsi="Times New Roman" w:cs="Times New Roman"/>
          <w:b/>
          <w:bCs/>
          <w:noProof/>
          <w:color w:val="auto"/>
          <w:sz w:val="24"/>
          <w:szCs w:val="24"/>
          <w:u w:val="none"/>
        </w:rPr>
      </w:pPr>
    </w:p>
    <w:p w14:paraId="3635C9FF" w14:textId="2D5F3AD0" w:rsidR="00597B52" w:rsidRPr="00A96BC2" w:rsidRDefault="00BF3B61" w:rsidP="004E2174">
      <w:pPr>
        <w:pStyle w:val="Heading2"/>
        <w:spacing w:before="0" w:after="120" w:line="240" w:lineRule="auto"/>
        <w:rPr>
          <w:noProof/>
          <w:webHidden/>
        </w:rPr>
      </w:pPr>
      <w:bookmarkStart w:id="1" w:name="_Toc210805559"/>
      <w:r>
        <w:rPr>
          <w:rStyle w:val="Hyperlink"/>
          <w:rFonts w:ascii="Times New Roman" w:hAnsi="Times New Roman" w:cs="Times New Roman"/>
          <w:b/>
          <w:bCs/>
          <w:noProof/>
          <w:color w:val="auto"/>
          <w:sz w:val="24"/>
          <w:szCs w:val="24"/>
          <w:u w:val="none"/>
        </w:rPr>
        <w:t xml:space="preserve">1.1. </w:t>
      </w:r>
      <w:r w:rsidR="00597B52" w:rsidRPr="00A96BC2">
        <w:rPr>
          <w:rStyle w:val="Hyperlink"/>
          <w:rFonts w:ascii="Times New Roman" w:hAnsi="Times New Roman" w:cs="Times New Roman"/>
          <w:b/>
          <w:bCs/>
          <w:noProof/>
          <w:color w:val="auto"/>
          <w:sz w:val="24"/>
          <w:szCs w:val="24"/>
          <w:u w:val="none"/>
        </w:rPr>
        <w:t xml:space="preserve">Acerca de la Procuración Penitenciaria y su encuadre en el </w:t>
      </w:r>
      <w:r w:rsidR="00FF7100">
        <w:rPr>
          <w:rStyle w:val="Hyperlink"/>
          <w:rFonts w:ascii="Times New Roman" w:hAnsi="Times New Roman" w:cs="Times New Roman"/>
          <w:b/>
          <w:bCs/>
          <w:noProof/>
          <w:color w:val="auto"/>
          <w:sz w:val="24"/>
          <w:szCs w:val="24"/>
          <w:u w:val="none"/>
        </w:rPr>
        <w:t>Sistema Nacional de Prevención de la Tortura</w:t>
      </w:r>
      <w:bookmarkEnd w:id="1"/>
      <w:r w:rsidR="00597B52" w:rsidRPr="00A96BC2">
        <w:rPr>
          <w:noProof/>
          <w:webHidden/>
        </w:rPr>
        <w:tab/>
      </w:r>
    </w:p>
    <w:p w14:paraId="5B1AFE45" w14:textId="77777777" w:rsidR="00762B0E" w:rsidRDefault="00762B0E" w:rsidP="004E2174">
      <w:pPr>
        <w:spacing w:after="120" w:line="240" w:lineRule="auto"/>
        <w:jc w:val="both"/>
        <w:rPr>
          <w:rFonts w:ascii="Times New Roman" w:eastAsia="Times New Roman" w:hAnsi="Times New Roman" w:cs="Times New Roman"/>
          <w:bCs/>
          <w:kern w:val="0"/>
          <w:sz w:val="24"/>
          <w:szCs w:val="24"/>
          <w:lang w:val="es-ES" w:eastAsia="es-ES"/>
          <w14:ligatures w14:val="none"/>
        </w:rPr>
      </w:pPr>
      <w:r w:rsidRPr="00762B0E">
        <w:rPr>
          <w:rFonts w:ascii="Times New Roman" w:eastAsia="Times New Roman" w:hAnsi="Times New Roman" w:cs="Times New Roman"/>
          <w:kern w:val="0"/>
          <w:sz w:val="24"/>
          <w:szCs w:val="24"/>
          <w:lang w:val="es-ES" w:eastAsia="es-ES"/>
          <w14:ligatures w14:val="none"/>
        </w:rPr>
        <w:t xml:space="preserve">La Procuración Penitenciaria es un organismo público de carácter autónomo, inserto en el ámbito del Poder Legislativo de la Nación por la Ley 25.875, con el objetivo de </w:t>
      </w:r>
      <w:r w:rsidRPr="00762B0E">
        <w:rPr>
          <w:rFonts w:ascii="Times New Roman" w:eastAsia="Times New Roman" w:hAnsi="Times New Roman" w:cs="Times New Roman"/>
          <w:bCs/>
          <w:kern w:val="0"/>
          <w:sz w:val="24"/>
          <w:szCs w:val="24"/>
          <w:lang w:val="es-ES" w:eastAsia="es-ES"/>
          <w14:ligatures w14:val="none"/>
        </w:rPr>
        <w:t>proteger los derechos humanos de las personas privadas de libertad, por cualquier motivo, en jurisdicción federal, comprendidos comisarías, alcaldías y cualquier tipo de locales en donde se encuentren personas detenidas y de los procesados y condenados por la justicia nacional o federal que se encuentren internados en establecimientos provinciales.</w:t>
      </w:r>
    </w:p>
    <w:p w14:paraId="28682638" w14:textId="3B33E68A" w:rsidR="00762B0E" w:rsidRDefault="00762B0E" w:rsidP="004E2174">
      <w:pPr>
        <w:spacing w:after="120" w:line="240" w:lineRule="auto"/>
        <w:jc w:val="both"/>
        <w:rPr>
          <w:rFonts w:ascii="Times New Roman" w:eastAsia="Times New Roman" w:hAnsi="Times New Roman" w:cs="Times New Roman"/>
          <w:bCs/>
          <w:kern w:val="0"/>
          <w:sz w:val="24"/>
          <w:szCs w:val="24"/>
          <w:lang w:val="es-ES" w:eastAsia="es-ES"/>
          <w14:ligatures w14:val="none"/>
        </w:rPr>
      </w:pPr>
      <w:r>
        <w:rPr>
          <w:rFonts w:ascii="Times New Roman" w:eastAsia="Times New Roman" w:hAnsi="Times New Roman" w:cs="Times New Roman"/>
          <w:bCs/>
          <w:kern w:val="0"/>
          <w:sz w:val="24"/>
          <w:szCs w:val="24"/>
          <w:lang w:val="es-ES" w:eastAsia="es-ES"/>
          <w14:ligatures w14:val="none"/>
        </w:rPr>
        <w:t xml:space="preserve">Con la sanción en el año 2012 de la </w:t>
      </w:r>
      <w:r w:rsidRPr="00762B0E">
        <w:rPr>
          <w:rFonts w:ascii="Times New Roman" w:eastAsia="Times New Roman" w:hAnsi="Times New Roman" w:cs="Times New Roman"/>
          <w:bCs/>
          <w:kern w:val="0"/>
          <w:sz w:val="24"/>
          <w:szCs w:val="24"/>
          <w:lang w:val="es-ES" w:eastAsia="es-ES"/>
          <w14:ligatures w14:val="none"/>
        </w:rPr>
        <w:t>Ley 26.827</w:t>
      </w:r>
      <w:r>
        <w:rPr>
          <w:rFonts w:ascii="Times New Roman" w:eastAsia="Times New Roman" w:hAnsi="Times New Roman" w:cs="Times New Roman"/>
          <w:bCs/>
          <w:kern w:val="0"/>
          <w:sz w:val="24"/>
          <w:szCs w:val="24"/>
          <w:lang w:val="es-ES" w:eastAsia="es-ES"/>
          <w14:ligatures w14:val="none"/>
        </w:rPr>
        <w:t xml:space="preserve"> de </w:t>
      </w:r>
      <w:r w:rsidRPr="00762B0E">
        <w:rPr>
          <w:rFonts w:ascii="Times New Roman" w:eastAsia="Times New Roman" w:hAnsi="Times New Roman" w:cs="Times New Roman"/>
          <w:bCs/>
          <w:kern w:val="0"/>
          <w:sz w:val="24"/>
          <w:szCs w:val="24"/>
          <w:lang w:val="es-ES" w:eastAsia="es-ES"/>
          <w14:ligatures w14:val="none"/>
        </w:rPr>
        <w:t>crea</w:t>
      </w:r>
      <w:r>
        <w:rPr>
          <w:rFonts w:ascii="Times New Roman" w:eastAsia="Times New Roman" w:hAnsi="Times New Roman" w:cs="Times New Roman"/>
          <w:bCs/>
          <w:kern w:val="0"/>
          <w:sz w:val="24"/>
          <w:szCs w:val="24"/>
          <w:lang w:val="es-ES" w:eastAsia="es-ES"/>
          <w14:ligatures w14:val="none"/>
        </w:rPr>
        <w:t>ción</w:t>
      </w:r>
      <w:r w:rsidRPr="00762B0E">
        <w:rPr>
          <w:rFonts w:ascii="Times New Roman" w:eastAsia="Times New Roman" w:hAnsi="Times New Roman" w:cs="Times New Roman"/>
          <w:bCs/>
          <w:kern w:val="0"/>
          <w:sz w:val="24"/>
          <w:szCs w:val="24"/>
          <w:lang w:val="es-ES" w:eastAsia="es-ES"/>
          <w14:ligatures w14:val="none"/>
        </w:rPr>
        <w:t xml:space="preserve"> </w:t>
      </w:r>
      <w:r>
        <w:rPr>
          <w:rFonts w:ascii="Times New Roman" w:eastAsia="Times New Roman" w:hAnsi="Times New Roman" w:cs="Times New Roman"/>
          <w:bCs/>
          <w:kern w:val="0"/>
          <w:sz w:val="24"/>
          <w:szCs w:val="24"/>
          <w:lang w:val="es-ES" w:eastAsia="es-ES"/>
          <w14:ligatures w14:val="none"/>
        </w:rPr>
        <w:t>d</w:t>
      </w:r>
      <w:r w:rsidRPr="00762B0E">
        <w:rPr>
          <w:rFonts w:ascii="Times New Roman" w:eastAsia="Times New Roman" w:hAnsi="Times New Roman" w:cs="Times New Roman"/>
          <w:bCs/>
          <w:kern w:val="0"/>
          <w:sz w:val="24"/>
          <w:szCs w:val="24"/>
          <w:lang w:val="es-ES" w:eastAsia="es-ES"/>
          <w14:ligatures w14:val="none"/>
        </w:rPr>
        <w:t>el Sistema Nacional de Prevención de la Tortura</w:t>
      </w:r>
      <w:r>
        <w:rPr>
          <w:rFonts w:ascii="Times New Roman" w:eastAsia="Times New Roman" w:hAnsi="Times New Roman" w:cs="Times New Roman"/>
          <w:bCs/>
          <w:kern w:val="0"/>
          <w:sz w:val="24"/>
          <w:szCs w:val="24"/>
          <w:lang w:val="es-ES" w:eastAsia="es-ES"/>
          <w14:ligatures w14:val="none"/>
        </w:rPr>
        <w:t xml:space="preserve">, la </w:t>
      </w:r>
      <w:r w:rsidRPr="00762B0E">
        <w:rPr>
          <w:rFonts w:ascii="Times New Roman" w:eastAsia="Times New Roman" w:hAnsi="Times New Roman" w:cs="Times New Roman"/>
          <w:bCs/>
          <w:kern w:val="0"/>
          <w:sz w:val="24"/>
          <w:szCs w:val="24"/>
          <w:lang w:val="es-ES" w:eastAsia="es-ES"/>
          <w14:ligatures w14:val="none"/>
        </w:rPr>
        <w:t>Procuración Penitenciaria</w:t>
      </w:r>
      <w:r>
        <w:rPr>
          <w:rFonts w:ascii="Times New Roman" w:eastAsia="Times New Roman" w:hAnsi="Times New Roman" w:cs="Times New Roman"/>
          <w:bCs/>
          <w:kern w:val="0"/>
          <w:sz w:val="24"/>
          <w:szCs w:val="24"/>
          <w:lang w:val="es-ES" w:eastAsia="es-ES"/>
          <w14:ligatures w14:val="none"/>
        </w:rPr>
        <w:t xml:space="preserve"> fue designada </w:t>
      </w:r>
      <w:r w:rsidRPr="00762B0E">
        <w:rPr>
          <w:rFonts w:ascii="Times New Roman" w:eastAsia="Times New Roman" w:hAnsi="Times New Roman" w:cs="Times New Roman"/>
          <w:bCs/>
          <w:kern w:val="0"/>
          <w:sz w:val="24"/>
          <w:szCs w:val="24"/>
          <w:lang w:val="es-ES" w:eastAsia="es-ES"/>
          <w14:ligatures w14:val="none"/>
        </w:rPr>
        <w:t>mecanismo de prevención de la tortura en todos los lugares de detención dependientes de autoridad nacional y federal, en los términos del Protocolo Facultativo a la Convención de la Tortura</w:t>
      </w:r>
      <w:r>
        <w:rPr>
          <w:rFonts w:ascii="Times New Roman" w:eastAsia="Times New Roman" w:hAnsi="Times New Roman" w:cs="Times New Roman"/>
          <w:bCs/>
          <w:kern w:val="0"/>
          <w:sz w:val="24"/>
          <w:szCs w:val="24"/>
          <w:lang w:val="es-ES" w:eastAsia="es-ES"/>
          <w14:ligatures w14:val="none"/>
        </w:rPr>
        <w:t xml:space="preserve"> (art. 32). Además, la </w:t>
      </w:r>
      <w:r w:rsidRPr="00762B0E">
        <w:rPr>
          <w:rFonts w:ascii="Times New Roman" w:eastAsia="Times New Roman" w:hAnsi="Times New Roman" w:cs="Times New Roman"/>
          <w:bCs/>
          <w:kern w:val="0"/>
          <w:sz w:val="24"/>
          <w:szCs w:val="24"/>
          <w:lang w:val="es-ES" w:eastAsia="es-ES"/>
          <w14:ligatures w14:val="none"/>
        </w:rPr>
        <w:t xml:space="preserve">ley prevé la participación de la </w:t>
      </w:r>
      <w:r>
        <w:rPr>
          <w:rFonts w:ascii="Times New Roman" w:eastAsia="Times New Roman" w:hAnsi="Times New Roman" w:cs="Times New Roman"/>
          <w:bCs/>
          <w:kern w:val="0"/>
          <w:sz w:val="24"/>
          <w:szCs w:val="24"/>
          <w:lang w:val="es-ES" w:eastAsia="es-ES"/>
          <w14:ligatures w14:val="none"/>
        </w:rPr>
        <w:t>PPN</w:t>
      </w:r>
      <w:r w:rsidRPr="00762B0E">
        <w:rPr>
          <w:rFonts w:ascii="Times New Roman" w:eastAsia="Times New Roman" w:hAnsi="Times New Roman" w:cs="Times New Roman"/>
          <w:bCs/>
          <w:kern w:val="0"/>
          <w:sz w:val="24"/>
          <w:szCs w:val="24"/>
          <w:lang w:val="es-ES" w:eastAsia="es-ES"/>
          <w14:ligatures w14:val="none"/>
        </w:rPr>
        <w:t xml:space="preserve"> en dos órganos de gobierno del Sistema Nacional de Prevención de la Tortura: el Comité Nacional para la Prevención de la Tortura (art. 11, inc. b) y el Consejo </w:t>
      </w:r>
      <w:r w:rsidR="001F193D">
        <w:rPr>
          <w:rFonts w:ascii="Times New Roman" w:eastAsia="Times New Roman" w:hAnsi="Times New Roman" w:cs="Times New Roman"/>
          <w:bCs/>
          <w:kern w:val="0"/>
          <w:sz w:val="24"/>
          <w:szCs w:val="24"/>
          <w:lang w:val="es-ES" w:eastAsia="es-ES"/>
          <w14:ligatures w14:val="none"/>
        </w:rPr>
        <w:t>Federal</w:t>
      </w:r>
      <w:r w:rsidRPr="00762B0E">
        <w:rPr>
          <w:rFonts w:ascii="Times New Roman" w:eastAsia="Times New Roman" w:hAnsi="Times New Roman" w:cs="Times New Roman"/>
          <w:bCs/>
          <w:kern w:val="0"/>
          <w:sz w:val="24"/>
          <w:szCs w:val="24"/>
          <w:lang w:val="es-ES" w:eastAsia="es-ES"/>
          <w14:ligatures w14:val="none"/>
        </w:rPr>
        <w:t xml:space="preserve"> de Mecanismos Locales para la Prevención de la Tortura (art. 21). </w:t>
      </w:r>
    </w:p>
    <w:p w14:paraId="1D3D2F5C" w14:textId="6E0C7AD1" w:rsidR="00762B0E" w:rsidRDefault="00762B0E" w:rsidP="004E2174">
      <w:pPr>
        <w:spacing w:after="120" w:line="240" w:lineRule="auto"/>
        <w:jc w:val="both"/>
        <w:rPr>
          <w:rFonts w:ascii="Times New Roman" w:eastAsia="Times New Roman" w:hAnsi="Times New Roman" w:cs="Times New Roman"/>
          <w:bCs/>
          <w:kern w:val="0"/>
          <w:sz w:val="24"/>
          <w:szCs w:val="24"/>
          <w:lang w:val="es-ES" w:eastAsia="es-ES"/>
          <w14:ligatures w14:val="none"/>
        </w:rPr>
      </w:pPr>
      <w:r>
        <w:rPr>
          <w:rFonts w:ascii="Times New Roman" w:eastAsia="Times New Roman" w:hAnsi="Times New Roman" w:cs="Times New Roman"/>
          <w:bCs/>
          <w:kern w:val="0"/>
          <w:sz w:val="24"/>
          <w:szCs w:val="24"/>
          <w:lang w:val="es-ES" w:eastAsia="es-ES"/>
          <w14:ligatures w14:val="none"/>
        </w:rPr>
        <w:t xml:space="preserve">Desde el año 2017, con la conformación del Comité Nacional de Prevención de la Tortura, la PPN ha venido trabajando de forma articulada y coordinada con dicho órgano rector del </w:t>
      </w:r>
      <w:r w:rsidRPr="00762B0E">
        <w:rPr>
          <w:rFonts w:ascii="Times New Roman" w:eastAsia="Times New Roman" w:hAnsi="Times New Roman" w:cs="Times New Roman"/>
          <w:bCs/>
          <w:kern w:val="0"/>
          <w:sz w:val="24"/>
          <w:szCs w:val="24"/>
          <w:lang w:val="es-ES" w:eastAsia="es-ES"/>
          <w14:ligatures w14:val="none"/>
        </w:rPr>
        <w:t>Sistema Nacional de Prevención de la Tortura</w:t>
      </w:r>
      <w:r>
        <w:rPr>
          <w:rFonts w:ascii="Times New Roman" w:eastAsia="Times New Roman" w:hAnsi="Times New Roman" w:cs="Times New Roman"/>
          <w:bCs/>
          <w:kern w:val="0"/>
          <w:sz w:val="24"/>
          <w:szCs w:val="24"/>
          <w:lang w:val="es-ES" w:eastAsia="es-ES"/>
          <w14:ligatures w14:val="none"/>
        </w:rPr>
        <w:t>, así como con los mecanismos locales creados en las distintas provincias.</w:t>
      </w:r>
    </w:p>
    <w:p w14:paraId="416BDD2B" w14:textId="62854288" w:rsidR="00762B0E" w:rsidRPr="00762B0E" w:rsidRDefault="00762B0E" w:rsidP="004E2174">
      <w:pPr>
        <w:spacing w:after="120" w:line="240" w:lineRule="auto"/>
        <w:jc w:val="both"/>
        <w:rPr>
          <w:rFonts w:ascii="Times New Roman" w:eastAsia="Times New Roman" w:hAnsi="Times New Roman" w:cs="Times New Roman"/>
          <w:bCs/>
          <w:kern w:val="0"/>
          <w:sz w:val="24"/>
          <w:szCs w:val="24"/>
          <w:lang w:val="es-ES" w:eastAsia="es-ES"/>
          <w14:ligatures w14:val="none"/>
        </w:rPr>
      </w:pPr>
      <w:r w:rsidRPr="00762B0E">
        <w:rPr>
          <w:rFonts w:ascii="Times New Roman" w:eastAsia="Times New Roman" w:hAnsi="Times New Roman" w:cs="Times New Roman"/>
          <w:kern w:val="0"/>
          <w:sz w:val="24"/>
          <w:szCs w:val="24"/>
          <w:lang w:val="es-ES" w:eastAsia="es-ES"/>
          <w14:ligatures w14:val="none"/>
        </w:rPr>
        <w:t xml:space="preserve">La Procuración Penitenciaria cuenta con una importante trayectoria de </w:t>
      </w:r>
      <w:r w:rsidR="001F193D">
        <w:rPr>
          <w:rFonts w:ascii="Times New Roman" w:eastAsia="Times New Roman" w:hAnsi="Times New Roman" w:cs="Times New Roman"/>
          <w:kern w:val="0"/>
          <w:sz w:val="24"/>
          <w:szCs w:val="24"/>
          <w:lang w:val="es-ES" w:eastAsia="es-ES"/>
          <w14:ligatures w14:val="none"/>
        </w:rPr>
        <w:t xml:space="preserve">visitas y </w:t>
      </w:r>
      <w:r w:rsidRPr="00762B0E">
        <w:rPr>
          <w:rFonts w:ascii="Times New Roman" w:eastAsia="Times New Roman" w:hAnsi="Times New Roman" w:cs="Times New Roman"/>
          <w:kern w:val="0"/>
          <w:sz w:val="24"/>
          <w:szCs w:val="24"/>
          <w:lang w:val="es-ES" w:eastAsia="es-ES"/>
          <w14:ligatures w14:val="none"/>
        </w:rPr>
        <w:t>monitoreo de las cárceles federales</w:t>
      </w:r>
      <w:r w:rsidR="00FF7100">
        <w:rPr>
          <w:rFonts w:ascii="Times New Roman" w:eastAsia="Times New Roman" w:hAnsi="Times New Roman" w:cs="Times New Roman"/>
          <w:kern w:val="0"/>
          <w:sz w:val="24"/>
          <w:szCs w:val="24"/>
          <w:lang w:val="es-ES" w:eastAsia="es-ES"/>
          <w14:ligatures w14:val="none"/>
        </w:rPr>
        <w:t xml:space="preserve"> y de otros lugares de detención a cargo de fuerzas de seguridad</w:t>
      </w:r>
      <w:r w:rsidRPr="00762B0E">
        <w:rPr>
          <w:rFonts w:ascii="Times New Roman" w:eastAsia="Times New Roman" w:hAnsi="Times New Roman" w:cs="Times New Roman"/>
          <w:kern w:val="0"/>
          <w:sz w:val="24"/>
          <w:szCs w:val="24"/>
          <w:lang w:val="es-ES" w:eastAsia="es-ES"/>
          <w14:ligatures w14:val="none"/>
        </w:rPr>
        <w:t xml:space="preserve">, en ejercicio de su misión de protección de los derechos humanos de las personas detenidas en el ámbito federal. </w:t>
      </w:r>
      <w:r w:rsidR="001F193D">
        <w:rPr>
          <w:rFonts w:ascii="Times New Roman" w:eastAsia="Times New Roman" w:hAnsi="Times New Roman" w:cs="Times New Roman"/>
          <w:kern w:val="0"/>
          <w:sz w:val="24"/>
          <w:szCs w:val="24"/>
          <w:lang w:val="es-ES" w:eastAsia="es-ES"/>
          <w14:ligatures w14:val="none"/>
        </w:rPr>
        <w:t>T</w:t>
      </w:r>
      <w:r w:rsidRPr="00762B0E">
        <w:rPr>
          <w:rFonts w:ascii="Times New Roman" w:eastAsia="Times New Roman" w:hAnsi="Times New Roman" w:cs="Times New Roman"/>
          <w:kern w:val="0"/>
          <w:sz w:val="24"/>
          <w:szCs w:val="24"/>
          <w:lang w:val="es-ES" w:eastAsia="es-ES"/>
          <w14:ligatures w14:val="none"/>
        </w:rPr>
        <w:t xml:space="preserve">ambién </w:t>
      </w:r>
      <w:r w:rsidR="001F193D">
        <w:rPr>
          <w:rFonts w:ascii="Times New Roman" w:eastAsia="Times New Roman" w:hAnsi="Times New Roman" w:cs="Times New Roman"/>
          <w:kern w:val="0"/>
          <w:sz w:val="24"/>
          <w:szCs w:val="24"/>
          <w:lang w:val="es-ES" w:eastAsia="es-ES"/>
          <w14:ligatures w14:val="none"/>
        </w:rPr>
        <w:t xml:space="preserve">lleva adelante litigio estratégico sobre reforma carcelaria y en casos de </w:t>
      </w:r>
      <w:r w:rsidRPr="00762B0E">
        <w:rPr>
          <w:rFonts w:ascii="Times New Roman" w:eastAsia="Times New Roman" w:hAnsi="Times New Roman" w:cs="Times New Roman"/>
          <w:kern w:val="0"/>
          <w:sz w:val="24"/>
          <w:szCs w:val="24"/>
          <w:lang w:val="es-ES" w:eastAsia="es-ES"/>
          <w14:ligatures w14:val="none"/>
        </w:rPr>
        <w:t>torturas y malos tratos</w:t>
      </w:r>
      <w:r w:rsidR="00713882">
        <w:rPr>
          <w:rFonts w:ascii="Times New Roman" w:eastAsia="Times New Roman" w:hAnsi="Times New Roman" w:cs="Times New Roman"/>
          <w:kern w:val="0"/>
          <w:sz w:val="24"/>
          <w:szCs w:val="24"/>
          <w:lang w:val="es-ES" w:eastAsia="es-ES"/>
          <w14:ligatures w14:val="none"/>
        </w:rPr>
        <w:t xml:space="preserve"> o muertes bajo custodia</w:t>
      </w:r>
      <w:r w:rsidR="001F193D">
        <w:rPr>
          <w:rFonts w:ascii="Times New Roman" w:eastAsia="Times New Roman" w:hAnsi="Times New Roman" w:cs="Times New Roman"/>
          <w:kern w:val="0"/>
          <w:sz w:val="24"/>
          <w:szCs w:val="24"/>
          <w:lang w:val="es-ES" w:eastAsia="es-ES"/>
          <w14:ligatures w14:val="none"/>
        </w:rPr>
        <w:t xml:space="preserve">, de manera que </w:t>
      </w:r>
      <w:r w:rsidR="001F193D" w:rsidRPr="00762B0E">
        <w:rPr>
          <w:rFonts w:ascii="Times New Roman" w:eastAsia="Times New Roman" w:hAnsi="Times New Roman" w:cs="Times New Roman"/>
          <w:kern w:val="0"/>
          <w:sz w:val="24"/>
          <w:szCs w:val="24"/>
          <w:lang w:val="es-ES" w:eastAsia="es-ES"/>
          <w14:ligatures w14:val="none"/>
        </w:rPr>
        <w:t xml:space="preserve">cuenta con información relevante acerca de la actividad de la justicia </w:t>
      </w:r>
      <w:r w:rsidR="001F193D">
        <w:rPr>
          <w:rFonts w:ascii="Times New Roman" w:eastAsia="Times New Roman" w:hAnsi="Times New Roman" w:cs="Times New Roman"/>
          <w:kern w:val="0"/>
          <w:sz w:val="24"/>
          <w:szCs w:val="24"/>
          <w:lang w:val="es-ES" w:eastAsia="es-ES"/>
          <w14:ligatures w14:val="none"/>
        </w:rPr>
        <w:t>penal</w:t>
      </w:r>
      <w:r w:rsidRPr="00762B0E">
        <w:rPr>
          <w:rFonts w:ascii="Times New Roman" w:eastAsia="Times New Roman" w:hAnsi="Times New Roman" w:cs="Times New Roman"/>
          <w:kern w:val="0"/>
          <w:sz w:val="24"/>
          <w:szCs w:val="24"/>
          <w:lang w:val="es-ES" w:eastAsia="es-ES"/>
          <w14:ligatures w14:val="none"/>
        </w:rPr>
        <w:t xml:space="preserve">. </w:t>
      </w:r>
      <w:r w:rsidRPr="00762B0E">
        <w:rPr>
          <w:rFonts w:ascii="Times New Roman" w:eastAsia="Times New Roman" w:hAnsi="Times New Roman" w:cs="Times New Roman"/>
          <w:bCs/>
          <w:kern w:val="0"/>
          <w:sz w:val="24"/>
          <w:szCs w:val="24"/>
          <w:lang w:val="es-ES" w:eastAsia="es-ES"/>
          <w14:ligatures w14:val="none"/>
        </w:rPr>
        <w:t>Además</w:t>
      </w:r>
      <w:r w:rsidR="00BD6FAF">
        <w:rPr>
          <w:rFonts w:ascii="Times New Roman" w:eastAsia="Times New Roman" w:hAnsi="Times New Roman" w:cs="Times New Roman"/>
          <w:bCs/>
          <w:kern w:val="0"/>
          <w:sz w:val="24"/>
          <w:szCs w:val="24"/>
          <w:lang w:val="es-ES" w:eastAsia="es-ES"/>
          <w14:ligatures w14:val="none"/>
        </w:rPr>
        <w:t>,</w:t>
      </w:r>
      <w:r w:rsidRPr="00762B0E">
        <w:rPr>
          <w:rFonts w:ascii="Times New Roman" w:eastAsia="Times New Roman" w:hAnsi="Times New Roman" w:cs="Times New Roman"/>
          <w:bCs/>
          <w:kern w:val="0"/>
          <w:sz w:val="24"/>
          <w:szCs w:val="24"/>
          <w:lang w:val="es-ES" w:eastAsia="es-ES"/>
          <w14:ligatures w14:val="none"/>
        </w:rPr>
        <w:t xml:space="preserve"> </w:t>
      </w:r>
      <w:r w:rsidR="001F193D">
        <w:rPr>
          <w:rFonts w:ascii="Times New Roman" w:eastAsia="Times New Roman" w:hAnsi="Times New Roman" w:cs="Times New Roman"/>
          <w:bCs/>
          <w:kern w:val="0"/>
          <w:sz w:val="24"/>
          <w:szCs w:val="24"/>
          <w:lang w:val="es-ES" w:eastAsia="es-ES"/>
          <w14:ligatures w14:val="none"/>
        </w:rPr>
        <w:t xml:space="preserve">desarrolla </w:t>
      </w:r>
      <w:r w:rsidRPr="00762B0E">
        <w:rPr>
          <w:rFonts w:ascii="Times New Roman" w:eastAsia="Times New Roman" w:hAnsi="Times New Roman" w:cs="Times New Roman"/>
          <w:bCs/>
          <w:kern w:val="0"/>
          <w:sz w:val="24"/>
          <w:szCs w:val="24"/>
          <w:lang w:val="es-ES" w:eastAsia="es-ES"/>
          <w14:ligatures w14:val="none"/>
        </w:rPr>
        <w:t>investigaciones</w:t>
      </w:r>
      <w:r w:rsidR="001F193D">
        <w:rPr>
          <w:rFonts w:ascii="Times New Roman" w:eastAsia="Times New Roman" w:hAnsi="Times New Roman" w:cs="Times New Roman"/>
          <w:bCs/>
          <w:kern w:val="0"/>
          <w:sz w:val="24"/>
          <w:szCs w:val="24"/>
          <w:lang w:val="es-ES" w:eastAsia="es-ES"/>
          <w14:ligatures w14:val="none"/>
        </w:rPr>
        <w:t xml:space="preserve"> y produce informes</w:t>
      </w:r>
      <w:r w:rsidR="00713882">
        <w:rPr>
          <w:rFonts w:ascii="Times New Roman" w:eastAsia="Times New Roman" w:hAnsi="Times New Roman" w:cs="Times New Roman"/>
          <w:bCs/>
          <w:kern w:val="0"/>
          <w:sz w:val="24"/>
          <w:szCs w:val="24"/>
          <w:lang w:val="es-ES" w:eastAsia="es-ES"/>
          <w14:ligatures w14:val="none"/>
        </w:rPr>
        <w:t xml:space="preserve"> y estadísticas</w:t>
      </w:r>
      <w:r w:rsidRPr="00762B0E">
        <w:rPr>
          <w:rFonts w:ascii="Times New Roman" w:eastAsia="Times New Roman" w:hAnsi="Times New Roman" w:cs="Times New Roman"/>
          <w:bCs/>
          <w:kern w:val="0"/>
          <w:sz w:val="24"/>
          <w:szCs w:val="24"/>
          <w:lang w:val="es-ES" w:eastAsia="es-ES"/>
          <w14:ligatures w14:val="none"/>
        </w:rPr>
        <w:t>, tiene competencia para efectuar recomendaciones,</w:t>
      </w:r>
      <w:r w:rsidR="00713882">
        <w:rPr>
          <w:rFonts w:ascii="Times New Roman" w:eastAsia="Times New Roman" w:hAnsi="Times New Roman" w:cs="Times New Roman"/>
          <w:bCs/>
          <w:kern w:val="0"/>
          <w:sz w:val="24"/>
          <w:szCs w:val="24"/>
          <w:lang w:val="es-ES" w:eastAsia="es-ES"/>
          <w14:ligatures w14:val="none"/>
        </w:rPr>
        <w:t xml:space="preserve"> </w:t>
      </w:r>
      <w:r w:rsidRPr="00762B0E">
        <w:rPr>
          <w:rFonts w:ascii="Times New Roman" w:eastAsia="Times New Roman" w:hAnsi="Times New Roman" w:cs="Times New Roman"/>
          <w:bCs/>
          <w:kern w:val="0"/>
          <w:sz w:val="24"/>
          <w:szCs w:val="24"/>
          <w:lang w:val="es-ES" w:eastAsia="es-ES"/>
          <w14:ligatures w14:val="none"/>
        </w:rPr>
        <w:t>solicitar inform</w:t>
      </w:r>
      <w:r w:rsidR="001F193D">
        <w:rPr>
          <w:rFonts w:ascii="Times New Roman" w:eastAsia="Times New Roman" w:hAnsi="Times New Roman" w:cs="Times New Roman"/>
          <w:bCs/>
          <w:kern w:val="0"/>
          <w:sz w:val="24"/>
          <w:szCs w:val="24"/>
          <w:lang w:val="es-ES" w:eastAsia="es-ES"/>
          <w14:ligatures w14:val="none"/>
        </w:rPr>
        <w:t>aci</w:t>
      </w:r>
      <w:r w:rsidR="00BD6FAF">
        <w:rPr>
          <w:rFonts w:ascii="Times New Roman" w:eastAsia="Times New Roman" w:hAnsi="Times New Roman" w:cs="Times New Roman"/>
          <w:bCs/>
          <w:kern w:val="0"/>
          <w:sz w:val="24"/>
          <w:szCs w:val="24"/>
          <w:lang w:val="es-ES" w:eastAsia="es-ES"/>
          <w14:ligatures w14:val="none"/>
        </w:rPr>
        <w:t>ón</w:t>
      </w:r>
      <w:r w:rsidRPr="00762B0E">
        <w:rPr>
          <w:rFonts w:ascii="Times New Roman" w:eastAsia="Times New Roman" w:hAnsi="Times New Roman" w:cs="Times New Roman"/>
          <w:bCs/>
          <w:kern w:val="0"/>
          <w:sz w:val="24"/>
          <w:szCs w:val="24"/>
          <w:lang w:val="es-ES" w:eastAsia="es-ES"/>
          <w14:ligatures w14:val="none"/>
        </w:rPr>
        <w:t xml:space="preserve"> y documentación,</w:t>
      </w:r>
      <w:r w:rsidR="001F193D" w:rsidRPr="00762B0E">
        <w:rPr>
          <w:rFonts w:ascii="Times New Roman" w:eastAsia="Times New Roman" w:hAnsi="Times New Roman" w:cs="Times New Roman"/>
          <w:bCs/>
          <w:kern w:val="0"/>
          <w:sz w:val="24"/>
          <w:szCs w:val="24"/>
          <w:lang w:val="es-ES" w:eastAsia="es-ES"/>
          <w14:ligatures w14:val="none"/>
        </w:rPr>
        <w:t xml:space="preserve"> mantener entrevistas confidenciales con personas detenidas</w:t>
      </w:r>
      <w:r w:rsidR="001F193D">
        <w:rPr>
          <w:rFonts w:ascii="Times New Roman" w:eastAsia="Times New Roman" w:hAnsi="Times New Roman" w:cs="Times New Roman"/>
          <w:bCs/>
          <w:kern w:val="0"/>
          <w:sz w:val="24"/>
          <w:szCs w:val="24"/>
          <w:lang w:val="es-ES" w:eastAsia="es-ES"/>
          <w14:ligatures w14:val="none"/>
        </w:rPr>
        <w:t xml:space="preserve"> y funcionarios públicos</w:t>
      </w:r>
      <w:r w:rsidR="001F193D" w:rsidRPr="00762B0E">
        <w:rPr>
          <w:rFonts w:ascii="Times New Roman" w:eastAsia="Times New Roman" w:hAnsi="Times New Roman" w:cs="Times New Roman"/>
          <w:bCs/>
          <w:kern w:val="0"/>
          <w:sz w:val="24"/>
          <w:szCs w:val="24"/>
          <w:lang w:val="es-ES" w:eastAsia="es-ES"/>
          <w14:ligatures w14:val="none"/>
        </w:rPr>
        <w:t xml:space="preserve">, </w:t>
      </w:r>
      <w:r w:rsidR="00BD6FAF">
        <w:rPr>
          <w:rFonts w:ascii="Times New Roman" w:eastAsia="Times New Roman" w:hAnsi="Times New Roman" w:cs="Times New Roman"/>
          <w:bCs/>
          <w:kern w:val="0"/>
          <w:sz w:val="24"/>
          <w:szCs w:val="24"/>
          <w:lang w:val="es-ES" w:eastAsia="es-ES"/>
          <w14:ligatures w14:val="none"/>
        </w:rPr>
        <w:t>entre otras facultades</w:t>
      </w:r>
      <w:r w:rsidRPr="00762B0E">
        <w:rPr>
          <w:rFonts w:ascii="Times New Roman" w:eastAsia="Times New Roman" w:hAnsi="Times New Roman" w:cs="Times New Roman"/>
          <w:bCs/>
          <w:kern w:val="0"/>
          <w:sz w:val="24"/>
          <w:szCs w:val="24"/>
          <w:lang w:val="es-ES" w:eastAsia="es-ES"/>
          <w14:ligatures w14:val="none"/>
        </w:rPr>
        <w:t>.</w:t>
      </w:r>
    </w:p>
    <w:p w14:paraId="621090A3" w14:textId="56E443CE" w:rsidR="00762B0E" w:rsidRPr="00762B0E" w:rsidRDefault="00762B0E" w:rsidP="004E2174">
      <w:pPr>
        <w:spacing w:after="120" w:line="240" w:lineRule="auto"/>
        <w:jc w:val="both"/>
        <w:rPr>
          <w:rFonts w:ascii="Times New Roman" w:eastAsia="Times New Roman" w:hAnsi="Times New Roman" w:cs="Times New Roman"/>
          <w:bCs/>
          <w:kern w:val="0"/>
          <w:sz w:val="24"/>
          <w:szCs w:val="24"/>
          <w:lang w:val="es-ES" w:eastAsia="es-ES"/>
          <w14:ligatures w14:val="none"/>
        </w:rPr>
      </w:pPr>
      <w:r w:rsidRPr="00762B0E">
        <w:rPr>
          <w:rFonts w:ascii="Times New Roman" w:eastAsia="Times New Roman" w:hAnsi="Times New Roman" w:cs="Times New Roman"/>
          <w:bCs/>
          <w:kern w:val="0"/>
          <w:sz w:val="24"/>
          <w:szCs w:val="24"/>
          <w:lang w:val="es-ES" w:eastAsia="es-ES"/>
          <w14:ligatures w14:val="none"/>
        </w:rPr>
        <w:t xml:space="preserve">Este </w:t>
      </w:r>
      <w:r w:rsidR="00BD6FAF">
        <w:rPr>
          <w:rFonts w:ascii="Times New Roman" w:eastAsia="Times New Roman" w:hAnsi="Times New Roman" w:cs="Times New Roman"/>
          <w:bCs/>
          <w:kern w:val="0"/>
          <w:sz w:val="24"/>
          <w:szCs w:val="24"/>
          <w:lang w:val="es-ES" w:eastAsia="es-ES"/>
          <w14:ligatures w14:val="none"/>
        </w:rPr>
        <w:t>o</w:t>
      </w:r>
      <w:r w:rsidRPr="00762B0E">
        <w:rPr>
          <w:rFonts w:ascii="Times New Roman" w:eastAsia="Times New Roman" w:hAnsi="Times New Roman" w:cs="Times New Roman"/>
          <w:bCs/>
          <w:kern w:val="0"/>
          <w:sz w:val="24"/>
          <w:szCs w:val="24"/>
          <w:lang w:val="es-ES" w:eastAsia="es-ES"/>
          <w14:ligatures w14:val="none"/>
        </w:rPr>
        <w:t xml:space="preserve">rganismo de control está conformado por una oficina central, ubicada en la Ciudad de Buenos Aires y un conjunto de </w:t>
      </w:r>
      <w:r w:rsidR="00713882">
        <w:rPr>
          <w:rFonts w:ascii="Times New Roman" w:eastAsia="Times New Roman" w:hAnsi="Times New Roman" w:cs="Times New Roman"/>
          <w:bCs/>
          <w:kern w:val="0"/>
          <w:sz w:val="24"/>
          <w:szCs w:val="24"/>
          <w:lang w:val="es-ES" w:eastAsia="es-ES"/>
          <w14:ligatures w14:val="none"/>
        </w:rPr>
        <w:t>d</w:t>
      </w:r>
      <w:r w:rsidRPr="00762B0E">
        <w:rPr>
          <w:rFonts w:ascii="Times New Roman" w:eastAsia="Times New Roman" w:hAnsi="Times New Roman" w:cs="Times New Roman"/>
          <w:bCs/>
          <w:kern w:val="0"/>
          <w:sz w:val="24"/>
          <w:szCs w:val="24"/>
          <w:lang w:val="es-ES" w:eastAsia="es-ES"/>
          <w14:ligatures w14:val="none"/>
        </w:rPr>
        <w:t xml:space="preserve">elegaciones </w:t>
      </w:r>
      <w:r w:rsidR="00713882">
        <w:rPr>
          <w:rFonts w:ascii="Times New Roman" w:eastAsia="Times New Roman" w:hAnsi="Times New Roman" w:cs="Times New Roman"/>
          <w:bCs/>
          <w:kern w:val="0"/>
          <w:sz w:val="24"/>
          <w:szCs w:val="24"/>
          <w:lang w:val="es-ES" w:eastAsia="es-ES"/>
          <w14:ligatures w14:val="none"/>
        </w:rPr>
        <w:t>r</w:t>
      </w:r>
      <w:r w:rsidRPr="00762B0E">
        <w:rPr>
          <w:rFonts w:ascii="Times New Roman" w:eastAsia="Times New Roman" w:hAnsi="Times New Roman" w:cs="Times New Roman"/>
          <w:bCs/>
          <w:kern w:val="0"/>
          <w:sz w:val="24"/>
          <w:szCs w:val="24"/>
          <w:lang w:val="es-ES" w:eastAsia="es-ES"/>
          <w14:ligatures w14:val="none"/>
        </w:rPr>
        <w:t>egionales, que confieren al trabajo de la PPN alcance en todo el territorio argentino.</w:t>
      </w:r>
      <w:r w:rsidRPr="00762B0E">
        <w:rPr>
          <w:rFonts w:ascii="Times New Roman" w:eastAsia="Times New Roman" w:hAnsi="Times New Roman" w:cs="Times New Roman"/>
          <w:kern w:val="0"/>
          <w:sz w:val="24"/>
          <w:szCs w:val="24"/>
          <w:lang w:val="es-ES" w:eastAsia="es-ES"/>
          <w14:ligatures w14:val="none"/>
        </w:rPr>
        <w:t xml:space="preserve"> </w:t>
      </w:r>
      <w:r w:rsidRPr="00762B0E">
        <w:rPr>
          <w:rFonts w:ascii="Times New Roman" w:eastAsia="Times New Roman" w:hAnsi="Times New Roman" w:cs="Times New Roman"/>
          <w:bCs/>
          <w:kern w:val="0"/>
          <w:sz w:val="24"/>
          <w:szCs w:val="24"/>
          <w:lang w:val="es-ES" w:eastAsia="es-ES"/>
          <w14:ligatures w14:val="none"/>
        </w:rPr>
        <w:t xml:space="preserve">Para el desarrollo de estas actividades </w:t>
      </w:r>
      <w:r w:rsidR="00BD6FAF">
        <w:rPr>
          <w:rFonts w:ascii="Times New Roman" w:eastAsia="Times New Roman" w:hAnsi="Times New Roman" w:cs="Times New Roman"/>
          <w:bCs/>
          <w:kern w:val="0"/>
          <w:sz w:val="24"/>
          <w:szCs w:val="24"/>
          <w:lang w:val="es-ES" w:eastAsia="es-ES"/>
          <w14:ligatures w14:val="none"/>
        </w:rPr>
        <w:t>su equipo de trabajo está</w:t>
      </w:r>
      <w:r w:rsidRPr="00762B0E">
        <w:rPr>
          <w:rFonts w:ascii="Times New Roman" w:eastAsia="Times New Roman" w:hAnsi="Times New Roman" w:cs="Times New Roman"/>
          <w:bCs/>
          <w:kern w:val="0"/>
          <w:sz w:val="24"/>
          <w:szCs w:val="24"/>
          <w:lang w:val="es-ES" w:eastAsia="es-ES"/>
          <w14:ligatures w14:val="none"/>
        </w:rPr>
        <w:t xml:space="preserve"> integrad</w:t>
      </w:r>
      <w:r w:rsidR="00BD6FAF">
        <w:rPr>
          <w:rFonts w:ascii="Times New Roman" w:eastAsia="Times New Roman" w:hAnsi="Times New Roman" w:cs="Times New Roman"/>
          <w:bCs/>
          <w:kern w:val="0"/>
          <w:sz w:val="24"/>
          <w:szCs w:val="24"/>
          <w:lang w:val="es-ES" w:eastAsia="es-ES"/>
          <w14:ligatures w14:val="none"/>
        </w:rPr>
        <w:t>o</w:t>
      </w:r>
      <w:r w:rsidRPr="00762B0E">
        <w:rPr>
          <w:rFonts w:ascii="Times New Roman" w:eastAsia="Times New Roman" w:hAnsi="Times New Roman" w:cs="Times New Roman"/>
          <w:bCs/>
          <w:kern w:val="0"/>
          <w:sz w:val="24"/>
          <w:szCs w:val="24"/>
          <w:lang w:val="es-ES" w:eastAsia="es-ES"/>
          <w14:ligatures w14:val="none"/>
        </w:rPr>
        <w:t xml:space="preserve"> por profesionales de distintas disciplinas </w:t>
      </w:r>
      <w:r w:rsidR="00713882">
        <w:rPr>
          <w:rFonts w:ascii="Times New Roman" w:eastAsia="Times New Roman" w:hAnsi="Times New Roman" w:cs="Times New Roman"/>
          <w:bCs/>
          <w:kern w:val="0"/>
          <w:sz w:val="24"/>
          <w:szCs w:val="24"/>
          <w:lang w:val="es-ES" w:eastAsia="es-ES"/>
          <w14:ligatures w14:val="none"/>
        </w:rPr>
        <w:t>-</w:t>
      </w:r>
      <w:r w:rsidRPr="00762B0E">
        <w:rPr>
          <w:rFonts w:ascii="Times New Roman" w:eastAsia="Times New Roman" w:hAnsi="Times New Roman" w:cs="Times New Roman"/>
          <w:bCs/>
          <w:kern w:val="0"/>
          <w:sz w:val="24"/>
          <w:szCs w:val="24"/>
          <w:lang w:val="es-ES" w:eastAsia="es-ES"/>
          <w14:ligatures w14:val="none"/>
        </w:rPr>
        <w:t>como abogados, sociólogos, médicos y psicólogos</w:t>
      </w:r>
      <w:r w:rsidR="00713882">
        <w:rPr>
          <w:rFonts w:ascii="Times New Roman" w:eastAsia="Times New Roman" w:hAnsi="Times New Roman" w:cs="Times New Roman"/>
          <w:bCs/>
          <w:kern w:val="0"/>
          <w:sz w:val="24"/>
          <w:szCs w:val="24"/>
          <w:lang w:val="es-ES" w:eastAsia="es-ES"/>
          <w14:ligatures w14:val="none"/>
        </w:rPr>
        <w:t>-</w:t>
      </w:r>
      <w:r w:rsidRPr="00762B0E">
        <w:rPr>
          <w:rFonts w:ascii="Times New Roman" w:eastAsia="Times New Roman" w:hAnsi="Times New Roman" w:cs="Times New Roman"/>
          <w:bCs/>
          <w:kern w:val="0"/>
          <w:sz w:val="24"/>
          <w:szCs w:val="24"/>
          <w:lang w:val="es-ES" w:eastAsia="es-ES"/>
          <w14:ligatures w14:val="none"/>
        </w:rPr>
        <w:t xml:space="preserve"> que trabajan en forma coordinada.  </w:t>
      </w:r>
    </w:p>
    <w:p w14:paraId="6EA4F3A2" w14:textId="77777777" w:rsidR="00762B0E" w:rsidRPr="00A96BC2" w:rsidRDefault="00762B0E" w:rsidP="004E2174">
      <w:pPr>
        <w:spacing w:after="120" w:line="240" w:lineRule="auto"/>
        <w:rPr>
          <w:rStyle w:val="Hyperlink"/>
          <w:rFonts w:ascii="Times New Roman" w:hAnsi="Times New Roman" w:cs="Times New Roman"/>
          <w:b/>
          <w:bCs/>
          <w:noProof/>
          <w:color w:val="auto"/>
          <w:sz w:val="24"/>
          <w:szCs w:val="24"/>
          <w:u w:val="none"/>
        </w:rPr>
      </w:pPr>
    </w:p>
    <w:p w14:paraId="44B9A517" w14:textId="27D11C31" w:rsidR="00597B52" w:rsidRPr="00FF7100" w:rsidRDefault="00BF3B61" w:rsidP="004E2174">
      <w:pPr>
        <w:pStyle w:val="Heading2"/>
        <w:spacing w:before="0" w:after="120" w:line="240" w:lineRule="auto"/>
        <w:rPr>
          <w:rFonts w:ascii="Times New Roman" w:hAnsi="Times New Roman" w:cs="Times New Roman"/>
          <w:b/>
          <w:bCs/>
          <w:noProof/>
          <w:webHidden/>
          <w:sz w:val="24"/>
          <w:szCs w:val="24"/>
        </w:rPr>
      </w:pPr>
      <w:bookmarkStart w:id="2" w:name="_Toc210805560"/>
      <w:r>
        <w:rPr>
          <w:rStyle w:val="Hyperlink"/>
          <w:rFonts w:ascii="Times New Roman" w:hAnsi="Times New Roman" w:cs="Times New Roman"/>
          <w:b/>
          <w:bCs/>
          <w:noProof/>
          <w:color w:val="auto"/>
          <w:sz w:val="24"/>
          <w:szCs w:val="24"/>
          <w:u w:val="none"/>
        </w:rPr>
        <w:t xml:space="preserve">1.2. </w:t>
      </w:r>
      <w:r w:rsidR="00597B52" w:rsidRPr="00FF7100">
        <w:rPr>
          <w:rStyle w:val="Hyperlink"/>
          <w:rFonts w:ascii="Times New Roman" w:hAnsi="Times New Roman" w:cs="Times New Roman"/>
          <w:b/>
          <w:bCs/>
          <w:noProof/>
          <w:color w:val="auto"/>
          <w:sz w:val="24"/>
          <w:szCs w:val="24"/>
          <w:u w:val="none"/>
        </w:rPr>
        <w:t>Sobre la organización federal de la Argentina</w:t>
      </w:r>
      <w:bookmarkEnd w:id="2"/>
      <w:r w:rsidR="00597B52" w:rsidRPr="00FF7100">
        <w:rPr>
          <w:rFonts w:ascii="Times New Roman" w:hAnsi="Times New Roman" w:cs="Times New Roman"/>
          <w:b/>
          <w:bCs/>
          <w:noProof/>
          <w:webHidden/>
          <w:sz w:val="24"/>
          <w:szCs w:val="24"/>
        </w:rPr>
        <w:tab/>
      </w:r>
    </w:p>
    <w:p w14:paraId="212A9790" w14:textId="4CB14C7D" w:rsidR="00A62FBB" w:rsidRPr="00A62FBB" w:rsidRDefault="00A62FBB" w:rsidP="004E2174">
      <w:pPr>
        <w:spacing w:after="120" w:line="240" w:lineRule="auto"/>
        <w:jc w:val="both"/>
        <w:rPr>
          <w:rFonts w:ascii="Times New Roman" w:eastAsia="Times New Roman" w:hAnsi="Times New Roman" w:cs="Times New Roman"/>
          <w:kern w:val="0"/>
          <w:sz w:val="24"/>
          <w:szCs w:val="24"/>
          <w:lang w:val="es-ES" w:eastAsia="es-ES"/>
          <w14:ligatures w14:val="none"/>
        </w:rPr>
      </w:pPr>
      <w:r w:rsidRPr="00A62FBB">
        <w:rPr>
          <w:rFonts w:ascii="Times New Roman" w:eastAsia="Times New Roman" w:hAnsi="Times New Roman" w:cs="Times New Roman"/>
          <w:kern w:val="0"/>
          <w:sz w:val="24"/>
          <w:szCs w:val="24"/>
          <w:lang w:val="es-ES" w:eastAsia="es-ES"/>
          <w14:ligatures w14:val="none"/>
        </w:rPr>
        <w:t>La Argentina es un país con una organización federal. Ello implica que existe una estructura federal, a la vez que una descentralización del poder en 24 provincias, más la Ciudad Autónoma de Buenos Aires</w:t>
      </w:r>
      <w:r w:rsidR="00562568">
        <w:rPr>
          <w:rFonts w:ascii="Times New Roman" w:eastAsia="Times New Roman" w:hAnsi="Times New Roman" w:cs="Times New Roman"/>
          <w:kern w:val="0"/>
          <w:sz w:val="24"/>
          <w:szCs w:val="24"/>
          <w:lang w:val="es-ES" w:eastAsia="es-ES"/>
          <w14:ligatures w14:val="none"/>
        </w:rPr>
        <w:t xml:space="preserve"> (en adelante CABA)</w:t>
      </w:r>
      <w:r w:rsidRPr="00A62FBB">
        <w:rPr>
          <w:rFonts w:ascii="Times New Roman" w:eastAsia="Times New Roman" w:hAnsi="Times New Roman" w:cs="Times New Roman"/>
          <w:kern w:val="0"/>
          <w:sz w:val="24"/>
          <w:szCs w:val="24"/>
          <w:lang w:val="es-ES" w:eastAsia="es-ES"/>
          <w14:ligatures w14:val="none"/>
        </w:rPr>
        <w:t xml:space="preserve">. Cada una de las provincias cuenta con su Poder Legislativo, Ejecutivo y Judicial, mientras que también el Estado Federal dispone de la división tripartita de poder. La jurisdicción federal, aunque limitada por razón de la materia, la persona o el lugar, se extiende a todo el país, mientras que la provincial no puede superar su demarcación territorial. Asimismo, algunos hechos comunes u ordinarios son juzgados en la </w:t>
      </w:r>
      <w:r w:rsidR="00FE4295">
        <w:rPr>
          <w:rFonts w:ascii="Times New Roman" w:eastAsia="Times New Roman" w:hAnsi="Times New Roman" w:cs="Times New Roman"/>
          <w:kern w:val="0"/>
          <w:sz w:val="24"/>
          <w:szCs w:val="24"/>
          <w:lang w:val="es-ES" w:eastAsia="es-ES"/>
          <w14:ligatures w14:val="none"/>
        </w:rPr>
        <w:t>Ciudad de Buenos Aires</w:t>
      </w:r>
      <w:r w:rsidRPr="00A62FBB">
        <w:rPr>
          <w:rFonts w:ascii="Times New Roman" w:eastAsia="Times New Roman" w:hAnsi="Times New Roman" w:cs="Times New Roman"/>
          <w:kern w:val="0"/>
          <w:sz w:val="24"/>
          <w:szCs w:val="24"/>
          <w:lang w:val="es-ES" w:eastAsia="es-ES"/>
          <w14:ligatures w14:val="none"/>
        </w:rPr>
        <w:t xml:space="preserve"> </w:t>
      </w:r>
      <w:r w:rsidR="00FE4295">
        <w:rPr>
          <w:rFonts w:ascii="Times New Roman" w:eastAsia="Times New Roman" w:hAnsi="Times New Roman" w:cs="Times New Roman"/>
          <w:kern w:val="0"/>
          <w:sz w:val="24"/>
          <w:szCs w:val="24"/>
          <w:lang w:val="es-ES" w:eastAsia="es-ES"/>
          <w14:ligatures w14:val="none"/>
        </w:rPr>
        <w:t>-</w:t>
      </w:r>
      <w:r w:rsidRPr="00A62FBB">
        <w:rPr>
          <w:rFonts w:ascii="Times New Roman" w:eastAsia="Times New Roman" w:hAnsi="Times New Roman" w:cs="Times New Roman"/>
          <w:kern w:val="0"/>
          <w:sz w:val="24"/>
          <w:szCs w:val="24"/>
          <w:lang w:val="es-ES" w:eastAsia="es-ES"/>
          <w14:ligatures w14:val="none"/>
        </w:rPr>
        <w:t>a diferencia de lo que ocurre en las provincias</w:t>
      </w:r>
      <w:r w:rsidR="00FE4295">
        <w:rPr>
          <w:rFonts w:ascii="Times New Roman" w:eastAsia="Times New Roman" w:hAnsi="Times New Roman" w:cs="Times New Roman"/>
          <w:kern w:val="0"/>
          <w:sz w:val="24"/>
          <w:szCs w:val="24"/>
          <w:lang w:val="es-ES" w:eastAsia="es-ES"/>
          <w14:ligatures w14:val="none"/>
        </w:rPr>
        <w:t>-</w:t>
      </w:r>
      <w:r w:rsidRPr="00A62FBB">
        <w:rPr>
          <w:rFonts w:ascii="Times New Roman" w:eastAsia="Times New Roman" w:hAnsi="Times New Roman" w:cs="Times New Roman"/>
          <w:kern w:val="0"/>
          <w:sz w:val="24"/>
          <w:szCs w:val="24"/>
          <w:lang w:val="es-ES" w:eastAsia="es-ES"/>
          <w14:ligatures w14:val="none"/>
        </w:rPr>
        <w:t xml:space="preserve"> por jueces llamados nacionales</w:t>
      </w:r>
      <w:r w:rsidR="00FE4295">
        <w:rPr>
          <w:rFonts w:ascii="Times New Roman" w:eastAsia="Times New Roman" w:hAnsi="Times New Roman" w:cs="Times New Roman"/>
          <w:kern w:val="0"/>
          <w:sz w:val="24"/>
          <w:szCs w:val="24"/>
          <w:lang w:val="es-ES" w:eastAsia="es-ES"/>
          <w14:ligatures w14:val="none"/>
        </w:rPr>
        <w:t>, como consecuencia de un inconcluso traspaso de competencias desde el Estado Federal a la Ciudad Autónoma de Buenos Aires</w:t>
      </w:r>
      <w:r w:rsidRPr="00A62FBB">
        <w:rPr>
          <w:rFonts w:ascii="Times New Roman" w:eastAsia="Times New Roman" w:hAnsi="Times New Roman" w:cs="Times New Roman"/>
          <w:kern w:val="0"/>
          <w:sz w:val="24"/>
          <w:szCs w:val="24"/>
          <w:lang w:val="es-ES" w:eastAsia="es-ES"/>
          <w14:ligatures w14:val="none"/>
        </w:rPr>
        <w:t>.</w:t>
      </w:r>
    </w:p>
    <w:p w14:paraId="2F8FE57F" w14:textId="77777777" w:rsidR="001F5834" w:rsidRDefault="00A62FBB" w:rsidP="004E2174">
      <w:pPr>
        <w:spacing w:after="120" w:line="240" w:lineRule="auto"/>
        <w:jc w:val="both"/>
        <w:rPr>
          <w:rFonts w:ascii="Times New Roman" w:eastAsia="Times New Roman" w:hAnsi="Times New Roman" w:cs="Times New Roman"/>
          <w:kern w:val="0"/>
          <w:sz w:val="24"/>
          <w:szCs w:val="24"/>
          <w:lang w:val="es-ES" w:eastAsia="es-ES"/>
          <w14:ligatures w14:val="none"/>
        </w:rPr>
      </w:pPr>
      <w:r w:rsidRPr="00A62FBB">
        <w:rPr>
          <w:rFonts w:ascii="Times New Roman" w:eastAsia="Times New Roman" w:hAnsi="Times New Roman" w:cs="Times New Roman"/>
          <w:kern w:val="0"/>
          <w:sz w:val="24"/>
          <w:szCs w:val="24"/>
          <w:lang w:val="es-ES" w:eastAsia="es-ES"/>
          <w14:ligatures w14:val="none"/>
        </w:rPr>
        <w:t xml:space="preserve">A nivel carcelario, la estructura federal implica que cada Provincia dispone de su sistema penitenciario local, y el Estado federal tiene el Servicio Penitenciario Federal (en adelante SPF). El Sistema Penitenciario Federal está integrado por </w:t>
      </w:r>
      <w:r w:rsidRPr="00A62FBB">
        <w:rPr>
          <w:rFonts w:ascii="Times New Roman" w:eastAsia="Times New Roman" w:hAnsi="Times New Roman" w:cs="Times New Roman"/>
          <w:bCs/>
          <w:kern w:val="0"/>
          <w:sz w:val="24"/>
          <w:szCs w:val="24"/>
          <w:lang w:val="es-ES" w:eastAsia="es-ES"/>
          <w14:ligatures w14:val="none"/>
        </w:rPr>
        <w:t>3</w:t>
      </w:r>
      <w:r w:rsidR="00846A19">
        <w:rPr>
          <w:rFonts w:ascii="Times New Roman" w:eastAsia="Times New Roman" w:hAnsi="Times New Roman" w:cs="Times New Roman"/>
          <w:bCs/>
          <w:kern w:val="0"/>
          <w:sz w:val="24"/>
          <w:szCs w:val="24"/>
          <w:lang w:val="es-ES" w:eastAsia="es-ES"/>
          <w14:ligatures w14:val="none"/>
        </w:rPr>
        <w:t>1</w:t>
      </w:r>
      <w:r w:rsidRPr="00A62FBB">
        <w:rPr>
          <w:rFonts w:ascii="Times New Roman" w:eastAsia="Times New Roman" w:hAnsi="Times New Roman" w:cs="Times New Roman"/>
          <w:bCs/>
          <w:kern w:val="0"/>
          <w:sz w:val="24"/>
          <w:szCs w:val="24"/>
          <w:lang w:val="es-ES" w:eastAsia="es-ES"/>
          <w14:ligatures w14:val="none"/>
        </w:rPr>
        <w:t xml:space="preserve"> cárceles distribuidas por todo el territorio nacional, registrando una mayor concentración de establecimientos penitenciarios y de población reclusa en la Zona Metropolitana de Buenos Aires.</w:t>
      </w:r>
      <w:r w:rsidRPr="00A62FBB">
        <w:rPr>
          <w:rFonts w:ascii="Times New Roman" w:eastAsia="Times New Roman" w:hAnsi="Times New Roman" w:cs="Times New Roman"/>
          <w:kern w:val="0"/>
          <w:sz w:val="24"/>
          <w:szCs w:val="24"/>
          <w:lang w:val="es-ES" w:eastAsia="es-ES"/>
          <w14:ligatures w14:val="none"/>
        </w:rPr>
        <w:t xml:space="preserve"> </w:t>
      </w:r>
    </w:p>
    <w:p w14:paraId="5B4A6F4B" w14:textId="3036609A" w:rsidR="001176CD" w:rsidRDefault="001176CD" w:rsidP="004E2174">
      <w:pPr>
        <w:spacing w:after="120" w:line="240" w:lineRule="auto"/>
        <w:jc w:val="both"/>
        <w:rPr>
          <w:rFonts w:ascii="Times New Roman" w:eastAsia="Times New Roman" w:hAnsi="Times New Roman" w:cs="Times New Roman"/>
          <w:kern w:val="0"/>
          <w:sz w:val="24"/>
          <w:szCs w:val="24"/>
          <w:lang w:val="es-ES" w:eastAsia="es-ES"/>
          <w14:ligatures w14:val="none"/>
        </w:rPr>
      </w:pPr>
      <w:r>
        <w:rPr>
          <w:rFonts w:ascii="Times New Roman" w:eastAsia="Times New Roman" w:hAnsi="Times New Roman" w:cs="Times New Roman"/>
          <w:kern w:val="0"/>
          <w:sz w:val="24"/>
          <w:szCs w:val="24"/>
          <w:lang w:val="es-ES" w:eastAsia="es-ES"/>
          <w14:ligatures w14:val="none"/>
        </w:rPr>
        <w:t xml:space="preserve">Desde diciembre de 2023, con el cambio de autoridades políticas del gobierno nacional, el Servicio Penitenciario Federal fue traspasado de la órbita del Ministerio de Justicia y Derechos Humanos de la Nación a la del Ministerio de Seguridad de la Nación, lo que </w:t>
      </w:r>
      <w:r w:rsidR="00097141">
        <w:rPr>
          <w:rFonts w:ascii="Times New Roman" w:eastAsia="Times New Roman" w:hAnsi="Times New Roman" w:cs="Times New Roman"/>
          <w:kern w:val="0"/>
          <w:sz w:val="24"/>
          <w:szCs w:val="24"/>
          <w:lang w:val="es-ES" w:eastAsia="es-ES"/>
          <w14:ligatures w14:val="none"/>
        </w:rPr>
        <w:t>ha profundizado l</w:t>
      </w:r>
      <w:r>
        <w:rPr>
          <w:rFonts w:ascii="Times New Roman" w:eastAsia="Times New Roman" w:hAnsi="Times New Roman" w:cs="Times New Roman"/>
          <w:kern w:val="0"/>
          <w:sz w:val="24"/>
          <w:szCs w:val="24"/>
          <w:lang w:val="es-ES" w:eastAsia="es-ES"/>
          <w14:ligatures w14:val="none"/>
        </w:rPr>
        <w:t xml:space="preserve">a impronta </w:t>
      </w:r>
      <w:r w:rsidR="00097141">
        <w:rPr>
          <w:rFonts w:ascii="Times New Roman" w:eastAsia="Times New Roman" w:hAnsi="Times New Roman" w:cs="Times New Roman"/>
          <w:kern w:val="0"/>
          <w:sz w:val="24"/>
          <w:szCs w:val="24"/>
          <w:lang w:val="es-ES" w:eastAsia="es-ES"/>
          <w14:ligatures w14:val="none"/>
        </w:rPr>
        <w:t xml:space="preserve">de </w:t>
      </w:r>
      <w:r w:rsidR="005044C6">
        <w:rPr>
          <w:rFonts w:ascii="Times New Roman" w:eastAsia="Times New Roman" w:hAnsi="Times New Roman" w:cs="Times New Roman"/>
          <w:kern w:val="0"/>
          <w:sz w:val="24"/>
          <w:szCs w:val="24"/>
          <w:lang w:val="es-ES" w:eastAsia="es-ES"/>
          <w14:ligatures w14:val="none"/>
        </w:rPr>
        <w:t>una</w:t>
      </w:r>
      <w:r w:rsidR="00F20D7F">
        <w:rPr>
          <w:rFonts w:ascii="Times New Roman" w:eastAsia="Times New Roman" w:hAnsi="Times New Roman" w:cs="Times New Roman"/>
          <w:kern w:val="0"/>
          <w:sz w:val="24"/>
          <w:szCs w:val="24"/>
          <w:lang w:val="es-ES" w:eastAsia="es-ES"/>
          <w14:ligatures w14:val="none"/>
        </w:rPr>
        <w:t xml:space="preserve"> gestión </w:t>
      </w:r>
      <w:r>
        <w:rPr>
          <w:rFonts w:ascii="Times New Roman" w:eastAsia="Times New Roman" w:hAnsi="Times New Roman" w:cs="Times New Roman"/>
          <w:kern w:val="0"/>
          <w:sz w:val="24"/>
          <w:szCs w:val="24"/>
          <w:lang w:val="es-ES" w:eastAsia="es-ES"/>
          <w14:ligatures w14:val="none"/>
        </w:rPr>
        <w:t>más centrada en la seguridad</w:t>
      </w:r>
      <w:r w:rsidR="00097141">
        <w:rPr>
          <w:rFonts w:ascii="Times New Roman" w:eastAsia="Times New Roman" w:hAnsi="Times New Roman" w:cs="Times New Roman"/>
          <w:kern w:val="0"/>
          <w:sz w:val="24"/>
          <w:szCs w:val="24"/>
          <w:lang w:val="es-ES" w:eastAsia="es-ES"/>
          <w14:ligatures w14:val="none"/>
        </w:rPr>
        <w:t xml:space="preserve"> que en la reinserción social</w:t>
      </w:r>
      <w:r>
        <w:rPr>
          <w:rFonts w:ascii="Times New Roman" w:eastAsia="Times New Roman" w:hAnsi="Times New Roman" w:cs="Times New Roman"/>
          <w:kern w:val="0"/>
          <w:sz w:val="24"/>
          <w:szCs w:val="24"/>
          <w:lang w:val="es-ES" w:eastAsia="es-ES"/>
          <w14:ligatures w14:val="none"/>
        </w:rPr>
        <w:t>.</w:t>
      </w:r>
    </w:p>
    <w:p w14:paraId="0F4F2EAA" w14:textId="7CB86663" w:rsidR="001F5834" w:rsidRPr="001C00EF" w:rsidRDefault="001F5834" w:rsidP="004E2174">
      <w:pPr>
        <w:autoSpaceDE w:val="0"/>
        <w:autoSpaceDN w:val="0"/>
        <w:adjustRightInd w:val="0"/>
        <w:spacing w:after="120" w:line="240" w:lineRule="auto"/>
        <w:jc w:val="both"/>
        <w:rPr>
          <w:rFonts w:ascii="Times New Roman" w:hAnsi="Times New Roman" w:cs="Times New Roman"/>
          <w:sz w:val="24"/>
          <w:szCs w:val="24"/>
        </w:rPr>
      </w:pPr>
      <w:r>
        <w:rPr>
          <w:rFonts w:ascii="Times New Roman" w:eastAsia="Times New Roman" w:hAnsi="Times New Roman" w:cs="Times New Roman"/>
          <w:kern w:val="0"/>
          <w:sz w:val="24"/>
          <w:szCs w:val="24"/>
          <w:lang w:val="es-ES" w:eastAsia="es-ES"/>
          <w14:ligatures w14:val="none"/>
        </w:rPr>
        <w:t>Por otro lado, mediante Decreto Nº 455</w:t>
      </w:r>
      <w:r w:rsidR="004E2174">
        <w:rPr>
          <w:rFonts w:ascii="Times New Roman" w:eastAsia="Times New Roman" w:hAnsi="Times New Roman" w:cs="Times New Roman"/>
          <w:kern w:val="0"/>
          <w:sz w:val="24"/>
          <w:szCs w:val="24"/>
          <w:lang w:val="es-ES" w:eastAsia="es-ES"/>
          <w14:ligatures w14:val="none"/>
        </w:rPr>
        <w:t>,</w:t>
      </w:r>
      <w:r>
        <w:rPr>
          <w:rFonts w:ascii="Times New Roman" w:eastAsia="Times New Roman" w:hAnsi="Times New Roman" w:cs="Times New Roman"/>
          <w:kern w:val="0"/>
          <w:sz w:val="24"/>
          <w:szCs w:val="24"/>
          <w:lang w:val="es-ES" w:eastAsia="es-ES"/>
          <w14:ligatures w14:val="none"/>
        </w:rPr>
        <w:t xml:space="preserve"> de 7 de julio de 2025</w:t>
      </w:r>
      <w:r w:rsidR="004E2174">
        <w:rPr>
          <w:rStyle w:val="FootnoteReference"/>
          <w:rFonts w:ascii="Times New Roman" w:eastAsia="Times New Roman" w:hAnsi="Times New Roman" w:cs="Times New Roman"/>
          <w:kern w:val="0"/>
          <w:sz w:val="24"/>
          <w:szCs w:val="24"/>
          <w:lang w:val="es-ES" w:eastAsia="es-ES"/>
          <w14:ligatures w14:val="none"/>
        </w:rPr>
        <w:footnoteReference w:id="1"/>
      </w:r>
      <w:r>
        <w:rPr>
          <w:rFonts w:ascii="Times New Roman" w:eastAsia="Times New Roman" w:hAnsi="Times New Roman" w:cs="Times New Roman"/>
          <w:kern w:val="0"/>
          <w:sz w:val="24"/>
          <w:szCs w:val="24"/>
          <w:lang w:val="es-ES" w:eastAsia="es-ES"/>
          <w14:ligatures w14:val="none"/>
        </w:rPr>
        <w:t xml:space="preserve">, el Gobierno Nacional derogó la </w:t>
      </w:r>
      <w:r>
        <w:rPr>
          <w:rFonts w:ascii="Times New Roman" w:hAnsi="Times New Roman" w:cs="Times New Roman"/>
          <w:sz w:val="24"/>
          <w:szCs w:val="24"/>
        </w:rPr>
        <w:t xml:space="preserve">Ley Orgánica del Servicio Penitenciario Federal Nº 20.416, aprobando un nuevo Estatuto del SPF. Si bien la reforma de la Ley Orgánica del SPF es una deuda pendiente de la </w:t>
      </w:r>
      <w:r w:rsidR="004E2174">
        <w:rPr>
          <w:rFonts w:ascii="Times New Roman" w:hAnsi="Times New Roman" w:cs="Times New Roman"/>
          <w:sz w:val="24"/>
          <w:szCs w:val="24"/>
        </w:rPr>
        <w:t>democracia a</w:t>
      </w:r>
      <w:r>
        <w:rPr>
          <w:rFonts w:ascii="Times New Roman" w:hAnsi="Times New Roman" w:cs="Times New Roman"/>
          <w:sz w:val="24"/>
          <w:szCs w:val="24"/>
        </w:rPr>
        <w:t xml:space="preserve">rgentina, la nueva normativa aprobada por decreto mantiene la </w:t>
      </w:r>
      <w:r w:rsidR="004E2174">
        <w:rPr>
          <w:rFonts w:ascii="Times New Roman" w:hAnsi="Times New Roman" w:cs="Times New Roman"/>
          <w:sz w:val="24"/>
          <w:szCs w:val="24"/>
        </w:rPr>
        <w:t>estructura militarizada de la agencia penitenciaria, sin aportar cambios significativos que impliquen una mayor orientación de la ejecución penal hacia el objetivo de la reinserción social</w:t>
      </w:r>
      <w:r>
        <w:rPr>
          <w:rFonts w:ascii="Times New Roman" w:hAnsi="Times New Roman" w:cs="Times New Roman"/>
          <w:sz w:val="24"/>
          <w:szCs w:val="24"/>
        </w:rPr>
        <w:t xml:space="preserve">. </w:t>
      </w:r>
      <w:r w:rsidR="004E2174">
        <w:rPr>
          <w:rFonts w:ascii="Times New Roman" w:hAnsi="Times New Roman" w:cs="Times New Roman"/>
          <w:sz w:val="24"/>
          <w:szCs w:val="24"/>
        </w:rPr>
        <w:t>En este sentido, h</w:t>
      </w:r>
      <w:r>
        <w:rPr>
          <w:rFonts w:ascii="Times New Roman" w:hAnsi="Times New Roman" w:cs="Times New Roman"/>
          <w:sz w:val="24"/>
          <w:szCs w:val="24"/>
        </w:rPr>
        <w:t xml:space="preserve">ubiese sido pertinente un amplio debate parlamentario </w:t>
      </w:r>
      <w:r w:rsidR="004E2174">
        <w:rPr>
          <w:rFonts w:ascii="Times New Roman" w:hAnsi="Times New Roman" w:cs="Times New Roman"/>
          <w:sz w:val="24"/>
          <w:szCs w:val="24"/>
        </w:rPr>
        <w:t>sobre la desmilitarización del SPF y la conformación de un servicio penitenciario con una estructura civil.</w:t>
      </w:r>
    </w:p>
    <w:p w14:paraId="36F90E60" w14:textId="67DA925D" w:rsidR="00A62FBB" w:rsidRPr="00A62FBB" w:rsidRDefault="00A62FBB" w:rsidP="004E2174">
      <w:pPr>
        <w:autoSpaceDE w:val="0"/>
        <w:autoSpaceDN w:val="0"/>
        <w:adjustRightInd w:val="0"/>
        <w:spacing w:after="120" w:line="240" w:lineRule="auto"/>
        <w:jc w:val="both"/>
        <w:rPr>
          <w:rFonts w:ascii="Times New Roman" w:eastAsia="Times New Roman" w:hAnsi="Times New Roman" w:cs="Times New Roman"/>
          <w:bCs/>
          <w:kern w:val="0"/>
          <w:sz w:val="24"/>
          <w:szCs w:val="24"/>
          <w:lang w:val="es-ES" w:eastAsia="es-ES"/>
          <w14:ligatures w14:val="none"/>
        </w:rPr>
      </w:pPr>
      <w:r w:rsidRPr="00A62FBB">
        <w:rPr>
          <w:rFonts w:ascii="Times New Roman" w:eastAsia="Times New Roman" w:hAnsi="Times New Roman" w:cs="Times New Roman"/>
          <w:kern w:val="0"/>
          <w:sz w:val="24"/>
          <w:szCs w:val="24"/>
          <w:lang w:val="es-ES" w:eastAsia="es-ES"/>
          <w14:ligatures w14:val="none"/>
        </w:rPr>
        <w:t xml:space="preserve">A </w:t>
      </w:r>
      <w:r w:rsidR="00846A19">
        <w:rPr>
          <w:rFonts w:ascii="Times New Roman" w:eastAsia="Times New Roman" w:hAnsi="Times New Roman" w:cs="Times New Roman"/>
          <w:kern w:val="0"/>
          <w:sz w:val="24"/>
          <w:szCs w:val="24"/>
          <w:lang w:val="es-ES" w:eastAsia="es-ES"/>
          <w14:ligatures w14:val="none"/>
        </w:rPr>
        <w:t>1</w:t>
      </w:r>
      <w:r w:rsidR="009D1BE6">
        <w:rPr>
          <w:rFonts w:ascii="Times New Roman" w:eastAsia="Times New Roman" w:hAnsi="Times New Roman" w:cs="Times New Roman"/>
          <w:kern w:val="0"/>
          <w:sz w:val="24"/>
          <w:szCs w:val="24"/>
          <w:lang w:val="es-ES" w:eastAsia="es-ES"/>
          <w14:ligatures w14:val="none"/>
        </w:rPr>
        <w:t>9</w:t>
      </w:r>
      <w:r w:rsidRPr="00A62FBB">
        <w:rPr>
          <w:rFonts w:ascii="Times New Roman" w:eastAsia="Times New Roman" w:hAnsi="Times New Roman" w:cs="Times New Roman"/>
          <w:kern w:val="0"/>
          <w:sz w:val="24"/>
          <w:szCs w:val="24"/>
          <w:lang w:val="es-ES" w:eastAsia="es-ES"/>
          <w14:ligatures w14:val="none"/>
        </w:rPr>
        <w:t xml:space="preserve"> de </w:t>
      </w:r>
      <w:r w:rsidR="00846A19">
        <w:rPr>
          <w:rFonts w:ascii="Times New Roman" w:eastAsia="Times New Roman" w:hAnsi="Times New Roman" w:cs="Times New Roman"/>
          <w:kern w:val="0"/>
          <w:sz w:val="24"/>
          <w:szCs w:val="24"/>
          <w:lang w:val="es-ES" w:eastAsia="es-ES"/>
          <w14:ligatures w14:val="none"/>
        </w:rPr>
        <w:t>septiembre</w:t>
      </w:r>
      <w:r w:rsidRPr="00A62FBB">
        <w:rPr>
          <w:rFonts w:ascii="Times New Roman" w:eastAsia="Times New Roman" w:hAnsi="Times New Roman" w:cs="Times New Roman"/>
          <w:kern w:val="0"/>
          <w:sz w:val="24"/>
          <w:szCs w:val="24"/>
          <w:lang w:val="es-ES" w:eastAsia="es-ES"/>
          <w14:ligatures w14:val="none"/>
        </w:rPr>
        <w:t xml:space="preserve"> de 20</w:t>
      </w:r>
      <w:r w:rsidR="00020318">
        <w:rPr>
          <w:rFonts w:ascii="Times New Roman" w:eastAsia="Times New Roman" w:hAnsi="Times New Roman" w:cs="Times New Roman"/>
          <w:kern w:val="0"/>
          <w:sz w:val="24"/>
          <w:szCs w:val="24"/>
          <w:lang w:val="es-ES" w:eastAsia="es-ES"/>
          <w14:ligatures w14:val="none"/>
        </w:rPr>
        <w:t>25</w:t>
      </w:r>
      <w:r w:rsidRPr="00A62FBB">
        <w:rPr>
          <w:rFonts w:ascii="Times New Roman" w:eastAsia="Times New Roman" w:hAnsi="Times New Roman" w:cs="Times New Roman"/>
          <w:kern w:val="0"/>
          <w:sz w:val="24"/>
          <w:szCs w:val="24"/>
          <w:lang w:val="es-ES" w:eastAsia="es-ES"/>
          <w14:ligatures w14:val="none"/>
        </w:rPr>
        <w:t xml:space="preserve">, la población detenida en cárceles federales </w:t>
      </w:r>
      <w:r w:rsidR="00020318">
        <w:rPr>
          <w:rFonts w:ascii="Times New Roman" w:eastAsia="Times New Roman" w:hAnsi="Times New Roman" w:cs="Times New Roman"/>
          <w:kern w:val="0"/>
          <w:sz w:val="24"/>
          <w:szCs w:val="24"/>
          <w:lang w:val="es-ES" w:eastAsia="es-ES"/>
          <w14:ligatures w14:val="none"/>
        </w:rPr>
        <w:t xml:space="preserve">era de </w:t>
      </w:r>
      <w:r w:rsidRPr="00A62FBB">
        <w:rPr>
          <w:rFonts w:ascii="Times New Roman" w:eastAsia="Times New Roman" w:hAnsi="Times New Roman" w:cs="Times New Roman"/>
          <w:kern w:val="0"/>
          <w:sz w:val="24"/>
          <w:szCs w:val="24"/>
          <w:lang w:val="es-ES" w:eastAsia="es-ES"/>
          <w14:ligatures w14:val="none"/>
        </w:rPr>
        <w:t>1</w:t>
      </w:r>
      <w:r w:rsidR="00846A19">
        <w:rPr>
          <w:rFonts w:ascii="Times New Roman" w:eastAsia="Times New Roman" w:hAnsi="Times New Roman" w:cs="Times New Roman"/>
          <w:kern w:val="0"/>
          <w:sz w:val="24"/>
          <w:szCs w:val="24"/>
          <w:lang w:val="es-ES" w:eastAsia="es-ES"/>
          <w14:ligatures w14:val="none"/>
        </w:rPr>
        <w:t>2</w:t>
      </w:r>
      <w:r w:rsidR="00020318">
        <w:rPr>
          <w:rFonts w:ascii="Times New Roman" w:eastAsia="Times New Roman" w:hAnsi="Times New Roman" w:cs="Times New Roman"/>
          <w:kern w:val="0"/>
          <w:sz w:val="24"/>
          <w:szCs w:val="24"/>
          <w:lang w:val="es-ES" w:eastAsia="es-ES"/>
          <w14:ligatures w14:val="none"/>
        </w:rPr>
        <w:t>.</w:t>
      </w:r>
      <w:r w:rsidR="00846A19">
        <w:rPr>
          <w:rFonts w:ascii="Times New Roman" w:eastAsia="Times New Roman" w:hAnsi="Times New Roman" w:cs="Times New Roman"/>
          <w:kern w:val="0"/>
          <w:sz w:val="24"/>
          <w:szCs w:val="24"/>
          <w:lang w:val="es-ES" w:eastAsia="es-ES"/>
          <w14:ligatures w14:val="none"/>
        </w:rPr>
        <w:t>0</w:t>
      </w:r>
      <w:r w:rsidR="009D1BE6">
        <w:rPr>
          <w:rFonts w:ascii="Times New Roman" w:eastAsia="Times New Roman" w:hAnsi="Times New Roman" w:cs="Times New Roman"/>
          <w:kern w:val="0"/>
          <w:sz w:val="24"/>
          <w:szCs w:val="24"/>
          <w:lang w:val="es-ES" w:eastAsia="es-ES"/>
          <w14:ligatures w14:val="none"/>
        </w:rPr>
        <w:t>62</w:t>
      </w:r>
      <w:r w:rsidRPr="00A62FBB">
        <w:rPr>
          <w:rFonts w:ascii="Times New Roman" w:eastAsia="Times New Roman" w:hAnsi="Times New Roman" w:cs="Times New Roman"/>
          <w:kern w:val="0"/>
          <w:sz w:val="24"/>
          <w:szCs w:val="24"/>
          <w:lang w:val="es-ES" w:eastAsia="es-ES"/>
          <w14:ligatures w14:val="none"/>
        </w:rPr>
        <w:t xml:space="preserve"> personas</w:t>
      </w:r>
      <w:r w:rsidRPr="00A62FBB">
        <w:rPr>
          <w:rFonts w:ascii="Times New Roman" w:eastAsia="Times New Roman" w:hAnsi="Times New Roman" w:cs="Times New Roman"/>
          <w:kern w:val="0"/>
          <w:sz w:val="24"/>
          <w:szCs w:val="24"/>
          <w:vertAlign w:val="superscript"/>
          <w:lang w:val="es-ES" w:eastAsia="es-ES"/>
          <w14:ligatures w14:val="none"/>
        </w:rPr>
        <w:footnoteReference w:id="2"/>
      </w:r>
      <w:r w:rsidRPr="00A62FBB">
        <w:rPr>
          <w:rFonts w:ascii="Times New Roman" w:eastAsia="Times New Roman" w:hAnsi="Times New Roman" w:cs="Times New Roman"/>
          <w:kern w:val="0"/>
          <w:sz w:val="24"/>
          <w:szCs w:val="24"/>
          <w:lang w:val="es-ES" w:eastAsia="es-ES"/>
          <w14:ligatures w14:val="none"/>
        </w:rPr>
        <w:t>.</w:t>
      </w:r>
      <w:r w:rsidR="00020318">
        <w:rPr>
          <w:rFonts w:ascii="Times New Roman" w:eastAsia="Times New Roman" w:hAnsi="Times New Roman" w:cs="Times New Roman"/>
          <w:kern w:val="0"/>
          <w:sz w:val="24"/>
          <w:szCs w:val="24"/>
          <w:lang w:val="es-ES" w:eastAsia="es-ES"/>
          <w14:ligatures w14:val="none"/>
        </w:rPr>
        <w:t xml:space="preserve"> </w:t>
      </w:r>
      <w:r w:rsidRPr="00A62FBB">
        <w:rPr>
          <w:rFonts w:ascii="Times New Roman" w:eastAsia="Times New Roman" w:hAnsi="Times New Roman" w:cs="Times New Roman"/>
          <w:bCs/>
          <w:kern w:val="0"/>
          <w:sz w:val="24"/>
          <w:szCs w:val="24"/>
          <w:lang w:val="es-ES" w:eastAsia="es-ES"/>
          <w14:ligatures w14:val="none"/>
        </w:rPr>
        <w:t xml:space="preserve">A ello hay que añadir el conjunto de detenidos por orden de la justicia nacional o federal internados en </w:t>
      </w:r>
      <w:r w:rsidR="00020318">
        <w:rPr>
          <w:rFonts w:ascii="Times New Roman" w:eastAsia="Times New Roman" w:hAnsi="Times New Roman" w:cs="Times New Roman"/>
          <w:bCs/>
          <w:kern w:val="0"/>
          <w:sz w:val="24"/>
          <w:szCs w:val="24"/>
          <w:lang w:val="es-ES" w:eastAsia="es-ES"/>
          <w14:ligatures w14:val="none"/>
        </w:rPr>
        <w:t xml:space="preserve">comisarías policiales, dependencias de fuerzas de seguridad federales como Gendarmería Nacional y Prefectura Naval, </w:t>
      </w:r>
      <w:r w:rsidRPr="00A62FBB">
        <w:rPr>
          <w:rFonts w:ascii="Times New Roman" w:eastAsia="Times New Roman" w:hAnsi="Times New Roman" w:cs="Times New Roman"/>
          <w:bCs/>
          <w:kern w:val="0"/>
          <w:sz w:val="24"/>
          <w:szCs w:val="24"/>
          <w:lang w:val="es-ES" w:eastAsia="es-ES"/>
          <w14:ligatures w14:val="none"/>
        </w:rPr>
        <w:t>cárceles provinciales, y en los Institutos de Menores.</w:t>
      </w:r>
      <w:r w:rsidR="00020318">
        <w:rPr>
          <w:rFonts w:ascii="Times New Roman" w:eastAsia="Times New Roman" w:hAnsi="Times New Roman" w:cs="Times New Roman"/>
          <w:bCs/>
          <w:kern w:val="0"/>
          <w:sz w:val="24"/>
          <w:szCs w:val="24"/>
          <w:lang w:val="es-ES" w:eastAsia="es-ES"/>
          <w14:ligatures w14:val="none"/>
        </w:rPr>
        <w:t xml:space="preserve"> Particularmente grave es la situación de las personas en Alcaidías y Comisarías de la Policía de la Ciudad de Buenos Aires, donde a </w:t>
      </w:r>
      <w:r w:rsidR="00C95632">
        <w:rPr>
          <w:rFonts w:ascii="Times New Roman" w:eastAsia="Times New Roman" w:hAnsi="Times New Roman" w:cs="Times New Roman"/>
          <w:bCs/>
          <w:kern w:val="0"/>
          <w:sz w:val="24"/>
          <w:szCs w:val="24"/>
          <w:lang w:val="es-ES" w:eastAsia="es-ES"/>
          <w14:ligatures w14:val="none"/>
        </w:rPr>
        <w:t>3</w:t>
      </w:r>
      <w:r w:rsidR="00846A19">
        <w:rPr>
          <w:rFonts w:ascii="Times New Roman" w:eastAsia="Times New Roman" w:hAnsi="Times New Roman" w:cs="Times New Roman"/>
          <w:bCs/>
          <w:kern w:val="0"/>
          <w:sz w:val="24"/>
          <w:szCs w:val="24"/>
          <w:lang w:val="es-ES" w:eastAsia="es-ES"/>
          <w14:ligatures w14:val="none"/>
        </w:rPr>
        <w:t>1</w:t>
      </w:r>
      <w:r w:rsidR="00C95632">
        <w:rPr>
          <w:rFonts w:ascii="Times New Roman" w:eastAsia="Times New Roman" w:hAnsi="Times New Roman" w:cs="Times New Roman"/>
          <w:bCs/>
          <w:kern w:val="0"/>
          <w:sz w:val="24"/>
          <w:szCs w:val="24"/>
          <w:lang w:val="es-ES" w:eastAsia="es-ES"/>
          <w14:ligatures w14:val="none"/>
        </w:rPr>
        <w:t xml:space="preserve"> </w:t>
      </w:r>
      <w:r w:rsidR="00020318">
        <w:rPr>
          <w:rFonts w:ascii="Times New Roman" w:eastAsia="Times New Roman" w:hAnsi="Times New Roman" w:cs="Times New Roman"/>
          <w:bCs/>
          <w:kern w:val="0"/>
          <w:sz w:val="24"/>
          <w:szCs w:val="24"/>
          <w:lang w:val="es-ES" w:eastAsia="es-ES"/>
          <w14:ligatures w14:val="none"/>
        </w:rPr>
        <w:t xml:space="preserve">de </w:t>
      </w:r>
      <w:r w:rsidR="00CE4773">
        <w:rPr>
          <w:rFonts w:ascii="Times New Roman" w:eastAsia="Times New Roman" w:hAnsi="Times New Roman" w:cs="Times New Roman"/>
          <w:bCs/>
          <w:kern w:val="0"/>
          <w:sz w:val="24"/>
          <w:szCs w:val="24"/>
          <w:lang w:val="es-ES" w:eastAsia="es-ES"/>
          <w14:ligatures w14:val="none"/>
        </w:rPr>
        <w:t>agost</w:t>
      </w:r>
      <w:r w:rsidR="00846A19">
        <w:rPr>
          <w:rFonts w:ascii="Times New Roman" w:eastAsia="Times New Roman" w:hAnsi="Times New Roman" w:cs="Times New Roman"/>
          <w:bCs/>
          <w:kern w:val="0"/>
          <w:sz w:val="24"/>
          <w:szCs w:val="24"/>
          <w:lang w:val="es-ES" w:eastAsia="es-ES"/>
          <w14:ligatures w14:val="none"/>
        </w:rPr>
        <w:t>o</w:t>
      </w:r>
      <w:r w:rsidR="00020318">
        <w:rPr>
          <w:rFonts w:ascii="Times New Roman" w:eastAsia="Times New Roman" w:hAnsi="Times New Roman" w:cs="Times New Roman"/>
          <w:bCs/>
          <w:kern w:val="0"/>
          <w:sz w:val="24"/>
          <w:szCs w:val="24"/>
          <w:lang w:val="es-ES" w:eastAsia="es-ES"/>
          <w14:ligatures w14:val="none"/>
        </w:rPr>
        <w:t xml:space="preserve"> de 2025 había 2.</w:t>
      </w:r>
      <w:r w:rsidR="00CE4773">
        <w:rPr>
          <w:rFonts w:ascii="Times New Roman" w:eastAsia="Times New Roman" w:hAnsi="Times New Roman" w:cs="Times New Roman"/>
          <w:bCs/>
          <w:kern w:val="0"/>
          <w:sz w:val="24"/>
          <w:szCs w:val="24"/>
          <w:lang w:val="es-ES" w:eastAsia="es-ES"/>
          <w14:ligatures w14:val="none"/>
        </w:rPr>
        <w:t>408</w:t>
      </w:r>
      <w:r w:rsidR="00020318">
        <w:rPr>
          <w:rFonts w:ascii="Times New Roman" w:eastAsia="Times New Roman" w:hAnsi="Times New Roman" w:cs="Times New Roman"/>
          <w:bCs/>
          <w:kern w:val="0"/>
          <w:sz w:val="24"/>
          <w:szCs w:val="24"/>
          <w:lang w:val="es-ES" w:eastAsia="es-ES"/>
          <w14:ligatures w14:val="none"/>
        </w:rPr>
        <w:t xml:space="preserve"> detenidos</w:t>
      </w:r>
      <w:r w:rsidR="00C95632">
        <w:rPr>
          <w:rStyle w:val="FootnoteReference"/>
          <w:rFonts w:ascii="Times New Roman" w:eastAsia="Times New Roman" w:hAnsi="Times New Roman" w:cs="Times New Roman"/>
          <w:bCs/>
          <w:kern w:val="0"/>
          <w:sz w:val="24"/>
          <w:szCs w:val="24"/>
          <w:lang w:val="es-ES" w:eastAsia="es-ES"/>
          <w14:ligatures w14:val="none"/>
        </w:rPr>
        <w:footnoteReference w:id="3"/>
      </w:r>
      <w:r w:rsidR="00020318">
        <w:rPr>
          <w:rFonts w:ascii="Times New Roman" w:eastAsia="Times New Roman" w:hAnsi="Times New Roman" w:cs="Times New Roman"/>
          <w:bCs/>
          <w:kern w:val="0"/>
          <w:sz w:val="24"/>
          <w:szCs w:val="24"/>
          <w:lang w:val="es-ES" w:eastAsia="es-ES"/>
          <w14:ligatures w14:val="none"/>
        </w:rPr>
        <w:t>, la mayoría por orden de jueces nacionales, en lugares que no tienen las condiciones mínimas para el alojamiento de personas por tiempo prolongado.</w:t>
      </w:r>
    </w:p>
    <w:p w14:paraId="2635FCBE" w14:textId="77777777" w:rsidR="00A62FBB" w:rsidRPr="00CE4773" w:rsidRDefault="00A62FBB" w:rsidP="004E2174">
      <w:pPr>
        <w:spacing w:after="120" w:line="240" w:lineRule="auto"/>
        <w:rPr>
          <w:rFonts w:ascii="Times New Roman" w:hAnsi="Times New Roman" w:cs="Times New Roman"/>
          <w:b/>
          <w:bCs/>
          <w:noProof/>
          <w:sz w:val="24"/>
          <w:szCs w:val="24"/>
          <w:lang w:val="es-ES"/>
        </w:rPr>
      </w:pPr>
    </w:p>
    <w:p w14:paraId="4D59C016" w14:textId="65D273CA" w:rsidR="00597B52" w:rsidRPr="00921E1E" w:rsidRDefault="00597B52" w:rsidP="004E2174">
      <w:pPr>
        <w:pStyle w:val="Heading1"/>
        <w:spacing w:before="0" w:after="120" w:line="240" w:lineRule="auto"/>
        <w:rPr>
          <w:rStyle w:val="Hyperlink"/>
          <w:rFonts w:ascii="Times New Roman" w:hAnsi="Times New Roman" w:cs="Times New Roman"/>
          <w:b/>
          <w:bCs/>
          <w:noProof/>
          <w:color w:val="auto"/>
          <w:sz w:val="24"/>
          <w:szCs w:val="24"/>
          <w:u w:val="none"/>
        </w:rPr>
      </w:pPr>
      <w:bookmarkStart w:id="3" w:name="_Toc210805561"/>
      <w:r w:rsidRPr="00921E1E">
        <w:rPr>
          <w:rStyle w:val="Hyperlink"/>
          <w:rFonts w:ascii="Times New Roman" w:hAnsi="Times New Roman" w:cs="Times New Roman"/>
          <w:b/>
          <w:bCs/>
          <w:noProof/>
          <w:color w:val="auto"/>
          <w:sz w:val="24"/>
          <w:szCs w:val="24"/>
          <w:u w:val="none"/>
        </w:rPr>
        <w:t>2. SOBREPOBLACION Y CONDICIONES MATERIALES DE DETENCION EN CARCELES FEDERALES Y OTROS LUGARES DE DETENCIÓN</w:t>
      </w:r>
      <w:bookmarkEnd w:id="3"/>
      <w:r w:rsidRPr="00921E1E">
        <w:rPr>
          <w:rStyle w:val="Hyperlink"/>
          <w:rFonts w:ascii="Times New Roman" w:hAnsi="Times New Roman" w:cs="Times New Roman"/>
          <w:b/>
          <w:bCs/>
          <w:noProof/>
          <w:color w:val="auto"/>
          <w:sz w:val="24"/>
          <w:szCs w:val="24"/>
          <w:u w:val="none"/>
        </w:rPr>
        <w:t xml:space="preserve"> </w:t>
      </w:r>
    </w:p>
    <w:p w14:paraId="0CA3E944" w14:textId="5B43E9C7" w:rsidR="00597B52" w:rsidRPr="00921E1E" w:rsidRDefault="00597B52" w:rsidP="004E2174">
      <w:pPr>
        <w:pStyle w:val="Heading2"/>
        <w:spacing w:before="0" w:after="120" w:line="240" w:lineRule="auto"/>
        <w:rPr>
          <w:rStyle w:val="Hyperlink"/>
          <w:rFonts w:ascii="Times New Roman" w:hAnsi="Times New Roman" w:cs="Times New Roman"/>
          <w:b/>
          <w:bCs/>
          <w:noProof/>
          <w:color w:val="auto"/>
          <w:sz w:val="24"/>
          <w:szCs w:val="24"/>
          <w:u w:val="none"/>
        </w:rPr>
      </w:pPr>
      <w:bookmarkStart w:id="4" w:name="_Toc210805562"/>
      <w:r w:rsidRPr="00921E1E">
        <w:rPr>
          <w:rStyle w:val="Hyperlink"/>
          <w:rFonts w:ascii="Times New Roman" w:hAnsi="Times New Roman" w:cs="Times New Roman"/>
          <w:b/>
          <w:bCs/>
          <w:noProof/>
          <w:color w:val="auto"/>
          <w:sz w:val="24"/>
          <w:szCs w:val="24"/>
          <w:u w:val="none"/>
        </w:rPr>
        <w:t xml:space="preserve">2.1. Situación en cárceles federales y </w:t>
      </w:r>
      <w:r w:rsidR="002960B7" w:rsidRPr="00921E1E">
        <w:rPr>
          <w:rStyle w:val="Hyperlink"/>
          <w:rFonts w:ascii="Times New Roman" w:hAnsi="Times New Roman" w:cs="Times New Roman"/>
          <w:b/>
          <w:bCs/>
          <w:noProof/>
          <w:color w:val="auto"/>
          <w:sz w:val="24"/>
          <w:szCs w:val="24"/>
          <w:u w:val="none"/>
        </w:rPr>
        <w:t>definición del cupo</w:t>
      </w:r>
      <w:bookmarkEnd w:id="4"/>
    </w:p>
    <w:p w14:paraId="61E04DF1" w14:textId="11E93872" w:rsidR="00984544" w:rsidRDefault="009D1BE6" w:rsidP="004E2174">
      <w:pPr>
        <w:spacing w:after="120" w:line="240" w:lineRule="auto"/>
        <w:jc w:val="both"/>
        <w:rPr>
          <w:rFonts w:ascii="Times New Roman" w:hAnsi="Times New Roman" w:cs="Times New Roman"/>
          <w:sz w:val="24"/>
          <w:szCs w:val="24"/>
        </w:rPr>
      </w:pPr>
      <w:r>
        <w:rPr>
          <w:rFonts w:ascii="Times New Roman" w:eastAsia="Times New Roman" w:hAnsi="Times New Roman" w:cs="Times New Roman"/>
          <w:color w:val="000000" w:themeColor="text1"/>
          <w:kern w:val="0"/>
          <w:sz w:val="24"/>
          <w:szCs w:val="24"/>
          <w:lang w:val="es-ES" w:eastAsia="es-ES"/>
          <w14:ligatures w14:val="none"/>
        </w:rPr>
        <w:t>Conforme a las últimas estadísticas</w:t>
      </w:r>
      <w:r w:rsidR="00562568">
        <w:rPr>
          <w:rFonts w:ascii="Times New Roman" w:eastAsia="Times New Roman" w:hAnsi="Times New Roman" w:cs="Times New Roman"/>
          <w:color w:val="000000" w:themeColor="text1"/>
          <w:kern w:val="0"/>
          <w:sz w:val="24"/>
          <w:szCs w:val="24"/>
          <w:lang w:val="es-ES" w:eastAsia="es-ES"/>
          <w14:ligatures w14:val="none"/>
        </w:rPr>
        <w:t xml:space="preserve"> penitenciarias</w:t>
      </w:r>
      <w:r>
        <w:rPr>
          <w:rFonts w:ascii="Times New Roman" w:eastAsia="Times New Roman" w:hAnsi="Times New Roman" w:cs="Times New Roman"/>
          <w:color w:val="000000" w:themeColor="text1"/>
          <w:kern w:val="0"/>
          <w:sz w:val="24"/>
          <w:szCs w:val="24"/>
          <w:lang w:val="es-ES" w:eastAsia="es-ES"/>
          <w14:ligatures w14:val="none"/>
        </w:rPr>
        <w:t xml:space="preserve"> disponibles del Sistema Nacional de Estadísticas de Ejecución Penal</w:t>
      </w:r>
      <w:r w:rsidR="00562568">
        <w:rPr>
          <w:rStyle w:val="FootnoteReference"/>
          <w:rFonts w:ascii="Times New Roman" w:eastAsia="Times New Roman" w:hAnsi="Times New Roman" w:cs="Times New Roman"/>
          <w:color w:val="000000" w:themeColor="text1"/>
          <w:kern w:val="0"/>
          <w:sz w:val="24"/>
          <w:szCs w:val="24"/>
          <w:lang w:val="es-ES" w:eastAsia="es-ES"/>
          <w14:ligatures w14:val="none"/>
        </w:rPr>
        <w:footnoteReference w:id="4"/>
      </w:r>
      <w:r>
        <w:rPr>
          <w:rFonts w:ascii="Times New Roman" w:eastAsia="Times New Roman" w:hAnsi="Times New Roman" w:cs="Times New Roman"/>
          <w:color w:val="000000" w:themeColor="text1"/>
          <w:kern w:val="0"/>
          <w:sz w:val="24"/>
          <w:szCs w:val="24"/>
          <w:lang w:val="es-ES" w:eastAsia="es-ES"/>
          <w14:ligatures w14:val="none"/>
        </w:rPr>
        <w:t xml:space="preserve">, a fin de diciembre de 2024 había </w:t>
      </w:r>
      <w:r w:rsidR="00984544">
        <w:rPr>
          <w:rFonts w:ascii="Times New Roman" w:eastAsia="Times New Roman" w:hAnsi="Times New Roman" w:cs="Times New Roman"/>
          <w:color w:val="000000" w:themeColor="text1"/>
          <w:kern w:val="0"/>
          <w:sz w:val="24"/>
          <w:szCs w:val="24"/>
          <w:lang w:val="es-ES" w:eastAsia="es-ES"/>
          <w14:ligatures w14:val="none"/>
        </w:rPr>
        <w:t>11</w:t>
      </w:r>
      <w:r w:rsidR="005044C6">
        <w:rPr>
          <w:rFonts w:ascii="Times New Roman" w:eastAsia="Times New Roman" w:hAnsi="Times New Roman" w:cs="Times New Roman"/>
          <w:color w:val="000000" w:themeColor="text1"/>
          <w:kern w:val="0"/>
          <w:sz w:val="24"/>
          <w:szCs w:val="24"/>
          <w:lang w:val="es-ES" w:eastAsia="es-ES"/>
          <w14:ligatures w14:val="none"/>
        </w:rPr>
        <w:t>.</w:t>
      </w:r>
      <w:r w:rsidR="00984544">
        <w:rPr>
          <w:rFonts w:ascii="Times New Roman" w:eastAsia="Times New Roman" w:hAnsi="Times New Roman" w:cs="Times New Roman"/>
          <w:color w:val="000000" w:themeColor="text1"/>
          <w:kern w:val="0"/>
          <w:sz w:val="24"/>
          <w:szCs w:val="24"/>
          <w:lang w:val="es-ES" w:eastAsia="es-ES"/>
          <w14:ligatures w14:val="none"/>
        </w:rPr>
        <w:t>731 personas detenidas en cárceles federales</w:t>
      </w:r>
      <w:r w:rsidR="00562568">
        <w:rPr>
          <w:rFonts w:ascii="Times New Roman" w:eastAsia="Times New Roman" w:hAnsi="Times New Roman" w:cs="Times New Roman"/>
          <w:color w:val="000000" w:themeColor="text1"/>
          <w:kern w:val="0"/>
          <w:sz w:val="24"/>
          <w:szCs w:val="24"/>
          <w:lang w:val="es-ES" w:eastAsia="es-ES"/>
          <w14:ligatures w14:val="none"/>
        </w:rPr>
        <w:t>, de las cuales</w:t>
      </w:r>
      <w:r w:rsidR="00984544">
        <w:rPr>
          <w:rFonts w:ascii="Times New Roman" w:eastAsia="Times New Roman" w:hAnsi="Times New Roman" w:cs="Times New Roman"/>
          <w:color w:val="000000" w:themeColor="text1"/>
          <w:kern w:val="0"/>
          <w:sz w:val="24"/>
          <w:szCs w:val="24"/>
          <w:lang w:val="es-ES" w:eastAsia="es-ES"/>
          <w14:ligatures w14:val="none"/>
        </w:rPr>
        <w:t xml:space="preserve"> 10</w:t>
      </w:r>
      <w:r w:rsidR="005044C6">
        <w:rPr>
          <w:rFonts w:ascii="Times New Roman" w:eastAsia="Times New Roman" w:hAnsi="Times New Roman" w:cs="Times New Roman"/>
          <w:color w:val="000000" w:themeColor="text1"/>
          <w:kern w:val="0"/>
          <w:sz w:val="24"/>
          <w:szCs w:val="24"/>
          <w:lang w:val="es-ES" w:eastAsia="es-ES"/>
          <w14:ligatures w14:val="none"/>
        </w:rPr>
        <w:t>.</w:t>
      </w:r>
      <w:r w:rsidR="00984544">
        <w:rPr>
          <w:rFonts w:ascii="Times New Roman" w:eastAsia="Times New Roman" w:hAnsi="Times New Roman" w:cs="Times New Roman"/>
          <w:color w:val="000000" w:themeColor="text1"/>
          <w:kern w:val="0"/>
          <w:sz w:val="24"/>
          <w:szCs w:val="24"/>
          <w:lang w:val="es-ES" w:eastAsia="es-ES"/>
          <w14:ligatures w14:val="none"/>
        </w:rPr>
        <w:t>82</w:t>
      </w:r>
      <w:r w:rsidR="00562568">
        <w:rPr>
          <w:rFonts w:ascii="Times New Roman" w:eastAsia="Times New Roman" w:hAnsi="Times New Roman" w:cs="Times New Roman"/>
          <w:color w:val="000000" w:themeColor="text1"/>
          <w:kern w:val="0"/>
          <w:sz w:val="24"/>
          <w:szCs w:val="24"/>
          <w:lang w:val="es-ES" w:eastAsia="es-ES"/>
          <w14:ligatures w14:val="none"/>
        </w:rPr>
        <w:t>8</w:t>
      </w:r>
      <w:r w:rsidR="00984544">
        <w:rPr>
          <w:rFonts w:ascii="Times New Roman" w:eastAsia="Times New Roman" w:hAnsi="Times New Roman" w:cs="Times New Roman"/>
          <w:color w:val="000000" w:themeColor="text1"/>
          <w:kern w:val="0"/>
          <w:sz w:val="24"/>
          <w:szCs w:val="24"/>
          <w:lang w:val="es-ES" w:eastAsia="es-ES"/>
          <w14:ligatures w14:val="none"/>
        </w:rPr>
        <w:t xml:space="preserve"> eran varones (92</w:t>
      </w:r>
      <w:r w:rsidR="00562568">
        <w:rPr>
          <w:rFonts w:ascii="Times New Roman" w:eastAsia="Times New Roman" w:hAnsi="Times New Roman" w:cs="Times New Roman"/>
          <w:color w:val="000000" w:themeColor="text1"/>
          <w:kern w:val="0"/>
          <w:sz w:val="24"/>
          <w:szCs w:val="24"/>
          <w:lang w:val="es-ES" w:eastAsia="es-ES"/>
          <w14:ligatures w14:val="none"/>
        </w:rPr>
        <w:t>,3</w:t>
      </w:r>
      <w:r w:rsidR="00984544">
        <w:rPr>
          <w:rFonts w:ascii="Times New Roman" w:eastAsia="Times New Roman" w:hAnsi="Times New Roman" w:cs="Times New Roman"/>
          <w:color w:val="000000" w:themeColor="text1"/>
          <w:kern w:val="0"/>
          <w:sz w:val="24"/>
          <w:szCs w:val="24"/>
          <w:lang w:val="es-ES" w:eastAsia="es-ES"/>
          <w14:ligatures w14:val="none"/>
        </w:rPr>
        <w:t>%), 86</w:t>
      </w:r>
      <w:r w:rsidR="00562568">
        <w:rPr>
          <w:rFonts w:ascii="Times New Roman" w:eastAsia="Times New Roman" w:hAnsi="Times New Roman" w:cs="Times New Roman"/>
          <w:color w:val="000000" w:themeColor="text1"/>
          <w:kern w:val="0"/>
          <w:sz w:val="24"/>
          <w:szCs w:val="24"/>
          <w:lang w:val="es-ES" w:eastAsia="es-ES"/>
          <w14:ligatures w14:val="none"/>
        </w:rPr>
        <w:t>6</w:t>
      </w:r>
      <w:r w:rsidR="00984544">
        <w:rPr>
          <w:rFonts w:ascii="Times New Roman" w:eastAsia="Times New Roman" w:hAnsi="Times New Roman" w:cs="Times New Roman"/>
          <w:color w:val="000000" w:themeColor="text1"/>
          <w:kern w:val="0"/>
          <w:sz w:val="24"/>
          <w:szCs w:val="24"/>
          <w:lang w:val="es-ES" w:eastAsia="es-ES"/>
          <w14:ligatures w14:val="none"/>
        </w:rPr>
        <w:t xml:space="preserve"> mujeres (el </w:t>
      </w:r>
      <w:r w:rsidR="00562568">
        <w:rPr>
          <w:rFonts w:ascii="Times New Roman" w:eastAsia="Times New Roman" w:hAnsi="Times New Roman" w:cs="Times New Roman"/>
          <w:color w:val="000000" w:themeColor="text1"/>
          <w:kern w:val="0"/>
          <w:sz w:val="24"/>
          <w:szCs w:val="24"/>
          <w:lang w:val="es-ES" w:eastAsia="es-ES"/>
          <w14:ligatures w14:val="none"/>
        </w:rPr>
        <w:t>7,4</w:t>
      </w:r>
      <w:r w:rsidR="00984544">
        <w:rPr>
          <w:rFonts w:ascii="Times New Roman" w:eastAsia="Times New Roman" w:hAnsi="Times New Roman" w:cs="Times New Roman"/>
          <w:color w:val="000000" w:themeColor="text1"/>
          <w:kern w:val="0"/>
          <w:sz w:val="24"/>
          <w:szCs w:val="24"/>
          <w:lang w:val="es-ES" w:eastAsia="es-ES"/>
          <w14:ligatures w14:val="none"/>
        </w:rPr>
        <w:t xml:space="preserve">%) y </w:t>
      </w:r>
      <w:r w:rsidR="00562568">
        <w:rPr>
          <w:rFonts w:ascii="Times New Roman" w:eastAsia="Times New Roman" w:hAnsi="Times New Roman" w:cs="Times New Roman"/>
          <w:color w:val="000000" w:themeColor="text1"/>
          <w:kern w:val="0"/>
          <w:sz w:val="24"/>
          <w:szCs w:val="24"/>
          <w:lang w:val="es-ES" w:eastAsia="es-ES"/>
          <w14:ligatures w14:val="none"/>
        </w:rPr>
        <w:t>34</w:t>
      </w:r>
      <w:r w:rsidR="00984544">
        <w:rPr>
          <w:rFonts w:ascii="Times New Roman" w:eastAsia="Times New Roman" w:hAnsi="Times New Roman" w:cs="Times New Roman"/>
          <w:color w:val="000000" w:themeColor="text1"/>
          <w:kern w:val="0"/>
          <w:sz w:val="24"/>
          <w:szCs w:val="24"/>
          <w:lang w:val="es-ES" w:eastAsia="es-ES"/>
          <w14:ligatures w14:val="none"/>
        </w:rPr>
        <w:t xml:space="preserve"> población trans</w:t>
      </w:r>
      <w:r w:rsidR="00562568">
        <w:rPr>
          <w:rFonts w:ascii="Times New Roman" w:eastAsia="Times New Roman" w:hAnsi="Times New Roman" w:cs="Times New Roman"/>
          <w:color w:val="000000" w:themeColor="text1"/>
          <w:kern w:val="0"/>
          <w:sz w:val="24"/>
          <w:szCs w:val="24"/>
          <w:lang w:val="es-ES" w:eastAsia="es-ES"/>
          <w14:ligatures w14:val="none"/>
        </w:rPr>
        <w:t xml:space="preserve"> (0,3%)</w:t>
      </w:r>
      <w:r w:rsidR="00984544">
        <w:rPr>
          <w:rFonts w:ascii="Times New Roman" w:eastAsia="Times New Roman" w:hAnsi="Times New Roman" w:cs="Times New Roman"/>
          <w:color w:val="000000" w:themeColor="text1"/>
          <w:kern w:val="0"/>
          <w:sz w:val="24"/>
          <w:szCs w:val="24"/>
          <w:lang w:val="es-ES" w:eastAsia="es-ES"/>
          <w14:ligatures w14:val="none"/>
        </w:rPr>
        <w:t xml:space="preserve">. El </w:t>
      </w:r>
      <w:r w:rsidR="00562568">
        <w:rPr>
          <w:rFonts w:ascii="Times New Roman" w:eastAsia="Times New Roman" w:hAnsi="Times New Roman" w:cs="Times New Roman"/>
          <w:color w:val="000000" w:themeColor="text1"/>
          <w:kern w:val="0"/>
          <w:sz w:val="24"/>
          <w:szCs w:val="24"/>
          <w:lang w:val="es-ES" w:eastAsia="es-ES"/>
          <w14:ligatures w14:val="none"/>
        </w:rPr>
        <w:t>56</w:t>
      </w:r>
      <w:r w:rsidR="00984544">
        <w:rPr>
          <w:rFonts w:ascii="Times New Roman" w:eastAsia="Times New Roman" w:hAnsi="Times New Roman" w:cs="Times New Roman"/>
          <w:color w:val="000000" w:themeColor="text1"/>
          <w:kern w:val="0"/>
          <w:sz w:val="24"/>
          <w:szCs w:val="24"/>
          <w:lang w:val="es-ES" w:eastAsia="es-ES"/>
          <w14:ligatures w14:val="none"/>
        </w:rPr>
        <w:t>% de la población estaba condenada y el 4</w:t>
      </w:r>
      <w:r w:rsidR="00562568">
        <w:rPr>
          <w:rFonts w:ascii="Times New Roman" w:eastAsia="Times New Roman" w:hAnsi="Times New Roman" w:cs="Times New Roman"/>
          <w:color w:val="000000" w:themeColor="text1"/>
          <w:kern w:val="0"/>
          <w:sz w:val="24"/>
          <w:szCs w:val="24"/>
          <w:lang w:val="es-ES" w:eastAsia="es-ES"/>
          <w14:ligatures w14:val="none"/>
        </w:rPr>
        <w:t>4</w:t>
      </w:r>
      <w:r w:rsidR="00984544">
        <w:rPr>
          <w:rFonts w:ascii="Times New Roman" w:eastAsia="Times New Roman" w:hAnsi="Times New Roman" w:cs="Times New Roman"/>
          <w:color w:val="000000" w:themeColor="text1"/>
          <w:kern w:val="0"/>
          <w:sz w:val="24"/>
          <w:szCs w:val="24"/>
          <w:lang w:val="es-ES" w:eastAsia="es-ES"/>
          <w14:ligatures w14:val="none"/>
        </w:rPr>
        <w:t xml:space="preserve">% procesada con prisión preventiva. </w:t>
      </w:r>
      <w:r w:rsidR="00984544" w:rsidRPr="002C6174">
        <w:rPr>
          <w:rFonts w:ascii="Times New Roman" w:hAnsi="Times New Roman" w:cs="Times New Roman"/>
          <w:sz w:val="24"/>
          <w:szCs w:val="24"/>
        </w:rPr>
        <w:t xml:space="preserve">Hasta el año 2021 la población detenida sin condena firme </w:t>
      </w:r>
      <w:r w:rsidR="00984544">
        <w:rPr>
          <w:rFonts w:ascii="Times New Roman" w:hAnsi="Times New Roman" w:cs="Times New Roman"/>
          <w:sz w:val="24"/>
          <w:szCs w:val="24"/>
        </w:rPr>
        <w:t>era mayoritaria, pero desde entonces el porcentaje de condenados ha superado al de procesados</w:t>
      </w:r>
      <w:r w:rsidR="00CD5585">
        <w:rPr>
          <w:rFonts w:ascii="Times New Roman" w:hAnsi="Times New Roman" w:cs="Times New Roman"/>
          <w:sz w:val="24"/>
          <w:szCs w:val="24"/>
        </w:rPr>
        <w:t>, lo cual puede ser valorado como un avance</w:t>
      </w:r>
      <w:r w:rsidR="00984544">
        <w:rPr>
          <w:rFonts w:ascii="Times New Roman" w:hAnsi="Times New Roman" w:cs="Times New Roman"/>
          <w:sz w:val="24"/>
          <w:szCs w:val="24"/>
        </w:rPr>
        <w:t>.</w:t>
      </w:r>
      <w:r w:rsidR="000E7601">
        <w:rPr>
          <w:rFonts w:ascii="Times New Roman" w:hAnsi="Times New Roman" w:cs="Times New Roman"/>
          <w:sz w:val="24"/>
          <w:szCs w:val="24"/>
        </w:rPr>
        <w:t xml:space="preserve"> No obstante, el porcentaje de presos preventivos sigue siendo muy significativo y debe tenerse en cuenta que muchos presos preventivos están alojados en comisarías a la espera de cupo en el SPF.</w:t>
      </w:r>
    </w:p>
    <w:p w14:paraId="6467AB5A" w14:textId="77777777" w:rsidR="00E33A48" w:rsidRPr="00356454" w:rsidRDefault="00E33A48" w:rsidP="004E2174">
      <w:pPr>
        <w:shd w:val="clear" w:color="auto" w:fill="FFFFFF"/>
        <w:spacing w:after="120" w:line="240" w:lineRule="auto"/>
        <w:jc w:val="both"/>
        <w:rPr>
          <w:rFonts w:ascii="Times New Roman" w:eastAsia="Cambria" w:hAnsi="Times New Roman"/>
          <w:sz w:val="24"/>
          <w:szCs w:val="24"/>
        </w:rPr>
      </w:pPr>
      <w:r w:rsidRPr="00356454">
        <w:rPr>
          <w:rFonts w:ascii="Times New Roman" w:eastAsia="Cambria" w:hAnsi="Times New Roman"/>
          <w:sz w:val="24"/>
          <w:szCs w:val="24"/>
        </w:rPr>
        <w:t>La reforma de la Ley Nacional de Ejecución Penal efectuada en 2017, que limitó en gran medida los avances de las personas condenadas en el régimen penitenciario progresivo y la posibilidad de acceder a libertad condicional y otras salidas anticipadas, contribuyó a agravar el problema del aumento del encarcelamiento, como se observa en el gráfico, aumento que solo se frenó con la llegada de la emergencia sanitaria por la pandemia.</w:t>
      </w:r>
    </w:p>
    <w:p w14:paraId="1B0520CF" w14:textId="77777777" w:rsidR="00E33A48" w:rsidRDefault="00E33A48" w:rsidP="004E2174">
      <w:pPr>
        <w:spacing w:after="120" w:line="240" w:lineRule="auto"/>
        <w:jc w:val="center"/>
        <w:rPr>
          <w:rFonts w:ascii="Times New Roman" w:eastAsia="Times New Roman" w:hAnsi="Times New Roman" w:cs="Times New Roman"/>
          <w:b/>
          <w:bCs/>
          <w:color w:val="000000"/>
          <w:kern w:val="0"/>
          <w:sz w:val="20"/>
          <w:szCs w:val="20"/>
          <w:lang w:eastAsia="es-AR"/>
          <w14:ligatures w14:val="none"/>
        </w:rPr>
      </w:pPr>
    </w:p>
    <w:p w14:paraId="6276B416" w14:textId="098DABD1" w:rsidR="0079251E" w:rsidRPr="00367B9D" w:rsidRDefault="0079251E" w:rsidP="004E2174">
      <w:pPr>
        <w:spacing w:after="120" w:line="240" w:lineRule="auto"/>
        <w:jc w:val="center"/>
        <w:rPr>
          <w:rFonts w:ascii="Times New Roman" w:eastAsia="Times New Roman" w:hAnsi="Times New Roman" w:cs="Times New Roman"/>
          <w:b/>
          <w:bCs/>
          <w:color w:val="000000"/>
          <w:kern w:val="0"/>
          <w:lang w:eastAsia="es-AR"/>
          <w14:ligatures w14:val="none"/>
        </w:rPr>
      </w:pPr>
      <w:r w:rsidRPr="00367B9D">
        <w:rPr>
          <w:rFonts w:ascii="Times New Roman" w:eastAsia="Times New Roman" w:hAnsi="Times New Roman" w:cs="Times New Roman"/>
          <w:b/>
          <w:bCs/>
          <w:color w:val="000000"/>
          <w:kern w:val="0"/>
          <w:lang w:eastAsia="es-AR"/>
          <w14:ligatures w14:val="none"/>
        </w:rPr>
        <w:t xml:space="preserve">Evolución histórica de la población alojada </w:t>
      </w:r>
      <w:r w:rsidR="006A7889" w:rsidRPr="00367B9D">
        <w:rPr>
          <w:rFonts w:ascii="Times New Roman" w:eastAsia="Times New Roman" w:hAnsi="Times New Roman" w:cs="Times New Roman"/>
          <w:b/>
          <w:bCs/>
          <w:color w:val="000000"/>
          <w:kern w:val="0"/>
          <w:lang w:eastAsia="es-AR"/>
          <w14:ligatures w14:val="none"/>
        </w:rPr>
        <w:t xml:space="preserve">y el cupo declarado </w:t>
      </w:r>
      <w:r w:rsidRPr="00367B9D">
        <w:rPr>
          <w:rFonts w:ascii="Times New Roman" w:eastAsia="Times New Roman" w:hAnsi="Times New Roman" w:cs="Times New Roman"/>
          <w:b/>
          <w:bCs/>
          <w:color w:val="000000"/>
          <w:kern w:val="0"/>
          <w:lang w:eastAsia="es-AR"/>
          <w14:ligatures w14:val="none"/>
        </w:rPr>
        <w:t>en el SPF (1996-2024)</w:t>
      </w:r>
    </w:p>
    <w:p w14:paraId="581F89F3" w14:textId="79FAAA30" w:rsidR="0035779D" w:rsidRPr="0035779D" w:rsidRDefault="006A7889" w:rsidP="004E2174">
      <w:pPr>
        <w:spacing w:after="120" w:line="240" w:lineRule="auto"/>
        <w:jc w:val="center"/>
        <w:rPr>
          <w:rFonts w:ascii="Times New Roman" w:eastAsia="Times New Roman" w:hAnsi="Times New Roman" w:cs="Times New Roman"/>
          <w:color w:val="000000"/>
          <w:kern w:val="0"/>
          <w:lang w:eastAsia="es-AR"/>
          <w14:ligatures w14:val="none"/>
        </w:rPr>
      </w:pPr>
      <w:r>
        <w:rPr>
          <w:noProof/>
          <w:lang w:eastAsia="es-AR"/>
        </w:rPr>
        <w:drawing>
          <wp:inline distT="0" distB="0" distL="0" distR="0" wp14:anchorId="205FF631" wp14:editId="627D8374">
            <wp:extent cx="5400040" cy="2886710"/>
            <wp:effectExtent l="0" t="0" r="10160" b="8890"/>
            <wp:docPr id="708752671" name="Gráfico 70875267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45A59A6" w14:textId="7DCA83CB" w:rsidR="0079251E" w:rsidRPr="0079251E" w:rsidRDefault="0079251E" w:rsidP="004E2174">
      <w:pPr>
        <w:autoSpaceDE w:val="0"/>
        <w:autoSpaceDN w:val="0"/>
        <w:adjustRightInd w:val="0"/>
        <w:spacing w:after="120" w:line="240" w:lineRule="auto"/>
        <w:jc w:val="center"/>
        <w:rPr>
          <w:rFonts w:ascii="Times New Roman" w:eastAsia="Calibri" w:hAnsi="Times New Roman" w:cs="Times New Roman"/>
          <w:kern w:val="0"/>
          <w:sz w:val="24"/>
          <w:szCs w:val="24"/>
          <w14:ligatures w14:val="none"/>
        </w:rPr>
      </w:pPr>
      <w:r w:rsidRPr="0079251E">
        <w:rPr>
          <w:rFonts w:ascii="Times New Roman" w:eastAsia="Times New Roman" w:hAnsi="Times New Roman" w:cs="Times New Roman"/>
          <w:color w:val="5F5F5F"/>
          <w:kern w:val="0"/>
          <w:sz w:val="20"/>
          <w:szCs w:val="20"/>
          <w:lang w:eastAsia="es-AR"/>
          <w14:ligatures w14:val="none"/>
        </w:rPr>
        <w:t xml:space="preserve">Fuente: </w:t>
      </w:r>
      <w:r w:rsidR="009D1BE6">
        <w:rPr>
          <w:rFonts w:ascii="Times New Roman" w:eastAsia="Times New Roman" w:hAnsi="Times New Roman" w:cs="Times New Roman"/>
          <w:color w:val="5F5F5F"/>
          <w:kern w:val="0"/>
          <w:sz w:val="20"/>
          <w:szCs w:val="20"/>
          <w:lang w:eastAsia="es-AR"/>
          <w14:ligatures w14:val="none"/>
        </w:rPr>
        <w:t>Elaboración propia en base a SNEEP y a la síntesis semanal de 19-09-2025 del SPF</w:t>
      </w:r>
    </w:p>
    <w:p w14:paraId="692DE914" w14:textId="77777777" w:rsidR="0079251E" w:rsidRPr="0079251E" w:rsidRDefault="0079251E" w:rsidP="004E2174">
      <w:pPr>
        <w:autoSpaceDE w:val="0"/>
        <w:autoSpaceDN w:val="0"/>
        <w:adjustRightInd w:val="0"/>
        <w:spacing w:after="120" w:line="240" w:lineRule="auto"/>
        <w:ind w:firstLine="708"/>
        <w:jc w:val="both"/>
        <w:rPr>
          <w:rFonts w:ascii="Times New Roman" w:eastAsia="Calibri" w:hAnsi="Times New Roman" w:cs="Times New Roman"/>
          <w:kern w:val="0"/>
          <w:sz w:val="24"/>
          <w:szCs w:val="24"/>
          <w14:ligatures w14:val="none"/>
        </w:rPr>
      </w:pPr>
    </w:p>
    <w:p w14:paraId="109F53E7" w14:textId="721A01E4" w:rsidR="0079251E" w:rsidRDefault="0079251E" w:rsidP="004E2174">
      <w:pPr>
        <w:spacing w:after="120" w:line="240" w:lineRule="auto"/>
        <w:jc w:val="both"/>
        <w:rPr>
          <w:rFonts w:ascii="Times New Roman" w:eastAsia="Calibri" w:hAnsi="Times New Roman" w:cs="Times New Roman"/>
          <w:kern w:val="0"/>
          <w:sz w:val="24"/>
          <w:szCs w:val="24"/>
          <w14:ligatures w14:val="none"/>
        </w:rPr>
      </w:pPr>
      <w:r w:rsidRPr="0079251E">
        <w:rPr>
          <w:rFonts w:ascii="Times New Roman" w:eastAsia="Calibri" w:hAnsi="Times New Roman" w:cs="Times New Roman"/>
          <w:kern w:val="0"/>
          <w:sz w:val="24"/>
          <w:szCs w:val="24"/>
          <w14:ligatures w14:val="none"/>
        </w:rPr>
        <w:t xml:space="preserve">En 2020 el SPF experimentó un significativo descenso de población en las cárceles federales, vinculado a las medidas adoptadas en virtud de la pandemia de COVID-19, y una estabilidad en los años subsiguientes. En 2024 se observa un leve aumento en las cifras de personas alojadas aun cuando todavía se encuentra lejos de los niveles de encarcelamiento de 2019. No obstante, </w:t>
      </w:r>
      <w:r w:rsidR="00AA36E5">
        <w:rPr>
          <w:rFonts w:ascii="Times New Roman" w:eastAsia="Calibri" w:hAnsi="Times New Roman" w:cs="Times New Roman"/>
          <w:kern w:val="0"/>
          <w:sz w:val="24"/>
          <w:szCs w:val="24"/>
          <w14:ligatures w14:val="none"/>
        </w:rPr>
        <w:t xml:space="preserve">desde el año 2020 empezaron a quedar personas detenidas de forma </w:t>
      </w:r>
      <w:r w:rsidRPr="0079251E">
        <w:rPr>
          <w:rFonts w:ascii="Times New Roman" w:eastAsia="Calibri" w:hAnsi="Times New Roman" w:cs="Times New Roman"/>
          <w:kern w:val="0"/>
          <w:sz w:val="24"/>
          <w:szCs w:val="24"/>
          <w14:ligatures w14:val="none"/>
        </w:rPr>
        <w:t xml:space="preserve">prolongada en comisarías y alcaidías de la </w:t>
      </w:r>
      <w:r w:rsidR="00562568">
        <w:rPr>
          <w:rFonts w:ascii="Times New Roman" w:eastAsia="Calibri" w:hAnsi="Times New Roman" w:cs="Times New Roman"/>
          <w:kern w:val="0"/>
          <w:sz w:val="24"/>
          <w:szCs w:val="24"/>
          <w14:ligatures w14:val="none"/>
        </w:rPr>
        <w:t xml:space="preserve">Policía de </w:t>
      </w:r>
      <w:r w:rsidRPr="0079251E">
        <w:rPr>
          <w:rFonts w:ascii="Times New Roman" w:eastAsia="Calibri" w:hAnsi="Times New Roman" w:cs="Times New Roman"/>
          <w:kern w:val="0"/>
          <w:sz w:val="24"/>
          <w:szCs w:val="24"/>
          <w14:ligatures w14:val="none"/>
        </w:rPr>
        <w:t>CABA</w:t>
      </w:r>
      <w:r w:rsidR="00AA36E5">
        <w:rPr>
          <w:rFonts w:ascii="Times New Roman" w:eastAsia="Calibri" w:hAnsi="Times New Roman" w:cs="Times New Roman"/>
          <w:kern w:val="0"/>
          <w:sz w:val="24"/>
          <w:szCs w:val="24"/>
          <w14:ligatures w14:val="none"/>
        </w:rPr>
        <w:t>, en condiciones de grave hacinamiento</w:t>
      </w:r>
      <w:r w:rsidR="00356454">
        <w:rPr>
          <w:rFonts w:ascii="Times New Roman" w:eastAsia="Calibri" w:hAnsi="Times New Roman" w:cs="Times New Roman"/>
          <w:kern w:val="0"/>
          <w:sz w:val="24"/>
          <w:szCs w:val="24"/>
          <w14:ligatures w14:val="none"/>
        </w:rPr>
        <w:t>,</w:t>
      </w:r>
      <w:r w:rsidR="00AA36E5">
        <w:rPr>
          <w:rFonts w:ascii="Times New Roman" w:eastAsia="Calibri" w:hAnsi="Times New Roman" w:cs="Times New Roman"/>
          <w:kern w:val="0"/>
          <w:sz w:val="24"/>
          <w:szCs w:val="24"/>
          <w14:ligatures w14:val="none"/>
        </w:rPr>
        <w:t xml:space="preserve"> como luego detallaremos.</w:t>
      </w:r>
    </w:p>
    <w:p w14:paraId="28F8E13C" w14:textId="29C354B8" w:rsidR="006F729F" w:rsidRDefault="00E33A48" w:rsidP="004E2174">
      <w:pPr>
        <w:spacing w:after="120" w:line="240" w:lineRule="auto"/>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La infraestructura del SPF muestra un importante deterioro, en particular las cárceles antiguas, varias de ellas con muchas décadas de antigüedad. Pero incluso las cárceles más modernas construidas a partir del año 2000 en adelante acusan una grave falta de mantenimiento de su infraestructura</w:t>
      </w:r>
      <w:r w:rsidRPr="00E33A48">
        <w:rPr>
          <w:rFonts w:ascii="Times New Roman" w:eastAsia="Calibri" w:hAnsi="Times New Roman" w:cs="Times New Roman"/>
          <w:kern w:val="0"/>
          <w:sz w:val="24"/>
          <w:szCs w:val="24"/>
          <w14:ligatures w14:val="none"/>
        </w:rPr>
        <w:t xml:space="preserve">. </w:t>
      </w:r>
      <w:r w:rsidR="006F729F">
        <w:rPr>
          <w:rFonts w:ascii="Times New Roman" w:eastAsia="Calibri" w:hAnsi="Times New Roman" w:cs="Times New Roman"/>
          <w:kern w:val="0"/>
          <w:sz w:val="24"/>
          <w:szCs w:val="24"/>
          <w14:ligatures w14:val="none"/>
        </w:rPr>
        <w:t xml:space="preserve">Como consecuencia de ello, se encuentran en trámite varios litigios de habeas corpus donde la justicia ha dispuesto la obligación del SPF de realizar reparaciones para hacer frente a la </w:t>
      </w:r>
      <w:r w:rsidR="006F729F" w:rsidRPr="006F729F">
        <w:rPr>
          <w:rStyle w:val="Hyperlink"/>
          <w:rFonts w:ascii="Times New Roman" w:hAnsi="Times New Roman" w:cs="Times New Roman"/>
          <w:noProof/>
          <w:color w:val="auto"/>
          <w:sz w:val="24"/>
          <w:szCs w:val="24"/>
          <w:u w:val="none"/>
        </w:rPr>
        <w:t xml:space="preserve">degradación de </w:t>
      </w:r>
      <w:r w:rsidR="0043015D">
        <w:rPr>
          <w:rStyle w:val="Hyperlink"/>
          <w:rFonts w:ascii="Times New Roman" w:hAnsi="Times New Roman" w:cs="Times New Roman"/>
          <w:noProof/>
          <w:color w:val="auto"/>
          <w:sz w:val="24"/>
          <w:szCs w:val="24"/>
          <w:u w:val="none"/>
        </w:rPr>
        <w:t xml:space="preserve">las </w:t>
      </w:r>
      <w:r w:rsidR="006F729F" w:rsidRPr="006F729F">
        <w:rPr>
          <w:rStyle w:val="Hyperlink"/>
          <w:rFonts w:ascii="Times New Roman" w:hAnsi="Times New Roman" w:cs="Times New Roman"/>
          <w:noProof/>
          <w:color w:val="auto"/>
          <w:sz w:val="24"/>
          <w:szCs w:val="24"/>
          <w:u w:val="none"/>
        </w:rPr>
        <w:t>condiciones materiales en las que transitan el encierro las personas detenidas.</w:t>
      </w:r>
    </w:p>
    <w:p w14:paraId="51290E49" w14:textId="6DB64826" w:rsidR="00E33A48" w:rsidRPr="00E33A48" w:rsidRDefault="006F729F" w:rsidP="004E2174">
      <w:pPr>
        <w:spacing w:after="120" w:line="240" w:lineRule="auto"/>
        <w:jc w:val="both"/>
        <w:rPr>
          <w:rFonts w:ascii="Times New Roman" w:eastAsia="Calibri" w:hAnsi="Times New Roman" w:cs="Times New Roman"/>
          <w:kern w:val="0"/>
          <w:sz w:val="24"/>
          <w:szCs w:val="24"/>
          <w14:ligatures w14:val="none"/>
        </w:rPr>
      </w:pPr>
      <w:r>
        <w:rPr>
          <w:rFonts w:ascii="Times New Roman" w:hAnsi="Times New Roman" w:cs="Times New Roman"/>
          <w:sz w:val="24"/>
          <w:szCs w:val="24"/>
        </w:rPr>
        <w:t>En el mismo sentido, e</w:t>
      </w:r>
      <w:r w:rsidR="00E33A48" w:rsidRPr="00E33A48">
        <w:rPr>
          <w:rFonts w:ascii="Times New Roman" w:hAnsi="Times New Roman" w:cs="Times New Roman"/>
          <w:sz w:val="24"/>
          <w:szCs w:val="24"/>
        </w:rPr>
        <w:t>n el marco del Diagnóstico Penitenciario Federal</w:t>
      </w:r>
      <w:r w:rsidR="00E33A48">
        <w:rPr>
          <w:rStyle w:val="FootnoteReference"/>
          <w:rFonts w:ascii="Times New Roman" w:hAnsi="Times New Roman" w:cs="Times New Roman"/>
          <w:sz w:val="24"/>
          <w:szCs w:val="24"/>
        </w:rPr>
        <w:footnoteReference w:id="5"/>
      </w:r>
      <w:r w:rsidR="00E33A48">
        <w:rPr>
          <w:rFonts w:ascii="Times New Roman" w:hAnsi="Times New Roman" w:cs="Times New Roman"/>
          <w:sz w:val="24"/>
          <w:szCs w:val="24"/>
        </w:rPr>
        <w:t xml:space="preserve">, </w:t>
      </w:r>
      <w:r w:rsidR="00872856">
        <w:rPr>
          <w:rFonts w:ascii="Times New Roman" w:hAnsi="Times New Roman" w:cs="Times New Roman"/>
          <w:sz w:val="24"/>
          <w:szCs w:val="24"/>
        </w:rPr>
        <w:t>la PPN</w:t>
      </w:r>
      <w:r w:rsidR="00E33A48">
        <w:rPr>
          <w:rFonts w:ascii="Times New Roman" w:hAnsi="Times New Roman" w:cs="Times New Roman"/>
          <w:sz w:val="24"/>
          <w:szCs w:val="24"/>
        </w:rPr>
        <w:t xml:space="preserve"> </w:t>
      </w:r>
      <w:r w:rsidR="00E33A48" w:rsidRPr="00E33A48">
        <w:rPr>
          <w:rFonts w:ascii="Times New Roman" w:hAnsi="Times New Roman" w:cs="Times New Roman"/>
          <w:sz w:val="24"/>
          <w:szCs w:val="24"/>
        </w:rPr>
        <w:t>relevó un gran deterioro general de toda la infraestructura carcelaria, lo que genera condiciones indignas de detención que ponen en riesgo cotidiano la salud y la vida tanto de las personas privadas de libertad como del personal penitenciario. Por eso señaló que la existencia de penales centenarios y la falta de mantenimiento general de toda la infraestructura generan la necesidad de intervenir para aplicar una política institucional que promueva de modo activo el mantenimiento y reparación de los lugares de alojamiento.</w:t>
      </w:r>
      <w:r w:rsidR="00E33A48">
        <w:rPr>
          <w:rFonts w:ascii="Times New Roman" w:hAnsi="Times New Roman" w:cs="Times New Roman"/>
          <w:sz w:val="24"/>
          <w:szCs w:val="24"/>
        </w:rPr>
        <w:t xml:space="preserve"> En este sentido </w:t>
      </w:r>
      <w:r w:rsidR="00E33A48">
        <w:rPr>
          <w:rFonts w:ascii="Times New Roman" w:eastAsia="Calibri" w:hAnsi="Times New Roman" w:cs="Times New Roman"/>
          <w:kern w:val="0"/>
          <w:sz w:val="24"/>
          <w:szCs w:val="24"/>
          <w14:ligatures w14:val="none"/>
        </w:rPr>
        <w:t xml:space="preserve">en el año 2023 la PPN emitió una </w:t>
      </w:r>
      <w:r w:rsidR="00E33A48" w:rsidRPr="00E33A48">
        <w:rPr>
          <w:rFonts w:ascii="Times New Roman" w:eastAsia="Calibri" w:hAnsi="Times New Roman" w:cs="Times New Roman"/>
          <w:kern w:val="0"/>
          <w:sz w:val="24"/>
          <w:szCs w:val="24"/>
          <w14:ligatures w14:val="none"/>
        </w:rPr>
        <w:t xml:space="preserve">Recomendación </w:t>
      </w:r>
      <w:r w:rsidR="00E33A48" w:rsidRPr="00E33A48">
        <w:rPr>
          <w:rFonts w:ascii="Times New Roman" w:eastAsia="Cambria" w:hAnsi="Times New Roman" w:cs="Times New Roman"/>
          <w:kern w:val="0"/>
          <w:sz w:val="24"/>
          <w:szCs w:val="24"/>
          <w:lang w:val="es-ES" w:eastAsia="es-AR"/>
          <w14:ligatures w14:val="none"/>
        </w:rPr>
        <w:t xml:space="preserve">dirigida a </w:t>
      </w:r>
      <w:r w:rsidR="00E33A48" w:rsidRPr="00E33A48">
        <w:rPr>
          <w:rFonts w:ascii="Times New Roman" w:eastAsia="Calibri" w:hAnsi="Times New Roman" w:cs="Times New Roman"/>
          <w:kern w:val="0"/>
          <w:sz w:val="24"/>
          <w:szCs w:val="24"/>
          <w:lang w:val="es-ES" w:eastAsia="es-AR"/>
          <w14:ligatures w14:val="none"/>
        </w:rPr>
        <w:t>promover un Protocolo de mantenimiento para todo el SPF que disponga mecanismos y circuitos institucionales ágiles y proactivos de mantenimiento, prevención del deterioro y reparación</w:t>
      </w:r>
      <w:r w:rsidR="00E33A48" w:rsidRPr="00E33A48">
        <w:rPr>
          <w:rFonts w:ascii="Times New Roman" w:eastAsia="Cambria" w:hAnsi="Times New Roman" w:cs="Times New Roman"/>
          <w:kern w:val="0"/>
          <w:sz w:val="24"/>
          <w:szCs w:val="24"/>
          <w:vertAlign w:val="superscript"/>
          <w:lang w:val="es-ES" w:eastAsia="es-AR"/>
          <w14:ligatures w14:val="none"/>
        </w:rPr>
        <w:footnoteReference w:id="6"/>
      </w:r>
      <w:r w:rsidR="00872856">
        <w:rPr>
          <w:rFonts w:ascii="Times New Roman" w:eastAsia="Calibri" w:hAnsi="Times New Roman" w:cs="Times New Roman"/>
          <w:kern w:val="0"/>
          <w:sz w:val="24"/>
          <w:szCs w:val="24"/>
          <w:lang w:val="es-ES" w:eastAsia="es-AR"/>
          <w14:ligatures w14:val="none"/>
        </w:rPr>
        <w:t>, pero hasta la fecha la misma no ha sido cumplida por el SPF</w:t>
      </w:r>
      <w:r w:rsidR="00E33A48" w:rsidRPr="00E33A48">
        <w:rPr>
          <w:rFonts w:ascii="Times New Roman" w:eastAsia="Calibri" w:hAnsi="Times New Roman" w:cs="Times New Roman"/>
          <w:kern w:val="0"/>
          <w:sz w:val="24"/>
          <w:szCs w:val="24"/>
          <w:lang w:val="es-ES" w:eastAsia="es-AR"/>
          <w14:ligatures w14:val="none"/>
        </w:rPr>
        <w:t>.</w:t>
      </w:r>
    </w:p>
    <w:p w14:paraId="5E1344A0" w14:textId="6D263C54" w:rsidR="003878FA" w:rsidRDefault="006F729F" w:rsidP="004E2174">
      <w:pPr>
        <w:spacing w:after="120" w:line="240" w:lineRule="auto"/>
        <w:jc w:val="both"/>
        <w:rPr>
          <w:rFonts w:ascii="Times" w:eastAsia="Times" w:hAnsi="Times" w:cs="Times"/>
          <w:sz w:val="24"/>
          <w:szCs w:val="24"/>
        </w:rPr>
      </w:pPr>
      <w:r>
        <w:rPr>
          <w:rFonts w:ascii="Times New Roman" w:eastAsia="Calibri" w:hAnsi="Times New Roman" w:cs="Times New Roman"/>
          <w:kern w:val="0"/>
          <w:sz w:val="24"/>
          <w:szCs w:val="24"/>
          <w14:ligatures w14:val="none"/>
        </w:rPr>
        <w:t>Por otro lado, respecto a la cuestión del cupo carcelario, es importante destacar que e</w:t>
      </w:r>
      <w:r w:rsidR="00AA36E5">
        <w:rPr>
          <w:rFonts w:ascii="Times New Roman" w:eastAsia="Calibri" w:hAnsi="Times New Roman" w:cs="Times New Roman"/>
          <w:kern w:val="0"/>
          <w:sz w:val="24"/>
          <w:szCs w:val="24"/>
          <w14:ligatures w14:val="none"/>
        </w:rPr>
        <w:t>n ju</w:t>
      </w:r>
      <w:r w:rsidR="005632A8">
        <w:rPr>
          <w:rFonts w:ascii="Times New Roman" w:eastAsia="Calibri" w:hAnsi="Times New Roman" w:cs="Times New Roman"/>
          <w:kern w:val="0"/>
          <w:sz w:val="24"/>
          <w:szCs w:val="24"/>
          <w14:ligatures w14:val="none"/>
        </w:rPr>
        <w:t>n</w:t>
      </w:r>
      <w:r w:rsidR="00AA36E5">
        <w:rPr>
          <w:rFonts w:ascii="Times New Roman" w:eastAsia="Calibri" w:hAnsi="Times New Roman" w:cs="Times New Roman"/>
          <w:kern w:val="0"/>
          <w:sz w:val="24"/>
          <w:szCs w:val="24"/>
          <w14:ligatures w14:val="none"/>
        </w:rPr>
        <w:t xml:space="preserve">io del año 2021 mediante una </w:t>
      </w:r>
      <w:r w:rsidR="00414DDF">
        <w:rPr>
          <w:rFonts w:ascii="Times" w:eastAsia="Times" w:hAnsi="Times" w:cs="Times"/>
          <w:sz w:val="24"/>
          <w:szCs w:val="24"/>
          <w:highlight w:val="white"/>
        </w:rPr>
        <w:t xml:space="preserve">Resolución </w:t>
      </w:r>
      <w:r w:rsidR="00AA36E5">
        <w:rPr>
          <w:rFonts w:ascii="Times" w:eastAsia="Times" w:hAnsi="Times" w:cs="Times"/>
          <w:sz w:val="24"/>
          <w:szCs w:val="24"/>
          <w:highlight w:val="white"/>
        </w:rPr>
        <w:t>del Ministro de Justicia y Derechos Humanos de la Nación</w:t>
      </w:r>
      <w:r w:rsidR="00AA36E5">
        <w:rPr>
          <w:rStyle w:val="FootnoteReference"/>
          <w:rFonts w:ascii="Times" w:eastAsia="Times" w:hAnsi="Times" w:cs="Times"/>
          <w:sz w:val="24"/>
          <w:szCs w:val="24"/>
          <w:highlight w:val="white"/>
        </w:rPr>
        <w:footnoteReference w:id="7"/>
      </w:r>
      <w:r w:rsidR="00AA36E5">
        <w:rPr>
          <w:rFonts w:ascii="Times" w:eastAsia="Times" w:hAnsi="Times" w:cs="Times"/>
          <w:sz w:val="24"/>
          <w:szCs w:val="24"/>
          <w:highlight w:val="white"/>
        </w:rPr>
        <w:t>, el Poder Ejecutivo</w:t>
      </w:r>
      <w:r w:rsidR="00414DDF">
        <w:rPr>
          <w:rFonts w:ascii="Times" w:eastAsia="Times" w:hAnsi="Times" w:cs="Times"/>
          <w:sz w:val="24"/>
          <w:szCs w:val="24"/>
        </w:rPr>
        <w:t xml:space="preserve"> estableció estándares sobre condiciones de detención</w:t>
      </w:r>
      <w:r w:rsidR="003878FA">
        <w:rPr>
          <w:rFonts w:ascii="Times" w:eastAsia="Times" w:hAnsi="Times" w:cs="Times"/>
          <w:sz w:val="24"/>
          <w:szCs w:val="24"/>
        </w:rPr>
        <w:t xml:space="preserve"> en cárceles federales y fijó cupo para cada uno de los establecimientos. Desde la PPN valoramos favorablemente la fijación de criterios para la definición del cupo carcelario, aunque hubiese sido más adecuado hacerlo por ley para que tenga efectos en todas las jurisdicciones del país</w:t>
      </w:r>
      <w:r w:rsidR="00AB58DF">
        <w:rPr>
          <w:rFonts w:ascii="Times" w:eastAsia="Times" w:hAnsi="Times" w:cs="Times"/>
          <w:sz w:val="24"/>
          <w:szCs w:val="24"/>
        </w:rPr>
        <w:t xml:space="preserve"> y también para que se establecieran medidas excarcelatorias en el caso de que se supere la capacidad del sistema</w:t>
      </w:r>
      <w:r w:rsidR="00872856">
        <w:rPr>
          <w:rFonts w:ascii="Times" w:eastAsia="Times" w:hAnsi="Times" w:cs="Times"/>
          <w:sz w:val="24"/>
          <w:szCs w:val="24"/>
        </w:rPr>
        <w:t>, como viene sosteniendo la PPN</w:t>
      </w:r>
      <w:r w:rsidR="003878FA">
        <w:rPr>
          <w:rStyle w:val="FootnoteReference"/>
          <w:rFonts w:ascii="Times" w:eastAsia="Times" w:hAnsi="Times" w:cs="Times"/>
          <w:sz w:val="24"/>
          <w:szCs w:val="24"/>
        </w:rPr>
        <w:footnoteReference w:id="8"/>
      </w:r>
      <w:r w:rsidR="003878FA">
        <w:rPr>
          <w:rFonts w:ascii="Times" w:eastAsia="Times" w:hAnsi="Times" w:cs="Times"/>
          <w:sz w:val="24"/>
          <w:szCs w:val="24"/>
        </w:rPr>
        <w:t>.</w:t>
      </w:r>
      <w:r w:rsidR="00AB58DF">
        <w:rPr>
          <w:rFonts w:ascii="Times" w:eastAsia="Times" w:hAnsi="Times" w:cs="Times"/>
          <w:sz w:val="24"/>
          <w:szCs w:val="24"/>
        </w:rPr>
        <w:t xml:space="preserve"> En la actualidad, sin la previsión de medidas excarcelatorias, la consecuencia de la sobrepoblación en el SPF es que las personas queden detenidas en comisarías policiales no preparadas para el alojamiento prolongado de personas.</w:t>
      </w:r>
    </w:p>
    <w:p w14:paraId="6B740745" w14:textId="4BD9DC51" w:rsidR="00414DDF" w:rsidRDefault="003878FA" w:rsidP="004E2174">
      <w:pPr>
        <w:spacing w:after="120" w:line="240" w:lineRule="auto"/>
        <w:jc w:val="both"/>
        <w:rPr>
          <w:rFonts w:ascii="Times" w:eastAsia="Times" w:hAnsi="Times" w:cs="Times"/>
          <w:sz w:val="24"/>
          <w:szCs w:val="24"/>
          <w:highlight w:val="yellow"/>
        </w:rPr>
      </w:pPr>
      <w:r>
        <w:rPr>
          <w:rFonts w:ascii="Times" w:eastAsia="Times" w:hAnsi="Times" w:cs="Times"/>
          <w:sz w:val="24"/>
          <w:szCs w:val="24"/>
        </w:rPr>
        <w:t xml:space="preserve">Por otro lado, la Resolución Ministerial de 2021 </w:t>
      </w:r>
      <w:r w:rsidR="00414DDF">
        <w:rPr>
          <w:rFonts w:ascii="Times" w:eastAsia="Times" w:hAnsi="Times" w:cs="Times"/>
          <w:sz w:val="24"/>
          <w:szCs w:val="24"/>
        </w:rPr>
        <w:t>distingu</w:t>
      </w:r>
      <w:r>
        <w:rPr>
          <w:rFonts w:ascii="Times" w:eastAsia="Times" w:hAnsi="Times" w:cs="Times"/>
          <w:sz w:val="24"/>
          <w:szCs w:val="24"/>
        </w:rPr>
        <w:t>e</w:t>
      </w:r>
      <w:r w:rsidR="00414DDF">
        <w:rPr>
          <w:rFonts w:ascii="Times" w:eastAsia="Times" w:hAnsi="Times" w:cs="Times"/>
          <w:sz w:val="24"/>
          <w:szCs w:val="24"/>
        </w:rPr>
        <w:t xml:space="preserve"> entre cárceles construidas y habilitadas antes y después del año 2000. Mientras que para cárceles habilitadas después del año 2000 en general el documento respeta los parámetros de los organismos internacionales de derechos humanos sobre cupo carcelario, así como los </w:t>
      </w:r>
      <w:r>
        <w:rPr>
          <w:rFonts w:ascii="Times" w:eastAsia="Times" w:hAnsi="Times" w:cs="Times"/>
          <w:sz w:val="24"/>
          <w:szCs w:val="24"/>
        </w:rPr>
        <w:t xml:space="preserve">elaborados por </w:t>
      </w:r>
      <w:r w:rsidR="00414DDF">
        <w:rPr>
          <w:rFonts w:ascii="Times" w:eastAsia="Times" w:hAnsi="Times" w:cs="Times"/>
          <w:sz w:val="24"/>
          <w:szCs w:val="24"/>
        </w:rPr>
        <w:t>la PPN</w:t>
      </w:r>
      <w:r>
        <w:rPr>
          <w:rFonts w:ascii="Times" w:eastAsia="Times" w:hAnsi="Times" w:cs="Times"/>
          <w:sz w:val="24"/>
          <w:szCs w:val="24"/>
        </w:rPr>
        <w:t xml:space="preserve"> en 2019</w:t>
      </w:r>
      <w:r w:rsidR="00414DDF">
        <w:rPr>
          <w:rFonts w:ascii="Times" w:eastAsia="Times" w:hAnsi="Times" w:cs="Times"/>
          <w:sz w:val="24"/>
          <w:szCs w:val="24"/>
        </w:rPr>
        <w:t xml:space="preserve"> y </w:t>
      </w:r>
      <w:r>
        <w:rPr>
          <w:rFonts w:ascii="Times" w:eastAsia="Times" w:hAnsi="Times" w:cs="Times"/>
          <w:sz w:val="24"/>
          <w:szCs w:val="24"/>
        </w:rPr>
        <w:t>los d</w:t>
      </w:r>
      <w:r w:rsidR="00414DDF">
        <w:rPr>
          <w:rFonts w:ascii="Times" w:eastAsia="Times" w:hAnsi="Times" w:cs="Times"/>
          <w:sz w:val="24"/>
          <w:szCs w:val="24"/>
        </w:rPr>
        <w:t>el Comité Nacional de Prevención de la Tortura (CNPT)</w:t>
      </w:r>
      <w:r>
        <w:rPr>
          <w:rFonts w:ascii="Times" w:eastAsia="Times" w:hAnsi="Times" w:cs="Times"/>
          <w:sz w:val="24"/>
          <w:szCs w:val="24"/>
        </w:rPr>
        <w:t xml:space="preserve"> de </w:t>
      </w:r>
      <w:r w:rsidR="008A2108">
        <w:rPr>
          <w:rFonts w:ascii="Times" w:eastAsia="Times" w:hAnsi="Times" w:cs="Times"/>
          <w:sz w:val="24"/>
          <w:szCs w:val="24"/>
        </w:rPr>
        <w:t>2021</w:t>
      </w:r>
      <w:r w:rsidR="008A2108">
        <w:rPr>
          <w:rStyle w:val="FootnoteReference"/>
          <w:rFonts w:ascii="Times" w:eastAsia="Times" w:hAnsi="Times" w:cs="Times"/>
          <w:sz w:val="24"/>
          <w:szCs w:val="24"/>
        </w:rPr>
        <w:footnoteReference w:id="9"/>
      </w:r>
      <w:r w:rsidR="00414DDF">
        <w:rPr>
          <w:rFonts w:ascii="Times" w:eastAsia="Times" w:hAnsi="Times" w:cs="Times"/>
          <w:sz w:val="24"/>
          <w:szCs w:val="24"/>
        </w:rPr>
        <w:t>, para las cárceles construidas antes del año 2000 se fijó un cupo transitorio con estándares muy devaluados, que según la Resolución debe ser progresivamente revisado (lo cual por el momento no sucedió)</w:t>
      </w:r>
      <w:r w:rsidR="00414DDF">
        <w:rPr>
          <w:rFonts w:ascii="Times" w:eastAsia="Times" w:hAnsi="Times" w:cs="Times"/>
          <w:sz w:val="24"/>
          <w:szCs w:val="24"/>
          <w:vertAlign w:val="superscript"/>
        </w:rPr>
        <w:footnoteReference w:id="10"/>
      </w:r>
      <w:r w:rsidR="00414DDF">
        <w:rPr>
          <w:rFonts w:ascii="Times" w:eastAsia="Times" w:hAnsi="Times" w:cs="Times"/>
          <w:sz w:val="24"/>
          <w:szCs w:val="24"/>
        </w:rPr>
        <w:t>.</w:t>
      </w:r>
      <w:r w:rsidR="00414DDF">
        <w:rPr>
          <w:rFonts w:ascii="Times" w:eastAsia="Times" w:hAnsi="Times" w:cs="Times"/>
          <w:sz w:val="24"/>
          <w:szCs w:val="24"/>
          <w:highlight w:val="yellow"/>
        </w:rPr>
        <w:t xml:space="preserve"> </w:t>
      </w:r>
    </w:p>
    <w:p w14:paraId="4D6AD3E6" w14:textId="4BFF3DF2" w:rsidR="00414DDF" w:rsidRDefault="00F50F13" w:rsidP="004E2174">
      <w:pPr>
        <w:spacing w:after="120" w:line="240" w:lineRule="auto"/>
        <w:jc w:val="both"/>
        <w:rPr>
          <w:rFonts w:ascii="Times" w:eastAsia="Times" w:hAnsi="Times" w:cs="Times"/>
          <w:sz w:val="24"/>
          <w:szCs w:val="24"/>
        </w:rPr>
      </w:pPr>
      <w:r>
        <w:rPr>
          <w:rStyle w:val="Hyperlink"/>
          <w:rFonts w:ascii="Times New Roman" w:hAnsi="Times New Roman" w:cs="Times New Roman"/>
          <w:noProof/>
          <w:color w:val="auto"/>
          <w:sz w:val="24"/>
          <w:szCs w:val="24"/>
          <w:u w:val="none"/>
        </w:rPr>
        <w:t>Además, d</w:t>
      </w:r>
      <w:r w:rsidR="00414DDF" w:rsidRPr="00414DDF">
        <w:rPr>
          <w:rStyle w:val="Hyperlink"/>
          <w:rFonts w:ascii="Times New Roman" w:hAnsi="Times New Roman" w:cs="Times New Roman"/>
          <w:noProof/>
          <w:color w:val="auto"/>
          <w:sz w:val="24"/>
          <w:szCs w:val="24"/>
          <w:u w:val="none"/>
        </w:rPr>
        <w:t>esde la PPN</w:t>
      </w:r>
      <w:r w:rsidR="00414DDF">
        <w:rPr>
          <w:rStyle w:val="Hyperlink"/>
          <w:rFonts w:ascii="Times New Roman" w:hAnsi="Times New Roman" w:cs="Times New Roman"/>
          <w:b/>
          <w:bCs/>
          <w:noProof/>
          <w:color w:val="auto"/>
          <w:sz w:val="24"/>
          <w:szCs w:val="24"/>
          <w:u w:val="none"/>
        </w:rPr>
        <w:t xml:space="preserve"> </w:t>
      </w:r>
      <w:r>
        <w:rPr>
          <w:rStyle w:val="Hyperlink"/>
          <w:rFonts w:ascii="Times New Roman" w:hAnsi="Times New Roman" w:cs="Times New Roman"/>
          <w:noProof/>
          <w:color w:val="auto"/>
          <w:sz w:val="24"/>
          <w:szCs w:val="24"/>
          <w:u w:val="none"/>
        </w:rPr>
        <w:t>debemos</w:t>
      </w:r>
      <w:r>
        <w:rPr>
          <w:rStyle w:val="Hyperlink"/>
          <w:rFonts w:ascii="Times New Roman" w:hAnsi="Times New Roman" w:cs="Times New Roman"/>
          <w:b/>
          <w:bCs/>
          <w:noProof/>
          <w:color w:val="auto"/>
          <w:sz w:val="24"/>
          <w:szCs w:val="24"/>
          <w:u w:val="none"/>
        </w:rPr>
        <w:t xml:space="preserve"> </w:t>
      </w:r>
      <w:r w:rsidR="00414DDF" w:rsidRPr="00000785">
        <w:rPr>
          <w:rFonts w:ascii="Times" w:eastAsia="Times" w:hAnsi="Times" w:cs="Times"/>
          <w:sz w:val="24"/>
          <w:szCs w:val="24"/>
        </w:rPr>
        <w:t>adverti</w:t>
      </w:r>
      <w:r>
        <w:rPr>
          <w:rFonts w:ascii="Times" w:eastAsia="Times" w:hAnsi="Times" w:cs="Times"/>
          <w:sz w:val="24"/>
          <w:szCs w:val="24"/>
        </w:rPr>
        <w:t>r</w:t>
      </w:r>
      <w:r w:rsidR="00414DDF" w:rsidRPr="00000785">
        <w:rPr>
          <w:rFonts w:ascii="Times" w:eastAsia="Times" w:hAnsi="Times" w:cs="Times"/>
          <w:sz w:val="24"/>
          <w:szCs w:val="24"/>
        </w:rPr>
        <w:t xml:space="preserve"> que</w:t>
      </w:r>
      <w:r>
        <w:rPr>
          <w:rFonts w:ascii="Times" w:eastAsia="Times" w:hAnsi="Times" w:cs="Times"/>
          <w:sz w:val="24"/>
          <w:szCs w:val="24"/>
        </w:rPr>
        <w:t xml:space="preserve"> la fijación de cupo mediante Resolución Ministerial no ha logrado en la práctica eliminar la sobrepoblación en las cárceles federales. I</w:t>
      </w:r>
      <w:r w:rsidR="00414DDF">
        <w:rPr>
          <w:rFonts w:ascii="Times" w:eastAsia="Times" w:hAnsi="Times" w:cs="Times"/>
          <w:sz w:val="24"/>
          <w:szCs w:val="24"/>
        </w:rPr>
        <w:t xml:space="preserve">ncluso si se </w:t>
      </w:r>
      <w:r w:rsidR="00414DDF" w:rsidRPr="00CE7B3E">
        <w:rPr>
          <w:rFonts w:ascii="Times" w:eastAsia="Times" w:hAnsi="Times" w:cs="Times"/>
          <w:iCs/>
          <w:sz w:val="24"/>
          <w:szCs w:val="24"/>
        </w:rPr>
        <w:t>aceptara</w:t>
      </w:r>
      <w:r w:rsidR="00414DDF">
        <w:rPr>
          <w:rFonts w:ascii="Times" w:eastAsia="Times" w:hAnsi="Times" w:cs="Times"/>
          <w:sz w:val="24"/>
          <w:szCs w:val="24"/>
        </w:rPr>
        <w:t xml:space="preserve"> el cupo provisorio definido en la Resolución Ministerial de 2021 para las unidades antiguas, sigue existiendo sobrepoblación en varias unidades penitenciarias.</w:t>
      </w:r>
      <w:r>
        <w:rPr>
          <w:rFonts w:ascii="Times" w:eastAsia="Times" w:hAnsi="Times" w:cs="Times"/>
          <w:sz w:val="24"/>
          <w:szCs w:val="24"/>
        </w:rPr>
        <w:t xml:space="preserve"> En este sentido, </w:t>
      </w:r>
      <w:r w:rsidR="00414DDF">
        <w:rPr>
          <w:rFonts w:ascii="Times" w:eastAsia="Times" w:hAnsi="Times" w:cs="Times"/>
          <w:sz w:val="24"/>
          <w:szCs w:val="24"/>
        </w:rPr>
        <w:t xml:space="preserve">el CPF VI de Mendoza y buena parte de las cárceles del norte del país ampliaron o duplicaron su capacidad declarada instalando camas </w:t>
      </w:r>
      <w:r w:rsidR="00994A62">
        <w:rPr>
          <w:rFonts w:ascii="Times" w:eastAsia="Times" w:hAnsi="Times" w:cs="Times"/>
          <w:sz w:val="24"/>
          <w:szCs w:val="24"/>
        </w:rPr>
        <w:t>dobles</w:t>
      </w:r>
      <w:r w:rsidR="00414DDF">
        <w:rPr>
          <w:rFonts w:ascii="Times" w:eastAsia="Times" w:hAnsi="Times" w:cs="Times"/>
          <w:sz w:val="24"/>
          <w:szCs w:val="24"/>
        </w:rPr>
        <w:t xml:space="preserve"> en celdas individuales y en pabellones colectivos, sin ampliar los servicios, la infraestructura de los sectores comunes ni los espacios de trabajo, educación, visitas o recreación. Esto implica que se multiplica la cantidad de personas en los mismos metros cuadrados, se genera hacinamiento y se dificulta el acceso a derechos. </w:t>
      </w:r>
    </w:p>
    <w:p w14:paraId="759018E6" w14:textId="1DC68ED7" w:rsidR="00F50F13" w:rsidRDefault="00F50F13" w:rsidP="004E2174">
      <w:pPr>
        <w:spacing w:after="120" w:line="240" w:lineRule="auto"/>
        <w:jc w:val="both"/>
        <w:rPr>
          <w:rFonts w:ascii="Times" w:eastAsia="Times" w:hAnsi="Times" w:cs="Times"/>
          <w:sz w:val="24"/>
          <w:szCs w:val="24"/>
        </w:rPr>
      </w:pPr>
      <w:r>
        <w:rPr>
          <w:rFonts w:ascii="Times" w:eastAsia="Times" w:hAnsi="Times" w:cs="Times"/>
          <w:sz w:val="24"/>
          <w:szCs w:val="24"/>
        </w:rPr>
        <w:t>L</w:t>
      </w:r>
      <w:r w:rsidR="00414DDF">
        <w:rPr>
          <w:rFonts w:ascii="Times" w:eastAsia="Times" w:hAnsi="Times" w:cs="Times"/>
          <w:sz w:val="24"/>
          <w:szCs w:val="24"/>
        </w:rPr>
        <w:t xml:space="preserve">a sobrepoblación </w:t>
      </w:r>
      <w:r>
        <w:rPr>
          <w:rFonts w:ascii="Times" w:eastAsia="Times" w:hAnsi="Times" w:cs="Times"/>
          <w:sz w:val="24"/>
          <w:szCs w:val="24"/>
        </w:rPr>
        <w:t>también afecta en particular a</w:t>
      </w:r>
      <w:r w:rsidR="00414DDF">
        <w:rPr>
          <w:rFonts w:ascii="Times" w:eastAsia="Times" w:hAnsi="Times" w:cs="Times"/>
          <w:sz w:val="24"/>
          <w:szCs w:val="24"/>
        </w:rPr>
        <w:t xml:space="preserve"> la antigua cárcel de Devoto</w:t>
      </w:r>
      <w:r w:rsidR="00096B8F">
        <w:rPr>
          <w:rFonts w:ascii="Times" w:eastAsia="Times" w:hAnsi="Times" w:cs="Times"/>
          <w:sz w:val="24"/>
          <w:szCs w:val="24"/>
        </w:rPr>
        <w:t>, la única</w:t>
      </w:r>
      <w:r>
        <w:rPr>
          <w:rFonts w:ascii="Times" w:eastAsia="Times" w:hAnsi="Times" w:cs="Times"/>
          <w:sz w:val="24"/>
          <w:szCs w:val="24"/>
        </w:rPr>
        <w:t xml:space="preserve"> existente en la Ciudad de Buenos Aires</w:t>
      </w:r>
      <w:r w:rsidR="00414DDF">
        <w:rPr>
          <w:rFonts w:ascii="Times" w:eastAsia="Times" w:hAnsi="Times" w:cs="Times"/>
          <w:sz w:val="24"/>
          <w:szCs w:val="24"/>
        </w:rPr>
        <w:t xml:space="preserve"> (</w:t>
      </w:r>
      <w:r>
        <w:rPr>
          <w:rFonts w:ascii="Times" w:eastAsia="Times" w:hAnsi="Times" w:cs="Times"/>
          <w:sz w:val="24"/>
          <w:szCs w:val="24"/>
        </w:rPr>
        <w:t xml:space="preserve">denominada </w:t>
      </w:r>
      <w:r w:rsidR="00414DDF">
        <w:rPr>
          <w:rFonts w:ascii="Times" w:eastAsia="Times" w:hAnsi="Times" w:cs="Times"/>
          <w:sz w:val="24"/>
          <w:szCs w:val="24"/>
        </w:rPr>
        <w:t xml:space="preserve">CPF de la CABA), que registra una sobrepoblación </w:t>
      </w:r>
      <w:r w:rsidR="00414DDF" w:rsidRPr="00096B8F">
        <w:rPr>
          <w:rFonts w:ascii="Times" w:eastAsia="Times" w:hAnsi="Times" w:cs="Times"/>
          <w:sz w:val="24"/>
          <w:szCs w:val="24"/>
        </w:rPr>
        <w:t xml:space="preserve">del </w:t>
      </w:r>
      <w:r w:rsidR="00096B8F" w:rsidRPr="00096B8F">
        <w:rPr>
          <w:rFonts w:ascii="Times" w:eastAsia="Times" w:hAnsi="Times" w:cs="Times"/>
          <w:sz w:val="24"/>
          <w:szCs w:val="24"/>
        </w:rPr>
        <w:t>33</w:t>
      </w:r>
      <w:r w:rsidR="00414DDF" w:rsidRPr="00096B8F">
        <w:rPr>
          <w:rFonts w:ascii="Times" w:eastAsia="Times" w:hAnsi="Times" w:cs="Times"/>
          <w:sz w:val="24"/>
          <w:szCs w:val="24"/>
        </w:rPr>
        <w:t>%</w:t>
      </w:r>
      <w:r w:rsidR="00414DDF">
        <w:rPr>
          <w:rFonts w:ascii="Times" w:eastAsia="Times" w:hAnsi="Times" w:cs="Times"/>
          <w:sz w:val="24"/>
          <w:szCs w:val="24"/>
        </w:rPr>
        <w:t xml:space="preserve"> respecto de la capacidad establecida en la Resolución </w:t>
      </w:r>
      <w:r w:rsidR="00E909E7">
        <w:rPr>
          <w:rFonts w:ascii="Times" w:eastAsia="Times" w:hAnsi="Times" w:cs="Times"/>
          <w:sz w:val="24"/>
          <w:szCs w:val="24"/>
        </w:rPr>
        <w:t>M</w:t>
      </w:r>
      <w:r w:rsidR="00414DDF">
        <w:rPr>
          <w:rFonts w:ascii="Times" w:eastAsia="Times" w:hAnsi="Times" w:cs="Times"/>
          <w:sz w:val="24"/>
          <w:szCs w:val="24"/>
        </w:rPr>
        <w:t>inisterial de 2021, la cual a su vez establece un cupo superior al verificado en el marco de una pericia judicial basada en los estándares del CNPT</w:t>
      </w:r>
      <w:r w:rsidR="00414DDF">
        <w:rPr>
          <w:rFonts w:ascii="Times" w:eastAsia="Times" w:hAnsi="Times" w:cs="Times"/>
          <w:sz w:val="24"/>
          <w:szCs w:val="24"/>
          <w:vertAlign w:val="superscript"/>
        </w:rPr>
        <w:footnoteReference w:id="11"/>
      </w:r>
      <w:r w:rsidR="00414DDF">
        <w:rPr>
          <w:rFonts w:ascii="Times" w:eastAsia="Times" w:hAnsi="Times" w:cs="Times"/>
          <w:sz w:val="24"/>
          <w:szCs w:val="24"/>
        </w:rPr>
        <w:t xml:space="preserve">. </w:t>
      </w:r>
    </w:p>
    <w:p w14:paraId="10C12F68" w14:textId="7E9F50B7" w:rsidR="00E909E7" w:rsidRDefault="00E909E7" w:rsidP="004E2174">
      <w:pPr>
        <w:spacing w:after="120" w:line="240" w:lineRule="auto"/>
        <w:jc w:val="both"/>
        <w:rPr>
          <w:rFonts w:ascii="Times" w:eastAsia="Times" w:hAnsi="Times" w:cs="Times"/>
          <w:sz w:val="24"/>
          <w:szCs w:val="24"/>
        </w:rPr>
      </w:pPr>
      <w:r>
        <w:rPr>
          <w:rFonts w:ascii="Times" w:eastAsia="Times" w:hAnsi="Times" w:cs="Times"/>
          <w:sz w:val="24"/>
          <w:szCs w:val="24"/>
        </w:rPr>
        <w:t xml:space="preserve">En el caso del CPF de CABA, así como en otros establecimientos federales, en el marco de </w:t>
      </w:r>
      <w:r w:rsidR="00994A62">
        <w:rPr>
          <w:rFonts w:ascii="Times" w:eastAsia="Times" w:hAnsi="Times" w:cs="Times"/>
          <w:sz w:val="24"/>
          <w:szCs w:val="24"/>
        </w:rPr>
        <w:t>litigi</w:t>
      </w:r>
      <w:r>
        <w:rPr>
          <w:rFonts w:ascii="Times" w:eastAsia="Times" w:hAnsi="Times" w:cs="Times"/>
          <w:sz w:val="24"/>
          <w:szCs w:val="24"/>
        </w:rPr>
        <w:t xml:space="preserve">os </w:t>
      </w:r>
      <w:r w:rsidR="00994A62">
        <w:rPr>
          <w:rFonts w:ascii="Times" w:eastAsia="Times" w:hAnsi="Times" w:cs="Times"/>
          <w:sz w:val="24"/>
          <w:szCs w:val="24"/>
        </w:rPr>
        <w:t xml:space="preserve">colectivos </w:t>
      </w:r>
      <w:r>
        <w:rPr>
          <w:rFonts w:ascii="Times" w:eastAsia="Times" w:hAnsi="Times" w:cs="Times"/>
          <w:sz w:val="24"/>
          <w:szCs w:val="24"/>
        </w:rPr>
        <w:t>de habeas corpus por condiciones de detención, la justicia ha adoptado un papel de control del cupo y la sobrepoblación, emitiendo algunas resoluciones que han establecido límites al incremento de población en algunas unidades penitenciarias</w:t>
      </w:r>
      <w:r w:rsidR="00994A62">
        <w:rPr>
          <w:rFonts w:ascii="Times" w:eastAsia="Times" w:hAnsi="Times" w:cs="Times"/>
          <w:sz w:val="24"/>
          <w:szCs w:val="24"/>
        </w:rPr>
        <w:t xml:space="preserve"> en particular</w:t>
      </w:r>
      <w:r>
        <w:rPr>
          <w:rFonts w:ascii="Times" w:eastAsia="Times" w:hAnsi="Times" w:cs="Times"/>
          <w:sz w:val="24"/>
          <w:szCs w:val="24"/>
        </w:rPr>
        <w:t>. Est</w:t>
      </w:r>
      <w:r w:rsidR="00994A62">
        <w:rPr>
          <w:rFonts w:ascii="Times" w:eastAsia="Times" w:hAnsi="Times" w:cs="Times"/>
          <w:sz w:val="24"/>
          <w:szCs w:val="24"/>
        </w:rPr>
        <w:t>e control judicial</w:t>
      </w:r>
      <w:r>
        <w:rPr>
          <w:rFonts w:ascii="Times" w:eastAsia="Times" w:hAnsi="Times" w:cs="Times"/>
          <w:sz w:val="24"/>
          <w:szCs w:val="24"/>
        </w:rPr>
        <w:t xml:space="preserve"> puede ser considerado un avance, pero los efectos se limitan al establecimiento objeto del litigio, y no logran producir una reducción de la población detenida en el conjunto del sistema</w:t>
      </w:r>
      <w:r w:rsidR="00994A62">
        <w:rPr>
          <w:rFonts w:ascii="Times" w:eastAsia="Times" w:hAnsi="Times" w:cs="Times"/>
          <w:sz w:val="24"/>
          <w:szCs w:val="24"/>
        </w:rPr>
        <w:t xml:space="preserve"> penitenciario federal, que mantiene una sobrepoblación general de un 5% a septiembre de 2025, concentrada en </w:t>
      </w:r>
      <w:r w:rsidR="00504F19">
        <w:rPr>
          <w:rFonts w:ascii="Times" w:eastAsia="Times" w:hAnsi="Times" w:cs="Times"/>
          <w:sz w:val="24"/>
          <w:szCs w:val="24"/>
        </w:rPr>
        <w:t>determinados</w:t>
      </w:r>
      <w:r w:rsidR="00994A62">
        <w:rPr>
          <w:rFonts w:ascii="Times" w:eastAsia="Times" w:hAnsi="Times" w:cs="Times"/>
          <w:sz w:val="24"/>
          <w:szCs w:val="24"/>
        </w:rPr>
        <w:t xml:space="preserve"> establecimientos</w:t>
      </w:r>
      <w:r w:rsidR="00504F19">
        <w:rPr>
          <w:rFonts w:ascii="Times" w:eastAsia="Times" w:hAnsi="Times" w:cs="Times"/>
          <w:sz w:val="24"/>
          <w:szCs w:val="24"/>
        </w:rPr>
        <w:t>, algunos de los cuales</w:t>
      </w:r>
      <w:r w:rsidR="00994A62">
        <w:rPr>
          <w:rFonts w:ascii="Times" w:eastAsia="Times" w:hAnsi="Times" w:cs="Times"/>
          <w:sz w:val="24"/>
          <w:szCs w:val="24"/>
        </w:rPr>
        <w:t xml:space="preserve"> </w:t>
      </w:r>
      <w:r w:rsidR="00504F19">
        <w:rPr>
          <w:rFonts w:ascii="Times" w:eastAsia="Times" w:hAnsi="Times" w:cs="Times"/>
          <w:sz w:val="24"/>
          <w:szCs w:val="24"/>
        </w:rPr>
        <w:t>casi</w:t>
      </w:r>
      <w:r w:rsidR="00994A62">
        <w:rPr>
          <w:rFonts w:ascii="Times" w:eastAsia="Times" w:hAnsi="Times" w:cs="Times"/>
          <w:sz w:val="24"/>
          <w:szCs w:val="24"/>
        </w:rPr>
        <w:t xml:space="preserve"> duplica</w:t>
      </w:r>
      <w:r w:rsidR="00504F19">
        <w:rPr>
          <w:rFonts w:ascii="Times" w:eastAsia="Times" w:hAnsi="Times" w:cs="Times"/>
          <w:sz w:val="24"/>
          <w:szCs w:val="24"/>
        </w:rPr>
        <w:t>n</w:t>
      </w:r>
      <w:r w:rsidR="00994A62">
        <w:rPr>
          <w:rFonts w:ascii="Times" w:eastAsia="Times" w:hAnsi="Times" w:cs="Times"/>
          <w:sz w:val="24"/>
          <w:szCs w:val="24"/>
        </w:rPr>
        <w:t xml:space="preserve"> su capacidad declarada</w:t>
      </w:r>
      <w:r>
        <w:rPr>
          <w:rFonts w:ascii="Times" w:eastAsia="Times" w:hAnsi="Times" w:cs="Times"/>
          <w:sz w:val="24"/>
          <w:szCs w:val="24"/>
        </w:rPr>
        <w:t>.</w:t>
      </w:r>
    </w:p>
    <w:p w14:paraId="25B49294" w14:textId="4B323546" w:rsidR="00414DDF" w:rsidRDefault="00994A62" w:rsidP="004E2174">
      <w:pPr>
        <w:spacing w:after="120" w:line="240" w:lineRule="auto"/>
        <w:jc w:val="both"/>
        <w:rPr>
          <w:rFonts w:ascii="Times" w:eastAsia="Times" w:hAnsi="Times" w:cs="Times"/>
          <w:sz w:val="24"/>
          <w:szCs w:val="24"/>
        </w:rPr>
      </w:pPr>
      <w:r>
        <w:rPr>
          <w:rFonts w:ascii="Times" w:eastAsia="Times" w:hAnsi="Times" w:cs="Times"/>
          <w:sz w:val="24"/>
          <w:szCs w:val="24"/>
        </w:rPr>
        <w:t>Además, incluso con sobrepoblación</w:t>
      </w:r>
      <w:r w:rsidR="00E909E7">
        <w:rPr>
          <w:rFonts w:ascii="Times" w:eastAsia="Times" w:hAnsi="Times" w:cs="Times"/>
          <w:sz w:val="24"/>
          <w:szCs w:val="24"/>
        </w:rPr>
        <w:t xml:space="preserve">, </w:t>
      </w:r>
      <w:r w:rsidR="00F50F13">
        <w:rPr>
          <w:rFonts w:ascii="Times" w:eastAsia="Times" w:hAnsi="Times" w:cs="Times"/>
          <w:sz w:val="24"/>
          <w:szCs w:val="24"/>
        </w:rPr>
        <w:t xml:space="preserve">el </w:t>
      </w:r>
      <w:r>
        <w:rPr>
          <w:rFonts w:ascii="Times" w:eastAsia="Times" w:hAnsi="Times" w:cs="Times"/>
          <w:sz w:val="24"/>
          <w:szCs w:val="24"/>
        </w:rPr>
        <w:t>SPF</w:t>
      </w:r>
      <w:r w:rsidR="00E909E7">
        <w:rPr>
          <w:rFonts w:ascii="Times" w:eastAsia="Times" w:hAnsi="Times" w:cs="Times"/>
          <w:sz w:val="24"/>
          <w:szCs w:val="24"/>
        </w:rPr>
        <w:t xml:space="preserve"> </w:t>
      </w:r>
      <w:r w:rsidR="00414DDF">
        <w:rPr>
          <w:rFonts w:ascii="Times" w:eastAsia="Times" w:hAnsi="Times" w:cs="Times"/>
          <w:sz w:val="24"/>
          <w:szCs w:val="24"/>
        </w:rPr>
        <w:t>sigue sin poder absorber a la cantidad de personas con orden de prisión preventiva o condena dictada por la</w:t>
      </w:r>
      <w:r w:rsidR="003A5BFB">
        <w:rPr>
          <w:rFonts w:ascii="Times" w:eastAsia="Times" w:hAnsi="Times" w:cs="Times"/>
          <w:sz w:val="24"/>
          <w:szCs w:val="24"/>
        </w:rPr>
        <w:t xml:space="preserve"> justicia federal y la</w:t>
      </w:r>
      <w:r w:rsidR="00414DDF">
        <w:rPr>
          <w:rFonts w:ascii="Times" w:eastAsia="Times" w:hAnsi="Times" w:cs="Times"/>
          <w:sz w:val="24"/>
          <w:szCs w:val="24"/>
        </w:rPr>
        <w:t xml:space="preserve"> justicia nacional de la Ciudad de Buenos Aires. </w:t>
      </w:r>
      <w:r w:rsidR="003A5BFB">
        <w:rPr>
          <w:rFonts w:ascii="Times" w:eastAsia="Times" w:hAnsi="Times" w:cs="Times"/>
          <w:sz w:val="24"/>
          <w:szCs w:val="24"/>
        </w:rPr>
        <w:t>Esto provoca que muchas de ellas queden alojadas en centros de detención no penitenciarios por periodos prolongados de tiempo, como escuadrones de Gendarmería Nacional, comisarías de policía federal o provinciales. Y</w:t>
      </w:r>
      <w:r w:rsidR="00414DDF">
        <w:rPr>
          <w:rFonts w:ascii="Times" w:eastAsia="Times" w:hAnsi="Times" w:cs="Times"/>
          <w:sz w:val="24"/>
          <w:szCs w:val="24"/>
        </w:rPr>
        <w:t xml:space="preserve"> desde mediados de 2020 </w:t>
      </w:r>
      <w:r w:rsidR="003A5BFB">
        <w:rPr>
          <w:rFonts w:ascii="Times" w:eastAsia="Times" w:hAnsi="Times" w:cs="Times"/>
          <w:sz w:val="24"/>
          <w:szCs w:val="24"/>
        </w:rPr>
        <w:t xml:space="preserve">también </w:t>
      </w:r>
      <w:r w:rsidR="00414DDF">
        <w:rPr>
          <w:rFonts w:ascii="Times" w:eastAsia="Times" w:hAnsi="Times" w:cs="Times"/>
          <w:sz w:val="24"/>
          <w:szCs w:val="24"/>
        </w:rPr>
        <w:t>las comisarías y alcaidías de la Policía de la Ciudad de Buenos Aires están repletas de personas detenidas a la espera de cupo en el SPF, en unas condiciones de hacinamiento que vulneran todos los estándares nacionales e internacionales para el alojamiento de personas.</w:t>
      </w:r>
    </w:p>
    <w:p w14:paraId="0B0A98C8" w14:textId="63402D7B" w:rsidR="005921FB" w:rsidRDefault="005921FB" w:rsidP="004E2174">
      <w:pPr>
        <w:spacing w:after="120" w:line="240" w:lineRule="auto"/>
        <w:jc w:val="both"/>
        <w:rPr>
          <w:rFonts w:ascii="Times" w:eastAsia="Times" w:hAnsi="Times" w:cs="Times"/>
          <w:sz w:val="24"/>
          <w:szCs w:val="24"/>
        </w:rPr>
      </w:pPr>
      <w:r>
        <w:rPr>
          <w:rFonts w:ascii="Times" w:eastAsia="Times" w:hAnsi="Times" w:cs="Times"/>
          <w:sz w:val="24"/>
          <w:szCs w:val="24"/>
        </w:rPr>
        <w:t>En función de todo ello, la PPN considera que sería de suma relevancia que este ilustre Comité recomiende al Estado argentino la discusión parlamentaria y aprobación de una ley que fije criterios objetivos para la definición del cupo carcelario, establezca medidas de control de la sobrepoblación como la previsión de excarcelaciones en caso de que se supere la capacidad del sistema y contemple la prohibición de alojamientos prolongados de personas en comisarías y otros centros de detención no penitenciarios.</w:t>
      </w:r>
    </w:p>
    <w:p w14:paraId="7E98F7E4" w14:textId="77777777" w:rsidR="00414DDF" w:rsidRDefault="00414DDF" w:rsidP="004E2174">
      <w:pPr>
        <w:spacing w:after="120" w:line="240" w:lineRule="auto"/>
        <w:rPr>
          <w:rStyle w:val="Hyperlink"/>
          <w:rFonts w:ascii="Times New Roman" w:hAnsi="Times New Roman" w:cs="Times New Roman"/>
          <w:b/>
          <w:bCs/>
          <w:noProof/>
          <w:color w:val="auto"/>
          <w:sz w:val="24"/>
          <w:szCs w:val="24"/>
          <w:u w:val="none"/>
        </w:rPr>
      </w:pPr>
    </w:p>
    <w:p w14:paraId="73E11AF5" w14:textId="5FFD39CD" w:rsidR="002960B7" w:rsidRPr="00921E1E" w:rsidRDefault="002960B7" w:rsidP="004E2174">
      <w:pPr>
        <w:pStyle w:val="Heading2"/>
        <w:spacing w:before="0" w:after="120" w:line="240" w:lineRule="auto"/>
        <w:rPr>
          <w:rStyle w:val="Hyperlink"/>
          <w:rFonts w:ascii="Times New Roman" w:hAnsi="Times New Roman" w:cs="Times New Roman"/>
          <w:b/>
          <w:bCs/>
          <w:noProof/>
          <w:color w:val="auto"/>
          <w:sz w:val="24"/>
          <w:szCs w:val="24"/>
          <w:u w:val="none"/>
        </w:rPr>
      </w:pPr>
      <w:bookmarkStart w:id="5" w:name="_Toc210805563"/>
      <w:r w:rsidRPr="00921E1E">
        <w:rPr>
          <w:rStyle w:val="Hyperlink"/>
          <w:rFonts w:ascii="Times New Roman" w:hAnsi="Times New Roman" w:cs="Times New Roman"/>
          <w:b/>
          <w:bCs/>
          <w:noProof/>
          <w:color w:val="auto"/>
          <w:sz w:val="24"/>
          <w:szCs w:val="24"/>
          <w:u w:val="none"/>
        </w:rPr>
        <w:t>2.2. Grave crisis humanitaria en alcaidías y comisarías de la Policía de CABA</w:t>
      </w:r>
      <w:bookmarkEnd w:id="5"/>
    </w:p>
    <w:p w14:paraId="37688EE5" w14:textId="1C5821BC" w:rsidR="009705F9" w:rsidRPr="001F5834" w:rsidRDefault="009705F9" w:rsidP="004E2174">
      <w:pPr>
        <w:spacing w:after="120" w:line="240" w:lineRule="auto"/>
        <w:jc w:val="both"/>
        <w:rPr>
          <w:rStyle w:val="Hyperlink"/>
          <w:rFonts w:ascii="Times New Roman" w:hAnsi="Times New Roman" w:cs="Times New Roman"/>
          <w:b/>
          <w:bCs/>
          <w:noProof/>
          <w:color w:val="auto"/>
          <w:sz w:val="24"/>
          <w:szCs w:val="24"/>
          <w:u w:val="none"/>
        </w:rPr>
      </w:pPr>
      <w:r w:rsidRPr="001F5834">
        <w:rPr>
          <w:rFonts w:ascii="Times New Roman" w:eastAsia="Cambria" w:hAnsi="Times New Roman"/>
          <w:sz w:val="24"/>
          <w:szCs w:val="24"/>
        </w:rPr>
        <w:t xml:space="preserve">Desde 2020, un número cada vez mayor de personas detenidas ha quedado alojado en comisarías y alcaidías de la Policía de la CABA. </w:t>
      </w:r>
      <w:r w:rsidR="005217B9">
        <w:rPr>
          <w:rFonts w:ascii="Times New Roman" w:eastAsia="Cambria" w:hAnsi="Times New Roman"/>
          <w:sz w:val="24"/>
          <w:szCs w:val="24"/>
        </w:rPr>
        <w:t>A 31</w:t>
      </w:r>
      <w:r w:rsidRPr="001F5834">
        <w:rPr>
          <w:rFonts w:ascii="Times New Roman" w:eastAsia="Cambria" w:hAnsi="Times New Roman"/>
          <w:sz w:val="24"/>
          <w:szCs w:val="24"/>
        </w:rPr>
        <w:t xml:space="preserve"> de </w:t>
      </w:r>
      <w:r w:rsidR="00A80CBA" w:rsidRPr="001F5834">
        <w:rPr>
          <w:rFonts w:ascii="Times New Roman" w:eastAsia="Cambria" w:hAnsi="Times New Roman"/>
          <w:sz w:val="24"/>
          <w:szCs w:val="24"/>
        </w:rPr>
        <w:t>agost</w:t>
      </w:r>
      <w:r w:rsidRPr="001F5834">
        <w:rPr>
          <w:rFonts w:ascii="Times New Roman" w:eastAsia="Cambria" w:hAnsi="Times New Roman"/>
          <w:sz w:val="24"/>
          <w:szCs w:val="24"/>
        </w:rPr>
        <w:t>o de 2025, 2.</w:t>
      </w:r>
      <w:r w:rsidR="00A80CBA" w:rsidRPr="001F5834">
        <w:rPr>
          <w:rFonts w:ascii="Times New Roman" w:eastAsia="Cambria" w:hAnsi="Times New Roman"/>
          <w:sz w:val="24"/>
          <w:szCs w:val="24"/>
        </w:rPr>
        <w:t>408</w:t>
      </w:r>
      <w:r w:rsidRPr="001F5834">
        <w:rPr>
          <w:rFonts w:ascii="Times New Roman" w:eastAsia="Cambria" w:hAnsi="Times New Roman"/>
          <w:sz w:val="24"/>
          <w:szCs w:val="24"/>
        </w:rPr>
        <w:t xml:space="preserve"> personas estaban detenidas en estos espacios, los cuales no cumplen con las condiciones mínimas para el alojamiento permanente.</w:t>
      </w:r>
    </w:p>
    <w:p w14:paraId="28ECFF92" w14:textId="3F602862" w:rsidR="009705F9" w:rsidRDefault="009705F9" w:rsidP="004E2174">
      <w:pPr>
        <w:spacing w:after="120" w:line="240" w:lineRule="auto"/>
        <w:jc w:val="center"/>
        <w:rPr>
          <w:rFonts w:ascii="Times New Roman" w:eastAsia="Cambria" w:hAnsi="Times New Roman"/>
        </w:rPr>
      </w:pPr>
    </w:p>
    <w:p w14:paraId="54A75F4A" w14:textId="4484B0DD" w:rsidR="00236967" w:rsidRPr="00367B9D" w:rsidRDefault="00236967" w:rsidP="004E2174">
      <w:pPr>
        <w:spacing w:after="120" w:line="240" w:lineRule="auto"/>
        <w:jc w:val="center"/>
        <w:textAlignment w:val="baseline"/>
        <w:rPr>
          <w:rFonts w:ascii="Times New Roman" w:eastAsia="Cambria" w:hAnsi="Times New Roman" w:cs="Times New Roman"/>
        </w:rPr>
      </w:pPr>
      <w:r w:rsidRPr="00367B9D">
        <w:rPr>
          <w:rFonts w:ascii="Times New Roman" w:eastAsiaTheme="minorEastAsia" w:hAnsi="Times New Roman" w:cs="Times New Roman"/>
          <w:b/>
          <w:bCs/>
          <w:kern w:val="24"/>
          <w:lang w:eastAsia="es-AR"/>
          <w14:ligatures w14:val="none"/>
        </w:rPr>
        <w:t xml:space="preserve">Evolución cantidad de personas alojadas y cupo declarado en dependencias de la Policía de la Ciudad (abril 2020- </w:t>
      </w:r>
      <w:r w:rsidR="00E317FB" w:rsidRPr="00367B9D">
        <w:rPr>
          <w:rFonts w:ascii="Times New Roman" w:eastAsiaTheme="minorEastAsia" w:hAnsi="Times New Roman" w:cs="Times New Roman"/>
          <w:b/>
          <w:bCs/>
          <w:kern w:val="24"/>
          <w:lang w:eastAsia="es-AR"/>
          <w14:ligatures w14:val="none"/>
        </w:rPr>
        <w:t xml:space="preserve">agosto </w:t>
      </w:r>
      <w:r w:rsidRPr="00367B9D">
        <w:rPr>
          <w:rFonts w:ascii="Times New Roman" w:eastAsiaTheme="minorEastAsia" w:hAnsi="Times New Roman" w:cs="Times New Roman"/>
          <w:b/>
          <w:bCs/>
          <w:kern w:val="24"/>
          <w:lang w:eastAsia="es-AR"/>
          <w14:ligatures w14:val="none"/>
        </w:rPr>
        <w:t>2025)</w:t>
      </w:r>
    </w:p>
    <w:p w14:paraId="2BC10ACE" w14:textId="1FB72086" w:rsidR="00236967" w:rsidRDefault="00236967" w:rsidP="004E2174">
      <w:pPr>
        <w:spacing w:after="120" w:line="240" w:lineRule="auto"/>
        <w:ind w:left="708" w:right="990"/>
        <w:jc w:val="center"/>
        <w:rPr>
          <w:rFonts w:ascii="Times New Roman" w:eastAsia="Calibri" w:hAnsi="Times New Roman"/>
          <w:sz w:val="18"/>
          <w:szCs w:val="18"/>
        </w:rPr>
      </w:pPr>
      <w:r>
        <w:rPr>
          <w:noProof/>
          <w:lang w:eastAsia="es-AR"/>
        </w:rPr>
        <w:drawing>
          <wp:inline distT="0" distB="0" distL="0" distR="0" wp14:anchorId="4F67703F" wp14:editId="73BF8740">
            <wp:extent cx="4914900" cy="2871470"/>
            <wp:effectExtent l="0" t="0" r="0" b="5080"/>
            <wp:docPr id="2"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7155A22" w14:textId="341BDB83" w:rsidR="009705F9" w:rsidRPr="00341F57" w:rsidRDefault="009705F9" w:rsidP="004E2174">
      <w:pPr>
        <w:spacing w:after="120" w:line="240" w:lineRule="auto"/>
        <w:ind w:left="708" w:right="990"/>
        <w:jc w:val="both"/>
        <w:rPr>
          <w:rFonts w:ascii="Times New Roman" w:eastAsia="Calibri" w:hAnsi="Times New Roman"/>
          <w:sz w:val="18"/>
          <w:szCs w:val="18"/>
        </w:rPr>
      </w:pPr>
      <w:r w:rsidRPr="00341F57">
        <w:rPr>
          <w:rFonts w:ascii="Times New Roman" w:eastAsia="Calibri" w:hAnsi="Times New Roman"/>
          <w:sz w:val="18"/>
          <w:szCs w:val="18"/>
        </w:rPr>
        <w:t>Fuente: PPN. Elaboración propia en base a información de la Policía de la Ciudad.</w:t>
      </w:r>
    </w:p>
    <w:p w14:paraId="34E494ED" w14:textId="77777777" w:rsidR="004E2174" w:rsidRDefault="004E2174" w:rsidP="004E2174">
      <w:pPr>
        <w:spacing w:after="120" w:line="240" w:lineRule="auto"/>
        <w:jc w:val="both"/>
        <w:rPr>
          <w:rFonts w:ascii="Times New Roman" w:eastAsia="Cambria" w:hAnsi="Times New Roman"/>
          <w:sz w:val="24"/>
          <w:szCs w:val="24"/>
        </w:rPr>
      </w:pPr>
    </w:p>
    <w:p w14:paraId="27D02465" w14:textId="64F56305" w:rsidR="009705F9" w:rsidRPr="0064502B" w:rsidRDefault="009705F9" w:rsidP="004E2174">
      <w:pPr>
        <w:spacing w:after="120" w:line="240" w:lineRule="auto"/>
        <w:jc w:val="both"/>
        <w:rPr>
          <w:rFonts w:ascii="Times New Roman" w:eastAsia="Cambria" w:hAnsi="Times New Roman" w:cs="Times New Roman"/>
          <w:sz w:val="24"/>
          <w:szCs w:val="24"/>
        </w:rPr>
      </w:pPr>
      <w:r w:rsidRPr="001F5834">
        <w:rPr>
          <w:rFonts w:ascii="Times New Roman" w:eastAsia="Cambria" w:hAnsi="Times New Roman"/>
          <w:sz w:val="24"/>
          <w:szCs w:val="24"/>
        </w:rPr>
        <w:t xml:space="preserve">Para enfrentar esta situación en los últimos cinco años la Policía de la CABA ha ido habilitando nuevas alcaidías y comisarías para alojar detenidos a medida que las existentes se desbordaban, llegando en la actualidad a una situación de colapso que vulnera gravemente los derechos humanos y los estándares nacionales e internacionales </w:t>
      </w:r>
      <w:r w:rsidRPr="0064502B">
        <w:rPr>
          <w:rFonts w:ascii="Times New Roman" w:eastAsia="Cambria" w:hAnsi="Times New Roman" w:cs="Times New Roman"/>
          <w:sz w:val="24"/>
          <w:szCs w:val="24"/>
        </w:rPr>
        <w:t>para el alojamiento de personas detenidas.</w:t>
      </w:r>
    </w:p>
    <w:p w14:paraId="18B1E8FB" w14:textId="01073174" w:rsidR="0064502B" w:rsidRPr="0064502B" w:rsidRDefault="0064502B" w:rsidP="004E2174">
      <w:pPr>
        <w:spacing w:after="120" w:line="240" w:lineRule="auto"/>
        <w:jc w:val="both"/>
        <w:rPr>
          <w:rFonts w:ascii="Times New Roman" w:eastAsia="Cambria" w:hAnsi="Times New Roman" w:cs="Times New Roman"/>
          <w:sz w:val="24"/>
          <w:szCs w:val="24"/>
        </w:rPr>
      </w:pPr>
      <w:r w:rsidRPr="0064502B">
        <w:rPr>
          <w:rFonts w:ascii="Times New Roman" w:eastAsia="Cambria" w:hAnsi="Times New Roman" w:cs="Times New Roman"/>
          <w:sz w:val="24"/>
          <w:szCs w:val="24"/>
        </w:rPr>
        <w:t xml:space="preserve">Las personas se encuentran detenidas en condiciones inhumanas, en espacios improvisados e inseguros, con altísimos niveles de hacinamiento y en muchos casos incluso sin acceso al baño o a un colchón para dormir. No se les brinda acceso a educación, trabajo, salud, actividades deportivas ni recreativas. </w:t>
      </w:r>
    </w:p>
    <w:p w14:paraId="77110C8E" w14:textId="3227DE39" w:rsidR="009705F9" w:rsidRPr="001F5834" w:rsidRDefault="009705F9" w:rsidP="004E2174">
      <w:pPr>
        <w:spacing w:after="120" w:line="240" w:lineRule="auto"/>
        <w:jc w:val="both"/>
        <w:rPr>
          <w:rFonts w:ascii="Times New Roman" w:eastAsia="Cambria" w:hAnsi="Times New Roman"/>
          <w:sz w:val="24"/>
          <w:szCs w:val="24"/>
        </w:rPr>
      </w:pPr>
      <w:r w:rsidRPr="0064502B">
        <w:rPr>
          <w:rFonts w:ascii="Times New Roman" w:eastAsia="Cambria" w:hAnsi="Times New Roman" w:cs="Times New Roman"/>
          <w:sz w:val="24"/>
          <w:szCs w:val="24"/>
        </w:rPr>
        <w:t xml:space="preserve">El telón de fondo de esta situación es la disputa </w:t>
      </w:r>
      <w:r w:rsidR="001E714A">
        <w:rPr>
          <w:rFonts w:ascii="Times New Roman" w:eastAsia="Cambria" w:hAnsi="Times New Roman" w:cs="Times New Roman"/>
          <w:sz w:val="24"/>
          <w:szCs w:val="24"/>
        </w:rPr>
        <w:t xml:space="preserve">entre el Gobierno nacional y el de la CABA </w:t>
      </w:r>
      <w:r w:rsidRPr="0064502B">
        <w:rPr>
          <w:rFonts w:ascii="Times New Roman" w:eastAsia="Cambria" w:hAnsi="Times New Roman" w:cs="Times New Roman"/>
          <w:sz w:val="24"/>
          <w:szCs w:val="24"/>
        </w:rPr>
        <w:t>sobre quién debe hacerse cargo de la</w:t>
      </w:r>
      <w:r w:rsidRPr="001F5834">
        <w:rPr>
          <w:rFonts w:ascii="Times New Roman" w:eastAsia="Cambria" w:hAnsi="Times New Roman"/>
          <w:sz w:val="24"/>
          <w:szCs w:val="24"/>
        </w:rPr>
        <w:t xml:space="preserve"> custodia de las personas detenidas por la justicia nacional, que se enmarca en un proceso de transferencia de competencias iniciado con el reconocimiento de autonomía a la CABA con la reforma constitucional de 1994, pero aún inacabado, en particular en lo relativo a la justicia. Si bien la Ciudad fue conformando su propia administración de justicia, en la órbita penal la mayoría de los delitos continúan a cargo de la justicia nacional, y las personas detenidas por orden de esta jurisdicción, conforme al actual marco legal, deben ser alojadas en establecimientos del SPF. En aplicación de este marco, numerosas resoluciones judiciales han ordenado a las autoridades de Nación ingresar al SPF a los detenidos alojados en dependencias de la Policía de la CABA. </w:t>
      </w:r>
    </w:p>
    <w:p w14:paraId="4B1257D3" w14:textId="71EEAA19" w:rsidR="00A80CBA" w:rsidRPr="001F5834" w:rsidRDefault="00A80CBA" w:rsidP="004E2174">
      <w:pPr>
        <w:spacing w:after="120" w:line="240" w:lineRule="auto"/>
        <w:jc w:val="both"/>
        <w:rPr>
          <w:rFonts w:ascii="Times New Roman" w:eastAsia="Cambria" w:hAnsi="Times New Roman"/>
          <w:sz w:val="24"/>
          <w:szCs w:val="24"/>
        </w:rPr>
      </w:pPr>
      <w:r w:rsidRPr="001F5834">
        <w:rPr>
          <w:rFonts w:ascii="Times New Roman" w:eastAsia="Cambria" w:hAnsi="Times New Roman"/>
          <w:sz w:val="24"/>
          <w:szCs w:val="24"/>
        </w:rPr>
        <w:t>No obstante, como se ha mostrado, el SPF carece de cupo para ingresar a los casi 2500 detenidos en dependencias de la Policía de CABA. Por su parte, la Ciudad de Buenos Aires por el momento carece de un servicio penitenciario</w:t>
      </w:r>
      <w:r w:rsidR="001E714A">
        <w:rPr>
          <w:rFonts w:ascii="Times New Roman" w:eastAsia="Cambria" w:hAnsi="Times New Roman"/>
          <w:sz w:val="24"/>
          <w:szCs w:val="24"/>
        </w:rPr>
        <w:t xml:space="preserve"> propio</w:t>
      </w:r>
      <w:r w:rsidRPr="001F5834">
        <w:rPr>
          <w:rFonts w:ascii="Times New Roman" w:eastAsia="Cambria" w:hAnsi="Times New Roman"/>
          <w:sz w:val="24"/>
          <w:szCs w:val="24"/>
        </w:rPr>
        <w:t xml:space="preserve">. Si bien está avanzando el debate legislativo para aprobar una ley de creación de un sistema penitenciario </w:t>
      </w:r>
      <w:r w:rsidR="001E714A">
        <w:rPr>
          <w:rFonts w:ascii="Times New Roman" w:eastAsia="Cambria" w:hAnsi="Times New Roman"/>
          <w:sz w:val="24"/>
          <w:szCs w:val="24"/>
        </w:rPr>
        <w:t>de la CABA</w:t>
      </w:r>
      <w:r w:rsidRPr="001F5834">
        <w:rPr>
          <w:rFonts w:ascii="Times New Roman" w:eastAsia="Cambria" w:hAnsi="Times New Roman"/>
          <w:sz w:val="24"/>
          <w:szCs w:val="24"/>
        </w:rPr>
        <w:t>, la conformación del sistema demorará aun meses o años, hasta tanto la ciudad pueda dotarse de la infraestructura penitenciaria necesaria</w:t>
      </w:r>
      <w:r w:rsidR="00B26626" w:rsidRPr="001F5834">
        <w:rPr>
          <w:rFonts w:ascii="Times New Roman" w:eastAsia="Cambria" w:hAnsi="Times New Roman"/>
          <w:sz w:val="24"/>
          <w:szCs w:val="24"/>
        </w:rPr>
        <w:t>.</w:t>
      </w:r>
    </w:p>
    <w:p w14:paraId="6BAB7B92" w14:textId="0616560E" w:rsidR="00B26626" w:rsidRPr="001F5834" w:rsidRDefault="00B26626" w:rsidP="004E2174">
      <w:pPr>
        <w:spacing w:after="120" w:line="240" w:lineRule="auto"/>
        <w:jc w:val="both"/>
        <w:rPr>
          <w:rFonts w:ascii="Times New Roman" w:eastAsia="Cambria" w:hAnsi="Times New Roman"/>
          <w:sz w:val="24"/>
          <w:szCs w:val="24"/>
        </w:rPr>
      </w:pPr>
      <w:r w:rsidRPr="001F5834">
        <w:rPr>
          <w:rFonts w:ascii="Times New Roman" w:eastAsia="Cambria" w:hAnsi="Times New Roman"/>
          <w:sz w:val="24"/>
          <w:szCs w:val="24"/>
        </w:rPr>
        <w:t>Tiempo que las personas que se encuentran detenidas en comisarías y alcaidías de CABA no pueden esperar para ver respetados sus derechos humanos, pues actualmente están alojadas en condiciones infrahumanas y sin acceso a sus derechos más básicos.</w:t>
      </w:r>
    </w:p>
    <w:p w14:paraId="6ADC9912" w14:textId="0B417ACB" w:rsidR="009705F9" w:rsidRPr="001F5834" w:rsidRDefault="009705F9" w:rsidP="004E2174">
      <w:pPr>
        <w:spacing w:after="120" w:line="240" w:lineRule="auto"/>
        <w:jc w:val="both"/>
        <w:rPr>
          <w:rFonts w:ascii="Times New Roman" w:eastAsia="Cambria" w:hAnsi="Times New Roman"/>
          <w:sz w:val="24"/>
          <w:szCs w:val="24"/>
        </w:rPr>
      </w:pPr>
      <w:r w:rsidRPr="001F5834">
        <w:rPr>
          <w:rFonts w:ascii="Times New Roman" w:eastAsia="Cambria" w:hAnsi="Times New Roman"/>
          <w:sz w:val="24"/>
          <w:szCs w:val="24"/>
        </w:rPr>
        <w:t xml:space="preserve">En ese sentido, </w:t>
      </w:r>
      <w:r w:rsidR="00B26626" w:rsidRPr="001F5834">
        <w:rPr>
          <w:rFonts w:ascii="Times New Roman" w:eastAsia="Cambria" w:hAnsi="Times New Roman"/>
          <w:sz w:val="24"/>
          <w:szCs w:val="24"/>
        </w:rPr>
        <w:t>es urgente</w:t>
      </w:r>
      <w:r w:rsidRPr="001F5834">
        <w:rPr>
          <w:rFonts w:ascii="Times New Roman" w:eastAsia="Cambria" w:hAnsi="Times New Roman"/>
          <w:sz w:val="24"/>
          <w:szCs w:val="24"/>
        </w:rPr>
        <w:t xml:space="preserve"> resolver la actual situación de colapso de las dependencias de la Policía de la CABA, poner fin a la crisis humanitaria que implica el alojamiento de personas en condiciones inhumanas. Para ello, es esencial abordar el problema de la sobrepoblación, lo que implica habilitar nuevas infraestructuras pero también, ante todo, poner freno al constante aumento del encarcelamiento.</w:t>
      </w:r>
    </w:p>
    <w:p w14:paraId="2BE934B6" w14:textId="1664A4B8" w:rsidR="009705F9" w:rsidRPr="001F5834" w:rsidRDefault="009705F9" w:rsidP="004E2174">
      <w:pPr>
        <w:shd w:val="clear" w:color="auto" w:fill="FFFFFF"/>
        <w:spacing w:after="120" w:line="240" w:lineRule="auto"/>
        <w:jc w:val="both"/>
        <w:rPr>
          <w:rFonts w:ascii="Times New Roman" w:eastAsia="Cambria" w:hAnsi="Times New Roman"/>
          <w:sz w:val="24"/>
          <w:szCs w:val="24"/>
        </w:rPr>
      </w:pPr>
      <w:r w:rsidRPr="001F5834">
        <w:rPr>
          <w:rFonts w:ascii="Times New Roman" w:eastAsia="Cambria" w:hAnsi="Times New Roman"/>
          <w:sz w:val="24"/>
          <w:szCs w:val="24"/>
        </w:rPr>
        <w:t xml:space="preserve">Es importante </w:t>
      </w:r>
      <w:r w:rsidR="00B26626" w:rsidRPr="001F5834">
        <w:rPr>
          <w:rFonts w:ascii="Times New Roman" w:eastAsia="Cambria" w:hAnsi="Times New Roman"/>
          <w:sz w:val="24"/>
          <w:szCs w:val="24"/>
        </w:rPr>
        <w:t>señalar a las autoridades nacionales y también a las de CABA</w:t>
      </w:r>
      <w:r w:rsidRPr="001F5834">
        <w:rPr>
          <w:rFonts w:ascii="Times New Roman" w:eastAsia="Cambria" w:hAnsi="Times New Roman"/>
          <w:sz w:val="24"/>
          <w:szCs w:val="24"/>
        </w:rPr>
        <w:t xml:space="preserve"> que mientras los ingresos semanales al sistema penal </w:t>
      </w:r>
      <w:r w:rsidR="00F87384" w:rsidRPr="001F5834">
        <w:rPr>
          <w:rFonts w:ascii="Times New Roman" w:eastAsia="Cambria" w:hAnsi="Times New Roman"/>
          <w:sz w:val="24"/>
          <w:szCs w:val="24"/>
        </w:rPr>
        <w:t>sean superiores a los egresos</w:t>
      </w:r>
      <w:r w:rsidRPr="001F5834">
        <w:rPr>
          <w:rFonts w:ascii="Times New Roman" w:eastAsia="Cambria" w:hAnsi="Times New Roman"/>
          <w:sz w:val="24"/>
          <w:szCs w:val="24"/>
        </w:rPr>
        <w:t xml:space="preserve">, cualquier cupo </w:t>
      </w:r>
      <w:r w:rsidR="00F87384" w:rsidRPr="001F5834">
        <w:rPr>
          <w:rFonts w:ascii="Times New Roman" w:eastAsia="Cambria" w:hAnsi="Times New Roman"/>
          <w:sz w:val="24"/>
          <w:szCs w:val="24"/>
        </w:rPr>
        <w:t>del</w:t>
      </w:r>
      <w:r w:rsidRPr="001F5834">
        <w:rPr>
          <w:rFonts w:ascii="Times New Roman" w:eastAsia="Cambria" w:hAnsi="Times New Roman"/>
          <w:sz w:val="24"/>
          <w:szCs w:val="24"/>
        </w:rPr>
        <w:t xml:space="preserve"> SPF será insuficiente, al igual que cualquier programa de construcción de cárceles</w:t>
      </w:r>
      <w:r w:rsidR="00F87384" w:rsidRPr="001F5834">
        <w:rPr>
          <w:rFonts w:ascii="Times New Roman" w:eastAsia="Cambria" w:hAnsi="Times New Roman"/>
          <w:sz w:val="24"/>
          <w:szCs w:val="24"/>
        </w:rPr>
        <w:t xml:space="preserve"> o la creación de un nuevo servicio penitenciario en la Ciudad de Buenos Aires</w:t>
      </w:r>
      <w:r w:rsidRPr="001F5834">
        <w:rPr>
          <w:rFonts w:ascii="Times New Roman" w:eastAsia="Cambria" w:hAnsi="Times New Roman"/>
          <w:sz w:val="24"/>
          <w:szCs w:val="24"/>
        </w:rPr>
        <w:t xml:space="preserve">. </w:t>
      </w:r>
    </w:p>
    <w:p w14:paraId="2C97F69F" w14:textId="40BA9215" w:rsidR="009705F9" w:rsidRPr="001F5834" w:rsidRDefault="00F87384" w:rsidP="004E2174">
      <w:pPr>
        <w:shd w:val="clear" w:color="auto" w:fill="FFFFFF"/>
        <w:spacing w:after="120" w:line="240" w:lineRule="auto"/>
        <w:jc w:val="both"/>
        <w:rPr>
          <w:rFonts w:ascii="Times New Roman" w:eastAsia="Cambria" w:hAnsi="Times New Roman"/>
          <w:sz w:val="24"/>
          <w:szCs w:val="24"/>
          <w:lang w:val="es" w:eastAsia="es-AR"/>
        </w:rPr>
      </w:pPr>
      <w:r w:rsidRPr="001F5834">
        <w:rPr>
          <w:rFonts w:ascii="Times New Roman" w:eastAsia="Cambria" w:hAnsi="Times New Roman"/>
          <w:sz w:val="24"/>
          <w:szCs w:val="24"/>
          <w:lang w:val="es" w:eastAsia="es-AR"/>
        </w:rPr>
        <w:t xml:space="preserve">Por ello sería importante que este </w:t>
      </w:r>
      <w:r w:rsidR="00071130" w:rsidRPr="001F5834">
        <w:rPr>
          <w:rFonts w:ascii="Times New Roman" w:eastAsia="Cambria" w:hAnsi="Times New Roman"/>
          <w:sz w:val="24"/>
          <w:szCs w:val="24"/>
          <w:lang w:val="es" w:eastAsia="es-AR"/>
        </w:rPr>
        <w:t>Comité Internacional contra la Tortura</w:t>
      </w:r>
      <w:r w:rsidR="009705F9" w:rsidRPr="001F5834">
        <w:rPr>
          <w:rFonts w:ascii="Times New Roman" w:eastAsia="Cambria" w:hAnsi="Times New Roman"/>
          <w:sz w:val="24"/>
          <w:szCs w:val="24"/>
          <w:lang w:val="es" w:eastAsia="es-AR"/>
        </w:rPr>
        <w:t xml:space="preserve"> </w:t>
      </w:r>
      <w:r w:rsidR="00071130" w:rsidRPr="001F5834">
        <w:rPr>
          <w:rFonts w:ascii="Times New Roman" w:eastAsia="Cambria" w:hAnsi="Times New Roman"/>
          <w:sz w:val="24"/>
          <w:szCs w:val="24"/>
          <w:lang w:val="es" w:eastAsia="es-AR"/>
        </w:rPr>
        <w:t>señale al Estado argentino</w:t>
      </w:r>
      <w:r w:rsidR="009705F9" w:rsidRPr="001F5834">
        <w:rPr>
          <w:rFonts w:ascii="Times New Roman" w:eastAsia="Cambria" w:hAnsi="Times New Roman"/>
          <w:sz w:val="24"/>
          <w:szCs w:val="24"/>
          <w:lang w:val="es" w:eastAsia="es-AR"/>
        </w:rPr>
        <w:t xml:space="preserve"> la necesidad de acordar una política criminal coordinada entre las distintas instituciones que integran el sistema penal y las distintas jurisdicciones, que tenga el objetivo de fren</w:t>
      </w:r>
      <w:r w:rsidR="00071130" w:rsidRPr="001F5834">
        <w:rPr>
          <w:rFonts w:ascii="Times New Roman" w:eastAsia="Cambria" w:hAnsi="Times New Roman"/>
          <w:sz w:val="24"/>
          <w:szCs w:val="24"/>
          <w:lang w:val="es" w:eastAsia="es-AR"/>
        </w:rPr>
        <w:t>ar e</w:t>
      </w:r>
      <w:r w:rsidR="009705F9" w:rsidRPr="001F5834">
        <w:rPr>
          <w:rFonts w:ascii="Times New Roman" w:eastAsia="Cambria" w:hAnsi="Times New Roman"/>
          <w:sz w:val="24"/>
          <w:szCs w:val="24"/>
          <w:lang w:val="es" w:eastAsia="es-AR"/>
        </w:rPr>
        <w:t xml:space="preserve">l aumento del encarcelamiento, </w:t>
      </w:r>
      <w:r w:rsidR="00071130" w:rsidRPr="001F5834">
        <w:rPr>
          <w:rFonts w:ascii="Times New Roman" w:eastAsia="Cambria" w:hAnsi="Times New Roman"/>
          <w:sz w:val="24"/>
          <w:szCs w:val="24"/>
          <w:lang w:val="es" w:eastAsia="es-AR"/>
        </w:rPr>
        <w:t xml:space="preserve">para lograr </w:t>
      </w:r>
      <w:r w:rsidR="009705F9" w:rsidRPr="001F5834">
        <w:rPr>
          <w:rFonts w:ascii="Times New Roman" w:eastAsia="Cambria" w:hAnsi="Times New Roman"/>
          <w:sz w:val="24"/>
          <w:szCs w:val="24"/>
          <w:lang w:val="es" w:eastAsia="es-AR"/>
        </w:rPr>
        <w:t>que las cárceles sean espacios en los que se garantice la dignidad humana y se posibilite llevar adelante programas orientados a la futura reinserción social de las personas detenidas</w:t>
      </w:r>
      <w:r w:rsidR="00071130" w:rsidRPr="001F5834">
        <w:rPr>
          <w:rFonts w:ascii="Times New Roman" w:eastAsia="Cambria" w:hAnsi="Times New Roman"/>
          <w:sz w:val="24"/>
          <w:szCs w:val="24"/>
          <w:lang w:val="es" w:eastAsia="es-AR"/>
        </w:rPr>
        <w:t>, evitando que se conviertan en depósitos de personas</w:t>
      </w:r>
      <w:r w:rsidR="009705F9" w:rsidRPr="001F5834">
        <w:rPr>
          <w:rFonts w:ascii="Times New Roman" w:eastAsia="Cambria" w:hAnsi="Times New Roman"/>
          <w:sz w:val="24"/>
          <w:szCs w:val="24"/>
          <w:lang w:val="es" w:eastAsia="es-AR"/>
        </w:rPr>
        <w:t>.</w:t>
      </w:r>
    </w:p>
    <w:p w14:paraId="792F98E0" w14:textId="77777777" w:rsidR="009705F9" w:rsidRPr="001F5834" w:rsidRDefault="009705F9" w:rsidP="004E2174">
      <w:pPr>
        <w:spacing w:after="120" w:line="240" w:lineRule="auto"/>
        <w:jc w:val="both"/>
        <w:rPr>
          <w:rFonts w:ascii="Times New Roman" w:eastAsia="Cambria" w:hAnsi="Times New Roman"/>
          <w:sz w:val="24"/>
          <w:szCs w:val="24"/>
          <w:lang w:val="es"/>
        </w:rPr>
      </w:pPr>
    </w:p>
    <w:p w14:paraId="37346D24" w14:textId="4EA4EE61" w:rsidR="00BF3B61" w:rsidRDefault="00F038BC" w:rsidP="004E2174">
      <w:pPr>
        <w:pStyle w:val="Heading2"/>
        <w:spacing w:before="0" w:after="120" w:line="240" w:lineRule="auto"/>
        <w:rPr>
          <w:rStyle w:val="Hyperlink"/>
          <w:rFonts w:ascii="Times New Roman" w:hAnsi="Times New Roman" w:cs="Times New Roman"/>
          <w:b/>
          <w:bCs/>
          <w:noProof/>
          <w:color w:val="auto"/>
          <w:sz w:val="24"/>
          <w:szCs w:val="24"/>
          <w:u w:val="none"/>
        </w:rPr>
      </w:pPr>
      <w:bookmarkStart w:id="6" w:name="_Toc210805564"/>
      <w:r w:rsidRPr="00BF3B61">
        <w:rPr>
          <w:rStyle w:val="Hyperlink"/>
          <w:rFonts w:ascii="Times New Roman" w:hAnsi="Times New Roman" w:cs="Times New Roman"/>
          <w:b/>
          <w:bCs/>
          <w:noProof/>
          <w:color w:val="auto"/>
          <w:sz w:val="24"/>
          <w:szCs w:val="24"/>
          <w:u w:val="none"/>
        </w:rPr>
        <w:t>2.</w:t>
      </w:r>
      <w:r w:rsidR="0033228D" w:rsidRPr="00BF3B61">
        <w:rPr>
          <w:rStyle w:val="Hyperlink"/>
          <w:rFonts w:ascii="Times New Roman" w:hAnsi="Times New Roman" w:cs="Times New Roman"/>
          <w:b/>
          <w:bCs/>
          <w:noProof/>
          <w:color w:val="auto"/>
          <w:sz w:val="24"/>
          <w:szCs w:val="24"/>
          <w:u w:val="none"/>
        </w:rPr>
        <w:t>3</w:t>
      </w:r>
      <w:r w:rsidRPr="00BF3B61">
        <w:rPr>
          <w:rStyle w:val="Hyperlink"/>
          <w:rFonts w:ascii="Times New Roman" w:hAnsi="Times New Roman" w:cs="Times New Roman"/>
          <w:b/>
          <w:bCs/>
          <w:noProof/>
          <w:color w:val="auto"/>
          <w:sz w:val="24"/>
          <w:szCs w:val="24"/>
          <w:u w:val="none"/>
        </w:rPr>
        <w:t>. Ev</w:t>
      </w:r>
      <w:r w:rsidR="0033228D" w:rsidRPr="00BF3B61">
        <w:rPr>
          <w:rStyle w:val="Hyperlink"/>
          <w:rFonts w:ascii="Times New Roman" w:hAnsi="Times New Roman" w:cs="Times New Roman"/>
          <w:b/>
          <w:bCs/>
          <w:noProof/>
          <w:color w:val="auto"/>
          <w:sz w:val="24"/>
          <w:szCs w:val="24"/>
          <w:u w:val="none"/>
        </w:rPr>
        <w:t>o</w:t>
      </w:r>
      <w:r w:rsidRPr="00BF3B61">
        <w:rPr>
          <w:rStyle w:val="Hyperlink"/>
          <w:rFonts w:ascii="Times New Roman" w:hAnsi="Times New Roman" w:cs="Times New Roman"/>
          <w:b/>
          <w:bCs/>
          <w:noProof/>
          <w:color w:val="auto"/>
          <w:sz w:val="24"/>
          <w:szCs w:val="24"/>
          <w:u w:val="none"/>
        </w:rPr>
        <w:t>lución del encarcelamiento de mujeres</w:t>
      </w:r>
      <w:r w:rsidR="001E714A">
        <w:rPr>
          <w:rStyle w:val="Hyperlink"/>
          <w:rFonts w:ascii="Times New Roman" w:hAnsi="Times New Roman" w:cs="Times New Roman"/>
          <w:b/>
          <w:bCs/>
          <w:noProof/>
          <w:color w:val="auto"/>
          <w:sz w:val="24"/>
          <w:szCs w:val="24"/>
          <w:u w:val="none"/>
        </w:rPr>
        <w:t>, en particular</w:t>
      </w:r>
      <w:r w:rsidRPr="00BF3B61">
        <w:rPr>
          <w:rStyle w:val="Hyperlink"/>
          <w:rFonts w:ascii="Times New Roman" w:hAnsi="Times New Roman" w:cs="Times New Roman"/>
          <w:b/>
          <w:bCs/>
          <w:noProof/>
          <w:color w:val="auto"/>
          <w:sz w:val="24"/>
          <w:szCs w:val="24"/>
          <w:u w:val="none"/>
        </w:rPr>
        <w:t xml:space="preserve"> </w:t>
      </w:r>
      <w:r w:rsidR="0033228D" w:rsidRPr="00BF3B61">
        <w:rPr>
          <w:rStyle w:val="Hyperlink"/>
          <w:rFonts w:ascii="Times New Roman" w:hAnsi="Times New Roman" w:cs="Times New Roman"/>
          <w:b/>
          <w:bCs/>
          <w:noProof/>
          <w:color w:val="auto"/>
          <w:sz w:val="24"/>
          <w:szCs w:val="24"/>
          <w:u w:val="none"/>
        </w:rPr>
        <w:t xml:space="preserve">embarazadas o </w:t>
      </w:r>
      <w:r w:rsidRPr="00BF3B61">
        <w:rPr>
          <w:rStyle w:val="Hyperlink"/>
          <w:rFonts w:ascii="Times New Roman" w:hAnsi="Times New Roman" w:cs="Times New Roman"/>
          <w:b/>
          <w:bCs/>
          <w:noProof/>
          <w:color w:val="auto"/>
          <w:sz w:val="24"/>
          <w:szCs w:val="24"/>
          <w:u w:val="none"/>
        </w:rPr>
        <w:t>con hijos y acceso a medidas alternativas</w:t>
      </w:r>
      <w:bookmarkEnd w:id="6"/>
      <w:r w:rsidR="00C71E63">
        <w:rPr>
          <w:rStyle w:val="Hyperlink"/>
          <w:rFonts w:ascii="Times New Roman" w:hAnsi="Times New Roman" w:cs="Times New Roman"/>
          <w:b/>
          <w:bCs/>
          <w:noProof/>
          <w:color w:val="auto"/>
          <w:sz w:val="24"/>
          <w:szCs w:val="24"/>
          <w:u w:val="none"/>
        </w:rPr>
        <w:t xml:space="preserve"> </w:t>
      </w:r>
    </w:p>
    <w:p w14:paraId="61ACD3C6" w14:textId="1355590D" w:rsidR="000837D1" w:rsidRPr="000837D1" w:rsidRDefault="000837D1" w:rsidP="004E2174">
      <w:pPr>
        <w:spacing w:after="120" w:line="240" w:lineRule="auto"/>
        <w:jc w:val="both"/>
        <w:rPr>
          <w:rFonts w:ascii="Times New Roman" w:eastAsia="Times New Roman" w:hAnsi="Times New Roman" w:cs="Times New Roman"/>
          <w:kern w:val="0"/>
          <w:sz w:val="24"/>
          <w:szCs w:val="24"/>
          <w:lang w:eastAsia="es-AR"/>
          <w14:ligatures w14:val="none"/>
        </w:rPr>
      </w:pPr>
      <w:r w:rsidRPr="000837D1">
        <w:rPr>
          <w:rFonts w:ascii="Times New Roman" w:eastAsia="Times New Roman" w:hAnsi="Times New Roman" w:cs="Times New Roman"/>
          <w:kern w:val="0"/>
          <w:sz w:val="24"/>
          <w:szCs w:val="24"/>
          <w:lang w:eastAsia="es-AR"/>
          <w14:ligatures w14:val="none"/>
        </w:rPr>
        <w:t>Según los datos oficiales, hacia fines del año 20</w:t>
      </w:r>
      <w:r w:rsidR="006226AE">
        <w:rPr>
          <w:rFonts w:ascii="Times New Roman" w:eastAsia="Times New Roman" w:hAnsi="Times New Roman" w:cs="Times New Roman"/>
          <w:kern w:val="0"/>
          <w:sz w:val="24"/>
          <w:szCs w:val="24"/>
          <w:lang w:eastAsia="es-AR"/>
          <w14:ligatures w14:val="none"/>
        </w:rPr>
        <w:t>24 se registraba un total de 866</w:t>
      </w:r>
      <w:r w:rsidRPr="000837D1">
        <w:rPr>
          <w:rFonts w:ascii="Times New Roman" w:eastAsia="Times New Roman" w:hAnsi="Times New Roman" w:cs="Times New Roman"/>
          <w:kern w:val="0"/>
          <w:sz w:val="24"/>
          <w:szCs w:val="24"/>
          <w:lang w:eastAsia="es-AR"/>
          <w14:ligatures w14:val="none"/>
        </w:rPr>
        <w:t xml:space="preserve"> mujeres detenidas en la órbita del Servicio Penitenciario Federal</w:t>
      </w:r>
      <w:r w:rsidRPr="000837D1">
        <w:rPr>
          <w:rFonts w:ascii="Times New Roman" w:eastAsia="Times New Roman" w:hAnsi="Times New Roman" w:cs="Times New Roman"/>
          <w:kern w:val="0"/>
          <w:sz w:val="24"/>
          <w:szCs w:val="24"/>
          <w:vertAlign w:val="superscript"/>
          <w:lang w:val="es" w:eastAsia="es-AR"/>
          <w14:ligatures w14:val="none"/>
        </w:rPr>
        <w:footnoteReference w:id="12"/>
      </w:r>
      <w:r w:rsidRPr="000837D1">
        <w:rPr>
          <w:rFonts w:ascii="Times New Roman" w:eastAsia="Times New Roman" w:hAnsi="Times New Roman" w:cs="Times New Roman"/>
          <w:kern w:val="0"/>
          <w:sz w:val="24"/>
          <w:szCs w:val="24"/>
          <w:lang w:eastAsia="es-AR"/>
          <w14:ligatures w14:val="none"/>
        </w:rPr>
        <w:t xml:space="preserve">. De esta manera, a nivel federal, </w:t>
      </w:r>
      <w:r w:rsidR="006226AE">
        <w:rPr>
          <w:rFonts w:ascii="Times New Roman" w:eastAsia="Times New Roman" w:hAnsi="Times New Roman" w:cs="Times New Roman"/>
          <w:kern w:val="0"/>
          <w:sz w:val="24"/>
          <w:szCs w:val="24"/>
          <w:lang w:eastAsia="es-AR"/>
          <w14:ligatures w14:val="none"/>
        </w:rPr>
        <w:t>las mujeres representaban el 7,4</w:t>
      </w:r>
      <w:r w:rsidRPr="000837D1">
        <w:rPr>
          <w:rFonts w:ascii="Times New Roman" w:eastAsia="Times New Roman" w:hAnsi="Times New Roman" w:cs="Times New Roman"/>
          <w:kern w:val="0"/>
          <w:sz w:val="24"/>
          <w:szCs w:val="24"/>
          <w:lang w:eastAsia="es-AR"/>
          <w14:ligatures w14:val="none"/>
        </w:rPr>
        <w:t xml:space="preserve">% de la población penitenciaria. </w:t>
      </w:r>
    </w:p>
    <w:p w14:paraId="22D15267" w14:textId="77777777" w:rsidR="00CB312F" w:rsidRDefault="000837D1" w:rsidP="004E2174">
      <w:pPr>
        <w:spacing w:after="120" w:line="240" w:lineRule="auto"/>
        <w:jc w:val="both"/>
        <w:rPr>
          <w:rFonts w:ascii="Times New Roman" w:eastAsia="Times New Roman" w:hAnsi="Times New Roman" w:cs="Times New Roman"/>
          <w:kern w:val="0"/>
          <w:sz w:val="24"/>
          <w:szCs w:val="24"/>
          <w:lang w:eastAsia="es-AR"/>
          <w14:ligatures w14:val="none"/>
        </w:rPr>
      </w:pPr>
      <w:r w:rsidRPr="000837D1">
        <w:rPr>
          <w:rFonts w:ascii="Times New Roman" w:eastAsia="Times New Roman" w:hAnsi="Times New Roman" w:cs="Times New Roman"/>
          <w:kern w:val="0"/>
          <w:sz w:val="24"/>
          <w:szCs w:val="24"/>
          <w:lang w:eastAsia="es-AR"/>
          <w14:ligatures w14:val="none"/>
        </w:rPr>
        <w:t>De este universo, aproximadamente el 50% se encontraba en calidad de procesada. Si bien en los últimos años se advierte una disminución en la proporción de mujeres procesadas, continúa siendo significativa la cantidad de personas detenidas sin condena</w:t>
      </w:r>
      <w:r w:rsidR="00CB312F">
        <w:rPr>
          <w:rFonts w:ascii="Times New Roman" w:eastAsia="Times New Roman" w:hAnsi="Times New Roman" w:cs="Times New Roman"/>
          <w:kern w:val="0"/>
          <w:sz w:val="24"/>
          <w:szCs w:val="24"/>
          <w:lang w:eastAsia="es-AR"/>
          <w14:ligatures w14:val="none"/>
        </w:rPr>
        <w:t xml:space="preserve"> </w:t>
      </w:r>
      <w:r w:rsidRPr="000837D1">
        <w:rPr>
          <w:rFonts w:ascii="Times New Roman" w:eastAsia="Times New Roman" w:hAnsi="Times New Roman" w:cs="Times New Roman"/>
          <w:kern w:val="0"/>
          <w:sz w:val="24"/>
          <w:szCs w:val="24"/>
          <w:lang w:eastAsia="es-AR"/>
          <w14:ligatures w14:val="none"/>
        </w:rPr>
        <w:t>firme.</w:t>
      </w:r>
    </w:p>
    <w:p w14:paraId="68F6380D" w14:textId="76146A81" w:rsidR="001E714A" w:rsidRPr="001E714A" w:rsidRDefault="001E714A" w:rsidP="004E2174">
      <w:pPr>
        <w:spacing w:after="120" w:line="240" w:lineRule="auto"/>
        <w:jc w:val="both"/>
        <w:rPr>
          <w:rFonts w:ascii="Times New Roman" w:eastAsia="Times New Roman" w:hAnsi="Times New Roman" w:cs="Times New Roman"/>
          <w:b/>
          <w:bCs/>
          <w:kern w:val="0"/>
          <w:lang w:eastAsia="es-AR"/>
          <w14:ligatures w14:val="none"/>
        </w:rPr>
      </w:pPr>
      <w:r w:rsidRPr="001E714A">
        <w:rPr>
          <w:rFonts w:ascii="Times New Roman" w:eastAsia="Times New Roman" w:hAnsi="Times New Roman" w:cs="Times New Roman"/>
          <w:b/>
          <w:bCs/>
          <w:kern w:val="0"/>
          <w:lang w:eastAsia="es-AR"/>
          <w14:ligatures w14:val="none"/>
        </w:rPr>
        <w:t>Evolución histórica de la población penal de mujeres y personas trans-travestis en Argentina según situación legal, en porcentajes (2006-2024)</w:t>
      </w:r>
    </w:p>
    <w:p w14:paraId="6D54592F" w14:textId="11BBED79" w:rsidR="00411CD3" w:rsidRDefault="00411CD3" w:rsidP="004E2174">
      <w:pPr>
        <w:spacing w:after="120" w:line="240" w:lineRule="auto"/>
        <w:jc w:val="both"/>
        <w:rPr>
          <w:rFonts w:ascii="Times New Roman" w:eastAsia="Times New Roman" w:hAnsi="Times New Roman" w:cs="Times New Roman"/>
          <w:kern w:val="0"/>
          <w:sz w:val="24"/>
          <w:szCs w:val="24"/>
          <w:lang w:eastAsia="es-AR"/>
          <w14:ligatures w14:val="none"/>
        </w:rPr>
      </w:pPr>
      <w:r>
        <w:rPr>
          <w:noProof/>
          <w:lang w:eastAsia="es-AR"/>
        </w:rPr>
        <w:drawing>
          <wp:inline distT="0" distB="0" distL="0" distR="0" wp14:anchorId="7191F2DA" wp14:editId="64D4B355">
            <wp:extent cx="5295900" cy="3290888"/>
            <wp:effectExtent l="0" t="0" r="0" b="5080"/>
            <wp:docPr id="1176823448" name="Gráfico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196736E" w14:textId="77777777" w:rsidR="000837D1" w:rsidRPr="000837D1" w:rsidRDefault="000837D1" w:rsidP="004E2174">
      <w:pPr>
        <w:spacing w:after="120" w:line="240" w:lineRule="auto"/>
        <w:jc w:val="center"/>
        <w:rPr>
          <w:rFonts w:ascii="Times New Roman" w:eastAsia="Times New Roman" w:hAnsi="Times New Roman" w:cs="Times New Roman"/>
          <w:i/>
          <w:kern w:val="0"/>
          <w:sz w:val="20"/>
          <w:szCs w:val="20"/>
          <w:lang w:val="es" w:eastAsia="es-AR"/>
          <w14:ligatures w14:val="none"/>
        </w:rPr>
      </w:pPr>
      <w:r w:rsidRPr="000837D1">
        <w:rPr>
          <w:rFonts w:ascii="Times New Roman" w:eastAsia="Times New Roman" w:hAnsi="Times New Roman" w:cs="Times New Roman"/>
          <w:i/>
          <w:kern w:val="0"/>
          <w:sz w:val="20"/>
          <w:szCs w:val="20"/>
          <w:lang w:val="es" w:eastAsia="es-AR"/>
          <w14:ligatures w14:val="none"/>
        </w:rPr>
        <w:t>Fuente: Elaboración propia en base a datos SNEEP Argentina 2024</w:t>
      </w:r>
    </w:p>
    <w:p w14:paraId="03D6E5A8" w14:textId="77777777" w:rsidR="000837D1" w:rsidRPr="000837D1" w:rsidRDefault="000837D1" w:rsidP="004E2174">
      <w:pPr>
        <w:spacing w:after="120" w:line="240" w:lineRule="auto"/>
        <w:jc w:val="both"/>
        <w:rPr>
          <w:rFonts w:ascii="Times New Roman" w:eastAsia="Times New Roman" w:hAnsi="Times New Roman" w:cs="Times New Roman"/>
          <w:kern w:val="0"/>
          <w:sz w:val="24"/>
          <w:szCs w:val="24"/>
          <w:lang w:val="es" w:eastAsia="es-AR"/>
          <w14:ligatures w14:val="none"/>
        </w:rPr>
      </w:pPr>
      <w:bookmarkStart w:id="7" w:name="_tiahacvco3aj" w:colFirst="0" w:colLast="0"/>
      <w:bookmarkEnd w:id="7"/>
    </w:p>
    <w:p w14:paraId="66351554" w14:textId="77777777" w:rsidR="000837D1" w:rsidRPr="000837D1" w:rsidRDefault="000837D1" w:rsidP="004E2174">
      <w:pPr>
        <w:spacing w:after="120" w:line="240" w:lineRule="auto"/>
        <w:jc w:val="both"/>
        <w:rPr>
          <w:rFonts w:ascii="Times New Roman" w:eastAsia="Times New Roman" w:hAnsi="Times New Roman" w:cs="Times New Roman"/>
          <w:kern w:val="0"/>
          <w:sz w:val="24"/>
          <w:szCs w:val="24"/>
          <w:lang w:val="es" w:eastAsia="es-AR"/>
          <w14:ligatures w14:val="none"/>
        </w:rPr>
      </w:pPr>
      <w:r w:rsidRPr="000837D1">
        <w:rPr>
          <w:rFonts w:ascii="Times New Roman" w:eastAsia="Times New Roman" w:hAnsi="Times New Roman" w:cs="Times New Roman"/>
          <w:kern w:val="0"/>
          <w:sz w:val="24"/>
          <w:szCs w:val="24"/>
          <w:lang w:val="es" w:eastAsia="es-AR"/>
          <w14:ligatures w14:val="none"/>
        </w:rPr>
        <w:t>El perfil de las mujeres encarceladas se corresponde, en su mayoría, con la comisión de hechos no violentos, principalmente vinculados a delitos de drogas, con condenas de corta duración. Se trata de mujeres en situación de pobreza, con bajos niveles de escolaridad y una marcada precariedad sociolaboral, que suelen ser responsables del cuidado de sus hijas e hijos y de otros familiares dependientes. Muchas de ellas han atravesado experiencias previas de abuso y violencia.</w:t>
      </w:r>
    </w:p>
    <w:p w14:paraId="1D801ECD" w14:textId="116E54B1" w:rsidR="000837D1" w:rsidRPr="000837D1" w:rsidRDefault="000837D1" w:rsidP="004E2174">
      <w:pPr>
        <w:spacing w:after="120" w:line="240" w:lineRule="auto"/>
        <w:jc w:val="both"/>
        <w:rPr>
          <w:rFonts w:ascii="Times New Roman" w:eastAsia="Times New Roman" w:hAnsi="Times New Roman" w:cs="Times New Roman"/>
          <w:kern w:val="0"/>
          <w:sz w:val="24"/>
          <w:szCs w:val="24"/>
          <w:lang w:val="es" w:eastAsia="es-AR"/>
          <w14:ligatures w14:val="none"/>
        </w:rPr>
      </w:pPr>
      <w:r w:rsidRPr="000837D1">
        <w:rPr>
          <w:rFonts w:ascii="Times New Roman" w:eastAsia="Times New Roman" w:hAnsi="Times New Roman" w:cs="Times New Roman"/>
          <w:kern w:val="0"/>
          <w:sz w:val="24"/>
          <w:szCs w:val="24"/>
          <w:lang w:val="es" w:eastAsia="es-AR"/>
          <w14:ligatures w14:val="none"/>
        </w:rPr>
        <w:t xml:space="preserve">En este sentido, la privación de libertad —particularmente en los casos sin condena firme— resulta en ocasiones desproporcionada frente a las trayectorias de vida señaladas. Por ello, la PPN ha subrayado la necesidad de reforzar la aplicación de medidas alternativas al encarcelamiento. En este marco, se ha trabajado junto a las Defensorías Públicas Oficiales en propuestas para ampliar la aplicación de la </w:t>
      </w:r>
      <w:r w:rsidR="00411CD3">
        <w:rPr>
          <w:rFonts w:ascii="Times New Roman" w:eastAsia="Times New Roman" w:hAnsi="Times New Roman" w:cs="Times New Roman"/>
          <w:kern w:val="0"/>
          <w:sz w:val="24"/>
          <w:szCs w:val="24"/>
          <w:lang w:val="es" w:eastAsia="es-AR"/>
          <w14:ligatures w14:val="none"/>
        </w:rPr>
        <w:t>previsión legal</w:t>
      </w:r>
      <w:r w:rsidRPr="000837D1">
        <w:rPr>
          <w:rFonts w:ascii="Times New Roman" w:eastAsia="Times New Roman" w:hAnsi="Times New Roman" w:cs="Times New Roman"/>
          <w:kern w:val="0"/>
          <w:sz w:val="24"/>
          <w:szCs w:val="24"/>
          <w:lang w:val="es" w:eastAsia="es-AR"/>
          <w14:ligatures w14:val="none"/>
        </w:rPr>
        <w:t xml:space="preserve"> que regula el acceso a la prisión domiciliaria en Argentina, con el fin de atender a las problemáticas específicas de determinados colectivos</w:t>
      </w:r>
      <w:r w:rsidRPr="000837D1">
        <w:rPr>
          <w:rFonts w:ascii="Times New Roman" w:eastAsia="Times New Roman" w:hAnsi="Times New Roman" w:cs="Times New Roman"/>
          <w:kern w:val="0"/>
          <w:sz w:val="24"/>
          <w:szCs w:val="24"/>
          <w:vertAlign w:val="superscript"/>
          <w:lang w:val="es" w:eastAsia="es-AR"/>
          <w14:ligatures w14:val="none"/>
        </w:rPr>
        <w:footnoteReference w:id="13"/>
      </w:r>
      <w:r w:rsidRPr="000837D1">
        <w:rPr>
          <w:rFonts w:ascii="Times New Roman" w:eastAsia="Times New Roman" w:hAnsi="Times New Roman" w:cs="Times New Roman"/>
          <w:kern w:val="0"/>
          <w:sz w:val="24"/>
          <w:szCs w:val="24"/>
          <w:lang w:val="es" w:eastAsia="es-AR"/>
          <w14:ligatures w14:val="none"/>
        </w:rPr>
        <w:t>.</w:t>
      </w:r>
    </w:p>
    <w:p w14:paraId="572A6C8C" w14:textId="7DA831A5" w:rsidR="000837D1" w:rsidRPr="000837D1" w:rsidRDefault="005C4B93" w:rsidP="004E2174">
      <w:pPr>
        <w:spacing w:after="120" w:line="240" w:lineRule="auto"/>
        <w:jc w:val="both"/>
        <w:rPr>
          <w:rFonts w:ascii="Times New Roman" w:eastAsia="Times New Roman" w:hAnsi="Times New Roman" w:cs="Times New Roman"/>
          <w:kern w:val="0"/>
          <w:sz w:val="24"/>
          <w:szCs w:val="24"/>
          <w:lang w:eastAsia="es-AR"/>
          <w14:ligatures w14:val="none"/>
        </w:rPr>
      </w:pPr>
      <w:r>
        <w:rPr>
          <w:rFonts w:ascii="Times New Roman" w:eastAsia="Times New Roman" w:hAnsi="Times New Roman" w:cs="Times New Roman"/>
          <w:kern w:val="0"/>
          <w:sz w:val="24"/>
          <w:szCs w:val="24"/>
          <w:lang w:eastAsia="es-AR"/>
          <w14:ligatures w14:val="none"/>
        </w:rPr>
        <w:t>Por otro lado</w:t>
      </w:r>
      <w:r w:rsidR="000837D1" w:rsidRPr="000837D1">
        <w:rPr>
          <w:rFonts w:ascii="Times New Roman" w:eastAsia="Times New Roman" w:hAnsi="Times New Roman" w:cs="Times New Roman"/>
          <w:kern w:val="0"/>
          <w:sz w:val="24"/>
          <w:szCs w:val="24"/>
          <w:lang w:eastAsia="es-AR"/>
          <w14:ligatures w14:val="none"/>
        </w:rPr>
        <w:t xml:space="preserve">, la última reforma de la Ley </w:t>
      </w:r>
      <w:r w:rsidR="00411CD3">
        <w:rPr>
          <w:rFonts w:ascii="Times New Roman" w:eastAsia="Times New Roman" w:hAnsi="Times New Roman" w:cs="Times New Roman"/>
          <w:kern w:val="0"/>
          <w:sz w:val="24"/>
          <w:szCs w:val="24"/>
          <w:lang w:eastAsia="es-AR"/>
          <w14:ligatures w14:val="none"/>
        </w:rPr>
        <w:t xml:space="preserve">Nacional de Ejecución Penal nº </w:t>
      </w:r>
      <w:r w:rsidR="000837D1" w:rsidRPr="000837D1">
        <w:rPr>
          <w:rFonts w:ascii="Times New Roman" w:eastAsia="Times New Roman" w:hAnsi="Times New Roman" w:cs="Times New Roman"/>
          <w:kern w:val="0"/>
          <w:sz w:val="24"/>
          <w:szCs w:val="24"/>
          <w:lang w:eastAsia="es-AR"/>
          <w14:ligatures w14:val="none"/>
        </w:rPr>
        <w:t>24.660</w:t>
      </w:r>
      <w:r>
        <w:rPr>
          <w:rFonts w:ascii="Times New Roman" w:eastAsia="Times New Roman" w:hAnsi="Times New Roman" w:cs="Times New Roman"/>
          <w:kern w:val="0"/>
          <w:sz w:val="24"/>
          <w:szCs w:val="24"/>
          <w:lang w:eastAsia="es-AR"/>
          <w14:ligatures w14:val="none"/>
        </w:rPr>
        <w:t>,</w:t>
      </w:r>
      <w:r w:rsidR="00411CD3">
        <w:rPr>
          <w:rFonts w:ascii="Times New Roman" w:eastAsia="Times New Roman" w:hAnsi="Times New Roman" w:cs="Times New Roman"/>
          <w:kern w:val="0"/>
          <w:sz w:val="24"/>
          <w:szCs w:val="24"/>
          <w:lang w:eastAsia="es-AR"/>
          <w14:ligatures w14:val="none"/>
        </w:rPr>
        <w:t xml:space="preserve"> efectuada en el año 2017</w:t>
      </w:r>
      <w:r>
        <w:rPr>
          <w:rFonts w:ascii="Times New Roman" w:eastAsia="Times New Roman" w:hAnsi="Times New Roman" w:cs="Times New Roman"/>
          <w:kern w:val="0"/>
          <w:sz w:val="24"/>
          <w:szCs w:val="24"/>
          <w:lang w:eastAsia="es-AR"/>
          <w14:ligatures w14:val="none"/>
        </w:rPr>
        <w:t>,</w:t>
      </w:r>
      <w:r w:rsidR="00411CD3">
        <w:rPr>
          <w:rFonts w:ascii="Times New Roman" w:eastAsia="Times New Roman" w:hAnsi="Times New Roman" w:cs="Times New Roman"/>
          <w:kern w:val="0"/>
          <w:sz w:val="24"/>
          <w:szCs w:val="24"/>
          <w:lang w:eastAsia="es-AR"/>
          <w14:ligatures w14:val="none"/>
        </w:rPr>
        <w:t xml:space="preserve"> </w:t>
      </w:r>
      <w:r w:rsidR="000837D1" w:rsidRPr="000837D1">
        <w:rPr>
          <w:rFonts w:ascii="Times New Roman" w:eastAsia="Times New Roman" w:hAnsi="Times New Roman" w:cs="Times New Roman"/>
          <w:kern w:val="0"/>
          <w:sz w:val="24"/>
          <w:szCs w:val="24"/>
          <w:lang w:eastAsia="es-AR"/>
          <w14:ligatures w14:val="none"/>
        </w:rPr>
        <w:t>introdujo restricciones que impiden —entre otras cuestiones— que las personas condenadas por delitos vinculados a estupefacientes accedan a libertades anticipadas, obligándolas a cumplir la totalidad de sus condenas en detención. Este cambio en la política criminal ha tenido un impacto diferenciado y particularmente gravoso sobre las mujeres, dado el alto porcentaje de ellas que se encuentran encarceladas por este tipo de delitos, configurando así</w:t>
      </w:r>
      <w:r w:rsidR="000837D1" w:rsidRPr="000837D1">
        <w:rPr>
          <w:rFonts w:ascii="Times New Roman" w:eastAsia="Times New Roman" w:hAnsi="Times New Roman" w:cs="Times New Roman"/>
          <w:kern w:val="0"/>
          <w:sz w:val="24"/>
          <w:szCs w:val="24"/>
          <w:lang w:val="es" w:eastAsia="es-AR"/>
          <w14:ligatures w14:val="none"/>
        </w:rPr>
        <w:t xml:space="preserve"> un efecto discriminatorio por razones de género.</w:t>
      </w:r>
    </w:p>
    <w:p w14:paraId="0AEFC61F" w14:textId="282A40F6" w:rsidR="000837D1" w:rsidRPr="000837D1" w:rsidRDefault="000837D1" w:rsidP="004E2174">
      <w:pPr>
        <w:tabs>
          <w:tab w:val="num" w:pos="720"/>
        </w:tabs>
        <w:spacing w:after="120" w:line="240" w:lineRule="auto"/>
        <w:jc w:val="both"/>
        <w:rPr>
          <w:rFonts w:ascii="Times New Roman" w:eastAsia="Times New Roman" w:hAnsi="Times New Roman" w:cs="Times New Roman"/>
          <w:kern w:val="0"/>
          <w:sz w:val="24"/>
          <w:szCs w:val="24"/>
          <w:lang w:eastAsia="es-AR"/>
          <w14:ligatures w14:val="none"/>
        </w:rPr>
      </w:pPr>
      <w:r w:rsidRPr="000837D1">
        <w:rPr>
          <w:rFonts w:ascii="Times New Roman" w:eastAsia="Times New Roman" w:hAnsi="Times New Roman" w:cs="Times New Roman"/>
          <w:kern w:val="0"/>
          <w:sz w:val="24"/>
          <w:szCs w:val="24"/>
          <w:lang w:eastAsia="es-AR"/>
          <w14:ligatures w14:val="none"/>
        </w:rPr>
        <w:t>Actualmente, las mujeres detenidas en el SPF se encuentran distribuidas en cinco unidades federales:</w:t>
      </w:r>
      <w:r w:rsidR="001F5834">
        <w:rPr>
          <w:rFonts w:ascii="Times New Roman" w:eastAsia="Times New Roman" w:hAnsi="Times New Roman" w:cs="Times New Roman"/>
          <w:kern w:val="0"/>
          <w:sz w:val="24"/>
          <w:szCs w:val="24"/>
          <w:lang w:eastAsia="es-AR"/>
          <w14:ligatures w14:val="none"/>
        </w:rPr>
        <w:t xml:space="preserve"> </w:t>
      </w:r>
      <w:r w:rsidRPr="000837D1">
        <w:rPr>
          <w:rFonts w:ascii="Times New Roman" w:eastAsia="Times New Roman" w:hAnsi="Times New Roman" w:cs="Times New Roman"/>
          <w:kern w:val="0"/>
          <w:sz w:val="24"/>
          <w:szCs w:val="24"/>
          <w:lang w:eastAsia="es-AR"/>
          <w14:ligatures w14:val="none"/>
        </w:rPr>
        <w:t>Complejo Penitenciario Federal III (Salta)</w:t>
      </w:r>
      <w:r w:rsidR="001F5834">
        <w:rPr>
          <w:rFonts w:ascii="Times New Roman" w:eastAsia="Times New Roman" w:hAnsi="Times New Roman" w:cs="Times New Roman"/>
          <w:kern w:val="0"/>
          <w:sz w:val="24"/>
          <w:szCs w:val="24"/>
          <w:lang w:eastAsia="es-AR"/>
          <w14:ligatures w14:val="none"/>
        </w:rPr>
        <w:t xml:space="preserve">; </w:t>
      </w:r>
      <w:r w:rsidRPr="000837D1">
        <w:rPr>
          <w:rFonts w:ascii="Times New Roman" w:eastAsia="Times New Roman" w:hAnsi="Times New Roman" w:cs="Times New Roman"/>
          <w:kern w:val="0"/>
          <w:sz w:val="24"/>
          <w:szCs w:val="24"/>
          <w:lang w:eastAsia="es-AR"/>
          <w14:ligatures w14:val="none"/>
        </w:rPr>
        <w:t>Complejo Penitenciario Federal IV (Buenos Aires)</w:t>
      </w:r>
      <w:r w:rsidR="001F5834">
        <w:rPr>
          <w:rFonts w:ascii="Times New Roman" w:eastAsia="Times New Roman" w:hAnsi="Times New Roman" w:cs="Times New Roman"/>
          <w:kern w:val="0"/>
          <w:sz w:val="24"/>
          <w:szCs w:val="24"/>
          <w:lang w:eastAsia="es-AR"/>
          <w14:ligatures w14:val="none"/>
        </w:rPr>
        <w:t xml:space="preserve">; </w:t>
      </w:r>
      <w:r w:rsidRPr="000837D1">
        <w:rPr>
          <w:rFonts w:ascii="Times New Roman" w:eastAsia="Times New Roman" w:hAnsi="Times New Roman" w:cs="Times New Roman"/>
          <w:kern w:val="0"/>
          <w:sz w:val="24"/>
          <w:szCs w:val="24"/>
          <w:lang w:eastAsia="es-AR"/>
          <w14:ligatures w14:val="none"/>
        </w:rPr>
        <w:t>Complejo Penitenciario Federal VI (Mendoza)</w:t>
      </w:r>
      <w:r w:rsidR="001F5834">
        <w:rPr>
          <w:rFonts w:ascii="Times New Roman" w:eastAsia="Times New Roman" w:hAnsi="Times New Roman" w:cs="Times New Roman"/>
          <w:kern w:val="0"/>
          <w:sz w:val="24"/>
          <w:szCs w:val="24"/>
          <w:lang w:eastAsia="es-AR"/>
          <w14:ligatures w14:val="none"/>
        </w:rPr>
        <w:t xml:space="preserve">; </w:t>
      </w:r>
      <w:r w:rsidRPr="000837D1">
        <w:rPr>
          <w:rFonts w:ascii="Times New Roman" w:eastAsia="Times New Roman" w:hAnsi="Times New Roman" w:cs="Times New Roman"/>
          <w:kern w:val="0"/>
          <w:sz w:val="24"/>
          <w:szCs w:val="24"/>
          <w:lang w:eastAsia="es-AR"/>
          <w14:ligatures w14:val="none"/>
        </w:rPr>
        <w:t>Unidad Nº 13 (La Pampa)</w:t>
      </w:r>
      <w:r w:rsidR="001F5834">
        <w:rPr>
          <w:rFonts w:ascii="Times New Roman" w:eastAsia="Times New Roman" w:hAnsi="Times New Roman" w:cs="Times New Roman"/>
          <w:kern w:val="0"/>
          <w:sz w:val="24"/>
          <w:szCs w:val="24"/>
          <w:lang w:eastAsia="es-AR"/>
          <w14:ligatures w14:val="none"/>
        </w:rPr>
        <w:t xml:space="preserve">; </w:t>
      </w:r>
      <w:r w:rsidRPr="000837D1">
        <w:rPr>
          <w:rFonts w:ascii="Times New Roman" w:eastAsia="Times New Roman" w:hAnsi="Times New Roman" w:cs="Times New Roman"/>
          <w:kern w:val="0"/>
          <w:sz w:val="24"/>
          <w:szCs w:val="24"/>
          <w:lang w:eastAsia="es-AR"/>
          <w14:ligatures w14:val="none"/>
        </w:rPr>
        <w:t>Unidad Nº 31 (Buenos Aires)</w:t>
      </w:r>
      <w:r w:rsidR="001F5834">
        <w:rPr>
          <w:rFonts w:ascii="Times New Roman" w:eastAsia="Times New Roman" w:hAnsi="Times New Roman" w:cs="Times New Roman"/>
          <w:kern w:val="0"/>
          <w:sz w:val="24"/>
          <w:szCs w:val="24"/>
          <w:lang w:eastAsia="es-AR"/>
          <w14:ligatures w14:val="none"/>
        </w:rPr>
        <w:t xml:space="preserve">. </w:t>
      </w:r>
      <w:r w:rsidRPr="000837D1">
        <w:rPr>
          <w:rFonts w:ascii="Times New Roman" w:eastAsia="Times New Roman" w:hAnsi="Times New Roman" w:cs="Times New Roman"/>
          <w:kern w:val="0"/>
          <w:sz w:val="24"/>
          <w:szCs w:val="24"/>
          <w:lang w:eastAsia="es-AR"/>
          <w14:ligatures w14:val="none"/>
        </w:rPr>
        <w:t>Todas estas unidades cuentan con sectores destinados al alojamiento de mujeres embarazadas y con hijos/as menores de 4 años, en cumplimiento del art. 192 de la Ley 24.660, con excepción del CPF IV de Ezeiza, que carece de espacios específicos para este colectivo.</w:t>
      </w:r>
    </w:p>
    <w:p w14:paraId="2B9058B9" w14:textId="6A030DA9" w:rsidR="000837D1" w:rsidRPr="000837D1" w:rsidRDefault="005C4B93" w:rsidP="004E2174">
      <w:pPr>
        <w:spacing w:after="120" w:line="240" w:lineRule="auto"/>
        <w:jc w:val="both"/>
        <w:rPr>
          <w:rFonts w:ascii="Times New Roman" w:eastAsia="Times New Roman" w:hAnsi="Times New Roman" w:cs="Times New Roman"/>
          <w:kern w:val="0"/>
          <w:sz w:val="24"/>
          <w:szCs w:val="24"/>
          <w:lang w:eastAsia="es-AR"/>
          <w14:ligatures w14:val="none"/>
        </w:rPr>
      </w:pPr>
      <w:r>
        <w:rPr>
          <w:rFonts w:ascii="Times New Roman" w:eastAsia="Times New Roman" w:hAnsi="Times New Roman" w:cs="Times New Roman"/>
          <w:kern w:val="0"/>
          <w:sz w:val="24"/>
          <w:szCs w:val="24"/>
          <w:lang w:eastAsia="es-AR"/>
          <w14:ligatures w14:val="none"/>
        </w:rPr>
        <w:t xml:space="preserve">Luego de un importante descenso que tuvo lugar en 2020 en el marco de la pandemia, </w:t>
      </w:r>
      <w:r w:rsidRPr="000837D1">
        <w:rPr>
          <w:rFonts w:ascii="Times New Roman" w:eastAsia="Times New Roman" w:hAnsi="Times New Roman" w:cs="Times New Roman"/>
          <w:kern w:val="0"/>
          <w:sz w:val="24"/>
          <w:szCs w:val="24"/>
          <w:lang w:eastAsia="es-AR"/>
          <w14:ligatures w14:val="none"/>
        </w:rPr>
        <w:t>en los últimos años</w:t>
      </w:r>
      <w:r>
        <w:rPr>
          <w:rFonts w:ascii="Times New Roman" w:eastAsia="Times New Roman" w:hAnsi="Times New Roman" w:cs="Times New Roman"/>
          <w:kern w:val="0"/>
          <w:sz w:val="24"/>
          <w:szCs w:val="24"/>
          <w:lang w:eastAsia="es-AR"/>
          <w14:ligatures w14:val="none"/>
        </w:rPr>
        <w:t xml:space="preserve"> e</w:t>
      </w:r>
      <w:r w:rsidR="000837D1" w:rsidRPr="000837D1">
        <w:rPr>
          <w:rFonts w:ascii="Times New Roman" w:eastAsia="Times New Roman" w:hAnsi="Times New Roman" w:cs="Times New Roman"/>
          <w:kern w:val="0"/>
          <w:sz w:val="24"/>
          <w:szCs w:val="24"/>
          <w:lang w:eastAsia="es-AR"/>
          <w14:ligatures w14:val="none"/>
        </w:rPr>
        <w:t>l número de mujeres embarazadas y madres detenidas con niños/as pequeños/as ha ido en aumento. En la actualidad, se encuentran alojadas 25 mujeres en dichas condiciones (embarazadas y/o con sus hijos/as) y permanecen junto a ellas un total de 15 niños/as</w:t>
      </w:r>
      <w:r w:rsidR="000837D1" w:rsidRPr="000837D1">
        <w:rPr>
          <w:rFonts w:ascii="Times New Roman" w:eastAsia="Times New Roman" w:hAnsi="Times New Roman" w:cs="Times New Roman"/>
          <w:kern w:val="0"/>
          <w:sz w:val="24"/>
          <w:szCs w:val="24"/>
          <w:vertAlign w:val="superscript"/>
          <w:lang w:eastAsia="es-AR"/>
          <w14:ligatures w14:val="none"/>
        </w:rPr>
        <w:footnoteReference w:id="14"/>
      </w:r>
      <w:r w:rsidR="000837D1" w:rsidRPr="000837D1">
        <w:rPr>
          <w:rFonts w:ascii="Times New Roman" w:eastAsia="Times New Roman" w:hAnsi="Times New Roman" w:cs="Times New Roman"/>
          <w:kern w:val="0"/>
          <w:sz w:val="24"/>
          <w:szCs w:val="24"/>
          <w:lang w:eastAsia="es-AR"/>
          <w14:ligatures w14:val="none"/>
        </w:rPr>
        <w:t>.</w:t>
      </w:r>
    </w:p>
    <w:p w14:paraId="5BA8734B" w14:textId="77777777" w:rsidR="000837D1" w:rsidRPr="000837D1" w:rsidRDefault="000837D1" w:rsidP="004E2174">
      <w:pPr>
        <w:spacing w:after="120" w:line="240" w:lineRule="auto"/>
        <w:jc w:val="both"/>
        <w:rPr>
          <w:rFonts w:ascii="Times New Roman" w:eastAsia="Times New Roman" w:hAnsi="Times New Roman" w:cs="Times New Roman"/>
          <w:kern w:val="0"/>
          <w:sz w:val="24"/>
          <w:szCs w:val="24"/>
          <w:lang w:val="es" w:eastAsia="es-AR"/>
          <w14:ligatures w14:val="none"/>
        </w:rPr>
      </w:pPr>
      <w:r w:rsidRPr="000837D1">
        <w:rPr>
          <w:rFonts w:ascii="Times New Roman" w:eastAsia="Times New Roman" w:hAnsi="Times New Roman" w:cs="Times New Roman"/>
          <w:kern w:val="0"/>
          <w:sz w:val="24"/>
          <w:szCs w:val="24"/>
          <w:lang w:eastAsia="es-AR"/>
          <w14:ligatures w14:val="none"/>
        </w:rPr>
        <w:t>Un dato relevante es que los registros oficiales no contabilizan ni caracterizan la existencia de hijos/as a cargo fuera de la prisión, lo que impide dimensionar las cargas familiares y de cuidado. Ante ello, en 2024 la PPN solicitó información a las unidades de mujeres y pudo reconstruir que</w:t>
      </w:r>
      <w:r w:rsidRPr="000837D1">
        <w:rPr>
          <w:rFonts w:ascii="Times New Roman" w:eastAsia="Times New Roman" w:hAnsi="Times New Roman" w:cs="Times New Roman"/>
          <w:kern w:val="0"/>
          <w:sz w:val="24"/>
          <w:szCs w:val="24"/>
          <w:lang w:val="es" w:eastAsia="es-AR"/>
          <w14:ligatures w14:val="none"/>
        </w:rPr>
        <w:t xml:space="preserve"> cerca del 80% de la población total de mujeres detenidas en la órbita del SPF es madre, con un promedio de 3 hijos/as. Y cerca de un 10% tienen más de 6 hijos/as. A su vez, el 83% de las mujeres detenidas tienen hijos/as menores de 18 años, y un tercio de ellas tiene hijos/as menores de 5 años.</w:t>
      </w:r>
    </w:p>
    <w:p w14:paraId="685BE606" w14:textId="02EB1C6D" w:rsidR="000837D1" w:rsidRPr="000837D1" w:rsidRDefault="000837D1" w:rsidP="004E2174">
      <w:pPr>
        <w:spacing w:after="120" w:line="240" w:lineRule="auto"/>
        <w:jc w:val="both"/>
        <w:rPr>
          <w:rFonts w:ascii="Times New Roman" w:eastAsia="Times New Roman" w:hAnsi="Times New Roman" w:cs="Times New Roman"/>
          <w:kern w:val="0"/>
          <w:sz w:val="24"/>
          <w:szCs w:val="24"/>
          <w:lang w:eastAsia="es-AR"/>
          <w14:ligatures w14:val="none"/>
        </w:rPr>
      </w:pPr>
      <w:r w:rsidRPr="000837D1">
        <w:rPr>
          <w:rFonts w:ascii="Times New Roman" w:eastAsia="Times New Roman" w:hAnsi="Times New Roman" w:cs="Times New Roman"/>
          <w:kern w:val="0"/>
          <w:sz w:val="24"/>
          <w:szCs w:val="24"/>
          <w:lang w:eastAsia="es-AR"/>
          <w14:ligatures w14:val="none"/>
        </w:rPr>
        <w:t xml:space="preserve">Estos datos ponen en evidencia la </w:t>
      </w:r>
      <w:r w:rsidR="005C4B93">
        <w:rPr>
          <w:rFonts w:ascii="Times New Roman" w:eastAsia="Times New Roman" w:hAnsi="Times New Roman" w:cs="Times New Roman"/>
          <w:kern w:val="0"/>
          <w:sz w:val="24"/>
          <w:szCs w:val="24"/>
          <w:lang w:eastAsia="es-AR"/>
          <w14:ligatures w14:val="none"/>
        </w:rPr>
        <w:t>insuficiencia</w:t>
      </w:r>
      <w:r w:rsidRPr="000837D1">
        <w:rPr>
          <w:rFonts w:ascii="Times New Roman" w:eastAsia="Times New Roman" w:hAnsi="Times New Roman" w:cs="Times New Roman"/>
          <w:kern w:val="0"/>
          <w:sz w:val="24"/>
          <w:szCs w:val="24"/>
          <w:lang w:eastAsia="es-AR"/>
          <w14:ligatures w14:val="none"/>
        </w:rPr>
        <w:t xml:space="preserve"> en la implementación de medidas alternativas al encarcelamiento de mujeres.</w:t>
      </w:r>
    </w:p>
    <w:p w14:paraId="6179EF53" w14:textId="69EB6CB0" w:rsidR="00BF3B61" w:rsidRDefault="000837D1" w:rsidP="004E2174">
      <w:pPr>
        <w:spacing w:after="120" w:line="240" w:lineRule="auto"/>
        <w:jc w:val="both"/>
        <w:rPr>
          <w:rFonts w:ascii="Times New Roman" w:eastAsia="Times New Roman" w:hAnsi="Times New Roman" w:cs="Times New Roman"/>
          <w:kern w:val="0"/>
          <w:sz w:val="24"/>
          <w:szCs w:val="24"/>
          <w:lang w:eastAsia="es-AR"/>
          <w14:ligatures w14:val="none"/>
        </w:rPr>
      </w:pPr>
      <w:r w:rsidRPr="000837D1">
        <w:rPr>
          <w:rFonts w:ascii="Times New Roman" w:eastAsia="Times New Roman" w:hAnsi="Times New Roman" w:cs="Times New Roman"/>
          <w:kern w:val="0"/>
          <w:sz w:val="24"/>
          <w:szCs w:val="24"/>
          <w:lang w:eastAsia="es-AR"/>
          <w14:ligatures w14:val="none"/>
        </w:rPr>
        <w:t>Finalmente, se ha constatado la ausencia de instancias de consulta y evaluación respecto de la situación del grupo familiar de las mujeres privadas de libertad por parte de los actores intervinientes en el proceso de detención —incluida la primera intervención policial—, lo que obstaculiza la adopción de medidas oportunas que garanticen la protección integral de los derechos de niñas y niños involucrados</w:t>
      </w:r>
      <w:r w:rsidRPr="000837D1">
        <w:rPr>
          <w:rFonts w:ascii="Times New Roman" w:eastAsia="Times New Roman" w:hAnsi="Times New Roman" w:cs="Times New Roman"/>
          <w:kern w:val="0"/>
          <w:sz w:val="24"/>
          <w:szCs w:val="24"/>
          <w:vertAlign w:val="superscript"/>
          <w:lang w:eastAsia="es-AR"/>
          <w14:ligatures w14:val="none"/>
        </w:rPr>
        <w:footnoteReference w:id="15"/>
      </w:r>
      <w:r w:rsidRPr="000837D1">
        <w:rPr>
          <w:rFonts w:ascii="Times New Roman" w:eastAsia="Times New Roman" w:hAnsi="Times New Roman" w:cs="Times New Roman"/>
          <w:kern w:val="0"/>
          <w:sz w:val="24"/>
          <w:szCs w:val="24"/>
          <w:lang w:eastAsia="es-AR"/>
          <w14:ligatures w14:val="none"/>
        </w:rPr>
        <w:t>.</w:t>
      </w:r>
    </w:p>
    <w:p w14:paraId="5A87C187" w14:textId="77777777" w:rsidR="000837D1" w:rsidRPr="000837D1" w:rsidRDefault="000837D1" w:rsidP="004E2174">
      <w:pPr>
        <w:spacing w:after="120" w:line="240" w:lineRule="auto"/>
        <w:jc w:val="both"/>
        <w:rPr>
          <w:rStyle w:val="Hyperlink"/>
          <w:rFonts w:ascii="Times New Roman" w:eastAsia="Times New Roman" w:hAnsi="Times New Roman" w:cs="Times New Roman"/>
          <w:color w:val="auto"/>
          <w:kern w:val="0"/>
          <w:sz w:val="24"/>
          <w:szCs w:val="24"/>
          <w:u w:val="none"/>
          <w:lang w:eastAsia="es-AR"/>
          <w14:ligatures w14:val="none"/>
        </w:rPr>
      </w:pPr>
    </w:p>
    <w:p w14:paraId="20FF4776" w14:textId="3CCEB81C" w:rsidR="00597B52" w:rsidRPr="00921E1E" w:rsidRDefault="002960B7" w:rsidP="004E2174">
      <w:pPr>
        <w:pStyle w:val="Heading1"/>
        <w:spacing w:before="0" w:after="120" w:line="240" w:lineRule="auto"/>
        <w:rPr>
          <w:rFonts w:ascii="Times New Roman" w:hAnsi="Times New Roman" w:cs="Times New Roman"/>
          <w:b/>
          <w:bCs/>
          <w:noProof/>
          <w:webHidden/>
          <w:sz w:val="24"/>
          <w:szCs w:val="24"/>
        </w:rPr>
      </w:pPr>
      <w:bookmarkStart w:id="8" w:name="_Toc210805565"/>
      <w:r w:rsidRPr="00921E1E">
        <w:rPr>
          <w:rStyle w:val="Hyperlink"/>
          <w:rFonts w:ascii="Times New Roman" w:hAnsi="Times New Roman" w:cs="Times New Roman"/>
          <w:b/>
          <w:bCs/>
          <w:noProof/>
          <w:color w:val="auto"/>
          <w:sz w:val="24"/>
          <w:szCs w:val="24"/>
          <w:u w:val="none"/>
        </w:rPr>
        <w:t>3. PERSISTENCIA DE</w:t>
      </w:r>
      <w:r w:rsidR="00597B52" w:rsidRPr="00921E1E">
        <w:rPr>
          <w:rStyle w:val="Hyperlink"/>
          <w:rFonts w:ascii="Times New Roman" w:hAnsi="Times New Roman" w:cs="Times New Roman"/>
          <w:b/>
          <w:bCs/>
          <w:noProof/>
          <w:color w:val="auto"/>
          <w:sz w:val="24"/>
          <w:szCs w:val="24"/>
          <w:u w:val="none"/>
        </w:rPr>
        <w:t xml:space="preserve"> PRÁCTICA</w:t>
      </w:r>
      <w:r w:rsidRPr="00921E1E">
        <w:rPr>
          <w:rStyle w:val="Hyperlink"/>
          <w:rFonts w:ascii="Times New Roman" w:hAnsi="Times New Roman" w:cs="Times New Roman"/>
          <w:b/>
          <w:bCs/>
          <w:noProof/>
          <w:color w:val="auto"/>
          <w:sz w:val="24"/>
          <w:szCs w:val="24"/>
          <w:u w:val="none"/>
        </w:rPr>
        <w:t>S</w:t>
      </w:r>
      <w:r w:rsidR="00597B52" w:rsidRPr="00921E1E">
        <w:rPr>
          <w:rStyle w:val="Hyperlink"/>
          <w:rFonts w:ascii="Times New Roman" w:hAnsi="Times New Roman" w:cs="Times New Roman"/>
          <w:b/>
          <w:bCs/>
          <w:noProof/>
          <w:color w:val="auto"/>
          <w:sz w:val="24"/>
          <w:szCs w:val="24"/>
          <w:u w:val="none"/>
        </w:rPr>
        <w:t xml:space="preserve"> DE TORTURA</w:t>
      </w:r>
      <w:bookmarkEnd w:id="8"/>
      <w:r w:rsidR="00597B52" w:rsidRPr="00921E1E">
        <w:rPr>
          <w:rFonts w:ascii="Times New Roman" w:hAnsi="Times New Roman" w:cs="Times New Roman"/>
          <w:b/>
          <w:bCs/>
          <w:noProof/>
          <w:webHidden/>
          <w:sz w:val="24"/>
          <w:szCs w:val="24"/>
        </w:rPr>
        <w:tab/>
      </w:r>
    </w:p>
    <w:p w14:paraId="53799DFB" w14:textId="08A6026C" w:rsidR="002960B7" w:rsidRPr="00BF3B61" w:rsidRDefault="002960B7" w:rsidP="004E2174">
      <w:pPr>
        <w:pStyle w:val="Heading2"/>
        <w:spacing w:before="0" w:after="120" w:line="240" w:lineRule="auto"/>
        <w:rPr>
          <w:rStyle w:val="Hyperlink"/>
          <w:rFonts w:ascii="Times New Roman" w:hAnsi="Times New Roman" w:cs="Times New Roman"/>
          <w:b/>
          <w:bCs/>
          <w:noProof/>
          <w:webHidden/>
          <w:color w:val="auto"/>
          <w:sz w:val="24"/>
          <w:szCs w:val="24"/>
          <w:u w:val="none"/>
        </w:rPr>
      </w:pPr>
      <w:bookmarkStart w:id="9" w:name="_Toc210805566"/>
      <w:r w:rsidRPr="00BF3B61">
        <w:rPr>
          <w:rStyle w:val="Hyperlink"/>
          <w:rFonts w:ascii="Times New Roman" w:hAnsi="Times New Roman" w:cs="Times New Roman"/>
          <w:b/>
          <w:bCs/>
          <w:noProof/>
          <w:webHidden/>
          <w:color w:val="auto"/>
          <w:sz w:val="24"/>
          <w:szCs w:val="24"/>
          <w:u w:val="none"/>
        </w:rPr>
        <w:t xml:space="preserve">3.1. Datos registrados por la PPN sobre casos de tortura </w:t>
      </w:r>
      <w:r w:rsidR="001B0622" w:rsidRPr="00BF3B61">
        <w:rPr>
          <w:rStyle w:val="Hyperlink"/>
          <w:rFonts w:ascii="Times New Roman" w:hAnsi="Times New Roman" w:cs="Times New Roman"/>
          <w:b/>
          <w:bCs/>
          <w:noProof/>
          <w:webHidden/>
          <w:color w:val="auto"/>
          <w:sz w:val="24"/>
          <w:szCs w:val="24"/>
          <w:u w:val="none"/>
        </w:rPr>
        <w:t xml:space="preserve">y malos tratos </w:t>
      </w:r>
      <w:r w:rsidRPr="00BF3B61">
        <w:rPr>
          <w:rStyle w:val="Hyperlink"/>
          <w:rFonts w:ascii="Times New Roman" w:hAnsi="Times New Roman" w:cs="Times New Roman"/>
          <w:b/>
          <w:bCs/>
          <w:noProof/>
          <w:webHidden/>
          <w:color w:val="auto"/>
          <w:sz w:val="24"/>
          <w:szCs w:val="24"/>
          <w:u w:val="none"/>
        </w:rPr>
        <w:t>en jurisdicción federal</w:t>
      </w:r>
      <w:bookmarkEnd w:id="9"/>
    </w:p>
    <w:p w14:paraId="59549171" w14:textId="10EC11CD" w:rsidR="00380A1C" w:rsidRPr="002D4E45" w:rsidRDefault="00380A1C" w:rsidP="00380A1C">
      <w:pPr>
        <w:spacing w:after="120" w:line="240" w:lineRule="auto"/>
        <w:jc w:val="both"/>
        <w:rPr>
          <w:rFonts w:ascii="Times New Roman" w:eastAsia="Cambria" w:hAnsi="Times New Roman" w:cs="Times New Roman"/>
          <w:kern w:val="0"/>
          <w:sz w:val="24"/>
          <w:szCs w:val="24"/>
          <w:lang w:val="es-ES" w:eastAsia="es-ES"/>
          <w14:ligatures w14:val="none"/>
        </w:rPr>
      </w:pPr>
      <w:r>
        <w:rPr>
          <w:rFonts w:ascii="Times New Roman" w:hAnsi="Times New Roman" w:cs="Times New Roman"/>
          <w:color w:val="000000"/>
          <w:sz w:val="24"/>
          <w:szCs w:val="24"/>
          <w:shd w:val="clear" w:color="auto" w:fill="FFFFFF"/>
        </w:rPr>
        <w:t>El uso</w:t>
      </w:r>
      <w:r w:rsidRPr="0073665C">
        <w:rPr>
          <w:rFonts w:ascii="Times New Roman" w:hAnsi="Times New Roman" w:cs="Times New Roman"/>
          <w:color w:val="000000"/>
          <w:sz w:val="24"/>
          <w:szCs w:val="24"/>
          <w:shd w:val="clear" w:color="auto" w:fill="FFFFFF"/>
        </w:rPr>
        <w:t xml:space="preserve"> ilegítimo</w:t>
      </w:r>
      <w:r>
        <w:rPr>
          <w:rFonts w:ascii="Times New Roman" w:hAnsi="Times New Roman" w:cs="Times New Roman"/>
          <w:color w:val="000000"/>
          <w:sz w:val="24"/>
          <w:szCs w:val="24"/>
          <w:shd w:val="clear" w:color="auto" w:fill="FFFFFF"/>
        </w:rPr>
        <w:t xml:space="preserve"> de la fuerza y el recurso a la violencia</w:t>
      </w:r>
      <w:r w:rsidRPr="0073665C">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sigue estando</w:t>
      </w:r>
      <w:r w:rsidRPr="0073665C">
        <w:rPr>
          <w:rFonts w:ascii="Times New Roman" w:hAnsi="Times New Roman" w:cs="Times New Roman"/>
          <w:color w:val="000000"/>
          <w:sz w:val="24"/>
          <w:szCs w:val="24"/>
          <w:shd w:val="clear" w:color="auto" w:fill="FFFFFF"/>
        </w:rPr>
        <w:t xml:space="preserve"> fuertemente arraigado en las rutinas de las fuerzas de seguridad del </w:t>
      </w:r>
      <w:r>
        <w:rPr>
          <w:rFonts w:ascii="Times New Roman" w:hAnsi="Times New Roman" w:cs="Times New Roman"/>
          <w:color w:val="000000"/>
          <w:sz w:val="24"/>
          <w:szCs w:val="24"/>
          <w:shd w:val="clear" w:color="auto" w:fill="FFFFFF"/>
        </w:rPr>
        <w:t>E</w:t>
      </w:r>
      <w:r w:rsidRPr="0073665C">
        <w:rPr>
          <w:rFonts w:ascii="Times New Roman" w:hAnsi="Times New Roman" w:cs="Times New Roman"/>
          <w:color w:val="000000"/>
          <w:sz w:val="24"/>
          <w:szCs w:val="24"/>
          <w:shd w:val="clear" w:color="auto" w:fill="FFFFFF"/>
        </w:rPr>
        <w:t xml:space="preserve">stado. </w:t>
      </w:r>
      <w:r w:rsidR="000B7E71">
        <w:rPr>
          <w:rFonts w:ascii="Times New Roman" w:hAnsi="Times New Roman" w:cs="Times New Roman"/>
          <w:color w:val="000000"/>
          <w:sz w:val="24"/>
          <w:szCs w:val="24"/>
          <w:shd w:val="clear" w:color="auto" w:fill="FFFFFF"/>
        </w:rPr>
        <w:t xml:space="preserve">La gestión </w:t>
      </w:r>
      <w:r w:rsidRPr="0073665C">
        <w:rPr>
          <w:rFonts w:ascii="Times New Roman" w:hAnsi="Times New Roman" w:cs="Times New Roman"/>
          <w:color w:val="000000"/>
          <w:sz w:val="24"/>
          <w:szCs w:val="24"/>
          <w:shd w:val="clear" w:color="auto" w:fill="FFFFFF"/>
        </w:rPr>
        <w:t xml:space="preserve">de las cárceles a través de la violencia </w:t>
      </w:r>
      <w:r w:rsidR="000B7E71">
        <w:rPr>
          <w:rFonts w:ascii="Times New Roman" w:hAnsi="Times New Roman" w:cs="Times New Roman"/>
          <w:color w:val="000000"/>
          <w:sz w:val="24"/>
          <w:szCs w:val="24"/>
          <w:shd w:val="clear" w:color="auto" w:fill="FFFFFF"/>
        </w:rPr>
        <w:t>es un rasgo que</w:t>
      </w:r>
      <w:r w:rsidRPr="0073665C">
        <w:rPr>
          <w:rFonts w:ascii="Times New Roman" w:hAnsi="Times New Roman" w:cs="Times New Roman"/>
          <w:color w:val="000000"/>
          <w:sz w:val="24"/>
          <w:szCs w:val="24"/>
          <w:shd w:val="clear" w:color="auto" w:fill="FFFFFF"/>
        </w:rPr>
        <w:t xml:space="preserve"> los gobiernos democráticos no han podido aún erradicar del hábito de las agencias penitenciarias.</w:t>
      </w:r>
      <w:r>
        <w:rPr>
          <w:rFonts w:ascii="Times New Roman" w:hAnsi="Times New Roman" w:cs="Times New Roman"/>
          <w:color w:val="000000"/>
          <w:sz w:val="24"/>
          <w:szCs w:val="24"/>
          <w:shd w:val="clear" w:color="auto" w:fill="FFFFFF"/>
        </w:rPr>
        <w:t xml:space="preserve"> Por ello l</w:t>
      </w:r>
      <w:r w:rsidRPr="0073665C">
        <w:rPr>
          <w:rFonts w:ascii="Times New Roman" w:hAnsi="Times New Roman" w:cs="Times New Roman"/>
          <w:color w:val="000000"/>
          <w:sz w:val="24"/>
          <w:szCs w:val="24"/>
          <w:shd w:val="clear" w:color="auto" w:fill="FFFFFF"/>
        </w:rPr>
        <w:t xml:space="preserve">as torturas y los malos tratos </w:t>
      </w:r>
      <w:r>
        <w:rPr>
          <w:rFonts w:ascii="Times New Roman" w:hAnsi="Times New Roman" w:cs="Times New Roman"/>
          <w:color w:val="000000"/>
          <w:sz w:val="24"/>
          <w:szCs w:val="24"/>
          <w:shd w:val="clear" w:color="auto" w:fill="FFFFFF"/>
        </w:rPr>
        <w:t xml:space="preserve">no </w:t>
      </w:r>
      <w:r w:rsidRPr="0073665C">
        <w:rPr>
          <w:rFonts w:ascii="Times New Roman" w:hAnsi="Times New Roman" w:cs="Times New Roman"/>
          <w:color w:val="000000"/>
          <w:sz w:val="24"/>
          <w:szCs w:val="24"/>
          <w:shd w:val="clear" w:color="auto" w:fill="FFFFFF"/>
        </w:rPr>
        <w:t>constituye</w:t>
      </w:r>
      <w:r>
        <w:rPr>
          <w:rFonts w:ascii="Times New Roman" w:hAnsi="Times New Roman" w:cs="Times New Roman"/>
          <w:color w:val="000000"/>
          <w:sz w:val="24"/>
          <w:szCs w:val="24"/>
          <w:shd w:val="clear" w:color="auto" w:fill="FFFFFF"/>
        </w:rPr>
        <w:t xml:space="preserve">n </w:t>
      </w:r>
      <w:r w:rsidRPr="0073665C">
        <w:rPr>
          <w:rFonts w:ascii="Times New Roman" w:hAnsi="Times New Roman" w:cs="Times New Roman"/>
          <w:color w:val="000000"/>
          <w:sz w:val="24"/>
          <w:szCs w:val="24"/>
          <w:shd w:val="clear" w:color="auto" w:fill="FFFFFF"/>
        </w:rPr>
        <w:t>situaciones excepcionales</w:t>
      </w:r>
      <w:r>
        <w:rPr>
          <w:rFonts w:ascii="Times New Roman" w:hAnsi="Times New Roman" w:cs="Times New Roman"/>
          <w:color w:val="000000"/>
          <w:sz w:val="24"/>
          <w:szCs w:val="24"/>
          <w:shd w:val="clear" w:color="auto" w:fill="FFFFFF"/>
        </w:rPr>
        <w:t xml:space="preserve"> imputables a algún funcionario en particular</w:t>
      </w:r>
      <w:r w:rsidR="000B7E71">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w:t>
      </w:r>
      <w:r w:rsidRPr="002D4E45">
        <w:rPr>
          <w:rFonts w:ascii="Times New Roman" w:hAnsi="Times New Roman" w:cs="Times New Roman"/>
          <w:color w:val="000000"/>
          <w:sz w:val="24"/>
          <w:szCs w:val="24"/>
          <w:shd w:val="clear" w:color="auto" w:fill="FFFFFF"/>
        </w:rPr>
        <w:t xml:space="preserve">sino que son un problema extendido en las cárceles de nuestro país. </w:t>
      </w:r>
    </w:p>
    <w:p w14:paraId="67DB4366" w14:textId="29FF8F34" w:rsidR="009705F9" w:rsidRPr="002D4E45" w:rsidRDefault="00167CEA" w:rsidP="004E2174">
      <w:pPr>
        <w:spacing w:after="120" w:line="240" w:lineRule="auto"/>
        <w:jc w:val="both"/>
        <w:rPr>
          <w:rFonts w:ascii="Times New Roman" w:hAnsi="Times New Roman"/>
          <w:iCs/>
          <w:sz w:val="24"/>
          <w:szCs w:val="24"/>
        </w:rPr>
      </w:pPr>
      <w:r w:rsidRPr="002D4E45">
        <w:rPr>
          <w:rFonts w:ascii="Times New Roman" w:eastAsia="Cambria" w:hAnsi="Times New Roman" w:cs="Times New Roman"/>
          <w:kern w:val="0"/>
          <w:sz w:val="24"/>
          <w:szCs w:val="24"/>
          <w:lang w:val="es-ES" w:eastAsia="es-ES"/>
          <w14:ligatures w14:val="none"/>
        </w:rPr>
        <w:t>Desde hace más de 15 años l</w:t>
      </w:r>
      <w:r w:rsidR="009705F9" w:rsidRPr="002D4E45">
        <w:rPr>
          <w:rFonts w:ascii="Times New Roman" w:eastAsia="Cambria" w:hAnsi="Times New Roman" w:cs="Times New Roman"/>
          <w:kern w:val="0"/>
          <w:sz w:val="24"/>
          <w:szCs w:val="24"/>
          <w:lang w:val="es-ES" w:eastAsia="es-ES"/>
          <w14:ligatures w14:val="none"/>
        </w:rPr>
        <w:t xml:space="preserve">a PPN </w:t>
      </w:r>
      <w:r w:rsidRPr="002D4E45">
        <w:rPr>
          <w:rFonts w:ascii="Times New Roman" w:eastAsia="Cambria" w:hAnsi="Times New Roman" w:cs="Times New Roman"/>
          <w:kern w:val="0"/>
          <w:sz w:val="24"/>
          <w:szCs w:val="24"/>
          <w:lang w:val="es-ES" w:eastAsia="es-ES"/>
          <w14:ligatures w14:val="none"/>
        </w:rPr>
        <w:t>investiga y registra</w:t>
      </w:r>
      <w:r w:rsidR="009705F9" w:rsidRPr="002D4E45">
        <w:rPr>
          <w:rFonts w:ascii="Times New Roman" w:eastAsia="Cambria" w:hAnsi="Times New Roman" w:cs="Times New Roman"/>
          <w:kern w:val="0"/>
          <w:sz w:val="24"/>
          <w:szCs w:val="24"/>
          <w:lang w:val="es-ES" w:eastAsia="es-ES"/>
          <w14:ligatures w14:val="none"/>
        </w:rPr>
        <w:t xml:space="preserve"> casos de tortura y/o malos tratos en cárceles federales y otros lugares de detención donde se alojan personas detenidas por orden de la justicia nacional o federal. </w:t>
      </w:r>
      <w:r w:rsidRPr="002D4E45">
        <w:rPr>
          <w:rFonts w:ascii="Times New Roman" w:eastAsia="Cambria" w:hAnsi="Times New Roman" w:cs="Times New Roman"/>
          <w:kern w:val="0"/>
          <w:sz w:val="24"/>
          <w:szCs w:val="24"/>
          <w:lang w:val="es-ES" w:eastAsia="es-ES"/>
          <w14:ligatures w14:val="none"/>
        </w:rPr>
        <w:t>Esto se lleva a cabo mediante la aplicación del</w:t>
      </w:r>
      <w:r w:rsidRPr="002D4E45">
        <w:rPr>
          <w:rFonts w:ascii="Times New Roman" w:hAnsi="Times New Roman"/>
          <w:sz w:val="24"/>
          <w:szCs w:val="24"/>
        </w:rPr>
        <w:t xml:space="preserve"> </w:t>
      </w:r>
      <w:r w:rsidRPr="002D4E45">
        <w:rPr>
          <w:rFonts w:ascii="Times New Roman" w:hAnsi="Times New Roman"/>
          <w:i/>
          <w:sz w:val="24"/>
          <w:szCs w:val="24"/>
        </w:rPr>
        <w:t>Procedimiento para la Investigación y Documentación de Casos de Tortura y Otros Tratos o Penas Crueles, Inhumanas y/o Degradantes de la Procuración Penitenciaria de la Nación</w:t>
      </w:r>
      <w:r w:rsidRPr="002D4E45">
        <w:rPr>
          <w:rFonts w:ascii="Times New Roman" w:hAnsi="Times New Roman"/>
          <w:sz w:val="24"/>
          <w:szCs w:val="24"/>
        </w:rPr>
        <w:t xml:space="preserve">, inspirado en los estándares del </w:t>
      </w:r>
      <w:r w:rsidRPr="002D4E45">
        <w:rPr>
          <w:rFonts w:ascii="Times New Roman" w:hAnsi="Times New Roman"/>
          <w:i/>
          <w:sz w:val="24"/>
          <w:szCs w:val="24"/>
        </w:rPr>
        <w:t>Protocolo de Estambul</w:t>
      </w:r>
      <w:r w:rsidRPr="002D4E45">
        <w:rPr>
          <w:rFonts w:ascii="Times New Roman" w:hAnsi="Times New Roman"/>
          <w:iCs/>
          <w:sz w:val="24"/>
          <w:szCs w:val="24"/>
        </w:rPr>
        <w:t xml:space="preserve">. En aplicación de dicho procedimiento se mantiene una entrevista confidencial con la presunta víctima y, en caso de que preste consentimiento, se realiza un examen médico, se documentan eventuales lesiones mediante un informe y fotografías y se presenta una denuncia penal si la víctima está de acuerdo. Luego la información del caso anonimizada se registra en </w:t>
      </w:r>
      <w:r w:rsidRPr="002D4E45">
        <w:rPr>
          <w:rFonts w:ascii="Times New Roman" w:hAnsi="Times New Roman"/>
          <w:sz w:val="24"/>
          <w:szCs w:val="24"/>
        </w:rPr>
        <w:t xml:space="preserve">la </w:t>
      </w:r>
      <w:r w:rsidRPr="002D4E45">
        <w:rPr>
          <w:rFonts w:ascii="Times New Roman" w:hAnsi="Times New Roman"/>
          <w:i/>
          <w:sz w:val="24"/>
          <w:szCs w:val="24"/>
        </w:rPr>
        <w:t>Base de Datos de Casos de Tortura y Malos Tratos Investigados y Documentados por la PPN</w:t>
      </w:r>
      <w:r w:rsidRPr="002D4E45">
        <w:rPr>
          <w:rFonts w:ascii="Times New Roman" w:hAnsi="Times New Roman"/>
          <w:iCs/>
          <w:sz w:val="24"/>
          <w:szCs w:val="24"/>
        </w:rPr>
        <w:t>.</w:t>
      </w:r>
    </w:p>
    <w:p w14:paraId="4E761077" w14:textId="7062084C" w:rsidR="00962EB4" w:rsidRDefault="00962EB4" w:rsidP="004E2174">
      <w:pPr>
        <w:spacing w:after="120" w:line="240" w:lineRule="auto"/>
        <w:jc w:val="both"/>
        <w:rPr>
          <w:rFonts w:ascii="Times New Roman" w:hAnsi="Times New Roman"/>
          <w:iCs/>
          <w:sz w:val="24"/>
          <w:szCs w:val="24"/>
        </w:rPr>
      </w:pPr>
      <w:r w:rsidRPr="002D4E45">
        <w:rPr>
          <w:rFonts w:ascii="Times New Roman" w:hAnsi="Times New Roman"/>
          <w:iCs/>
          <w:sz w:val="24"/>
          <w:szCs w:val="24"/>
        </w:rPr>
        <w:t>Este procedimiento de trabajo de la PPN permite realizar análisis sobre la evolución de los casos de tortura y otros malos tratos que registra el organismo, sin perder de vista la existencia de una cifra oscura de casos que no llegan a conocimiento de la PPN. A partir de los datos registrados año tras año, se observa que desde los inicios de la aplicación del procedimiento de investigación y documentación de casos de tortura y hasta el año 2014 hay una curva ascendente, que probablemente se relacione con el desarrollo de las capacidades del organismo para el registro de casos. Luego se observan varios años de descenso sostenido de casos con un mínimo en 2020 que se vincula con la coyuntura de la emergencia sanitaria por la pandemia de Covid-19 y una recuperación en las cifras en los años recientes.</w:t>
      </w:r>
    </w:p>
    <w:p w14:paraId="24817572" w14:textId="77777777" w:rsidR="002D3B10" w:rsidRDefault="002D3B10" w:rsidP="004E2174">
      <w:pPr>
        <w:spacing w:after="120" w:line="240" w:lineRule="auto"/>
        <w:jc w:val="both"/>
        <w:rPr>
          <w:rFonts w:ascii="Times New Roman" w:hAnsi="Times New Roman"/>
          <w:iCs/>
          <w:sz w:val="24"/>
          <w:szCs w:val="24"/>
        </w:rPr>
      </w:pPr>
    </w:p>
    <w:p w14:paraId="3648C333" w14:textId="77777777" w:rsidR="00367B9D" w:rsidRDefault="00367B9D" w:rsidP="004E2174">
      <w:pPr>
        <w:spacing w:after="120" w:line="240" w:lineRule="auto"/>
        <w:jc w:val="both"/>
        <w:rPr>
          <w:rFonts w:ascii="Times New Roman" w:hAnsi="Times New Roman"/>
          <w:iCs/>
          <w:sz w:val="24"/>
          <w:szCs w:val="24"/>
        </w:rPr>
      </w:pPr>
    </w:p>
    <w:p w14:paraId="20754196" w14:textId="77777777" w:rsidR="00367B9D" w:rsidRDefault="00367B9D" w:rsidP="004E2174">
      <w:pPr>
        <w:spacing w:after="120" w:line="240" w:lineRule="auto"/>
        <w:jc w:val="both"/>
        <w:rPr>
          <w:rFonts w:ascii="Times New Roman" w:hAnsi="Times New Roman"/>
          <w:iCs/>
          <w:sz w:val="24"/>
          <w:szCs w:val="24"/>
        </w:rPr>
      </w:pPr>
    </w:p>
    <w:p w14:paraId="4D61EAF6" w14:textId="77777777" w:rsidR="00367B9D" w:rsidRDefault="00367B9D" w:rsidP="004E2174">
      <w:pPr>
        <w:spacing w:after="120" w:line="240" w:lineRule="auto"/>
        <w:jc w:val="both"/>
        <w:rPr>
          <w:rFonts w:ascii="Times New Roman" w:hAnsi="Times New Roman"/>
          <w:iCs/>
          <w:sz w:val="24"/>
          <w:szCs w:val="24"/>
        </w:rPr>
      </w:pPr>
    </w:p>
    <w:p w14:paraId="407FC68B" w14:textId="77777777" w:rsidR="00367B9D" w:rsidRDefault="00367B9D" w:rsidP="004E2174">
      <w:pPr>
        <w:spacing w:after="120" w:line="240" w:lineRule="auto"/>
        <w:jc w:val="both"/>
        <w:rPr>
          <w:rFonts w:ascii="Times New Roman" w:hAnsi="Times New Roman"/>
          <w:iCs/>
          <w:sz w:val="24"/>
          <w:szCs w:val="24"/>
        </w:rPr>
      </w:pPr>
    </w:p>
    <w:p w14:paraId="00F0A0E9" w14:textId="77777777" w:rsidR="00367B9D" w:rsidRDefault="00367B9D" w:rsidP="004E2174">
      <w:pPr>
        <w:spacing w:after="120" w:line="240" w:lineRule="auto"/>
        <w:jc w:val="both"/>
        <w:rPr>
          <w:rFonts w:ascii="Times New Roman" w:hAnsi="Times New Roman"/>
          <w:iCs/>
          <w:sz w:val="24"/>
          <w:szCs w:val="24"/>
        </w:rPr>
      </w:pPr>
    </w:p>
    <w:p w14:paraId="2A59B907" w14:textId="77777777" w:rsidR="00367B9D" w:rsidRDefault="00367B9D" w:rsidP="004E2174">
      <w:pPr>
        <w:spacing w:after="120" w:line="240" w:lineRule="auto"/>
        <w:jc w:val="both"/>
        <w:rPr>
          <w:rFonts w:ascii="Times New Roman" w:hAnsi="Times New Roman"/>
          <w:iCs/>
          <w:sz w:val="24"/>
          <w:szCs w:val="24"/>
        </w:rPr>
      </w:pPr>
    </w:p>
    <w:p w14:paraId="0C67C50F" w14:textId="54A45679" w:rsidR="002D3B10" w:rsidRPr="002D3B10" w:rsidRDefault="002D3B10" w:rsidP="004E2174">
      <w:pPr>
        <w:spacing w:after="120" w:line="240" w:lineRule="auto"/>
        <w:jc w:val="both"/>
        <w:rPr>
          <w:rFonts w:ascii="Times New Roman" w:hAnsi="Times New Roman"/>
          <w:b/>
          <w:iCs/>
        </w:rPr>
      </w:pPr>
      <w:r w:rsidRPr="002D3B10">
        <w:rPr>
          <w:rFonts w:ascii="Times New Roman" w:hAnsi="Times New Roman"/>
          <w:b/>
          <w:iCs/>
        </w:rPr>
        <w:t>Evolución histórica de casos de tortura y malos tratos registrados por la PPN (2009-2024)</w:t>
      </w:r>
    </w:p>
    <w:p w14:paraId="2C3BD0C5" w14:textId="77777777" w:rsidR="009705F9" w:rsidRPr="009705F9" w:rsidRDefault="009705F9" w:rsidP="004E2174">
      <w:pPr>
        <w:spacing w:after="120" w:line="240" w:lineRule="auto"/>
        <w:jc w:val="both"/>
        <w:rPr>
          <w:rFonts w:ascii="Times New Roman" w:eastAsia="Cambria" w:hAnsi="Times New Roman" w:cs="Times New Roman"/>
          <w:kern w:val="0"/>
          <w:sz w:val="24"/>
          <w:szCs w:val="24"/>
          <w:lang w:val="es-ES" w:eastAsia="es-ES"/>
          <w14:ligatures w14:val="none"/>
        </w:rPr>
      </w:pPr>
      <w:r w:rsidRPr="009705F9">
        <w:rPr>
          <w:rFonts w:ascii="Arial" w:eastAsia="Times New Roman" w:hAnsi="Arial" w:cs="Times New Roman"/>
          <w:noProof/>
          <w:kern w:val="0"/>
          <w:sz w:val="24"/>
          <w:szCs w:val="24"/>
          <w:lang w:eastAsia="es-AR"/>
          <w14:ligatures w14:val="none"/>
        </w:rPr>
        <w:drawing>
          <wp:inline distT="0" distB="0" distL="0" distR="0" wp14:anchorId="25BC324B" wp14:editId="4AFB448B">
            <wp:extent cx="5429250" cy="2828925"/>
            <wp:effectExtent l="0" t="0" r="0" b="9525"/>
            <wp:docPr id="4" name="Grá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DC4D8A1" w14:textId="77777777" w:rsidR="009705F9" w:rsidRPr="009705F9" w:rsidRDefault="009705F9" w:rsidP="004E2174">
      <w:pPr>
        <w:tabs>
          <w:tab w:val="left" w:pos="7797"/>
        </w:tabs>
        <w:spacing w:after="120" w:line="240" w:lineRule="auto"/>
        <w:jc w:val="center"/>
        <w:rPr>
          <w:rFonts w:ascii="Times New Roman" w:eastAsia="Times New Roman" w:hAnsi="Times New Roman" w:cs="Times New Roman"/>
          <w:kern w:val="0"/>
          <w:sz w:val="20"/>
          <w:szCs w:val="20"/>
          <w:lang w:val="es-ES" w:eastAsia="es-ES"/>
          <w14:ligatures w14:val="none"/>
        </w:rPr>
      </w:pPr>
      <w:r w:rsidRPr="009705F9">
        <w:rPr>
          <w:rFonts w:ascii="Times New Roman" w:eastAsia="Times New Roman" w:hAnsi="Times New Roman" w:cs="Times New Roman"/>
          <w:kern w:val="0"/>
          <w:sz w:val="20"/>
          <w:szCs w:val="20"/>
          <w:lang w:val="es-ES" w:eastAsia="es-ES"/>
          <w14:ligatures w14:val="none"/>
        </w:rPr>
        <w:t>Fuente: Base de Datos de Casos de Tortura investigados y documentados por la PPN.</w:t>
      </w:r>
    </w:p>
    <w:p w14:paraId="53B761C4" w14:textId="77777777" w:rsidR="009705F9" w:rsidRPr="009705F9" w:rsidRDefault="009705F9" w:rsidP="004E2174">
      <w:pPr>
        <w:spacing w:after="120" w:line="240" w:lineRule="auto"/>
        <w:jc w:val="both"/>
        <w:rPr>
          <w:rFonts w:ascii="Times New Roman" w:eastAsia="Cambria" w:hAnsi="Times New Roman" w:cs="Times New Roman"/>
          <w:kern w:val="0"/>
          <w:sz w:val="24"/>
          <w:szCs w:val="24"/>
          <w:lang w:val="es-ES" w:eastAsia="es-ES"/>
          <w14:ligatures w14:val="none"/>
        </w:rPr>
      </w:pPr>
    </w:p>
    <w:p w14:paraId="46011624" w14:textId="38A05EA0" w:rsidR="0069602F" w:rsidRPr="002D4E45" w:rsidRDefault="0069602F" w:rsidP="004E2174">
      <w:pPr>
        <w:spacing w:after="120" w:line="240" w:lineRule="auto"/>
        <w:jc w:val="both"/>
        <w:rPr>
          <w:rFonts w:ascii="Times New Roman" w:eastAsia="Cambria" w:hAnsi="Times New Roman" w:cs="Times New Roman"/>
          <w:iCs/>
          <w:kern w:val="0"/>
          <w:sz w:val="24"/>
          <w:szCs w:val="24"/>
          <w:lang w:val="es-ES" w:eastAsia="es-ES"/>
          <w14:ligatures w14:val="none"/>
        </w:rPr>
      </w:pPr>
      <w:r w:rsidRPr="002D4E45">
        <w:rPr>
          <w:rFonts w:ascii="Times New Roman" w:hAnsi="Times New Roman"/>
          <w:iCs/>
          <w:sz w:val="24"/>
          <w:szCs w:val="24"/>
        </w:rPr>
        <w:t xml:space="preserve">Resulta difícil interpretar el descenso de casos respecto del pico de 2014 y las explicaciones seguramente sean multicausales, pero no se puede desconocer el impacto que ha tenido el litigio llevado adelante por la PPN y otros organismos que se han constituido en parte querellante en </w:t>
      </w:r>
      <w:r w:rsidR="002D4E45">
        <w:rPr>
          <w:rFonts w:ascii="Times New Roman" w:hAnsi="Times New Roman"/>
          <w:iCs/>
          <w:sz w:val="24"/>
          <w:szCs w:val="24"/>
        </w:rPr>
        <w:t xml:space="preserve">algunas </w:t>
      </w:r>
      <w:r w:rsidRPr="002D4E45">
        <w:rPr>
          <w:rFonts w:ascii="Times New Roman" w:hAnsi="Times New Roman"/>
          <w:iCs/>
          <w:sz w:val="24"/>
          <w:szCs w:val="24"/>
        </w:rPr>
        <w:t>causas penales por tortura y otros malos tratos contra funcionarios penitenciarios, logrando condenas que en algún caso han resultado ejemplificadoras.</w:t>
      </w:r>
    </w:p>
    <w:p w14:paraId="32BB501A" w14:textId="3EC5F129" w:rsidR="0069602F" w:rsidRDefault="0069602F" w:rsidP="004E2174">
      <w:pPr>
        <w:spacing w:after="120" w:line="240" w:lineRule="auto"/>
        <w:jc w:val="both"/>
        <w:rPr>
          <w:rFonts w:ascii="Times New Roman" w:eastAsia="Cambria" w:hAnsi="Times New Roman" w:cs="Times New Roman"/>
          <w:kern w:val="0"/>
          <w:sz w:val="24"/>
          <w:szCs w:val="24"/>
          <w:lang w:val="es-ES" w:eastAsia="es-ES"/>
          <w14:ligatures w14:val="none"/>
        </w:rPr>
      </w:pPr>
      <w:r>
        <w:rPr>
          <w:rFonts w:ascii="Times New Roman" w:eastAsia="Cambria" w:hAnsi="Times New Roman" w:cs="Times New Roman"/>
          <w:kern w:val="0"/>
          <w:sz w:val="24"/>
          <w:szCs w:val="24"/>
          <w:lang w:val="es-ES" w:eastAsia="es-ES"/>
          <w14:ligatures w14:val="none"/>
        </w:rPr>
        <w:t>No obstante, también hay otras circunstancias como por ejemplo el reciente discurso de mayor endurecimiento en la seguridad, que puede derivar en un aumento del uso de la fuerza y el consecuente incremento del registro de casos. En este sentido, en el año 2024 s</w:t>
      </w:r>
      <w:r w:rsidRPr="009705F9">
        <w:rPr>
          <w:rFonts w:ascii="Times New Roman" w:eastAsia="Cambria" w:hAnsi="Times New Roman" w:cs="Times New Roman"/>
          <w:kern w:val="0"/>
          <w:sz w:val="24"/>
          <w:szCs w:val="24"/>
          <w:lang w:val="es-ES" w:eastAsia="es-ES"/>
          <w14:ligatures w14:val="none"/>
        </w:rPr>
        <w:t xml:space="preserve">e registraron 389 casos, lo que representa un aumento de casi 100 casos con respecto a 2023. </w:t>
      </w:r>
      <w:r w:rsidR="002047F5">
        <w:rPr>
          <w:rFonts w:ascii="Times New Roman" w:eastAsia="Cambria" w:hAnsi="Times New Roman" w:cs="Times New Roman"/>
          <w:kern w:val="0"/>
          <w:sz w:val="24"/>
          <w:szCs w:val="24"/>
          <w:lang w:val="es-ES" w:eastAsia="es-ES"/>
          <w14:ligatures w14:val="none"/>
        </w:rPr>
        <w:t xml:space="preserve">En los primeros </w:t>
      </w:r>
      <w:r w:rsidR="002D4E45">
        <w:rPr>
          <w:rFonts w:ascii="Times New Roman" w:eastAsia="Cambria" w:hAnsi="Times New Roman" w:cs="Times New Roman"/>
          <w:kern w:val="0"/>
          <w:sz w:val="24"/>
          <w:szCs w:val="24"/>
          <w:lang w:val="es-ES" w:eastAsia="es-ES"/>
          <w14:ligatures w14:val="none"/>
        </w:rPr>
        <w:t>9</w:t>
      </w:r>
      <w:r w:rsidR="002047F5">
        <w:rPr>
          <w:rFonts w:ascii="Times New Roman" w:eastAsia="Cambria" w:hAnsi="Times New Roman" w:cs="Times New Roman"/>
          <w:kern w:val="0"/>
          <w:sz w:val="24"/>
          <w:szCs w:val="24"/>
          <w:lang w:val="es-ES" w:eastAsia="es-ES"/>
          <w14:ligatures w14:val="none"/>
        </w:rPr>
        <w:t xml:space="preserve"> meses de 2025 la PPN ha registrado 2</w:t>
      </w:r>
      <w:r w:rsidR="002D4E45">
        <w:rPr>
          <w:rFonts w:ascii="Times New Roman" w:eastAsia="Cambria" w:hAnsi="Times New Roman" w:cs="Times New Roman"/>
          <w:kern w:val="0"/>
          <w:sz w:val="24"/>
          <w:szCs w:val="24"/>
          <w:lang w:val="es-ES" w:eastAsia="es-ES"/>
          <w14:ligatures w14:val="none"/>
        </w:rPr>
        <w:t>52</w:t>
      </w:r>
      <w:r w:rsidR="002047F5">
        <w:rPr>
          <w:rFonts w:ascii="Times New Roman" w:eastAsia="Cambria" w:hAnsi="Times New Roman" w:cs="Times New Roman"/>
          <w:kern w:val="0"/>
          <w:sz w:val="24"/>
          <w:szCs w:val="24"/>
          <w:lang w:val="es-ES" w:eastAsia="es-ES"/>
          <w14:ligatures w14:val="none"/>
        </w:rPr>
        <w:t xml:space="preserve"> casos. Será importante seguir la evolución de los datos para analizar si se estabiliza la curva.</w:t>
      </w:r>
    </w:p>
    <w:p w14:paraId="57ACB13E" w14:textId="17EAE929" w:rsidR="0073665C" w:rsidRPr="009705F9" w:rsidRDefault="002047F5" w:rsidP="004E2174">
      <w:pPr>
        <w:spacing w:after="120" w:line="240" w:lineRule="auto"/>
        <w:jc w:val="both"/>
        <w:rPr>
          <w:rFonts w:ascii="Times New Roman" w:eastAsia="Cambria" w:hAnsi="Times New Roman" w:cs="Times New Roman"/>
          <w:kern w:val="0"/>
          <w:sz w:val="24"/>
          <w:szCs w:val="24"/>
          <w:lang w:val="es-ES" w:eastAsia="es-ES"/>
          <w14:ligatures w14:val="none"/>
        </w:rPr>
      </w:pPr>
      <w:r>
        <w:rPr>
          <w:rFonts w:ascii="Times New Roman" w:eastAsia="Cambria" w:hAnsi="Times New Roman" w:cs="Times New Roman"/>
          <w:kern w:val="0"/>
          <w:sz w:val="24"/>
          <w:szCs w:val="24"/>
          <w:lang w:val="es-ES" w:eastAsia="es-ES"/>
          <w14:ligatures w14:val="none"/>
        </w:rPr>
        <w:t xml:space="preserve">Más allá de aumentos o disminuciones, el trabajo de la PPN pone de manifiesto la persistencia de prácticas </w:t>
      </w:r>
      <w:r w:rsidR="00D6351F">
        <w:rPr>
          <w:rFonts w:ascii="Times New Roman" w:eastAsia="Cambria" w:hAnsi="Times New Roman" w:cs="Times New Roman"/>
          <w:kern w:val="0"/>
          <w:sz w:val="24"/>
          <w:szCs w:val="24"/>
          <w:lang w:val="es-ES" w:eastAsia="es-ES"/>
          <w14:ligatures w14:val="none"/>
        </w:rPr>
        <w:t>de tortura y maltrato que no constituyen casos aislados, sino que su elevada cifra es indicativa de que el uso ilegítimo de la fuerza forma parte de las prácticas rutinarias de todas las fuerzas de seguridad que tienen a cargo la custodia de personas detenidas.</w:t>
      </w:r>
      <w:r w:rsidR="00380A1C">
        <w:rPr>
          <w:rFonts w:ascii="Times New Roman" w:eastAsia="Cambria" w:hAnsi="Times New Roman" w:cs="Times New Roman"/>
          <w:kern w:val="0"/>
          <w:sz w:val="24"/>
          <w:szCs w:val="24"/>
          <w:lang w:val="es-ES" w:eastAsia="es-ES"/>
          <w14:ligatures w14:val="none"/>
        </w:rPr>
        <w:t xml:space="preserve"> </w:t>
      </w:r>
    </w:p>
    <w:p w14:paraId="3D2E8EC5" w14:textId="15180B76" w:rsidR="009705F9" w:rsidRDefault="009705F9" w:rsidP="004E2174">
      <w:pPr>
        <w:spacing w:after="120" w:line="240" w:lineRule="auto"/>
        <w:jc w:val="both"/>
        <w:rPr>
          <w:rFonts w:ascii="Times New Roman" w:eastAsia="Times New Roman" w:hAnsi="Times New Roman" w:cs="Times New Roman"/>
          <w:kern w:val="0"/>
          <w:sz w:val="24"/>
          <w:szCs w:val="24"/>
          <w:lang w:val="es-ES" w:eastAsia="es-ES"/>
          <w14:ligatures w14:val="none"/>
        </w:rPr>
      </w:pPr>
      <w:r w:rsidRPr="009705F9">
        <w:rPr>
          <w:rFonts w:ascii="Times New Roman" w:eastAsia="Cambria" w:hAnsi="Times New Roman" w:cs="Times New Roman"/>
          <w:kern w:val="0"/>
          <w:sz w:val="24"/>
          <w:szCs w:val="24"/>
          <w:lang w:val="es-ES" w:eastAsia="es-ES"/>
          <w14:ligatures w14:val="none"/>
        </w:rPr>
        <w:t>E</w:t>
      </w:r>
      <w:r w:rsidR="00D6351F">
        <w:rPr>
          <w:rFonts w:ascii="Times New Roman" w:eastAsia="Cambria" w:hAnsi="Times New Roman" w:cs="Times New Roman"/>
          <w:kern w:val="0"/>
          <w:sz w:val="24"/>
          <w:szCs w:val="24"/>
          <w:lang w:val="es-ES" w:eastAsia="es-ES"/>
          <w14:ligatures w14:val="none"/>
        </w:rPr>
        <w:t xml:space="preserve">n este sentido, el registro de la PPN de </w:t>
      </w:r>
      <w:r w:rsidR="00D6351F" w:rsidRPr="009705F9">
        <w:rPr>
          <w:rFonts w:ascii="Times New Roman" w:eastAsia="Cambria" w:hAnsi="Times New Roman" w:cs="Times New Roman"/>
          <w:kern w:val="0"/>
          <w:sz w:val="24"/>
          <w:szCs w:val="24"/>
          <w:lang w:val="es-ES" w:eastAsia="es-ES"/>
          <w14:ligatures w14:val="none"/>
        </w:rPr>
        <w:t>389 casos</w:t>
      </w:r>
      <w:r w:rsidR="00D6351F">
        <w:rPr>
          <w:rFonts w:ascii="Times New Roman" w:eastAsia="Cambria" w:hAnsi="Times New Roman" w:cs="Times New Roman"/>
          <w:kern w:val="0"/>
          <w:sz w:val="24"/>
          <w:szCs w:val="24"/>
          <w:lang w:val="es-ES" w:eastAsia="es-ES"/>
          <w14:ligatures w14:val="none"/>
        </w:rPr>
        <w:t xml:space="preserve"> del año 2024</w:t>
      </w:r>
      <w:r w:rsidRPr="009705F9">
        <w:rPr>
          <w:rFonts w:ascii="Times New Roman" w:eastAsia="Cambria" w:hAnsi="Times New Roman" w:cs="Times New Roman"/>
          <w:kern w:val="0"/>
          <w:sz w:val="24"/>
          <w:szCs w:val="24"/>
          <w:lang w:val="es-ES" w:eastAsia="es-ES"/>
          <w14:ligatures w14:val="none"/>
        </w:rPr>
        <w:t xml:space="preserve"> </w:t>
      </w:r>
      <w:r w:rsidRPr="009705F9">
        <w:rPr>
          <w:rFonts w:ascii="Times New Roman" w:eastAsia="Times New Roman" w:hAnsi="Times New Roman" w:cs="Times New Roman"/>
          <w:kern w:val="0"/>
          <w:sz w:val="24"/>
          <w:szCs w:val="24"/>
          <w:lang w:val="es-ES" w:eastAsia="es-ES"/>
          <w14:ligatures w14:val="none"/>
        </w:rPr>
        <w:t xml:space="preserve">incluye, principalmente, episodios reportados por las </w:t>
      </w:r>
      <w:r w:rsidR="00D6351F">
        <w:rPr>
          <w:rFonts w:ascii="Times New Roman" w:eastAsia="Times New Roman" w:hAnsi="Times New Roman" w:cs="Times New Roman"/>
          <w:kern w:val="0"/>
          <w:sz w:val="24"/>
          <w:szCs w:val="24"/>
          <w:lang w:val="es-ES" w:eastAsia="es-ES"/>
          <w14:ligatures w14:val="none"/>
        </w:rPr>
        <w:t>personas privadas de libertad</w:t>
      </w:r>
      <w:r w:rsidRPr="009705F9">
        <w:rPr>
          <w:rFonts w:ascii="Times New Roman" w:eastAsia="Times New Roman" w:hAnsi="Times New Roman" w:cs="Times New Roman"/>
          <w:kern w:val="0"/>
          <w:sz w:val="24"/>
          <w:szCs w:val="24"/>
          <w:lang w:val="es-ES" w:eastAsia="es-ES"/>
          <w14:ligatures w14:val="none"/>
        </w:rPr>
        <w:t xml:space="preserve"> que identificaron al SPF como fuerza agresora (con un total de 298 casos para 2024), </w:t>
      </w:r>
      <w:r w:rsidR="00D6351F">
        <w:rPr>
          <w:rFonts w:ascii="Times New Roman" w:eastAsia="Times New Roman" w:hAnsi="Times New Roman" w:cs="Times New Roman"/>
          <w:kern w:val="0"/>
          <w:sz w:val="24"/>
          <w:szCs w:val="24"/>
          <w:lang w:val="es-ES" w:eastAsia="es-ES"/>
          <w14:ligatures w14:val="none"/>
        </w:rPr>
        <w:t>pero también</w:t>
      </w:r>
      <w:r w:rsidRPr="009705F9">
        <w:rPr>
          <w:rFonts w:ascii="Times New Roman" w:eastAsia="Times New Roman" w:hAnsi="Times New Roman" w:cs="Times New Roman"/>
          <w:kern w:val="0"/>
          <w:sz w:val="24"/>
          <w:szCs w:val="24"/>
          <w:lang w:val="es-ES" w:eastAsia="es-ES"/>
          <w14:ligatures w14:val="none"/>
        </w:rPr>
        <w:t xml:space="preserve"> se relevaron casos en los que la fuerza agresora señalada fue la Policía de la CABA (57 casos) o personal de centros socioeducativos de régimen cerrado o institutos de menores de la CABA (13 casos), entre otros.</w:t>
      </w:r>
    </w:p>
    <w:p w14:paraId="1314782A" w14:textId="77777777" w:rsidR="0028008E" w:rsidRDefault="0028008E" w:rsidP="004E2174">
      <w:pPr>
        <w:spacing w:after="120" w:line="240" w:lineRule="auto"/>
        <w:jc w:val="both"/>
        <w:rPr>
          <w:rFonts w:ascii="Times New Roman" w:eastAsia="Times New Roman" w:hAnsi="Times New Roman" w:cs="Times New Roman"/>
          <w:b/>
          <w:kern w:val="0"/>
          <w:sz w:val="24"/>
          <w:szCs w:val="24"/>
          <w:lang w:val="es-ES" w:eastAsia="es-ES"/>
          <w14:ligatures w14:val="none"/>
        </w:rPr>
      </w:pPr>
    </w:p>
    <w:p w14:paraId="4F1C05BA" w14:textId="77777777" w:rsidR="00367B9D" w:rsidRDefault="00367B9D" w:rsidP="004E2174">
      <w:pPr>
        <w:spacing w:after="120" w:line="240" w:lineRule="auto"/>
        <w:jc w:val="both"/>
        <w:rPr>
          <w:rFonts w:ascii="Times New Roman" w:eastAsia="Times New Roman" w:hAnsi="Times New Roman" w:cs="Times New Roman"/>
          <w:b/>
          <w:kern w:val="0"/>
          <w:sz w:val="24"/>
          <w:szCs w:val="24"/>
          <w:lang w:val="es-ES" w:eastAsia="es-ES"/>
          <w14:ligatures w14:val="none"/>
        </w:rPr>
      </w:pPr>
    </w:p>
    <w:p w14:paraId="0114A127" w14:textId="77777777" w:rsidR="00367B9D" w:rsidRDefault="00367B9D" w:rsidP="004E2174">
      <w:pPr>
        <w:spacing w:after="120" w:line="240" w:lineRule="auto"/>
        <w:jc w:val="both"/>
        <w:rPr>
          <w:rFonts w:ascii="Times New Roman" w:eastAsia="Times New Roman" w:hAnsi="Times New Roman" w:cs="Times New Roman"/>
          <w:b/>
          <w:kern w:val="0"/>
          <w:sz w:val="24"/>
          <w:szCs w:val="24"/>
          <w:lang w:val="es-ES" w:eastAsia="es-ES"/>
          <w14:ligatures w14:val="none"/>
        </w:rPr>
      </w:pPr>
    </w:p>
    <w:p w14:paraId="0F77189B" w14:textId="77777777" w:rsidR="00367B9D" w:rsidRDefault="00367B9D" w:rsidP="004E2174">
      <w:pPr>
        <w:spacing w:after="120" w:line="240" w:lineRule="auto"/>
        <w:jc w:val="both"/>
        <w:rPr>
          <w:rFonts w:ascii="Times New Roman" w:eastAsia="Times New Roman" w:hAnsi="Times New Roman" w:cs="Times New Roman"/>
          <w:b/>
          <w:kern w:val="0"/>
          <w:sz w:val="24"/>
          <w:szCs w:val="24"/>
          <w:lang w:val="es-ES" w:eastAsia="es-ES"/>
          <w14:ligatures w14:val="none"/>
        </w:rPr>
      </w:pPr>
    </w:p>
    <w:p w14:paraId="782BB212" w14:textId="2E94873A" w:rsidR="0028008E" w:rsidRPr="0028008E" w:rsidRDefault="0028008E" w:rsidP="0028008E">
      <w:pPr>
        <w:spacing w:after="120" w:line="240" w:lineRule="auto"/>
        <w:jc w:val="center"/>
        <w:rPr>
          <w:rFonts w:ascii="Times New Roman" w:eastAsia="Times New Roman" w:hAnsi="Times New Roman" w:cs="Times New Roman"/>
          <w:b/>
          <w:kern w:val="0"/>
          <w:lang w:val="es-ES" w:eastAsia="es-ES"/>
          <w14:ligatures w14:val="none"/>
        </w:rPr>
      </w:pPr>
      <w:r w:rsidRPr="0028008E">
        <w:rPr>
          <w:rFonts w:ascii="Times New Roman" w:eastAsia="Times New Roman" w:hAnsi="Times New Roman" w:cs="Times New Roman"/>
          <w:b/>
          <w:kern w:val="0"/>
          <w:lang w:val="es-ES" w:eastAsia="es-ES"/>
          <w14:ligatures w14:val="none"/>
        </w:rPr>
        <w:t>Fuerza de seguridad agresora (2024)</w:t>
      </w:r>
    </w:p>
    <w:p w14:paraId="1C6EDA6F" w14:textId="77777777" w:rsidR="009705F9" w:rsidRPr="009705F9" w:rsidRDefault="009705F9" w:rsidP="004E2174">
      <w:pPr>
        <w:spacing w:after="120" w:line="240" w:lineRule="auto"/>
        <w:jc w:val="both"/>
        <w:rPr>
          <w:rFonts w:ascii="Times New Roman" w:eastAsia="Times New Roman" w:hAnsi="Times New Roman" w:cs="Times New Roman"/>
          <w:kern w:val="0"/>
          <w:sz w:val="24"/>
          <w:szCs w:val="24"/>
          <w:lang w:val="es-ES" w:eastAsia="es-ES"/>
          <w14:ligatures w14:val="none"/>
        </w:rPr>
      </w:pPr>
      <w:r w:rsidRPr="009705F9">
        <w:rPr>
          <w:rFonts w:ascii="Arial" w:eastAsia="Times New Roman" w:hAnsi="Arial" w:cs="Times New Roman"/>
          <w:noProof/>
          <w:kern w:val="0"/>
          <w:sz w:val="24"/>
          <w:szCs w:val="24"/>
          <w:lang w:eastAsia="es-AR"/>
          <w14:ligatures w14:val="none"/>
        </w:rPr>
        <w:drawing>
          <wp:inline distT="0" distB="0" distL="0" distR="0" wp14:anchorId="6272627F" wp14:editId="59397ED2">
            <wp:extent cx="4883150" cy="3248025"/>
            <wp:effectExtent l="0" t="0" r="12700" b="9525"/>
            <wp:docPr id="22" name="Gráfico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3BE84BA" w14:textId="77777777" w:rsidR="009705F9" w:rsidRPr="009705F9" w:rsidRDefault="009705F9" w:rsidP="0028008E">
      <w:pPr>
        <w:tabs>
          <w:tab w:val="left" w:pos="7797"/>
        </w:tabs>
        <w:spacing w:after="0" w:line="240" w:lineRule="auto"/>
        <w:jc w:val="center"/>
        <w:rPr>
          <w:rFonts w:ascii="Times New Roman" w:eastAsia="Times New Roman" w:hAnsi="Times New Roman" w:cs="Times New Roman"/>
          <w:kern w:val="0"/>
          <w:sz w:val="20"/>
          <w:szCs w:val="20"/>
          <w:lang w:val="es-ES" w:eastAsia="es-ES"/>
          <w14:ligatures w14:val="none"/>
        </w:rPr>
      </w:pPr>
      <w:r w:rsidRPr="009705F9">
        <w:rPr>
          <w:rFonts w:ascii="Times New Roman" w:eastAsia="Times New Roman" w:hAnsi="Times New Roman" w:cs="Times New Roman"/>
          <w:kern w:val="0"/>
          <w:sz w:val="20"/>
          <w:szCs w:val="20"/>
          <w:lang w:val="es-ES" w:eastAsia="es-ES"/>
          <w14:ligatures w14:val="none"/>
        </w:rPr>
        <w:t>Fuente: Base de Datos de Casos de Tortura investigados y documentados por la PPN.</w:t>
      </w:r>
    </w:p>
    <w:p w14:paraId="1EF6BA73" w14:textId="77777777" w:rsidR="009705F9" w:rsidRPr="009705F9" w:rsidRDefault="009705F9" w:rsidP="0028008E">
      <w:pPr>
        <w:spacing w:after="0" w:line="240" w:lineRule="auto"/>
        <w:jc w:val="both"/>
        <w:rPr>
          <w:rFonts w:ascii="Times New Roman" w:eastAsia="Times New Roman" w:hAnsi="Times New Roman" w:cs="Times New Roman"/>
          <w:kern w:val="0"/>
          <w:sz w:val="20"/>
          <w:szCs w:val="20"/>
          <w:lang w:val="es-ES" w:eastAsia="es-ES"/>
          <w14:ligatures w14:val="none"/>
        </w:rPr>
      </w:pPr>
      <w:r w:rsidRPr="009705F9">
        <w:rPr>
          <w:rFonts w:ascii="Times New Roman" w:eastAsia="Times New Roman" w:hAnsi="Times New Roman" w:cs="Times New Roman"/>
          <w:kern w:val="0"/>
          <w:sz w:val="20"/>
          <w:szCs w:val="20"/>
          <w:lang w:val="es-ES" w:eastAsia="es-ES"/>
          <w14:ligatures w14:val="none"/>
        </w:rPr>
        <w:t>* La categoría “Otras FFSS” refiere a episodios de la Policía de Misiones y de la Policía de Mendoza.</w:t>
      </w:r>
    </w:p>
    <w:p w14:paraId="7A5B904F" w14:textId="77777777" w:rsidR="009705F9" w:rsidRPr="009705F9" w:rsidRDefault="009705F9" w:rsidP="0028008E">
      <w:pPr>
        <w:tabs>
          <w:tab w:val="left" w:pos="7797"/>
        </w:tabs>
        <w:spacing w:after="0" w:line="240" w:lineRule="auto"/>
        <w:jc w:val="both"/>
        <w:rPr>
          <w:rFonts w:ascii="Times New Roman" w:eastAsia="Times New Roman" w:hAnsi="Times New Roman" w:cs="Times New Roman"/>
          <w:kern w:val="0"/>
          <w:sz w:val="20"/>
          <w:szCs w:val="20"/>
          <w:lang w:val="es-ES" w:eastAsia="es-ES"/>
          <w14:ligatures w14:val="none"/>
        </w:rPr>
      </w:pPr>
      <w:r w:rsidRPr="009705F9">
        <w:rPr>
          <w:rFonts w:ascii="Times New Roman" w:eastAsia="Times New Roman" w:hAnsi="Times New Roman" w:cs="Times New Roman"/>
          <w:kern w:val="0"/>
          <w:sz w:val="20"/>
          <w:szCs w:val="20"/>
          <w:lang w:val="es-ES" w:eastAsia="es-ES"/>
          <w14:ligatures w14:val="none"/>
        </w:rPr>
        <w:t>**La categoría “Otro Servicio Penitenciario” incluye casos de los servicios penitenciarios de Catamarca, Córdoba, San Juan y Santa Fe.</w:t>
      </w:r>
    </w:p>
    <w:p w14:paraId="3FB6DD6C" w14:textId="77777777" w:rsidR="009705F9" w:rsidRPr="009705F9" w:rsidRDefault="009705F9" w:rsidP="004E2174">
      <w:pPr>
        <w:spacing w:after="120" w:line="240" w:lineRule="auto"/>
        <w:rPr>
          <w:rFonts w:ascii="Times New Roman" w:hAnsi="Times New Roman" w:cs="Times New Roman"/>
          <w:b/>
          <w:bCs/>
          <w:noProof/>
          <w:webHidden/>
          <w:sz w:val="24"/>
          <w:szCs w:val="24"/>
          <w:lang w:val="es-ES"/>
        </w:rPr>
      </w:pPr>
    </w:p>
    <w:p w14:paraId="244E4A5C" w14:textId="2E570566" w:rsidR="005E0570" w:rsidRPr="005E0570" w:rsidRDefault="002960B7" w:rsidP="005E0570">
      <w:pPr>
        <w:pStyle w:val="Heading2"/>
        <w:spacing w:before="0" w:after="120" w:line="240" w:lineRule="auto"/>
        <w:rPr>
          <w:rStyle w:val="Hyperlink"/>
          <w:noProof/>
          <w:color w:val="auto"/>
          <w:u w:val="none"/>
        </w:rPr>
      </w:pPr>
      <w:bookmarkStart w:id="10" w:name="_Toc210805567"/>
      <w:r w:rsidRPr="00BF3B61">
        <w:rPr>
          <w:rStyle w:val="Hyperlink"/>
          <w:rFonts w:ascii="Times New Roman" w:hAnsi="Times New Roman" w:cs="Times New Roman"/>
          <w:b/>
          <w:bCs/>
          <w:noProof/>
          <w:webHidden/>
          <w:color w:val="auto"/>
          <w:sz w:val="24"/>
          <w:szCs w:val="24"/>
          <w:u w:val="none"/>
        </w:rPr>
        <w:t xml:space="preserve">3.2. Investigación judicial de </w:t>
      </w:r>
      <w:r w:rsidR="005E0570" w:rsidRPr="005E0570">
        <w:rPr>
          <w:rStyle w:val="Hyperlink"/>
          <w:rFonts w:ascii="Times New Roman" w:hAnsi="Times New Roman" w:cs="Times New Roman"/>
          <w:b/>
          <w:bCs/>
          <w:noProof/>
          <w:color w:val="auto"/>
          <w:sz w:val="24"/>
          <w:szCs w:val="24"/>
          <w:u w:val="none"/>
        </w:rPr>
        <w:t>casos de tortura</w:t>
      </w:r>
      <w:bookmarkEnd w:id="10"/>
    </w:p>
    <w:p w14:paraId="7D3256A4" w14:textId="77777777" w:rsidR="00405A5D" w:rsidRPr="00405A5D" w:rsidRDefault="00405A5D" w:rsidP="00405A5D">
      <w:pPr>
        <w:spacing w:after="120" w:line="240" w:lineRule="auto"/>
        <w:jc w:val="both"/>
        <w:rPr>
          <w:rFonts w:ascii="Times New Roman" w:eastAsia="Calibri" w:hAnsi="Times New Roman" w:cs="Times New Roman"/>
          <w:kern w:val="0"/>
          <w:sz w:val="24"/>
          <w:szCs w:val="24"/>
          <w14:ligatures w14:val="none"/>
        </w:rPr>
      </w:pPr>
      <w:r w:rsidRPr="00405A5D">
        <w:rPr>
          <w:rFonts w:ascii="Times New Roman" w:eastAsia="Calibri" w:hAnsi="Times New Roman" w:cs="Times New Roman"/>
          <w:kern w:val="0"/>
          <w:sz w:val="24"/>
          <w:szCs w:val="24"/>
          <w14:ligatures w14:val="none"/>
        </w:rPr>
        <w:t>A pesar de algunos avances registrados en los últimos años, la persecución penal de los delitos de tortura en Argentina sigue siendo claramente insuficiente. Si bien en ciertos casos aislados jueces y fiscales han dejado de negar sistemáticamente la existencia de estos hechos y, ante pruebas contundentes, se han dictado algunas condenas —incluyendo a superiores jerárquicos que ordenaron, consintieron o encubrieron los actos—, estos resultados continúan siendo excepcionales y no logran revertir el patrón general de impunidad.</w:t>
      </w:r>
    </w:p>
    <w:p w14:paraId="0F32BC34" w14:textId="77777777" w:rsidR="00405A5D" w:rsidRPr="00405A5D" w:rsidRDefault="00405A5D" w:rsidP="00405A5D">
      <w:pPr>
        <w:spacing w:after="120" w:line="240" w:lineRule="auto"/>
        <w:jc w:val="both"/>
        <w:rPr>
          <w:rFonts w:ascii="Times New Roman" w:eastAsia="Calibri" w:hAnsi="Times New Roman" w:cs="Times New Roman"/>
          <w:kern w:val="0"/>
          <w:sz w:val="24"/>
          <w:szCs w:val="24"/>
          <w14:ligatures w14:val="none"/>
        </w:rPr>
      </w:pPr>
      <w:r w:rsidRPr="00405A5D">
        <w:rPr>
          <w:rFonts w:ascii="Times New Roman" w:eastAsia="Calibri" w:hAnsi="Times New Roman" w:cs="Times New Roman"/>
          <w:kern w:val="0"/>
          <w:sz w:val="24"/>
          <w:szCs w:val="24"/>
          <w14:ligatures w14:val="none"/>
        </w:rPr>
        <w:t>La tortura permanece como un delito especialmente difícil de investigar en el país. Lejos de ser una práctica erradicada, subsiste una marcada resistencia en amplios sectores del Poder Judicial a impulsar con la debida diligencia este tipo de causas. Esta falta de iniciativa, sumada a obstáculos estructurales y deficiencias sistemáticas en la conducción de las investigaciones, refuerza un escenario en el que la impunidad no solo persiste, sino que sigue siendo la respuesta predominante del sistema judicial frente a estas graves violaciones de derechos humanos.</w:t>
      </w:r>
    </w:p>
    <w:p w14:paraId="286ADCA7" w14:textId="55D2AF04" w:rsidR="00405A5D" w:rsidRPr="00405A5D" w:rsidRDefault="00405A5D" w:rsidP="00405A5D">
      <w:pPr>
        <w:spacing w:after="120" w:line="240" w:lineRule="auto"/>
        <w:jc w:val="both"/>
        <w:rPr>
          <w:rFonts w:ascii="Times New Roman" w:eastAsia="Calibri" w:hAnsi="Times New Roman" w:cs="Times New Roman"/>
          <w:kern w:val="0"/>
          <w:sz w:val="24"/>
          <w:szCs w:val="24"/>
          <w14:ligatures w14:val="none"/>
        </w:rPr>
      </w:pPr>
      <w:r w:rsidRPr="00405A5D">
        <w:rPr>
          <w:rFonts w:ascii="Times New Roman" w:eastAsia="Calibri" w:hAnsi="Times New Roman" w:cs="Times New Roman"/>
          <w:kern w:val="0"/>
          <w:sz w:val="24"/>
          <w:szCs w:val="24"/>
          <w14:ligatures w14:val="none"/>
        </w:rPr>
        <w:t>Una de las principales deficiencias estructurales en esta materia es la ausencia de un registro nacional que recopile información estadística sobre las denuncias judiciales por tortura y malos tratos. En sus tres últimos exámenes, el CAT ha señalado esta omisión y recomendado al Estado argentino la creación de dicho instrumento</w:t>
      </w:r>
      <w:r w:rsidRPr="00405A5D">
        <w:rPr>
          <w:rFonts w:ascii="Times New Roman" w:eastAsia="Calibri" w:hAnsi="Times New Roman" w:cs="Times New Roman"/>
          <w:kern w:val="0"/>
          <w:sz w:val="24"/>
          <w:szCs w:val="24"/>
          <w:vertAlign w:val="superscript"/>
          <w14:ligatures w14:val="none"/>
        </w:rPr>
        <w:footnoteReference w:id="16"/>
      </w:r>
      <w:r w:rsidRPr="00405A5D">
        <w:rPr>
          <w:rFonts w:ascii="Times New Roman" w:eastAsia="Calibri" w:hAnsi="Times New Roman" w:cs="Times New Roman"/>
          <w:kern w:val="0"/>
          <w:sz w:val="24"/>
          <w:szCs w:val="24"/>
          <w14:ligatures w14:val="none"/>
        </w:rPr>
        <w:t>. A la fecha, esta recomendación continúa sin ser atendida. Esta carencia impide evaluar de manera detallada el desempeño del sistema judicial en la investigación de estos delitos. A grandes rasgos, puede afirmarse que la justicia argentina no es eficiente en el tratamiento penal de la tortura.</w:t>
      </w:r>
    </w:p>
    <w:p w14:paraId="269FAA44" w14:textId="77777777" w:rsidR="00405A5D" w:rsidRPr="00405A5D" w:rsidRDefault="00405A5D" w:rsidP="00405A5D">
      <w:pPr>
        <w:spacing w:after="120" w:line="240" w:lineRule="auto"/>
        <w:jc w:val="both"/>
        <w:rPr>
          <w:rFonts w:ascii="Times New Roman" w:eastAsia="Calibri" w:hAnsi="Times New Roman" w:cs="Times New Roman"/>
          <w:kern w:val="0"/>
          <w:sz w:val="24"/>
          <w:szCs w:val="24"/>
          <w14:ligatures w14:val="none"/>
        </w:rPr>
      </w:pPr>
      <w:r w:rsidRPr="00405A5D">
        <w:rPr>
          <w:rFonts w:ascii="Times New Roman" w:eastAsia="Calibri" w:hAnsi="Times New Roman" w:cs="Times New Roman"/>
          <w:kern w:val="0"/>
          <w:sz w:val="24"/>
          <w:szCs w:val="24"/>
          <w14:ligatures w14:val="none"/>
        </w:rPr>
        <w:t xml:space="preserve">En este contexto, la PPN realiza un seguimiento sistemático de las denuncias que presenta en el marco de su </w:t>
      </w:r>
      <w:r w:rsidRPr="00405A5D">
        <w:rPr>
          <w:rFonts w:ascii="Times New Roman" w:eastAsia="Calibri" w:hAnsi="Times New Roman" w:cs="Times New Roman"/>
          <w:i/>
          <w:iCs/>
          <w:kern w:val="0"/>
          <w:sz w:val="24"/>
          <w:szCs w:val="24"/>
          <w14:ligatures w14:val="none"/>
        </w:rPr>
        <w:t>Procedimiento para la Investigación y Documentación de Casos de Tortura y Otros Tratos o Penas Crueles, Inhumanas y/o Degradantes</w:t>
      </w:r>
      <w:r w:rsidRPr="00405A5D">
        <w:rPr>
          <w:rFonts w:ascii="Times New Roman" w:eastAsia="Calibri" w:hAnsi="Times New Roman" w:cs="Times New Roman"/>
          <w:kern w:val="0"/>
          <w:sz w:val="24"/>
          <w:szCs w:val="24"/>
          <w14:ligatures w14:val="none"/>
        </w:rPr>
        <w:t xml:space="preserve">, registrando la información obtenida en su </w:t>
      </w:r>
      <w:r w:rsidRPr="00405A5D">
        <w:rPr>
          <w:rFonts w:ascii="Times New Roman" w:eastAsia="Calibri" w:hAnsi="Times New Roman" w:cs="Times New Roman"/>
          <w:i/>
          <w:iCs/>
          <w:kern w:val="0"/>
          <w:sz w:val="24"/>
          <w:szCs w:val="24"/>
          <w14:ligatures w14:val="none"/>
        </w:rPr>
        <w:t>Registro de Casos Judiciales de Tortura</w:t>
      </w:r>
      <w:r w:rsidRPr="00405A5D">
        <w:rPr>
          <w:rFonts w:ascii="Times New Roman" w:eastAsia="Calibri" w:hAnsi="Times New Roman" w:cs="Times New Roman"/>
          <w:i/>
          <w:iCs/>
          <w:kern w:val="0"/>
          <w:sz w:val="24"/>
          <w:szCs w:val="24"/>
          <w:vertAlign w:val="superscript"/>
          <w14:ligatures w14:val="none"/>
        </w:rPr>
        <w:footnoteReference w:id="17"/>
      </w:r>
      <w:r w:rsidRPr="00405A5D">
        <w:rPr>
          <w:rFonts w:ascii="Times New Roman" w:eastAsia="Calibri" w:hAnsi="Times New Roman" w:cs="Times New Roman"/>
          <w:kern w:val="0"/>
          <w:sz w:val="24"/>
          <w:szCs w:val="24"/>
          <w14:ligatures w14:val="none"/>
        </w:rPr>
        <w:t>. No obstante, la PPN enfrenta con frecuencia obstáculos para acceder a los expedientes judiciales, lo que impide contar con información completa y actualizada. Como resultado, si bien ha logrado producir datos cuantitativos relevantes en ciertos períodos, en otros solo ha sido posible efectuar análisis cualitativos.</w:t>
      </w:r>
    </w:p>
    <w:p w14:paraId="5653C400" w14:textId="77777777" w:rsidR="00405A5D" w:rsidRPr="00405A5D" w:rsidRDefault="00405A5D" w:rsidP="00405A5D">
      <w:pPr>
        <w:spacing w:after="120" w:line="240" w:lineRule="auto"/>
        <w:jc w:val="both"/>
        <w:rPr>
          <w:rFonts w:ascii="Times New Roman" w:eastAsia="Calibri" w:hAnsi="Times New Roman" w:cs="Times New Roman"/>
          <w:kern w:val="0"/>
          <w:sz w:val="24"/>
          <w:szCs w:val="24"/>
          <w14:ligatures w14:val="none"/>
        </w:rPr>
      </w:pPr>
      <w:r w:rsidRPr="00405A5D">
        <w:rPr>
          <w:rFonts w:ascii="Times New Roman" w:eastAsia="Calibri" w:hAnsi="Times New Roman" w:cs="Times New Roman"/>
          <w:kern w:val="0"/>
          <w:sz w:val="24"/>
          <w:szCs w:val="24"/>
          <w14:ligatures w14:val="none"/>
        </w:rPr>
        <w:t>Del análisis de las causas a las que la PPN ha tenido acceso, se identifican reiteradas vulneraciones a los estándares internacionales que deben regir las investigaciones de casos de tortura. Solo un número muy reducido de investigaciones avanza diligentemente, mientras que la mayoría termina archivada sin que se hayan adoptado medidas probatorias mínimas.</w:t>
      </w:r>
    </w:p>
    <w:p w14:paraId="669310E9" w14:textId="77777777" w:rsidR="00405A5D" w:rsidRPr="00405A5D" w:rsidRDefault="00405A5D" w:rsidP="00405A5D">
      <w:pPr>
        <w:spacing w:after="120" w:line="240" w:lineRule="auto"/>
        <w:jc w:val="both"/>
        <w:rPr>
          <w:rFonts w:ascii="Times New Roman" w:eastAsia="Calibri" w:hAnsi="Times New Roman" w:cs="Times New Roman"/>
          <w:kern w:val="0"/>
          <w:sz w:val="24"/>
          <w:szCs w:val="24"/>
          <w14:ligatures w14:val="none"/>
        </w:rPr>
      </w:pPr>
      <w:r w:rsidRPr="00405A5D">
        <w:rPr>
          <w:rFonts w:ascii="Times New Roman" w:eastAsia="Calibri" w:hAnsi="Times New Roman" w:cs="Times New Roman"/>
          <w:kern w:val="0"/>
          <w:sz w:val="24"/>
          <w:szCs w:val="24"/>
          <w14:ligatures w14:val="none"/>
        </w:rPr>
        <w:t>Toda investigación de casos de torturas presenta una serie de desafíos particulares. Por lo general, los hechos ocurren en lugares cerrados, sin testigos directos ni registros audiovisuales, lo que limita la posibilidad de recolección de evidencia directa. Además, las víctimas muchas veces no logran identificar a sus agresores, quienes suelen ocultar sus rostros, quitarse las identificaciones reglamentarias o colocar a las personas en posiciones que impiden el reconocimiento. A esto se suman mecanismos de encubrimiento internos por parte de las fuerzas de seguridad, como la elaboración de certificados médicos apócrifos por parte de personal de salud dependiente del servicio penitenciario. Asimismo, son frecuentes las amenazas contra víctimas y testigos, destinadas a impedir que declaren lo ocurrido, así como el confinamiento en aislamiento tras la tortura, lo que restringe el contacto con su defensa, organismos de control o con otros internos que puedan asistirlos.</w:t>
      </w:r>
    </w:p>
    <w:p w14:paraId="32FC9D7A" w14:textId="77777777" w:rsidR="00405A5D" w:rsidRPr="00405A5D" w:rsidRDefault="00405A5D" w:rsidP="00405A5D">
      <w:pPr>
        <w:spacing w:after="120" w:line="240" w:lineRule="auto"/>
        <w:jc w:val="both"/>
        <w:rPr>
          <w:rFonts w:ascii="Times New Roman" w:eastAsia="Calibri" w:hAnsi="Times New Roman" w:cs="Times New Roman"/>
          <w:kern w:val="0"/>
          <w:sz w:val="24"/>
          <w:szCs w:val="24"/>
          <w14:ligatures w14:val="none"/>
        </w:rPr>
      </w:pPr>
      <w:r w:rsidRPr="00405A5D">
        <w:rPr>
          <w:rFonts w:ascii="Times New Roman" w:eastAsia="Calibri" w:hAnsi="Times New Roman" w:cs="Times New Roman"/>
          <w:kern w:val="0"/>
          <w:sz w:val="24"/>
          <w:szCs w:val="24"/>
          <w14:ligatures w14:val="none"/>
        </w:rPr>
        <w:t>Estos desafíos, en lugar de ser abordados adecuadamente por el sistema judicial, suelen ser ignorados o mal gestionados, contribuyendo a la persistente impunidad. Es común que el avance de las investigaciones dependa exclusivamente del impulso de la víctima, quien debe aportar pruebas y sortear obstáculos procesales. En muchos casos, jueces y fiscales exigen prueba directa para avanzar, y cuando se presentan testimonios de las propias víctimas o de testigos presenciales, su credibilidad es frecuentemente desestimada por prejuicios que asumen que las personas privadas de libertad mienten o que las identificaciones de agresores se deben a relaciones previas.</w:t>
      </w:r>
    </w:p>
    <w:p w14:paraId="20321B34" w14:textId="77777777" w:rsidR="00405A5D" w:rsidRPr="00405A5D" w:rsidRDefault="00405A5D" w:rsidP="00405A5D">
      <w:pPr>
        <w:spacing w:after="120" w:line="240" w:lineRule="auto"/>
        <w:jc w:val="both"/>
        <w:rPr>
          <w:rFonts w:ascii="Times New Roman" w:eastAsia="Calibri" w:hAnsi="Times New Roman" w:cs="Times New Roman"/>
          <w:kern w:val="0"/>
          <w:sz w:val="24"/>
          <w:szCs w:val="24"/>
          <w14:ligatures w14:val="none"/>
        </w:rPr>
      </w:pPr>
      <w:r w:rsidRPr="00405A5D">
        <w:rPr>
          <w:rFonts w:ascii="Times New Roman" w:eastAsia="Calibri" w:hAnsi="Times New Roman" w:cs="Times New Roman"/>
          <w:kern w:val="0"/>
          <w:sz w:val="24"/>
          <w:szCs w:val="24"/>
          <w14:ligatures w14:val="none"/>
        </w:rPr>
        <w:t>Otra práctica preocupante es la escasa atención a las condiciones en que se toman las declaraciones de víctimas o testigos vulnerables. Es fundamental que estas audiencias se realicen en el interior de los establecimientos de detención, evitando que el personal penitenciario tenga conocimiento previo de la citación y reduciendo los riesgos de amenazas o represalias</w:t>
      </w:r>
      <w:r w:rsidRPr="00405A5D">
        <w:rPr>
          <w:rFonts w:ascii="Times New Roman" w:eastAsia="Calibri" w:hAnsi="Times New Roman" w:cs="Times New Roman"/>
          <w:kern w:val="0"/>
          <w:sz w:val="24"/>
          <w:szCs w:val="24"/>
          <w:vertAlign w:val="superscript"/>
          <w14:ligatures w14:val="none"/>
        </w:rPr>
        <w:footnoteReference w:id="18"/>
      </w:r>
      <w:r w:rsidRPr="00405A5D">
        <w:rPr>
          <w:rFonts w:ascii="Times New Roman" w:eastAsia="Calibri" w:hAnsi="Times New Roman" w:cs="Times New Roman"/>
          <w:kern w:val="0"/>
          <w:sz w:val="24"/>
          <w:szCs w:val="24"/>
          <w14:ligatures w14:val="none"/>
        </w:rPr>
        <w:t>. Igualmente, deben adoptarse medidas urgentes de protección acordadas con la persona afectada, que no agraven sus condiciones de detención y que sean revisadas periódicamente.</w:t>
      </w:r>
    </w:p>
    <w:p w14:paraId="3D4A511D" w14:textId="77777777" w:rsidR="00405A5D" w:rsidRPr="00405A5D" w:rsidRDefault="00405A5D" w:rsidP="00405A5D">
      <w:pPr>
        <w:spacing w:after="120" w:line="240" w:lineRule="auto"/>
        <w:jc w:val="both"/>
        <w:rPr>
          <w:rFonts w:ascii="Times New Roman" w:eastAsia="Calibri" w:hAnsi="Times New Roman" w:cs="Times New Roman"/>
          <w:kern w:val="0"/>
          <w:sz w:val="24"/>
          <w:szCs w:val="24"/>
          <w14:ligatures w14:val="none"/>
        </w:rPr>
      </w:pPr>
      <w:r w:rsidRPr="00405A5D">
        <w:rPr>
          <w:rFonts w:ascii="Times New Roman" w:eastAsia="Calibri" w:hAnsi="Times New Roman" w:cs="Times New Roman"/>
          <w:kern w:val="0"/>
          <w:sz w:val="24"/>
          <w:szCs w:val="24"/>
          <w14:ligatures w14:val="none"/>
        </w:rPr>
        <w:t>A pesar de la gravedad de los hechos denunciados, otro déficit institucional estructural es la falta de medidas inmediatas para apartar de sus funciones a los presuntos responsables. En la práctica, la mera denuncia por actos de tortura o malos tratos no conlleva la suspensión automática del agente implicado ni la adopción de medidas efectivas para evitar su contacto con la víctima</w:t>
      </w:r>
      <w:r w:rsidRPr="00405A5D">
        <w:rPr>
          <w:rFonts w:ascii="Times New Roman" w:eastAsia="Calibri" w:hAnsi="Times New Roman" w:cs="Times New Roman"/>
          <w:kern w:val="0"/>
          <w:sz w:val="24"/>
          <w:szCs w:val="24"/>
          <w:vertAlign w:val="superscript"/>
          <w14:ligatures w14:val="none"/>
        </w:rPr>
        <w:footnoteReference w:id="19"/>
      </w:r>
      <w:r w:rsidRPr="00405A5D">
        <w:rPr>
          <w:rFonts w:ascii="Times New Roman" w:eastAsia="Calibri" w:hAnsi="Times New Roman" w:cs="Times New Roman"/>
          <w:kern w:val="0"/>
          <w:sz w:val="24"/>
          <w:szCs w:val="24"/>
          <w14:ligatures w14:val="none"/>
        </w:rPr>
        <w:t>. Solo en casos excepcionales y, por lo general, a pedido de las querellas, se ha dispuesto judicialmente el cambio de destino del personal procesado, lo cual exige —como mínimo— la existencia de un procesamiento firme. En la mayoría de los casos, los sumarios administrativos o disciplinarios se paralizan o postergan hasta la finalización del proceso penal, y el eventual apartamiento del funcionario se produce únicamente tras una condena firme, lo que puede ocurrir muchos años después del hecho denunciado. Esta situación incrementa los riesgos de intimidación, revictimización y obstaculización de la investigación, contrariando los estándares internacionales sobre protección a las víctimas y garantías de no repetición.</w:t>
      </w:r>
    </w:p>
    <w:p w14:paraId="67169A5A" w14:textId="77777777" w:rsidR="00405A5D" w:rsidRPr="00405A5D" w:rsidRDefault="00405A5D" w:rsidP="00405A5D">
      <w:pPr>
        <w:spacing w:after="120" w:line="240" w:lineRule="auto"/>
        <w:jc w:val="both"/>
        <w:rPr>
          <w:rFonts w:ascii="Times New Roman" w:eastAsia="Calibri" w:hAnsi="Times New Roman" w:cs="Times New Roman"/>
          <w:kern w:val="0"/>
          <w:sz w:val="24"/>
          <w:szCs w:val="24"/>
          <w14:ligatures w14:val="none"/>
        </w:rPr>
      </w:pPr>
      <w:r w:rsidRPr="00405A5D">
        <w:rPr>
          <w:rFonts w:ascii="Times New Roman" w:eastAsia="Calibri" w:hAnsi="Times New Roman" w:cs="Times New Roman"/>
          <w:kern w:val="0"/>
          <w:sz w:val="24"/>
          <w:szCs w:val="24"/>
          <w14:ligatures w14:val="none"/>
        </w:rPr>
        <w:t>A su vez, persiste una práctica institucional sumamente preocupante: en un número significativo de casos, jueces y fiscales delegan tareas centrales de la investigación penal —como la preservación de la escena, la realización de peritajes, inspecciones, secuestros de pruebas o registros fotográficos— en las propias fuerzas denunciadas. Por otro lado, en lugar de disponer medidas urgentes e independientes —como allanamientos o el secuestro directo de evidencia—, los investigadores judiciales suelen limitarse a remitir pedidos de informes a las autoridades de las unidades penitenciarias, incluso cuando entre su personal se encuentran los posibles responsables. La información obtenida de este modo no puede ser considerada imparcial, pero con frecuencia es incorporada sin cuestionamientos ni medidas complementarias. Algo similar ocurre con los registros audiovisuales: a menudo se informa que no existen cámaras en los lugares denunciados o que las grabaciones fueron eliminadas por sobreescritura, sin que se verifique tal información ni se soliciten imágenes de otras zonas que podrían tener valor indiciario —como aquellas que muestran traslados, movimientos o cambios en la rutina de las personas detenidas—.</w:t>
      </w:r>
    </w:p>
    <w:p w14:paraId="692C6036" w14:textId="77777777" w:rsidR="00405A5D" w:rsidRPr="00405A5D" w:rsidRDefault="00405A5D" w:rsidP="00405A5D">
      <w:pPr>
        <w:spacing w:after="120" w:line="240" w:lineRule="auto"/>
        <w:jc w:val="both"/>
        <w:rPr>
          <w:rFonts w:ascii="Times New Roman" w:eastAsia="Calibri" w:hAnsi="Times New Roman" w:cs="Times New Roman"/>
          <w:kern w:val="0"/>
          <w:sz w:val="24"/>
          <w:szCs w:val="24"/>
          <w14:ligatures w14:val="none"/>
        </w:rPr>
      </w:pPr>
      <w:r w:rsidRPr="00405A5D">
        <w:rPr>
          <w:rFonts w:ascii="Times New Roman" w:eastAsia="Calibri" w:hAnsi="Times New Roman" w:cs="Times New Roman"/>
          <w:kern w:val="0"/>
          <w:sz w:val="24"/>
          <w:szCs w:val="24"/>
          <w14:ligatures w14:val="none"/>
        </w:rPr>
        <w:t>Otro déficit estructural recurrente es la demora en la producción de peritajes médicos, a pesar de que la prontitud en la evaluación resulta crítica para preservar indicios físicos de tortura. Además, la ausencia de lesiones visibles suele interpretarse erróneamente como indicio de falsedad en la denuncia, cuando en realidad ello no descarta la ocurrencia del hecho. Cuando sí se detectan lesiones, muchas veces los informes periciales se limitan a describir el número, tipo y antigüedad de las heridas, sin establecer correlación con el relato de la víctima ni con la hipótesis del caso, lo que requiere que cuenten con información precisa sobre el contexto investigativo. Esta práctica reduce significativamente la utilidad y efectividad de los peritajes en la documentación y esclarecimiento de casos de tortura.</w:t>
      </w:r>
    </w:p>
    <w:p w14:paraId="6673D893" w14:textId="77777777" w:rsidR="00405A5D" w:rsidRPr="00405A5D" w:rsidRDefault="00405A5D" w:rsidP="00405A5D">
      <w:pPr>
        <w:spacing w:after="120" w:line="240" w:lineRule="auto"/>
        <w:jc w:val="both"/>
        <w:rPr>
          <w:rFonts w:ascii="Times New Roman" w:eastAsia="Calibri" w:hAnsi="Times New Roman" w:cs="Times New Roman"/>
          <w:kern w:val="0"/>
          <w:sz w:val="24"/>
          <w:szCs w:val="24"/>
          <w14:ligatures w14:val="none"/>
        </w:rPr>
      </w:pPr>
      <w:r w:rsidRPr="00405A5D">
        <w:rPr>
          <w:rFonts w:ascii="Times New Roman" w:eastAsia="Calibri" w:hAnsi="Times New Roman" w:cs="Times New Roman"/>
          <w:kern w:val="0"/>
          <w:sz w:val="24"/>
          <w:szCs w:val="24"/>
          <w14:ligatures w14:val="none"/>
        </w:rPr>
        <w:t>Todo lo anterior pone de manifiesto las debilidades en la aplicación del Protocolo de Estambul en Argentina, cuya implementación es fragmentaria y dispar. Hasta hace pocos años, tanto el Protocolo de Estambul como el de Minnesota eran mayormente desconocidos por operadores judiciales y profesionales de la salud vinculados a causas de violencia institucional. Desde el último examen del Comité contra la Tortura, se han producido avances en materia de capacitación. La PPN, la Defensoría General de la Nación y el Comité Nacional de Prevención de la Tortura han organizado cursos sobre el uso de estos protocolos, en algunos casos en colaboración con el Cuerpo Médico Forense de la Corte Suprema de Justicia de la Nación.</w:t>
      </w:r>
    </w:p>
    <w:p w14:paraId="05485AE5" w14:textId="77777777" w:rsidR="00405A5D" w:rsidRPr="00405A5D" w:rsidRDefault="00405A5D" w:rsidP="00405A5D">
      <w:pPr>
        <w:spacing w:after="120" w:line="240" w:lineRule="auto"/>
        <w:jc w:val="both"/>
        <w:rPr>
          <w:rFonts w:ascii="Times New Roman" w:eastAsia="Calibri" w:hAnsi="Times New Roman" w:cs="Times New Roman"/>
          <w:kern w:val="0"/>
          <w:sz w:val="24"/>
          <w:szCs w:val="24"/>
          <w14:ligatures w14:val="none"/>
        </w:rPr>
      </w:pPr>
      <w:r w:rsidRPr="00405A5D">
        <w:rPr>
          <w:rFonts w:ascii="Times New Roman" w:eastAsia="Calibri" w:hAnsi="Times New Roman" w:cs="Times New Roman"/>
          <w:kern w:val="0"/>
          <w:sz w:val="24"/>
          <w:szCs w:val="24"/>
          <w14:ligatures w14:val="none"/>
        </w:rPr>
        <w:t>Entre las acciones destacadas se encuentran talleres organizados por la PPN en 2019 en la Ciudad Autónoma de Buenos Aires y en las provincias de Chaco, Mendoza y Misiones. En 2021, la PPN desarrolló junto al Cuerpo Médico Forense y la Universidad Nacional de Lanús el taller “Herramientas para la investigación de casos de violencia institucional, torturas y muertes bajo custodia”. En 2022, se coordinó con el Comité contra la Tortura de Chaco una capacitación específica sobre la aplicación local de ambos protocolos. Más recientemente, en 2024 y 2025, se organizaron jornadas en Córdoba con participación del Instituto de Medicina Forense, los Ministerios Públicos (Fiscal y de la Defensa), el Organismo de Control Disciplinario de las Fuerzas de Seguridad, la Universidad Nacional de Córdoba y el Ministerio de Justicia y Trabajo provincial.</w:t>
      </w:r>
    </w:p>
    <w:p w14:paraId="43D3AE5A" w14:textId="77777777" w:rsidR="00405A5D" w:rsidRPr="00405A5D" w:rsidRDefault="00405A5D" w:rsidP="00405A5D">
      <w:pPr>
        <w:spacing w:after="120" w:line="240" w:lineRule="auto"/>
        <w:jc w:val="both"/>
        <w:rPr>
          <w:rFonts w:ascii="Times New Roman" w:eastAsia="Calibri" w:hAnsi="Times New Roman" w:cs="Times New Roman"/>
          <w:kern w:val="0"/>
          <w:sz w:val="24"/>
          <w:szCs w:val="24"/>
          <w14:ligatures w14:val="none"/>
        </w:rPr>
      </w:pPr>
      <w:r w:rsidRPr="00405A5D">
        <w:rPr>
          <w:rFonts w:ascii="Times New Roman" w:eastAsia="Calibri" w:hAnsi="Times New Roman" w:cs="Times New Roman"/>
          <w:kern w:val="0"/>
          <w:sz w:val="24"/>
          <w:szCs w:val="24"/>
          <w14:ligatures w14:val="none"/>
        </w:rPr>
        <w:t>Estos talleres impulsaron un debate inicial sobre el cumplimiento y los desafíos en la prevención e investigación de la tortura, reconociendo la necesidad de profundizar en la temática, capacitar a los funcionarios judiciales en aspectos clave de la medicina forense y fomentar el diálogo entre profesionales de la salud, la justicia y mecanismos de prevención de la tortura. Aunque el conocimiento de estos protocolos se ha reflejado en algunos fallos judiciales que los citan, persisten importantes brechas: numerosos jueces y operadores del sistema penal aún desconocen o no aplican adecuadamente estas herramientas. Asimismo, el personal de salud de hospitales públicos que atienden a personas privadas de libertad no está familiarizado con estos protocolos, y se observa una falta de adherencia al Protocolo de Estambul entre los médicos que dependen del SPF, quienes permanecen bajo la jurisdicción de esa fuerza de seguridad y no del Ministerio de Salud. Si bien es cierto que la ignorancia manifiesta sobre estos protocolos es actualmente menos frecuente entre peritos, jueces y fiscales, la implementación efectiva sigue siendo insuficiente, evidenciando que aún queda un largo camino por recorrer en esta materia.</w:t>
      </w:r>
    </w:p>
    <w:p w14:paraId="2AD47E26" w14:textId="77777777" w:rsidR="00405A5D" w:rsidRPr="00405A5D" w:rsidRDefault="00405A5D" w:rsidP="00405A5D">
      <w:pPr>
        <w:spacing w:after="120" w:line="240" w:lineRule="auto"/>
        <w:jc w:val="both"/>
        <w:rPr>
          <w:rFonts w:ascii="Times New Roman" w:eastAsia="Calibri" w:hAnsi="Times New Roman" w:cs="Times New Roman"/>
          <w:kern w:val="0"/>
          <w:sz w:val="24"/>
          <w:szCs w:val="24"/>
          <w14:ligatures w14:val="none"/>
        </w:rPr>
      </w:pPr>
      <w:r w:rsidRPr="00405A5D">
        <w:rPr>
          <w:rFonts w:ascii="Times New Roman" w:eastAsia="Calibri" w:hAnsi="Times New Roman" w:cs="Times New Roman"/>
          <w:kern w:val="0"/>
          <w:sz w:val="24"/>
          <w:szCs w:val="24"/>
          <w14:ligatures w14:val="none"/>
        </w:rPr>
        <w:t>Frente al deficiente desempeño del sistema judicial en la persecución de estos delitos, la Procuración Penitenciaria ha asumido, desde hace más de una década, un rol activo como querellante</w:t>
      </w:r>
      <w:r w:rsidRPr="00405A5D">
        <w:rPr>
          <w:rFonts w:ascii="Times New Roman" w:eastAsia="Calibri" w:hAnsi="Times New Roman" w:cs="Times New Roman"/>
          <w:kern w:val="0"/>
          <w:sz w:val="24"/>
          <w:szCs w:val="24"/>
          <w:vertAlign w:val="superscript"/>
          <w14:ligatures w14:val="none"/>
        </w:rPr>
        <w:footnoteReference w:id="20"/>
      </w:r>
      <w:r w:rsidRPr="00405A5D">
        <w:rPr>
          <w:rFonts w:ascii="Times New Roman" w:eastAsia="Calibri" w:hAnsi="Times New Roman" w:cs="Times New Roman"/>
          <w:kern w:val="0"/>
          <w:sz w:val="24"/>
          <w:szCs w:val="24"/>
          <w14:ligatures w14:val="none"/>
        </w:rPr>
        <w:t xml:space="preserve"> en causas judiciales por hechos de tortura y malos tratos. Esta línea de trabajo ha permitido lograr avances significativos en varios casos emblemáticos e incluso lograr algunas condenas ejemplificadoras. Actualmente, la PPN interviene como querellante en 35 causas penales, con 265 agentes del SPF imputados formalmente; de ellos, 163 han sido procesados</w:t>
      </w:r>
      <w:r w:rsidRPr="00405A5D">
        <w:rPr>
          <w:rFonts w:ascii="Times New Roman" w:eastAsia="Calibri" w:hAnsi="Times New Roman" w:cs="Times New Roman"/>
          <w:kern w:val="0"/>
          <w:sz w:val="24"/>
          <w:szCs w:val="24"/>
          <w:vertAlign w:val="superscript"/>
          <w14:ligatures w14:val="none"/>
        </w:rPr>
        <w:footnoteReference w:id="21"/>
      </w:r>
      <w:r w:rsidRPr="00405A5D">
        <w:rPr>
          <w:rFonts w:ascii="Times New Roman" w:eastAsia="Calibri" w:hAnsi="Times New Roman" w:cs="Times New Roman"/>
          <w:kern w:val="0"/>
          <w:sz w:val="24"/>
          <w:szCs w:val="24"/>
          <w14:ligatures w14:val="none"/>
        </w:rPr>
        <w:t xml:space="preserve"> y 35 cuentan con condenas. En general, las investigaciones que registran mayores avances son precisamente aquellas que cuentan con impulso de una parte querellante, lo que pone de manifiesto las debilidades estructurales del accionar fiscal en esta materia —salvo contadas excepciones—.</w:t>
      </w:r>
    </w:p>
    <w:p w14:paraId="34F84E46" w14:textId="77777777" w:rsidR="00405A5D" w:rsidRPr="00405A5D" w:rsidRDefault="00405A5D" w:rsidP="00405A5D">
      <w:pPr>
        <w:spacing w:after="120" w:line="240" w:lineRule="auto"/>
        <w:jc w:val="both"/>
        <w:rPr>
          <w:rFonts w:ascii="Times New Roman" w:eastAsia="Calibri" w:hAnsi="Times New Roman" w:cs="Times New Roman"/>
          <w:kern w:val="0"/>
          <w:sz w:val="24"/>
          <w:szCs w:val="24"/>
          <w14:ligatures w14:val="none"/>
        </w:rPr>
      </w:pPr>
      <w:r w:rsidRPr="00405A5D">
        <w:rPr>
          <w:rFonts w:ascii="Times New Roman" w:eastAsia="Calibri" w:hAnsi="Times New Roman" w:cs="Times New Roman"/>
          <w:kern w:val="0"/>
          <w:sz w:val="24"/>
          <w:szCs w:val="24"/>
          <w14:ligatures w14:val="none"/>
        </w:rPr>
        <w:t>En consecuencia, resulta prioritario fortalecer el rol del Ministerio Público Fiscal en la persecución de los delitos de tortura. Es imperioso que los fiscales asuman un papel protagónico en la lucha contra la impunidad de estos crímenes, sin depender exclusivamente del impulso de las víctimas o de organismos de derechos humanos.</w:t>
      </w:r>
    </w:p>
    <w:p w14:paraId="34DF9E6F" w14:textId="77777777" w:rsidR="00405A5D" w:rsidRPr="00405A5D" w:rsidRDefault="00405A5D" w:rsidP="00405A5D">
      <w:pPr>
        <w:spacing w:after="120" w:line="240" w:lineRule="auto"/>
        <w:jc w:val="both"/>
        <w:rPr>
          <w:rFonts w:ascii="Times New Roman" w:eastAsia="Calibri" w:hAnsi="Times New Roman" w:cs="Times New Roman"/>
          <w:kern w:val="0"/>
          <w:sz w:val="24"/>
          <w:szCs w:val="24"/>
          <w14:ligatures w14:val="none"/>
        </w:rPr>
      </w:pPr>
      <w:r w:rsidRPr="00405A5D">
        <w:rPr>
          <w:rFonts w:ascii="Times New Roman" w:eastAsia="Calibri" w:hAnsi="Times New Roman" w:cs="Times New Roman"/>
          <w:kern w:val="0"/>
          <w:sz w:val="24"/>
          <w:szCs w:val="24"/>
          <w14:ligatures w14:val="none"/>
        </w:rPr>
        <w:t>En síntesis, aunque se han registrado avances puntuales en la persecución penal de los delitos de tortura en Argentina, estos continúan siendo excepcionales en un contexto caracterizado por una alta tasa de impunidad. La ausencia de un registro nacional de denuncias, la persistencia de obstáculos estructurales en el acceso a la justicia y las limitaciones en la actuación de los operadores judiciales configuran un escenario en el que los estándares internacionales en la materia —especialmente aquellos que exigen investigaciones rápidas, independientes, imparciales, exhaustivas y orientadas a sancionar adecuadamente a los responsables— no se cumplen de manera sistemática.</w:t>
      </w:r>
    </w:p>
    <w:p w14:paraId="01CDDB59" w14:textId="77777777" w:rsidR="00405A5D" w:rsidRDefault="00405A5D" w:rsidP="00405A5D">
      <w:pPr>
        <w:spacing w:after="120" w:line="240" w:lineRule="auto"/>
        <w:jc w:val="both"/>
        <w:rPr>
          <w:rFonts w:ascii="Times New Roman" w:eastAsia="Calibri" w:hAnsi="Times New Roman" w:cs="Times New Roman"/>
          <w:kern w:val="0"/>
          <w:sz w:val="24"/>
          <w:szCs w:val="24"/>
          <w14:ligatures w14:val="none"/>
        </w:rPr>
      </w:pPr>
      <w:r w:rsidRPr="00405A5D">
        <w:rPr>
          <w:rFonts w:ascii="Times New Roman" w:eastAsia="Calibri" w:hAnsi="Times New Roman" w:cs="Times New Roman"/>
          <w:kern w:val="0"/>
          <w:sz w:val="24"/>
          <w:szCs w:val="24"/>
          <w14:ligatures w14:val="none"/>
        </w:rPr>
        <w:t>Frente a este panorama, el compromiso estatal con la erradicación de la tortura debe traducirse en acciones concretas. Es imprescindible fortalecer las capacidades del sistema de justicia, garantizar la aplicación efectiva de los protocolos internacionales —como los de Estambul y Minnesota—, profesionalizar la labor pericial bajo criterios de independencia y rigor técnico, y asegurar que jueces y fiscales asuman plenamente su rol en la investigación y sanción de estos crímenes. La lucha contra la tortura no puede seguir dependiendo exclusivamente del empuje de las víctimas ni de la intervención excepcional de los organismos de derechos humanos. Requiere una transformación profunda de las prácticas judiciales y una decisión política clara de combatir la impunidad.</w:t>
      </w:r>
    </w:p>
    <w:p w14:paraId="2388D7AD" w14:textId="77777777" w:rsidR="00D16CC6" w:rsidRDefault="00D16CC6" w:rsidP="00405A5D">
      <w:pPr>
        <w:spacing w:after="120" w:line="240" w:lineRule="auto"/>
        <w:jc w:val="both"/>
        <w:rPr>
          <w:rFonts w:ascii="Times New Roman" w:eastAsia="Calibri" w:hAnsi="Times New Roman" w:cs="Times New Roman"/>
          <w:kern w:val="0"/>
          <w:sz w:val="24"/>
          <w:szCs w:val="24"/>
          <w14:ligatures w14:val="none"/>
        </w:rPr>
      </w:pPr>
    </w:p>
    <w:p w14:paraId="54E23F93" w14:textId="77777777" w:rsidR="00D16CC6" w:rsidRPr="00D16CC6" w:rsidRDefault="00D16CC6" w:rsidP="00D16CC6">
      <w:pPr>
        <w:pStyle w:val="Heading2"/>
        <w:spacing w:before="0" w:after="120" w:line="240" w:lineRule="auto"/>
        <w:rPr>
          <w:rStyle w:val="Hyperlink"/>
          <w:rFonts w:ascii="Times New Roman" w:hAnsi="Times New Roman" w:cs="Times New Roman"/>
          <w:noProof/>
          <w:color w:val="auto"/>
          <w:sz w:val="24"/>
          <w:szCs w:val="24"/>
          <w:u w:val="none"/>
        </w:rPr>
      </w:pPr>
      <w:bookmarkStart w:id="11" w:name="_Toc210805568"/>
      <w:r w:rsidRPr="00D16CC6">
        <w:rPr>
          <w:rStyle w:val="Hyperlink"/>
          <w:rFonts w:ascii="Times New Roman" w:hAnsi="Times New Roman" w:cs="Times New Roman"/>
          <w:b/>
          <w:noProof/>
          <w:color w:val="auto"/>
          <w:sz w:val="24"/>
          <w:szCs w:val="24"/>
          <w:u w:val="none"/>
        </w:rPr>
        <w:t>3</w:t>
      </w:r>
      <w:r w:rsidRPr="00D16CC6">
        <w:rPr>
          <w:rStyle w:val="Hyperlink"/>
          <w:rFonts w:ascii="Times New Roman" w:hAnsi="Times New Roman" w:cs="Times New Roman"/>
          <w:b/>
          <w:bCs/>
          <w:noProof/>
          <w:color w:val="auto"/>
          <w:sz w:val="24"/>
          <w:szCs w:val="24"/>
          <w:u w:val="none"/>
        </w:rPr>
        <w:t>.3. Definición y tipificación del delito de tortura en Argentina</w:t>
      </w:r>
      <w:bookmarkEnd w:id="11"/>
    </w:p>
    <w:p w14:paraId="06ADDD45" w14:textId="77777777" w:rsidR="00D16CC6" w:rsidRPr="00D16CC6" w:rsidRDefault="00D16CC6" w:rsidP="00D16CC6">
      <w:pPr>
        <w:spacing w:after="120" w:line="240" w:lineRule="auto"/>
        <w:jc w:val="both"/>
        <w:rPr>
          <w:rFonts w:ascii="Times New Roman" w:eastAsia="Times New Roman" w:hAnsi="Times New Roman" w:cs="Times New Roman"/>
          <w:kern w:val="0"/>
          <w:sz w:val="24"/>
          <w:szCs w:val="24"/>
          <w:lang w:eastAsia="es-AR"/>
          <w14:ligatures w14:val="none"/>
        </w:rPr>
      </w:pPr>
      <w:r w:rsidRPr="00D16CC6">
        <w:rPr>
          <w:rFonts w:ascii="Times New Roman" w:eastAsia="Times New Roman" w:hAnsi="Times New Roman" w:cs="Times New Roman"/>
          <w:kern w:val="0"/>
          <w:sz w:val="24"/>
          <w:szCs w:val="24"/>
          <w:lang w:eastAsia="es-AR"/>
          <w14:ligatures w14:val="none"/>
        </w:rPr>
        <w:t>En sus observaciones finales anteriores, el Comité contra la Tortura expresó que el artículo 144 ter del Código Penal argentino no se ajustaba plenamente a la definición contenida en el artículo 1 de la Convención contra la Tortura</w:t>
      </w:r>
      <w:r w:rsidRPr="00D16CC6">
        <w:rPr>
          <w:rFonts w:ascii="Times New Roman" w:eastAsia="Times New Roman" w:hAnsi="Times New Roman" w:cs="Times New Roman"/>
          <w:kern w:val="0"/>
          <w:sz w:val="24"/>
          <w:szCs w:val="24"/>
          <w:vertAlign w:val="superscript"/>
          <w:lang w:eastAsia="es-AR"/>
          <w14:ligatures w14:val="none"/>
        </w:rPr>
        <w:footnoteReference w:id="22"/>
      </w:r>
      <w:r w:rsidRPr="00D16CC6">
        <w:rPr>
          <w:rFonts w:ascii="Times New Roman" w:eastAsia="Times New Roman" w:hAnsi="Times New Roman" w:cs="Times New Roman"/>
          <w:kern w:val="0"/>
          <w:sz w:val="24"/>
          <w:szCs w:val="24"/>
          <w:lang w:eastAsia="es-AR"/>
          <w14:ligatures w14:val="none"/>
        </w:rPr>
        <w:t>. En consecuencia, instó al Estado argentino a adecuar dicha disposición, especificando el propósito de la conducta, incorporando como posibles autores del delito a “otras personas que actúan en el ejercicio de funciones públicas, o a instigación, con el consentimiento o aquiescencia de funcionarios públicos”, y asegurando que las penas previstas reflejen la gravedad del delito</w:t>
      </w:r>
      <w:r w:rsidRPr="00D16CC6">
        <w:rPr>
          <w:rFonts w:ascii="Times New Roman" w:eastAsia="Times New Roman" w:hAnsi="Times New Roman" w:cs="Times New Roman"/>
          <w:kern w:val="0"/>
          <w:sz w:val="24"/>
          <w:szCs w:val="24"/>
          <w:vertAlign w:val="superscript"/>
          <w:lang w:eastAsia="es-AR"/>
          <w14:ligatures w14:val="none"/>
        </w:rPr>
        <w:footnoteReference w:id="23"/>
      </w:r>
      <w:r w:rsidRPr="00D16CC6">
        <w:rPr>
          <w:rFonts w:ascii="Times New Roman" w:eastAsia="Times New Roman" w:hAnsi="Times New Roman" w:cs="Times New Roman"/>
          <w:kern w:val="0"/>
          <w:sz w:val="24"/>
          <w:szCs w:val="24"/>
          <w:lang w:eastAsia="es-AR"/>
          <w14:ligatures w14:val="none"/>
        </w:rPr>
        <w:t>.</w:t>
      </w:r>
    </w:p>
    <w:p w14:paraId="570E6500" w14:textId="77777777" w:rsidR="00D16CC6" w:rsidRPr="00D16CC6" w:rsidRDefault="00D16CC6" w:rsidP="00D16CC6">
      <w:pPr>
        <w:spacing w:after="120" w:line="240" w:lineRule="auto"/>
        <w:jc w:val="both"/>
        <w:rPr>
          <w:rFonts w:ascii="Times New Roman" w:eastAsia="Times New Roman" w:hAnsi="Times New Roman" w:cs="Times New Roman"/>
          <w:kern w:val="0"/>
          <w:sz w:val="24"/>
          <w:szCs w:val="24"/>
          <w:lang w:eastAsia="es-AR"/>
          <w14:ligatures w14:val="none"/>
        </w:rPr>
      </w:pPr>
      <w:r w:rsidRPr="00D16CC6">
        <w:rPr>
          <w:rFonts w:ascii="Times New Roman" w:eastAsia="Times New Roman" w:hAnsi="Times New Roman" w:cs="Times New Roman"/>
          <w:kern w:val="0"/>
          <w:sz w:val="24"/>
          <w:szCs w:val="24"/>
          <w:lang w:eastAsia="es-AR"/>
          <w14:ligatures w14:val="none"/>
        </w:rPr>
        <w:t>Desde nuestra perspectiva, el principal problema en materia de tortura en Argentina no reside en la tipificación penal vigente, sino en una práctica judicial deficiente, que alimenta altos niveles de impunidad. El sistema legal argentino cumple con los estándares mínimos establecidos por la Convención de la ONU y la Convención Interamericana para Prevenir y Sancionar la Tortura. Tal como señalamos anteriormente, la impunidad que denunciamos no deriva de una legislación inadecuada, sino de obstáculos estructurales en la investigación, juzgamiento y sanción de estos delitos.</w:t>
      </w:r>
    </w:p>
    <w:p w14:paraId="5E458F09" w14:textId="77777777" w:rsidR="00D16CC6" w:rsidRPr="00D16CC6" w:rsidRDefault="00D16CC6" w:rsidP="00D16CC6">
      <w:pPr>
        <w:spacing w:after="120" w:line="240" w:lineRule="auto"/>
        <w:jc w:val="both"/>
        <w:rPr>
          <w:rFonts w:ascii="Times New Roman" w:eastAsia="Times New Roman" w:hAnsi="Times New Roman" w:cs="Times New Roman"/>
          <w:kern w:val="0"/>
          <w:sz w:val="24"/>
          <w:szCs w:val="24"/>
          <w:lang w:eastAsia="es-AR"/>
          <w14:ligatures w14:val="none"/>
        </w:rPr>
      </w:pPr>
      <w:r w:rsidRPr="00D16CC6">
        <w:rPr>
          <w:rFonts w:ascii="Times New Roman" w:eastAsia="Times New Roman" w:hAnsi="Times New Roman" w:cs="Times New Roman"/>
          <w:kern w:val="0"/>
          <w:sz w:val="24"/>
          <w:szCs w:val="24"/>
          <w:lang w:eastAsia="es-AR"/>
          <w14:ligatures w14:val="none"/>
        </w:rPr>
        <w:t>Dicho esto, reconocemos que la tipificación del delito de tortura y otros tratos o penas crueles, inhumanos o degradantes puede ser perfeccionada. El primer párrafo del artículo 144 ter, inciso 1°, sanciona a “todo funcionario público que impusiere cualquier clase de tortura”, sin ofrecer una definición precisa del término, lo que configura un tipo penal abierto. Su interpretación ha sido complementada por la jurisprudencia nacional a partir de los instrumentos internacionales que integran el bloque de constitucionalidad (art. 75, inc. 22, de la Constitución Nacional argentina).</w:t>
      </w:r>
    </w:p>
    <w:p w14:paraId="2D8D2489" w14:textId="77777777" w:rsidR="00D16CC6" w:rsidRPr="00D16CC6" w:rsidRDefault="00D16CC6" w:rsidP="00D16CC6">
      <w:pPr>
        <w:spacing w:after="120" w:line="240" w:lineRule="auto"/>
        <w:jc w:val="both"/>
        <w:rPr>
          <w:rFonts w:ascii="Times New Roman" w:eastAsia="Times New Roman" w:hAnsi="Times New Roman" w:cs="Times New Roman"/>
          <w:kern w:val="0"/>
          <w:sz w:val="24"/>
          <w:szCs w:val="24"/>
          <w:lang w:eastAsia="es-AR"/>
          <w14:ligatures w14:val="none"/>
        </w:rPr>
      </w:pPr>
      <w:r w:rsidRPr="00D16CC6">
        <w:rPr>
          <w:rFonts w:ascii="Times New Roman" w:eastAsia="Times New Roman" w:hAnsi="Times New Roman" w:cs="Times New Roman"/>
          <w:kern w:val="0"/>
          <w:sz w:val="24"/>
          <w:szCs w:val="24"/>
          <w:lang w:eastAsia="es-AR"/>
          <w14:ligatures w14:val="none"/>
        </w:rPr>
        <w:t>El segundo párrafo extiende la sanción a particulares que cometan los mismos hechos, aunque la doctrina y la jurisprudencia han coincidido mayoritariamente en que estos deben actuar bajo órdenes, protección o consentimiento de funcionarios públicos. La centralidad del agente estatal como autor del delito responde a la naturaleza misma de la tortura como crimen de Estado.</w:t>
      </w:r>
    </w:p>
    <w:p w14:paraId="1ABF7490" w14:textId="77777777" w:rsidR="00D16CC6" w:rsidRPr="00D16CC6" w:rsidRDefault="00D16CC6" w:rsidP="00D16CC6">
      <w:pPr>
        <w:spacing w:after="120" w:line="240" w:lineRule="auto"/>
        <w:jc w:val="both"/>
        <w:rPr>
          <w:rFonts w:ascii="Times New Roman" w:eastAsia="Times New Roman" w:hAnsi="Times New Roman" w:cs="Times New Roman"/>
          <w:kern w:val="0"/>
          <w:sz w:val="24"/>
          <w:szCs w:val="24"/>
          <w:lang w:eastAsia="es-AR"/>
          <w14:ligatures w14:val="none"/>
        </w:rPr>
      </w:pPr>
      <w:r w:rsidRPr="00D16CC6">
        <w:rPr>
          <w:rFonts w:ascii="Times New Roman" w:eastAsia="Times New Roman" w:hAnsi="Times New Roman" w:cs="Times New Roman"/>
          <w:kern w:val="0"/>
          <w:sz w:val="24"/>
          <w:szCs w:val="24"/>
          <w:lang w:eastAsia="es-AR"/>
          <w14:ligatures w14:val="none"/>
        </w:rPr>
        <w:t>Por otra parte, los tratos crueles, inhumanos o degradantes han sido históricamente tipificados en el Código Penal argentino bajo figuras como “apremios ilegales”, “vejaciones” o “severidades” (art. 144 bis, inc. 3º). Estas figuras presentan penas notoriamente inferiores a las previstas para la tortura, sin una justificación clara, a pesar de compartir casi todos los elementos típicos, diferenciándose únicamente en el grado de sufrimiento provocado</w:t>
      </w:r>
      <w:r w:rsidRPr="00D16CC6">
        <w:rPr>
          <w:rFonts w:ascii="Times New Roman" w:eastAsia="Times New Roman" w:hAnsi="Times New Roman" w:cs="Times New Roman"/>
          <w:kern w:val="0"/>
          <w:sz w:val="24"/>
          <w:szCs w:val="24"/>
          <w:vertAlign w:val="superscript"/>
          <w:lang w:eastAsia="es-AR"/>
          <w14:ligatures w14:val="none"/>
        </w:rPr>
        <w:footnoteReference w:id="24"/>
      </w:r>
      <w:r w:rsidRPr="00D16CC6">
        <w:rPr>
          <w:rFonts w:ascii="Times New Roman" w:eastAsia="Times New Roman" w:hAnsi="Times New Roman" w:cs="Times New Roman"/>
          <w:kern w:val="0"/>
          <w:sz w:val="24"/>
          <w:szCs w:val="24"/>
          <w:lang w:eastAsia="es-AR"/>
          <w14:ligatures w14:val="none"/>
        </w:rPr>
        <w:t>. Esta disociación genera un incentivo para calificar hechos como malos tratos, aun cuando podrían constituir tortura, afectando así la adecuada persecución penal.</w:t>
      </w:r>
    </w:p>
    <w:p w14:paraId="3DE77528" w14:textId="77777777" w:rsidR="00D16CC6" w:rsidRPr="00D16CC6" w:rsidRDefault="00D16CC6" w:rsidP="00D16CC6">
      <w:pPr>
        <w:spacing w:after="120" w:line="240" w:lineRule="auto"/>
        <w:jc w:val="both"/>
        <w:rPr>
          <w:rFonts w:ascii="Times New Roman" w:eastAsia="Times New Roman" w:hAnsi="Times New Roman" w:cs="Times New Roman"/>
          <w:kern w:val="0"/>
          <w:sz w:val="24"/>
          <w:szCs w:val="24"/>
          <w:lang w:eastAsia="es-AR"/>
          <w14:ligatures w14:val="none"/>
        </w:rPr>
      </w:pPr>
      <w:r w:rsidRPr="00D16CC6">
        <w:rPr>
          <w:rFonts w:ascii="Times New Roman" w:eastAsia="Times New Roman" w:hAnsi="Times New Roman" w:cs="Times New Roman"/>
          <w:kern w:val="0"/>
          <w:sz w:val="24"/>
          <w:szCs w:val="24"/>
          <w:lang w:eastAsia="es-AR"/>
          <w14:ligatures w14:val="none"/>
        </w:rPr>
        <w:t>Respecto de la incorporación del propósito como elemento constitutivo del delito de tortura, tal como lo ha sugerido el Comité contra la Tortura, disentimos respetuosamente. En el derecho penal argentino, no se exige acreditar un propósito específico para configurar el delito: basta con probar que el autor causó intencionalmente graves sufrimientos físicos o psíquicos a la víctima. Esta interpretación no contradice la Convención contra la Tortura. Por el contrario, su artículo 1.2 reconoce expresamente que las legislaciones nacionales pueden adoptar definiciones más amplias, siempre que respeten los principios esenciales de la Convención. En igual sentido, la Observación General n.° 2 del Comité señala que las definiciones nacionales más abarcadoras son compatibles con el espíritu y finalidad de la Convención</w:t>
      </w:r>
      <w:r w:rsidRPr="00D16CC6">
        <w:rPr>
          <w:rFonts w:ascii="Times New Roman" w:eastAsia="Times New Roman" w:hAnsi="Times New Roman" w:cs="Times New Roman"/>
          <w:kern w:val="0"/>
          <w:sz w:val="24"/>
          <w:szCs w:val="24"/>
          <w:vertAlign w:val="superscript"/>
          <w:lang w:eastAsia="es-AR"/>
          <w14:ligatures w14:val="none"/>
        </w:rPr>
        <w:footnoteReference w:id="25"/>
      </w:r>
      <w:r w:rsidRPr="00D16CC6">
        <w:rPr>
          <w:rFonts w:ascii="Times New Roman" w:eastAsia="Times New Roman" w:hAnsi="Times New Roman" w:cs="Times New Roman"/>
          <w:kern w:val="0"/>
          <w:sz w:val="24"/>
          <w:szCs w:val="24"/>
          <w:lang w:eastAsia="es-AR"/>
          <w14:ligatures w14:val="none"/>
        </w:rPr>
        <w:t>.</w:t>
      </w:r>
    </w:p>
    <w:p w14:paraId="738645E3" w14:textId="77777777" w:rsidR="00D16CC6" w:rsidRPr="00D16CC6" w:rsidRDefault="00D16CC6" w:rsidP="00D16CC6">
      <w:pPr>
        <w:spacing w:after="120" w:line="240" w:lineRule="auto"/>
        <w:jc w:val="both"/>
        <w:rPr>
          <w:rFonts w:ascii="Times New Roman" w:eastAsia="Times New Roman" w:hAnsi="Times New Roman" w:cs="Times New Roman"/>
          <w:kern w:val="0"/>
          <w:sz w:val="24"/>
          <w:szCs w:val="24"/>
          <w:lang w:eastAsia="es-AR"/>
          <w14:ligatures w14:val="none"/>
        </w:rPr>
      </w:pPr>
      <w:r w:rsidRPr="00D16CC6">
        <w:rPr>
          <w:rFonts w:ascii="Times New Roman" w:eastAsia="Times New Roman" w:hAnsi="Times New Roman" w:cs="Times New Roman"/>
          <w:kern w:val="0"/>
          <w:sz w:val="24"/>
          <w:szCs w:val="24"/>
          <w:lang w:eastAsia="es-AR"/>
          <w14:ligatures w14:val="none"/>
        </w:rPr>
        <w:t>En este marco, debe destacarse que tanto la Convención Interamericana para Prevenir y Sancionar la Tortura como el Estatuto de Roma definen la tortura sin incluir la finalidad como un elemento necesario, lo que confirma que dicho requisito no constituye un componente esencial del delito según el derecho internacional. En consecuencia, la legislación argentina, al prescindir del elemento de la finalidad, no sólo se mantiene dentro del margen permitido por los instrumentos internacionales, sino que configura una definición más amplia. Esta amplitud normativa evita exigir una carga probatoria adicional —como lo sería demostrar el propósito específico del autor— que podría obstaculizar innecesariamente la persecución penal de estos delitos.</w:t>
      </w:r>
    </w:p>
    <w:p w14:paraId="013404D0" w14:textId="77777777" w:rsidR="00D16CC6" w:rsidRPr="00D16CC6" w:rsidRDefault="00D16CC6" w:rsidP="00D16CC6">
      <w:pPr>
        <w:spacing w:after="120" w:line="240" w:lineRule="auto"/>
        <w:jc w:val="both"/>
        <w:rPr>
          <w:rFonts w:ascii="Times New Roman" w:eastAsia="Times New Roman" w:hAnsi="Times New Roman" w:cs="Times New Roman"/>
          <w:kern w:val="0"/>
          <w:sz w:val="24"/>
          <w:szCs w:val="24"/>
          <w:lang w:eastAsia="es-AR"/>
          <w14:ligatures w14:val="none"/>
        </w:rPr>
      </w:pPr>
      <w:r w:rsidRPr="00D16CC6">
        <w:rPr>
          <w:rFonts w:ascii="Times New Roman" w:eastAsia="Times New Roman" w:hAnsi="Times New Roman" w:cs="Times New Roman"/>
          <w:kern w:val="0"/>
          <w:sz w:val="24"/>
          <w:szCs w:val="24"/>
          <w:lang w:eastAsia="es-AR"/>
          <w14:ligatures w14:val="none"/>
        </w:rPr>
        <w:t>Tampoco advertimos una omisión grave en cuanto a los posibles autores del delito. La legislación penal argentina, así como su doctrina y jurisprudencia, permiten sancionar adecuadamente a partícipes, instigadores o autores mediatos. Aun así, consideramos que podría resultar útil explicitar mejor en el texto legal los supuestos en los que se actúe por instigación, consentimiento o aquiescencia de funcionarios públicos, en línea con el estándar internacional. Esta reforma no implicaría un cambio sustantivo en la práctica, pero sí podría aportar mayor claridad y coherencia normativa.</w:t>
      </w:r>
    </w:p>
    <w:p w14:paraId="43A9500B" w14:textId="77777777" w:rsidR="00D16CC6" w:rsidRPr="00D16CC6" w:rsidRDefault="00D16CC6" w:rsidP="00D16CC6">
      <w:pPr>
        <w:spacing w:after="120" w:line="240" w:lineRule="auto"/>
        <w:jc w:val="both"/>
        <w:rPr>
          <w:rFonts w:ascii="Times New Roman" w:eastAsia="Times New Roman" w:hAnsi="Times New Roman" w:cs="Times New Roman"/>
          <w:kern w:val="0"/>
          <w:sz w:val="24"/>
          <w:szCs w:val="24"/>
          <w:lang w:eastAsia="es-AR"/>
          <w14:ligatures w14:val="none"/>
        </w:rPr>
      </w:pPr>
      <w:r w:rsidRPr="00D16CC6">
        <w:rPr>
          <w:rFonts w:ascii="Times New Roman" w:eastAsia="Times New Roman" w:hAnsi="Times New Roman" w:cs="Times New Roman"/>
          <w:kern w:val="0"/>
          <w:sz w:val="24"/>
          <w:szCs w:val="24"/>
          <w:lang w:eastAsia="es-AR"/>
          <w14:ligatures w14:val="none"/>
        </w:rPr>
        <w:t>Este aspecto cobra especial relevancia en contextos de encierro, donde las investigaciones llevadas a cabo por la Procuración Penitenciaria han documentado diversas formas de tercerización de la violencia. En particular, se han identificado al menos dos modalidades: por un lado, la violencia delegada, ejercida por otros detenidos a instancias o por encargo del personal penitenciario; y por otro, la violencia habilitada, que se produce entre internos en espacios, situaciones o condiciones generadas o toleradas por las autoridades penitenciarias. Ambas dinámicas pueden implicar formas de responsabilidad estatal, especialmente cuando existen elementos de instigación, consentimiento o aquiescencia por parte de funcionarios públicos, como contempla la definición internacional de tortura.</w:t>
      </w:r>
    </w:p>
    <w:p w14:paraId="51707D7A" w14:textId="77777777" w:rsidR="00D16CC6" w:rsidRPr="00D16CC6" w:rsidRDefault="00D16CC6" w:rsidP="00D16CC6">
      <w:pPr>
        <w:spacing w:after="120" w:line="240" w:lineRule="auto"/>
        <w:jc w:val="both"/>
        <w:rPr>
          <w:rFonts w:ascii="Times New Roman" w:eastAsia="Times New Roman" w:hAnsi="Times New Roman" w:cs="Times New Roman"/>
          <w:kern w:val="0"/>
          <w:sz w:val="24"/>
          <w:szCs w:val="24"/>
          <w:lang w:eastAsia="es-AR"/>
          <w14:ligatures w14:val="none"/>
        </w:rPr>
      </w:pPr>
      <w:r w:rsidRPr="00D16CC6">
        <w:rPr>
          <w:rFonts w:ascii="Times New Roman" w:eastAsia="Times New Roman" w:hAnsi="Times New Roman" w:cs="Times New Roman"/>
          <w:kern w:val="0"/>
          <w:sz w:val="24"/>
          <w:szCs w:val="24"/>
          <w:lang w:eastAsia="es-AR"/>
          <w14:ligatures w14:val="none"/>
        </w:rPr>
        <w:t>Sin embargo, consideramos necesario hacer una salvedad: no toda violencia entre personas privadas de libertad puede ni debe ser calificada automáticamente como tortura. Incluir sin matices estos supuestos dentro del concepto penal de tortura podría desnaturalizar su contenido y dificultar la delimitación precisa de sus elementos constitutivos. La singularidad de este delito radica</w:t>
      </w:r>
      <w:r w:rsidRPr="00D16CC6">
        <w:rPr>
          <w:rFonts w:ascii="Calibri" w:eastAsia="Calibri" w:hAnsi="Calibri" w:cs="Times New Roman"/>
          <w:kern w:val="0"/>
          <w14:ligatures w14:val="none"/>
        </w:rPr>
        <w:t xml:space="preserve"> </w:t>
      </w:r>
      <w:r w:rsidRPr="00D16CC6">
        <w:rPr>
          <w:rFonts w:ascii="Times New Roman" w:eastAsia="Times New Roman" w:hAnsi="Times New Roman" w:cs="Times New Roman"/>
          <w:kern w:val="0"/>
          <w:sz w:val="24"/>
          <w:szCs w:val="24"/>
          <w:lang w:eastAsia="es-AR"/>
          <w14:ligatures w14:val="none"/>
        </w:rPr>
        <w:t>en el abuso del poder del Estado para infligir graves sufrimientos a una persona, invocando la seguridad (nacional o ciudadana) como coartada para hacerlo.</w:t>
      </w:r>
    </w:p>
    <w:p w14:paraId="638AA190" w14:textId="77777777" w:rsidR="00D16CC6" w:rsidRPr="00D16CC6" w:rsidRDefault="00D16CC6" w:rsidP="00D16CC6">
      <w:pPr>
        <w:spacing w:after="120" w:line="240" w:lineRule="auto"/>
        <w:jc w:val="both"/>
        <w:rPr>
          <w:rFonts w:ascii="Times New Roman" w:eastAsia="Times New Roman" w:hAnsi="Times New Roman" w:cs="Times New Roman"/>
          <w:kern w:val="0"/>
          <w:sz w:val="24"/>
          <w:szCs w:val="24"/>
          <w:lang w:eastAsia="es-AR"/>
          <w14:ligatures w14:val="none"/>
        </w:rPr>
      </w:pPr>
      <w:r w:rsidRPr="00D16CC6">
        <w:rPr>
          <w:rFonts w:ascii="Times New Roman" w:eastAsia="Times New Roman" w:hAnsi="Times New Roman" w:cs="Times New Roman"/>
          <w:kern w:val="0"/>
          <w:sz w:val="24"/>
          <w:szCs w:val="24"/>
          <w:lang w:eastAsia="es-AR"/>
          <w14:ligatures w14:val="none"/>
        </w:rPr>
        <w:t>En este marco, valoramos las recomendaciones del CAT como una contribución relevante al diálogo institucional. Desde la Procuración Penitenciaria de la Nación, en conjunto con el Comité Nacional para la Prevención de la Tortura y destacados juristas, elaboramos un proyecto de reforma legislativa que recoge y analiza cada una de estas observaciones, evaluando en qué medida resultan aplicables al contexto argentino</w:t>
      </w:r>
      <w:r w:rsidRPr="00D16CC6">
        <w:rPr>
          <w:rFonts w:ascii="Times New Roman" w:eastAsia="Times New Roman" w:hAnsi="Times New Roman" w:cs="Times New Roman"/>
          <w:kern w:val="0"/>
          <w:sz w:val="24"/>
          <w:szCs w:val="24"/>
          <w:vertAlign w:val="superscript"/>
          <w:lang w:eastAsia="es-AR"/>
          <w14:ligatures w14:val="none"/>
        </w:rPr>
        <w:footnoteReference w:id="26"/>
      </w:r>
      <w:r w:rsidRPr="00D16CC6">
        <w:rPr>
          <w:rFonts w:ascii="Times New Roman" w:eastAsia="Times New Roman" w:hAnsi="Times New Roman" w:cs="Times New Roman"/>
          <w:kern w:val="0"/>
          <w:sz w:val="24"/>
          <w:szCs w:val="24"/>
          <w:lang w:eastAsia="es-AR"/>
          <w14:ligatures w14:val="none"/>
        </w:rPr>
        <w:t>. Lamentablemente, dicho proyecto no fue considerado por las últimas iniciativas de reforma integral del Código Penal, impulsadas tanto por el gobierno anterior como por el actual, que omitieron sin justificación los aportes realizados en materia de tortura y malos tratos.</w:t>
      </w:r>
    </w:p>
    <w:p w14:paraId="53C6E00A" w14:textId="25AA89D9" w:rsidR="00D16CC6" w:rsidRPr="00D16CC6" w:rsidRDefault="00D16CC6" w:rsidP="00405A5D">
      <w:pPr>
        <w:spacing w:after="120" w:line="240" w:lineRule="auto"/>
        <w:jc w:val="both"/>
        <w:rPr>
          <w:rFonts w:ascii="Times New Roman" w:eastAsia="Times New Roman" w:hAnsi="Times New Roman" w:cs="Times New Roman"/>
          <w:kern w:val="0"/>
          <w:sz w:val="24"/>
          <w:szCs w:val="24"/>
          <w:lang w:eastAsia="es-AR"/>
          <w14:ligatures w14:val="none"/>
        </w:rPr>
      </w:pPr>
      <w:r w:rsidRPr="00D16CC6">
        <w:rPr>
          <w:rFonts w:ascii="Times New Roman" w:eastAsia="Times New Roman" w:hAnsi="Times New Roman" w:cs="Times New Roman"/>
          <w:kern w:val="0"/>
          <w:sz w:val="24"/>
          <w:szCs w:val="24"/>
          <w:lang w:eastAsia="es-AR"/>
          <w14:ligatures w14:val="none"/>
        </w:rPr>
        <w:t>Aun relativizando el peso de una reforma legal frente a otros factores más determinantes en la lucha contra la impunidad, entendemos que la adopción de este proyecto contribuiría a fortalecer el compromiso del Estado argentino con los estándares internacionales de derechos humanos.</w:t>
      </w:r>
    </w:p>
    <w:p w14:paraId="3B258047" w14:textId="77777777" w:rsidR="004E2174" w:rsidRPr="00516C15" w:rsidRDefault="004E2174" w:rsidP="004E2174">
      <w:pPr>
        <w:spacing w:after="120" w:line="240" w:lineRule="auto"/>
        <w:jc w:val="both"/>
        <w:rPr>
          <w:rFonts w:ascii="Times New Roman" w:hAnsi="Times New Roman" w:cs="Times New Roman"/>
          <w:noProof/>
          <w:webHidden/>
          <w:color w:val="000000" w:themeColor="text1"/>
          <w:sz w:val="24"/>
          <w:szCs w:val="24"/>
        </w:rPr>
      </w:pPr>
    </w:p>
    <w:p w14:paraId="7DD53121" w14:textId="3F5B549F" w:rsidR="00BF3B61" w:rsidRDefault="00F038BC" w:rsidP="004E2174">
      <w:pPr>
        <w:pStyle w:val="Heading1"/>
        <w:spacing w:before="0" w:after="120" w:line="240" w:lineRule="auto"/>
        <w:rPr>
          <w:rStyle w:val="Hyperlink"/>
          <w:rFonts w:ascii="Times New Roman" w:hAnsi="Times New Roman" w:cs="Times New Roman"/>
          <w:b/>
          <w:bCs/>
          <w:noProof/>
          <w:color w:val="auto"/>
          <w:sz w:val="24"/>
          <w:szCs w:val="24"/>
          <w:u w:val="none"/>
        </w:rPr>
      </w:pPr>
      <w:bookmarkStart w:id="12" w:name="_Toc210805569"/>
      <w:r w:rsidRPr="00921E1E">
        <w:rPr>
          <w:rStyle w:val="Hyperlink"/>
          <w:rFonts w:ascii="Times New Roman" w:hAnsi="Times New Roman" w:cs="Times New Roman"/>
          <w:b/>
          <w:bCs/>
          <w:noProof/>
          <w:color w:val="auto"/>
          <w:sz w:val="24"/>
          <w:szCs w:val="24"/>
          <w:u w:val="none"/>
        </w:rPr>
        <w:t>4</w:t>
      </w:r>
      <w:r w:rsidR="00597B52" w:rsidRPr="00921E1E">
        <w:rPr>
          <w:rStyle w:val="Hyperlink"/>
          <w:rFonts w:ascii="Times New Roman" w:hAnsi="Times New Roman" w:cs="Times New Roman"/>
          <w:b/>
          <w:bCs/>
          <w:noProof/>
          <w:color w:val="auto"/>
          <w:sz w:val="24"/>
          <w:szCs w:val="24"/>
          <w:u w:val="none"/>
        </w:rPr>
        <w:t xml:space="preserve">. </w:t>
      </w:r>
      <w:r w:rsidR="004E2174">
        <w:rPr>
          <w:rStyle w:val="Hyperlink"/>
          <w:rFonts w:ascii="Times New Roman" w:hAnsi="Times New Roman" w:cs="Times New Roman"/>
          <w:b/>
          <w:bCs/>
          <w:noProof/>
          <w:color w:val="auto"/>
          <w:sz w:val="24"/>
          <w:szCs w:val="24"/>
          <w:u w:val="none"/>
        </w:rPr>
        <w:t>MUERTES</w:t>
      </w:r>
      <w:r w:rsidR="00597B52" w:rsidRPr="00921E1E">
        <w:rPr>
          <w:rStyle w:val="Hyperlink"/>
          <w:rFonts w:ascii="Times New Roman" w:hAnsi="Times New Roman" w:cs="Times New Roman"/>
          <w:b/>
          <w:bCs/>
          <w:noProof/>
          <w:color w:val="auto"/>
          <w:sz w:val="24"/>
          <w:szCs w:val="24"/>
          <w:u w:val="none"/>
        </w:rPr>
        <w:t xml:space="preserve"> </w:t>
      </w:r>
      <w:r w:rsidRPr="00921E1E">
        <w:rPr>
          <w:rStyle w:val="Hyperlink"/>
          <w:rFonts w:ascii="Times New Roman" w:hAnsi="Times New Roman" w:cs="Times New Roman"/>
          <w:b/>
          <w:bCs/>
          <w:noProof/>
          <w:color w:val="auto"/>
          <w:sz w:val="24"/>
          <w:szCs w:val="24"/>
          <w:u w:val="none"/>
        </w:rPr>
        <w:t>BAJO CUSTODIA</w:t>
      </w:r>
      <w:bookmarkEnd w:id="12"/>
      <w:r w:rsidR="00C71E63">
        <w:rPr>
          <w:rStyle w:val="Hyperlink"/>
          <w:rFonts w:ascii="Times New Roman" w:hAnsi="Times New Roman" w:cs="Times New Roman"/>
          <w:b/>
          <w:bCs/>
          <w:noProof/>
          <w:color w:val="auto"/>
          <w:sz w:val="24"/>
          <w:szCs w:val="24"/>
          <w:u w:val="none"/>
        </w:rPr>
        <w:t xml:space="preserve"> </w:t>
      </w:r>
    </w:p>
    <w:p w14:paraId="712D2DB5" w14:textId="77777777" w:rsidR="009C1762" w:rsidRPr="009C1762" w:rsidRDefault="009C1762" w:rsidP="004E2174">
      <w:pPr>
        <w:spacing w:after="120" w:line="240" w:lineRule="auto"/>
        <w:jc w:val="both"/>
        <w:rPr>
          <w:rFonts w:ascii="Times New Roman" w:hAnsi="Times New Roman" w:cs="Times New Roman"/>
          <w:sz w:val="24"/>
          <w:szCs w:val="24"/>
        </w:rPr>
      </w:pPr>
      <w:r w:rsidRPr="009C1762">
        <w:rPr>
          <w:rFonts w:ascii="Times New Roman" w:hAnsi="Times New Roman" w:cs="Times New Roman"/>
          <w:sz w:val="24"/>
          <w:szCs w:val="24"/>
        </w:rPr>
        <w:t xml:space="preserve">A finales de 2008 la Procuración Penitenciaria de la Nación creó el </w:t>
      </w:r>
      <w:r w:rsidRPr="009C1762">
        <w:rPr>
          <w:rFonts w:ascii="Times New Roman" w:hAnsi="Times New Roman" w:cs="Times New Roman"/>
          <w:i/>
          <w:iCs/>
          <w:sz w:val="24"/>
          <w:szCs w:val="24"/>
        </w:rPr>
        <w:t xml:space="preserve">Procedimiento para la Investigación y Documentación de Fallecimientos en Prisión </w:t>
      </w:r>
      <w:r w:rsidRPr="009C1762">
        <w:rPr>
          <w:rFonts w:ascii="Times New Roman" w:hAnsi="Times New Roman" w:cs="Times New Roman"/>
          <w:sz w:val="24"/>
          <w:szCs w:val="24"/>
        </w:rPr>
        <w:t>que entró en vigencia al año siguiente y fue ampliando progresivamente su ámbito de intervención hasta abarcar todas las instituciones sobre las que el organismo tiene funciones de control</w:t>
      </w:r>
      <w:r w:rsidRPr="009C1762">
        <w:rPr>
          <w:rStyle w:val="FootnoteReference"/>
          <w:rFonts w:ascii="Times New Roman" w:hAnsi="Times New Roman" w:cs="Times New Roman"/>
          <w:sz w:val="24"/>
          <w:szCs w:val="24"/>
        </w:rPr>
        <w:footnoteReference w:id="27"/>
      </w:r>
      <w:r w:rsidRPr="009C1762">
        <w:rPr>
          <w:rFonts w:ascii="Times New Roman" w:hAnsi="Times New Roman" w:cs="Times New Roman"/>
          <w:sz w:val="24"/>
          <w:szCs w:val="24"/>
        </w:rPr>
        <w:t>.</w:t>
      </w:r>
    </w:p>
    <w:p w14:paraId="6D3F7788" w14:textId="18A5DADA" w:rsidR="009C1762" w:rsidRPr="009C1762" w:rsidRDefault="009C1762" w:rsidP="004E2174">
      <w:pPr>
        <w:spacing w:after="120" w:line="240" w:lineRule="auto"/>
        <w:jc w:val="both"/>
        <w:rPr>
          <w:rFonts w:ascii="Times New Roman" w:hAnsi="Times New Roman" w:cs="Times New Roman"/>
          <w:sz w:val="24"/>
          <w:szCs w:val="24"/>
        </w:rPr>
      </w:pPr>
      <w:r w:rsidRPr="009C1762">
        <w:rPr>
          <w:rFonts w:ascii="Times New Roman" w:hAnsi="Times New Roman" w:cs="Times New Roman"/>
          <w:sz w:val="24"/>
          <w:szCs w:val="24"/>
        </w:rPr>
        <w:t xml:space="preserve">Diecisiete años de aplicación del procedimiento nos permiten sostener que </w:t>
      </w:r>
      <w:r w:rsidR="00703889">
        <w:rPr>
          <w:rFonts w:ascii="Times New Roman" w:hAnsi="Times New Roman" w:cs="Times New Roman"/>
          <w:sz w:val="24"/>
          <w:szCs w:val="24"/>
        </w:rPr>
        <w:t>existen</w:t>
      </w:r>
      <w:r w:rsidR="00703889" w:rsidRPr="009C1762">
        <w:rPr>
          <w:rFonts w:ascii="Times New Roman" w:hAnsi="Times New Roman" w:cs="Times New Roman"/>
          <w:sz w:val="24"/>
          <w:szCs w:val="24"/>
        </w:rPr>
        <w:t xml:space="preserve"> </w:t>
      </w:r>
      <w:r w:rsidRPr="009C1762">
        <w:rPr>
          <w:rFonts w:ascii="Times New Roman" w:hAnsi="Times New Roman" w:cs="Times New Roman"/>
          <w:sz w:val="24"/>
          <w:szCs w:val="24"/>
        </w:rPr>
        <w:t xml:space="preserve">prácticas estructurales y arraigadas en las fuerzas de seguridad y falta de respuestas adecuadas por parte del Poder Judicial </w:t>
      </w:r>
      <w:r w:rsidR="00703889">
        <w:rPr>
          <w:rFonts w:ascii="Times New Roman" w:hAnsi="Times New Roman" w:cs="Times New Roman"/>
          <w:sz w:val="24"/>
          <w:szCs w:val="24"/>
        </w:rPr>
        <w:t xml:space="preserve">que </w:t>
      </w:r>
      <w:r w:rsidRPr="009C1762">
        <w:rPr>
          <w:rFonts w:ascii="Times New Roman" w:hAnsi="Times New Roman" w:cs="Times New Roman"/>
          <w:sz w:val="24"/>
          <w:szCs w:val="24"/>
        </w:rPr>
        <w:t>explican la proliferación de las muertes bajo custodia. La PPN ha denunciado el impacto en la producción de muertes que produce la persistencia de la violencia como estrategia de gestión de la prisión, la inasistencia a la salud física y mental, la sobrepoblación carcelaria, el confinamiento en solitario extendido, la ausencia de vías legítimas y eficaces para canalizar pedidos y reclamos que provocan la proliferación de medidas de fuerza extremas, la inexistente política integral frente a incendios y la falta de control, guarda y custodia reforzada ante ciertos colectivos especialmente vulnerados. También hemos alertado sobre el impacto en las muertes bajo custodia que provoca la falta de control jurisdiccional de las detenciones —en materia de alojamientos, traslados y calidad de la asistencia médica, entre otros—, la ausente política de morigeración de encierros, el uso exacerbado de la prisión preventiva, y la deficiencia de las investigaciones judiciales iniciadas ante muertes bajo custodia</w:t>
      </w:r>
      <w:r w:rsidRPr="009C1762">
        <w:rPr>
          <w:rStyle w:val="FootnoteReference"/>
          <w:rFonts w:ascii="Times New Roman" w:hAnsi="Times New Roman" w:cs="Times New Roman"/>
          <w:sz w:val="24"/>
          <w:szCs w:val="24"/>
        </w:rPr>
        <w:footnoteReference w:id="28"/>
      </w:r>
      <w:r w:rsidRPr="009C1762">
        <w:rPr>
          <w:rFonts w:ascii="Times New Roman" w:hAnsi="Times New Roman" w:cs="Times New Roman"/>
          <w:sz w:val="24"/>
          <w:szCs w:val="24"/>
        </w:rPr>
        <w:t>.</w:t>
      </w:r>
    </w:p>
    <w:p w14:paraId="36D98322" w14:textId="680F282A" w:rsidR="009C1762" w:rsidRDefault="009C1762" w:rsidP="004E2174">
      <w:pPr>
        <w:spacing w:after="120" w:line="240" w:lineRule="auto"/>
        <w:jc w:val="both"/>
        <w:rPr>
          <w:rFonts w:ascii="Times New Roman" w:hAnsi="Times New Roman" w:cs="Times New Roman"/>
          <w:sz w:val="24"/>
          <w:szCs w:val="24"/>
        </w:rPr>
      </w:pPr>
      <w:r w:rsidRPr="009C1762">
        <w:rPr>
          <w:rFonts w:ascii="Times New Roman" w:hAnsi="Times New Roman" w:cs="Times New Roman"/>
          <w:sz w:val="24"/>
          <w:szCs w:val="24"/>
        </w:rPr>
        <w:t xml:space="preserve">Este apartado se divide en tres partes. En primer lugar se analizan las muertes bajo custodia del Servicio Penitenciario Federal, espacio donde se produce la mayor cantidad de fallecimientos de personas detenidas por causas tramitadas ante la justicia nacional o federal. Luego analizamos las muertes de personas detenidas por causas tramitadas ante la justicia nacional o federal pero que ocurren por fuera de la custodia del Servicio Penitenciario Federal, con especial atención a los fallecimientos en dependencias de la Policía de la Ciudad de Buenos Aires. Finalmente nos detenemos en la adecuación de las investigaciones judiciales iniciadas ante este tipo de muertes. </w:t>
      </w:r>
    </w:p>
    <w:p w14:paraId="424E333C" w14:textId="77777777" w:rsidR="001D281C" w:rsidRPr="009C1762" w:rsidRDefault="001D281C" w:rsidP="004E2174">
      <w:pPr>
        <w:spacing w:after="120" w:line="240" w:lineRule="auto"/>
        <w:jc w:val="both"/>
        <w:rPr>
          <w:rFonts w:ascii="Times New Roman" w:hAnsi="Times New Roman" w:cs="Times New Roman"/>
          <w:sz w:val="24"/>
          <w:szCs w:val="24"/>
        </w:rPr>
      </w:pPr>
    </w:p>
    <w:p w14:paraId="51888A64" w14:textId="6D22F18E" w:rsidR="009C1762" w:rsidRPr="009C1762" w:rsidRDefault="009C1762" w:rsidP="004E2174">
      <w:pPr>
        <w:pStyle w:val="Heading2"/>
        <w:spacing w:before="0" w:after="120" w:line="240" w:lineRule="auto"/>
        <w:rPr>
          <w:rStyle w:val="Hyperlink"/>
          <w:rFonts w:ascii="Times New Roman" w:hAnsi="Times New Roman" w:cs="Times New Roman"/>
          <w:b/>
          <w:noProof/>
          <w:color w:val="auto"/>
          <w:sz w:val="24"/>
          <w:szCs w:val="24"/>
          <w:u w:val="none"/>
        </w:rPr>
      </w:pPr>
      <w:bookmarkStart w:id="13" w:name="_Toc210805570"/>
      <w:r w:rsidRPr="009C1762">
        <w:rPr>
          <w:rStyle w:val="Hyperlink"/>
          <w:rFonts w:ascii="Times New Roman" w:hAnsi="Times New Roman" w:cs="Times New Roman"/>
          <w:b/>
          <w:noProof/>
          <w:color w:val="auto"/>
          <w:sz w:val="24"/>
          <w:szCs w:val="24"/>
          <w:u w:val="none"/>
        </w:rPr>
        <w:t>4.1. Muertes bajo custodia del Servicio Penitenciario Federal</w:t>
      </w:r>
      <w:bookmarkEnd w:id="13"/>
    </w:p>
    <w:p w14:paraId="7E31EC66" w14:textId="77777777" w:rsidR="009C1762" w:rsidRDefault="009C1762" w:rsidP="00E0050D">
      <w:pPr>
        <w:spacing w:after="120" w:line="240" w:lineRule="auto"/>
        <w:jc w:val="both"/>
        <w:rPr>
          <w:rFonts w:ascii="Times New Roman" w:hAnsi="Times New Roman" w:cs="Times New Roman"/>
          <w:sz w:val="24"/>
          <w:szCs w:val="24"/>
        </w:rPr>
      </w:pPr>
      <w:r w:rsidRPr="009C1762">
        <w:rPr>
          <w:rFonts w:ascii="Times New Roman" w:hAnsi="Times New Roman" w:cs="Times New Roman"/>
          <w:sz w:val="24"/>
          <w:szCs w:val="24"/>
        </w:rPr>
        <w:t>Entre el 1º de enero y el 1º de octubre de 2025 se han registrado treinta y cinco muertes bajo custodia del Servicio Penitenciario Federal. La cifra, como podemos advertir en el próximo gráfico, resulta preocupante pues se aproxima al promedio anual de 43 muertes cuando resta aún un trimestre del año.</w:t>
      </w:r>
    </w:p>
    <w:p w14:paraId="735EA480" w14:textId="77777777" w:rsidR="00E0050D" w:rsidRPr="009C1762" w:rsidRDefault="00E0050D" w:rsidP="00E0050D">
      <w:pPr>
        <w:spacing w:after="120" w:line="240" w:lineRule="auto"/>
        <w:jc w:val="both"/>
        <w:rPr>
          <w:rFonts w:ascii="Times New Roman" w:hAnsi="Times New Roman" w:cs="Times New Roman"/>
          <w:sz w:val="24"/>
          <w:szCs w:val="24"/>
        </w:rPr>
      </w:pPr>
    </w:p>
    <w:p w14:paraId="60AF5C7A" w14:textId="6BD120A8" w:rsidR="009C1762" w:rsidRPr="00E0050D" w:rsidRDefault="009C1762" w:rsidP="004E2174">
      <w:pPr>
        <w:spacing w:after="120" w:line="240" w:lineRule="auto"/>
        <w:jc w:val="center"/>
        <w:rPr>
          <w:rFonts w:ascii="Times New Roman" w:hAnsi="Times New Roman" w:cs="Times New Roman"/>
          <w:b/>
          <w:bCs/>
        </w:rPr>
      </w:pPr>
      <w:r w:rsidRPr="00E0050D">
        <w:rPr>
          <w:rFonts w:ascii="Times New Roman" w:hAnsi="Times New Roman" w:cs="Times New Roman"/>
          <w:b/>
          <w:bCs/>
        </w:rPr>
        <w:t>Evolución histórica muertes bajo custodia del SPF. Discriminación entre muertes violentas y no violentas. Período 2009- 2024</w:t>
      </w:r>
    </w:p>
    <w:p w14:paraId="427B8BC3" w14:textId="77777777" w:rsidR="009C1762" w:rsidRPr="009C1762" w:rsidRDefault="009C1762" w:rsidP="00E0050D">
      <w:pPr>
        <w:spacing w:after="120" w:line="240" w:lineRule="auto"/>
        <w:ind w:firstLine="720"/>
        <w:jc w:val="both"/>
        <w:rPr>
          <w:rFonts w:ascii="Times New Roman" w:hAnsi="Times New Roman" w:cs="Times New Roman"/>
          <w:sz w:val="24"/>
          <w:szCs w:val="24"/>
        </w:rPr>
      </w:pPr>
      <w:r w:rsidRPr="009C1762">
        <w:rPr>
          <w:rFonts w:ascii="Times New Roman" w:hAnsi="Times New Roman" w:cs="Times New Roman"/>
          <w:noProof/>
          <w:sz w:val="24"/>
          <w:szCs w:val="24"/>
          <w:lang w:eastAsia="es-AR"/>
        </w:rPr>
        <w:drawing>
          <wp:inline distT="0" distB="0" distL="0" distR="0" wp14:anchorId="283FB573" wp14:editId="2F20BB58">
            <wp:extent cx="5153025" cy="2381250"/>
            <wp:effectExtent l="0" t="0" r="9525" b="0"/>
            <wp:docPr id="1336092037" name="Gráfico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8AD90B5" w14:textId="77777777" w:rsidR="009C1762" w:rsidRDefault="009C1762" w:rsidP="004E2174">
      <w:pPr>
        <w:spacing w:after="120" w:line="240" w:lineRule="auto"/>
        <w:ind w:firstLine="720"/>
        <w:jc w:val="both"/>
        <w:rPr>
          <w:rFonts w:ascii="Times New Roman" w:hAnsi="Times New Roman" w:cs="Times New Roman"/>
          <w:sz w:val="20"/>
          <w:szCs w:val="20"/>
        </w:rPr>
      </w:pPr>
      <w:r w:rsidRPr="001D281C">
        <w:rPr>
          <w:rFonts w:ascii="Times New Roman" w:hAnsi="Times New Roman" w:cs="Times New Roman"/>
          <w:sz w:val="20"/>
          <w:szCs w:val="20"/>
        </w:rPr>
        <w:t>Fuente: Base Casos de Fallecimientos SPF- PPN</w:t>
      </w:r>
    </w:p>
    <w:p w14:paraId="5CD78CA5" w14:textId="77777777" w:rsidR="00E0050D" w:rsidRPr="001D281C" w:rsidRDefault="00E0050D" w:rsidP="004E2174">
      <w:pPr>
        <w:spacing w:after="120" w:line="240" w:lineRule="auto"/>
        <w:ind w:firstLine="720"/>
        <w:jc w:val="both"/>
        <w:rPr>
          <w:rFonts w:ascii="Times New Roman" w:hAnsi="Times New Roman" w:cs="Times New Roman"/>
          <w:sz w:val="20"/>
          <w:szCs w:val="20"/>
        </w:rPr>
      </w:pPr>
    </w:p>
    <w:p w14:paraId="55953390" w14:textId="543B6C2F" w:rsidR="009C1762" w:rsidRDefault="009C1762" w:rsidP="004E2174">
      <w:pPr>
        <w:spacing w:after="120" w:line="240" w:lineRule="auto"/>
        <w:jc w:val="both"/>
        <w:rPr>
          <w:rFonts w:ascii="Times New Roman" w:hAnsi="Times New Roman" w:cs="Times New Roman"/>
          <w:bCs/>
          <w:sz w:val="24"/>
          <w:szCs w:val="24"/>
        </w:rPr>
      </w:pPr>
      <w:r w:rsidRPr="009C1762">
        <w:rPr>
          <w:rFonts w:ascii="Times New Roman" w:hAnsi="Times New Roman" w:cs="Times New Roman"/>
          <w:bCs/>
          <w:sz w:val="24"/>
          <w:szCs w:val="24"/>
        </w:rPr>
        <w:t xml:space="preserve">En los primeros nueve meses de 2025 se produjeron 27 muertes por enfermedad, tres por ahorcamientos, tres en el contexto de incendios y una por agresiones entre detenidos, además de una última muerte reciente aún pendiente de clarificación en sus circunstancias. Si bien el próximo gráfico demuestra que las muertes por enfermedad ya estaban sobrerrepresentadas dentro del sistema penitenciario federal, el elevado número de casos en estos primeros tres trimestres alerta especialmente sobre los resultados más gravosos de la deficitaria política de salud penitenciaria a nivel federal.   </w:t>
      </w:r>
    </w:p>
    <w:p w14:paraId="430599C9" w14:textId="77777777" w:rsidR="004E2174" w:rsidRPr="009C1762" w:rsidRDefault="004E2174" w:rsidP="004E2174">
      <w:pPr>
        <w:spacing w:after="120" w:line="240" w:lineRule="auto"/>
        <w:jc w:val="both"/>
        <w:rPr>
          <w:rFonts w:ascii="Times New Roman" w:hAnsi="Times New Roman" w:cs="Times New Roman"/>
          <w:bCs/>
          <w:sz w:val="24"/>
          <w:szCs w:val="24"/>
        </w:rPr>
      </w:pPr>
    </w:p>
    <w:p w14:paraId="57E803E9" w14:textId="46063BB8" w:rsidR="009C1762" w:rsidRPr="00E0050D" w:rsidRDefault="009C1762" w:rsidP="004E2174">
      <w:pPr>
        <w:spacing w:after="120" w:line="240" w:lineRule="auto"/>
        <w:jc w:val="center"/>
        <w:rPr>
          <w:rFonts w:ascii="Times New Roman" w:hAnsi="Times New Roman" w:cs="Times New Roman"/>
          <w:b/>
          <w:bCs/>
        </w:rPr>
      </w:pPr>
      <w:r w:rsidRPr="00E0050D">
        <w:rPr>
          <w:rFonts w:ascii="Times New Roman" w:hAnsi="Times New Roman" w:cs="Times New Roman"/>
          <w:b/>
          <w:bCs/>
        </w:rPr>
        <w:t>Distribución por modalidad de muertes bajo custodia del SPF. Período 2009- 2024</w:t>
      </w:r>
    </w:p>
    <w:p w14:paraId="7AEAF15C" w14:textId="77777777" w:rsidR="009C1762" w:rsidRPr="009C1762" w:rsidRDefault="009C1762" w:rsidP="004E2174">
      <w:pPr>
        <w:spacing w:after="120" w:line="240" w:lineRule="auto"/>
        <w:ind w:firstLine="720"/>
        <w:jc w:val="both"/>
        <w:rPr>
          <w:rFonts w:ascii="Times New Roman" w:hAnsi="Times New Roman" w:cs="Times New Roman"/>
          <w:sz w:val="24"/>
          <w:szCs w:val="24"/>
        </w:rPr>
      </w:pPr>
      <w:r w:rsidRPr="009C1762">
        <w:rPr>
          <w:rFonts w:ascii="Times New Roman" w:hAnsi="Times New Roman" w:cs="Times New Roman"/>
          <w:noProof/>
          <w:sz w:val="24"/>
          <w:szCs w:val="24"/>
          <w:lang w:eastAsia="es-AR"/>
        </w:rPr>
        <w:drawing>
          <wp:inline distT="0" distB="0" distL="0" distR="0" wp14:anchorId="15BFEC26" wp14:editId="19F8ECDD">
            <wp:extent cx="4933950" cy="3067050"/>
            <wp:effectExtent l="0" t="0" r="0" b="0"/>
            <wp:docPr id="29475237"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23A4FF5" w14:textId="77777777" w:rsidR="009C1762" w:rsidRDefault="009C1762" w:rsidP="004E2174">
      <w:pPr>
        <w:spacing w:after="120" w:line="240" w:lineRule="auto"/>
        <w:ind w:firstLine="720"/>
        <w:jc w:val="both"/>
        <w:rPr>
          <w:rFonts w:ascii="Times New Roman" w:hAnsi="Times New Roman" w:cs="Times New Roman"/>
          <w:sz w:val="20"/>
          <w:szCs w:val="20"/>
        </w:rPr>
      </w:pPr>
      <w:r w:rsidRPr="001D281C">
        <w:rPr>
          <w:rFonts w:ascii="Times New Roman" w:hAnsi="Times New Roman" w:cs="Times New Roman"/>
          <w:sz w:val="20"/>
          <w:szCs w:val="20"/>
        </w:rPr>
        <w:t>Fuente: Base Casos de Fallecimientos SPF- PPN</w:t>
      </w:r>
    </w:p>
    <w:p w14:paraId="0BE45297" w14:textId="77777777" w:rsidR="00E0050D" w:rsidRDefault="00E0050D" w:rsidP="00E0050D">
      <w:pPr>
        <w:spacing w:after="120" w:line="240" w:lineRule="auto"/>
        <w:jc w:val="both"/>
        <w:rPr>
          <w:rFonts w:ascii="Times New Roman" w:hAnsi="Times New Roman" w:cs="Times New Roman"/>
          <w:sz w:val="20"/>
          <w:szCs w:val="20"/>
        </w:rPr>
      </w:pPr>
    </w:p>
    <w:p w14:paraId="321A3575" w14:textId="2884AFF2" w:rsidR="009C1762" w:rsidRPr="009C1762" w:rsidRDefault="009C1762" w:rsidP="00E0050D">
      <w:pPr>
        <w:spacing w:after="120" w:line="240" w:lineRule="auto"/>
        <w:jc w:val="both"/>
        <w:rPr>
          <w:rFonts w:ascii="Times New Roman" w:hAnsi="Times New Roman" w:cs="Times New Roman"/>
          <w:bCs/>
          <w:sz w:val="24"/>
          <w:szCs w:val="24"/>
        </w:rPr>
      </w:pPr>
      <w:r w:rsidRPr="009C1762">
        <w:rPr>
          <w:rFonts w:ascii="Times New Roman" w:hAnsi="Times New Roman" w:cs="Times New Roman"/>
          <w:bCs/>
          <w:sz w:val="24"/>
          <w:szCs w:val="24"/>
        </w:rPr>
        <w:t>Las muertes han estado especialmente sobrerrepresentadas en el CPF I de Ezeiza durante 2025, donde se registraron doce de las treinta y cinco muertes en el año. Para graficar la gravedad de ese número, la siguiente cárcel federal con mayor cantidad de muertes en el año es el CPF II de Marcos Paz, con tres casos pese a alojar una población similar al CPF I de Ezeiza. Un fenómeno similar se registró en 2024, cuando el CPF I de Ezeiza contabilizó catorce de las cuarenta muertes bajo custodia del SPF, consolidando una tendencia histórica. Entre 2009 y 2025, solo seis cárceles reunieron más de veinte muertes. El CPF I de Ezeiza con 181 casos, el CPF II de Marcos Paz con 120, el CPF CABA (ex U.2 de Villa Devoto) con 71, la U.6 de Rawson con 34, la U.7 de Resistencia con 26 y el CPF III de Gral. Güemes con 21.</w:t>
      </w:r>
      <w:r w:rsidRPr="009C1762">
        <w:rPr>
          <w:rStyle w:val="FootnoteReference"/>
          <w:rFonts w:ascii="Times New Roman" w:hAnsi="Times New Roman" w:cs="Times New Roman"/>
          <w:bCs/>
          <w:sz w:val="24"/>
          <w:szCs w:val="24"/>
        </w:rPr>
        <w:footnoteReference w:id="29"/>
      </w:r>
      <w:r w:rsidRPr="009C1762">
        <w:rPr>
          <w:rFonts w:ascii="Times New Roman" w:hAnsi="Times New Roman" w:cs="Times New Roman"/>
          <w:bCs/>
          <w:sz w:val="24"/>
          <w:szCs w:val="24"/>
        </w:rPr>
        <w:t xml:space="preserve"> </w:t>
      </w:r>
      <w:r w:rsidR="00A94C5B">
        <w:rPr>
          <w:rFonts w:ascii="Times New Roman" w:hAnsi="Times New Roman" w:cs="Times New Roman"/>
          <w:bCs/>
          <w:sz w:val="24"/>
          <w:szCs w:val="24"/>
        </w:rPr>
        <w:t>El elevado número de muertes en el CPF I de Ezeiza probablemente se relaciona con una concentración del alojamiento de personas enfermas en ese complejo para ser atendidas en el hospital penitenciario que existe en su interior. Pero las deficiencias en la atención a la salud que se observan en el SPF desencadena</w:t>
      </w:r>
      <w:r w:rsidR="00116AD3">
        <w:rPr>
          <w:rFonts w:ascii="Times New Roman" w:hAnsi="Times New Roman" w:cs="Times New Roman"/>
          <w:bCs/>
          <w:sz w:val="24"/>
          <w:szCs w:val="24"/>
        </w:rPr>
        <w:t>n</w:t>
      </w:r>
      <w:r w:rsidR="00A94C5B">
        <w:rPr>
          <w:rFonts w:ascii="Times New Roman" w:hAnsi="Times New Roman" w:cs="Times New Roman"/>
          <w:bCs/>
          <w:sz w:val="24"/>
          <w:szCs w:val="24"/>
        </w:rPr>
        <w:t xml:space="preserve"> una elevada cifra de muertes al interior de la prisión. </w:t>
      </w:r>
    </w:p>
    <w:p w14:paraId="32819FF9" w14:textId="15A70D63" w:rsidR="009C1762" w:rsidRPr="009C1762" w:rsidRDefault="009C1762" w:rsidP="00E0050D">
      <w:pPr>
        <w:spacing w:after="120" w:line="240" w:lineRule="auto"/>
        <w:jc w:val="both"/>
        <w:rPr>
          <w:rFonts w:ascii="Times New Roman" w:hAnsi="Times New Roman" w:cs="Times New Roman"/>
          <w:sz w:val="24"/>
          <w:szCs w:val="24"/>
        </w:rPr>
      </w:pPr>
      <w:r w:rsidRPr="009C1762">
        <w:rPr>
          <w:rFonts w:ascii="Times New Roman" w:hAnsi="Times New Roman" w:cs="Times New Roman"/>
          <w:sz w:val="24"/>
          <w:szCs w:val="24"/>
        </w:rPr>
        <w:t>Los registros de muertes bajo custodia del SPF entre 2009 y 2024 que produce la PPN permiten agudizar la mirada sobre quienes son las personas que fallecen. Son principalmente varones (96%), argentinos (86%) y mayores de veinticinco años (89%), una caracterización que refleja en gran medida a las personas detenidas en las cárceles federales del país.</w:t>
      </w:r>
    </w:p>
    <w:p w14:paraId="31E2DE76" w14:textId="0E394484" w:rsidR="009C1762" w:rsidRPr="009C1762" w:rsidRDefault="009C1762" w:rsidP="00E0050D">
      <w:pPr>
        <w:spacing w:after="120" w:line="240" w:lineRule="auto"/>
        <w:jc w:val="both"/>
        <w:rPr>
          <w:rFonts w:ascii="Times New Roman" w:hAnsi="Times New Roman" w:cs="Times New Roman"/>
          <w:sz w:val="24"/>
          <w:szCs w:val="24"/>
        </w:rPr>
      </w:pPr>
      <w:r w:rsidRPr="009C1762">
        <w:rPr>
          <w:rFonts w:ascii="Times New Roman" w:hAnsi="Times New Roman" w:cs="Times New Roman"/>
          <w:sz w:val="24"/>
          <w:szCs w:val="24"/>
        </w:rPr>
        <w:t>Veintisiete mujeres fallecieron entre 2009 y 2024. Alarmantemente, se registraron cuatro muertes de mujeres en los primeros nueve meses del 2025: dos ahorcamientos en los CPF III de Gral. Güemes y CPF VI de Cuyo y dos por enfermedades en CPF IV y CPF VII de Ezeiza.</w:t>
      </w:r>
      <w:r w:rsidR="001D281C" w:rsidRPr="009C1762">
        <w:rPr>
          <w:rFonts w:ascii="Times New Roman" w:hAnsi="Times New Roman" w:cs="Times New Roman"/>
          <w:sz w:val="24"/>
          <w:szCs w:val="24"/>
        </w:rPr>
        <w:t xml:space="preserve"> </w:t>
      </w:r>
    </w:p>
    <w:p w14:paraId="47701332" w14:textId="77777777" w:rsidR="009C1762" w:rsidRPr="009C1762" w:rsidRDefault="009C1762" w:rsidP="00E0050D">
      <w:pPr>
        <w:spacing w:after="120" w:line="240" w:lineRule="auto"/>
        <w:jc w:val="both"/>
        <w:rPr>
          <w:rFonts w:ascii="Times New Roman" w:hAnsi="Times New Roman" w:cs="Times New Roman"/>
          <w:sz w:val="24"/>
          <w:szCs w:val="24"/>
        </w:rPr>
      </w:pPr>
      <w:r w:rsidRPr="009C1762">
        <w:rPr>
          <w:rFonts w:ascii="Times New Roman" w:hAnsi="Times New Roman" w:cs="Times New Roman"/>
          <w:sz w:val="24"/>
          <w:szCs w:val="24"/>
        </w:rPr>
        <w:t>Solo una pequeña porción de fallecidos entre 2009 y 2025 eran menores de veinticinco años (11%), y doce eran jóvenes adultos</w:t>
      </w:r>
      <w:r w:rsidRPr="009C1762">
        <w:rPr>
          <w:rStyle w:val="FootnoteReference"/>
          <w:rFonts w:ascii="Times New Roman" w:hAnsi="Times New Roman" w:cs="Times New Roman"/>
          <w:sz w:val="24"/>
          <w:szCs w:val="24"/>
        </w:rPr>
        <w:footnoteReference w:id="30"/>
      </w:r>
      <w:r w:rsidRPr="009C1762">
        <w:rPr>
          <w:rFonts w:ascii="Times New Roman" w:hAnsi="Times New Roman" w:cs="Times New Roman"/>
          <w:sz w:val="24"/>
          <w:szCs w:val="24"/>
        </w:rPr>
        <w:t xml:space="preserve">. La mayor cantidad de muertes se concentra en las franjas etarias de 25 a 34 años y mayores de 55 años (en ambos casos, el 27% de los fallecimientos en el período). </w:t>
      </w:r>
    </w:p>
    <w:p w14:paraId="319D35F0" w14:textId="77777777" w:rsidR="009C1762" w:rsidRPr="009C1762" w:rsidRDefault="009C1762" w:rsidP="004E2174">
      <w:pPr>
        <w:spacing w:after="120" w:line="240" w:lineRule="auto"/>
        <w:jc w:val="both"/>
        <w:rPr>
          <w:rFonts w:ascii="Times New Roman" w:hAnsi="Times New Roman" w:cs="Times New Roman"/>
          <w:b/>
          <w:bCs/>
          <w:sz w:val="24"/>
          <w:szCs w:val="24"/>
        </w:rPr>
      </w:pPr>
    </w:p>
    <w:p w14:paraId="772B0AAE" w14:textId="183D2A74" w:rsidR="009C1762" w:rsidRPr="009C1762" w:rsidRDefault="009C1762" w:rsidP="004E2174">
      <w:pPr>
        <w:pStyle w:val="Heading2"/>
        <w:spacing w:before="0" w:after="120" w:line="240" w:lineRule="auto"/>
        <w:rPr>
          <w:rStyle w:val="Hyperlink"/>
          <w:rFonts w:ascii="Times New Roman" w:hAnsi="Times New Roman" w:cs="Times New Roman"/>
          <w:b/>
          <w:bCs/>
          <w:noProof/>
          <w:color w:val="auto"/>
          <w:sz w:val="24"/>
          <w:szCs w:val="24"/>
          <w:u w:val="none"/>
        </w:rPr>
      </w:pPr>
      <w:bookmarkStart w:id="14" w:name="_Toc210805571"/>
      <w:r w:rsidRPr="009C1762">
        <w:rPr>
          <w:rStyle w:val="Hyperlink"/>
          <w:rFonts w:ascii="Times New Roman" w:hAnsi="Times New Roman" w:cs="Times New Roman"/>
          <w:b/>
          <w:bCs/>
          <w:noProof/>
          <w:color w:val="auto"/>
          <w:sz w:val="24"/>
          <w:szCs w:val="24"/>
          <w:u w:val="none"/>
        </w:rPr>
        <w:t>4.2. Muertes de personas detenidas por la justicia nacional o federal bajo custodia de fuerzas de seguridad diferentes al Servicio Penitenciario Federal</w:t>
      </w:r>
      <w:bookmarkEnd w:id="14"/>
      <w:r w:rsidRPr="009C1762">
        <w:rPr>
          <w:rStyle w:val="Hyperlink"/>
          <w:rFonts w:ascii="Times New Roman" w:hAnsi="Times New Roman" w:cs="Times New Roman"/>
          <w:b/>
          <w:bCs/>
          <w:noProof/>
          <w:color w:val="auto"/>
          <w:sz w:val="24"/>
          <w:szCs w:val="24"/>
          <w:u w:val="none"/>
        </w:rPr>
        <w:t xml:space="preserve"> </w:t>
      </w:r>
    </w:p>
    <w:p w14:paraId="4945B4E3" w14:textId="77777777" w:rsidR="009C1762" w:rsidRPr="009C1762" w:rsidRDefault="009C1762" w:rsidP="00E0050D">
      <w:pPr>
        <w:spacing w:after="120" w:line="240" w:lineRule="auto"/>
        <w:jc w:val="both"/>
        <w:rPr>
          <w:rFonts w:ascii="Times New Roman" w:hAnsi="Times New Roman" w:cs="Times New Roman"/>
          <w:sz w:val="24"/>
          <w:szCs w:val="24"/>
          <w:lang w:val="es-ES"/>
        </w:rPr>
      </w:pPr>
      <w:r w:rsidRPr="009C1762">
        <w:rPr>
          <w:rFonts w:ascii="Times New Roman" w:hAnsi="Times New Roman" w:cs="Times New Roman"/>
          <w:sz w:val="24"/>
          <w:szCs w:val="24"/>
          <w:lang w:val="es-ES"/>
        </w:rPr>
        <w:t>Entre 2022 y 2025 la Procuración Penitenciaria ha registrado que al menos treinta y cuatro personas presas por causas nacionales o federales han muerto en dependencias de instituciones locales, provinciales o federales diferentes al Servicio Penitenciario Federal.</w:t>
      </w:r>
    </w:p>
    <w:p w14:paraId="12395617" w14:textId="77777777" w:rsidR="009C1762" w:rsidRPr="009C1762" w:rsidRDefault="009C1762" w:rsidP="00E0050D">
      <w:pPr>
        <w:spacing w:after="120" w:line="240" w:lineRule="auto"/>
        <w:jc w:val="both"/>
        <w:rPr>
          <w:rFonts w:ascii="Times New Roman" w:hAnsi="Times New Roman" w:cs="Times New Roman"/>
          <w:sz w:val="24"/>
          <w:szCs w:val="24"/>
          <w:lang w:val="es-ES"/>
        </w:rPr>
      </w:pPr>
      <w:r w:rsidRPr="009C1762">
        <w:rPr>
          <w:rFonts w:ascii="Times New Roman" w:hAnsi="Times New Roman" w:cs="Times New Roman"/>
          <w:sz w:val="24"/>
          <w:szCs w:val="24"/>
          <w:lang w:val="es-ES"/>
        </w:rPr>
        <w:t xml:space="preserve">Dentro de este universo de casos, las muertes bajo custodia de la Policía de la Ciudad de Buenos Aires resultan especialmente preocupantes. Como hemos adelantado, las detenciones en sus comisarías y alcaidías se incrementaron y prolongaron a partir de la pandemia y continúan creciendo sin pausa. Desde el inicio de la pandemia hasta septiembre de 2025 se produjeron al menos dieciséis fallecimientos de detenidos bajo su custodia: once muertes por enfermedad, cuatro muertes por ahorcamiento y una por heridas de arma blanca. Las investigaciones administrativas desplegadas por la Procuración Penitenciaria conectan estas muertes con los déficits en la gestión, la atención a la salud y a la salud mental de esos espacios de encierro. </w:t>
      </w:r>
    </w:p>
    <w:p w14:paraId="3CA859DE" w14:textId="77777777" w:rsidR="009C1762" w:rsidRPr="009C1762" w:rsidRDefault="009C1762" w:rsidP="004E2174">
      <w:pPr>
        <w:spacing w:after="120" w:line="240" w:lineRule="auto"/>
        <w:ind w:firstLine="708"/>
        <w:jc w:val="both"/>
        <w:rPr>
          <w:rFonts w:ascii="Times New Roman" w:hAnsi="Times New Roman" w:cs="Times New Roman"/>
          <w:sz w:val="24"/>
          <w:szCs w:val="24"/>
          <w:lang w:val="es-ES"/>
        </w:rPr>
      </w:pPr>
    </w:p>
    <w:p w14:paraId="218C6541" w14:textId="2E715E5D" w:rsidR="009C1762" w:rsidRPr="009C1762" w:rsidRDefault="009C1762" w:rsidP="004E2174">
      <w:pPr>
        <w:pStyle w:val="Heading2"/>
        <w:spacing w:before="0" w:after="120" w:line="240" w:lineRule="auto"/>
        <w:rPr>
          <w:rStyle w:val="Hyperlink"/>
          <w:rFonts w:ascii="Times New Roman" w:hAnsi="Times New Roman" w:cs="Times New Roman"/>
          <w:b/>
          <w:bCs/>
          <w:noProof/>
          <w:color w:val="auto"/>
          <w:sz w:val="24"/>
          <w:szCs w:val="24"/>
          <w:u w:val="none"/>
        </w:rPr>
      </w:pPr>
      <w:bookmarkStart w:id="15" w:name="_Toc210805572"/>
      <w:r w:rsidRPr="009C1762">
        <w:rPr>
          <w:rStyle w:val="Hyperlink"/>
          <w:rFonts w:ascii="Times New Roman" w:hAnsi="Times New Roman" w:cs="Times New Roman"/>
          <w:b/>
          <w:bCs/>
          <w:noProof/>
          <w:color w:val="auto"/>
          <w:sz w:val="24"/>
          <w:szCs w:val="24"/>
          <w:u w:val="none"/>
        </w:rPr>
        <w:t>4.3. La respuesta judicial frente a las muertes bajo custodia</w:t>
      </w:r>
      <w:bookmarkEnd w:id="15"/>
      <w:r w:rsidRPr="009C1762">
        <w:rPr>
          <w:rStyle w:val="Hyperlink"/>
          <w:rFonts w:ascii="Times New Roman" w:hAnsi="Times New Roman" w:cs="Times New Roman"/>
          <w:b/>
          <w:bCs/>
          <w:noProof/>
          <w:color w:val="auto"/>
          <w:sz w:val="24"/>
          <w:szCs w:val="24"/>
          <w:u w:val="none"/>
        </w:rPr>
        <w:t xml:space="preserve"> </w:t>
      </w:r>
    </w:p>
    <w:p w14:paraId="22152CA8" w14:textId="51412B71" w:rsidR="009C1762" w:rsidRPr="009C1762" w:rsidRDefault="009C1762" w:rsidP="004E2174">
      <w:pPr>
        <w:spacing w:after="120" w:line="240" w:lineRule="auto"/>
        <w:jc w:val="both"/>
        <w:rPr>
          <w:rFonts w:ascii="Times New Roman" w:eastAsia="Yu Mincho" w:hAnsi="Times New Roman" w:cs="Times New Roman"/>
          <w:sz w:val="24"/>
          <w:szCs w:val="24"/>
          <w:lang w:val="es-ES"/>
        </w:rPr>
      </w:pPr>
      <w:r w:rsidRPr="009C1762">
        <w:rPr>
          <w:rFonts w:ascii="Times New Roman" w:eastAsia="Yu Mincho" w:hAnsi="Times New Roman" w:cs="Times New Roman"/>
          <w:sz w:val="24"/>
          <w:szCs w:val="24"/>
          <w:lang w:val="es-ES"/>
        </w:rPr>
        <w:t>Las investigaciones judiciales iniciadas ante muertes bajo custodia del Servicio Penitenciario Federal solo excepcionalmente cumplen los requisitos de prontitud, eficacia, exhaustividad, independencia, imparcialidad y transparencia que se desprenden del Protocolo de Minnesota.</w:t>
      </w:r>
    </w:p>
    <w:p w14:paraId="215EEBCB" w14:textId="4C2C7DEB" w:rsidR="009C1762" w:rsidRPr="009C1762" w:rsidRDefault="009C1762" w:rsidP="004E2174">
      <w:pPr>
        <w:spacing w:after="120" w:line="240" w:lineRule="auto"/>
        <w:jc w:val="both"/>
        <w:rPr>
          <w:rFonts w:ascii="Times New Roman" w:eastAsia="Yu Mincho" w:hAnsi="Times New Roman" w:cs="Times New Roman"/>
          <w:sz w:val="24"/>
          <w:szCs w:val="24"/>
        </w:rPr>
      </w:pPr>
      <w:r w:rsidRPr="009C1762">
        <w:rPr>
          <w:rFonts w:ascii="Times New Roman" w:eastAsia="Yu Mincho" w:hAnsi="Times New Roman" w:cs="Times New Roman"/>
          <w:sz w:val="24"/>
          <w:szCs w:val="24"/>
          <w:lang w:val="es-ES"/>
        </w:rPr>
        <w:t xml:space="preserve"> </w:t>
      </w:r>
      <w:r w:rsidRPr="009C1762">
        <w:rPr>
          <w:rFonts w:ascii="Times New Roman" w:eastAsia="Yu Mincho" w:hAnsi="Times New Roman" w:cs="Times New Roman"/>
          <w:sz w:val="24"/>
          <w:szCs w:val="24"/>
        </w:rPr>
        <w:t>De las 684 muertes bajo custodia del Servicio Penitenciario Federal ocurridas entre 2009 y 2024, en 560 se ha iniciado una investigación judicial destinada a corroborar las causas y circunstancias de la muerte y revertir la presunción general de responsabilidad estatal</w:t>
      </w:r>
      <w:r w:rsidRPr="009C1762">
        <w:rPr>
          <w:rStyle w:val="FootnoteReference"/>
          <w:rFonts w:ascii="Times New Roman" w:eastAsia="Yu Mincho" w:hAnsi="Times New Roman" w:cs="Times New Roman"/>
          <w:sz w:val="24"/>
          <w:szCs w:val="24"/>
        </w:rPr>
        <w:footnoteReference w:id="31"/>
      </w:r>
      <w:r w:rsidRPr="009C1762">
        <w:rPr>
          <w:rFonts w:ascii="Times New Roman" w:eastAsia="Yu Mincho" w:hAnsi="Times New Roman" w:cs="Times New Roman"/>
          <w:sz w:val="24"/>
          <w:szCs w:val="24"/>
        </w:rPr>
        <w:t xml:space="preserve">. 292 de estas investigaciones han sido archivadas por el paso del tiempo (52% de las causas), otras 141 permanecen abiertas sin imputaciones (25%) y en 62 se ha avanzado exclusivamente contra terceros ajenos a la agencia penitenciaria, principalmente otros detenidos acusados de haber agredido a la persona fallecida (11%). </w:t>
      </w:r>
    </w:p>
    <w:p w14:paraId="51889E84" w14:textId="61E7817A" w:rsidR="009C1762" w:rsidRPr="009C1762" w:rsidRDefault="009C1762" w:rsidP="004E2174">
      <w:pPr>
        <w:spacing w:after="120" w:line="240" w:lineRule="auto"/>
        <w:jc w:val="both"/>
        <w:rPr>
          <w:rFonts w:ascii="Times New Roman" w:eastAsia="Yu Mincho" w:hAnsi="Times New Roman" w:cs="Times New Roman"/>
          <w:sz w:val="24"/>
          <w:szCs w:val="24"/>
        </w:rPr>
      </w:pPr>
      <w:r w:rsidRPr="009C1762">
        <w:rPr>
          <w:rFonts w:ascii="Times New Roman" w:eastAsia="Yu Mincho" w:hAnsi="Times New Roman" w:cs="Times New Roman"/>
          <w:sz w:val="24"/>
          <w:szCs w:val="24"/>
        </w:rPr>
        <w:t>En las restantes 46 causas se registran imputaciones concretas contra agentes penitenciarios, el 8% de las investigaciones iniciadas en el período 2009- 2024. En once causas se ha llamado a declaración indagatoria pero no se ha resuelto aún la situación procesal de los imputados. En otras veinte se los ha sobreseído definitivamente. Existen seis investigaciones donde los agentes penitenciarios han sido procesados pero aún no se ha decidido su elevación a juicio. En otras seis ocasiones, la causa se encuentra en el tribunal oral a la espera de la fijación de fecha para el debate pese al paso de los años. En las dos restantes se ha arribado a una sentencia, condenatoria en una ocasión y absolutoria en la otra.</w:t>
      </w:r>
      <w:r w:rsidR="008770AA">
        <w:rPr>
          <w:rFonts w:ascii="Times New Roman" w:eastAsia="Yu Mincho" w:hAnsi="Times New Roman" w:cs="Times New Roman"/>
          <w:sz w:val="24"/>
          <w:szCs w:val="24"/>
        </w:rPr>
        <w:t xml:space="preserve"> De estas catorce c</w:t>
      </w:r>
      <w:r w:rsidR="009C3A51">
        <w:rPr>
          <w:rFonts w:ascii="Times New Roman" w:eastAsia="Yu Mincho" w:hAnsi="Times New Roman" w:cs="Times New Roman"/>
          <w:sz w:val="24"/>
          <w:szCs w:val="24"/>
        </w:rPr>
        <w:t>a</w:t>
      </w:r>
      <w:r w:rsidR="008770AA">
        <w:rPr>
          <w:rFonts w:ascii="Times New Roman" w:eastAsia="Yu Mincho" w:hAnsi="Times New Roman" w:cs="Times New Roman"/>
          <w:sz w:val="24"/>
          <w:szCs w:val="24"/>
        </w:rPr>
        <w:t>usas con avances relevantes, doce han contado con el impulso de la familia o un organismo de control constituido como parte querellante. En nueve ocasiones ese rol ha sido desplegado por la Procuración Penitenciaria.</w:t>
      </w:r>
      <w:r w:rsidRPr="009C1762">
        <w:rPr>
          <w:rStyle w:val="FootnoteReference"/>
          <w:rFonts w:ascii="Times New Roman" w:eastAsia="Yu Mincho" w:hAnsi="Times New Roman" w:cs="Times New Roman"/>
          <w:sz w:val="24"/>
          <w:szCs w:val="24"/>
        </w:rPr>
        <w:footnoteReference w:id="32"/>
      </w:r>
      <w:r w:rsidRPr="009C1762">
        <w:rPr>
          <w:rFonts w:ascii="Times New Roman" w:eastAsia="Yu Mincho" w:hAnsi="Times New Roman" w:cs="Times New Roman"/>
          <w:sz w:val="24"/>
          <w:szCs w:val="24"/>
        </w:rPr>
        <w:t xml:space="preserve"> </w:t>
      </w:r>
    </w:p>
    <w:p w14:paraId="01360AA5" w14:textId="2EEE811D" w:rsidR="009C1762" w:rsidRPr="001D281C" w:rsidRDefault="009C1762" w:rsidP="004E2174">
      <w:pPr>
        <w:spacing w:after="120" w:line="240" w:lineRule="auto"/>
        <w:jc w:val="center"/>
        <w:rPr>
          <w:rFonts w:ascii="Times New Roman" w:eastAsia="Yu Mincho" w:hAnsi="Times New Roman" w:cs="Times New Roman"/>
          <w:b/>
          <w:bCs/>
          <w:lang w:val="es-ES"/>
        </w:rPr>
      </w:pPr>
      <w:r w:rsidRPr="001D281C">
        <w:rPr>
          <w:rFonts w:ascii="Times New Roman" w:eastAsia="Yu Mincho" w:hAnsi="Times New Roman" w:cs="Times New Roman"/>
          <w:b/>
          <w:bCs/>
          <w:lang w:val="es-ES"/>
        </w:rPr>
        <w:t>Estado de las causas judiciales en trámite por muertes bajo custodia del Servicio Penitenciario Federal en el periodo 2009-2024</w:t>
      </w:r>
    </w:p>
    <w:p w14:paraId="11430382" w14:textId="77777777" w:rsidR="009C1762" w:rsidRPr="009C1762" w:rsidRDefault="009C1762" w:rsidP="004E2174">
      <w:pPr>
        <w:spacing w:after="120" w:line="240" w:lineRule="auto"/>
        <w:jc w:val="center"/>
        <w:rPr>
          <w:rFonts w:ascii="Times New Roman" w:eastAsia="Yu Mincho" w:hAnsi="Times New Roman" w:cs="Times New Roman"/>
          <w:sz w:val="24"/>
          <w:szCs w:val="24"/>
          <w:lang w:val="es-ES"/>
        </w:rPr>
      </w:pPr>
      <w:r w:rsidRPr="009C1762">
        <w:rPr>
          <w:rFonts w:ascii="Times New Roman" w:eastAsia="Yu Mincho" w:hAnsi="Times New Roman" w:cs="Times New Roman"/>
          <w:noProof/>
          <w:sz w:val="24"/>
          <w:szCs w:val="24"/>
          <w:lang w:eastAsia="es-AR"/>
        </w:rPr>
        <w:drawing>
          <wp:inline distT="0" distB="0" distL="0" distR="0" wp14:anchorId="0534D2E2" wp14:editId="71D26B07">
            <wp:extent cx="4514850" cy="2838450"/>
            <wp:effectExtent l="0" t="0" r="0" b="0"/>
            <wp:docPr id="42827874"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2EA421B" w14:textId="42507691" w:rsidR="009C1762" w:rsidRPr="001D281C" w:rsidRDefault="001D281C" w:rsidP="00E0050D">
      <w:pPr>
        <w:spacing w:after="120" w:line="240" w:lineRule="auto"/>
        <w:ind w:firstLine="708"/>
        <w:jc w:val="both"/>
        <w:rPr>
          <w:rFonts w:ascii="Times New Roman" w:eastAsia="Yu Mincho" w:hAnsi="Times New Roman" w:cs="Times New Roman"/>
          <w:sz w:val="24"/>
          <w:szCs w:val="24"/>
        </w:rPr>
      </w:pPr>
      <w:r w:rsidRPr="001D281C">
        <w:rPr>
          <w:rFonts w:ascii="Times New Roman" w:hAnsi="Times New Roman" w:cs="Times New Roman"/>
          <w:sz w:val="20"/>
          <w:szCs w:val="20"/>
        </w:rPr>
        <w:t>Fuente: Base</w:t>
      </w:r>
      <w:r w:rsidRPr="001D281C">
        <w:rPr>
          <w:rFonts w:ascii="Times New Roman" w:eastAsia="Yu Mincho" w:hAnsi="Times New Roman" w:cs="Times New Roman"/>
          <w:i/>
          <w:iCs/>
          <w:sz w:val="20"/>
          <w:szCs w:val="20"/>
          <w:lang w:val="es-ES"/>
        </w:rPr>
        <w:t xml:space="preserve"> </w:t>
      </w:r>
      <w:r w:rsidRPr="001D281C">
        <w:rPr>
          <w:rFonts w:ascii="Times New Roman" w:eastAsia="Yu Mincho" w:hAnsi="Times New Roman" w:cs="Times New Roman"/>
          <w:sz w:val="20"/>
          <w:szCs w:val="20"/>
          <w:lang w:val="es-ES"/>
        </w:rPr>
        <w:t>de Respuesta Judicial ante Muertes bajo Custodia-PPN</w:t>
      </w:r>
    </w:p>
    <w:p w14:paraId="2EE974F4" w14:textId="77777777" w:rsidR="009C3A51" w:rsidRDefault="009C3A51" w:rsidP="004E2174">
      <w:pPr>
        <w:spacing w:after="120" w:line="240" w:lineRule="auto"/>
        <w:ind w:firstLine="720"/>
        <w:jc w:val="both"/>
        <w:rPr>
          <w:rFonts w:ascii="Times New Roman" w:eastAsia="Yu Mincho" w:hAnsi="Times New Roman" w:cs="Times New Roman"/>
          <w:sz w:val="24"/>
          <w:szCs w:val="24"/>
          <w:lang w:val="es-ES"/>
        </w:rPr>
      </w:pPr>
    </w:p>
    <w:p w14:paraId="7FF6EDC5" w14:textId="09D441B5" w:rsidR="009C1762" w:rsidRPr="009C1762" w:rsidRDefault="009C1762" w:rsidP="004E2174">
      <w:pPr>
        <w:spacing w:after="120" w:line="240" w:lineRule="auto"/>
        <w:ind w:firstLine="720"/>
        <w:jc w:val="both"/>
        <w:rPr>
          <w:rFonts w:ascii="Times New Roman" w:eastAsia="Yu Mincho" w:hAnsi="Times New Roman" w:cs="Times New Roman"/>
          <w:sz w:val="24"/>
          <w:szCs w:val="24"/>
          <w:lang w:val="es-ES"/>
        </w:rPr>
      </w:pPr>
      <w:r w:rsidRPr="009C1762">
        <w:rPr>
          <w:rFonts w:ascii="Times New Roman" w:eastAsia="Yu Mincho" w:hAnsi="Times New Roman" w:cs="Times New Roman"/>
          <w:sz w:val="24"/>
          <w:szCs w:val="24"/>
          <w:lang w:val="es-ES"/>
        </w:rPr>
        <w:t xml:space="preserve">El trabajo acumulado por este organismo permite concluir que la respuesta judicial mayoritaria frente a las muertes bajo custodia es fuertemente ineficaz, caracterizada por muertes que no son siquiera investigadas y otras donde el desarrollo de la causa es sumamente superficial. El puñado de investigaciones que han logrado identificar responsabilidades de funcionarios públicos y avanzar en sus procesamientos, elevaciones a juicio y hasta condenas pone en crisis que el manto de impunidad que pesa sobre las muertes bajo custodia sea inevitable. </w:t>
      </w:r>
    </w:p>
    <w:p w14:paraId="3F0C8C90" w14:textId="77777777" w:rsidR="009C1762" w:rsidRPr="009C1762" w:rsidRDefault="009C1762" w:rsidP="004E2174">
      <w:pPr>
        <w:spacing w:after="120" w:line="240" w:lineRule="auto"/>
        <w:jc w:val="both"/>
        <w:rPr>
          <w:rFonts w:ascii="Times New Roman" w:eastAsia="Yu Mincho" w:hAnsi="Times New Roman" w:cs="Times New Roman"/>
          <w:sz w:val="24"/>
          <w:szCs w:val="24"/>
          <w:lang w:val="es-ES"/>
        </w:rPr>
      </w:pPr>
      <w:r w:rsidRPr="009C1762">
        <w:rPr>
          <w:rFonts w:ascii="Times New Roman" w:eastAsia="Yu Mincho" w:hAnsi="Times New Roman" w:cs="Times New Roman"/>
          <w:sz w:val="24"/>
          <w:szCs w:val="24"/>
          <w:lang w:val="es-ES"/>
        </w:rPr>
        <w:tab/>
        <w:t>Por esa razón, nos interesa señalar un conjunto de buenas prácticas judiciales identificadas por la PPN que, de protocolizarse y cumplirse, nos alejarían de los elevados niveles de impunidad.</w:t>
      </w:r>
    </w:p>
    <w:p w14:paraId="5F793CAA" w14:textId="77777777" w:rsidR="009C1762" w:rsidRPr="009C1762" w:rsidRDefault="009C1762" w:rsidP="004E2174">
      <w:pPr>
        <w:pStyle w:val="ListParagraph"/>
        <w:numPr>
          <w:ilvl w:val="0"/>
          <w:numId w:val="8"/>
        </w:numPr>
        <w:spacing w:after="120" w:line="240" w:lineRule="auto"/>
        <w:jc w:val="both"/>
        <w:rPr>
          <w:rFonts w:ascii="Times New Roman" w:eastAsia="Yu Mincho" w:hAnsi="Times New Roman" w:cs="Times New Roman"/>
          <w:sz w:val="24"/>
          <w:szCs w:val="24"/>
          <w:lang w:val="es-ES"/>
        </w:rPr>
      </w:pPr>
      <w:r w:rsidRPr="009C1762">
        <w:rPr>
          <w:rFonts w:ascii="Times New Roman" w:eastAsia="Yu Mincho" w:hAnsi="Times New Roman" w:cs="Times New Roman"/>
          <w:sz w:val="24"/>
          <w:szCs w:val="24"/>
          <w:lang w:val="es-ES"/>
        </w:rPr>
        <w:t>Inicio de oficio de investigación ante toda muerte bajo custodia para evitar dilaciones;</w:t>
      </w:r>
    </w:p>
    <w:p w14:paraId="4919231E" w14:textId="77777777" w:rsidR="009C1762" w:rsidRPr="009C1762" w:rsidRDefault="009C1762" w:rsidP="004E2174">
      <w:pPr>
        <w:pStyle w:val="ListParagraph"/>
        <w:numPr>
          <w:ilvl w:val="0"/>
          <w:numId w:val="8"/>
        </w:numPr>
        <w:spacing w:after="120" w:line="240" w:lineRule="auto"/>
        <w:jc w:val="both"/>
        <w:rPr>
          <w:rFonts w:ascii="Times New Roman" w:eastAsia="Yu Mincho" w:hAnsi="Times New Roman" w:cs="Times New Roman"/>
          <w:sz w:val="24"/>
          <w:szCs w:val="24"/>
        </w:rPr>
      </w:pPr>
      <w:r w:rsidRPr="009C1762">
        <w:rPr>
          <w:rFonts w:ascii="Times New Roman" w:eastAsia="Yu Mincho" w:hAnsi="Times New Roman" w:cs="Times New Roman"/>
          <w:sz w:val="24"/>
          <w:szCs w:val="24"/>
        </w:rPr>
        <w:t>Evitar encomendar las primeras medidas de prueba en fuerzas de seguridad, a través de la presencia inmediata en el establecimiento de los funcionarios del ministerio público o juzgado interviniente, resguardando el lugar de la muerte y las medidas de prueba fundamentales, como las grabaciones;</w:t>
      </w:r>
    </w:p>
    <w:p w14:paraId="64651C2C" w14:textId="77777777" w:rsidR="009C1762" w:rsidRPr="009C1762" w:rsidRDefault="009C1762" w:rsidP="004E2174">
      <w:pPr>
        <w:pStyle w:val="ListParagraph"/>
        <w:numPr>
          <w:ilvl w:val="0"/>
          <w:numId w:val="8"/>
        </w:numPr>
        <w:spacing w:after="120" w:line="240" w:lineRule="auto"/>
        <w:jc w:val="both"/>
        <w:rPr>
          <w:rFonts w:ascii="Times New Roman" w:eastAsia="Yu Mincho" w:hAnsi="Times New Roman" w:cs="Times New Roman"/>
          <w:sz w:val="24"/>
          <w:szCs w:val="24"/>
        </w:rPr>
      </w:pPr>
      <w:r w:rsidRPr="009C1762">
        <w:rPr>
          <w:rFonts w:ascii="Times New Roman" w:eastAsia="Yu Mincho" w:hAnsi="Times New Roman" w:cs="Times New Roman"/>
          <w:sz w:val="24"/>
          <w:szCs w:val="24"/>
        </w:rPr>
        <w:t>Recepción de declaraciones testimoniales como atribución exclusiva del ministerio público y agencia judicial;</w:t>
      </w:r>
    </w:p>
    <w:p w14:paraId="15F6C1DE" w14:textId="77777777" w:rsidR="009C1762" w:rsidRPr="009C1762" w:rsidRDefault="009C1762" w:rsidP="004E2174">
      <w:pPr>
        <w:pStyle w:val="ListParagraph"/>
        <w:numPr>
          <w:ilvl w:val="0"/>
          <w:numId w:val="8"/>
        </w:numPr>
        <w:spacing w:after="120" w:line="240" w:lineRule="auto"/>
        <w:jc w:val="both"/>
        <w:rPr>
          <w:rFonts w:ascii="Times New Roman" w:eastAsia="Yu Mincho" w:hAnsi="Times New Roman" w:cs="Times New Roman"/>
          <w:sz w:val="24"/>
          <w:szCs w:val="24"/>
        </w:rPr>
      </w:pPr>
      <w:r w:rsidRPr="009C1762">
        <w:rPr>
          <w:rFonts w:ascii="Times New Roman" w:eastAsia="Yu Mincho" w:hAnsi="Times New Roman" w:cs="Times New Roman"/>
          <w:sz w:val="24"/>
          <w:szCs w:val="24"/>
        </w:rPr>
        <w:t>Fortalecimiento de equipos de peritos en el Ministerio Público Fiscal;</w:t>
      </w:r>
    </w:p>
    <w:p w14:paraId="36781B1F" w14:textId="77777777" w:rsidR="009C1762" w:rsidRPr="009C1762" w:rsidRDefault="009C1762" w:rsidP="004E2174">
      <w:pPr>
        <w:pStyle w:val="ListParagraph"/>
        <w:numPr>
          <w:ilvl w:val="0"/>
          <w:numId w:val="8"/>
        </w:numPr>
        <w:spacing w:after="120" w:line="240" w:lineRule="auto"/>
        <w:jc w:val="both"/>
        <w:rPr>
          <w:rFonts w:ascii="Times New Roman" w:eastAsia="Yu Mincho" w:hAnsi="Times New Roman" w:cs="Times New Roman"/>
          <w:sz w:val="24"/>
          <w:szCs w:val="24"/>
        </w:rPr>
      </w:pPr>
      <w:r w:rsidRPr="009C1762">
        <w:rPr>
          <w:rFonts w:ascii="Times New Roman" w:eastAsia="Yu Mincho" w:hAnsi="Times New Roman" w:cs="Times New Roman"/>
          <w:sz w:val="24"/>
          <w:szCs w:val="24"/>
        </w:rPr>
        <w:t>Fortalecimiento de Cuerpos Médicos Forenses en todas las provincias (o regionalmente) y aplicación irrestricta del Protocolo de Minnesota;</w:t>
      </w:r>
    </w:p>
    <w:p w14:paraId="38B533F4" w14:textId="77777777" w:rsidR="009C1762" w:rsidRPr="009C1762" w:rsidRDefault="009C1762" w:rsidP="004E2174">
      <w:pPr>
        <w:pStyle w:val="ListParagraph"/>
        <w:numPr>
          <w:ilvl w:val="0"/>
          <w:numId w:val="8"/>
        </w:numPr>
        <w:spacing w:after="120" w:line="240" w:lineRule="auto"/>
        <w:jc w:val="both"/>
        <w:rPr>
          <w:rFonts w:ascii="Times New Roman" w:eastAsia="Yu Mincho" w:hAnsi="Times New Roman" w:cs="Times New Roman"/>
          <w:sz w:val="24"/>
          <w:szCs w:val="24"/>
        </w:rPr>
      </w:pPr>
      <w:r w:rsidRPr="009C1762">
        <w:rPr>
          <w:rFonts w:ascii="Times New Roman" w:eastAsia="Yu Mincho" w:hAnsi="Times New Roman" w:cs="Times New Roman"/>
          <w:sz w:val="24"/>
          <w:szCs w:val="24"/>
        </w:rPr>
        <w:t>Garantizar intercambios entre los peritos forenses y peritos criminalísticos que permitan construir una teoría del caso sostenida en toda la prueba disponible;</w:t>
      </w:r>
    </w:p>
    <w:p w14:paraId="1A96DA41" w14:textId="3326D801" w:rsidR="009C1762" w:rsidRPr="009C1762" w:rsidRDefault="009C1762" w:rsidP="004E2174">
      <w:pPr>
        <w:pStyle w:val="ListParagraph"/>
        <w:numPr>
          <w:ilvl w:val="0"/>
          <w:numId w:val="8"/>
        </w:numPr>
        <w:spacing w:after="120" w:line="240" w:lineRule="auto"/>
        <w:jc w:val="both"/>
        <w:rPr>
          <w:rFonts w:ascii="Times New Roman" w:eastAsia="Yu Mincho" w:hAnsi="Times New Roman" w:cs="Times New Roman"/>
          <w:sz w:val="24"/>
          <w:szCs w:val="24"/>
        </w:rPr>
      </w:pPr>
      <w:r w:rsidRPr="009C1762">
        <w:rPr>
          <w:rFonts w:ascii="Times New Roman" w:eastAsia="Yu Mincho" w:hAnsi="Times New Roman" w:cs="Times New Roman"/>
          <w:sz w:val="24"/>
          <w:szCs w:val="24"/>
        </w:rPr>
        <w:t>La generación de protocolos estandarizados de actuación ante casos de muertes bajo custodia, de cumplimiento obligatorio por t</w:t>
      </w:r>
      <w:r w:rsidR="00DE2607">
        <w:rPr>
          <w:rFonts w:ascii="Times New Roman" w:eastAsia="Yu Mincho" w:hAnsi="Times New Roman" w:cs="Times New Roman"/>
          <w:sz w:val="24"/>
          <w:szCs w:val="24"/>
        </w:rPr>
        <w:t xml:space="preserve">odos los agentes del ministerio </w:t>
      </w:r>
      <w:r w:rsidRPr="009C1762">
        <w:rPr>
          <w:rFonts w:ascii="Times New Roman" w:eastAsia="Yu Mincho" w:hAnsi="Times New Roman" w:cs="Times New Roman"/>
          <w:sz w:val="24"/>
          <w:szCs w:val="24"/>
        </w:rPr>
        <w:t>público fiscal y judiciales.</w:t>
      </w:r>
    </w:p>
    <w:p w14:paraId="7C65471D" w14:textId="397E7DE3" w:rsidR="00597B52" w:rsidRPr="009C1762" w:rsidRDefault="00597B52" w:rsidP="004E2174">
      <w:pPr>
        <w:spacing w:after="120" w:line="240" w:lineRule="auto"/>
        <w:rPr>
          <w:rFonts w:ascii="Times New Roman" w:hAnsi="Times New Roman" w:cs="Times New Roman"/>
          <w:noProof/>
          <w:color w:val="EE0000"/>
          <w:sz w:val="24"/>
          <w:szCs w:val="24"/>
        </w:rPr>
      </w:pPr>
    </w:p>
    <w:p w14:paraId="54662E27" w14:textId="279500AA" w:rsidR="00597B52" w:rsidRPr="00AA06E1" w:rsidRDefault="00F038BC" w:rsidP="004E2174">
      <w:pPr>
        <w:pStyle w:val="Heading1"/>
        <w:spacing w:before="0" w:after="120" w:line="240" w:lineRule="auto"/>
        <w:rPr>
          <w:rFonts w:ascii="Times New Roman" w:hAnsi="Times New Roman" w:cs="Times New Roman"/>
          <w:b/>
          <w:bCs/>
          <w:noProof/>
          <w:sz w:val="24"/>
          <w:szCs w:val="24"/>
          <w:lang w:val="pt-BR"/>
        </w:rPr>
      </w:pPr>
      <w:bookmarkStart w:id="16" w:name="_Toc210805573"/>
      <w:r w:rsidRPr="00AA06E1">
        <w:rPr>
          <w:rStyle w:val="Hyperlink"/>
          <w:rFonts w:ascii="Times New Roman" w:hAnsi="Times New Roman" w:cs="Times New Roman"/>
          <w:b/>
          <w:bCs/>
          <w:noProof/>
          <w:color w:val="auto"/>
          <w:sz w:val="24"/>
          <w:szCs w:val="24"/>
          <w:u w:val="none"/>
          <w:lang w:val="pt-BR"/>
        </w:rPr>
        <w:t>5</w:t>
      </w:r>
      <w:r w:rsidR="00597B52" w:rsidRPr="00AA06E1">
        <w:rPr>
          <w:rStyle w:val="Hyperlink"/>
          <w:rFonts w:ascii="Times New Roman" w:hAnsi="Times New Roman" w:cs="Times New Roman"/>
          <w:b/>
          <w:bCs/>
          <w:noProof/>
          <w:color w:val="auto"/>
          <w:sz w:val="24"/>
          <w:szCs w:val="24"/>
          <w:u w:val="none"/>
          <w:lang w:val="pt-BR"/>
        </w:rPr>
        <w:t>. OTROS TRATOS O PENAS CRUELES, INHUMANOS O DEGRADANTES</w:t>
      </w:r>
      <w:bookmarkEnd w:id="16"/>
      <w:r w:rsidR="00597B52" w:rsidRPr="00AA06E1">
        <w:rPr>
          <w:rFonts w:ascii="Times New Roman" w:hAnsi="Times New Roman" w:cs="Times New Roman"/>
          <w:b/>
          <w:bCs/>
          <w:noProof/>
          <w:webHidden/>
          <w:sz w:val="24"/>
          <w:szCs w:val="24"/>
          <w:lang w:val="pt-BR"/>
        </w:rPr>
        <w:tab/>
      </w:r>
    </w:p>
    <w:p w14:paraId="6F056981" w14:textId="01C9EF6F" w:rsidR="00597B52" w:rsidRDefault="00F038BC" w:rsidP="004E2174">
      <w:pPr>
        <w:pStyle w:val="Heading2"/>
        <w:spacing w:before="0" w:after="120" w:line="240" w:lineRule="auto"/>
        <w:rPr>
          <w:rFonts w:ascii="Times New Roman" w:hAnsi="Times New Roman" w:cs="Times New Roman"/>
          <w:b/>
          <w:bCs/>
          <w:noProof/>
          <w:webHidden/>
          <w:sz w:val="24"/>
          <w:szCs w:val="24"/>
        </w:rPr>
      </w:pPr>
      <w:bookmarkStart w:id="17" w:name="_Toc210805574"/>
      <w:r w:rsidRPr="00921E1E">
        <w:rPr>
          <w:rStyle w:val="Hyperlink"/>
          <w:rFonts w:ascii="Times New Roman" w:hAnsi="Times New Roman" w:cs="Times New Roman"/>
          <w:b/>
          <w:bCs/>
          <w:noProof/>
          <w:color w:val="auto"/>
          <w:sz w:val="24"/>
          <w:szCs w:val="24"/>
          <w:u w:val="none"/>
        </w:rPr>
        <w:t>5</w:t>
      </w:r>
      <w:r w:rsidR="00597B52" w:rsidRPr="00921E1E">
        <w:rPr>
          <w:rStyle w:val="Hyperlink"/>
          <w:rFonts w:ascii="Times New Roman" w:hAnsi="Times New Roman" w:cs="Times New Roman"/>
          <w:b/>
          <w:bCs/>
          <w:noProof/>
          <w:color w:val="auto"/>
          <w:sz w:val="24"/>
          <w:szCs w:val="24"/>
          <w:u w:val="none"/>
        </w:rPr>
        <w:t xml:space="preserve">.1. </w:t>
      </w:r>
      <w:r w:rsidR="00A432B1">
        <w:rPr>
          <w:rStyle w:val="Hyperlink"/>
          <w:rFonts w:ascii="Times New Roman" w:hAnsi="Times New Roman" w:cs="Times New Roman"/>
          <w:b/>
          <w:bCs/>
          <w:noProof/>
          <w:color w:val="auto"/>
          <w:sz w:val="24"/>
          <w:szCs w:val="24"/>
          <w:u w:val="none"/>
        </w:rPr>
        <w:t xml:space="preserve">Usos del </w:t>
      </w:r>
      <w:r w:rsidR="00A432B1" w:rsidRPr="00A432B1">
        <w:rPr>
          <w:rStyle w:val="Hyperlink"/>
          <w:rFonts w:ascii="Times New Roman" w:hAnsi="Times New Roman" w:cs="Times New Roman"/>
          <w:b/>
          <w:bCs/>
          <w:noProof/>
          <w:color w:val="auto"/>
          <w:sz w:val="24"/>
          <w:szCs w:val="24"/>
          <w:u w:val="none"/>
        </w:rPr>
        <w:t>a</w:t>
      </w:r>
      <w:r w:rsidR="00597B52" w:rsidRPr="00A432B1">
        <w:rPr>
          <w:rStyle w:val="Hyperlink"/>
          <w:rFonts w:ascii="Times New Roman" w:hAnsi="Times New Roman" w:cs="Times New Roman"/>
          <w:b/>
          <w:bCs/>
          <w:noProof/>
          <w:color w:val="auto"/>
          <w:sz w:val="24"/>
          <w:szCs w:val="24"/>
          <w:u w:val="none"/>
        </w:rPr>
        <w:t>islamiento</w:t>
      </w:r>
      <w:r w:rsidR="00A432B1" w:rsidRPr="00A432B1">
        <w:rPr>
          <w:rFonts w:ascii="Times New Roman" w:hAnsi="Times New Roman" w:cs="Times New Roman"/>
          <w:b/>
          <w:bCs/>
          <w:noProof/>
          <w:webHidden/>
          <w:color w:val="auto"/>
          <w:sz w:val="24"/>
          <w:szCs w:val="24"/>
        </w:rPr>
        <w:t xml:space="preserve"> en cárceles federales</w:t>
      </w:r>
      <w:bookmarkEnd w:id="17"/>
    </w:p>
    <w:p w14:paraId="6CE9C0CF" w14:textId="674A1092" w:rsidR="00FF4CC5" w:rsidRDefault="00C8289E" w:rsidP="004E2174">
      <w:pPr>
        <w:spacing w:after="120" w:line="24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Históricamente el SPF </w:t>
      </w:r>
      <w:r w:rsidRPr="00C8289E">
        <w:rPr>
          <w:rFonts w:ascii="Times New Roman" w:hAnsi="Times New Roman" w:cs="Times New Roman"/>
          <w:noProof/>
          <w:sz w:val="24"/>
          <w:szCs w:val="24"/>
        </w:rPr>
        <w:t>ha recurrido</w:t>
      </w:r>
      <w:r>
        <w:rPr>
          <w:rFonts w:ascii="Times New Roman" w:hAnsi="Times New Roman" w:cs="Times New Roman"/>
          <w:noProof/>
          <w:sz w:val="24"/>
          <w:szCs w:val="24"/>
        </w:rPr>
        <w:t xml:space="preserve"> a la aplicación de regímenes de aislamiento frente a situaciones de conflicto dentro de las cárceles o bien </w:t>
      </w:r>
      <w:r w:rsidR="00FF4CC5">
        <w:rPr>
          <w:rFonts w:ascii="Times New Roman" w:hAnsi="Times New Roman" w:cs="Times New Roman"/>
          <w:noProof/>
          <w:sz w:val="24"/>
          <w:szCs w:val="24"/>
        </w:rPr>
        <w:t>como medida de protección de</w:t>
      </w:r>
      <w:r w:rsidRPr="00C8289E">
        <w:rPr>
          <w:rFonts w:ascii="Times New Roman" w:hAnsi="Times New Roman" w:cs="Times New Roman"/>
          <w:noProof/>
          <w:sz w:val="24"/>
          <w:szCs w:val="24"/>
        </w:rPr>
        <w:t xml:space="preserve"> personas en situación de especial vulnerabilidad (resguardo de integridad física lo denomina el SPF)</w:t>
      </w:r>
      <w:r w:rsidR="00FF4CC5">
        <w:rPr>
          <w:rFonts w:ascii="Times New Roman" w:hAnsi="Times New Roman" w:cs="Times New Roman"/>
          <w:noProof/>
          <w:sz w:val="24"/>
          <w:szCs w:val="24"/>
        </w:rPr>
        <w:t xml:space="preserve">. </w:t>
      </w:r>
    </w:p>
    <w:p w14:paraId="6BA32928" w14:textId="47A4C3D2" w:rsidR="005906BE" w:rsidRDefault="00D51ADD" w:rsidP="004E2174">
      <w:pPr>
        <w:spacing w:after="120" w:line="240" w:lineRule="auto"/>
        <w:jc w:val="both"/>
        <w:rPr>
          <w:rFonts w:ascii="Times New Roman" w:hAnsi="Times New Roman" w:cs="Times New Roman"/>
          <w:noProof/>
          <w:sz w:val="24"/>
          <w:szCs w:val="24"/>
        </w:rPr>
      </w:pPr>
      <w:r>
        <w:rPr>
          <w:rFonts w:ascii="Times New Roman" w:hAnsi="Times New Roman" w:cs="Times New Roman"/>
          <w:noProof/>
          <w:sz w:val="24"/>
          <w:szCs w:val="24"/>
        </w:rPr>
        <w:t>A raíz de un</w:t>
      </w:r>
      <w:r w:rsidR="00FF4CC5">
        <w:rPr>
          <w:rFonts w:ascii="Times New Roman" w:hAnsi="Times New Roman" w:cs="Times New Roman"/>
          <w:noProof/>
          <w:sz w:val="24"/>
          <w:szCs w:val="24"/>
        </w:rPr>
        <w:t xml:space="preserve"> habeas corpus interpuesto por la PPN que derivó en una mesa de diálogo con el SPF, en el año 2013 se aprobó un </w:t>
      </w:r>
      <w:r w:rsidR="00FF4CC5" w:rsidRPr="00FF4CC5">
        <w:rPr>
          <w:rFonts w:ascii="Times New Roman" w:hAnsi="Times New Roman" w:cs="Times New Roman"/>
          <w:noProof/>
          <w:sz w:val="24"/>
          <w:szCs w:val="24"/>
        </w:rPr>
        <w:t>“Protocolo para la Implementación del Resguardo de Personas en Situación de Especial Vulnerabilidad</w:t>
      </w:r>
      <w:r w:rsidR="00FF4CC5">
        <w:rPr>
          <w:rFonts w:ascii="Times New Roman" w:hAnsi="Times New Roman" w:cs="Times New Roman"/>
          <w:noProof/>
          <w:sz w:val="24"/>
          <w:szCs w:val="24"/>
        </w:rPr>
        <w:t xml:space="preserve">”, que </w:t>
      </w:r>
      <w:r w:rsidR="005906BE">
        <w:rPr>
          <w:rFonts w:ascii="Times New Roman" w:hAnsi="Times New Roman" w:cs="Times New Roman"/>
          <w:noProof/>
          <w:sz w:val="24"/>
          <w:szCs w:val="24"/>
        </w:rPr>
        <w:t>h</w:t>
      </w:r>
      <w:r w:rsidR="00FF4CC5">
        <w:rPr>
          <w:rFonts w:ascii="Times New Roman" w:hAnsi="Times New Roman" w:cs="Times New Roman"/>
          <w:noProof/>
          <w:sz w:val="24"/>
          <w:szCs w:val="24"/>
        </w:rPr>
        <w:t xml:space="preserve">a logrado una reducción muy significativa de los usos del aislamiento como medida de protección. Ello puede ser considerado como una experiencia exitosa, pues salvo casos aislados ya no se aplica el aislamiento como medida de resguardo. </w:t>
      </w:r>
    </w:p>
    <w:p w14:paraId="293905B6" w14:textId="516278DF" w:rsidR="00C8289E" w:rsidRDefault="00FF4CC5" w:rsidP="004E2174">
      <w:pPr>
        <w:spacing w:after="120" w:line="240" w:lineRule="auto"/>
        <w:jc w:val="both"/>
        <w:rPr>
          <w:rFonts w:ascii="Times New Roman" w:hAnsi="Times New Roman" w:cs="Times New Roman"/>
          <w:noProof/>
          <w:sz w:val="24"/>
          <w:szCs w:val="24"/>
        </w:rPr>
      </w:pPr>
      <w:r>
        <w:rPr>
          <w:rFonts w:ascii="Times New Roman" w:hAnsi="Times New Roman" w:cs="Times New Roman"/>
          <w:noProof/>
          <w:sz w:val="24"/>
          <w:szCs w:val="24"/>
        </w:rPr>
        <w:t>Por otro lado, también puede ser señalado como un avance la</w:t>
      </w:r>
      <w:r w:rsidRPr="00FF4CC5">
        <w:rPr>
          <w:rFonts w:ascii="Times New Roman" w:hAnsi="Times New Roman" w:cs="Times New Roman"/>
          <w:noProof/>
          <w:sz w:val="24"/>
          <w:szCs w:val="24"/>
        </w:rPr>
        <w:t xml:space="preserve"> reducción en la aplicación de sanciones de aislamiento</w:t>
      </w:r>
      <w:r>
        <w:rPr>
          <w:rFonts w:ascii="Times New Roman" w:hAnsi="Times New Roman" w:cs="Times New Roman"/>
          <w:noProof/>
          <w:sz w:val="24"/>
          <w:szCs w:val="24"/>
        </w:rPr>
        <w:t xml:space="preserve"> producida en el SPF desde el año 2020 en adelante. E</w:t>
      </w:r>
      <w:r w:rsidR="005906BE">
        <w:rPr>
          <w:rFonts w:ascii="Times New Roman" w:hAnsi="Times New Roman" w:cs="Times New Roman"/>
          <w:noProof/>
          <w:sz w:val="24"/>
          <w:szCs w:val="24"/>
        </w:rPr>
        <w:t>se</w:t>
      </w:r>
      <w:r>
        <w:rPr>
          <w:rFonts w:ascii="Times New Roman" w:hAnsi="Times New Roman" w:cs="Times New Roman"/>
          <w:noProof/>
          <w:sz w:val="24"/>
          <w:szCs w:val="24"/>
        </w:rPr>
        <w:t xml:space="preserve"> año  en el marco de la pandemia </w:t>
      </w:r>
      <w:r w:rsidR="005906BE">
        <w:rPr>
          <w:rFonts w:ascii="Times New Roman" w:hAnsi="Times New Roman" w:cs="Times New Roman"/>
          <w:noProof/>
          <w:sz w:val="24"/>
          <w:szCs w:val="24"/>
        </w:rPr>
        <w:t>no se</w:t>
      </w:r>
      <w:r>
        <w:rPr>
          <w:rFonts w:ascii="Times New Roman" w:hAnsi="Times New Roman" w:cs="Times New Roman"/>
          <w:noProof/>
          <w:sz w:val="24"/>
          <w:szCs w:val="24"/>
        </w:rPr>
        <w:t xml:space="preserve"> aplica</w:t>
      </w:r>
      <w:r w:rsidR="005906BE">
        <w:rPr>
          <w:rFonts w:ascii="Times New Roman" w:hAnsi="Times New Roman" w:cs="Times New Roman"/>
          <w:noProof/>
          <w:sz w:val="24"/>
          <w:szCs w:val="24"/>
        </w:rPr>
        <w:t>ron</w:t>
      </w:r>
      <w:r>
        <w:rPr>
          <w:rFonts w:ascii="Times New Roman" w:hAnsi="Times New Roman" w:cs="Times New Roman"/>
          <w:noProof/>
          <w:sz w:val="24"/>
          <w:szCs w:val="24"/>
        </w:rPr>
        <w:t xml:space="preserve"> sanciones de aislamiento como modalidad disciplinaria en las cárceles federales. A partir de 2021 se volvieron a utilizar, pero su uso </w:t>
      </w:r>
      <w:r w:rsidR="00A432B1">
        <w:rPr>
          <w:rFonts w:ascii="Times New Roman" w:hAnsi="Times New Roman" w:cs="Times New Roman"/>
          <w:noProof/>
          <w:sz w:val="24"/>
          <w:szCs w:val="24"/>
        </w:rPr>
        <w:t>se ha reducido en más de la mitad respecto del año 2019</w:t>
      </w:r>
      <w:r w:rsidR="00A82BD2">
        <w:rPr>
          <w:rFonts w:ascii="Times New Roman" w:hAnsi="Times New Roman" w:cs="Times New Roman"/>
          <w:noProof/>
          <w:sz w:val="24"/>
          <w:szCs w:val="24"/>
        </w:rPr>
        <w:t>.</w:t>
      </w:r>
    </w:p>
    <w:p w14:paraId="27EB008B" w14:textId="1F1667AE" w:rsidR="006C729F" w:rsidRDefault="00116AD3" w:rsidP="004E2174">
      <w:pPr>
        <w:spacing w:after="120" w:line="240" w:lineRule="auto"/>
        <w:jc w:val="both"/>
        <w:rPr>
          <w:rFonts w:ascii="Times New Roman" w:hAnsi="Times New Roman" w:cs="Times New Roman"/>
          <w:noProof/>
          <w:sz w:val="24"/>
          <w:szCs w:val="24"/>
        </w:rPr>
      </w:pPr>
      <w:r>
        <w:rPr>
          <w:rFonts w:ascii="Times New Roman" w:hAnsi="Times New Roman" w:cs="Times New Roman"/>
          <w:noProof/>
          <w:sz w:val="24"/>
          <w:szCs w:val="24"/>
        </w:rPr>
        <w:t>Sin embargo</w:t>
      </w:r>
      <w:r w:rsidR="00A432B1">
        <w:rPr>
          <w:rFonts w:ascii="Times New Roman" w:hAnsi="Times New Roman" w:cs="Times New Roman"/>
          <w:noProof/>
          <w:sz w:val="24"/>
          <w:szCs w:val="24"/>
        </w:rPr>
        <w:t xml:space="preserve">, la PPN ha registrado una nueva modalidad de aislamiento en los últimos dos años. </w:t>
      </w:r>
      <w:r w:rsidR="00D51ADD">
        <w:rPr>
          <w:rFonts w:ascii="Times New Roman" w:hAnsi="Times New Roman" w:cs="Times New Roman"/>
          <w:noProof/>
          <w:sz w:val="24"/>
          <w:szCs w:val="24"/>
        </w:rPr>
        <w:t>En enero</w:t>
      </w:r>
      <w:r w:rsidR="006C729F" w:rsidRPr="006C729F">
        <w:rPr>
          <w:rFonts w:ascii="Times New Roman" w:hAnsi="Times New Roman" w:cs="Times New Roman"/>
          <w:noProof/>
          <w:sz w:val="24"/>
          <w:szCs w:val="24"/>
        </w:rPr>
        <w:t xml:space="preserve"> de 2024 el Ministerio de Seguridad </w:t>
      </w:r>
      <w:r w:rsidR="00D51ADD">
        <w:rPr>
          <w:rFonts w:ascii="Times New Roman" w:hAnsi="Times New Roman" w:cs="Times New Roman"/>
          <w:noProof/>
          <w:sz w:val="24"/>
          <w:szCs w:val="24"/>
        </w:rPr>
        <w:t>creó el</w:t>
      </w:r>
      <w:r w:rsidR="00D51ADD" w:rsidRPr="006C729F">
        <w:rPr>
          <w:rFonts w:ascii="Times New Roman" w:hAnsi="Times New Roman" w:cs="Times New Roman"/>
          <w:noProof/>
          <w:sz w:val="24"/>
          <w:szCs w:val="24"/>
        </w:rPr>
        <w:t xml:space="preserve"> “Sistema integral de gestión para personas privadas de la libertad de alto riesgo en el servicio penitenciario federal” (SIGPPLAR)</w:t>
      </w:r>
      <w:r w:rsidR="00D51ADD">
        <w:rPr>
          <w:rFonts w:ascii="Times New Roman" w:hAnsi="Times New Roman" w:cs="Times New Roman"/>
          <w:noProof/>
          <w:sz w:val="24"/>
          <w:szCs w:val="24"/>
        </w:rPr>
        <w:t>, para el tratami</w:t>
      </w:r>
      <w:r w:rsidR="006C729F" w:rsidRPr="006C729F">
        <w:rPr>
          <w:rFonts w:ascii="Times New Roman" w:hAnsi="Times New Roman" w:cs="Times New Roman"/>
          <w:noProof/>
          <w:sz w:val="24"/>
          <w:szCs w:val="24"/>
        </w:rPr>
        <w:t xml:space="preserve">ento penitenciario de las personas detenidas </w:t>
      </w:r>
      <w:r w:rsidR="00D51ADD">
        <w:rPr>
          <w:rFonts w:ascii="Times New Roman" w:hAnsi="Times New Roman" w:cs="Times New Roman"/>
          <w:noProof/>
          <w:sz w:val="24"/>
          <w:szCs w:val="24"/>
        </w:rPr>
        <w:t xml:space="preserve">que son acusadas o condenadas </w:t>
      </w:r>
      <w:r w:rsidR="006C729F" w:rsidRPr="006C729F">
        <w:rPr>
          <w:rFonts w:ascii="Times New Roman" w:hAnsi="Times New Roman" w:cs="Times New Roman"/>
          <w:noProof/>
          <w:sz w:val="24"/>
          <w:szCs w:val="24"/>
        </w:rPr>
        <w:t>por participar en el crimen organizado y clasificadas como “perfiles de alto riesgo”</w:t>
      </w:r>
      <w:r w:rsidR="00D51ADD">
        <w:rPr>
          <w:rFonts w:ascii="Times New Roman" w:hAnsi="Times New Roman" w:cs="Times New Roman"/>
          <w:noProof/>
          <w:sz w:val="24"/>
          <w:szCs w:val="24"/>
        </w:rPr>
        <w:t>. La</w:t>
      </w:r>
      <w:r w:rsidR="006A3146">
        <w:rPr>
          <w:rFonts w:ascii="Times New Roman" w:hAnsi="Times New Roman" w:cs="Times New Roman"/>
          <w:noProof/>
          <w:sz w:val="24"/>
          <w:szCs w:val="24"/>
        </w:rPr>
        <w:t xml:space="preserve"> normativa </w:t>
      </w:r>
      <w:r w:rsidR="00D51ADD">
        <w:rPr>
          <w:rFonts w:ascii="Times New Roman" w:hAnsi="Times New Roman" w:cs="Times New Roman"/>
          <w:noProof/>
          <w:sz w:val="24"/>
          <w:szCs w:val="24"/>
        </w:rPr>
        <w:t xml:space="preserve">de creación </w:t>
      </w:r>
      <w:r w:rsidR="006A3146">
        <w:rPr>
          <w:rFonts w:ascii="Times New Roman" w:hAnsi="Times New Roman" w:cs="Times New Roman"/>
          <w:noProof/>
          <w:sz w:val="24"/>
          <w:szCs w:val="24"/>
        </w:rPr>
        <w:t>prevé que l</w:t>
      </w:r>
      <w:r w:rsidR="006A3146" w:rsidRPr="006A3146">
        <w:rPr>
          <w:rFonts w:ascii="Times New Roman" w:hAnsi="Times New Roman" w:cs="Times New Roman"/>
          <w:noProof/>
          <w:sz w:val="24"/>
          <w:szCs w:val="24"/>
        </w:rPr>
        <w:t xml:space="preserve">as personas pueden ser incorporadas a este sistema </w:t>
      </w:r>
      <w:r w:rsidR="006A3146">
        <w:rPr>
          <w:rFonts w:ascii="Times New Roman" w:hAnsi="Times New Roman" w:cs="Times New Roman"/>
          <w:noProof/>
          <w:sz w:val="24"/>
          <w:szCs w:val="24"/>
        </w:rPr>
        <w:t>a solicitud</w:t>
      </w:r>
      <w:r w:rsidR="006A3146" w:rsidRPr="006A3146">
        <w:rPr>
          <w:rFonts w:ascii="Times New Roman" w:hAnsi="Times New Roman" w:cs="Times New Roman"/>
          <w:noProof/>
          <w:sz w:val="24"/>
          <w:szCs w:val="24"/>
        </w:rPr>
        <w:t xml:space="preserve"> de órganos judiciales, del Ministerio Público Fiscal, de otros organismos de investigación judicial y/o criminal, o de áreas del SPF que cuenten con información fundada que lo amerite. </w:t>
      </w:r>
      <w:r w:rsidR="006A3146">
        <w:rPr>
          <w:rFonts w:ascii="Times New Roman" w:hAnsi="Times New Roman" w:cs="Times New Roman"/>
          <w:noProof/>
          <w:sz w:val="24"/>
          <w:szCs w:val="24"/>
        </w:rPr>
        <w:t>Preocupa a la PPN la previsión que establece que l</w:t>
      </w:r>
      <w:r w:rsidR="006A3146" w:rsidRPr="006A3146">
        <w:rPr>
          <w:rFonts w:ascii="Times New Roman" w:hAnsi="Times New Roman" w:cs="Times New Roman"/>
          <w:noProof/>
          <w:sz w:val="24"/>
          <w:szCs w:val="24"/>
        </w:rPr>
        <w:t xml:space="preserve">a decisión de incorporación es facultad exclusiva del SPF. </w:t>
      </w:r>
      <w:r w:rsidR="006A3146">
        <w:rPr>
          <w:rFonts w:ascii="Times New Roman" w:hAnsi="Times New Roman" w:cs="Times New Roman"/>
          <w:noProof/>
          <w:sz w:val="24"/>
          <w:szCs w:val="24"/>
        </w:rPr>
        <w:t>Según la normativa, e</w:t>
      </w:r>
      <w:r w:rsidR="006A3146" w:rsidRPr="006A3146">
        <w:rPr>
          <w:rFonts w:ascii="Times New Roman" w:hAnsi="Times New Roman" w:cs="Times New Roman"/>
          <w:noProof/>
          <w:sz w:val="24"/>
          <w:szCs w:val="24"/>
        </w:rPr>
        <w:t xml:space="preserve">sta decisión debe ser comunicada al juzgado </w:t>
      </w:r>
      <w:r w:rsidR="006A3146">
        <w:rPr>
          <w:rFonts w:ascii="Times New Roman" w:hAnsi="Times New Roman" w:cs="Times New Roman"/>
          <w:noProof/>
          <w:sz w:val="24"/>
          <w:szCs w:val="24"/>
        </w:rPr>
        <w:t>a cuya disposición se encuentra la</w:t>
      </w:r>
      <w:r w:rsidR="006A3146" w:rsidRPr="006A3146">
        <w:rPr>
          <w:rFonts w:ascii="Times New Roman" w:hAnsi="Times New Roman" w:cs="Times New Roman"/>
          <w:noProof/>
          <w:sz w:val="24"/>
          <w:szCs w:val="24"/>
        </w:rPr>
        <w:t xml:space="preserve"> persona. </w:t>
      </w:r>
      <w:r w:rsidR="006A3146">
        <w:rPr>
          <w:rFonts w:ascii="Times New Roman" w:hAnsi="Times New Roman" w:cs="Times New Roman"/>
          <w:noProof/>
          <w:sz w:val="24"/>
          <w:szCs w:val="24"/>
        </w:rPr>
        <w:t>Si el</w:t>
      </w:r>
      <w:r w:rsidR="006A3146" w:rsidRPr="006A3146">
        <w:rPr>
          <w:rFonts w:ascii="Times New Roman" w:hAnsi="Times New Roman" w:cs="Times New Roman"/>
          <w:noProof/>
          <w:sz w:val="24"/>
          <w:szCs w:val="24"/>
        </w:rPr>
        <w:t xml:space="preserve"> juzgado </w:t>
      </w:r>
      <w:r w:rsidR="006A3146">
        <w:rPr>
          <w:rFonts w:ascii="Times New Roman" w:hAnsi="Times New Roman" w:cs="Times New Roman"/>
          <w:noProof/>
          <w:sz w:val="24"/>
          <w:szCs w:val="24"/>
        </w:rPr>
        <w:t>pide</w:t>
      </w:r>
      <w:r w:rsidR="006A3146" w:rsidRPr="006A3146">
        <w:rPr>
          <w:rFonts w:ascii="Times New Roman" w:hAnsi="Times New Roman" w:cs="Times New Roman"/>
          <w:noProof/>
          <w:sz w:val="24"/>
          <w:szCs w:val="24"/>
        </w:rPr>
        <w:t xml:space="preserve"> la no incorporación</w:t>
      </w:r>
      <w:r w:rsidR="006A3146">
        <w:rPr>
          <w:rFonts w:ascii="Times New Roman" w:hAnsi="Times New Roman" w:cs="Times New Roman"/>
          <w:noProof/>
          <w:sz w:val="24"/>
          <w:szCs w:val="24"/>
        </w:rPr>
        <w:t>,</w:t>
      </w:r>
      <w:r w:rsidR="006A3146" w:rsidRPr="006A3146">
        <w:rPr>
          <w:rFonts w:ascii="Times New Roman" w:hAnsi="Times New Roman" w:cs="Times New Roman"/>
          <w:noProof/>
          <w:sz w:val="24"/>
          <w:szCs w:val="24"/>
        </w:rPr>
        <w:t xml:space="preserve"> el SPF </w:t>
      </w:r>
      <w:r w:rsidR="006A3146">
        <w:rPr>
          <w:rFonts w:ascii="Times New Roman" w:hAnsi="Times New Roman" w:cs="Times New Roman"/>
          <w:noProof/>
          <w:sz w:val="24"/>
          <w:szCs w:val="24"/>
        </w:rPr>
        <w:t>realizará</w:t>
      </w:r>
      <w:r w:rsidR="006A3146" w:rsidRPr="006A3146">
        <w:rPr>
          <w:rFonts w:ascii="Times New Roman" w:hAnsi="Times New Roman" w:cs="Times New Roman"/>
          <w:noProof/>
          <w:sz w:val="24"/>
          <w:szCs w:val="24"/>
        </w:rPr>
        <w:t xml:space="preserve"> una nueva evaluación de riesgo y </w:t>
      </w:r>
      <w:r w:rsidR="006A3146">
        <w:rPr>
          <w:rFonts w:ascii="Times New Roman" w:hAnsi="Times New Roman" w:cs="Times New Roman"/>
          <w:noProof/>
          <w:sz w:val="24"/>
          <w:szCs w:val="24"/>
        </w:rPr>
        <w:t xml:space="preserve">la </w:t>
      </w:r>
      <w:r w:rsidR="006A3146" w:rsidRPr="006A3146">
        <w:rPr>
          <w:rFonts w:ascii="Times New Roman" w:hAnsi="Times New Roman" w:cs="Times New Roman"/>
          <w:noProof/>
          <w:sz w:val="24"/>
          <w:szCs w:val="24"/>
        </w:rPr>
        <w:t>comunica</w:t>
      </w:r>
      <w:r w:rsidR="006A3146">
        <w:rPr>
          <w:rFonts w:ascii="Times New Roman" w:hAnsi="Times New Roman" w:cs="Times New Roman"/>
          <w:noProof/>
          <w:sz w:val="24"/>
          <w:szCs w:val="24"/>
        </w:rPr>
        <w:t>rá</w:t>
      </w:r>
      <w:r w:rsidR="006A3146" w:rsidRPr="006A3146">
        <w:rPr>
          <w:rFonts w:ascii="Times New Roman" w:hAnsi="Times New Roman" w:cs="Times New Roman"/>
          <w:noProof/>
          <w:sz w:val="24"/>
          <w:szCs w:val="24"/>
        </w:rPr>
        <w:t xml:space="preserve"> nuevamente a la autoridad judicial. </w:t>
      </w:r>
    </w:p>
    <w:p w14:paraId="77125A6E" w14:textId="6629232D" w:rsidR="00B15F5A" w:rsidRDefault="00C24C34" w:rsidP="004E2174">
      <w:pPr>
        <w:spacing w:after="120" w:line="240" w:lineRule="auto"/>
        <w:jc w:val="both"/>
        <w:rPr>
          <w:rFonts w:ascii="Times New Roman" w:hAnsi="Times New Roman" w:cs="Times New Roman"/>
          <w:noProof/>
          <w:sz w:val="24"/>
          <w:szCs w:val="24"/>
        </w:rPr>
      </w:pPr>
      <w:r>
        <w:rPr>
          <w:rFonts w:ascii="Times New Roman" w:hAnsi="Times New Roman" w:cs="Times New Roman"/>
          <w:noProof/>
          <w:sz w:val="24"/>
          <w:szCs w:val="24"/>
        </w:rPr>
        <w:t>La incorporación al sistema conlleva el a</w:t>
      </w:r>
      <w:r w:rsidRPr="00C24C34">
        <w:rPr>
          <w:rFonts w:ascii="Times New Roman" w:hAnsi="Times New Roman" w:cs="Times New Roman"/>
          <w:noProof/>
          <w:sz w:val="24"/>
          <w:szCs w:val="24"/>
        </w:rPr>
        <w:t>lojamiento en lugares diferenciados del resto de la población</w:t>
      </w:r>
      <w:r w:rsidR="00BD2F50">
        <w:rPr>
          <w:rFonts w:ascii="Times New Roman" w:hAnsi="Times New Roman" w:cs="Times New Roman"/>
          <w:noProof/>
          <w:sz w:val="24"/>
          <w:szCs w:val="24"/>
        </w:rPr>
        <w:t xml:space="preserve"> en establecimientos penitenciarios de mayor seguridad</w:t>
      </w:r>
      <w:r>
        <w:rPr>
          <w:rFonts w:ascii="Times New Roman" w:hAnsi="Times New Roman" w:cs="Times New Roman"/>
          <w:noProof/>
          <w:sz w:val="24"/>
          <w:szCs w:val="24"/>
        </w:rPr>
        <w:t xml:space="preserve">, </w:t>
      </w:r>
      <w:r w:rsidRPr="00C24C34">
        <w:rPr>
          <w:rFonts w:ascii="Times New Roman" w:hAnsi="Times New Roman" w:cs="Times New Roman"/>
          <w:noProof/>
          <w:sz w:val="24"/>
          <w:szCs w:val="24"/>
        </w:rPr>
        <w:t xml:space="preserve">en celdas </w:t>
      </w:r>
      <w:r>
        <w:rPr>
          <w:rFonts w:ascii="Times New Roman" w:hAnsi="Times New Roman" w:cs="Times New Roman"/>
          <w:noProof/>
          <w:sz w:val="24"/>
          <w:szCs w:val="24"/>
        </w:rPr>
        <w:t>individuales</w:t>
      </w:r>
      <w:r w:rsidR="00BD2F50">
        <w:rPr>
          <w:rFonts w:ascii="Times New Roman" w:hAnsi="Times New Roman" w:cs="Times New Roman"/>
          <w:noProof/>
          <w:sz w:val="24"/>
          <w:szCs w:val="24"/>
        </w:rPr>
        <w:t xml:space="preserve">. </w:t>
      </w:r>
      <w:r w:rsidR="00B15F5A">
        <w:rPr>
          <w:rFonts w:ascii="Times New Roman" w:hAnsi="Times New Roman" w:cs="Times New Roman"/>
          <w:noProof/>
          <w:sz w:val="24"/>
          <w:szCs w:val="24"/>
        </w:rPr>
        <w:t xml:space="preserve">El régimen de vida </w:t>
      </w:r>
      <w:r w:rsidR="00143731">
        <w:rPr>
          <w:rFonts w:ascii="Times New Roman" w:hAnsi="Times New Roman" w:cs="Times New Roman"/>
          <w:noProof/>
          <w:sz w:val="24"/>
          <w:szCs w:val="24"/>
        </w:rPr>
        <w:t xml:space="preserve">de las personas incorporadas al </w:t>
      </w:r>
      <w:r w:rsidR="00143731" w:rsidRPr="006C729F">
        <w:rPr>
          <w:rFonts w:ascii="Times New Roman" w:hAnsi="Times New Roman" w:cs="Times New Roman"/>
          <w:noProof/>
          <w:sz w:val="24"/>
          <w:szCs w:val="24"/>
        </w:rPr>
        <w:t>SIGPPLAR</w:t>
      </w:r>
      <w:r w:rsidR="00143731" w:rsidRPr="00B15F5A">
        <w:rPr>
          <w:rFonts w:ascii="Times New Roman" w:hAnsi="Times New Roman" w:cs="Times New Roman"/>
          <w:noProof/>
          <w:sz w:val="24"/>
          <w:szCs w:val="24"/>
        </w:rPr>
        <w:t xml:space="preserve"> </w:t>
      </w:r>
      <w:r w:rsidR="00143731">
        <w:rPr>
          <w:rFonts w:ascii="Times New Roman" w:hAnsi="Times New Roman" w:cs="Times New Roman"/>
          <w:noProof/>
          <w:sz w:val="24"/>
          <w:szCs w:val="24"/>
        </w:rPr>
        <w:t xml:space="preserve">en el Complejo Penitenciario Federal I de Ezeiza </w:t>
      </w:r>
      <w:r w:rsidR="00B15F5A" w:rsidRPr="00B15F5A">
        <w:rPr>
          <w:rFonts w:ascii="Times New Roman" w:hAnsi="Times New Roman" w:cs="Times New Roman"/>
          <w:noProof/>
          <w:sz w:val="24"/>
          <w:szCs w:val="24"/>
        </w:rPr>
        <w:t xml:space="preserve">consiste en la separación de la población de cada pabellón en tres grupos de entre tres y cinco personas. Cada grupo sale </w:t>
      </w:r>
      <w:r w:rsidR="00B15F5A">
        <w:rPr>
          <w:rFonts w:ascii="Times New Roman" w:hAnsi="Times New Roman" w:cs="Times New Roman"/>
          <w:noProof/>
          <w:sz w:val="24"/>
          <w:szCs w:val="24"/>
        </w:rPr>
        <w:t xml:space="preserve">de la celda al espacio común del pabellón </w:t>
      </w:r>
      <w:r w:rsidR="00B15F5A" w:rsidRPr="00B15F5A">
        <w:rPr>
          <w:rFonts w:ascii="Times New Roman" w:hAnsi="Times New Roman" w:cs="Times New Roman"/>
          <w:noProof/>
          <w:sz w:val="24"/>
          <w:szCs w:val="24"/>
        </w:rPr>
        <w:t>cuatro horas diarias, lo que implica un encierro prolongado de 20 horas diarias en celda individual.</w:t>
      </w:r>
      <w:r w:rsidR="00C61C4B">
        <w:rPr>
          <w:rFonts w:ascii="Times New Roman" w:hAnsi="Times New Roman" w:cs="Times New Roman"/>
          <w:noProof/>
          <w:sz w:val="24"/>
          <w:szCs w:val="24"/>
        </w:rPr>
        <w:t xml:space="preserve"> </w:t>
      </w:r>
      <w:r w:rsidR="00143731">
        <w:rPr>
          <w:rFonts w:ascii="Times New Roman" w:hAnsi="Times New Roman" w:cs="Times New Roman"/>
          <w:noProof/>
          <w:sz w:val="24"/>
          <w:szCs w:val="24"/>
        </w:rPr>
        <w:t xml:space="preserve">En el caso de las personas incorporadas al </w:t>
      </w:r>
      <w:r w:rsidR="00143731" w:rsidRPr="006C729F">
        <w:rPr>
          <w:rFonts w:ascii="Times New Roman" w:hAnsi="Times New Roman" w:cs="Times New Roman"/>
          <w:noProof/>
          <w:sz w:val="24"/>
          <w:szCs w:val="24"/>
        </w:rPr>
        <w:t>SIGPPLAR</w:t>
      </w:r>
      <w:r w:rsidR="00143731" w:rsidRPr="00B15F5A">
        <w:rPr>
          <w:rFonts w:ascii="Times New Roman" w:hAnsi="Times New Roman" w:cs="Times New Roman"/>
          <w:noProof/>
          <w:sz w:val="24"/>
          <w:szCs w:val="24"/>
        </w:rPr>
        <w:t xml:space="preserve"> </w:t>
      </w:r>
      <w:r w:rsidR="00143731">
        <w:rPr>
          <w:rFonts w:ascii="Times New Roman" w:hAnsi="Times New Roman" w:cs="Times New Roman"/>
          <w:noProof/>
          <w:sz w:val="24"/>
          <w:szCs w:val="24"/>
        </w:rPr>
        <w:t xml:space="preserve">en el Complejo Penitenciario Federal II de Marcos Paz, el régimen de aislamiento en celda individual es aun más estricto, con una duración de 23 hs diarias. </w:t>
      </w:r>
      <w:r w:rsidR="00C61C4B">
        <w:rPr>
          <w:rFonts w:ascii="Times New Roman" w:hAnsi="Times New Roman" w:cs="Times New Roman"/>
          <w:noProof/>
          <w:sz w:val="24"/>
          <w:szCs w:val="24"/>
        </w:rPr>
        <w:t>S</w:t>
      </w:r>
      <w:r w:rsidR="00C61C4B" w:rsidRPr="00C61C4B">
        <w:rPr>
          <w:rFonts w:ascii="Times New Roman" w:hAnsi="Times New Roman" w:cs="Times New Roman"/>
          <w:noProof/>
          <w:sz w:val="24"/>
          <w:szCs w:val="24"/>
        </w:rPr>
        <w:t>olo acceden al campo de deportes una hora a la semana</w:t>
      </w:r>
      <w:r w:rsidR="00C61C4B">
        <w:rPr>
          <w:rFonts w:ascii="Times New Roman" w:hAnsi="Times New Roman" w:cs="Times New Roman"/>
          <w:noProof/>
          <w:sz w:val="24"/>
          <w:szCs w:val="24"/>
        </w:rPr>
        <w:t>.</w:t>
      </w:r>
      <w:r w:rsidR="00116AD3">
        <w:rPr>
          <w:rFonts w:ascii="Times New Roman" w:hAnsi="Times New Roman" w:cs="Times New Roman"/>
          <w:noProof/>
          <w:sz w:val="24"/>
          <w:szCs w:val="24"/>
        </w:rPr>
        <w:t xml:space="preserve"> </w:t>
      </w:r>
    </w:p>
    <w:p w14:paraId="28321BBF" w14:textId="056D7B97" w:rsidR="00B15F5A" w:rsidRDefault="00C61C4B" w:rsidP="004E2174">
      <w:pPr>
        <w:spacing w:after="120" w:line="240" w:lineRule="auto"/>
        <w:jc w:val="both"/>
        <w:rPr>
          <w:rFonts w:ascii="Times New Roman" w:hAnsi="Times New Roman" w:cs="Times New Roman"/>
          <w:noProof/>
          <w:sz w:val="24"/>
          <w:szCs w:val="24"/>
        </w:rPr>
      </w:pPr>
      <w:r>
        <w:rPr>
          <w:rFonts w:ascii="Times New Roman" w:hAnsi="Times New Roman" w:cs="Times New Roman"/>
          <w:noProof/>
          <w:sz w:val="24"/>
          <w:szCs w:val="24"/>
        </w:rPr>
        <w:t>El sistema también comporta u</w:t>
      </w:r>
      <w:r w:rsidR="00BD2F50">
        <w:rPr>
          <w:rFonts w:ascii="Times New Roman" w:hAnsi="Times New Roman" w:cs="Times New Roman"/>
          <w:noProof/>
          <w:sz w:val="24"/>
          <w:szCs w:val="24"/>
        </w:rPr>
        <w:t>na restricción de las comunicaciones telefónicas</w:t>
      </w:r>
      <w:r w:rsidR="00143731">
        <w:rPr>
          <w:rFonts w:ascii="Times New Roman" w:hAnsi="Times New Roman" w:cs="Times New Roman"/>
          <w:noProof/>
          <w:sz w:val="24"/>
          <w:szCs w:val="24"/>
        </w:rPr>
        <w:t xml:space="preserve"> con la familia,</w:t>
      </w:r>
      <w:r w:rsidR="00BD2F50">
        <w:rPr>
          <w:rFonts w:ascii="Times New Roman" w:hAnsi="Times New Roman" w:cs="Times New Roman"/>
          <w:noProof/>
          <w:sz w:val="24"/>
          <w:szCs w:val="24"/>
        </w:rPr>
        <w:t xml:space="preserve"> que se limitan a 20 minutos por semana</w:t>
      </w:r>
      <w:r w:rsidR="00143731">
        <w:rPr>
          <w:rFonts w:ascii="Times New Roman" w:hAnsi="Times New Roman" w:cs="Times New Roman"/>
          <w:noProof/>
          <w:sz w:val="24"/>
          <w:szCs w:val="24"/>
        </w:rPr>
        <w:t>,</w:t>
      </w:r>
      <w:r w:rsidR="00BD2F50">
        <w:rPr>
          <w:rFonts w:ascii="Times New Roman" w:hAnsi="Times New Roman" w:cs="Times New Roman"/>
          <w:noProof/>
          <w:sz w:val="24"/>
          <w:szCs w:val="24"/>
        </w:rPr>
        <w:t xml:space="preserve"> y de las visitas familiares, las cuales solo podrán realizarse a través de locutorio</w:t>
      </w:r>
      <w:r w:rsidR="00B15F5A">
        <w:rPr>
          <w:rFonts w:ascii="Times New Roman" w:hAnsi="Times New Roman" w:cs="Times New Roman"/>
          <w:noProof/>
          <w:sz w:val="24"/>
          <w:szCs w:val="24"/>
        </w:rPr>
        <w:t>, lo que incluye l</w:t>
      </w:r>
      <w:r w:rsidR="00B15F5A" w:rsidRPr="00B15F5A">
        <w:rPr>
          <w:rFonts w:ascii="Times New Roman" w:hAnsi="Times New Roman" w:cs="Times New Roman"/>
          <w:noProof/>
          <w:sz w:val="24"/>
          <w:szCs w:val="24"/>
        </w:rPr>
        <w:t>a imposibilidad de tener visitas de contacto con hijos e hijas</w:t>
      </w:r>
      <w:r w:rsidRPr="00C61C4B">
        <w:t xml:space="preserve"> </w:t>
      </w:r>
      <w:r w:rsidRPr="00C61C4B">
        <w:rPr>
          <w:rFonts w:ascii="Times New Roman" w:hAnsi="Times New Roman" w:cs="Times New Roman"/>
          <w:noProof/>
          <w:sz w:val="24"/>
          <w:szCs w:val="24"/>
        </w:rPr>
        <w:t>menores de edad</w:t>
      </w:r>
      <w:r>
        <w:rPr>
          <w:rFonts w:ascii="Times New Roman" w:hAnsi="Times New Roman" w:cs="Times New Roman"/>
          <w:noProof/>
          <w:sz w:val="24"/>
          <w:szCs w:val="24"/>
        </w:rPr>
        <w:t>.</w:t>
      </w:r>
      <w:r w:rsidR="00143731">
        <w:rPr>
          <w:rFonts w:ascii="Times New Roman" w:hAnsi="Times New Roman" w:cs="Times New Roman"/>
          <w:noProof/>
          <w:sz w:val="24"/>
          <w:szCs w:val="24"/>
        </w:rPr>
        <w:t xml:space="preserve"> </w:t>
      </w:r>
      <w:r w:rsidR="00B15F5A">
        <w:rPr>
          <w:rFonts w:ascii="Times New Roman" w:hAnsi="Times New Roman" w:cs="Times New Roman"/>
          <w:noProof/>
          <w:sz w:val="24"/>
          <w:szCs w:val="24"/>
        </w:rPr>
        <w:t xml:space="preserve">Además se establece </w:t>
      </w:r>
      <w:r w:rsidR="00B15F5A" w:rsidRPr="00B15F5A">
        <w:rPr>
          <w:rFonts w:ascii="Times New Roman" w:hAnsi="Times New Roman" w:cs="Times New Roman"/>
          <w:noProof/>
          <w:sz w:val="24"/>
          <w:szCs w:val="24"/>
        </w:rPr>
        <w:t xml:space="preserve">la utilización </w:t>
      </w:r>
      <w:r w:rsidR="00B15F5A">
        <w:rPr>
          <w:rFonts w:ascii="Times New Roman" w:hAnsi="Times New Roman" w:cs="Times New Roman"/>
          <w:noProof/>
          <w:sz w:val="24"/>
          <w:szCs w:val="24"/>
        </w:rPr>
        <w:t xml:space="preserve">obligatoria </w:t>
      </w:r>
      <w:r w:rsidR="00B15F5A" w:rsidRPr="00B15F5A">
        <w:rPr>
          <w:rFonts w:ascii="Times New Roman" w:hAnsi="Times New Roman" w:cs="Times New Roman"/>
          <w:noProof/>
          <w:sz w:val="24"/>
          <w:szCs w:val="24"/>
        </w:rPr>
        <w:t xml:space="preserve">de </w:t>
      </w:r>
      <w:r>
        <w:rPr>
          <w:rFonts w:ascii="Times New Roman" w:hAnsi="Times New Roman" w:cs="Times New Roman"/>
          <w:noProof/>
          <w:sz w:val="24"/>
          <w:szCs w:val="24"/>
        </w:rPr>
        <w:t xml:space="preserve">un </w:t>
      </w:r>
      <w:r w:rsidR="00B15F5A" w:rsidRPr="00B15F5A">
        <w:rPr>
          <w:rFonts w:ascii="Times New Roman" w:hAnsi="Times New Roman" w:cs="Times New Roman"/>
          <w:noProof/>
          <w:sz w:val="24"/>
          <w:szCs w:val="24"/>
        </w:rPr>
        <w:t>uniforme</w:t>
      </w:r>
      <w:r w:rsidR="00B15F5A">
        <w:rPr>
          <w:rFonts w:ascii="Times New Roman" w:hAnsi="Times New Roman" w:cs="Times New Roman"/>
          <w:noProof/>
          <w:sz w:val="24"/>
          <w:szCs w:val="24"/>
        </w:rPr>
        <w:t xml:space="preserve"> </w:t>
      </w:r>
      <w:r>
        <w:rPr>
          <w:rFonts w:ascii="Times New Roman" w:hAnsi="Times New Roman" w:cs="Times New Roman"/>
          <w:noProof/>
          <w:sz w:val="24"/>
          <w:szCs w:val="24"/>
        </w:rPr>
        <w:t xml:space="preserve">marrón para </w:t>
      </w:r>
      <w:r w:rsidR="00B15F5A">
        <w:rPr>
          <w:rFonts w:ascii="Times New Roman" w:hAnsi="Times New Roman" w:cs="Times New Roman"/>
          <w:noProof/>
          <w:sz w:val="24"/>
          <w:szCs w:val="24"/>
        </w:rPr>
        <w:t>las personas incorporadas al sistema</w:t>
      </w:r>
      <w:r w:rsidR="00B15F5A" w:rsidRPr="00B15F5A">
        <w:rPr>
          <w:rFonts w:ascii="Times New Roman" w:hAnsi="Times New Roman" w:cs="Times New Roman"/>
          <w:noProof/>
          <w:sz w:val="24"/>
          <w:szCs w:val="24"/>
        </w:rPr>
        <w:t xml:space="preserve"> y </w:t>
      </w:r>
      <w:r w:rsidR="00B15F5A">
        <w:rPr>
          <w:rFonts w:ascii="Times New Roman" w:hAnsi="Times New Roman" w:cs="Times New Roman"/>
          <w:noProof/>
          <w:sz w:val="24"/>
          <w:szCs w:val="24"/>
        </w:rPr>
        <w:t xml:space="preserve">una limitación estricta de los </w:t>
      </w:r>
      <w:r w:rsidR="00B15F5A" w:rsidRPr="00B15F5A">
        <w:rPr>
          <w:rFonts w:ascii="Times New Roman" w:hAnsi="Times New Roman" w:cs="Times New Roman"/>
          <w:noProof/>
          <w:sz w:val="24"/>
          <w:szCs w:val="24"/>
        </w:rPr>
        <w:t xml:space="preserve">elementos que se podrán tener dentro de las celdas, todos </w:t>
      </w:r>
      <w:r w:rsidR="00B15F5A">
        <w:rPr>
          <w:rFonts w:ascii="Times New Roman" w:hAnsi="Times New Roman" w:cs="Times New Roman"/>
          <w:noProof/>
          <w:sz w:val="24"/>
          <w:szCs w:val="24"/>
        </w:rPr>
        <w:t xml:space="preserve">ellos </w:t>
      </w:r>
      <w:r w:rsidR="00B15F5A" w:rsidRPr="00B15F5A">
        <w:rPr>
          <w:rFonts w:ascii="Times New Roman" w:hAnsi="Times New Roman" w:cs="Times New Roman"/>
          <w:noProof/>
          <w:sz w:val="24"/>
          <w:szCs w:val="24"/>
        </w:rPr>
        <w:t>provistos por el SPF</w:t>
      </w:r>
      <w:r w:rsidR="00B15F5A">
        <w:rPr>
          <w:rFonts w:ascii="Times New Roman" w:hAnsi="Times New Roman" w:cs="Times New Roman"/>
          <w:noProof/>
          <w:sz w:val="24"/>
          <w:szCs w:val="24"/>
        </w:rPr>
        <w:t>, sin que esté autorizado el ingreso de elementos personales.</w:t>
      </w:r>
    </w:p>
    <w:p w14:paraId="0F1B0E9B" w14:textId="2B349FEF" w:rsidR="00143731" w:rsidRDefault="00143731" w:rsidP="004E2174">
      <w:pPr>
        <w:spacing w:after="120" w:line="240" w:lineRule="auto"/>
        <w:jc w:val="both"/>
        <w:rPr>
          <w:rFonts w:ascii="Times New Roman" w:hAnsi="Times New Roman" w:cs="Times New Roman"/>
          <w:noProof/>
          <w:sz w:val="24"/>
          <w:szCs w:val="24"/>
        </w:rPr>
      </w:pPr>
      <w:r>
        <w:rPr>
          <w:rFonts w:ascii="Times New Roman" w:hAnsi="Times New Roman" w:cs="Times New Roman"/>
          <w:noProof/>
          <w:sz w:val="24"/>
          <w:szCs w:val="24"/>
        </w:rPr>
        <w:t>A fin de</w:t>
      </w:r>
      <w:r w:rsidRPr="00143731">
        <w:rPr>
          <w:rFonts w:ascii="Times New Roman" w:hAnsi="Times New Roman" w:cs="Times New Roman"/>
          <w:noProof/>
          <w:sz w:val="24"/>
          <w:szCs w:val="24"/>
        </w:rPr>
        <w:t xml:space="preserve"> diciembre de 2024 había</w:t>
      </w:r>
      <w:r>
        <w:rPr>
          <w:rFonts w:ascii="Times New Roman" w:hAnsi="Times New Roman" w:cs="Times New Roman"/>
          <w:noProof/>
          <w:sz w:val="24"/>
          <w:szCs w:val="24"/>
        </w:rPr>
        <w:t xml:space="preserve"> más</w:t>
      </w:r>
      <w:r w:rsidR="00116AD3">
        <w:rPr>
          <w:rFonts w:ascii="Times New Roman" w:hAnsi="Times New Roman" w:cs="Times New Roman"/>
          <w:noProof/>
          <w:sz w:val="24"/>
          <w:szCs w:val="24"/>
        </w:rPr>
        <w:t xml:space="preserve"> </w:t>
      </w:r>
      <w:r>
        <w:rPr>
          <w:rFonts w:ascii="Times New Roman" w:hAnsi="Times New Roman" w:cs="Times New Roman"/>
          <w:noProof/>
          <w:sz w:val="24"/>
          <w:szCs w:val="24"/>
        </w:rPr>
        <w:t xml:space="preserve">de 100 personas </w:t>
      </w:r>
      <w:r w:rsidR="00F32596">
        <w:rPr>
          <w:rFonts w:ascii="Times New Roman" w:hAnsi="Times New Roman" w:cs="Times New Roman"/>
          <w:noProof/>
          <w:sz w:val="24"/>
          <w:szCs w:val="24"/>
        </w:rPr>
        <w:t xml:space="preserve">incorporadas </w:t>
      </w:r>
      <w:r>
        <w:rPr>
          <w:rFonts w:ascii="Times New Roman" w:hAnsi="Times New Roman" w:cs="Times New Roman"/>
          <w:noProof/>
          <w:sz w:val="24"/>
          <w:szCs w:val="24"/>
        </w:rPr>
        <w:t xml:space="preserve">al </w:t>
      </w:r>
      <w:r w:rsidRPr="006C729F">
        <w:rPr>
          <w:rFonts w:ascii="Times New Roman" w:hAnsi="Times New Roman" w:cs="Times New Roman"/>
          <w:noProof/>
          <w:sz w:val="24"/>
          <w:szCs w:val="24"/>
        </w:rPr>
        <w:t xml:space="preserve">Sistema integral de gestión para personas privadas de la libertad de alto riesgo en el </w:t>
      </w:r>
      <w:r>
        <w:rPr>
          <w:rFonts w:ascii="Times New Roman" w:hAnsi="Times New Roman" w:cs="Times New Roman"/>
          <w:noProof/>
          <w:sz w:val="24"/>
          <w:szCs w:val="24"/>
        </w:rPr>
        <w:t>S</w:t>
      </w:r>
      <w:r w:rsidRPr="006C729F">
        <w:rPr>
          <w:rFonts w:ascii="Times New Roman" w:hAnsi="Times New Roman" w:cs="Times New Roman"/>
          <w:noProof/>
          <w:sz w:val="24"/>
          <w:szCs w:val="24"/>
        </w:rPr>
        <w:t xml:space="preserve">ervicio </w:t>
      </w:r>
      <w:r>
        <w:rPr>
          <w:rFonts w:ascii="Times New Roman" w:hAnsi="Times New Roman" w:cs="Times New Roman"/>
          <w:noProof/>
          <w:sz w:val="24"/>
          <w:szCs w:val="24"/>
        </w:rPr>
        <w:t>P</w:t>
      </w:r>
      <w:r w:rsidRPr="006C729F">
        <w:rPr>
          <w:rFonts w:ascii="Times New Roman" w:hAnsi="Times New Roman" w:cs="Times New Roman"/>
          <w:noProof/>
          <w:sz w:val="24"/>
          <w:szCs w:val="24"/>
        </w:rPr>
        <w:t xml:space="preserve">enitenciario </w:t>
      </w:r>
      <w:r>
        <w:rPr>
          <w:rFonts w:ascii="Times New Roman" w:hAnsi="Times New Roman" w:cs="Times New Roman"/>
          <w:noProof/>
          <w:sz w:val="24"/>
          <w:szCs w:val="24"/>
        </w:rPr>
        <w:t>F</w:t>
      </w:r>
      <w:r w:rsidRPr="006C729F">
        <w:rPr>
          <w:rFonts w:ascii="Times New Roman" w:hAnsi="Times New Roman" w:cs="Times New Roman"/>
          <w:noProof/>
          <w:sz w:val="24"/>
          <w:szCs w:val="24"/>
        </w:rPr>
        <w:t>ederal</w:t>
      </w:r>
      <w:r>
        <w:rPr>
          <w:rFonts w:ascii="Times New Roman" w:hAnsi="Times New Roman" w:cs="Times New Roman"/>
          <w:noProof/>
          <w:sz w:val="24"/>
          <w:szCs w:val="24"/>
        </w:rPr>
        <w:t>.</w:t>
      </w:r>
    </w:p>
    <w:p w14:paraId="106567A3" w14:textId="53375B06" w:rsidR="00B15F5A" w:rsidRDefault="000F4355" w:rsidP="004E2174">
      <w:pPr>
        <w:spacing w:after="120" w:line="24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La PPN considera preocupante la creación mediante normativa infralegal y sin un adecuado control judicial de un sistema </w:t>
      </w:r>
      <w:r w:rsidR="00F64B20">
        <w:rPr>
          <w:rFonts w:ascii="Times New Roman" w:hAnsi="Times New Roman" w:cs="Times New Roman"/>
          <w:noProof/>
          <w:sz w:val="24"/>
          <w:szCs w:val="24"/>
        </w:rPr>
        <w:t xml:space="preserve">penitenciario </w:t>
      </w:r>
      <w:r>
        <w:rPr>
          <w:rFonts w:ascii="Times New Roman" w:hAnsi="Times New Roman" w:cs="Times New Roman"/>
          <w:noProof/>
          <w:sz w:val="24"/>
          <w:szCs w:val="24"/>
        </w:rPr>
        <w:t xml:space="preserve">de </w:t>
      </w:r>
      <w:r w:rsidR="00F64B20">
        <w:rPr>
          <w:rFonts w:ascii="Times New Roman" w:hAnsi="Times New Roman" w:cs="Times New Roman"/>
          <w:noProof/>
          <w:sz w:val="24"/>
          <w:szCs w:val="24"/>
        </w:rPr>
        <w:t xml:space="preserve">máxima </w:t>
      </w:r>
      <w:r>
        <w:rPr>
          <w:rFonts w:ascii="Times New Roman" w:hAnsi="Times New Roman" w:cs="Times New Roman"/>
          <w:noProof/>
          <w:sz w:val="24"/>
          <w:szCs w:val="24"/>
        </w:rPr>
        <w:t>seguridad</w:t>
      </w:r>
      <w:r w:rsidR="00F64B20">
        <w:rPr>
          <w:rFonts w:ascii="Times New Roman" w:hAnsi="Times New Roman" w:cs="Times New Roman"/>
          <w:noProof/>
          <w:sz w:val="24"/>
          <w:szCs w:val="24"/>
        </w:rPr>
        <w:t>,</w:t>
      </w:r>
      <w:r>
        <w:rPr>
          <w:rFonts w:ascii="Times New Roman" w:hAnsi="Times New Roman" w:cs="Times New Roman"/>
          <w:noProof/>
          <w:sz w:val="24"/>
          <w:szCs w:val="24"/>
        </w:rPr>
        <w:t xml:space="preserve"> que conlleva la aplicación de un régimen de aislamiento prolongado y numerosas restricciones a los contactos </w:t>
      </w:r>
      <w:r w:rsidR="00F64B20">
        <w:rPr>
          <w:rFonts w:ascii="Times New Roman" w:hAnsi="Times New Roman" w:cs="Times New Roman"/>
          <w:noProof/>
          <w:sz w:val="24"/>
          <w:szCs w:val="24"/>
        </w:rPr>
        <w:t xml:space="preserve">humanos </w:t>
      </w:r>
      <w:r>
        <w:rPr>
          <w:rFonts w:ascii="Times New Roman" w:hAnsi="Times New Roman" w:cs="Times New Roman"/>
          <w:noProof/>
          <w:sz w:val="24"/>
          <w:szCs w:val="24"/>
        </w:rPr>
        <w:t>significativos de las personas privadas de libertad a quienes se les aplica.</w:t>
      </w:r>
    </w:p>
    <w:p w14:paraId="019C95FA" w14:textId="77777777" w:rsidR="000F4355" w:rsidRPr="006C729F" w:rsidRDefault="000F4355" w:rsidP="004E2174">
      <w:pPr>
        <w:spacing w:after="120" w:line="240" w:lineRule="auto"/>
        <w:jc w:val="both"/>
        <w:rPr>
          <w:rFonts w:ascii="Times New Roman" w:hAnsi="Times New Roman" w:cs="Times New Roman"/>
          <w:noProof/>
          <w:sz w:val="24"/>
          <w:szCs w:val="24"/>
        </w:rPr>
      </w:pPr>
    </w:p>
    <w:p w14:paraId="3DAD63D0" w14:textId="287811A2" w:rsidR="00597B52" w:rsidRDefault="00F038BC" w:rsidP="004E2174">
      <w:pPr>
        <w:pStyle w:val="Heading2"/>
        <w:spacing w:before="0" w:after="120" w:line="240" w:lineRule="auto"/>
        <w:rPr>
          <w:rFonts w:ascii="Times New Roman" w:hAnsi="Times New Roman" w:cs="Times New Roman"/>
          <w:b/>
          <w:bCs/>
          <w:noProof/>
          <w:webHidden/>
          <w:sz w:val="24"/>
          <w:szCs w:val="24"/>
        </w:rPr>
      </w:pPr>
      <w:bookmarkStart w:id="18" w:name="_Toc210805575"/>
      <w:r w:rsidRPr="00921E1E">
        <w:rPr>
          <w:rStyle w:val="Hyperlink"/>
          <w:rFonts w:ascii="Times New Roman" w:hAnsi="Times New Roman" w:cs="Times New Roman"/>
          <w:b/>
          <w:bCs/>
          <w:noProof/>
          <w:color w:val="auto"/>
          <w:sz w:val="24"/>
          <w:szCs w:val="24"/>
          <w:u w:val="none"/>
        </w:rPr>
        <w:t>5</w:t>
      </w:r>
      <w:r w:rsidR="00597B52" w:rsidRPr="00921E1E">
        <w:rPr>
          <w:rStyle w:val="Hyperlink"/>
          <w:rFonts w:ascii="Times New Roman" w:hAnsi="Times New Roman" w:cs="Times New Roman"/>
          <w:b/>
          <w:bCs/>
          <w:noProof/>
          <w:color w:val="auto"/>
          <w:sz w:val="24"/>
          <w:szCs w:val="24"/>
          <w:u w:val="none"/>
        </w:rPr>
        <w:t>.2. Registros personales y requisas vejatorias</w:t>
      </w:r>
      <w:bookmarkEnd w:id="18"/>
      <w:r w:rsidR="00597B52" w:rsidRPr="00921E1E">
        <w:rPr>
          <w:rFonts w:ascii="Times New Roman" w:hAnsi="Times New Roman" w:cs="Times New Roman"/>
          <w:b/>
          <w:bCs/>
          <w:noProof/>
          <w:webHidden/>
          <w:sz w:val="24"/>
          <w:szCs w:val="24"/>
        </w:rPr>
        <w:tab/>
      </w:r>
    </w:p>
    <w:p w14:paraId="3F94E6BC" w14:textId="20A51800" w:rsidR="00127BF2" w:rsidRPr="00C00F16" w:rsidRDefault="00127BF2" w:rsidP="004E2174">
      <w:pPr>
        <w:spacing w:after="120" w:line="240" w:lineRule="auto"/>
        <w:jc w:val="both"/>
        <w:rPr>
          <w:rFonts w:ascii="Times New Roman" w:hAnsi="Times New Roman" w:cs="Times New Roman"/>
          <w:sz w:val="24"/>
          <w:szCs w:val="24"/>
          <w:lang w:val="es-419"/>
        </w:rPr>
      </w:pPr>
      <w:r w:rsidRPr="00C00F16">
        <w:rPr>
          <w:rFonts w:ascii="Times New Roman" w:hAnsi="Times New Roman" w:cs="Times New Roman"/>
          <w:sz w:val="24"/>
          <w:szCs w:val="24"/>
          <w:lang w:val="es-419"/>
        </w:rPr>
        <w:t>En el año 2013, luego de constatar que la normativa del SPF que regulaba los procedimientos de registro personal y requisa de instalaciones no se ajustaba a l</w:t>
      </w:r>
      <w:r w:rsidR="00205567">
        <w:rPr>
          <w:rFonts w:ascii="Times New Roman" w:hAnsi="Times New Roman" w:cs="Times New Roman"/>
          <w:sz w:val="24"/>
          <w:szCs w:val="24"/>
          <w:lang w:val="es-419"/>
        </w:rPr>
        <w:t>os principios internacionales en</w:t>
      </w:r>
      <w:r w:rsidRPr="00C00F16">
        <w:rPr>
          <w:rFonts w:ascii="Times New Roman" w:hAnsi="Times New Roman" w:cs="Times New Roman"/>
          <w:sz w:val="24"/>
          <w:szCs w:val="24"/>
          <w:lang w:val="es-419"/>
        </w:rPr>
        <w:t xml:space="preserve"> la materia, el Juzgado Federal N° 1 de Lomas de Zamora ordenó al SPF que debía convocar a la conformación de una mesa de diálogo a los fines de que se dicte un nuevo reglamento</w:t>
      </w:r>
      <w:r w:rsidRPr="00C00F16">
        <w:rPr>
          <w:rStyle w:val="FootnoteReference"/>
          <w:rFonts w:ascii="Times New Roman" w:hAnsi="Times New Roman" w:cs="Times New Roman"/>
          <w:sz w:val="24"/>
          <w:szCs w:val="24"/>
          <w:lang w:val="es-419"/>
        </w:rPr>
        <w:footnoteReference w:id="33"/>
      </w:r>
      <w:r w:rsidRPr="00C00F16">
        <w:rPr>
          <w:rFonts w:ascii="Times New Roman" w:hAnsi="Times New Roman" w:cs="Times New Roman"/>
          <w:sz w:val="24"/>
          <w:szCs w:val="24"/>
          <w:lang w:val="es-419"/>
        </w:rPr>
        <w:t>. Esa sentencia fue confirmada por la Cámara Federal de La Plata y la Cámara Federal de Casación Penal en mayo y octubre de 2016, respectivamente.</w:t>
      </w:r>
    </w:p>
    <w:p w14:paraId="4E649F99" w14:textId="178DF4EE" w:rsidR="00127BF2" w:rsidRPr="00C00F16" w:rsidRDefault="00F32596" w:rsidP="004E2174">
      <w:pPr>
        <w:spacing w:after="120" w:line="240" w:lineRule="auto"/>
        <w:jc w:val="both"/>
        <w:rPr>
          <w:rFonts w:ascii="Times New Roman" w:hAnsi="Times New Roman" w:cs="Times New Roman"/>
          <w:sz w:val="24"/>
          <w:szCs w:val="24"/>
          <w:lang w:val="es-419"/>
        </w:rPr>
      </w:pPr>
      <w:r>
        <w:rPr>
          <w:rFonts w:ascii="Times New Roman" w:hAnsi="Times New Roman" w:cs="Times New Roman"/>
          <w:sz w:val="24"/>
          <w:szCs w:val="24"/>
          <w:lang w:val="es-419"/>
        </w:rPr>
        <w:t>Sin embargo, la ejecución de l</w:t>
      </w:r>
      <w:r w:rsidR="00127BF2" w:rsidRPr="00C00F16">
        <w:rPr>
          <w:rFonts w:ascii="Times New Roman" w:hAnsi="Times New Roman" w:cs="Times New Roman"/>
          <w:sz w:val="24"/>
          <w:szCs w:val="24"/>
          <w:lang w:val="es-419"/>
        </w:rPr>
        <w:t xml:space="preserve">a sentencia atravesó largas demoras por el deliberado incumplimiento de parte de la agencia penitenciaria, que nunca realizó la convocatoria a la mesa de diálogo pese a ser reiteradamente intimada por la justicia federal. </w:t>
      </w:r>
    </w:p>
    <w:p w14:paraId="1B12E982" w14:textId="6A5368F8" w:rsidR="00127BF2" w:rsidRPr="00C00F16" w:rsidRDefault="00F32596" w:rsidP="004E2174">
      <w:pPr>
        <w:spacing w:after="120" w:line="240" w:lineRule="auto"/>
        <w:jc w:val="both"/>
        <w:rPr>
          <w:rFonts w:ascii="Times New Roman" w:hAnsi="Times New Roman" w:cs="Times New Roman"/>
          <w:sz w:val="24"/>
          <w:szCs w:val="24"/>
          <w:lang w:val="es-419"/>
        </w:rPr>
      </w:pPr>
      <w:r>
        <w:rPr>
          <w:rFonts w:ascii="Times New Roman" w:hAnsi="Times New Roman" w:cs="Times New Roman"/>
          <w:sz w:val="24"/>
          <w:szCs w:val="24"/>
          <w:lang w:val="es-419"/>
        </w:rPr>
        <w:t>Finalmente</w:t>
      </w:r>
      <w:r w:rsidR="00127BF2" w:rsidRPr="00C00F16">
        <w:rPr>
          <w:rFonts w:ascii="Times New Roman" w:hAnsi="Times New Roman" w:cs="Times New Roman"/>
          <w:sz w:val="24"/>
          <w:szCs w:val="24"/>
          <w:lang w:val="es-419"/>
        </w:rPr>
        <w:t xml:space="preserve"> </w:t>
      </w:r>
      <w:r>
        <w:rPr>
          <w:rFonts w:ascii="Times New Roman" w:hAnsi="Times New Roman" w:cs="Times New Roman"/>
          <w:sz w:val="24"/>
          <w:szCs w:val="24"/>
          <w:lang w:val="es-419"/>
        </w:rPr>
        <w:t>d</w:t>
      </w:r>
      <w:r w:rsidR="00127BF2" w:rsidRPr="00C00F16">
        <w:rPr>
          <w:rFonts w:ascii="Times New Roman" w:hAnsi="Times New Roman" w:cs="Times New Roman"/>
          <w:sz w:val="24"/>
          <w:szCs w:val="24"/>
          <w:lang w:val="es-419"/>
        </w:rPr>
        <w:t>urante el año 2024 y principios del 2025 se realizaron varias reuniones en el marco de esa mesa de diálogo</w:t>
      </w:r>
      <w:r>
        <w:rPr>
          <w:rFonts w:ascii="Times New Roman" w:hAnsi="Times New Roman" w:cs="Times New Roman"/>
          <w:sz w:val="24"/>
          <w:szCs w:val="24"/>
          <w:lang w:val="es-419"/>
        </w:rPr>
        <w:t xml:space="preserve"> en las que participó el SPF, la PPN, la Defensa Pública y el CNPT.</w:t>
      </w:r>
      <w:r w:rsidR="00C00F16" w:rsidRPr="00C00F16">
        <w:rPr>
          <w:rFonts w:ascii="Times New Roman" w:hAnsi="Times New Roman" w:cs="Times New Roman"/>
          <w:sz w:val="24"/>
          <w:szCs w:val="24"/>
          <w:lang w:val="es-419"/>
        </w:rPr>
        <w:t xml:space="preserve"> </w:t>
      </w:r>
      <w:r>
        <w:rPr>
          <w:rFonts w:ascii="Times New Roman" w:hAnsi="Times New Roman" w:cs="Times New Roman"/>
          <w:sz w:val="24"/>
          <w:szCs w:val="24"/>
          <w:lang w:val="es-419"/>
        </w:rPr>
        <w:t>No obstante</w:t>
      </w:r>
      <w:r w:rsidR="00C00F16" w:rsidRPr="00C00F16">
        <w:rPr>
          <w:rFonts w:ascii="Times New Roman" w:hAnsi="Times New Roman" w:cs="Times New Roman"/>
          <w:sz w:val="24"/>
          <w:szCs w:val="24"/>
          <w:lang w:val="es-419"/>
        </w:rPr>
        <w:t xml:space="preserve">, </w:t>
      </w:r>
      <w:r>
        <w:rPr>
          <w:rFonts w:ascii="Times New Roman" w:hAnsi="Times New Roman" w:cs="Times New Roman"/>
          <w:sz w:val="24"/>
          <w:szCs w:val="24"/>
          <w:lang w:val="es-419"/>
        </w:rPr>
        <w:t>a principios de 2025 el SPF</w:t>
      </w:r>
      <w:r w:rsidR="00C00F16" w:rsidRPr="00C00F16">
        <w:rPr>
          <w:rFonts w:ascii="Times New Roman" w:hAnsi="Times New Roman" w:cs="Times New Roman"/>
          <w:sz w:val="24"/>
          <w:szCs w:val="24"/>
          <w:lang w:val="es-419"/>
        </w:rPr>
        <w:t xml:space="preserve"> interrumpió abruptamente el trabajo de la mesa de diálogo y aprobó unilateralmente una nueva normativa de requisas que no contempla los acuerdos alcanzados a lo largo de los encuentros de la mesa de diálogo y nuevamente entra en contradicción con los estándares internacionales en la materia.</w:t>
      </w:r>
      <w:r>
        <w:rPr>
          <w:rFonts w:ascii="Times New Roman" w:hAnsi="Times New Roman" w:cs="Times New Roman"/>
          <w:sz w:val="24"/>
          <w:szCs w:val="24"/>
          <w:lang w:val="es-419"/>
        </w:rPr>
        <w:t xml:space="preserve"> De esta forma, la Argentina sigue sin disponer de una normativa que regule los procedimientos de registro personal y requisa de instalaciones en las cárceles federales.</w:t>
      </w:r>
    </w:p>
    <w:p w14:paraId="1B048218" w14:textId="73AF1C2B" w:rsidR="00127BF2" w:rsidRPr="00C00F16" w:rsidRDefault="00C00F16" w:rsidP="004E2174">
      <w:pPr>
        <w:spacing w:after="120" w:line="240" w:lineRule="auto"/>
        <w:jc w:val="both"/>
        <w:rPr>
          <w:rFonts w:ascii="Times New Roman" w:eastAsia="Times New Roman" w:hAnsi="Times New Roman" w:cs="Times New Roman"/>
          <w:sz w:val="24"/>
          <w:szCs w:val="24"/>
        </w:rPr>
      </w:pPr>
      <w:r>
        <w:rPr>
          <w:rFonts w:ascii="Times New Roman" w:hAnsi="Times New Roman" w:cs="Times New Roman"/>
          <w:sz w:val="24"/>
          <w:szCs w:val="24"/>
          <w:lang w:val="es-419"/>
        </w:rPr>
        <w:t>Por otro lado, en relación a las prácticas de registro corporal de personas privadas de libertad, la PPN quiere llamar la atención del CAT sobre una práctica emergente en el último tiempo que resulta gravemente violatoria de la dignidad humana de las mujeres presas.</w:t>
      </w:r>
    </w:p>
    <w:p w14:paraId="08E2105F" w14:textId="00356290" w:rsidR="00850FB6" w:rsidRDefault="00850FB6" w:rsidP="004E2174">
      <w:p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el último año l</w:t>
      </w:r>
      <w:r w:rsidRPr="009F19C1">
        <w:rPr>
          <w:rFonts w:ascii="Times New Roman" w:eastAsia="Times New Roman" w:hAnsi="Times New Roman" w:cs="Times New Roman"/>
          <w:sz w:val="24"/>
          <w:szCs w:val="24"/>
        </w:rPr>
        <w:t xml:space="preserve">a Procuración Penitenciaria ha recibido varias denuncias procedentes de mujeres que se encuentran privadas de libertad en el Complejo Penitenciario Federal IV de Ezeiza, quienes han manifestado haber sido objeto de tactos vaginales y en un caso incluso de tacto rectal como forma de requisa corporal a solicitud del Servicio Penitenciario Federal, </w:t>
      </w:r>
      <w:r w:rsidRPr="00850FB6">
        <w:rPr>
          <w:rFonts w:ascii="Times New Roman" w:eastAsia="Times New Roman" w:hAnsi="Times New Roman" w:cs="Times New Roman"/>
          <w:sz w:val="24"/>
          <w:szCs w:val="24"/>
        </w:rPr>
        <w:t>sin orden judicial que lo disponga.</w:t>
      </w:r>
      <w:r>
        <w:rPr>
          <w:rFonts w:ascii="Times New Roman" w:eastAsia="Times New Roman" w:hAnsi="Times New Roman" w:cs="Times New Roman"/>
          <w:sz w:val="24"/>
          <w:szCs w:val="24"/>
        </w:rPr>
        <w:t xml:space="preserve"> Estas </w:t>
      </w:r>
      <w:r w:rsidRPr="009F19C1">
        <w:rPr>
          <w:rFonts w:ascii="Times New Roman" w:eastAsia="Times New Roman" w:hAnsi="Times New Roman" w:cs="Times New Roman"/>
          <w:sz w:val="24"/>
          <w:szCs w:val="24"/>
        </w:rPr>
        <w:t>prácticas estarían motivadas en cuestiones de seguridad y no en solicitudes de atención a la salud de las personas afectadas.</w:t>
      </w:r>
    </w:p>
    <w:p w14:paraId="60481714" w14:textId="5139B214" w:rsidR="00850FB6" w:rsidRPr="00850FB6" w:rsidRDefault="00850FB6" w:rsidP="004E2174">
      <w:pPr>
        <w:spacing w:after="120" w:line="240" w:lineRule="auto"/>
        <w:jc w:val="both"/>
        <w:rPr>
          <w:rFonts w:ascii="Times New Roman" w:eastAsia="Times New Roman" w:hAnsi="Times New Roman" w:cs="Times New Roman"/>
          <w:sz w:val="24"/>
          <w:szCs w:val="24"/>
        </w:rPr>
      </w:pPr>
      <w:r w:rsidRPr="00850FB6">
        <w:rPr>
          <w:rFonts w:ascii="Times New Roman" w:eastAsia="Times New Roman" w:hAnsi="Times New Roman" w:cs="Times New Roman"/>
          <w:sz w:val="24"/>
          <w:szCs w:val="24"/>
        </w:rPr>
        <w:t>En todos los casos denunciados la secuencia de los hechos coincide, lo que permite inferir que estamos frente a una práctica sistemática de vulneración de derechos: las mujeres relataron que en el marco de una requisa de pabellón o al volver de una visita, las hicieron pasar por el escáner corporal y tras visualizar una imagen que se alega como “sospechosa”, las trasladaron al Centro Médico del CPF IV donde les hicieron una revisión superficial. Posteriormente, fueron derivadas al servicio de ginecología del Hospital</w:t>
      </w:r>
      <w:r w:rsidR="00116AD3" w:rsidRPr="00116AD3">
        <w:rPr>
          <w:rFonts w:ascii="Segoe UI" w:hAnsi="Segoe UI" w:cs="Segoe UI"/>
          <w:sz w:val="18"/>
          <w:szCs w:val="18"/>
        </w:rPr>
        <w:t xml:space="preserve"> </w:t>
      </w:r>
      <w:r w:rsidR="00116AD3" w:rsidRPr="00116AD3">
        <w:rPr>
          <w:rFonts w:ascii="Times New Roman" w:eastAsia="Times New Roman" w:hAnsi="Times New Roman" w:cs="Times New Roman"/>
          <w:sz w:val="24"/>
          <w:szCs w:val="24"/>
        </w:rPr>
        <w:t>público zonal general de agudos</w:t>
      </w:r>
      <w:r w:rsidRPr="00850FB6">
        <w:rPr>
          <w:rFonts w:ascii="Times New Roman" w:eastAsia="Times New Roman" w:hAnsi="Times New Roman" w:cs="Times New Roman"/>
          <w:sz w:val="24"/>
          <w:szCs w:val="24"/>
        </w:rPr>
        <w:t xml:space="preserve"> Eurnekian para ser examinadas por “sospecha de cuerpo extraño” en la zona genital. </w:t>
      </w:r>
    </w:p>
    <w:p w14:paraId="48AA4184" w14:textId="4254A310" w:rsidR="00850FB6" w:rsidRPr="00850FB6" w:rsidRDefault="00850FB6" w:rsidP="004E2174">
      <w:pPr>
        <w:spacing w:after="120" w:line="240" w:lineRule="auto"/>
        <w:jc w:val="both"/>
        <w:rPr>
          <w:rFonts w:ascii="Times New Roman" w:eastAsia="Times New Roman" w:hAnsi="Times New Roman" w:cs="Times New Roman"/>
          <w:iCs/>
          <w:sz w:val="24"/>
          <w:szCs w:val="24"/>
        </w:rPr>
      </w:pPr>
      <w:r w:rsidRPr="00850FB6">
        <w:rPr>
          <w:rFonts w:ascii="Times New Roman" w:eastAsia="Times New Roman" w:hAnsi="Times New Roman" w:cs="Times New Roman"/>
          <w:sz w:val="24"/>
          <w:szCs w:val="24"/>
        </w:rPr>
        <w:t xml:space="preserve">Las detenidas manifestaron que en ningún momento se les explicó con claridad a qué tipo de examen serían sometidas. También señalaron que no se les solicitó su consentimiento expreso para ser trasladadas fuera del establecimiento penitenciario ni para someterse a procedimientos médicos o requisas de carácter invasivo. En todos los casos, los registros intrusivos sobre sus cuerpos fueron realizados </w:t>
      </w:r>
      <w:r w:rsidR="00205567">
        <w:rPr>
          <w:rFonts w:ascii="Times New Roman" w:eastAsia="Times New Roman" w:hAnsi="Times New Roman" w:cs="Times New Roman"/>
          <w:sz w:val="24"/>
          <w:szCs w:val="24"/>
        </w:rPr>
        <w:t xml:space="preserve">por médicos del hospital </w:t>
      </w:r>
      <w:r w:rsidRPr="00850FB6">
        <w:rPr>
          <w:rFonts w:ascii="Times New Roman" w:eastAsia="Times New Roman" w:hAnsi="Times New Roman" w:cs="Times New Roman"/>
          <w:sz w:val="24"/>
          <w:szCs w:val="24"/>
        </w:rPr>
        <w:t xml:space="preserve">en presencia del personal de requisa del Servicio Penitenciario Federal. </w:t>
      </w:r>
      <w:r w:rsidRPr="00850FB6">
        <w:rPr>
          <w:rFonts w:ascii="Times New Roman" w:eastAsia="Times New Roman" w:hAnsi="Times New Roman" w:cs="Times New Roman"/>
          <w:iCs/>
          <w:sz w:val="24"/>
          <w:szCs w:val="24"/>
        </w:rPr>
        <w:t xml:space="preserve">En la mayoría de los casos, además del tacto vaginal, también se efectuaron estudios complementarios, consistentes en ecografías abdominales, ecografías transvaginales y/o radiografías. </w:t>
      </w:r>
      <w:r w:rsidRPr="00850FB6">
        <w:rPr>
          <w:rFonts w:ascii="Times New Roman" w:eastAsia="Times New Roman" w:hAnsi="Times New Roman" w:cs="Times New Roman"/>
          <w:sz w:val="24"/>
          <w:szCs w:val="24"/>
        </w:rPr>
        <w:t xml:space="preserve">Especialmente gravosa fue la situación para </w:t>
      </w:r>
      <w:r w:rsidRPr="00850FB6">
        <w:rPr>
          <w:rFonts w:ascii="Times New Roman" w:eastAsia="Times New Roman" w:hAnsi="Times New Roman" w:cs="Times New Roman"/>
          <w:iCs/>
          <w:sz w:val="24"/>
          <w:szCs w:val="24"/>
        </w:rPr>
        <w:t xml:space="preserve">una joven de 19 años a la que le practicaron un tacto rectal.  </w:t>
      </w:r>
    </w:p>
    <w:p w14:paraId="46A04A55" w14:textId="6409100A" w:rsidR="00850FB6" w:rsidRPr="00850FB6" w:rsidRDefault="00850FB6" w:rsidP="004E2174">
      <w:pPr>
        <w:spacing w:after="120" w:line="240" w:lineRule="auto"/>
        <w:jc w:val="both"/>
        <w:rPr>
          <w:rFonts w:ascii="Times New Roman" w:eastAsia="Times New Roman" w:hAnsi="Times New Roman" w:cs="Times New Roman"/>
          <w:sz w:val="24"/>
          <w:szCs w:val="24"/>
        </w:rPr>
      </w:pPr>
      <w:r w:rsidRPr="00850FB6">
        <w:rPr>
          <w:rFonts w:ascii="Times New Roman" w:eastAsia="Times New Roman" w:hAnsi="Times New Roman" w:cs="Times New Roman"/>
          <w:iCs/>
          <w:sz w:val="24"/>
          <w:szCs w:val="24"/>
        </w:rPr>
        <w:t>Es importante señalar que todas las mujeres negaron en todo momento tener ningún elemento dentro de su cuerpo y que en ninguno de los casos las exploraciones a las que fueron sometidas dieron resultado positivo, o sea, no hallaron la “presencia de cuerpo extraño” dentro del cuerpo de las detenidas. También hay que destacar que a pesar de los múltiples procedimientos y estudios realizados, no se brindó a las detenidas una</w:t>
      </w:r>
      <w:r w:rsidRPr="00850FB6">
        <w:rPr>
          <w:rFonts w:ascii="Times New Roman" w:eastAsia="Times New Roman" w:hAnsi="Times New Roman" w:cs="Times New Roman"/>
          <w:sz w:val="24"/>
          <w:szCs w:val="24"/>
        </w:rPr>
        <w:t xml:space="preserve"> explicación de a qué se debía la imagen detectada en el escáner del penal, ni una </w:t>
      </w:r>
      <w:r w:rsidRPr="00850FB6">
        <w:rPr>
          <w:rFonts w:ascii="Times New Roman" w:eastAsia="Times New Roman" w:hAnsi="Times New Roman" w:cs="Times New Roman"/>
          <w:iCs/>
          <w:sz w:val="24"/>
          <w:szCs w:val="24"/>
        </w:rPr>
        <w:t>devolución o análisis diagnóstico relacionado con esa “imagen sospechosa”, lo que generó en todo</w:t>
      </w:r>
      <w:r>
        <w:rPr>
          <w:rFonts w:ascii="Times New Roman" w:eastAsia="Times New Roman" w:hAnsi="Times New Roman" w:cs="Times New Roman"/>
          <w:iCs/>
          <w:sz w:val="24"/>
          <w:szCs w:val="24"/>
        </w:rPr>
        <w:t>s</w:t>
      </w:r>
      <w:r w:rsidRPr="00850FB6">
        <w:rPr>
          <w:rFonts w:ascii="Times New Roman" w:eastAsia="Times New Roman" w:hAnsi="Times New Roman" w:cs="Times New Roman"/>
          <w:iCs/>
          <w:sz w:val="24"/>
          <w:szCs w:val="24"/>
        </w:rPr>
        <w:t xml:space="preserve"> los casos gran angustia e incertidumbre </w:t>
      </w:r>
      <w:r w:rsidRPr="00850FB6">
        <w:rPr>
          <w:rFonts w:ascii="Times New Roman" w:eastAsia="Times New Roman" w:hAnsi="Times New Roman" w:cs="Times New Roman"/>
          <w:sz w:val="24"/>
          <w:szCs w:val="24"/>
        </w:rPr>
        <w:t>sobre su estado de salud.</w:t>
      </w:r>
    </w:p>
    <w:p w14:paraId="1C34F308" w14:textId="774AE948" w:rsidR="00850FB6" w:rsidRDefault="00850FB6" w:rsidP="004E2174">
      <w:pPr>
        <w:spacing w:after="120" w:line="240" w:lineRule="auto"/>
        <w:jc w:val="both"/>
        <w:rPr>
          <w:rFonts w:ascii="Times New Roman" w:eastAsia="Times New Roman" w:hAnsi="Times New Roman" w:cs="Times New Roman"/>
          <w:sz w:val="24"/>
          <w:szCs w:val="24"/>
        </w:rPr>
      </w:pPr>
      <w:r w:rsidRPr="00850FB6">
        <w:rPr>
          <w:rFonts w:ascii="Times New Roman" w:eastAsia="Times New Roman" w:hAnsi="Times New Roman" w:cs="Times New Roman"/>
          <w:sz w:val="24"/>
          <w:szCs w:val="24"/>
        </w:rPr>
        <w:t xml:space="preserve">Vista la discrecionalidad con que el SPF decide hacer este tipo de procedimientos, así como la falta de protocolos para regular la derivación e intervención del personal del hospital público, la </w:t>
      </w:r>
      <w:r>
        <w:rPr>
          <w:rFonts w:ascii="Times New Roman" w:eastAsia="Times New Roman" w:hAnsi="Times New Roman" w:cs="Times New Roman"/>
          <w:sz w:val="24"/>
          <w:szCs w:val="24"/>
        </w:rPr>
        <w:t>PPN</w:t>
      </w:r>
      <w:r w:rsidRPr="00850FB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recientemente emitió una </w:t>
      </w:r>
      <w:r w:rsidRPr="00850FB6">
        <w:rPr>
          <w:rFonts w:ascii="Times New Roman" w:eastAsia="Times New Roman" w:hAnsi="Times New Roman" w:cs="Times New Roman"/>
          <w:sz w:val="24"/>
          <w:szCs w:val="24"/>
        </w:rPr>
        <w:t>recomend</w:t>
      </w:r>
      <w:r>
        <w:rPr>
          <w:rFonts w:ascii="Times New Roman" w:eastAsia="Times New Roman" w:hAnsi="Times New Roman" w:cs="Times New Roman"/>
          <w:sz w:val="24"/>
          <w:szCs w:val="24"/>
        </w:rPr>
        <w:t xml:space="preserve">ación con el objetivo de </w:t>
      </w:r>
      <w:r w:rsidRPr="00850FB6">
        <w:rPr>
          <w:rFonts w:ascii="Times New Roman" w:eastAsia="Times New Roman" w:hAnsi="Times New Roman" w:cs="Times New Roman"/>
          <w:sz w:val="24"/>
          <w:szCs w:val="24"/>
        </w:rPr>
        <w:t xml:space="preserve">poner fin a </w:t>
      </w:r>
      <w:r w:rsidR="00FA7A2E">
        <w:rPr>
          <w:rFonts w:ascii="Times New Roman" w:eastAsia="Times New Roman" w:hAnsi="Times New Roman" w:cs="Times New Roman"/>
          <w:sz w:val="24"/>
          <w:szCs w:val="24"/>
        </w:rPr>
        <w:t>est</w:t>
      </w:r>
      <w:r w:rsidRPr="00850FB6">
        <w:rPr>
          <w:rFonts w:ascii="Times New Roman" w:eastAsia="Times New Roman" w:hAnsi="Times New Roman" w:cs="Times New Roman"/>
          <w:sz w:val="24"/>
          <w:szCs w:val="24"/>
        </w:rPr>
        <w:t>a práctica degradante que vulnera el derecho de las mujeres a una vida sin violencia, a que se respete su intimidad y su integridad física y a que se les brinde adecuada atención a la salud</w:t>
      </w:r>
      <w:r w:rsidR="00FA7A2E">
        <w:rPr>
          <w:rStyle w:val="FootnoteReference"/>
          <w:rFonts w:ascii="Times New Roman" w:eastAsia="Times New Roman" w:hAnsi="Times New Roman" w:cs="Times New Roman"/>
          <w:sz w:val="24"/>
          <w:szCs w:val="24"/>
        </w:rPr>
        <w:footnoteReference w:id="34"/>
      </w:r>
      <w:r w:rsidR="00FA7A2E">
        <w:rPr>
          <w:rFonts w:ascii="Times New Roman" w:eastAsia="Times New Roman" w:hAnsi="Times New Roman" w:cs="Times New Roman"/>
          <w:sz w:val="24"/>
          <w:szCs w:val="24"/>
        </w:rPr>
        <w:t>.</w:t>
      </w:r>
    </w:p>
    <w:p w14:paraId="44007E25" w14:textId="09C4BDA1" w:rsidR="00205567" w:rsidRDefault="00205567" w:rsidP="004E2174">
      <w:p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Sería importante que este Ilustre Comité recomiende al Estado argentino que adopte una normativa sobre registros personales y requisa de instalaciones penitenciarias compatible con los estándares internacionales de derechos humanos, que incluya una prohibición expresa de registros vaginales y anales.</w:t>
      </w:r>
    </w:p>
    <w:p w14:paraId="260C6599" w14:textId="77777777" w:rsidR="00850FB6" w:rsidRPr="009F19C1" w:rsidRDefault="00850FB6" w:rsidP="004E2174">
      <w:pPr>
        <w:spacing w:after="120" w:line="240" w:lineRule="auto"/>
        <w:jc w:val="both"/>
        <w:rPr>
          <w:rFonts w:ascii="Times New Roman" w:eastAsia="Times New Roman" w:hAnsi="Times New Roman" w:cs="Times New Roman"/>
          <w:sz w:val="24"/>
          <w:szCs w:val="24"/>
        </w:rPr>
      </w:pPr>
    </w:p>
    <w:p w14:paraId="6D1CBCB7" w14:textId="77777777" w:rsidR="00681C66" w:rsidRDefault="00F038BC" w:rsidP="004E2174">
      <w:pPr>
        <w:pStyle w:val="Heading2"/>
        <w:spacing w:before="0" w:after="120" w:line="240" w:lineRule="auto"/>
        <w:rPr>
          <w:rStyle w:val="Hyperlink"/>
          <w:rFonts w:ascii="Times New Roman" w:hAnsi="Times New Roman" w:cs="Times New Roman"/>
          <w:b/>
          <w:bCs/>
          <w:noProof/>
          <w:color w:val="auto"/>
          <w:sz w:val="24"/>
          <w:szCs w:val="24"/>
          <w:u w:val="none"/>
        </w:rPr>
      </w:pPr>
      <w:bookmarkStart w:id="19" w:name="_Toc210805576"/>
      <w:r w:rsidRPr="00921E1E">
        <w:rPr>
          <w:rStyle w:val="Hyperlink"/>
          <w:rFonts w:ascii="Times New Roman" w:hAnsi="Times New Roman" w:cs="Times New Roman"/>
          <w:b/>
          <w:bCs/>
          <w:noProof/>
          <w:color w:val="auto"/>
          <w:sz w:val="24"/>
          <w:szCs w:val="24"/>
          <w:u w:val="none"/>
        </w:rPr>
        <w:t>5</w:t>
      </w:r>
      <w:r w:rsidR="00597B52" w:rsidRPr="00921E1E">
        <w:rPr>
          <w:rStyle w:val="Hyperlink"/>
          <w:rFonts w:ascii="Times New Roman" w:hAnsi="Times New Roman" w:cs="Times New Roman"/>
          <w:b/>
          <w:bCs/>
          <w:noProof/>
          <w:color w:val="auto"/>
          <w:sz w:val="24"/>
          <w:szCs w:val="24"/>
          <w:u w:val="none"/>
        </w:rPr>
        <w:t xml:space="preserve">.3.  </w:t>
      </w:r>
      <w:r w:rsidRPr="00921E1E">
        <w:rPr>
          <w:rStyle w:val="Hyperlink"/>
          <w:rFonts w:ascii="Times New Roman" w:hAnsi="Times New Roman" w:cs="Times New Roman"/>
          <w:b/>
          <w:bCs/>
          <w:noProof/>
          <w:color w:val="auto"/>
          <w:sz w:val="24"/>
          <w:szCs w:val="24"/>
          <w:u w:val="none"/>
        </w:rPr>
        <w:t>T</w:t>
      </w:r>
      <w:r w:rsidR="00597B52" w:rsidRPr="00921E1E">
        <w:rPr>
          <w:rStyle w:val="Hyperlink"/>
          <w:rFonts w:ascii="Times New Roman" w:hAnsi="Times New Roman" w:cs="Times New Roman"/>
          <w:b/>
          <w:bCs/>
          <w:noProof/>
          <w:color w:val="auto"/>
          <w:sz w:val="24"/>
          <w:szCs w:val="24"/>
          <w:u w:val="none"/>
        </w:rPr>
        <w:t xml:space="preserve">raslado </w:t>
      </w:r>
      <w:r w:rsidRPr="00921E1E">
        <w:rPr>
          <w:rStyle w:val="Hyperlink"/>
          <w:rFonts w:ascii="Times New Roman" w:hAnsi="Times New Roman" w:cs="Times New Roman"/>
          <w:b/>
          <w:bCs/>
          <w:noProof/>
          <w:color w:val="auto"/>
          <w:sz w:val="24"/>
          <w:szCs w:val="24"/>
          <w:u w:val="none"/>
        </w:rPr>
        <w:t>y alejamiento familiar</w:t>
      </w:r>
      <w:bookmarkEnd w:id="19"/>
    </w:p>
    <w:p w14:paraId="32D084BE" w14:textId="6EFD4811" w:rsidR="00414DDF" w:rsidRDefault="00414DDF" w:rsidP="004E2174">
      <w:pPr>
        <w:spacing w:after="120" w:line="240" w:lineRule="auto"/>
        <w:jc w:val="both"/>
        <w:rPr>
          <w:rFonts w:ascii="Times" w:eastAsia="Times" w:hAnsi="Times" w:cs="Times"/>
          <w:sz w:val="24"/>
          <w:szCs w:val="24"/>
          <w:highlight w:val="white"/>
        </w:rPr>
      </w:pPr>
      <w:r>
        <w:rPr>
          <w:rFonts w:ascii="Times" w:eastAsia="Times" w:hAnsi="Times" w:cs="Times"/>
          <w:sz w:val="24"/>
          <w:szCs w:val="24"/>
        </w:rPr>
        <w:t xml:space="preserve">Debido a los problemas de cupo carcelario en las </w:t>
      </w:r>
      <w:r w:rsidR="00101AC3">
        <w:rPr>
          <w:rFonts w:ascii="Times" w:eastAsia="Times" w:hAnsi="Times" w:cs="Times"/>
          <w:sz w:val="24"/>
          <w:szCs w:val="24"/>
        </w:rPr>
        <w:t>cárceles federales</w:t>
      </w:r>
      <w:r>
        <w:rPr>
          <w:rFonts w:ascii="Times" w:eastAsia="Times" w:hAnsi="Times" w:cs="Times"/>
          <w:sz w:val="24"/>
          <w:szCs w:val="24"/>
        </w:rPr>
        <w:t xml:space="preserve"> del Área Metropolitana de Buenos Aires, muchas veces las personas detenidas en CABA son trasladas a cárceles muy lejos de sus lugares de residencia.</w:t>
      </w:r>
    </w:p>
    <w:p w14:paraId="044EC458" w14:textId="11A1EAD8" w:rsidR="00414DDF" w:rsidRDefault="00414DDF" w:rsidP="004E2174">
      <w:pPr>
        <w:spacing w:after="120" w:line="240" w:lineRule="auto"/>
        <w:jc w:val="both"/>
        <w:rPr>
          <w:rFonts w:ascii="Times" w:eastAsia="Times" w:hAnsi="Times" w:cs="Times"/>
          <w:sz w:val="24"/>
          <w:szCs w:val="24"/>
        </w:rPr>
      </w:pPr>
      <w:r>
        <w:rPr>
          <w:rFonts w:ascii="Times" w:eastAsia="Times" w:hAnsi="Times" w:cs="Times"/>
          <w:sz w:val="24"/>
          <w:szCs w:val="24"/>
          <w:highlight w:val="white"/>
        </w:rPr>
        <w:t>En este sentido, en las unidades del sur del país (en particular el Complejo V de Senillosa,</w:t>
      </w:r>
      <w:r w:rsidRPr="00BB7C29">
        <w:rPr>
          <w:rFonts w:ascii="Times" w:eastAsia="Times" w:hAnsi="Times" w:cs="Times"/>
          <w:sz w:val="24"/>
          <w:szCs w:val="24"/>
          <w:highlight w:val="white"/>
        </w:rPr>
        <w:t xml:space="preserve"> </w:t>
      </w:r>
      <w:r>
        <w:rPr>
          <w:rFonts w:ascii="Times" w:eastAsia="Times" w:hAnsi="Times" w:cs="Times"/>
          <w:sz w:val="24"/>
          <w:szCs w:val="24"/>
          <w:highlight w:val="white"/>
        </w:rPr>
        <w:t xml:space="preserve">la Unidad 5 de Río Negro, la Unidad 6 de Rawson, la Unidad 12 de Viedma y la Unidad 14 de Esquel) y también en la Unidad 4 de La Pampa, las cárceles alojan mayoritariamente personas de CABA y de la zona metropolitana, que cometieron delitos en la Ciudad de Buenos Aires y están detenidas a cargo de jueces nacionales con sede en esa ciudad. En </w:t>
      </w:r>
      <w:r w:rsidR="00101AC3">
        <w:rPr>
          <w:rFonts w:ascii="Times" w:eastAsia="Times" w:hAnsi="Times" w:cs="Times"/>
          <w:sz w:val="24"/>
          <w:szCs w:val="24"/>
          <w:highlight w:val="white"/>
        </w:rPr>
        <w:t xml:space="preserve">enero de 2025 en </w:t>
      </w:r>
      <w:r>
        <w:rPr>
          <w:rFonts w:ascii="Times" w:eastAsia="Times" w:hAnsi="Times" w:cs="Times"/>
          <w:sz w:val="24"/>
          <w:szCs w:val="24"/>
          <w:highlight w:val="white"/>
        </w:rPr>
        <w:t xml:space="preserve">el conjunto de las </w:t>
      </w:r>
      <w:r w:rsidR="00101AC3">
        <w:rPr>
          <w:rFonts w:ascii="Times" w:eastAsia="Times" w:hAnsi="Times" w:cs="Times"/>
          <w:sz w:val="24"/>
          <w:szCs w:val="24"/>
          <w:highlight w:val="white"/>
        </w:rPr>
        <w:t>seis</w:t>
      </w:r>
      <w:r>
        <w:rPr>
          <w:rFonts w:ascii="Times" w:eastAsia="Times" w:hAnsi="Times" w:cs="Times"/>
          <w:sz w:val="24"/>
          <w:szCs w:val="24"/>
          <w:highlight w:val="white"/>
        </w:rPr>
        <w:t xml:space="preserve"> </w:t>
      </w:r>
      <w:r w:rsidR="00101AC3">
        <w:rPr>
          <w:rFonts w:ascii="Times" w:eastAsia="Times" w:hAnsi="Times" w:cs="Times"/>
          <w:sz w:val="24"/>
          <w:szCs w:val="24"/>
          <w:highlight w:val="white"/>
        </w:rPr>
        <w:t>u</w:t>
      </w:r>
      <w:r>
        <w:rPr>
          <w:rFonts w:ascii="Times" w:eastAsia="Times" w:hAnsi="Times" w:cs="Times"/>
          <w:sz w:val="24"/>
          <w:szCs w:val="24"/>
          <w:highlight w:val="white"/>
        </w:rPr>
        <w:t xml:space="preserve">nidades mencionadas había un total de 1.358 presos detenidos por la justicia nacional de la Ciudad de Buenos Aires, y en todas ellas esos detenidos procedentes de </w:t>
      </w:r>
      <w:r w:rsidR="00101AC3">
        <w:rPr>
          <w:rFonts w:ascii="Times" w:eastAsia="Times" w:hAnsi="Times" w:cs="Times"/>
          <w:sz w:val="24"/>
          <w:szCs w:val="24"/>
          <w:highlight w:val="white"/>
        </w:rPr>
        <w:t>CABA</w:t>
      </w:r>
      <w:r>
        <w:rPr>
          <w:rFonts w:ascii="Times" w:eastAsia="Times" w:hAnsi="Times" w:cs="Times"/>
          <w:sz w:val="24"/>
          <w:szCs w:val="24"/>
          <w:highlight w:val="white"/>
        </w:rPr>
        <w:t xml:space="preserve"> eran más del 50% de la población alojada en la </w:t>
      </w:r>
      <w:r w:rsidR="00101AC3">
        <w:rPr>
          <w:rFonts w:ascii="Times" w:eastAsia="Times" w:hAnsi="Times" w:cs="Times"/>
          <w:sz w:val="24"/>
          <w:szCs w:val="24"/>
          <w:highlight w:val="white"/>
        </w:rPr>
        <w:t>u</w:t>
      </w:r>
      <w:r>
        <w:rPr>
          <w:rFonts w:ascii="Times" w:eastAsia="Times" w:hAnsi="Times" w:cs="Times"/>
          <w:sz w:val="24"/>
          <w:szCs w:val="24"/>
          <w:highlight w:val="white"/>
        </w:rPr>
        <w:t>nidad.</w:t>
      </w:r>
    </w:p>
    <w:p w14:paraId="6239DB4C" w14:textId="77777777" w:rsidR="00101AC3" w:rsidRDefault="00101AC3" w:rsidP="004E2174">
      <w:pPr>
        <w:spacing w:after="120" w:line="240" w:lineRule="auto"/>
        <w:jc w:val="both"/>
        <w:rPr>
          <w:rFonts w:ascii="Times" w:eastAsia="Times" w:hAnsi="Times" w:cs="Times"/>
          <w:sz w:val="24"/>
          <w:szCs w:val="24"/>
        </w:rPr>
      </w:pPr>
    </w:p>
    <w:p w14:paraId="13A5757B" w14:textId="39429E47" w:rsidR="00414DDF" w:rsidRPr="0045422D" w:rsidRDefault="00414DDF" w:rsidP="004E2174">
      <w:pPr>
        <w:spacing w:after="120" w:line="240" w:lineRule="auto"/>
        <w:jc w:val="both"/>
        <w:rPr>
          <w:rFonts w:ascii="Times New Roman" w:eastAsia="Times New Roman" w:hAnsi="Times New Roman" w:cs="Times New Roman"/>
          <w:b/>
          <w:kern w:val="0"/>
          <w:lang w:eastAsia="es-AR"/>
          <w14:ligatures w14:val="none"/>
        </w:rPr>
      </w:pPr>
      <w:r w:rsidRPr="0045422D">
        <w:rPr>
          <w:rFonts w:ascii="Times New Roman" w:eastAsia="Times New Roman" w:hAnsi="Times New Roman" w:cs="Times New Roman"/>
          <w:b/>
          <w:kern w:val="0"/>
          <w:lang w:eastAsia="es-AR"/>
          <w14:ligatures w14:val="none"/>
        </w:rPr>
        <w:t>Personas presas a cargo de jueces nacionales alojadas</w:t>
      </w:r>
      <w:r w:rsidRPr="0045422D">
        <w:rPr>
          <w:rFonts w:ascii="Times New Roman" w:eastAsia="Times New Roman" w:hAnsi="Times New Roman" w:cs="Times New Roman"/>
          <w:kern w:val="0"/>
          <w:lang w:eastAsia="es-AR"/>
          <w14:ligatures w14:val="none"/>
        </w:rPr>
        <w:t xml:space="preserve"> </w:t>
      </w:r>
      <w:r w:rsidRPr="0045422D">
        <w:rPr>
          <w:rFonts w:ascii="Times New Roman" w:eastAsia="Times New Roman" w:hAnsi="Times New Roman" w:cs="Times New Roman"/>
          <w:b/>
          <w:kern w:val="0"/>
          <w:lang w:eastAsia="es-AR"/>
          <w14:ligatures w14:val="none"/>
        </w:rPr>
        <w:t>en cárceles del interior del país</w:t>
      </w:r>
      <w:r w:rsidRPr="0045422D">
        <w:rPr>
          <w:rFonts w:ascii="Times New Roman" w:eastAsia="Times New Roman" w:hAnsi="Times New Roman" w:cs="Times New Roman"/>
          <w:i/>
          <w:kern w:val="0"/>
          <w:lang w:eastAsia="es-AR"/>
          <w14:ligatures w14:val="none"/>
        </w:rPr>
        <w:t xml:space="preserve"> </w:t>
      </w:r>
      <w:r w:rsidR="0045422D">
        <w:rPr>
          <w:rFonts w:ascii="Times New Roman" w:eastAsia="Times New Roman" w:hAnsi="Times New Roman" w:cs="Times New Roman"/>
          <w:b/>
          <w:kern w:val="0"/>
          <w:lang w:eastAsia="es-AR"/>
          <w14:ligatures w14:val="none"/>
        </w:rPr>
        <w:t>-enero 2025</w:t>
      </w:r>
    </w:p>
    <w:tbl>
      <w:tblPr>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2410"/>
        <w:gridCol w:w="1836"/>
      </w:tblGrid>
      <w:tr w:rsidR="00414DDF" w:rsidRPr="00414DDF" w14:paraId="7BB37AB7" w14:textId="77777777" w:rsidTr="007C73F8">
        <w:tc>
          <w:tcPr>
            <w:tcW w:w="4248" w:type="dxa"/>
          </w:tcPr>
          <w:p w14:paraId="4D98ABC7" w14:textId="77777777" w:rsidR="00414DDF" w:rsidRPr="00414DDF" w:rsidRDefault="00414DDF" w:rsidP="004E2174">
            <w:pPr>
              <w:spacing w:after="120" w:line="240" w:lineRule="auto"/>
              <w:jc w:val="both"/>
              <w:rPr>
                <w:rFonts w:ascii="Times New Roman" w:eastAsia="Times New Roman" w:hAnsi="Times New Roman" w:cs="Times New Roman"/>
                <w:b/>
                <w:kern w:val="0"/>
                <w:sz w:val="20"/>
                <w:szCs w:val="20"/>
                <w:lang w:eastAsia="es-AR"/>
                <w14:ligatures w14:val="none"/>
              </w:rPr>
            </w:pPr>
            <w:r w:rsidRPr="00414DDF">
              <w:rPr>
                <w:rFonts w:ascii="Times New Roman" w:eastAsia="Times New Roman" w:hAnsi="Times New Roman" w:cs="Times New Roman"/>
                <w:b/>
                <w:kern w:val="0"/>
                <w:sz w:val="20"/>
                <w:szCs w:val="20"/>
                <w:lang w:eastAsia="es-AR"/>
                <w14:ligatures w14:val="none"/>
              </w:rPr>
              <w:t>Establecimiento penitenciario</w:t>
            </w:r>
          </w:p>
        </w:tc>
        <w:tc>
          <w:tcPr>
            <w:tcW w:w="2410" w:type="dxa"/>
          </w:tcPr>
          <w:p w14:paraId="7502BEB1" w14:textId="77777777" w:rsidR="00414DDF" w:rsidRPr="00414DDF" w:rsidRDefault="00414DDF" w:rsidP="004E2174">
            <w:pPr>
              <w:spacing w:after="120" w:line="240" w:lineRule="auto"/>
              <w:jc w:val="center"/>
              <w:rPr>
                <w:rFonts w:ascii="Times New Roman" w:eastAsia="Times New Roman" w:hAnsi="Times New Roman" w:cs="Times New Roman"/>
                <w:b/>
                <w:kern w:val="0"/>
                <w:sz w:val="20"/>
                <w:szCs w:val="20"/>
                <w:lang w:eastAsia="es-AR"/>
                <w14:ligatures w14:val="none"/>
              </w:rPr>
            </w:pPr>
            <w:r w:rsidRPr="00414DDF">
              <w:rPr>
                <w:rFonts w:ascii="Times New Roman" w:eastAsia="Times New Roman" w:hAnsi="Times New Roman" w:cs="Times New Roman"/>
                <w:b/>
                <w:kern w:val="0"/>
                <w:sz w:val="20"/>
                <w:szCs w:val="20"/>
                <w:lang w:eastAsia="es-AR"/>
                <w14:ligatures w14:val="none"/>
              </w:rPr>
              <w:t>Cantidad de detenidos de la justicia nacional</w:t>
            </w:r>
          </w:p>
        </w:tc>
        <w:tc>
          <w:tcPr>
            <w:tcW w:w="1836" w:type="dxa"/>
          </w:tcPr>
          <w:p w14:paraId="055A7E7F" w14:textId="77777777" w:rsidR="00414DDF" w:rsidRPr="00414DDF" w:rsidRDefault="00414DDF" w:rsidP="004E2174">
            <w:pPr>
              <w:spacing w:after="120" w:line="240" w:lineRule="auto"/>
              <w:jc w:val="center"/>
              <w:rPr>
                <w:rFonts w:ascii="Times New Roman" w:eastAsia="Times New Roman" w:hAnsi="Times New Roman" w:cs="Times New Roman"/>
                <w:b/>
                <w:kern w:val="0"/>
                <w:sz w:val="20"/>
                <w:szCs w:val="20"/>
                <w:lang w:eastAsia="es-AR"/>
                <w14:ligatures w14:val="none"/>
              </w:rPr>
            </w:pPr>
            <w:r w:rsidRPr="00414DDF">
              <w:rPr>
                <w:rFonts w:ascii="Times New Roman" w:eastAsia="Times New Roman" w:hAnsi="Times New Roman" w:cs="Times New Roman"/>
                <w:b/>
                <w:kern w:val="0"/>
                <w:sz w:val="20"/>
                <w:szCs w:val="20"/>
                <w:lang w:eastAsia="es-AR"/>
                <w14:ligatures w14:val="none"/>
              </w:rPr>
              <w:t>% del total del establecimiento</w:t>
            </w:r>
          </w:p>
        </w:tc>
      </w:tr>
      <w:tr w:rsidR="00414DDF" w:rsidRPr="00414DDF" w14:paraId="0BE6B8B6" w14:textId="77777777" w:rsidTr="007C73F8">
        <w:tc>
          <w:tcPr>
            <w:tcW w:w="4248" w:type="dxa"/>
          </w:tcPr>
          <w:p w14:paraId="2F77C19B" w14:textId="77777777" w:rsidR="00414DDF" w:rsidRPr="00414DDF" w:rsidRDefault="00414DDF" w:rsidP="004E2174">
            <w:pPr>
              <w:spacing w:after="120" w:line="240" w:lineRule="auto"/>
              <w:jc w:val="both"/>
              <w:rPr>
                <w:rFonts w:ascii="Times New Roman" w:eastAsia="Times New Roman" w:hAnsi="Times New Roman" w:cs="Times New Roman"/>
                <w:kern w:val="0"/>
                <w:sz w:val="20"/>
                <w:szCs w:val="20"/>
                <w:lang w:eastAsia="es-AR"/>
                <w14:ligatures w14:val="none"/>
              </w:rPr>
            </w:pPr>
            <w:r w:rsidRPr="00414DDF">
              <w:rPr>
                <w:rFonts w:ascii="Times New Roman" w:eastAsia="Times New Roman" w:hAnsi="Times New Roman" w:cs="Times New Roman"/>
                <w:kern w:val="0"/>
                <w:sz w:val="20"/>
                <w:szCs w:val="20"/>
                <w:lang w:eastAsia="es-AR"/>
                <w14:ligatures w14:val="none"/>
              </w:rPr>
              <w:t>CPF V de Senillosa, Provincia de Neuquén–1.182 km de Buenos Aires</w:t>
            </w:r>
          </w:p>
        </w:tc>
        <w:tc>
          <w:tcPr>
            <w:tcW w:w="2410" w:type="dxa"/>
          </w:tcPr>
          <w:p w14:paraId="204B2C5B" w14:textId="77777777" w:rsidR="00414DDF" w:rsidRPr="00414DDF" w:rsidRDefault="00414DDF" w:rsidP="004E2174">
            <w:pPr>
              <w:spacing w:after="120" w:line="240" w:lineRule="auto"/>
              <w:jc w:val="center"/>
              <w:rPr>
                <w:rFonts w:ascii="Times New Roman" w:eastAsia="Times New Roman" w:hAnsi="Times New Roman" w:cs="Times New Roman"/>
                <w:kern w:val="0"/>
                <w:sz w:val="20"/>
                <w:szCs w:val="20"/>
                <w:lang w:eastAsia="es-AR"/>
                <w14:ligatures w14:val="none"/>
              </w:rPr>
            </w:pPr>
            <w:r w:rsidRPr="00414DDF">
              <w:rPr>
                <w:rFonts w:ascii="Times New Roman" w:eastAsia="Times New Roman" w:hAnsi="Times New Roman" w:cs="Times New Roman"/>
                <w:kern w:val="0"/>
                <w:sz w:val="20"/>
                <w:szCs w:val="20"/>
                <w:lang w:eastAsia="es-AR"/>
                <w14:ligatures w14:val="none"/>
              </w:rPr>
              <w:t>391</w:t>
            </w:r>
          </w:p>
        </w:tc>
        <w:tc>
          <w:tcPr>
            <w:tcW w:w="1836" w:type="dxa"/>
          </w:tcPr>
          <w:p w14:paraId="7EF158C0" w14:textId="77777777" w:rsidR="00414DDF" w:rsidRPr="00414DDF" w:rsidRDefault="00414DDF" w:rsidP="004E2174">
            <w:pPr>
              <w:spacing w:after="120" w:line="240" w:lineRule="auto"/>
              <w:jc w:val="center"/>
              <w:rPr>
                <w:rFonts w:ascii="Times New Roman" w:eastAsia="Times New Roman" w:hAnsi="Times New Roman" w:cs="Times New Roman"/>
                <w:b/>
                <w:kern w:val="0"/>
                <w:sz w:val="20"/>
                <w:szCs w:val="20"/>
                <w:lang w:eastAsia="es-AR"/>
                <w14:ligatures w14:val="none"/>
              </w:rPr>
            </w:pPr>
            <w:r w:rsidRPr="00414DDF">
              <w:rPr>
                <w:rFonts w:ascii="Times New Roman" w:eastAsia="Times New Roman" w:hAnsi="Times New Roman" w:cs="Times New Roman"/>
                <w:b/>
                <w:kern w:val="0"/>
                <w:sz w:val="20"/>
                <w:szCs w:val="20"/>
                <w:lang w:eastAsia="es-AR"/>
                <w14:ligatures w14:val="none"/>
              </w:rPr>
              <w:t>75,5%</w:t>
            </w:r>
          </w:p>
        </w:tc>
      </w:tr>
      <w:tr w:rsidR="00414DDF" w:rsidRPr="00414DDF" w14:paraId="79F3FB45" w14:textId="77777777" w:rsidTr="007C73F8">
        <w:tc>
          <w:tcPr>
            <w:tcW w:w="4248" w:type="dxa"/>
          </w:tcPr>
          <w:p w14:paraId="2D48D471" w14:textId="77777777" w:rsidR="00414DDF" w:rsidRPr="00414DDF" w:rsidRDefault="00414DDF" w:rsidP="004E2174">
            <w:pPr>
              <w:spacing w:after="120" w:line="240" w:lineRule="auto"/>
              <w:jc w:val="both"/>
              <w:rPr>
                <w:rFonts w:ascii="Times New Roman" w:eastAsia="Times New Roman" w:hAnsi="Times New Roman" w:cs="Times New Roman"/>
                <w:kern w:val="0"/>
                <w:sz w:val="20"/>
                <w:szCs w:val="20"/>
                <w:lang w:eastAsia="es-AR"/>
                <w14:ligatures w14:val="none"/>
              </w:rPr>
            </w:pPr>
            <w:r w:rsidRPr="00414DDF">
              <w:rPr>
                <w:rFonts w:ascii="Times New Roman" w:eastAsia="Times New Roman" w:hAnsi="Times New Roman" w:cs="Times New Roman"/>
                <w:kern w:val="0"/>
                <w:sz w:val="20"/>
                <w:szCs w:val="20"/>
                <w:lang w:eastAsia="es-AR"/>
                <w14:ligatures w14:val="none"/>
              </w:rPr>
              <w:t>U.5-Colonia Penal de General Roca, Provincia de Río Negro –1.100 km de Buenos Aires</w:t>
            </w:r>
          </w:p>
        </w:tc>
        <w:tc>
          <w:tcPr>
            <w:tcW w:w="2410" w:type="dxa"/>
          </w:tcPr>
          <w:p w14:paraId="5E0AC0FA" w14:textId="77777777" w:rsidR="00414DDF" w:rsidRPr="00414DDF" w:rsidRDefault="00414DDF" w:rsidP="004E2174">
            <w:pPr>
              <w:spacing w:after="120" w:line="240" w:lineRule="auto"/>
              <w:jc w:val="center"/>
              <w:rPr>
                <w:rFonts w:ascii="Times New Roman" w:eastAsia="Times New Roman" w:hAnsi="Times New Roman" w:cs="Times New Roman"/>
                <w:kern w:val="0"/>
                <w:sz w:val="20"/>
                <w:szCs w:val="20"/>
                <w:lang w:eastAsia="es-AR"/>
                <w14:ligatures w14:val="none"/>
              </w:rPr>
            </w:pPr>
            <w:r w:rsidRPr="00414DDF">
              <w:rPr>
                <w:rFonts w:ascii="Times New Roman" w:eastAsia="Times New Roman" w:hAnsi="Times New Roman" w:cs="Times New Roman"/>
                <w:kern w:val="0"/>
                <w:sz w:val="20"/>
                <w:szCs w:val="20"/>
                <w:lang w:eastAsia="es-AR"/>
                <w14:ligatures w14:val="none"/>
              </w:rPr>
              <w:t>215</w:t>
            </w:r>
          </w:p>
        </w:tc>
        <w:tc>
          <w:tcPr>
            <w:tcW w:w="1836" w:type="dxa"/>
          </w:tcPr>
          <w:p w14:paraId="5D9A0D10" w14:textId="77777777" w:rsidR="00414DDF" w:rsidRPr="00414DDF" w:rsidRDefault="00414DDF" w:rsidP="004E2174">
            <w:pPr>
              <w:spacing w:after="120" w:line="240" w:lineRule="auto"/>
              <w:jc w:val="center"/>
              <w:rPr>
                <w:rFonts w:ascii="Times New Roman" w:eastAsia="Times New Roman" w:hAnsi="Times New Roman" w:cs="Times New Roman"/>
                <w:b/>
                <w:kern w:val="0"/>
                <w:sz w:val="20"/>
                <w:szCs w:val="20"/>
                <w:highlight w:val="yellow"/>
                <w:lang w:eastAsia="es-AR"/>
                <w14:ligatures w14:val="none"/>
              </w:rPr>
            </w:pPr>
            <w:r w:rsidRPr="00414DDF">
              <w:rPr>
                <w:rFonts w:ascii="Times New Roman" w:eastAsia="Times New Roman" w:hAnsi="Times New Roman" w:cs="Times New Roman"/>
                <w:b/>
                <w:kern w:val="0"/>
                <w:sz w:val="20"/>
                <w:szCs w:val="20"/>
                <w:lang w:eastAsia="es-AR"/>
                <w14:ligatures w14:val="none"/>
              </w:rPr>
              <w:t>75%</w:t>
            </w:r>
          </w:p>
        </w:tc>
      </w:tr>
      <w:tr w:rsidR="00414DDF" w:rsidRPr="00414DDF" w14:paraId="40315BD8" w14:textId="77777777" w:rsidTr="007C73F8">
        <w:tc>
          <w:tcPr>
            <w:tcW w:w="4248" w:type="dxa"/>
          </w:tcPr>
          <w:p w14:paraId="1FFB8BD1" w14:textId="77777777" w:rsidR="00414DDF" w:rsidRPr="00414DDF" w:rsidRDefault="00414DDF" w:rsidP="004E2174">
            <w:pPr>
              <w:spacing w:after="120" w:line="240" w:lineRule="auto"/>
              <w:jc w:val="both"/>
              <w:rPr>
                <w:rFonts w:ascii="Times New Roman" w:eastAsia="Times New Roman" w:hAnsi="Times New Roman" w:cs="Times New Roman"/>
                <w:kern w:val="0"/>
                <w:sz w:val="20"/>
                <w:szCs w:val="20"/>
                <w:lang w:eastAsia="es-AR"/>
                <w14:ligatures w14:val="none"/>
              </w:rPr>
            </w:pPr>
            <w:r w:rsidRPr="00414DDF">
              <w:rPr>
                <w:rFonts w:ascii="Times New Roman" w:eastAsia="Times New Roman" w:hAnsi="Times New Roman" w:cs="Times New Roman"/>
                <w:kern w:val="0"/>
                <w:sz w:val="20"/>
                <w:szCs w:val="20"/>
                <w:lang w:eastAsia="es-AR"/>
                <w14:ligatures w14:val="none"/>
              </w:rPr>
              <w:t>U.12-Colonia Penal de Viedma, Provincia de Río Negro–932 km de Buenos Aires</w:t>
            </w:r>
          </w:p>
        </w:tc>
        <w:tc>
          <w:tcPr>
            <w:tcW w:w="2410" w:type="dxa"/>
          </w:tcPr>
          <w:p w14:paraId="102F8D3F" w14:textId="77777777" w:rsidR="00414DDF" w:rsidRPr="00414DDF" w:rsidRDefault="00414DDF" w:rsidP="004E2174">
            <w:pPr>
              <w:spacing w:after="120" w:line="240" w:lineRule="auto"/>
              <w:jc w:val="center"/>
              <w:rPr>
                <w:rFonts w:ascii="Times New Roman" w:eastAsia="Times New Roman" w:hAnsi="Times New Roman" w:cs="Times New Roman"/>
                <w:kern w:val="0"/>
                <w:sz w:val="20"/>
                <w:szCs w:val="20"/>
                <w:lang w:eastAsia="es-AR"/>
                <w14:ligatures w14:val="none"/>
              </w:rPr>
            </w:pPr>
            <w:r w:rsidRPr="00414DDF">
              <w:rPr>
                <w:rFonts w:ascii="Times New Roman" w:eastAsia="Times New Roman" w:hAnsi="Times New Roman" w:cs="Times New Roman"/>
                <w:kern w:val="0"/>
                <w:sz w:val="20"/>
                <w:szCs w:val="20"/>
                <w:lang w:eastAsia="es-AR"/>
                <w14:ligatures w14:val="none"/>
              </w:rPr>
              <w:t>168</w:t>
            </w:r>
          </w:p>
        </w:tc>
        <w:tc>
          <w:tcPr>
            <w:tcW w:w="1836" w:type="dxa"/>
          </w:tcPr>
          <w:p w14:paraId="0B4A65D5" w14:textId="77777777" w:rsidR="00414DDF" w:rsidRPr="00414DDF" w:rsidRDefault="00414DDF" w:rsidP="004E2174">
            <w:pPr>
              <w:spacing w:after="120" w:line="240" w:lineRule="auto"/>
              <w:jc w:val="center"/>
              <w:rPr>
                <w:rFonts w:ascii="Times New Roman" w:eastAsia="Times New Roman" w:hAnsi="Times New Roman" w:cs="Times New Roman"/>
                <w:b/>
                <w:kern w:val="0"/>
                <w:sz w:val="20"/>
                <w:szCs w:val="20"/>
                <w:highlight w:val="yellow"/>
                <w:lang w:eastAsia="es-AR"/>
                <w14:ligatures w14:val="none"/>
              </w:rPr>
            </w:pPr>
            <w:r w:rsidRPr="00414DDF">
              <w:rPr>
                <w:rFonts w:ascii="Times New Roman" w:eastAsia="Times New Roman" w:hAnsi="Times New Roman" w:cs="Times New Roman"/>
                <w:b/>
                <w:kern w:val="0"/>
                <w:sz w:val="20"/>
                <w:szCs w:val="20"/>
                <w:lang w:eastAsia="es-AR"/>
                <w14:ligatures w14:val="none"/>
              </w:rPr>
              <w:t>73%</w:t>
            </w:r>
          </w:p>
        </w:tc>
      </w:tr>
      <w:tr w:rsidR="00414DDF" w:rsidRPr="00414DDF" w14:paraId="751E3887" w14:textId="77777777" w:rsidTr="007C73F8">
        <w:tc>
          <w:tcPr>
            <w:tcW w:w="4248" w:type="dxa"/>
          </w:tcPr>
          <w:p w14:paraId="409D418A" w14:textId="77777777" w:rsidR="00414DDF" w:rsidRPr="00414DDF" w:rsidRDefault="00414DDF" w:rsidP="004E2174">
            <w:pPr>
              <w:spacing w:after="120" w:line="240" w:lineRule="auto"/>
              <w:jc w:val="both"/>
              <w:rPr>
                <w:rFonts w:ascii="Times New Roman" w:eastAsia="Times New Roman" w:hAnsi="Times New Roman" w:cs="Times New Roman"/>
                <w:kern w:val="0"/>
                <w:sz w:val="20"/>
                <w:szCs w:val="20"/>
                <w:lang w:eastAsia="es-AR"/>
                <w14:ligatures w14:val="none"/>
              </w:rPr>
            </w:pPr>
            <w:r w:rsidRPr="00414DDF">
              <w:rPr>
                <w:rFonts w:ascii="Times New Roman" w:eastAsia="Times New Roman" w:hAnsi="Times New Roman" w:cs="Times New Roman"/>
                <w:kern w:val="0"/>
                <w:sz w:val="20"/>
                <w:szCs w:val="20"/>
                <w:lang w:eastAsia="es-AR"/>
                <w14:ligatures w14:val="none"/>
              </w:rPr>
              <w:t>U.14 - Cárcel de Esquel, Provincia de Chubut–1864 km de Buenos Aires</w:t>
            </w:r>
          </w:p>
        </w:tc>
        <w:tc>
          <w:tcPr>
            <w:tcW w:w="2410" w:type="dxa"/>
          </w:tcPr>
          <w:p w14:paraId="6BE81D54" w14:textId="77777777" w:rsidR="00414DDF" w:rsidRPr="00414DDF" w:rsidRDefault="00414DDF" w:rsidP="004E2174">
            <w:pPr>
              <w:spacing w:after="120" w:line="240" w:lineRule="auto"/>
              <w:jc w:val="center"/>
              <w:rPr>
                <w:rFonts w:ascii="Times New Roman" w:eastAsia="Times New Roman" w:hAnsi="Times New Roman" w:cs="Times New Roman"/>
                <w:kern w:val="0"/>
                <w:sz w:val="20"/>
                <w:szCs w:val="20"/>
                <w:lang w:eastAsia="es-AR"/>
                <w14:ligatures w14:val="none"/>
              </w:rPr>
            </w:pPr>
            <w:r w:rsidRPr="00414DDF">
              <w:rPr>
                <w:rFonts w:ascii="Times New Roman" w:eastAsia="Times New Roman" w:hAnsi="Times New Roman" w:cs="Times New Roman"/>
                <w:kern w:val="0"/>
                <w:sz w:val="20"/>
                <w:szCs w:val="20"/>
                <w:lang w:eastAsia="es-AR"/>
                <w14:ligatures w14:val="none"/>
              </w:rPr>
              <w:t>79</w:t>
            </w:r>
          </w:p>
        </w:tc>
        <w:tc>
          <w:tcPr>
            <w:tcW w:w="1836" w:type="dxa"/>
          </w:tcPr>
          <w:p w14:paraId="42BA0352" w14:textId="77777777" w:rsidR="00414DDF" w:rsidRPr="00414DDF" w:rsidRDefault="00414DDF" w:rsidP="004E2174">
            <w:pPr>
              <w:spacing w:after="120" w:line="240" w:lineRule="auto"/>
              <w:jc w:val="center"/>
              <w:rPr>
                <w:rFonts w:ascii="Times New Roman" w:eastAsia="Times New Roman" w:hAnsi="Times New Roman" w:cs="Times New Roman"/>
                <w:b/>
                <w:kern w:val="0"/>
                <w:sz w:val="20"/>
                <w:szCs w:val="20"/>
                <w:highlight w:val="yellow"/>
                <w:lang w:eastAsia="es-AR"/>
                <w14:ligatures w14:val="none"/>
              </w:rPr>
            </w:pPr>
            <w:r w:rsidRPr="00414DDF">
              <w:rPr>
                <w:rFonts w:ascii="Times New Roman" w:eastAsia="Times New Roman" w:hAnsi="Times New Roman" w:cs="Times New Roman"/>
                <w:b/>
                <w:kern w:val="0"/>
                <w:sz w:val="20"/>
                <w:szCs w:val="20"/>
                <w:lang w:eastAsia="es-AR"/>
                <w14:ligatures w14:val="none"/>
              </w:rPr>
              <w:t>73%</w:t>
            </w:r>
          </w:p>
        </w:tc>
      </w:tr>
      <w:tr w:rsidR="00414DDF" w:rsidRPr="00414DDF" w14:paraId="472E38BD" w14:textId="77777777" w:rsidTr="007C73F8">
        <w:tc>
          <w:tcPr>
            <w:tcW w:w="4248" w:type="dxa"/>
          </w:tcPr>
          <w:p w14:paraId="236B87C9" w14:textId="77777777" w:rsidR="00414DDF" w:rsidRPr="00414DDF" w:rsidRDefault="00414DDF" w:rsidP="004E2174">
            <w:pPr>
              <w:spacing w:after="120" w:line="240" w:lineRule="auto"/>
              <w:jc w:val="both"/>
              <w:rPr>
                <w:rFonts w:ascii="Times New Roman" w:eastAsia="Times New Roman" w:hAnsi="Times New Roman" w:cs="Times New Roman"/>
                <w:kern w:val="0"/>
                <w:sz w:val="20"/>
                <w:szCs w:val="20"/>
                <w:lang w:eastAsia="es-AR"/>
                <w14:ligatures w14:val="none"/>
              </w:rPr>
            </w:pPr>
            <w:r w:rsidRPr="00414DDF">
              <w:rPr>
                <w:rFonts w:ascii="Times New Roman" w:eastAsia="Times New Roman" w:hAnsi="Times New Roman" w:cs="Times New Roman"/>
                <w:kern w:val="0"/>
                <w:sz w:val="20"/>
                <w:szCs w:val="20"/>
                <w:lang w:eastAsia="es-AR"/>
                <w14:ligatures w14:val="none"/>
              </w:rPr>
              <w:t>U.4-Colonia Penal de Santa Rosa, Provincia de la Pampa –613 km de Buenos Aires</w:t>
            </w:r>
          </w:p>
        </w:tc>
        <w:tc>
          <w:tcPr>
            <w:tcW w:w="2410" w:type="dxa"/>
          </w:tcPr>
          <w:p w14:paraId="6F44DD7E" w14:textId="77777777" w:rsidR="00414DDF" w:rsidRPr="00414DDF" w:rsidRDefault="00414DDF" w:rsidP="004E2174">
            <w:pPr>
              <w:spacing w:after="120" w:line="240" w:lineRule="auto"/>
              <w:jc w:val="center"/>
              <w:rPr>
                <w:rFonts w:ascii="Times New Roman" w:eastAsia="Times New Roman" w:hAnsi="Times New Roman" w:cs="Times New Roman"/>
                <w:kern w:val="0"/>
                <w:sz w:val="20"/>
                <w:szCs w:val="20"/>
                <w:lang w:eastAsia="es-AR"/>
                <w14:ligatures w14:val="none"/>
              </w:rPr>
            </w:pPr>
            <w:r w:rsidRPr="00414DDF">
              <w:rPr>
                <w:rFonts w:ascii="Times New Roman" w:eastAsia="Times New Roman" w:hAnsi="Times New Roman" w:cs="Times New Roman"/>
                <w:kern w:val="0"/>
                <w:sz w:val="20"/>
                <w:szCs w:val="20"/>
                <w:lang w:eastAsia="es-AR"/>
                <w14:ligatures w14:val="none"/>
              </w:rPr>
              <w:t>281</w:t>
            </w:r>
          </w:p>
        </w:tc>
        <w:tc>
          <w:tcPr>
            <w:tcW w:w="1836" w:type="dxa"/>
          </w:tcPr>
          <w:p w14:paraId="3FF222CF" w14:textId="77777777" w:rsidR="00414DDF" w:rsidRPr="00414DDF" w:rsidRDefault="00414DDF" w:rsidP="004E2174">
            <w:pPr>
              <w:spacing w:after="120" w:line="240" w:lineRule="auto"/>
              <w:jc w:val="center"/>
              <w:rPr>
                <w:rFonts w:ascii="Times New Roman" w:eastAsia="Times New Roman" w:hAnsi="Times New Roman" w:cs="Times New Roman"/>
                <w:b/>
                <w:kern w:val="0"/>
                <w:sz w:val="20"/>
                <w:szCs w:val="20"/>
                <w:highlight w:val="yellow"/>
                <w:lang w:eastAsia="es-AR"/>
                <w14:ligatures w14:val="none"/>
              </w:rPr>
            </w:pPr>
            <w:r w:rsidRPr="00414DDF">
              <w:rPr>
                <w:rFonts w:ascii="Times New Roman" w:eastAsia="Times New Roman" w:hAnsi="Times New Roman" w:cs="Times New Roman"/>
                <w:b/>
                <w:kern w:val="0"/>
                <w:sz w:val="20"/>
                <w:szCs w:val="20"/>
                <w:lang w:eastAsia="es-AR"/>
                <w14:ligatures w14:val="none"/>
              </w:rPr>
              <w:t>55%</w:t>
            </w:r>
          </w:p>
        </w:tc>
      </w:tr>
      <w:tr w:rsidR="00414DDF" w:rsidRPr="00414DDF" w14:paraId="51C08863" w14:textId="77777777" w:rsidTr="007C73F8">
        <w:tc>
          <w:tcPr>
            <w:tcW w:w="4248" w:type="dxa"/>
          </w:tcPr>
          <w:p w14:paraId="534386D2" w14:textId="77777777" w:rsidR="00414DDF" w:rsidRPr="00414DDF" w:rsidRDefault="00414DDF" w:rsidP="004E2174">
            <w:pPr>
              <w:spacing w:after="120" w:line="240" w:lineRule="auto"/>
              <w:jc w:val="both"/>
              <w:rPr>
                <w:rFonts w:ascii="Times New Roman" w:eastAsia="Times New Roman" w:hAnsi="Times New Roman" w:cs="Times New Roman"/>
                <w:kern w:val="0"/>
                <w:sz w:val="20"/>
                <w:szCs w:val="20"/>
                <w:lang w:eastAsia="es-AR"/>
                <w14:ligatures w14:val="none"/>
              </w:rPr>
            </w:pPr>
            <w:r w:rsidRPr="00414DDF">
              <w:rPr>
                <w:rFonts w:ascii="Times New Roman" w:eastAsia="Times New Roman" w:hAnsi="Times New Roman" w:cs="Times New Roman"/>
                <w:kern w:val="0"/>
                <w:sz w:val="20"/>
                <w:szCs w:val="20"/>
                <w:lang w:eastAsia="es-AR"/>
                <w14:ligatures w14:val="none"/>
              </w:rPr>
              <w:t>U.6-Instituto de Seguridad y Resocialización de Rawson, Provincia de Chubut –1.388 km de Buenos Aires</w:t>
            </w:r>
          </w:p>
        </w:tc>
        <w:tc>
          <w:tcPr>
            <w:tcW w:w="2410" w:type="dxa"/>
          </w:tcPr>
          <w:p w14:paraId="60981029" w14:textId="77777777" w:rsidR="00414DDF" w:rsidRPr="00414DDF" w:rsidRDefault="00414DDF" w:rsidP="004E2174">
            <w:pPr>
              <w:spacing w:after="120" w:line="240" w:lineRule="auto"/>
              <w:jc w:val="center"/>
              <w:rPr>
                <w:rFonts w:ascii="Times New Roman" w:eastAsia="Times New Roman" w:hAnsi="Times New Roman" w:cs="Times New Roman"/>
                <w:kern w:val="0"/>
                <w:sz w:val="20"/>
                <w:szCs w:val="20"/>
                <w:lang w:eastAsia="es-AR"/>
                <w14:ligatures w14:val="none"/>
              </w:rPr>
            </w:pPr>
            <w:r w:rsidRPr="00414DDF">
              <w:rPr>
                <w:rFonts w:ascii="Times New Roman" w:eastAsia="Times New Roman" w:hAnsi="Times New Roman" w:cs="Times New Roman"/>
                <w:kern w:val="0"/>
                <w:sz w:val="20"/>
                <w:szCs w:val="20"/>
                <w:lang w:eastAsia="es-AR"/>
                <w14:ligatures w14:val="none"/>
              </w:rPr>
              <w:t>224</w:t>
            </w:r>
          </w:p>
        </w:tc>
        <w:tc>
          <w:tcPr>
            <w:tcW w:w="1836" w:type="dxa"/>
          </w:tcPr>
          <w:p w14:paraId="44B0E7FC" w14:textId="77777777" w:rsidR="00414DDF" w:rsidRPr="00414DDF" w:rsidRDefault="00414DDF" w:rsidP="004E2174">
            <w:pPr>
              <w:spacing w:after="120" w:line="240" w:lineRule="auto"/>
              <w:jc w:val="center"/>
              <w:rPr>
                <w:rFonts w:ascii="Times New Roman" w:eastAsia="Times New Roman" w:hAnsi="Times New Roman" w:cs="Times New Roman"/>
                <w:b/>
                <w:kern w:val="0"/>
                <w:sz w:val="20"/>
                <w:szCs w:val="20"/>
                <w:highlight w:val="yellow"/>
                <w:lang w:eastAsia="es-AR"/>
                <w14:ligatures w14:val="none"/>
              </w:rPr>
            </w:pPr>
            <w:r w:rsidRPr="00414DDF">
              <w:rPr>
                <w:rFonts w:ascii="Times New Roman" w:eastAsia="Times New Roman" w:hAnsi="Times New Roman" w:cs="Times New Roman"/>
                <w:b/>
                <w:kern w:val="0"/>
                <w:sz w:val="20"/>
                <w:szCs w:val="20"/>
                <w:lang w:eastAsia="es-AR"/>
                <w14:ligatures w14:val="none"/>
              </w:rPr>
              <w:t>52%</w:t>
            </w:r>
          </w:p>
        </w:tc>
      </w:tr>
    </w:tbl>
    <w:p w14:paraId="530C0FE4" w14:textId="77777777" w:rsidR="00414DDF" w:rsidRPr="00414DDF" w:rsidRDefault="00414DDF" w:rsidP="004E2174">
      <w:pPr>
        <w:shd w:val="clear" w:color="auto" w:fill="FFFFFF"/>
        <w:spacing w:after="120" w:line="240" w:lineRule="auto"/>
        <w:jc w:val="center"/>
        <w:rPr>
          <w:rFonts w:ascii="Times" w:eastAsia="Times" w:hAnsi="Times" w:cs="Times"/>
          <w:kern w:val="0"/>
          <w:sz w:val="20"/>
          <w:szCs w:val="20"/>
          <w:lang w:eastAsia="es-AR"/>
          <w14:ligatures w14:val="none"/>
        </w:rPr>
      </w:pPr>
      <w:r w:rsidRPr="00414DDF">
        <w:rPr>
          <w:rFonts w:ascii="Times" w:eastAsia="Times" w:hAnsi="Times" w:cs="Times"/>
          <w:kern w:val="0"/>
          <w:sz w:val="20"/>
          <w:szCs w:val="20"/>
          <w:highlight w:val="white"/>
          <w:lang w:eastAsia="es-AR"/>
          <w14:ligatures w14:val="none"/>
        </w:rPr>
        <w:t>Fuente: Elaboración propia con datos de la síntesis estadística de 10-01-2025 del SPF</w:t>
      </w:r>
    </w:p>
    <w:p w14:paraId="10CA8575" w14:textId="77777777" w:rsidR="00414DDF" w:rsidRPr="00414DDF" w:rsidRDefault="00414DDF" w:rsidP="004E2174">
      <w:pPr>
        <w:spacing w:after="120" w:line="240" w:lineRule="auto"/>
        <w:jc w:val="both"/>
        <w:rPr>
          <w:rFonts w:ascii="Times" w:eastAsia="Times" w:hAnsi="Times" w:cs="Times"/>
          <w:kern w:val="0"/>
          <w:sz w:val="24"/>
          <w:szCs w:val="24"/>
          <w:highlight w:val="white"/>
          <w:lang w:eastAsia="es-AR"/>
          <w14:ligatures w14:val="none"/>
        </w:rPr>
      </w:pPr>
    </w:p>
    <w:p w14:paraId="55F31757" w14:textId="74357AC6" w:rsidR="00A432B1" w:rsidRDefault="00414DDF" w:rsidP="004E2174">
      <w:pPr>
        <w:spacing w:after="120" w:line="240" w:lineRule="auto"/>
        <w:jc w:val="both"/>
        <w:rPr>
          <w:rFonts w:ascii="Times New Roman" w:eastAsia="Cambria" w:hAnsi="Times New Roman" w:cs="Times New Roman"/>
          <w:kern w:val="0"/>
          <w:sz w:val="24"/>
          <w:szCs w:val="24"/>
          <w:lang w:eastAsia="es-AR"/>
          <w14:ligatures w14:val="none"/>
        </w:rPr>
      </w:pPr>
      <w:r w:rsidRPr="00414DDF">
        <w:rPr>
          <w:rFonts w:ascii="Times" w:eastAsia="Times" w:hAnsi="Times" w:cs="Times"/>
          <w:kern w:val="0"/>
          <w:sz w:val="24"/>
          <w:szCs w:val="24"/>
          <w:highlight w:val="white"/>
          <w:lang w:eastAsia="es-AR"/>
          <w14:ligatures w14:val="none"/>
        </w:rPr>
        <w:t xml:space="preserve">Lo expuesto implica un incumplimiento </w:t>
      </w:r>
      <w:r>
        <w:rPr>
          <w:rFonts w:ascii="Times" w:eastAsia="Times" w:hAnsi="Times" w:cs="Times"/>
          <w:kern w:val="0"/>
          <w:sz w:val="24"/>
          <w:szCs w:val="24"/>
          <w:lang w:eastAsia="es-AR"/>
          <w14:ligatures w14:val="none"/>
        </w:rPr>
        <w:t xml:space="preserve">del </w:t>
      </w:r>
      <w:r w:rsidR="00101AC3">
        <w:rPr>
          <w:rFonts w:ascii="Times" w:eastAsia="Times" w:hAnsi="Times" w:cs="Times"/>
          <w:kern w:val="0"/>
          <w:sz w:val="24"/>
          <w:szCs w:val="24"/>
          <w:lang w:eastAsia="es-AR"/>
          <w14:ligatures w14:val="none"/>
        </w:rPr>
        <w:t>f</w:t>
      </w:r>
      <w:r>
        <w:rPr>
          <w:rFonts w:ascii="Times" w:eastAsia="Times" w:hAnsi="Times" w:cs="Times"/>
          <w:kern w:val="0"/>
          <w:sz w:val="24"/>
          <w:szCs w:val="24"/>
          <w:lang w:eastAsia="es-AR"/>
          <w14:ligatures w14:val="none"/>
        </w:rPr>
        <w:t xml:space="preserve">allo de la Corte </w:t>
      </w:r>
      <w:r w:rsidR="00101AC3" w:rsidRPr="00414DDF">
        <w:rPr>
          <w:rFonts w:ascii="Times" w:eastAsia="Times" w:hAnsi="Times" w:cs="Times"/>
          <w:kern w:val="0"/>
          <w:sz w:val="24"/>
          <w:szCs w:val="24"/>
          <w:highlight w:val="white"/>
          <w:lang w:eastAsia="es-AR"/>
          <w14:ligatures w14:val="none"/>
        </w:rPr>
        <w:t xml:space="preserve">Interamericana de Derechos </w:t>
      </w:r>
      <w:r w:rsidR="00101AC3" w:rsidRPr="00414DDF">
        <w:rPr>
          <w:rFonts w:ascii="Times New Roman" w:eastAsia="Times" w:hAnsi="Times New Roman" w:cs="Times New Roman"/>
          <w:kern w:val="0"/>
          <w:sz w:val="24"/>
          <w:szCs w:val="24"/>
          <w:highlight w:val="white"/>
          <w:lang w:eastAsia="es-AR"/>
          <w14:ligatures w14:val="none"/>
        </w:rPr>
        <w:t>Humanos</w:t>
      </w:r>
      <w:r w:rsidR="00101AC3">
        <w:rPr>
          <w:rFonts w:ascii="Times New Roman" w:eastAsia="Times" w:hAnsi="Times New Roman" w:cs="Times New Roman"/>
          <w:kern w:val="0"/>
          <w:sz w:val="24"/>
          <w:szCs w:val="24"/>
          <w:lang w:eastAsia="es-AR"/>
          <w14:ligatures w14:val="none"/>
        </w:rPr>
        <w:t xml:space="preserve"> en el caso</w:t>
      </w:r>
      <w:r w:rsidR="00A432B1" w:rsidRPr="00414DDF">
        <w:rPr>
          <w:rFonts w:ascii="Times" w:eastAsia="Times" w:hAnsi="Times" w:cs="Times"/>
          <w:kern w:val="0"/>
          <w:sz w:val="24"/>
          <w:szCs w:val="24"/>
          <w:highlight w:val="white"/>
          <w:lang w:eastAsia="es-AR"/>
          <w14:ligatures w14:val="none"/>
        </w:rPr>
        <w:t xml:space="preserve"> “López y otros vs. Argentina” </w:t>
      </w:r>
      <w:r w:rsidR="00A432B1" w:rsidRPr="00414DDF">
        <w:rPr>
          <w:rFonts w:ascii="Times New Roman" w:eastAsia="Times" w:hAnsi="Times New Roman" w:cs="Times New Roman"/>
          <w:kern w:val="0"/>
          <w:sz w:val="24"/>
          <w:szCs w:val="24"/>
          <w:highlight w:val="white"/>
          <w:lang w:eastAsia="es-AR"/>
          <w14:ligatures w14:val="none"/>
        </w:rPr>
        <w:t>de 25 de noviembre de 2019</w:t>
      </w:r>
      <w:r w:rsidR="00A432B1" w:rsidRPr="00414DDF">
        <w:rPr>
          <w:rFonts w:ascii="Times New Roman" w:eastAsia="Times" w:hAnsi="Times New Roman" w:cs="Times New Roman"/>
          <w:kern w:val="0"/>
          <w:sz w:val="24"/>
          <w:szCs w:val="24"/>
          <w:highlight w:val="white"/>
          <w:vertAlign w:val="superscript"/>
          <w:lang w:eastAsia="es-AR"/>
          <w14:ligatures w14:val="none"/>
        </w:rPr>
        <w:footnoteReference w:id="35"/>
      </w:r>
      <w:r w:rsidR="00101AC3">
        <w:rPr>
          <w:rFonts w:ascii="Times New Roman" w:eastAsia="Times" w:hAnsi="Times New Roman" w:cs="Times New Roman"/>
          <w:kern w:val="0"/>
          <w:sz w:val="24"/>
          <w:szCs w:val="24"/>
          <w:highlight w:val="white"/>
          <w:lang w:eastAsia="es-AR"/>
          <w14:ligatures w14:val="none"/>
        </w:rPr>
        <w:t>, donde</w:t>
      </w:r>
      <w:r w:rsidR="00A432B1" w:rsidRPr="00414DDF">
        <w:rPr>
          <w:rFonts w:ascii="Times New Roman" w:eastAsia="Times" w:hAnsi="Times New Roman" w:cs="Times New Roman"/>
          <w:kern w:val="0"/>
          <w:sz w:val="24"/>
          <w:szCs w:val="24"/>
          <w:highlight w:val="white"/>
          <w:lang w:eastAsia="es-AR"/>
          <w14:ligatures w14:val="none"/>
        </w:rPr>
        <w:t xml:space="preserve"> </w:t>
      </w:r>
      <w:r w:rsidR="00A432B1" w:rsidRPr="00414DDF">
        <w:rPr>
          <w:rFonts w:ascii="Times New Roman" w:eastAsia="Cambria" w:hAnsi="Times New Roman" w:cs="Times New Roman"/>
          <w:color w:val="1A1A1A"/>
          <w:kern w:val="0"/>
          <w:sz w:val="24"/>
          <w:szCs w:val="24"/>
          <w:lang w:eastAsia="es-AR"/>
          <w14:ligatures w14:val="none"/>
        </w:rPr>
        <w:t xml:space="preserve">declaró que la política de traslados en Argentina vulnera los derechos humanos. </w:t>
      </w:r>
      <w:r w:rsidR="00101AC3">
        <w:rPr>
          <w:rFonts w:ascii="Times New Roman" w:eastAsia="Cambria" w:hAnsi="Times New Roman" w:cs="Times New Roman"/>
          <w:color w:val="1A1A1A"/>
          <w:kern w:val="0"/>
          <w:sz w:val="24"/>
          <w:szCs w:val="24"/>
          <w:lang w:eastAsia="es-AR"/>
          <w14:ligatures w14:val="none"/>
        </w:rPr>
        <w:t>La Corte s</w:t>
      </w:r>
      <w:r w:rsidR="00A432B1">
        <w:rPr>
          <w:rFonts w:ascii="Times New Roman" w:eastAsia="Cambria" w:hAnsi="Times New Roman" w:cs="Times New Roman"/>
          <w:color w:val="1A1A1A"/>
          <w:kern w:val="0"/>
          <w:sz w:val="24"/>
          <w:szCs w:val="24"/>
          <w:lang w:eastAsia="es-AR"/>
          <w14:ligatures w14:val="none"/>
        </w:rPr>
        <w:t xml:space="preserve">eñaló </w:t>
      </w:r>
      <w:r w:rsidR="00A432B1">
        <w:rPr>
          <w:rFonts w:ascii="Times" w:eastAsia="Times" w:hAnsi="Times" w:cs="Times"/>
          <w:sz w:val="24"/>
          <w:szCs w:val="24"/>
          <w:highlight w:val="white"/>
        </w:rPr>
        <w:t xml:space="preserve">que </w:t>
      </w:r>
      <w:r w:rsidR="00A432B1">
        <w:rPr>
          <w:rFonts w:ascii="Times" w:eastAsia="Times" w:hAnsi="Times" w:cs="Times"/>
          <w:sz w:val="24"/>
          <w:szCs w:val="24"/>
        </w:rPr>
        <w:t xml:space="preserve">las personas privadas de libertad deben ser alojadas en unidades cercanas al lugar de residencia de su familia, para garantizar el derecho a las visitas y la finalidad de reinserción social de la pena privativa de libertad, así como para no vulnerar los derechos a la integridad personal, a la intrascendencia de la pena, a la protección de la familia y al control </w:t>
      </w:r>
      <w:r w:rsidR="0045422D">
        <w:rPr>
          <w:rFonts w:ascii="Times" w:eastAsia="Times" w:hAnsi="Times" w:cs="Times"/>
          <w:sz w:val="24"/>
          <w:szCs w:val="24"/>
        </w:rPr>
        <w:t>judicial de la ejecución penal.</w:t>
      </w:r>
      <w:r w:rsidR="00695D78">
        <w:rPr>
          <w:rFonts w:ascii="Times" w:eastAsia="Times" w:hAnsi="Times" w:cs="Times"/>
          <w:sz w:val="24"/>
          <w:szCs w:val="24"/>
        </w:rPr>
        <w:t xml:space="preserve"> Además, </w:t>
      </w:r>
      <w:r w:rsidR="00A432B1" w:rsidRPr="00A432B1">
        <w:rPr>
          <w:rFonts w:ascii="Times New Roman" w:eastAsia="Cambria" w:hAnsi="Times New Roman" w:cs="Times New Roman"/>
          <w:kern w:val="0"/>
          <w:sz w:val="24"/>
          <w:szCs w:val="24"/>
          <w:lang w:eastAsia="es-AR"/>
          <w14:ligatures w14:val="none"/>
        </w:rPr>
        <w:t>dispuso que en el plazo de un año el Estado debía adoptar todas las medidas de carácter legislativo, administrativo o judicial para regular e implementar los traslados de personas privadas de libertad de acuerdo con la Convención Americana de Derechos Humanos y los estándares establecidos en la sentencia.</w:t>
      </w:r>
    </w:p>
    <w:p w14:paraId="58DD8EBF" w14:textId="2D5B1884" w:rsidR="00D21D7E" w:rsidRPr="00D21D7E" w:rsidRDefault="00D21D7E" w:rsidP="004E2174">
      <w:pPr>
        <w:pBdr>
          <w:top w:val="nil"/>
          <w:left w:val="nil"/>
          <w:bottom w:val="nil"/>
          <w:right w:val="nil"/>
          <w:between w:val="nil"/>
        </w:pBdr>
        <w:spacing w:after="120" w:line="240" w:lineRule="auto"/>
        <w:jc w:val="both"/>
        <w:rPr>
          <w:rFonts w:ascii="Times New Roman" w:hAnsi="Times New Roman"/>
          <w:sz w:val="24"/>
          <w:szCs w:val="24"/>
        </w:rPr>
      </w:pPr>
      <w:r>
        <w:rPr>
          <w:rFonts w:ascii="Times New Roman" w:hAnsi="Times New Roman"/>
          <w:color w:val="1A1A1A"/>
          <w:sz w:val="24"/>
          <w:szCs w:val="24"/>
        </w:rPr>
        <w:t xml:space="preserve">Para cumplir con el fallo de </w:t>
      </w:r>
      <w:r w:rsidRPr="00D21D7E">
        <w:rPr>
          <w:rFonts w:ascii="Times New Roman" w:hAnsi="Times New Roman"/>
          <w:sz w:val="24"/>
          <w:szCs w:val="24"/>
        </w:rPr>
        <w:t>la Corte Interamericana, el 8 de febrero de 2021 el SPF aprobó el “Protocolo de traslado de personas privadas de libertad en el ámbito del Servicio Penitenciario Federal”, publicado en el Boletín Público Normativo N° 731</w:t>
      </w:r>
      <w:r w:rsidRPr="00D21D7E">
        <w:rPr>
          <w:rFonts w:ascii="Times New Roman" w:hAnsi="Times New Roman"/>
          <w:sz w:val="24"/>
          <w:szCs w:val="24"/>
          <w:vertAlign w:val="superscript"/>
        </w:rPr>
        <w:footnoteReference w:id="36"/>
      </w:r>
      <w:r w:rsidRPr="00D21D7E">
        <w:rPr>
          <w:rFonts w:ascii="Times New Roman" w:hAnsi="Times New Roman"/>
          <w:sz w:val="24"/>
          <w:szCs w:val="24"/>
        </w:rPr>
        <w:t>.</w:t>
      </w:r>
      <w:r>
        <w:rPr>
          <w:rFonts w:ascii="Times New Roman" w:hAnsi="Times New Roman"/>
          <w:sz w:val="24"/>
          <w:szCs w:val="24"/>
        </w:rPr>
        <w:t xml:space="preserve"> </w:t>
      </w:r>
      <w:r w:rsidRPr="00D21D7E">
        <w:rPr>
          <w:rFonts w:ascii="Times New Roman" w:hAnsi="Times New Roman"/>
          <w:sz w:val="24"/>
          <w:szCs w:val="24"/>
        </w:rPr>
        <w:t>Dicha reglamentación establece en primer lugar una serie de disposiciones generales y principios rectores acordes a estándares internacionales de derechos humanos. Además, establece la necesidad de fundamentar las razones que justifican la medida de traslado y la obligación de que tome intervención la División de Asistencia Social del establecimiento penitenciario informando sobre las circunstancias personales y familiares de la persona privada de libertad y el impacto que el traslado pudiera tener en su vinculación familiar. Por otro lado, el protocolo establece la necesidad de notificar el traslado a la defensa técnica y al juez a cargo de la persona privada de libertad al menos 72 horas antes de que el mismo se haga efectivo, a los efectos de permitir el derecho de defensa y el control judicial de los traslados.</w:t>
      </w:r>
    </w:p>
    <w:p w14:paraId="46BA1B37" w14:textId="46C8A1FE" w:rsidR="00D21D7E" w:rsidRPr="00D21D7E" w:rsidRDefault="00D21D7E" w:rsidP="004E2174">
      <w:pPr>
        <w:pBdr>
          <w:top w:val="nil"/>
          <w:left w:val="nil"/>
          <w:bottom w:val="nil"/>
          <w:right w:val="nil"/>
          <w:between w:val="nil"/>
        </w:pBdr>
        <w:shd w:val="clear" w:color="auto" w:fill="FFFFFF"/>
        <w:spacing w:after="120" w:line="240" w:lineRule="auto"/>
        <w:jc w:val="both"/>
        <w:rPr>
          <w:rFonts w:ascii="Times New Roman" w:hAnsi="Times New Roman"/>
          <w:sz w:val="24"/>
          <w:szCs w:val="24"/>
        </w:rPr>
      </w:pPr>
      <w:r w:rsidRPr="00D21D7E">
        <w:rPr>
          <w:rFonts w:ascii="Times New Roman" w:hAnsi="Times New Roman"/>
          <w:sz w:val="24"/>
          <w:szCs w:val="24"/>
        </w:rPr>
        <w:t xml:space="preserve">Los monitoreos efectuados por la PPN han verificado </w:t>
      </w:r>
      <w:r w:rsidR="0045422D">
        <w:rPr>
          <w:rFonts w:ascii="Times New Roman" w:hAnsi="Times New Roman"/>
          <w:sz w:val="24"/>
          <w:szCs w:val="24"/>
        </w:rPr>
        <w:t>el incumplimiento de</w:t>
      </w:r>
      <w:r w:rsidRPr="00D21D7E">
        <w:rPr>
          <w:rFonts w:ascii="Times New Roman" w:hAnsi="Times New Roman"/>
          <w:sz w:val="24"/>
          <w:szCs w:val="24"/>
        </w:rPr>
        <w:t xml:space="preserve"> la notificación del traslado a la defensa técnica, y se ha observado que las notificaciones al juez a cargo no cumplen la función de generar un control judicial efectivo de los traslados, puesto que los </w:t>
      </w:r>
      <w:r w:rsidR="0045422D">
        <w:rPr>
          <w:rFonts w:ascii="Times New Roman" w:hAnsi="Times New Roman"/>
          <w:sz w:val="24"/>
          <w:szCs w:val="24"/>
        </w:rPr>
        <w:t>órganos judiciales</w:t>
      </w:r>
      <w:r w:rsidRPr="00D21D7E">
        <w:rPr>
          <w:rFonts w:ascii="Times New Roman" w:hAnsi="Times New Roman"/>
          <w:sz w:val="24"/>
          <w:szCs w:val="24"/>
        </w:rPr>
        <w:t xml:space="preserve"> no adoptan medidas para garantizar el cumplimiento de los estándares de control judicial de los traslados fijados por la CorteIDH en la referida sentencia.</w:t>
      </w:r>
    </w:p>
    <w:p w14:paraId="768E305E" w14:textId="6B344BAA" w:rsidR="00A432B1" w:rsidRDefault="00D21D7E" w:rsidP="004E2174">
      <w:pPr>
        <w:spacing w:after="120" w:line="240" w:lineRule="auto"/>
        <w:jc w:val="both"/>
        <w:rPr>
          <w:rStyle w:val="Hyperlink"/>
          <w:rFonts w:ascii="Times New Roman" w:hAnsi="Times New Roman" w:cs="Times New Roman"/>
          <w:noProof/>
          <w:color w:val="auto"/>
          <w:sz w:val="24"/>
          <w:szCs w:val="24"/>
          <w:u w:val="none"/>
        </w:rPr>
      </w:pPr>
      <w:r w:rsidRPr="00D21D7E">
        <w:rPr>
          <w:rFonts w:ascii="Times New Roman" w:hAnsi="Times New Roman"/>
          <w:sz w:val="24"/>
          <w:szCs w:val="24"/>
        </w:rPr>
        <w:t xml:space="preserve">Por otro lado, </w:t>
      </w:r>
      <w:r>
        <w:rPr>
          <w:rFonts w:ascii="Times New Roman" w:hAnsi="Times New Roman"/>
          <w:sz w:val="24"/>
          <w:szCs w:val="24"/>
        </w:rPr>
        <w:t xml:space="preserve">como hemos mostrado más arriba, </w:t>
      </w:r>
      <w:r w:rsidRPr="00D21D7E">
        <w:rPr>
          <w:rFonts w:ascii="Times New Roman" w:hAnsi="Times New Roman"/>
          <w:sz w:val="24"/>
          <w:szCs w:val="24"/>
        </w:rPr>
        <w:t xml:space="preserve">de las estadísticas disponibles surge que en la actualidad </w:t>
      </w:r>
      <w:r>
        <w:rPr>
          <w:rFonts w:ascii="Times New Roman" w:hAnsi="Times New Roman"/>
          <w:sz w:val="24"/>
          <w:szCs w:val="24"/>
        </w:rPr>
        <w:t>sigue habiendo</w:t>
      </w:r>
      <w:r w:rsidRPr="00D21D7E">
        <w:rPr>
          <w:rFonts w:ascii="Times New Roman" w:hAnsi="Times New Roman"/>
          <w:sz w:val="24"/>
          <w:szCs w:val="24"/>
        </w:rPr>
        <w:t xml:space="preserve"> una gran cantidad de detenidos oriundos de la zona metropolitana </w:t>
      </w:r>
      <w:r>
        <w:rPr>
          <w:rFonts w:ascii="Times New Roman" w:hAnsi="Times New Roman"/>
          <w:sz w:val="24"/>
          <w:szCs w:val="24"/>
        </w:rPr>
        <w:t xml:space="preserve">de CABA </w:t>
      </w:r>
      <w:r w:rsidRPr="00D21D7E">
        <w:rPr>
          <w:rFonts w:ascii="Times New Roman" w:hAnsi="Times New Roman"/>
          <w:sz w:val="24"/>
          <w:szCs w:val="24"/>
        </w:rPr>
        <w:t>que están alojados en cárceles del sur del país, distantes cientos y más de mil quilómetros del lugar de residencia de sus familiares.</w:t>
      </w:r>
      <w:r>
        <w:rPr>
          <w:rFonts w:ascii="Times New Roman" w:hAnsi="Times New Roman"/>
          <w:sz w:val="24"/>
          <w:szCs w:val="24"/>
        </w:rPr>
        <w:t xml:space="preserve"> Por consiguiente, si bien </w:t>
      </w:r>
      <w:r w:rsidRPr="00591789">
        <w:rPr>
          <w:rFonts w:ascii="Times New Roman" w:hAnsi="Times New Roman"/>
          <w:sz w:val="24"/>
          <w:szCs w:val="24"/>
        </w:rPr>
        <w:t>el f</w:t>
      </w:r>
      <w:r w:rsidR="00A432B1" w:rsidRPr="00591789">
        <w:rPr>
          <w:rStyle w:val="Hyperlink"/>
          <w:rFonts w:ascii="Times New Roman" w:hAnsi="Times New Roman" w:cs="Times New Roman"/>
          <w:noProof/>
          <w:color w:val="auto"/>
          <w:sz w:val="24"/>
          <w:szCs w:val="24"/>
          <w:u w:val="none"/>
        </w:rPr>
        <w:t xml:space="preserve">allo de la Corte IDH y </w:t>
      </w:r>
      <w:r w:rsidRPr="00591789">
        <w:rPr>
          <w:rStyle w:val="Hyperlink"/>
          <w:rFonts w:ascii="Times New Roman" w:hAnsi="Times New Roman" w:cs="Times New Roman"/>
          <w:noProof/>
          <w:color w:val="auto"/>
          <w:sz w:val="24"/>
          <w:szCs w:val="24"/>
          <w:u w:val="none"/>
        </w:rPr>
        <w:t xml:space="preserve">la aprobación del </w:t>
      </w:r>
      <w:r w:rsidR="00A432B1" w:rsidRPr="00591789">
        <w:rPr>
          <w:rStyle w:val="Hyperlink"/>
          <w:rFonts w:ascii="Times New Roman" w:hAnsi="Times New Roman" w:cs="Times New Roman"/>
          <w:noProof/>
          <w:color w:val="auto"/>
          <w:sz w:val="24"/>
          <w:szCs w:val="24"/>
          <w:u w:val="none"/>
        </w:rPr>
        <w:t>Protocolo</w:t>
      </w:r>
      <w:r w:rsidR="00116AD3">
        <w:rPr>
          <w:rStyle w:val="Hyperlink"/>
          <w:rFonts w:ascii="Times New Roman" w:hAnsi="Times New Roman" w:cs="Times New Roman"/>
          <w:noProof/>
          <w:color w:val="auto"/>
          <w:sz w:val="24"/>
          <w:szCs w:val="24"/>
          <w:u w:val="none"/>
        </w:rPr>
        <w:t xml:space="preserve"> de</w:t>
      </w:r>
      <w:r w:rsidR="00A432B1" w:rsidRPr="00591789">
        <w:rPr>
          <w:rStyle w:val="Hyperlink"/>
          <w:rFonts w:ascii="Times New Roman" w:hAnsi="Times New Roman" w:cs="Times New Roman"/>
          <w:noProof/>
          <w:color w:val="auto"/>
          <w:sz w:val="24"/>
          <w:szCs w:val="24"/>
          <w:u w:val="none"/>
        </w:rPr>
        <w:t xml:space="preserve"> traslados </w:t>
      </w:r>
      <w:r w:rsidRPr="00591789">
        <w:rPr>
          <w:rStyle w:val="Hyperlink"/>
          <w:rFonts w:ascii="Times New Roman" w:hAnsi="Times New Roman" w:cs="Times New Roman"/>
          <w:noProof/>
          <w:color w:val="auto"/>
          <w:sz w:val="24"/>
          <w:szCs w:val="24"/>
          <w:u w:val="none"/>
        </w:rPr>
        <w:t xml:space="preserve">por parte del </w:t>
      </w:r>
      <w:r w:rsidR="00A432B1" w:rsidRPr="00591789">
        <w:rPr>
          <w:rStyle w:val="Hyperlink"/>
          <w:rFonts w:ascii="Times New Roman" w:hAnsi="Times New Roman" w:cs="Times New Roman"/>
          <w:noProof/>
          <w:color w:val="auto"/>
          <w:sz w:val="24"/>
          <w:szCs w:val="24"/>
          <w:u w:val="none"/>
        </w:rPr>
        <w:t>SPF</w:t>
      </w:r>
      <w:r w:rsidRPr="00591789">
        <w:rPr>
          <w:rStyle w:val="Hyperlink"/>
          <w:rFonts w:ascii="Times New Roman" w:hAnsi="Times New Roman" w:cs="Times New Roman"/>
          <w:noProof/>
          <w:color w:val="auto"/>
          <w:sz w:val="24"/>
          <w:szCs w:val="24"/>
          <w:u w:val="none"/>
        </w:rPr>
        <w:t xml:space="preserve"> fueron consider</w:t>
      </w:r>
      <w:r w:rsidR="00FB5EB4">
        <w:rPr>
          <w:rStyle w:val="Hyperlink"/>
          <w:rFonts w:ascii="Times New Roman" w:hAnsi="Times New Roman" w:cs="Times New Roman"/>
          <w:noProof/>
          <w:color w:val="auto"/>
          <w:sz w:val="24"/>
          <w:szCs w:val="24"/>
          <w:u w:val="none"/>
        </w:rPr>
        <w:t>ados un avance, los monitoreos</w:t>
      </w:r>
      <w:r w:rsidRPr="00591789">
        <w:rPr>
          <w:rStyle w:val="Hyperlink"/>
          <w:rFonts w:ascii="Times New Roman" w:hAnsi="Times New Roman" w:cs="Times New Roman"/>
          <w:noProof/>
          <w:color w:val="auto"/>
          <w:sz w:val="24"/>
          <w:szCs w:val="24"/>
          <w:u w:val="none"/>
        </w:rPr>
        <w:t xml:space="preserve"> de la PP</w:t>
      </w:r>
      <w:r w:rsidR="00116AD3">
        <w:rPr>
          <w:rStyle w:val="Hyperlink"/>
          <w:rFonts w:ascii="Times New Roman" w:hAnsi="Times New Roman" w:cs="Times New Roman"/>
          <w:noProof/>
          <w:color w:val="auto"/>
          <w:sz w:val="24"/>
          <w:szCs w:val="24"/>
          <w:u w:val="none"/>
        </w:rPr>
        <w:t>N y</w:t>
      </w:r>
      <w:r w:rsidRPr="00591789">
        <w:rPr>
          <w:rStyle w:val="Hyperlink"/>
          <w:rFonts w:ascii="Times New Roman" w:hAnsi="Times New Roman" w:cs="Times New Roman"/>
          <w:noProof/>
          <w:color w:val="auto"/>
          <w:sz w:val="24"/>
          <w:szCs w:val="24"/>
          <w:u w:val="none"/>
        </w:rPr>
        <w:t xml:space="preserve"> los datos estadísticos analizados ponen de manifiesto que los traslados arbitrarios y el alejamiento familiar de las personas presas e</w:t>
      </w:r>
      <w:r w:rsidR="00116AD3">
        <w:rPr>
          <w:rStyle w:val="Hyperlink"/>
          <w:rFonts w:ascii="Times New Roman" w:hAnsi="Times New Roman" w:cs="Times New Roman"/>
          <w:noProof/>
          <w:color w:val="auto"/>
          <w:sz w:val="24"/>
          <w:szCs w:val="24"/>
          <w:u w:val="none"/>
        </w:rPr>
        <w:t>n</w:t>
      </w:r>
      <w:r w:rsidRPr="00591789">
        <w:rPr>
          <w:rStyle w:val="Hyperlink"/>
          <w:rFonts w:ascii="Times New Roman" w:hAnsi="Times New Roman" w:cs="Times New Roman"/>
          <w:noProof/>
          <w:color w:val="auto"/>
          <w:sz w:val="24"/>
          <w:szCs w:val="24"/>
          <w:u w:val="none"/>
        </w:rPr>
        <w:t xml:space="preserve"> el SPF sigue siendo una práctica sistemática que no se ha reducido</w:t>
      </w:r>
      <w:r w:rsidR="00591789" w:rsidRPr="00591789">
        <w:rPr>
          <w:rStyle w:val="Hyperlink"/>
          <w:rFonts w:ascii="Times New Roman" w:hAnsi="Times New Roman" w:cs="Times New Roman"/>
          <w:noProof/>
          <w:color w:val="auto"/>
          <w:sz w:val="24"/>
          <w:szCs w:val="24"/>
          <w:u w:val="none"/>
        </w:rPr>
        <w:t xml:space="preserve"> luego del fallo de la Corte IDH.</w:t>
      </w:r>
    </w:p>
    <w:p w14:paraId="450AAA8A" w14:textId="77777777" w:rsidR="004E2174" w:rsidRPr="00591789" w:rsidRDefault="004E2174" w:rsidP="004E2174">
      <w:pPr>
        <w:spacing w:after="120" w:line="240" w:lineRule="auto"/>
        <w:jc w:val="both"/>
        <w:rPr>
          <w:rFonts w:ascii="Times New Roman" w:eastAsia="Cambria" w:hAnsi="Times New Roman" w:cs="Times New Roman"/>
          <w:kern w:val="0"/>
          <w:sz w:val="24"/>
          <w:szCs w:val="24"/>
          <w:lang w:eastAsia="es-AR"/>
          <w14:ligatures w14:val="none"/>
        </w:rPr>
      </w:pPr>
    </w:p>
    <w:p w14:paraId="02F4AD7F" w14:textId="44CE5768" w:rsidR="00597B52" w:rsidRDefault="00597B52" w:rsidP="004E2174">
      <w:pPr>
        <w:pStyle w:val="Heading1"/>
        <w:spacing w:before="0" w:after="120" w:line="240" w:lineRule="auto"/>
        <w:rPr>
          <w:rFonts w:ascii="Times New Roman" w:hAnsi="Times New Roman" w:cs="Times New Roman"/>
          <w:b/>
          <w:bCs/>
          <w:noProof/>
          <w:webHidden/>
          <w:sz w:val="24"/>
          <w:szCs w:val="24"/>
        </w:rPr>
      </w:pPr>
      <w:bookmarkStart w:id="20" w:name="_Toc210805577"/>
      <w:r w:rsidRPr="00921E1E">
        <w:rPr>
          <w:rStyle w:val="Hyperlink"/>
          <w:rFonts w:ascii="Times New Roman" w:hAnsi="Times New Roman" w:cs="Times New Roman"/>
          <w:b/>
          <w:bCs/>
          <w:noProof/>
          <w:color w:val="auto"/>
          <w:sz w:val="24"/>
          <w:szCs w:val="24"/>
          <w:u w:val="none"/>
        </w:rPr>
        <w:t>6.</w:t>
      </w:r>
      <w:r w:rsidR="00F038BC" w:rsidRPr="00921E1E">
        <w:rPr>
          <w:rStyle w:val="Hyperlink"/>
          <w:rFonts w:ascii="Times New Roman" w:hAnsi="Times New Roman" w:cs="Times New Roman"/>
          <w:b/>
          <w:bCs/>
          <w:noProof/>
          <w:color w:val="auto"/>
          <w:sz w:val="24"/>
          <w:szCs w:val="24"/>
          <w:u w:val="none"/>
        </w:rPr>
        <w:t xml:space="preserve"> </w:t>
      </w:r>
      <w:r w:rsidR="003119C7">
        <w:rPr>
          <w:rStyle w:val="Hyperlink"/>
          <w:rFonts w:ascii="Times New Roman" w:hAnsi="Times New Roman" w:cs="Times New Roman"/>
          <w:b/>
          <w:bCs/>
          <w:noProof/>
          <w:color w:val="auto"/>
          <w:sz w:val="24"/>
          <w:szCs w:val="24"/>
          <w:u w:val="none"/>
        </w:rPr>
        <w:t xml:space="preserve">DEFICIENTE </w:t>
      </w:r>
      <w:r w:rsidR="00F038BC" w:rsidRPr="00921E1E">
        <w:rPr>
          <w:rStyle w:val="Hyperlink"/>
          <w:rFonts w:ascii="Times New Roman" w:hAnsi="Times New Roman" w:cs="Times New Roman"/>
          <w:b/>
          <w:bCs/>
          <w:noProof/>
          <w:color w:val="auto"/>
          <w:sz w:val="24"/>
          <w:szCs w:val="24"/>
          <w:u w:val="none"/>
        </w:rPr>
        <w:t>ACCESO A LA SALUD</w:t>
      </w:r>
      <w:bookmarkEnd w:id="20"/>
      <w:r w:rsidRPr="00921E1E">
        <w:rPr>
          <w:rFonts w:ascii="Times New Roman" w:hAnsi="Times New Roman" w:cs="Times New Roman"/>
          <w:b/>
          <w:bCs/>
          <w:noProof/>
          <w:webHidden/>
          <w:sz w:val="24"/>
          <w:szCs w:val="24"/>
        </w:rPr>
        <w:tab/>
      </w:r>
    </w:p>
    <w:p w14:paraId="6EA98C4E" w14:textId="77777777" w:rsidR="00C1230E" w:rsidRPr="004A5C0F" w:rsidRDefault="00C1230E" w:rsidP="004E2174">
      <w:pPr>
        <w:pStyle w:val="Default"/>
        <w:spacing w:after="120"/>
        <w:jc w:val="both"/>
        <w:rPr>
          <w:rFonts w:ascii="Times New Roman" w:hAnsi="Times New Roman" w:cs="Times New Roman"/>
        </w:rPr>
      </w:pPr>
      <w:r w:rsidRPr="004A5C0F">
        <w:rPr>
          <w:rFonts w:ascii="Times New Roman" w:hAnsi="Times New Roman" w:cs="Times New Roman"/>
          <w:noProof/>
          <w:webHidden/>
          <w:color w:val="auto"/>
        </w:rPr>
        <w:t xml:space="preserve">Los problemas en el acceso a la salud de las personas privadas de libertad han sido una constante histórica en el ámbito penitenciario federal. </w:t>
      </w:r>
      <w:r w:rsidRPr="004A5C0F">
        <w:rPr>
          <w:rFonts w:ascii="Times New Roman" w:hAnsi="Times New Roman" w:cs="Times New Roman"/>
          <w:color w:val="auto"/>
        </w:rPr>
        <w:t>En el año 2019 la Procuración Penitenciaria llevó a cabo una investigación sobre atención a la salud en cárceles federales</w:t>
      </w:r>
      <w:r w:rsidRPr="004A5C0F">
        <w:rPr>
          <w:rStyle w:val="FootnoteReference"/>
          <w:rFonts w:ascii="Times New Roman" w:hAnsi="Times New Roman" w:cs="Times New Roman"/>
          <w:color w:val="auto"/>
        </w:rPr>
        <w:footnoteReference w:id="37"/>
      </w:r>
      <w:r w:rsidRPr="004A5C0F">
        <w:rPr>
          <w:rFonts w:ascii="Times New Roman" w:hAnsi="Times New Roman" w:cs="Times New Roman"/>
          <w:color w:val="auto"/>
        </w:rPr>
        <w:t xml:space="preserve"> </w:t>
      </w:r>
      <w:r w:rsidRPr="004A5C0F">
        <w:rPr>
          <w:rFonts w:ascii="Times New Roman" w:hAnsi="Times New Roman" w:cs="Times New Roman"/>
          <w:color w:val="auto"/>
          <w:shd w:val="clear" w:color="auto" w:fill="FFFFFF"/>
        </w:rPr>
        <w:t>en la que se</w:t>
      </w:r>
      <w:r w:rsidRPr="004A5C0F">
        <w:rPr>
          <w:rFonts w:ascii="Times New Roman" w:hAnsi="Times New Roman" w:cs="Times New Roman"/>
        </w:rPr>
        <w:t xml:space="preserve"> identificaron deficiencias estructurales de la gestión de la salud en el encierro.  En primer lugar, la dependencia funcional del sistema de salud respecto del Servicio Penitenciario Federal, contraviniendo las recomendaciones del SPT, aparece como una traba institucional central para garantizar la independencia del personal médico y la posibilidad de evaluar eventuales casos de tortura y malos tratos conforme al Protocolo de Estambul. Por otro lado, la dependencia de los médicos de la institución penitenciaria en vez del Ministerio de Salud impide contar con un sistema de salud respetuoso de los derechos de las personas privadas de libertad. </w:t>
      </w:r>
    </w:p>
    <w:p w14:paraId="79788CE9" w14:textId="77777777" w:rsidR="00C1230E" w:rsidRPr="004A5C0F" w:rsidRDefault="00C1230E" w:rsidP="004E2174">
      <w:pPr>
        <w:pStyle w:val="Default"/>
        <w:spacing w:after="120"/>
        <w:jc w:val="both"/>
        <w:rPr>
          <w:rFonts w:ascii="Times New Roman" w:hAnsi="Times New Roman" w:cs="Times New Roman"/>
        </w:rPr>
      </w:pPr>
      <w:r w:rsidRPr="004A5C0F">
        <w:rPr>
          <w:rFonts w:ascii="Times New Roman" w:hAnsi="Times New Roman" w:cs="Times New Roman"/>
        </w:rPr>
        <w:t>La investigación de la PPN evidenció que el contacto de las personas presas con el sistema de salud es superficial y no hay controles periódicos propios de un plan de medicina preventiva. En muchos casos no hay un seguimiento a los problemas médicos de las personas privadas de libertad, desatendiendo algunas patologías o interrumpiendo sus tratamientos. También es usual un alto nivel de incertidumbre de las personas que son atendidas pero no reciben los resultados de sus estudios. Prevalece también la falta de articulación entre los distintos médicos y las consultas parecen ser aisladas con altos niveles de descoordinación en el sistema sanitario. Se identifica una gran fragmentación en el registro de información en las historias clínicas, hay dificultad para conseguir turnos con los médicos especialistas y gran cantidad de turnos extramuros se pierden por cuestiones burocráticas.</w:t>
      </w:r>
    </w:p>
    <w:p w14:paraId="20C2BB29" w14:textId="77777777" w:rsidR="00C1230E" w:rsidRPr="004A5C0F" w:rsidRDefault="00C1230E" w:rsidP="004E2174">
      <w:pPr>
        <w:autoSpaceDE w:val="0"/>
        <w:autoSpaceDN w:val="0"/>
        <w:adjustRightInd w:val="0"/>
        <w:spacing w:after="120" w:line="240" w:lineRule="auto"/>
        <w:jc w:val="both"/>
        <w:rPr>
          <w:rFonts w:ascii="Times New Roman" w:hAnsi="Times New Roman" w:cs="Times New Roman"/>
          <w:color w:val="000000"/>
          <w:kern w:val="0"/>
          <w:sz w:val="24"/>
          <w:szCs w:val="24"/>
          <w14:ligatures w14:val="none"/>
        </w:rPr>
      </w:pPr>
      <w:r w:rsidRPr="004A5C0F">
        <w:rPr>
          <w:rFonts w:ascii="Times New Roman" w:hAnsi="Times New Roman" w:cs="Times New Roman"/>
          <w:sz w:val="24"/>
          <w:szCs w:val="24"/>
        </w:rPr>
        <w:t xml:space="preserve">Por otro lado, la deficiencia en los programas y tratamientos en materia de salud mental </w:t>
      </w:r>
      <w:r w:rsidRPr="004A5C0F">
        <w:rPr>
          <w:rFonts w:ascii="Times New Roman" w:hAnsi="Times New Roman" w:cs="Times New Roman"/>
          <w:color w:val="000000"/>
          <w:kern w:val="0"/>
          <w:sz w:val="24"/>
          <w:szCs w:val="24"/>
          <w14:ligatures w14:val="none"/>
        </w:rPr>
        <w:t xml:space="preserve">es una cuestión central, además de la poca oferta de programas de abordaje de consumos problemáticos. También se destaca el uso extendido de psicofármacos, tanto en el caso de personas que ingresan con consumos problemáticos, como en el caso de las personas que los utilizan para soportar el encierro frente a la dificultad para dormir, el estrés y la ansiedad, lo que da cuenta de la necesidad urgente de reforzar el sistema de atención a la salud mental de las personas privadas de libertad. Se identificó también que la alta circulación desregulada de psicofármacos tiene un marcado sesgo de género, ya que afecta en mayor medida a la población de mujeres. </w:t>
      </w:r>
    </w:p>
    <w:p w14:paraId="6992D8C0" w14:textId="77777777" w:rsidR="00C1230E" w:rsidRPr="004A5C0F" w:rsidRDefault="00C1230E" w:rsidP="004E2174">
      <w:pPr>
        <w:autoSpaceDE w:val="0"/>
        <w:autoSpaceDN w:val="0"/>
        <w:adjustRightInd w:val="0"/>
        <w:spacing w:after="120" w:line="240" w:lineRule="auto"/>
        <w:jc w:val="both"/>
        <w:rPr>
          <w:rFonts w:ascii="Times New Roman" w:hAnsi="Times New Roman" w:cs="Times New Roman"/>
          <w:color w:val="000000"/>
          <w:kern w:val="0"/>
          <w:sz w:val="24"/>
          <w:szCs w:val="24"/>
          <w14:ligatures w14:val="none"/>
        </w:rPr>
      </w:pPr>
      <w:r w:rsidRPr="004A5C0F">
        <w:rPr>
          <w:rFonts w:ascii="Times New Roman" w:hAnsi="Times New Roman" w:cs="Times New Roman"/>
          <w:color w:val="000000"/>
          <w:kern w:val="0"/>
          <w:sz w:val="24"/>
          <w:szCs w:val="24"/>
          <w14:ligatures w14:val="none"/>
        </w:rPr>
        <w:t>Otra deficiencia que impide cualquier planificación de política sanitaria es la falta de información oficial sobre cuestiones epidemiológicas, recursos y procesos de atención médica, lo que pone de manifiesto que la prestación de la atención sanitaria por parte del SPF no se gestiona con un adecuado criterio sanitarista. Ello fue identificado en la investigación de 2019 y nuevamente a lo largo de 2024.</w:t>
      </w:r>
    </w:p>
    <w:p w14:paraId="41923B2E" w14:textId="77777777" w:rsidR="00C1230E" w:rsidRPr="004A5C0F" w:rsidRDefault="00C1230E" w:rsidP="004E2174">
      <w:pPr>
        <w:autoSpaceDE w:val="0"/>
        <w:autoSpaceDN w:val="0"/>
        <w:adjustRightInd w:val="0"/>
        <w:spacing w:after="120" w:line="240" w:lineRule="auto"/>
        <w:jc w:val="both"/>
        <w:rPr>
          <w:rFonts w:ascii="Times New Roman" w:hAnsi="Times New Roman" w:cs="Times New Roman"/>
          <w:kern w:val="0"/>
          <w:sz w:val="24"/>
          <w:szCs w:val="24"/>
          <w14:ligatures w14:val="none"/>
        </w:rPr>
      </w:pPr>
      <w:r w:rsidRPr="004A5C0F">
        <w:rPr>
          <w:rFonts w:ascii="Times New Roman" w:hAnsi="Times New Roman" w:cs="Times New Roman"/>
          <w:color w:val="000000"/>
          <w:kern w:val="0"/>
          <w:sz w:val="24"/>
          <w:szCs w:val="24"/>
          <w14:ligatures w14:val="none"/>
        </w:rPr>
        <w:t>En el último informe anual 2024 de esta Procuración</w:t>
      </w:r>
      <w:r w:rsidRPr="004A5C0F">
        <w:rPr>
          <w:rStyle w:val="FootnoteReference"/>
          <w:rFonts w:ascii="Times New Roman" w:hAnsi="Times New Roman" w:cs="Times New Roman"/>
          <w:color w:val="000000"/>
          <w:kern w:val="0"/>
          <w:sz w:val="24"/>
          <w:szCs w:val="24"/>
          <w14:ligatures w14:val="none"/>
        </w:rPr>
        <w:footnoteReference w:id="38"/>
      </w:r>
      <w:r w:rsidRPr="004A5C0F">
        <w:rPr>
          <w:rFonts w:ascii="Times New Roman" w:hAnsi="Times New Roman" w:cs="Times New Roman"/>
          <w:color w:val="000000"/>
          <w:kern w:val="0"/>
          <w:sz w:val="24"/>
          <w:szCs w:val="24"/>
          <w14:ligatures w14:val="none"/>
        </w:rPr>
        <w:t>, se puso de manifiesto la falta de respuesta o información parcial brindada por los complejos penitenciarios federales ante la solicitud de información referida a la cantidad de personas detenidas que padecen enfermedades crónicas, las patologías y medicaciones prescritas, la frecuencia con la que brindan atención médica por el especialista correspondiente y el detalle de las internaciones totales realizadas, tanto extramuros como intramuros. Del análisis de las respuestas recibidas se concluye que el servicio penitenciario no cuenta con información detallada y precisa sobre las enfermedades graves o crónicas detectadas en las personas privadas de libertad. Esto conlleva la imposibilidad de realizar un tratamiento correcto y seguimiento de las personas detenidas que padecen esas patologías</w:t>
      </w:r>
      <w:r w:rsidRPr="004A5C0F">
        <w:rPr>
          <w:rStyle w:val="FootnoteReference"/>
          <w:rFonts w:ascii="Times New Roman" w:hAnsi="Times New Roman" w:cs="Times New Roman"/>
          <w:kern w:val="0"/>
          <w:sz w:val="24"/>
          <w:szCs w:val="24"/>
          <w14:ligatures w14:val="none"/>
        </w:rPr>
        <w:footnoteReference w:id="39"/>
      </w:r>
      <w:r w:rsidRPr="004A5C0F">
        <w:rPr>
          <w:rFonts w:ascii="Times New Roman" w:hAnsi="Times New Roman" w:cs="Times New Roman"/>
          <w:color w:val="000000"/>
          <w:kern w:val="0"/>
          <w:sz w:val="24"/>
          <w:szCs w:val="24"/>
          <w14:ligatures w14:val="none"/>
        </w:rPr>
        <w:t xml:space="preserve">. Sumado a ello, la falta de implementación de programas de prevención y/o detección de estas enfermedades dificulta la planificación para su abordaje, principalmente respecto a la dotación del personal de salud necesario que ya se identifica como </w:t>
      </w:r>
      <w:r w:rsidRPr="004A5C0F">
        <w:rPr>
          <w:rFonts w:ascii="Times New Roman" w:hAnsi="Times New Roman" w:cs="Times New Roman"/>
          <w:kern w:val="0"/>
          <w:sz w:val="24"/>
          <w:szCs w:val="24"/>
          <w14:ligatures w14:val="none"/>
        </w:rPr>
        <w:t>insuficiente.</w:t>
      </w:r>
    </w:p>
    <w:p w14:paraId="21F5301A" w14:textId="77777777" w:rsidR="00C1230E" w:rsidRPr="004A5C0F" w:rsidRDefault="00C1230E" w:rsidP="004E2174">
      <w:pPr>
        <w:pStyle w:val="Default"/>
        <w:spacing w:after="120"/>
        <w:jc w:val="both"/>
        <w:rPr>
          <w:rFonts w:ascii="Times New Roman" w:hAnsi="Times New Roman" w:cs="Times New Roman"/>
          <w:noProof/>
          <w:webHidden/>
          <w:color w:val="auto"/>
        </w:rPr>
      </w:pPr>
      <w:r w:rsidRPr="004A5C0F">
        <w:rPr>
          <w:rFonts w:ascii="Times New Roman" w:hAnsi="Times New Roman" w:cs="Times New Roman"/>
          <w:noProof/>
          <w:webHidden/>
          <w:color w:val="auto"/>
        </w:rPr>
        <w:t>A todo lo anterior hay que agregar, como ya se ha señalado, que desde el año 2020 hay una gran cantidad de personas detenidas en Comisarías y Alcaidías de la Policía de la Ciudad Autónoma de Buenos Aires, a la espera de cupo para ingresar al SPF. Esos lugares no previstos para el alojamiento permanente de personas carecen por completo de médicos y de servicios de atención a la salud, por lo que las personas ahí alojadas sufren una grave desatención y deterioro de su salud, y únicamente logran ser llevadas a un hospital ante situaciones de emergencia, cuando en ocasiones ya es demasiado tarde para atender sus dolencias</w:t>
      </w:r>
      <w:r w:rsidRPr="004A5C0F">
        <w:rPr>
          <w:rStyle w:val="FootnoteReference"/>
          <w:rFonts w:ascii="Times New Roman" w:hAnsi="Times New Roman" w:cs="Times New Roman"/>
        </w:rPr>
        <w:footnoteReference w:id="40"/>
      </w:r>
      <w:r w:rsidRPr="004A5C0F">
        <w:rPr>
          <w:rFonts w:ascii="Times New Roman" w:hAnsi="Times New Roman" w:cs="Times New Roman"/>
        </w:rPr>
        <w:t>.</w:t>
      </w:r>
    </w:p>
    <w:p w14:paraId="5643077F" w14:textId="1BA765FC" w:rsidR="00C1230E" w:rsidRPr="004A5C0F" w:rsidRDefault="00C1230E" w:rsidP="004E2174">
      <w:pPr>
        <w:autoSpaceDE w:val="0"/>
        <w:autoSpaceDN w:val="0"/>
        <w:adjustRightInd w:val="0"/>
        <w:spacing w:after="120" w:line="240" w:lineRule="auto"/>
        <w:jc w:val="both"/>
        <w:rPr>
          <w:rFonts w:ascii="Times New Roman" w:hAnsi="Times New Roman" w:cs="Times New Roman"/>
          <w:noProof/>
          <w:kern w:val="0"/>
          <w:sz w:val="24"/>
          <w:szCs w:val="24"/>
          <w14:ligatures w14:val="none"/>
        </w:rPr>
      </w:pPr>
      <w:r w:rsidRPr="004A5C0F">
        <w:rPr>
          <w:rFonts w:ascii="Times New Roman" w:hAnsi="Times New Roman" w:cs="Times New Roman"/>
          <w:noProof/>
          <w:webHidden/>
          <w:sz w:val="24"/>
          <w:szCs w:val="24"/>
        </w:rPr>
        <w:t>Las deficiencias en la atención a la salud tanto en las cárceles federales como en los centros no penitenciarios de detención como las comisarías de la Policía de CABA se reflejan en los datos de muertes bajo custodia</w:t>
      </w:r>
      <w:r w:rsidR="00100CE1">
        <w:rPr>
          <w:rFonts w:ascii="Times New Roman" w:hAnsi="Times New Roman" w:cs="Times New Roman"/>
          <w:noProof/>
          <w:webHidden/>
          <w:sz w:val="24"/>
          <w:szCs w:val="24"/>
        </w:rPr>
        <w:t xml:space="preserve"> analizados más arriba</w:t>
      </w:r>
      <w:r w:rsidRPr="004A5C0F">
        <w:rPr>
          <w:rFonts w:ascii="Times New Roman" w:hAnsi="Times New Roman" w:cs="Times New Roman"/>
          <w:noProof/>
          <w:webHidden/>
          <w:sz w:val="24"/>
          <w:szCs w:val="24"/>
        </w:rPr>
        <w:t xml:space="preserve">, con un gran predominio de muertes </w:t>
      </w:r>
      <w:r w:rsidR="00BC35A1">
        <w:rPr>
          <w:rFonts w:ascii="Times New Roman" w:hAnsi="Times New Roman" w:cs="Times New Roman"/>
          <w:kern w:val="0"/>
          <w:sz w:val="24"/>
          <w:szCs w:val="24"/>
          <w14:ligatures w14:val="none"/>
        </w:rPr>
        <w:t>por enfermedad</w:t>
      </w:r>
      <w:r w:rsidRPr="004A5C0F">
        <w:rPr>
          <w:rFonts w:ascii="Times New Roman" w:hAnsi="Times New Roman" w:cs="Times New Roman"/>
          <w:kern w:val="0"/>
          <w:sz w:val="24"/>
          <w:szCs w:val="24"/>
          <w14:ligatures w14:val="none"/>
        </w:rPr>
        <w:t>.</w:t>
      </w:r>
    </w:p>
    <w:p w14:paraId="372DAF44" w14:textId="77777777" w:rsidR="00C1230E" w:rsidRPr="00C1230E" w:rsidRDefault="00C1230E" w:rsidP="004E2174">
      <w:pPr>
        <w:spacing w:after="120" w:line="240" w:lineRule="auto"/>
        <w:rPr>
          <w:rFonts w:ascii="Times New Roman" w:hAnsi="Times New Roman" w:cs="Times New Roman"/>
          <w:noProof/>
          <w:webHidden/>
          <w:sz w:val="24"/>
          <w:szCs w:val="24"/>
        </w:rPr>
      </w:pPr>
    </w:p>
    <w:p w14:paraId="4E50CD1A" w14:textId="6F99E340" w:rsidR="00F038BC" w:rsidRPr="00BF3B61" w:rsidRDefault="00F038BC" w:rsidP="004E2174">
      <w:pPr>
        <w:pStyle w:val="Heading1"/>
        <w:spacing w:before="0" w:after="120" w:line="240" w:lineRule="auto"/>
        <w:rPr>
          <w:rStyle w:val="Hyperlink"/>
          <w:rFonts w:ascii="Times New Roman" w:hAnsi="Times New Roman" w:cs="Times New Roman"/>
          <w:b/>
          <w:bCs/>
          <w:noProof/>
          <w:webHidden/>
          <w:color w:val="auto"/>
          <w:sz w:val="24"/>
          <w:szCs w:val="24"/>
          <w:u w:val="none"/>
        </w:rPr>
      </w:pPr>
      <w:bookmarkStart w:id="21" w:name="_Toc210805578"/>
      <w:r w:rsidRPr="00BF3B61">
        <w:rPr>
          <w:rStyle w:val="Hyperlink"/>
          <w:rFonts w:ascii="Times New Roman" w:hAnsi="Times New Roman" w:cs="Times New Roman"/>
          <w:b/>
          <w:bCs/>
          <w:noProof/>
          <w:webHidden/>
          <w:color w:val="auto"/>
          <w:sz w:val="24"/>
          <w:szCs w:val="24"/>
          <w:u w:val="none"/>
        </w:rPr>
        <w:t>7. RETROCESO EN EL ACCESO A EDUCACIÓN UNIVERSITARIA</w:t>
      </w:r>
      <w:bookmarkEnd w:id="21"/>
    </w:p>
    <w:p w14:paraId="0B302723" w14:textId="7CCE95FF" w:rsidR="009672E8" w:rsidRPr="00EF16F3" w:rsidRDefault="009672E8" w:rsidP="004E2174">
      <w:pPr>
        <w:shd w:val="clear" w:color="auto" w:fill="FFFFFF"/>
        <w:spacing w:after="120" w:line="240" w:lineRule="auto"/>
        <w:jc w:val="both"/>
        <w:rPr>
          <w:rFonts w:ascii="Times New Roman" w:eastAsia="Times New Roman" w:hAnsi="Times New Roman" w:cs="Times New Roman"/>
          <w:color w:val="000000" w:themeColor="text1"/>
          <w:sz w:val="24"/>
          <w:szCs w:val="24"/>
          <w:lang w:eastAsia="es-AR"/>
        </w:rPr>
      </w:pPr>
      <w:r w:rsidRPr="00EF16F3">
        <w:rPr>
          <w:rFonts w:ascii="Times New Roman" w:eastAsia="Times New Roman" w:hAnsi="Times New Roman" w:cs="Times New Roman"/>
          <w:color w:val="000000" w:themeColor="text1"/>
          <w:sz w:val="24"/>
          <w:szCs w:val="24"/>
          <w:lang w:eastAsia="es-AR"/>
        </w:rPr>
        <w:t>El SPF y la Universidad de Buenos Aires</w:t>
      </w:r>
      <w:r w:rsidR="000125FC">
        <w:rPr>
          <w:rFonts w:ascii="Times New Roman" w:eastAsia="Times New Roman" w:hAnsi="Times New Roman" w:cs="Times New Roman"/>
          <w:color w:val="000000" w:themeColor="text1"/>
          <w:sz w:val="24"/>
          <w:szCs w:val="24"/>
          <w:lang w:eastAsia="es-AR"/>
        </w:rPr>
        <w:t xml:space="preserve"> (UBA)</w:t>
      </w:r>
      <w:r w:rsidRPr="00EF16F3">
        <w:rPr>
          <w:rFonts w:ascii="Times New Roman" w:eastAsia="Times New Roman" w:hAnsi="Times New Roman" w:cs="Times New Roman"/>
          <w:color w:val="000000" w:themeColor="text1"/>
          <w:sz w:val="24"/>
          <w:szCs w:val="24"/>
          <w:lang w:eastAsia="es-AR"/>
        </w:rPr>
        <w:t xml:space="preserve"> fueros pioneros a nivel</w:t>
      </w:r>
      <w:r w:rsidR="00753039">
        <w:rPr>
          <w:rFonts w:ascii="Times New Roman" w:eastAsia="Times New Roman" w:hAnsi="Times New Roman" w:cs="Times New Roman"/>
          <w:color w:val="000000" w:themeColor="text1"/>
          <w:sz w:val="24"/>
          <w:szCs w:val="24"/>
          <w:lang w:eastAsia="es-AR"/>
        </w:rPr>
        <w:t xml:space="preserve"> nacional e</w:t>
      </w:r>
      <w:r w:rsidRPr="00EF16F3">
        <w:rPr>
          <w:rFonts w:ascii="Times New Roman" w:eastAsia="Times New Roman" w:hAnsi="Times New Roman" w:cs="Times New Roman"/>
          <w:color w:val="000000" w:themeColor="text1"/>
          <w:sz w:val="24"/>
          <w:szCs w:val="24"/>
          <w:lang w:eastAsia="es-AR"/>
        </w:rPr>
        <w:t xml:space="preserve"> internacional por el establecimiento de un programa que</w:t>
      </w:r>
      <w:r w:rsidR="00031CFC" w:rsidRPr="00EF16F3">
        <w:rPr>
          <w:rFonts w:ascii="Times New Roman" w:eastAsia="Times New Roman" w:hAnsi="Times New Roman" w:cs="Times New Roman"/>
          <w:color w:val="000000" w:themeColor="text1"/>
          <w:sz w:val="24"/>
          <w:szCs w:val="24"/>
          <w:lang w:eastAsia="es-AR"/>
        </w:rPr>
        <w:t xml:space="preserve"> llevó la Universidad a la cárcel, posibilitando</w:t>
      </w:r>
      <w:r w:rsidRPr="00EF16F3">
        <w:rPr>
          <w:rFonts w:ascii="Times New Roman" w:eastAsia="Times New Roman" w:hAnsi="Times New Roman" w:cs="Times New Roman"/>
          <w:color w:val="000000" w:themeColor="text1"/>
          <w:sz w:val="24"/>
          <w:szCs w:val="24"/>
          <w:lang w:eastAsia="es-AR"/>
        </w:rPr>
        <w:t xml:space="preserve"> el acceso presencial a la educación universitaria en las cárceles</w:t>
      </w:r>
      <w:r w:rsidR="00031CFC" w:rsidRPr="00EF16F3">
        <w:rPr>
          <w:rFonts w:ascii="Times New Roman" w:eastAsia="Times New Roman" w:hAnsi="Times New Roman" w:cs="Times New Roman"/>
          <w:color w:val="000000" w:themeColor="text1"/>
          <w:sz w:val="24"/>
          <w:szCs w:val="24"/>
          <w:lang w:eastAsia="es-AR"/>
        </w:rPr>
        <w:t xml:space="preserve"> federales. El Programa UBA XXII comenzó a funcionar en 1985 en el marco de un </w:t>
      </w:r>
      <w:r w:rsidR="00031CFC" w:rsidRPr="00EF16F3">
        <w:rPr>
          <w:rFonts w:ascii="Times New Roman" w:hAnsi="Times New Roman" w:cs="Times New Roman"/>
          <w:color w:val="000000" w:themeColor="text1"/>
          <w:sz w:val="24"/>
          <w:szCs w:val="24"/>
        </w:rPr>
        <w:t>convenio entre la Universidad de Buenos Aires y el Servicio Penitenciario Federal</w:t>
      </w:r>
      <w:r w:rsidRPr="00EF16F3">
        <w:rPr>
          <w:rFonts w:ascii="Times New Roman" w:eastAsia="Times New Roman" w:hAnsi="Times New Roman" w:cs="Times New Roman"/>
          <w:color w:val="000000" w:themeColor="text1"/>
          <w:sz w:val="24"/>
          <w:szCs w:val="24"/>
          <w:lang w:eastAsia="es-AR"/>
        </w:rPr>
        <w:t xml:space="preserve">, </w:t>
      </w:r>
      <w:r w:rsidR="00031CFC" w:rsidRPr="00EF16F3">
        <w:rPr>
          <w:rFonts w:ascii="Times New Roman" w:eastAsia="Times New Roman" w:hAnsi="Times New Roman" w:cs="Times New Roman"/>
          <w:color w:val="000000" w:themeColor="text1"/>
          <w:sz w:val="24"/>
          <w:szCs w:val="24"/>
          <w:lang w:eastAsia="es-AR"/>
        </w:rPr>
        <w:t xml:space="preserve">y </w:t>
      </w:r>
      <w:r w:rsidRPr="00EF16F3">
        <w:rPr>
          <w:rFonts w:ascii="Times New Roman" w:eastAsia="Times New Roman" w:hAnsi="Times New Roman" w:cs="Times New Roman"/>
          <w:color w:val="000000" w:themeColor="text1"/>
          <w:sz w:val="24"/>
          <w:szCs w:val="24"/>
          <w:lang w:eastAsia="es-AR"/>
        </w:rPr>
        <w:t>ha demostrado ser una potente herramienta de autoorganización de los estudiantes privados de libertad con una elevada capacidad de reinserción social y de disminución de la reincidencia.</w:t>
      </w:r>
    </w:p>
    <w:p w14:paraId="243075DF" w14:textId="0C39CEBC" w:rsidR="00753039" w:rsidRPr="00753039" w:rsidRDefault="009672E8" w:rsidP="00753039">
      <w:pPr>
        <w:shd w:val="clear" w:color="auto" w:fill="FFFFFF"/>
        <w:spacing w:after="120" w:line="240" w:lineRule="auto"/>
        <w:jc w:val="both"/>
        <w:rPr>
          <w:rFonts w:ascii="Times New Roman" w:eastAsia="Times New Roman" w:hAnsi="Times New Roman" w:cs="Times New Roman"/>
          <w:color w:val="000000" w:themeColor="text1"/>
          <w:sz w:val="24"/>
          <w:szCs w:val="24"/>
          <w:lang w:eastAsia="es-AR"/>
        </w:rPr>
      </w:pPr>
      <w:r w:rsidRPr="00EF16F3">
        <w:rPr>
          <w:rFonts w:ascii="Times New Roman" w:hAnsi="Times New Roman" w:cs="Times New Roman"/>
          <w:color w:val="000000" w:themeColor="text1"/>
          <w:sz w:val="24"/>
          <w:szCs w:val="24"/>
        </w:rPr>
        <w:t xml:space="preserve">Desde entonces, el acceso a la educación superior fue un proceso en expansión tanto por la </w:t>
      </w:r>
      <w:r w:rsidRPr="00753039">
        <w:rPr>
          <w:rFonts w:ascii="Times New Roman" w:hAnsi="Times New Roman" w:cs="Times New Roman"/>
          <w:color w:val="000000" w:themeColor="text1"/>
          <w:sz w:val="24"/>
          <w:szCs w:val="24"/>
        </w:rPr>
        <w:t xml:space="preserve">diversificación de la oferta educativa como por la multiplicación de penales donde se imparte. </w:t>
      </w:r>
      <w:r w:rsidR="00753039" w:rsidRPr="00753039">
        <w:rPr>
          <w:rFonts w:ascii="Times New Roman" w:eastAsia="Times New Roman" w:hAnsi="Times New Roman" w:cs="Times New Roman"/>
          <w:color w:val="000000" w:themeColor="text1"/>
          <w:sz w:val="24"/>
          <w:szCs w:val="24"/>
          <w:lang w:eastAsia="es-AR"/>
        </w:rPr>
        <w:t>La experiencia pionera de la UBA y el SPF ha sido ampliada a nivel nacional. Más de la mitad de las universidades públicas van a la cárcel y existen programas en 17 de las 24 jurisdicciones del país.</w:t>
      </w:r>
    </w:p>
    <w:p w14:paraId="090D7341" w14:textId="0765BF34" w:rsidR="009672E8" w:rsidRPr="00EF16F3" w:rsidRDefault="009672E8" w:rsidP="004E2174">
      <w:pPr>
        <w:shd w:val="clear" w:color="auto" w:fill="FFFFFF"/>
        <w:spacing w:after="120" w:line="240" w:lineRule="auto"/>
        <w:jc w:val="both"/>
        <w:rPr>
          <w:rFonts w:ascii="Times New Roman" w:eastAsia="Times New Roman" w:hAnsi="Times New Roman" w:cs="Times New Roman"/>
          <w:color w:val="000000" w:themeColor="text1"/>
          <w:sz w:val="24"/>
          <w:szCs w:val="24"/>
          <w:lang w:eastAsia="es-AR"/>
        </w:rPr>
      </w:pPr>
      <w:r w:rsidRPr="00EF16F3">
        <w:rPr>
          <w:rFonts w:ascii="Times New Roman" w:eastAsia="Times New Roman" w:hAnsi="Times New Roman" w:cs="Times New Roman"/>
          <w:color w:val="000000" w:themeColor="text1"/>
          <w:sz w:val="24"/>
          <w:szCs w:val="24"/>
          <w:lang w:eastAsia="es-AR"/>
        </w:rPr>
        <w:t>La organización estudiantil, amparada por ley, ha sido clave para el desarrollo y expansión de</w:t>
      </w:r>
      <w:r w:rsidR="0074113A" w:rsidRPr="00EF16F3">
        <w:rPr>
          <w:rFonts w:ascii="Times New Roman" w:eastAsia="Times New Roman" w:hAnsi="Times New Roman" w:cs="Times New Roman"/>
          <w:color w:val="000000" w:themeColor="text1"/>
          <w:sz w:val="24"/>
          <w:szCs w:val="24"/>
          <w:lang w:eastAsia="es-AR"/>
        </w:rPr>
        <w:t xml:space="preserve"> </w:t>
      </w:r>
      <w:r w:rsidRPr="00EF16F3">
        <w:rPr>
          <w:rFonts w:ascii="Times New Roman" w:eastAsia="Times New Roman" w:hAnsi="Times New Roman" w:cs="Times New Roman"/>
          <w:color w:val="000000" w:themeColor="text1"/>
          <w:sz w:val="24"/>
          <w:szCs w:val="24"/>
          <w:lang w:eastAsia="es-AR"/>
        </w:rPr>
        <w:t>l</w:t>
      </w:r>
      <w:r w:rsidR="0074113A" w:rsidRPr="00EF16F3">
        <w:rPr>
          <w:rFonts w:ascii="Times New Roman" w:eastAsia="Times New Roman" w:hAnsi="Times New Roman" w:cs="Times New Roman"/>
          <w:color w:val="000000" w:themeColor="text1"/>
          <w:sz w:val="24"/>
          <w:szCs w:val="24"/>
          <w:lang w:eastAsia="es-AR"/>
        </w:rPr>
        <w:t>os</w:t>
      </w:r>
      <w:r w:rsidRPr="00EF16F3">
        <w:rPr>
          <w:rFonts w:ascii="Times New Roman" w:eastAsia="Times New Roman" w:hAnsi="Times New Roman" w:cs="Times New Roman"/>
          <w:color w:val="000000" w:themeColor="text1"/>
          <w:sz w:val="24"/>
          <w:szCs w:val="24"/>
          <w:lang w:eastAsia="es-AR"/>
        </w:rPr>
        <w:t xml:space="preserve"> programa</w:t>
      </w:r>
      <w:r w:rsidR="0074113A" w:rsidRPr="00EF16F3">
        <w:rPr>
          <w:rFonts w:ascii="Times New Roman" w:eastAsia="Times New Roman" w:hAnsi="Times New Roman" w:cs="Times New Roman"/>
          <w:color w:val="000000" w:themeColor="text1"/>
          <w:sz w:val="24"/>
          <w:szCs w:val="24"/>
          <w:lang w:eastAsia="es-AR"/>
        </w:rPr>
        <w:t>s</w:t>
      </w:r>
      <w:r w:rsidRPr="00EF16F3">
        <w:rPr>
          <w:rFonts w:ascii="Times New Roman" w:eastAsia="Times New Roman" w:hAnsi="Times New Roman" w:cs="Times New Roman"/>
          <w:color w:val="000000" w:themeColor="text1"/>
          <w:sz w:val="24"/>
          <w:szCs w:val="24"/>
          <w:lang w:eastAsia="es-AR"/>
        </w:rPr>
        <w:t xml:space="preserve"> </w:t>
      </w:r>
      <w:r w:rsidR="0074113A" w:rsidRPr="00EF16F3">
        <w:rPr>
          <w:rFonts w:ascii="Times New Roman" w:eastAsia="Times New Roman" w:hAnsi="Times New Roman" w:cs="Times New Roman"/>
          <w:color w:val="000000" w:themeColor="text1"/>
          <w:sz w:val="24"/>
          <w:szCs w:val="24"/>
          <w:lang w:eastAsia="es-AR"/>
        </w:rPr>
        <w:t>universitarios</w:t>
      </w:r>
      <w:r w:rsidRPr="00EF16F3">
        <w:rPr>
          <w:rFonts w:ascii="Times New Roman" w:eastAsia="Times New Roman" w:hAnsi="Times New Roman" w:cs="Times New Roman"/>
          <w:color w:val="000000" w:themeColor="text1"/>
          <w:sz w:val="24"/>
          <w:szCs w:val="24"/>
          <w:lang w:eastAsia="es-AR"/>
        </w:rPr>
        <w:t xml:space="preserve"> en cárceles. Algunos de esos programas tuvieron centro de estudiantes incluso antes de institucionalizarse como tales y son fundamentales para la gestión cotidiana de las cursadas.</w:t>
      </w:r>
    </w:p>
    <w:p w14:paraId="640B2A00" w14:textId="6A6F05DE" w:rsidR="009672E8" w:rsidRPr="00EF16F3" w:rsidRDefault="009672E8" w:rsidP="004E2174">
      <w:pPr>
        <w:shd w:val="clear" w:color="auto" w:fill="FFFFFF"/>
        <w:spacing w:after="120" w:line="240" w:lineRule="auto"/>
        <w:jc w:val="both"/>
        <w:rPr>
          <w:rFonts w:ascii="Times New Roman" w:hAnsi="Times New Roman" w:cs="Times New Roman"/>
          <w:color w:val="000000" w:themeColor="text1"/>
          <w:sz w:val="24"/>
          <w:szCs w:val="24"/>
        </w:rPr>
      </w:pPr>
      <w:r w:rsidRPr="00EF16F3">
        <w:rPr>
          <w:rFonts w:ascii="Times New Roman" w:hAnsi="Times New Roman" w:cs="Times New Roman"/>
          <w:color w:val="000000" w:themeColor="text1"/>
          <w:sz w:val="24"/>
          <w:szCs w:val="24"/>
        </w:rPr>
        <w:t xml:space="preserve">Recientemente hubo un intento de menoscabar </w:t>
      </w:r>
      <w:r w:rsidR="0074113A" w:rsidRPr="00EF16F3">
        <w:rPr>
          <w:rFonts w:ascii="Times New Roman" w:hAnsi="Times New Roman" w:cs="Times New Roman"/>
          <w:color w:val="000000" w:themeColor="text1"/>
          <w:sz w:val="24"/>
          <w:szCs w:val="24"/>
        </w:rPr>
        <w:t>el derecho de los estudiantes a organizarse</w:t>
      </w:r>
      <w:r w:rsidRPr="00EF16F3">
        <w:rPr>
          <w:rFonts w:ascii="Times New Roman" w:hAnsi="Times New Roman" w:cs="Times New Roman"/>
          <w:color w:val="000000" w:themeColor="text1"/>
          <w:sz w:val="24"/>
          <w:szCs w:val="24"/>
        </w:rPr>
        <w:t>. Desde el Ministerio de Seguridad de la Nación se emitió la Resolución 372/2025</w:t>
      </w:r>
      <w:r w:rsidRPr="00EF16F3">
        <w:rPr>
          <w:rFonts w:ascii="Times New Roman" w:hAnsi="Times New Roman" w:cs="Times New Roman"/>
          <w:b/>
          <w:bCs/>
          <w:color w:val="000000" w:themeColor="text1"/>
          <w:sz w:val="24"/>
          <w:szCs w:val="24"/>
        </w:rPr>
        <w:t xml:space="preserve">, </w:t>
      </w:r>
      <w:r w:rsidRPr="00EF16F3">
        <w:rPr>
          <w:rFonts w:ascii="Times New Roman" w:hAnsi="Times New Roman" w:cs="Times New Roman"/>
          <w:color w:val="000000" w:themeColor="text1"/>
          <w:sz w:val="24"/>
          <w:szCs w:val="24"/>
        </w:rPr>
        <w:t xml:space="preserve">publicada en el Boletín Oficial el 25 de marzo de 2025, mediante la cual decide </w:t>
      </w:r>
      <w:r w:rsidRPr="00EF16F3">
        <w:rPr>
          <w:rFonts w:ascii="Times New Roman" w:hAnsi="Times New Roman" w:cs="Times New Roman"/>
          <w:i/>
          <w:iCs/>
          <w:color w:val="000000" w:themeColor="text1"/>
          <w:sz w:val="24"/>
          <w:szCs w:val="24"/>
        </w:rPr>
        <w:t xml:space="preserve">“No habilitar el funcionamiento de centros de estudiantes en el ámbito del Servicio Penitenciario Federal” </w:t>
      </w:r>
      <w:r w:rsidRPr="00EF16F3">
        <w:rPr>
          <w:rFonts w:ascii="Times New Roman" w:hAnsi="Times New Roman" w:cs="Times New Roman"/>
          <w:color w:val="000000" w:themeColor="text1"/>
          <w:sz w:val="24"/>
          <w:szCs w:val="24"/>
        </w:rPr>
        <w:t xml:space="preserve">(Art. 1º), y </w:t>
      </w:r>
      <w:r w:rsidRPr="00EF16F3">
        <w:rPr>
          <w:rFonts w:ascii="Times New Roman" w:hAnsi="Times New Roman" w:cs="Times New Roman"/>
          <w:i/>
          <w:iCs/>
          <w:color w:val="000000" w:themeColor="text1"/>
          <w:sz w:val="24"/>
          <w:szCs w:val="24"/>
        </w:rPr>
        <w:t xml:space="preserve">“No permitir la permanencia de personas privadas de la libertad en los centros educativos o espacios de estudio fuera del horario en que deben asistir a las clases asignadas a cada uno de los internos” </w:t>
      </w:r>
      <w:r w:rsidRPr="00EF16F3">
        <w:rPr>
          <w:rFonts w:ascii="Times New Roman" w:hAnsi="Times New Roman" w:cs="Times New Roman"/>
          <w:color w:val="000000" w:themeColor="text1"/>
          <w:sz w:val="24"/>
          <w:szCs w:val="24"/>
        </w:rPr>
        <w:t>(Art</w:t>
      </w:r>
      <w:r w:rsidRPr="00EF16F3">
        <w:rPr>
          <w:rFonts w:ascii="Times New Roman" w:hAnsi="Times New Roman" w:cs="Times New Roman"/>
          <w:i/>
          <w:iCs/>
          <w:color w:val="000000" w:themeColor="text1"/>
          <w:sz w:val="24"/>
          <w:szCs w:val="24"/>
        </w:rPr>
        <w:t>.</w:t>
      </w:r>
      <w:r w:rsidRPr="00EF16F3">
        <w:rPr>
          <w:rFonts w:ascii="Times New Roman" w:hAnsi="Times New Roman" w:cs="Times New Roman"/>
          <w:color w:val="000000" w:themeColor="text1"/>
          <w:sz w:val="24"/>
          <w:szCs w:val="24"/>
        </w:rPr>
        <w:t>2º).</w:t>
      </w:r>
    </w:p>
    <w:p w14:paraId="1B573458" w14:textId="24A99AD6" w:rsidR="009672E8" w:rsidRPr="00EF16F3" w:rsidRDefault="009672E8" w:rsidP="004E2174">
      <w:pPr>
        <w:shd w:val="clear" w:color="auto" w:fill="FFFFFF"/>
        <w:spacing w:after="120" w:line="240" w:lineRule="auto"/>
        <w:jc w:val="both"/>
        <w:rPr>
          <w:rFonts w:ascii="Times New Roman" w:eastAsia="Times New Roman" w:hAnsi="Times New Roman" w:cs="Times New Roman"/>
          <w:color w:val="000000" w:themeColor="text1"/>
          <w:sz w:val="24"/>
          <w:szCs w:val="24"/>
          <w:lang w:eastAsia="es-AR"/>
        </w:rPr>
      </w:pPr>
      <w:r w:rsidRPr="00EF16F3">
        <w:rPr>
          <w:rFonts w:ascii="Times New Roman" w:eastAsia="Times New Roman" w:hAnsi="Times New Roman" w:cs="Times New Roman"/>
          <w:color w:val="000000" w:themeColor="text1"/>
          <w:sz w:val="24"/>
          <w:szCs w:val="24"/>
          <w:lang w:eastAsia="es-AR"/>
        </w:rPr>
        <w:t>La disposición restringe el derecho a la educación y el acceso a la vida universitaria. Al limitarlo estrictamente al horario de clase, se desconoce la centralidad que tiene para el funcionamiento de los espacios universitarios intramuros la existencia de centros de estudiantes e ignora la dinámica del estudio universitario, que requiere, además de asistir a clase, poder consultar la biblioteca, hacer uso de las computadoras, realizar búsquedas en internet, participar en actividades extracurriculares o de investigación, estudiar o realizar trabajos y debates en grupo.</w:t>
      </w:r>
      <w:r w:rsidR="008770AA">
        <w:rPr>
          <w:rFonts w:ascii="Times New Roman" w:eastAsia="Times New Roman" w:hAnsi="Times New Roman" w:cs="Times New Roman"/>
          <w:color w:val="000000" w:themeColor="text1"/>
          <w:sz w:val="24"/>
          <w:szCs w:val="24"/>
          <w:lang w:eastAsia="es-AR"/>
        </w:rPr>
        <w:t xml:space="preserve"> Las actividades que desarrollan los estudiantes detenidos para gestionar y organizar los programas universitarios, lejos de ser una consecuencia de un déficit presupuestario de las universidades, es una política institucional dirigida a </w:t>
      </w:r>
      <w:r w:rsidR="0078436C">
        <w:rPr>
          <w:rFonts w:ascii="Times New Roman" w:eastAsia="Times New Roman" w:hAnsi="Times New Roman" w:cs="Times New Roman"/>
          <w:color w:val="000000" w:themeColor="text1"/>
          <w:sz w:val="24"/>
          <w:szCs w:val="24"/>
          <w:lang w:eastAsia="es-AR"/>
        </w:rPr>
        <w:t>incentivar su responsabilización cívica y su participación comunitaria.</w:t>
      </w:r>
      <w:r w:rsidRPr="00EF16F3">
        <w:rPr>
          <w:rFonts w:ascii="Times New Roman" w:eastAsia="Times New Roman" w:hAnsi="Times New Roman" w:cs="Times New Roman"/>
          <w:color w:val="000000" w:themeColor="text1"/>
          <w:sz w:val="24"/>
          <w:szCs w:val="24"/>
          <w:lang w:eastAsia="es-AR"/>
        </w:rPr>
        <w:t>  </w:t>
      </w:r>
    </w:p>
    <w:p w14:paraId="712165ED" w14:textId="00EF8A32" w:rsidR="009672E8" w:rsidRPr="00EF16F3" w:rsidRDefault="009672E8" w:rsidP="004E2174">
      <w:pPr>
        <w:pStyle w:val="Default"/>
        <w:spacing w:after="120"/>
        <w:jc w:val="both"/>
        <w:rPr>
          <w:rFonts w:ascii="Times New Roman" w:eastAsia="Times New Roman" w:hAnsi="Times New Roman" w:cs="Times New Roman"/>
          <w:color w:val="000000" w:themeColor="text1"/>
          <w:lang w:eastAsia="es-AR"/>
        </w:rPr>
      </w:pPr>
      <w:r w:rsidRPr="00EF16F3">
        <w:rPr>
          <w:rFonts w:ascii="Times New Roman" w:hAnsi="Times New Roman" w:cs="Times New Roman"/>
          <w:color w:val="000000" w:themeColor="text1"/>
        </w:rPr>
        <w:t>Ante ello, la Procuración Penitenciaria de la Nación interpuso un</w:t>
      </w:r>
      <w:r w:rsidR="00EF16F3" w:rsidRPr="00EF16F3">
        <w:rPr>
          <w:rFonts w:ascii="Times New Roman" w:hAnsi="Times New Roman" w:cs="Times New Roman"/>
          <w:color w:val="000000" w:themeColor="text1"/>
        </w:rPr>
        <w:t>a acción de</w:t>
      </w:r>
      <w:r w:rsidRPr="00EF16F3">
        <w:rPr>
          <w:rFonts w:ascii="Times New Roman" w:hAnsi="Times New Roman" w:cs="Times New Roman"/>
          <w:color w:val="000000" w:themeColor="text1"/>
        </w:rPr>
        <w:t xml:space="preserve"> </w:t>
      </w:r>
      <w:r w:rsidR="00EF16F3" w:rsidRPr="00EF16F3">
        <w:rPr>
          <w:rFonts w:ascii="Times New Roman" w:hAnsi="Times New Roman" w:cs="Times New Roman"/>
          <w:color w:val="000000" w:themeColor="text1"/>
        </w:rPr>
        <w:t>h</w:t>
      </w:r>
      <w:r w:rsidRPr="00EF16F3">
        <w:rPr>
          <w:rFonts w:ascii="Times New Roman" w:hAnsi="Times New Roman" w:cs="Times New Roman"/>
          <w:color w:val="000000" w:themeColor="text1"/>
        </w:rPr>
        <w:t xml:space="preserve">abeas </w:t>
      </w:r>
      <w:r w:rsidR="00EF16F3" w:rsidRPr="00EF16F3">
        <w:rPr>
          <w:rFonts w:ascii="Times New Roman" w:hAnsi="Times New Roman" w:cs="Times New Roman"/>
          <w:color w:val="000000" w:themeColor="text1"/>
        </w:rPr>
        <w:t>c</w:t>
      </w:r>
      <w:r w:rsidRPr="00EF16F3">
        <w:rPr>
          <w:rFonts w:ascii="Times New Roman" w:hAnsi="Times New Roman" w:cs="Times New Roman"/>
          <w:color w:val="000000" w:themeColor="text1"/>
        </w:rPr>
        <w:t>orpus planteando que la resolución</w:t>
      </w:r>
      <w:r w:rsidR="00EF16F3" w:rsidRPr="00EF16F3">
        <w:rPr>
          <w:rFonts w:ascii="Times New Roman" w:hAnsi="Times New Roman" w:cs="Times New Roman"/>
          <w:color w:val="000000" w:themeColor="text1"/>
        </w:rPr>
        <w:t xml:space="preserve"> ministerial</w:t>
      </w:r>
      <w:r w:rsidRPr="00EF16F3">
        <w:rPr>
          <w:rFonts w:ascii="Times New Roman" w:hAnsi="Times New Roman" w:cs="Times New Roman"/>
          <w:color w:val="000000" w:themeColor="text1"/>
        </w:rPr>
        <w:t xml:space="preserve"> </w:t>
      </w:r>
      <w:r w:rsidR="00143A70" w:rsidRPr="00EF16F3">
        <w:rPr>
          <w:rFonts w:ascii="Times New Roman" w:hAnsi="Times New Roman" w:cs="Times New Roman"/>
          <w:color w:val="000000" w:themeColor="text1"/>
        </w:rPr>
        <w:t xml:space="preserve">restringe arbitrariamente el acceso a la educación de las personas </w:t>
      </w:r>
      <w:r w:rsidRPr="00EF16F3">
        <w:rPr>
          <w:rFonts w:ascii="Times New Roman" w:hAnsi="Times New Roman" w:cs="Times New Roman"/>
          <w:color w:val="000000" w:themeColor="text1"/>
        </w:rPr>
        <w:t>privad</w:t>
      </w:r>
      <w:r w:rsidR="00143A70" w:rsidRPr="00EF16F3">
        <w:rPr>
          <w:rFonts w:ascii="Times New Roman" w:hAnsi="Times New Roman" w:cs="Times New Roman"/>
          <w:color w:val="000000" w:themeColor="text1"/>
        </w:rPr>
        <w:t>a</w:t>
      </w:r>
      <w:r w:rsidRPr="00EF16F3">
        <w:rPr>
          <w:rFonts w:ascii="Times New Roman" w:hAnsi="Times New Roman" w:cs="Times New Roman"/>
          <w:color w:val="000000" w:themeColor="text1"/>
        </w:rPr>
        <w:t xml:space="preserve">s de libertad en establecimientos del SPF </w:t>
      </w:r>
      <w:r w:rsidR="00143A70" w:rsidRPr="00EF16F3">
        <w:rPr>
          <w:rFonts w:ascii="Times New Roman" w:hAnsi="Times New Roman" w:cs="Times New Roman"/>
          <w:color w:val="000000" w:themeColor="text1"/>
        </w:rPr>
        <w:t xml:space="preserve">que </w:t>
      </w:r>
      <w:r w:rsidRPr="00EF16F3">
        <w:rPr>
          <w:rFonts w:ascii="Times New Roman" w:hAnsi="Times New Roman" w:cs="Times New Roman"/>
          <w:color w:val="000000" w:themeColor="text1"/>
        </w:rPr>
        <w:t xml:space="preserve">cursan estudios universitarios, </w:t>
      </w:r>
      <w:r w:rsidR="00143A70" w:rsidRPr="00EF16F3">
        <w:rPr>
          <w:rFonts w:ascii="Times New Roman" w:hAnsi="Times New Roman" w:cs="Times New Roman"/>
          <w:color w:val="000000" w:themeColor="text1"/>
        </w:rPr>
        <w:t>al impedir la organización de los estudiantes universitarios</w:t>
      </w:r>
      <w:r w:rsidRPr="00EF16F3">
        <w:rPr>
          <w:rFonts w:ascii="Times New Roman" w:hAnsi="Times New Roman" w:cs="Times New Roman"/>
          <w:color w:val="000000" w:themeColor="text1"/>
        </w:rPr>
        <w:t>.</w:t>
      </w:r>
      <w:r w:rsidR="00143A70" w:rsidRPr="00EF16F3">
        <w:rPr>
          <w:rFonts w:ascii="Times New Roman" w:hAnsi="Times New Roman" w:cs="Times New Roman"/>
          <w:color w:val="000000" w:themeColor="text1"/>
        </w:rPr>
        <w:t xml:space="preserve"> La </w:t>
      </w:r>
      <w:r w:rsidRPr="00EF16F3">
        <w:rPr>
          <w:rFonts w:ascii="Times New Roman" w:eastAsia="Times New Roman" w:hAnsi="Times New Roman" w:cs="Times New Roman"/>
          <w:color w:val="000000" w:themeColor="text1"/>
          <w:lang w:eastAsia="es-AR"/>
        </w:rPr>
        <w:t xml:space="preserve">norma del Ministerio de Seguridad </w:t>
      </w:r>
      <w:r w:rsidR="00143A70" w:rsidRPr="00EF16F3">
        <w:rPr>
          <w:rFonts w:ascii="Times New Roman" w:eastAsia="Times New Roman" w:hAnsi="Times New Roman" w:cs="Times New Roman"/>
          <w:color w:val="000000" w:themeColor="text1"/>
          <w:lang w:eastAsia="es-AR"/>
        </w:rPr>
        <w:t xml:space="preserve">por el momento </w:t>
      </w:r>
      <w:r w:rsidRPr="00EF16F3">
        <w:rPr>
          <w:rFonts w:ascii="Times New Roman" w:eastAsia="Times New Roman" w:hAnsi="Times New Roman" w:cs="Times New Roman"/>
          <w:color w:val="000000" w:themeColor="text1"/>
          <w:lang w:eastAsia="es-AR"/>
        </w:rPr>
        <w:t xml:space="preserve">no ha sido revertida, </w:t>
      </w:r>
      <w:r w:rsidR="00143A70" w:rsidRPr="00EF16F3">
        <w:rPr>
          <w:rFonts w:ascii="Times New Roman" w:eastAsia="Times New Roman" w:hAnsi="Times New Roman" w:cs="Times New Roman"/>
          <w:color w:val="000000" w:themeColor="text1"/>
          <w:lang w:eastAsia="es-AR"/>
        </w:rPr>
        <w:t xml:space="preserve">pero de forma cautelar y mientras tramita el proceso la justicia </w:t>
      </w:r>
      <w:r w:rsidRPr="00EF16F3">
        <w:rPr>
          <w:rFonts w:ascii="Times New Roman" w:eastAsia="Times New Roman" w:hAnsi="Times New Roman" w:cs="Times New Roman"/>
          <w:color w:val="000000" w:themeColor="text1"/>
          <w:lang w:eastAsia="es-AR"/>
        </w:rPr>
        <w:t>ordenó al SPF permitir que los estudiantes permanezcan en los centros universitarios “</w:t>
      </w:r>
      <w:r w:rsidRPr="00EF16F3">
        <w:rPr>
          <w:rFonts w:ascii="Times New Roman" w:eastAsia="Times New Roman" w:hAnsi="Times New Roman" w:cs="Times New Roman"/>
          <w:i/>
          <w:iCs/>
          <w:color w:val="000000" w:themeColor="text1"/>
          <w:lang w:eastAsia="es-AR"/>
        </w:rPr>
        <w:t>durante el tiempo que resulte necesario</w:t>
      </w:r>
      <w:r w:rsidRPr="00EF16F3">
        <w:rPr>
          <w:rFonts w:ascii="Times New Roman" w:eastAsia="Times New Roman" w:hAnsi="Times New Roman" w:cs="Times New Roman"/>
          <w:color w:val="000000" w:themeColor="text1"/>
          <w:lang w:eastAsia="es-AR"/>
        </w:rPr>
        <w:t xml:space="preserve">” para estudiar y realizar actividades educativas. La </w:t>
      </w:r>
      <w:r w:rsidR="00143A70" w:rsidRPr="00EF16F3">
        <w:rPr>
          <w:rFonts w:ascii="Times New Roman" w:eastAsia="Times New Roman" w:hAnsi="Times New Roman" w:cs="Times New Roman"/>
          <w:color w:val="000000" w:themeColor="text1"/>
          <w:lang w:eastAsia="es-AR"/>
        </w:rPr>
        <w:t>resolución señala</w:t>
      </w:r>
      <w:r w:rsidRPr="00EF16F3">
        <w:rPr>
          <w:rFonts w:ascii="Times New Roman" w:eastAsia="Times New Roman" w:hAnsi="Times New Roman" w:cs="Times New Roman"/>
          <w:color w:val="000000" w:themeColor="text1"/>
          <w:lang w:eastAsia="es-AR"/>
        </w:rPr>
        <w:t xml:space="preserve"> que “</w:t>
      </w:r>
      <w:r w:rsidRPr="00EF16F3">
        <w:rPr>
          <w:rFonts w:ascii="Times New Roman" w:eastAsia="Times New Roman" w:hAnsi="Times New Roman" w:cs="Times New Roman"/>
          <w:i/>
          <w:iCs/>
          <w:color w:val="000000" w:themeColor="text1"/>
          <w:lang w:eastAsia="es-AR"/>
        </w:rPr>
        <w:t>considerar que el proceso de aprendizaje (y enseñanza) se limita a las horas cátedra de conocimiento impartido por un docente contraría los estándares de un proceso educativo de calidad</w:t>
      </w:r>
      <w:r w:rsidRPr="00EF16F3">
        <w:rPr>
          <w:rFonts w:ascii="Times New Roman" w:eastAsia="Times New Roman" w:hAnsi="Times New Roman" w:cs="Times New Roman"/>
          <w:color w:val="000000" w:themeColor="text1"/>
          <w:lang w:eastAsia="es-AR"/>
        </w:rPr>
        <w:t>”</w:t>
      </w:r>
      <w:r w:rsidR="00143A70" w:rsidRPr="00EF16F3">
        <w:rPr>
          <w:rStyle w:val="FootnoteReference"/>
          <w:rFonts w:ascii="Times New Roman" w:eastAsia="Times New Roman" w:hAnsi="Times New Roman" w:cs="Times New Roman"/>
          <w:color w:val="000000" w:themeColor="text1"/>
          <w:lang w:eastAsia="es-AR"/>
        </w:rPr>
        <w:footnoteReference w:id="41"/>
      </w:r>
      <w:r w:rsidRPr="00EF16F3">
        <w:rPr>
          <w:rFonts w:ascii="Times New Roman" w:eastAsia="Times New Roman" w:hAnsi="Times New Roman" w:cs="Times New Roman"/>
          <w:color w:val="000000" w:themeColor="text1"/>
          <w:lang w:eastAsia="es-AR"/>
        </w:rPr>
        <w:t xml:space="preserve">. </w:t>
      </w:r>
    </w:p>
    <w:p w14:paraId="5CA6C58A" w14:textId="4B3CEBA7" w:rsidR="00143A70" w:rsidRPr="00EF16F3" w:rsidRDefault="00143A70" w:rsidP="004E2174">
      <w:pPr>
        <w:pStyle w:val="Default"/>
        <w:spacing w:after="120"/>
        <w:jc w:val="both"/>
        <w:rPr>
          <w:rFonts w:ascii="Times New Roman" w:hAnsi="Times New Roman" w:cs="Times New Roman"/>
          <w:color w:val="000000" w:themeColor="text1"/>
        </w:rPr>
      </w:pPr>
      <w:r w:rsidRPr="00753039">
        <w:rPr>
          <w:rFonts w:ascii="Times New Roman" w:eastAsia="Times New Roman" w:hAnsi="Times New Roman" w:cs="Times New Roman"/>
          <w:color w:val="000000" w:themeColor="text1"/>
          <w:lang w:eastAsia="es-AR"/>
        </w:rPr>
        <w:t xml:space="preserve">La acción de habeas corpus aun se encuentra en trámite, </w:t>
      </w:r>
      <w:r w:rsidR="00EF16F3" w:rsidRPr="00753039">
        <w:rPr>
          <w:rFonts w:ascii="Times New Roman" w:eastAsia="Times New Roman" w:hAnsi="Times New Roman" w:cs="Times New Roman"/>
          <w:color w:val="000000" w:themeColor="text1"/>
          <w:lang w:eastAsia="es-AR"/>
        </w:rPr>
        <w:t>pero preocupa</w:t>
      </w:r>
      <w:r w:rsidR="00EF16F3">
        <w:rPr>
          <w:rFonts w:ascii="Times New Roman" w:eastAsia="Times New Roman" w:hAnsi="Times New Roman" w:cs="Times New Roman"/>
          <w:color w:val="000000" w:themeColor="text1"/>
          <w:lang w:eastAsia="es-AR"/>
        </w:rPr>
        <w:t xml:space="preserve"> enormemente a la PPN la posibilidad de que se produzca un retroceso en el acceso a la educación de las personas privadas de libertad en cárceles federales y se debilite un programa de universidad en las cárceles que ha resultado muy efectivo para la protección de los derechos de las personas privadas de libertad y la reducción de </w:t>
      </w:r>
      <w:r w:rsidR="00F5590C">
        <w:rPr>
          <w:rFonts w:ascii="Times New Roman" w:eastAsia="Times New Roman" w:hAnsi="Times New Roman" w:cs="Times New Roman"/>
          <w:color w:val="000000" w:themeColor="text1"/>
          <w:lang w:eastAsia="es-AR"/>
        </w:rPr>
        <w:t>su</w:t>
      </w:r>
      <w:r w:rsidR="00EF16F3">
        <w:rPr>
          <w:rFonts w:ascii="Times New Roman" w:eastAsia="Times New Roman" w:hAnsi="Times New Roman" w:cs="Times New Roman"/>
          <w:color w:val="000000" w:themeColor="text1"/>
          <w:lang w:eastAsia="es-AR"/>
        </w:rPr>
        <w:t xml:space="preserve"> vulnerabilidad social.</w:t>
      </w:r>
    </w:p>
    <w:p w14:paraId="314DA7EE" w14:textId="77777777" w:rsidR="009672E8" w:rsidRPr="00BB1DFD" w:rsidRDefault="009672E8" w:rsidP="004E2174">
      <w:pPr>
        <w:spacing w:after="120" w:line="240" w:lineRule="auto"/>
        <w:rPr>
          <w:rFonts w:ascii="Times New Roman" w:hAnsi="Times New Roman" w:cs="Times New Roman"/>
          <w:noProof/>
          <w:color w:val="EE0000"/>
          <w:sz w:val="24"/>
          <w:szCs w:val="24"/>
        </w:rPr>
      </w:pPr>
    </w:p>
    <w:p w14:paraId="5EB87451" w14:textId="41AF7F7E" w:rsidR="00560B22" w:rsidRDefault="00F038BC" w:rsidP="004E2174">
      <w:pPr>
        <w:pStyle w:val="Heading1"/>
        <w:spacing w:before="0" w:after="120" w:line="240" w:lineRule="auto"/>
        <w:rPr>
          <w:rStyle w:val="Hyperlink"/>
          <w:rFonts w:ascii="Times New Roman" w:hAnsi="Times New Roman" w:cs="Times New Roman"/>
          <w:b/>
          <w:bCs/>
          <w:noProof/>
          <w:color w:val="auto"/>
          <w:sz w:val="24"/>
          <w:szCs w:val="24"/>
          <w:u w:val="none"/>
        </w:rPr>
      </w:pPr>
      <w:bookmarkStart w:id="22" w:name="_Toc210805579"/>
      <w:r w:rsidRPr="00921E1E">
        <w:rPr>
          <w:rStyle w:val="Hyperlink"/>
          <w:rFonts w:ascii="Times New Roman" w:hAnsi="Times New Roman" w:cs="Times New Roman"/>
          <w:b/>
          <w:bCs/>
          <w:noProof/>
          <w:color w:val="auto"/>
          <w:sz w:val="24"/>
          <w:szCs w:val="24"/>
          <w:u w:val="none"/>
        </w:rPr>
        <w:t>8</w:t>
      </w:r>
      <w:r w:rsidR="00597B52" w:rsidRPr="00921E1E">
        <w:rPr>
          <w:rStyle w:val="Hyperlink"/>
          <w:rFonts w:ascii="Times New Roman" w:hAnsi="Times New Roman" w:cs="Times New Roman"/>
          <w:b/>
          <w:bCs/>
          <w:noProof/>
          <w:color w:val="auto"/>
          <w:sz w:val="24"/>
          <w:szCs w:val="24"/>
          <w:u w:val="none"/>
        </w:rPr>
        <w:t>.</w:t>
      </w:r>
      <w:r w:rsidRPr="00921E1E">
        <w:rPr>
          <w:rStyle w:val="Hyperlink"/>
          <w:rFonts w:ascii="Times New Roman" w:hAnsi="Times New Roman" w:cs="Times New Roman"/>
          <w:b/>
          <w:bCs/>
          <w:noProof/>
          <w:color w:val="auto"/>
          <w:sz w:val="24"/>
          <w:szCs w:val="24"/>
          <w:u w:val="none"/>
        </w:rPr>
        <w:t xml:space="preserve"> </w:t>
      </w:r>
      <w:r w:rsidR="000125FC">
        <w:rPr>
          <w:rStyle w:val="Hyperlink"/>
          <w:rFonts w:ascii="Times New Roman" w:hAnsi="Times New Roman" w:cs="Times New Roman"/>
          <w:b/>
          <w:bCs/>
          <w:noProof/>
          <w:color w:val="auto"/>
          <w:sz w:val="24"/>
          <w:szCs w:val="24"/>
          <w:u w:val="none"/>
        </w:rPr>
        <w:t xml:space="preserve">REDUCCION DEL </w:t>
      </w:r>
      <w:r w:rsidR="00560B22">
        <w:rPr>
          <w:rStyle w:val="Hyperlink"/>
          <w:rFonts w:ascii="Times New Roman" w:hAnsi="Times New Roman" w:cs="Times New Roman"/>
          <w:b/>
          <w:bCs/>
          <w:noProof/>
          <w:color w:val="auto"/>
          <w:sz w:val="24"/>
          <w:szCs w:val="24"/>
          <w:u w:val="none"/>
        </w:rPr>
        <w:t>ACCESO A TRABAJO</w:t>
      </w:r>
      <w:bookmarkEnd w:id="22"/>
    </w:p>
    <w:p w14:paraId="0C87B337" w14:textId="1F205ECF" w:rsidR="006A3507" w:rsidRDefault="00162D26" w:rsidP="004E2174">
      <w:pPr>
        <w:spacing w:after="120" w:line="240" w:lineRule="auto"/>
        <w:jc w:val="both"/>
        <w:rPr>
          <w:rFonts w:ascii="Times New Roman" w:hAnsi="Times New Roman" w:cs="Times New Roman"/>
          <w:sz w:val="24"/>
          <w:szCs w:val="24"/>
        </w:rPr>
      </w:pPr>
      <w:r w:rsidRPr="007F172C">
        <w:rPr>
          <w:rFonts w:ascii="Times New Roman" w:eastAsia="Times New Roman" w:hAnsi="Times New Roman" w:cs="Times New Roman"/>
          <w:kern w:val="0"/>
          <w:sz w:val="24"/>
          <w:szCs w:val="24"/>
          <w:lang w:eastAsia="es-AR"/>
          <w14:ligatures w14:val="none"/>
        </w:rPr>
        <w:t>El acceso al trabajo remunerado en las cárceles federales ha experimentado una serie de movimientos en los últimos quince años. Se verifica un incremento notable entre 2010 y 2013, pasando de 40,3 trabajadores cada cien detenidos a 76,</w:t>
      </w:r>
      <w:r w:rsidR="007F172C" w:rsidRPr="007F172C">
        <w:rPr>
          <w:rFonts w:ascii="Times New Roman" w:eastAsia="Times New Roman" w:hAnsi="Times New Roman" w:cs="Times New Roman"/>
          <w:kern w:val="0"/>
          <w:sz w:val="24"/>
          <w:szCs w:val="24"/>
          <w:lang w:eastAsia="es-AR"/>
          <w14:ligatures w14:val="none"/>
        </w:rPr>
        <w:t>3. Posteriormente</w:t>
      </w:r>
      <w:r w:rsidRPr="007F172C">
        <w:rPr>
          <w:rFonts w:ascii="Times New Roman" w:eastAsia="Times New Roman" w:hAnsi="Times New Roman" w:cs="Times New Roman"/>
          <w:kern w:val="0"/>
          <w:sz w:val="24"/>
          <w:szCs w:val="24"/>
          <w:lang w:eastAsia="es-AR"/>
          <w14:ligatures w14:val="none"/>
        </w:rPr>
        <w:t xml:space="preserve"> hubo un período de reducción de cupos </w:t>
      </w:r>
      <w:r w:rsidR="007F172C">
        <w:rPr>
          <w:rFonts w:ascii="Times New Roman" w:eastAsia="Times New Roman" w:hAnsi="Times New Roman" w:cs="Times New Roman"/>
          <w:kern w:val="0"/>
          <w:sz w:val="24"/>
          <w:szCs w:val="24"/>
          <w:lang w:eastAsia="es-AR"/>
          <w14:ligatures w14:val="none"/>
        </w:rPr>
        <w:t xml:space="preserve">laborales seguido </w:t>
      </w:r>
      <w:r w:rsidRPr="007F172C">
        <w:rPr>
          <w:rFonts w:ascii="Times New Roman" w:eastAsia="Times New Roman" w:hAnsi="Times New Roman" w:cs="Times New Roman"/>
          <w:kern w:val="0"/>
          <w:sz w:val="24"/>
          <w:szCs w:val="24"/>
          <w:lang w:eastAsia="es-AR"/>
          <w14:ligatures w14:val="none"/>
        </w:rPr>
        <w:t>de algunas oscilaciones, que terminaron situando a mediados de 2024 la tasa de ocupación en 66</w:t>
      </w:r>
      <w:r w:rsidRPr="007F172C">
        <w:rPr>
          <w:rFonts w:ascii="Times New Roman" w:hAnsi="Times New Roman" w:cs="Times New Roman"/>
          <w:sz w:val="24"/>
          <w:szCs w:val="24"/>
        </w:rPr>
        <w:t>,3 trabajadores cada cien personas detenidas</w:t>
      </w:r>
      <w:r w:rsidR="00650871" w:rsidRPr="007F172C">
        <w:rPr>
          <w:rStyle w:val="FootnoteReference"/>
          <w:rFonts w:ascii="Times New Roman" w:hAnsi="Times New Roman" w:cs="Times New Roman"/>
          <w:sz w:val="24"/>
          <w:szCs w:val="24"/>
        </w:rPr>
        <w:footnoteReference w:id="42"/>
      </w:r>
      <w:r w:rsidRPr="007F172C">
        <w:rPr>
          <w:rFonts w:ascii="Times New Roman" w:hAnsi="Times New Roman" w:cs="Times New Roman"/>
          <w:sz w:val="24"/>
          <w:szCs w:val="24"/>
        </w:rPr>
        <w:t xml:space="preserve">. </w:t>
      </w:r>
      <w:r w:rsidR="006A3507" w:rsidRPr="006A3507">
        <w:rPr>
          <w:rFonts w:ascii="Times New Roman" w:hAnsi="Times New Roman" w:cs="Times New Roman"/>
          <w:sz w:val="24"/>
          <w:szCs w:val="24"/>
        </w:rPr>
        <w:t>La PPN no dispone de los datos de ocupación de mediados de 2025, debido a que el SPF aun no remitió la información completa correspondiente a julio de 2025.</w:t>
      </w:r>
    </w:p>
    <w:p w14:paraId="2EE84B0A" w14:textId="78C5FE1E" w:rsidR="006A3507" w:rsidRDefault="006A3507" w:rsidP="004E2174">
      <w:pPr>
        <w:spacing w:after="120" w:line="240" w:lineRule="auto"/>
        <w:jc w:val="both"/>
        <w:rPr>
          <w:rFonts w:ascii="Times New Roman" w:eastAsia="Calibri" w:hAnsi="Times New Roman" w:cs="Times New Roman"/>
          <w:bCs/>
          <w:kern w:val="0"/>
          <w:sz w:val="24"/>
          <w:szCs w:val="24"/>
          <w:lang w:val="es-ES" w:eastAsia="es-AR"/>
          <w14:ligatures w14:val="none"/>
        </w:rPr>
      </w:pPr>
      <w:r>
        <w:rPr>
          <w:rFonts w:ascii="Times New Roman" w:hAnsi="Times New Roman" w:cs="Times New Roman"/>
          <w:sz w:val="24"/>
          <w:szCs w:val="24"/>
        </w:rPr>
        <w:t>De la información parcial recibida, surge que e</w:t>
      </w:r>
      <w:r w:rsidRPr="00A20FDF">
        <w:rPr>
          <w:rFonts w:ascii="Times New Roman" w:eastAsia="Calibri" w:hAnsi="Times New Roman" w:cs="Times New Roman"/>
          <w:bCs/>
          <w:kern w:val="0"/>
          <w:sz w:val="24"/>
          <w:szCs w:val="24"/>
          <w:lang w:val="es-ES" w:eastAsia="es-AR"/>
          <w14:ligatures w14:val="none"/>
        </w:rPr>
        <w:t>ntre julio de 2024 y julio de 2025 el SPF redujo</w:t>
      </w:r>
      <w:r>
        <w:rPr>
          <w:rFonts w:ascii="Times New Roman" w:eastAsia="Calibri" w:hAnsi="Times New Roman" w:cs="Times New Roman"/>
          <w:bCs/>
          <w:kern w:val="0"/>
          <w:sz w:val="24"/>
          <w:szCs w:val="24"/>
          <w:lang w:val="es-ES" w:eastAsia="es-AR"/>
          <w14:ligatures w14:val="none"/>
        </w:rPr>
        <w:t xml:space="preserve"> a la mitad</w:t>
      </w:r>
      <w:r w:rsidRPr="00A20FDF">
        <w:rPr>
          <w:rFonts w:ascii="Times New Roman" w:eastAsia="Calibri" w:hAnsi="Times New Roman" w:cs="Times New Roman"/>
          <w:bCs/>
          <w:kern w:val="0"/>
          <w:sz w:val="24"/>
          <w:szCs w:val="24"/>
          <w:lang w:val="es-ES" w:eastAsia="es-AR"/>
          <w14:ligatures w14:val="none"/>
        </w:rPr>
        <w:t xml:space="preserve"> las horas que abona a trabajadores </w:t>
      </w:r>
      <w:r>
        <w:rPr>
          <w:rFonts w:ascii="Times New Roman" w:eastAsia="Calibri" w:hAnsi="Times New Roman" w:cs="Times New Roman"/>
          <w:bCs/>
          <w:kern w:val="0"/>
          <w:sz w:val="24"/>
          <w:szCs w:val="24"/>
          <w:lang w:val="es-ES" w:eastAsia="es-AR"/>
          <w14:ligatures w14:val="none"/>
        </w:rPr>
        <w:t>en el conjunto de las cárceles federales</w:t>
      </w:r>
      <w:r w:rsidRPr="00A20FDF">
        <w:rPr>
          <w:rFonts w:ascii="Times New Roman" w:eastAsia="Calibri" w:hAnsi="Times New Roman" w:cs="Times New Roman"/>
          <w:bCs/>
          <w:kern w:val="0"/>
          <w:sz w:val="24"/>
          <w:szCs w:val="24"/>
          <w:lang w:val="es-ES" w:eastAsia="es-AR"/>
          <w14:ligatures w14:val="none"/>
        </w:rPr>
        <w:t xml:space="preserve"> (pasando de 970.050 a 452.823 horas abonadas en el mes a la masa </w:t>
      </w:r>
      <w:r w:rsidR="000125FC">
        <w:rPr>
          <w:rFonts w:ascii="Times New Roman" w:eastAsia="Calibri" w:hAnsi="Times New Roman" w:cs="Times New Roman"/>
          <w:bCs/>
          <w:kern w:val="0"/>
          <w:sz w:val="24"/>
          <w:szCs w:val="24"/>
          <w:lang w:val="es-ES" w:eastAsia="es-AR"/>
          <w14:ligatures w14:val="none"/>
        </w:rPr>
        <w:t xml:space="preserve">total </w:t>
      </w:r>
      <w:r w:rsidRPr="00A20FDF">
        <w:rPr>
          <w:rFonts w:ascii="Times New Roman" w:eastAsia="Calibri" w:hAnsi="Times New Roman" w:cs="Times New Roman"/>
          <w:bCs/>
          <w:kern w:val="0"/>
          <w:sz w:val="24"/>
          <w:szCs w:val="24"/>
          <w:lang w:val="es-ES" w:eastAsia="es-AR"/>
          <w14:ligatures w14:val="none"/>
        </w:rPr>
        <w:t>de trabajadores privados de la libertad). Por la falta de cumplimiento en el envío de información no podemos aseverar si esa reducción obedeció a un recorte en las remuneraciones que percibe cada trabajador, a un recorte en la cantidad de personas detenidas que perciben un salario o ambas situaciones a la vez</w:t>
      </w:r>
      <w:r w:rsidR="000125FC">
        <w:rPr>
          <w:rFonts w:ascii="Times New Roman" w:eastAsia="Calibri" w:hAnsi="Times New Roman" w:cs="Times New Roman"/>
          <w:bCs/>
          <w:kern w:val="0"/>
          <w:sz w:val="24"/>
          <w:szCs w:val="24"/>
          <w:lang w:val="es-ES" w:eastAsia="es-AR"/>
          <w14:ligatures w14:val="none"/>
        </w:rPr>
        <w:t>,</w:t>
      </w:r>
      <w:r w:rsidR="00F770A8">
        <w:rPr>
          <w:rFonts w:ascii="Times New Roman" w:eastAsia="Calibri" w:hAnsi="Times New Roman" w:cs="Times New Roman"/>
          <w:bCs/>
          <w:kern w:val="0"/>
          <w:sz w:val="24"/>
          <w:szCs w:val="24"/>
          <w:lang w:val="es-ES" w:eastAsia="es-AR"/>
          <w14:ligatures w14:val="none"/>
        </w:rPr>
        <w:t xml:space="preserve"> </w:t>
      </w:r>
      <w:r w:rsidR="000125FC">
        <w:rPr>
          <w:rFonts w:ascii="Times New Roman" w:eastAsia="Calibri" w:hAnsi="Times New Roman" w:cs="Times New Roman"/>
          <w:bCs/>
          <w:kern w:val="0"/>
          <w:sz w:val="24"/>
          <w:szCs w:val="24"/>
          <w:lang w:val="es-ES" w:eastAsia="es-AR"/>
          <w14:ligatures w14:val="none"/>
        </w:rPr>
        <w:t xml:space="preserve">opción esta última </w:t>
      </w:r>
      <w:r w:rsidR="00F770A8">
        <w:rPr>
          <w:rFonts w:ascii="Times New Roman" w:eastAsia="Calibri" w:hAnsi="Times New Roman" w:cs="Times New Roman"/>
          <w:bCs/>
          <w:kern w:val="0"/>
          <w:sz w:val="24"/>
          <w:szCs w:val="24"/>
          <w:lang w:val="es-ES" w:eastAsia="es-AR"/>
          <w14:ligatures w14:val="none"/>
        </w:rPr>
        <w:t xml:space="preserve">que resulta </w:t>
      </w:r>
      <w:r w:rsidR="000125FC">
        <w:rPr>
          <w:rFonts w:ascii="Times New Roman" w:eastAsia="Calibri" w:hAnsi="Times New Roman" w:cs="Times New Roman"/>
          <w:bCs/>
          <w:kern w:val="0"/>
          <w:sz w:val="24"/>
          <w:szCs w:val="24"/>
          <w:lang w:val="es-ES" w:eastAsia="es-AR"/>
          <w14:ligatures w14:val="none"/>
        </w:rPr>
        <w:t xml:space="preserve">la </w:t>
      </w:r>
      <w:r w:rsidR="00F770A8">
        <w:rPr>
          <w:rFonts w:ascii="Times New Roman" w:eastAsia="Calibri" w:hAnsi="Times New Roman" w:cs="Times New Roman"/>
          <w:bCs/>
          <w:kern w:val="0"/>
          <w:sz w:val="24"/>
          <w:szCs w:val="24"/>
          <w:lang w:val="es-ES" w:eastAsia="es-AR"/>
          <w14:ligatures w14:val="none"/>
        </w:rPr>
        <w:t xml:space="preserve">más probable a partir de los testimonios de </w:t>
      </w:r>
      <w:r w:rsidR="00116AD3">
        <w:rPr>
          <w:rFonts w:ascii="Times New Roman" w:eastAsia="Calibri" w:hAnsi="Times New Roman" w:cs="Times New Roman"/>
          <w:bCs/>
          <w:kern w:val="0"/>
          <w:sz w:val="24"/>
          <w:szCs w:val="24"/>
          <w:lang w:val="es-ES" w:eastAsia="es-AR"/>
          <w14:ligatures w14:val="none"/>
        </w:rPr>
        <w:t>p</w:t>
      </w:r>
      <w:r w:rsidR="00F770A8">
        <w:rPr>
          <w:rFonts w:ascii="Times New Roman" w:eastAsia="Calibri" w:hAnsi="Times New Roman" w:cs="Times New Roman"/>
          <w:bCs/>
          <w:kern w:val="0"/>
          <w:sz w:val="24"/>
          <w:szCs w:val="24"/>
          <w:lang w:val="es-ES" w:eastAsia="es-AR"/>
          <w14:ligatures w14:val="none"/>
        </w:rPr>
        <w:t>ersonas privadas de libertad recabados por la PPN</w:t>
      </w:r>
      <w:r w:rsidRPr="00A20FDF">
        <w:rPr>
          <w:rFonts w:ascii="Times New Roman" w:eastAsia="Calibri" w:hAnsi="Times New Roman" w:cs="Times New Roman"/>
          <w:bCs/>
          <w:kern w:val="0"/>
          <w:sz w:val="24"/>
          <w:szCs w:val="24"/>
          <w:lang w:val="es-ES" w:eastAsia="es-AR"/>
          <w14:ligatures w14:val="none"/>
        </w:rPr>
        <w:t>.</w:t>
      </w:r>
    </w:p>
    <w:p w14:paraId="3952E295" w14:textId="52CD4EEF" w:rsidR="00560B22" w:rsidRPr="006A3507" w:rsidRDefault="006A3507" w:rsidP="004E2174">
      <w:pPr>
        <w:spacing w:after="120" w:line="240" w:lineRule="auto"/>
        <w:jc w:val="both"/>
        <w:rPr>
          <w:rFonts w:ascii="Times New Roman" w:eastAsia="Calibri" w:hAnsi="Times New Roman" w:cs="Times New Roman"/>
          <w:bCs/>
          <w:kern w:val="0"/>
          <w:sz w:val="24"/>
          <w:szCs w:val="24"/>
          <w:lang w:eastAsia="es-AR"/>
          <w14:ligatures w14:val="none"/>
        </w:rPr>
      </w:pPr>
      <w:r>
        <w:rPr>
          <w:rFonts w:ascii="Times New Roman" w:eastAsia="Calibri" w:hAnsi="Times New Roman" w:cs="Times New Roman"/>
          <w:bCs/>
          <w:kern w:val="0"/>
          <w:sz w:val="24"/>
          <w:szCs w:val="24"/>
          <w:lang w:val="es-ES" w:eastAsia="es-AR"/>
          <w14:ligatures w14:val="none"/>
        </w:rPr>
        <w:t xml:space="preserve">La reducción a la mitad </w:t>
      </w:r>
      <w:r w:rsidR="00F770A8">
        <w:rPr>
          <w:rFonts w:ascii="Times New Roman" w:eastAsia="Calibri" w:hAnsi="Times New Roman" w:cs="Times New Roman"/>
          <w:bCs/>
          <w:kern w:val="0"/>
          <w:sz w:val="24"/>
          <w:szCs w:val="24"/>
          <w:lang w:val="es-ES" w:eastAsia="es-AR"/>
          <w14:ligatures w14:val="none"/>
        </w:rPr>
        <w:t xml:space="preserve">en el último año </w:t>
      </w:r>
      <w:r>
        <w:rPr>
          <w:rFonts w:ascii="Times New Roman" w:eastAsia="Calibri" w:hAnsi="Times New Roman" w:cs="Times New Roman"/>
          <w:bCs/>
          <w:kern w:val="0"/>
          <w:sz w:val="24"/>
          <w:szCs w:val="24"/>
          <w:lang w:val="es-ES" w:eastAsia="es-AR"/>
          <w14:ligatures w14:val="none"/>
        </w:rPr>
        <w:t xml:space="preserve">del total de horas abonadas por el SPF a la masa de trabajadores </w:t>
      </w:r>
      <w:r w:rsidR="00F770A8">
        <w:rPr>
          <w:rFonts w:ascii="Times New Roman" w:eastAsia="Calibri" w:hAnsi="Times New Roman" w:cs="Times New Roman"/>
          <w:bCs/>
          <w:kern w:val="0"/>
          <w:sz w:val="24"/>
          <w:szCs w:val="24"/>
          <w:lang w:val="es-ES" w:eastAsia="es-AR"/>
          <w14:ligatures w14:val="none"/>
        </w:rPr>
        <w:t xml:space="preserve">privados de libertad </w:t>
      </w:r>
      <w:r>
        <w:rPr>
          <w:rFonts w:ascii="Times New Roman" w:eastAsia="Calibri" w:hAnsi="Times New Roman" w:cs="Times New Roman"/>
          <w:bCs/>
          <w:kern w:val="0"/>
          <w:sz w:val="24"/>
          <w:szCs w:val="24"/>
          <w:lang w:val="es-ES" w:eastAsia="es-AR"/>
          <w14:ligatures w14:val="none"/>
        </w:rPr>
        <w:t xml:space="preserve">se vincula a </w:t>
      </w:r>
      <w:r w:rsidR="00F770A8">
        <w:rPr>
          <w:rFonts w:ascii="Times New Roman" w:eastAsia="Times New Roman" w:hAnsi="Times New Roman" w:cs="Times New Roman"/>
          <w:kern w:val="0"/>
          <w:sz w:val="24"/>
          <w:szCs w:val="24"/>
          <w:lang w:val="es-ES" w:eastAsia="es-AR"/>
          <w14:ligatures w14:val="none"/>
        </w:rPr>
        <w:t>do</w:t>
      </w:r>
      <w:r w:rsidR="00621718" w:rsidRPr="007F172C">
        <w:rPr>
          <w:rFonts w:ascii="Times New Roman" w:eastAsia="Times New Roman" w:hAnsi="Times New Roman" w:cs="Times New Roman"/>
          <w:kern w:val="0"/>
          <w:sz w:val="24"/>
          <w:szCs w:val="24"/>
          <w:lang w:val="es-ES" w:eastAsia="es-AR"/>
          <w14:ligatures w14:val="none"/>
        </w:rPr>
        <w:t xml:space="preserve">s resoluciones administrativas emitidas </w:t>
      </w:r>
      <w:r w:rsidR="00621718" w:rsidRPr="007F172C">
        <w:rPr>
          <w:rFonts w:ascii="Times New Roman" w:eastAsia="Calibri" w:hAnsi="Times New Roman" w:cs="Times New Roman"/>
          <w:kern w:val="0"/>
          <w:sz w:val="24"/>
          <w:szCs w:val="24"/>
          <w:lang w:val="es-ES" w:eastAsia="es-AR"/>
          <w14:ligatures w14:val="none"/>
        </w:rPr>
        <w:t xml:space="preserve">por </w:t>
      </w:r>
      <w:r w:rsidR="00621718" w:rsidRPr="007F172C">
        <w:rPr>
          <w:rFonts w:ascii="Times New Roman" w:eastAsia="Times New Roman" w:hAnsi="Times New Roman" w:cs="Times New Roman"/>
          <w:kern w:val="0"/>
          <w:sz w:val="24"/>
          <w:szCs w:val="24"/>
          <w:lang w:val="es-ES" w:eastAsia="es-AR"/>
          <w14:ligatures w14:val="none"/>
        </w:rPr>
        <w:t xml:space="preserve">el Ministerio de Seguridad de la Nación </w:t>
      </w:r>
      <w:r>
        <w:rPr>
          <w:rFonts w:ascii="Times New Roman" w:eastAsia="Times New Roman" w:hAnsi="Times New Roman" w:cs="Times New Roman"/>
          <w:kern w:val="0"/>
          <w:sz w:val="24"/>
          <w:szCs w:val="24"/>
          <w:lang w:val="es-ES" w:eastAsia="es-AR"/>
          <w14:ligatures w14:val="none"/>
        </w:rPr>
        <w:t>a fines</w:t>
      </w:r>
      <w:r w:rsidRPr="007F172C">
        <w:rPr>
          <w:rFonts w:ascii="Times New Roman" w:eastAsia="Times New Roman" w:hAnsi="Times New Roman" w:cs="Times New Roman"/>
          <w:kern w:val="0"/>
          <w:sz w:val="24"/>
          <w:szCs w:val="24"/>
          <w:lang w:val="es-ES" w:eastAsia="es-AR"/>
          <w14:ligatures w14:val="none"/>
        </w:rPr>
        <w:t xml:space="preserve"> </w:t>
      </w:r>
      <w:r>
        <w:rPr>
          <w:rFonts w:ascii="Times New Roman" w:eastAsia="Times New Roman" w:hAnsi="Times New Roman" w:cs="Times New Roman"/>
          <w:kern w:val="0"/>
          <w:sz w:val="24"/>
          <w:szCs w:val="24"/>
          <w:lang w:val="es-ES" w:eastAsia="es-AR"/>
          <w14:ligatures w14:val="none"/>
        </w:rPr>
        <w:t>d</w:t>
      </w:r>
      <w:r w:rsidRPr="007F172C">
        <w:rPr>
          <w:rFonts w:ascii="Times New Roman" w:eastAsia="Times New Roman" w:hAnsi="Times New Roman" w:cs="Times New Roman"/>
          <w:kern w:val="0"/>
          <w:sz w:val="24"/>
          <w:szCs w:val="24"/>
          <w:lang w:val="es-ES" w:eastAsia="es-AR"/>
          <w14:ligatures w14:val="none"/>
        </w:rPr>
        <w:t xml:space="preserve">el año 2024 y </w:t>
      </w:r>
      <w:r>
        <w:rPr>
          <w:rFonts w:ascii="Times New Roman" w:eastAsia="Times New Roman" w:hAnsi="Times New Roman" w:cs="Times New Roman"/>
          <w:kern w:val="0"/>
          <w:sz w:val="24"/>
          <w:szCs w:val="24"/>
          <w:lang w:val="es-ES" w:eastAsia="es-AR"/>
          <w14:ligatures w14:val="none"/>
        </w:rPr>
        <w:t xml:space="preserve">principios del </w:t>
      </w:r>
      <w:r w:rsidRPr="007F172C">
        <w:rPr>
          <w:rFonts w:ascii="Times New Roman" w:eastAsia="Times New Roman" w:hAnsi="Times New Roman" w:cs="Times New Roman"/>
          <w:kern w:val="0"/>
          <w:sz w:val="24"/>
          <w:szCs w:val="24"/>
          <w:lang w:val="es-ES" w:eastAsia="es-AR"/>
          <w14:ligatures w14:val="none"/>
        </w:rPr>
        <w:t>2025</w:t>
      </w:r>
      <w:r w:rsidR="00E21BFC">
        <w:rPr>
          <w:rStyle w:val="FootnoteReference"/>
          <w:rFonts w:ascii="Times New Roman" w:eastAsia="Times New Roman" w:hAnsi="Times New Roman" w:cs="Times New Roman"/>
          <w:kern w:val="0"/>
          <w:sz w:val="24"/>
          <w:szCs w:val="24"/>
          <w:lang w:val="es-ES" w:eastAsia="es-AR"/>
          <w14:ligatures w14:val="none"/>
        </w:rPr>
        <w:footnoteReference w:id="43"/>
      </w:r>
      <w:r>
        <w:rPr>
          <w:rFonts w:ascii="Times New Roman" w:eastAsia="Times New Roman" w:hAnsi="Times New Roman" w:cs="Times New Roman"/>
          <w:kern w:val="0"/>
          <w:sz w:val="24"/>
          <w:szCs w:val="24"/>
          <w:lang w:val="es-ES" w:eastAsia="es-AR"/>
          <w14:ligatures w14:val="none"/>
        </w:rPr>
        <w:t xml:space="preserve">, que </w:t>
      </w:r>
      <w:r w:rsidR="00621718" w:rsidRPr="007F172C">
        <w:rPr>
          <w:rFonts w:ascii="Times New Roman" w:eastAsia="Times New Roman" w:hAnsi="Times New Roman" w:cs="Times New Roman"/>
          <w:kern w:val="0"/>
          <w:sz w:val="24"/>
          <w:szCs w:val="24"/>
          <w:lang w:val="es-ES" w:eastAsia="es-AR"/>
          <w14:ligatures w14:val="none"/>
        </w:rPr>
        <w:t>han afectado el trabajo dentro de las cárceles federales, conllevando que una parte importante de personas detenidas que se encontraban vinculadas a tareas laborales queden sin trabajo y sin remuneración.</w:t>
      </w:r>
    </w:p>
    <w:p w14:paraId="5464A73A" w14:textId="73A1E1A4" w:rsidR="004308EA" w:rsidRPr="007F172C" w:rsidRDefault="004308EA" w:rsidP="004E2174">
      <w:pPr>
        <w:spacing w:after="120" w:line="240" w:lineRule="auto"/>
        <w:jc w:val="both"/>
        <w:rPr>
          <w:rFonts w:ascii="Times New Roman" w:eastAsia="Calibri" w:hAnsi="Times New Roman" w:cs="Times New Roman"/>
          <w:kern w:val="0"/>
          <w:sz w:val="24"/>
          <w:szCs w:val="24"/>
          <w:lang w:val="es-ES" w:eastAsia="es-AR"/>
          <w14:ligatures w14:val="none"/>
        </w:rPr>
      </w:pPr>
      <w:r w:rsidRPr="007F172C">
        <w:rPr>
          <w:rFonts w:ascii="Times New Roman" w:eastAsia="Calibri" w:hAnsi="Times New Roman" w:cs="Times New Roman"/>
          <w:bCs/>
          <w:kern w:val="0"/>
          <w:sz w:val="24"/>
          <w:szCs w:val="24"/>
          <w:lang w:val="es-ES" w:eastAsia="es-AR"/>
          <w14:ligatures w14:val="none"/>
        </w:rPr>
        <w:t>Ante este escenario</w:t>
      </w:r>
      <w:r w:rsidRPr="007F172C">
        <w:rPr>
          <w:rFonts w:ascii="Times New Roman" w:eastAsia="Calibri" w:hAnsi="Times New Roman" w:cs="Times New Roman"/>
          <w:kern w:val="0"/>
          <w:sz w:val="24"/>
          <w:szCs w:val="24"/>
          <w:lang w:val="es-ES" w:eastAsia="es-AR"/>
          <w14:ligatures w14:val="none"/>
        </w:rPr>
        <w:t>, desde la PPN se formuló una recomendación</w:t>
      </w:r>
      <w:r w:rsidRPr="007F172C">
        <w:rPr>
          <w:rStyle w:val="FootnoteReference"/>
          <w:rFonts w:ascii="Times New Roman" w:eastAsia="Calibri" w:hAnsi="Times New Roman" w:cs="Times New Roman"/>
          <w:kern w:val="0"/>
          <w:sz w:val="24"/>
          <w:szCs w:val="24"/>
          <w:lang w:val="es-ES" w:eastAsia="es-AR"/>
          <w14:ligatures w14:val="none"/>
        </w:rPr>
        <w:footnoteReference w:id="44"/>
      </w:r>
      <w:r w:rsidRPr="007F172C">
        <w:rPr>
          <w:rFonts w:ascii="Times New Roman" w:eastAsia="Calibri" w:hAnsi="Times New Roman" w:cs="Times New Roman"/>
          <w:kern w:val="0"/>
          <w:sz w:val="24"/>
          <w:szCs w:val="24"/>
          <w:lang w:val="es-ES" w:eastAsia="es-AR"/>
          <w14:ligatures w14:val="none"/>
        </w:rPr>
        <w:t xml:space="preserve"> insistiendo en la necesidad de </w:t>
      </w:r>
      <w:r w:rsidR="00162D26" w:rsidRPr="007F172C">
        <w:rPr>
          <w:rFonts w:ascii="Times New Roman" w:eastAsia="Calibri" w:hAnsi="Times New Roman" w:cs="Times New Roman"/>
          <w:kern w:val="0"/>
          <w:sz w:val="24"/>
          <w:szCs w:val="24"/>
          <w:lang w:eastAsia="es-AR"/>
          <w14:ligatures w14:val="none"/>
        </w:rPr>
        <w:t xml:space="preserve">garantizar la continuidad de los empleos y de los salarios percibidos por las personas privadas de libertad </w:t>
      </w:r>
      <w:r w:rsidRPr="007F172C">
        <w:rPr>
          <w:rFonts w:ascii="Times New Roman" w:eastAsia="Calibri" w:hAnsi="Times New Roman" w:cs="Times New Roman"/>
          <w:kern w:val="0"/>
          <w:sz w:val="24"/>
          <w:szCs w:val="24"/>
          <w:lang w:val="es-ES" w:eastAsia="es-AR"/>
          <w14:ligatures w14:val="none"/>
        </w:rPr>
        <w:t xml:space="preserve">y </w:t>
      </w:r>
      <w:r w:rsidR="00A00BAA">
        <w:rPr>
          <w:rFonts w:ascii="Times New Roman" w:eastAsia="Calibri" w:hAnsi="Times New Roman" w:cs="Times New Roman"/>
          <w:kern w:val="0"/>
          <w:sz w:val="24"/>
          <w:szCs w:val="24"/>
          <w:lang w:val="es-ES" w:eastAsia="es-AR"/>
          <w14:ligatures w14:val="none"/>
        </w:rPr>
        <w:t xml:space="preserve">de </w:t>
      </w:r>
      <w:r w:rsidR="00A00BAA" w:rsidRPr="007F172C">
        <w:rPr>
          <w:rFonts w:ascii="Times New Roman" w:eastAsia="Calibri" w:hAnsi="Times New Roman" w:cs="Times New Roman"/>
          <w:kern w:val="0"/>
          <w:sz w:val="24"/>
          <w:szCs w:val="24"/>
          <w:lang w:val="es-ES" w:eastAsia="es-AR"/>
          <w14:ligatures w14:val="none"/>
        </w:rPr>
        <w:t xml:space="preserve">incrementar la oferta laboral en talleres productivos y formativos </w:t>
      </w:r>
      <w:r w:rsidRPr="007F172C">
        <w:rPr>
          <w:rFonts w:ascii="Times New Roman" w:eastAsia="Cambria" w:hAnsi="Times New Roman" w:cs="Times New Roman"/>
          <w:kern w:val="0"/>
          <w:sz w:val="24"/>
          <w:szCs w:val="24"/>
          <w:lang w:val="es-ES" w:eastAsia="es-AR"/>
          <w14:ligatures w14:val="none"/>
        </w:rPr>
        <w:t>que brinde</w:t>
      </w:r>
      <w:r w:rsidR="00A00BAA">
        <w:rPr>
          <w:rFonts w:ascii="Times New Roman" w:eastAsia="Cambria" w:hAnsi="Times New Roman" w:cs="Times New Roman"/>
          <w:kern w:val="0"/>
          <w:sz w:val="24"/>
          <w:szCs w:val="24"/>
          <w:lang w:val="es-ES" w:eastAsia="es-AR"/>
          <w14:ligatures w14:val="none"/>
        </w:rPr>
        <w:t>n</w:t>
      </w:r>
      <w:r w:rsidRPr="007F172C">
        <w:rPr>
          <w:rFonts w:ascii="Times New Roman" w:eastAsia="Cambria" w:hAnsi="Times New Roman" w:cs="Times New Roman"/>
          <w:kern w:val="0"/>
          <w:sz w:val="24"/>
          <w:szCs w:val="24"/>
          <w:lang w:val="es-ES" w:eastAsia="es-AR"/>
          <w14:ligatures w14:val="none"/>
        </w:rPr>
        <w:t xml:space="preserve"> capacitación profesional útil para el momento de salida de la cárcel</w:t>
      </w:r>
      <w:r w:rsidRPr="007F172C">
        <w:rPr>
          <w:rFonts w:ascii="Times New Roman" w:eastAsia="Calibri" w:hAnsi="Times New Roman" w:cs="Times New Roman"/>
          <w:kern w:val="0"/>
          <w:sz w:val="24"/>
          <w:szCs w:val="24"/>
          <w:lang w:val="es-ES" w:eastAsia="es-AR"/>
          <w14:ligatures w14:val="none"/>
        </w:rPr>
        <w:t>.</w:t>
      </w:r>
    </w:p>
    <w:p w14:paraId="7FB125FA" w14:textId="79A22677" w:rsidR="00E21BFC" w:rsidRDefault="00E21BFC" w:rsidP="004E2174">
      <w:pPr>
        <w:spacing w:after="120" w:line="240" w:lineRule="auto"/>
        <w:jc w:val="both"/>
        <w:rPr>
          <w:rFonts w:ascii="Times New Roman" w:eastAsia="Calibri" w:hAnsi="Times New Roman" w:cs="Times New Roman"/>
          <w:bCs/>
          <w:kern w:val="0"/>
          <w:sz w:val="24"/>
          <w:szCs w:val="24"/>
          <w:lang w:eastAsia="es-AR"/>
          <w14:ligatures w14:val="none"/>
        </w:rPr>
      </w:pPr>
      <w:r w:rsidRPr="00E21BFC">
        <w:rPr>
          <w:rStyle w:val="Hyperlink"/>
          <w:rFonts w:ascii="Times New Roman" w:hAnsi="Times New Roman" w:cs="Times New Roman"/>
          <w:noProof/>
          <w:color w:val="auto"/>
          <w:sz w:val="24"/>
          <w:szCs w:val="24"/>
          <w:u w:val="none"/>
          <w:lang w:val="es-ES"/>
        </w:rPr>
        <w:t>Por otro lado,</w:t>
      </w:r>
      <w:r>
        <w:rPr>
          <w:rStyle w:val="Hyperlink"/>
          <w:rFonts w:ascii="Times New Roman" w:hAnsi="Times New Roman" w:cs="Times New Roman"/>
          <w:b/>
          <w:bCs/>
          <w:noProof/>
          <w:color w:val="auto"/>
          <w:sz w:val="24"/>
          <w:szCs w:val="24"/>
          <w:u w:val="none"/>
          <w:lang w:val="es-ES"/>
        </w:rPr>
        <w:t xml:space="preserve"> </w:t>
      </w:r>
      <w:r>
        <w:rPr>
          <w:rFonts w:ascii="Times New Roman" w:eastAsia="Calibri" w:hAnsi="Times New Roman" w:cs="Times New Roman"/>
          <w:bCs/>
          <w:kern w:val="0"/>
          <w:sz w:val="24"/>
          <w:szCs w:val="24"/>
          <w:lang w:eastAsia="es-AR"/>
          <w14:ligatures w14:val="none"/>
        </w:rPr>
        <w:t>e</w:t>
      </w:r>
      <w:r w:rsidRPr="00A20FDF">
        <w:rPr>
          <w:rFonts w:ascii="Times New Roman" w:eastAsia="Calibri" w:hAnsi="Times New Roman" w:cs="Times New Roman"/>
          <w:bCs/>
          <w:kern w:val="0"/>
          <w:sz w:val="24"/>
          <w:szCs w:val="24"/>
          <w:lang w:eastAsia="es-AR"/>
          <w14:ligatures w14:val="none"/>
        </w:rPr>
        <w:t>ste organismo estima fundamental que el Estado aporte información precisa y exhaustiva sobre el acceso de las personas detenidas en el sistema penitenciario federal a un trabajo productivo, capacitante y remunerado.</w:t>
      </w:r>
    </w:p>
    <w:p w14:paraId="5B57269C" w14:textId="77777777" w:rsidR="004E2174" w:rsidRPr="00A20FDF" w:rsidRDefault="004E2174" w:rsidP="004E2174">
      <w:pPr>
        <w:spacing w:after="120" w:line="240" w:lineRule="auto"/>
        <w:jc w:val="both"/>
        <w:rPr>
          <w:rFonts w:ascii="Times New Roman" w:eastAsia="Calibri" w:hAnsi="Times New Roman" w:cs="Times New Roman"/>
          <w:bCs/>
          <w:kern w:val="0"/>
          <w:sz w:val="24"/>
          <w:szCs w:val="24"/>
          <w:lang w:eastAsia="es-AR"/>
          <w14:ligatures w14:val="none"/>
        </w:rPr>
      </w:pPr>
    </w:p>
    <w:p w14:paraId="1853165F" w14:textId="77777777" w:rsidR="00BF3B61" w:rsidRDefault="00560B22" w:rsidP="004E2174">
      <w:pPr>
        <w:pStyle w:val="Heading1"/>
        <w:spacing w:before="0" w:after="120" w:line="240" w:lineRule="auto"/>
        <w:rPr>
          <w:rStyle w:val="Hyperlink"/>
          <w:rFonts w:ascii="Times New Roman" w:hAnsi="Times New Roman" w:cs="Times New Roman"/>
          <w:b/>
          <w:bCs/>
          <w:noProof/>
          <w:color w:val="auto"/>
          <w:sz w:val="24"/>
          <w:szCs w:val="24"/>
          <w:u w:val="none"/>
        </w:rPr>
      </w:pPr>
      <w:bookmarkStart w:id="23" w:name="_Toc210805580"/>
      <w:r w:rsidRPr="00BF3B61">
        <w:rPr>
          <w:rStyle w:val="Hyperlink"/>
          <w:rFonts w:ascii="Times New Roman" w:hAnsi="Times New Roman" w:cs="Times New Roman"/>
          <w:b/>
          <w:bCs/>
          <w:noProof/>
          <w:color w:val="auto"/>
          <w:sz w:val="24"/>
          <w:szCs w:val="24"/>
          <w:u w:val="none"/>
        </w:rPr>
        <w:t xml:space="preserve">9. </w:t>
      </w:r>
      <w:r w:rsidR="00F038BC" w:rsidRPr="00BF3B61">
        <w:rPr>
          <w:rStyle w:val="Hyperlink"/>
          <w:rFonts w:ascii="Times New Roman" w:hAnsi="Times New Roman" w:cs="Times New Roman"/>
          <w:b/>
          <w:bCs/>
          <w:noProof/>
          <w:color w:val="auto"/>
          <w:sz w:val="24"/>
          <w:szCs w:val="24"/>
          <w:u w:val="none"/>
        </w:rPr>
        <w:t>NIÑOS, NIÑAS Y ADOLESCENTES EN CONFLICTO CON LA LEY PENAL</w:t>
      </w:r>
      <w:bookmarkEnd w:id="23"/>
      <w:r w:rsidR="00C71E63">
        <w:rPr>
          <w:rStyle w:val="Hyperlink"/>
          <w:rFonts w:ascii="Times New Roman" w:hAnsi="Times New Roman" w:cs="Times New Roman"/>
          <w:b/>
          <w:bCs/>
          <w:noProof/>
          <w:color w:val="auto"/>
          <w:sz w:val="24"/>
          <w:szCs w:val="24"/>
          <w:u w:val="none"/>
        </w:rPr>
        <w:t xml:space="preserve"> </w:t>
      </w:r>
    </w:p>
    <w:p w14:paraId="30E659B7" w14:textId="0ACA8F7F" w:rsidR="00A2206E" w:rsidRPr="00A2206E" w:rsidRDefault="00A2206E" w:rsidP="004E2174">
      <w:pPr>
        <w:spacing w:after="120" w:line="240" w:lineRule="auto"/>
        <w:jc w:val="both"/>
        <w:rPr>
          <w:rFonts w:ascii="Times New Roman" w:eastAsia="Aptos" w:hAnsi="Times New Roman" w:cs="Times New Roman"/>
          <w:sz w:val="24"/>
          <w:szCs w:val="24"/>
          <w:lang w:val="es-MX"/>
        </w:rPr>
      </w:pPr>
      <w:r w:rsidRPr="00A2206E">
        <w:rPr>
          <w:rFonts w:ascii="Times New Roman" w:eastAsia="Aptos" w:hAnsi="Times New Roman" w:cs="Times New Roman"/>
          <w:sz w:val="24"/>
          <w:szCs w:val="24"/>
          <w:lang w:val="es-MX"/>
        </w:rPr>
        <w:t xml:space="preserve">En 2024, el Poder Ejecutivo Nacional presentó al Congreso de la Nación un proyecto de ley destinado a derogar el </w:t>
      </w:r>
      <w:r>
        <w:rPr>
          <w:rFonts w:ascii="Times New Roman" w:eastAsia="Aptos" w:hAnsi="Times New Roman" w:cs="Times New Roman"/>
          <w:sz w:val="24"/>
          <w:szCs w:val="24"/>
          <w:lang w:val="es-MX"/>
        </w:rPr>
        <w:t>D</w:t>
      </w:r>
      <w:r w:rsidRPr="00A2206E">
        <w:rPr>
          <w:rFonts w:ascii="Times New Roman" w:eastAsia="Aptos" w:hAnsi="Times New Roman" w:cs="Times New Roman"/>
          <w:sz w:val="24"/>
          <w:szCs w:val="24"/>
          <w:lang w:val="es-MX"/>
        </w:rPr>
        <w:t>ecreto-ley 22.278</w:t>
      </w:r>
      <w:r>
        <w:rPr>
          <w:rFonts w:ascii="Times New Roman" w:eastAsia="Aptos" w:hAnsi="Times New Roman" w:cs="Times New Roman"/>
          <w:sz w:val="24"/>
          <w:szCs w:val="24"/>
          <w:lang w:val="es-MX"/>
        </w:rPr>
        <w:t xml:space="preserve"> del año 1980 que regula el Régimen Penal de la Minoridad</w:t>
      </w:r>
      <w:r w:rsidRPr="00A2206E">
        <w:rPr>
          <w:rFonts w:ascii="Times New Roman" w:eastAsia="Aptos" w:hAnsi="Times New Roman" w:cs="Times New Roman"/>
          <w:sz w:val="24"/>
          <w:szCs w:val="24"/>
          <w:lang w:val="es-MX"/>
        </w:rPr>
        <w:t xml:space="preserve"> y establecer un régimen penal juvenil. Desde la incorporación de la Convención sobre los Derechos del Niño (CDN) a nuestro ordenamiento con jerarquía constitucional, la Argentina asumió la obligación de adecuar su normativa a los estándares internacionales de derechos humanos, garantizando la protección integral de niñas, niños y adolescentes.</w:t>
      </w:r>
    </w:p>
    <w:p w14:paraId="100C8CA3" w14:textId="6107AED6" w:rsidR="00A2206E" w:rsidRPr="00A2206E" w:rsidRDefault="00A2206E" w:rsidP="004E2174">
      <w:pPr>
        <w:spacing w:after="120" w:line="240" w:lineRule="auto"/>
        <w:jc w:val="both"/>
        <w:rPr>
          <w:rFonts w:ascii="Times New Roman" w:eastAsia="Aptos" w:hAnsi="Times New Roman" w:cs="Times New Roman"/>
          <w:sz w:val="24"/>
          <w:szCs w:val="24"/>
          <w:lang w:val="es-MX"/>
        </w:rPr>
      </w:pPr>
      <w:r w:rsidRPr="00A2206E">
        <w:rPr>
          <w:rFonts w:ascii="Times New Roman" w:eastAsia="Aptos" w:hAnsi="Times New Roman" w:cs="Times New Roman"/>
          <w:sz w:val="24"/>
          <w:szCs w:val="24"/>
          <w:lang w:val="es-MX"/>
        </w:rPr>
        <w:t xml:space="preserve">La persistencia del </w:t>
      </w:r>
      <w:r>
        <w:rPr>
          <w:rFonts w:ascii="Times New Roman" w:eastAsia="Aptos" w:hAnsi="Times New Roman" w:cs="Times New Roman"/>
          <w:sz w:val="24"/>
          <w:szCs w:val="24"/>
          <w:lang w:val="es-MX"/>
        </w:rPr>
        <w:t>D</w:t>
      </w:r>
      <w:r w:rsidRPr="00A2206E">
        <w:rPr>
          <w:rFonts w:ascii="Times New Roman" w:eastAsia="Aptos" w:hAnsi="Times New Roman" w:cs="Times New Roman"/>
          <w:sz w:val="24"/>
          <w:szCs w:val="24"/>
          <w:lang w:val="es-MX"/>
        </w:rPr>
        <w:t>ecreto-ley 22.278, incompatible con la CDN, motivó dos condenas a la Argentina por parte de la Corte Interamericana de Derechos Humanos y ha sido reiteradamente observada por el Comité de los Derechos del Niño en sus informes de 2002, 2010, 2018 y 2024, instando al Estado a sancionar una ley conforme a la Convención y a las normas internacionales de justicia juvenil, evitando tanto el endurecimiento de las sanciones como la reducción de la edad de responsabilidad penal.</w:t>
      </w:r>
    </w:p>
    <w:p w14:paraId="4C7C03CF" w14:textId="4E1BB04F" w:rsidR="00A2206E" w:rsidRPr="00A2206E" w:rsidRDefault="00A2206E" w:rsidP="004E2174">
      <w:pPr>
        <w:spacing w:after="120" w:line="240" w:lineRule="auto"/>
        <w:jc w:val="both"/>
        <w:rPr>
          <w:rFonts w:ascii="Times New Roman" w:eastAsia="Aptos" w:hAnsi="Times New Roman" w:cs="Times New Roman"/>
          <w:sz w:val="24"/>
          <w:szCs w:val="24"/>
          <w:lang w:val="es-MX"/>
        </w:rPr>
      </w:pPr>
      <w:r>
        <w:rPr>
          <w:rFonts w:ascii="Times New Roman" w:eastAsia="Aptos" w:hAnsi="Times New Roman" w:cs="Times New Roman"/>
          <w:sz w:val="24"/>
          <w:szCs w:val="24"/>
          <w:lang w:val="es-MX"/>
        </w:rPr>
        <w:t xml:space="preserve">Por consiguiente, la aprobación de un nuevo régimen penal juvenil es una deuda pendiente de la Argentina. </w:t>
      </w:r>
      <w:r w:rsidRPr="00A2206E">
        <w:rPr>
          <w:rFonts w:ascii="Times New Roman" w:eastAsia="Aptos" w:hAnsi="Times New Roman" w:cs="Times New Roman"/>
          <w:sz w:val="24"/>
          <w:szCs w:val="24"/>
          <w:lang w:val="es-MX"/>
        </w:rPr>
        <w:t xml:space="preserve">Sin embargo, el </w:t>
      </w:r>
      <w:r>
        <w:rPr>
          <w:rFonts w:ascii="Times New Roman" w:eastAsia="Aptos" w:hAnsi="Times New Roman" w:cs="Times New Roman"/>
          <w:sz w:val="24"/>
          <w:szCs w:val="24"/>
          <w:lang w:val="es-MX"/>
        </w:rPr>
        <w:t xml:space="preserve">proyecto legislativo que está discutiendo el Congreso </w:t>
      </w:r>
      <w:r w:rsidRPr="00A2206E">
        <w:rPr>
          <w:rFonts w:ascii="Times New Roman" w:eastAsia="Aptos" w:hAnsi="Times New Roman" w:cs="Times New Roman"/>
          <w:sz w:val="24"/>
          <w:szCs w:val="24"/>
          <w:lang w:val="es-MX"/>
        </w:rPr>
        <w:t xml:space="preserve">no recoge estas recomendaciones ni las Observaciones Generales del Comité, </w:t>
      </w:r>
      <w:r>
        <w:rPr>
          <w:rFonts w:ascii="Times New Roman" w:eastAsia="Aptos" w:hAnsi="Times New Roman" w:cs="Times New Roman"/>
          <w:sz w:val="24"/>
          <w:szCs w:val="24"/>
          <w:lang w:val="es-MX"/>
        </w:rPr>
        <w:t xml:space="preserve">y comporta </w:t>
      </w:r>
      <w:r w:rsidRPr="00A2206E">
        <w:rPr>
          <w:rFonts w:ascii="Times New Roman" w:eastAsia="Aptos" w:hAnsi="Times New Roman" w:cs="Times New Roman"/>
          <w:sz w:val="24"/>
          <w:szCs w:val="24"/>
          <w:lang w:val="es-MX"/>
        </w:rPr>
        <w:t>un retroceso normativo que desvirtúa el principio de especialidad propio de la justicia juvenil. El texto propone, entre otros aspectos regresivos, la disminución de la edad de punibilidad, el agravamiento de las escalas penales, la discrecionalidad en la aplicación de medidas alternativas, el mantenimiento de la punibilidad para todos los delitos y la habilitación de la privación de libertad en establecimientos penitenciarios comunes.</w:t>
      </w:r>
    </w:p>
    <w:p w14:paraId="55ECEC75" w14:textId="10F06E0D" w:rsidR="00A2206E" w:rsidRPr="00A2206E" w:rsidRDefault="00A2206E" w:rsidP="004E2174">
      <w:pPr>
        <w:spacing w:after="120" w:line="240" w:lineRule="auto"/>
        <w:jc w:val="both"/>
        <w:rPr>
          <w:rFonts w:ascii="Times New Roman" w:eastAsia="Aptos" w:hAnsi="Times New Roman" w:cs="Times New Roman"/>
          <w:sz w:val="24"/>
          <w:szCs w:val="24"/>
          <w:lang w:val="es-MX"/>
        </w:rPr>
      </w:pPr>
      <w:r w:rsidRPr="00A2206E">
        <w:rPr>
          <w:rFonts w:ascii="Times New Roman" w:eastAsia="Aptos" w:hAnsi="Times New Roman" w:cs="Times New Roman"/>
          <w:sz w:val="24"/>
          <w:szCs w:val="24"/>
          <w:lang w:val="es-MX"/>
        </w:rPr>
        <w:t>En este sentido</w:t>
      </w:r>
      <w:r w:rsidR="00116AD3">
        <w:rPr>
          <w:rFonts w:ascii="Times New Roman" w:eastAsia="Aptos" w:hAnsi="Times New Roman" w:cs="Times New Roman"/>
          <w:sz w:val="24"/>
          <w:szCs w:val="24"/>
          <w:lang w:val="es-MX"/>
        </w:rPr>
        <w:t>,</w:t>
      </w:r>
      <w:r w:rsidRPr="00A2206E">
        <w:rPr>
          <w:rFonts w:ascii="Times New Roman" w:eastAsia="Aptos" w:hAnsi="Times New Roman" w:cs="Times New Roman"/>
          <w:sz w:val="24"/>
          <w:szCs w:val="24"/>
          <w:lang w:val="es-MX"/>
        </w:rPr>
        <w:t xml:space="preserve"> la PPN junto a organismos públicos y profesionales especializados, asociaciones y representantes del Poder Judicial y de los Ministerios Públicos Nacionales y Provinciales, Defensoras y Defensores provinciales, organizaciones de la sociedad civil y asociaciones y foros académico suscribieron</w:t>
      </w:r>
      <w:r w:rsidRPr="00A2206E">
        <w:rPr>
          <w:rFonts w:ascii="Times New Roman" w:eastAsia="Aptos" w:hAnsi="Times New Roman" w:cs="Times New Roman"/>
          <w:sz w:val="24"/>
          <w:szCs w:val="24"/>
          <w:vertAlign w:val="superscript"/>
          <w:lang w:val="es-MX"/>
        </w:rPr>
        <w:footnoteReference w:id="45"/>
      </w:r>
      <w:r w:rsidRPr="00A2206E">
        <w:rPr>
          <w:rFonts w:ascii="Times New Roman" w:eastAsia="Aptos" w:hAnsi="Times New Roman" w:cs="Times New Roman"/>
          <w:sz w:val="24"/>
          <w:szCs w:val="24"/>
          <w:lang w:val="es-MX"/>
        </w:rPr>
        <w:t xml:space="preserve"> distintos documentos en los que establecen los principios, acuerdos y disposiciones que deben regir el proceso de reforma de justicia juvenil.</w:t>
      </w:r>
    </w:p>
    <w:p w14:paraId="61D2B8AD" w14:textId="65B16C27" w:rsidR="003C495B" w:rsidRPr="00A2206E" w:rsidRDefault="00A2206E" w:rsidP="003C495B">
      <w:pPr>
        <w:spacing w:after="120" w:line="240" w:lineRule="auto"/>
        <w:jc w:val="both"/>
        <w:rPr>
          <w:rFonts w:ascii="Times New Roman" w:eastAsia="Aptos" w:hAnsi="Times New Roman" w:cs="Times New Roman"/>
          <w:sz w:val="24"/>
          <w:szCs w:val="24"/>
          <w:lang w:val="es-ES"/>
        </w:rPr>
      </w:pPr>
      <w:r>
        <w:rPr>
          <w:rFonts w:ascii="Times New Roman" w:eastAsia="Aptos" w:hAnsi="Times New Roman" w:cs="Times New Roman"/>
          <w:sz w:val="24"/>
          <w:szCs w:val="24"/>
          <w:lang w:val="es-MX"/>
        </w:rPr>
        <w:t xml:space="preserve">También se observa un </w:t>
      </w:r>
      <w:r w:rsidRPr="00A2206E">
        <w:rPr>
          <w:rFonts w:ascii="Times New Roman" w:eastAsia="Aptos" w:hAnsi="Times New Roman" w:cs="Times New Roman"/>
          <w:sz w:val="24"/>
          <w:szCs w:val="24"/>
          <w:lang w:val="es-MX"/>
        </w:rPr>
        <w:t>endurecimiento de la respuesta penal</w:t>
      </w:r>
      <w:r>
        <w:rPr>
          <w:rFonts w:ascii="Times New Roman" w:eastAsia="Aptos" w:hAnsi="Times New Roman" w:cs="Times New Roman"/>
          <w:sz w:val="24"/>
          <w:szCs w:val="24"/>
          <w:lang w:val="es-MX"/>
        </w:rPr>
        <w:t xml:space="preserve"> frente a Niños, Niñas y Adolescentes en conflicto con la ley penal en los datos estadísticos. En el último tiempo se ha producido un</w:t>
      </w:r>
      <w:r w:rsidRPr="00A2206E">
        <w:rPr>
          <w:rFonts w:ascii="Times New Roman" w:eastAsia="Aptos" w:hAnsi="Times New Roman" w:cs="Times New Roman"/>
          <w:sz w:val="24"/>
          <w:szCs w:val="24"/>
          <w:lang w:val="es-MX"/>
        </w:rPr>
        <w:t xml:space="preserve"> incremento del número de </w:t>
      </w:r>
      <w:r w:rsidR="0039537A">
        <w:rPr>
          <w:rFonts w:ascii="Times New Roman" w:eastAsia="Aptos" w:hAnsi="Times New Roman" w:cs="Times New Roman"/>
          <w:sz w:val="24"/>
          <w:szCs w:val="24"/>
          <w:lang w:val="es-MX"/>
        </w:rPr>
        <w:t>jóvenes</w:t>
      </w:r>
      <w:r w:rsidRPr="00A2206E">
        <w:rPr>
          <w:rFonts w:ascii="Times New Roman" w:eastAsia="Aptos" w:hAnsi="Times New Roman" w:cs="Times New Roman"/>
          <w:sz w:val="24"/>
          <w:szCs w:val="24"/>
          <w:lang w:val="es-MX"/>
        </w:rPr>
        <w:t xml:space="preserve"> alojados en los Centros de Régimen Cerrado de la Ciudad Autónoma de Buenos Aires</w:t>
      </w:r>
      <w:r w:rsidR="003C495B">
        <w:rPr>
          <w:rFonts w:ascii="Times New Roman" w:eastAsia="Aptos" w:hAnsi="Times New Roman" w:cs="Times New Roman"/>
          <w:sz w:val="24"/>
          <w:szCs w:val="24"/>
          <w:lang w:val="es-MX"/>
        </w:rPr>
        <w:t>, así como un aumento de</w:t>
      </w:r>
      <w:r w:rsidRPr="00A2206E">
        <w:rPr>
          <w:rFonts w:ascii="Times New Roman" w:eastAsia="Aptos" w:hAnsi="Times New Roman" w:cs="Times New Roman"/>
          <w:sz w:val="24"/>
          <w:szCs w:val="24"/>
          <w:lang w:val="es-MX"/>
        </w:rPr>
        <w:t>l tiempo de permanencia</w:t>
      </w:r>
      <w:r w:rsidR="003C495B">
        <w:rPr>
          <w:rFonts w:ascii="Times New Roman" w:eastAsia="Aptos" w:hAnsi="Times New Roman" w:cs="Times New Roman"/>
          <w:sz w:val="24"/>
          <w:szCs w:val="24"/>
          <w:lang w:val="es-MX"/>
        </w:rPr>
        <w:t xml:space="preserve"> en el mismo</w:t>
      </w:r>
      <w:r w:rsidRPr="00A2206E">
        <w:rPr>
          <w:rFonts w:ascii="Times New Roman" w:eastAsia="Aptos" w:hAnsi="Times New Roman" w:cs="Times New Roman"/>
          <w:sz w:val="24"/>
          <w:szCs w:val="24"/>
          <w:lang w:val="es-MX"/>
        </w:rPr>
        <w:t>.</w:t>
      </w:r>
      <w:r w:rsidR="003C495B">
        <w:rPr>
          <w:rFonts w:ascii="Times New Roman" w:eastAsia="Aptos" w:hAnsi="Times New Roman" w:cs="Times New Roman"/>
          <w:sz w:val="24"/>
          <w:szCs w:val="24"/>
          <w:lang w:val="es-MX"/>
        </w:rPr>
        <w:t xml:space="preserve"> </w:t>
      </w:r>
      <w:r w:rsidR="003C495B" w:rsidRPr="00A2206E">
        <w:rPr>
          <w:rFonts w:ascii="Times New Roman" w:eastAsia="Aptos" w:hAnsi="Times New Roman" w:cs="Times New Roman"/>
          <w:sz w:val="24"/>
          <w:szCs w:val="24"/>
          <w:lang w:val="es-ES"/>
        </w:rPr>
        <w:t>Desde enero de 2024 hasta la actualidad, la cantidad de NN</w:t>
      </w:r>
      <w:r w:rsidR="003C495B">
        <w:rPr>
          <w:rFonts w:ascii="Times New Roman" w:eastAsia="Aptos" w:hAnsi="Times New Roman" w:cs="Times New Roman"/>
          <w:sz w:val="24"/>
          <w:szCs w:val="24"/>
          <w:lang w:val="es-ES"/>
        </w:rPr>
        <w:t>y</w:t>
      </w:r>
      <w:r w:rsidR="003C495B" w:rsidRPr="00A2206E">
        <w:rPr>
          <w:rFonts w:ascii="Times New Roman" w:eastAsia="Aptos" w:hAnsi="Times New Roman" w:cs="Times New Roman"/>
          <w:sz w:val="24"/>
          <w:szCs w:val="24"/>
          <w:lang w:val="es-ES"/>
        </w:rPr>
        <w:t>A alojados en Centros de Régimen Cerrado de la CABA incrementó en un 21%.</w:t>
      </w:r>
      <w:r w:rsidR="003C495B">
        <w:rPr>
          <w:rFonts w:ascii="Times New Roman" w:eastAsia="Aptos" w:hAnsi="Times New Roman" w:cs="Times New Roman"/>
          <w:sz w:val="24"/>
          <w:szCs w:val="24"/>
          <w:lang w:val="es-ES"/>
        </w:rPr>
        <w:t xml:space="preserve"> </w:t>
      </w:r>
    </w:p>
    <w:p w14:paraId="24FF8778" w14:textId="77777777" w:rsidR="003C495B" w:rsidRDefault="003C495B" w:rsidP="004E2174">
      <w:pPr>
        <w:spacing w:after="120" w:line="240" w:lineRule="auto"/>
        <w:jc w:val="both"/>
        <w:rPr>
          <w:rFonts w:ascii="Times New Roman" w:eastAsia="Aptos" w:hAnsi="Times New Roman" w:cs="Times New Roman"/>
          <w:sz w:val="24"/>
          <w:szCs w:val="24"/>
          <w:lang w:val="es-MX"/>
        </w:rPr>
      </w:pPr>
    </w:p>
    <w:p w14:paraId="66F7B811" w14:textId="0198B564" w:rsidR="00367B9D" w:rsidRPr="00367B9D" w:rsidRDefault="00367B9D" w:rsidP="004E2174">
      <w:pPr>
        <w:spacing w:after="120" w:line="240" w:lineRule="auto"/>
        <w:jc w:val="both"/>
        <w:rPr>
          <w:rFonts w:ascii="Times New Roman" w:eastAsia="Aptos" w:hAnsi="Times New Roman" w:cs="Times New Roman"/>
          <w:b/>
          <w:lang w:val="es-MX"/>
        </w:rPr>
      </w:pPr>
      <w:r w:rsidRPr="00367B9D">
        <w:rPr>
          <w:rFonts w:ascii="Times New Roman" w:eastAsia="Aptos" w:hAnsi="Times New Roman" w:cs="Times New Roman"/>
          <w:b/>
          <w:lang w:val="es-MX"/>
        </w:rPr>
        <w:t>Niñas, Niños y Adolescentes alojados en Centros de Régimen Cerrado de CABA (2018-2025)</w:t>
      </w:r>
    </w:p>
    <w:p w14:paraId="0481FF3D" w14:textId="0CC58FEE" w:rsidR="005C4B93" w:rsidRDefault="00836843" w:rsidP="004E2174">
      <w:pPr>
        <w:spacing w:after="120" w:line="240" w:lineRule="auto"/>
        <w:jc w:val="both"/>
        <w:rPr>
          <w:rFonts w:ascii="Times New Roman" w:eastAsia="Aptos" w:hAnsi="Times New Roman" w:cs="Times New Roman"/>
          <w:sz w:val="24"/>
          <w:szCs w:val="24"/>
          <w:lang w:val="es-MX"/>
        </w:rPr>
      </w:pPr>
      <w:r>
        <w:rPr>
          <w:noProof/>
          <w:lang w:eastAsia="es-AR"/>
        </w:rPr>
        <w:drawing>
          <wp:inline distT="0" distB="0" distL="0" distR="0" wp14:anchorId="122F4DF1" wp14:editId="7895B69F">
            <wp:extent cx="5400040" cy="2865120"/>
            <wp:effectExtent l="0" t="0" r="10160" b="11430"/>
            <wp:docPr id="1682115834" name="Gráfico 1">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48F7B521" w14:textId="21EF7AEC" w:rsidR="00A2206E" w:rsidRPr="00836843" w:rsidRDefault="00836843" w:rsidP="004E2174">
      <w:pPr>
        <w:spacing w:after="120" w:line="240" w:lineRule="auto"/>
        <w:jc w:val="both"/>
        <w:rPr>
          <w:rFonts w:ascii="Times New Roman" w:eastAsia="Aptos" w:hAnsi="Times New Roman" w:cs="Times New Roman"/>
          <w:sz w:val="20"/>
          <w:szCs w:val="20"/>
          <w:lang w:val="es-MX"/>
        </w:rPr>
      </w:pPr>
      <w:r w:rsidRPr="00836843">
        <w:rPr>
          <w:rFonts w:ascii="Aptos" w:eastAsia="Aptos" w:hAnsi="Aptos" w:cs="Times New Roman"/>
          <w:noProof/>
          <w:sz w:val="20"/>
          <w:szCs w:val="20"/>
          <w:lang w:eastAsia="es-AR"/>
        </w:rPr>
        <w:t>Fuente</w:t>
      </w:r>
      <w:r>
        <w:rPr>
          <w:rFonts w:ascii="Aptos" w:eastAsia="Aptos" w:hAnsi="Aptos" w:cs="Times New Roman"/>
          <w:noProof/>
          <w:sz w:val="20"/>
          <w:szCs w:val="20"/>
          <w:lang w:eastAsia="es-AR"/>
        </w:rPr>
        <w:t>:</w:t>
      </w:r>
      <w:r w:rsidRPr="00836843">
        <w:rPr>
          <w:rFonts w:ascii="Aptos" w:eastAsia="Aptos" w:hAnsi="Aptos" w:cs="Times New Roman"/>
          <w:noProof/>
          <w:sz w:val="20"/>
          <w:szCs w:val="20"/>
          <w:lang w:eastAsia="es-AR"/>
        </w:rPr>
        <w:t xml:space="preserve"> elaboración propia con datos del Consejo de derechos de NNyA de CABA</w:t>
      </w:r>
    </w:p>
    <w:p w14:paraId="61EC9405" w14:textId="77777777" w:rsidR="00A2206E" w:rsidRPr="00A2206E" w:rsidRDefault="00A2206E" w:rsidP="004E2174">
      <w:pPr>
        <w:spacing w:after="120" w:line="240" w:lineRule="auto"/>
        <w:jc w:val="both"/>
        <w:rPr>
          <w:rFonts w:ascii="Times New Roman" w:eastAsia="Aptos" w:hAnsi="Times New Roman" w:cs="Times New Roman"/>
          <w:sz w:val="24"/>
          <w:szCs w:val="24"/>
          <w:lang w:val="es-MX"/>
        </w:rPr>
      </w:pPr>
    </w:p>
    <w:p w14:paraId="1F53A446" w14:textId="64C20042" w:rsidR="0033228D" w:rsidRPr="00BF3B61" w:rsidRDefault="00560B22" w:rsidP="004E2174">
      <w:pPr>
        <w:pStyle w:val="Heading1"/>
        <w:spacing w:before="0" w:after="120" w:line="240" w:lineRule="auto"/>
        <w:rPr>
          <w:rStyle w:val="Hyperlink"/>
          <w:rFonts w:ascii="Times New Roman" w:hAnsi="Times New Roman" w:cs="Times New Roman"/>
          <w:b/>
          <w:bCs/>
          <w:noProof/>
          <w:color w:val="auto"/>
          <w:sz w:val="24"/>
          <w:szCs w:val="24"/>
          <w:u w:val="none"/>
        </w:rPr>
      </w:pPr>
      <w:bookmarkStart w:id="24" w:name="_Toc210805581"/>
      <w:r>
        <w:rPr>
          <w:rStyle w:val="Hyperlink"/>
          <w:rFonts w:ascii="Times New Roman" w:hAnsi="Times New Roman" w:cs="Times New Roman"/>
          <w:b/>
          <w:bCs/>
          <w:noProof/>
          <w:color w:val="auto"/>
          <w:sz w:val="24"/>
          <w:szCs w:val="24"/>
          <w:u w:val="none"/>
        </w:rPr>
        <w:t>10</w:t>
      </w:r>
      <w:r w:rsidR="00597B52" w:rsidRPr="00921E1E">
        <w:rPr>
          <w:rStyle w:val="Hyperlink"/>
          <w:rFonts w:ascii="Times New Roman" w:hAnsi="Times New Roman" w:cs="Times New Roman"/>
          <w:b/>
          <w:bCs/>
          <w:noProof/>
          <w:color w:val="auto"/>
          <w:sz w:val="24"/>
          <w:szCs w:val="24"/>
          <w:u w:val="none"/>
        </w:rPr>
        <w:t xml:space="preserve">. </w:t>
      </w:r>
      <w:r w:rsidR="00F038BC" w:rsidRPr="00921E1E">
        <w:rPr>
          <w:rStyle w:val="Hyperlink"/>
          <w:rFonts w:ascii="Times New Roman" w:hAnsi="Times New Roman" w:cs="Times New Roman"/>
          <w:b/>
          <w:bCs/>
          <w:noProof/>
          <w:color w:val="auto"/>
          <w:sz w:val="24"/>
          <w:szCs w:val="24"/>
          <w:u w:val="none"/>
        </w:rPr>
        <w:t>PROCEDIMIENTOS DE DETENCIÓN Y EXPULSIÓN MIGRATORIA</w:t>
      </w:r>
      <w:bookmarkEnd w:id="24"/>
    </w:p>
    <w:p w14:paraId="0D382BDA" w14:textId="6777429B" w:rsidR="00976BDB" w:rsidRDefault="00976BDB" w:rsidP="004F6E44">
      <w:pPr>
        <w:spacing w:after="120" w:line="240" w:lineRule="auto"/>
        <w:jc w:val="both"/>
        <w:rPr>
          <w:rFonts w:ascii="Times New Roman" w:eastAsia="Arial" w:hAnsi="Times New Roman" w:cs="Times New Roman"/>
          <w:sz w:val="24"/>
          <w:szCs w:val="24"/>
        </w:rPr>
      </w:pPr>
      <w:r w:rsidRPr="00976BDB">
        <w:rPr>
          <w:rFonts w:ascii="Times New Roman" w:eastAsia="Arial" w:hAnsi="Times New Roman" w:cs="Times New Roman"/>
          <w:sz w:val="24"/>
          <w:szCs w:val="24"/>
        </w:rPr>
        <w:t xml:space="preserve">A principios del año 2021 el </w:t>
      </w:r>
      <w:r>
        <w:rPr>
          <w:rFonts w:ascii="Times New Roman" w:eastAsia="Arial" w:hAnsi="Times New Roman" w:cs="Times New Roman"/>
          <w:sz w:val="24"/>
          <w:szCs w:val="24"/>
        </w:rPr>
        <w:t>Poder Ejecutivo Nacional</w:t>
      </w:r>
      <w:r w:rsidRPr="00976BDB">
        <w:rPr>
          <w:rFonts w:ascii="Times New Roman" w:eastAsia="Arial" w:hAnsi="Times New Roman" w:cs="Times New Roman"/>
          <w:sz w:val="24"/>
          <w:szCs w:val="24"/>
        </w:rPr>
        <w:t xml:space="preserve"> dictó el Decreto N° 138/21 mediante el cual derogó el Decreto de Necesidad y Urgencia</w:t>
      </w:r>
      <w:r w:rsidR="004F6E44">
        <w:rPr>
          <w:rFonts w:ascii="Times New Roman" w:eastAsia="Arial" w:hAnsi="Times New Roman" w:cs="Times New Roman"/>
          <w:sz w:val="24"/>
          <w:szCs w:val="24"/>
        </w:rPr>
        <w:t xml:space="preserve"> (DNU)</w:t>
      </w:r>
      <w:r w:rsidRPr="00976BDB">
        <w:rPr>
          <w:rFonts w:ascii="Times New Roman" w:eastAsia="Arial" w:hAnsi="Times New Roman" w:cs="Times New Roman"/>
          <w:sz w:val="24"/>
          <w:szCs w:val="24"/>
        </w:rPr>
        <w:t xml:space="preserve"> N° 70/17 que</w:t>
      </w:r>
      <w:r>
        <w:rPr>
          <w:rFonts w:ascii="Times New Roman" w:eastAsia="Arial" w:hAnsi="Times New Roman" w:cs="Times New Roman"/>
          <w:sz w:val="24"/>
          <w:szCs w:val="24"/>
        </w:rPr>
        <w:t xml:space="preserve"> había modificado </w:t>
      </w:r>
      <w:r w:rsidRPr="00976BDB">
        <w:rPr>
          <w:rFonts w:ascii="Times New Roman" w:eastAsia="Arial" w:hAnsi="Times New Roman" w:cs="Times New Roman"/>
          <w:sz w:val="24"/>
          <w:szCs w:val="24"/>
        </w:rPr>
        <w:t xml:space="preserve">la Ley Nacional de Migraciones Nº 27.871, y vulneraba los derechos de las personas migrantes en general y de las migrantes en prisión en particular. La derogación del DNU 70/2017 –discutido judicialmente desde su aprobación por organizaciones de la sociedad civil, también con la participación de esta PPN- resultó un </w:t>
      </w:r>
      <w:r>
        <w:rPr>
          <w:rFonts w:ascii="Times New Roman" w:eastAsia="Arial" w:hAnsi="Times New Roman" w:cs="Times New Roman"/>
          <w:sz w:val="24"/>
          <w:szCs w:val="24"/>
        </w:rPr>
        <w:t xml:space="preserve">avance por cuanto implicó un </w:t>
      </w:r>
      <w:r w:rsidRPr="00976BDB">
        <w:rPr>
          <w:rFonts w:ascii="Times New Roman" w:eastAsia="Arial" w:hAnsi="Times New Roman" w:cs="Times New Roman"/>
          <w:sz w:val="24"/>
          <w:szCs w:val="24"/>
        </w:rPr>
        <w:t>retorno a la aplicación integral de la ley de migraciones, estandarte del derecho humano a migrar</w:t>
      </w:r>
      <w:r>
        <w:rPr>
          <w:rFonts w:ascii="Times New Roman" w:eastAsia="Arial" w:hAnsi="Times New Roman" w:cs="Times New Roman"/>
          <w:sz w:val="24"/>
          <w:szCs w:val="24"/>
        </w:rPr>
        <w:t xml:space="preserve">. </w:t>
      </w:r>
    </w:p>
    <w:p w14:paraId="4474980C" w14:textId="7DEE437F" w:rsidR="00976BDB" w:rsidRPr="00976BDB" w:rsidRDefault="00976BDB" w:rsidP="004F6E44">
      <w:pPr>
        <w:spacing w:after="120" w:line="240" w:lineRule="auto"/>
        <w:jc w:val="both"/>
        <w:rPr>
          <w:rFonts w:ascii="Times New Roman" w:eastAsiaTheme="minorEastAsia" w:hAnsi="Times New Roman" w:cs="Times New Roman"/>
          <w:color w:val="000000" w:themeColor="text1"/>
        </w:rPr>
      </w:pPr>
      <w:r>
        <w:rPr>
          <w:rFonts w:ascii="Times New Roman" w:eastAsia="Arial" w:hAnsi="Times New Roman" w:cs="Times New Roman"/>
          <w:sz w:val="24"/>
          <w:szCs w:val="24"/>
        </w:rPr>
        <w:t>No obstante,</w:t>
      </w:r>
      <w:r w:rsidRPr="00976BDB">
        <w:rPr>
          <w:rFonts w:ascii="Times New Roman" w:eastAsia="Arial" w:hAnsi="Times New Roman" w:cs="Times New Roman"/>
          <w:sz w:val="24"/>
          <w:szCs w:val="24"/>
        </w:rPr>
        <w:t xml:space="preserve"> persistie</w:t>
      </w:r>
      <w:r>
        <w:rPr>
          <w:rFonts w:ascii="Times New Roman" w:eastAsia="Arial" w:hAnsi="Times New Roman" w:cs="Times New Roman"/>
          <w:sz w:val="24"/>
          <w:szCs w:val="24"/>
        </w:rPr>
        <w:t>ron algunas</w:t>
      </w:r>
      <w:r w:rsidRPr="00976BDB">
        <w:rPr>
          <w:rFonts w:ascii="Times New Roman" w:eastAsia="Arial" w:hAnsi="Times New Roman" w:cs="Times New Roman"/>
          <w:sz w:val="24"/>
          <w:szCs w:val="24"/>
        </w:rPr>
        <w:t xml:space="preserve"> problemáticas </w:t>
      </w:r>
      <w:r>
        <w:rPr>
          <w:rFonts w:ascii="Times New Roman" w:eastAsia="Arial" w:hAnsi="Times New Roman" w:cs="Times New Roman"/>
          <w:sz w:val="24"/>
          <w:szCs w:val="24"/>
        </w:rPr>
        <w:t xml:space="preserve">identificadas desde los inicios de vigencia de la Ley de Migraciones </w:t>
      </w:r>
      <w:r w:rsidRPr="00976BDB">
        <w:rPr>
          <w:rFonts w:ascii="Times New Roman" w:eastAsia="Arial" w:hAnsi="Times New Roman" w:cs="Times New Roman"/>
          <w:sz w:val="24"/>
          <w:szCs w:val="24"/>
        </w:rPr>
        <w:t>vinculadas</w:t>
      </w:r>
      <w:r>
        <w:rPr>
          <w:rFonts w:ascii="Times New Roman" w:eastAsia="Arial" w:hAnsi="Times New Roman" w:cs="Times New Roman"/>
          <w:sz w:val="24"/>
          <w:szCs w:val="24"/>
        </w:rPr>
        <w:t xml:space="preserve"> a la vulneración d</w:t>
      </w:r>
      <w:r w:rsidRPr="00976BDB">
        <w:rPr>
          <w:rFonts w:ascii="Times New Roman" w:eastAsiaTheme="minorEastAsia" w:hAnsi="Times New Roman" w:cs="Times New Roman"/>
          <w:color w:val="000000" w:themeColor="text1"/>
          <w:sz w:val="24"/>
          <w:szCs w:val="24"/>
        </w:rPr>
        <w:t>el derecho a la reunificación familiar de la</w:t>
      </w:r>
      <w:r>
        <w:rPr>
          <w:rFonts w:ascii="Times New Roman" w:eastAsiaTheme="minorEastAsia" w:hAnsi="Times New Roman" w:cs="Times New Roman"/>
          <w:color w:val="000000" w:themeColor="text1"/>
          <w:sz w:val="24"/>
          <w:szCs w:val="24"/>
        </w:rPr>
        <w:t>s personas</w:t>
      </w:r>
      <w:r w:rsidRPr="00976BDB">
        <w:rPr>
          <w:rFonts w:ascii="Times New Roman" w:eastAsiaTheme="minorEastAsia" w:hAnsi="Times New Roman" w:cs="Times New Roman"/>
          <w:color w:val="000000" w:themeColor="text1"/>
          <w:sz w:val="24"/>
          <w:szCs w:val="24"/>
        </w:rPr>
        <w:t xml:space="preserve"> migrante</w:t>
      </w:r>
      <w:r>
        <w:rPr>
          <w:rFonts w:ascii="Times New Roman" w:eastAsiaTheme="minorEastAsia" w:hAnsi="Times New Roman" w:cs="Times New Roman"/>
          <w:color w:val="000000" w:themeColor="text1"/>
          <w:sz w:val="24"/>
          <w:szCs w:val="24"/>
        </w:rPr>
        <w:t>s que entran en conflicto con la ley penal, quienes a menudo son expulsadas del país y separadas de su familia. Si bien la Ley había previsto la dispensa de la expulsión en caso de personas con fuerte arraigo</w:t>
      </w:r>
      <w:r w:rsidR="009B5933">
        <w:rPr>
          <w:rFonts w:ascii="Times New Roman" w:eastAsiaTheme="minorEastAsia" w:hAnsi="Times New Roman" w:cs="Times New Roman"/>
          <w:color w:val="000000" w:themeColor="text1"/>
          <w:sz w:val="24"/>
          <w:szCs w:val="24"/>
        </w:rPr>
        <w:t>,</w:t>
      </w:r>
      <w:r w:rsidRPr="00976BDB">
        <w:rPr>
          <w:rFonts w:ascii="Times New Roman" w:eastAsiaTheme="minorEastAsia" w:hAnsi="Times New Roman" w:cs="Times New Roman"/>
          <w:color w:val="000000" w:themeColor="text1"/>
          <w:sz w:val="24"/>
          <w:szCs w:val="24"/>
        </w:rPr>
        <w:t xml:space="preserve"> en la práctica la aplicación de esas dispensas </w:t>
      </w:r>
      <w:r w:rsidR="009B5933">
        <w:rPr>
          <w:rFonts w:ascii="Times New Roman" w:eastAsiaTheme="minorEastAsia" w:hAnsi="Times New Roman" w:cs="Times New Roman"/>
          <w:color w:val="000000" w:themeColor="text1"/>
          <w:sz w:val="24"/>
          <w:szCs w:val="24"/>
        </w:rPr>
        <w:t>siempre fue</w:t>
      </w:r>
      <w:r w:rsidRPr="00976BDB">
        <w:rPr>
          <w:rFonts w:ascii="Times New Roman" w:eastAsiaTheme="minorEastAsia" w:hAnsi="Times New Roman" w:cs="Times New Roman"/>
          <w:color w:val="000000" w:themeColor="text1"/>
          <w:sz w:val="24"/>
          <w:szCs w:val="24"/>
        </w:rPr>
        <w:t xml:space="preserve"> muy limitada, y la Corte Suprema de Justicia de la Nación con su jurisprudencia ha venido avalando el criterio restrictivo de la Dirección Nacional de Migraciones.</w:t>
      </w:r>
    </w:p>
    <w:p w14:paraId="57863F6E" w14:textId="654327C5" w:rsidR="00976BDB" w:rsidRPr="00976BDB" w:rsidRDefault="00976BDB" w:rsidP="004F6E44">
      <w:pPr>
        <w:spacing w:after="120" w:line="240" w:lineRule="auto"/>
        <w:jc w:val="both"/>
        <w:rPr>
          <w:rFonts w:ascii="Times New Roman" w:eastAsia="Arial" w:hAnsi="Times New Roman" w:cs="Times New Roman"/>
        </w:rPr>
      </w:pPr>
      <w:r w:rsidRPr="00976BDB">
        <w:rPr>
          <w:rFonts w:ascii="Times New Roman" w:eastAsia="Arial" w:hAnsi="Times New Roman" w:cs="Times New Roman"/>
          <w:sz w:val="24"/>
          <w:szCs w:val="24"/>
        </w:rPr>
        <w:t xml:space="preserve">El 29 de mayo de </w:t>
      </w:r>
      <w:r w:rsidR="009B5933">
        <w:rPr>
          <w:rFonts w:ascii="Times New Roman" w:eastAsia="Arial" w:hAnsi="Times New Roman" w:cs="Times New Roman"/>
          <w:sz w:val="24"/>
          <w:szCs w:val="24"/>
        </w:rPr>
        <w:t>2025</w:t>
      </w:r>
      <w:r w:rsidRPr="00976BDB">
        <w:rPr>
          <w:rFonts w:ascii="Times New Roman" w:eastAsia="Arial" w:hAnsi="Times New Roman" w:cs="Times New Roman"/>
          <w:sz w:val="24"/>
          <w:szCs w:val="24"/>
        </w:rPr>
        <w:t xml:space="preserve"> se publicó en el Boletín Oficial el Decreto de Necesidad y Urgencia</w:t>
      </w:r>
      <w:r w:rsidR="00A4397A">
        <w:rPr>
          <w:rFonts w:ascii="Times New Roman" w:eastAsia="Arial" w:hAnsi="Times New Roman" w:cs="Times New Roman"/>
          <w:sz w:val="24"/>
          <w:szCs w:val="24"/>
        </w:rPr>
        <w:t xml:space="preserve"> </w:t>
      </w:r>
      <w:r w:rsidRPr="00976BDB">
        <w:rPr>
          <w:rFonts w:ascii="Times New Roman" w:eastAsia="Arial" w:hAnsi="Times New Roman" w:cs="Times New Roman"/>
          <w:sz w:val="24"/>
          <w:szCs w:val="24"/>
        </w:rPr>
        <w:t>Nº 366/25, que nuevamente modifica la L</w:t>
      </w:r>
      <w:r w:rsidR="009B5933">
        <w:rPr>
          <w:rFonts w:ascii="Times New Roman" w:eastAsia="Arial" w:hAnsi="Times New Roman" w:cs="Times New Roman"/>
          <w:sz w:val="24"/>
          <w:szCs w:val="24"/>
        </w:rPr>
        <w:t xml:space="preserve">ey </w:t>
      </w:r>
      <w:r w:rsidRPr="00976BDB">
        <w:rPr>
          <w:rFonts w:ascii="Times New Roman" w:eastAsia="Arial" w:hAnsi="Times New Roman" w:cs="Times New Roman"/>
          <w:sz w:val="24"/>
          <w:szCs w:val="24"/>
        </w:rPr>
        <w:t>N</w:t>
      </w:r>
      <w:r w:rsidR="009B5933">
        <w:rPr>
          <w:rFonts w:ascii="Times New Roman" w:eastAsia="Arial" w:hAnsi="Times New Roman" w:cs="Times New Roman"/>
          <w:sz w:val="24"/>
          <w:szCs w:val="24"/>
        </w:rPr>
        <w:t xml:space="preserve">acional de </w:t>
      </w:r>
      <w:r w:rsidRPr="00976BDB">
        <w:rPr>
          <w:rFonts w:ascii="Times New Roman" w:eastAsia="Arial" w:hAnsi="Times New Roman" w:cs="Times New Roman"/>
          <w:sz w:val="24"/>
          <w:szCs w:val="24"/>
        </w:rPr>
        <w:t>M</w:t>
      </w:r>
      <w:r w:rsidR="009B5933">
        <w:rPr>
          <w:rFonts w:ascii="Times New Roman" w:eastAsia="Arial" w:hAnsi="Times New Roman" w:cs="Times New Roman"/>
          <w:sz w:val="24"/>
          <w:szCs w:val="24"/>
        </w:rPr>
        <w:t>igraciones</w:t>
      </w:r>
      <w:r w:rsidRPr="00976BDB">
        <w:rPr>
          <w:rFonts w:ascii="Times New Roman" w:eastAsia="Arial" w:hAnsi="Times New Roman" w:cs="Times New Roman"/>
          <w:sz w:val="24"/>
          <w:szCs w:val="24"/>
        </w:rPr>
        <w:t xml:space="preserve">, introduciendo reformas </w:t>
      </w:r>
      <w:r w:rsidR="00A4397A">
        <w:rPr>
          <w:rFonts w:ascii="Times New Roman" w:eastAsia="Arial" w:hAnsi="Times New Roman" w:cs="Times New Roman"/>
          <w:sz w:val="24"/>
          <w:szCs w:val="24"/>
        </w:rPr>
        <w:t>restrictivas de derechos</w:t>
      </w:r>
      <w:r w:rsidRPr="00976BDB">
        <w:rPr>
          <w:rFonts w:ascii="Times New Roman" w:eastAsia="Arial" w:hAnsi="Times New Roman" w:cs="Times New Roman"/>
          <w:sz w:val="24"/>
          <w:szCs w:val="24"/>
        </w:rPr>
        <w:t xml:space="preserve">. Se recurre otra vez a </w:t>
      </w:r>
      <w:r w:rsidR="009B5933">
        <w:rPr>
          <w:rFonts w:ascii="Times New Roman" w:eastAsia="Arial" w:hAnsi="Times New Roman" w:cs="Times New Roman"/>
          <w:sz w:val="24"/>
          <w:szCs w:val="24"/>
        </w:rPr>
        <w:t>un Decreto de Necesidad y Urgencia, que es un</w:t>
      </w:r>
      <w:r w:rsidRPr="00976BDB">
        <w:rPr>
          <w:rFonts w:ascii="Times New Roman" w:eastAsia="Arial" w:hAnsi="Times New Roman" w:cs="Times New Roman"/>
          <w:sz w:val="24"/>
          <w:szCs w:val="24"/>
        </w:rPr>
        <w:t>a herramienta normativa de carácter excepcional, pese a no verificarse una situación de urgencia real que impida el tratamiento legislativo ordinario.</w:t>
      </w:r>
      <w:r w:rsidR="009B5933">
        <w:rPr>
          <w:rFonts w:ascii="Times New Roman" w:eastAsia="Arial" w:hAnsi="Times New Roman" w:cs="Times New Roman"/>
          <w:sz w:val="24"/>
          <w:szCs w:val="24"/>
        </w:rPr>
        <w:t xml:space="preserve"> </w:t>
      </w:r>
      <w:r w:rsidRPr="00976BDB">
        <w:rPr>
          <w:rFonts w:ascii="Times New Roman" w:eastAsia="Arial" w:hAnsi="Times New Roman" w:cs="Times New Roman"/>
          <w:sz w:val="24"/>
          <w:szCs w:val="24"/>
        </w:rPr>
        <w:t xml:space="preserve">Los </w:t>
      </w:r>
      <w:r w:rsidR="009B5933">
        <w:rPr>
          <w:rFonts w:ascii="Times New Roman" w:eastAsia="Arial" w:hAnsi="Times New Roman" w:cs="Times New Roman"/>
          <w:sz w:val="24"/>
          <w:szCs w:val="24"/>
        </w:rPr>
        <w:t>c</w:t>
      </w:r>
      <w:r w:rsidRPr="00976BDB">
        <w:rPr>
          <w:rFonts w:ascii="Times New Roman" w:eastAsia="Arial" w:hAnsi="Times New Roman" w:cs="Times New Roman"/>
          <w:sz w:val="24"/>
          <w:szCs w:val="24"/>
        </w:rPr>
        <w:t xml:space="preserve">onsiderandos del </w:t>
      </w:r>
      <w:r w:rsidR="00A4397A">
        <w:rPr>
          <w:rFonts w:ascii="Times New Roman" w:eastAsia="Arial" w:hAnsi="Times New Roman" w:cs="Times New Roman"/>
          <w:sz w:val="24"/>
          <w:szCs w:val="24"/>
        </w:rPr>
        <w:t>DNU</w:t>
      </w:r>
      <w:r w:rsidRPr="00976BDB">
        <w:rPr>
          <w:rFonts w:ascii="Times New Roman" w:eastAsia="Arial" w:hAnsi="Times New Roman" w:cs="Times New Roman"/>
          <w:sz w:val="24"/>
          <w:szCs w:val="24"/>
        </w:rPr>
        <w:t xml:space="preserve"> justifican la medida en función de la política migratoria de Estados Unidos y el riesgo de un ingreso masivo de personas deportadas, con condición migratoria irregular y con potencial impacto negativo en la seguridad nacional, en el aumento de la criminalidad y en la sobrecarga de utilización de los servicios públicos como de salud y educación.</w:t>
      </w:r>
    </w:p>
    <w:p w14:paraId="16FACBD0" w14:textId="000EE579" w:rsidR="00976BDB" w:rsidRPr="00976BDB" w:rsidRDefault="00976BDB" w:rsidP="00367B9D">
      <w:pPr>
        <w:spacing w:after="120" w:line="240" w:lineRule="auto"/>
        <w:jc w:val="both"/>
        <w:rPr>
          <w:rFonts w:ascii="Times New Roman" w:eastAsia="Arial" w:hAnsi="Times New Roman" w:cs="Times New Roman"/>
          <w:color w:val="001D35"/>
        </w:rPr>
      </w:pPr>
      <w:r w:rsidRPr="00976BDB">
        <w:rPr>
          <w:rFonts w:ascii="Times New Roman" w:eastAsia="Arial" w:hAnsi="Times New Roman" w:cs="Times New Roman"/>
          <w:sz w:val="24"/>
          <w:szCs w:val="24"/>
        </w:rPr>
        <w:t xml:space="preserve">El DNU 366/25 establece una modificación de orientación más restrictiva en el régimen migratorio, al colocar la expulsión como principio general </w:t>
      </w:r>
      <w:r w:rsidR="005F6E1C">
        <w:rPr>
          <w:rFonts w:ascii="Times New Roman" w:eastAsia="Arial" w:hAnsi="Times New Roman" w:cs="Times New Roman"/>
          <w:sz w:val="24"/>
          <w:szCs w:val="24"/>
        </w:rPr>
        <w:t xml:space="preserve">para las personas </w:t>
      </w:r>
      <w:r w:rsidR="00DF3D36">
        <w:rPr>
          <w:rFonts w:ascii="Times New Roman" w:eastAsia="Arial" w:hAnsi="Times New Roman" w:cs="Times New Roman"/>
          <w:sz w:val="24"/>
          <w:szCs w:val="24"/>
        </w:rPr>
        <w:t xml:space="preserve">extranjeras </w:t>
      </w:r>
      <w:r w:rsidR="005F6E1C">
        <w:rPr>
          <w:rFonts w:ascii="Times New Roman" w:eastAsia="Arial" w:hAnsi="Times New Roman" w:cs="Times New Roman"/>
          <w:sz w:val="24"/>
          <w:szCs w:val="24"/>
        </w:rPr>
        <w:t>que entran en conflicto con la ley penal</w:t>
      </w:r>
      <w:r w:rsidR="00A4397A">
        <w:rPr>
          <w:rFonts w:ascii="Times New Roman" w:eastAsia="Arial" w:hAnsi="Times New Roman" w:cs="Times New Roman"/>
          <w:sz w:val="24"/>
          <w:szCs w:val="24"/>
        </w:rPr>
        <w:t xml:space="preserve">. Además, </w:t>
      </w:r>
      <w:r w:rsidR="005F6E1C">
        <w:rPr>
          <w:rFonts w:ascii="Times New Roman" w:eastAsia="Arial" w:hAnsi="Times New Roman" w:cs="Times New Roman"/>
          <w:sz w:val="24"/>
          <w:szCs w:val="24"/>
        </w:rPr>
        <w:t xml:space="preserve">restringe las posibilidades de dispensa de la expulsión </w:t>
      </w:r>
      <w:r w:rsidRPr="00976BDB">
        <w:rPr>
          <w:rFonts w:ascii="Times New Roman" w:eastAsia="Arial" w:hAnsi="Times New Roman" w:cs="Times New Roman"/>
          <w:sz w:val="24"/>
          <w:szCs w:val="24"/>
        </w:rPr>
        <w:t>y reduc</w:t>
      </w:r>
      <w:r w:rsidR="005F6E1C">
        <w:rPr>
          <w:rFonts w:ascii="Times New Roman" w:eastAsia="Arial" w:hAnsi="Times New Roman" w:cs="Times New Roman"/>
          <w:sz w:val="24"/>
          <w:szCs w:val="24"/>
        </w:rPr>
        <w:t>e</w:t>
      </w:r>
      <w:r w:rsidRPr="00976BDB">
        <w:rPr>
          <w:rFonts w:ascii="Times New Roman" w:eastAsia="Arial" w:hAnsi="Times New Roman" w:cs="Times New Roman"/>
          <w:sz w:val="24"/>
          <w:szCs w:val="24"/>
        </w:rPr>
        <w:t xml:space="preserve"> las instancias de impugnación disponibles. Asimismo, amplía las atribuciones estatales para disponer la retención de personas extranjeras privadas de libertad. Por otro lado, incorpora limitaciones en el acceso a los servicios de salud para extranjeros en situación migratoria irregular, y a la educación gratuita superior para extranjeros sin residencia permanente, habilitando a las universidades a cobrar aranceles a este colectivo.</w:t>
      </w:r>
    </w:p>
    <w:p w14:paraId="618072D9" w14:textId="0B45BD54" w:rsidR="00597B52" w:rsidRDefault="00DF3D36" w:rsidP="00367B9D">
      <w:pPr>
        <w:spacing w:after="120" w:line="240" w:lineRule="auto"/>
        <w:jc w:val="both"/>
        <w:rPr>
          <w:rFonts w:ascii="Times New Roman" w:eastAsia="Arial" w:hAnsi="Times New Roman" w:cs="Times New Roman"/>
          <w:sz w:val="24"/>
          <w:szCs w:val="24"/>
          <w:lang w:val="es-ES"/>
        </w:rPr>
      </w:pPr>
      <w:r>
        <w:rPr>
          <w:rFonts w:ascii="Times New Roman" w:eastAsia="Arial" w:hAnsi="Times New Roman" w:cs="Times New Roman"/>
          <w:color w:val="000000" w:themeColor="text1"/>
          <w:sz w:val="24"/>
          <w:szCs w:val="24"/>
          <w:lang w:val="es-ES"/>
        </w:rPr>
        <w:t>Por otro lado, l</w:t>
      </w:r>
      <w:r w:rsidR="00976BDB" w:rsidRPr="00976BDB">
        <w:rPr>
          <w:rFonts w:ascii="Times New Roman" w:eastAsia="Arial" w:hAnsi="Times New Roman" w:cs="Times New Roman"/>
          <w:color w:val="000000" w:themeColor="text1"/>
          <w:sz w:val="24"/>
          <w:szCs w:val="24"/>
          <w:lang w:val="es-ES"/>
        </w:rPr>
        <w:t>a PPN pone de relieve hace mucho tiempo que el Estado argentino no cuenta con información y datos públicos sobre las expulsiones y retenciones de personas migrantes que se practican en el marco de la aplicación de la Ley Nacional de Migraciones Nº</w:t>
      </w:r>
      <w:r w:rsidR="002F0D75">
        <w:rPr>
          <w:rFonts w:ascii="Times New Roman" w:eastAsia="Arial" w:hAnsi="Times New Roman" w:cs="Times New Roman"/>
          <w:color w:val="000000" w:themeColor="text1"/>
          <w:sz w:val="24"/>
          <w:szCs w:val="24"/>
          <w:lang w:val="es-ES"/>
        </w:rPr>
        <w:t xml:space="preserve"> </w:t>
      </w:r>
      <w:r w:rsidR="00976BDB" w:rsidRPr="00976BDB">
        <w:rPr>
          <w:rFonts w:ascii="Times New Roman" w:eastAsia="Arial" w:hAnsi="Times New Roman" w:cs="Times New Roman"/>
          <w:color w:val="000000" w:themeColor="text1"/>
          <w:sz w:val="24"/>
          <w:szCs w:val="24"/>
          <w:lang w:val="es-ES"/>
        </w:rPr>
        <w:t>25.871. Incluso en el año 2016 se elaboró la Recomendación 847/16 de la PPN</w:t>
      </w:r>
      <w:r w:rsidR="002F0D75">
        <w:rPr>
          <w:rStyle w:val="FootnoteReference"/>
          <w:rFonts w:ascii="Times New Roman" w:eastAsia="Arial" w:hAnsi="Times New Roman" w:cs="Times New Roman"/>
          <w:color w:val="000000" w:themeColor="text1"/>
          <w:sz w:val="24"/>
          <w:szCs w:val="24"/>
          <w:lang w:val="es-ES"/>
        </w:rPr>
        <w:footnoteReference w:id="46"/>
      </w:r>
      <w:r w:rsidR="00976BDB" w:rsidRPr="00976BDB">
        <w:rPr>
          <w:rFonts w:ascii="Times New Roman" w:eastAsia="Arial" w:hAnsi="Times New Roman" w:cs="Times New Roman"/>
          <w:color w:val="000000" w:themeColor="text1"/>
          <w:sz w:val="24"/>
          <w:szCs w:val="24"/>
          <w:lang w:val="es-ES"/>
        </w:rPr>
        <w:t xml:space="preserve"> a </w:t>
      </w:r>
      <w:r w:rsidR="00A4397A" w:rsidRPr="00976BDB">
        <w:rPr>
          <w:rFonts w:ascii="Times New Roman" w:eastAsia="Arial" w:hAnsi="Times New Roman" w:cs="Times New Roman"/>
          <w:color w:val="000000" w:themeColor="text1"/>
          <w:sz w:val="24"/>
          <w:szCs w:val="24"/>
          <w:lang w:val="es-ES"/>
        </w:rPr>
        <w:t>través</w:t>
      </w:r>
      <w:r w:rsidR="00976BDB" w:rsidRPr="00976BDB">
        <w:rPr>
          <w:rFonts w:ascii="Times New Roman" w:eastAsia="Arial" w:hAnsi="Times New Roman" w:cs="Times New Roman"/>
          <w:color w:val="000000" w:themeColor="text1"/>
          <w:sz w:val="24"/>
          <w:szCs w:val="24"/>
          <w:lang w:val="es-ES"/>
        </w:rPr>
        <w:t xml:space="preserve"> de la cual s</w:t>
      </w:r>
      <w:r w:rsidR="00976BDB" w:rsidRPr="00976BDB">
        <w:rPr>
          <w:rFonts w:ascii="Times New Roman" w:eastAsia="Arial" w:hAnsi="Times New Roman" w:cs="Times New Roman"/>
          <w:sz w:val="24"/>
          <w:szCs w:val="24"/>
          <w:lang w:val="es-ES"/>
        </w:rPr>
        <w:t xml:space="preserve">e recomienda a la Dirección Nacional de Migraciones informar de inmediato a las autoridades judiciales, a la Defensoría General y a la PPN sobre toda retención de personas extranjeras, garantizar a este organismo el acceso a los expedientes y crear una base de datos pública. </w:t>
      </w:r>
      <w:r>
        <w:rPr>
          <w:rFonts w:ascii="Times New Roman" w:eastAsia="Arial" w:hAnsi="Times New Roman" w:cs="Times New Roman"/>
          <w:sz w:val="24"/>
          <w:szCs w:val="24"/>
          <w:lang w:val="es-ES"/>
        </w:rPr>
        <w:t xml:space="preserve">No obstante, a la fecha la Dirección Nacional de Migraciones sigue sin comunicar las retenciones migratorias que practica, </w:t>
      </w:r>
      <w:r w:rsidR="002F0D75">
        <w:rPr>
          <w:rFonts w:ascii="Times New Roman" w:eastAsia="Arial" w:hAnsi="Times New Roman" w:cs="Times New Roman"/>
          <w:sz w:val="24"/>
          <w:szCs w:val="24"/>
          <w:lang w:val="es-ES"/>
        </w:rPr>
        <w:t>y sin publicar datos estadísticos sobre expulsiones y detenciones migratorias</w:t>
      </w:r>
      <w:r w:rsidR="00976BDB" w:rsidRPr="00976BDB">
        <w:rPr>
          <w:rFonts w:ascii="Times New Roman" w:eastAsia="Arial" w:hAnsi="Times New Roman" w:cs="Times New Roman"/>
          <w:sz w:val="24"/>
          <w:szCs w:val="24"/>
          <w:lang w:val="es-ES"/>
        </w:rPr>
        <w:t>.</w:t>
      </w:r>
    </w:p>
    <w:p w14:paraId="1072292F" w14:textId="77777777" w:rsidR="004E2174" w:rsidRPr="008A6B81" w:rsidRDefault="004E2174" w:rsidP="004E2174">
      <w:pPr>
        <w:spacing w:after="120" w:line="240" w:lineRule="auto"/>
        <w:ind w:firstLine="708"/>
        <w:jc w:val="both"/>
        <w:rPr>
          <w:rFonts w:ascii="Times New Roman" w:eastAsia="Arial" w:hAnsi="Times New Roman" w:cs="Times New Roman"/>
        </w:rPr>
      </w:pPr>
    </w:p>
    <w:p w14:paraId="26D59D71" w14:textId="3CB1A390" w:rsidR="00597B52" w:rsidRPr="00921E1E" w:rsidRDefault="00F038BC" w:rsidP="004E2174">
      <w:pPr>
        <w:pStyle w:val="Heading1"/>
        <w:spacing w:before="0" w:after="120" w:line="240" w:lineRule="auto"/>
        <w:rPr>
          <w:rFonts w:ascii="Times New Roman" w:hAnsi="Times New Roman" w:cs="Times New Roman"/>
          <w:b/>
          <w:bCs/>
          <w:noProof/>
          <w:sz w:val="24"/>
          <w:szCs w:val="24"/>
        </w:rPr>
      </w:pPr>
      <w:bookmarkStart w:id="25" w:name="_Toc210805582"/>
      <w:r w:rsidRPr="00921E1E">
        <w:rPr>
          <w:rStyle w:val="Hyperlink"/>
          <w:rFonts w:ascii="Times New Roman" w:hAnsi="Times New Roman" w:cs="Times New Roman"/>
          <w:b/>
          <w:bCs/>
          <w:noProof/>
          <w:color w:val="auto"/>
          <w:sz w:val="24"/>
          <w:szCs w:val="24"/>
          <w:u w:val="none"/>
        </w:rPr>
        <w:t>1</w:t>
      </w:r>
      <w:r w:rsidR="00560B22">
        <w:rPr>
          <w:rStyle w:val="Hyperlink"/>
          <w:rFonts w:ascii="Times New Roman" w:hAnsi="Times New Roman" w:cs="Times New Roman"/>
          <w:b/>
          <w:bCs/>
          <w:noProof/>
          <w:color w:val="auto"/>
          <w:sz w:val="24"/>
          <w:szCs w:val="24"/>
          <w:u w:val="none"/>
        </w:rPr>
        <w:t>1</w:t>
      </w:r>
      <w:r w:rsidR="00597B52" w:rsidRPr="00921E1E">
        <w:rPr>
          <w:rStyle w:val="Hyperlink"/>
          <w:rFonts w:ascii="Times New Roman" w:hAnsi="Times New Roman" w:cs="Times New Roman"/>
          <w:b/>
          <w:bCs/>
          <w:noProof/>
          <w:color w:val="auto"/>
          <w:sz w:val="24"/>
          <w:szCs w:val="24"/>
          <w:u w:val="none"/>
        </w:rPr>
        <w:t>. DEFICIENCIAS EN LA PRODUCCIÓN DE DATOS E INFORMACIÓN ESTADÍSTICA</w:t>
      </w:r>
      <w:bookmarkEnd w:id="25"/>
      <w:r w:rsidR="00597B52" w:rsidRPr="00921E1E">
        <w:rPr>
          <w:rFonts w:ascii="Times New Roman" w:hAnsi="Times New Roman" w:cs="Times New Roman"/>
          <w:b/>
          <w:bCs/>
          <w:noProof/>
          <w:webHidden/>
          <w:sz w:val="24"/>
          <w:szCs w:val="24"/>
        </w:rPr>
        <w:tab/>
      </w:r>
    </w:p>
    <w:p w14:paraId="6C05C79F" w14:textId="7714C017" w:rsidR="00597B52" w:rsidRDefault="00F038BC" w:rsidP="004E2174">
      <w:pPr>
        <w:pStyle w:val="Heading2"/>
        <w:spacing w:before="0" w:after="120" w:line="240" w:lineRule="auto"/>
        <w:rPr>
          <w:rFonts w:ascii="Times New Roman" w:hAnsi="Times New Roman" w:cs="Times New Roman"/>
          <w:b/>
          <w:bCs/>
          <w:noProof/>
          <w:webHidden/>
          <w:sz w:val="24"/>
          <w:szCs w:val="24"/>
        </w:rPr>
      </w:pPr>
      <w:bookmarkStart w:id="26" w:name="_Toc210805583"/>
      <w:r w:rsidRPr="00921E1E">
        <w:rPr>
          <w:rStyle w:val="Hyperlink"/>
          <w:rFonts w:ascii="Times New Roman" w:hAnsi="Times New Roman" w:cs="Times New Roman"/>
          <w:b/>
          <w:bCs/>
          <w:noProof/>
          <w:color w:val="auto"/>
          <w:sz w:val="24"/>
          <w:szCs w:val="24"/>
          <w:u w:val="none"/>
        </w:rPr>
        <w:t>1</w:t>
      </w:r>
      <w:r w:rsidR="00560B22">
        <w:rPr>
          <w:rStyle w:val="Hyperlink"/>
          <w:rFonts w:ascii="Times New Roman" w:hAnsi="Times New Roman" w:cs="Times New Roman"/>
          <w:b/>
          <w:bCs/>
          <w:noProof/>
          <w:color w:val="auto"/>
          <w:sz w:val="24"/>
          <w:szCs w:val="24"/>
          <w:u w:val="none"/>
        </w:rPr>
        <w:t>1</w:t>
      </w:r>
      <w:r w:rsidR="00597B52" w:rsidRPr="00921E1E">
        <w:rPr>
          <w:rStyle w:val="Hyperlink"/>
          <w:rFonts w:ascii="Times New Roman" w:hAnsi="Times New Roman" w:cs="Times New Roman"/>
          <w:b/>
          <w:bCs/>
          <w:noProof/>
          <w:color w:val="auto"/>
          <w:sz w:val="24"/>
          <w:szCs w:val="24"/>
          <w:u w:val="none"/>
        </w:rPr>
        <w:t xml:space="preserve">.1. Ausencia de un registro </w:t>
      </w:r>
      <w:r w:rsidRPr="00921E1E">
        <w:rPr>
          <w:rStyle w:val="Hyperlink"/>
          <w:rFonts w:ascii="Times New Roman" w:hAnsi="Times New Roman" w:cs="Times New Roman"/>
          <w:b/>
          <w:bCs/>
          <w:noProof/>
          <w:color w:val="auto"/>
          <w:sz w:val="24"/>
          <w:szCs w:val="24"/>
          <w:u w:val="none"/>
        </w:rPr>
        <w:t xml:space="preserve">nacional </w:t>
      </w:r>
      <w:r w:rsidR="00597B52" w:rsidRPr="00921E1E">
        <w:rPr>
          <w:rStyle w:val="Hyperlink"/>
          <w:rFonts w:ascii="Times New Roman" w:hAnsi="Times New Roman" w:cs="Times New Roman"/>
          <w:b/>
          <w:bCs/>
          <w:noProof/>
          <w:color w:val="auto"/>
          <w:sz w:val="24"/>
          <w:szCs w:val="24"/>
          <w:u w:val="none"/>
        </w:rPr>
        <w:t>de personas detenidas</w:t>
      </w:r>
      <w:bookmarkEnd w:id="26"/>
      <w:r w:rsidR="00597B52" w:rsidRPr="00921E1E">
        <w:rPr>
          <w:rFonts w:ascii="Times New Roman" w:hAnsi="Times New Roman" w:cs="Times New Roman"/>
          <w:b/>
          <w:bCs/>
          <w:noProof/>
          <w:webHidden/>
          <w:sz w:val="24"/>
          <w:szCs w:val="24"/>
        </w:rPr>
        <w:tab/>
      </w:r>
    </w:p>
    <w:p w14:paraId="6E9C3691" w14:textId="0F7BCE37" w:rsidR="00E72821" w:rsidRPr="00A37FB2" w:rsidRDefault="00E72821" w:rsidP="004E2174">
      <w:pPr>
        <w:spacing w:after="120" w:line="240" w:lineRule="auto"/>
        <w:jc w:val="both"/>
        <w:rPr>
          <w:rFonts w:ascii="Times New Roman" w:hAnsi="Times New Roman" w:cs="Times New Roman"/>
          <w:color w:val="000000"/>
          <w:sz w:val="24"/>
          <w:szCs w:val="24"/>
          <w:lang w:eastAsia="es-AR"/>
        </w:rPr>
      </w:pPr>
      <w:r w:rsidRPr="00A37FB2">
        <w:rPr>
          <w:rFonts w:ascii="Times New Roman" w:hAnsi="Times New Roman" w:cs="Times New Roman"/>
          <w:color w:val="000000"/>
          <w:sz w:val="24"/>
          <w:szCs w:val="24"/>
          <w:lang w:eastAsia="es-AR"/>
        </w:rPr>
        <w:t xml:space="preserve">El Estado argentino carece de información confiable de las personas privadas de libertad en el conjunto del país. El Poder judicial no ha creado nunca un registro de las personas detenidas por orden de juzgados y tribunales de la justicia federal, nacional </w:t>
      </w:r>
      <w:r w:rsidR="00A37FB2">
        <w:rPr>
          <w:rFonts w:ascii="Times New Roman" w:hAnsi="Times New Roman" w:cs="Times New Roman"/>
          <w:color w:val="000000"/>
          <w:sz w:val="24"/>
          <w:szCs w:val="24"/>
          <w:lang w:eastAsia="es-AR"/>
        </w:rPr>
        <w:t>y</w:t>
      </w:r>
      <w:r w:rsidRPr="00A37FB2">
        <w:rPr>
          <w:rFonts w:ascii="Times New Roman" w:hAnsi="Times New Roman" w:cs="Times New Roman"/>
          <w:color w:val="000000"/>
          <w:sz w:val="24"/>
          <w:szCs w:val="24"/>
          <w:lang w:eastAsia="es-AR"/>
        </w:rPr>
        <w:t xml:space="preserve"> provincial, a pesar de que una Ley del año 1995</w:t>
      </w:r>
      <w:r w:rsidR="00A37FB2">
        <w:rPr>
          <w:rFonts w:ascii="Times New Roman" w:hAnsi="Times New Roman" w:cs="Times New Roman"/>
          <w:color w:val="000000"/>
          <w:sz w:val="24"/>
          <w:szCs w:val="24"/>
          <w:lang w:eastAsia="es-AR"/>
        </w:rPr>
        <w:t xml:space="preserve"> </w:t>
      </w:r>
      <w:r w:rsidRPr="00A37FB2">
        <w:rPr>
          <w:rFonts w:ascii="Times New Roman" w:hAnsi="Times New Roman" w:cs="Times New Roman"/>
          <w:color w:val="000000"/>
          <w:sz w:val="24"/>
          <w:szCs w:val="24"/>
          <w:lang w:eastAsia="es-AR"/>
        </w:rPr>
        <w:t xml:space="preserve">había dispuesto </w:t>
      </w:r>
      <w:r w:rsidR="00A37FB2">
        <w:rPr>
          <w:rFonts w:ascii="Times New Roman" w:hAnsi="Times New Roman" w:cs="Times New Roman"/>
          <w:color w:val="000000"/>
          <w:sz w:val="24"/>
          <w:szCs w:val="24"/>
          <w:lang w:eastAsia="es-AR"/>
        </w:rPr>
        <w:t>su</w:t>
      </w:r>
      <w:r w:rsidRPr="00A37FB2">
        <w:rPr>
          <w:rFonts w:ascii="Times New Roman" w:hAnsi="Times New Roman" w:cs="Times New Roman"/>
          <w:color w:val="000000"/>
          <w:sz w:val="24"/>
          <w:szCs w:val="24"/>
          <w:lang w:eastAsia="es-AR"/>
        </w:rPr>
        <w:t xml:space="preserve"> creación bajo la jurisdicción de la Corte Suprema de Justicia de la Nación</w:t>
      </w:r>
      <w:r w:rsidR="00A37FB2" w:rsidRPr="00A37FB2">
        <w:rPr>
          <w:rStyle w:val="FootnoteReference"/>
          <w:rFonts w:ascii="Times New Roman" w:hAnsi="Times New Roman" w:cs="Times New Roman"/>
          <w:color w:val="000000"/>
          <w:sz w:val="24"/>
          <w:szCs w:val="24"/>
          <w:lang w:eastAsia="es-AR"/>
        </w:rPr>
        <w:footnoteReference w:id="47"/>
      </w:r>
      <w:r w:rsidRPr="00A37FB2">
        <w:rPr>
          <w:rFonts w:ascii="Times New Roman" w:hAnsi="Times New Roman" w:cs="Times New Roman"/>
          <w:color w:val="000000"/>
          <w:sz w:val="24"/>
          <w:szCs w:val="24"/>
          <w:lang w:eastAsia="es-AR"/>
        </w:rPr>
        <w:t>.</w:t>
      </w:r>
    </w:p>
    <w:p w14:paraId="59DFBF83" w14:textId="77777777" w:rsidR="00E72821" w:rsidRPr="00A37FB2" w:rsidRDefault="00E72821" w:rsidP="004E2174">
      <w:pPr>
        <w:spacing w:after="120" w:line="240" w:lineRule="auto"/>
        <w:jc w:val="both"/>
        <w:rPr>
          <w:rFonts w:ascii="Times New Roman" w:hAnsi="Times New Roman" w:cs="Times New Roman"/>
          <w:color w:val="000000"/>
          <w:sz w:val="24"/>
          <w:szCs w:val="24"/>
          <w:lang w:eastAsia="es-AR"/>
        </w:rPr>
      </w:pPr>
      <w:r w:rsidRPr="00A37FB2">
        <w:rPr>
          <w:rFonts w:ascii="Times New Roman" w:hAnsi="Times New Roman" w:cs="Times New Roman"/>
          <w:color w:val="000000"/>
          <w:sz w:val="24"/>
          <w:szCs w:val="24"/>
          <w:lang w:eastAsia="es-AR"/>
        </w:rPr>
        <w:t xml:space="preserve">El Poder ejecutivo tampoco dispone de un registro único, actualizado y completo con información de todas las personas sometidas a una medida preventiva o punitiva de privación de libertad. </w:t>
      </w:r>
    </w:p>
    <w:p w14:paraId="12AFCD3F" w14:textId="67A20D28" w:rsidR="00186157" w:rsidRDefault="00E72821" w:rsidP="004E2174">
      <w:pPr>
        <w:spacing w:after="120" w:line="240" w:lineRule="auto"/>
        <w:jc w:val="both"/>
        <w:rPr>
          <w:rFonts w:ascii="Times New Roman" w:hAnsi="Times New Roman" w:cs="Times New Roman"/>
          <w:color w:val="000000"/>
          <w:sz w:val="24"/>
          <w:szCs w:val="24"/>
          <w:lang w:eastAsia="es-AR"/>
        </w:rPr>
      </w:pPr>
      <w:r w:rsidRPr="00A37FB2">
        <w:rPr>
          <w:rFonts w:ascii="Times New Roman" w:hAnsi="Times New Roman" w:cs="Times New Roman"/>
          <w:color w:val="000000"/>
          <w:sz w:val="24"/>
          <w:szCs w:val="24"/>
          <w:lang w:eastAsia="es-AR"/>
        </w:rPr>
        <w:t>La única información disponible a nivel nacional es la producida por el S</w:t>
      </w:r>
      <w:r w:rsidR="00A37FB2" w:rsidRPr="00A37FB2">
        <w:rPr>
          <w:rFonts w:ascii="Times New Roman" w:hAnsi="Times New Roman" w:cs="Times New Roman"/>
          <w:color w:val="000000"/>
          <w:sz w:val="24"/>
          <w:szCs w:val="24"/>
          <w:lang w:eastAsia="es-AR"/>
        </w:rPr>
        <w:t xml:space="preserve">istema </w:t>
      </w:r>
      <w:r w:rsidRPr="00A37FB2">
        <w:rPr>
          <w:rFonts w:ascii="Times New Roman" w:hAnsi="Times New Roman" w:cs="Times New Roman"/>
          <w:color w:val="000000"/>
          <w:sz w:val="24"/>
          <w:szCs w:val="24"/>
          <w:lang w:eastAsia="es-AR"/>
        </w:rPr>
        <w:t>N</w:t>
      </w:r>
      <w:r w:rsidR="00A37FB2" w:rsidRPr="00A37FB2">
        <w:rPr>
          <w:rFonts w:ascii="Times New Roman" w:hAnsi="Times New Roman" w:cs="Times New Roman"/>
          <w:color w:val="000000"/>
          <w:sz w:val="24"/>
          <w:szCs w:val="24"/>
          <w:lang w:eastAsia="es-AR"/>
        </w:rPr>
        <w:t xml:space="preserve">acional de Estadísticas de </w:t>
      </w:r>
      <w:r w:rsidRPr="00A37FB2">
        <w:rPr>
          <w:rFonts w:ascii="Times New Roman" w:hAnsi="Times New Roman" w:cs="Times New Roman"/>
          <w:color w:val="000000"/>
          <w:sz w:val="24"/>
          <w:szCs w:val="24"/>
          <w:lang w:eastAsia="es-AR"/>
        </w:rPr>
        <w:t>E</w:t>
      </w:r>
      <w:r w:rsidR="00A37FB2" w:rsidRPr="00A37FB2">
        <w:rPr>
          <w:rFonts w:ascii="Times New Roman" w:hAnsi="Times New Roman" w:cs="Times New Roman"/>
          <w:color w:val="000000"/>
          <w:sz w:val="24"/>
          <w:szCs w:val="24"/>
          <w:lang w:eastAsia="es-AR"/>
        </w:rPr>
        <w:t xml:space="preserve">jecución </w:t>
      </w:r>
      <w:r w:rsidRPr="00A37FB2">
        <w:rPr>
          <w:rFonts w:ascii="Times New Roman" w:hAnsi="Times New Roman" w:cs="Times New Roman"/>
          <w:color w:val="000000"/>
          <w:sz w:val="24"/>
          <w:szCs w:val="24"/>
          <w:lang w:eastAsia="es-AR"/>
        </w:rPr>
        <w:t>P</w:t>
      </w:r>
      <w:r w:rsidR="00A37FB2" w:rsidRPr="00A37FB2">
        <w:rPr>
          <w:rFonts w:ascii="Times New Roman" w:hAnsi="Times New Roman" w:cs="Times New Roman"/>
          <w:color w:val="000000"/>
          <w:sz w:val="24"/>
          <w:szCs w:val="24"/>
          <w:lang w:eastAsia="es-AR"/>
        </w:rPr>
        <w:t>enal, que</w:t>
      </w:r>
      <w:r w:rsidRPr="00A37FB2">
        <w:rPr>
          <w:rFonts w:ascii="Times New Roman" w:hAnsi="Times New Roman" w:cs="Times New Roman"/>
          <w:color w:val="000000"/>
          <w:sz w:val="24"/>
          <w:szCs w:val="24"/>
          <w:lang w:eastAsia="es-AR"/>
        </w:rPr>
        <w:t xml:space="preserve"> consiste en un censo elaborado en base a legajos penitenciarios sobre las personas detenidas en cárceles a 31 de diciembre de cada año, el cual se publica con un año de demora. </w:t>
      </w:r>
      <w:r w:rsidR="005D53BC">
        <w:rPr>
          <w:rFonts w:ascii="Times New Roman" w:hAnsi="Times New Roman" w:cs="Times New Roman"/>
          <w:color w:val="000000"/>
          <w:sz w:val="24"/>
          <w:szCs w:val="24"/>
          <w:lang w:eastAsia="es-AR"/>
        </w:rPr>
        <w:t>L</w:t>
      </w:r>
      <w:r w:rsidRPr="00A37FB2">
        <w:rPr>
          <w:rFonts w:ascii="Times New Roman" w:hAnsi="Times New Roman" w:cs="Times New Roman"/>
          <w:color w:val="000000"/>
          <w:sz w:val="24"/>
          <w:szCs w:val="24"/>
          <w:lang w:eastAsia="es-AR"/>
        </w:rPr>
        <w:t xml:space="preserve">as estadísticas resultantes </w:t>
      </w:r>
      <w:r w:rsidR="005D53BC">
        <w:rPr>
          <w:rFonts w:ascii="Times New Roman" w:hAnsi="Times New Roman" w:cs="Times New Roman"/>
          <w:color w:val="000000"/>
          <w:sz w:val="24"/>
          <w:szCs w:val="24"/>
          <w:lang w:eastAsia="es-AR"/>
        </w:rPr>
        <w:t>s</w:t>
      </w:r>
      <w:r w:rsidRPr="00A37FB2">
        <w:rPr>
          <w:rFonts w:ascii="Times New Roman" w:hAnsi="Times New Roman" w:cs="Times New Roman"/>
          <w:color w:val="000000"/>
          <w:sz w:val="24"/>
          <w:szCs w:val="24"/>
          <w:lang w:eastAsia="es-AR"/>
        </w:rPr>
        <w:t>istematiza</w:t>
      </w:r>
      <w:r w:rsidR="005D53BC">
        <w:rPr>
          <w:rFonts w:ascii="Times New Roman" w:hAnsi="Times New Roman" w:cs="Times New Roman"/>
          <w:color w:val="000000"/>
          <w:sz w:val="24"/>
          <w:szCs w:val="24"/>
          <w:lang w:eastAsia="es-AR"/>
        </w:rPr>
        <w:t>n</w:t>
      </w:r>
      <w:r w:rsidRPr="00A37FB2">
        <w:rPr>
          <w:rFonts w:ascii="Times New Roman" w:hAnsi="Times New Roman" w:cs="Times New Roman"/>
          <w:color w:val="000000"/>
          <w:sz w:val="24"/>
          <w:szCs w:val="24"/>
          <w:lang w:eastAsia="es-AR"/>
        </w:rPr>
        <w:t xml:space="preserve"> datos de cada Servicio Penitenciario Provincial y del Servicio Penitenciario Federal, </w:t>
      </w:r>
      <w:r w:rsidR="005D53BC">
        <w:rPr>
          <w:rFonts w:ascii="Times New Roman" w:hAnsi="Times New Roman" w:cs="Times New Roman"/>
          <w:color w:val="000000"/>
          <w:sz w:val="24"/>
          <w:szCs w:val="24"/>
          <w:lang w:eastAsia="es-AR"/>
        </w:rPr>
        <w:t>pero no de las personas detenidas en comisarías policiales o de otras fuerzas de seguridad. D</w:t>
      </w:r>
      <w:r w:rsidR="00186157">
        <w:rPr>
          <w:rFonts w:ascii="Times New Roman" w:hAnsi="Times New Roman" w:cs="Times New Roman"/>
          <w:color w:val="000000"/>
          <w:sz w:val="24"/>
          <w:szCs w:val="24"/>
          <w:lang w:eastAsia="es-AR"/>
        </w:rPr>
        <w:t>esde hace algunos años</w:t>
      </w:r>
      <w:r w:rsidR="00663410">
        <w:rPr>
          <w:rFonts w:ascii="Times New Roman" w:hAnsi="Times New Roman" w:cs="Times New Roman"/>
          <w:color w:val="000000"/>
          <w:sz w:val="24"/>
          <w:szCs w:val="24"/>
          <w:lang w:eastAsia="es-AR"/>
        </w:rPr>
        <w:t>,</w:t>
      </w:r>
      <w:r w:rsidR="00186157">
        <w:rPr>
          <w:rFonts w:ascii="Times New Roman" w:hAnsi="Times New Roman" w:cs="Times New Roman"/>
          <w:color w:val="000000"/>
          <w:sz w:val="24"/>
          <w:szCs w:val="24"/>
          <w:lang w:eastAsia="es-AR"/>
        </w:rPr>
        <w:t xml:space="preserve"> </w:t>
      </w:r>
      <w:r w:rsidR="005D53BC">
        <w:rPr>
          <w:rFonts w:ascii="Times New Roman" w:hAnsi="Times New Roman" w:cs="Times New Roman"/>
          <w:color w:val="000000"/>
          <w:sz w:val="24"/>
          <w:szCs w:val="24"/>
          <w:lang w:eastAsia="es-AR"/>
        </w:rPr>
        <w:t>el informe anual que elabora el Ministerio de Justicia</w:t>
      </w:r>
      <w:r w:rsidR="00C124D9" w:rsidRPr="00C124D9">
        <w:rPr>
          <w:rFonts w:ascii="Times New Roman" w:hAnsi="Times New Roman" w:cs="Times New Roman"/>
          <w:sz w:val="24"/>
          <w:szCs w:val="24"/>
          <w:lang w:eastAsia="es-AR"/>
        </w:rPr>
        <w:t xml:space="preserve"> </w:t>
      </w:r>
      <w:r w:rsidR="00C124D9" w:rsidRPr="00A37FB2">
        <w:rPr>
          <w:rFonts w:ascii="Times New Roman" w:hAnsi="Times New Roman" w:cs="Times New Roman"/>
          <w:sz w:val="24"/>
          <w:szCs w:val="24"/>
          <w:lang w:eastAsia="es-AR"/>
        </w:rPr>
        <w:t>y Derechos Humanos</w:t>
      </w:r>
      <w:r w:rsidR="005D53BC">
        <w:rPr>
          <w:rFonts w:ascii="Times New Roman" w:hAnsi="Times New Roman" w:cs="Times New Roman"/>
          <w:color w:val="000000"/>
          <w:sz w:val="24"/>
          <w:szCs w:val="24"/>
          <w:lang w:eastAsia="es-AR"/>
        </w:rPr>
        <w:t xml:space="preserve"> </w:t>
      </w:r>
      <w:r w:rsidR="00186157">
        <w:rPr>
          <w:rFonts w:ascii="Times New Roman" w:hAnsi="Times New Roman" w:cs="Times New Roman"/>
          <w:color w:val="000000"/>
          <w:sz w:val="24"/>
          <w:szCs w:val="24"/>
          <w:lang w:eastAsia="es-AR"/>
        </w:rPr>
        <w:t xml:space="preserve">incluye una página con datos </w:t>
      </w:r>
      <w:r w:rsidR="00663410">
        <w:rPr>
          <w:rFonts w:ascii="Times New Roman" w:hAnsi="Times New Roman" w:cs="Times New Roman"/>
          <w:color w:val="000000"/>
          <w:sz w:val="24"/>
          <w:szCs w:val="24"/>
          <w:lang w:eastAsia="es-AR"/>
        </w:rPr>
        <w:t xml:space="preserve">agregados </w:t>
      </w:r>
      <w:r w:rsidR="00186157">
        <w:rPr>
          <w:rFonts w:ascii="Times New Roman" w:hAnsi="Times New Roman" w:cs="Times New Roman"/>
          <w:color w:val="000000"/>
          <w:sz w:val="24"/>
          <w:szCs w:val="24"/>
          <w:lang w:eastAsia="es-AR"/>
        </w:rPr>
        <w:t>de u</w:t>
      </w:r>
      <w:r w:rsidR="00663410">
        <w:rPr>
          <w:rFonts w:ascii="Times New Roman" w:hAnsi="Times New Roman" w:cs="Times New Roman"/>
          <w:color w:val="000000"/>
          <w:sz w:val="24"/>
          <w:szCs w:val="24"/>
          <w:lang w:eastAsia="es-AR"/>
        </w:rPr>
        <w:t>n</w:t>
      </w:r>
      <w:r w:rsidR="00186157">
        <w:rPr>
          <w:rFonts w:ascii="Times New Roman" w:hAnsi="Times New Roman" w:cs="Times New Roman"/>
          <w:color w:val="000000"/>
          <w:sz w:val="24"/>
          <w:szCs w:val="24"/>
          <w:lang w:eastAsia="es-AR"/>
        </w:rPr>
        <w:t xml:space="preserve"> “relevamiento sobre personas detenidas en comisarías”. </w:t>
      </w:r>
      <w:r w:rsidR="005D53BC">
        <w:rPr>
          <w:rFonts w:ascii="Times New Roman" w:hAnsi="Times New Roman" w:cs="Times New Roman"/>
          <w:color w:val="000000"/>
          <w:sz w:val="24"/>
          <w:szCs w:val="24"/>
          <w:lang w:eastAsia="es-AR"/>
        </w:rPr>
        <w:t>El último informe s</w:t>
      </w:r>
      <w:r w:rsidR="00186157">
        <w:rPr>
          <w:rFonts w:ascii="Times New Roman" w:hAnsi="Times New Roman" w:cs="Times New Roman"/>
          <w:color w:val="000000"/>
          <w:sz w:val="24"/>
          <w:szCs w:val="24"/>
          <w:lang w:eastAsia="es-AR"/>
        </w:rPr>
        <w:t>eñala que a 31 de diciembre de 2024 había un total de 12.885 personas detenidas en comisarías</w:t>
      </w:r>
      <w:r w:rsidR="00663410">
        <w:rPr>
          <w:rFonts w:ascii="Times New Roman" w:hAnsi="Times New Roman" w:cs="Times New Roman"/>
          <w:color w:val="000000"/>
          <w:sz w:val="24"/>
          <w:szCs w:val="24"/>
          <w:lang w:eastAsia="es-AR"/>
        </w:rPr>
        <w:t xml:space="preserve"> de la Argentina</w:t>
      </w:r>
      <w:r w:rsidR="00186157">
        <w:rPr>
          <w:rFonts w:ascii="Times New Roman" w:hAnsi="Times New Roman" w:cs="Times New Roman"/>
          <w:color w:val="000000"/>
          <w:sz w:val="24"/>
          <w:szCs w:val="24"/>
          <w:lang w:eastAsia="es-AR"/>
        </w:rPr>
        <w:t>, sin indicar en qué comisaría se encuentran, sino únicamente la provincia o jurisdicción</w:t>
      </w:r>
      <w:r w:rsidR="00663410" w:rsidRPr="00A37FB2">
        <w:rPr>
          <w:rStyle w:val="FootnoteReference"/>
          <w:rFonts w:ascii="Times New Roman" w:hAnsi="Times New Roman" w:cs="Times New Roman"/>
          <w:color w:val="000000"/>
          <w:sz w:val="24"/>
          <w:szCs w:val="24"/>
          <w:lang w:eastAsia="es-AR"/>
        </w:rPr>
        <w:footnoteReference w:id="48"/>
      </w:r>
      <w:r w:rsidR="00186157">
        <w:rPr>
          <w:rFonts w:ascii="Times New Roman" w:hAnsi="Times New Roman" w:cs="Times New Roman"/>
          <w:color w:val="000000"/>
          <w:sz w:val="24"/>
          <w:szCs w:val="24"/>
          <w:lang w:eastAsia="es-AR"/>
        </w:rPr>
        <w:t>.</w:t>
      </w:r>
    </w:p>
    <w:p w14:paraId="1D1A7E4B" w14:textId="047A4631" w:rsidR="005D53BC" w:rsidRPr="00A37FB2" w:rsidRDefault="00C124D9" w:rsidP="004E2174">
      <w:pPr>
        <w:spacing w:after="120" w:line="240" w:lineRule="auto"/>
        <w:jc w:val="both"/>
        <w:rPr>
          <w:rFonts w:ascii="Times New Roman" w:hAnsi="Times New Roman" w:cs="Times New Roman"/>
          <w:color w:val="000000"/>
          <w:sz w:val="24"/>
          <w:szCs w:val="24"/>
          <w:lang w:eastAsia="es-AR"/>
        </w:rPr>
      </w:pPr>
      <w:r>
        <w:rPr>
          <w:rFonts w:ascii="Times New Roman" w:hAnsi="Times New Roman" w:cs="Times New Roman"/>
          <w:color w:val="000000"/>
          <w:sz w:val="24"/>
          <w:szCs w:val="24"/>
          <w:lang w:eastAsia="es-AR"/>
        </w:rPr>
        <w:t xml:space="preserve">Las estadísticas de SNEEP aportan </w:t>
      </w:r>
      <w:r w:rsidR="005D53BC" w:rsidRPr="00A37FB2">
        <w:rPr>
          <w:rFonts w:ascii="Times New Roman" w:hAnsi="Times New Roman" w:cs="Times New Roman"/>
          <w:color w:val="000000"/>
          <w:sz w:val="24"/>
          <w:szCs w:val="24"/>
          <w:lang w:eastAsia="es-AR"/>
        </w:rPr>
        <w:t xml:space="preserve">información estática a una fecha determinada, de modo que no es un registro de personas detenidas a nivel nacional que pueda ser consultado en cualquier momento a los fines de conocer la situación procesal, judicial y penitenciaria de una persona en particular, </w:t>
      </w:r>
      <w:r>
        <w:rPr>
          <w:rFonts w:ascii="Times New Roman" w:hAnsi="Times New Roman" w:cs="Times New Roman"/>
          <w:color w:val="000000"/>
          <w:sz w:val="24"/>
          <w:szCs w:val="24"/>
          <w:lang w:eastAsia="es-AR"/>
        </w:rPr>
        <w:t xml:space="preserve">o saber dónde se encuentra detenida, </w:t>
      </w:r>
      <w:r w:rsidR="005D53BC" w:rsidRPr="00A37FB2">
        <w:rPr>
          <w:rFonts w:ascii="Times New Roman" w:hAnsi="Times New Roman" w:cs="Times New Roman"/>
          <w:color w:val="000000"/>
          <w:sz w:val="24"/>
          <w:szCs w:val="24"/>
          <w:lang w:eastAsia="es-AR"/>
        </w:rPr>
        <w:t xml:space="preserve">ni tampoco </w:t>
      </w:r>
      <w:r>
        <w:rPr>
          <w:rFonts w:ascii="Times New Roman" w:hAnsi="Times New Roman" w:cs="Times New Roman"/>
          <w:color w:val="000000"/>
          <w:sz w:val="24"/>
          <w:szCs w:val="24"/>
          <w:lang w:eastAsia="es-AR"/>
        </w:rPr>
        <w:t xml:space="preserve">sirve </w:t>
      </w:r>
      <w:r w:rsidR="005D53BC" w:rsidRPr="00A37FB2">
        <w:rPr>
          <w:rFonts w:ascii="Times New Roman" w:hAnsi="Times New Roman" w:cs="Times New Roman"/>
          <w:color w:val="000000"/>
          <w:sz w:val="24"/>
          <w:szCs w:val="24"/>
          <w:lang w:eastAsia="es-AR"/>
        </w:rPr>
        <w:t>para obtener información estadística de la cantidad de personas detenidas en el país en un momento determinado.</w:t>
      </w:r>
    </w:p>
    <w:p w14:paraId="212D5A10" w14:textId="55C82C82" w:rsidR="00E72821" w:rsidRPr="00A37FB2" w:rsidRDefault="00C124D9" w:rsidP="00367B9D">
      <w:pPr>
        <w:pStyle w:val="NormalWeb"/>
        <w:spacing w:before="0" w:beforeAutospacing="0" w:after="120" w:line="240" w:lineRule="auto"/>
        <w:jc w:val="both"/>
      </w:pPr>
      <w:r>
        <w:t xml:space="preserve">Por consiguiente, la PPN considera </w:t>
      </w:r>
      <w:r w:rsidR="00E72821" w:rsidRPr="00A37FB2">
        <w:t>importan</w:t>
      </w:r>
      <w:r>
        <w:t>te que el CAT reitere al Estado argentino la recomendación de crear un Registro nacional único de personas privadas de libertad a disposición de la justicia federal, nacional y provincial</w:t>
      </w:r>
      <w:r w:rsidR="00E72821" w:rsidRPr="00A37FB2">
        <w:t xml:space="preserve">. </w:t>
      </w:r>
    </w:p>
    <w:p w14:paraId="319F959B" w14:textId="77777777" w:rsidR="00E72821" w:rsidRPr="00A37FB2" w:rsidRDefault="00E72821" w:rsidP="004E2174">
      <w:pPr>
        <w:spacing w:after="120" w:line="240" w:lineRule="auto"/>
        <w:rPr>
          <w:rFonts w:ascii="Times New Roman" w:hAnsi="Times New Roman" w:cs="Times New Roman"/>
          <w:noProof/>
          <w:color w:val="EE0000"/>
          <w:sz w:val="24"/>
          <w:szCs w:val="24"/>
          <w:lang w:val="es-ES"/>
        </w:rPr>
      </w:pPr>
    </w:p>
    <w:p w14:paraId="34C81B38" w14:textId="7DC10EF0" w:rsidR="00597B52" w:rsidRPr="00921E1E" w:rsidRDefault="00F038BC" w:rsidP="004E2174">
      <w:pPr>
        <w:pStyle w:val="Heading2"/>
        <w:spacing w:before="0" w:after="120" w:line="240" w:lineRule="auto"/>
        <w:rPr>
          <w:rFonts w:ascii="Times New Roman" w:hAnsi="Times New Roman" w:cs="Times New Roman"/>
          <w:b/>
          <w:bCs/>
          <w:noProof/>
          <w:sz w:val="24"/>
          <w:szCs w:val="24"/>
        </w:rPr>
      </w:pPr>
      <w:bookmarkStart w:id="27" w:name="_Toc210805584"/>
      <w:r w:rsidRPr="00921E1E">
        <w:rPr>
          <w:rStyle w:val="Hyperlink"/>
          <w:rFonts w:ascii="Times New Roman" w:hAnsi="Times New Roman" w:cs="Times New Roman"/>
          <w:b/>
          <w:bCs/>
          <w:noProof/>
          <w:color w:val="auto"/>
          <w:sz w:val="24"/>
          <w:szCs w:val="24"/>
          <w:u w:val="none"/>
        </w:rPr>
        <w:t>1</w:t>
      </w:r>
      <w:r w:rsidR="00560B22">
        <w:rPr>
          <w:rStyle w:val="Hyperlink"/>
          <w:rFonts w:ascii="Times New Roman" w:hAnsi="Times New Roman" w:cs="Times New Roman"/>
          <w:b/>
          <w:bCs/>
          <w:noProof/>
          <w:color w:val="auto"/>
          <w:sz w:val="24"/>
          <w:szCs w:val="24"/>
          <w:u w:val="none"/>
        </w:rPr>
        <w:t>1</w:t>
      </w:r>
      <w:r w:rsidR="00597B52" w:rsidRPr="00921E1E">
        <w:rPr>
          <w:rStyle w:val="Hyperlink"/>
          <w:rFonts w:ascii="Times New Roman" w:hAnsi="Times New Roman" w:cs="Times New Roman"/>
          <w:b/>
          <w:bCs/>
          <w:noProof/>
          <w:color w:val="auto"/>
          <w:sz w:val="24"/>
          <w:szCs w:val="24"/>
          <w:u w:val="none"/>
        </w:rPr>
        <w:t>.2. Ausencia de un registro nacional de casos judiciales de tortura</w:t>
      </w:r>
      <w:bookmarkEnd w:id="27"/>
      <w:r w:rsidR="00597B52" w:rsidRPr="00921E1E">
        <w:rPr>
          <w:rFonts w:ascii="Times New Roman" w:hAnsi="Times New Roman" w:cs="Times New Roman"/>
          <w:b/>
          <w:bCs/>
          <w:noProof/>
          <w:webHidden/>
          <w:sz w:val="24"/>
          <w:szCs w:val="24"/>
        </w:rPr>
        <w:tab/>
      </w:r>
    </w:p>
    <w:p w14:paraId="49D55FC2" w14:textId="7E735D06" w:rsidR="001B692E" w:rsidRPr="00C74C27" w:rsidRDefault="00F8489C" w:rsidP="004E2174">
      <w:pPr>
        <w:spacing w:after="120" w:line="240" w:lineRule="auto"/>
        <w:jc w:val="both"/>
        <w:rPr>
          <w:rFonts w:ascii="Times New Roman" w:hAnsi="Times New Roman" w:cs="Times New Roman"/>
          <w:sz w:val="24"/>
          <w:szCs w:val="24"/>
        </w:rPr>
      </w:pPr>
      <w:r w:rsidRPr="00C74C27">
        <w:rPr>
          <w:rFonts w:ascii="Times New Roman" w:hAnsi="Times New Roman" w:cs="Times New Roman"/>
          <w:sz w:val="24"/>
          <w:szCs w:val="24"/>
          <w:lang w:val="es-ES"/>
        </w:rPr>
        <w:t xml:space="preserve">La Argentina sigue sin haber creado </w:t>
      </w:r>
      <w:r w:rsidRPr="00C74C27">
        <w:rPr>
          <w:rFonts w:ascii="Times New Roman" w:hAnsi="Times New Roman" w:cs="Times New Roman"/>
          <w:iCs/>
          <w:sz w:val="24"/>
          <w:szCs w:val="24"/>
        </w:rPr>
        <w:t xml:space="preserve">un registro nacional que recopile información de los tribunales nacionales sobre los casos de tortura y malos tratos ocurridos en el país, como le viene recomendando este ilustre Comité desde sus Observaciones </w:t>
      </w:r>
      <w:r w:rsidRPr="00C74C27">
        <w:rPr>
          <w:rFonts w:ascii="Times New Roman" w:hAnsi="Times New Roman" w:cs="Times New Roman"/>
          <w:bCs/>
          <w:sz w:val="24"/>
          <w:szCs w:val="24"/>
        </w:rPr>
        <w:t xml:space="preserve">tras el examen del tercer informe periódico de la Argentina en </w:t>
      </w:r>
      <w:r w:rsidRPr="00C74C27">
        <w:rPr>
          <w:rFonts w:ascii="Times New Roman" w:hAnsi="Times New Roman" w:cs="Times New Roman"/>
          <w:iCs/>
          <w:sz w:val="24"/>
          <w:szCs w:val="24"/>
        </w:rPr>
        <w:t xml:space="preserve">el año 1997. </w:t>
      </w:r>
      <w:r w:rsidRPr="00C74C27">
        <w:rPr>
          <w:rFonts w:ascii="Times New Roman" w:hAnsi="Times New Roman" w:cs="Times New Roman"/>
          <w:sz w:val="24"/>
          <w:szCs w:val="24"/>
        </w:rPr>
        <w:t>La falta de cumplimiento de esta recomendación</w:t>
      </w:r>
      <w:r w:rsidR="00C74C27" w:rsidRPr="00C74C27">
        <w:rPr>
          <w:rFonts w:ascii="Times New Roman" w:hAnsi="Times New Roman" w:cs="Times New Roman"/>
          <w:sz w:val="24"/>
          <w:szCs w:val="24"/>
        </w:rPr>
        <w:t xml:space="preserve"> constituye una deuda pendiente del Estado argentino en materia de lucha contra la tortura.</w:t>
      </w:r>
    </w:p>
    <w:p w14:paraId="06F4158B" w14:textId="4A0DA83C" w:rsidR="00C74C27" w:rsidRPr="00C74C27" w:rsidRDefault="00C74C27" w:rsidP="004E2174">
      <w:pPr>
        <w:spacing w:after="120" w:line="240" w:lineRule="auto"/>
        <w:jc w:val="both"/>
        <w:rPr>
          <w:rFonts w:ascii="Times New Roman" w:hAnsi="Times New Roman" w:cs="Times New Roman"/>
          <w:sz w:val="24"/>
          <w:szCs w:val="24"/>
        </w:rPr>
      </w:pPr>
      <w:r w:rsidRPr="00C74C27">
        <w:rPr>
          <w:rFonts w:ascii="Times New Roman" w:hAnsi="Times New Roman" w:cs="Times New Roman"/>
          <w:sz w:val="24"/>
          <w:szCs w:val="24"/>
        </w:rPr>
        <w:t xml:space="preserve">Como pequeña contribución, y limitada al ámbito de actuación de este organismo, podemos mencionar la creación del </w:t>
      </w:r>
      <w:r w:rsidRPr="00C74C27">
        <w:rPr>
          <w:rFonts w:ascii="Times New Roman" w:hAnsi="Times New Roman" w:cs="Times New Roman"/>
          <w:i/>
          <w:sz w:val="24"/>
          <w:szCs w:val="24"/>
        </w:rPr>
        <w:t xml:space="preserve">Registro de casos judiciales de tortura de la PPN </w:t>
      </w:r>
      <w:r w:rsidRPr="00C74C27">
        <w:rPr>
          <w:rStyle w:val="FootnoteReference"/>
          <w:rFonts w:ascii="Times New Roman" w:hAnsi="Times New Roman" w:cs="Times New Roman"/>
          <w:sz w:val="24"/>
          <w:szCs w:val="24"/>
        </w:rPr>
        <w:footnoteReference w:id="49"/>
      </w:r>
      <w:r w:rsidRPr="00C74C27">
        <w:rPr>
          <w:rFonts w:ascii="Times New Roman" w:hAnsi="Times New Roman" w:cs="Times New Roman"/>
          <w:sz w:val="24"/>
          <w:szCs w:val="24"/>
        </w:rPr>
        <w:t>, que pretende recolectar información acerca de la actuación judicial en la investigación de casos de tortura y malos tratos denunciados por la PPN. Debido a la ausencia de estadísticas y bases de datos del Poder Judicial, la Procuración Penitenciaria debe proceder a tomar vista de cada una las causas, efectuando una lectura íntegra de las actuaciones.</w:t>
      </w:r>
    </w:p>
    <w:p w14:paraId="18D33207" w14:textId="77777777" w:rsidR="00C74C27" w:rsidRPr="00C74C27" w:rsidRDefault="00C74C27" w:rsidP="004E2174">
      <w:pPr>
        <w:spacing w:after="120" w:line="240" w:lineRule="auto"/>
        <w:jc w:val="both"/>
        <w:rPr>
          <w:rFonts w:ascii="Times New Roman" w:hAnsi="Times New Roman" w:cs="Times New Roman"/>
          <w:bCs/>
          <w:sz w:val="24"/>
          <w:szCs w:val="24"/>
        </w:rPr>
      </w:pPr>
      <w:r w:rsidRPr="00C74C27">
        <w:rPr>
          <w:rFonts w:ascii="Times New Roman" w:hAnsi="Times New Roman" w:cs="Times New Roman"/>
          <w:sz w:val="24"/>
          <w:szCs w:val="24"/>
        </w:rPr>
        <w:t>Los intentos de construir un registro de causas judiciales de tortura por parte de esta Procuración Penitenciaria para monitorear la respuesta judicial ante denuncias de tortura han dado resultados relevantes. Pero también reconocemos los límites y obstáculos de llevar a cabo un tal registro desde un organismo de control, sin contar con información sistemática y completa que necesariamente debe suministrar la administración de justicia. Es decir, entendemos que el registro nacional de casos judicializados de tortura y malos tratos que adeuda la Argentina en virtud de las recomendaciones de este Ilustre Comité, debe ser creado a partir de la puesta a disposición de la información por parte del Poder Judicial y debe tener alcance nacional, abarcando todos los casos de tortura y malos tratos denunciados ante los tribunales nacionales.</w:t>
      </w:r>
    </w:p>
    <w:p w14:paraId="4CB00030" w14:textId="77777777" w:rsidR="00F8489C" w:rsidRDefault="00F8489C" w:rsidP="004E2174">
      <w:pPr>
        <w:spacing w:after="120" w:line="240" w:lineRule="auto"/>
        <w:rPr>
          <w:rFonts w:ascii="Times New Roman" w:hAnsi="Times New Roman" w:cs="Times New Roman"/>
          <w:sz w:val="24"/>
          <w:szCs w:val="24"/>
          <w:lang w:val="es-ES"/>
        </w:rPr>
      </w:pPr>
    </w:p>
    <w:p w14:paraId="638A0FF5" w14:textId="0D18E095" w:rsidR="003B11DA" w:rsidRPr="001D281C" w:rsidRDefault="003B11DA" w:rsidP="004E2174">
      <w:pPr>
        <w:pStyle w:val="Heading2"/>
        <w:spacing w:before="0" w:after="120" w:line="240" w:lineRule="auto"/>
        <w:rPr>
          <w:rStyle w:val="Hyperlink"/>
          <w:bCs/>
          <w:noProof/>
          <w:color w:val="auto"/>
          <w:u w:val="none"/>
        </w:rPr>
      </w:pPr>
      <w:bookmarkStart w:id="28" w:name="_Toc210805585"/>
      <w:r w:rsidRPr="001D281C">
        <w:rPr>
          <w:rStyle w:val="Hyperlink"/>
          <w:rFonts w:ascii="Times New Roman" w:hAnsi="Times New Roman" w:cs="Times New Roman"/>
          <w:b/>
          <w:bCs/>
          <w:noProof/>
          <w:color w:val="auto"/>
          <w:sz w:val="24"/>
          <w:szCs w:val="24"/>
          <w:u w:val="none"/>
        </w:rPr>
        <w:t>11.3</w:t>
      </w:r>
      <w:r w:rsidR="001D281C">
        <w:rPr>
          <w:rStyle w:val="Hyperlink"/>
          <w:rFonts w:ascii="Times New Roman" w:hAnsi="Times New Roman" w:cs="Times New Roman"/>
          <w:b/>
          <w:bCs/>
          <w:noProof/>
          <w:color w:val="auto"/>
          <w:sz w:val="24"/>
          <w:szCs w:val="24"/>
          <w:u w:val="none"/>
        </w:rPr>
        <w:t>.</w:t>
      </w:r>
      <w:r w:rsidRPr="001D281C">
        <w:rPr>
          <w:rStyle w:val="Hyperlink"/>
          <w:rFonts w:ascii="Times New Roman" w:hAnsi="Times New Roman" w:cs="Times New Roman"/>
          <w:b/>
          <w:bCs/>
          <w:noProof/>
          <w:color w:val="auto"/>
          <w:sz w:val="24"/>
          <w:szCs w:val="24"/>
          <w:u w:val="none"/>
        </w:rPr>
        <w:t xml:space="preserve"> Ausencia de registro nacional de casos de muertes bajo custodia</w:t>
      </w:r>
      <w:bookmarkEnd w:id="28"/>
    </w:p>
    <w:p w14:paraId="42931321" w14:textId="5C59AD3F" w:rsidR="003B11DA" w:rsidRPr="001D281C" w:rsidRDefault="003B11DA" w:rsidP="004E2174">
      <w:pPr>
        <w:spacing w:after="120" w:line="240" w:lineRule="auto"/>
        <w:jc w:val="both"/>
        <w:rPr>
          <w:rFonts w:ascii="Times New Roman" w:hAnsi="Times New Roman" w:cs="Times New Roman"/>
          <w:sz w:val="24"/>
          <w:szCs w:val="24"/>
          <w:lang w:val="es-ES"/>
        </w:rPr>
      </w:pPr>
      <w:r w:rsidRPr="001D281C">
        <w:rPr>
          <w:rFonts w:ascii="Times New Roman" w:hAnsi="Times New Roman" w:cs="Times New Roman"/>
          <w:sz w:val="24"/>
          <w:szCs w:val="24"/>
          <w:lang w:val="es-ES"/>
        </w:rPr>
        <w:t xml:space="preserve">Otra de las falencias preocupantes es la falta de un registro de muertes bajo custodia a nivel nacional. Solo en algunos sistemas provinciales y </w:t>
      </w:r>
      <w:r w:rsidR="004F6E44">
        <w:rPr>
          <w:rFonts w:ascii="Times New Roman" w:hAnsi="Times New Roman" w:cs="Times New Roman"/>
          <w:sz w:val="24"/>
          <w:szCs w:val="24"/>
          <w:lang w:val="es-ES"/>
        </w:rPr>
        <w:t xml:space="preserve">en </w:t>
      </w:r>
      <w:r w:rsidRPr="001D281C">
        <w:rPr>
          <w:rFonts w:ascii="Times New Roman" w:hAnsi="Times New Roman" w:cs="Times New Roman"/>
          <w:sz w:val="24"/>
          <w:szCs w:val="24"/>
          <w:lang w:val="es-ES"/>
        </w:rPr>
        <w:t>el sistema federal, como consecuencia del trabajo de los organismos de control, se ha logrado revertir ese cuadro. Sin embargo, no existen registros fidedignos y públicos para todas las jurisdicciones ni mucho menos un registro que unifique las realidades de cada sistema penitenciario.</w:t>
      </w:r>
    </w:p>
    <w:p w14:paraId="1F51ACC3" w14:textId="0963DE12" w:rsidR="003B11DA" w:rsidRPr="001D281C" w:rsidRDefault="003B11DA" w:rsidP="004E2174">
      <w:pPr>
        <w:spacing w:after="120" w:line="240" w:lineRule="auto"/>
        <w:jc w:val="both"/>
        <w:rPr>
          <w:rFonts w:ascii="Times New Roman" w:hAnsi="Times New Roman" w:cs="Times New Roman"/>
          <w:sz w:val="24"/>
          <w:szCs w:val="24"/>
          <w:lang w:val="es-ES"/>
        </w:rPr>
      </w:pPr>
      <w:r w:rsidRPr="001D281C">
        <w:rPr>
          <w:rFonts w:ascii="Times New Roman" w:hAnsi="Times New Roman" w:cs="Times New Roman"/>
          <w:sz w:val="24"/>
          <w:szCs w:val="24"/>
          <w:lang w:val="es-ES"/>
        </w:rPr>
        <w:t xml:space="preserve">El intento más avanzado son los datos incluidos en el informe anual del Sistema Nacional de Estadísticas de Ejecución de la Pena, que desde el año 2014 ha intentado construir el dato de muertes bajo custodia. Sin embargo, continúa presentando tres desafíos cruciales. Su universo se recorta exclusivamente a muertes bajo custodia penitenciaria, sin contabilizar las muertes bajo custodia de otras instituciones. La información que aporta es limitada, pues solo permite contabilizar las muertes y discriminarlas según la causa de la muerte, la situación procesal y el género de la persona fallecida. Finalmente, y pese al esfuerzo de la Dirección Nacional de Política Criminal </w:t>
      </w:r>
      <w:r w:rsidR="004F6E44">
        <w:rPr>
          <w:rFonts w:ascii="Times New Roman" w:hAnsi="Times New Roman" w:cs="Times New Roman"/>
          <w:sz w:val="24"/>
          <w:szCs w:val="24"/>
          <w:lang w:val="es-ES"/>
        </w:rPr>
        <w:t xml:space="preserve">del Ministerio de Justicia y Derechos Humanos de la Nación </w:t>
      </w:r>
      <w:r w:rsidRPr="001D281C">
        <w:rPr>
          <w:rFonts w:ascii="Times New Roman" w:hAnsi="Times New Roman" w:cs="Times New Roman"/>
          <w:sz w:val="24"/>
          <w:szCs w:val="24"/>
          <w:lang w:val="es-ES"/>
        </w:rPr>
        <w:t>en la recopilación de la información, el registro es incompleto pues no todas las dependencias penitenciarias contestan su requerimiento.</w:t>
      </w:r>
      <w:r w:rsidRPr="001D281C">
        <w:rPr>
          <w:rStyle w:val="FootnoteReference"/>
          <w:rFonts w:ascii="Times New Roman" w:hAnsi="Times New Roman" w:cs="Times New Roman"/>
          <w:sz w:val="24"/>
          <w:szCs w:val="24"/>
          <w:lang w:val="es-ES"/>
        </w:rPr>
        <w:footnoteReference w:id="50"/>
      </w:r>
    </w:p>
    <w:p w14:paraId="1B5D6B2A" w14:textId="77777777" w:rsidR="003B11DA" w:rsidRPr="001D281C" w:rsidRDefault="003B11DA" w:rsidP="004E2174">
      <w:pPr>
        <w:spacing w:after="120" w:line="240" w:lineRule="auto"/>
        <w:jc w:val="both"/>
        <w:rPr>
          <w:rFonts w:ascii="Times New Roman" w:hAnsi="Times New Roman" w:cs="Times New Roman"/>
          <w:sz w:val="24"/>
          <w:szCs w:val="24"/>
          <w:lang w:val="es-ES"/>
        </w:rPr>
      </w:pPr>
      <w:r w:rsidRPr="001D281C">
        <w:rPr>
          <w:rFonts w:ascii="Times New Roman" w:hAnsi="Times New Roman" w:cs="Times New Roman"/>
          <w:sz w:val="24"/>
          <w:szCs w:val="24"/>
          <w:lang w:val="es-ES"/>
        </w:rPr>
        <w:t>Este organismo considera fundamental avanzar en la creación de un registro nacional de muertes bajo custodia que integre todas las instituciones con personas bajo su guarda, reuniendo la totalidad de los casos sin omisiones y garantizando sobre cada uno de ellos una mayor cantidad de información que la reunida actualmente.</w:t>
      </w:r>
    </w:p>
    <w:p w14:paraId="36B7C447" w14:textId="77777777" w:rsidR="00984544" w:rsidRPr="00984544" w:rsidRDefault="00984544" w:rsidP="004E2174">
      <w:pPr>
        <w:spacing w:after="120" w:line="240" w:lineRule="auto"/>
        <w:rPr>
          <w:rFonts w:ascii="Times New Roman" w:hAnsi="Times New Roman" w:cs="Times New Roman"/>
          <w:color w:val="EE0000"/>
          <w:sz w:val="24"/>
          <w:szCs w:val="24"/>
        </w:rPr>
      </w:pPr>
    </w:p>
    <w:sectPr w:rsidR="00984544" w:rsidRPr="00984544" w:rsidSect="004E2174">
      <w:footerReference w:type="default" r:id="rId21"/>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F7EA42" w14:textId="77777777" w:rsidR="005B174F" w:rsidRDefault="005B174F" w:rsidP="00762B0E">
      <w:pPr>
        <w:spacing w:after="0" w:line="240" w:lineRule="auto"/>
      </w:pPr>
      <w:r>
        <w:separator/>
      </w:r>
    </w:p>
  </w:endnote>
  <w:endnote w:type="continuationSeparator" w:id="0">
    <w:p w14:paraId="03ADE426" w14:textId="77777777" w:rsidR="005B174F" w:rsidRDefault="005B174F" w:rsidP="00762B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w:panose1 w:val="02020603050405020304"/>
    <w:charset w:val="00"/>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0375951"/>
      <w:docPartObj>
        <w:docPartGallery w:val="Page Numbers (Bottom of Page)"/>
        <w:docPartUnique/>
      </w:docPartObj>
    </w:sdtPr>
    <w:sdtEndPr/>
    <w:sdtContent>
      <w:p w14:paraId="301B0509" w14:textId="7F5A83F1" w:rsidR="0045422D" w:rsidRDefault="0045422D">
        <w:pPr>
          <w:pStyle w:val="Footer"/>
          <w:jc w:val="center"/>
        </w:pPr>
        <w:r>
          <w:fldChar w:fldCharType="begin"/>
        </w:r>
        <w:r>
          <w:instrText>PAGE   \* MERGEFORMAT</w:instrText>
        </w:r>
        <w:r>
          <w:fldChar w:fldCharType="separate"/>
        </w:r>
        <w:r w:rsidR="00DE2607" w:rsidRPr="00DE2607">
          <w:rPr>
            <w:noProof/>
            <w:lang w:val="es-ES"/>
          </w:rPr>
          <w:t>3</w:t>
        </w:r>
        <w:r>
          <w:fldChar w:fldCharType="end"/>
        </w:r>
      </w:p>
    </w:sdtContent>
  </w:sdt>
  <w:p w14:paraId="6AAB3B8B" w14:textId="77777777" w:rsidR="0045422D" w:rsidRDefault="004542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988E5F" w14:textId="77777777" w:rsidR="005B174F" w:rsidRDefault="005B174F" w:rsidP="00762B0E">
      <w:pPr>
        <w:spacing w:after="0" w:line="240" w:lineRule="auto"/>
      </w:pPr>
      <w:r>
        <w:separator/>
      </w:r>
    </w:p>
  </w:footnote>
  <w:footnote w:type="continuationSeparator" w:id="0">
    <w:p w14:paraId="574DB6C4" w14:textId="77777777" w:rsidR="005B174F" w:rsidRDefault="005B174F" w:rsidP="00762B0E">
      <w:pPr>
        <w:spacing w:after="0" w:line="240" w:lineRule="auto"/>
      </w:pPr>
      <w:r>
        <w:continuationSeparator/>
      </w:r>
    </w:p>
  </w:footnote>
  <w:footnote w:id="1">
    <w:p w14:paraId="25AF5DBD" w14:textId="23A5026C" w:rsidR="0045422D" w:rsidRPr="002D3B10" w:rsidRDefault="0045422D" w:rsidP="002D3B10">
      <w:pPr>
        <w:pStyle w:val="FootnoteText"/>
        <w:jc w:val="both"/>
        <w:rPr>
          <w:rFonts w:ascii="Times New Roman" w:hAnsi="Times New Roman" w:cs="Times New Roman"/>
        </w:rPr>
      </w:pPr>
      <w:r w:rsidRPr="002D3B10">
        <w:rPr>
          <w:rStyle w:val="FootnoteReference"/>
          <w:rFonts w:ascii="Times New Roman" w:hAnsi="Times New Roman" w:cs="Times New Roman"/>
        </w:rPr>
        <w:footnoteRef/>
      </w:r>
      <w:r w:rsidRPr="002D3B10">
        <w:rPr>
          <w:rFonts w:ascii="Times New Roman" w:hAnsi="Times New Roman" w:cs="Times New Roman"/>
        </w:rPr>
        <w:t xml:space="preserve"> Disponible en </w:t>
      </w:r>
      <w:hyperlink r:id="rId1" w:history="1">
        <w:r w:rsidRPr="002D3B10">
          <w:rPr>
            <w:rStyle w:val="Hyperlink"/>
            <w:rFonts w:ascii="Times New Roman" w:hAnsi="Times New Roman" w:cs="Times New Roman"/>
          </w:rPr>
          <w:t>https://www.boletinoficial.gob.ar/detalleAviso/primera/328023/20250708</w:t>
        </w:r>
      </w:hyperlink>
    </w:p>
  </w:footnote>
  <w:footnote w:id="2">
    <w:p w14:paraId="6AC3D09D" w14:textId="602027E2" w:rsidR="0045422D" w:rsidRPr="002D3B10" w:rsidRDefault="0045422D" w:rsidP="002D3B10">
      <w:pPr>
        <w:pStyle w:val="FootnoteText"/>
        <w:jc w:val="both"/>
        <w:rPr>
          <w:rFonts w:ascii="Times New Roman" w:hAnsi="Times New Roman" w:cs="Times New Roman"/>
        </w:rPr>
      </w:pPr>
      <w:r w:rsidRPr="002D3B10">
        <w:rPr>
          <w:rStyle w:val="FootnoteReference"/>
          <w:rFonts w:ascii="Times New Roman" w:hAnsi="Times New Roman" w:cs="Times New Roman"/>
        </w:rPr>
        <w:footnoteRef/>
      </w:r>
      <w:r w:rsidRPr="002D3B10">
        <w:rPr>
          <w:rFonts w:ascii="Times New Roman" w:hAnsi="Times New Roman" w:cs="Times New Roman"/>
        </w:rPr>
        <w:t xml:space="preserve"> Síntesis semanal de 19-09-2025 elaborada por el Departamento de Estadística, Censo e Investigación Operativa del SPF.</w:t>
      </w:r>
    </w:p>
  </w:footnote>
  <w:footnote w:id="3">
    <w:p w14:paraId="0ADCAFA5" w14:textId="03A44F06" w:rsidR="0045422D" w:rsidRPr="002D3B10" w:rsidRDefault="0045422D" w:rsidP="002D3B10">
      <w:pPr>
        <w:pStyle w:val="FootnoteText"/>
        <w:jc w:val="both"/>
        <w:rPr>
          <w:rFonts w:ascii="Times New Roman" w:hAnsi="Times New Roman" w:cs="Times New Roman"/>
          <w:lang w:val="es-ES"/>
        </w:rPr>
      </w:pPr>
      <w:r w:rsidRPr="002D3B10">
        <w:rPr>
          <w:rStyle w:val="FootnoteReference"/>
          <w:rFonts w:ascii="Times New Roman" w:hAnsi="Times New Roman" w:cs="Times New Roman"/>
        </w:rPr>
        <w:footnoteRef/>
      </w:r>
      <w:r w:rsidRPr="002D3B10">
        <w:rPr>
          <w:rFonts w:ascii="Times New Roman" w:hAnsi="Times New Roman" w:cs="Times New Roman"/>
        </w:rPr>
        <w:t xml:space="preserve"> </w:t>
      </w:r>
      <w:r w:rsidRPr="002D3B10">
        <w:rPr>
          <w:rFonts w:ascii="Times New Roman" w:hAnsi="Times New Roman" w:cs="Times New Roman"/>
          <w:lang w:val="es-ES"/>
        </w:rPr>
        <w:t>Estadísticas de la Policía de la Ciudad de 31-08-2025.</w:t>
      </w:r>
    </w:p>
  </w:footnote>
  <w:footnote w:id="4">
    <w:p w14:paraId="7AB1E6E4" w14:textId="479438E1" w:rsidR="0045422D" w:rsidRPr="002D3B10" w:rsidRDefault="0045422D" w:rsidP="002D3B10">
      <w:pPr>
        <w:pStyle w:val="FootnoteText"/>
        <w:jc w:val="both"/>
        <w:rPr>
          <w:rFonts w:ascii="Times New Roman" w:hAnsi="Times New Roman" w:cs="Times New Roman"/>
        </w:rPr>
      </w:pPr>
      <w:r w:rsidRPr="002D3B10">
        <w:rPr>
          <w:rStyle w:val="FootnoteReference"/>
          <w:rFonts w:ascii="Times New Roman" w:hAnsi="Times New Roman" w:cs="Times New Roman"/>
        </w:rPr>
        <w:footnoteRef/>
      </w:r>
      <w:r w:rsidRPr="002D3B10">
        <w:rPr>
          <w:rFonts w:ascii="Times New Roman" w:hAnsi="Times New Roman" w:cs="Times New Roman"/>
        </w:rPr>
        <w:t xml:space="preserve"> Disponibles en </w:t>
      </w:r>
      <w:hyperlink r:id="rId2" w:history="1">
        <w:r w:rsidRPr="002D3B10">
          <w:rPr>
            <w:rStyle w:val="Hyperlink"/>
            <w:rFonts w:ascii="Times New Roman" w:hAnsi="Times New Roman" w:cs="Times New Roman"/>
          </w:rPr>
          <w:t>https://www.argentina.gob.ar/justicia/politicacriminal/estadisticas/sneep</w:t>
        </w:r>
      </w:hyperlink>
    </w:p>
  </w:footnote>
  <w:footnote w:id="5">
    <w:p w14:paraId="0D24CBA2" w14:textId="6A8241C3" w:rsidR="0045422D" w:rsidRPr="002D3B10" w:rsidRDefault="0045422D" w:rsidP="002D3B10">
      <w:pPr>
        <w:pStyle w:val="FootnoteText"/>
        <w:jc w:val="both"/>
        <w:rPr>
          <w:rFonts w:ascii="Times New Roman" w:hAnsi="Times New Roman" w:cs="Times New Roman"/>
        </w:rPr>
      </w:pPr>
      <w:r w:rsidRPr="002D3B10">
        <w:rPr>
          <w:rStyle w:val="FootnoteReference"/>
          <w:rFonts w:ascii="Times New Roman" w:hAnsi="Times New Roman" w:cs="Times New Roman"/>
        </w:rPr>
        <w:footnoteRef/>
      </w:r>
      <w:r w:rsidRPr="002D3B10">
        <w:rPr>
          <w:rFonts w:ascii="Times New Roman" w:hAnsi="Times New Roman" w:cs="Times New Roman"/>
        </w:rPr>
        <w:t xml:space="preserve">  Proyecto desarrollado por la PPN con el apoyo de un Fondo OPCAT, que involucró la realización de una auditoría de la infraestructura de todas las cárceles federales en el transcurso de un año, la elaboración de informes y emisión de recomendaciones. Puede ser consultado en </w:t>
      </w:r>
      <w:hyperlink r:id="rId3" w:history="1">
        <w:r w:rsidRPr="002D3B10">
          <w:rPr>
            <w:rStyle w:val="Hyperlink"/>
            <w:rFonts w:ascii="Times New Roman" w:hAnsi="Times New Roman" w:cs="Times New Roman"/>
          </w:rPr>
          <w:t>https://dpf.ppn.gov.ar/</w:t>
        </w:r>
      </w:hyperlink>
    </w:p>
  </w:footnote>
  <w:footnote w:id="6">
    <w:p w14:paraId="670F61FD" w14:textId="3145BB6B" w:rsidR="0045422D" w:rsidRPr="002D3B10" w:rsidRDefault="0045422D" w:rsidP="002D3B10">
      <w:pPr>
        <w:spacing w:after="0" w:line="240" w:lineRule="auto"/>
        <w:jc w:val="both"/>
        <w:rPr>
          <w:rFonts w:ascii="Times New Roman" w:hAnsi="Times New Roman" w:cs="Times New Roman"/>
          <w:sz w:val="20"/>
          <w:szCs w:val="20"/>
        </w:rPr>
      </w:pPr>
      <w:r w:rsidRPr="002D3B10">
        <w:rPr>
          <w:rStyle w:val="FootnoteReference"/>
          <w:rFonts w:ascii="Times New Roman" w:hAnsi="Times New Roman" w:cs="Times New Roman"/>
          <w:sz w:val="20"/>
          <w:szCs w:val="20"/>
        </w:rPr>
        <w:footnoteRef/>
      </w:r>
      <w:r w:rsidRPr="002D3B10">
        <w:rPr>
          <w:rFonts w:ascii="Times New Roman" w:hAnsi="Times New Roman" w:cs="Times New Roman"/>
          <w:sz w:val="20"/>
          <w:szCs w:val="20"/>
        </w:rPr>
        <w:t xml:space="preserve"> </w:t>
      </w:r>
      <w:r w:rsidRPr="002D3B10">
        <w:rPr>
          <w:rFonts w:ascii="Times New Roman" w:hAnsi="Times New Roman" w:cs="Times New Roman"/>
          <w:sz w:val="20"/>
          <w:szCs w:val="20"/>
          <w:lang w:val="es-MX"/>
        </w:rPr>
        <w:t xml:space="preserve">Recomendación 955/PPN/2023, de 5 de julio, para la adopción de un Protocolo de mantenimiento, higiene y seguridad en las cárceles federales, disponible en </w:t>
      </w:r>
      <w:hyperlink r:id="rId4" w:history="1">
        <w:r w:rsidRPr="002D3B10">
          <w:rPr>
            <w:rStyle w:val="Hyperlink"/>
            <w:rFonts w:ascii="Times New Roman" w:hAnsi="Times New Roman" w:cs="Times New Roman"/>
            <w:sz w:val="20"/>
            <w:szCs w:val="20"/>
            <w:lang w:val="es-MX"/>
          </w:rPr>
          <w:t>https://dpf.ppn.gov.ar/wp-content/uploads/2023/09/Recomendacion-DPF-Protocolo-de-mantenimiento-seguridad-e-higiene.pdf</w:t>
        </w:r>
      </w:hyperlink>
    </w:p>
  </w:footnote>
  <w:footnote w:id="7">
    <w:p w14:paraId="561836EA" w14:textId="757C5988" w:rsidR="0045422D" w:rsidRPr="002D3B10" w:rsidRDefault="0045422D" w:rsidP="002D3B10">
      <w:pPr>
        <w:pStyle w:val="FootnoteText"/>
        <w:jc w:val="both"/>
        <w:rPr>
          <w:rFonts w:ascii="Times New Roman" w:hAnsi="Times New Roman" w:cs="Times New Roman"/>
        </w:rPr>
      </w:pPr>
      <w:r w:rsidRPr="002D3B10">
        <w:rPr>
          <w:rStyle w:val="FootnoteReference"/>
          <w:rFonts w:ascii="Times New Roman" w:hAnsi="Times New Roman" w:cs="Times New Roman"/>
        </w:rPr>
        <w:footnoteRef/>
      </w:r>
      <w:r w:rsidRPr="002D3B10">
        <w:rPr>
          <w:rFonts w:ascii="Times New Roman" w:hAnsi="Times New Roman" w:cs="Times New Roman"/>
        </w:rPr>
        <w:t xml:space="preserve"> Resolución </w:t>
      </w:r>
      <w:r w:rsidRPr="002D3B10">
        <w:rPr>
          <w:rFonts w:ascii="Times New Roman" w:eastAsia="Times" w:hAnsi="Times New Roman" w:cs="Times New Roman"/>
          <w:highlight w:val="white"/>
        </w:rPr>
        <w:t>Ministerial 517</w:t>
      </w:r>
      <w:r w:rsidRPr="002D3B10">
        <w:rPr>
          <w:rFonts w:ascii="Times New Roman" w:eastAsia="Times" w:hAnsi="Times New Roman" w:cs="Times New Roman"/>
        </w:rPr>
        <w:t>-2021, publicada en el Boletín Público Normativo del SPF Nº 752, de 5 de julio de 2021.</w:t>
      </w:r>
    </w:p>
  </w:footnote>
  <w:footnote w:id="8">
    <w:p w14:paraId="2CA2873A" w14:textId="0C3F3EE3" w:rsidR="0045422D" w:rsidRPr="002D3B10" w:rsidRDefault="0045422D" w:rsidP="002D3B10">
      <w:pPr>
        <w:pStyle w:val="FootnoteText"/>
        <w:jc w:val="both"/>
        <w:rPr>
          <w:rFonts w:ascii="Times New Roman" w:hAnsi="Times New Roman" w:cs="Times New Roman"/>
        </w:rPr>
      </w:pPr>
      <w:r w:rsidRPr="002D3B10">
        <w:rPr>
          <w:rStyle w:val="FootnoteReference"/>
          <w:rFonts w:ascii="Times New Roman" w:hAnsi="Times New Roman" w:cs="Times New Roman"/>
        </w:rPr>
        <w:footnoteRef/>
      </w:r>
      <w:r w:rsidRPr="002D3B10">
        <w:rPr>
          <w:rFonts w:ascii="Times New Roman" w:hAnsi="Times New Roman" w:cs="Times New Roman"/>
        </w:rPr>
        <w:t xml:space="preserve"> Desde el año 2013 la PPN viene insistiendo en la necesidad de establecer criterios para la acreditación funcional de establecimientos penitenciarios y medidas de control de la sobrepoblación, y elaboró una propuesta legislativa que hasta el momento no ha tenido tratamiento penitenciario. Disponible en </w:t>
      </w:r>
      <w:hyperlink r:id="rId5" w:history="1">
        <w:r w:rsidRPr="002D3B10">
          <w:rPr>
            <w:rStyle w:val="Hyperlink"/>
            <w:rFonts w:ascii="Times New Roman" w:hAnsi="Times New Roman" w:cs="Times New Roman"/>
          </w:rPr>
          <w:t>https://ppn.gov.ar/index.php/documentos/proyectos-legislativos/1799-presentacion-del-proyecto-de-ley-para-la-acreditacion-funcional-de-establecimientos-para-la-privacion-de-la-libertad-y-control-de-la-superpoblacion</w:t>
        </w:r>
      </w:hyperlink>
    </w:p>
  </w:footnote>
  <w:footnote w:id="9">
    <w:p w14:paraId="15FD56E4" w14:textId="528CB0AC" w:rsidR="0045422D" w:rsidRPr="002D3B10" w:rsidRDefault="0045422D" w:rsidP="002D3B10">
      <w:pPr>
        <w:pStyle w:val="FootnoteText"/>
        <w:jc w:val="both"/>
        <w:rPr>
          <w:rFonts w:ascii="Times New Roman" w:hAnsi="Times New Roman" w:cs="Times New Roman"/>
        </w:rPr>
      </w:pPr>
      <w:r w:rsidRPr="002D3B10">
        <w:rPr>
          <w:rStyle w:val="FootnoteReference"/>
          <w:rFonts w:ascii="Times New Roman" w:hAnsi="Times New Roman" w:cs="Times New Roman"/>
        </w:rPr>
        <w:footnoteRef/>
      </w:r>
      <w:r w:rsidRPr="002D3B10">
        <w:rPr>
          <w:rFonts w:ascii="Times New Roman" w:hAnsi="Times New Roman" w:cs="Times New Roman"/>
        </w:rPr>
        <w:t xml:space="preserve"> El establecimiento de estándares sobre condiciones de detención en cárceles por parte de la Procuración Penitenciaria (disponibles en </w:t>
      </w:r>
      <w:hyperlink r:id="rId6" w:history="1">
        <w:r w:rsidRPr="002D3B10">
          <w:rPr>
            <w:rStyle w:val="Hyperlink"/>
            <w:rFonts w:ascii="Times New Roman" w:hAnsi="Times New Roman" w:cs="Times New Roman"/>
          </w:rPr>
          <w:t>https://ppn.gov.ar/pdf/publicaciones/ediciones-especiales/Estandares-condiciones-materiales.pdf</w:t>
        </w:r>
      </w:hyperlink>
      <w:r w:rsidRPr="002D3B10">
        <w:rPr>
          <w:rFonts w:ascii="Times New Roman" w:hAnsi="Times New Roman" w:cs="Times New Roman"/>
        </w:rPr>
        <w:t xml:space="preserve">) y por parte del Comité Nacional de Prevención de la Tortura (disponibles en </w:t>
      </w:r>
      <w:hyperlink r:id="rId7" w:history="1">
        <w:r w:rsidRPr="002D3B10">
          <w:rPr>
            <w:rStyle w:val="Hyperlink"/>
            <w:rFonts w:ascii="Times New Roman" w:hAnsi="Times New Roman" w:cs="Times New Roman"/>
          </w:rPr>
          <w:t>https://cnpt.gob.ar/2022/wp-content/uploads/2022/01/Estandares-1.pdf</w:t>
        </w:r>
      </w:hyperlink>
      <w:r w:rsidRPr="002D3B10">
        <w:rPr>
          <w:rFonts w:ascii="Times New Roman" w:hAnsi="Times New Roman" w:cs="Times New Roman"/>
        </w:rPr>
        <w:t>) es un avance que se vincula con el desarrollo del Sistema Nacional de Prevención de la Tortura en la Argentina.</w:t>
      </w:r>
    </w:p>
  </w:footnote>
  <w:footnote w:id="10">
    <w:p w14:paraId="5D47E185" w14:textId="77777777" w:rsidR="0045422D" w:rsidRPr="002D3B10" w:rsidRDefault="0045422D" w:rsidP="002D3B10">
      <w:pPr>
        <w:spacing w:after="0" w:line="240" w:lineRule="auto"/>
        <w:jc w:val="both"/>
        <w:rPr>
          <w:rFonts w:ascii="Times New Roman" w:eastAsia="Cambria" w:hAnsi="Times New Roman" w:cs="Times New Roman"/>
          <w:sz w:val="20"/>
          <w:szCs w:val="20"/>
        </w:rPr>
      </w:pPr>
      <w:r w:rsidRPr="002D3B10">
        <w:rPr>
          <w:rFonts w:ascii="Times New Roman" w:hAnsi="Times New Roman" w:cs="Times New Roman"/>
          <w:sz w:val="20"/>
          <w:szCs w:val="20"/>
          <w:vertAlign w:val="superscript"/>
        </w:rPr>
        <w:footnoteRef/>
      </w:r>
      <w:r w:rsidRPr="002D3B10">
        <w:rPr>
          <w:rFonts w:ascii="Times New Roman" w:eastAsia="Cambria" w:hAnsi="Times New Roman" w:cs="Times New Roman"/>
          <w:sz w:val="20"/>
          <w:szCs w:val="20"/>
        </w:rPr>
        <w:t xml:space="preserve"> En estos casos, la Resolución establece un mínimo de 3,25 m2 para las celdas individuales, y una superficie mínima por persona de 3,40 m2 para el alojamiento colectivo. Esto está muy por debajo de lo establecido para establecimientos habilitados luego del año 2000: 7.50m2 para celdas con baño, 7m2 para celdas sin baño y 5.40m2 por persona en pabellones colectivos. Los estándares de la PPN establecen 8m2 y 6m2, respectivamente. </w:t>
      </w:r>
    </w:p>
  </w:footnote>
  <w:footnote w:id="11">
    <w:p w14:paraId="1B680C23" w14:textId="26803592" w:rsidR="0045422D" w:rsidRPr="002D3B10" w:rsidRDefault="0045422D" w:rsidP="002D3B10">
      <w:pPr>
        <w:spacing w:after="0" w:line="240" w:lineRule="auto"/>
        <w:jc w:val="both"/>
        <w:rPr>
          <w:rFonts w:ascii="Times New Roman" w:eastAsia="Cambria" w:hAnsi="Times New Roman" w:cs="Times New Roman"/>
          <w:sz w:val="20"/>
          <w:szCs w:val="20"/>
        </w:rPr>
      </w:pPr>
      <w:r w:rsidRPr="002D3B10">
        <w:rPr>
          <w:rFonts w:ascii="Times New Roman" w:hAnsi="Times New Roman" w:cs="Times New Roman"/>
          <w:sz w:val="20"/>
          <w:szCs w:val="20"/>
          <w:vertAlign w:val="superscript"/>
        </w:rPr>
        <w:footnoteRef/>
      </w:r>
      <w:r w:rsidRPr="002D3B10">
        <w:rPr>
          <w:rFonts w:ascii="Times New Roman" w:eastAsia="Cambria" w:hAnsi="Times New Roman" w:cs="Times New Roman"/>
          <w:sz w:val="20"/>
          <w:szCs w:val="20"/>
        </w:rPr>
        <w:t xml:space="preserve"> El 19 de septiembre de 2025 el CPF de CABA alojaba a 1.531 detenidos, pese a que su capacidad declarada es de 1150 plazas. Por otro lado, la pericia oficial realizada en el marco de la causa 81259/2018, en trámite ante el Juzgado Federal n° 3 de Capital Federal, señaló que el establecimiento tendría un cupo máximo de 819 plazas.</w:t>
      </w:r>
    </w:p>
  </w:footnote>
  <w:footnote w:id="12">
    <w:p w14:paraId="7EB0232E" w14:textId="5488A4DF" w:rsidR="0045422D" w:rsidRPr="002D3B10" w:rsidRDefault="0045422D" w:rsidP="002D3B10">
      <w:pPr>
        <w:pStyle w:val="FootnoteText"/>
        <w:jc w:val="both"/>
        <w:rPr>
          <w:rFonts w:ascii="Times New Roman" w:hAnsi="Times New Roman" w:cs="Times New Roman"/>
        </w:rPr>
      </w:pPr>
      <w:r w:rsidRPr="002D3B10">
        <w:rPr>
          <w:rStyle w:val="FootnoteReference"/>
          <w:rFonts w:ascii="Times New Roman" w:hAnsi="Times New Roman" w:cs="Times New Roman"/>
        </w:rPr>
        <w:footnoteRef/>
      </w:r>
      <w:r w:rsidRPr="002D3B10">
        <w:rPr>
          <w:rFonts w:ascii="Times New Roman" w:hAnsi="Times New Roman" w:cs="Times New Roman"/>
        </w:rPr>
        <w:t xml:space="preserve"> Información extraída de la Base de Datos del SNEEP Argentina 2024, disponible en </w:t>
      </w:r>
      <w:hyperlink r:id="rId8" w:history="1">
        <w:r w:rsidRPr="002D3B10">
          <w:rPr>
            <w:rStyle w:val="Hyperlink"/>
            <w:rFonts w:ascii="Times New Roman" w:hAnsi="Times New Roman" w:cs="Times New Roman"/>
          </w:rPr>
          <w:t>https://www.argentina.gob.ar/justicia/politicacriminal/sneep-2024</w:t>
        </w:r>
      </w:hyperlink>
    </w:p>
  </w:footnote>
  <w:footnote w:id="13">
    <w:p w14:paraId="614328C4" w14:textId="3FAD7A1C" w:rsidR="0045422D" w:rsidRPr="002D3B10" w:rsidRDefault="0045422D" w:rsidP="002D3B10">
      <w:pPr>
        <w:pStyle w:val="FootnoteText"/>
        <w:jc w:val="both"/>
        <w:rPr>
          <w:rFonts w:ascii="Times New Roman" w:eastAsia="Times New Roman" w:hAnsi="Times New Roman" w:cs="Times New Roman"/>
        </w:rPr>
      </w:pPr>
      <w:r w:rsidRPr="002D3B10">
        <w:rPr>
          <w:rStyle w:val="FootnoteReference"/>
          <w:rFonts w:ascii="Times New Roman" w:hAnsi="Times New Roman" w:cs="Times New Roman"/>
        </w:rPr>
        <w:footnoteRef/>
      </w:r>
      <w:r w:rsidRPr="002D3B10">
        <w:rPr>
          <w:rFonts w:ascii="Times New Roman" w:hAnsi="Times New Roman" w:cs="Times New Roman"/>
        </w:rPr>
        <w:t xml:space="preserve"> </w:t>
      </w:r>
      <w:r w:rsidRPr="002D3B10">
        <w:rPr>
          <w:rFonts w:ascii="Times New Roman" w:eastAsia="Times New Roman" w:hAnsi="Times New Roman" w:cs="Times New Roman"/>
        </w:rPr>
        <w:t>En esta línea, desde el Organismo se llevaron a cabo acompañamientos a pedidos de arresto domiciliario de mujeres con hijos/as no solo hasta 5 años como prevé la ley, sino también en edades de 5 a 18 años, fundados en la situación de vulnerabilidad socioeconómica que presentaban las familias luego de la detención de la madre. Por otra parte, se han acompañado solicitudes en las cuales se incorporaron, además de la descripción de la situación sociofamiliar, factores vinculados a experiencias de violencia de género atravesadas por las mujeres detenidas. En esta línea, se acompañó una solicitud de arresto domiciliario de una mujer de nacionalidad paraguaya, fundada en su experiencia de violencia de género sufrida en su país de origen. La mujer se encontraba en Argentina a la espera de una solicitud de asilo al Estado argentino. Fue detenida y permaneció dos años alojada en el CPFIV hasta que fue resuelto su arresto domiciliario con dispositivo de vigilancia electrónico, fundado en su historial de violencia doméstica.</w:t>
      </w:r>
    </w:p>
    <w:p w14:paraId="687FC922" w14:textId="18A2DF60" w:rsidR="0045422D" w:rsidRPr="002D3B10" w:rsidRDefault="0045422D" w:rsidP="002D3B10">
      <w:pPr>
        <w:spacing w:after="0" w:line="240" w:lineRule="auto"/>
        <w:jc w:val="both"/>
        <w:rPr>
          <w:rFonts w:ascii="Times New Roman" w:eastAsia="Times New Roman" w:hAnsi="Times New Roman" w:cs="Times New Roman"/>
          <w:color w:val="1A1A1A"/>
          <w:sz w:val="20"/>
          <w:szCs w:val="20"/>
        </w:rPr>
      </w:pPr>
      <w:r w:rsidRPr="002D3B10">
        <w:rPr>
          <w:rFonts w:ascii="Times New Roman" w:eastAsia="Times New Roman" w:hAnsi="Times New Roman" w:cs="Times New Roman"/>
          <w:color w:val="1A1A1A"/>
          <w:sz w:val="20"/>
          <w:szCs w:val="20"/>
        </w:rPr>
        <w:t>En relación a la población LGBT+ también se efectuaron acompañamientos a solicitudes de arresto domiciliario. A modo de ejemplo, se acompañó una presentación realizada por la Defensa Pública de una joven trans detenida a cargo de la Justicia Federal de Misiones, que fue resuelto de manera favorable entendiendo que se encontraba en una situación de desprotección frente la intersección de vulnerabilidades que la atravesaban durante su detención. La solicitud promovida por el Defensor Público Oficial expresaba que su defendida, de 19 años, sufría sistemáticamente actos discriminatorios y violencia psicológica en virtud de su identidad de género. Asimismo, el argumento transversal del pedido fue la falta de un espacio de alojamiento adecuado para la joven.</w:t>
      </w:r>
    </w:p>
  </w:footnote>
  <w:footnote w:id="14">
    <w:p w14:paraId="54CF5049" w14:textId="0FD59924" w:rsidR="0045422D" w:rsidRPr="002D3B10" w:rsidRDefault="0045422D" w:rsidP="002D3B10">
      <w:pPr>
        <w:pStyle w:val="FootnoteText"/>
        <w:jc w:val="both"/>
        <w:rPr>
          <w:rFonts w:ascii="Times New Roman" w:hAnsi="Times New Roman" w:cs="Times New Roman"/>
          <w:lang w:val="es-ES"/>
        </w:rPr>
      </w:pPr>
      <w:r w:rsidRPr="002D3B10">
        <w:rPr>
          <w:rStyle w:val="FootnoteReference"/>
          <w:rFonts w:ascii="Times New Roman" w:hAnsi="Times New Roman" w:cs="Times New Roman"/>
        </w:rPr>
        <w:footnoteRef/>
      </w:r>
      <w:r w:rsidRPr="002D3B10">
        <w:rPr>
          <w:rFonts w:ascii="Times New Roman" w:hAnsi="Times New Roman" w:cs="Times New Roman"/>
        </w:rPr>
        <w:t xml:space="preserve"> Información extraída de la síntesis diaria del SPF al 24 de septiembre de 2025,</w:t>
      </w:r>
      <w:r w:rsidRPr="002D3B10">
        <w:rPr>
          <w:rFonts w:ascii="Times New Roman" w:hAnsi="Times New Roman" w:cs="Times New Roman"/>
          <w:lang w:val="es-ES"/>
        </w:rPr>
        <w:t xml:space="preserve"> </w:t>
      </w:r>
      <w:r w:rsidRPr="002D3B10">
        <w:rPr>
          <w:rFonts w:ascii="Times New Roman" w:hAnsi="Times New Roman" w:cs="Times New Roman"/>
        </w:rPr>
        <w:t xml:space="preserve">consultado en </w:t>
      </w:r>
      <w:hyperlink r:id="rId9" w:history="1">
        <w:r w:rsidRPr="002D3B10">
          <w:rPr>
            <w:rStyle w:val="Hyperlink"/>
            <w:rFonts w:ascii="Times New Roman" w:hAnsi="Times New Roman" w:cs="Times New Roman"/>
          </w:rPr>
          <w:t>https://reporteestadisticas.spf.gob.ar/</w:t>
        </w:r>
      </w:hyperlink>
    </w:p>
  </w:footnote>
  <w:footnote w:id="15">
    <w:p w14:paraId="7791E9B3" w14:textId="77777777" w:rsidR="0045422D" w:rsidRPr="002D3B10" w:rsidRDefault="0045422D" w:rsidP="002D3B10">
      <w:pPr>
        <w:spacing w:after="0" w:line="240" w:lineRule="auto"/>
        <w:jc w:val="both"/>
        <w:rPr>
          <w:rFonts w:ascii="Times New Roman" w:hAnsi="Times New Roman" w:cs="Times New Roman"/>
          <w:sz w:val="20"/>
          <w:szCs w:val="20"/>
        </w:rPr>
      </w:pPr>
      <w:r w:rsidRPr="002D3B10">
        <w:rPr>
          <w:rStyle w:val="FootnoteReference"/>
          <w:rFonts w:ascii="Times New Roman" w:hAnsi="Times New Roman" w:cs="Times New Roman"/>
          <w:sz w:val="20"/>
          <w:szCs w:val="20"/>
        </w:rPr>
        <w:footnoteRef/>
      </w:r>
      <w:r w:rsidRPr="002D3B10">
        <w:rPr>
          <w:rFonts w:ascii="Times New Roman" w:hAnsi="Times New Roman" w:cs="Times New Roman"/>
          <w:sz w:val="20"/>
          <w:szCs w:val="20"/>
        </w:rPr>
        <w:t xml:space="preserve"> En esta línea, la Procuración acompañó una solicitud de prisión domiciliaria en favor de una mujer joven detenida en una alcaldía de la Ciudad de Buenos Aires, quien se encontraba sosteniendo la lactancia de su bebé. La niña era trasladada por su abuela tres veces al día para ser amamantada, situación que evidenció el impacto de la detención en el ejercicio del derecho a la lactancia.</w:t>
      </w:r>
    </w:p>
    <w:p w14:paraId="33BF6EB7" w14:textId="77777777" w:rsidR="0045422D" w:rsidRPr="002D3B10" w:rsidRDefault="0045422D" w:rsidP="002D3B10">
      <w:pPr>
        <w:spacing w:after="0" w:line="240" w:lineRule="auto"/>
        <w:jc w:val="both"/>
        <w:rPr>
          <w:rFonts w:ascii="Times New Roman" w:hAnsi="Times New Roman" w:cs="Times New Roman"/>
          <w:sz w:val="20"/>
          <w:szCs w:val="20"/>
        </w:rPr>
      </w:pPr>
      <w:r w:rsidRPr="002D3B10">
        <w:rPr>
          <w:rFonts w:ascii="Times New Roman" w:hAnsi="Times New Roman" w:cs="Times New Roman"/>
          <w:sz w:val="20"/>
          <w:szCs w:val="20"/>
        </w:rPr>
        <w:t>Asimismo, se registró el caso de otra mujer detenida en una alcaldía que, a los pocos días de su detención, desarrolló un cuadro de mastitis debido a la imposibilidad de que su entorno familiar concurriera al destacamento policial con su hijo para ser amamantado. A ello se sumó la falta de asistencia adecuada por parte de profesionales de la salud, lo que agravó la situación de vulnerabilidad.</w:t>
      </w:r>
    </w:p>
    <w:p w14:paraId="63451877" w14:textId="1FA960E8" w:rsidR="0045422D" w:rsidRPr="002D3B10" w:rsidRDefault="0045422D" w:rsidP="002D3B10">
      <w:pPr>
        <w:spacing w:after="0" w:line="240" w:lineRule="auto"/>
        <w:jc w:val="both"/>
        <w:rPr>
          <w:rFonts w:ascii="Times New Roman" w:hAnsi="Times New Roman" w:cs="Times New Roman"/>
          <w:sz w:val="20"/>
          <w:szCs w:val="20"/>
        </w:rPr>
      </w:pPr>
      <w:r w:rsidRPr="002D3B10">
        <w:rPr>
          <w:rStyle w:val="cf01"/>
          <w:rFonts w:ascii="Times New Roman" w:hAnsi="Times New Roman" w:cs="Times New Roman"/>
          <w:sz w:val="20"/>
          <w:szCs w:val="20"/>
        </w:rPr>
        <w:t xml:space="preserve">La PPN elaboró varias recomendaciones respecto a la situación de personas privadas de libertad con hijos menores a cargo en el marco de la investigación </w:t>
      </w:r>
      <w:r w:rsidRPr="002D3B10">
        <w:rPr>
          <w:rStyle w:val="cf01"/>
          <w:rFonts w:ascii="Times New Roman" w:hAnsi="Times New Roman" w:cs="Times New Roman"/>
          <w:i/>
          <w:iCs/>
          <w:sz w:val="20"/>
          <w:szCs w:val="20"/>
        </w:rPr>
        <w:t>Mas allá de la prisión: paternidades, maternidades e infancias atravesadas por el encierro</w:t>
      </w:r>
      <w:r w:rsidRPr="002D3B10">
        <w:rPr>
          <w:rStyle w:val="cf01"/>
          <w:rFonts w:ascii="Times New Roman" w:hAnsi="Times New Roman" w:cs="Times New Roman"/>
          <w:sz w:val="20"/>
          <w:szCs w:val="20"/>
        </w:rPr>
        <w:t xml:space="preserve"> (2019), disponible en </w:t>
      </w:r>
      <w:hyperlink r:id="rId10" w:history="1">
        <w:r w:rsidRPr="002D3B10">
          <w:rPr>
            <w:rStyle w:val="Hyperlink"/>
            <w:rFonts w:ascii="Times New Roman" w:hAnsi="Times New Roman" w:cs="Times New Roman"/>
            <w:sz w:val="20"/>
            <w:szCs w:val="20"/>
          </w:rPr>
          <w:t>https://ppn.gov.ar/mas-alla-de-la-prision.pdf</w:t>
        </w:r>
      </w:hyperlink>
      <w:r w:rsidRPr="002D3B10">
        <w:rPr>
          <w:rStyle w:val="cf01"/>
          <w:rFonts w:ascii="Times New Roman" w:hAnsi="Times New Roman" w:cs="Times New Roman"/>
          <w:sz w:val="20"/>
          <w:szCs w:val="20"/>
        </w:rPr>
        <w:t>, pág 167 y ss.</w:t>
      </w:r>
    </w:p>
    <w:p w14:paraId="52073187" w14:textId="77777777" w:rsidR="0045422D" w:rsidRPr="002D3B10" w:rsidRDefault="0045422D" w:rsidP="002D3B10">
      <w:pPr>
        <w:spacing w:after="0" w:line="240" w:lineRule="auto"/>
        <w:jc w:val="both"/>
        <w:rPr>
          <w:rFonts w:ascii="Times New Roman" w:hAnsi="Times New Roman" w:cs="Times New Roman"/>
          <w:sz w:val="20"/>
          <w:szCs w:val="20"/>
        </w:rPr>
      </w:pPr>
    </w:p>
  </w:footnote>
  <w:footnote w:id="16">
    <w:p w14:paraId="5164A2B3" w14:textId="77777777" w:rsidR="0045422D" w:rsidRPr="002D3B10" w:rsidRDefault="0045422D" w:rsidP="002D3B10">
      <w:pPr>
        <w:pStyle w:val="FootnoteText"/>
        <w:jc w:val="both"/>
        <w:rPr>
          <w:rFonts w:ascii="Times New Roman" w:hAnsi="Times New Roman" w:cs="Times New Roman"/>
          <w:lang w:val="es-ES"/>
        </w:rPr>
      </w:pPr>
      <w:r w:rsidRPr="002D3B10">
        <w:rPr>
          <w:rStyle w:val="FootnoteReference"/>
          <w:rFonts w:ascii="Times New Roman" w:hAnsi="Times New Roman" w:cs="Times New Roman"/>
        </w:rPr>
        <w:footnoteRef/>
      </w:r>
      <w:r w:rsidRPr="002D3B10">
        <w:rPr>
          <w:rFonts w:ascii="Times New Roman" w:hAnsi="Times New Roman" w:cs="Times New Roman"/>
        </w:rPr>
        <w:t xml:space="preserve"> CAT/C/ARG/CO/5-6, párrs. 31 y 32. </w:t>
      </w:r>
    </w:p>
  </w:footnote>
  <w:footnote w:id="17">
    <w:p w14:paraId="1CC27DCE" w14:textId="77777777" w:rsidR="0045422D" w:rsidRPr="002D3B10" w:rsidRDefault="0045422D" w:rsidP="002D3B10">
      <w:pPr>
        <w:pStyle w:val="FootnoteText"/>
        <w:jc w:val="both"/>
        <w:rPr>
          <w:rFonts w:ascii="Times New Roman" w:hAnsi="Times New Roman" w:cs="Times New Roman"/>
          <w:lang w:val="es-ES"/>
        </w:rPr>
      </w:pPr>
      <w:r w:rsidRPr="002D3B10">
        <w:rPr>
          <w:rStyle w:val="FootnoteReference"/>
          <w:rFonts w:ascii="Times New Roman" w:hAnsi="Times New Roman" w:cs="Times New Roman"/>
        </w:rPr>
        <w:footnoteRef/>
      </w:r>
      <w:r w:rsidRPr="002D3B10">
        <w:rPr>
          <w:rFonts w:ascii="Times New Roman" w:hAnsi="Times New Roman" w:cs="Times New Roman"/>
        </w:rPr>
        <w:t xml:space="preserve"> Creado en 2007, mediante Resolución PPN Nº 89-07, con el propósito de recopilar información sobre la respuesta judicial a las denuncias de tortura y malos tratos perpetradas por funcionarios/as del sistema penitenciario, las fuerzas policiales y de seguridad, y los institutos del sistema penal juvenil de la CABA ante los tribunales nacionales y federales.</w:t>
      </w:r>
    </w:p>
  </w:footnote>
  <w:footnote w:id="18">
    <w:p w14:paraId="6C610AF8" w14:textId="77777777" w:rsidR="0045422D" w:rsidRPr="002D3B10" w:rsidRDefault="0045422D" w:rsidP="002D3B10">
      <w:pPr>
        <w:pStyle w:val="FootnoteText"/>
        <w:jc w:val="both"/>
        <w:rPr>
          <w:rFonts w:ascii="Times New Roman" w:hAnsi="Times New Roman" w:cs="Times New Roman"/>
          <w:lang w:val="es-ES"/>
        </w:rPr>
      </w:pPr>
      <w:r w:rsidRPr="002D3B10">
        <w:rPr>
          <w:rStyle w:val="FootnoteReference"/>
          <w:rFonts w:ascii="Times New Roman" w:hAnsi="Times New Roman" w:cs="Times New Roman"/>
        </w:rPr>
        <w:footnoteRef/>
      </w:r>
      <w:r w:rsidRPr="002D3B10">
        <w:rPr>
          <w:rFonts w:ascii="Times New Roman" w:hAnsi="Times New Roman" w:cs="Times New Roman"/>
        </w:rPr>
        <w:t xml:space="preserve"> Desde la pandemia del año 2020 se han generalizado las audiencias judiciales mediante videoconferencia, y conlleva que la persona privada de libertad preste su testimonio desde el lugar de detención sin que el juzgado o tribunal tenga control de si los agentes de las fuerzas de seguridad están escuchando la declaración y si la víctima está expuesta a una situación de grave intimidación.</w:t>
      </w:r>
    </w:p>
  </w:footnote>
  <w:footnote w:id="19">
    <w:p w14:paraId="61EEC2B4" w14:textId="77777777" w:rsidR="0045422D" w:rsidRPr="002D3B10" w:rsidRDefault="0045422D" w:rsidP="002D3B10">
      <w:pPr>
        <w:pStyle w:val="FootnoteText"/>
        <w:jc w:val="both"/>
        <w:rPr>
          <w:rFonts w:ascii="Times New Roman" w:hAnsi="Times New Roman" w:cs="Times New Roman"/>
          <w:lang w:val="es-ES"/>
        </w:rPr>
      </w:pPr>
      <w:r w:rsidRPr="002D3B10">
        <w:rPr>
          <w:rStyle w:val="FootnoteReference"/>
          <w:rFonts w:ascii="Times New Roman" w:hAnsi="Times New Roman" w:cs="Times New Roman"/>
        </w:rPr>
        <w:footnoteRef/>
      </w:r>
      <w:r w:rsidRPr="002D3B10">
        <w:rPr>
          <w:rFonts w:ascii="Times New Roman" w:hAnsi="Times New Roman" w:cs="Times New Roman"/>
        </w:rPr>
        <w:t xml:space="preserve"> CAT/C/ARG/CO/5-6, párr. 30, apdo. f. y CAT/C/ARG/QPR/7, párr. 21. </w:t>
      </w:r>
    </w:p>
  </w:footnote>
  <w:footnote w:id="20">
    <w:p w14:paraId="1FB061EA" w14:textId="77777777" w:rsidR="0045422D" w:rsidRPr="002D3B10" w:rsidRDefault="0045422D" w:rsidP="002D3B10">
      <w:pPr>
        <w:pStyle w:val="FootnoteText"/>
        <w:jc w:val="both"/>
        <w:rPr>
          <w:rFonts w:ascii="Times New Roman" w:hAnsi="Times New Roman" w:cs="Times New Roman"/>
          <w:lang w:val="es-ES"/>
        </w:rPr>
      </w:pPr>
      <w:r w:rsidRPr="002D3B10">
        <w:rPr>
          <w:rStyle w:val="FootnoteReference"/>
          <w:rFonts w:ascii="Times New Roman" w:hAnsi="Times New Roman" w:cs="Times New Roman"/>
        </w:rPr>
        <w:footnoteRef/>
      </w:r>
      <w:r w:rsidRPr="002D3B10">
        <w:rPr>
          <w:rFonts w:ascii="Times New Roman" w:hAnsi="Times New Roman" w:cs="Times New Roman"/>
        </w:rPr>
        <w:t xml:space="preserve"> Esta facultad de la PPN se encuentra prevista en el art. 18, inciso “d” de la Ley 25.875. La participación como parte querellante en un proceso penal implica constituirse como acusador autónomo, más allá de la intervención del Ministerio Público Fiscal, y en tanto tal, impulsar el proceso, aportar pruebas y recurrir decisiones jurisdiccionales (artículo 82 del Código Procesal Penal de la Nación). Se trata de una potestad que asiste a las víctimas de cualquier delito, como así también a asociaciones u organismos especializados en casos de crímenes de lesa humanidad o graves violaciones a los derechos humanos (arts. 82 y 82 bis CPPN) y a organismos públicos habilitados expresamente por ley, tal como es el caso de la PPN.</w:t>
      </w:r>
    </w:p>
  </w:footnote>
  <w:footnote w:id="21">
    <w:p w14:paraId="4CA8FE69" w14:textId="77777777" w:rsidR="0045422D" w:rsidRPr="002D3B10" w:rsidRDefault="0045422D" w:rsidP="002D3B10">
      <w:pPr>
        <w:pStyle w:val="FootnoteText"/>
        <w:jc w:val="both"/>
        <w:rPr>
          <w:rFonts w:ascii="Times New Roman" w:hAnsi="Times New Roman" w:cs="Times New Roman"/>
          <w:lang w:val="es-ES"/>
        </w:rPr>
      </w:pPr>
      <w:r w:rsidRPr="002D3B10">
        <w:rPr>
          <w:rStyle w:val="FootnoteReference"/>
          <w:rFonts w:ascii="Times New Roman" w:hAnsi="Times New Roman" w:cs="Times New Roman"/>
        </w:rPr>
        <w:footnoteRef/>
      </w:r>
      <w:r w:rsidRPr="002D3B10">
        <w:rPr>
          <w:rFonts w:ascii="Times New Roman" w:hAnsi="Times New Roman" w:cs="Times New Roman"/>
        </w:rPr>
        <w:t xml:space="preserve"> El auto de procesamiento, en el ordenamiento procesal penal federal, es una decisión jurisdiccional que implica el hallazgo de pruebas suficientes para afirmar la existencia de un hecho delictivo y la responsabilidad de una persona imputada respecto de ese hecho. De manera que el procesamiento indica la verificación de una causa probable para el cierre de la etapa de instrucción y para dar base a una acusación en etapa de juicio (artículo 306 CPPN).   </w:t>
      </w:r>
    </w:p>
  </w:footnote>
  <w:footnote w:id="22">
    <w:p w14:paraId="332DC260" w14:textId="77777777" w:rsidR="00D16CC6" w:rsidRPr="00DE2607" w:rsidRDefault="00D16CC6" w:rsidP="00D16CC6">
      <w:pPr>
        <w:pStyle w:val="FootnoteText"/>
        <w:jc w:val="both"/>
        <w:rPr>
          <w:rFonts w:ascii="Times New Roman" w:hAnsi="Times New Roman" w:cs="Times New Roman"/>
          <w:lang w:val="en-GB"/>
        </w:rPr>
      </w:pPr>
      <w:r w:rsidRPr="00DE2607">
        <w:rPr>
          <w:rStyle w:val="FootnoteReference"/>
          <w:rFonts w:ascii="Times New Roman" w:hAnsi="Times New Roman" w:cs="Times New Roman"/>
        </w:rPr>
        <w:footnoteRef/>
      </w:r>
      <w:r w:rsidRPr="00DE2607">
        <w:rPr>
          <w:rFonts w:ascii="Times New Roman" w:hAnsi="Times New Roman" w:cs="Times New Roman"/>
          <w:lang w:val="en-GB"/>
        </w:rPr>
        <w:t xml:space="preserve"> CAT/C/ARG/5-6, párr. 9.</w:t>
      </w:r>
    </w:p>
  </w:footnote>
  <w:footnote w:id="23">
    <w:p w14:paraId="7D86A806" w14:textId="77777777" w:rsidR="00D16CC6" w:rsidRPr="00DE2607" w:rsidRDefault="00D16CC6" w:rsidP="00D16CC6">
      <w:pPr>
        <w:pStyle w:val="FootnoteText"/>
        <w:jc w:val="both"/>
        <w:rPr>
          <w:rFonts w:ascii="Times New Roman" w:hAnsi="Times New Roman" w:cs="Times New Roman"/>
        </w:rPr>
      </w:pPr>
      <w:r w:rsidRPr="00DE2607">
        <w:rPr>
          <w:rStyle w:val="FootnoteReference"/>
          <w:rFonts w:ascii="Times New Roman" w:hAnsi="Times New Roman" w:cs="Times New Roman"/>
        </w:rPr>
        <w:footnoteRef/>
      </w:r>
      <w:r w:rsidRPr="00DE2607">
        <w:rPr>
          <w:rFonts w:ascii="Times New Roman" w:hAnsi="Times New Roman" w:cs="Times New Roman"/>
          <w:lang w:val="en-GB"/>
        </w:rPr>
        <w:t xml:space="preserve"> CAT/C/ARG/5-6, párr. </w:t>
      </w:r>
      <w:r w:rsidRPr="00DE2607">
        <w:rPr>
          <w:rFonts w:ascii="Times New Roman" w:hAnsi="Times New Roman" w:cs="Times New Roman"/>
        </w:rPr>
        <w:t>10</w:t>
      </w:r>
    </w:p>
  </w:footnote>
  <w:footnote w:id="24">
    <w:p w14:paraId="31E8F580" w14:textId="77777777" w:rsidR="00D16CC6" w:rsidRPr="00DE2607" w:rsidRDefault="00D16CC6" w:rsidP="00D16CC6">
      <w:pPr>
        <w:pStyle w:val="FootnoteText"/>
        <w:jc w:val="both"/>
        <w:rPr>
          <w:rFonts w:ascii="Times New Roman" w:hAnsi="Times New Roman" w:cs="Times New Roman"/>
          <w:lang w:val="es-ES"/>
        </w:rPr>
      </w:pPr>
      <w:r w:rsidRPr="00DE2607">
        <w:rPr>
          <w:rStyle w:val="FootnoteReference"/>
          <w:rFonts w:ascii="Times New Roman" w:hAnsi="Times New Roman" w:cs="Times New Roman"/>
        </w:rPr>
        <w:footnoteRef/>
      </w:r>
      <w:r w:rsidRPr="00DE2607">
        <w:rPr>
          <w:rFonts w:ascii="Times New Roman" w:hAnsi="Times New Roman" w:cs="Times New Roman"/>
        </w:rPr>
        <w:t xml:space="preserve"> </w:t>
      </w:r>
      <w:r w:rsidRPr="00DE2607">
        <w:rPr>
          <w:rFonts w:ascii="Times New Roman" w:hAnsi="Times New Roman" w:cs="Times New Roman"/>
          <w:lang w:val="es-ES"/>
        </w:rPr>
        <w:t>El delito de tortura prevé una pena de 8 a 25 años de prisión, mientras que los delitos de vejaciones, severidades y apremios ilegales contemplan una pena de 1 a 5 años de prisión.</w:t>
      </w:r>
    </w:p>
  </w:footnote>
  <w:footnote w:id="25">
    <w:p w14:paraId="511F0B23" w14:textId="77777777" w:rsidR="00D16CC6" w:rsidRPr="00DE2607" w:rsidRDefault="00D16CC6" w:rsidP="00D16CC6">
      <w:pPr>
        <w:pStyle w:val="FootnoteText"/>
        <w:jc w:val="both"/>
        <w:rPr>
          <w:rFonts w:ascii="Times New Roman" w:hAnsi="Times New Roman" w:cs="Times New Roman"/>
        </w:rPr>
      </w:pPr>
      <w:r w:rsidRPr="00DE2607">
        <w:rPr>
          <w:rStyle w:val="FootnoteReference"/>
          <w:rFonts w:ascii="Times New Roman" w:hAnsi="Times New Roman" w:cs="Times New Roman"/>
        </w:rPr>
        <w:footnoteRef/>
      </w:r>
      <w:r w:rsidRPr="00DE2607">
        <w:rPr>
          <w:rFonts w:ascii="Times New Roman" w:hAnsi="Times New Roman" w:cs="Times New Roman"/>
        </w:rPr>
        <w:t xml:space="preserve"> CAT/C/GC/2, párr. 9.</w:t>
      </w:r>
    </w:p>
  </w:footnote>
  <w:footnote w:id="26">
    <w:p w14:paraId="2EFB1D2D" w14:textId="77777777" w:rsidR="00D16CC6" w:rsidRPr="00DE2607" w:rsidRDefault="00D16CC6" w:rsidP="00D16CC6">
      <w:pPr>
        <w:pStyle w:val="FootnoteText"/>
        <w:jc w:val="both"/>
        <w:rPr>
          <w:rFonts w:ascii="Times New Roman" w:hAnsi="Times New Roman" w:cs="Times New Roman"/>
        </w:rPr>
      </w:pPr>
      <w:r w:rsidRPr="00DE2607">
        <w:rPr>
          <w:rStyle w:val="FootnoteReference"/>
          <w:rFonts w:ascii="Times New Roman" w:hAnsi="Times New Roman" w:cs="Times New Roman"/>
        </w:rPr>
        <w:footnoteRef/>
      </w:r>
      <w:r w:rsidRPr="00DE2607">
        <w:rPr>
          <w:rFonts w:ascii="Times New Roman" w:hAnsi="Times New Roman" w:cs="Times New Roman"/>
        </w:rPr>
        <w:t xml:space="preserve"> Comité Nacional para la Prevención de la Tortura. 2020. Informe Anual, Anexo 4. </w:t>
      </w:r>
      <w:hyperlink r:id="rId11" w:history="1">
        <w:r w:rsidRPr="00DE2607">
          <w:rPr>
            <w:rStyle w:val="Hyperlink"/>
            <w:rFonts w:ascii="Times New Roman" w:hAnsi="Times New Roman" w:cs="Times New Roman"/>
          </w:rPr>
          <w:t>https://cnpt.gob.ar/informes/informes-tematicos/informe-anual-a-la-comision-bicameral-de-la-defensoria-del-pueblo-2020/</w:t>
        </w:r>
      </w:hyperlink>
      <w:r w:rsidRPr="00DE2607">
        <w:rPr>
          <w:rFonts w:ascii="Times New Roman" w:hAnsi="Times New Roman" w:cs="Times New Roman"/>
        </w:rPr>
        <w:t xml:space="preserve"> (consultado el 7 de octubre de 2025).</w:t>
      </w:r>
    </w:p>
    <w:p w14:paraId="729B0A8E" w14:textId="77777777" w:rsidR="00D16CC6" w:rsidRPr="00DE2607" w:rsidRDefault="00D16CC6" w:rsidP="00D16CC6">
      <w:pPr>
        <w:pStyle w:val="FootnoteText"/>
        <w:jc w:val="both"/>
        <w:rPr>
          <w:rFonts w:ascii="Times New Roman" w:hAnsi="Times New Roman" w:cs="Times New Roman"/>
        </w:rPr>
      </w:pPr>
      <w:r w:rsidRPr="00DE2607">
        <w:rPr>
          <w:rFonts w:ascii="Times New Roman" w:hAnsi="Times New Roman" w:cs="Times New Roman"/>
        </w:rPr>
        <w:t>Comité Nacional para la Prevención de la Tortura. 2022. Anteproyecto de reforma al Código Penal presentado por el CNPT referido a la tipificación de la tortura en el proceso de tipo penal.</w:t>
      </w:r>
    </w:p>
    <w:p w14:paraId="74E12094" w14:textId="46E5C07E" w:rsidR="00D16CC6" w:rsidRPr="00DE2607" w:rsidRDefault="00D16CC6" w:rsidP="00D16CC6">
      <w:pPr>
        <w:pStyle w:val="FootnoteText"/>
        <w:jc w:val="both"/>
        <w:rPr>
          <w:rFonts w:ascii="Times New Roman" w:hAnsi="Times New Roman" w:cs="Times New Roman"/>
        </w:rPr>
      </w:pPr>
      <w:hyperlink r:id="rId12" w:history="1">
        <w:r w:rsidRPr="00DE2607">
          <w:rPr>
            <w:rStyle w:val="Hyperlink"/>
            <w:rFonts w:ascii="Times New Roman" w:hAnsi="Times New Roman" w:cs="Times New Roman"/>
          </w:rPr>
          <w:t>https://cnpt.gob.ar/informes/informes-tematicos/informe-anual-a-la-comision-bicameral-de-la-defensoria-del-pueblo-2020/</w:t>
        </w:r>
      </w:hyperlink>
      <w:r w:rsidRPr="00DE2607">
        <w:rPr>
          <w:rFonts w:ascii="Times New Roman" w:hAnsi="Times New Roman" w:cs="Times New Roman"/>
        </w:rPr>
        <w:t xml:space="preserve"> (consultado el 7 de octubre de 2025).</w:t>
      </w:r>
    </w:p>
  </w:footnote>
  <w:footnote w:id="27">
    <w:p w14:paraId="0FCD47A7" w14:textId="15F2FFAF" w:rsidR="0045422D" w:rsidRPr="002D3B10" w:rsidRDefault="0045422D" w:rsidP="002D3B10">
      <w:pPr>
        <w:spacing w:after="0" w:line="240" w:lineRule="auto"/>
        <w:jc w:val="both"/>
        <w:rPr>
          <w:rFonts w:ascii="Times New Roman" w:hAnsi="Times New Roman" w:cs="Times New Roman"/>
          <w:sz w:val="20"/>
          <w:szCs w:val="20"/>
        </w:rPr>
      </w:pPr>
      <w:r w:rsidRPr="002D3B10">
        <w:rPr>
          <w:rStyle w:val="FootnoteReference"/>
          <w:rFonts w:ascii="Times New Roman" w:hAnsi="Times New Roman" w:cs="Times New Roman"/>
          <w:sz w:val="20"/>
          <w:szCs w:val="20"/>
        </w:rPr>
        <w:footnoteRef/>
      </w:r>
      <w:r w:rsidRPr="002D3B10">
        <w:rPr>
          <w:rFonts w:ascii="Times New Roman" w:hAnsi="Times New Roman" w:cs="Times New Roman"/>
          <w:sz w:val="20"/>
          <w:szCs w:val="20"/>
        </w:rPr>
        <w:t xml:space="preserve"> Sus objetivos principales son: a) investigar administrativa, independiente y exhaustivamente cada muerte, desplegando una inspección en el establecimiento y recuperando testimonios confidenciales de otros detenidos, entre otras medidas de prueba; b) incidir en distintas líneas de acción administrativas y judiciales orientadas al caso concreto, incluida la posibilidad de constituirse en parte querellante en la investigación judicial; c) registrar rigurosamente todos los casos, identificando las irregularidades estructurales del sistema penal que provocan la reproducción de muertes bajo custodia.</w:t>
      </w:r>
    </w:p>
  </w:footnote>
  <w:footnote w:id="28">
    <w:p w14:paraId="5142975A" w14:textId="77777777" w:rsidR="0045422D" w:rsidRPr="002D3B10" w:rsidRDefault="0045422D" w:rsidP="002D3B10">
      <w:pPr>
        <w:pStyle w:val="FootnoteText"/>
        <w:jc w:val="both"/>
        <w:rPr>
          <w:rFonts w:ascii="Times New Roman" w:hAnsi="Times New Roman" w:cs="Times New Roman"/>
        </w:rPr>
      </w:pPr>
      <w:r w:rsidRPr="002D3B10">
        <w:rPr>
          <w:rStyle w:val="FootnoteReference"/>
          <w:rFonts w:ascii="Times New Roman" w:hAnsi="Times New Roman" w:cs="Times New Roman"/>
        </w:rPr>
        <w:footnoteRef/>
      </w:r>
      <w:r w:rsidRPr="002D3B10">
        <w:rPr>
          <w:rFonts w:ascii="Times New Roman" w:hAnsi="Times New Roman" w:cs="Times New Roman"/>
        </w:rPr>
        <w:t xml:space="preserve"> Para una mirada en profundidad sobre este fenómeno, ver PPN (2020). </w:t>
      </w:r>
      <w:r w:rsidRPr="002D3B10">
        <w:rPr>
          <w:rFonts w:ascii="Times New Roman" w:hAnsi="Times New Roman" w:cs="Times New Roman"/>
          <w:i/>
        </w:rPr>
        <w:t xml:space="preserve">Morir en prisión. Fallecimientos bajo custodia y responsabilidad estatal </w:t>
      </w:r>
      <w:r w:rsidRPr="002D3B10">
        <w:rPr>
          <w:rFonts w:ascii="Times New Roman" w:hAnsi="Times New Roman" w:cs="Times New Roman"/>
        </w:rPr>
        <w:t xml:space="preserve">y PPN (2025). </w:t>
      </w:r>
      <w:r w:rsidRPr="002D3B10">
        <w:rPr>
          <w:rFonts w:ascii="Times New Roman" w:hAnsi="Times New Roman" w:cs="Times New Roman"/>
          <w:i/>
        </w:rPr>
        <w:t>Informe Anual 2024. La situación de los derechos humanos en las cárceles federales de la Argentina</w:t>
      </w:r>
      <w:r w:rsidRPr="002D3B10">
        <w:rPr>
          <w:rFonts w:ascii="Times New Roman" w:hAnsi="Times New Roman" w:cs="Times New Roman"/>
        </w:rPr>
        <w:t>, pp. 275-300.</w:t>
      </w:r>
    </w:p>
  </w:footnote>
  <w:footnote w:id="29">
    <w:p w14:paraId="02B52EB1" w14:textId="77777777" w:rsidR="0045422D" w:rsidRPr="002D3B10" w:rsidRDefault="0045422D" w:rsidP="002D3B10">
      <w:pPr>
        <w:pStyle w:val="FootnoteText"/>
        <w:jc w:val="both"/>
        <w:rPr>
          <w:rFonts w:ascii="Times New Roman" w:hAnsi="Times New Roman" w:cs="Times New Roman"/>
        </w:rPr>
      </w:pPr>
      <w:r w:rsidRPr="002D3B10">
        <w:rPr>
          <w:rStyle w:val="FootnoteReference"/>
          <w:rFonts w:ascii="Times New Roman" w:hAnsi="Times New Roman" w:cs="Times New Roman"/>
        </w:rPr>
        <w:footnoteRef/>
      </w:r>
      <w:r w:rsidRPr="002D3B10">
        <w:rPr>
          <w:rFonts w:ascii="Times New Roman" w:hAnsi="Times New Roman" w:cs="Times New Roman"/>
        </w:rPr>
        <w:t xml:space="preserve"> No se incluyen las 77 muertes de detenidos internados en el Centro Penitenciario para Enfermedades Infecciosas (hospital penitenciario), provenientes de distintas unidades penitenciarias.</w:t>
      </w:r>
    </w:p>
  </w:footnote>
  <w:footnote w:id="30">
    <w:p w14:paraId="7F6DDE98" w14:textId="77777777" w:rsidR="0045422D" w:rsidRPr="002D3B10" w:rsidRDefault="0045422D" w:rsidP="002D3B10">
      <w:pPr>
        <w:pStyle w:val="FootnoteText"/>
        <w:jc w:val="both"/>
        <w:rPr>
          <w:rFonts w:ascii="Times New Roman" w:hAnsi="Times New Roman" w:cs="Times New Roman"/>
        </w:rPr>
      </w:pPr>
      <w:r w:rsidRPr="002D3B10">
        <w:rPr>
          <w:rStyle w:val="FootnoteReference"/>
          <w:rFonts w:ascii="Times New Roman" w:hAnsi="Times New Roman" w:cs="Times New Roman"/>
        </w:rPr>
        <w:footnoteRef/>
      </w:r>
      <w:r w:rsidRPr="002D3B10">
        <w:rPr>
          <w:rFonts w:ascii="Times New Roman" w:hAnsi="Times New Roman" w:cs="Times New Roman"/>
        </w:rPr>
        <w:t xml:space="preserve"> Categoría construida para definir aquellas personas entre la franja etaria de 18 y 21 años.</w:t>
      </w:r>
    </w:p>
  </w:footnote>
  <w:footnote w:id="31">
    <w:p w14:paraId="35016A93" w14:textId="3D38942A" w:rsidR="0045422D" w:rsidRPr="002D3B10" w:rsidRDefault="0045422D" w:rsidP="002D3B10">
      <w:pPr>
        <w:pStyle w:val="FootnoteText"/>
        <w:jc w:val="both"/>
        <w:rPr>
          <w:rFonts w:ascii="Times New Roman" w:hAnsi="Times New Roman" w:cs="Times New Roman"/>
        </w:rPr>
      </w:pPr>
      <w:r w:rsidRPr="002D3B10">
        <w:rPr>
          <w:rStyle w:val="FootnoteReference"/>
          <w:rFonts w:ascii="Times New Roman" w:hAnsi="Times New Roman" w:cs="Times New Roman"/>
        </w:rPr>
        <w:footnoteRef/>
      </w:r>
      <w:r w:rsidRPr="002D3B10">
        <w:rPr>
          <w:rFonts w:ascii="Times New Roman" w:hAnsi="Times New Roman" w:cs="Times New Roman"/>
        </w:rPr>
        <w:t xml:space="preserve"> En 124 no se llevó a cabo investigación judicial, lo que ocurría con más frecuencia años atrás y se ha ido revirtiendo a partir del trabajo de la PPN, la fiscalía especializada (PROCUVIN) y la Defensa Pública.</w:t>
      </w:r>
    </w:p>
  </w:footnote>
  <w:footnote w:id="32">
    <w:p w14:paraId="12625EE6" w14:textId="77777777" w:rsidR="0045422D" w:rsidRPr="002D3B10" w:rsidRDefault="0045422D" w:rsidP="002D3B10">
      <w:pPr>
        <w:pStyle w:val="FootnoteText"/>
        <w:jc w:val="both"/>
        <w:rPr>
          <w:rFonts w:ascii="Times New Roman" w:hAnsi="Times New Roman" w:cs="Times New Roman"/>
        </w:rPr>
      </w:pPr>
      <w:r w:rsidRPr="002D3B10">
        <w:rPr>
          <w:rStyle w:val="FootnoteReference"/>
          <w:rFonts w:ascii="Times New Roman" w:hAnsi="Times New Roman" w:cs="Times New Roman"/>
        </w:rPr>
        <w:footnoteRef/>
      </w:r>
      <w:r w:rsidRPr="002D3B10">
        <w:rPr>
          <w:rFonts w:ascii="Times New Roman" w:hAnsi="Times New Roman" w:cs="Times New Roman"/>
        </w:rPr>
        <w:t xml:space="preserve"> En diecinueve investigaciones carecemos de información sobre sus avances.</w:t>
      </w:r>
    </w:p>
  </w:footnote>
  <w:footnote w:id="33">
    <w:p w14:paraId="008A6EF3" w14:textId="17A50BC1" w:rsidR="0045422D" w:rsidRPr="002D3B10" w:rsidRDefault="0045422D" w:rsidP="002D3B10">
      <w:pPr>
        <w:pStyle w:val="FootnoteText"/>
        <w:jc w:val="both"/>
        <w:rPr>
          <w:rFonts w:ascii="Times New Roman" w:hAnsi="Times New Roman" w:cs="Times New Roman"/>
          <w:lang w:val="es-419"/>
        </w:rPr>
      </w:pPr>
      <w:r w:rsidRPr="002D3B10">
        <w:rPr>
          <w:rStyle w:val="FootnoteReference"/>
          <w:rFonts w:ascii="Times New Roman" w:hAnsi="Times New Roman" w:cs="Times New Roman"/>
        </w:rPr>
        <w:footnoteRef/>
      </w:r>
      <w:r w:rsidRPr="002D3B10">
        <w:rPr>
          <w:rFonts w:ascii="Times New Roman" w:hAnsi="Times New Roman" w:cs="Times New Roman"/>
          <w:lang w:val="es-419"/>
        </w:rPr>
        <w:t xml:space="preserve"> Causa Nº FLP 51010899/2012, caratulada “Luna Vila, Diana s/ Habeas corpus”, del registro del Juzgado Federal N° 1 de Lomas de Zamora, Secretaría N° 2, sentencia de 3 de febrero de 2013.</w:t>
      </w:r>
    </w:p>
  </w:footnote>
  <w:footnote w:id="34">
    <w:p w14:paraId="0E4D6556" w14:textId="14FEC160" w:rsidR="0045422D" w:rsidRPr="002D3B10" w:rsidRDefault="0045422D" w:rsidP="002D3B10">
      <w:pPr>
        <w:pStyle w:val="FootnoteText"/>
        <w:jc w:val="both"/>
        <w:rPr>
          <w:rFonts w:ascii="Times New Roman" w:hAnsi="Times New Roman" w:cs="Times New Roman"/>
          <w:color w:val="000000" w:themeColor="text1"/>
        </w:rPr>
      </w:pPr>
      <w:r w:rsidRPr="002D3B10">
        <w:rPr>
          <w:rStyle w:val="FootnoteReference"/>
          <w:rFonts w:ascii="Times New Roman" w:hAnsi="Times New Roman" w:cs="Times New Roman"/>
          <w:color w:val="000000" w:themeColor="text1"/>
        </w:rPr>
        <w:footnoteRef/>
      </w:r>
      <w:r w:rsidRPr="002D3B10">
        <w:rPr>
          <w:rFonts w:ascii="Times New Roman" w:hAnsi="Times New Roman" w:cs="Times New Roman"/>
          <w:color w:val="000000" w:themeColor="text1"/>
        </w:rPr>
        <w:t xml:space="preserve"> Recomendación Nº 971, de 26 de septiembre de 2025, para la prevención de registros corporales intrusivos de mujeres privadas de libertad, exámenes médicos forzados y prácticas de violencia contra la mujer, disponible en </w:t>
      </w:r>
      <w:hyperlink r:id="rId13" w:history="1">
        <w:r w:rsidRPr="002D3B10">
          <w:rPr>
            <w:rStyle w:val="Hyperlink"/>
            <w:rFonts w:ascii="Times New Roman" w:hAnsi="Times New Roman" w:cs="Times New Roman"/>
          </w:rPr>
          <w:t>https://ppn.gov.ar/index.php/institucional/noticias/3880-la-ppn-realizo-una-recomendacion-para-garantizar-los-derechos-de-las-mujeres-privadas-de-libertad-frente-a-practicas-de-requisa-invasiva</w:t>
        </w:r>
      </w:hyperlink>
    </w:p>
  </w:footnote>
  <w:footnote w:id="35">
    <w:p w14:paraId="69D35226" w14:textId="77777777" w:rsidR="0045422D" w:rsidRPr="002D3B10" w:rsidRDefault="0045422D" w:rsidP="002D3B10">
      <w:pPr>
        <w:pStyle w:val="FootnoteText"/>
        <w:jc w:val="both"/>
        <w:rPr>
          <w:rFonts w:ascii="Times New Roman" w:hAnsi="Times New Roman" w:cs="Times New Roman"/>
        </w:rPr>
      </w:pPr>
      <w:r w:rsidRPr="002D3B10">
        <w:rPr>
          <w:rStyle w:val="FootnoteReference"/>
          <w:rFonts w:ascii="Times New Roman" w:hAnsi="Times New Roman" w:cs="Times New Roman"/>
        </w:rPr>
        <w:footnoteRef/>
      </w:r>
      <w:r w:rsidRPr="002D3B10">
        <w:rPr>
          <w:rFonts w:ascii="Times New Roman" w:hAnsi="Times New Roman" w:cs="Times New Roman"/>
        </w:rPr>
        <w:t xml:space="preserve"> Corte Interamericana de Derechos Humanos, caso López y otros vs. Argentina, sentencia de 25 de noviembre de 2019, disponible en </w:t>
      </w:r>
      <w:hyperlink r:id="rId14" w:history="1">
        <w:r w:rsidRPr="002D3B10">
          <w:rPr>
            <w:rStyle w:val="Hyperlink"/>
            <w:rFonts w:ascii="Times New Roman" w:hAnsi="Times New Roman" w:cs="Times New Roman"/>
          </w:rPr>
          <w:t>https://www.corteidh.or.cr/docs/casos/articulos/seriec_396_esp.pdf</w:t>
        </w:r>
      </w:hyperlink>
    </w:p>
  </w:footnote>
  <w:footnote w:id="36">
    <w:p w14:paraId="257081EC" w14:textId="77777777" w:rsidR="0045422D" w:rsidRPr="002D3B10" w:rsidRDefault="0045422D" w:rsidP="002D3B10">
      <w:pPr>
        <w:pBdr>
          <w:top w:val="nil"/>
          <w:left w:val="nil"/>
          <w:bottom w:val="nil"/>
          <w:right w:val="nil"/>
          <w:between w:val="nil"/>
        </w:pBdr>
        <w:spacing w:after="0" w:line="240" w:lineRule="auto"/>
        <w:jc w:val="both"/>
        <w:rPr>
          <w:rFonts w:ascii="Times New Roman" w:hAnsi="Times New Roman" w:cs="Times New Roman"/>
          <w:color w:val="000000"/>
          <w:sz w:val="20"/>
          <w:szCs w:val="20"/>
        </w:rPr>
      </w:pPr>
      <w:r w:rsidRPr="002D3B10">
        <w:rPr>
          <w:rFonts w:ascii="Times New Roman" w:hAnsi="Times New Roman" w:cs="Times New Roman"/>
          <w:sz w:val="20"/>
          <w:szCs w:val="20"/>
          <w:vertAlign w:val="superscript"/>
        </w:rPr>
        <w:footnoteRef/>
      </w:r>
      <w:r w:rsidRPr="002D3B10">
        <w:rPr>
          <w:rFonts w:ascii="Times New Roman" w:hAnsi="Times New Roman" w:cs="Times New Roman"/>
          <w:color w:val="000000"/>
          <w:sz w:val="20"/>
          <w:szCs w:val="20"/>
        </w:rPr>
        <w:t xml:space="preserve"> Cabe señalar que la aprobación de este protocolo por parte del SPF no obsta a que puedan dictarse otras medidas legislativas o reglamentarias para cumplir con el fallo de la CorteIDH, estableciendo un régimen regulatorio de los traslados respetuoso de los derechos humanos con rango de ley y aplicable a toda la República Argentina.</w:t>
      </w:r>
    </w:p>
  </w:footnote>
  <w:footnote w:id="37">
    <w:p w14:paraId="22E6EE40" w14:textId="77777777" w:rsidR="0045422D" w:rsidRPr="002D3B10" w:rsidRDefault="0045422D" w:rsidP="002D3B10">
      <w:pPr>
        <w:pStyle w:val="FootnoteText"/>
        <w:jc w:val="both"/>
        <w:rPr>
          <w:rFonts w:ascii="Times New Roman" w:hAnsi="Times New Roman" w:cs="Times New Roman"/>
          <w:iCs/>
        </w:rPr>
      </w:pPr>
      <w:r w:rsidRPr="002D3B10">
        <w:rPr>
          <w:rStyle w:val="FootnoteReference"/>
          <w:rFonts w:ascii="Times New Roman" w:hAnsi="Times New Roman" w:cs="Times New Roman"/>
        </w:rPr>
        <w:footnoteRef/>
      </w:r>
      <w:r w:rsidRPr="002D3B10">
        <w:rPr>
          <w:rFonts w:ascii="Times New Roman" w:hAnsi="Times New Roman" w:cs="Times New Roman"/>
        </w:rPr>
        <w:t xml:space="preserve"> </w:t>
      </w:r>
      <w:r w:rsidRPr="002D3B10">
        <w:rPr>
          <w:rFonts w:ascii="Times New Roman" w:hAnsi="Times New Roman" w:cs="Times New Roman"/>
          <w:iCs/>
        </w:rPr>
        <w:t>Realizada c</w:t>
      </w:r>
      <w:r w:rsidRPr="002D3B10">
        <w:rPr>
          <w:rFonts w:ascii="Times New Roman" w:hAnsi="Times New Roman" w:cs="Times New Roman"/>
          <w:iCs/>
          <w:shd w:val="clear" w:color="auto" w:fill="FFFFFF"/>
        </w:rPr>
        <w:t>on el apoyo</w:t>
      </w:r>
      <w:r w:rsidRPr="002D3B10">
        <w:rPr>
          <w:rFonts w:ascii="Times New Roman" w:hAnsi="Times New Roman" w:cs="Times New Roman"/>
          <w:shd w:val="clear" w:color="auto" w:fill="FFFFFF"/>
        </w:rPr>
        <w:t xml:space="preserve"> del Fondo Especial del OPCAT en el marco del proyecto “Fortalecimiento de las capacidades de los MNP de Argentina en el monitoreo de los sistemas de salud en el encierro”.</w:t>
      </w:r>
      <w:r w:rsidRPr="002D3B10">
        <w:rPr>
          <w:rFonts w:ascii="Times New Roman" w:hAnsi="Times New Roman" w:cs="Times New Roman"/>
        </w:rPr>
        <w:t xml:space="preserve"> Ver L</w:t>
      </w:r>
      <w:r w:rsidRPr="002D3B10">
        <w:rPr>
          <w:rFonts w:ascii="Times New Roman" w:hAnsi="Times New Roman" w:cs="Times New Roman"/>
          <w:i/>
        </w:rPr>
        <w:t>a atención a la salud en las cárceles federales. Percepciones de las personas detenidas, diagnóstico y recomendaciones</w:t>
      </w:r>
      <w:r w:rsidRPr="002D3B10">
        <w:rPr>
          <w:rFonts w:ascii="Times New Roman" w:hAnsi="Times New Roman" w:cs="Times New Roman"/>
          <w:iCs/>
        </w:rPr>
        <w:t xml:space="preserve">, disponible en </w:t>
      </w:r>
      <w:hyperlink r:id="rId15" w:history="1">
        <w:r w:rsidRPr="002D3B10">
          <w:rPr>
            <w:rStyle w:val="Hyperlink"/>
            <w:rFonts w:ascii="Times New Roman" w:hAnsi="Times New Roman" w:cs="Times New Roman"/>
            <w:iCs/>
          </w:rPr>
          <w:t>https://ppn.gov.ar/pdf/publicaciones/ediciones-especiales/PPN_La_atencion_a_la_salud_en_las_carceles_federales.pdf</w:t>
        </w:r>
      </w:hyperlink>
    </w:p>
  </w:footnote>
  <w:footnote w:id="38">
    <w:p w14:paraId="104ED45C" w14:textId="77777777" w:rsidR="0045422D" w:rsidRPr="002D3B10" w:rsidRDefault="0045422D" w:rsidP="002D3B10">
      <w:pPr>
        <w:pStyle w:val="FootnoteText"/>
        <w:jc w:val="both"/>
        <w:rPr>
          <w:rFonts w:ascii="Times New Roman" w:hAnsi="Times New Roman" w:cs="Times New Roman"/>
        </w:rPr>
      </w:pPr>
      <w:r w:rsidRPr="002D3B10">
        <w:rPr>
          <w:rStyle w:val="FootnoteReference"/>
          <w:rFonts w:ascii="Times New Roman" w:hAnsi="Times New Roman" w:cs="Times New Roman"/>
        </w:rPr>
        <w:footnoteRef/>
      </w:r>
      <w:r w:rsidRPr="002D3B10">
        <w:rPr>
          <w:rFonts w:ascii="Times New Roman" w:hAnsi="Times New Roman" w:cs="Times New Roman"/>
        </w:rPr>
        <w:t xml:space="preserve"> Ver, Procuración Penitenciaria de la Nación, La situación de las personas privadas de libertad en las cárceles Federales de la Argentina, Informe Anual 2024, pag.354-358, disponible en </w:t>
      </w:r>
      <w:hyperlink r:id="rId16" w:history="1">
        <w:r w:rsidRPr="002D3B10">
          <w:rPr>
            <w:rStyle w:val="Hyperlink"/>
            <w:rFonts w:ascii="Times New Roman" w:hAnsi="Times New Roman" w:cs="Times New Roman"/>
          </w:rPr>
          <w:t>https://ppn.gov.ar/pdf/publicaciones/Informe-Anual-2024.pdf</w:t>
        </w:r>
      </w:hyperlink>
    </w:p>
  </w:footnote>
  <w:footnote w:id="39">
    <w:p w14:paraId="3B358F5C" w14:textId="77777777" w:rsidR="0045422D" w:rsidRPr="002D3B10" w:rsidRDefault="0045422D" w:rsidP="002D3B10">
      <w:pPr>
        <w:autoSpaceDE w:val="0"/>
        <w:autoSpaceDN w:val="0"/>
        <w:adjustRightInd w:val="0"/>
        <w:spacing w:after="0" w:line="240" w:lineRule="auto"/>
        <w:jc w:val="both"/>
        <w:rPr>
          <w:rFonts w:ascii="Times New Roman" w:hAnsi="Times New Roman" w:cs="Times New Roman"/>
          <w:kern w:val="0"/>
          <w:sz w:val="20"/>
          <w:szCs w:val="20"/>
          <w14:ligatures w14:val="none"/>
        </w:rPr>
      </w:pPr>
      <w:r w:rsidRPr="002D3B10">
        <w:rPr>
          <w:rStyle w:val="FootnoteReference"/>
          <w:rFonts w:ascii="Times New Roman" w:hAnsi="Times New Roman" w:cs="Times New Roman"/>
          <w:sz w:val="20"/>
          <w:szCs w:val="20"/>
        </w:rPr>
        <w:footnoteRef/>
      </w:r>
      <w:r w:rsidRPr="002D3B10">
        <w:rPr>
          <w:rFonts w:ascii="Times New Roman" w:hAnsi="Times New Roman" w:cs="Times New Roman"/>
          <w:sz w:val="20"/>
          <w:szCs w:val="20"/>
        </w:rPr>
        <w:t xml:space="preserve"> En 2023 l</w:t>
      </w:r>
      <w:r w:rsidRPr="002D3B10">
        <w:rPr>
          <w:rFonts w:ascii="Times New Roman" w:hAnsi="Times New Roman" w:cs="Times New Roman"/>
          <w:kern w:val="0"/>
          <w:sz w:val="20"/>
          <w:szCs w:val="20"/>
          <w14:ligatures w14:val="none"/>
        </w:rPr>
        <w:t xml:space="preserve">a Procuración Penitenciaria </w:t>
      </w:r>
      <w:r w:rsidRPr="002D3B10">
        <w:rPr>
          <w:rFonts w:ascii="Times New Roman" w:hAnsi="Times New Roman" w:cs="Times New Roman"/>
          <w:noProof/>
          <w:kern w:val="0"/>
          <w:sz w:val="20"/>
          <w:szCs w:val="20"/>
          <w14:ligatures w14:val="none"/>
        </w:rPr>
        <w:t>interpuso un</w:t>
      </w:r>
      <w:r w:rsidRPr="002D3B10">
        <w:rPr>
          <w:rFonts w:ascii="Times New Roman" w:hAnsi="Times New Roman" w:cs="Times New Roman"/>
          <w:kern w:val="0"/>
          <w:sz w:val="20"/>
          <w:szCs w:val="20"/>
          <w14:ligatures w14:val="none"/>
        </w:rPr>
        <w:t xml:space="preserve"> habeas corpus por las mujeres detenidas en el Complejo Penitenciario Federal IV (causa Nº 17647/2023, caratulada “Internas del Complejo Penitenciario Federal IV s/ habeas corpus”, registrado en la Secretaría 5 del Juzgado de Primera Instancia en lo Criminal y Correccional Federal Nº 2 de Lomas de Zamora) por la falta de controles de salud para la prevención de distintas patologías, en especial aquellas relacionadas con el cuello de útero y de mamas; y por brindar un tratamiento deficiente cuando se encuentra alguna patología en las mujeres.</w:t>
      </w:r>
    </w:p>
  </w:footnote>
  <w:footnote w:id="40">
    <w:p w14:paraId="10C99045" w14:textId="77777777" w:rsidR="0045422D" w:rsidRPr="002D3B10" w:rsidRDefault="0045422D" w:rsidP="002D3B10">
      <w:pPr>
        <w:pStyle w:val="FootnoteText"/>
        <w:jc w:val="both"/>
        <w:rPr>
          <w:rFonts w:ascii="Times New Roman" w:hAnsi="Times New Roman" w:cs="Times New Roman"/>
          <w:lang w:val="es-ES"/>
        </w:rPr>
      </w:pPr>
      <w:r w:rsidRPr="002D3B10">
        <w:rPr>
          <w:rStyle w:val="FootnoteReference"/>
          <w:rFonts w:ascii="Times New Roman" w:hAnsi="Times New Roman" w:cs="Times New Roman"/>
        </w:rPr>
        <w:footnoteRef/>
      </w:r>
      <w:r w:rsidRPr="002D3B10">
        <w:rPr>
          <w:rFonts w:ascii="Times New Roman" w:hAnsi="Times New Roman" w:cs="Times New Roman"/>
        </w:rPr>
        <w:t xml:space="preserve"> Ante esta problemática, l</w:t>
      </w:r>
      <w:r w:rsidRPr="002D3B10">
        <w:rPr>
          <w:rFonts w:ascii="Times New Roman" w:hAnsi="Times New Roman" w:cs="Times New Roman"/>
          <w:kern w:val="0"/>
          <w14:ligatures w14:val="none"/>
        </w:rPr>
        <w:t xml:space="preserve">a Procuración Penitenciaria presentó la Recomendación </w:t>
      </w:r>
      <w:r w:rsidRPr="002D3B10">
        <w:rPr>
          <w:rFonts w:ascii="Times New Roman" w:hAnsi="Times New Roman" w:cs="Times New Roman"/>
        </w:rPr>
        <w:t>967 /PPN/2025 dirigida al Ministro de Salud y al Ministro de Seguridad de la Ciudad Autónoma de Buenos Aires para que adopte las medidas necesarias a los efectos de implementar un sistema de salud efectivo y permanente -con profesionales suficientes- a fin de garantizar la atención médica primaria de las personas detenidas en dependencias de la Policía de la Ciudad y asimismo, y la entrega permanente y sistemática de la medicación que fuera recetada.</w:t>
      </w:r>
    </w:p>
  </w:footnote>
  <w:footnote w:id="41">
    <w:p w14:paraId="4AC43EF9" w14:textId="1772B9D7" w:rsidR="0045422D" w:rsidRPr="002D3B10" w:rsidRDefault="0045422D" w:rsidP="002D3B10">
      <w:pPr>
        <w:pStyle w:val="FootnoteText"/>
        <w:jc w:val="both"/>
        <w:rPr>
          <w:rFonts w:ascii="Times New Roman" w:hAnsi="Times New Roman" w:cs="Times New Roman"/>
        </w:rPr>
      </w:pPr>
      <w:r w:rsidRPr="002D3B10">
        <w:rPr>
          <w:rStyle w:val="FootnoteReference"/>
          <w:rFonts w:ascii="Times New Roman" w:hAnsi="Times New Roman" w:cs="Times New Roman"/>
        </w:rPr>
        <w:footnoteRef/>
      </w:r>
      <w:r w:rsidRPr="002D3B10">
        <w:rPr>
          <w:rFonts w:ascii="Times New Roman" w:hAnsi="Times New Roman" w:cs="Times New Roman"/>
        </w:rPr>
        <w:t xml:space="preserve"> Ver la Resolución d</w:t>
      </w:r>
      <w:r w:rsidRPr="002D3B10">
        <w:rPr>
          <w:rFonts w:ascii="Times New Roman" w:eastAsia="Times New Roman" w:hAnsi="Times New Roman" w:cs="Times New Roman"/>
          <w:color w:val="1A1A1A"/>
          <w:lang w:eastAsia="es-AR"/>
        </w:rPr>
        <w:t xml:space="preserve">el Juzgado Nacional en lo Criminal y Correccional N° 16, en </w:t>
      </w:r>
      <w:hyperlink r:id="rId17" w:history="1">
        <w:r w:rsidRPr="002D3B10">
          <w:rPr>
            <w:rStyle w:val="Hyperlink"/>
            <w:rFonts w:ascii="Times New Roman" w:eastAsia="Times New Roman" w:hAnsi="Times New Roman" w:cs="Times New Roman"/>
            <w:lang w:eastAsia="es-AR"/>
          </w:rPr>
          <w:t>https://ppn.gov.ar/index.php/institucional/noticias/3821-la-justicia-ordeno-que-los-estudiantes-permanezcan-en-los-centros-universitarios-para-estudiar-y-realizar-actividades-educativas</w:t>
        </w:r>
      </w:hyperlink>
    </w:p>
  </w:footnote>
  <w:footnote w:id="42">
    <w:p w14:paraId="10B3086D" w14:textId="37E1FA79" w:rsidR="0045422D" w:rsidRPr="002D3B10" w:rsidRDefault="0045422D" w:rsidP="002D3B10">
      <w:pPr>
        <w:spacing w:after="0" w:line="240" w:lineRule="auto"/>
        <w:jc w:val="both"/>
        <w:rPr>
          <w:rFonts w:ascii="Times New Roman" w:eastAsia="Times New Roman" w:hAnsi="Times New Roman" w:cs="Times New Roman"/>
          <w:kern w:val="0"/>
          <w:sz w:val="20"/>
          <w:szCs w:val="20"/>
          <w:lang w:val="es-ES" w:eastAsia="es-AR"/>
          <w14:ligatures w14:val="none"/>
        </w:rPr>
      </w:pPr>
      <w:r w:rsidRPr="002D3B10">
        <w:rPr>
          <w:rStyle w:val="FootnoteReference"/>
          <w:rFonts w:ascii="Times New Roman" w:hAnsi="Times New Roman" w:cs="Times New Roman"/>
          <w:sz w:val="20"/>
          <w:szCs w:val="20"/>
        </w:rPr>
        <w:footnoteRef/>
      </w:r>
      <w:r w:rsidRPr="002D3B10">
        <w:rPr>
          <w:rFonts w:ascii="Times New Roman" w:hAnsi="Times New Roman" w:cs="Times New Roman"/>
          <w:sz w:val="20"/>
          <w:szCs w:val="20"/>
        </w:rPr>
        <w:t xml:space="preserve"> Datos procedentes de la Base de Datos de Trabajo de la PPN, construida a partir de la solicitud de información que se realiza anualmente al SPF. </w:t>
      </w:r>
    </w:p>
  </w:footnote>
  <w:footnote w:id="43">
    <w:p w14:paraId="18557632" w14:textId="614C505F" w:rsidR="0045422D" w:rsidRPr="002D3B10" w:rsidRDefault="0045422D" w:rsidP="002D3B10">
      <w:pPr>
        <w:pStyle w:val="FootnoteText"/>
        <w:jc w:val="both"/>
        <w:rPr>
          <w:rFonts w:ascii="Times New Roman" w:hAnsi="Times New Roman" w:cs="Times New Roman"/>
        </w:rPr>
      </w:pPr>
      <w:r w:rsidRPr="002D3B10">
        <w:rPr>
          <w:rStyle w:val="FootnoteReference"/>
          <w:rFonts w:ascii="Times New Roman" w:hAnsi="Times New Roman" w:cs="Times New Roman"/>
        </w:rPr>
        <w:footnoteRef/>
      </w:r>
      <w:r w:rsidRPr="002D3B10">
        <w:rPr>
          <w:rFonts w:ascii="Times New Roman" w:hAnsi="Times New Roman" w:cs="Times New Roman"/>
        </w:rPr>
        <w:t xml:space="preserve"> La </w:t>
      </w:r>
      <w:r w:rsidRPr="002D3B10">
        <w:rPr>
          <w:rFonts w:ascii="Times New Roman" w:eastAsia="Cambria" w:hAnsi="Times New Roman" w:cs="Times New Roman"/>
          <w:kern w:val="0"/>
          <w:lang w:val="es-ES" w:eastAsia="es-AR"/>
          <w14:ligatures w14:val="none"/>
        </w:rPr>
        <w:t xml:space="preserve">Resolución 1346/24, emitida el 16 de diciembre de 2024, dispuso “la obligatoriedad para todos los internos alojados en el Servicio Penitenciario Federal de participar en las tareas de mantenimiento, limpieza, aseo e higiene de los espacios propios y comunes de los establecimientos penitenciarios”, actividades que según la resolución podrán ser llevadas a cabo durante 5 horas diarias y no serán remuneradas. Y la </w:t>
      </w:r>
      <w:r w:rsidRPr="002D3B10">
        <w:rPr>
          <w:rFonts w:ascii="Times New Roman" w:eastAsia="Calibri" w:hAnsi="Times New Roman" w:cs="Times New Roman"/>
          <w:kern w:val="0"/>
          <w:lang w:val="es-ES" w:eastAsia="es-AR"/>
          <w14:ligatures w14:val="none"/>
        </w:rPr>
        <w:t xml:space="preserve">Resolución 429/25 emitida el de 10 de abril de 2025, que establece que sólo el 5% de la población total alojada en el SPF podrá recibir un ingreso por estas tareas, siempre y cuando sea su única ocupación y para la cual deberá disponer de 8 horas diarias. </w:t>
      </w:r>
      <w:r w:rsidRPr="002D3B10">
        <w:rPr>
          <w:rFonts w:ascii="Times New Roman" w:eastAsia="Times New Roman" w:hAnsi="Times New Roman" w:cs="Times New Roman"/>
          <w:kern w:val="0"/>
          <w:lang w:val="es-ES" w:eastAsia="es-AR"/>
          <w14:ligatures w14:val="none"/>
        </w:rPr>
        <w:t>Ambas resoluciones tienen un gran impacto, ya que la desidia en la gestión del trabajo por parte del SPF a lo largo de los años ha conllevado la existencia de pocos talleres productivos y que la mayoría de la población penal del ámbito federal que tenía trabajo se encontrase vinculada a tareas de limpieza.</w:t>
      </w:r>
    </w:p>
  </w:footnote>
  <w:footnote w:id="44">
    <w:p w14:paraId="757970E8" w14:textId="7FB47ACF" w:rsidR="0045422D" w:rsidRPr="002D3B10" w:rsidRDefault="0045422D" w:rsidP="002D3B10">
      <w:pPr>
        <w:pStyle w:val="FootnoteText"/>
        <w:jc w:val="both"/>
        <w:rPr>
          <w:rFonts w:ascii="Times New Roman" w:hAnsi="Times New Roman" w:cs="Times New Roman"/>
          <w:lang w:val="es-ES"/>
        </w:rPr>
      </w:pPr>
      <w:r w:rsidRPr="002D3B10">
        <w:rPr>
          <w:rStyle w:val="FootnoteReference"/>
          <w:rFonts w:ascii="Times New Roman" w:hAnsi="Times New Roman" w:cs="Times New Roman"/>
        </w:rPr>
        <w:footnoteRef/>
      </w:r>
      <w:r w:rsidRPr="002D3B10">
        <w:rPr>
          <w:rFonts w:ascii="Times New Roman" w:hAnsi="Times New Roman" w:cs="Times New Roman"/>
        </w:rPr>
        <w:t xml:space="preserve"> </w:t>
      </w:r>
      <w:r w:rsidRPr="002D3B10">
        <w:rPr>
          <w:rFonts w:ascii="Times New Roman" w:hAnsi="Times New Roman" w:cs="Times New Roman"/>
          <w:lang w:val="es-ES"/>
        </w:rPr>
        <w:t xml:space="preserve">Disponible en </w:t>
      </w:r>
      <w:hyperlink r:id="rId18" w:history="1">
        <w:r w:rsidRPr="002D3B10">
          <w:rPr>
            <w:rStyle w:val="Hyperlink"/>
            <w:rFonts w:ascii="Times New Roman" w:hAnsi="Times New Roman" w:cs="Times New Roman"/>
            <w:lang w:val="es-ES"/>
          </w:rPr>
          <w:t>https://ppn.gov.ar/index.php/institucional/noticias/3867-la-ppn-emitio-la-recomendacion-sobre-el-acceso-al-trabajo-en-carceles-federales</w:t>
        </w:r>
      </w:hyperlink>
    </w:p>
  </w:footnote>
  <w:footnote w:id="45">
    <w:p w14:paraId="0BADEA85" w14:textId="77777777" w:rsidR="0045422D" w:rsidRPr="002D3B10" w:rsidRDefault="0045422D" w:rsidP="002D3B10">
      <w:pPr>
        <w:pStyle w:val="FootnoteText"/>
        <w:jc w:val="both"/>
        <w:rPr>
          <w:rFonts w:ascii="Times New Roman" w:hAnsi="Times New Roman" w:cs="Times New Roman"/>
          <w:lang w:val="es-ES"/>
        </w:rPr>
      </w:pPr>
      <w:r w:rsidRPr="002D3B10">
        <w:rPr>
          <w:rStyle w:val="FootnoteReference"/>
          <w:rFonts w:ascii="Times New Roman" w:hAnsi="Times New Roman" w:cs="Times New Roman"/>
        </w:rPr>
        <w:footnoteRef/>
      </w:r>
      <w:r w:rsidRPr="002D3B10">
        <w:rPr>
          <w:rFonts w:ascii="Times New Roman" w:hAnsi="Times New Roman" w:cs="Times New Roman"/>
        </w:rPr>
        <w:t xml:space="preserve"> </w:t>
      </w:r>
      <w:hyperlink r:id="rId19" w:history="1">
        <w:r w:rsidRPr="002D3B10">
          <w:rPr>
            <w:rStyle w:val="Hyperlink"/>
            <w:rFonts w:ascii="Times New Roman" w:hAnsi="Times New Roman" w:cs="Times New Roman"/>
          </w:rPr>
          <w:t>Directrices justicia juvenil.pdf</w:t>
        </w:r>
      </w:hyperlink>
      <w:r w:rsidRPr="002D3B10">
        <w:rPr>
          <w:rFonts w:ascii="Times New Roman" w:hAnsi="Times New Roman" w:cs="Times New Roman"/>
        </w:rPr>
        <w:t>,</w:t>
      </w:r>
      <w:r w:rsidRPr="002D3B10">
        <w:rPr>
          <w:rFonts w:ascii="Times New Roman" w:hAnsi="Times New Roman" w:cs="Times New Roman"/>
          <w:sz w:val="24"/>
          <w:szCs w:val="24"/>
        </w:rPr>
        <w:t xml:space="preserve"> </w:t>
      </w:r>
      <w:hyperlink r:id="rId20" w:history="1">
        <w:r w:rsidRPr="002D3B10">
          <w:rPr>
            <w:rStyle w:val="Hyperlink"/>
            <w:rFonts w:ascii="Times New Roman" w:hAnsi="Times New Roman" w:cs="Times New Roman"/>
          </w:rPr>
          <w:t>Declaración Conjunta Interinstitucional + DPN OCTUBRE 2022.pdf</w:t>
        </w:r>
      </w:hyperlink>
      <w:r w:rsidRPr="002D3B10">
        <w:rPr>
          <w:rFonts w:ascii="Times New Roman" w:hAnsi="Times New Roman" w:cs="Times New Roman"/>
        </w:rPr>
        <w:t xml:space="preserve">  </w:t>
      </w:r>
      <w:hyperlink r:id="rId21" w:history="1">
        <w:r w:rsidRPr="002D3B10">
          <w:rPr>
            <w:rStyle w:val="Hyperlink"/>
            <w:rFonts w:ascii="Times New Roman" w:hAnsi="Times New Roman" w:cs="Times New Roman"/>
          </w:rPr>
          <w:t>PRONUNCIAMIENTO CONJUNTO SOBRE JUSTICIA PENAL JUVENIL.pdf</w:t>
        </w:r>
      </w:hyperlink>
      <w:r w:rsidRPr="002D3B10">
        <w:rPr>
          <w:rFonts w:ascii="Times New Roman" w:hAnsi="Times New Roman" w:cs="Times New Roman"/>
        </w:rPr>
        <w:t xml:space="preserve">, entre otros. </w:t>
      </w:r>
    </w:p>
  </w:footnote>
  <w:footnote w:id="46">
    <w:p w14:paraId="56DB1616" w14:textId="254773A9" w:rsidR="0045422D" w:rsidRPr="002D3B10" w:rsidRDefault="0045422D" w:rsidP="002D3B10">
      <w:pPr>
        <w:pStyle w:val="FootnoteText"/>
        <w:jc w:val="both"/>
        <w:rPr>
          <w:rFonts w:ascii="Times New Roman" w:hAnsi="Times New Roman" w:cs="Times New Roman"/>
          <w:lang w:val="es-ES"/>
        </w:rPr>
      </w:pPr>
      <w:r w:rsidRPr="002D3B10">
        <w:rPr>
          <w:rStyle w:val="FootnoteReference"/>
          <w:rFonts w:ascii="Times New Roman" w:hAnsi="Times New Roman" w:cs="Times New Roman"/>
        </w:rPr>
        <w:footnoteRef/>
      </w:r>
      <w:r w:rsidRPr="002D3B10">
        <w:rPr>
          <w:rFonts w:ascii="Times New Roman" w:hAnsi="Times New Roman" w:cs="Times New Roman"/>
        </w:rPr>
        <w:t xml:space="preserve"> </w:t>
      </w:r>
      <w:r w:rsidRPr="002D3B10">
        <w:rPr>
          <w:rFonts w:ascii="Times New Roman" w:eastAsia="Arial" w:hAnsi="Times New Roman" w:cs="Times New Roman"/>
          <w:color w:val="000000" w:themeColor="text1"/>
          <w:lang w:val="es-ES"/>
        </w:rPr>
        <w:t xml:space="preserve">Recomendación sobre el Acceso a la información relativa a las personas extrajeras retenidas en el marco de la aplicación de la Ley N°25.871, disponible en </w:t>
      </w:r>
      <w:hyperlink r:id="rId22" w:history="1">
        <w:r w:rsidRPr="002D3B10">
          <w:rPr>
            <w:rStyle w:val="Hyperlink"/>
            <w:rFonts w:ascii="Times New Roman" w:eastAsia="Arial" w:hAnsi="Times New Roman" w:cs="Times New Roman"/>
            <w:lang w:val="es-ES"/>
          </w:rPr>
          <w:t>https://ppn.gov.ar/index.php/institucional/noticias/876-recomendacion-sobre-el-acceso-a-la-informacion-relativa-a-las-personas-extrajeras-retenidas</w:t>
        </w:r>
      </w:hyperlink>
    </w:p>
  </w:footnote>
  <w:footnote w:id="47">
    <w:p w14:paraId="1BA2C06A" w14:textId="77777777" w:rsidR="0045422D" w:rsidRPr="002D3B10" w:rsidRDefault="0045422D" w:rsidP="002D3B10">
      <w:pPr>
        <w:pStyle w:val="FootnoteText"/>
        <w:jc w:val="both"/>
        <w:rPr>
          <w:rFonts w:ascii="Times New Roman" w:hAnsi="Times New Roman" w:cs="Times New Roman"/>
          <w:lang w:val="es-ES"/>
        </w:rPr>
      </w:pPr>
      <w:r w:rsidRPr="002D3B10">
        <w:rPr>
          <w:rStyle w:val="FootnoteReference"/>
          <w:rFonts w:ascii="Times New Roman" w:hAnsi="Times New Roman" w:cs="Times New Roman"/>
        </w:rPr>
        <w:footnoteRef/>
      </w:r>
      <w:r w:rsidRPr="002D3B10">
        <w:rPr>
          <w:rFonts w:ascii="Times New Roman" w:hAnsi="Times New Roman" w:cs="Times New Roman"/>
        </w:rPr>
        <w:t xml:space="preserve"> </w:t>
      </w:r>
      <w:r w:rsidRPr="002D3B10">
        <w:rPr>
          <w:rFonts w:ascii="Times New Roman" w:hAnsi="Times New Roman" w:cs="Times New Roman"/>
          <w:color w:val="000000"/>
          <w:lang w:eastAsia="es-AR"/>
        </w:rPr>
        <w:t>La ley N° 24.480, sancionada el 29 de marzo de 1995 dispuso la creación del “Centro Nacional de Informática sobre Detenidos y Extravíos de Personas”, que debía funcionar dependiente del Poder Judicial de la Nación y bajo la jurisdicción de la Corte Suprema de Justicia de la Nación.</w:t>
      </w:r>
    </w:p>
  </w:footnote>
  <w:footnote w:id="48">
    <w:p w14:paraId="4416B7A6" w14:textId="25DD69F9" w:rsidR="0045422D" w:rsidRPr="002D3B10" w:rsidRDefault="0045422D" w:rsidP="002D3B10">
      <w:pPr>
        <w:pStyle w:val="FootnoteText"/>
        <w:jc w:val="both"/>
        <w:rPr>
          <w:rFonts w:ascii="Times New Roman" w:hAnsi="Times New Roman" w:cs="Times New Roman"/>
        </w:rPr>
      </w:pPr>
      <w:r w:rsidRPr="002D3B10">
        <w:rPr>
          <w:rStyle w:val="FootnoteReference"/>
          <w:rFonts w:ascii="Times New Roman" w:hAnsi="Times New Roman" w:cs="Times New Roman"/>
        </w:rPr>
        <w:footnoteRef/>
      </w:r>
      <w:r w:rsidRPr="002D3B10">
        <w:rPr>
          <w:rFonts w:ascii="Times New Roman" w:hAnsi="Times New Roman" w:cs="Times New Roman"/>
        </w:rPr>
        <w:t xml:space="preserve"> La última información disponible correspondiente a diciembre de 2024 fue publicada hace pocas semanas y puede consultarse en </w:t>
      </w:r>
      <w:hyperlink r:id="rId23" w:history="1">
        <w:r w:rsidRPr="002D3B10">
          <w:rPr>
            <w:rStyle w:val="Hyperlink"/>
            <w:rFonts w:ascii="Times New Roman" w:hAnsi="Times New Roman" w:cs="Times New Roman"/>
          </w:rPr>
          <w:t>https://www.argentina.gob.ar/justicia/politicacriminal/sneep-2024</w:t>
        </w:r>
      </w:hyperlink>
      <w:r w:rsidRPr="002D3B10">
        <w:rPr>
          <w:rFonts w:ascii="Times New Roman" w:hAnsi="Times New Roman" w:cs="Times New Roman"/>
          <w:lang w:val="es-ES"/>
        </w:rPr>
        <w:t>. Ver en pág. 34 la información de presos en comisarías.</w:t>
      </w:r>
    </w:p>
  </w:footnote>
  <w:footnote w:id="49">
    <w:p w14:paraId="5CEB2141" w14:textId="3D8D51FC" w:rsidR="0045422D" w:rsidRPr="002D3B10" w:rsidRDefault="0045422D" w:rsidP="002D3B10">
      <w:pPr>
        <w:pStyle w:val="FootnoteText"/>
        <w:jc w:val="both"/>
        <w:rPr>
          <w:rFonts w:ascii="Times New Roman" w:hAnsi="Times New Roman" w:cs="Times New Roman"/>
        </w:rPr>
      </w:pPr>
      <w:r w:rsidRPr="002D3B10">
        <w:rPr>
          <w:rStyle w:val="FootnoteReference"/>
          <w:rFonts w:ascii="Times New Roman" w:hAnsi="Times New Roman" w:cs="Times New Roman"/>
        </w:rPr>
        <w:footnoteRef/>
      </w:r>
      <w:r w:rsidRPr="002D3B10">
        <w:rPr>
          <w:rFonts w:ascii="Times New Roman" w:hAnsi="Times New Roman" w:cs="Times New Roman"/>
        </w:rPr>
        <w:t xml:space="preserve"> Creado mediante la Resolución PPN Nº 89-07. Se pueden consultar los resultados en los sucesivos Informes Anuales de la PPN. Por caso, en Informe Anual 2024, pág. 205 y ss.</w:t>
      </w:r>
    </w:p>
  </w:footnote>
  <w:footnote w:id="50">
    <w:p w14:paraId="1011F952" w14:textId="77777777" w:rsidR="0045422D" w:rsidRPr="002D3B10" w:rsidRDefault="0045422D" w:rsidP="002D3B10">
      <w:pPr>
        <w:pStyle w:val="FootnoteText"/>
        <w:jc w:val="both"/>
        <w:rPr>
          <w:rFonts w:ascii="Times New Roman" w:hAnsi="Times New Roman" w:cs="Times New Roman"/>
          <w:lang w:val="es-ES"/>
        </w:rPr>
      </w:pPr>
      <w:r w:rsidRPr="002D3B10">
        <w:rPr>
          <w:rStyle w:val="FootnoteReference"/>
          <w:rFonts w:ascii="Times New Roman" w:hAnsi="Times New Roman" w:cs="Times New Roman"/>
        </w:rPr>
        <w:footnoteRef/>
      </w:r>
      <w:r w:rsidRPr="002D3B10">
        <w:rPr>
          <w:rFonts w:ascii="Times New Roman" w:hAnsi="Times New Roman" w:cs="Times New Roman"/>
        </w:rPr>
        <w:t xml:space="preserve"> </w:t>
      </w:r>
      <w:r w:rsidRPr="002D3B10">
        <w:rPr>
          <w:rFonts w:ascii="Times New Roman" w:hAnsi="Times New Roman" w:cs="Times New Roman"/>
          <w:lang w:val="es-ES"/>
        </w:rPr>
        <w:t xml:space="preserve">Ver Dirección Nacional de Política Criminal. </w:t>
      </w:r>
      <w:r w:rsidRPr="002D3B10">
        <w:rPr>
          <w:rFonts w:ascii="Times New Roman" w:hAnsi="Times New Roman" w:cs="Times New Roman"/>
          <w:i/>
          <w:lang w:val="es-ES"/>
        </w:rPr>
        <w:t>Sistema Nacional de Estadísticas de Ejecución de la Pena. 2024. Informe Argentina</w:t>
      </w:r>
      <w:r w:rsidRPr="002D3B10">
        <w:rPr>
          <w:rFonts w:ascii="Times New Roman" w:hAnsi="Times New Roman" w:cs="Times New Roman"/>
          <w:lang w:val="es-ES"/>
        </w:rPr>
        <w:t xml:space="preserve">, pp. 100 y ss. Disponible en </w:t>
      </w:r>
      <w:hyperlink r:id="rId24" w:history="1">
        <w:r w:rsidRPr="002D3B10">
          <w:rPr>
            <w:rStyle w:val="Hyperlink"/>
            <w:rFonts w:ascii="Times New Roman" w:hAnsi="Times New Roman" w:cs="Times New Roman"/>
            <w:lang w:val="es-ES"/>
          </w:rPr>
          <w:t>https://www.argentina.gob.ar/sites/default/files/2025/09/informe_sneep_argentina_2024_3.pdf</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BD275"/>
    <w:multiLevelType w:val="hybridMultilevel"/>
    <w:tmpl w:val="EB0499E4"/>
    <w:lvl w:ilvl="0" w:tplc="52028D6E">
      <w:start w:val="1"/>
      <w:numFmt w:val="bullet"/>
      <w:lvlText w:val=""/>
      <w:lvlJc w:val="left"/>
      <w:pPr>
        <w:ind w:left="720" w:hanging="360"/>
      </w:pPr>
      <w:rPr>
        <w:rFonts w:ascii="Symbol" w:hAnsi="Symbol" w:hint="default"/>
      </w:rPr>
    </w:lvl>
    <w:lvl w:ilvl="1" w:tplc="2AA4493A">
      <w:start w:val="1"/>
      <w:numFmt w:val="bullet"/>
      <w:lvlText w:val="o"/>
      <w:lvlJc w:val="left"/>
      <w:pPr>
        <w:ind w:left="1440" w:hanging="360"/>
      </w:pPr>
      <w:rPr>
        <w:rFonts w:ascii="Courier New" w:hAnsi="Courier New" w:hint="default"/>
      </w:rPr>
    </w:lvl>
    <w:lvl w:ilvl="2" w:tplc="BEE6FF46">
      <w:start w:val="1"/>
      <w:numFmt w:val="bullet"/>
      <w:lvlText w:val=""/>
      <w:lvlJc w:val="left"/>
      <w:pPr>
        <w:ind w:left="2160" w:hanging="360"/>
      </w:pPr>
      <w:rPr>
        <w:rFonts w:ascii="Wingdings" w:hAnsi="Wingdings" w:hint="default"/>
      </w:rPr>
    </w:lvl>
    <w:lvl w:ilvl="3" w:tplc="AAB69928">
      <w:start w:val="1"/>
      <w:numFmt w:val="bullet"/>
      <w:lvlText w:val=""/>
      <w:lvlJc w:val="left"/>
      <w:pPr>
        <w:ind w:left="2880" w:hanging="360"/>
      </w:pPr>
      <w:rPr>
        <w:rFonts w:ascii="Symbol" w:hAnsi="Symbol" w:hint="default"/>
      </w:rPr>
    </w:lvl>
    <w:lvl w:ilvl="4" w:tplc="3A3EB888">
      <w:start w:val="1"/>
      <w:numFmt w:val="bullet"/>
      <w:lvlText w:val="o"/>
      <w:lvlJc w:val="left"/>
      <w:pPr>
        <w:ind w:left="3600" w:hanging="360"/>
      </w:pPr>
      <w:rPr>
        <w:rFonts w:ascii="Courier New" w:hAnsi="Courier New" w:hint="default"/>
      </w:rPr>
    </w:lvl>
    <w:lvl w:ilvl="5" w:tplc="B3AC6754">
      <w:start w:val="1"/>
      <w:numFmt w:val="bullet"/>
      <w:lvlText w:val=""/>
      <w:lvlJc w:val="left"/>
      <w:pPr>
        <w:ind w:left="4320" w:hanging="360"/>
      </w:pPr>
      <w:rPr>
        <w:rFonts w:ascii="Wingdings" w:hAnsi="Wingdings" w:hint="default"/>
      </w:rPr>
    </w:lvl>
    <w:lvl w:ilvl="6" w:tplc="58FC1E24">
      <w:start w:val="1"/>
      <w:numFmt w:val="bullet"/>
      <w:lvlText w:val=""/>
      <w:lvlJc w:val="left"/>
      <w:pPr>
        <w:ind w:left="5040" w:hanging="360"/>
      </w:pPr>
      <w:rPr>
        <w:rFonts w:ascii="Symbol" w:hAnsi="Symbol" w:hint="default"/>
      </w:rPr>
    </w:lvl>
    <w:lvl w:ilvl="7" w:tplc="CEBA6480">
      <w:start w:val="1"/>
      <w:numFmt w:val="bullet"/>
      <w:lvlText w:val="o"/>
      <w:lvlJc w:val="left"/>
      <w:pPr>
        <w:ind w:left="5760" w:hanging="360"/>
      </w:pPr>
      <w:rPr>
        <w:rFonts w:ascii="Courier New" w:hAnsi="Courier New" w:hint="default"/>
      </w:rPr>
    </w:lvl>
    <w:lvl w:ilvl="8" w:tplc="E20A3DFA">
      <w:start w:val="1"/>
      <w:numFmt w:val="bullet"/>
      <w:lvlText w:val=""/>
      <w:lvlJc w:val="left"/>
      <w:pPr>
        <w:ind w:left="6480" w:hanging="360"/>
      </w:pPr>
      <w:rPr>
        <w:rFonts w:ascii="Wingdings" w:hAnsi="Wingdings" w:hint="default"/>
      </w:rPr>
    </w:lvl>
  </w:abstractNum>
  <w:abstractNum w:abstractNumId="1" w15:restartNumberingAfterBreak="0">
    <w:nsid w:val="1FBAB726"/>
    <w:multiLevelType w:val="hybridMultilevel"/>
    <w:tmpl w:val="23BA21E4"/>
    <w:lvl w:ilvl="0" w:tplc="906E4A8C">
      <w:start w:val="1"/>
      <w:numFmt w:val="bullet"/>
      <w:lvlText w:val=""/>
      <w:lvlJc w:val="left"/>
      <w:pPr>
        <w:ind w:left="720" w:hanging="360"/>
      </w:pPr>
      <w:rPr>
        <w:rFonts w:ascii="Symbol" w:hAnsi="Symbol" w:hint="default"/>
      </w:rPr>
    </w:lvl>
    <w:lvl w:ilvl="1" w:tplc="57E42E00">
      <w:start w:val="1"/>
      <w:numFmt w:val="bullet"/>
      <w:lvlText w:val="o"/>
      <w:lvlJc w:val="left"/>
      <w:pPr>
        <w:ind w:left="1440" w:hanging="360"/>
      </w:pPr>
      <w:rPr>
        <w:rFonts w:ascii="Courier New" w:hAnsi="Courier New" w:hint="default"/>
      </w:rPr>
    </w:lvl>
    <w:lvl w:ilvl="2" w:tplc="14BE39AC">
      <w:start w:val="1"/>
      <w:numFmt w:val="bullet"/>
      <w:lvlText w:val=""/>
      <w:lvlJc w:val="left"/>
      <w:pPr>
        <w:ind w:left="2160" w:hanging="360"/>
      </w:pPr>
      <w:rPr>
        <w:rFonts w:ascii="Wingdings" w:hAnsi="Wingdings" w:hint="default"/>
      </w:rPr>
    </w:lvl>
    <w:lvl w:ilvl="3" w:tplc="E34EDA9A">
      <w:start w:val="1"/>
      <w:numFmt w:val="bullet"/>
      <w:lvlText w:val=""/>
      <w:lvlJc w:val="left"/>
      <w:pPr>
        <w:ind w:left="2880" w:hanging="360"/>
      </w:pPr>
      <w:rPr>
        <w:rFonts w:ascii="Symbol" w:hAnsi="Symbol" w:hint="default"/>
      </w:rPr>
    </w:lvl>
    <w:lvl w:ilvl="4" w:tplc="F3F22A22">
      <w:start w:val="1"/>
      <w:numFmt w:val="bullet"/>
      <w:lvlText w:val="o"/>
      <w:lvlJc w:val="left"/>
      <w:pPr>
        <w:ind w:left="3600" w:hanging="360"/>
      </w:pPr>
      <w:rPr>
        <w:rFonts w:ascii="Courier New" w:hAnsi="Courier New" w:hint="default"/>
      </w:rPr>
    </w:lvl>
    <w:lvl w:ilvl="5" w:tplc="D55CEA4C">
      <w:start w:val="1"/>
      <w:numFmt w:val="bullet"/>
      <w:lvlText w:val=""/>
      <w:lvlJc w:val="left"/>
      <w:pPr>
        <w:ind w:left="4320" w:hanging="360"/>
      </w:pPr>
      <w:rPr>
        <w:rFonts w:ascii="Wingdings" w:hAnsi="Wingdings" w:hint="default"/>
      </w:rPr>
    </w:lvl>
    <w:lvl w:ilvl="6" w:tplc="20CCA6DA">
      <w:start w:val="1"/>
      <w:numFmt w:val="bullet"/>
      <w:lvlText w:val=""/>
      <w:lvlJc w:val="left"/>
      <w:pPr>
        <w:ind w:left="5040" w:hanging="360"/>
      </w:pPr>
      <w:rPr>
        <w:rFonts w:ascii="Symbol" w:hAnsi="Symbol" w:hint="default"/>
      </w:rPr>
    </w:lvl>
    <w:lvl w:ilvl="7" w:tplc="8580207A">
      <w:start w:val="1"/>
      <w:numFmt w:val="bullet"/>
      <w:lvlText w:val="o"/>
      <w:lvlJc w:val="left"/>
      <w:pPr>
        <w:ind w:left="5760" w:hanging="360"/>
      </w:pPr>
      <w:rPr>
        <w:rFonts w:ascii="Courier New" w:hAnsi="Courier New" w:hint="default"/>
      </w:rPr>
    </w:lvl>
    <w:lvl w:ilvl="8" w:tplc="67662BC4">
      <w:start w:val="1"/>
      <w:numFmt w:val="bullet"/>
      <w:lvlText w:val=""/>
      <w:lvlJc w:val="left"/>
      <w:pPr>
        <w:ind w:left="6480" w:hanging="360"/>
      </w:pPr>
      <w:rPr>
        <w:rFonts w:ascii="Wingdings" w:hAnsi="Wingdings" w:hint="default"/>
      </w:rPr>
    </w:lvl>
  </w:abstractNum>
  <w:abstractNum w:abstractNumId="2" w15:restartNumberingAfterBreak="0">
    <w:nsid w:val="21CA6CFE"/>
    <w:multiLevelType w:val="hybridMultilevel"/>
    <w:tmpl w:val="A36C0046"/>
    <w:lvl w:ilvl="0" w:tplc="A008D748">
      <w:numFmt w:val="bullet"/>
      <w:lvlText w:val=""/>
      <w:lvlJc w:val="left"/>
      <w:pPr>
        <w:ind w:left="720" w:hanging="360"/>
      </w:pPr>
      <w:rPr>
        <w:rFonts w:ascii="Wingdings" w:eastAsiaTheme="minorHAnsi" w:hAnsi="Wingdings" w:cstheme="minorBidi"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 w15:restartNumberingAfterBreak="0">
    <w:nsid w:val="36466138"/>
    <w:multiLevelType w:val="hybridMultilevel"/>
    <w:tmpl w:val="D3B8B7F2"/>
    <w:lvl w:ilvl="0" w:tplc="F412F6A6">
      <w:start w:val="1"/>
      <w:numFmt w:val="decimal"/>
      <w:lvlText w:val="%1."/>
      <w:lvlJc w:val="left"/>
      <w:pPr>
        <w:ind w:left="1069" w:hanging="360"/>
      </w:pPr>
      <w:rPr>
        <w:rFonts w:hint="default"/>
      </w:rPr>
    </w:lvl>
    <w:lvl w:ilvl="1" w:tplc="2C0A0019" w:tentative="1">
      <w:start w:val="1"/>
      <w:numFmt w:val="lowerLetter"/>
      <w:lvlText w:val="%2."/>
      <w:lvlJc w:val="left"/>
      <w:pPr>
        <w:ind w:left="1789" w:hanging="360"/>
      </w:pPr>
    </w:lvl>
    <w:lvl w:ilvl="2" w:tplc="2C0A001B" w:tentative="1">
      <w:start w:val="1"/>
      <w:numFmt w:val="lowerRoman"/>
      <w:lvlText w:val="%3."/>
      <w:lvlJc w:val="right"/>
      <w:pPr>
        <w:ind w:left="2509" w:hanging="180"/>
      </w:pPr>
    </w:lvl>
    <w:lvl w:ilvl="3" w:tplc="2C0A000F" w:tentative="1">
      <w:start w:val="1"/>
      <w:numFmt w:val="decimal"/>
      <w:lvlText w:val="%4."/>
      <w:lvlJc w:val="left"/>
      <w:pPr>
        <w:ind w:left="3229" w:hanging="360"/>
      </w:pPr>
    </w:lvl>
    <w:lvl w:ilvl="4" w:tplc="2C0A0019" w:tentative="1">
      <w:start w:val="1"/>
      <w:numFmt w:val="lowerLetter"/>
      <w:lvlText w:val="%5."/>
      <w:lvlJc w:val="left"/>
      <w:pPr>
        <w:ind w:left="3949" w:hanging="360"/>
      </w:pPr>
    </w:lvl>
    <w:lvl w:ilvl="5" w:tplc="2C0A001B" w:tentative="1">
      <w:start w:val="1"/>
      <w:numFmt w:val="lowerRoman"/>
      <w:lvlText w:val="%6."/>
      <w:lvlJc w:val="right"/>
      <w:pPr>
        <w:ind w:left="4669" w:hanging="180"/>
      </w:pPr>
    </w:lvl>
    <w:lvl w:ilvl="6" w:tplc="2C0A000F" w:tentative="1">
      <w:start w:val="1"/>
      <w:numFmt w:val="decimal"/>
      <w:lvlText w:val="%7."/>
      <w:lvlJc w:val="left"/>
      <w:pPr>
        <w:ind w:left="5389" w:hanging="360"/>
      </w:pPr>
    </w:lvl>
    <w:lvl w:ilvl="7" w:tplc="2C0A0019" w:tentative="1">
      <w:start w:val="1"/>
      <w:numFmt w:val="lowerLetter"/>
      <w:lvlText w:val="%8."/>
      <w:lvlJc w:val="left"/>
      <w:pPr>
        <w:ind w:left="6109" w:hanging="360"/>
      </w:pPr>
    </w:lvl>
    <w:lvl w:ilvl="8" w:tplc="2C0A001B" w:tentative="1">
      <w:start w:val="1"/>
      <w:numFmt w:val="lowerRoman"/>
      <w:lvlText w:val="%9."/>
      <w:lvlJc w:val="right"/>
      <w:pPr>
        <w:ind w:left="6829" w:hanging="180"/>
      </w:pPr>
    </w:lvl>
  </w:abstractNum>
  <w:abstractNum w:abstractNumId="4" w15:restartNumberingAfterBreak="0">
    <w:nsid w:val="46AF5811"/>
    <w:multiLevelType w:val="hybridMultilevel"/>
    <w:tmpl w:val="29BC8AEE"/>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15:restartNumberingAfterBreak="0">
    <w:nsid w:val="596DA971"/>
    <w:multiLevelType w:val="hybridMultilevel"/>
    <w:tmpl w:val="B1303512"/>
    <w:lvl w:ilvl="0" w:tplc="7F9861DC">
      <w:start w:val="1"/>
      <w:numFmt w:val="bullet"/>
      <w:lvlText w:val=""/>
      <w:lvlJc w:val="left"/>
      <w:pPr>
        <w:ind w:left="720" w:hanging="360"/>
      </w:pPr>
      <w:rPr>
        <w:rFonts w:ascii="Symbol" w:hAnsi="Symbol" w:hint="default"/>
      </w:rPr>
    </w:lvl>
    <w:lvl w:ilvl="1" w:tplc="9A0C4F02">
      <w:start w:val="1"/>
      <w:numFmt w:val="bullet"/>
      <w:lvlText w:val="o"/>
      <w:lvlJc w:val="left"/>
      <w:pPr>
        <w:ind w:left="1440" w:hanging="360"/>
      </w:pPr>
      <w:rPr>
        <w:rFonts w:ascii="Courier New" w:hAnsi="Courier New" w:hint="default"/>
      </w:rPr>
    </w:lvl>
    <w:lvl w:ilvl="2" w:tplc="573401BE">
      <w:start w:val="1"/>
      <w:numFmt w:val="bullet"/>
      <w:lvlText w:val=""/>
      <w:lvlJc w:val="left"/>
      <w:pPr>
        <w:ind w:left="2160" w:hanging="360"/>
      </w:pPr>
      <w:rPr>
        <w:rFonts w:ascii="Wingdings" w:hAnsi="Wingdings" w:hint="default"/>
      </w:rPr>
    </w:lvl>
    <w:lvl w:ilvl="3" w:tplc="1F124478">
      <w:start w:val="1"/>
      <w:numFmt w:val="bullet"/>
      <w:lvlText w:val=""/>
      <w:lvlJc w:val="left"/>
      <w:pPr>
        <w:ind w:left="2880" w:hanging="360"/>
      </w:pPr>
      <w:rPr>
        <w:rFonts w:ascii="Symbol" w:hAnsi="Symbol" w:hint="default"/>
      </w:rPr>
    </w:lvl>
    <w:lvl w:ilvl="4" w:tplc="16D8BFC0">
      <w:start w:val="1"/>
      <w:numFmt w:val="bullet"/>
      <w:lvlText w:val="o"/>
      <w:lvlJc w:val="left"/>
      <w:pPr>
        <w:ind w:left="3600" w:hanging="360"/>
      </w:pPr>
      <w:rPr>
        <w:rFonts w:ascii="Courier New" w:hAnsi="Courier New" w:hint="default"/>
      </w:rPr>
    </w:lvl>
    <w:lvl w:ilvl="5" w:tplc="D58E5772">
      <w:start w:val="1"/>
      <w:numFmt w:val="bullet"/>
      <w:lvlText w:val=""/>
      <w:lvlJc w:val="left"/>
      <w:pPr>
        <w:ind w:left="4320" w:hanging="360"/>
      </w:pPr>
      <w:rPr>
        <w:rFonts w:ascii="Wingdings" w:hAnsi="Wingdings" w:hint="default"/>
      </w:rPr>
    </w:lvl>
    <w:lvl w:ilvl="6" w:tplc="118A4F66">
      <w:start w:val="1"/>
      <w:numFmt w:val="bullet"/>
      <w:lvlText w:val=""/>
      <w:lvlJc w:val="left"/>
      <w:pPr>
        <w:ind w:left="5040" w:hanging="360"/>
      </w:pPr>
      <w:rPr>
        <w:rFonts w:ascii="Symbol" w:hAnsi="Symbol" w:hint="default"/>
      </w:rPr>
    </w:lvl>
    <w:lvl w:ilvl="7" w:tplc="8B0027C0">
      <w:start w:val="1"/>
      <w:numFmt w:val="bullet"/>
      <w:lvlText w:val="o"/>
      <w:lvlJc w:val="left"/>
      <w:pPr>
        <w:ind w:left="5760" w:hanging="360"/>
      </w:pPr>
      <w:rPr>
        <w:rFonts w:ascii="Courier New" w:hAnsi="Courier New" w:hint="default"/>
      </w:rPr>
    </w:lvl>
    <w:lvl w:ilvl="8" w:tplc="618A55E2">
      <w:start w:val="1"/>
      <w:numFmt w:val="bullet"/>
      <w:lvlText w:val=""/>
      <w:lvlJc w:val="left"/>
      <w:pPr>
        <w:ind w:left="6480" w:hanging="360"/>
      </w:pPr>
      <w:rPr>
        <w:rFonts w:ascii="Wingdings" w:hAnsi="Wingdings" w:hint="default"/>
      </w:rPr>
    </w:lvl>
  </w:abstractNum>
  <w:abstractNum w:abstractNumId="6" w15:restartNumberingAfterBreak="0">
    <w:nsid w:val="5C964142"/>
    <w:multiLevelType w:val="multilevel"/>
    <w:tmpl w:val="9814DFE8"/>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F917C1D"/>
    <w:multiLevelType w:val="multilevel"/>
    <w:tmpl w:val="892A9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BA3C1D"/>
    <w:multiLevelType w:val="hybridMultilevel"/>
    <w:tmpl w:val="015C6896"/>
    <w:lvl w:ilvl="0" w:tplc="DE3E7472">
      <w:start w:val="1"/>
      <w:numFmt w:val="bullet"/>
      <w:lvlText w:val=""/>
      <w:lvlJc w:val="left"/>
      <w:pPr>
        <w:ind w:left="720" w:hanging="360"/>
      </w:pPr>
      <w:rPr>
        <w:rFonts w:ascii="Symbol" w:hAnsi="Symbol" w:hint="default"/>
      </w:rPr>
    </w:lvl>
    <w:lvl w:ilvl="1" w:tplc="A7AC12D2">
      <w:start w:val="1"/>
      <w:numFmt w:val="bullet"/>
      <w:lvlText w:val="o"/>
      <w:lvlJc w:val="left"/>
      <w:pPr>
        <w:ind w:left="1440" w:hanging="360"/>
      </w:pPr>
      <w:rPr>
        <w:rFonts w:ascii="Courier New" w:hAnsi="Courier New" w:hint="default"/>
      </w:rPr>
    </w:lvl>
    <w:lvl w:ilvl="2" w:tplc="71A2D1F0">
      <w:start w:val="1"/>
      <w:numFmt w:val="bullet"/>
      <w:lvlText w:val=""/>
      <w:lvlJc w:val="left"/>
      <w:pPr>
        <w:ind w:left="2160" w:hanging="360"/>
      </w:pPr>
      <w:rPr>
        <w:rFonts w:ascii="Wingdings" w:hAnsi="Wingdings" w:hint="default"/>
      </w:rPr>
    </w:lvl>
    <w:lvl w:ilvl="3" w:tplc="83D4F54A">
      <w:start w:val="1"/>
      <w:numFmt w:val="bullet"/>
      <w:lvlText w:val=""/>
      <w:lvlJc w:val="left"/>
      <w:pPr>
        <w:ind w:left="2880" w:hanging="360"/>
      </w:pPr>
      <w:rPr>
        <w:rFonts w:ascii="Symbol" w:hAnsi="Symbol" w:hint="default"/>
      </w:rPr>
    </w:lvl>
    <w:lvl w:ilvl="4" w:tplc="BA3C3A5C">
      <w:start w:val="1"/>
      <w:numFmt w:val="bullet"/>
      <w:lvlText w:val="o"/>
      <w:lvlJc w:val="left"/>
      <w:pPr>
        <w:ind w:left="3600" w:hanging="360"/>
      </w:pPr>
      <w:rPr>
        <w:rFonts w:ascii="Courier New" w:hAnsi="Courier New" w:hint="default"/>
      </w:rPr>
    </w:lvl>
    <w:lvl w:ilvl="5" w:tplc="52E69C7A">
      <w:start w:val="1"/>
      <w:numFmt w:val="bullet"/>
      <w:lvlText w:val=""/>
      <w:lvlJc w:val="left"/>
      <w:pPr>
        <w:ind w:left="4320" w:hanging="360"/>
      </w:pPr>
      <w:rPr>
        <w:rFonts w:ascii="Wingdings" w:hAnsi="Wingdings" w:hint="default"/>
      </w:rPr>
    </w:lvl>
    <w:lvl w:ilvl="6" w:tplc="797E43F8">
      <w:start w:val="1"/>
      <w:numFmt w:val="bullet"/>
      <w:lvlText w:val=""/>
      <w:lvlJc w:val="left"/>
      <w:pPr>
        <w:ind w:left="5040" w:hanging="360"/>
      </w:pPr>
      <w:rPr>
        <w:rFonts w:ascii="Symbol" w:hAnsi="Symbol" w:hint="default"/>
      </w:rPr>
    </w:lvl>
    <w:lvl w:ilvl="7" w:tplc="ECE21804">
      <w:start w:val="1"/>
      <w:numFmt w:val="bullet"/>
      <w:lvlText w:val="o"/>
      <w:lvlJc w:val="left"/>
      <w:pPr>
        <w:ind w:left="5760" w:hanging="360"/>
      </w:pPr>
      <w:rPr>
        <w:rFonts w:ascii="Courier New" w:hAnsi="Courier New" w:hint="default"/>
      </w:rPr>
    </w:lvl>
    <w:lvl w:ilvl="8" w:tplc="C76CEFCE">
      <w:start w:val="1"/>
      <w:numFmt w:val="bullet"/>
      <w:lvlText w:val=""/>
      <w:lvlJc w:val="left"/>
      <w:pPr>
        <w:ind w:left="6480" w:hanging="360"/>
      </w:pPr>
      <w:rPr>
        <w:rFonts w:ascii="Wingdings" w:hAnsi="Wingdings" w:hint="default"/>
      </w:rPr>
    </w:lvl>
  </w:abstractNum>
  <w:abstractNum w:abstractNumId="9" w15:restartNumberingAfterBreak="0">
    <w:nsid w:val="70C989EF"/>
    <w:multiLevelType w:val="hybridMultilevel"/>
    <w:tmpl w:val="BC06E556"/>
    <w:lvl w:ilvl="0" w:tplc="9C8C3D5C">
      <w:start w:val="1"/>
      <w:numFmt w:val="bullet"/>
      <w:lvlText w:val=""/>
      <w:lvlJc w:val="left"/>
      <w:pPr>
        <w:ind w:left="720" w:hanging="360"/>
      </w:pPr>
      <w:rPr>
        <w:rFonts w:ascii="Symbol" w:hAnsi="Symbol" w:hint="default"/>
      </w:rPr>
    </w:lvl>
    <w:lvl w:ilvl="1" w:tplc="5A2CA1D2">
      <w:start w:val="1"/>
      <w:numFmt w:val="bullet"/>
      <w:lvlText w:val="o"/>
      <w:lvlJc w:val="left"/>
      <w:pPr>
        <w:ind w:left="1440" w:hanging="360"/>
      </w:pPr>
      <w:rPr>
        <w:rFonts w:ascii="Courier New" w:hAnsi="Courier New" w:hint="default"/>
      </w:rPr>
    </w:lvl>
    <w:lvl w:ilvl="2" w:tplc="6720C694">
      <w:start w:val="1"/>
      <w:numFmt w:val="bullet"/>
      <w:lvlText w:val=""/>
      <w:lvlJc w:val="left"/>
      <w:pPr>
        <w:ind w:left="2160" w:hanging="360"/>
      </w:pPr>
      <w:rPr>
        <w:rFonts w:ascii="Wingdings" w:hAnsi="Wingdings" w:hint="default"/>
      </w:rPr>
    </w:lvl>
    <w:lvl w:ilvl="3" w:tplc="9F12E1A4">
      <w:start w:val="1"/>
      <w:numFmt w:val="bullet"/>
      <w:lvlText w:val=""/>
      <w:lvlJc w:val="left"/>
      <w:pPr>
        <w:ind w:left="2880" w:hanging="360"/>
      </w:pPr>
      <w:rPr>
        <w:rFonts w:ascii="Symbol" w:hAnsi="Symbol" w:hint="default"/>
      </w:rPr>
    </w:lvl>
    <w:lvl w:ilvl="4" w:tplc="E598ACBE">
      <w:start w:val="1"/>
      <w:numFmt w:val="bullet"/>
      <w:lvlText w:val="o"/>
      <w:lvlJc w:val="left"/>
      <w:pPr>
        <w:ind w:left="3600" w:hanging="360"/>
      </w:pPr>
      <w:rPr>
        <w:rFonts w:ascii="Courier New" w:hAnsi="Courier New" w:hint="default"/>
      </w:rPr>
    </w:lvl>
    <w:lvl w:ilvl="5" w:tplc="A0403418">
      <w:start w:val="1"/>
      <w:numFmt w:val="bullet"/>
      <w:lvlText w:val=""/>
      <w:lvlJc w:val="left"/>
      <w:pPr>
        <w:ind w:left="4320" w:hanging="360"/>
      </w:pPr>
      <w:rPr>
        <w:rFonts w:ascii="Wingdings" w:hAnsi="Wingdings" w:hint="default"/>
      </w:rPr>
    </w:lvl>
    <w:lvl w:ilvl="6" w:tplc="D17AC474">
      <w:start w:val="1"/>
      <w:numFmt w:val="bullet"/>
      <w:lvlText w:val=""/>
      <w:lvlJc w:val="left"/>
      <w:pPr>
        <w:ind w:left="5040" w:hanging="360"/>
      </w:pPr>
      <w:rPr>
        <w:rFonts w:ascii="Symbol" w:hAnsi="Symbol" w:hint="default"/>
      </w:rPr>
    </w:lvl>
    <w:lvl w:ilvl="7" w:tplc="1D22E8C0">
      <w:start w:val="1"/>
      <w:numFmt w:val="bullet"/>
      <w:lvlText w:val="o"/>
      <w:lvlJc w:val="left"/>
      <w:pPr>
        <w:ind w:left="5760" w:hanging="360"/>
      </w:pPr>
      <w:rPr>
        <w:rFonts w:ascii="Courier New" w:hAnsi="Courier New" w:hint="default"/>
      </w:rPr>
    </w:lvl>
    <w:lvl w:ilvl="8" w:tplc="A524C18A">
      <w:start w:val="1"/>
      <w:numFmt w:val="bullet"/>
      <w:lvlText w:val=""/>
      <w:lvlJc w:val="left"/>
      <w:pPr>
        <w:ind w:left="6480" w:hanging="360"/>
      </w:pPr>
      <w:rPr>
        <w:rFonts w:ascii="Wingdings" w:hAnsi="Wingdings" w:hint="default"/>
      </w:rPr>
    </w:lvl>
  </w:abstractNum>
  <w:num w:numId="1" w16cid:durableId="1703826899">
    <w:abstractNumId w:val="6"/>
  </w:num>
  <w:num w:numId="2" w16cid:durableId="651756596">
    <w:abstractNumId w:val="5"/>
  </w:num>
  <w:num w:numId="3" w16cid:durableId="397484133">
    <w:abstractNumId w:val="1"/>
  </w:num>
  <w:num w:numId="4" w16cid:durableId="1036541901">
    <w:abstractNumId w:val="0"/>
  </w:num>
  <w:num w:numId="5" w16cid:durableId="233861893">
    <w:abstractNumId w:val="8"/>
  </w:num>
  <w:num w:numId="6" w16cid:durableId="1709792865">
    <w:abstractNumId w:val="9"/>
  </w:num>
  <w:num w:numId="7" w16cid:durableId="1140685212">
    <w:abstractNumId w:val="3"/>
  </w:num>
  <w:num w:numId="8" w16cid:durableId="332033853">
    <w:abstractNumId w:val="4"/>
  </w:num>
  <w:num w:numId="9" w16cid:durableId="728962326">
    <w:abstractNumId w:val="7"/>
  </w:num>
  <w:num w:numId="10" w16cid:durableId="2520118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36E"/>
    <w:rsid w:val="000125FC"/>
    <w:rsid w:val="00020318"/>
    <w:rsid w:val="00031CFC"/>
    <w:rsid w:val="000476B7"/>
    <w:rsid w:val="00051367"/>
    <w:rsid w:val="00071130"/>
    <w:rsid w:val="000731C1"/>
    <w:rsid w:val="00077FA2"/>
    <w:rsid w:val="000837D1"/>
    <w:rsid w:val="00095045"/>
    <w:rsid w:val="0009673B"/>
    <w:rsid w:val="00096B8F"/>
    <w:rsid w:val="00097141"/>
    <w:rsid w:val="000B7431"/>
    <w:rsid w:val="000B7E71"/>
    <w:rsid w:val="000D59A2"/>
    <w:rsid w:val="000E7601"/>
    <w:rsid w:val="000F4355"/>
    <w:rsid w:val="00100CE1"/>
    <w:rsid w:val="00101AC3"/>
    <w:rsid w:val="00114F42"/>
    <w:rsid w:val="00115968"/>
    <w:rsid w:val="00116AD3"/>
    <w:rsid w:val="001176CD"/>
    <w:rsid w:val="00127BF2"/>
    <w:rsid w:val="00131351"/>
    <w:rsid w:val="00143731"/>
    <w:rsid w:val="00143A70"/>
    <w:rsid w:val="00156C35"/>
    <w:rsid w:val="00160F10"/>
    <w:rsid w:val="00162D26"/>
    <w:rsid w:val="00167CEA"/>
    <w:rsid w:val="00175200"/>
    <w:rsid w:val="00186157"/>
    <w:rsid w:val="001B0622"/>
    <w:rsid w:val="001B692E"/>
    <w:rsid w:val="001D281C"/>
    <w:rsid w:val="001E333E"/>
    <w:rsid w:val="001E714A"/>
    <w:rsid w:val="001E7B21"/>
    <w:rsid w:val="001F193D"/>
    <w:rsid w:val="001F5834"/>
    <w:rsid w:val="002047F5"/>
    <w:rsid w:val="00205567"/>
    <w:rsid w:val="002075C7"/>
    <w:rsid w:val="00236967"/>
    <w:rsid w:val="0028008E"/>
    <w:rsid w:val="002960B7"/>
    <w:rsid w:val="002D1653"/>
    <w:rsid w:val="002D3B10"/>
    <w:rsid w:val="002D4E45"/>
    <w:rsid w:val="002F0D75"/>
    <w:rsid w:val="003119C7"/>
    <w:rsid w:val="003206F5"/>
    <w:rsid w:val="0033228D"/>
    <w:rsid w:val="00341237"/>
    <w:rsid w:val="00356454"/>
    <w:rsid w:val="0035779D"/>
    <w:rsid w:val="00367B9D"/>
    <w:rsid w:val="00380A1C"/>
    <w:rsid w:val="003819DA"/>
    <w:rsid w:val="003878FA"/>
    <w:rsid w:val="0039537A"/>
    <w:rsid w:val="003A5BFB"/>
    <w:rsid w:val="003B11DA"/>
    <w:rsid w:val="003B7CA2"/>
    <w:rsid w:val="003C495B"/>
    <w:rsid w:val="00405A5D"/>
    <w:rsid w:val="00411CD3"/>
    <w:rsid w:val="00414DDF"/>
    <w:rsid w:val="0043015D"/>
    <w:rsid w:val="004308EA"/>
    <w:rsid w:val="0045422D"/>
    <w:rsid w:val="00457BFC"/>
    <w:rsid w:val="00477B99"/>
    <w:rsid w:val="00490437"/>
    <w:rsid w:val="004B6B74"/>
    <w:rsid w:val="004D282A"/>
    <w:rsid w:val="004E2174"/>
    <w:rsid w:val="004E2810"/>
    <w:rsid w:val="004F6879"/>
    <w:rsid w:val="004F6E44"/>
    <w:rsid w:val="005038F8"/>
    <w:rsid w:val="005044C6"/>
    <w:rsid w:val="00504F19"/>
    <w:rsid w:val="00516C15"/>
    <w:rsid w:val="005217B9"/>
    <w:rsid w:val="00521E85"/>
    <w:rsid w:val="005275E3"/>
    <w:rsid w:val="00542BEB"/>
    <w:rsid w:val="0055380F"/>
    <w:rsid w:val="00553CBD"/>
    <w:rsid w:val="00560B22"/>
    <w:rsid w:val="00562568"/>
    <w:rsid w:val="005632A8"/>
    <w:rsid w:val="00563763"/>
    <w:rsid w:val="005906BE"/>
    <w:rsid w:val="00591789"/>
    <w:rsid w:val="005921FB"/>
    <w:rsid w:val="00597B52"/>
    <w:rsid w:val="005A1E04"/>
    <w:rsid w:val="005B174F"/>
    <w:rsid w:val="005B7902"/>
    <w:rsid w:val="005C4B93"/>
    <w:rsid w:val="005D53BC"/>
    <w:rsid w:val="005E0570"/>
    <w:rsid w:val="005F6E1C"/>
    <w:rsid w:val="00601322"/>
    <w:rsid w:val="00614C2D"/>
    <w:rsid w:val="00620FB9"/>
    <w:rsid w:val="00621718"/>
    <w:rsid w:val="006226AE"/>
    <w:rsid w:val="0064502B"/>
    <w:rsid w:val="00650871"/>
    <w:rsid w:val="00663410"/>
    <w:rsid w:val="00681C66"/>
    <w:rsid w:val="00685276"/>
    <w:rsid w:val="0069576D"/>
    <w:rsid w:val="00695D78"/>
    <w:rsid w:val="0069602F"/>
    <w:rsid w:val="006A091A"/>
    <w:rsid w:val="006A3146"/>
    <w:rsid w:val="006A3507"/>
    <w:rsid w:val="006A365E"/>
    <w:rsid w:val="006A41A4"/>
    <w:rsid w:val="006A7889"/>
    <w:rsid w:val="006C729F"/>
    <w:rsid w:val="006D3E3F"/>
    <w:rsid w:val="006E0AEA"/>
    <w:rsid w:val="006F231F"/>
    <w:rsid w:val="006F729F"/>
    <w:rsid w:val="00703889"/>
    <w:rsid w:val="00713882"/>
    <w:rsid w:val="00713B4D"/>
    <w:rsid w:val="0073665C"/>
    <w:rsid w:val="0074113A"/>
    <w:rsid w:val="007460F4"/>
    <w:rsid w:val="00753039"/>
    <w:rsid w:val="00762A36"/>
    <w:rsid w:val="00762B0E"/>
    <w:rsid w:val="007727B5"/>
    <w:rsid w:val="007768B7"/>
    <w:rsid w:val="0078436C"/>
    <w:rsid w:val="0079251E"/>
    <w:rsid w:val="007A019E"/>
    <w:rsid w:val="007C73F8"/>
    <w:rsid w:val="007F172C"/>
    <w:rsid w:val="007F1EC4"/>
    <w:rsid w:val="007F591F"/>
    <w:rsid w:val="0080750B"/>
    <w:rsid w:val="00830650"/>
    <w:rsid w:val="00836843"/>
    <w:rsid w:val="00846A19"/>
    <w:rsid w:val="00850FB6"/>
    <w:rsid w:val="00867DB7"/>
    <w:rsid w:val="00872856"/>
    <w:rsid w:val="008770AA"/>
    <w:rsid w:val="008802A3"/>
    <w:rsid w:val="0088436D"/>
    <w:rsid w:val="008A2108"/>
    <w:rsid w:val="008A6B81"/>
    <w:rsid w:val="00917794"/>
    <w:rsid w:val="0092136E"/>
    <w:rsid w:val="00921E1E"/>
    <w:rsid w:val="00946B54"/>
    <w:rsid w:val="0095217A"/>
    <w:rsid w:val="00962EB4"/>
    <w:rsid w:val="009672E8"/>
    <w:rsid w:val="009705F9"/>
    <w:rsid w:val="00976BDB"/>
    <w:rsid w:val="00984544"/>
    <w:rsid w:val="00994A62"/>
    <w:rsid w:val="00994DE9"/>
    <w:rsid w:val="009B5933"/>
    <w:rsid w:val="009B7B44"/>
    <w:rsid w:val="009C1762"/>
    <w:rsid w:val="009C3A51"/>
    <w:rsid w:val="009D1BE6"/>
    <w:rsid w:val="009D26B0"/>
    <w:rsid w:val="009E2913"/>
    <w:rsid w:val="00A0096C"/>
    <w:rsid w:val="00A00BAA"/>
    <w:rsid w:val="00A20732"/>
    <w:rsid w:val="00A20FDF"/>
    <w:rsid w:val="00A2206E"/>
    <w:rsid w:val="00A37FB2"/>
    <w:rsid w:val="00A432B1"/>
    <w:rsid w:val="00A4397A"/>
    <w:rsid w:val="00A466EB"/>
    <w:rsid w:val="00A62FBB"/>
    <w:rsid w:val="00A76A89"/>
    <w:rsid w:val="00A80CBA"/>
    <w:rsid w:val="00A82BD2"/>
    <w:rsid w:val="00A869F0"/>
    <w:rsid w:val="00A94C5B"/>
    <w:rsid w:val="00A96BC2"/>
    <w:rsid w:val="00AA06E1"/>
    <w:rsid w:val="00AA36E5"/>
    <w:rsid w:val="00AB58DF"/>
    <w:rsid w:val="00AD2579"/>
    <w:rsid w:val="00AE59A2"/>
    <w:rsid w:val="00AF41DB"/>
    <w:rsid w:val="00B15F5A"/>
    <w:rsid w:val="00B26626"/>
    <w:rsid w:val="00B9755F"/>
    <w:rsid w:val="00BB1DFD"/>
    <w:rsid w:val="00BC35A1"/>
    <w:rsid w:val="00BC7D45"/>
    <w:rsid w:val="00BD2F50"/>
    <w:rsid w:val="00BD6FAF"/>
    <w:rsid w:val="00BE1018"/>
    <w:rsid w:val="00BF3B61"/>
    <w:rsid w:val="00BF573D"/>
    <w:rsid w:val="00C00F16"/>
    <w:rsid w:val="00C0750B"/>
    <w:rsid w:val="00C1230E"/>
    <w:rsid w:val="00C124D9"/>
    <w:rsid w:val="00C24C34"/>
    <w:rsid w:val="00C30ED7"/>
    <w:rsid w:val="00C41CA9"/>
    <w:rsid w:val="00C61C4B"/>
    <w:rsid w:val="00C71E63"/>
    <w:rsid w:val="00C74C27"/>
    <w:rsid w:val="00C8289E"/>
    <w:rsid w:val="00C84A14"/>
    <w:rsid w:val="00C873D2"/>
    <w:rsid w:val="00C95632"/>
    <w:rsid w:val="00CB312F"/>
    <w:rsid w:val="00CB7231"/>
    <w:rsid w:val="00CD5585"/>
    <w:rsid w:val="00CE4773"/>
    <w:rsid w:val="00CE7B3E"/>
    <w:rsid w:val="00D11262"/>
    <w:rsid w:val="00D1234E"/>
    <w:rsid w:val="00D1655A"/>
    <w:rsid w:val="00D16CC6"/>
    <w:rsid w:val="00D21D7E"/>
    <w:rsid w:val="00D51ADD"/>
    <w:rsid w:val="00D53E9A"/>
    <w:rsid w:val="00D6351F"/>
    <w:rsid w:val="00D97400"/>
    <w:rsid w:val="00DC28A9"/>
    <w:rsid w:val="00DD15B9"/>
    <w:rsid w:val="00DE2607"/>
    <w:rsid w:val="00DF3D36"/>
    <w:rsid w:val="00E0050D"/>
    <w:rsid w:val="00E21BFC"/>
    <w:rsid w:val="00E317FB"/>
    <w:rsid w:val="00E33A48"/>
    <w:rsid w:val="00E43AC8"/>
    <w:rsid w:val="00E46055"/>
    <w:rsid w:val="00E624F9"/>
    <w:rsid w:val="00E72821"/>
    <w:rsid w:val="00E75C89"/>
    <w:rsid w:val="00E82573"/>
    <w:rsid w:val="00E874C4"/>
    <w:rsid w:val="00E879B9"/>
    <w:rsid w:val="00E909E7"/>
    <w:rsid w:val="00E97940"/>
    <w:rsid w:val="00EA4423"/>
    <w:rsid w:val="00EC0A24"/>
    <w:rsid w:val="00ED6D98"/>
    <w:rsid w:val="00EE1328"/>
    <w:rsid w:val="00EF16F3"/>
    <w:rsid w:val="00EF4C9A"/>
    <w:rsid w:val="00F038BC"/>
    <w:rsid w:val="00F04EB4"/>
    <w:rsid w:val="00F11A6B"/>
    <w:rsid w:val="00F11AEA"/>
    <w:rsid w:val="00F20D7F"/>
    <w:rsid w:val="00F316A5"/>
    <w:rsid w:val="00F32596"/>
    <w:rsid w:val="00F33DE4"/>
    <w:rsid w:val="00F419E8"/>
    <w:rsid w:val="00F50F13"/>
    <w:rsid w:val="00F5590C"/>
    <w:rsid w:val="00F60275"/>
    <w:rsid w:val="00F64B20"/>
    <w:rsid w:val="00F726F8"/>
    <w:rsid w:val="00F770A8"/>
    <w:rsid w:val="00F8489C"/>
    <w:rsid w:val="00F87384"/>
    <w:rsid w:val="00F91AF8"/>
    <w:rsid w:val="00FA02B0"/>
    <w:rsid w:val="00FA7A2E"/>
    <w:rsid w:val="00FB5EB4"/>
    <w:rsid w:val="00FB672D"/>
    <w:rsid w:val="00FD2F5E"/>
    <w:rsid w:val="00FD38C8"/>
    <w:rsid w:val="00FE1B35"/>
    <w:rsid w:val="00FE4295"/>
    <w:rsid w:val="00FF4CC5"/>
    <w:rsid w:val="00FF7100"/>
  </w:rsids>
  <m:mathPr>
    <m:mathFont m:val="Cambria Math"/>
    <m:brkBin m:val="before"/>
    <m:brkBinSub m:val="--"/>
    <m:smallFrac m:val="0"/>
    <m:dispDef/>
    <m:lMargin m:val="0"/>
    <m:rMargin m:val="0"/>
    <m:defJc m:val="centerGroup"/>
    <m:wrapIndent m:val="1440"/>
    <m:intLim m:val="subSup"/>
    <m:naryLim m:val="undOvr"/>
  </m:mathPr>
  <w:themeFontLang w:val="es-A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34FCA9"/>
  <w15:chartTrackingRefBased/>
  <w15:docId w15:val="{142EEFC4-7CEF-4EF4-B242-B76EEC6F6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A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13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213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13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13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13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13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13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13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13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136E"/>
    <w:rPr>
      <w:rFonts w:asciiTheme="majorHAnsi" w:eastAsiaTheme="majorEastAsia" w:hAnsiTheme="majorHAnsi" w:cstheme="majorBidi"/>
      <w:color w:val="0F4761" w:themeColor="accent1" w:themeShade="BF"/>
      <w:sz w:val="40"/>
      <w:szCs w:val="40"/>
      <w:lang w:val="ca-ES"/>
    </w:rPr>
  </w:style>
  <w:style w:type="character" w:customStyle="1" w:styleId="Heading2Char">
    <w:name w:val="Heading 2 Char"/>
    <w:basedOn w:val="DefaultParagraphFont"/>
    <w:link w:val="Heading2"/>
    <w:uiPriority w:val="9"/>
    <w:rsid w:val="0092136E"/>
    <w:rPr>
      <w:rFonts w:asciiTheme="majorHAnsi" w:eastAsiaTheme="majorEastAsia" w:hAnsiTheme="majorHAnsi" w:cstheme="majorBidi"/>
      <w:color w:val="0F4761" w:themeColor="accent1" w:themeShade="BF"/>
      <w:sz w:val="32"/>
      <w:szCs w:val="32"/>
      <w:lang w:val="ca-ES"/>
    </w:rPr>
  </w:style>
  <w:style w:type="character" w:customStyle="1" w:styleId="Heading3Char">
    <w:name w:val="Heading 3 Char"/>
    <w:basedOn w:val="DefaultParagraphFont"/>
    <w:link w:val="Heading3"/>
    <w:uiPriority w:val="9"/>
    <w:semiHidden/>
    <w:rsid w:val="0092136E"/>
    <w:rPr>
      <w:rFonts w:eastAsiaTheme="majorEastAsia" w:cstheme="majorBidi"/>
      <w:color w:val="0F4761" w:themeColor="accent1" w:themeShade="BF"/>
      <w:sz w:val="28"/>
      <w:szCs w:val="28"/>
      <w:lang w:val="ca-ES"/>
    </w:rPr>
  </w:style>
  <w:style w:type="character" w:customStyle="1" w:styleId="Heading4Char">
    <w:name w:val="Heading 4 Char"/>
    <w:basedOn w:val="DefaultParagraphFont"/>
    <w:link w:val="Heading4"/>
    <w:uiPriority w:val="9"/>
    <w:semiHidden/>
    <w:rsid w:val="0092136E"/>
    <w:rPr>
      <w:rFonts w:eastAsiaTheme="majorEastAsia" w:cstheme="majorBidi"/>
      <w:i/>
      <w:iCs/>
      <w:color w:val="0F4761" w:themeColor="accent1" w:themeShade="BF"/>
      <w:lang w:val="ca-ES"/>
    </w:rPr>
  </w:style>
  <w:style w:type="character" w:customStyle="1" w:styleId="Heading5Char">
    <w:name w:val="Heading 5 Char"/>
    <w:basedOn w:val="DefaultParagraphFont"/>
    <w:link w:val="Heading5"/>
    <w:uiPriority w:val="9"/>
    <w:semiHidden/>
    <w:rsid w:val="0092136E"/>
    <w:rPr>
      <w:rFonts w:eastAsiaTheme="majorEastAsia" w:cstheme="majorBidi"/>
      <w:color w:val="0F4761" w:themeColor="accent1" w:themeShade="BF"/>
      <w:lang w:val="ca-ES"/>
    </w:rPr>
  </w:style>
  <w:style w:type="character" w:customStyle="1" w:styleId="Heading6Char">
    <w:name w:val="Heading 6 Char"/>
    <w:basedOn w:val="DefaultParagraphFont"/>
    <w:link w:val="Heading6"/>
    <w:uiPriority w:val="9"/>
    <w:semiHidden/>
    <w:rsid w:val="0092136E"/>
    <w:rPr>
      <w:rFonts w:eastAsiaTheme="majorEastAsia" w:cstheme="majorBidi"/>
      <w:i/>
      <w:iCs/>
      <w:color w:val="595959" w:themeColor="text1" w:themeTint="A6"/>
      <w:lang w:val="ca-ES"/>
    </w:rPr>
  </w:style>
  <w:style w:type="character" w:customStyle="1" w:styleId="Heading7Char">
    <w:name w:val="Heading 7 Char"/>
    <w:basedOn w:val="DefaultParagraphFont"/>
    <w:link w:val="Heading7"/>
    <w:uiPriority w:val="9"/>
    <w:semiHidden/>
    <w:rsid w:val="0092136E"/>
    <w:rPr>
      <w:rFonts w:eastAsiaTheme="majorEastAsia" w:cstheme="majorBidi"/>
      <w:color w:val="595959" w:themeColor="text1" w:themeTint="A6"/>
      <w:lang w:val="ca-ES"/>
    </w:rPr>
  </w:style>
  <w:style w:type="character" w:customStyle="1" w:styleId="Heading8Char">
    <w:name w:val="Heading 8 Char"/>
    <w:basedOn w:val="DefaultParagraphFont"/>
    <w:link w:val="Heading8"/>
    <w:uiPriority w:val="9"/>
    <w:semiHidden/>
    <w:rsid w:val="0092136E"/>
    <w:rPr>
      <w:rFonts w:eastAsiaTheme="majorEastAsia" w:cstheme="majorBidi"/>
      <w:i/>
      <w:iCs/>
      <w:color w:val="272727" w:themeColor="text1" w:themeTint="D8"/>
      <w:lang w:val="ca-ES"/>
    </w:rPr>
  </w:style>
  <w:style w:type="character" w:customStyle="1" w:styleId="Heading9Char">
    <w:name w:val="Heading 9 Char"/>
    <w:basedOn w:val="DefaultParagraphFont"/>
    <w:link w:val="Heading9"/>
    <w:uiPriority w:val="9"/>
    <w:semiHidden/>
    <w:rsid w:val="0092136E"/>
    <w:rPr>
      <w:rFonts w:eastAsiaTheme="majorEastAsia" w:cstheme="majorBidi"/>
      <w:color w:val="272727" w:themeColor="text1" w:themeTint="D8"/>
      <w:lang w:val="ca-ES"/>
    </w:rPr>
  </w:style>
  <w:style w:type="paragraph" w:styleId="Title">
    <w:name w:val="Title"/>
    <w:basedOn w:val="Normal"/>
    <w:next w:val="Normal"/>
    <w:link w:val="TitleChar"/>
    <w:uiPriority w:val="10"/>
    <w:qFormat/>
    <w:rsid w:val="009213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136E"/>
    <w:rPr>
      <w:rFonts w:asciiTheme="majorHAnsi" w:eastAsiaTheme="majorEastAsia" w:hAnsiTheme="majorHAnsi" w:cstheme="majorBidi"/>
      <w:spacing w:val="-10"/>
      <w:kern w:val="28"/>
      <w:sz w:val="56"/>
      <w:szCs w:val="56"/>
      <w:lang w:val="ca-ES"/>
    </w:rPr>
  </w:style>
  <w:style w:type="paragraph" w:styleId="Subtitle">
    <w:name w:val="Subtitle"/>
    <w:basedOn w:val="Normal"/>
    <w:next w:val="Normal"/>
    <w:link w:val="SubtitleChar"/>
    <w:uiPriority w:val="11"/>
    <w:qFormat/>
    <w:rsid w:val="009213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136E"/>
    <w:rPr>
      <w:rFonts w:eastAsiaTheme="majorEastAsia" w:cstheme="majorBidi"/>
      <w:color w:val="595959" w:themeColor="text1" w:themeTint="A6"/>
      <w:spacing w:val="15"/>
      <w:sz w:val="28"/>
      <w:szCs w:val="28"/>
      <w:lang w:val="ca-ES"/>
    </w:rPr>
  </w:style>
  <w:style w:type="paragraph" w:styleId="Quote">
    <w:name w:val="Quote"/>
    <w:basedOn w:val="Normal"/>
    <w:next w:val="Normal"/>
    <w:link w:val="QuoteChar"/>
    <w:uiPriority w:val="29"/>
    <w:qFormat/>
    <w:rsid w:val="0092136E"/>
    <w:pPr>
      <w:spacing w:before="160"/>
      <w:jc w:val="center"/>
    </w:pPr>
    <w:rPr>
      <w:i/>
      <w:iCs/>
      <w:color w:val="404040" w:themeColor="text1" w:themeTint="BF"/>
    </w:rPr>
  </w:style>
  <w:style w:type="character" w:customStyle="1" w:styleId="QuoteChar">
    <w:name w:val="Quote Char"/>
    <w:basedOn w:val="DefaultParagraphFont"/>
    <w:link w:val="Quote"/>
    <w:uiPriority w:val="29"/>
    <w:rsid w:val="0092136E"/>
    <w:rPr>
      <w:i/>
      <w:iCs/>
      <w:color w:val="404040" w:themeColor="text1" w:themeTint="BF"/>
      <w:lang w:val="ca-ES"/>
    </w:rPr>
  </w:style>
  <w:style w:type="paragraph" w:styleId="ListParagraph">
    <w:name w:val="List Paragraph"/>
    <w:basedOn w:val="Normal"/>
    <w:uiPriority w:val="34"/>
    <w:qFormat/>
    <w:rsid w:val="0092136E"/>
    <w:pPr>
      <w:ind w:left="720"/>
      <w:contextualSpacing/>
    </w:pPr>
  </w:style>
  <w:style w:type="character" w:styleId="IntenseEmphasis">
    <w:name w:val="Intense Emphasis"/>
    <w:basedOn w:val="DefaultParagraphFont"/>
    <w:uiPriority w:val="21"/>
    <w:qFormat/>
    <w:rsid w:val="0092136E"/>
    <w:rPr>
      <w:i/>
      <w:iCs/>
      <w:color w:val="0F4761" w:themeColor="accent1" w:themeShade="BF"/>
    </w:rPr>
  </w:style>
  <w:style w:type="paragraph" w:styleId="IntenseQuote">
    <w:name w:val="Intense Quote"/>
    <w:basedOn w:val="Normal"/>
    <w:next w:val="Normal"/>
    <w:link w:val="IntenseQuoteChar"/>
    <w:uiPriority w:val="30"/>
    <w:qFormat/>
    <w:rsid w:val="009213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136E"/>
    <w:rPr>
      <w:i/>
      <w:iCs/>
      <w:color w:val="0F4761" w:themeColor="accent1" w:themeShade="BF"/>
      <w:lang w:val="ca-ES"/>
    </w:rPr>
  </w:style>
  <w:style w:type="character" w:styleId="IntenseReference">
    <w:name w:val="Intense Reference"/>
    <w:basedOn w:val="DefaultParagraphFont"/>
    <w:uiPriority w:val="32"/>
    <w:qFormat/>
    <w:rsid w:val="0092136E"/>
    <w:rPr>
      <w:b/>
      <w:bCs/>
      <w:smallCaps/>
      <w:color w:val="0F4761" w:themeColor="accent1" w:themeShade="BF"/>
      <w:spacing w:val="5"/>
    </w:rPr>
  </w:style>
  <w:style w:type="character" w:styleId="Hyperlink">
    <w:name w:val="Hyperlink"/>
    <w:uiPriority w:val="99"/>
    <w:unhideWhenUsed/>
    <w:rsid w:val="00597B52"/>
    <w:rPr>
      <w:color w:val="0000FF"/>
      <w:u w:val="single"/>
    </w:rPr>
  </w:style>
  <w:style w:type="paragraph" w:styleId="TOC1">
    <w:name w:val="toc 1"/>
    <w:basedOn w:val="Normal"/>
    <w:next w:val="Normal"/>
    <w:autoRedefine/>
    <w:uiPriority w:val="39"/>
    <w:unhideWhenUsed/>
    <w:rsid w:val="00597B52"/>
    <w:pPr>
      <w:spacing w:after="200" w:line="276" w:lineRule="auto"/>
    </w:pPr>
    <w:rPr>
      <w:rFonts w:ascii="Calibri" w:eastAsia="Times New Roman" w:hAnsi="Calibri" w:cs="Times New Roman"/>
      <w:kern w:val="0"/>
      <w:lang w:val="es-ES" w:eastAsia="es-ES"/>
      <w14:ligatures w14:val="none"/>
    </w:rPr>
  </w:style>
  <w:style w:type="paragraph" w:styleId="TOC2">
    <w:name w:val="toc 2"/>
    <w:basedOn w:val="Normal"/>
    <w:next w:val="Normal"/>
    <w:autoRedefine/>
    <w:uiPriority w:val="39"/>
    <w:unhideWhenUsed/>
    <w:rsid w:val="00597B52"/>
    <w:pPr>
      <w:spacing w:after="200" w:line="276" w:lineRule="auto"/>
      <w:ind w:left="220"/>
    </w:pPr>
    <w:rPr>
      <w:rFonts w:ascii="Calibri" w:eastAsia="Times New Roman" w:hAnsi="Calibri" w:cs="Times New Roman"/>
      <w:kern w:val="0"/>
      <w:lang w:val="es-ES" w:eastAsia="es-ES"/>
      <w14:ligatures w14:val="none"/>
    </w:rPr>
  </w:style>
  <w:style w:type="character" w:styleId="FollowedHyperlink">
    <w:name w:val="FollowedHyperlink"/>
    <w:basedOn w:val="DefaultParagraphFont"/>
    <w:uiPriority w:val="99"/>
    <w:semiHidden/>
    <w:unhideWhenUsed/>
    <w:rsid w:val="00597B52"/>
    <w:rPr>
      <w:color w:val="96607D" w:themeColor="followedHyperlink"/>
      <w:u w:val="single"/>
    </w:rPr>
  </w:style>
  <w:style w:type="paragraph" w:styleId="FootnoteText">
    <w:name w:val="footnote text"/>
    <w:aliases w:val="Footnote Text Char Char Char Char Char,Footnote Text Char Char Char Char,FA Fu,Footnote reference,Footnote Text Char Char Char,Footnote Text Cha,FA Fußnotentext,FA Fuﬂnotentext,Footnote Text Char Char,FA Fu?notentext,Ca,Car,5_G,Car11,Car1"/>
    <w:basedOn w:val="Normal"/>
    <w:link w:val="FootnoteTextChar"/>
    <w:uiPriority w:val="99"/>
    <w:unhideWhenUsed/>
    <w:qFormat/>
    <w:rsid w:val="00762B0E"/>
    <w:pPr>
      <w:spacing w:after="0" w:line="240" w:lineRule="auto"/>
    </w:pPr>
    <w:rPr>
      <w:sz w:val="20"/>
      <w:szCs w:val="20"/>
    </w:rPr>
  </w:style>
  <w:style w:type="character" w:customStyle="1" w:styleId="FootnoteTextChar">
    <w:name w:val="Footnote Text Char"/>
    <w:aliases w:val="Footnote Text Char Char Char Char Char Char,Footnote Text Char Char Char Char Char1,FA Fu Char,Footnote reference Char,Footnote Text Char Char Char Char1,Footnote Text Cha Char,FA Fußnotentext Char,FA Fuﬂnotentext Char,Ca Char"/>
    <w:basedOn w:val="DefaultParagraphFont"/>
    <w:link w:val="FootnoteText"/>
    <w:uiPriority w:val="99"/>
    <w:rsid w:val="00762B0E"/>
    <w:rPr>
      <w:sz w:val="20"/>
      <w:szCs w:val="20"/>
    </w:rPr>
  </w:style>
  <w:style w:type="character" w:styleId="FootnoteReference">
    <w:name w:val="footnote reference"/>
    <w:aliases w:val="4_G,Ref,de nota al pie,Footnotes refss,Texto de nota al pie,normal,Appel note de bas de page,referencia nota al pie,Footnote number,BVI fnr,f,16 Point,Superscript 6 Point,Texto nota al pie,Footnote Reference Char3,rodap» Char Char,fr"/>
    <w:uiPriority w:val="99"/>
    <w:qFormat/>
    <w:rsid w:val="00762B0E"/>
    <w:rPr>
      <w:vertAlign w:val="superscript"/>
    </w:rPr>
  </w:style>
  <w:style w:type="character" w:customStyle="1" w:styleId="Mencinsinresolver1">
    <w:name w:val="Mención sin resolver1"/>
    <w:basedOn w:val="DefaultParagraphFont"/>
    <w:uiPriority w:val="99"/>
    <w:semiHidden/>
    <w:unhideWhenUsed/>
    <w:rsid w:val="003878FA"/>
    <w:rPr>
      <w:color w:val="605E5C"/>
      <w:shd w:val="clear" w:color="auto" w:fill="E1DFDD"/>
    </w:rPr>
  </w:style>
  <w:style w:type="paragraph" w:customStyle="1" w:styleId="Default">
    <w:name w:val="Default"/>
    <w:rsid w:val="00C1230E"/>
    <w:pPr>
      <w:autoSpaceDE w:val="0"/>
      <w:autoSpaceDN w:val="0"/>
      <w:adjustRightInd w:val="0"/>
      <w:spacing w:after="0" w:line="240" w:lineRule="auto"/>
    </w:pPr>
    <w:rPr>
      <w:rFonts w:ascii="Cambria" w:hAnsi="Cambria" w:cs="Cambria"/>
      <w:color w:val="000000"/>
      <w:kern w:val="0"/>
      <w:sz w:val="24"/>
      <w:szCs w:val="24"/>
      <w14:ligatures w14:val="none"/>
    </w:rPr>
  </w:style>
  <w:style w:type="character" w:customStyle="1" w:styleId="TextonotapieCar1">
    <w:name w:val="Texto nota pie Car1"/>
    <w:basedOn w:val="DefaultParagraphFont"/>
    <w:uiPriority w:val="99"/>
    <w:semiHidden/>
    <w:rsid w:val="00621718"/>
    <w:rPr>
      <w:kern w:val="2"/>
      <w:sz w:val="20"/>
      <w:szCs w:val="20"/>
      <w14:ligatures w14:val="standardContextual"/>
    </w:rPr>
  </w:style>
  <w:style w:type="paragraph" w:customStyle="1" w:styleId="Char1">
    <w:name w:val="Char1"/>
    <w:basedOn w:val="Normal"/>
    <w:next w:val="FootnoteText"/>
    <w:unhideWhenUsed/>
    <w:rsid w:val="004308EA"/>
    <w:pPr>
      <w:spacing w:after="0" w:line="240" w:lineRule="auto"/>
    </w:pPr>
    <w:rPr>
      <w:rFonts w:ascii="Arial" w:eastAsia="Arial" w:hAnsi="Arial" w:cs="Times New Roman"/>
      <w:kern w:val="0"/>
      <w14:ligatures w14:val="none"/>
    </w:rPr>
  </w:style>
  <w:style w:type="paragraph" w:styleId="TOCHeading">
    <w:name w:val="TOC Heading"/>
    <w:basedOn w:val="Heading1"/>
    <w:next w:val="Normal"/>
    <w:uiPriority w:val="39"/>
    <w:unhideWhenUsed/>
    <w:qFormat/>
    <w:rsid w:val="00EF4C9A"/>
    <w:pPr>
      <w:spacing w:before="240" w:after="0"/>
      <w:outlineLvl w:val="9"/>
    </w:pPr>
    <w:rPr>
      <w:kern w:val="0"/>
      <w:sz w:val="32"/>
      <w:szCs w:val="32"/>
      <w:lang w:eastAsia="es-AR"/>
      <w14:ligatures w14:val="none"/>
    </w:rPr>
  </w:style>
  <w:style w:type="character" w:styleId="CommentReference">
    <w:name w:val="annotation reference"/>
    <w:basedOn w:val="DefaultParagraphFont"/>
    <w:uiPriority w:val="99"/>
    <w:semiHidden/>
    <w:unhideWhenUsed/>
    <w:rsid w:val="009C1762"/>
    <w:rPr>
      <w:sz w:val="16"/>
      <w:szCs w:val="16"/>
    </w:rPr>
  </w:style>
  <w:style w:type="paragraph" w:styleId="CommentText">
    <w:name w:val="annotation text"/>
    <w:basedOn w:val="Normal"/>
    <w:link w:val="CommentTextChar"/>
    <w:uiPriority w:val="99"/>
    <w:unhideWhenUsed/>
    <w:rsid w:val="009C1762"/>
    <w:pPr>
      <w:spacing w:after="0" w:line="240" w:lineRule="auto"/>
    </w:pPr>
    <w:rPr>
      <w:rFonts w:ascii="Arial" w:eastAsia="Arial" w:hAnsi="Arial" w:cs="Arial"/>
      <w:kern w:val="0"/>
      <w:sz w:val="20"/>
      <w:szCs w:val="20"/>
      <w:lang w:val="es" w:eastAsia="es-AR"/>
      <w14:ligatures w14:val="none"/>
    </w:rPr>
  </w:style>
  <w:style w:type="character" w:customStyle="1" w:styleId="CommentTextChar">
    <w:name w:val="Comment Text Char"/>
    <w:basedOn w:val="DefaultParagraphFont"/>
    <w:link w:val="CommentText"/>
    <w:uiPriority w:val="99"/>
    <w:rsid w:val="009C1762"/>
    <w:rPr>
      <w:rFonts w:ascii="Arial" w:eastAsia="Arial" w:hAnsi="Arial" w:cs="Arial"/>
      <w:kern w:val="0"/>
      <w:sz w:val="20"/>
      <w:szCs w:val="20"/>
      <w:lang w:val="es" w:eastAsia="es-AR"/>
      <w14:ligatures w14:val="none"/>
    </w:rPr>
  </w:style>
  <w:style w:type="paragraph" w:styleId="NormalWeb">
    <w:name w:val="Normal (Web)"/>
    <w:basedOn w:val="Normal"/>
    <w:uiPriority w:val="99"/>
    <w:unhideWhenUsed/>
    <w:rsid w:val="00E72821"/>
    <w:pPr>
      <w:spacing w:before="100" w:beforeAutospacing="1" w:after="216" w:line="360" w:lineRule="atLeast"/>
    </w:pPr>
    <w:rPr>
      <w:rFonts w:ascii="Times New Roman" w:eastAsia="Times New Roman" w:hAnsi="Times New Roman" w:cs="Times New Roman"/>
      <w:kern w:val="0"/>
      <w:sz w:val="24"/>
      <w:szCs w:val="24"/>
      <w:lang w:val="es-ES" w:eastAsia="es-ES"/>
      <w14:ligatures w14:val="none"/>
    </w:rPr>
  </w:style>
  <w:style w:type="paragraph" w:styleId="Header">
    <w:name w:val="header"/>
    <w:basedOn w:val="Normal"/>
    <w:link w:val="HeaderChar"/>
    <w:uiPriority w:val="99"/>
    <w:unhideWhenUsed/>
    <w:rsid w:val="004E2174"/>
    <w:pPr>
      <w:tabs>
        <w:tab w:val="center" w:pos="4252"/>
        <w:tab w:val="right" w:pos="8504"/>
      </w:tabs>
      <w:spacing w:after="0" w:line="240" w:lineRule="auto"/>
    </w:pPr>
  </w:style>
  <w:style w:type="character" w:customStyle="1" w:styleId="HeaderChar">
    <w:name w:val="Header Char"/>
    <w:basedOn w:val="DefaultParagraphFont"/>
    <w:link w:val="Header"/>
    <w:uiPriority w:val="99"/>
    <w:rsid w:val="004E2174"/>
  </w:style>
  <w:style w:type="paragraph" w:styleId="Footer">
    <w:name w:val="footer"/>
    <w:basedOn w:val="Normal"/>
    <w:link w:val="FooterChar"/>
    <w:uiPriority w:val="99"/>
    <w:unhideWhenUsed/>
    <w:rsid w:val="004E2174"/>
    <w:pPr>
      <w:tabs>
        <w:tab w:val="center" w:pos="4252"/>
        <w:tab w:val="right" w:pos="8504"/>
      </w:tabs>
      <w:spacing w:after="0" w:line="240" w:lineRule="auto"/>
    </w:pPr>
  </w:style>
  <w:style w:type="character" w:customStyle="1" w:styleId="FooterChar">
    <w:name w:val="Footer Char"/>
    <w:basedOn w:val="DefaultParagraphFont"/>
    <w:link w:val="Footer"/>
    <w:uiPriority w:val="99"/>
    <w:rsid w:val="004E2174"/>
  </w:style>
  <w:style w:type="paragraph" w:styleId="Revision">
    <w:name w:val="Revision"/>
    <w:hidden/>
    <w:uiPriority w:val="99"/>
    <w:semiHidden/>
    <w:rsid w:val="00703889"/>
    <w:pPr>
      <w:spacing w:after="0" w:line="240" w:lineRule="auto"/>
    </w:pPr>
  </w:style>
  <w:style w:type="paragraph" w:styleId="CommentSubject">
    <w:name w:val="annotation subject"/>
    <w:basedOn w:val="CommentText"/>
    <w:next w:val="CommentText"/>
    <w:link w:val="CommentSubjectChar"/>
    <w:uiPriority w:val="99"/>
    <w:semiHidden/>
    <w:unhideWhenUsed/>
    <w:rsid w:val="008770AA"/>
    <w:pPr>
      <w:spacing w:after="160"/>
    </w:pPr>
    <w:rPr>
      <w:rFonts w:asciiTheme="minorHAnsi" w:eastAsiaTheme="minorHAnsi" w:hAnsiTheme="minorHAnsi" w:cstheme="minorBidi"/>
      <w:b/>
      <w:bCs/>
      <w:kern w:val="2"/>
      <w:lang w:val="es-AR" w:eastAsia="en-US"/>
      <w14:ligatures w14:val="standardContextual"/>
    </w:rPr>
  </w:style>
  <w:style w:type="character" w:customStyle="1" w:styleId="CommentSubjectChar">
    <w:name w:val="Comment Subject Char"/>
    <w:basedOn w:val="CommentTextChar"/>
    <w:link w:val="CommentSubject"/>
    <w:uiPriority w:val="99"/>
    <w:semiHidden/>
    <w:rsid w:val="008770AA"/>
    <w:rPr>
      <w:rFonts w:ascii="Arial" w:eastAsia="Arial" w:hAnsi="Arial" w:cs="Arial"/>
      <w:b/>
      <w:bCs/>
      <w:kern w:val="0"/>
      <w:sz w:val="20"/>
      <w:szCs w:val="20"/>
      <w:lang w:val="es" w:eastAsia="es-AR"/>
      <w14:ligatures w14:val="none"/>
    </w:rPr>
  </w:style>
  <w:style w:type="paragraph" w:styleId="BalloonText">
    <w:name w:val="Balloon Text"/>
    <w:basedOn w:val="Normal"/>
    <w:link w:val="BalloonTextChar"/>
    <w:uiPriority w:val="99"/>
    <w:semiHidden/>
    <w:unhideWhenUsed/>
    <w:rsid w:val="007C73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73F8"/>
    <w:rPr>
      <w:rFonts w:ascii="Segoe UI" w:hAnsi="Segoe UI" w:cs="Segoe UI"/>
      <w:sz w:val="18"/>
      <w:szCs w:val="18"/>
    </w:rPr>
  </w:style>
  <w:style w:type="character" w:customStyle="1" w:styleId="cf01">
    <w:name w:val="cf01"/>
    <w:basedOn w:val="DefaultParagraphFont"/>
    <w:rsid w:val="0064502B"/>
    <w:rPr>
      <w:rFonts w:ascii="Segoe UI" w:hAnsi="Segoe UI" w:cs="Segoe UI" w:hint="default"/>
      <w:sz w:val="18"/>
      <w:szCs w:val="18"/>
    </w:rPr>
  </w:style>
  <w:style w:type="character" w:customStyle="1" w:styleId="UnresolvedMention1">
    <w:name w:val="Unresolved Mention1"/>
    <w:basedOn w:val="DefaultParagraphFont"/>
    <w:uiPriority w:val="99"/>
    <w:semiHidden/>
    <w:unhideWhenUsed/>
    <w:rsid w:val="00A869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8315024">
      <w:bodyDiv w:val="1"/>
      <w:marLeft w:val="0"/>
      <w:marRight w:val="0"/>
      <w:marTop w:val="0"/>
      <w:marBottom w:val="0"/>
      <w:divBdr>
        <w:top w:val="none" w:sz="0" w:space="0" w:color="auto"/>
        <w:left w:val="none" w:sz="0" w:space="0" w:color="auto"/>
        <w:bottom w:val="none" w:sz="0" w:space="0" w:color="auto"/>
        <w:right w:val="none" w:sz="0" w:space="0" w:color="auto"/>
      </w:divBdr>
    </w:div>
    <w:div w:id="735275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2.xml"/><Relationship Id="rId18" Type="http://schemas.openxmlformats.org/officeDocument/2006/relationships/chart" Target="charts/chart7.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chart" Target="charts/chart1.xml"/><Relationship Id="rId17" Type="http://schemas.openxmlformats.org/officeDocument/2006/relationships/chart" Target="charts/chart6.xml"/><Relationship Id="rId2" Type="http://schemas.openxmlformats.org/officeDocument/2006/relationships/customXml" Target="../customXml/item2.xml"/><Relationship Id="rId16" Type="http://schemas.openxmlformats.org/officeDocument/2006/relationships/chart" Target="charts/chart5.xml"/><Relationship Id="rId20" Type="http://schemas.openxmlformats.org/officeDocument/2006/relationships/chart" Target="charts/chart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chart" Target="charts/chart4.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chart" Target="charts/chart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3.xm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argentina.gob.ar/justicia/politicacriminal/sneep-2024" TargetMode="External"/><Relationship Id="rId13" Type="http://schemas.openxmlformats.org/officeDocument/2006/relationships/hyperlink" Target="https://ppn.gov.ar/index.php/institucional/noticias/3880-la-ppn-realizo-una-recomendacion-para-garantizar-los-derechos-de-las-mujeres-privadas-de-libertad-frente-a-practicas-de-requisa-invasiva" TargetMode="External"/><Relationship Id="rId18" Type="http://schemas.openxmlformats.org/officeDocument/2006/relationships/hyperlink" Target="https://ppn.gov.ar/index.php/institucional/noticias/3867-la-ppn-emitio-la-recomendacion-sobre-el-acceso-al-trabajo-en-carceles-federales" TargetMode="External"/><Relationship Id="rId3" Type="http://schemas.openxmlformats.org/officeDocument/2006/relationships/hyperlink" Target="https://dpf.ppn.gov.ar/" TargetMode="External"/><Relationship Id="rId21" Type="http://schemas.openxmlformats.org/officeDocument/2006/relationships/hyperlink" Target="https://ppn.gov.ar/pdf/ejestematicos/NNyA/PRONUNCIAMIENTO%20CONJUNTO%20SOBRE%20JUSTICIA%20PENAL%20JUVENIL.pdf" TargetMode="External"/><Relationship Id="rId7" Type="http://schemas.openxmlformats.org/officeDocument/2006/relationships/hyperlink" Target="https://cnpt.gob.ar/2022/wp-content/uploads/2022/01/Estandares-1.pdf" TargetMode="External"/><Relationship Id="rId12" Type="http://schemas.openxmlformats.org/officeDocument/2006/relationships/hyperlink" Target="https://cnpt.gob.ar/informes/informes-tematicos/informe-anual-a-la-comision-bicameral-de-la-defensoria-del-pueblo-2020/" TargetMode="External"/><Relationship Id="rId17" Type="http://schemas.openxmlformats.org/officeDocument/2006/relationships/hyperlink" Target="https://ppn.gov.ar/index.php/institucional/noticias/3821-la-justicia-ordeno-que-los-estudiantes-permanezcan-en-los-centros-universitarios-para-estudiar-y-realizar-actividades-educativas" TargetMode="External"/><Relationship Id="rId2" Type="http://schemas.openxmlformats.org/officeDocument/2006/relationships/hyperlink" Target="https://www.argentina.gob.ar/justicia/politicacriminal/estadisticas/sneep" TargetMode="External"/><Relationship Id="rId16" Type="http://schemas.openxmlformats.org/officeDocument/2006/relationships/hyperlink" Target="https://ppn.gov.ar/pdf/publicaciones/Informe-Anual-2024.pdf" TargetMode="External"/><Relationship Id="rId20" Type="http://schemas.openxmlformats.org/officeDocument/2006/relationships/hyperlink" Target="https://ppn.gov.ar/pdf/ejestematicos/NNyA/Declaraci%C3%B3n%20Conjunta%20Interinstitucional%20+%20DPN%20OCTUBRE%202022.pdf" TargetMode="External"/><Relationship Id="rId1" Type="http://schemas.openxmlformats.org/officeDocument/2006/relationships/hyperlink" Target="https://www.boletinoficial.gob.ar/detalleAviso/primera/328023/20250708" TargetMode="External"/><Relationship Id="rId6" Type="http://schemas.openxmlformats.org/officeDocument/2006/relationships/hyperlink" Target="https://ppn.gov.ar/pdf/publicaciones/ediciones-especiales/Estandares-condiciones-materiales.pdf" TargetMode="External"/><Relationship Id="rId11" Type="http://schemas.openxmlformats.org/officeDocument/2006/relationships/hyperlink" Target="https://cnpt.gob.ar/informes/informes-tematicos/informe-anual-a-la-comision-bicameral-de-la-defensoria-del-pueblo-2020/" TargetMode="External"/><Relationship Id="rId24" Type="http://schemas.openxmlformats.org/officeDocument/2006/relationships/hyperlink" Target="https://www.argentina.gob.ar/sites/default/files/2025/09/informe_sneep_argentina_2024_3.pdf" TargetMode="External"/><Relationship Id="rId5" Type="http://schemas.openxmlformats.org/officeDocument/2006/relationships/hyperlink" Target="https://ppn.gov.ar/index.php/documentos/proyectos-legislativos/1799-presentacion-del-proyecto-de-ley-para-la-acreditacion-funcional-de-establecimientos-para-la-privacion-de-la-libertad-y-control-de-la-superpoblacion" TargetMode="External"/><Relationship Id="rId15" Type="http://schemas.openxmlformats.org/officeDocument/2006/relationships/hyperlink" Target="https://ppn.gov.ar/pdf/publicaciones/ediciones-especiales/PPN_La_atencion_a_la_salud_en_las_carceles_federales.pdf" TargetMode="External"/><Relationship Id="rId23" Type="http://schemas.openxmlformats.org/officeDocument/2006/relationships/hyperlink" Target="https://www.argentina.gob.ar/justicia/politicacriminal/sneep-2024" TargetMode="External"/><Relationship Id="rId10" Type="http://schemas.openxmlformats.org/officeDocument/2006/relationships/hyperlink" Target="https://ppn.gov.ar/mas-alla-de-la-prision.pdf" TargetMode="External"/><Relationship Id="rId19" Type="http://schemas.openxmlformats.org/officeDocument/2006/relationships/hyperlink" Target="https://ppn.gov.ar/pdf/ejestematicos/NNyA/Directrices%20justicia%20juvenil.pdf" TargetMode="External"/><Relationship Id="rId4" Type="http://schemas.openxmlformats.org/officeDocument/2006/relationships/hyperlink" Target="https://dpf.ppn.gov.ar/wp-content/uploads/2023/09/Recomendacion-DPF-Protocolo-de-mantenimiento-seguridad-e-higiene.pdf" TargetMode="External"/><Relationship Id="rId9" Type="http://schemas.openxmlformats.org/officeDocument/2006/relationships/hyperlink" Target="https://reporteestadisticas.spf.gob.ar/" TargetMode="External"/><Relationship Id="rId14" Type="http://schemas.openxmlformats.org/officeDocument/2006/relationships/hyperlink" Target="https://www.corteidh.or.cr/docs/casos/articulos/seriec_396_esp.pdf" TargetMode="External"/><Relationship Id="rId22" Type="http://schemas.openxmlformats.org/officeDocument/2006/relationships/hyperlink" Target="https://ppn.gov.ar/index.php/institucional/noticias/876-recomendacion-sobre-el-acceso-a-la-informacion-relativa-a-las-personas-extrajeras-retenidas"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embeddings/oleObject1.bin"/></Relationships>
</file>

<file path=word/charts/_rels/chart2.xml.rels><?xml version="1.0" encoding="UTF-8" standalone="yes"?>
<Relationships xmlns="http://schemas.openxmlformats.org/package/2006/relationships"><Relationship Id="rId3" Type="http://schemas.openxmlformats.org/officeDocument/2006/relationships/oleObject" Target="../embeddings/oleObject2.bin"/><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mmonclus\Downloads\grafico%20mujere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embeddings/oleObject3.bin"/><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embeddings/oleObject4.bin"/></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scatterChart>
        <c:scatterStyle val="lineMarker"/>
        <c:varyColors val="0"/>
        <c:ser>
          <c:idx val="0"/>
          <c:order val="0"/>
          <c:tx>
            <c:strRef>
              <c:f>'Alojados SPF'!$B$1</c:f>
              <c:strCache>
                <c:ptCount val="1"/>
                <c:pt idx="0">
                  <c:v>Alojados</c:v>
                </c:pt>
              </c:strCache>
            </c:strRef>
          </c:tx>
          <c:spPr>
            <a:ln w="19050" cap="rnd">
              <a:solidFill>
                <a:srgbClr val="8C1C1C"/>
              </a:solidFill>
              <a:round/>
            </a:ln>
            <a:effectLst/>
          </c:spPr>
          <c:marker>
            <c:symbol val="circle"/>
            <c:size val="5"/>
            <c:spPr>
              <a:solidFill>
                <a:srgbClr val="8C1C1C"/>
              </a:solidFill>
              <a:ln w="9525">
                <a:solidFill>
                  <a:srgbClr val="8C1C1C"/>
                </a:solidFill>
              </a:ln>
              <a:effectLst/>
            </c:spPr>
          </c:marker>
          <c:dLbls>
            <c:dLbl>
              <c:idx val="0"/>
              <c:layout>
                <c:manualLayout>
                  <c:x val="-3.9684684684684682E-2"/>
                  <c:y val="4.426531257390958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149-4DB1-9765-CFB30746CAE4}"/>
                </c:ext>
              </c:extLst>
            </c:dLbl>
            <c:dLbl>
              <c:idx val="1"/>
              <c:layout>
                <c:manualLayout>
                  <c:x val="-3.9684684684684696E-2"/>
                  <c:y val="4.426531257390958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149-4DB1-9765-CFB30746CAE4}"/>
                </c:ext>
              </c:extLst>
            </c:dLbl>
            <c:dLbl>
              <c:idx val="2"/>
              <c:layout>
                <c:manualLayout>
                  <c:x val="-4.4189189189189189E-2"/>
                  <c:y val="4.005256972338201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149-4DB1-9765-CFB30746CAE4}"/>
                </c:ext>
              </c:extLst>
            </c:dLbl>
            <c:dLbl>
              <c:idx val="3"/>
              <c:layout>
                <c:manualLayout>
                  <c:x val="-4.644144144144146E-2"/>
                  <c:y val="5.269079827496465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D149-4DB1-9765-CFB30746CAE4}"/>
                </c:ext>
              </c:extLst>
            </c:dLbl>
            <c:dLbl>
              <c:idx val="4"/>
              <c:layout>
                <c:manualLayout>
                  <c:x val="-4.6441441441441439E-2"/>
                  <c:y val="5.690354112549222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D149-4DB1-9765-CFB30746CAE4}"/>
                </c:ext>
              </c:extLst>
            </c:dLbl>
            <c:dLbl>
              <c:idx val="5"/>
              <c:layout>
                <c:manualLayout>
                  <c:x val="-4.7072072072072112E-2"/>
                  <c:y val="7.375451252760258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D149-4DB1-9765-CFB30746CAE4}"/>
                </c:ext>
              </c:extLst>
            </c:dLbl>
            <c:dLbl>
              <c:idx val="6"/>
              <c:layout>
                <c:manualLayout>
                  <c:x val="-4.481981981981982E-2"/>
                  <c:y val="4.84780554244371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D149-4DB1-9765-CFB30746CAE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A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'Alojados SPF'!$A$2:$A$18</c:f>
              <c:numCache>
                <c:formatCode>General</c:formatCode>
                <c:ptCount val="17"/>
                <c:pt idx="0">
                  <c:v>2009</c:v>
                </c:pt>
                <c:pt idx="1">
                  <c:v>2010</c:v>
                </c:pt>
                <c:pt idx="2">
                  <c:v>2011</c:v>
                </c:pt>
                <c:pt idx="3">
                  <c:v>2012</c:v>
                </c:pt>
                <c:pt idx="4">
                  <c:v>2013</c:v>
                </c:pt>
                <c:pt idx="5">
                  <c:v>2014</c:v>
                </c:pt>
                <c:pt idx="6">
                  <c:v>2015</c:v>
                </c:pt>
                <c:pt idx="7">
                  <c:v>2016</c:v>
                </c:pt>
                <c:pt idx="8">
                  <c:v>2017</c:v>
                </c:pt>
                <c:pt idx="9">
                  <c:v>2018</c:v>
                </c:pt>
                <c:pt idx="10">
                  <c:v>2019</c:v>
                </c:pt>
                <c:pt idx="11">
                  <c:v>2020</c:v>
                </c:pt>
                <c:pt idx="12">
                  <c:v>2021</c:v>
                </c:pt>
                <c:pt idx="13">
                  <c:v>2022</c:v>
                </c:pt>
                <c:pt idx="14">
                  <c:v>2023</c:v>
                </c:pt>
                <c:pt idx="15">
                  <c:v>2024</c:v>
                </c:pt>
                <c:pt idx="16">
                  <c:v>2025</c:v>
                </c:pt>
              </c:numCache>
            </c:numRef>
          </c:xVal>
          <c:yVal>
            <c:numRef>
              <c:f>'Alojados SPF'!$B$2:$B$18</c:f>
              <c:numCache>
                <c:formatCode>General</c:formatCode>
                <c:ptCount val="17"/>
                <c:pt idx="0">
                  <c:v>9210</c:v>
                </c:pt>
                <c:pt idx="1">
                  <c:v>9523</c:v>
                </c:pt>
                <c:pt idx="2">
                  <c:v>9644</c:v>
                </c:pt>
                <c:pt idx="3">
                  <c:v>9807</c:v>
                </c:pt>
                <c:pt idx="4">
                  <c:v>9795</c:v>
                </c:pt>
                <c:pt idx="5">
                  <c:v>10424</c:v>
                </c:pt>
                <c:pt idx="6">
                  <c:v>10274</c:v>
                </c:pt>
                <c:pt idx="7">
                  <c:v>10968</c:v>
                </c:pt>
                <c:pt idx="8">
                  <c:v>11861</c:v>
                </c:pt>
                <c:pt idx="9">
                  <c:v>13358</c:v>
                </c:pt>
                <c:pt idx="10">
                  <c:v>14067</c:v>
                </c:pt>
                <c:pt idx="11">
                  <c:v>11470</c:v>
                </c:pt>
                <c:pt idx="12">
                  <c:v>11278</c:v>
                </c:pt>
                <c:pt idx="13">
                  <c:v>11349</c:v>
                </c:pt>
                <c:pt idx="14">
                  <c:v>11247</c:v>
                </c:pt>
                <c:pt idx="15">
                  <c:v>11731</c:v>
                </c:pt>
                <c:pt idx="16">
                  <c:v>12062</c:v>
                </c:pt>
              </c:numCache>
            </c:numRef>
          </c:yVal>
          <c:smooth val="0"/>
          <c:extLst>
            <c:ext xmlns:c16="http://schemas.microsoft.com/office/drawing/2014/chart" uri="{C3380CC4-5D6E-409C-BE32-E72D297353CC}">
              <c16:uniqueId val="{00000007-D149-4DB1-9765-CFB30746CAE4}"/>
            </c:ext>
          </c:extLst>
        </c:ser>
        <c:ser>
          <c:idx val="1"/>
          <c:order val="1"/>
          <c:tx>
            <c:strRef>
              <c:f>'Alojados SPF'!$C$1</c:f>
              <c:strCache>
                <c:ptCount val="1"/>
                <c:pt idx="0">
                  <c:v>Cupo</c:v>
                </c:pt>
              </c:strCache>
            </c:strRef>
          </c:tx>
          <c:spPr>
            <a:ln w="19050" cap="rnd">
              <a:solidFill>
                <a:schemeClr val="bg2">
                  <a:lumMod val="50000"/>
                </a:schemeClr>
              </a:solidFill>
              <a:round/>
            </a:ln>
            <a:effectLst/>
          </c:spPr>
          <c:marker>
            <c:symbol val="circle"/>
            <c:size val="5"/>
            <c:spPr>
              <a:solidFill>
                <a:schemeClr val="tx1"/>
              </a:solidFill>
              <a:ln w="9525">
                <a:solidFill>
                  <a:schemeClr val="bg2">
                    <a:lumMod val="50000"/>
                  </a:schemeClr>
                </a:solidFill>
              </a:ln>
              <a:effectLst/>
            </c:spPr>
          </c:marker>
          <c:dLbls>
            <c:dLbl>
              <c:idx val="0"/>
              <c:layout>
                <c:manualLayout>
                  <c:x val="-4.256756756756757E-2"/>
                  <c:y val="-4.84780554244371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D149-4DB1-9765-CFB30746CAE4}"/>
                </c:ext>
              </c:extLst>
            </c:dLbl>
            <c:dLbl>
              <c:idx val="1"/>
              <c:layout>
                <c:manualLayout>
                  <c:x val="-4.481981981981982E-2"/>
                  <c:y val="-3.583982687285444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D149-4DB1-9765-CFB30746CAE4}"/>
                </c:ext>
              </c:extLst>
            </c:dLbl>
            <c:dLbl>
              <c:idx val="2"/>
              <c:layout>
                <c:manualLayout>
                  <c:x val="-4.7072072072072091E-2"/>
                  <c:y val="-3.583982687285444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D149-4DB1-9765-CFB30746CAE4}"/>
                </c:ext>
              </c:extLst>
            </c:dLbl>
            <c:dLbl>
              <c:idx val="3"/>
              <c:layout>
                <c:manualLayout>
                  <c:x val="-4.481981981981982E-2"/>
                  <c:y val="-6.111628397601987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D149-4DB1-9765-CFB30746CAE4}"/>
                </c:ext>
              </c:extLst>
            </c:dLbl>
            <c:dLbl>
              <c:idx val="4"/>
              <c:layout>
                <c:manualLayout>
                  <c:x val="-4.481981981981982E-2"/>
                  <c:y val="-4.005256972338205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D149-4DB1-9765-CFB30746CAE4}"/>
                </c:ext>
              </c:extLst>
            </c:dLbl>
            <c:dLbl>
              <c:idx val="5"/>
              <c:layout>
                <c:manualLayout>
                  <c:x val="-4.4819819819819862E-2"/>
                  <c:y val="-4.847805542443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D149-4DB1-9765-CFB30746CAE4}"/>
                </c:ext>
              </c:extLst>
            </c:dLbl>
            <c:dLbl>
              <c:idx val="6"/>
              <c:layout>
                <c:manualLayout>
                  <c:x val="-5.1576576576576619E-2"/>
                  <c:y val="-4.847805542443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D149-4DB1-9765-CFB30746CAE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AR"/>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'Alojados SPF'!$A$2:$A$18</c:f>
              <c:numCache>
                <c:formatCode>General</c:formatCode>
                <c:ptCount val="17"/>
                <c:pt idx="0">
                  <c:v>2009</c:v>
                </c:pt>
                <c:pt idx="1">
                  <c:v>2010</c:v>
                </c:pt>
                <c:pt idx="2">
                  <c:v>2011</c:v>
                </c:pt>
                <c:pt idx="3">
                  <c:v>2012</c:v>
                </c:pt>
                <c:pt idx="4">
                  <c:v>2013</c:v>
                </c:pt>
                <c:pt idx="5">
                  <c:v>2014</c:v>
                </c:pt>
                <c:pt idx="6">
                  <c:v>2015</c:v>
                </c:pt>
                <c:pt idx="7">
                  <c:v>2016</c:v>
                </c:pt>
                <c:pt idx="8">
                  <c:v>2017</c:v>
                </c:pt>
                <c:pt idx="9">
                  <c:v>2018</c:v>
                </c:pt>
                <c:pt idx="10">
                  <c:v>2019</c:v>
                </c:pt>
                <c:pt idx="11">
                  <c:v>2020</c:v>
                </c:pt>
                <c:pt idx="12">
                  <c:v>2021</c:v>
                </c:pt>
                <c:pt idx="13">
                  <c:v>2022</c:v>
                </c:pt>
                <c:pt idx="14">
                  <c:v>2023</c:v>
                </c:pt>
                <c:pt idx="15">
                  <c:v>2024</c:v>
                </c:pt>
                <c:pt idx="16">
                  <c:v>2025</c:v>
                </c:pt>
              </c:numCache>
            </c:numRef>
          </c:xVal>
          <c:yVal>
            <c:numRef>
              <c:f>'Alojados SPF'!$C$2:$C$18</c:f>
              <c:numCache>
                <c:formatCode>General</c:formatCode>
                <c:ptCount val="17"/>
                <c:pt idx="0">
                  <c:v>10230</c:v>
                </c:pt>
                <c:pt idx="1">
                  <c:v>10532</c:v>
                </c:pt>
                <c:pt idx="2">
                  <c:v>11037</c:v>
                </c:pt>
                <c:pt idx="3">
                  <c:v>10880</c:v>
                </c:pt>
                <c:pt idx="4">
                  <c:v>10792</c:v>
                </c:pt>
                <c:pt idx="5">
                  <c:v>11071</c:v>
                </c:pt>
                <c:pt idx="6">
                  <c:v>11851</c:v>
                </c:pt>
                <c:pt idx="7">
                  <c:v>11038</c:v>
                </c:pt>
                <c:pt idx="8">
                  <c:v>11557</c:v>
                </c:pt>
                <c:pt idx="9">
                  <c:v>12235</c:v>
                </c:pt>
                <c:pt idx="10">
                  <c:v>12778</c:v>
                </c:pt>
                <c:pt idx="11">
                  <c:v>12198</c:v>
                </c:pt>
                <c:pt idx="12">
                  <c:v>10936</c:v>
                </c:pt>
                <c:pt idx="13">
                  <c:v>10936</c:v>
                </c:pt>
                <c:pt idx="14">
                  <c:v>10932</c:v>
                </c:pt>
                <c:pt idx="15">
                  <c:v>11002</c:v>
                </c:pt>
                <c:pt idx="16">
                  <c:v>11536</c:v>
                </c:pt>
              </c:numCache>
            </c:numRef>
          </c:yVal>
          <c:smooth val="0"/>
          <c:extLst>
            <c:ext xmlns:c16="http://schemas.microsoft.com/office/drawing/2014/chart" uri="{C3380CC4-5D6E-409C-BE32-E72D297353CC}">
              <c16:uniqueId val="{0000000F-D149-4DB1-9765-CFB30746CAE4}"/>
            </c:ext>
          </c:extLst>
        </c:ser>
        <c:dLbls>
          <c:dLblPos val="t"/>
          <c:showLegendKey val="0"/>
          <c:showVal val="1"/>
          <c:showCatName val="0"/>
          <c:showSerName val="0"/>
          <c:showPercent val="0"/>
          <c:showBubbleSize val="0"/>
        </c:dLbls>
        <c:axId val="523155416"/>
        <c:axId val="523155808"/>
      </c:scatterChart>
      <c:valAx>
        <c:axId val="523155416"/>
        <c:scaling>
          <c:orientation val="minMax"/>
          <c:max val="2025"/>
          <c:min val="2009"/>
        </c:scaling>
        <c:delete val="0"/>
        <c:axPos val="b"/>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AR"/>
          </a:p>
        </c:txPr>
        <c:crossAx val="523155808"/>
        <c:crosses val="autoZero"/>
        <c:crossBetween val="midCat"/>
        <c:majorUnit val="1"/>
      </c:valAx>
      <c:valAx>
        <c:axId val="523155808"/>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523155416"/>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A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AR"/>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6078958880139991E-2"/>
          <c:y val="6.4814814814814811E-2"/>
          <c:w val="0.89234076990376199"/>
          <c:h val="0.64054170312044323"/>
        </c:manualLayout>
      </c:layout>
      <c:lineChart>
        <c:grouping val="standard"/>
        <c:varyColors val="0"/>
        <c:ser>
          <c:idx val="0"/>
          <c:order val="0"/>
          <c:tx>
            <c:strRef>
              <c:f>'Alojados CABA'!$B$1</c:f>
              <c:strCache>
                <c:ptCount val="1"/>
                <c:pt idx="0">
                  <c:v>Alojados</c:v>
                </c:pt>
              </c:strCache>
            </c:strRef>
          </c:tx>
          <c:spPr>
            <a:ln w="28575" cap="rnd">
              <a:solidFill>
                <a:srgbClr val="8C1C1C"/>
              </a:solidFill>
              <a:round/>
            </a:ln>
            <a:effectLst/>
          </c:spPr>
          <c:marker>
            <c:symbol val="circle"/>
            <c:size val="5"/>
            <c:spPr>
              <a:solidFill>
                <a:srgbClr val="8C1C1C"/>
              </a:solidFill>
              <a:ln w="9525">
                <a:solidFill>
                  <a:srgbClr val="8C1C1C"/>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A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'Alojados CABA'!$A$2:$A$13</c:f>
              <c:numCache>
                <c:formatCode>d\-mmm\-yy</c:formatCode>
                <c:ptCount val="12"/>
                <c:pt idx="0">
                  <c:v>43951</c:v>
                </c:pt>
                <c:pt idx="1">
                  <c:v>44134</c:v>
                </c:pt>
                <c:pt idx="2">
                  <c:v>44316</c:v>
                </c:pt>
                <c:pt idx="3">
                  <c:v>44499</c:v>
                </c:pt>
                <c:pt idx="4">
                  <c:v>44681</c:v>
                </c:pt>
                <c:pt idx="5">
                  <c:v>44864</c:v>
                </c:pt>
                <c:pt idx="6">
                  <c:v>45046</c:v>
                </c:pt>
                <c:pt idx="7">
                  <c:v>45229</c:v>
                </c:pt>
                <c:pt idx="8">
                  <c:v>45412</c:v>
                </c:pt>
                <c:pt idx="9">
                  <c:v>45595</c:v>
                </c:pt>
                <c:pt idx="10">
                  <c:v>45777</c:v>
                </c:pt>
                <c:pt idx="11">
                  <c:v>45900</c:v>
                </c:pt>
              </c:numCache>
            </c:numRef>
          </c:cat>
          <c:val>
            <c:numRef>
              <c:f>'Alojados CABA'!$B$2:$B$13</c:f>
              <c:numCache>
                <c:formatCode>General</c:formatCode>
                <c:ptCount val="12"/>
                <c:pt idx="0">
                  <c:v>136</c:v>
                </c:pt>
                <c:pt idx="1">
                  <c:v>397</c:v>
                </c:pt>
                <c:pt idx="2">
                  <c:v>645</c:v>
                </c:pt>
                <c:pt idx="3">
                  <c:v>707</c:v>
                </c:pt>
                <c:pt idx="4">
                  <c:v>867</c:v>
                </c:pt>
                <c:pt idx="5">
                  <c:v>892</c:v>
                </c:pt>
                <c:pt idx="6">
                  <c:v>1302</c:v>
                </c:pt>
                <c:pt idx="7">
                  <c:v>1671</c:v>
                </c:pt>
                <c:pt idx="8">
                  <c:v>1937</c:v>
                </c:pt>
                <c:pt idx="9">
                  <c:v>2280</c:v>
                </c:pt>
                <c:pt idx="10">
                  <c:v>2518</c:v>
                </c:pt>
                <c:pt idx="11">
                  <c:v>2408</c:v>
                </c:pt>
              </c:numCache>
            </c:numRef>
          </c:val>
          <c:smooth val="0"/>
          <c:extLst>
            <c:ext xmlns:c16="http://schemas.microsoft.com/office/drawing/2014/chart" uri="{C3380CC4-5D6E-409C-BE32-E72D297353CC}">
              <c16:uniqueId val="{00000000-4754-42BA-B893-880B4C478131}"/>
            </c:ext>
          </c:extLst>
        </c:ser>
        <c:ser>
          <c:idx val="1"/>
          <c:order val="1"/>
          <c:tx>
            <c:strRef>
              <c:f>'Alojados CABA'!$C$1</c:f>
              <c:strCache>
                <c:ptCount val="1"/>
                <c:pt idx="0">
                  <c:v>Cupo</c:v>
                </c:pt>
              </c:strCache>
            </c:strRef>
          </c:tx>
          <c:spPr>
            <a:ln w="28575" cap="rnd">
              <a:solidFill>
                <a:schemeClr val="bg1">
                  <a:lumMod val="50000"/>
                </a:schemeClr>
              </a:solidFill>
              <a:round/>
            </a:ln>
            <a:effectLst/>
          </c:spPr>
          <c:marker>
            <c:symbol val="none"/>
          </c:marker>
          <c:dLbls>
            <c:dLbl>
              <c:idx val="0"/>
              <c:delete val="1"/>
              <c:extLst>
                <c:ext xmlns:c15="http://schemas.microsoft.com/office/drawing/2012/chart" uri="{CE6537A1-D6FC-4f65-9D91-7224C49458BB}"/>
                <c:ext xmlns:c16="http://schemas.microsoft.com/office/drawing/2014/chart" uri="{C3380CC4-5D6E-409C-BE32-E72D297353CC}">
                  <c16:uniqueId val="{00000001-4754-42BA-B893-880B4C478131}"/>
                </c:ext>
              </c:extLst>
            </c:dLbl>
            <c:dLbl>
              <c:idx val="1"/>
              <c:delete val="1"/>
              <c:extLst>
                <c:ext xmlns:c15="http://schemas.microsoft.com/office/drawing/2012/chart" uri="{CE6537A1-D6FC-4f65-9D91-7224C49458BB}"/>
                <c:ext xmlns:c16="http://schemas.microsoft.com/office/drawing/2014/chart" uri="{C3380CC4-5D6E-409C-BE32-E72D297353CC}">
                  <c16:uniqueId val="{00000002-4754-42BA-B893-880B4C47813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A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'Alojados CABA'!$A$2:$A$13</c:f>
              <c:numCache>
                <c:formatCode>d\-mmm\-yy</c:formatCode>
                <c:ptCount val="12"/>
                <c:pt idx="0">
                  <c:v>43951</c:v>
                </c:pt>
                <c:pt idx="1">
                  <c:v>44134</c:v>
                </c:pt>
                <c:pt idx="2">
                  <c:v>44316</c:v>
                </c:pt>
                <c:pt idx="3">
                  <c:v>44499</c:v>
                </c:pt>
                <c:pt idx="4">
                  <c:v>44681</c:v>
                </c:pt>
                <c:pt idx="5">
                  <c:v>44864</c:v>
                </c:pt>
                <c:pt idx="6">
                  <c:v>45046</c:v>
                </c:pt>
                <c:pt idx="7">
                  <c:v>45229</c:v>
                </c:pt>
                <c:pt idx="8">
                  <c:v>45412</c:v>
                </c:pt>
                <c:pt idx="9">
                  <c:v>45595</c:v>
                </c:pt>
                <c:pt idx="10">
                  <c:v>45777</c:v>
                </c:pt>
                <c:pt idx="11">
                  <c:v>45900</c:v>
                </c:pt>
              </c:numCache>
            </c:numRef>
          </c:cat>
          <c:val>
            <c:numRef>
              <c:f>'Alojados CABA'!$C$2:$C$13</c:f>
              <c:numCache>
                <c:formatCode>General</c:formatCode>
                <c:ptCount val="12"/>
                <c:pt idx="0">
                  <c:v>0</c:v>
                </c:pt>
                <c:pt idx="1">
                  <c:v>0</c:v>
                </c:pt>
                <c:pt idx="2">
                  <c:v>211</c:v>
                </c:pt>
                <c:pt idx="3">
                  <c:v>242</c:v>
                </c:pt>
                <c:pt idx="4">
                  <c:v>299</c:v>
                </c:pt>
                <c:pt idx="5">
                  <c:v>312</c:v>
                </c:pt>
                <c:pt idx="6">
                  <c:v>563</c:v>
                </c:pt>
                <c:pt idx="7">
                  <c:v>904</c:v>
                </c:pt>
                <c:pt idx="8">
                  <c:v>1041</c:v>
                </c:pt>
                <c:pt idx="9">
                  <c:v>1243</c:v>
                </c:pt>
                <c:pt idx="10">
                  <c:v>1294</c:v>
                </c:pt>
                <c:pt idx="11">
                  <c:v>1377</c:v>
                </c:pt>
              </c:numCache>
            </c:numRef>
          </c:val>
          <c:smooth val="0"/>
          <c:extLst>
            <c:ext xmlns:c16="http://schemas.microsoft.com/office/drawing/2014/chart" uri="{C3380CC4-5D6E-409C-BE32-E72D297353CC}">
              <c16:uniqueId val="{00000003-4754-42BA-B893-880B4C478131}"/>
            </c:ext>
          </c:extLst>
        </c:ser>
        <c:dLbls>
          <c:dLblPos val="t"/>
          <c:showLegendKey val="0"/>
          <c:showVal val="1"/>
          <c:showCatName val="0"/>
          <c:showSerName val="0"/>
          <c:showPercent val="0"/>
          <c:showBubbleSize val="0"/>
        </c:dLbls>
        <c:marker val="1"/>
        <c:smooth val="0"/>
        <c:axId val="523153064"/>
        <c:axId val="523153456"/>
      </c:lineChart>
      <c:dateAx>
        <c:axId val="523153064"/>
        <c:scaling>
          <c:orientation val="minMax"/>
        </c:scaling>
        <c:delete val="0"/>
        <c:axPos val="b"/>
        <c:numFmt formatCode="d\-mmm\-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AR"/>
          </a:p>
        </c:txPr>
        <c:crossAx val="523153456"/>
        <c:crosses val="autoZero"/>
        <c:auto val="0"/>
        <c:lblOffset val="100"/>
        <c:baseTimeUnit val="months"/>
        <c:majorUnit val="6"/>
        <c:majorTimeUnit val="months"/>
      </c:dateAx>
      <c:valAx>
        <c:axId val="523153456"/>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5231530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A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A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Hoja1!$B$1</c:f>
              <c:strCache>
                <c:ptCount val="1"/>
                <c:pt idx="0">
                  <c:v>Procesadas</c:v>
                </c:pt>
              </c:strCache>
            </c:strRef>
          </c:tx>
          <c:spPr>
            <a:solidFill>
              <a:srgbClr val="C00000"/>
            </a:solidFill>
            <a:ln>
              <a:noFill/>
            </a:ln>
            <a:effectLst/>
          </c:spPr>
          <c:invertIfNegative val="0"/>
          <c:dLbls>
            <c:dLbl>
              <c:idx val="18"/>
              <c:layout>
                <c:manualLayout>
                  <c:x val="-7.1942446043165471E-3"/>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5986-4284-B29D-D9536B4DD5F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A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Hoja1!$A$2:$A$20</c:f>
              <c:numCache>
                <c:formatCode>General</c:formatCode>
                <c:ptCount val="19"/>
                <c:pt idx="0">
                  <c:v>2006</c:v>
                </c:pt>
                <c:pt idx="1">
                  <c:v>2007</c:v>
                </c:pt>
                <c:pt idx="2">
                  <c:v>2008</c:v>
                </c:pt>
                <c:pt idx="3">
                  <c:v>2009</c:v>
                </c:pt>
                <c:pt idx="4">
                  <c:v>2010</c:v>
                </c:pt>
                <c:pt idx="5">
                  <c:v>2011</c:v>
                </c:pt>
                <c:pt idx="6">
                  <c:v>2012</c:v>
                </c:pt>
                <c:pt idx="7">
                  <c:v>2013</c:v>
                </c:pt>
                <c:pt idx="8">
                  <c:v>2014</c:v>
                </c:pt>
                <c:pt idx="9">
                  <c:v>2015</c:v>
                </c:pt>
                <c:pt idx="10">
                  <c:v>2016</c:v>
                </c:pt>
                <c:pt idx="11">
                  <c:v>2017</c:v>
                </c:pt>
                <c:pt idx="12">
                  <c:v>2018</c:v>
                </c:pt>
                <c:pt idx="13">
                  <c:v>2019</c:v>
                </c:pt>
                <c:pt idx="14">
                  <c:v>2020</c:v>
                </c:pt>
                <c:pt idx="15">
                  <c:v>2021</c:v>
                </c:pt>
                <c:pt idx="16">
                  <c:v>2022</c:v>
                </c:pt>
                <c:pt idx="17">
                  <c:v>2023</c:v>
                </c:pt>
                <c:pt idx="18">
                  <c:v>2024</c:v>
                </c:pt>
              </c:numCache>
            </c:numRef>
          </c:cat>
          <c:val>
            <c:numRef>
              <c:f>Hoja1!$B$2:$B$20</c:f>
              <c:numCache>
                <c:formatCode>General</c:formatCode>
                <c:ptCount val="19"/>
                <c:pt idx="0">
                  <c:v>65</c:v>
                </c:pt>
                <c:pt idx="1">
                  <c:v>66</c:v>
                </c:pt>
                <c:pt idx="2">
                  <c:v>65</c:v>
                </c:pt>
                <c:pt idx="3">
                  <c:v>63</c:v>
                </c:pt>
                <c:pt idx="4">
                  <c:v>63</c:v>
                </c:pt>
                <c:pt idx="5">
                  <c:v>63</c:v>
                </c:pt>
                <c:pt idx="6">
                  <c:v>64</c:v>
                </c:pt>
                <c:pt idx="7">
                  <c:v>62</c:v>
                </c:pt>
                <c:pt idx="8">
                  <c:v>63</c:v>
                </c:pt>
                <c:pt idx="9">
                  <c:v>62</c:v>
                </c:pt>
                <c:pt idx="10">
                  <c:v>60</c:v>
                </c:pt>
                <c:pt idx="11">
                  <c:v>59</c:v>
                </c:pt>
                <c:pt idx="12">
                  <c:v>60</c:v>
                </c:pt>
                <c:pt idx="13">
                  <c:v>55</c:v>
                </c:pt>
                <c:pt idx="14">
                  <c:v>53</c:v>
                </c:pt>
                <c:pt idx="15">
                  <c:v>55</c:v>
                </c:pt>
                <c:pt idx="16">
                  <c:v>53</c:v>
                </c:pt>
                <c:pt idx="17">
                  <c:v>51</c:v>
                </c:pt>
                <c:pt idx="18">
                  <c:v>50</c:v>
                </c:pt>
              </c:numCache>
            </c:numRef>
          </c:val>
          <c:extLst>
            <c:ext xmlns:c16="http://schemas.microsoft.com/office/drawing/2014/chart" uri="{C3380CC4-5D6E-409C-BE32-E72D297353CC}">
              <c16:uniqueId val="{00000000-5986-4284-B29D-D9536B4DD5FB}"/>
            </c:ext>
          </c:extLst>
        </c:ser>
        <c:ser>
          <c:idx val="1"/>
          <c:order val="1"/>
          <c:tx>
            <c:strRef>
              <c:f>Hoja1!$C$1</c:f>
              <c:strCache>
                <c:ptCount val="1"/>
                <c:pt idx="0">
                  <c:v>Condenadas</c:v>
                </c:pt>
              </c:strCache>
            </c:strRef>
          </c:tx>
          <c:spPr>
            <a:solidFill>
              <a:schemeClr val="accent2">
                <a:lumMod val="60000"/>
                <a:lumOff val="40000"/>
              </a:schemeClr>
            </a:solidFill>
            <a:ln>
              <a:noFill/>
            </a:ln>
            <a:effectLst/>
          </c:spPr>
          <c:invertIfNegative val="0"/>
          <c:dLbls>
            <c:dLbl>
              <c:idx val="17"/>
              <c:layout>
                <c:manualLayout>
                  <c:x val="7.1942446043165471E-3"/>
                  <c:y val="3.859513701273639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5986-4284-B29D-D9536B4DD5FB}"/>
                </c:ext>
              </c:extLst>
            </c:dLbl>
            <c:dLbl>
              <c:idx val="18"/>
              <c:layout>
                <c:manualLayout>
                  <c:x val="7.1942446043165471E-3"/>
                  <c:y val="-1.543805480509455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5986-4284-B29D-D9536B4DD5F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A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Hoja1!$A$2:$A$20</c:f>
              <c:numCache>
                <c:formatCode>General</c:formatCode>
                <c:ptCount val="19"/>
                <c:pt idx="0">
                  <c:v>2006</c:v>
                </c:pt>
                <c:pt idx="1">
                  <c:v>2007</c:v>
                </c:pt>
                <c:pt idx="2">
                  <c:v>2008</c:v>
                </c:pt>
                <c:pt idx="3">
                  <c:v>2009</c:v>
                </c:pt>
                <c:pt idx="4">
                  <c:v>2010</c:v>
                </c:pt>
                <c:pt idx="5">
                  <c:v>2011</c:v>
                </c:pt>
                <c:pt idx="6">
                  <c:v>2012</c:v>
                </c:pt>
                <c:pt idx="7">
                  <c:v>2013</c:v>
                </c:pt>
                <c:pt idx="8">
                  <c:v>2014</c:v>
                </c:pt>
                <c:pt idx="9">
                  <c:v>2015</c:v>
                </c:pt>
                <c:pt idx="10">
                  <c:v>2016</c:v>
                </c:pt>
                <c:pt idx="11">
                  <c:v>2017</c:v>
                </c:pt>
                <c:pt idx="12">
                  <c:v>2018</c:v>
                </c:pt>
                <c:pt idx="13">
                  <c:v>2019</c:v>
                </c:pt>
                <c:pt idx="14">
                  <c:v>2020</c:v>
                </c:pt>
                <c:pt idx="15">
                  <c:v>2021</c:v>
                </c:pt>
                <c:pt idx="16">
                  <c:v>2022</c:v>
                </c:pt>
                <c:pt idx="17">
                  <c:v>2023</c:v>
                </c:pt>
                <c:pt idx="18">
                  <c:v>2024</c:v>
                </c:pt>
              </c:numCache>
            </c:numRef>
          </c:cat>
          <c:val>
            <c:numRef>
              <c:f>Hoja1!$C$2:$C$20</c:f>
              <c:numCache>
                <c:formatCode>General</c:formatCode>
                <c:ptCount val="19"/>
                <c:pt idx="0">
                  <c:v>35</c:v>
                </c:pt>
                <c:pt idx="1">
                  <c:v>34</c:v>
                </c:pt>
                <c:pt idx="2">
                  <c:v>35</c:v>
                </c:pt>
                <c:pt idx="3">
                  <c:v>37</c:v>
                </c:pt>
                <c:pt idx="4">
                  <c:v>37</c:v>
                </c:pt>
                <c:pt idx="5">
                  <c:v>37</c:v>
                </c:pt>
                <c:pt idx="6">
                  <c:v>36</c:v>
                </c:pt>
                <c:pt idx="7">
                  <c:v>38</c:v>
                </c:pt>
                <c:pt idx="8">
                  <c:v>37</c:v>
                </c:pt>
                <c:pt idx="9">
                  <c:v>38</c:v>
                </c:pt>
                <c:pt idx="10">
                  <c:v>40</c:v>
                </c:pt>
                <c:pt idx="11">
                  <c:v>41</c:v>
                </c:pt>
                <c:pt idx="12">
                  <c:v>40</c:v>
                </c:pt>
                <c:pt idx="13">
                  <c:v>45</c:v>
                </c:pt>
                <c:pt idx="14">
                  <c:v>47</c:v>
                </c:pt>
                <c:pt idx="15">
                  <c:v>45</c:v>
                </c:pt>
                <c:pt idx="16">
                  <c:v>47</c:v>
                </c:pt>
                <c:pt idx="17">
                  <c:v>49</c:v>
                </c:pt>
                <c:pt idx="18">
                  <c:v>50</c:v>
                </c:pt>
              </c:numCache>
            </c:numRef>
          </c:val>
          <c:extLst>
            <c:ext xmlns:c16="http://schemas.microsoft.com/office/drawing/2014/chart" uri="{C3380CC4-5D6E-409C-BE32-E72D297353CC}">
              <c16:uniqueId val="{00000001-5986-4284-B29D-D9536B4DD5FB}"/>
            </c:ext>
          </c:extLst>
        </c:ser>
        <c:dLbls>
          <c:showLegendKey val="0"/>
          <c:showVal val="0"/>
          <c:showCatName val="0"/>
          <c:showSerName val="0"/>
          <c:showPercent val="0"/>
          <c:showBubbleSize val="0"/>
        </c:dLbls>
        <c:gapWidth val="219"/>
        <c:overlap val="-27"/>
        <c:axId val="529339136"/>
        <c:axId val="529339528"/>
      </c:barChart>
      <c:catAx>
        <c:axId val="5293391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AR"/>
          </a:p>
        </c:txPr>
        <c:crossAx val="529339528"/>
        <c:crosses val="autoZero"/>
        <c:auto val="1"/>
        <c:lblAlgn val="ctr"/>
        <c:lblOffset val="100"/>
        <c:noMultiLvlLbl val="0"/>
      </c:catAx>
      <c:valAx>
        <c:axId val="529339528"/>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5293391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A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AR"/>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A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Hoja1!$B$5:$B$20</c:f>
              <c:strCache>
                <c:ptCount val="16"/>
                <c:pt idx="0">
                  <c:v>2009</c:v>
                </c:pt>
                <c:pt idx="1">
                  <c:v>2010</c:v>
                </c:pt>
                <c:pt idx="2">
                  <c:v>2011</c:v>
                </c:pt>
                <c:pt idx="3">
                  <c:v>2012</c:v>
                </c:pt>
                <c:pt idx="4">
                  <c:v>2013</c:v>
                </c:pt>
                <c:pt idx="5">
                  <c:v>2014</c:v>
                </c:pt>
                <c:pt idx="6">
                  <c:v>2015</c:v>
                </c:pt>
                <c:pt idx="7">
                  <c:v>2016</c:v>
                </c:pt>
                <c:pt idx="8">
                  <c:v>2017</c:v>
                </c:pt>
                <c:pt idx="9">
                  <c:v>2018</c:v>
                </c:pt>
                <c:pt idx="10">
                  <c:v>2019</c:v>
                </c:pt>
                <c:pt idx="11">
                  <c:v>2020</c:v>
                </c:pt>
                <c:pt idx="12">
                  <c:v>2021</c:v>
                </c:pt>
                <c:pt idx="13">
                  <c:v>2022</c:v>
                </c:pt>
                <c:pt idx="14">
                  <c:v>2023</c:v>
                </c:pt>
                <c:pt idx="15">
                  <c:v>2024</c:v>
                </c:pt>
              </c:strCache>
            </c:strRef>
          </c:cat>
          <c:val>
            <c:numRef>
              <c:f>Hoja1!$C$5:$C$20</c:f>
              <c:numCache>
                <c:formatCode>###0</c:formatCode>
                <c:ptCount val="16"/>
                <c:pt idx="0">
                  <c:v>198</c:v>
                </c:pt>
                <c:pt idx="1">
                  <c:v>203</c:v>
                </c:pt>
                <c:pt idx="2">
                  <c:v>404</c:v>
                </c:pt>
                <c:pt idx="3">
                  <c:v>443</c:v>
                </c:pt>
                <c:pt idx="4">
                  <c:v>727</c:v>
                </c:pt>
                <c:pt idx="5">
                  <c:v>820</c:v>
                </c:pt>
                <c:pt idx="6">
                  <c:v>782</c:v>
                </c:pt>
                <c:pt idx="7">
                  <c:v>632</c:v>
                </c:pt>
                <c:pt idx="8">
                  <c:v>636</c:v>
                </c:pt>
                <c:pt idx="9">
                  <c:v>565</c:v>
                </c:pt>
                <c:pt idx="10">
                  <c:v>435</c:v>
                </c:pt>
                <c:pt idx="11">
                  <c:v>183</c:v>
                </c:pt>
                <c:pt idx="12">
                  <c:v>242</c:v>
                </c:pt>
                <c:pt idx="13">
                  <c:v>323</c:v>
                </c:pt>
                <c:pt idx="14">
                  <c:v>298</c:v>
                </c:pt>
                <c:pt idx="15">
                  <c:v>389</c:v>
                </c:pt>
              </c:numCache>
            </c:numRef>
          </c:val>
          <c:smooth val="1"/>
          <c:extLst>
            <c:ext xmlns:c16="http://schemas.microsoft.com/office/drawing/2014/chart" uri="{C3380CC4-5D6E-409C-BE32-E72D297353CC}">
              <c16:uniqueId val="{00000010-6E32-4828-A374-249E28B610A4}"/>
            </c:ext>
          </c:extLst>
        </c:ser>
        <c:dLbls>
          <c:showLegendKey val="0"/>
          <c:showVal val="0"/>
          <c:showCatName val="0"/>
          <c:showSerName val="0"/>
          <c:showPercent val="0"/>
          <c:showBubbleSize val="0"/>
        </c:dLbls>
        <c:smooth val="0"/>
        <c:axId val="529339920"/>
        <c:axId val="529340312"/>
      </c:lineChart>
      <c:catAx>
        <c:axId val="5293399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AR"/>
          </a:p>
        </c:txPr>
        <c:crossAx val="529340312"/>
        <c:crosses val="autoZero"/>
        <c:auto val="1"/>
        <c:lblAlgn val="ctr"/>
        <c:lblOffset val="100"/>
        <c:noMultiLvlLbl val="0"/>
      </c:catAx>
      <c:valAx>
        <c:axId val="52934031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AR"/>
          </a:p>
        </c:txPr>
        <c:crossAx val="529339920"/>
        <c:crosses val="autoZero"/>
        <c:crossBetween val="between"/>
      </c:valAx>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AR"/>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spPr>
            <a:solidFill>
              <a:srgbClr val="C00000"/>
            </a:solidFill>
            <a:ln>
              <a:noFill/>
            </a:ln>
            <a:effectLst/>
          </c:spPr>
          <c:invertIfNegative val="0"/>
          <c:dLbls>
            <c:dLbl>
              <c:idx val="0"/>
              <c:tx>
                <c:rich>
                  <a:bodyPr/>
                  <a:lstStyle/>
                  <a:p>
                    <a:fld id="{9CD64175-64EF-4192-ACAA-257060594C06}" type="VALUE">
                      <a:rPr lang="en-US"/>
                      <a:pPr/>
                      <a:t>[VALUE]</a:t>
                    </a:fld>
                    <a:r>
                      <a:rPr lang="en-US"/>
                      <a:t> (77%)</a:t>
                    </a:r>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0-751E-45F2-9C1A-B41C11D9FD40}"/>
                </c:ext>
              </c:extLst>
            </c:dLbl>
            <c:dLbl>
              <c:idx val="1"/>
              <c:tx>
                <c:rich>
                  <a:bodyPr/>
                  <a:lstStyle/>
                  <a:p>
                    <a:fld id="{5F9C193C-55C3-4E66-8804-4264F2DB5059}" type="VALUE">
                      <a:rPr lang="en-US"/>
                      <a:pPr/>
                      <a:t>[VALUE]</a:t>
                    </a:fld>
                    <a:r>
                      <a:rPr lang="en-US"/>
                      <a:t> (15%)</a:t>
                    </a:r>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751E-45F2-9C1A-B41C11D9FD40}"/>
                </c:ext>
              </c:extLst>
            </c:dLbl>
            <c:dLbl>
              <c:idx val="2"/>
              <c:tx>
                <c:rich>
                  <a:bodyPr/>
                  <a:lstStyle/>
                  <a:p>
                    <a:fld id="{A7AF38C2-E877-4B4D-892C-7ADF8B56AAA0}" type="VALUE">
                      <a:rPr lang="en-US"/>
                      <a:pPr/>
                      <a:t>[VALUE]</a:t>
                    </a:fld>
                    <a:r>
                      <a:rPr lang="en-US"/>
                      <a:t> (3%)</a:t>
                    </a:r>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751E-45F2-9C1A-B41C11D9FD40}"/>
                </c:ext>
              </c:extLst>
            </c:dLbl>
            <c:dLbl>
              <c:idx val="3"/>
              <c:tx>
                <c:rich>
                  <a:bodyPr/>
                  <a:lstStyle/>
                  <a:p>
                    <a:fld id="{1B7E025C-ADB9-48F0-91C5-3863D89B7915}" type="VALUE">
                      <a:rPr lang="en-US"/>
                      <a:pPr/>
                      <a:t>[VALUE]</a:t>
                    </a:fld>
                    <a:r>
                      <a:rPr lang="en-US"/>
                      <a:t> (2%)</a:t>
                    </a:r>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751E-45F2-9C1A-B41C11D9FD40}"/>
                </c:ext>
              </c:extLst>
            </c:dLbl>
            <c:dLbl>
              <c:idx val="4"/>
              <c:tx>
                <c:rich>
                  <a:bodyPr/>
                  <a:lstStyle/>
                  <a:p>
                    <a:fld id="{98F45D46-60ED-4CE0-BAF2-244469C74E74}" type="VALUE">
                      <a:rPr lang="en-US"/>
                      <a:pPr/>
                      <a:t>[VALUE]</a:t>
                    </a:fld>
                    <a:r>
                      <a:rPr lang="en-US"/>
                      <a:t> (2%)</a:t>
                    </a:r>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4-751E-45F2-9C1A-B41C11D9FD40}"/>
                </c:ext>
              </c:extLst>
            </c:dLbl>
            <c:dLbl>
              <c:idx val="5"/>
              <c:tx>
                <c:rich>
                  <a:bodyPr/>
                  <a:lstStyle/>
                  <a:p>
                    <a:fld id="{2BDF3824-1CEA-4757-B203-E58088CDF6D3}" type="VALUE">
                      <a:rPr lang="en-US"/>
                      <a:pPr/>
                      <a:t>[VALUE]</a:t>
                    </a:fld>
                    <a:r>
                      <a:rPr lang="en-US"/>
                      <a:t> (1%)</a:t>
                    </a:r>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751E-45F2-9C1A-B41C11D9FD40}"/>
                </c:ext>
              </c:extLst>
            </c:dLbl>
            <c:dLbl>
              <c:idx val="6"/>
              <c:tx>
                <c:rich>
                  <a:bodyPr/>
                  <a:lstStyle/>
                  <a:p>
                    <a:fld id="{B3F20A36-810C-408E-A52D-F173667B2F6F}" type="VALUE">
                      <a:rPr lang="en-US"/>
                      <a:pPr/>
                      <a:t>[VALUE]</a:t>
                    </a:fld>
                    <a:r>
                      <a:rPr lang="en-US"/>
                      <a:t> (1%)</a:t>
                    </a:r>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6-751E-45F2-9C1A-B41C11D9FD4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A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Hoja21!$B$3:$B$10</c:f>
              <c:strCache>
                <c:ptCount val="8"/>
                <c:pt idx="0">
                  <c:v>SPF</c:v>
                </c:pt>
                <c:pt idx="1">
                  <c:v>Policía de la Ciudad</c:v>
                </c:pt>
                <c:pt idx="2">
                  <c:v>Consejo de los derechos de NNA </c:v>
                </c:pt>
                <c:pt idx="3">
                  <c:v>Otras*</c:v>
                </c:pt>
                <c:pt idx="4">
                  <c:v>Otro Servicio Penitenciario**</c:v>
                </c:pt>
                <c:pt idx="5">
                  <c:v>PFA</c:v>
                </c:pt>
                <c:pt idx="6">
                  <c:v>GNA</c:v>
                </c:pt>
                <c:pt idx="7">
                  <c:v>PNA</c:v>
                </c:pt>
              </c:strCache>
            </c:strRef>
          </c:cat>
          <c:val>
            <c:numRef>
              <c:f>Hoja21!$C$3:$C$10</c:f>
              <c:numCache>
                <c:formatCode>###0</c:formatCode>
                <c:ptCount val="8"/>
                <c:pt idx="0">
                  <c:v>298</c:v>
                </c:pt>
                <c:pt idx="1">
                  <c:v>57</c:v>
                </c:pt>
                <c:pt idx="2">
                  <c:v>13</c:v>
                </c:pt>
                <c:pt idx="3">
                  <c:v>8</c:v>
                </c:pt>
                <c:pt idx="4">
                  <c:v>7</c:v>
                </c:pt>
                <c:pt idx="5">
                  <c:v>3</c:v>
                </c:pt>
                <c:pt idx="6">
                  <c:v>2</c:v>
                </c:pt>
                <c:pt idx="7">
                  <c:v>1</c:v>
                </c:pt>
              </c:numCache>
            </c:numRef>
          </c:val>
          <c:extLst>
            <c:ext xmlns:c16="http://schemas.microsoft.com/office/drawing/2014/chart" uri="{C3380CC4-5D6E-409C-BE32-E72D297353CC}">
              <c16:uniqueId val="{00000007-751E-45F2-9C1A-B41C11D9FD40}"/>
            </c:ext>
          </c:extLst>
        </c:ser>
        <c:dLbls>
          <c:showLegendKey val="0"/>
          <c:showVal val="0"/>
          <c:showCatName val="0"/>
          <c:showSerName val="0"/>
          <c:showPercent val="0"/>
          <c:showBubbleSize val="0"/>
        </c:dLbls>
        <c:gapWidth val="50"/>
        <c:axId val="529340704"/>
        <c:axId val="529341096"/>
      </c:barChart>
      <c:catAx>
        <c:axId val="529340704"/>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AR"/>
          </a:p>
        </c:txPr>
        <c:crossAx val="529341096"/>
        <c:crosses val="autoZero"/>
        <c:auto val="1"/>
        <c:lblAlgn val="ctr"/>
        <c:lblOffset val="100"/>
        <c:noMultiLvlLbl val="0"/>
      </c:catAx>
      <c:valAx>
        <c:axId val="529341096"/>
        <c:scaling>
          <c:orientation val="minMax"/>
        </c:scaling>
        <c:delete val="1"/>
        <c:axPos val="t"/>
        <c:numFmt formatCode="###0" sourceLinked="1"/>
        <c:majorTickMark val="none"/>
        <c:minorTickMark val="none"/>
        <c:tickLblPos val="nextTo"/>
        <c:crossAx val="529340704"/>
        <c:crosses val="autoZero"/>
        <c:crossBetween val="between"/>
      </c:valAx>
      <c:spPr>
        <a:noFill/>
        <a:ln>
          <a:noFill/>
        </a:ln>
        <a:effectLst>
          <a:outerShdw blurRad="50800" dist="50800" dir="5400000" algn="ctr" rotWithShape="0">
            <a:schemeClr val="bg1"/>
          </a:outerShdw>
          <a:softEdge rad="25400"/>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AR"/>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Hoja1!$B$1</c:f>
              <c:strCache>
                <c:ptCount val="1"/>
                <c:pt idx="0">
                  <c:v>Muertes totales</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A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Hoja1!$A$2:$A$17</c:f>
              <c:numCache>
                <c:formatCode>General</c:formatCode>
                <c:ptCount val="16"/>
                <c:pt idx="0">
                  <c:v>2009</c:v>
                </c:pt>
                <c:pt idx="1">
                  <c:v>2010</c:v>
                </c:pt>
                <c:pt idx="2">
                  <c:v>2011</c:v>
                </c:pt>
                <c:pt idx="3">
                  <c:v>2012</c:v>
                </c:pt>
                <c:pt idx="4">
                  <c:v>2013</c:v>
                </c:pt>
                <c:pt idx="5">
                  <c:v>2014</c:v>
                </c:pt>
                <c:pt idx="6">
                  <c:v>2015</c:v>
                </c:pt>
                <c:pt idx="7">
                  <c:v>2016</c:v>
                </c:pt>
                <c:pt idx="8">
                  <c:v>2017</c:v>
                </c:pt>
                <c:pt idx="9">
                  <c:v>2018</c:v>
                </c:pt>
                <c:pt idx="10">
                  <c:v>2019</c:v>
                </c:pt>
                <c:pt idx="11">
                  <c:v>2020</c:v>
                </c:pt>
                <c:pt idx="12">
                  <c:v>2021</c:v>
                </c:pt>
                <c:pt idx="13">
                  <c:v>2022</c:v>
                </c:pt>
                <c:pt idx="14">
                  <c:v>2023</c:v>
                </c:pt>
                <c:pt idx="15">
                  <c:v>2024</c:v>
                </c:pt>
              </c:numCache>
            </c:numRef>
          </c:cat>
          <c:val>
            <c:numRef>
              <c:f>Hoja1!$B$2:$B$17</c:f>
              <c:numCache>
                <c:formatCode>General</c:formatCode>
                <c:ptCount val="16"/>
                <c:pt idx="0">
                  <c:v>47</c:v>
                </c:pt>
                <c:pt idx="1">
                  <c:v>33</c:v>
                </c:pt>
                <c:pt idx="2">
                  <c:v>36</c:v>
                </c:pt>
                <c:pt idx="3">
                  <c:v>56</c:v>
                </c:pt>
                <c:pt idx="4">
                  <c:v>45</c:v>
                </c:pt>
                <c:pt idx="5">
                  <c:v>51</c:v>
                </c:pt>
                <c:pt idx="6">
                  <c:v>38</c:v>
                </c:pt>
                <c:pt idx="7">
                  <c:v>36</c:v>
                </c:pt>
                <c:pt idx="8">
                  <c:v>41</c:v>
                </c:pt>
                <c:pt idx="9">
                  <c:v>42</c:v>
                </c:pt>
                <c:pt idx="10">
                  <c:v>50</c:v>
                </c:pt>
                <c:pt idx="11">
                  <c:v>58</c:v>
                </c:pt>
                <c:pt idx="12">
                  <c:v>43</c:v>
                </c:pt>
                <c:pt idx="13">
                  <c:v>41</c:v>
                </c:pt>
                <c:pt idx="14">
                  <c:v>30</c:v>
                </c:pt>
                <c:pt idx="15">
                  <c:v>40</c:v>
                </c:pt>
              </c:numCache>
            </c:numRef>
          </c:val>
          <c:smooth val="0"/>
          <c:extLst>
            <c:ext xmlns:c16="http://schemas.microsoft.com/office/drawing/2014/chart" uri="{C3380CC4-5D6E-409C-BE32-E72D297353CC}">
              <c16:uniqueId val="{00000000-89B6-4A72-8509-2E39BBC953B2}"/>
            </c:ext>
          </c:extLst>
        </c:ser>
        <c:ser>
          <c:idx val="1"/>
          <c:order val="1"/>
          <c:tx>
            <c:strRef>
              <c:f>Hoja1!$C$1</c:f>
              <c:strCache>
                <c:ptCount val="1"/>
                <c:pt idx="0">
                  <c:v>Muertes violentas</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dLbl>
              <c:idx val="2"/>
              <c:layout>
                <c:manualLayout>
                  <c:x val="-3.1215368912219262E-2"/>
                  <c:y val="-3.462285964254468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9B6-4A72-8509-2E39BBC953B2}"/>
                </c:ext>
              </c:extLst>
            </c:dLbl>
            <c:dLbl>
              <c:idx val="4"/>
              <c:layout>
                <c:manualLayout>
                  <c:x val="-3.3530183727034119E-2"/>
                  <c:y val="-4.255936757905268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89B6-4A72-8509-2E39BBC953B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AR"/>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Hoja1!$A$2:$A$17</c:f>
              <c:numCache>
                <c:formatCode>General</c:formatCode>
                <c:ptCount val="16"/>
                <c:pt idx="0">
                  <c:v>2009</c:v>
                </c:pt>
                <c:pt idx="1">
                  <c:v>2010</c:v>
                </c:pt>
                <c:pt idx="2">
                  <c:v>2011</c:v>
                </c:pt>
                <c:pt idx="3">
                  <c:v>2012</c:v>
                </c:pt>
                <c:pt idx="4">
                  <c:v>2013</c:v>
                </c:pt>
                <c:pt idx="5">
                  <c:v>2014</c:v>
                </c:pt>
                <c:pt idx="6">
                  <c:v>2015</c:v>
                </c:pt>
                <c:pt idx="7">
                  <c:v>2016</c:v>
                </c:pt>
                <c:pt idx="8">
                  <c:v>2017</c:v>
                </c:pt>
                <c:pt idx="9">
                  <c:v>2018</c:v>
                </c:pt>
                <c:pt idx="10">
                  <c:v>2019</c:v>
                </c:pt>
                <c:pt idx="11">
                  <c:v>2020</c:v>
                </c:pt>
                <c:pt idx="12">
                  <c:v>2021</c:v>
                </c:pt>
                <c:pt idx="13">
                  <c:v>2022</c:v>
                </c:pt>
                <c:pt idx="14">
                  <c:v>2023</c:v>
                </c:pt>
                <c:pt idx="15">
                  <c:v>2024</c:v>
                </c:pt>
              </c:numCache>
            </c:numRef>
          </c:cat>
          <c:val>
            <c:numRef>
              <c:f>Hoja1!$C$2:$C$17</c:f>
              <c:numCache>
                <c:formatCode>General</c:formatCode>
                <c:ptCount val="16"/>
                <c:pt idx="0">
                  <c:v>15</c:v>
                </c:pt>
                <c:pt idx="1">
                  <c:v>10</c:v>
                </c:pt>
                <c:pt idx="2">
                  <c:v>21</c:v>
                </c:pt>
                <c:pt idx="3">
                  <c:v>25</c:v>
                </c:pt>
                <c:pt idx="4">
                  <c:v>28</c:v>
                </c:pt>
                <c:pt idx="5">
                  <c:v>24</c:v>
                </c:pt>
                <c:pt idx="6">
                  <c:v>16</c:v>
                </c:pt>
                <c:pt idx="7">
                  <c:v>14</c:v>
                </c:pt>
                <c:pt idx="8">
                  <c:v>20</c:v>
                </c:pt>
                <c:pt idx="9">
                  <c:v>16</c:v>
                </c:pt>
                <c:pt idx="10">
                  <c:v>18</c:v>
                </c:pt>
                <c:pt idx="11">
                  <c:v>17</c:v>
                </c:pt>
                <c:pt idx="12">
                  <c:v>11</c:v>
                </c:pt>
                <c:pt idx="13">
                  <c:v>13</c:v>
                </c:pt>
                <c:pt idx="14">
                  <c:v>14</c:v>
                </c:pt>
                <c:pt idx="15">
                  <c:v>17</c:v>
                </c:pt>
              </c:numCache>
            </c:numRef>
          </c:val>
          <c:smooth val="0"/>
          <c:extLst>
            <c:ext xmlns:c16="http://schemas.microsoft.com/office/drawing/2014/chart" uri="{C3380CC4-5D6E-409C-BE32-E72D297353CC}">
              <c16:uniqueId val="{00000003-89B6-4A72-8509-2E39BBC953B2}"/>
            </c:ext>
          </c:extLst>
        </c:ser>
        <c:ser>
          <c:idx val="2"/>
          <c:order val="2"/>
          <c:tx>
            <c:strRef>
              <c:f>Hoja1!$D$1</c:f>
              <c:strCache>
                <c:ptCount val="1"/>
                <c:pt idx="0">
                  <c:v>Muertes no violentas</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dLbls>
            <c:dLbl>
              <c:idx val="2"/>
              <c:layout>
                <c:manualLayout>
                  <c:x val="-2.8900554097404493E-2"/>
                  <c:y val="3.859142607174103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89B6-4A72-8509-2E39BBC953B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A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Hoja1!$A$2:$A$17</c:f>
              <c:numCache>
                <c:formatCode>General</c:formatCode>
                <c:ptCount val="16"/>
                <c:pt idx="0">
                  <c:v>2009</c:v>
                </c:pt>
                <c:pt idx="1">
                  <c:v>2010</c:v>
                </c:pt>
                <c:pt idx="2">
                  <c:v>2011</c:v>
                </c:pt>
                <c:pt idx="3">
                  <c:v>2012</c:v>
                </c:pt>
                <c:pt idx="4">
                  <c:v>2013</c:v>
                </c:pt>
                <c:pt idx="5">
                  <c:v>2014</c:v>
                </c:pt>
                <c:pt idx="6">
                  <c:v>2015</c:v>
                </c:pt>
                <c:pt idx="7">
                  <c:v>2016</c:v>
                </c:pt>
                <c:pt idx="8">
                  <c:v>2017</c:v>
                </c:pt>
                <c:pt idx="9">
                  <c:v>2018</c:v>
                </c:pt>
                <c:pt idx="10">
                  <c:v>2019</c:v>
                </c:pt>
                <c:pt idx="11">
                  <c:v>2020</c:v>
                </c:pt>
                <c:pt idx="12">
                  <c:v>2021</c:v>
                </c:pt>
                <c:pt idx="13">
                  <c:v>2022</c:v>
                </c:pt>
                <c:pt idx="14">
                  <c:v>2023</c:v>
                </c:pt>
                <c:pt idx="15">
                  <c:v>2024</c:v>
                </c:pt>
              </c:numCache>
            </c:numRef>
          </c:cat>
          <c:val>
            <c:numRef>
              <c:f>Hoja1!$D$2:$D$17</c:f>
              <c:numCache>
                <c:formatCode>General</c:formatCode>
                <c:ptCount val="16"/>
                <c:pt idx="0">
                  <c:v>32</c:v>
                </c:pt>
                <c:pt idx="1">
                  <c:v>23</c:v>
                </c:pt>
                <c:pt idx="2">
                  <c:v>15</c:v>
                </c:pt>
                <c:pt idx="3">
                  <c:v>31</c:v>
                </c:pt>
                <c:pt idx="4">
                  <c:v>17</c:v>
                </c:pt>
                <c:pt idx="5">
                  <c:v>27</c:v>
                </c:pt>
                <c:pt idx="6">
                  <c:v>22</c:v>
                </c:pt>
                <c:pt idx="7">
                  <c:v>22</c:v>
                </c:pt>
                <c:pt idx="8">
                  <c:v>21</c:v>
                </c:pt>
                <c:pt idx="9">
                  <c:v>26</c:v>
                </c:pt>
                <c:pt idx="10">
                  <c:v>32</c:v>
                </c:pt>
                <c:pt idx="11">
                  <c:v>41</c:v>
                </c:pt>
                <c:pt idx="12">
                  <c:v>32</c:v>
                </c:pt>
                <c:pt idx="13">
                  <c:v>28</c:v>
                </c:pt>
                <c:pt idx="14">
                  <c:v>16</c:v>
                </c:pt>
                <c:pt idx="15">
                  <c:v>23</c:v>
                </c:pt>
              </c:numCache>
            </c:numRef>
          </c:val>
          <c:smooth val="0"/>
          <c:extLst>
            <c:ext xmlns:c16="http://schemas.microsoft.com/office/drawing/2014/chart" uri="{C3380CC4-5D6E-409C-BE32-E72D297353CC}">
              <c16:uniqueId val="{00000005-89B6-4A72-8509-2E39BBC953B2}"/>
            </c:ext>
          </c:extLst>
        </c:ser>
        <c:dLbls>
          <c:showLegendKey val="0"/>
          <c:showVal val="0"/>
          <c:showCatName val="0"/>
          <c:showSerName val="0"/>
          <c:showPercent val="0"/>
          <c:showBubbleSize val="0"/>
        </c:dLbls>
        <c:marker val="1"/>
        <c:smooth val="0"/>
        <c:axId val="529341880"/>
        <c:axId val="446617592"/>
      </c:lineChart>
      <c:catAx>
        <c:axId val="5293418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AR"/>
          </a:p>
        </c:txPr>
        <c:crossAx val="446617592"/>
        <c:crosses val="autoZero"/>
        <c:auto val="1"/>
        <c:lblAlgn val="ctr"/>
        <c:lblOffset val="100"/>
        <c:noMultiLvlLbl val="0"/>
      </c:catAx>
      <c:valAx>
        <c:axId val="4466175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AR"/>
          </a:p>
        </c:txPr>
        <c:crossAx val="5293418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AR"/>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s-AR"/>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Hoja1!$B$1</c:f>
              <c:strCache>
                <c:ptCount val="1"/>
                <c:pt idx="0">
                  <c:v>2009-2024</c:v>
                </c:pt>
              </c:strCache>
            </c:strRef>
          </c:tx>
          <c:spPr>
            <a:solidFill>
              <a:schemeClr val="accent1"/>
            </a:solidFill>
            <a:ln>
              <a:noFill/>
            </a:ln>
            <a:effectLst/>
          </c:spPr>
          <c:invertIfNegative val="0"/>
          <c:dLbls>
            <c:dLbl>
              <c:idx val="2"/>
              <c:delete val="1"/>
              <c:extLst>
                <c:ext xmlns:c15="http://schemas.microsoft.com/office/drawing/2012/chart" uri="{CE6537A1-D6FC-4f65-9D91-7224C49458BB}"/>
                <c:ext xmlns:c16="http://schemas.microsoft.com/office/drawing/2014/chart" uri="{C3380CC4-5D6E-409C-BE32-E72D297353CC}">
                  <c16:uniqueId val="{00000000-1F62-402B-AC95-11FC9255413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A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Hoja1!$A$2:$A$8</c:f>
              <c:strCache>
                <c:ptCount val="7"/>
                <c:pt idx="0">
                  <c:v>Causa no corroborada</c:v>
                </c:pt>
                <c:pt idx="1">
                  <c:v>Descompensación por consumo de drogas</c:v>
                </c:pt>
                <c:pt idx="2">
                  <c:v>Otros</c:v>
                </c:pt>
                <c:pt idx="3">
                  <c:v>Quemaduras/ asfixia en incendio</c:v>
                </c:pt>
                <c:pt idx="4">
                  <c:v>Heridas de arma blanca</c:v>
                </c:pt>
                <c:pt idx="5">
                  <c:v>Ahorcamientos</c:v>
                </c:pt>
                <c:pt idx="6">
                  <c:v>Enfermedades</c:v>
                </c:pt>
              </c:strCache>
            </c:strRef>
          </c:cat>
          <c:val>
            <c:numRef>
              <c:f>Hoja1!$B$2:$B$8</c:f>
              <c:numCache>
                <c:formatCode>General</c:formatCode>
                <c:ptCount val="7"/>
                <c:pt idx="0">
                  <c:v>5</c:v>
                </c:pt>
                <c:pt idx="1">
                  <c:v>14</c:v>
                </c:pt>
                <c:pt idx="2">
                  <c:v>31</c:v>
                </c:pt>
                <c:pt idx="3">
                  <c:v>41</c:v>
                </c:pt>
                <c:pt idx="4">
                  <c:v>81</c:v>
                </c:pt>
                <c:pt idx="5">
                  <c:v>107</c:v>
                </c:pt>
                <c:pt idx="6">
                  <c:v>408</c:v>
                </c:pt>
              </c:numCache>
            </c:numRef>
          </c:val>
          <c:extLst>
            <c:ext xmlns:c16="http://schemas.microsoft.com/office/drawing/2014/chart" uri="{C3380CC4-5D6E-409C-BE32-E72D297353CC}">
              <c16:uniqueId val="{00000001-1F62-402B-AC95-11FC92554136}"/>
            </c:ext>
          </c:extLst>
        </c:ser>
        <c:dLbls>
          <c:showLegendKey val="0"/>
          <c:showVal val="0"/>
          <c:showCatName val="0"/>
          <c:showSerName val="0"/>
          <c:showPercent val="0"/>
          <c:showBubbleSize val="0"/>
        </c:dLbls>
        <c:gapWidth val="182"/>
        <c:axId val="446620336"/>
        <c:axId val="446618376"/>
      </c:barChart>
      <c:catAx>
        <c:axId val="44662033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AR"/>
          </a:p>
        </c:txPr>
        <c:crossAx val="446618376"/>
        <c:crosses val="autoZero"/>
        <c:auto val="1"/>
        <c:lblAlgn val="ctr"/>
        <c:lblOffset val="100"/>
        <c:noMultiLvlLbl val="0"/>
      </c:catAx>
      <c:valAx>
        <c:axId val="44661837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AR"/>
          </a:p>
        </c:txPr>
        <c:crossAx val="4466203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AR"/>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s-AR"/>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Hoja1!$B$1</c:f>
              <c:strCache>
                <c:ptCount val="1"/>
                <c:pt idx="0">
                  <c:v>Ventas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4F7-4554-90BC-E7A23DC486F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4F7-4554-90BC-E7A23DC486F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4F7-4554-90BC-E7A23DC486FA}"/>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4F7-4554-90BC-E7A23DC486FA}"/>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14F7-4554-90BC-E7A23DC486FA}"/>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14F7-4554-90BC-E7A23DC486FA}"/>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14F7-4554-90BC-E7A23DC486FA}"/>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14F7-4554-90BC-E7A23DC486FA}"/>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14F7-4554-90BC-E7A23DC486FA}"/>
              </c:ext>
            </c:extLst>
          </c:dPt>
          <c:dLbls>
            <c:dLbl>
              <c:idx val="0"/>
              <c:layout>
                <c:manualLayout>
                  <c:x val="3.5161633276853059E-2"/>
                  <c:y val="1.7615247758459722E-7"/>
                </c:manualLayout>
              </c:layout>
              <c:tx>
                <c:rich>
                  <a:bodyPr/>
                  <a:lstStyle/>
                  <a:p>
                    <a:r>
                      <a:rPr lang="en-US"/>
                      <a:t>En</a:t>
                    </a:r>
                    <a:r>
                      <a:rPr lang="en-US" baseline="0"/>
                      <a:t> investigación; </a:t>
                    </a:r>
                    <a:fld id="{39580B55-049B-4909-B0F5-F08A127CF700}" type="VALUE">
                      <a:rPr lang="en-US" baseline="0"/>
                      <a:pPr/>
                      <a:t>[VALUE]</a:t>
                    </a:fld>
                    <a:r>
                      <a:rPr lang="en-US" baseline="0"/>
                      <a:t>; </a:t>
                    </a:r>
                    <a:fld id="{633D84C6-7262-4495-AD68-ECFBF03D3B8D}" type="PERCENTAGE">
                      <a:rPr lang="en-US" baseline="0"/>
                      <a:pPr/>
                      <a:t>[PERCENTAGE]</a:t>
                    </a:fld>
                    <a:endParaRPr lang="en-US" baseline="0"/>
                  </a:p>
                </c:rich>
              </c:tx>
              <c:dLblPos val="bestFit"/>
              <c:showLegendKey val="0"/>
              <c:showVal val="1"/>
              <c:showCatName val="1"/>
              <c:showSerName val="0"/>
              <c:showPercent val="1"/>
              <c:showBubbleSize val="0"/>
              <c:extLst>
                <c:ext xmlns:c15="http://schemas.microsoft.com/office/drawing/2012/chart" uri="{CE6537A1-D6FC-4f65-9D91-7224C49458BB}">
                  <c15:layout>
                    <c:manualLayout>
                      <c:w val="0.2320433679967219"/>
                      <c:h val="0.15180362521798868"/>
                    </c:manualLayout>
                  </c15:layout>
                  <c15:dlblFieldTable/>
                  <c15:showDataLabelsRange val="0"/>
                </c:ext>
                <c:ext xmlns:c16="http://schemas.microsoft.com/office/drawing/2014/chart" uri="{C3380CC4-5D6E-409C-BE32-E72D297353CC}">
                  <c16:uniqueId val="{00000001-14F7-4554-90BC-E7A23DC486FA}"/>
                </c:ext>
              </c:extLst>
            </c:dLbl>
            <c:dLbl>
              <c:idx val="1"/>
              <c:layout>
                <c:manualLayout>
                  <c:x val="3.6039292556784834E-2"/>
                  <c:y val="-0.13758001726294281"/>
                </c:manualLayout>
              </c:layout>
              <c:dLblPos val="bestFi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14F7-4554-90BC-E7A23DC486FA}"/>
                </c:ext>
              </c:extLst>
            </c:dLbl>
            <c:dLbl>
              <c:idx val="2"/>
              <c:layout>
                <c:manualLayout>
                  <c:x val="9.9781388085982928E-2"/>
                  <c:y val="-0.15359861896457591"/>
                </c:manualLayout>
              </c:layout>
              <c:dLblPos val="bestFi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14F7-4554-90BC-E7A23DC486FA}"/>
                </c:ext>
              </c:extLst>
            </c:dLbl>
            <c:dLbl>
              <c:idx val="3"/>
              <c:layout>
                <c:manualLayout>
                  <c:x val="0.13474246098984452"/>
                  <c:y val="-7.5625781676619444E-2"/>
                </c:manualLayout>
              </c:layout>
              <c:dLblPos val="bestFi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14F7-4554-90BC-E7A23DC486FA}"/>
                </c:ext>
              </c:extLst>
            </c:dLbl>
            <c:dLbl>
              <c:idx val="4"/>
              <c:layout>
                <c:manualLayout>
                  <c:x val="0.18199430767356609"/>
                  <c:y val="1.025172189046839E-2"/>
                </c:manualLayout>
              </c:layout>
              <c:dLblPos val="bestFit"/>
              <c:showLegendKey val="0"/>
              <c:showVal val="1"/>
              <c:showCatName val="1"/>
              <c:showSerName val="0"/>
              <c:showPercent val="1"/>
              <c:showBubbleSize val="0"/>
              <c:extLst>
                <c:ext xmlns:c15="http://schemas.microsoft.com/office/drawing/2012/chart" uri="{CE6537A1-D6FC-4f65-9D91-7224C49458BB}">
                  <c15:layout>
                    <c:manualLayout>
                      <c:w val="0.2151657308659202"/>
                      <c:h val="0.10572037555708221"/>
                    </c:manualLayout>
                  </c15:layout>
                </c:ext>
                <c:ext xmlns:c16="http://schemas.microsoft.com/office/drawing/2014/chart" uri="{C3380CC4-5D6E-409C-BE32-E72D297353CC}">
                  <c16:uniqueId val="{00000009-14F7-4554-90BC-E7A23DC486FA}"/>
                </c:ext>
              </c:extLst>
            </c:dLbl>
            <c:dLbl>
              <c:idx val="5"/>
              <c:layout>
                <c:manualLayout>
                  <c:x val="-1.4529607849651705E-2"/>
                  <c:y val="3.1362187109161689E-3"/>
                </c:manualLayout>
              </c:layout>
              <c:dLblPos val="bestFi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14F7-4554-90BC-E7A23DC486FA}"/>
                </c:ext>
              </c:extLst>
            </c:dLbl>
            <c:dLbl>
              <c:idx val="6"/>
              <c:layout>
                <c:manualLayout>
                  <c:x val="-0.4225784909797668"/>
                  <c:y val="-2.6845461431415033E-2"/>
                </c:manualLayout>
              </c:layout>
              <c:dLblPos val="bestFit"/>
              <c:showLegendKey val="0"/>
              <c:showVal val="1"/>
              <c:showCatName val="1"/>
              <c:showSerName val="0"/>
              <c:showPercent val="1"/>
              <c:showBubbleSize val="0"/>
              <c:extLst>
                <c:ext xmlns:c15="http://schemas.microsoft.com/office/drawing/2012/chart" uri="{CE6537A1-D6FC-4f65-9D91-7224C49458BB}">
                  <c15:layout>
                    <c:manualLayout>
                      <c:w val="0.22360454943132105"/>
                      <c:h val="0.15180362521798868"/>
                    </c:manualLayout>
                  </c15:layout>
                </c:ext>
                <c:ext xmlns:c16="http://schemas.microsoft.com/office/drawing/2014/chart" uri="{C3380CC4-5D6E-409C-BE32-E72D297353CC}">
                  <c16:uniqueId val="{0000000D-14F7-4554-90BC-E7A23DC486FA}"/>
                </c:ext>
              </c:extLst>
            </c:dLbl>
            <c:dLbl>
              <c:idx val="7"/>
              <c:layout>
                <c:manualLayout>
                  <c:x val="-0.18032404177325936"/>
                  <c:y val="-4.4742729306487695E-3"/>
                </c:manualLayout>
              </c:layout>
              <c:dLblPos val="bestFi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14F7-4554-90BC-E7A23DC486FA}"/>
                </c:ext>
              </c:extLst>
            </c:dLbl>
            <c:dLbl>
              <c:idx val="8"/>
              <c:layout>
                <c:manualLayout>
                  <c:x val="-0.31944242654683125"/>
                  <c:y val="4.1124545693870231E-2"/>
                </c:manualLayout>
              </c:layout>
              <c:dLblPos val="bestFi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14F7-4554-90BC-E7A23DC486FA}"/>
                </c:ext>
              </c:extLst>
            </c:dLbl>
            <c:dLbl>
              <c:idx val="9"/>
              <c:layout>
                <c:manualLayout>
                  <c:x val="0.13681592039800994"/>
                  <c:y val="-5.9311981020166073E-3"/>
                </c:manualLayout>
              </c:layout>
              <c:dLblPos val="bestFi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2-14F7-4554-90BC-E7A23DC486FA}"/>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s-AR"/>
              </a:p>
            </c:txPr>
            <c:dLblPos val="outEnd"/>
            <c:showLegendKey val="0"/>
            <c:showVal val="1"/>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Hoja1!$A$2:$A$10</c:f>
              <c:strCache>
                <c:ptCount val="9"/>
                <c:pt idx="0">
                  <c:v>Investigación</c:v>
                </c:pt>
                <c:pt idx="1">
                  <c:v>Solo avances contra 3ros</c:v>
                </c:pt>
                <c:pt idx="2">
                  <c:v>Indagatoria</c:v>
                </c:pt>
                <c:pt idx="3">
                  <c:v>Sobreseimiento</c:v>
                </c:pt>
                <c:pt idx="4">
                  <c:v>Procesamiento</c:v>
                </c:pt>
                <c:pt idx="5">
                  <c:v>Elevación a Juicio</c:v>
                </c:pt>
                <c:pt idx="6">
                  <c:v>Sentencia condenatoria</c:v>
                </c:pt>
                <c:pt idx="7">
                  <c:v>Sentencia absolutoria</c:v>
                </c:pt>
                <c:pt idx="8">
                  <c:v>Archivo</c:v>
                </c:pt>
              </c:strCache>
            </c:strRef>
          </c:cat>
          <c:val>
            <c:numRef>
              <c:f>Hoja1!$B$2:$B$10</c:f>
              <c:numCache>
                <c:formatCode>General</c:formatCode>
                <c:ptCount val="9"/>
                <c:pt idx="0">
                  <c:v>141</c:v>
                </c:pt>
                <c:pt idx="1">
                  <c:v>62</c:v>
                </c:pt>
                <c:pt idx="2">
                  <c:v>11</c:v>
                </c:pt>
                <c:pt idx="3">
                  <c:v>20</c:v>
                </c:pt>
                <c:pt idx="4">
                  <c:v>6</c:v>
                </c:pt>
                <c:pt idx="5">
                  <c:v>6</c:v>
                </c:pt>
                <c:pt idx="6">
                  <c:v>1</c:v>
                </c:pt>
                <c:pt idx="7">
                  <c:v>1</c:v>
                </c:pt>
                <c:pt idx="8">
                  <c:v>292</c:v>
                </c:pt>
              </c:numCache>
            </c:numRef>
          </c:val>
          <c:extLst>
            <c:ext xmlns:c16="http://schemas.microsoft.com/office/drawing/2014/chart" uri="{C3380CC4-5D6E-409C-BE32-E72D297353CC}">
              <c16:uniqueId val="{00000013-14F7-4554-90BC-E7A23DC486FA}"/>
            </c:ext>
          </c:extLst>
        </c:ser>
        <c:dLbls>
          <c:showLegendKey val="0"/>
          <c:showVal val="0"/>
          <c:showCatName val="0"/>
          <c:showSerName val="0"/>
          <c:showPercent val="0"/>
          <c:showBubbleSize val="0"/>
          <c:showLeaderLines val="0"/>
        </c:dLbls>
        <c:firstSliceAng val="0"/>
      </c: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s-AR"/>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'Bases de Datos - Observatorio d'!$E$1</c:f>
              <c:strCache>
                <c:ptCount val="1"/>
                <c:pt idx="0">
                  <c:v>Alojados</c:v>
                </c:pt>
              </c:strCache>
            </c:strRef>
          </c:tx>
          <c:spPr>
            <a:ln w="28575" cap="rnd">
              <a:solidFill>
                <a:srgbClr val="C00000"/>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A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'Bases de Datos - Observatorio d'!$D$6:$D$20</c:f>
              <c:numCache>
                <c:formatCode>d\-mmm\-yy</c:formatCode>
                <c:ptCount val="15"/>
                <c:pt idx="0">
                  <c:v>43435</c:v>
                </c:pt>
                <c:pt idx="1">
                  <c:v>43617</c:v>
                </c:pt>
                <c:pt idx="2">
                  <c:v>43800</c:v>
                </c:pt>
                <c:pt idx="3">
                  <c:v>43983</c:v>
                </c:pt>
                <c:pt idx="4">
                  <c:v>44166</c:v>
                </c:pt>
                <c:pt idx="5">
                  <c:v>44348</c:v>
                </c:pt>
                <c:pt idx="6">
                  <c:v>44531</c:v>
                </c:pt>
                <c:pt idx="7">
                  <c:v>44713</c:v>
                </c:pt>
                <c:pt idx="8">
                  <c:v>44896</c:v>
                </c:pt>
                <c:pt idx="9">
                  <c:v>45078</c:v>
                </c:pt>
                <c:pt idx="10">
                  <c:v>45261</c:v>
                </c:pt>
                <c:pt idx="11">
                  <c:v>45444</c:v>
                </c:pt>
                <c:pt idx="12">
                  <c:v>45627</c:v>
                </c:pt>
                <c:pt idx="13">
                  <c:v>45809</c:v>
                </c:pt>
                <c:pt idx="14">
                  <c:v>45901</c:v>
                </c:pt>
              </c:numCache>
              <c:extLst/>
            </c:numRef>
          </c:cat>
          <c:val>
            <c:numRef>
              <c:f>'Bases de Datos - Observatorio d'!$E$6:$E$20</c:f>
              <c:numCache>
                <c:formatCode>General</c:formatCode>
                <c:ptCount val="15"/>
                <c:pt idx="0">
                  <c:v>46</c:v>
                </c:pt>
                <c:pt idx="1">
                  <c:v>55</c:v>
                </c:pt>
                <c:pt idx="2">
                  <c:v>40</c:v>
                </c:pt>
                <c:pt idx="3">
                  <c:v>31</c:v>
                </c:pt>
                <c:pt idx="4">
                  <c:v>38</c:v>
                </c:pt>
                <c:pt idx="5">
                  <c:v>45</c:v>
                </c:pt>
                <c:pt idx="6">
                  <c:v>61</c:v>
                </c:pt>
                <c:pt idx="7">
                  <c:v>66</c:v>
                </c:pt>
                <c:pt idx="8">
                  <c:v>76</c:v>
                </c:pt>
                <c:pt idx="9">
                  <c:v>52</c:v>
                </c:pt>
                <c:pt idx="10">
                  <c:v>81</c:v>
                </c:pt>
                <c:pt idx="11">
                  <c:v>82</c:v>
                </c:pt>
                <c:pt idx="12">
                  <c:v>83</c:v>
                </c:pt>
                <c:pt idx="13">
                  <c:v>91</c:v>
                </c:pt>
                <c:pt idx="14">
                  <c:v>102</c:v>
                </c:pt>
              </c:numCache>
              <c:extLst/>
            </c:numRef>
          </c:val>
          <c:smooth val="0"/>
          <c:extLst>
            <c:ext xmlns:c16="http://schemas.microsoft.com/office/drawing/2014/chart" uri="{C3380CC4-5D6E-409C-BE32-E72D297353CC}">
              <c16:uniqueId val="{00000000-21FA-4719-92B9-0E0180C0A247}"/>
            </c:ext>
          </c:extLst>
        </c:ser>
        <c:dLbls>
          <c:dLblPos val="t"/>
          <c:showLegendKey val="0"/>
          <c:showVal val="1"/>
          <c:showCatName val="0"/>
          <c:showSerName val="0"/>
          <c:showPercent val="0"/>
          <c:showBubbleSize val="0"/>
        </c:dLbls>
        <c:smooth val="0"/>
        <c:axId val="446617984"/>
        <c:axId val="446618768"/>
      </c:lineChart>
      <c:catAx>
        <c:axId val="446617984"/>
        <c:scaling>
          <c:orientation val="minMax"/>
        </c:scaling>
        <c:delete val="0"/>
        <c:axPos val="b"/>
        <c:numFmt formatCode="mmm\-yy" sourceLinked="0"/>
        <c:majorTickMark val="out"/>
        <c:minorTickMark val="none"/>
        <c:tickLblPos val="low"/>
        <c:spPr>
          <a:noFill/>
          <a:ln w="9525" cap="flat" cmpd="sng" algn="ctr">
            <a:solidFill>
              <a:schemeClr val="tx1">
                <a:lumMod val="15000"/>
                <a:lumOff val="85000"/>
              </a:schemeClr>
            </a:solidFill>
            <a:round/>
          </a:ln>
          <a:effectLst/>
        </c:spPr>
        <c:txPr>
          <a:bodyPr rot="-5400000" spcFirstLastPara="1" vertOverflow="ellipsis" wrap="square" anchor="b" anchorCtr="1"/>
          <a:lstStyle/>
          <a:p>
            <a:pPr>
              <a:defRPr sz="900" b="0" i="0" u="none" strike="noStrike" kern="1200" baseline="0">
                <a:solidFill>
                  <a:schemeClr val="tx1">
                    <a:lumMod val="65000"/>
                    <a:lumOff val="35000"/>
                  </a:schemeClr>
                </a:solidFill>
                <a:latin typeface="+mn-lt"/>
                <a:ea typeface="+mn-ea"/>
                <a:cs typeface="+mn-cs"/>
              </a:defRPr>
            </a:pPr>
            <a:endParaRPr lang="es-AR"/>
          </a:p>
        </c:txPr>
        <c:crossAx val="446618768"/>
        <c:crosses val="autoZero"/>
        <c:auto val="0"/>
        <c:lblAlgn val="ctr"/>
        <c:lblOffset val="100"/>
        <c:noMultiLvlLbl val="0"/>
      </c:catAx>
      <c:valAx>
        <c:axId val="446618768"/>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4466179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AR"/>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2025-10-20T08:08:21+00:00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2025-10-20T08:08:21+00:00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2025-10-20T08:08:21+00:00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7" ma:contentTypeDescription="Create a new document." ma:contentTypeScope="" ma:versionID="c97987083704233a0e72c16be011d01a">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c379df912acc190dcf71a776ce7bafc0"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element name="MediaServiceLocation" ma:index="50"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6F61AE-9CBF-43E7-A09F-5234D6C919FF}">
  <ds:schemaRefs>
    <ds:schemaRef ds:uri="http://schemas.openxmlformats.org/officeDocument/2006/bibliography"/>
  </ds:schemaRefs>
</ds:datastoreItem>
</file>

<file path=customXml/itemProps2.xml><?xml version="1.0" encoding="utf-8"?>
<ds:datastoreItem xmlns:ds="http://schemas.openxmlformats.org/officeDocument/2006/customXml" ds:itemID="{FA180721-10C6-41DE-AC6E-5637267B7963}">
  <ds:schemaRefs>
    <ds:schemaRef ds:uri="http://purl.org/dc/elements/1.1/"/>
    <ds:schemaRef ds:uri="http://schemas.microsoft.com/office/2006/metadata/properties"/>
    <ds:schemaRef ds:uri="11a6fe0c-d8de-4390-afb3-d9c7c54181f0"/>
    <ds:schemaRef ds:uri="http://www.w3.org/XML/1998/namespace"/>
    <ds:schemaRef ds:uri="http://purl.org/dc/terms/"/>
    <ds:schemaRef ds:uri="http://schemas.microsoft.com/office/2006/documentManagement/types"/>
    <ds:schemaRef ds:uri="985ec44e-1bab-4c0b-9df0-6ba128686fc9"/>
    <ds:schemaRef ds:uri="http://schemas.microsoft.com/office/infopath/2007/PartnerControls"/>
    <ds:schemaRef ds:uri="http://schemas.openxmlformats.org/package/2006/metadata/core-properties"/>
    <ds:schemaRef ds:uri="dfe5883a-cdd3-42a9-8146-0edb2232418f"/>
    <ds:schemaRef ds:uri="http://purl.org/dc/dcmitype/"/>
  </ds:schemaRefs>
</ds:datastoreItem>
</file>

<file path=customXml/itemProps3.xml><?xml version="1.0" encoding="utf-8"?>
<ds:datastoreItem xmlns:ds="http://schemas.openxmlformats.org/officeDocument/2006/customXml" ds:itemID="{B93B96D4-9592-47A9-8164-F936BF95C763}">
  <ds:schemaRefs>
    <ds:schemaRef ds:uri="http://schemas.microsoft.com/sharepoint/v3/contenttype/forms"/>
  </ds:schemaRefs>
</ds:datastoreItem>
</file>

<file path=customXml/itemProps4.xml><?xml version="1.0" encoding="utf-8"?>
<ds:datastoreItem xmlns:ds="http://schemas.openxmlformats.org/officeDocument/2006/customXml" ds:itemID="{1ED68ED1-BBD3-4ED9-B9C7-B6B6BEA638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a6fe0c-d8de-4390-afb3-d9c7c54181f0"/>
    <ds:schemaRef ds:uri="985ec44e-1bab-4c0b-9df0-6ba128686fc9"/>
    <ds:schemaRef ds:uri="dfe5883a-cdd3-42a9-8146-0edb223241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37</Pages>
  <Words>15380</Words>
  <Characters>87670</Characters>
  <Application>Microsoft Office Word</Application>
  <DocSecurity>0</DocSecurity>
  <Lines>730</Lines>
  <Paragraphs>205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Denise D''Aniello</dc:creator>
  <cp:keywords/>
  <dc:description/>
  <cp:lastModifiedBy>Denise D''Aniello</cp:lastModifiedBy>
  <cp:revision>2</cp:revision>
  <dcterms:created xsi:type="dcterms:W3CDTF">2025-10-23T13:57:00Z</dcterms:created>
  <dcterms:modified xsi:type="dcterms:W3CDTF">2025-10-23T13:57:00Z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