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89B55" w14:textId="77777777" w:rsidR="00FB052D" w:rsidRPr="0038795F" w:rsidRDefault="00FB052D" w:rsidP="0050670D">
      <w:pPr>
        <w:spacing w:after="160"/>
        <w:jc w:val="center"/>
        <w:rPr>
          <w:b/>
          <w:color w:val="000000"/>
          <w:sz w:val="32"/>
          <w:szCs w:val="32"/>
          <w:lang w:val="es-ES_tradnl"/>
        </w:rPr>
      </w:pPr>
      <w:bookmarkStart w:id="0" w:name="_GoBack"/>
      <w:bookmarkEnd w:id="0"/>
    </w:p>
    <w:p w14:paraId="4192FCCC" w14:textId="73D3280E" w:rsidR="007E69B1" w:rsidRPr="0038795F" w:rsidRDefault="007A00F8" w:rsidP="0050670D">
      <w:pPr>
        <w:spacing w:after="160"/>
        <w:jc w:val="center"/>
        <w:rPr>
          <w:b/>
          <w:color w:val="000000"/>
          <w:sz w:val="32"/>
          <w:szCs w:val="32"/>
          <w:lang w:val="es-ES_tradnl"/>
        </w:rPr>
      </w:pPr>
      <w:r w:rsidRPr="0038795F">
        <w:rPr>
          <w:b/>
          <w:color w:val="000000"/>
          <w:sz w:val="32"/>
          <w:szCs w:val="32"/>
          <w:lang w:val="es-ES_tradnl"/>
        </w:rPr>
        <w:t>Comité de los derechos económicos, sociales y culturales</w:t>
      </w:r>
    </w:p>
    <w:p w14:paraId="3EF90762" w14:textId="3E01B4F9" w:rsidR="007E69B1" w:rsidRPr="0038795F" w:rsidRDefault="007E69B1" w:rsidP="00FB052D">
      <w:pPr>
        <w:tabs>
          <w:tab w:val="left" w:pos="2434"/>
        </w:tabs>
        <w:spacing w:after="160"/>
        <w:rPr>
          <w:b/>
          <w:color w:val="000000"/>
          <w:sz w:val="32"/>
          <w:szCs w:val="32"/>
          <w:lang w:val="es-ES_tradnl"/>
        </w:rPr>
      </w:pPr>
    </w:p>
    <w:p w14:paraId="729D1C4E" w14:textId="77777777" w:rsidR="007E69B1" w:rsidRPr="0038795F" w:rsidRDefault="007E69B1" w:rsidP="0050670D">
      <w:pPr>
        <w:spacing w:after="160"/>
        <w:jc w:val="center"/>
        <w:rPr>
          <w:b/>
          <w:color w:val="000000"/>
          <w:sz w:val="32"/>
          <w:szCs w:val="32"/>
          <w:lang w:val="es-ES_tradnl"/>
        </w:rPr>
      </w:pPr>
    </w:p>
    <w:p w14:paraId="7B717530" w14:textId="77777777" w:rsidR="007E69B1" w:rsidRPr="0038795F" w:rsidRDefault="007E69B1" w:rsidP="0050670D">
      <w:pPr>
        <w:spacing w:after="160"/>
        <w:jc w:val="center"/>
        <w:rPr>
          <w:b/>
          <w:color w:val="000000"/>
          <w:sz w:val="32"/>
          <w:szCs w:val="32"/>
          <w:lang w:val="es-ES_tradnl"/>
        </w:rPr>
      </w:pPr>
    </w:p>
    <w:p w14:paraId="4AA9AEF8" w14:textId="77777777" w:rsidR="007E69B1" w:rsidRPr="0038795F" w:rsidRDefault="007A00F8" w:rsidP="0050670D">
      <w:pPr>
        <w:spacing w:after="160"/>
        <w:jc w:val="center"/>
        <w:rPr>
          <w:b/>
          <w:color w:val="000000"/>
          <w:sz w:val="32"/>
          <w:szCs w:val="32"/>
          <w:lang w:val="es-ES_tradnl"/>
        </w:rPr>
      </w:pPr>
      <w:r w:rsidRPr="0038795F">
        <w:rPr>
          <w:b/>
          <w:color w:val="000000"/>
          <w:sz w:val="32"/>
          <w:szCs w:val="32"/>
          <w:lang w:val="es-ES_tradnl"/>
        </w:rPr>
        <w:t>EXAMEN DE GUATEMALA</w:t>
      </w:r>
    </w:p>
    <w:p w14:paraId="6AAA35BC" w14:textId="77777777" w:rsidR="007E69B1" w:rsidRPr="0038795F" w:rsidRDefault="007E69B1" w:rsidP="0050670D">
      <w:pPr>
        <w:spacing w:after="160"/>
        <w:jc w:val="center"/>
        <w:rPr>
          <w:b/>
          <w:color w:val="000000"/>
          <w:sz w:val="32"/>
          <w:szCs w:val="32"/>
          <w:lang w:val="es-ES_tradnl"/>
        </w:rPr>
      </w:pPr>
    </w:p>
    <w:p w14:paraId="1EDC5EBE" w14:textId="77777777" w:rsidR="007E69B1" w:rsidRPr="0038795F" w:rsidRDefault="007A00F8" w:rsidP="0050670D">
      <w:pPr>
        <w:spacing w:after="160"/>
        <w:jc w:val="center"/>
        <w:rPr>
          <w:b/>
          <w:color w:val="000000"/>
          <w:sz w:val="32"/>
          <w:szCs w:val="32"/>
          <w:lang w:val="es-ES_tradnl"/>
        </w:rPr>
      </w:pPr>
      <w:r w:rsidRPr="0038795F">
        <w:rPr>
          <w:b/>
          <w:color w:val="000000"/>
          <w:sz w:val="32"/>
          <w:szCs w:val="32"/>
          <w:lang w:val="es-ES_tradnl"/>
        </w:rPr>
        <w:t>67 periodo de pre-sesión, 19-23 octubre 2020</w:t>
      </w:r>
    </w:p>
    <w:p w14:paraId="072B52A7" w14:textId="77777777" w:rsidR="007E69B1" w:rsidRPr="0038795F" w:rsidRDefault="007E69B1" w:rsidP="0050670D">
      <w:pPr>
        <w:spacing w:after="160"/>
        <w:jc w:val="both"/>
        <w:rPr>
          <w:b/>
          <w:color w:val="000000"/>
          <w:sz w:val="23"/>
          <w:szCs w:val="23"/>
          <w:lang w:val="es-ES_tradnl"/>
        </w:rPr>
      </w:pPr>
    </w:p>
    <w:p w14:paraId="240E89EA" w14:textId="77777777" w:rsidR="007E69B1" w:rsidRPr="0038795F" w:rsidRDefault="007E69B1" w:rsidP="0050670D">
      <w:pPr>
        <w:spacing w:after="160"/>
        <w:jc w:val="both"/>
        <w:rPr>
          <w:b/>
          <w:color w:val="000000"/>
          <w:sz w:val="23"/>
          <w:szCs w:val="23"/>
          <w:lang w:val="es-ES_tradnl"/>
        </w:rPr>
      </w:pPr>
    </w:p>
    <w:p w14:paraId="5CCDA727" w14:textId="77777777" w:rsidR="007E69B1" w:rsidRPr="0038795F" w:rsidRDefault="007E69B1" w:rsidP="0050670D">
      <w:pPr>
        <w:spacing w:after="160"/>
        <w:jc w:val="both"/>
        <w:rPr>
          <w:b/>
          <w:color w:val="000000"/>
          <w:sz w:val="23"/>
          <w:szCs w:val="23"/>
          <w:lang w:val="es-ES_tradnl"/>
        </w:rPr>
      </w:pPr>
    </w:p>
    <w:p w14:paraId="58927881" w14:textId="77777777" w:rsidR="007E69B1" w:rsidRPr="0038795F" w:rsidRDefault="007E69B1" w:rsidP="0050670D">
      <w:pPr>
        <w:spacing w:after="160"/>
        <w:jc w:val="both"/>
        <w:rPr>
          <w:b/>
          <w:color w:val="000000"/>
          <w:sz w:val="23"/>
          <w:szCs w:val="23"/>
          <w:lang w:val="es-ES_tradnl"/>
        </w:rPr>
      </w:pPr>
    </w:p>
    <w:p w14:paraId="0625D7F1" w14:textId="77777777" w:rsidR="007E69B1" w:rsidRPr="0038795F" w:rsidRDefault="007E69B1" w:rsidP="0050670D">
      <w:pPr>
        <w:spacing w:after="160"/>
        <w:jc w:val="both"/>
        <w:rPr>
          <w:b/>
          <w:color w:val="000000"/>
          <w:sz w:val="23"/>
          <w:szCs w:val="23"/>
          <w:lang w:val="es-ES_tradnl"/>
        </w:rPr>
      </w:pPr>
    </w:p>
    <w:p w14:paraId="74D9DB51" w14:textId="77777777" w:rsidR="007E69B1" w:rsidRPr="0038795F" w:rsidRDefault="007E69B1" w:rsidP="0050670D">
      <w:pPr>
        <w:spacing w:after="160"/>
        <w:jc w:val="both"/>
        <w:rPr>
          <w:b/>
          <w:color w:val="000000"/>
          <w:sz w:val="23"/>
          <w:szCs w:val="23"/>
          <w:lang w:val="es-ES_tradnl"/>
        </w:rPr>
      </w:pPr>
    </w:p>
    <w:p w14:paraId="64BF970D" w14:textId="77777777" w:rsidR="007E69B1" w:rsidRPr="0038795F" w:rsidRDefault="007E69B1" w:rsidP="0050670D">
      <w:pPr>
        <w:spacing w:after="160"/>
        <w:jc w:val="both"/>
        <w:rPr>
          <w:b/>
          <w:color w:val="000000"/>
          <w:sz w:val="23"/>
          <w:szCs w:val="23"/>
          <w:lang w:val="es-ES_tradnl"/>
        </w:rPr>
      </w:pPr>
    </w:p>
    <w:p w14:paraId="2512CBD4" w14:textId="77777777" w:rsidR="007E69B1" w:rsidRPr="0038795F" w:rsidRDefault="007A00F8" w:rsidP="0050670D">
      <w:pPr>
        <w:spacing w:after="160"/>
        <w:jc w:val="center"/>
        <w:rPr>
          <w:b/>
          <w:color w:val="000000"/>
          <w:sz w:val="32"/>
          <w:szCs w:val="32"/>
          <w:lang w:val="es-ES_tradnl"/>
        </w:rPr>
      </w:pPr>
      <w:r w:rsidRPr="0038795F">
        <w:rPr>
          <w:b/>
          <w:color w:val="000000"/>
          <w:sz w:val="32"/>
          <w:szCs w:val="32"/>
          <w:lang w:val="es-ES_tradnl"/>
        </w:rPr>
        <w:t>Contribución a la lista de preguntas</w:t>
      </w:r>
    </w:p>
    <w:p w14:paraId="5D225264" w14:textId="77777777" w:rsidR="007E69B1" w:rsidRPr="0038795F" w:rsidRDefault="007E69B1" w:rsidP="0050670D">
      <w:pPr>
        <w:spacing w:after="160"/>
        <w:jc w:val="center"/>
        <w:rPr>
          <w:b/>
          <w:color w:val="000000"/>
          <w:sz w:val="23"/>
          <w:szCs w:val="23"/>
          <w:lang w:val="es-ES_tradnl"/>
        </w:rPr>
      </w:pPr>
    </w:p>
    <w:p w14:paraId="08BFA005" w14:textId="77777777" w:rsidR="007E69B1" w:rsidRPr="0038795F" w:rsidRDefault="007E69B1" w:rsidP="0050670D">
      <w:pPr>
        <w:spacing w:after="160"/>
        <w:jc w:val="center"/>
        <w:rPr>
          <w:b/>
          <w:color w:val="000000"/>
          <w:sz w:val="23"/>
          <w:szCs w:val="23"/>
          <w:lang w:val="es-ES_tradnl"/>
        </w:rPr>
      </w:pPr>
    </w:p>
    <w:p w14:paraId="3A6AA38D" w14:textId="77777777" w:rsidR="007E69B1" w:rsidRPr="0038795F" w:rsidRDefault="007E69B1" w:rsidP="0050670D">
      <w:pPr>
        <w:spacing w:after="160"/>
        <w:jc w:val="center"/>
        <w:rPr>
          <w:color w:val="000000"/>
          <w:sz w:val="23"/>
          <w:szCs w:val="23"/>
          <w:lang w:val="es-ES_tradnl"/>
        </w:rPr>
      </w:pPr>
    </w:p>
    <w:p w14:paraId="281139DB" w14:textId="77777777" w:rsidR="007E69B1" w:rsidRPr="0038795F" w:rsidRDefault="007E69B1" w:rsidP="0050670D">
      <w:pPr>
        <w:spacing w:after="160"/>
        <w:jc w:val="center"/>
        <w:rPr>
          <w:sz w:val="23"/>
          <w:szCs w:val="23"/>
          <w:lang w:val="es-ES_tradnl"/>
        </w:rPr>
      </w:pPr>
    </w:p>
    <w:p w14:paraId="37E55409" w14:textId="77777777" w:rsidR="007E69B1" w:rsidRPr="0038795F" w:rsidRDefault="007E69B1" w:rsidP="0050670D">
      <w:pPr>
        <w:spacing w:after="160"/>
        <w:jc w:val="center"/>
        <w:rPr>
          <w:color w:val="000000"/>
          <w:sz w:val="23"/>
          <w:szCs w:val="23"/>
          <w:lang w:val="es-ES_tradnl"/>
        </w:rPr>
      </w:pPr>
    </w:p>
    <w:p w14:paraId="73D5B010" w14:textId="40BB5AFF" w:rsidR="007E69B1" w:rsidRPr="0038795F" w:rsidRDefault="00FB052D" w:rsidP="0050670D">
      <w:pPr>
        <w:spacing w:after="160"/>
        <w:jc w:val="center"/>
        <w:rPr>
          <w:color w:val="000000"/>
          <w:lang w:val="es-ES_tradnl"/>
        </w:rPr>
      </w:pPr>
      <w:r w:rsidRPr="0038795F">
        <w:rPr>
          <w:color w:val="000000"/>
          <w:lang w:val="es-ES_tradnl"/>
        </w:rPr>
        <w:t>Presentada por</w:t>
      </w:r>
      <w:r w:rsidR="007A00F8" w:rsidRPr="0038795F">
        <w:rPr>
          <w:color w:val="000000"/>
          <w:lang w:val="es-ES_tradnl"/>
        </w:rPr>
        <w:t>:</w:t>
      </w:r>
    </w:p>
    <w:p w14:paraId="67D04B00" w14:textId="77777777" w:rsidR="007E69B1" w:rsidRPr="0038795F" w:rsidRDefault="007A00F8" w:rsidP="0050670D">
      <w:pPr>
        <w:spacing w:after="160"/>
        <w:jc w:val="center"/>
        <w:rPr>
          <w:color w:val="000000"/>
          <w:lang w:val="es-ES_tradnl"/>
        </w:rPr>
      </w:pPr>
      <w:r w:rsidRPr="0038795F">
        <w:rPr>
          <w:color w:val="000000"/>
          <w:lang w:val="es-ES_tradnl"/>
        </w:rPr>
        <w:t>Franciscans International</w:t>
      </w:r>
    </w:p>
    <w:p w14:paraId="3CDA1C23" w14:textId="77777777" w:rsidR="007E69B1" w:rsidRPr="0038795F" w:rsidRDefault="007A00F8" w:rsidP="0050670D">
      <w:pPr>
        <w:spacing w:after="160"/>
        <w:jc w:val="center"/>
        <w:rPr>
          <w:color w:val="000000"/>
          <w:lang w:val="es-ES_tradnl"/>
        </w:rPr>
      </w:pPr>
      <w:r w:rsidRPr="0038795F">
        <w:rPr>
          <w:color w:val="000000"/>
          <w:lang w:val="es-ES_tradnl"/>
        </w:rPr>
        <w:t>Dominicans for Justice and Peace</w:t>
      </w:r>
    </w:p>
    <w:p w14:paraId="16763C17" w14:textId="73F2B9AB" w:rsidR="007E69B1" w:rsidRPr="0038795F" w:rsidRDefault="007A00F8" w:rsidP="0050670D">
      <w:pPr>
        <w:spacing w:after="160"/>
        <w:jc w:val="center"/>
        <w:rPr>
          <w:color w:val="000000"/>
          <w:lang w:val="es-ES_tradnl"/>
        </w:rPr>
      </w:pPr>
      <w:r w:rsidRPr="0038795F">
        <w:rPr>
          <w:color w:val="000000"/>
          <w:lang w:val="es-ES_tradnl"/>
        </w:rPr>
        <w:t xml:space="preserve">Peace Brigades International </w:t>
      </w:r>
    </w:p>
    <w:p w14:paraId="50EBFBDF" w14:textId="77777777" w:rsidR="007E69B1" w:rsidRPr="0038795F" w:rsidRDefault="007E69B1" w:rsidP="0050670D">
      <w:pPr>
        <w:spacing w:after="160"/>
        <w:jc w:val="both"/>
        <w:rPr>
          <w:color w:val="000000"/>
          <w:sz w:val="23"/>
          <w:szCs w:val="23"/>
          <w:lang w:val="es-ES_tradnl"/>
        </w:rPr>
      </w:pPr>
    </w:p>
    <w:p w14:paraId="082A78BA" w14:textId="77777777" w:rsidR="007E69B1" w:rsidRPr="0038795F" w:rsidRDefault="007E69B1" w:rsidP="0050670D">
      <w:pPr>
        <w:spacing w:after="160"/>
        <w:jc w:val="both"/>
        <w:rPr>
          <w:b/>
          <w:color w:val="000000"/>
          <w:sz w:val="23"/>
          <w:szCs w:val="23"/>
          <w:lang w:val="es-ES_tradnl"/>
        </w:rPr>
      </w:pPr>
    </w:p>
    <w:p w14:paraId="60661B76" w14:textId="77777777" w:rsidR="007E69B1" w:rsidRPr="0038795F" w:rsidRDefault="007E69B1" w:rsidP="0050670D">
      <w:pPr>
        <w:spacing w:after="160"/>
        <w:jc w:val="both"/>
        <w:rPr>
          <w:b/>
          <w:color w:val="000000"/>
          <w:sz w:val="23"/>
          <w:szCs w:val="23"/>
          <w:lang w:val="es-ES_tradnl"/>
        </w:rPr>
      </w:pPr>
    </w:p>
    <w:p w14:paraId="483857EE" w14:textId="77777777" w:rsidR="007E69B1" w:rsidRPr="0038795F" w:rsidRDefault="007E69B1" w:rsidP="0050670D">
      <w:pPr>
        <w:spacing w:after="160"/>
        <w:jc w:val="both"/>
        <w:rPr>
          <w:b/>
          <w:color w:val="000000"/>
          <w:sz w:val="23"/>
          <w:szCs w:val="23"/>
          <w:lang w:val="es-ES_tradnl"/>
        </w:rPr>
      </w:pPr>
    </w:p>
    <w:p w14:paraId="1EA04294" w14:textId="628120FB" w:rsidR="007E69B1" w:rsidRPr="0038795F" w:rsidRDefault="0013710F" w:rsidP="0050670D">
      <w:pPr>
        <w:jc w:val="both"/>
        <w:rPr>
          <w:b/>
          <w:sz w:val="23"/>
          <w:szCs w:val="23"/>
          <w:lang w:val="es-ES_tradnl"/>
        </w:rPr>
      </w:pPr>
      <w:r>
        <w:rPr>
          <w:b/>
          <w:sz w:val="23"/>
          <w:szCs w:val="23"/>
          <w:lang w:val="es-ES_tradnl"/>
        </w:rPr>
        <w:lastRenderedPageBreak/>
        <w:t>I</w:t>
      </w:r>
      <w:r w:rsidR="007A00F8" w:rsidRPr="0038795F">
        <w:rPr>
          <w:b/>
          <w:sz w:val="23"/>
          <w:szCs w:val="23"/>
          <w:lang w:val="es-ES_tradnl"/>
        </w:rPr>
        <w:t>. INTRODUCCION</w:t>
      </w:r>
    </w:p>
    <w:p w14:paraId="0526DC4B" w14:textId="77777777" w:rsidR="007E69B1" w:rsidRPr="0038795F" w:rsidRDefault="007E69B1" w:rsidP="0050670D">
      <w:pPr>
        <w:jc w:val="both"/>
        <w:rPr>
          <w:sz w:val="23"/>
          <w:szCs w:val="23"/>
          <w:lang w:val="es-ES_tradnl"/>
        </w:rPr>
      </w:pPr>
    </w:p>
    <w:p w14:paraId="624F4105" w14:textId="7D67FF61" w:rsidR="007E69B1" w:rsidRPr="0038795F" w:rsidRDefault="007A00F8" w:rsidP="0050670D">
      <w:pPr>
        <w:jc w:val="both"/>
        <w:rPr>
          <w:b/>
          <w:sz w:val="23"/>
          <w:szCs w:val="23"/>
          <w:lang w:val="es-ES_tradnl"/>
        </w:rPr>
      </w:pPr>
      <w:r w:rsidRPr="0038795F">
        <w:rPr>
          <w:sz w:val="23"/>
          <w:szCs w:val="23"/>
          <w:lang w:val="es-ES_tradnl"/>
        </w:rPr>
        <w:t>Franciscans International, Dominicans for Justice and Peace y Peace Brigades International  presentan al Comité de los Derechos Económicos, Sociales y Culturales hechos y consideraciones que esperan puedan contribuir a la identificación de preguntas sobre Guatemala durante el 67 periodo de pre-sesión.</w:t>
      </w:r>
      <w:r w:rsidRPr="0038795F">
        <w:rPr>
          <w:b/>
          <w:sz w:val="23"/>
          <w:szCs w:val="23"/>
          <w:lang w:val="es-ES_tradnl"/>
        </w:rPr>
        <w:t xml:space="preserve">  </w:t>
      </w:r>
    </w:p>
    <w:p w14:paraId="63121E17" w14:textId="19BD37E8" w:rsidR="007E69B1" w:rsidRPr="0038795F" w:rsidRDefault="007A00F8" w:rsidP="0050381B">
      <w:pPr>
        <w:spacing w:before="240" w:after="240"/>
        <w:jc w:val="both"/>
        <w:rPr>
          <w:sz w:val="23"/>
          <w:szCs w:val="23"/>
          <w:lang w:val="es-ES_tradnl"/>
        </w:rPr>
      </w:pPr>
      <w:r w:rsidRPr="00DB09F4">
        <w:rPr>
          <w:b/>
          <w:sz w:val="23"/>
          <w:szCs w:val="23"/>
          <w:lang w:val="es-ES_tradnl"/>
        </w:rPr>
        <w:t>Franciscans International</w:t>
      </w:r>
      <w:r w:rsidRPr="0038795F">
        <w:rPr>
          <w:sz w:val="23"/>
          <w:szCs w:val="23"/>
          <w:lang w:val="es-ES_tradnl"/>
        </w:rPr>
        <w:t xml:space="preserve"> es una organización internacional no gubernamental fundada en 1989 y con Estatus Consultativo General con el Consejo Económico y Social de las Naciones Unidas desde 1995. FI cuenta con un equipo jurídico en Nueva York y en Ginebra que apoya a comunidades y organizaciones franciscanas y sus aliados para presentar sus preocupaciones y experticia frente a la ONU. A través del trabajo en red, construimos estrategias para abordar las causas estructurales de las violaciones de derechos humanos.</w:t>
      </w:r>
    </w:p>
    <w:p w14:paraId="49195376" w14:textId="600BD457" w:rsidR="007E69B1" w:rsidRPr="0038795F" w:rsidRDefault="007A00F8" w:rsidP="0050670D">
      <w:pPr>
        <w:jc w:val="both"/>
        <w:rPr>
          <w:sz w:val="23"/>
          <w:szCs w:val="23"/>
          <w:lang w:val="es-ES_tradnl"/>
        </w:rPr>
      </w:pPr>
      <w:r w:rsidRPr="00DB09F4">
        <w:rPr>
          <w:b/>
          <w:sz w:val="23"/>
          <w:szCs w:val="23"/>
          <w:lang w:val="es-ES_tradnl"/>
        </w:rPr>
        <w:t>Dominicans for Justice and Peace</w:t>
      </w:r>
      <w:r w:rsidRPr="0038795F">
        <w:rPr>
          <w:sz w:val="23"/>
          <w:szCs w:val="23"/>
          <w:lang w:val="es-ES_tradnl"/>
        </w:rPr>
        <w:t xml:space="preserve"> es una asociación de derecho suizo, fundada en 1998, que fue reconocida como entidad consultiva por el ECOSOC en 2002. La asociación representa en la ONU a la congregación religiosa de los dominicos. Trabaja con los mecanismos de la ONU para apoyar el trabajo de lo(a)s dominico(a)s en todo el mundo en la protección y defensa de los derechos humanos y el medio ambiente. </w:t>
      </w:r>
    </w:p>
    <w:p w14:paraId="6BA3C06A" w14:textId="77777777" w:rsidR="007E69B1" w:rsidRPr="0038795F" w:rsidRDefault="007E69B1" w:rsidP="0050670D">
      <w:pPr>
        <w:jc w:val="both"/>
        <w:rPr>
          <w:sz w:val="23"/>
          <w:szCs w:val="23"/>
          <w:lang w:val="es-ES_tradnl"/>
        </w:rPr>
      </w:pPr>
    </w:p>
    <w:p w14:paraId="04198797" w14:textId="26FC262C" w:rsidR="007E69B1" w:rsidRPr="0038795F" w:rsidRDefault="007A00F8" w:rsidP="0050670D">
      <w:pPr>
        <w:jc w:val="both"/>
        <w:rPr>
          <w:sz w:val="23"/>
          <w:szCs w:val="23"/>
          <w:lang w:val="es-ES_tradnl"/>
        </w:rPr>
      </w:pPr>
      <w:r w:rsidRPr="003851C8">
        <w:rPr>
          <w:b/>
          <w:sz w:val="23"/>
          <w:szCs w:val="23"/>
          <w:lang w:val="es-ES_tradnl"/>
        </w:rPr>
        <w:t>Brigadas Internacionales de Paz</w:t>
      </w:r>
      <w:r w:rsidRPr="0038795F">
        <w:rPr>
          <w:sz w:val="23"/>
          <w:szCs w:val="23"/>
          <w:lang w:val="es-ES_tradnl"/>
        </w:rPr>
        <w:t xml:space="preserve"> (PBI por sus siglas en inglés) es una o</w:t>
      </w:r>
      <w:r w:rsidRPr="0038795F">
        <w:rPr>
          <w:lang w:val="es-ES_tradnl"/>
        </w:rPr>
        <w:t>rganización no gubernamental</w:t>
      </w:r>
      <w:r w:rsidRPr="0038795F">
        <w:rPr>
          <w:sz w:val="23"/>
          <w:szCs w:val="23"/>
          <w:lang w:val="es-ES_tradnl"/>
        </w:rPr>
        <w:t xml:space="preserve">, no confesional e independiente que trabaja para la protección de personas defensoras de  </w:t>
      </w:r>
      <w:r w:rsidRPr="0038795F">
        <w:rPr>
          <w:lang w:val="es-ES_tradnl"/>
        </w:rPr>
        <w:t>derechos humanos</w:t>
      </w:r>
      <w:r w:rsidRPr="0038795F">
        <w:rPr>
          <w:sz w:val="23"/>
          <w:szCs w:val="23"/>
          <w:lang w:val="es-ES_tradnl"/>
        </w:rPr>
        <w:t xml:space="preserve">.  PBI mantiene equipos de voluntarios y voluntarias en varios </w:t>
      </w:r>
      <w:r w:rsidR="00D6319E" w:rsidRPr="0038795F">
        <w:rPr>
          <w:sz w:val="23"/>
          <w:szCs w:val="23"/>
          <w:lang w:val="es-ES_tradnl"/>
        </w:rPr>
        <w:t>países</w:t>
      </w:r>
      <w:r w:rsidRPr="0038795F">
        <w:rPr>
          <w:sz w:val="23"/>
          <w:szCs w:val="23"/>
          <w:lang w:val="es-ES_tradnl"/>
        </w:rPr>
        <w:t xml:space="preserve"> de proyectos, entre ellos en Guatemala, para acompañar a organizaciones y personas defensora atacadas y en riesgo por su defensa de los derechos humanos. Se busca por esta vía disuadir agresiones contra la defensa de derechos y abrir y mantener un espacio para la transformación pacífica de conflictos.</w:t>
      </w:r>
    </w:p>
    <w:p w14:paraId="627360AE" w14:textId="77777777" w:rsidR="007E69B1" w:rsidRPr="0038795F" w:rsidRDefault="007E69B1" w:rsidP="0050670D">
      <w:pPr>
        <w:jc w:val="both"/>
        <w:rPr>
          <w:sz w:val="23"/>
          <w:szCs w:val="23"/>
          <w:lang w:val="es-ES_tradnl"/>
        </w:rPr>
      </w:pPr>
    </w:p>
    <w:p w14:paraId="7F50CF38" w14:textId="0E594E13" w:rsidR="007E69B1" w:rsidRPr="0038795F" w:rsidRDefault="007A00F8" w:rsidP="0050670D">
      <w:pPr>
        <w:jc w:val="both"/>
        <w:rPr>
          <w:sz w:val="23"/>
          <w:szCs w:val="23"/>
          <w:lang w:val="es-ES_tradnl"/>
        </w:rPr>
      </w:pPr>
      <w:r w:rsidRPr="0038795F">
        <w:rPr>
          <w:sz w:val="23"/>
          <w:szCs w:val="23"/>
          <w:lang w:val="es-ES_tradnl"/>
        </w:rPr>
        <w:t>La información en este informe ha sido proporcionada por franciscanos, dominicos y PBI y organizaciones de base guatemaltecas.</w:t>
      </w:r>
      <w:r w:rsidR="00DA7B92" w:rsidRPr="0038795F">
        <w:rPr>
          <w:rStyle w:val="FootnoteReference"/>
          <w:sz w:val="23"/>
          <w:szCs w:val="23"/>
          <w:lang w:val="es-ES_tradnl"/>
        </w:rPr>
        <w:footnoteReference w:id="1"/>
      </w:r>
    </w:p>
    <w:p w14:paraId="5A2A99A5" w14:textId="77777777" w:rsidR="007E69B1" w:rsidRPr="0038795F" w:rsidRDefault="007E69B1" w:rsidP="0050670D">
      <w:pPr>
        <w:jc w:val="both"/>
        <w:rPr>
          <w:rStyle w:val="FootnoteCharacters"/>
          <w:sz w:val="23"/>
          <w:szCs w:val="23"/>
          <w:highlight w:val="yellow"/>
          <w:lang w:val="es-ES_tradnl"/>
        </w:rPr>
      </w:pPr>
    </w:p>
    <w:p w14:paraId="70525A9A" w14:textId="77777777" w:rsidR="007E69B1" w:rsidRPr="0038795F" w:rsidRDefault="007E69B1" w:rsidP="0050670D">
      <w:pPr>
        <w:jc w:val="both"/>
        <w:rPr>
          <w:sz w:val="23"/>
          <w:szCs w:val="23"/>
          <w:lang w:val="es-ES_tradnl"/>
        </w:rPr>
      </w:pPr>
    </w:p>
    <w:p w14:paraId="226AC0E8" w14:textId="77777777" w:rsidR="007E69B1" w:rsidRPr="0038795F" w:rsidRDefault="007A00F8" w:rsidP="0050670D">
      <w:pPr>
        <w:jc w:val="both"/>
        <w:rPr>
          <w:b/>
          <w:color w:val="000000"/>
          <w:sz w:val="23"/>
          <w:szCs w:val="23"/>
          <w:lang w:val="es-ES_tradnl"/>
        </w:rPr>
      </w:pPr>
      <w:r w:rsidRPr="0038795F">
        <w:rPr>
          <w:b/>
          <w:color w:val="000000"/>
          <w:sz w:val="23"/>
          <w:szCs w:val="23"/>
          <w:lang w:val="es-ES_tradnl"/>
        </w:rPr>
        <w:t>2. DERECHO A LA LIBRE DISPOSICIÓN DE LAS RIQUEZAS Y LOS RECURSOS NATURALES (Art. 1.2, 2.2, 11 y 1</w:t>
      </w:r>
      <w:r w:rsidRPr="0038795F">
        <w:rPr>
          <w:b/>
          <w:sz w:val="23"/>
          <w:szCs w:val="23"/>
          <w:lang w:val="es-ES_tradnl"/>
        </w:rPr>
        <w:t>5</w:t>
      </w:r>
      <w:r w:rsidRPr="0038795F">
        <w:rPr>
          <w:b/>
          <w:color w:val="000000"/>
          <w:sz w:val="23"/>
          <w:szCs w:val="23"/>
          <w:lang w:val="es-ES_tradnl"/>
        </w:rPr>
        <w:t>)</w:t>
      </w:r>
    </w:p>
    <w:p w14:paraId="74773A9A" w14:textId="77777777" w:rsidR="007E69B1" w:rsidRPr="0038795F" w:rsidRDefault="007E69B1" w:rsidP="0050670D">
      <w:pPr>
        <w:jc w:val="both"/>
        <w:rPr>
          <w:b/>
          <w:color w:val="000000"/>
          <w:sz w:val="23"/>
          <w:szCs w:val="23"/>
          <w:lang w:val="es-ES_tradnl"/>
        </w:rPr>
      </w:pPr>
    </w:p>
    <w:p w14:paraId="1D101A3D" w14:textId="77777777" w:rsidR="007E69B1" w:rsidRPr="0038795F" w:rsidRDefault="007A00F8" w:rsidP="0050670D">
      <w:pPr>
        <w:jc w:val="both"/>
        <w:rPr>
          <w:b/>
          <w:color w:val="000000"/>
          <w:sz w:val="23"/>
          <w:szCs w:val="23"/>
          <w:lang w:val="es-ES_tradnl"/>
        </w:rPr>
      </w:pPr>
      <w:r w:rsidRPr="0038795F">
        <w:rPr>
          <w:b/>
          <w:color w:val="000000"/>
          <w:sz w:val="23"/>
          <w:szCs w:val="23"/>
          <w:lang w:val="es-ES_tradnl"/>
        </w:rPr>
        <w:t>2.1 Consentimiento Libre, Previo e Informado</w:t>
      </w:r>
      <w:r w:rsidRPr="0038795F">
        <w:rPr>
          <w:b/>
          <w:sz w:val="23"/>
          <w:szCs w:val="23"/>
          <w:lang w:val="es-ES_tradnl"/>
        </w:rPr>
        <w:t xml:space="preserve"> </w:t>
      </w:r>
    </w:p>
    <w:p w14:paraId="0DCB460B" w14:textId="77777777" w:rsidR="007E69B1" w:rsidRPr="0038795F" w:rsidRDefault="007E69B1" w:rsidP="0050670D">
      <w:pPr>
        <w:ind w:left="720"/>
        <w:jc w:val="both"/>
        <w:rPr>
          <w:sz w:val="23"/>
          <w:szCs w:val="23"/>
          <w:lang w:val="es-ES_tradnl"/>
        </w:rPr>
      </w:pPr>
    </w:p>
    <w:p w14:paraId="4A4ACA18" w14:textId="6365BC71" w:rsidR="007E69B1" w:rsidRPr="0038795F" w:rsidRDefault="007A00F8" w:rsidP="0050670D">
      <w:pPr>
        <w:jc w:val="both"/>
        <w:rPr>
          <w:sz w:val="23"/>
          <w:szCs w:val="23"/>
          <w:lang w:val="es-ES_tradnl"/>
        </w:rPr>
      </w:pPr>
      <w:r w:rsidRPr="0038795F">
        <w:rPr>
          <w:sz w:val="23"/>
          <w:szCs w:val="23"/>
          <w:lang w:val="es-ES_tradnl"/>
        </w:rPr>
        <w:t>Aunque Guatemala ratificó el Convenio 169 de la OIT en 1997,</w:t>
      </w:r>
      <w:r w:rsidR="00DA7B92" w:rsidRPr="0038795F">
        <w:rPr>
          <w:rStyle w:val="FootnoteReference"/>
          <w:sz w:val="23"/>
          <w:szCs w:val="23"/>
          <w:lang w:val="es-ES_tradnl"/>
        </w:rPr>
        <w:footnoteReference w:id="2"/>
      </w:r>
      <w:r w:rsidRPr="0038795F">
        <w:rPr>
          <w:sz w:val="23"/>
          <w:szCs w:val="23"/>
          <w:lang w:val="es-ES_tradnl"/>
        </w:rPr>
        <w:t xml:space="preserve"> resulta imposible hacer una consulta legalmente fundamentada en el Convenio 169 ya que el Congreso de la República de Guatemala todavía no ha creado un Reglamento interno nacional y por ende nunca ha determinado ni la forma ni el alcance de dicha consulta. En 2014, el Comité de Derechos Económicos, Sociales y Culturales </w:t>
      </w:r>
      <w:r w:rsidRPr="0038795F">
        <w:rPr>
          <w:color w:val="000000"/>
          <w:sz w:val="23"/>
          <w:szCs w:val="23"/>
          <w:lang w:val="es-ES_tradnl"/>
        </w:rPr>
        <w:t>instó al Estado el “[e]stablecimiento urgente de un mecanismo legal para realizar las consultas, de acuerdo con el Convenio no. 169 de la OIT”</w:t>
      </w:r>
      <w:r w:rsidR="00DA7B92" w:rsidRPr="0038795F">
        <w:rPr>
          <w:rStyle w:val="FootnoteReference"/>
          <w:color w:val="000000"/>
          <w:sz w:val="23"/>
          <w:szCs w:val="23"/>
          <w:lang w:val="es-ES_tradnl"/>
        </w:rPr>
        <w:footnoteReference w:id="3"/>
      </w:r>
      <w:r w:rsidRPr="0038795F">
        <w:rPr>
          <w:sz w:val="23"/>
          <w:szCs w:val="23"/>
          <w:lang w:val="es-ES_tradnl"/>
        </w:rPr>
        <w:t xml:space="preserve"> El 31 de enero del 2017, el Comité Coordinador de Asociaciones Agrícolas, Comerciales, Industriales y Financieras (CACIF) solicitó al poder Ejecutivo reglamentar la aplicación del Convenio 169. En </w:t>
      </w:r>
      <w:r w:rsidRPr="0038795F">
        <w:rPr>
          <w:sz w:val="23"/>
          <w:szCs w:val="23"/>
          <w:lang w:val="es-ES_tradnl"/>
        </w:rPr>
        <w:lastRenderedPageBreak/>
        <w:t>respuesta a la solicitud del CACIF, el Ministerio del Trabajo y Previsión Social (MINTRAB) presentó el 18 de julio del 2017 una Guía Operativa para el Proceso de Consulta a Pueblos Indígenas, que contó con el apoyo del sector privado de Guatemala. El MINTRAB dio al Congreso el plazo de un año para convertir esa guía en ley.</w:t>
      </w:r>
      <w:r w:rsidR="00DA7B92" w:rsidRPr="0038795F">
        <w:rPr>
          <w:rStyle w:val="FootnoteReference"/>
          <w:sz w:val="23"/>
          <w:szCs w:val="23"/>
          <w:lang w:val="es-ES_tradnl"/>
        </w:rPr>
        <w:footnoteReference w:id="4"/>
      </w:r>
      <w:r w:rsidRPr="0038795F">
        <w:rPr>
          <w:sz w:val="23"/>
          <w:szCs w:val="23"/>
          <w:lang w:val="es-ES_tradnl"/>
        </w:rPr>
        <w:t xml:space="preserve">  El proceso fue altamente controvertido, y en muchos casos, las autoridades tradicionales de los pueblos indígenas</w:t>
      </w:r>
      <w:r w:rsidR="00DA7B92" w:rsidRPr="0038795F">
        <w:rPr>
          <w:rStyle w:val="FootnoteReference"/>
          <w:sz w:val="23"/>
          <w:szCs w:val="23"/>
          <w:lang w:val="es-ES_tradnl"/>
        </w:rPr>
        <w:footnoteReference w:id="5"/>
      </w:r>
      <w:r w:rsidRPr="0038795F">
        <w:rPr>
          <w:sz w:val="23"/>
          <w:szCs w:val="23"/>
          <w:lang w:val="es-ES_tradnl"/>
        </w:rPr>
        <w:t xml:space="preserve"> mostraron su rechazo a esta iniciativa que resultó ser una copia del reglamento aprobado en Perú diseñado para favorecer a empresas extractivistas. Coinciden en que estandarizar el derecho de consulta de los pueblos indígenas, restringe, disminuye y anula el alcance y espíritu del Convenio 169 de la OIT y otros instrumentos internacionales como la Declaración de Naciones Unidas sobre Pueblos Indígenas y la Declaración de Estados Americanos sobre Derechos de los Pueblos Indígenas. Al respecto, el Alto Comisionado de las Naciones Unidas para los Derechos Humanos señaló, en su informe anual 2018 que: “La “Guía sobre normas mínimas para la consulta con los pueblos indígenas” que adoptó el Ministerio de Trabajo en julio no se elaboró con arreglo a un proceso de consulta en línea con los estándares internacionales, a pesar de las reuniones celebradas en distintas regiones”.</w:t>
      </w:r>
      <w:r w:rsidR="00DA7B92" w:rsidRPr="0038795F">
        <w:rPr>
          <w:rStyle w:val="FootnoteReference"/>
          <w:sz w:val="23"/>
          <w:szCs w:val="23"/>
          <w:lang w:val="es-ES_tradnl"/>
        </w:rPr>
        <w:footnoteReference w:id="6"/>
      </w:r>
      <w:r w:rsidRPr="0038795F">
        <w:rPr>
          <w:sz w:val="23"/>
          <w:szCs w:val="23"/>
          <w:lang w:val="es-ES_tradnl"/>
        </w:rPr>
        <w:t xml:space="preserve"> </w:t>
      </w:r>
    </w:p>
    <w:p w14:paraId="3237DA1B" w14:textId="77777777" w:rsidR="007E69B1" w:rsidRPr="0038795F" w:rsidRDefault="007E69B1" w:rsidP="0050670D">
      <w:pPr>
        <w:jc w:val="both"/>
        <w:rPr>
          <w:sz w:val="23"/>
          <w:szCs w:val="23"/>
          <w:lang w:val="es-ES_tradnl"/>
        </w:rPr>
      </w:pPr>
    </w:p>
    <w:p w14:paraId="23B6FA0E" w14:textId="7306A15B" w:rsidR="007E69B1" w:rsidRPr="0038795F" w:rsidRDefault="007A00F8" w:rsidP="0050670D">
      <w:pPr>
        <w:jc w:val="both"/>
        <w:rPr>
          <w:sz w:val="23"/>
          <w:szCs w:val="23"/>
          <w:lang w:val="es-ES_tradnl"/>
        </w:rPr>
      </w:pPr>
      <w:r w:rsidRPr="0038795F">
        <w:rPr>
          <w:sz w:val="23"/>
          <w:szCs w:val="23"/>
          <w:lang w:val="es-ES_tradnl"/>
        </w:rPr>
        <w:t xml:space="preserve">Hasta el día de hoy, no se ha aprobado la ley solicitada. Actualmente, hay dos iniciativas de ley sobre el tema en el Congreso, ninguna de las cuales ha sido </w:t>
      </w:r>
      <w:r w:rsidR="00D570FD" w:rsidRPr="0038795F">
        <w:rPr>
          <w:sz w:val="23"/>
          <w:szCs w:val="23"/>
          <w:lang w:val="es-ES_tradnl"/>
        </w:rPr>
        <w:t xml:space="preserve">efectivamente </w:t>
      </w:r>
      <w:r w:rsidRPr="0038795F">
        <w:rPr>
          <w:sz w:val="23"/>
          <w:szCs w:val="23"/>
          <w:lang w:val="es-ES_tradnl"/>
        </w:rPr>
        <w:t>consultada con los pueblos indígenas. En 2018, el Comité de Derechos Humanos planteó preocupación por la falta de participación de los pueblos indígenas en dichas iniciativas.</w:t>
      </w:r>
      <w:r w:rsidR="00DA7B92" w:rsidRPr="0038795F">
        <w:rPr>
          <w:rStyle w:val="FootnoteReference"/>
          <w:sz w:val="23"/>
          <w:szCs w:val="23"/>
          <w:lang w:val="es-ES_tradnl"/>
        </w:rPr>
        <w:footnoteReference w:id="7"/>
      </w:r>
    </w:p>
    <w:p w14:paraId="3DA3A010" w14:textId="77777777" w:rsidR="007E69B1" w:rsidRPr="0038795F" w:rsidRDefault="007E69B1" w:rsidP="0050670D">
      <w:pPr>
        <w:ind w:left="720"/>
        <w:jc w:val="both"/>
        <w:rPr>
          <w:sz w:val="23"/>
          <w:szCs w:val="23"/>
          <w:lang w:val="es-ES_tradnl"/>
        </w:rPr>
      </w:pPr>
    </w:p>
    <w:p w14:paraId="49404966" w14:textId="57813885" w:rsidR="007E69B1" w:rsidRPr="0038795F" w:rsidRDefault="007A00F8" w:rsidP="0050670D">
      <w:pPr>
        <w:jc w:val="both"/>
        <w:rPr>
          <w:sz w:val="23"/>
          <w:szCs w:val="23"/>
          <w:lang w:val="es-ES_tradnl"/>
        </w:rPr>
      </w:pPr>
      <w:r w:rsidRPr="0038795F">
        <w:rPr>
          <w:sz w:val="23"/>
          <w:szCs w:val="23"/>
          <w:lang w:val="es-ES_tradnl"/>
        </w:rPr>
        <w:t>Tras su visita en 2018 en Guatemala, la anterior Relatora Especial sobre los derechos de los pueblos indígena también expresó su preocupación por el hecho de que las discusiones sobre la consulta “parecen centrarse únicamente en aspectos de procedimiento, más que en garantizar la protección de los derechos sustantivos de los pueblos indígenas, y que se vinculan únicamente con proyectos de extracción de recursos naturales, lo que podría conducir, en último término, a que la consulta se convirtiera en un mecanismo para limitar y no para proteger los derechos de los pueblos indígenas [traducido del inglés]”.</w:t>
      </w:r>
      <w:r w:rsidR="003B0954" w:rsidRPr="0038795F">
        <w:rPr>
          <w:rStyle w:val="FootnoteReference"/>
          <w:sz w:val="23"/>
          <w:szCs w:val="23"/>
          <w:lang w:val="es-ES_tradnl"/>
        </w:rPr>
        <w:footnoteReference w:id="8"/>
      </w:r>
      <w:r w:rsidRPr="0038795F">
        <w:rPr>
          <w:sz w:val="23"/>
          <w:szCs w:val="23"/>
          <w:lang w:val="es-ES_tradnl"/>
        </w:rPr>
        <w:t xml:space="preserve"> </w:t>
      </w:r>
    </w:p>
    <w:p w14:paraId="424CA1C0" w14:textId="77777777" w:rsidR="007E69B1" w:rsidRPr="0038795F" w:rsidRDefault="007E69B1" w:rsidP="0050670D">
      <w:pPr>
        <w:jc w:val="both"/>
        <w:rPr>
          <w:sz w:val="23"/>
          <w:szCs w:val="23"/>
          <w:lang w:val="es-ES_tradnl"/>
        </w:rPr>
      </w:pPr>
    </w:p>
    <w:p w14:paraId="10E61879" w14:textId="1069B8EB" w:rsidR="007E69B1" w:rsidRPr="0038795F" w:rsidRDefault="007A00F8" w:rsidP="0050670D">
      <w:pPr>
        <w:jc w:val="both"/>
        <w:rPr>
          <w:sz w:val="23"/>
          <w:szCs w:val="23"/>
          <w:lang w:val="es-ES_tradnl"/>
        </w:rPr>
      </w:pPr>
      <w:r w:rsidRPr="0038795F">
        <w:rPr>
          <w:sz w:val="23"/>
          <w:szCs w:val="23"/>
          <w:lang w:val="es-ES_tradnl"/>
        </w:rPr>
        <w:t>De igual forma, en 2019 el Comité para la eliminación de toda forma de discriminación racial</w:t>
      </w:r>
      <w:r w:rsidR="00D570FD" w:rsidRPr="0038795F">
        <w:rPr>
          <w:sz w:val="23"/>
          <w:szCs w:val="23"/>
          <w:lang w:val="es-ES_tradnl"/>
        </w:rPr>
        <w:t xml:space="preserve"> </w:t>
      </w:r>
      <w:r w:rsidRPr="0038795F">
        <w:rPr>
          <w:sz w:val="23"/>
          <w:szCs w:val="23"/>
          <w:lang w:val="es-ES_tradnl"/>
        </w:rPr>
        <w:t>expresó su preocupación respecto de la falta de adopción de mecanismos para garantizar el respeto al derecho que tienen los pueblos indígenas a ser consultados con miras a obtener el consentimiento libre, previo e informado en Guatemala.</w:t>
      </w:r>
      <w:r w:rsidR="003B0954" w:rsidRPr="0038795F">
        <w:rPr>
          <w:rStyle w:val="FootnoteReference"/>
          <w:sz w:val="23"/>
          <w:szCs w:val="23"/>
          <w:lang w:val="es-ES_tradnl"/>
        </w:rPr>
        <w:footnoteReference w:id="9"/>
      </w:r>
      <w:r w:rsidRPr="0038795F">
        <w:rPr>
          <w:sz w:val="23"/>
          <w:szCs w:val="23"/>
          <w:lang w:val="es-ES_tradnl"/>
        </w:rPr>
        <w:t xml:space="preserve"> Asimismo, el Comité señaló que “lamenta que políticas y programas orientados a pueblos indígenas no hayan sido debidamente consultados y (…) preocupa seriamente al Comité el impacto que tienen los proyectos de desarrollo económico sobre los territorios y recursos de pueblos indígenas, así como en sus formas tradicionales de vida y que no se realicen las consultas ni los estudios de impacto sobre derechos humanos por entes independientes y capacitados, antes de iniciar tales proyectos”</w:t>
      </w:r>
      <w:r w:rsidR="003B0954" w:rsidRPr="0038795F">
        <w:rPr>
          <w:rStyle w:val="Funotenanker"/>
          <w:sz w:val="23"/>
          <w:szCs w:val="23"/>
          <w:vertAlign w:val="baseline"/>
          <w:lang w:val="es-ES_tradnl"/>
        </w:rPr>
        <w:t>.</w:t>
      </w:r>
      <w:r w:rsidR="003B0954" w:rsidRPr="0038795F">
        <w:rPr>
          <w:rStyle w:val="FootnoteReference"/>
          <w:sz w:val="23"/>
          <w:szCs w:val="23"/>
          <w:lang w:val="es-ES_tradnl"/>
        </w:rPr>
        <w:footnoteReference w:id="10"/>
      </w:r>
    </w:p>
    <w:p w14:paraId="55C9F0A7" w14:textId="77777777" w:rsidR="00481612" w:rsidRDefault="00481612" w:rsidP="0050670D">
      <w:pPr>
        <w:jc w:val="both"/>
        <w:rPr>
          <w:b/>
          <w:color w:val="000000"/>
          <w:sz w:val="23"/>
          <w:szCs w:val="23"/>
          <w:lang w:val="es-ES_tradnl"/>
        </w:rPr>
      </w:pPr>
    </w:p>
    <w:p w14:paraId="60118765" w14:textId="77777777" w:rsidR="007E69B1" w:rsidRPr="0038795F" w:rsidRDefault="007A00F8" w:rsidP="0050670D">
      <w:pPr>
        <w:jc w:val="both"/>
        <w:rPr>
          <w:b/>
          <w:color w:val="000000"/>
          <w:sz w:val="23"/>
          <w:szCs w:val="23"/>
          <w:lang w:val="es-ES_tradnl"/>
        </w:rPr>
      </w:pPr>
      <w:r w:rsidRPr="0038795F">
        <w:rPr>
          <w:b/>
          <w:color w:val="000000"/>
          <w:sz w:val="23"/>
          <w:szCs w:val="23"/>
          <w:lang w:val="es-ES_tradnl"/>
        </w:rPr>
        <w:t xml:space="preserve">2.2 Consulta de los pueblos </w:t>
      </w:r>
      <w:r w:rsidRPr="0038795F">
        <w:rPr>
          <w:b/>
          <w:sz w:val="23"/>
          <w:szCs w:val="23"/>
          <w:lang w:val="es-ES_tradnl"/>
        </w:rPr>
        <w:t>indígenas</w:t>
      </w:r>
      <w:r w:rsidRPr="0038795F">
        <w:rPr>
          <w:b/>
          <w:color w:val="000000"/>
          <w:sz w:val="23"/>
          <w:szCs w:val="23"/>
          <w:lang w:val="es-ES_tradnl"/>
        </w:rPr>
        <w:t xml:space="preserve"> </w:t>
      </w:r>
      <w:r w:rsidRPr="0038795F">
        <w:rPr>
          <w:b/>
          <w:sz w:val="23"/>
          <w:szCs w:val="23"/>
          <w:lang w:val="es-ES_tradnl"/>
        </w:rPr>
        <w:t>en el contexto del complejo</w:t>
      </w:r>
      <w:r w:rsidRPr="0038795F">
        <w:rPr>
          <w:b/>
          <w:color w:val="000000"/>
          <w:sz w:val="23"/>
          <w:szCs w:val="23"/>
          <w:lang w:val="es-ES_tradnl"/>
        </w:rPr>
        <w:t xml:space="preserve"> Oxec</w:t>
      </w:r>
    </w:p>
    <w:p w14:paraId="370CF0F2" w14:textId="02A5B95C" w:rsidR="007E69B1" w:rsidRPr="0038795F" w:rsidRDefault="007A00F8" w:rsidP="0050670D">
      <w:pPr>
        <w:spacing w:before="240" w:after="240"/>
        <w:jc w:val="both"/>
        <w:rPr>
          <w:i/>
          <w:sz w:val="23"/>
          <w:szCs w:val="23"/>
          <w:lang w:val="es-ES_tradnl"/>
        </w:rPr>
      </w:pPr>
      <w:r w:rsidRPr="0038795F">
        <w:rPr>
          <w:sz w:val="23"/>
          <w:szCs w:val="23"/>
          <w:lang w:val="es-ES_tradnl"/>
        </w:rPr>
        <w:t>Es importante mencionar que el proyecto hidroeléctrico Oxec</w:t>
      </w:r>
      <w:r w:rsidR="00D570FD" w:rsidRPr="0038795F">
        <w:rPr>
          <w:sz w:val="23"/>
          <w:szCs w:val="23"/>
          <w:lang w:val="es-ES_tradnl"/>
        </w:rPr>
        <w:t xml:space="preserve"> es un caso illustrativo de la falta de consulta previa e informada. Oxec </w:t>
      </w:r>
      <w:r w:rsidRPr="0038795F">
        <w:rPr>
          <w:sz w:val="23"/>
          <w:szCs w:val="23"/>
          <w:lang w:val="es-ES_tradnl"/>
        </w:rPr>
        <w:t>es un complejo hidroeléctrico en el que se incluyen los proyectos Oxec I (actualmente en operaciones) Oxec II (en construcción) y Oxec III (licitación otorgada y en proceso de construcción). Son propiedad de las sociedades Oxec, S.A., Oxeca II, S.A. y Oxec III, S.A., respectivamente y fueron inscritas en Guatemala entre 2011 y 2016. Las tres pertenecen al grupo Energy Resources Capital Corp (ERCC), la cual está registrada en Panamá.</w:t>
      </w:r>
      <w:r w:rsidR="003B0954" w:rsidRPr="0038795F">
        <w:rPr>
          <w:rStyle w:val="FootnoteReference"/>
          <w:sz w:val="23"/>
          <w:szCs w:val="23"/>
          <w:lang w:val="es-ES_tradnl"/>
        </w:rPr>
        <w:footnoteReference w:id="11"/>
      </w:r>
      <w:r w:rsidRPr="0038795F">
        <w:rPr>
          <w:sz w:val="23"/>
          <w:szCs w:val="23"/>
          <w:lang w:val="es-ES_tradnl"/>
        </w:rPr>
        <w:t xml:space="preserve">  </w:t>
      </w:r>
    </w:p>
    <w:p w14:paraId="06843A80" w14:textId="77777777" w:rsidR="007E69B1" w:rsidRPr="0038795F" w:rsidRDefault="007A00F8" w:rsidP="0050670D">
      <w:pPr>
        <w:jc w:val="both"/>
        <w:rPr>
          <w:i/>
          <w:sz w:val="23"/>
          <w:szCs w:val="23"/>
          <w:lang w:val="es-ES_tradnl"/>
        </w:rPr>
      </w:pPr>
      <w:r w:rsidRPr="0038795F">
        <w:rPr>
          <w:i/>
          <w:sz w:val="23"/>
          <w:szCs w:val="23"/>
          <w:lang w:val="es-ES_tradnl"/>
        </w:rPr>
        <w:t>OXEC I y II</w:t>
      </w:r>
    </w:p>
    <w:p w14:paraId="19C4F806" w14:textId="77777777" w:rsidR="007E69B1" w:rsidRPr="0038795F" w:rsidRDefault="007E69B1" w:rsidP="0050670D">
      <w:pPr>
        <w:jc w:val="both"/>
        <w:rPr>
          <w:sz w:val="23"/>
          <w:szCs w:val="23"/>
          <w:lang w:val="es-ES_tradnl"/>
        </w:rPr>
      </w:pPr>
    </w:p>
    <w:p w14:paraId="5A18713A" w14:textId="77777777" w:rsidR="00BB63C6" w:rsidRPr="0038795F" w:rsidRDefault="007A00F8" w:rsidP="0050670D">
      <w:pPr>
        <w:jc w:val="both"/>
        <w:rPr>
          <w:sz w:val="23"/>
          <w:szCs w:val="23"/>
          <w:lang w:val="es-ES_tradnl"/>
        </w:rPr>
      </w:pPr>
      <w:r w:rsidRPr="0038795F">
        <w:rPr>
          <w:sz w:val="23"/>
          <w:szCs w:val="23"/>
          <w:lang w:val="es-ES_tradnl"/>
        </w:rPr>
        <w:t xml:space="preserve">Uno de los puntos de mayor trascendencia en el ámbito de la consulta se relaciona con la sentencia emitida por la Corte de Constitucionalidad de Guatemala (CC) en el caso de los proyectos hidroeléctricos Oxec I y II, que se aprobaron sin consulta previa.  La CC reconoce la materia del amparo en razón de que no se realizó la consulta previa. Ordenó al Ministerio de Energía y Minas </w:t>
      </w:r>
      <w:r w:rsidR="009B0CEB" w:rsidRPr="0038795F">
        <w:rPr>
          <w:sz w:val="23"/>
          <w:szCs w:val="23"/>
          <w:lang w:val="es-ES_tradnl"/>
        </w:rPr>
        <w:t xml:space="preserve">(MEM) </w:t>
      </w:r>
      <w:r w:rsidRPr="0038795F">
        <w:rPr>
          <w:sz w:val="23"/>
          <w:szCs w:val="23"/>
          <w:lang w:val="es-ES_tradnl"/>
        </w:rPr>
        <w:t xml:space="preserve">realizar la consulta al pueblo Q’eqchi’ de Cahabón. Sin embargo, </w:t>
      </w:r>
      <w:r w:rsidR="007455BF" w:rsidRPr="0038795F">
        <w:rPr>
          <w:sz w:val="23"/>
          <w:szCs w:val="23"/>
          <w:lang w:val="es-ES_tradnl"/>
        </w:rPr>
        <w:t xml:space="preserve">la sentencia ha sido muy criticada por </w:t>
      </w:r>
      <w:r w:rsidRPr="0038795F">
        <w:rPr>
          <w:sz w:val="23"/>
          <w:szCs w:val="23"/>
          <w:lang w:val="es-ES_tradnl"/>
        </w:rPr>
        <w:t>permi</w:t>
      </w:r>
      <w:r w:rsidR="007455BF" w:rsidRPr="0038795F">
        <w:rPr>
          <w:sz w:val="23"/>
          <w:szCs w:val="23"/>
          <w:lang w:val="es-ES_tradnl"/>
        </w:rPr>
        <w:t>tir</w:t>
      </w:r>
      <w:r w:rsidRPr="0038795F">
        <w:rPr>
          <w:sz w:val="23"/>
          <w:szCs w:val="23"/>
          <w:lang w:val="es-ES_tradnl"/>
        </w:rPr>
        <w:t xml:space="preserve"> que las empresas siguieran construyendo y operando por el plazo de un año, mientras se realizan las consultas</w:t>
      </w:r>
      <w:r w:rsidR="00D570FD" w:rsidRPr="0038795F">
        <w:rPr>
          <w:sz w:val="23"/>
          <w:szCs w:val="23"/>
          <w:lang w:val="es-ES_tradnl"/>
        </w:rPr>
        <w:t>,</w:t>
      </w:r>
      <w:r w:rsidR="00E4242E" w:rsidRPr="0038795F">
        <w:rPr>
          <w:sz w:val="23"/>
          <w:szCs w:val="23"/>
          <w:lang w:val="es-ES_tradnl"/>
        </w:rPr>
        <w:t xml:space="preserve"> siendo una clara </w:t>
      </w:r>
      <w:r w:rsidR="00EE6F77" w:rsidRPr="0038795F">
        <w:rPr>
          <w:sz w:val="23"/>
          <w:szCs w:val="23"/>
          <w:lang w:val="es-ES_tradnl"/>
        </w:rPr>
        <w:t>denegación</w:t>
      </w:r>
      <w:r w:rsidR="00E4242E" w:rsidRPr="0038795F">
        <w:rPr>
          <w:sz w:val="23"/>
          <w:szCs w:val="23"/>
          <w:lang w:val="es-ES_tradnl"/>
        </w:rPr>
        <w:t xml:space="preserve"> de justicia</w:t>
      </w:r>
      <w:r w:rsidRPr="0038795F">
        <w:rPr>
          <w:sz w:val="23"/>
          <w:szCs w:val="23"/>
          <w:lang w:val="es-ES_tradnl"/>
        </w:rPr>
        <w:t xml:space="preserve">. </w:t>
      </w:r>
      <w:r w:rsidR="009B0CEB" w:rsidRPr="0038795F">
        <w:rPr>
          <w:sz w:val="23"/>
          <w:szCs w:val="23"/>
          <w:lang w:val="es-ES_tradnl"/>
        </w:rPr>
        <w:t>Al respecto, l</w:t>
      </w:r>
      <w:r w:rsidRPr="0038795F">
        <w:rPr>
          <w:sz w:val="23"/>
          <w:szCs w:val="23"/>
          <w:lang w:val="es-ES_tradnl"/>
        </w:rPr>
        <w:t xml:space="preserve">a anterior Relatora Especial sobre los derechos de los pueblos indígenas </w:t>
      </w:r>
      <w:r w:rsidR="009B0CEB" w:rsidRPr="0038795F">
        <w:rPr>
          <w:sz w:val="23"/>
          <w:szCs w:val="23"/>
          <w:lang w:val="es-ES_tradnl"/>
        </w:rPr>
        <w:t>avisó tras</w:t>
      </w:r>
      <w:r w:rsidRPr="0038795F">
        <w:rPr>
          <w:sz w:val="23"/>
          <w:szCs w:val="23"/>
          <w:lang w:val="es-ES_tradnl"/>
        </w:rPr>
        <w:t xml:space="preserve"> su visita a Guatemala que “de conformidad con las normas internacionales sobre los derechos de los pueblos indígenas, las consultas deben ser de buena fe, libres y previas a la iniciativa que se examina.  En este sentido, las consultas posteriores, especialmente en el caso de proyectos que aún están en funcionamiento, no cumplen con estas normas internacionales de derechos humanos. [Traducido del inglés] ”</w:t>
      </w:r>
      <w:r w:rsidR="003B0954" w:rsidRPr="0038795F">
        <w:rPr>
          <w:rStyle w:val="FootnoteReference"/>
          <w:sz w:val="23"/>
          <w:szCs w:val="23"/>
          <w:lang w:val="es-ES_tradnl"/>
        </w:rPr>
        <w:footnoteReference w:id="12"/>
      </w:r>
    </w:p>
    <w:p w14:paraId="51E66F30" w14:textId="76BC9ECD" w:rsidR="009B0CEB" w:rsidRPr="0038795F" w:rsidRDefault="005D5697" w:rsidP="00BB63C6">
      <w:pPr>
        <w:spacing w:before="100" w:beforeAutospacing="1" w:after="100" w:afterAutospacing="1"/>
        <w:jc w:val="both"/>
        <w:rPr>
          <w:sz w:val="23"/>
          <w:szCs w:val="23"/>
          <w:lang w:val="es-ES_tradnl"/>
        </w:rPr>
      </w:pPr>
      <w:r w:rsidRPr="0038795F">
        <w:rPr>
          <w:sz w:val="23"/>
          <w:szCs w:val="23"/>
          <w:lang w:val="es-ES_tradnl"/>
        </w:rPr>
        <w:t>L</w:t>
      </w:r>
      <w:r w:rsidR="009B0CEB" w:rsidRPr="0038795F">
        <w:rPr>
          <w:sz w:val="23"/>
          <w:szCs w:val="23"/>
          <w:lang w:val="es-ES_tradnl"/>
        </w:rPr>
        <w:t xml:space="preserve">a sentencia </w:t>
      </w:r>
      <w:r w:rsidRPr="0038795F">
        <w:rPr>
          <w:sz w:val="23"/>
          <w:szCs w:val="23"/>
          <w:lang w:val="es-ES_tradnl"/>
        </w:rPr>
        <w:t xml:space="preserve">también fue cuestionada por haber </w:t>
      </w:r>
      <w:r w:rsidR="009B0CEB" w:rsidRPr="0038795F">
        <w:rPr>
          <w:sz w:val="23"/>
          <w:szCs w:val="23"/>
          <w:lang w:val="es-ES_tradnl"/>
        </w:rPr>
        <w:t>identific</w:t>
      </w:r>
      <w:r w:rsidRPr="0038795F">
        <w:rPr>
          <w:sz w:val="23"/>
          <w:szCs w:val="23"/>
          <w:lang w:val="es-ES_tradnl"/>
        </w:rPr>
        <w:t>ado</w:t>
      </w:r>
      <w:r w:rsidR="009B0CEB" w:rsidRPr="0038795F">
        <w:rPr>
          <w:sz w:val="23"/>
          <w:szCs w:val="23"/>
          <w:lang w:val="es-ES_tradnl"/>
        </w:rPr>
        <w:t xml:space="preserve"> solo a 11 comunidades para el proceso de consulta, que según la empresa y los ministerios iban a ser afectadas por el proyecto. Una consulta se realizó en noviembre de 2017 por el MEM</w:t>
      </w:r>
      <w:r w:rsidRPr="0038795F">
        <w:rPr>
          <w:sz w:val="23"/>
          <w:szCs w:val="23"/>
          <w:lang w:val="es-ES_tradnl"/>
        </w:rPr>
        <w:t xml:space="preserve"> pero </w:t>
      </w:r>
      <w:r w:rsidR="009B0CEB" w:rsidRPr="0038795F">
        <w:rPr>
          <w:sz w:val="23"/>
          <w:szCs w:val="23"/>
          <w:lang w:val="es-ES_tradnl"/>
        </w:rPr>
        <w:t xml:space="preserve">no fue llevada a cabo públicamente en todas las comunidades afectadas por las hidroeléctricas.  Miembros de la resistencia que pertenecen a las 11 comunidades reconocidas por la CC como afectados directos, no conocieron ni participaron en la realización de dicha consulta. </w:t>
      </w:r>
    </w:p>
    <w:p w14:paraId="6F5B8865" w14:textId="110B5D40" w:rsidR="007E69B1" w:rsidRPr="0038795F" w:rsidRDefault="007A00F8" w:rsidP="00EE6F77">
      <w:pPr>
        <w:spacing w:before="240" w:after="240"/>
        <w:jc w:val="both"/>
        <w:rPr>
          <w:sz w:val="23"/>
          <w:szCs w:val="23"/>
          <w:lang w:val="es-ES_tradnl"/>
        </w:rPr>
      </w:pPr>
      <w:r w:rsidRPr="0038795F">
        <w:rPr>
          <w:sz w:val="23"/>
          <w:szCs w:val="23"/>
          <w:lang w:val="es-ES_tradnl"/>
        </w:rPr>
        <w:t xml:space="preserve">Debido al incumplimiento del Estado de los derechos de los pueblos </w:t>
      </w:r>
      <w:r w:rsidR="0031527A" w:rsidRPr="0038795F">
        <w:rPr>
          <w:sz w:val="23"/>
          <w:szCs w:val="23"/>
          <w:lang w:val="es-ES_tradnl"/>
        </w:rPr>
        <w:t>indígenas</w:t>
      </w:r>
      <w:r w:rsidRPr="0038795F">
        <w:rPr>
          <w:sz w:val="23"/>
          <w:szCs w:val="23"/>
          <w:lang w:val="es-ES_tradnl"/>
        </w:rPr>
        <w:t xml:space="preserve"> a la consulta y el consentimiento, las comunidades indígenas del pueblo Q´eqchi´ del Santa María Cahabón realizaron el 27 de agosto de 2017 una consulta Comunitaria de Buena Fe.  Los resultados de la consulta fueron 26,537 votos en contra de que se utilice el agua de los ríos Oxec y Cahabón, para la instalación y operación de hidroeléctricas Oxec I y II en el municipio, 12 votos a favor de las hidroeléctricas y 5 abstenciones. En el mes de febrero 2020 las comunidades presentaron a la nueva Corporación Municipal de Santa María Cahabón una solicitud exigiendo que se valide y ratifique la Consulta Comunitaria de Buena Fe del pueblo Q´eqchi´ y sus resultados de </w:t>
      </w:r>
      <w:r w:rsidRPr="0038795F">
        <w:rPr>
          <w:sz w:val="23"/>
          <w:szCs w:val="23"/>
          <w:lang w:val="es-ES_tradnl"/>
        </w:rPr>
        <w:lastRenderedPageBreak/>
        <w:t xml:space="preserve">conformidad con el Decreto Numero 12-2002 Codigo Municipal. Hasta el momento no se abordó el tema de la validación y ratificación a nivel de Consejo Municipal, justificado por la crisis de la COVID-19. </w:t>
      </w:r>
    </w:p>
    <w:p w14:paraId="628DDFEE" w14:textId="77777777" w:rsidR="00DD1B78" w:rsidRDefault="007A00F8" w:rsidP="0050670D">
      <w:pPr>
        <w:jc w:val="both"/>
        <w:rPr>
          <w:sz w:val="23"/>
          <w:szCs w:val="23"/>
          <w:lang w:val="es-ES_tradnl"/>
        </w:rPr>
      </w:pPr>
      <w:r w:rsidRPr="0038795F">
        <w:rPr>
          <w:color w:val="000000"/>
          <w:sz w:val="23"/>
          <w:szCs w:val="23"/>
          <w:lang w:val="es-ES_tradnl"/>
        </w:rPr>
        <w:t>En 2018, el</w:t>
      </w:r>
      <w:r w:rsidRPr="0038795F">
        <w:rPr>
          <w:sz w:val="23"/>
          <w:szCs w:val="23"/>
          <w:lang w:val="es-ES_tradnl"/>
        </w:rPr>
        <w:t xml:space="preserve"> Comité de Derechos Humanos ya expresaba su preocupación por el “otorgamiento de licencias de exploración y explotación en territorios de pueblos indígenas sin que los pueblos afectados sean consultados y sin tener en cuenta los resultados de consultas comunitarias autoconvocadas.”</w:t>
      </w:r>
      <w:r w:rsidR="003B0954" w:rsidRPr="0038795F">
        <w:rPr>
          <w:rStyle w:val="FootnoteReference"/>
          <w:sz w:val="23"/>
          <w:szCs w:val="23"/>
          <w:lang w:val="es-ES_tradnl"/>
        </w:rPr>
        <w:footnoteReference w:id="13"/>
      </w:r>
      <w:r w:rsidRPr="0038795F">
        <w:rPr>
          <w:sz w:val="23"/>
          <w:szCs w:val="23"/>
          <w:lang w:val="es-ES_tradnl"/>
        </w:rPr>
        <w:t xml:space="preserve"> </w:t>
      </w:r>
    </w:p>
    <w:p w14:paraId="304BBBA7" w14:textId="77777777" w:rsidR="00DD1B78" w:rsidRDefault="00DD1B78" w:rsidP="0050670D">
      <w:pPr>
        <w:jc w:val="both"/>
        <w:rPr>
          <w:sz w:val="23"/>
          <w:szCs w:val="23"/>
          <w:lang w:val="es-ES_tradnl"/>
        </w:rPr>
      </w:pPr>
    </w:p>
    <w:p w14:paraId="0C487D9C" w14:textId="77D48DAA" w:rsidR="007E69B1" w:rsidRPr="0038795F" w:rsidRDefault="007A00F8" w:rsidP="0050670D">
      <w:pPr>
        <w:jc w:val="both"/>
        <w:rPr>
          <w:i/>
          <w:sz w:val="23"/>
          <w:szCs w:val="23"/>
          <w:lang w:val="es-ES_tradnl"/>
        </w:rPr>
      </w:pPr>
      <w:r w:rsidRPr="0038795F">
        <w:rPr>
          <w:i/>
          <w:sz w:val="23"/>
          <w:szCs w:val="23"/>
          <w:lang w:val="es-ES_tradnl"/>
        </w:rPr>
        <w:t>OXEC III</w:t>
      </w:r>
    </w:p>
    <w:p w14:paraId="5407714F" w14:textId="77777777" w:rsidR="007E69B1" w:rsidRPr="0038795F" w:rsidRDefault="007E69B1" w:rsidP="0050670D">
      <w:pPr>
        <w:jc w:val="both"/>
        <w:rPr>
          <w:sz w:val="23"/>
          <w:szCs w:val="23"/>
          <w:lang w:val="es-ES_tradnl"/>
        </w:rPr>
      </w:pPr>
    </w:p>
    <w:p w14:paraId="3C92C0E9" w14:textId="30F3D5B4" w:rsidR="007E69B1" w:rsidRPr="0038795F" w:rsidRDefault="007A00F8" w:rsidP="0050670D">
      <w:pPr>
        <w:jc w:val="both"/>
        <w:rPr>
          <w:sz w:val="23"/>
          <w:szCs w:val="23"/>
          <w:lang w:val="es-ES_tradnl"/>
        </w:rPr>
      </w:pPr>
      <w:r w:rsidRPr="0038795F">
        <w:rPr>
          <w:sz w:val="23"/>
          <w:szCs w:val="23"/>
          <w:lang w:val="es-ES_tradnl"/>
        </w:rPr>
        <w:t xml:space="preserve">El pasado mes de noviembre 2019, Oxec III S.A. alega haber presentado el Estudio de Impacto Ambiental al Ministerio de Ambiente y Recursos Naturales (MARN), para que este otorgue la licencia que da vía libre a la construcción de la tercera fase, sin embargo, este estudio de impacto ambiental no es </w:t>
      </w:r>
      <w:r w:rsidR="004A0380" w:rsidRPr="0038795F">
        <w:rPr>
          <w:sz w:val="23"/>
          <w:szCs w:val="23"/>
          <w:lang w:val="es-ES_tradnl"/>
        </w:rPr>
        <w:t>accesible</w:t>
      </w:r>
      <w:r w:rsidRPr="0038795F">
        <w:rPr>
          <w:sz w:val="23"/>
          <w:szCs w:val="23"/>
          <w:lang w:val="es-ES_tradnl"/>
        </w:rPr>
        <w:t>. La municipalidad no ha tocado el tema a nivel del Consejo y no se ha pronunciado hasta el momento. El Consejo de Autoridades Ancestrales y vecinos de Cahabón, Alta Verapaz, llegaron a la capital el 29 de agosto 2019 para manifestar su desacuerdo con la construcción del nuevo proyecto hidroeléctrico (Oxec III), el cual se consideran una ofensa más a la dignidad del pueblo Q’eqchi’ que defiende la vida de los ríos. Anunciaron la interposición de un recurso de oposición, por la instalación de la nueva hidroeléctrica sobre el Río Cahabón debido a que la empresa está violando la legislación del país al solicitar una nueva licencia cuando a la fecha hay un litigio en proceso por la edificación de la Hidroeléctrica Oxec II, Fase II, desde el 2016 debido a la denuncia del líder comunitario Bernardo Caal Xol. Los representantes de las comunidades dieron a conocer que, al igual que con los proyectos anteriores, no se les consultó sobre la construcción del nuevo proyecto hidroeléctrico.</w:t>
      </w:r>
    </w:p>
    <w:p w14:paraId="64FF82FC" w14:textId="77777777" w:rsidR="007E69B1" w:rsidRPr="0038795F" w:rsidRDefault="007E69B1" w:rsidP="0050670D">
      <w:pPr>
        <w:jc w:val="both"/>
        <w:rPr>
          <w:sz w:val="23"/>
          <w:szCs w:val="23"/>
          <w:lang w:val="es-ES_tradnl"/>
        </w:rPr>
      </w:pPr>
    </w:p>
    <w:p w14:paraId="2EE96DF8" w14:textId="77777777" w:rsidR="007E69B1" w:rsidRPr="0038795F" w:rsidRDefault="007A00F8" w:rsidP="0050670D">
      <w:pPr>
        <w:jc w:val="both"/>
        <w:rPr>
          <w:sz w:val="23"/>
          <w:szCs w:val="23"/>
          <w:lang w:val="es-ES_tradnl"/>
        </w:rPr>
      </w:pPr>
      <w:bookmarkStart w:id="1" w:name="move47085460"/>
      <w:bookmarkEnd w:id="1"/>
      <w:r w:rsidRPr="0038795F">
        <w:rPr>
          <w:sz w:val="23"/>
          <w:szCs w:val="23"/>
          <w:lang w:val="es-ES_tradnl"/>
        </w:rPr>
        <w:t>Tal como se observa, en ninguna de las etapas de los proyectos antes mencionados de Oxec I, Oxec II y Oxec III, y en ninguna de las etapas de licitación, construcción y operación, el Gobierno ha consultado a las comunidades siguiendo los requisitos establecidos por el derecho internacional de los derechos humanos y las tradiciones de los pueblos indígenas.</w:t>
      </w:r>
    </w:p>
    <w:p w14:paraId="4C2C888D" w14:textId="77777777" w:rsidR="007E69B1" w:rsidRPr="0038795F" w:rsidRDefault="007E69B1" w:rsidP="0050670D">
      <w:pPr>
        <w:ind w:left="360"/>
        <w:jc w:val="both"/>
        <w:rPr>
          <w:sz w:val="23"/>
          <w:szCs w:val="23"/>
          <w:lang w:val="es-ES_tradnl"/>
        </w:rPr>
      </w:pPr>
    </w:p>
    <w:p w14:paraId="637F71AC" w14:textId="77777777" w:rsidR="007E69B1" w:rsidRPr="0038795F" w:rsidRDefault="007A00F8" w:rsidP="0050670D">
      <w:pPr>
        <w:jc w:val="both"/>
        <w:rPr>
          <w:b/>
          <w:color w:val="000000"/>
          <w:sz w:val="23"/>
          <w:szCs w:val="23"/>
          <w:lang w:val="es-ES_tradnl"/>
        </w:rPr>
      </w:pPr>
      <w:r w:rsidRPr="0038795F">
        <w:rPr>
          <w:b/>
          <w:color w:val="000000"/>
          <w:sz w:val="23"/>
          <w:szCs w:val="23"/>
          <w:lang w:val="es-ES_tradnl"/>
        </w:rPr>
        <w:t>Lista de preguntas</w:t>
      </w:r>
    </w:p>
    <w:p w14:paraId="2B38B544" w14:textId="77777777" w:rsidR="007E69B1" w:rsidRPr="0038795F" w:rsidRDefault="007E69B1" w:rsidP="0050670D">
      <w:pPr>
        <w:jc w:val="both"/>
        <w:rPr>
          <w:sz w:val="23"/>
          <w:szCs w:val="23"/>
          <w:lang w:val="es-ES_tradnl"/>
        </w:rPr>
      </w:pPr>
    </w:p>
    <w:p w14:paraId="365FC274" w14:textId="548D0189" w:rsidR="007E69B1" w:rsidRPr="0038795F" w:rsidRDefault="007A00F8" w:rsidP="0050670D">
      <w:pPr>
        <w:pStyle w:val="ListParagraph"/>
        <w:numPr>
          <w:ilvl w:val="0"/>
          <w:numId w:val="1"/>
        </w:numPr>
        <w:jc w:val="both"/>
        <w:rPr>
          <w:sz w:val="23"/>
          <w:szCs w:val="23"/>
          <w:lang w:val="es-ES_tradnl"/>
        </w:rPr>
      </w:pPr>
      <w:r w:rsidRPr="0038795F">
        <w:rPr>
          <w:sz w:val="23"/>
          <w:szCs w:val="23"/>
          <w:lang w:val="es-ES_tradnl"/>
        </w:rPr>
        <w:t xml:space="preserve">¿Cuál es el proceso que el Estado utiliza para asegurar que </w:t>
      </w:r>
      <w:r w:rsidR="005D5697" w:rsidRPr="0038795F">
        <w:rPr>
          <w:sz w:val="23"/>
          <w:szCs w:val="23"/>
          <w:lang w:val="es-ES_tradnl"/>
        </w:rPr>
        <w:t xml:space="preserve">todas </w:t>
      </w:r>
      <w:r w:rsidRPr="0038795F">
        <w:rPr>
          <w:sz w:val="23"/>
          <w:szCs w:val="23"/>
          <w:lang w:val="es-ES_tradnl"/>
        </w:rPr>
        <w:t>las comunidades</w:t>
      </w:r>
      <w:r w:rsidR="005D5697" w:rsidRPr="0038795F">
        <w:rPr>
          <w:sz w:val="23"/>
          <w:szCs w:val="23"/>
          <w:lang w:val="es-ES_tradnl"/>
        </w:rPr>
        <w:t xml:space="preserve"> afectadas</w:t>
      </w:r>
      <w:r w:rsidRPr="0038795F">
        <w:rPr>
          <w:sz w:val="23"/>
          <w:szCs w:val="23"/>
          <w:lang w:val="es-ES_tradnl"/>
        </w:rPr>
        <w:t xml:space="preserve">, particularmente las comunidades indígenas sean consultadas en todas las etapas de licitación, construcción y operación de megaproyectos de forma, libre, previa e informada de conformidad con los estándares internacionales de derechos humanos y las tradiciones de los pueblos indígenas? </w:t>
      </w:r>
    </w:p>
    <w:p w14:paraId="40BB8FCF" w14:textId="77047E9F" w:rsidR="005D5697" w:rsidRPr="0038795F" w:rsidRDefault="00D71439" w:rsidP="0050670D">
      <w:pPr>
        <w:pStyle w:val="ListParagraph"/>
        <w:numPr>
          <w:ilvl w:val="0"/>
          <w:numId w:val="1"/>
        </w:numPr>
        <w:jc w:val="both"/>
        <w:rPr>
          <w:sz w:val="23"/>
          <w:szCs w:val="23"/>
          <w:lang w:val="es-ES_tradnl"/>
        </w:rPr>
      </w:pPr>
      <w:r w:rsidRPr="0038795F">
        <w:rPr>
          <w:sz w:val="23"/>
          <w:szCs w:val="23"/>
          <w:lang w:val="es-ES_tradnl"/>
        </w:rPr>
        <w:t>¿Cómo justifica el Estado que se haya limitado la participación en la consulta de noviembre de 2017 realizado por el MEM en el caso de los proyectos Oxec I y II?</w:t>
      </w:r>
    </w:p>
    <w:p w14:paraId="11CF6194" w14:textId="38E450C0" w:rsidR="007E69B1" w:rsidRPr="0038795F" w:rsidRDefault="007A00F8" w:rsidP="00D6319E">
      <w:pPr>
        <w:pStyle w:val="ListParagraph"/>
        <w:numPr>
          <w:ilvl w:val="0"/>
          <w:numId w:val="1"/>
        </w:numPr>
        <w:jc w:val="both"/>
        <w:rPr>
          <w:sz w:val="23"/>
          <w:szCs w:val="23"/>
          <w:lang w:val="es-ES_tradnl"/>
        </w:rPr>
      </w:pPr>
      <w:r w:rsidRPr="0038795F">
        <w:rPr>
          <w:sz w:val="23"/>
          <w:szCs w:val="23"/>
          <w:lang w:val="es-ES_tradnl"/>
        </w:rPr>
        <w:t>¿Cuál ha sido el proceso de consulta para las comunidades adyacentes al Río Cahabón y los grupos indígenas afectados en el otorgamiento de las licencias de planeación, construcción y operación del proyecto Oxec III?</w:t>
      </w:r>
    </w:p>
    <w:p w14:paraId="5BDF12ED" w14:textId="73B2F591" w:rsidR="007E69B1" w:rsidRPr="0038795F" w:rsidRDefault="007A00F8" w:rsidP="00D6319E">
      <w:pPr>
        <w:pStyle w:val="ListParagraph"/>
        <w:numPr>
          <w:ilvl w:val="0"/>
          <w:numId w:val="1"/>
        </w:numPr>
        <w:ind w:right="-6"/>
        <w:jc w:val="both"/>
        <w:rPr>
          <w:sz w:val="23"/>
          <w:szCs w:val="23"/>
          <w:lang w:val="es-ES_tradnl"/>
        </w:rPr>
      </w:pPr>
      <w:r w:rsidRPr="0038795F">
        <w:rPr>
          <w:sz w:val="23"/>
          <w:szCs w:val="23"/>
          <w:lang w:val="es-ES_tradnl"/>
        </w:rPr>
        <w:t>¿Cómo Guatemala planea garantizar la plena</w:t>
      </w:r>
      <w:r w:rsidR="00E4242E" w:rsidRPr="0038795F">
        <w:rPr>
          <w:sz w:val="23"/>
          <w:szCs w:val="23"/>
          <w:lang w:val="es-ES_tradnl"/>
        </w:rPr>
        <w:t xml:space="preserve"> y efectiva</w:t>
      </w:r>
      <w:r w:rsidRPr="0038795F">
        <w:rPr>
          <w:sz w:val="23"/>
          <w:szCs w:val="23"/>
          <w:lang w:val="es-ES_tradnl"/>
        </w:rPr>
        <w:t xml:space="preserve"> participación de los pueblos indígenas en el proceso de elaboración de una ley para la consulta a pueblos indígenas, de conformidad con los estándares internacionales de derechos humanos y las tradiciones de los pueblos indígenas? </w:t>
      </w:r>
    </w:p>
    <w:p w14:paraId="6C109C10" w14:textId="77777777" w:rsidR="007E69B1" w:rsidRPr="0038795F" w:rsidRDefault="007A00F8" w:rsidP="0050670D">
      <w:pPr>
        <w:jc w:val="both"/>
        <w:rPr>
          <w:b/>
          <w:color w:val="000000"/>
          <w:sz w:val="23"/>
          <w:szCs w:val="23"/>
          <w:lang w:val="es-ES_tradnl"/>
        </w:rPr>
      </w:pPr>
      <w:r w:rsidRPr="0038795F">
        <w:rPr>
          <w:b/>
          <w:color w:val="000000"/>
          <w:sz w:val="23"/>
          <w:szCs w:val="23"/>
          <w:lang w:val="es-ES_tradnl"/>
        </w:rPr>
        <w:t>3. IMPACTO AMBIENTAL Y DERECHO AL AGUA</w:t>
      </w:r>
      <w:r w:rsidRPr="0038795F">
        <w:rPr>
          <w:b/>
          <w:sz w:val="23"/>
          <w:szCs w:val="23"/>
          <w:lang w:val="es-ES_tradnl"/>
        </w:rPr>
        <w:t>, EL CASO DEL PROYECTO OXEC</w:t>
      </w:r>
      <w:r w:rsidRPr="0038795F">
        <w:rPr>
          <w:b/>
          <w:color w:val="000000"/>
          <w:sz w:val="23"/>
          <w:szCs w:val="23"/>
          <w:lang w:val="es-ES_tradnl"/>
        </w:rPr>
        <w:t xml:space="preserve"> (</w:t>
      </w:r>
      <w:r w:rsidRPr="0038795F">
        <w:rPr>
          <w:b/>
          <w:sz w:val="23"/>
          <w:szCs w:val="23"/>
          <w:lang w:val="es-ES_tradnl"/>
        </w:rPr>
        <w:t>A</w:t>
      </w:r>
      <w:r w:rsidRPr="0038795F">
        <w:rPr>
          <w:b/>
          <w:color w:val="000000"/>
          <w:sz w:val="23"/>
          <w:szCs w:val="23"/>
          <w:lang w:val="es-ES_tradnl"/>
        </w:rPr>
        <w:t>rts. 11</w:t>
      </w:r>
      <w:r w:rsidRPr="0038795F">
        <w:rPr>
          <w:b/>
          <w:sz w:val="23"/>
          <w:szCs w:val="23"/>
          <w:lang w:val="es-ES_tradnl"/>
        </w:rPr>
        <w:t xml:space="preserve">, </w:t>
      </w:r>
      <w:r w:rsidRPr="0038795F">
        <w:rPr>
          <w:b/>
          <w:color w:val="000000"/>
          <w:sz w:val="23"/>
          <w:szCs w:val="23"/>
          <w:lang w:val="es-ES_tradnl"/>
        </w:rPr>
        <w:t xml:space="preserve">12 </w:t>
      </w:r>
      <w:r w:rsidRPr="0038795F">
        <w:rPr>
          <w:b/>
          <w:sz w:val="23"/>
          <w:szCs w:val="23"/>
          <w:lang w:val="es-ES_tradnl"/>
        </w:rPr>
        <w:t>y 15</w:t>
      </w:r>
      <w:r w:rsidRPr="0038795F">
        <w:rPr>
          <w:b/>
          <w:color w:val="000000"/>
          <w:sz w:val="23"/>
          <w:szCs w:val="23"/>
          <w:lang w:val="es-ES_tradnl"/>
        </w:rPr>
        <w:t xml:space="preserve">) </w:t>
      </w:r>
    </w:p>
    <w:p w14:paraId="543FF431" w14:textId="0597792F" w:rsidR="007E69B1" w:rsidRPr="0038795F" w:rsidRDefault="007A00F8" w:rsidP="0050670D">
      <w:pPr>
        <w:spacing w:before="240" w:after="240"/>
        <w:jc w:val="both"/>
        <w:rPr>
          <w:sz w:val="23"/>
          <w:szCs w:val="23"/>
          <w:lang w:val="es-ES_tradnl"/>
        </w:rPr>
      </w:pPr>
      <w:r w:rsidRPr="0038795F">
        <w:rPr>
          <w:sz w:val="23"/>
          <w:szCs w:val="23"/>
          <w:lang w:val="es-ES_tradnl"/>
        </w:rPr>
        <w:lastRenderedPageBreak/>
        <w:t>El río Cahabón se sitúa en una zona de alto interés medioambiental. Nace en la Sierra de las Minas y desemboca casi 200 kilómetros después en el lago de Izabal y para 2011 la zona por la que corre el río Cahabón albergaba en su entorno alrededor de 435,498 personas, aproximadamente el 3.1% de la población total nacional</w:t>
      </w:r>
      <w:r w:rsidR="003B0954" w:rsidRPr="0038795F">
        <w:rPr>
          <w:sz w:val="23"/>
          <w:szCs w:val="23"/>
          <w:lang w:val="es-ES_tradnl"/>
        </w:rPr>
        <w:t>.</w:t>
      </w:r>
      <w:r w:rsidR="003B0954" w:rsidRPr="0038795F">
        <w:rPr>
          <w:rStyle w:val="FootnoteReference"/>
          <w:sz w:val="23"/>
          <w:szCs w:val="23"/>
          <w:lang w:val="es-ES_tradnl"/>
        </w:rPr>
        <w:footnoteReference w:id="14"/>
      </w:r>
      <w:r w:rsidR="003B0954" w:rsidRPr="0038795F">
        <w:rPr>
          <w:sz w:val="23"/>
          <w:szCs w:val="23"/>
          <w:lang w:val="es-ES_tradnl"/>
        </w:rPr>
        <w:t xml:space="preserve"> </w:t>
      </w:r>
      <w:r w:rsidRPr="0038795F">
        <w:rPr>
          <w:sz w:val="23"/>
          <w:szCs w:val="23"/>
          <w:lang w:val="es-ES_tradnl"/>
        </w:rPr>
        <w:t>Actualmente, a lo largo del río Cahabón se cuentan con hasta seis centrales hidroeléctricas, algunas ya en funcionamiento y otras en construcción, siendo los proyectos Oxec y RENACE</w:t>
      </w:r>
      <w:r w:rsidR="003B0954" w:rsidRPr="0038795F">
        <w:rPr>
          <w:rStyle w:val="FootnoteReference"/>
          <w:sz w:val="23"/>
          <w:szCs w:val="23"/>
          <w:lang w:val="es-ES_tradnl"/>
        </w:rPr>
        <w:footnoteReference w:id="15"/>
      </w:r>
      <w:r w:rsidR="003B0954" w:rsidRPr="0038795F">
        <w:rPr>
          <w:sz w:val="23"/>
          <w:szCs w:val="23"/>
          <w:lang w:val="es-ES_tradnl"/>
        </w:rPr>
        <w:t xml:space="preserve"> </w:t>
      </w:r>
      <w:r w:rsidRPr="0038795F">
        <w:rPr>
          <w:sz w:val="23"/>
          <w:szCs w:val="23"/>
          <w:lang w:val="es-ES_tradnl"/>
        </w:rPr>
        <w:t>los más emblemáticos. El resultado es que casi 30 kilómetros de este río se encuentran prácticamente secos. Las comunidades de la región han utilizado el río para lavar, para pescar y, sobre todo, para proveerse de agua potable tanto para consumo personal como para abastecer sus cultivos.</w:t>
      </w:r>
      <w:r w:rsidR="003B0954" w:rsidRPr="0038795F">
        <w:rPr>
          <w:rStyle w:val="FootnoteReference"/>
          <w:sz w:val="23"/>
          <w:szCs w:val="23"/>
          <w:lang w:val="es-ES_tradnl"/>
        </w:rPr>
        <w:footnoteReference w:id="16"/>
      </w:r>
    </w:p>
    <w:p w14:paraId="3487E8AC" w14:textId="2FC4E0CF" w:rsidR="007E69B1" w:rsidRPr="0038795F" w:rsidRDefault="00926922" w:rsidP="0050670D">
      <w:pPr>
        <w:spacing w:before="240" w:after="240"/>
        <w:jc w:val="both"/>
        <w:rPr>
          <w:sz w:val="23"/>
          <w:szCs w:val="23"/>
          <w:lang w:val="es-ES_tradnl"/>
        </w:rPr>
      </w:pPr>
      <w:r w:rsidRPr="0038795F">
        <w:rPr>
          <w:sz w:val="23"/>
          <w:szCs w:val="23"/>
          <w:lang w:val="es-ES_tradnl"/>
        </w:rPr>
        <w:t xml:space="preserve">Se desconocen hasta el momento, si es que los hubo, los estudios de impacto ambiental en cada uno de los procesos de implementación del complejo Oxec. </w:t>
      </w:r>
      <w:r w:rsidR="007A00F8" w:rsidRPr="0038795F">
        <w:rPr>
          <w:sz w:val="23"/>
          <w:szCs w:val="23"/>
          <w:lang w:val="es-ES_tradnl"/>
        </w:rPr>
        <w:t xml:space="preserve">De igual forma, se desconocen los estudios sobre el impacto al acceso al agua potable, que generaría la licitación, construcción y operación de las demás hidroeléctricas situadas en el río Cahabón de forma conjunta. Sin embargo, para las comunidades indígenas que viven alrededor del río, las consecuencias han sido evidentes. A medida que las cuencas se secan, las comunidades pierden el acceso a sus usos tradicionales del agua (consumo, riego, ganadería, pesca, limpieza y recreación) en los que se basa su subsistencia. Esto tiene consecuencias profundas para las familias, agricultores y pescadores que dependen del río para llevar a cabo sus actividades. La pérdida del agua es total, particularmente durante la estación seca. </w:t>
      </w:r>
    </w:p>
    <w:p w14:paraId="0358694E" w14:textId="7F94714B" w:rsidR="00140284" w:rsidRPr="0038795F" w:rsidRDefault="00140284" w:rsidP="0050670D">
      <w:pPr>
        <w:spacing w:before="240" w:after="240"/>
        <w:jc w:val="both"/>
        <w:rPr>
          <w:sz w:val="23"/>
          <w:szCs w:val="23"/>
          <w:lang w:val="es-ES_tradnl"/>
        </w:rPr>
      </w:pPr>
      <w:r w:rsidRPr="0038795F">
        <w:rPr>
          <w:sz w:val="23"/>
          <w:szCs w:val="23"/>
          <w:lang w:val="es-ES_tradnl"/>
        </w:rPr>
        <w:t>Respecto del supuesto Estudio de impacto ambiental realizado por Oxec III,</w:t>
      </w:r>
      <w:r w:rsidR="00DE1B92" w:rsidRPr="0038795F">
        <w:rPr>
          <w:sz w:val="23"/>
          <w:szCs w:val="23"/>
          <w:lang w:val="es-ES_tradnl"/>
        </w:rPr>
        <w:t xml:space="preserve"> al cual no se ha tenido acceso,</w:t>
      </w:r>
      <w:r w:rsidRPr="0038795F">
        <w:rPr>
          <w:sz w:val="23"/>
          <w:szCs w:val="23"/>
          <w:lang w:val="es-ES_tradnl"/>
        </w:rPr>
        <w:t xml:space="preserve"> las comunidades argumentan lo siguiente</w:t>
      </w:r>
      <w:r w:rsidR="003B0954" w:rsidRPr="0038795F">
        <w:rPr>
          <w:rStyle w:val="FootnoteReference"/>
          <w:sz w:val="23"/>
          <w:szCs w:val="23"/>
          <w:lang w:val="es-ES_tradnl"/>
        </w:rPr>
        <w:footnoteReference w:id="17"/>
      </w:r>
      <w:r w:rsidRPr="0038795F">
        <w:rPr>
          <w:sz w:val="23"/>
          <w:szCs w:val="23"/>
          <w:lang w:val="es-ES_tradnl"/>
        </w:rPr>
        <w:t xml:space="preserve">: a) No se dado a conocer en forma detallada el proyecto a las comunidades, b) No  se realizó la consulta en las comunidades, c) Existen vacíos de información técnica, d) No existe  certeza jurídica de la propiedad de la tierra donde se tiene planificado la construcción, e)  Existen litigios pendientes, debido a que no se ha ejecutado la sentencia de la CC (Oxec II) y  f) El daño a la cuenca del río Cahabón que pone en riesgo la extinción de especies acuáticas. </w:t>
      </w:r>
    </w:p>
    <w:p w14:paraId="490FF22C" w14:textId="42989C0E" w:rsidR="0050381B" w:rsidRPr="0038795F" w:rsidRDefault="007A00F8" w:rsidP="0050670D">
      <w:pPr>
        <w:spacing w:before="240" w:after="240"/>
        <w:jc w:val="both"/>
        <w:rPr>
          <w:sz w:val="23"/>
          <w:szCs w:val="23"/>
          <w:lang w:val="es-ES_tradnl"/>
        </w:rPr>
      </w:pPr>
      <w:r w:rsidRPr="0038795F">
        <w:rPr>
          <w:sz w:val="23"/>
          <w:szCs w:val="23"/>
          <w:lang w:val="es-ES_tradnl"/>
        </w:rPr>
        <w:t>Además de los problemas relacionados con la falta de estudios de impacto ambiental y de agua por parte del Estado, se adiciona el daño cultural de un pueblo cuya visión del mundo se basa en su relación con el medio ambiente.</w:t>
      </w:r>
      <w:r w:rsidR="003B0954" w:rsidRPr="0038795F">
        <w:rPr>
          <w:rStyle w:val="FootnoteReference"/>
          <w:sz w:val="23"/>
          <w:szCs w:val="23"/>
          <w:lang w:val="es-ES_tradnl"/>
        </w:rPr>
        <w:footnoteReference w:id="18"/>
      </w:r>
      <w:r w:rsidRPr="0038795F">
        <w:rPr>
          <w:sz w:val="23"/>
          <w:szCs w:val="23"/>
          <w:lang w:val="es-ES_tradnl"/>
        </w:rPr>
        <w:t xml:space="preserve"> Los proyectos Oxec </w:t>
      </w:r>
      <w:r w:rsidR="0050381B" w:rsidRPr="0038795F">
        <w:rPr>
          <w:sz w:val="23"/>
          <w:szCs w:val="23"/>
          <w:lang w:val="es-ES_tradnl"/>
        </w:rPr>
        <w:t xml:space="preserve">no solamente </w:t>
      </w:r>
      <w:r w:rsidRPr="0038795F">
        <w:rPr>
          <w:sz w:val="23"/>
          <w:szCs w:val="23"/>
          <w:lang w:val="es-ES_tradnl"/>
        </w:rPr>
        <w:t>usurpan el territorio ancestral del pueblo Q’eqchi’, destruyendo cerros sagrados y afectando gravemente la biodiversidad alimentada por el sagrado rí</w:t>
      </w:r>
      <w:r w:rsidR="00140284" w:rsidRPr="0038795F">
        <w:rPr>
          <w:sz w:val="23"/>
          <w:szCs w:val="23"/>
          <w:lang w:val="es-ES_tradnl"/>
        </w:rPr>
        <w:t>o</w:t>
      </w:r>
      <w:r w:rsidRPr="0038795F">
        <w:rPr>
          <w:sz w:val="23"/>
          <w:szCs w:val="23"/>
          <w:lang w:val="es-ES_tradnl"/>
        </w:rPr>
        <w:t xml:space="preserve"> Cahabón</w:t>
      </w:r>
      <w:r w:rsidR="0050381B" w:rsidRPr="0038795F">
        <w:rPr>
          <w:sz w:val="23"/>
          <w:szCs w:val="23"/>
          <w:lang w:val="es-ES_tradnl"/>
        </w:rPr>
        <w:t>, pero también desprecian la herencia milenaria y la atribución de los derechos de participación y de expresión que se encuentran en las comunidades indígenas desde antigüedad en dicho territorio.  Esta forma de racismo y sentido de superioridad histórico hacia los pueblos indígenas es lo que causa en gran parte la indignación de las comunidades</w:t>
      </w:r>
      <w:r w:rsidRPr="0038795F">
        <w:rPr>
          <w:sz w:val="23"/>
          <w:szCs w:val="23"/>
          <w:lang w:val="es-ES_tradnl"/>
        </w:rPr>
        <w:t xml:space="preserve">. </w:t>
      </w:r>
    </w:p>
    <w:p w14:paraId="24446551" w14:textId="5E10CC66" w:rsidR="007E69B1" w:rsidRPr="0038795F" w:rsidRDefault="007A00F8" w:rsidP="0050670D">
      <w:pPr>
        <w:spacing w:before="240" w:after="240"/>
        <w:jc w:val="both"/>
        <w:rPr>
          <w:sz w:val="23"/>
          <w:szCs w:val="23"/>
          <w:lang w:val="es-ES_tradnl"/>
        </w:rPr>
      </w:pPr>
      <w:bookmarkStart w:id="2" w:name="move470854601"/>
      <w:bookmarkEnd w:id="2"/>
      <w:r w:rsidRPr="0038795F">
        <w:rPr>
          <w:sz w:val="23"/>
          <w:szCs w:val="23"/>
          <w:lang w:val="es-ES_tradnl"/>
        </w:rPr>
        <w:t xml:space="preserve">Es extremadamente preocupante que en la coyuntura actual de restricciones severas al derecho a la libre circulación, del derecho a la asociación y del derecho a protestar </w:t>
      </w:r>
      <w:r w:rsidR="00E4242E" w:rsidRPr="0038795F">
        <w:rPr>
          <w:sz w:val="23"/>
          <w:szCs w:val="23"/>
          <w:lang w:val="es-ES_tradnl"/>
        </w:rPr>
        <w:t xml:space="preserve">pacíficamente </w:t>
      </w:r>
      <w:r w:rsidRPr="0038795F">
        <w:rPr>
          <w:sz w:val="23"/>
          <w:szCs w:val="23"/>
          <w:lang w:val="es-ES_tradnl"/>
        </w:rPr>
        <w:t xml:space="preserve">contra las obras de las hidroeléctricas, los proyectos Oxec I, Oxec II y Oxec III sigan trabajando y sigan avanzando en su funcionamiento y construcción respectivamente aprovechándose de la imposibilidad para las comunidades de expresar su opinión en cuanto al megaproyecto. </w:t>
      </w:r>
    </w:p>
    <w:p w14:paraId="6EEF9011" w14:textId="77777777" w:rsidR="007E69B1" w:rsidRPr="0038795F" w:rsidRDefault="007A00F8" w:rsidP="0050670D">
      <w:pPr>
        <w:jc w:val="both"/>
        <w:rPr>
          <w:b/>
          <w:color w:val="000000"/>
          <w:sz w:val="23"/>
          <w:szCs w:val="23"/>
          <w:lang w:val="es-ES_tradnl"/>
        </w:rPr>
      </w:pPr>
      <w:r w:rsidRPr="0038795F">
        <w:rPr>
          <w:b/>
          <w:color w:val="000000"/>
          <w:sz w:val="23"/>
          <w:szCs w:val="23"/>
          <w:lang w:val="es-ES_tradnl"/>
        </w:rPr>
        <w:t>Lista de preguntas</w:t>
      </w:r>
    </w:p>
    <w:p w14:paraId="7776CC7E" w14:textId="77777777" w:rsidR="007E69B1" w:rsidRPr="0038795F" w:rsidRDefault="007E69B1" w:rsidP="0050670D">
      <w:pPr>
        <w:jc w:val="both"/>
        <w:rPr>
          <w:b/>
          <w:sz w:val="23"/>
          <w:szCs w:val="23"/>
          <w:lang w:val="es-ES_tradnl"/>
        </w:rPr>
      </w:pPr>
    </w:p>
    <w:p w14:paraId="61ED6128" w14:textId="265303C1" w:rsidR="007E69B1" w:rsidRPr="0038795F" w:rsidRDefault="007A00F8" w:rsidP="0050670D">
      <w:pPr>
        <w:pStyle w:val="ListParagraph"/>
        <w:numPr>
          <w:ilvl w:val="0"/>
          <w:numId w:val="2"/>
        </w:numPr>
        <w:jc w:val="both"/>
        <w:rPr>
          <w:sz w:val="23"/>
          <w:szCs w:val="23"/>
          <w:lang w:val="es-ES_tradnl"/>
        </w:rPr>
      </w:pPr>
      <w:r w:rsidRPr="0038795F">
        <w:rPr>
          <w:sz w:val="23"/>
          <w:szCs w:val="23"/>
          <w:lang w:val="es-ES_tradnl"/>
        </w:rPr>
        <w:t xml:space="preserve">¿Cuáles es el proceso que el Estado realiza para garantizar que los estudios de impacto ambiental se realicen en todas las etapas de licitación, construcción y operación de megaproyectos de conformidad con los estándares internacionales de derechos humanos y las tradiciones de los pueblos indígenas? </w:t>
      </w:r>
    </w:p>
    <w:p w14:paraId="4068F636" w14:textId="34CD4B32" w:rsidR="007E69B1" w:rsidRPr="0038795F" w:rsidRDefault="007A00F8" w:rsidP="0050670D">
      <w:pPr>
        <w:pStyle w:val="ListParagraph"/>
        <w:numPr>
          <w:ilvl w:val="0"/>
          <w:numId w:val="2"/>
        </w:numPr>
        <w:jc w:val="both"/>
        <w:rPr>
          <w:sz w:val="23"/>
          <w:szCs w:val="23"/>
          <w:lang w:val="es-ES_tradnl"/>
        </w:rPr>
      </w:pPr>
      <w:r w:rsidRPr="0038795F">
        <w:rPr>
          <w:sz w:val="23"/>
          <w:szCs w:val="23"/>
          <w:lang w:val="es-ES_tradnl"/>
        </w:rPr>
        <w:t xml:space="preserve">¿Cómo garantiza el Estado el acceso de las comunidades afectadas a los estudios de impacto ambiental? </w:t>
      </w:r>
      <w:r w:rsidR="002700A6" w:rsidRPr="0038795F">
        <w:rPr>
          <w:sz w:val="23"/>
          <w:szCs w:val="23"/>
          <w:lang w:val="es-ES_tradnl"/>
        </w:rPr>
        <w:t>¿</w:t>
      </w:r>
      <w:r w:rsidRPr="0038795F">
        <w:rPr>
          <w:sz w:val="23"/>
          <w:szCs w:val="23"/>
          <w:lang w:val="es-ES_tradnl"/>
        </w:rPr>
        <w:t xml:space="preserve">Está el Estado involucrando comunidades afectadas y sus representantes a la hora de elaborar </w:t>
      </w:r>
      <w:r w:rsidR="002700A6" w:rsidRPr="0038795F">
        <w:rPr>
          <w:sz w:val="23"/>
          <w:szCs w:val="23"/>
          <w:lang w:val="es-ES_tradnl"/>
        </w:rPr>
        <w:t>estos estudios</w:t>
      </w:r>
      <w:r w:rsidRPr="0038795F">
        <w:rPr>
          <w:sz w:val="23"/>
          <w:szCs w:val="23"/>
          <w:lang w:val="es-ES_tradnl"/>
        </w:rPr>
        <w:t xml:space="preserve">, para contar con su </w:t>
      </w:r>
      <w:r w:rsidR="002700A6" w:rsidRPr="0038795F">
        <w:rPr>
          <w:sz w:val="23"/>
          <w:szCs w:val="23"/>
          <w:lang w:val="es-ES_tradnl"/>
        </w:rPr>
        <w:t>pericia</w:t>
      </w:r>
      <w:r w:rsidRPr="0038795F">
        <w:rPr>
          <w:sz w:val="23"/>
          <w:szCs w:val="23"/>
          <w:lang w:val="es-ES_tradnl"/>
        </w:rPr>
        <w:t xml:space="preserve"> sobre el medioambiente local y posibles impactos? </w:t>
      </w:r>
    </w:p>
    <w:p w14:paraId="28B1FFBA" w14:textId="77777777" w:rsidR="007E69B1" w:rsidRPr="0038795F" w:rsidRDefault="007E69B1" w:rsidP="0050670D">
      <w:pPr>
        <w:jc w:val="both"/>
        <w:rPr>
          <w:b/>
          <w:sz w:val="23"/>
          <w:szCs w:val="23"/>
          <w:lang w:val="es-ES_tradnl"/>
        </w:rPr>
      </w:pPr>
    </w:p>
    <w:p w14:paraId="5F2DFC0A" w14:textId="31FE0BD7" w:rsidR="00A25F0B" w:rsidRPr="0038795F" w:rsidRDefault="009A468B" w:rsidP="0050670D">
      <w:pPr>
        <w:jc w:val="both"/>
        <w:rPr>
          <w:b/>
          <w:sz w:val="23"/>
          <w:szCs w:val="23"/>
          <w:lang w:val="es-ES_tradnl"/>
        </w:rPr>
      </w:pPr>
      <w:r w:rsidRPr="0038795F">
        <w:rPr>
          <w:b/>
          <w:color w:val="000000"/>
          <w:sz w:val="23"/>
          <w:szCs w:val="23"/>
          <w:lang w:val="es-ES_tradnl"/>
        </w:rPr>
        <w:t xml:space="preserve">4. </w:t>
      </w:r>
      <w:r w:rsidRPr="0038795F">
        <w:rPr>
          <w:b/>
          <w:sz w:val="23"/>
          <w:szCs w:val="23"/>
          <w:lang w:val="es-ES_tradnl"/>
        </w:rPr>
        <w:t>DERECHO A LA ALIMENTACIÓN</w:t>
      </w:r>
      <w:r w:rsidR="00D570FD" w:rsidRPr="0038795F">
        <w:rPr>
          <w:b/>
          <w:sz w:val="23"/>
          <w:szCs w:val="23"/>
          <w:lang w:val="es-ES_tradnl"/>
        </w:rPr>
        <w:t xml:space="preserve"> ADECUADA </w:t>
      </w:r>
      <w:r w:rsidRPr="0038795F">
        <w:rPr>
          <w:b/>
          <w:sz w:val="23"/>
          <w:szCs w:val="23"/>
          <w:lang w:val="es-ES_tradnl"/>
        </w:rPr>
        <w:t>(ART. 11)</w:t>
      </w:r>
    </w:p>
    <w:p w14:paraId="1B5A77E3" w14:textId="77777777" w:rsidR="009162F6" w:rsidRPr="0038795F" w:rsidRDefault="00A25F0B" w:rsidP="009162F6">
      <w:pPr>
        <w:spacing w:before="100" w:beforeAutospacing="1" w:after="100" w:afterAutospacing="1"/>
        <w:jc w:val="both"/>
        <w:rPr>
          <w:sz w:val="23"/>
          <w:szCs w:val="23"/>
          <w:lang w:val="es-ES_tradnl"/>
        </w:rPr>
      </w:pPr>
      <w:r w:rsidRPr="0038795F">
        <w:rPr>
          <w:sz w:val="23"/>
          <w:szCs w:val="23"/>
          <w:lang w:val="es-ES_tradnl"/>
        </w:rPr>
        <w:t>Se puede mencionar como un aspect</w:t>
      </w:r>
      <w:r w:rsidR="009A468B" w:rsidRPr="0038795F">
        <w:rPr>
          <w:sz w:val="23"/>
          <w:szCs w:val="23"/>
          <w:lang w:val="es-ES_tradnl"/>
        </w:rPr>
        <w:t>o</w:t>
      </w:r>
      <w:r w:rsidRPr="0038795F">
        <w:rPr>
          <w:sz w:val="23"/>
          <w:szCs w:val="23"/>
          <w:lang w:val="es-ES_tradnl"/>
        </w:rPr>
        <w:t xml:space="preserve"> positiv</w:t>
      </w:r>
      <w:r w:rsidR="009A468B" w:rsidRPr="0038795F">
        <w:rPr>
          <w:sz w:val="23"/>
          <w:szCs w:val="23"/>
          <w:lang w:val="es-ES_tradnl"/>
        </w:rPr>
        <w:t>o</w:t>
      </w:r>
      <w:r w:rsidRPr="0038795F">
        <w:rPr>
          <w:sz w:val="23"/>
          <w:szCs w:val="23"/>
          <w:lang w:val="es-ES_tradnl"/>
        </w:rPr>
        <w:t xml:space="preserve"> e incluso exitoso la implementación de “La ventana de los 1000 días”, el cual es el período transcurrido desde el embarazo (270 días promedio) hasta los 2 años de vida de las niñas y niños (730 días).</w:t>
      </w:r>
      <w:r w:rsidR="003B0954" w:rsidRPr="0038795F">
        <w:rPr>
          <w:rStyle w:val="FootnoteReference"/>
          <w:sz w:val="23"/>
          <w:szCs w:val="23"/>
          <w:lang w:val="es-ES_tradnl"/>
        </w:rPr>
        <w:footnoteReference w:id="19"/>
      </w:r>
      <w:r w:rsidRPr="0038795F">
        <w:rPr>
          <w:sz w:val="23"/>
          <w:szCs w:val="23"/>
          <w:vertAlign w:val="superscript"/>
          <w:lang w:val="es-ES_tradnl"/>
        </w:rPr>
        <w:t xml:space="preserve"> </w:t>
      </w:r>
      <w:r w:rsidRPr="0038795F">
        <w:rPr>
          <w:sz w:val="23"/>
          <w:szCs w:val="23"/>
          <w:lang w:val="es-ES_tradnl"/>
        </w:rPr>
        <w:t>Sin embargo varios informes y monitoreo han señalado algunas inconsistencias. Por ejemplo: según un informe realizado por organizaciones sociales, siete de cada diez niños que son atendidos en los puntos de salud no tiene</w:t>
      </w:r>
      <w:r w:rsidR="009A468B" w:rsidRPr="0038795F">
        <w:rPr>
          <w:sz w:val="23"/>
          <w:szCs w:val="23"/>
          <w:lang w:val="es-ES_tradnl"/>
        </w:rPr>
        <w:t>n</w:t>
      </w:r>
      <w:r w:rsidRPr="0038795F">
        <w:rPr>
          <w:sz w:val="23"/>
          <w:szCs w:val="23"/>
          <w:lang w:val="es-ES_tradnl"/>
        </w:rPr>
        <w:t xml:space="preserve"> un control de peso y talla, aspectos que son necesarios para identificar casos de desnutrición crónica.</w:t>
      </w:r>
      <w:r w:rsidR="003B0954" w:rsidRPr="0038795F">
        <w:rPr>
          <w:rStyle w:val="FootnoteReference"/>
          <w:sz w:val="23"/>
          <w:szCs w:val="23"/>
          <w:lang w:val="es-ES_tradnl"/>
        </w:rPr>
        <w:footnoteReference w:id="20"/>
      </w:r>
    </w:p>
    <w:p w14:paraId="30593DAC" w14:textId="78B603A5" w:rsidR="00A25F0B" w:rsidRPr="0038795F" w:rsidRDefault="00A25F0B" w:rsidP="009162F6">
      <w:pPr>
        <w:spacing w:before="100" w:beforeAutospacing="1" w:after="100" w:afterAutospacing="1"/>
        <w:jc w:val="both"/>
        <w:rPr>
          <w:sz w:val="23"/>
          <w:szCs w:val="23"/>
          <w:lang w:val="es-ES_tradnl"/>
        </w:rPr>
      </w:pPr>
      <w:r w:rsidRPr="0038795F">
        <w:rPr>
          <w:sz w:val="23"/>
          <w:szCs w:val="23"/>
          <w:lang w:val="es-ES_tradnl"/>
        </w:rPr>
        <w:t xml:space="preserve">De igual forma, se han identificado otros problemas respecto de este programa. Por ejemplo, la pertinencia cultural en relación con las comunidades, infraestructura y abastecimiento de la vitamina A, </w:t>
      </w:r>
      <w:r w:rsidR="009A468B" w:rsidRPr="0038795F">
        <w:rPr>
          <w:sz w:val="23"/>
          <w:szCs w:val="23"/>
          <w:lang w:val="es-ES_tradnl"/>
        </w:rPr>
        <w:t>la aplicación de las vacunas después de los dos años de vida no se garantiza</w:t>
      </w:r>
      <w:r w:rsidRPr="0038795F">
        <w:rPr>
          <w:sz w:val="23"/>
          <w:szCs w:val="23"/>
          <w:lang w:val="es-ES_tradnl"/>
        </w:rPr>
        <w:t xml:space="preserve"> cuando tendrían que brindarse hasta los cinco años, no hay indicadores de calidad para saber si ha habido una reducción de la desnutrición y si ha aumentado el acceso a alimentos para las familias (particularmente si el dinero otorgado a las familias es usado en alimentos nutritivos), etc. Asimismo, este programa ha sido implementado con una perspectiva asistencialista sin incluir medidas y prácticas que mejoren las condiciones de alimentación a mediano y largo plazo, particularmente mediante la implementación de sistemas alimentarios sustentables. </w:t>
      </w:r>
    </w:p>
    <w:p w14:paraId="0E742CE8" w14:textId="1B58D9A9" w:rsidR="00A25F0B" w:rsidRPr="0038795F" w:rsidRDefault="00A25F0B" w:rsidP="009162F6">
      <w:pPr>
        <w:spacing w:before="100" w:beforeAutospacing="1" w:after="100" w:afterAutospacing="1"/>
        <w:jc w:val="both"/>
        <w:rPr>
          <w:sz w:val="23"/>
          <w:szCs w:val="23"/>
          <w:lang w:val="es-ES_tradnl"/>
        </w:rPr>
      </w:pPr>
      <w:r w:rsidRPr="0038795F">
        <w:rPr>
          <w:sz w:val="23"/>
          <w:szCs w:val="23"/>
          <w:lang w:val="es-ES_tradnl"/>
        </w:rPr>
        <w:t>La alimentación sustentable y soberanía alimentaría son clave para que el derecho a la alimentación en las comunidades sea realizado.</w:t>
      </w:r>
      <w:r w:rsidR="00E4242E" w:rsidRPr="0038795F">
        <w:rPr>
          <w:rStyle w:val="FootnoteReference"/>
          <w:sz w:val="23"/>
          <w:szCs w:val="23"/>
          <w:lang w:val="es-ES_tradnl"/>
        </w:rPr>
        <w:footnoteReference w:id="21"/>
      </w:r>
      <w:r w:rsidRPr="0038795F">
        <w:rPr>
          <w:sz w:val="23"/>
          <w:szCs w:val="23"/>
          <w:lang w:val="es-ES_tradnl"/>
        </w:rPr>
        <w:t xml:space="preserve"> Sin embargo, estás prácticas no son priorizadas por el gobierno. El enfoque de la soberanía alimentaria contempla lo más profundo de los pueblo</w:t>
      </w:r>
      <w:r w:rsidR="009A468B" w:rsidRPr="0038795F">
        <w:rPr>
          <w:sz w:val="23"/>
          <w:szCs w:val="23"/>
          <w:lang w:val="es-ES_tradnl"/>
        </w:rPr>
        <w:t>s</w:t>
      </w:r>
      <w:r w:rsidRPr="0038795F">
        <w:rPr>
          <w:sz w:val="23"/>
          <w:szCs w:val="23"/>
          <w:lang w:val="es-ES_tradnl"/>
        </w:rPr>
        <w:t xml:space="preserve"> y los conocimientos ancestrales en materia de producción de alimentos. El gobierno ha priorizado un enfoque de seguridad alimentaria que en su aplicación vulnera la posibilidad de los pueblos de </w:t>
      </w:r>
      <w:r w:rsidR="009A468B" w:rsidRPr="0038795F">
        <w:rPr>
          <w:sz w:val="23"/>
          <w:szCs w:val="23"/>
          <w:lang w:val="es-ES_tradnl"/>
        </w:rPr>
        <w:t>decidir</w:t>
      </w:r>
      <w:r w:rsidRPr="0038795F">
        <w:rPr>
          <w:sz w:val="23"/>
          <w:szCs w:val="23"/>
          <w:lang w:val="es-ES_tradnl"/>
        </w:rPr>
        <w:t xml:space="preserve"> sobre su alimentación y que ha implicado la introducción de transgénicos o híbridos que amenazan la biodiversidad y semillas nativas, además de la contaminación genética y de “paquetes tecnológicos” que son dañinos para la salud por contener agrotóxicos y que terminan beneficiando a la agroindustria. </w:t>
      </w:r>
    </w:p>
    <w:p w14:paraId="78FB48B0" w14:textId="5FFD65C1" w:rsidR="00A25F0B" w:rsidRPr="0038795F" w:rsidRDefault="00A25F0B" w:rsidP="009162F6">
      <w:pPr>
        <w:spacing w:before="100" w:beforeAutospacing="1" w:after="100" w:afterAutospacing="1"/>
        <w:jc w:val="both"/>
        <w:rPr>
          <w:sz w:val="23"/>
          <w:szCs w:val="23"/>
          <w:lang w:val="es-ES_tradnl"/>
        </w:rPr>
      </w:pPr>
      <w:r w:rsidRPr="0038795F">
        <w:rPr>
          <w:sz w:val="23"/>
          <w:szCs w:val="23"/>
          <w:lang w:val="es-ES_tradnl"/>
        </w:rPr>
        <w:t>Una de las instituciones encargadas de garantizar la soberanía alimentaria, las semillas nativas y criollas; y de mitigar los efectos nocivos del agro tóxicos en los cultivos en los programas de apoyo es FONTIERRA.</w:t>
      </w:r>
      <w:r w:rsidRPr="0038795F">
        <w:rPr>
          <w:sz w:val="23"/>
          <w:szCs w:val="23"/>
          <w:vertAlign w:val="superscript"/>
          <w:lang w:val="es-ES_tradnl"/>
        </w:rPr>
        <w:footnoteReference w:id="22"/>
      </w:r>
      <w:r w:rsidRPr="0038795F">
        <w:rPr>
          <w:sz w:val="23"/>
          <w:szCs w:val="23"/>
          <w:lang w:val="es-ES_tradnl"/>
        </w:rPr>
        <w:t xml:space="preserve"> Sin embargo, se desconoce de qué forma esta institución garantiza que sus programas no afecten las especies y las prácticas ancestrales de generación de semillas y evitar la contaminación genética a la producción de alimentos locales. Muchos de estos programas tendrían que estar enfocados para </w:t>
      </w:r>
      <w:r w:rsidR="00E66464" w:rsidRPr="0038795F">
        <w:rPr>
          <w:sz w:val="23"/>
          <w:szCs w:val="23"/>
          <w:lang w:val="es-ES_tradnl"/>
        </w:rPr>
        <w:t>contrarrestar</w:t>
      </w:r>
      <w:r w:rsidRPr="0038795F">
        <w:rPr>
          <w:sz w:val="23"/>
          <w:szCs w:val="23"/>
          <w:lang w:val="es-ES_tradnl"/>
        </w:rPr>
        <w:t xml:space="preserve"> la pobreza y la desnutrición, al igual que fomentar la recuperación nutricional de la familia. </w:t>
      </w:r>
    </w:p>
    <w:p w14:paraId="764C1DFF" w14:textId="3C1FD53D" w:rsidR="002F5B6F" w:rsidRPr="0038795F" w:rsidRDefault="002F5B6F" w:rsidP="009162F6">
      <w:pPr>
        <w:spacing w:before="100" w:beforeAutospacing="1" w:after="100" w:afterAutospacing="1"/>
        <w:jc w:val="both"/>
        <w:rPr>
          <w:sz w:val="23"/>
          <w:szCs w:val="23"/>
          <w:lang w:val="es-ES_tradnl"/>
        </w:rPr>
      </w:pPr>
      <w:r w:rsidRPr="0038795F">
        <w:rPr>
          <w:sz w:val="23"/>
          <w:szCs w:val="23"/>
          <w:lang w:val="es-ES_tradnl"/>
        </w:rPr>
        <w:t xml:space="preserve">Asimismo, el informe “Tierra para Nosotras” menciona que en los procesos de FONTIERRA hay mecanismos de exclusión de las mujeres para registrar la tierra a su nombre o como copropietarias: entre ellos la obligación de probar en su solicitud que son mujeres campesinas; el requisito del idioma castellano, que excluye a gran número de indígenas; y la condición de formar parte de una persona jurídica tal como una </w:t>
      </w:r>
      <w:r w:rsidR="00DA7B92" w:rsidRPr="0038795F">
        <w:rPr>
          <w:sz w:val="23"/>
          <w:szCs w:val="23"/>
          <w:lang w:val="es-ES_tradnl"/>
        </w:rPr>
        <w:t>Empresa Campesina Asociativa</w:t>
      </w:r>
      <w:r w:rsidRPr="0038795F">
        <w:rPr>
          <w:sz w:val="23"/>
          <w:szCs w:val="23"/>
          <w:lang w:val="es-ES_tradnl"/>
        </w:rPr>
        <w:t>, asociación civil, cooperativa u otra forma de organización.</w:t>
      </w:r>
    </w:p>
    <w:p w14:paraId="4051DA5A" w14:textId="77777777" w:rsidR="009162F6" w:rsidRPr="0038795F" w:rsidRDefault="00DA7B92" w:rsidP="009162F6">
      <w:pPr>
        <w:spacing w:before="100" w:beforeAutospacing="1" w:after="100" w:afterAutospacing="1"/>
        <w:jc w:val="both"/>
        <w:rPr>
          <w:sz w:val="23"/>
          <w:szCs w:val="23"/>
          <w:lang w:val="es-ES_tradnl"/>
        </w:rPr>
      </w:pPr>
      <w:r w:rsidRPr="0038795F">
        <w:rPr>
          <w:sz w:val="23"/>
          <w:szCs w:val="23"/>
          <w:lang w:val="es-ES_tradnl"/>
        </w:rPr>
        <w:t>Recientemente, el jueves 30 de julio el Presidente oficializó el cierre de la Secretaría de Asuntos Agrarios (SAA) junto con la Secretaría de la Paz (Sepaz) y de la Comisión Presidencial de Derechos Humanos (Copredeh).</w:t>
      </w:r>
      <w:r w:rsidR="003B0954" w:rsidRPr="0038795F">
        <w:rPr>
          <w:rStyle w:val="FootnoteReference"/>
          <w:sz w:val="23"/>
          <w:szCs w:val="23"/>
          <w:lang w:val="es-ES_tradnl"/>
        </w:rPr>
        <w:footnoteReference w:id="23"/>
      </w:r>
      <w:r w:rsidRPr="0038795F">
        <w:rPr>
          <w:sz w:val="23"/>
          <w:szCs w:val="23"/>
          <w:lang w:val="es-ES_tradnl"/>
        </w:rPr>
        <w:t xml:space="preserve"> En su lugar, creó la Comisión Presidencial para la Paz y los Derechos Humanos (Copadeh)</w:t>
      </w:r>
      <w:r w:rsidR="003B0954" w:rsidRPr="0038795F">
        <w:rPr>
          <w:rStyle w:val="FootnoteReference"/>
          <w:sz w:val="23"/>
          <w:szCs w:val="23"/>
          <w:lang w:val="es-ES_tradnl"/>
        </w:rPr>
        <w:footnoteReference w:id="24"/>
      </w:r>
      <w:r w:rsidR="003B0954" w:rsidRPr="0038795F">
        <w:rPr>
          <w:sz w:val="23"/>
          <w:szCs w:val="23"/>
          <w:lang w:val="es-ES_tradnl"/>
        </w:rPr>
        <w:t xml:space="preserve"> </w:t>
      </w:r>
      <w:r w:rsidRPr="0038795F">
        <w:rPr>
          <w:sz w:val="23"/>
          <w:szCs w:val="23"/>
          <w:lang w:val="es-ES_tradnl"/>
        </w:rPr>
        <w:t xml:space="preserve">que suscita fuertes dudas en las organizaciones de derechos humanos y en diputados, tanto por el proceso considerado inconforme con la ley de disolución de la institutcionalidad de los Acuerdos de Paz, como por temores por pérdida de espacio para un verdadero cumplimiento de los Acuerdos de Paz. Se desconoce hasta el momento cómo esta nueva institución pretende dar seguimiento y salida a los conflictos agrarios. </w:t>
      </w:r>
    </w:p>
    <w:p w14:paraId="3E74B435" w14:textId="0CA80C77" w:rsidR="00597B08" w:rsidRPr="0038795F" w:rsidRDefault="00C25DCB" w:rsidP="009162F6">
      <w:pPr>
        <w:spacing w:before="100" w:beforeAutospacing="1" w:after="100" w:afterAutospacing="1"/>
        <w:jc w:val="both"/>
        <w:rPr>
          <w:b/>
          <w:sz w:val="23"/>
          <w:szCs w:val="23"/>
          <w:lang w:val="es-ES_tradnl"/>
        </w:rPr>
      </w:pPr>
      <w:r w:rsidRPr="0038795F">
        <w:rPr>
          <w:b/>
          <w:sz w:val="23"/>
          <w:szCs w:val="23"/>
          <w:lang w:val="es-ES_tradnl"/>
        </w:rPr>
        <w:t xml:space="preserve">4.1 </w:t>
      </w:r>
      <w:r w:rsidR="00597B08" w:rsidRPr="0038795F">
        <w:rPr>
          <w:b/>
          <w:sz w:val="23"/>
          <w:szCs w:val="23"/>
          <w:lang w:val="es-ES_tradnl"/>
        </w:rPr>
        <w:t>Derecho a la alimentación</w:t>
      </w:r>
      <w:r w:rsidR="00D570FD" w:rsidRPr="0038795F">
        <w:rPr>
          <w:b/>
          <w:sz w:val="23"/>
          <w:szCs w:val="23"/>
          <w:lang w:val="es-ES_tradnl"/>
        </w:rPr>
        <w:t xml:space="preserve"> adecuada</w:t>
      </w:r>
      <w:r w:rsidR="00597B08" w:rsidRPr="0038795F">
        <w:rPr>
          <w:b/>
          <w:sz w:val="23"/>
          <w:szCs w:val="23"/>
          <w:lang w:val="es-ES_tradnl"/>
        </w:rPr>
        <w:t xml:space="preserve"> en el contexto del Covid-19    </w:t>
      </w:r>
    </w:p>
    <w:p w14:paraId="1E323610" w14:textId="77777777" w:rsidR="00597B08" w:rsidRPr="0038795F" w:rsidRDefault="00597B08" w:rsidP="009162F6">
      <w:pPr>
        <w:spacing w:before="100" w:beforeAutospacing="1" w:after="100" w:afterAutospacing="1"/>
        <w:jc w:val="both"/>
        <w:rPr>
          <w:sz w:val="23"/>
          <w:szCs w:val="23"/>
          <w:lang w:val="es-ES_tradnl"/>
        </w:rPr>
      </w:pPr>
      <w:r w:rsidRPr="0038795F">
        <w:rPr>
          <w:sz w:val="23"/>
          <w:szCs w:val="23"/>
          <w:lang w:val="es-ES_tradnl"/>
        </w:rPr>
        <w:t>Las disposiciones gubernamentales afectaron la movilidad de la producción agrícola indígena y campesina a nivel nacional. Las consecuencias de los cierres, las cuarentenas, toques de queda han afectado directamente a las comunidades en relación a la economía familiar y comunitaria por la restricción en la libre circulación. Socialmente ha restringido la comunicación comunitaria por la psicosis que el gobierno ha manifestado en las conferencias de prensa y que incluso ha dañado el tejido social de los pueblos indígenas.</w:t>
      </w:r>
    </w:p>
    <w:p w14:paraId="427CB68D" w14:textId="77777777" w:rsidR="00597B08" w:rsidRPr="0038795F" w:rsidRDefault="00597B08" w:rsidP="009162F6">
      <w:pPr>
        <w:spacing w:before="100" w:beforeAutospacing="1" w:after="100" w:afterAutospacing="1"/>
        <w:jc w:val="both"/>
        <w:rPr>
          <w:sz w:val="23"/>
          <w:szCs w:val="23"/>
          <w:lang w:val="es-ES_tradnl"/>
        </w:rPr>
      </w:pPr>
      <w:r w:rsidRPr="0038795F">
        <w:rPr>
          <w:sz w:val="23"/>
          <w:szCs w:val="23"/>
          <w:lang w:val="es-ES_tradnl"/>
        </w:rPr>
        <w:t>Durante el confinamiento las empresas de alimentos y servicios están autorizadas para transitar en todo el territorio nacional. Pero, indígenas y campesinos no pueden trasladar sus productos hacia los mercados porque deben respetar el “toque de queda”. El protocolo de los permisos de transporte está pensado para empresas y supermercados, mas no así para la producción campesina o agricultura familiar. Tal como se mencionó, las mujeres indígenas son quienes en la mayoría de los casos ejercen estas labores de traslado y venta de los productos, sin embargo, con las restricciones impuestas por el gobierno, no solo se limita o restringen los pequeños ingresos económicos para las familias, sino también se limita la alimentación básica de las familias indígenas.</w:t>
      </w:r>
    </w:p>
    <w:p w14:paraId="0FADA69D" w14:textId="6E74C89D" w:rsidR="00597B08" w:rsidRPr="0038795F" w:rsidRDefault="00597B08" w:rsidP="009162F6">
      <w:pPr>
        <w:spacing w:before="100" w:beforeAutospacing="1" w:after="100" w:afterAutospacing="1"/>
        <w:jc w:val="both"/>
        <w:rPr>
          <w:sz w:val="23"/>
          <w:szCs w:val="23"/>
          <w:lang w:val="es-ES_tradnl"/>
        </w:rPr>
      </w:pPr>
      <w:r w:rsidRPr="0038795F">
        <w:rPr>
          <w:sz w:val="23"/>
          <w:szCs w:val="23"/>
          <w:lang w:val="es-ES_tradnl"/>
        </w:rPr>
        <w:t>En las comunidades de Sololá, Totonicapán y Quiché manifestaron su inconformidad en bloquear la carretera interamericana y otras carreteras principales,</w:t>
      </w:r>
      <w:r w:rsidR="003B0954" w:rsidRPr="0038795F">
        <w:rPr>
          <w:rStyle w:val="FootnoteReference"/>
          <w:sz w:val="23"/>
          <w:szCs w:val="23"/>
          <w:lang w:val="es-ES_tradnl"/>
        </w:rPr>
        <w:footnoteReference w:id="25"/>
      </w:r>
      <w:r w:rsidRPr="0038795F">
        <w:rPr>
          <w:sz w:val="23"/>
          <w:szCs w:val="23"/>
          <w:lang w:val="es-ES_tradnl"/>
        </w:rPr>
        <w:t xml:space="preserve"> solo con esta presión social, el gobierno</w:t>
      </w:r>
      <w:r w:rsidRPr="0038795F">
        <w:rPr>
          <w:sz w:val="23"/>
          <w:szCs w:val="23"/>
          <w:highlight w:val="white"/>
          <w:lang w:val="es-ES_tradnl"/>
        </w:rPr>
        <w:t xml:space="preserve"> de Alejandro Eduardo Giammattei Falla</w:t>
      </w:r>
      <w:r w:rsidRPr="0038795F">
        <w:rPr>
          <w:sz w:val="23"/>
          <w:szCs w:val="23"/>
          <w:lang w:val="es-ES_tradnl"/>
        </w:rPr>
        <w:t xml:space="preserve"> reconoció y autorizó la circulación del mismo.</w:t>
      </w:r>
    </w:p>
    <w:p w14:paraId="555443A5" w14:textId="5F6848B4" w:rsidR="002F5B6F" w:rsidRPr="0038795F" w:rsidRDefault="00E4242E" w:rsidP="0050670D">
      <w:pPr>
        <w:jc w:val="both"/>
        <w:rPr>
          <w:b/>
          <w:sz w:val="23"/>
          <w:szCs w:val="23"/>
          <w:lang w:val="es-ES_tradnl"/>
        </w:rPr>
      </w:pPr>
      <w:r w:rsidRPr="0038795F">
        <w:rPr>
          <w:b/>
          <w:sz w:val="23"/>
          <w:szCs w:val="23"/>
          <w:lang w:val="es-ES_tradnl"/>
        </w:rPr>
        <w:t>Lista de p</w:t>
      </w:r>
      <w:r w:rsidR="002F5B6F" w:rsidRPr="0038795F">
        <w:rPr>
          <w:b/>
          <w:sz w:val="23"/>
          <w:szCs w:val="23"/>
          <w:lang w:val="es-ES_tradnl"/>
        </w:rPr>
        <w:t xml:space="preserve">reguntas: </w:t>
      </w:r>
    </w:p>
    <w:p w14:paraId="4F089FCD" w14:textId="77777777" w:rsidR="002F5B6F" w:rsidRPr="0038795F" w:rsidRDefault="002F5B6F" w:rsidP="0050670D">
      <w:pPr>
        <w:jc w:val="both"/>
        <w:rPr>
          <w:sz w:val="23"/>
          <w:szCs w:val="23"/>
          <w:lang w:val="es-ES_tradnl"/>
        </w:rPr>
      </w:pPr>
    </w:p>
    <w:p w14:paraId="3FC362D5" w14:textId="60A85E84" w:rsidR="00E40E65" w:rsidRPr="0038795F" w:rsidRDefault="00E40E65" w:rsidP="0050670D">
      <w:pPr>
        <w:pStyle w:val="ListParagraph"/>
        <w:numPr>
          <w:ilvl w:val="0"/>
          <w:numId w:val="3"/>
        </w:numPr>
        <w:jc w:val="both"/>
        <w:rPr>
          <w:sz w:val="23"/>
          <w:szCs w:val="23"/>
          <w:lang w:val="es-ES_tradnl"/>
        </w:rPr>
      </w:pPr>
      <w:r w:rsidRPr="0038795F">
        <w:rPr>
          <w:sz w:val="23"/>
          <w:szCs w:val="23"/>
          <w:lang w:val="es-ES_tradnl"/>
        </w:rPr>
        <w:t>¿Qué medidas ha adoptado el Estado para que el acceso a los alimentos a nivel local y la agricultura familiar y tradicional no se vea afectado por las medidas que limitan la circulación de las personas?</w:t>
      </w:r>
      <w:r w:rsidR="00E4242E" w:rsidRPr="0038795F">
        <w:rPr>
          <w:sz w:val="23"/>
          <w:szCs w:val="23"/>
          <w:lang w:val="es-ES_tradnl"/>
        </w:rPr>
        <w:t xml:space="preserve"> Particularmente a pueblos </w:t>
      </w:r>
      <w:r w:rsidR="00C34F73" w:rsidRPr="0038795F">
        <w:rPr>
          <w:sz w:val="23"/>
          <w:szCs w:val="23"/>
          <w:lang w:val="es-ES_tradnl"/>
        </w:rPr>
        <w:t>indígenas</w:t>
      </w:r>
      <w:r w:rsidR="00E4242E" w:rsidRPr="0038795F">
        <w:rPr>
          <w:sz w:val="23"/>
          <w:szCs w:val="23"/>
          <w:lang w:val="es-ES_tradnl"/>
        </w:rPr>
        <w:t xml:space="preserve">? </w:t>
      </w:r>
    </w:p>
    <w:p w14:paraId="3D3D0C96" w14:textId="2C3B13E5" w:rsidR="002F5B6F" w:rsidRPr="0038795F" w:rsidRDefault="002F5B6F" w:rsidP="0050670D">
      <w:pPr>
        <w:pStyle w:val="ListParagraph"/>
        <w:numPr>
          <w:ilvl w:val="0"/>
          <w:numId w:val="3"/>
        </w:numPr>
        <w:jc w:val="both"/>
        <w:rPr>
          <w:sz w:val="23"/>
          <w:szCs w:val="23"/>
          <w:lang w:val="es-ES_tradnl"/>
        </w:rPr>
      </w:pPr>
      <w:r w:rsidRPr="0038795F">
        <w:rPr>
          <w:sz w:val="23"/>
          <w:szCs w:val="23"/>
          <w:lang w:val="es-ES_tradnl"/>
        </w:rPr>
        <w:t xml:space="preserve">¿De qué forma se garantiza que las mujeres campesinas e indígenas tengan acceso a los programas de FONTIERRA? </w:t>
      </w:r>
    </w:p>
    <w:p w14:paraId="515C711A" w14:textId="236E932A" w:rsidR="002F5B6F" w:rsidRPr="0038795F" w:rsidRDefault="002F5B6F" w:rsidP="0050670D">
      <w:pPr>
        <w:pStyle w:val="ListParagraph"/>
        <w:numPr>
          <w:ilvl w:val="0"/>
          <w:numId w:val="3"/>
        </w:numPr>
        <w:jc w:val="both"/>
        <w:rPr>
          <w:sz w:val="23"/>
          <w:szCs w:val="23"/>
          <w:lang w:val="es-ES_tradnl"/>
        </w:rPr>
      </w:pPr>
      <w:r w:rsidRPr="0038795F">
        <w:rPr>
          <w:sz w:val="23"/>
          <w:szCs w:val="23"/>
          <w:lang w:val="es-ES_tradnl"/>
        </w:rPr>
        <w:t>¿De qué manera FONTIERRA y el Estado garantiza la soberanía alimentaria y las semillas nativas y criollas en sus programas de apoyo para no afectar estas especies y las prácticas ancestrales de generación de semillas y no causar contaminación genética a la producción de alimentos locales?</w:t>
      </w:r>
    </w:p>
    <w:p w14:paraId="17357754" w14:textId="7D89EF6C" w:rsidR="00E66464" w:rsidRPr="0038795F" w:rsidRDefault="00E66464" w:rsidP="0050670D">
      <w:pPr>
        <w:pStyle w:val="ListParagraph"/>
        <w:numPr>
          <w:ilvl w:val="0"/>
          <w:numId w:val="3"/>
        </w:numPr>
        <w:jc w:val="both"/>
        <w:rPr>
          <w:sz w:val="23"/>
          <w:szCs w:val="23"/>
          <w:lang w:val="es-ES_tradnl"/>
        </w:rPr>
      </w:pPr>
      <w:r w:rsidRPr="0038795F">
        <w:rPr>
          <w:sz w:val="23"/>
          <w:szCs w:val="23"/>
          <w:lang w:val="es-ES_tradnl"/>
        </w:rPr>
        <w:t>¿Qué estudios ha realizado el Gobierno sobre el uso e impacto que los transgénicos puedan causar a la biodiversidad y medio ambiente, especialmente a las semillas y especies nativas de Guatemala?</w:t>
      </w:r>
    </w:p>
    <w:p w14:paraId="5B949DE3" w14:textId="3DBF9BD6" w:rsidR="00B05872" w:rsidRPr="0038795F" w:rsidRDefault="00B05872" w:rsidP="0050670D">
      <w:pPr>
        <w:pStyle w:val="ListParagraph"/>
        <w:numPr>
          <w:ilvl w:val="0"/>
          <w:numId w:val="3"/>
        </w:numPr>
        <w:jc w:val="both"/>
        <w:rPr>
          <w:sz w:val="23"/>
          <w:szCs w:val="23"/>
          <w:lang w:val="es-ES_tradnl"/>
        </w:rPr>
      </w:pPr>
      <w:r w:rsidRPr="0038795F">
        <w:rPr>
          <w:sz w:val="23"/>
          <w:szCs w:val="23"/>
          <w:lang w:val="es-ES_tradnl"/>
        </w:rPr>
        <w:t>¿De qué forma se consulta a los pueblos indígenas y el sector campesino sobre la adopción e implementación de legislación en materia agropecuario? Particularmente cómo se consultó a estos grupos sobre la implementación del reglamento de Bioseguridad de Organismos Vivos Modificados para usos agropecuarios?</w:t>
      </w:r>
    </w:p>
    <w:p w14:paraId="5B7AAA59" w14:textId="4C4AC112" w:rsidR="002F5B6F" w:rsidRPr="0038795F" w:rsidRDefault="002F5B6F" w:rsidP="0050670D">
      <w:pPr>
        <w:pStyle w:val="ListParagraph"/>
        <w:numPr>
          <w:ilvl w:val="0"/>
          <w:numId w:val="3"/>
        </w:numPr>
        <w:jc w:val="both"/>
        <w:rPr>
          <w:sz w:val="23"/>
          <w:szCs w:val="23"/>
          <w:lang w:val="es-ES_tradnl"/>
        </w:rPr>
      </w:pPr>
      <w:r w:rsidRPr="0038795F">
        <w:rPr>
          <w:sz w:val="23"/>
          <w:szCs w:val="23"/>
          <w:lang w:val="es-ES_tradnl"/>
        </w:rPr>
        <w:t xml:space="preserve">¿Qué pasará con todas las creaciones y programas de la </w:t>
      </w:r>
      <w:r w:rsidR="00AC4E4D" w:rsidRPr="0038795F">
        <w:rPr>
          <w:sz w:val="23"/>
          <w:szCs w:val="23"/>
          <w:lang w:val="es-ES_tradnl"/>
        </w:rPr>
        <w:t>Secretaría de Asuntos Agrarios</w:t>
      </w:r>
      <w:r w:rsidRPr="0038795F">
        <w:rPr>
          <w:sz w:val="23"/>
          <w:szCs w:val="23"/>
          <w:lang w:val="es-ES_tradnl"/>
        </w:rPr>
        <w:t xml:space="preserve"> ahora que el gobierno lo suprime? ¿De qué forma se dará seguimiento a estos programas?</w:t>
      </w:r>
    </w:p>
    <w:p w14:paraId="1006CDF8" w14:textId="13BA1BA6" w:rsidR="002F5B6F" w:rsidRPr="0038795F" w:rsidRDefault="002F5B6F" w:rsidP="00C34F73">
      <w:pPr>
        <w:pStyle w:val="ListParagraph"/>
        <w:numPr>
          <w:ilvl w:val="0"/>
          <w:numId w:val="3"/>
        </w:numPr>
        <w:jc w:val="both"/>
        <w:rPr>
          <w:sz w:val="23"/>
          <w:szCs w:val="23"/>
          <w:lang w:val="es-ES_tradnl"/>
        </w:rPr>
      </w:pPr>
      <w:r w:rsidRPr="0038795F">
        <w:rPr>
          <w:sz w:val="23"/>
          <w:szCs w:val="23"/>
          <w:lang w:val="es-ES_tradnl"/>
        </w:rPr>
        <w:t>¿De qué forma el gobierno garantiza que sigan abasteciendo de alimentos y vacunas después de la aplicación del programa de la Ventana de 100 días? ¿Cuales son los indicadores que se utilizan para medir la reducción de la desnutrición y el acceso a alimentos para la</w:t>
      </w:r>
      <w:r w:rsidR="0050670D" w:rsidRPr="0038795F">
        <w:rPr>
          <w:sz w:val="23"/>
          <w:szCs w:val="23"/>
          <w:lang w:val="es-ES_tradnl"/>
        </w:rPr>
        <w:t>s</w:t>
      </w:r>
      <w:r w:rsidRPr="0038795F">
        <w:rPr>
          <w:sz w:val="23"/>
          <w:szCs w:val="23"/>
          <w:lang w:val="es-ES_tradnl"/>
        </w:rPr>
        <w:t xml:space="preserve"> familias?</w:t>
      </w:r>
    </w:p>
    <w:p w14:paraId="465C8AC7" w14:textId="77777777" w:rsidR="002F5B6F" w:rsidRPr="0038795F" w:rsidRDefault="002F5B6F" w:rsidP="0050670D">
      <w:pPr>
        <w:jc w:val="both"/>
        <w:rPr>
          <w:b/>
          <w:color w:val="000000"/>
          <w:sz w:val="23"/>
          <w:szCs w:val="23"/>
          <w:lang w:val="es-ES_tradnl"/>
        </w:rPr>
      </w:pPr>
    </w:p>
    <w:p w14:paraId="154D36C0" w14:textId="77777777" w:rsidR="00E9540C" w:rsidRDefault="00E9540C">
      <w:pPr>
        <w:rPr>
          <w:b/>
          <w:color w:val="000000"/>
          <w:sz w:val="23"/>
          <w:szCs w:val="23"/>
          <w:lang w:val="es-ES_tradnl"/>
        </w:rPr>
      </w:pPr>
      <w:r>
        <w:rPr>
          <w:b/>
          <w:color w:val="000000"/>
          <w:sz w:val="23"/>
          <w:szCs w:val="23"/>
          <w:lang w:val="es-ES_tradnl"/>
        </w:rPr>
        <w:br w:type="page"/>
      </w:r>
    </w:p>
    <w:p w14:paraId="4FAC555E" w14:textId="261F2EA5" w:rsidR="007E69B1" w:rsidRPr="0038795F" w:rsidRDefault="00A25F0B" w:rsidP="0050670D">
      <w:pPr>
        <w:jc w:val="both"/>
        <w:rPr>
          <w:b/>
          <w:color w:val="000000"/>
          <w:sz w:val="23"/>
          <w:szCs w:val="23"/>
          <w:lang w:val="es-ES_tradnl"/>
        </w:rPr>
      </w:pPr>
      <w:r w:rsidRPr="0038795F">
        <w:rPr>
          <w:b/>
          <w:color w:val="000000"/>
          <w:sz w:val="23"/>
          <w:szCs w:val="23"/>
          <w:lang w:val="es-ES_tradnl"/>
        </w:rPr>
        <w:t xml:space="preserve">5. </w:t>
      </w:r>
      <w:r w:rsidR="007A00F8" w:rsidRPr="0038795F">
        <w:rPr>
          <w:b/>
          <w:color w:val="000000"/>
          <w:sz w:val="23"/>
          <w:szCs w:val="23"/>
          <w:lang w:val="es-ES_tradnl"/>
        </w:rPr>
        <w:t>DERECHOS DE LOS DEFENSORES DE DERECHOS HUMANOS</w:t>
      </w:r>
      <w:r w:rsidR="007A00F8" w:rsidRPr="0038795F">
        <w:rPr>
          <w:b/>
          <w:sz w:val="23"/>
          <w:szCs w:val="23"/>
          <w:lang w:val="es-ES_tradnl"/>
        </w:rPr>
        <w:t xml:space="preserve"> EN RELACIÓN CON DERECHOS ECONÓMICOS, SOCIALES Y CULTURALES </w:t>
      </w:r>
    </w:p>
    <w:p w14:paraId="2153C5FA" w14:textId="77777777" w:rsidR="007E69B1" w:rsidRPr="0038795F" w:rsidRDefault="007E69B1" w:rsidP="0050670D">
      <w:pPr>
        <w:jc w:val="both"/>
        <w:rPr>
          <w:b/>
          <w:sz w:val="23"/>
          <w:szCs w:val="23"/>
          <w:lang w:val="es-ES_tradnl"/>
        </w:rPr>
      </w:pPr>
    </w:p>
    <w:p w14:paraId="25DEBE98" w14:textId="1EF28816" w:rsidR="007E69B1" w:rsidRPr="0038795F" w:rsidRDefault="00E54445" w:rsidP="0050670D">
      <w:pPr>
        <w:jc w:val="both"/>
        <w:rPr>
          <w:b/>
          <w:sz w:val="23"/>
          <w:szCs w:val="23"/>
          <w:lang w:val="es-ES_tradnl"/>
        </w:rPr>
      </w:pPr>
      <w:r w:rsidRPr="0038795F">
        <w:rPr>
          <w:b/>
          <w:sz w:val="23"/>
          <w:szCs w:val="23"/>
          <w:lang w:val="es-ES_tradnl"/>
        </w:rPr>
        <w:t>5</w:t>
      </w:r>
      <w:r w:rsidR="007A00F8" w:rsidRPr="0038795F">
        <w:rPr>
          <w:b/>
          <w:sz w:val="23"/>
          <w:szCs w:val="23"/>
          <w:lang w:val="es-ES_tradnl"/>
        </w:rPr>
        <w:t>.1 Patrón sistemático de criminalización de defensores de derechos humanos en Guatemala</w:t>
      </w:r>
    </w:p>
    <w:p w14:paraId="2FCAEABC" w14:textId="77777777" w:rsidR="007E69B1" w:rsidRPr="0038795F" w:rsidRDefault="007A00F8" w:rsidP="00DF69CA">
      <w:pPr>
        <w:spacing w:before="100" w:beforeAutospacing="1" w:after="100" w:afterAutospacing="1"/>
        <w:jc w:val="both"/>
        <w:rPr>
          <w:sz w:val="23"/>
          <w:szCs w:val="23"/>
          <w:lang w:val="es-ES_tradnl"/>
        </w:rPr>
      </w:pPr>
      <w:r w:rsidRPr="0038795F">
        <w:rPr>
          <w:sz w:val="23"/>
          <w:szCs w:val="23"/>
          <w:lang w:val="es-ES_tradnl"/>
        </w:rPr>
        <w:t xml:space="preserve">En Guatemala existe un contexto de alta difamación y criminalización contra personas defensoras de derechos humanos. </w:t>
      </w:r>
    </w:p>
    <w:p w14:paraId="7BAEAFD9" w14:textId="77777777" w:rsidR="007E69B1" w:rsidRPr="0038795F" w:rsidRDefault="007A00F8" w:rsidP="00DF69CA">
      <w:pPr>
        <w:spacing w:before="100" w:beforeAutospacing="1" w:after="100" w:afterAutospacing="1"/>
        <w:jc w:val="both"/>
        <w:rPr>
          <w:sz w:val="23"/>
          <w:szCs w:val="23"/>
          <w:lang w:val="es-ES_tradnl"/>
        </w:rPr>
      </w:pPr>
      <w:r w:rsidRPr="0038795F">
        <w:rPr>
          <w:sz w:val="23"/>
          <w:szCs w:val="23"/>
          <w:lang w:val="es-ES_tradnl"/>
        </w:rPr>
        <w:t>Este fenómeno es particularmente visible en el Departamento de Alta Verapaz aunque existen incidentes de esta naturaleza en todo el territorio guatemalteco. Estos últimos años, nuestras organizaciones han observado un fuerte aumento de casos de criminalización, hostigamiento y persecución de personas defensoras de la tierra y del medioambiente. En particular, han sido las personas defensoras denunciando los impactos de la implementación de megaproyectos en sus comunidades los que han sufrido de este hostigamiento, que en algunos casos incluso ha llegado a la muerte.</w:t>
      </w:r>
    </w:p>
    <w:p w14:paraId="601A69BD" w14:textId="77777777" w:rsidR="007E69B1" w:rsidRPr="0038795F" w:rsidRDefault="007A00F8" w:rsidP="00DF69CA">
      <w:pPr>
        <w:spacing w:before="100" w:beforeAutospacing="1" w:after="100" w:afterAutospacing="1"/>
        <w:jc w:val="both"/>
        <w:rPr>
          <w:sz w:val="23"/>
          <w:szCs w:val="23"/>
          <w:lang w:val="es-ES_tradnl"/>
        </w:rPr>
      </w:pPr>
      <w:r w:rsidRPr="0038795F">
        <w:rPr>
          <w:sz w:val="23"/>
          <w:szCs w:val="23"/>
          <w:lang w:val="es-ES_tradnl"/>
        </w:rPr>
        <w:t>Hemos observado que se utiliza un patrón similar en la mayoría de los casos de criminalización de personas defensoras de derechos humanos. Primero, estos casos regularmente inician con difamaciones e intimidaciones. Segundo, los tipos penales aplicados en los patrones de criminalización usados en Guatemala incluyen la usurpación agravada, lesiones graves, robos agravados, detenciones ilegales, coacción, homicidio, intento de homicidio y amenazas. Muchas veces se busca que sean cargos que no permitan medidas sustitutivas, de tal forma que, aunque finalmente la persona defensora sea absuelta, muchas veces haya tenido que pasar un largo tiempo en la prisión.</w:t>
      </w:r>
    </w:p>
    <w:p w14:paraId="6539BAFE" w14:textId="77777777" w:rsidR="007E69B1" w:rsidRPr="0038795F" w:rsidRDefault="007A00F8" w:rsidP="00DF69CA">
      <w:pPr>
        <w:spacing w:before="100" w:beforeAutospacing="1" w:after="100" w:afterAutospacing="1"/>
        <w:jc w:val="both"/>
        <w:rPr>
          <w:sz w:val="23"/>
          <w:szCs w:val="23"/>
          <w:lang w:val="es-ES_tradnl"/>
        </w:rPr>
      </w:pPr>
      <w:r w:rsidRPr="0038795F">
        <w:rPr>
          <w:sz w:val="23"/>
          <w:szCs w:val="23"/>
          <w:lang w:val="es-ES_tradnl"/>
        </w:rPr>
        <w:t>Tercero, los retardos en los procesos judiciales por la suspensión de las audiencias llevan a un desgaste emocional, político y económico de las personas defensoras criminalizadas, de sus familias y de sus organizaciones. Muchas veces las organizaciones dedican gran parte de sus recursos – financieros y de tiempo – en la liberación de las personas criminalizadas y ya no pueden seguir al mismo nivel la defensa de su territorio y medioambiente.</w:t>
      </w:r>
    </w:p>
    <w:p w14:paraId="6BBD2183" w14:textId="77777777" w:rsidR="007E69B1" w:rsidRPr="0038795F" w:rsidRDefault="007A00F8" w:rsidP="00DF69CA">
      <w:pPr>
        <w:spacing w:before="100" w:beforeAutospacing="1" w:after="100" w:afterAutospacing="1"/>
        <w:jc w:val="both"/>
        <w:rPr>
          <w:sz w:val="23"/>
          <w:szCs w:val="23"/>
          <w:lang w:val="es-ES_tradnl"/>
        </w:rPr>
      </w:pPr>
      <w:r w:rsidRPr="0038795F">
        <w:rPr>
          <w:sz w:val="23"/>
          <w:szCs w:val="23"/>
          <w:lang w:val="es-ES_tradnl"/>
        </w:rPr>
        <w:t>Cuarto, los procesos de criminalización tienen un impacto muy fuerte en la reputación y credibilidad de las organizaciones y comunidades defensoras. Adicionalmente, el impacto psicológico en las personas defensoras, al estar aislado de sus comunidades u organizaciones, es fundamental también.</w:t>
      </w:r>
    </w:p>
    <w:p w14:paraId="24A8306D" w14:textId="74597766" w:rsidR="007E69B1" w:rsidRPr="0038795F" w:rsidRDefault="007A00F8" w:rsidP="00DF69CA">
      <w:pPr>
        <w:spacing w:before="100" w:beforeAutospacing="1" w:after="100" w:afterAutospacing="1"/>
        <w:jc w:val="both"/>
        <w:rPr>
          <w:sz w:val="23"/>
          <w:szCs w:val="23"/>
          <w:lang w:val="es-ES_tradnl"/>
        </w:rPr>
      </w:pPr>
      <w:r w:rsidRPr="0038795F">
        <w:rPr>
          <w:sz w:val="23"/>
          <w:szCs w:val="23"/>
          <w:lang w:val="es-ES_tradnl"/>
        </w:rPr>
        <w:t>Quinto, cabe mencionar también que existen iniciativas legislativas que pretenden restringir la labor y el espacio de la sociedad civil y de las personas defensoras. En particular, podemos mencionar el Decreto 4-2020 aprobado el 11 de febrero por el Congreso de Guatemala, y sancionado el 27 de febrero, por el presidente de la República. El 2 de marzo 2020, la Corte de Constitucionalidad de Guatemala suspendió provisionalmente la promulgación de la ley por los señalamientos denunciados sobre las restricciones inconstitucionales a las libertades de asociación, expresión y protesta de la ley.</w:t>
      </w:r>
      <w:r w:rsidR="003B0954" w:rsidRPr="0038795F">
        <w:rPr>
          <w:rStyle w:val="FootnoteReference"/>
          <w:sz w:val="23"/>
          <w:szCs w:val="23"/>
          <w:lang w:val="es-ES_tradnl"/>
        </w:rPr>
        <w:footnoteReference w:id="26"/>
      </w:r>
    </w:p>
    <w:p w14:paraId="0CAE032F" w14:textId="77777777" w:rsidR="007E69B1" w:rsidRPr="0038795F" w:rsidRDefault="007A00F8" w:rsidP="00DF69CA">
      <w:pPr>
        <w:spacing w:before="100" w:beforeAutospacing="1" w:after="100" w:afterAutospacing="1"/>
        <w:jc w:val="both"/>
        <w:rPr>
          <w:color w:val="18191A"/>
          <w:sz w:val="23"/>
          <w:szCs w:val="23"/>
          <w:lang w:val="es-ES_tradnl"/>
        </w:rPr>
      </w:pPr>
      <w:r w:rsidRPr="0038795F">
        <w:rPr>
          <w:sz w:val="23"/>
          <w:szCs w:val="23"/>
          <w:lang w:val="es-ES_tradnl"/>
        </w:rPr>
        <w:t>Sexto, también se ha pretendido dividir a las comunidades mediante distintas acciones. Con el discurso de brindar desarrollo y empleo, estas empresas otorgan trabajos, incluso temporales, en el desarrollo, construcción y operación de los proyectos. Sin embargo,</w:t>
      </w:r>
      <w:r w:rsidRPr="0038795F">
        <w:rPr>
          <w:color w:val="18191A"/>
          <w:sz w:val="23"/>
          <w:szCs w:val="23"/>
          <w:lang w:val="es-ES_tradnl"/>
        </w:rPr>
        <w:t xml:space="preserve"> una vez concluidas las obras, las instalaciones apenas necesitarán personal y éste será cualificado, por lo que no se podrá nutrir de la población local. Aquellos que tienen trabajo, aunque sea durante 15 días, son más proclives a apoyar las construcciones y oponerse directamente a sectores de su propia comunidad. Las empresas se aprovechan de estas confrontaciones para continuar con sus negocios. Asimismo, la compra de tierras impone una tensión entre los pobladores que venden y no venden. </w:t>
      </w:r>
    </w:p>
    <w:p w14:paraId="0853BFAB" w14:textId="263A7533" w:rsidR="007E69B1" w:rsidRPr="0038795F" w:rsidRDefault="007A00F8" w:rsidP="00DF69CA">
      <w:pPr>
        <w:spacing w:before="100" w:beforeAutospacing="1" w:after="100" w:afterAutospacing="1"/>
        <w:jc w:val="both"/>
        <w:rPr>
          <w:sz w:val="23"/>
          <w:szCs w:val="23"/>
          <w:lang w:val="es-ES_tradnl"/>
        </w:rPr>
      </w:pPr>
      <w:r w:rsidRPr="0038795F">
        <w:rPr>
          <w:color w:val="18191A"/>
          <w:sz w:val="23"/>
          <w:szCs w:val="23"/>
          <w:lang w:val="es-ES_tradnl"/>
        </w:rPr>
        <w:t>Para finalizar, queremos destacar que el Departamento de Alta Verapaz en Guatemala ha sido señalado por ser el departamento con el sistema de justicia más corrupto del país.</w:t>
      </w:r>
      <w:r w:rsidR="003B0954" w:rsidRPr="0038795F">
        <w:rPr>
          <w:rStyle w:val="FootnoteReference"/>
          <w:color w:val="18191A"/>
          <w:sz w:val="23"/>
          <w:szCs w:val="23"/>
          <w:lang w:val="es-ES_tradnl"/>
        </w:rPr>
        <w:footnoteReference w:id="27"/>
      </w:r>
      <w:r w:rsidRPr="0038795F">
        <w:rPr>
          <w:color w:val="18191A"/>
          <w:sz w:val="23"/>
          <w:szCs w:val="23"/>
          <w:lang w:val="es-ES_tradnl"/>
        </w:rPr>
        <w:t xml:space="preserve"> El informe de PBI Guatemala </w:t>
      </w:r>
      <w:r w:rsidRPr="0038795F">
        <w:rPr>
          <w:i/>
          <w:color w:val="18191A"/>
          <w:sz w:val="23"/>
          <w:szCs w:val="23"/>
          <w:lang w:val="es-ES_tradnl"/>
        </w:rPr>
        <w:t>Defendemos la Vida – Las luchas sociales en Alta Verapaz</w:t>
      </w:r>
      <w:r w:rsidRPr="0038795F">
        <w:rPr>
          <w:color w:val="18191A"/>
          <w:sz w:val="23"/>
          <w:szCs w:val="23"/>
          <w:lang w:val="es-ES_tradnl"/>
        </w:rPr>
        <w:t xml:space="preserve"> publicado en 2020 recalca que en ese departamento: “</w:t>
      </w:r>
      <w:r w:rsidRPr="0038795F">
        <w:rPr>
          <w:sz w:val="23"/>
          <w:szCs w:val="23"/>
          <w:lang w:val="es-ES_tradnl"/>
        </w:rPr>
        <w:t>la criminalización se ha extendido de tal manera que, en ocasiones, afecta a comunidades enteras. Así, actores públicos y privados se han beneficiado y benefician de todo el poder a su alcance (incluso leyes) para obstaculizar y paralizar la resistencia de los pueblos”.</w:t>
      </w:r>
      <w:r w:rsidR="003B0954" w:rsidRPr="0038795F">
        <w:rPr>
          <w:rStyle w:val="FootnoteReference"/>
          <w:sz w:val="23"/>
          <w:szCs w:val="23"/>
          <w:lang w:val="es-ES_tradnl"/>
        </w:rPr>
        <w:footnoteReference w:id="28"/>
      </w:r>
      <w:r w:rsidRPr="0038795F">
        <w:rPr>
          <w:sz w:val="23"/>
          <w:szCs w:val="23"/>
          <w:lang w:val="es-ES_tradnl"/>
        </w:rPr>
        <w:t xml:space="preserve"> Asimismo se utiliza el Estado de Prevención declarado para combatir la expansión del </w:t>
      </w:r>
      <w:r w:rsidR="0050670D" w:rsidRPr="0038795F">
        <w:rPr>
          <w:sz w:val="23"/>
          <w:szCs w:val="23"/>
          <w:lang w:val="es-ES_tradnl"/>
        </w:rPr>
        <w:t>C</w:t>
      </w:r>
      <w:r w:rsidRPr="0038795F">
        <w:rPr>
          <w:sz w:val="23"/>
          <w:szCs w:val="23"/>
          <w:lang w:val="es-ES_tradnl"/>
        </w:rPr>
        <w:t>ovid y actores no estatales piden incluso la declaración del Estado de ·Excepción para poder proceder a desalojos extrajudiciales aprovechando todas las limitaciones a la protesta y defensa de las comunidades</w:t>
      </w:r>
      <w:r w:rsidR="003B0954" w:rsidRPr="0038795F">
        <w:rPr>
          <w:sz w:val="23"/>
          <w:szCs w:val="23"/>
          <w:lang w:val="es-ES_tradnl"/>
        </w:rPr>
        <w:t>.</w:t>
      </w:r>
      <w:r w:rsidR="003B0954" w:rsidRPr="0038795F">
        <w:rPr>
          <w:rStyle w:val="FootnoteReference"/>
          <w:sz w:val="23"/>
          <w:szCs w:val="23"/>
          <w:lang w:val="es-ES_tradnl"/>
        </w:rPr>
        <w:footnoteReference w:id="29"/>
      </w:r>
      <w:r w:rsidR="003B0954" w:rsidRPr="0038795F">
        <w:rPr>
          <w:sz w:val="23"/>
          <w:szCs w:val="23"/>
          <w:lang w:val="es-ES_tradnl"/>
        </w:rPr>
        <w:t xml:space="preserve"> </w:t>
      </w:r>
    </w:p>
    <w:p w14:paraId="05CA0CE8" w14:textId="545BBF87" w:rsidR="007E69B1" w:rsidRPr="0038795F" w:rsidRDefault="00E54445" w:rsidP="0050670D">
      <w:pPr>
        <w:jc w:val="both"/>
        <w:rPr>
          <w:b/>
          <w:sz w:val="23"/>
          <w:szCs w:val="23"/>
          <w:lang w:val="es-ES_tradnl"/>
        </w:rPr>
      </w:pPr>
      <w:r w:rsidRPr="0038795F">
        <w:rPr>
          <w:b/>
          <w:sz w:val="23"/>
          <w:szCs w:val="23"/>
          <w:lang w:val="es-ES_tradnl"/>
        </w:rPr>
        <w:t>5</w:t>
      </w:r>
      <w:r w:rsidR="007A00F8" w:rsidRPr="0038795F">
        <w:rPr>
          <w:b/>
          <w:sz w:val="23"/>
          <w:szCs w:val="23"/>
          <w:lang w:val="es-ES_tradnl"/>
        </w:rPr>
        <w:t xml:space="preserve">.2 Caso Bernardo Caal Xol </w:t>
      </w:r>
    </w:p>
    <w:p w14:paraId="335DD33C" w14:textId="77777777" w:rsidR="007E69B1" w:rsidRPr="0038795F" w:rsidRDefault="007E69B1" w:rsidP="0050670D">
      <w:pPr>
        <w:jc w:val="both"/>
        <w:rPr>
          <w:b/>
          <w:sz w:val="23"/>
          <w:szCs w:val="23"/>
          <w:lang w:val="es-ES_tradnl"/>
        </w:rPr>
      </w:pPr>
    </w:p>
    <w:p w14:paraId="33A724F6" w14:textId="6F53233A" w:rsidR="007E69B1" w:rsidRPr="0038795F" w:rsidRDefault="007A00F8" w:rsidP="0050670D">
      <w:pPr>
        <w:jc w:val="both"/>
        <w:rPr>
          <w:sz w:val="23"/>
          <w:szCs w:val="23"/>
          <w:highlight w:val="white"/>
          <w:lang w:val="es-ES_tradnl"/>
        </w:rPr>
      </w:pPr>
      <w:r w:rsidRPr="0038795F">
        <w:rPr>
          <w:sz w:val="23"/>
          <w:szCs w:val="23"/>
          <w:lang w:val="es-ES_tradnl"/>
        </w:rPr>
        <w:t xml:space="preserve">Uno de los casos paradigmáticos más recientes que ejemplifica el patrón antes mencionado es el caso de Bernardo Caal Xol. </w:t>
      </w:r>
      <w:r w:rsidRPr="0038795F">
        <w:rPr>
          <w:sz w:val="23"/>
          <w:szCs w:val="23"/>
          <w:highlight w:val="white"/>
          <w:lang w:val="es-ES_tradnl"/>
        </w:rPr>
        <w:t>Bernardo es defensor de derechos humanos maya q’eqchi, y representante de las comunidades de Santa María Cahabón, departamento de Alta Verapaz, ha ejercido de forma pacífica una resistencia durante muchos años junto con la “Resistencia Pacífica de Cahabón” a la imposición de los proyectos hidroeléctricos Oxec I y Oxec II en el municipio de Santa María Cahabón, departamento de Alta Verapaz, parte del territorio maya del pueblo q’eqchi.  Ha recurrido al sistema jurídico para exigir la protección y defensa de sus ríos, sus vidas, su salud, del medio ambiente así como el derecho a la consulta de los pueblos indígenas y otros derechos humanos amenazados por la instalación de megaproyectos.</w:t>
      </w:r>
      <w:r w:rsidR="003B0954" w:rsidRPr="0038795F">
        <w:rPr>
          <w:rStyle w:val="FootnoteReference"/>
          <w:sz w:val="23"/>
          <w:szCs w:val="23"/>
          <w:highlight w:val="white"/>
          <w:lang w:val="es-ES_tradnl"/>
        </w:rPr>
        <w:footnoteReference w:id="30"/>
      </w:r>
    </w:p>
    <w:p w14:paraId="2E41BCF9" w14:textId="77777777" w:rsidR="007E69B1" w:rsidRPr="0038795F" w:rsidRDefault="007A00F8" w:rsidP="00E85B01">
      <w:pPr>
        <w:spacing w:before="100" w:beforeAutospacing="1" w:after="100" w:afterAutospacing="1"/>
        <w:jc w:val="both"/>
        <w:rPr>
          <w:sz w:val="23"/>
          <w:szCs w:val="23"/>
          <w:highlight w:val="white"/>
          <w:lang w:val="es-ES_tradnl"/>
        </w:rPr>
      </w:pPr>
      <w:r w:rsidRPr="0038795F">
        <w:rPr>
          <w:sz w:val="23"/>
          <w:szCs w:val="23"/>
          <w:highlight w:val="white"/>
          <w:lang w:val="es-ES_tradnl"/>
        </w:rPr>
        <w:t>A raíz de su labor como defensor de derechos humanos, se iniciaron diversos eventos que llevaron a la criminalización y posterior sentencia de Bernardo. Varias relatorias especiales del sistema universal de derechos humanos enviaron una comunicacion derivado de estos acontecimientos, los cuales resumen los hechos de la siguiente forma…</w:t>
      </w:r>
    </w:p>
    <w:p w14:paraId="2AFB5A80" w14:textId="77777777" w:rsidR="007E69B1" w:rsidRPr="0038795F" w:rsidRDefault="007A00F8" w:rsidP="0050670D">
      <w:pPr>
        <w:spacing w:before="240" w:after="240"/>
        <w:jc w:val="both"/>
        <w:rPr>
          <w:sz w:val="23"/>
          <w:szCs w:val="23"/>
          <w:highlight w:val="white"/>
          <w:lang w:val="es-ES_tradnl"/>
        </w:rPr>
      </w:pPr>
      <w:r w:rsidRPr="0038795F">
        <w:rPr>
          <w:sz w:val="23"/>
          <w:szCs w:val="23"/>
          <w:highlight w:val="white"/>
          <w:lang w:val="es-ES_tradnl"/>
        </w:rPr>
        <w:t>“El Ministerio Público y el querellante solicitaron se condene a Bernardo a 14 años de cárcel. El día 9 de noviembre del 2018, el Juzgado 1º de Sentencia de Cobán procedió a dictar su veredicto en el caso contra el Sr. Caal Xól. El juez calificó el acto como ‘tumultuario’ y posicionó al Sr. Caal Xól como autor al señalarlo como instigador. Con base a lo anterior, se le condena a 6 años inconmutables por el delito de robo agravado de: un taladro, una caja de herramientas y cierta cantidad de fibra óptica en perjuicio de Netzone S.A., contratista de Oxec S.A. Los robos fueron probados únicamente con una declaración jurada de Netzone S.A.</w:t>
      </w:r>
    </w:p>
    <w:p w14:paraId="07CBA344" w14:textId="4EF54C48" w:rsidR="007E69B1" w:rsidRPr="0038795F" w:rsidRDefault="007A00F8" w:rsidP="0050670D">
      <w:pPr>
        <w:spacing w:before="240" w:after="240"/>
        <w:jc w:val="both"/>
        <w:rPr>
          <w:sz w:val="23"/>
          <w:szCs w:val="23"/>
          <w:highlight w:val="white"/>
          <w:lang w:val="es-ES_tradnl"/>
        </w:rPr>
      </w:pPr>
      <w:r w:rsidRPr="0038795F">
        <w:rPr>
          <w:sz w:val="23"/>
          <w:szCs w:val="23"/>
          <w:highlight w:val="white"/>
          <w:lang w:val="es-ES_tradnl"/>
        </w:rPr>
        <w:t>Por el delito de detenciones ilegales le fue impuesta una pena de 1 año con 4 meses, sumando la totalidad de la pena los 7 años con 4 meses. No lo encontró responsable del delito de instigación a delinquir.”</w:t>
      </w:r>
      <w:r w:rsidR="003B0954" w:rsidRPr="0038795F">
        <w:rPr>
          <w:rStyle w:val="FootnoteReference"/>
          <w:sz w:val="23"/>
          <w:szCs w:val="23"/>
          <w:highlight w:val="white"/>
          <w:lang w:val="es-ES_tradnl"/>
        </w:rPr>
        <w:footnoteReference w:id="31"/>
      </w:r>
    </w:p>
    <w:p w14:paraId="2A43151C" w14:textId="305D14C5" w:rsidR="007E69B1" w:rsidRPr="0038795F" w:rsidRDefault="007A00F8" w:rsidP="0050670D">
      <w:pPr>
        <w:spacing w:before="240" w:after="240"/>
        <w:jc w:val="both"/>
        <w:rPr>
          <w:sz w:val="23"/>
          <w:szCs w:val="23"/>
          <w:highlight w:val="white"/>
          <w:lang w:val="es-ES_tradnl"/>
        </w:rPr>
      </w:pPr>
      <w:r w:rsidRPr="0038795F">
        <w:rPr>
          <w:sz w:val="23"/>
          <w:szCs w:val="23"/>
          <w:highlight w:val="white"/>
          <w:lang w:val="es-ES_tradnl"/>
        </w:rPr>
        <w:t xml:space="preserve">Desde la sentencia del 9 de noviembre 2018, Bernardo Caal ha permanecido en prisión. Sus abogados interpusieron un recurso de apelación, el cual hoy en día, a más de año y medio, no ha sido visto ni resuelto en las cortes. La primera audiencia sobre la apelación fue planificada para el 30 de agosto de 2019, y desde entonces ha sido suspendida y atrasada sucesivamente. Según la opinión de sus abogados, esto constituye una violación a su derecho a la defensa, a un debido proceso, a su derecho a un juicio dentro de un plazo razonable, así como de su derecho a un recurso efectivo. </w:t>
      </w:r>
      <w:r w:rsidRPr="0038795F">
        <w:rPr>
          <w:sz w:val="23"/>
          <w:szCs w:val="23"/>
          <w:lang w:val="es-ES_tradnl"/>
        </w:rPr>
        <w:t>La audiencia de apelación estaba reprogramada para el día 21 de julio 2020 y fue nuevamente cancelada por el supuesto temor a contagiarse del coronavirus. La audiencia esta reprogramada para el 28 de agosto del 2020.</w:t>
      </w:r>
      <w:r w:rsidR="003B0954" w:rsidRPr="0038795F">
        <w:rPr>
          <w:rStyle w:val="FootnoteReference"/>
          <w:sz w:val="23"/>
          <w:szCs w:val="23"/>
          <w:lang w:val="es-ES_tradnl"/>
        </w:rPr>
        <w:footnoteReference w:id="32"/>
      </w:r>
    </w:p>
    <w:p w14:paraId="6A8DAFDB" w14:textId="77777777" w:rsidR="007E69B1" w:rsidRPr="0038795F" w:rsidRDefault="007A00F8" w:rsidP="0050670D">
      <w:pPr>
        <w:spacing w:before="240" w:after="240"/>
        <w:jc w:val="both"/>
        <w:rPr>
          <w:color w:val="1155CC"/>
          <w:sz w:val="23"/>
          <w:szCs w:val="23"/>
          <w:highlight w:val="white"/>
          <w:u w:val="single"/>
          <w:lang w:val="es-ES_tradnl"/>
        </w:rPr>
      </w:pPr>
      <w:r w:rsidRPr="0038795F">
        <w:rPr>
          <w:sz w:val="23"/>
          <w:szCs w:val="23"/>
          <w:highlight w:val="white"/>
          <w:lang w:val="es-ES_tradnl"/>
        </w:rPr>
        <w:t>Los abogados de Bernardo Caal, ante lo que califican de fallos al debido proceso y por la preocupación de salud de las personas defensoras criminalizadas encarceladas en contexto de Covid-19 han pedido en mayo de este año, una reunión bilateral a la Comisión Interamericana de Derechos Humanos para abordar entre otros temas “la negación del derecho a la revisión de la medida de coerción y el “doble estándar” del sistema judicial guatemalteco”, señalando en particular el caso de Bernardo Caal.</w:t>
      </w:r>
    </w:p>
    <w:p w14:paraId="58A058D9" w14:textId="77777777" w:rsidR="007E69B1" w:rsidRPr="0038795F" w:rsidRDefault="007A00F8" w:rsidP="0050670D">
      <w:pPr>
        <w:spacing w:before="240" w:after="240"/>
        <w:jc w:val="both"/>
        <w:rPr>
          <w:sz w:val="23"/>
          <w:szCs w:val="23"/>
          <w:highlight w:val="white"/>
          <w:lang w:val="es-ES_tradnl"/>
        </w:rPr>
      </w:pPr>
      <w:r w:rsidRPr="0038795F">
        <w:rPr>
          <w:sz w:val="23"/>
          <w:szCs w:val="23"/>
          <w:highlight w:val="white"/>
          <w:lang w:val="es-ES_tradnl"/>
        </w:rPr>
        <w:t>Asimismo, se interpuso una acción de amparo a favor de Bernardo Caal y otras personas defensoras encarceladas para conocer el riesgo de contagio de Covid-19 por las situaciones de hacinamiento y falta de higiene en las cárceles guatemaltecas.</w:t>
      </w:r>
    </w:p>
    <w:p w14:paraId="1A7D5314" w14:textId="77777777" w:rsidR="007E69B1" w:rsidRPr="0038795F" w:rsidRDefault="007A00F8" w:rsidP="0050670D">
      <w:pPr>
        <w:spacing w:before="240" w:after="240"/>
        <w:jc w:val="both"/>
        <w:rPr>
          <w:sz w:val="23"/>
          <w:szCs w:val="23"/>
          <w:highlight w:val="white"/>
          <w:lang w:val="es-ES_tradnl"/>
        </w:rPr>
      </w:pPr>
      <w:r w:rsidRPr="0038795F">
        <w:rPr>
          <w:sz w:val="23"/>
          <w:szCs w:val="23"/>
          <w:highlight w:val="white"/>
          <w:lang w:val="es-ES_tradnl"/>
        </w:rPr>
        <w:t>PBI Guatemala visita desde hace dos años regularmente a Bernardo Caal en la cárcel.  Es por ello que nos consta que la cárcel de Cobán carece de las circunstancias necesarias para garantizar la salud de las personas presas en el contexto de la pandemia de Covid-19.  Tanto Bernardo Caal, como también otras personas defensoras presas en Cobán han señalado ante PBI el hacinamiento y la falta de artículos básicos de higiene personal para todos los presos. En la situación actual, esto se convierte en un riesgo de vida para los presos.</w:t>
      </w:r>
    </w:p>
    <w:p w14:paraId="54E8DC5D" w14:textId="77777777" w:rsidR="007E69B1" w:rsidRPr="0038795F" w:rsidRDefault="007A00F8" w:rsidP="0050670D">
      <w:pPr>
        <w:jc w:val="both"/>
        <w:rPr>
          <w:sz w:val="23"/>
          <w:szCs w:val="23"/>
          <w:lang w:val="es-ES_tradnl"/>
        </w:rPr>
      </w:pPr>
      <w:r w:rsidRPr="0038795F">
        <w:rPr>
          <w:sz w:val="23"/>
          <w:szCs w:val="23"/>
          <w:highlight w:val="white"/>
          <w:lang w:val="es-ES_tradnl"/>
        </w:rPr>
        <w:t>Nos parece importante mencionar que el caso de Bernardo Caal no es un caso aislado sino más bien se inscribe en un contexto de alta criminalización contra personas defensoras en Guatemala. En efecto, otras personas integrantes de la Resistencia Pacífica de Cahabón han enfrentado casos de intimidación y varios incidentes de seguridad por su lucha por el territorio, tal y como ataques con armas de fuego.</w:t>
      </w:r>
    </w:p>
    <w:p w14:paraId="045ABB2C" w14:textId="77777777" w:rsidR="007E69B1" w:rsidRPr="0038795F" w:rsidRDefault="007E69B1" w:rsidP="0050670D">
      <w:pPr>
        <w:jc w:val="both"/>
        <w:rPr>
          <w:sz w:val="23"/>
          <w:szCs w:val="23"/>
          <w:lang w:val="es-ES_tradnl"/>
        </w:rPr>
      </w:pPr>
    </w:p>
    <w:p w14:paraId="7091C0EC" w14:textId="77777777" w:rsidR="00746686" w:rsidRDefault="00746686" w:rsidP="0050670D">
      <w:pPr>
        <w:jc w:val="both"/>
        <w:rPr>
          <w:b/>
          <w:color w:val="000000"/>
          <w:sz w:val="23"/>
          <w:szCs w:val="23"/>
          <w:lang w:val="es-ES_tradnl"/>
        </w:rPr>
      </w:pPr>
    </w:p>
    <w:p w14:paraId="22A3158C" w14:textId="77777777" w:rsidR="00746686" w:rsidRDefault="00746686" w:rsidP="0050670D">
      <w:pPr>
        <w:jc w:val="both"/>
        <w:rPr>
          <w:b/>
          <w:color w:val="000000"/>
          <w:sz w:val="23"/>
          <w:szCs w:val="23"/>
          <w:lang w:val="es-ES_tradnl"/>
        </w:rPr>
      </w:pPr>
    </w:p>
    <w:p w14:paraId="27CB433B" w14:textId="77777777" w:rsidR="007E69B1" w:rsidRPr="0038795F" w:rsidRDefault="007A00F8" w:rsidP="0050670D">
      <w:pPr>
        <w:jc w:val="both"/>
        <w:rPr>
          <w:b/>
          <w:color w:val="000000"/>
          <w:sz w:val="23"/>
          <w:szCs w:val="23"/>
          <w:lang w:val="es-ES_tradnl"/>
        </w:rPr>
      </w:pPr>
      <w:r w:rsidRPr="0038795F">
        <w:rPr>
          <w:b/>
          <w:color w:val="000000"/>
          <w:sz w:val="23"/>
          <w:szCs w:val="23"/>
          <w:lang w:val="es-ES_tradnl"/>
        </w:rPr>
        <w:t>Lista de preguntas</w:t>
      </w:r>
    </w:p>
    <w:p w14:paraId="166E802E" w14:textId="77777777" w:rsidR="00F933B6" w:rsidRPr="0038795F" w:rsidRDefault="00F933B6" w:rsidP="00F933B6">
      <w:pPr>
        <w:jc w:val="both"/>
        <w:rPr>
          <w:b/>
          <w:sz w:val="23"/>
          <w:szCs w:val="23"/>
          <w:lang w:val="es-ES_tradnl"/>
        </w:rPr>
      </w:pPr>
    </w:p>
    <w:p w14:paraId="70C6F6BA" w14:textId="77777777" w:rsidR="007E69B1" w:rsidRPr="0038795F" w:rsidRDefault="007A00F8" w:rsidP="00F933B6">
      <w:pPr>
        <w:pStyle w:val="ListParagraph"/>
        <w:numPr>
          <w:ilvl w:val="0"/>
          <w:numId w:val="10"/>
        </w:numPr>
        <w:jc w:val="both"/>
        <w:rPr>
          <w:sz w:val="23"/>
          <w:szCs w:val="23"/>
          <w:lang w:val="es-ES_tradnl"/>
        </w:rPr>
      </w:pPr>
      <w:r w:rsidRPr="0038795F">
        <w:rPr>
          <w:sz w:val="23"/>
          <w:szCs w:val="23"/>
          <w:lang w:val="es-ES_tradnl"/>
        </w:rPr>
        <w:t xml:space="preserve">¿Cuáles son las medidas de prevención y protección que el Estado ha implementado para proteger a las personas defensoras de derechos humanos? </w:t>
      </w:r>
    </w:p>
    <w:p w14:paraId="0306F149" w14:textId="293B29B3" w:rsidR="007E69B1" w:rsidRPr="0038795F" w:rsidRDefault="007A00F8" w:rsidP="00F933B6">
      <w:pPr>
        <w:pStyle w:val="ListParagraph"/>
        <w:numPr>
          <w:ilvl w:val="0"/>
          <w:numId w:val="10"/>
        </w:numPr>
        <w:jc w:val="both"/>
        <w:rPr>
          <w:sz w:val="23"/>
          <w:szCs w:val="23"/>
          <w:lang w:val="es-ES_tradnl"/>
        </w:rPr>
      </w:pPr>
      <w:r w:rsidRPr="0038795F">
        <w:rPr>
          <w:sz w:val="23"/>
          <w:szCs w:val="23"/>
          <w:lang w:val="es-ES_tradnl"/>
        </w:rPr>
        <w:t xml:space="preserve">¿Cuenta el Estado de Guatemala con una política y un mecanismo de protección de las personas defensoras de derechos humanos? </w:t>
      </w:r>
    </w:p>
    <w:p w14:paraId="2CFFEA54" w14:textId="77777777" w:rsidR="00F933B6" w:rsidRPr="0038795F" w:rsidRDefault="007A00F8" w:rsidP="00F933B6">
      <w:pPr>
        <w:pStyle w:val="ListParagraph"/>
        <w:numPr>
          <w:ilvl w:val="0"/>
          <w:numId w:val="10"/>
        </w:numPr>
        <w:jc w:val="both"/>
        <w:rPr>
          <w:sz w:val="23"/>
          <w:szCs w:val="23"/>
          <w:lang w:val="es-ES_tradnl"/>
        </w:rPr>
      </w:pPr>
      <w:r w:rsidRPr="0038795F">
        <w:rPr>
          <w:sz w:val="23"/>
          <w:szCs w:val="23"/>
          <w:lang w:val="es-ES_tradnl"/>
        </w:rPr>
        <w:t xml:space="preserve">¿Cuándo y en qué casos se ha implementado el Protocolo 5-2018 para la Investigación de Ataques a personas Defensoras? </w:t>
      </w:r>
    </w:p>
    <w:p w14:paraId="471CD24B" w14:textId="70CD75F3" w:rsidR="007E69B1" w:rsidRPr="0038795F" w:rsidRDefault="007A00F8" w:rsidP="00F933B6">
      <w:pPr>
        <w:pStyle w:val="ListParagraph"/>
        <w:numPr>
          <w:ilvl w:val="0"/>
          <w:numId w:val="10"/>
        </w:numPr>
        <w:jc w:val="both"/>
        <w:rPr>
          <w:sz w:val="23"/>
          <w:szCs w:val="23"/>
          <w:lang w:val="es-ES_tradnl"/>
        </w:rPr>
      </w:pPr>
      <w:r w:rsidRPr="0038795F">
        <w:rPr>
          <w:sz w:val="23"/>
          <w:szCs w:val="23"/>
          <w:lang w:val="es-ES_tradnl"/>
        </w:rPr>
        <w:t xml:space="preserve">¿Cómo el Estado garantiza plenamente el libre ejercicio de la protesta social pacífica evitando toda intimidación u hostigamiento por parte de actores estatales y no estatales? </w:t>
      </w:r>
    </w:p>
    <w:p w14:paraId="37BC6EA6" w14:textId="77777777" w:rsidR="007E69B1" w:rsidRPr="0038795F" w:rsidRDefault="007E69B1" w:rsidP="0050670D">
      <w:pPr>
        <w:jc w:val="both"/>
        <w:rPr>
          <w:sz w:val="23"/>
          <w:szCs w:val="23"/>
          <w:lang w:val="es-ES_tradnl"/>
        </w:rPr>
      </w:pPr>
    </w:p>
    <w:p w14:paraId="52EDA341" w14:textId="6CCC6CAC" w:rsidR="007E69B1" w:rsidRPr="0038795F" w:rsidRDefault="00A25F0B" w:rsidP="0050670D">
      <w:pPr>
        <w:jc w:val="both"/>
        <w:rPr>
          <w:b/>
          <w:sz w:val="23"/>
          <w:szCs w:val="23"/>
          <w:lang w:val="es-ES_tradnl"/>
        </w:rPr>
      </w:pPr>
      <w:r w:rsidRPr="0038795F">
        <w:rPr>
          <w:b/>
          <w:sz w:val="23"/>
          <w:szCs w:val="23"/>
          <w:lang w:val="es-ES_tradnl"/>
        </w:rPr>
        <w:t>6</w:t>
      </w:r>
      <w:r w:rsidR="007A00F8" w:rsidRPr="0038795F">
        <w:rPr>
          <w:b/>
          <w:sz w:val="23"/>
          <w:szCs w:val="23"/>
          <w:lang w:val="es-ES_tradnl"/>
        </w:rPr>
        <w:t xml:space="preserve">. SITUACIÓN </w:t>
      </w:r>
      <w:r w:rsidR="00F55575" w:rsidRPr="0038795F">
        <w:rPr>
          <w:b/>
          <w:sz w:val="23"/>
          <w:szCs w:val="23"/>
          <w:lang w:val="es-ES_tradnl"/>
        </w:rPr>
        <w:t xml:space="preserve">ESPECÍFICA </w:t>
      </w:r>
      <w:r w:rsidR="007A00F8" w:rsidRPr="0038795F">
        <w:rPr>
          <w:b/>
          <w:sz w:val="23"/>
          <w:szCs w:val="23"/>
          <w:lang w:val="es-ES_tradnl"/>
        </w:rPr>
        <w:t xml:space="preserve">DE COVID Y DERECHOS ECONÓMICOS, SOCIALES Y CULTURALES </w:t>
      </w:r>
    </w:p>
    <w:p w14:paraId="019CE35D" w14:textId="77777777" w:rsidR="007E69B1" w:rsidRPr="0038795F" w:rsidRDefault="007E69B1" w:rsidP="0050670D">
      <w:pPr>
        <w:jc w:val="both"/>
        <w:rPr>
          <w:b/>
          <w:sz w:val="23"/>
          <w:szCs w:val="23"/>
          <w:lang w:val="es-ES_tradnl"/>
        </w:rPr>
      </w:pPr>
    </w:p>
    <w:p w14:paraId="7ACB05BA" w14:textId="7ED18782" w:rsidR="007E69B1" w:rsidRPr="0038795F" w:rsidRDefault="00A25F0B" w:rsidP="0050670D">
      <w:pPr>
        <w:jc w:val="both"/>
        <w:rPr>
          <w:b/>
          <w:sz w:val="23"/>
          <w:szCs w:val="23"/>
          <w:lang w:val="es-ES_tradnl"/>
        </w:rPr>
      </w:pPr>
      <w:r w:rsidRPr="0038795F">
        <w:rPr>
          <w:b/>
          <w:sz w:val="23"/>
          <w:szCs w:val="23"/>
          <w:lang w:val="es-ES_tradnl"/>
        </w:rPr>
        <w:t>6</w:t>
      </w:r>
      <w:r w:rsidR="007A00F8" w:rsidRPr="0038795F">
        <w:rPr>
          <w:b/>
          <w:sz w:val="23"/>
          <w:szCs w:val="23"/>
          <w:lang w:val="es-ES_tradnl"/>
        </w:rPr>
        <w:t>.1 Derecho a la Salud en el contexto del COVID-19 (Art. 12)</w:t>
      </w:r>
    </w:p>
    <w:p w14:paraId="59A7B172" w14:textId="77777777" w:rsidR="007E69B1" w:rsidRPr="0038795F" w:rsidRDefault="007A00F8" w:rsidP="00CA6B0E">
      <w:pPr>
        <w:spacing w:before="100" w:beforeAutospacing="1" w:after="100" w:afterAutospacing="1"/>
        <w:jc w:val="both"/>
        <w:rPr>
          <w:sz w:val="23"/>
          <w:szCs w:val="23"/>
          <w:lang w:val="es-ES_tradnl"/>
        </w:rPr>
      </w:pPr>
      <w:r w:rsidRPr="0038795F">
        <w:rPr>
          <w:sz w:val="23"/>
          <w:szCs w:val="23"/>
          <w:lang w:val="es-ES_tradnl"/>
        </w:rPr>
        <w:t>Es evidente que en Guatemala, país con una histórica ausencia del sistema de salud, el contagio creciente del Covid-19 ha venido a sacrificar a la población más marginalizada. Si bien, familias, comunidades, municipios completos se “auto aislaron”, incluso antes de la declaratoria del “toque de queda” del gobierno central por miedo a la propagación del virus, este autoaislamiento generó otros problemas más grandes, como la falta de alimentación para la población.</w:t>
      </w:r>
    </w:p>
    <w:p w14:paraId="2BEEEB70" w14:textId="77777777" w:rsidR="007E69B1" w:rsidRPr="0038795F" w:rsidRDefault="007A00F8" w:rsidP="00CA6B0E">
      <w:pPr>
        <w:spacing w:before="100" w:beforeAutospacing="1" w:after="100" w:afterAutospacing="1"/>
        <w:jc w:val="both"/>
        <w:rPr>
          <w:sz w:val="23"/>
          <w:szCs w:val="23"/>
          <w:lang w:val="es-ES_tradnl"/>
        </w:rPr>
      </w:pPr>
      <w:r w:rsidRPr="0038795F">
        <w:rPr>
          <w:sz w:val="23"/>
          <w:szCs w:val="23"/>
          <w:lang w:val="es-ES_tradnl"/>
        </w:rPr>
        <w:t>Los servicios sociales, la seguridad y la sanidad no han sido fortalecidos por el gobierno ni antes ni durante la pandemia. Los pueblos indígenas y la ruralidad no han sido atendidos como tal, los indígenas que ya han padecido el virus, comentan en las comunidades que han sido discriminados en su atención médica, pero se abstienen de poner una denuncia por temor a represáliales.</w:t>
      </w:r>
    </w:p>
    <w:p w14:paraId="0DAB1BE6" w14:textId="189E7AE8" w:rsidR="007E69B1" w:rsidRPr="0038795F" w:rsidRDefault="007A00F8" w:rsidP="00CA6B0E">
      <w:pPr>
        <w:spacing w:before="100" w:beforeAutospacing="1" w:after="100" w:afterAutospacing="1"/>
        <w:jc w:val="both"/>
        <w:rPr>
          <w:sz w:val="23"/>
          <w:szCs w:val="23"/>
          <w:lang w:val="es-ES_tradnl"/>
        </w:rPr>
      </w:pPr>
      <w:r w:rsidRPr="0038795F">
        <w:rPr>
          <w:sz w:val="23"/>
          <w:szCs w:val="23"/>
          <w:highlight w:val="white"/>
          <w:lang w:val="es-ES_tradnl"/>
        </w:rPr>
        <w:t>Así mismo, han sido las Organizaciones No Gubernamentales y otras asociaciones</w:t>
      </w:r>
      <w:r w:rsidR="004164F5" w:rsidRPr="0038795F">
        <w:rPr>
          <w:rStyle w:val="FootnoteReference"/>
          <w:sz w:val="23"/>
          <w:szCs w:val="23"/>
          <w:highlight w:val="white"/>
          <w:lang w:val="es-ES_tradnl"/>
        </w:rPr>
        <w:footnoteReference w:id="33"/>
      </w:r>
      <w:r w:rsidRPr="0038795F">
        <w:rPr>
          <w:sz w:val="23"/>
          <w:szCs w:val="23"/>
          <w:highlight w:val="white"/>
          <w:lang w:val="es-ES_tradnl"/>
        </w:rPr>
        <w:t xml:space="preserve"> quienes han apoyado con iniciativas de salud en varias comunidades</w:t>
      </w:r>
      <w:r w:rsidRPr="0038795F">
        <w:rPr>
          <w:sz w:val="23"/>
          <w:szCs w:val="23"/>
          <w:lang w:val="es-ES_tradnl"/>
        </w:rPr>
        <w:t>. Estas asociaciones no están tomadas en cuenta, consultadas o apoyadas por el Estado guatemalteco.</w:t>
      </w:r>
    </w:p>
    <w:p w14:paraId="2CF12C91" w14:textId="77777777" w:rsidR="007E69B1" w:rsidRPr="0038795F" w:rsidRDefault="007A00F8" w:rsidP="00CA6B0E">
      <w:pPr>
        <w:spacing w:before="100" w:beforeAutospacing="1" w:after="100" w:afterAutospacing="1"/>
        <w:jc w:val="both"/>
        <w:rPr>
          <w:sz w:val="23"/>
          <w:szCs w:val="23"/>
          <w:lang w:val="es-ES_tradnl"/>
        </w:rPr>
      </w:pPr>
      <w:r w:rsidRPr="0038795F">
        <w:rPr>
          <w:sz w:val="23"/>
          <w:szCs w:val="23"/>
          <w:lang w:val="es-ES_tradnl"/>
        </w:rPr>
        <w:t>El acceso a la salud se agrava también para atender problemas no relacionados con la pandemia. La limitación y restricción del servicio de transporte público ha generado que se ponga en riesgo la vida de mujeres embarazadas que residen en comunidades muy alejadas y no han podido asistir a un centro de salud u hospital para el control durante el embarazo y/o atención de partos.</w:t>
      </w:r>
    </w:p>
    <w:p w14:paraId="3F301B49" w14:textId="712DF158" w:rsidR="007E69B1" w:rsidRPr="0038795F" w:rsidRDefault="00A25F0B" w:rsidP="0050670D">
      <w:pPr>
        <w:jc w:val="both"/>
        <w:rPr>
          <w:b/>
          <w:sz w:val="23"/>
          <w:szCs w:val="23"/>
          <w:lang w:val="es-ES_tradnl"/>
        </w:rPr>
      </w:pPr>
      <w:r w:rsidRPr="0038795F">
        <w:rPr>
          <w:b/>
          <w:sz w:val="23"/>
          <w:szCs w:val="23"/>
          <w:lang w:val="es-ES_tradnl"/>
        </w:rPr>
        <w:t>6</w:t>
      </w:r>
      <w:r w:rsidR="007A00F8" w:rsidRPr="0038795F">
        <w:rPr>
          <w:b/>
          <w:sz w:val="23"/>
          <w:szCs w:val="23"/>
          <w:lang w:val="es-ES_tradnl"/>
        </w:rPr>
        <w:t>.2 Derechos de las mujeres</w:t>
      </w:r>
      <w:r w:rsidR="00E4242E" w:rsidRPr="0038795F">
        <w:rPr>
          <w:b/>
          <w:sz w:val="23"/>
          <w:szCs w:val="23"/>
          <w:lang w:val="es-ES_tradnl"/>
        </w:rPr>
        <w:t>, niñas y niños</w:t>
      </w:r>
      <w:r w:rsidR="007A00F8" w:rsidRPr="0038795F">
        <w:rPr>
          <w:b/>
          <w:sz w:val="23"/>
          <w:szCs w:val="23"/>
          <w:lang w:val="es-ES_tradnl"/>
        </w:rPr>
        <w:t xml:space="preserve"> con relación a la situación de COVID-19 (Arts. 3 y 12)</w:t>
      </w:r>
    </w:p>
    <w:p w14:paraId="3393A280" w14:textId="77777777" w:rsidR="007E69B1" w:rsidRPr="0038795F" w:rsidRDefault="007A00F8" w:rsidP="00CA6B0E">
      <w:pPr>
        <w:spacing w:before="100" w:beforeAutospacing="1" w:after="100" w:afterAutospacing="1"/>
        <w:jc w:val="both"/>
        <w:rPr>
          <w:sz w:val="23"/>
          <w:szCs w:val="23"/>
          <w:lang w:val="es-ES_tradnl"/>
        </w:rPr>
      </w:pPr>
      <w:r w:rsidRPr="0038795F">
        <w:rPr>
          <w:sz w:val="23"/>
          <w:szCs w:val="23"/>
          <w:lang w:val="es-ES_tradnl"/>
        </w:rPr>
        <w:t>El confinamiento ha provocado el aumento de las tareas del cuidado para las mujeres en el hogar, en la comunidad y en el trabajo. En el hogar, son las mujeres las que han tenido que emplear tiempo y dinero de su presupuesto para comprar más jabón para la limpieza permanente de la familia (agua y jabón para lavar a los niños, ancianos y toda la familia y en seguimiento a las medidas para combatir la pandemia). Muchas veces esta tarea implica ir por agua a distancias bastante lejanas a la vivienda y todo se tiene que hacer en horarios permitidos para evitar las grandes multas derivadas del estado de sitio.</w:t>
      </w:r>
    </w:p>
    <w:p w14:paraId="122358C6" w14:textId="77777777" w:rsidR="007E69B1" w:rsidRPr="0038795F" w:rsidRDefault="007A00F8" w:rsidP="00CA6B0E">
      <w:pPr>
        <w:spacing w:before="100" w:beforeAutospacing="1" w:after="100" w:afterAutospacing="1"/>
        <w:jc w:val="both"/>
        <w:rPr>
          <w:sz w:val="23"/>
          <w:szCs w:val="23"/>
          <w:lang w:val="es-ES_tradnl"/>
        </w:rPr>
      </w:pPr>
      <w:r w:rsidRPr="0038795F">
        <w:rPr>
          <w:sz w:val="23"/>
          <w:szCs w:val="23"/>
          <w:lang w:val="es-ES_tradnl"/>
        </w:rPr>
        <w:t>En el caso de que exista una persona infectada por el virus, son las mujeres quienes además de cumplir con todas sus tareas de siempre, tienen que lidiar con las medidas de protección para atender a las personas enfermas. Esto también incluye un aumento en las tareas del hogar (conseguir la leña, buscar maíz y otros productos, preparar la comida, etc.). Esto se intensifica ya que otros miembros e integrantes de las familias están viviendo en su lugar de trabajo para seguir manteniendo el sustento de las familias y por las limitaciones a la movilidad o transporte público no pueden regresar a sus hogares para ayudar en las tareas del hogar.</w:t>
      </w:r>
    </w:p>
    <w:p w14:paraId="40AF29D3" w14:textId="77777777" w:rsidR="007E69B1" w:rsidRPr="0038795F" w:rsidRDefault="007A00F8" w:rsidP="00CA6B0E">
      <w:pPr>
        <w:spacing w:before="100" w:beforeAutospacing="1" w:after="100" w:afterAutospacing="1"/>
        <w:jc w:val="both"/>
        <w:rPr>
          <w:sz w:val="23"/>
          <w:szCs w:val="23"/>
          <w:lang w:val="es-ES_tradnl"/>
        </w:rPr>
      </w:pPr>
      <w:r w:rsidRPr="0038795F">
        <w:rPr>
          <w:sz w:val="23"/>
          <w:szCs w:val="23"/>
          <w:lang w:val="es-ES_tradnl"/>
        </w:rPr>
        <w:t>El confinamiento ha obligado a las mujeres a permanecer por más tiempo en sus hogares lo que implica soportar todo tipo de violencias intrafamiliares. Muchas veces las mujeres no tienen la posibilidad de ir a denunciar el caso ante las autoridades competentes o pedir ayuda a los familiares porque no hay posibilidad de transportarse por el estado de sitio. El aislamiento por la pandemia no solo ha provocado que una gran cantidad de mujeres queden totalmente incomunicadas, aunado a ello, la falta de ingreso económico impide comprar saldo telefónico para hacer denuncias telefónicas y con ello aumenta su vulnerabilidad ante todo tipo de violencia.</w:t>
      </w:r>
    </w:p>
    <w:p w14:paraId="468A34F2" w14:textId="77777777" w:rsidR="007E69B1" w:rsidRPr="0038795F" w:rsidRDefault="007A00F8" w:rsidP="00CA6B0E">
      <w:pPr>
        <w:spacing w:before="100" w:beforeAutospacing="1" w:after="100" w:afterAutospacing="1"/>
        <w:jc w:val="both"/>
        <w:rPr>
          <w:sz w:val="23"/>
          <w:szCs w:val="23"/>
          <w:lang w:val="es-ES_tradnl"/>
        </w:rPr>
      </w:pPr>
      <w:r w:rsidRPr="0038795F">
        <w:rPr>
          <w:sz w:val="23"/>
          <w:szCs w:val="23"/>
          <w:lang w:val="es-ES_tradnl"/>
        </w:rPr>
        <w:t>De forma similar, niñas y niños se encuentran en una situación vulnerable. Muchas familias han quedado separadas por el confinamiento, debido a que los padres están fuera tratando de mantener su trabajo como fuente de ingreso económico para la alimentación básica de los hijos. Estas condiciones exponen mucho más a niños y niñas que se han quedado solos en sus hogares o con familiares cercanos. En este tiempo de la pandemia, hace que muchos niños y niñas estén siendo víctimas de acoso y abuso sexual en sus hogares, sin que puedan o sepan como denunciar y/o defenderse.</w:t>
      </w:r>
    </w:p>
    <w:p w14:paraId="7BD1AAD1" w14:textId="77777777" w:rsidR="007E69B1" w:rsidRPr="0038795F" w:rsidRDefault="007A00F8" w:rsidP="00CA6B0E">
      <w:pPr>
        <w:spacing w:before="100" w:beforeAutospacing="1" w:after="100" w:afterAutospacing="1"/>
        <w:jc w:val="both"/>
        <w:rPr>
          <w:sz w:val="23"/>
          <w:szCs w:val="23"/>
          <w:lang w:val="es-ES_tradnl"/>
        </w:rPr>
      </w:pPr>
      <w:r w:rsidRPr="0038795F">
        <w:rPr>
          <w:sz w:val="23"/>
          <w:szCs w:val="23"/>
          <w:lang w:val="es-ES_tradnl"/>
        </w:rPr>
        <w:t>También ha habido afectaciones directas para las mujeres que salen a trabajar. Además de las dificultades para llegar a trabajar y los aumentos de las labores diarias en el trabajo, gran cantidad de mujeres no han recibido los últimos salarios mensuales como consecuencia de la pandemia. A pesar de esto, sus tareas han aumentado y en otros, sus horarios laborales han sido reducidos incluso con amenazas de despedirlas de forma permanentes. Hay otros casos de mujeres que en efecto han sufrido despidos en sus trabajos o les han reducido el salario por una misma jornada laboral. Un caso alarmante es el despido de las mujeres jóvenes trabajadoras de hogar, muchas de ellas indígenas, que fueron despedidas de sus trabajos en la ciudad capital, sin salario y sin transporte para regresar a sus hogares de origen y con la excusa de que por la pandemia no tenían cómo para pagarles.</w:t>
      </w:r>
    </w:p>
    <w:p w14:paraId="4A787D1E" w14:textId="2F047742" w:rsidR="007E69B1" w:rsidRPr="0038795F" w:rsidRDefault="00A25F0B" w:rsidP="0050670D">
      <w:pPr>
        <w:jc w:val="both"/>
        <w:rPr>
          <w:b/>
          <w:sz w:val="23"/>
          <w:szCs w:val="23"/>
          <w:lang w:val="es-ES_tradnl"/>
        </w:rPr>
      </w:pPr>
      <w:r w:rsidRPr="0038795F">
        <w:rPr>
          <w:b/>
          <w:sz w:val="23"/>
          <w:szCs w:val="23"/>
          <w:lang w:val="es-ES_tradnl"/>
        </w:rPr>
        <w:t>6</w:t>
      </w:r>
      <w:r w:rsidR="007A00F8" w:rsidRPr="0038795F">
        <w:rPr>
          <w:b/>
          <w:sz w:val="23"/>
          <w:szCs w:val="23"/>
          <w:lang w:val="es-ES_tradnl"/>
        </w:rPr>
        <w:t>.3 Situación de empresas nacionales y transnacionales durante el Covid-19</w:t>
      </w:r>
    </w:p>
    <w:p w14:paraId="3412D9B4" w14:textId="77777777" w:rsidR="007E69B1" w:rsidRPr="0038795F" w:rsidRDefault="007A00F8" w:rsidP="008C3C3B">
      <w:pPr>
        <w:spacing w:before="100" w:beforeAutospacing="1" w:after="100" w:afterAutospacing="1"/>
        <w:jc w:val="both"/>
        <w:rPr>
          <w:sz w:val="23"/>
          <w:szCs w:val="23"/>
          <w:lang w:val="es-ES_tradnl"/>
        </w:rPr>
      </w:pPr>
      <w:r w:rsidRPr="0038795F">
        <w:rPr>
          <w:sz w:val="23"/>
          <w:szCs w:val="23"/>
          <w:lang w:val="es-ES_tradnl"/>
        </w:rPr>
        <w:t xml:space="preserve">Las empresas nacionales y transnacionales, principalmente las agroindustriales no han parado sus actividades, solo redujeron personal, horarios y salarios. En la mayoría de los casos, recargaron el trabajo a algunos trabajadores quienes siguen laborando en situación de alto riesgo por no contar con el equipo de seguridad necesaria ante la pandemia. Muchas empresas han argumentado pérdidas económicas derivadas de la pandemia por lo que han retenido o no han pagado los salarios. Uno de los problemas más fuertes en estos momentos son los casos de despedido de personal lo que ha provocado el aumento del índice de desempleo en el país. En este sentido, los efectos de la pandemia abonan más a las grandes desigualdades socioeconómicas ya conocidas que afectan a los pueblos indígenas y a mujeres. Esto de igual forma expone a las comunidades a un mayor riesgo de contagio pues si bien las comunidades tienen restringido su derecho a la circulación, esto no es así para las y los trabajadores y actividades de las empresas. </w:t>
      </w:r>
    </w:p>
    <w:p w14:paraId="47E82CF2" w14:textId="31112BF6" w:rsidR="009675B9" w:rsidRPr="0038795F" w:rsidRDefault="007A00F8" w:rsidP="008C3C3B">
      <w:pPr>
        <w:spacing w:before="100" w:beforeAutospacing="1" w:after="100" w:afterAutospacing="1"/>
        <w:jc w:val="both"/>
        <w:rPr>
          <w:sz w:val="23"/>
          <w:szCs w:val="23"/>
          <w:lang w:val="es-ES_tradnl"/>
        </w:rPr>
      </w:pPr>
      <w:r w:rsidRPr="0038795F">
        <w:rPr>
          <w:sz w:val="23"/>
          <w:szCs w:val="23"/>
          <w:lang w:val="es-ES_tradnl"/>
        </w:rPr>
        <w:t>Específicamente en la Región de San Pedro Carchá, en la Franja Transversal del Norte, en Cahabón y el valle del Polochic, (departamento de Alta Verapaz) territorio de la nacionalidad Q’eqchi’, existen empresas nacionales y transnacionales (hidroeléctricas, palma africana, petroleras, mineras y tala de bosques) que continúan operando aun durante la pandemia a pesar de los toques de queda. Ni la Policía Nacional Civil, ni el gobernador departamental, ni los Alcaldes municipales se han pronunciado al respecto.</w:t>
      </w:r>
    </w:p>
    <w:p w14:paraId="0AE04604" w14:textId="1EBC00A3" w:rsidR="007E69B1" w:rsidRPr="0038795F" w:rsidRDefault="007A00F8" w:rsidP="008C3C3B">
      <w:pPr>
        <w:spacing w:before="100" w:beforeAutospacing="1" w:after="100" w:afterAutospacing="1"/>
        <w:jc w:val="both"/>
        <w:rPr>
          <w:sz w:val="23"/>
          <w:szCs w:val="23"/>
          <w:lang w:val="es-ES_tradnl"/>
        </w:rPr>
      </w:pPr>
      <w:bookmarkStart w:id="3" w:name="move4708620411111111"/>
      <w:bookmarkEnd w:id="3"/>
      <w:r w:rsidRPr="0038795F">
        <w:rPr>
          <w:sz w:val="23"/>
          <w:szCs w:val="23"/>
          <w:lang w:val="es-ES_tradnl"/>
        </w:rPr>
        <w:t>De igual manera, cientos de familias fueron afectadas por el alza injustificada de los precios de la energía eléctrica por las empresas OCSA DE ORSA y ENERGUATE. El importe subió de ochenta y cinco quetzales de luz como gasto promedio mensual, a casi trecientos o cuatrocientos quetzales de gastos. Por dichas afecciones se han puesto denuncias ante la Procuraduría de Derechos Humanos y el Ministerio Publico para su verificación ya que dichos incrementos no están justificados y no son proporcionales a los consumos.</w:t>
      </w:r>
    </w:p>
    <w:p w14:paraId="14BF894B" w14:textId="77777777" w:rsidR="007E69B1" w:rsidRPr="0038795F" w:rsidRDefault="007A00F8" w:rsidP="0050670D">
      <w:pPr>
        <w:jc w:val="both"/>
        <w:rPr>
          <w:b/>
          <w:sz w:val="23"/>
          <w:szCs w:val="23"/>
          <w:lang w:val="es-ES_tradnl"/>
        </w:rPr>
      </w:pPr>
      <w:r w:rsidRPr="0038795F">
        <w:rPr>
          <w:b/>
          <w:sz w:val="23"/>
          <w:szCs w:val="23"/>
          <w:lang w:val="es-ES_tradnl"/>
        </w:rPr>
        <w:t>Lista de preguntas</w:t>
      </w:r>
    </w:p>
    <w:p w14:paraId="1302BC78" w14:textId="77777777" w:rsidR="007E69B1" w:rsidRPr="0038795F" w:rsidRDefault="007E69B1" w:rsidP="0050670D">
      <w:pPr>
        <w:jc w:val="both"/>
        <w:rPr>
          <w:sz w:val="23"/>
          <w:szCs w:val="23"/>
          <w:lang w:val="es-ES_tradnl"/>
        </w:rPr>
      </w:pPr>
    </w:p>
    <w:p w14:paraId="39E70A4A" w14:textId="595FEC87" w:rsidR="007E69B1" w:rsidRPr="0038795F" w:rsidRDefault="007A00F8" w:rsidP="0019515C">
      <w:pPr>
        <w:pStyle w:val="ListParagraph"/>
        <w:numPr>
          <w:ilvl w:val="0"/>
          <w:numId w:val="12"/>
        </w:numPr>
        <w:jc w:val="both"/>
        <w:rPr>
          <w:sz w:val="23"/>
          <w:szCs w:val="23"/>
          <w:lang w:val="es-ES_tradnl"/>
        </w:rPr>
      </w:pPr>
      <w:r w:rsidRPr="0038795F">
        <w:rPr>
          <w:sz w:val="23"/>
          <w:szCs w:val="23"/>
          <w:lang w:val="es-ES_tradnl"/>
        </w:rPr>
        <w:t>¿Qué medidas ha adoptado el gobierno para que las medidas de contingencia por el Covid-19 no afecten de manera desproporcional y discriminatoria a grupos indígenas, mujeres y niños y niñas?</w:t>
      </w:r>
    </w:p>
    <w:p w14:paraId="084E2D78" w14:textId="77777777" w:rsidR="004164F5" w:rsidRPr="0038795F" w:rsidRDefault="004164F5" w:rsidP="0019515C">
      <w:pPr>
        <w:pStyle w:val="ListParagraph"/>
        <w:numPr>
          <w:ilvl w:val="0"/>
          <w:numId w:val="12"/>
        </w:numPr>
        <w:jc w:val="both"/>
        <w:rPr>
          <w:sz w:val="23"/>
          <w:szCs w:val="23"/>
          <w:lang w:val="es-ES_tradnl"/>
        </w:rPr>
      </w:pPr>
      <w:r w:rsidRPr="0038795F">
        <w:rPr>
          <w:sz w:val="23"/>
          <w:szCs w:val="23"/>
          <w:lang w:val="es-ES_tradnl"/>
        </w:rPr>
        <w:t>¿ De qué forma el Estado apoya la agricultura sustentable de las familias campesinas e indígenas para atender a las necesidades de alimento? ¿De qué forma el gobierno dialoga con los campesinos para lograr este objetivo? Por ejemplo con la propuesta de mediados de abril. </w:t>
      </w:r>
    </w:p>
    <w:p w14:paraId="037082B0" w14:textId="062E188E" w:rsidR="007E69B1" w:rsidRPr="0038795F" w:rsidRDefault="007A00F8" w:rsidP="0019515C">
      <w:pPr>
        <w:pStyle w:val="ListParagraph"/>
        <w:numPr>
          <w:ilvl w:val="0"/>
          <w:numId w:val="12"/>
        </w:numPr>
        <w:jc w:val="both"/>
        <w:rPr>
          <w:lang w:val="es-ES_tradnl"/>
        </w:rPr>
      </w:pPr>
      <w:r w:rsidRPr="0038795F">
        <w:rPr>
          <w:sz w:val="23"/>
          <w:szCs w:val="23"/>
          <w:lang w:val="es-ES_tradnl"/>
        </w:rPr>
        <w:t xml:space="preserve">¿Que medidas ha adoptado el Estado para proteger de forma efectiva los derechos económicos, </w:t>
      </w:r>
      <w:r w:rsidRPr="0038795F">
        <w:rPr>
          <w:lang w:val="es-ES_tradnl"/>
        </w:rPr>
        <w:t>sociales y culturales y prevenir mas violaciones en el contexto de actividades empresariales? incluyendo durante el Covid-19?</w:t>
      </w:r>
    </w:p>
    <w:p w14:paraId="3170BB61" w14:textId="4CD15021" w:rsidR="00586DDB" w:rsidRPr="0038795F" w:rsidRDefault="00586DDB" w:rsidP="0050670D">
      <w:pPr>
        <w:jc w:val="both"/>
        <w:rPr>
          <w:sz w:val="23"/>
          <w:szCs w:val="23"/>
          <w:lang w:val="es-ES_tradnl"/>
        </w:rPr>
      </w:pPr>
    </w:p>
    <w:p w14:paraId="14FBDE4E" w14:textId="7D8EF18C" w:rsidR="00586DDB" w:rsidRPr="0038795F" w:rsidRDefault="00586DDB" w:rsidP="0050670D">
      <w:pPr>
        <w:jc w:val="both"/>
        <w:rPr>
          <w:sz w:val="23"/>
          <w:szCs w:val="23"/>
          <w:lang w:val="es-ES_tradnl"/>
        </w:rPr>
      </w:pPr>
    </w:p>
    <w:sectPr w:rsidR="00586DDB" w:rsidRPr="0038795F" w:rsidSect="00FB052D">
      <w:headerReference w:type="default" r:id="rId9"/>
      <w:footerReference w:type="even" r:id="rId10"/>
      <w:footerReference w:type="default" r:id="rId11"/>
      <w:headerReference w:type="first" r:id="rId12"/>
      <w:pgSz w:w="11906" w:h="16838"/>
      <w:pgMar w:top="1417" w:right="1417" w:bottom="1417" w:left="1417" w:header="0" w:footer="708" w:gutter="0"/>
      <w:pgNumType w:start="1"/>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C69F8E" w14:textId="77777777" w:rsidR="0013710F" w:rsidRDefault="0013710F">
      <w:r>
        <w:separator/>
      </w:r>
    </w:p>
  </w:endnote>
  <w:endnote w:type="continuationSeparator" w:id="0">
    <w:p w14:paraId="4C94E245" w14:textId="77777777" w:rsidR="0013710F" w:rsidRDefault="00137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00000003" w:usb1="00000000" w:usb2="00000000" w:usb3="00000000" w:csb0="00000001" w:csb1="00000000"/>
  </w:font>
  <w:font w:name="Yu Mincho">
    <w:altName w:val="游明朝"/>
    <w:panose1 w:val="00000000000000000000"/>
    <w:charset w:val="8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FDE1D" w14:textId="77777777" w:rsidR="0013710F" w:rsidRDefault="0013710F" w:rsidP="00D631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7D493E" w14:textId="77777777" w:rsidR="0013710F" w:rsidRDefault="0013710F" w:rsidP="00FB05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342CB" w14:textId="46E079DF" w:rsidR="0013710F" w:rsidRDefault="0013710F" w:rsidP="00D6319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54FF3">
      <w:rPr>
        <w:rStyle w:val="PageNumber"/>
        <w:noProof/>
      </w:rPr>
      <w:t>2</w:t>
    </w:r>
    <w:r>
      <w:rPr>
        <w:rStyle w:val="PageNumber"/>
      </w:rPr>
      <w:fldChar w:fldCharType="end"/>
    </w:r>
  </w:p>
  <w:p w14:paraId="3FF58613" w14:textId="09A8CB7D" w:rsidR="0013710F" w:rsidRDefault="0013710F" w:rsidP="00FB052D">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F6932" w14:textId="77777777" w:rsidR="0013710F" w:rsidRDefault="0013710F">
      <w:r>
        <w:separator/>
      </w:r>
    </w:p>
  </w:footnote>
  <w:footnote w:type="continuationSeparator" w:id="0">
    <w:p w14:paraId="0F178446" w14:textId="77777777" w:rsidR="0013710F" w:rsidRDefault="0013710F">
      <w:r>
        <w:continuationSeparator/>
      </w:r>
    </w:p>
  </w:footnote>
  <w:footnote w:id="1">
    <w:p w14:paraId="1314DC16" w14:textId="43582DA9" w:rsidR="0013710F" w:rsidRPr="001A7347" w:rsidRDefault="0013710F" w:rsidP="00A82367">
      <w:pPr>
        <w:jc w:val="both"/>
        <w:rPr>
          <w:sz w:val="20"/>
          <w:szCs w:val="20"/>
          <w:lang w:val="es-ES_tradnl" w:eastAsia="es-ES"/>
        </w:rPr>
      </w:pPr>
      <w:r w:rsidRPr="001A7347">
        <w:rPr>
          <w:rStyle w:val="FootnoteReference"/>
          <w:sz w:val="20"/>
          <w:szCs w:val="20"/>
          <w:lang w:val="es-ES_tradnl"/>
        </w:rPr>
        <w:footnoteRef/>
      </w:r>
      <w:r w:rsidRPr="001A7347">
        <w:rPr>
          <w:sz w:val="20"/>
          <w:szCs w:val="20"/>
          <w:lang w:val="es-ES_tradnl"/>
        </w:rPr>
        <w:t xml:space="preserve"> Incluyendo Red Nacional por la Defensa de la Soberanía Alimentaria en Guatemala, REDSAG; Asociación B'elejeb' Tz'i', Swiss Catholic Lenten Fund (Fastenopfer) and others. </w:t>
      </w:r>
    </w:p>
  </w:footnote>
  <w:footnote w:id="2">
    <w:p w14:paraId="645419EE" w14:textId="4B4438C4"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w:t>
      </w:r>
      <w:r w:rsidRPr="001A7347">
        <w:rPr>
          <w:rFonts w:ascii="Times New Roman" w:hAnsi="Times New Roman" w:cs="Times New Roman"/>
          <w:color w:val="000000"/>
          <w:sz w:val="20"/>
          <w:szCs w:val="20"/>
          <w:lang w:val="es-ES_tradnl"/>
        </w:rPr>
        <w:t>Organización Internacional del Trabajo, C169 – Convenio sobre pueblos indígenas y tribales, 1989, (núm. 169), http://www.ilo.org/dyn/normlex/es/</w:t>
      </w:r>
    </w:p>
  </w:footnote>
  <w:footnote w:id="3">
    <w:p w14:paraId="5E541711" w14:textId="561AEB47"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w:t>
      </w:r>
      <w:r w:rsidRPr="001A7347">
        <w:rPr>
          <w:rFonts w:ascii="Times New Roman" w:hAnsi="Times New Roman" w:cs="Times New Roman"/>
          <w:color w:val="000000"/>
          <w:sz w:val="20"/>
          <w:szCs w:val="20"/>
          <w:lang w:val="es-ES_tradnl"/>
        </w:rPr>
        <w:t>Naciones Unidas/Consejo Económico y Social /Comité de Derechos Económicos, Sociales y Culturales, “Observaciones finales sobre el tercer informe periódico de Guatemala [CCPR/C/GTM/CO/3]”, párr. 7, (9 de diciembre de 2014).</w:t>
      </w:r>
    </w:p>
  </w:footnote>
  <w:footnote w:id="4">
    <w:p w14:paraId="140A1C22" w14:textId="6B40252E"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“Guatemala cuenta desde hoy con una guía para llevar a cabo consultas a los pueblos indígenas sobre los proyectos que se impulsen en sus comunidades, en cumplimiento al Convenio 169 de la Organización Internacional del Trabajo (OIT).” Ver “Guatemala lanza guía para consultas a pueblos indígenas establecidas por OIT”, en </w:t>
      </w:r>
      <w:r w:rsidRPr="001A7347">
        <w:rPr>
          <w:rFonts w:ascii="Times New Roman" w:hAnsi="Times New Roman" w:cs="Times New Roman"/>
          <w:i/>
          <w:sz w:val="20"/>
          <w:szCs w:val="20"/>
          <w:lang w:val="es-ES_tradnl"/>
        </w:rPr>
        <w:t>Prensa Libre</w:t>
      </w:r>
      <w:r w:rsidRPr="001A7347">
        <w:rPr>
          <w:rFonts w:ascii="Times New Roman" w:hAnsi="Times New Roman" w:cs="Times New Roman"/>
          <w:sz w:val="20"/>
          <w:szCs w:val="20"/>
          <w:lang w:val="es-ES_tradnl"/>
        </w:rPr>
        <w:t xml:space="preserve"> (18.07.2017): http://www.prensalibre.com/guatemala/politica/guatemala-lanza-guia-para-consultas-a-pueblos-indigenas-establecidas-por-oit</w:t>
      </w:r>
    </w:p>
  </w:footnote>
  <w:footnote w:id="5">
    <w:p w14:paraId="7CE9C371" w14:textId="4FF5C1FE"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Las Autoridades Ancestrales Mayas, Xincas y Garífunas, el Gobierno Ancestral Plurinacional del norte de Huehuetenango, así como la Asamblea Social y Popular</w:t>
      </w:r>
    </w:p>
  </w:footnote>
  <w:footnote w:id="6">
    <w:p w14:paraId="50FB14F7" w14:textId="7E9F1441"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A/HRC/37/3/Add.1, Informe anual del Alto Comisionado de las Naciones Unidas para los Derechos Humanos sobre las actividades de su oficina en Guatemala, 9 de febrero de 2018, para 33.</w:t>
      </w:r>
    </w:p>
  </w:footnote>
  <w:footnote w:id="7">
    <w:p w14:paraId="6069159F" w14:textId="2E9A2202"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w:t>
      </w:r>
      <w:r w:rsidRPr="001A7347">
        <w:rPr>
          <w:rFonts w:ascii="Times New Roman" w:hAnsi="Times New Roman" w:cs="Times New Roman"/>
          <w:color w:val="000000"/>
          <w:sz w:val="20"/>
          <w:szCs w:val="20"/>
          <w:lang w:val="es-ES_tradnl"/>
        </w:rPr>
        <w:t>CCPR/C/GTM/CO/4, Observaciones finales sobre el cuarto informe periódico de Guatemala, Comité de Derechos Humanos, 7 de mayo de 2018, para 38.</w:t>
      </w:r>
    </w:p>
  </w:footnote>
  <w:footnote w:id="8">
    <w:p w14:paraId="13623D9B" w14:textId="51563C11"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w:t>
      </w:r>
      <w:r w:rsidRPr="001A7347">
        <w:rPr>
          <w:rFonts w:ascii="Times New Roman" w:hAnsi="Times New Roman" w:cs="Times New Roman"/>
          <w:color w:val="000000"/>
          <w:sz w:val="20"/>
          <w:szCs w:val="20"/>
          <w:lang w:val="es-ES_tradnl"/>
        </w:rPr>
        <w:t>https://www.ohchr.org/EN/NewsEvents/Pages/DisplayNews.aspx?NewsID=23068&amp;LangID=E</w:t>
      </w:r>
    </w:p>
  </w:footnote>
  <w:footnote w:id="9">
    <w:p w14:paraId="05AAB39F" w14:textId="0341D9F0"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CERD/C/GTM/CO/16-17, Comité para la Eliminación de la Discriminación Racial, Observaciones finales sobre los informes periódicos 16ᵒ y 17ᵒ combinados de Guatemala, 27 de mayo de 20, para 19.</w:t>
      </w:r>
    </w:p>
  </w:footnote>
  <w:footnote w:id="10">
    <w:p w14:paraId="42E7BCED" w14:textId="753BD1D1"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Ibid.</w:t>
      </w:r>
    </w:p>
  </w:footnote>
  <w:footnote w:id="11">
    <w:p w14:paraId="2AC4AFA7" w14:textId="6013774E"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Ver Jordi Quiles Sendra (2019), ¡Defendemos la vida! Las luchas sociales en Alta Verapaz. Edita y distribuye: PBI Guatemala. En: https://www.business-humanrights.org/sites/default/files/documents/We%20defend%20Life_cL.pdf, p. 35 En el proyecto hidroeléctrico Oxec también participa el grupo español Cobra, el cual también está involucrado en la construcción de los proyectos Renace de la Corporación Multi Inversiones. Otra empresa involucrada en la construcción es la israelita Solel Boneh. Ver Luis Solano (2018) El proyecto hidroeléctrico Oxec y la presencia israelita en Guatemala: una historia política. El Observador. Informe Especial No. 14. Guatemala. En: http://www.albedrio.org/htm/otrosdocs/comunicados/ElObservador-InformeespecialNo.14-2018.pdf</w:t>
      </w:r>
    </w:p>
  </w:footnote>
  <w:footnote w:id="12">
    <w:p w14:paraId="37775CA6" w14:textId="088E7F72" w:rsidR="0013710F" w:rsidRPr="001A7347" w:rsidRDefault="0013710F" w:rsidP="001E6069">
      <w:pPr>
        <w:rPr>
          <w:sz w:val="20"/>
          <w:szCs w:val="20"/>
          <w:lang w:val="es-ES_tradnl"/>
        </w:rPr>
      </w:pPr>
      <w:r w:rsidRPr="001A7347">
        <w:rPr>
          <w:rStyle w:val="FootnoteReference"/>
          <w:sz w:val="20"/>
          <w:szCs w:val="20"/>
          <w:lang w:val="es-ES_tradnl"/>
        </w:rPr>
        <w:footnoteRef/>
      </w:r>
      <w:r w:rsidRPr="001A7347">
        <w:rPr>
          <w:sz w:val="20"/>
          <w:szCs w:val="20"/>
          <w:lang w:val="es-ES_tradnl"/>
        </w:rPr>
        <w:t xml:space="preserve"> “</w:t>
      </w:r>
      <w:r w:rsidRPr="001A7347">
        <w:rPr>
          <w:bCs/>
          <w:color w:val="000000"/>
          <w:sz w:val="20"/>
          <w:szCs w:val="20"/>
          <w:shd w:val="clear" w:color="auto" w:fill="FFFFFF"/>
          <w:lang w:val="es-ES_tradnl"/>
        </w:rPr>
        <w:t>End of mission statement by the United Nations Special Rapporteur on the rights of indigenous peoples, Victoria Tauli-Corpuz on her visit to Guatemala”</w:t>
      </w:r>
    </w:p>
    <w:p w14:paraId="7B123F44" w14:textId="668EA264" w:rsidR="0013710F" w:rsidRPr="001A7347" w:rsidRDefault="0013710F" w:rsidP="001E6069">
      <w:pPr>
        <w:pStyle w:val="FootnoteText"/>
        <w:jc w:val="both"/>
        <w:rPr>
          <w:rFonts w:ascii="Times New Roman" w:hAnsi="Times New Roman" w:cs="Times New Roman"/>
          <w:sz w:val="20"/>
          <w:szCs w:val="20"/>
          <w:lang w:val="es-ES_tradnl"/>
        </w:rPr>
      </w:pPr>
      <w:r w:rsidRPr="001A7347">
        <w:rPr>
          <w:rFonts w:ascii="Times New Roman" w:hAnsi="Times New Roman" w:cs="Times New Roman"/>
          <w:color w:val="000000"/>
          <w:sz w:val="20"/>
          <w:szCs w:val="20"/>
          <w:lang w:val="es-ES_tradnl"/>
        </w:rPr>
        <w:t xml:space="preserve"> https://www.ohchr.org/EN/NewsEvents/Pages/DisplayNews.aspx?NewsID=23068&amp;LangID=E</w:t>
      </w:r>
    </w:p>
  </w:footnote>
  <w:footnote w:id="13">
    <w:p w14:paraId="274F99A2" w14:textId="35233A65"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w:t>
      </w:r>
      <w:r w:rsidRPr="001A7347">
        <w:rPr>
          <w:rFonts w:ascii="Times New Roman" w:hAnsi="Times New Roman" w:cs="Times New Roman"/>
          <w:color w:val="000000"/>
          <w:sz w:val="20"/>
          <w:szCs w:val="20"/>
          <w:lang w:val="es-ES_tradnl"/>
        </w:rPr>
        <w:t>CCPR/C/GTM/CO/4, Observaciones finales sobre el cuarto informe periódico de Guatemala, Comité de Derechos Humanos, 7 de mayo de 2018, para 38.</w:t>
      </w:r>
    </w:p>
  </w:footnote>
  <w:footnote w:id="14">
    <w:p w14:paraId="5947E669" w14:textId="366FD198"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La cuenca del Río Cahabón abarca 14 municipios y 3 departamentos, y un área total de 245,900 ha. Nace en la Sierra de las Minas, en la finca Patal del municipio de Purulhá, Baja Verapaz, y recorre por los municipios de Tactic, Santa Cruz Verapaz, Cobán, San Pedró Carchá, Lanquín, Cahabón, Panzós y desemboca en aguas del Río Polochic que van hacia el Lago de Izabal. Algunos de sus afluentes en el municipio de Santa María Cahabón son lor ríos Oxec, Chatelá, Actealá, Chicacjá y en total casi 50 ríos y cientos de pequeños arroyos y nacimientos de agua alimentan su caudal. Ver Simona V. Yagenova (2018) Liberemos nuestros ríos, La resistencia de las comunidades qeqchíes de Santa María Cahabón a los proyectos hidroeléctricos Oxec y Oxec II. Colectivo MadreSelva. Guatemala. En: http://www.albedrio.org/htm/documentos/MadreSelva-Liberemosnuestrosrios.pdf, p. 5</w:t>
      </w:r>
    </w:p>
  </w:footnote>
  <w:footnote w:id="15">
    <w:p w14:paraId="40B09141" w14:textId="38100A1B"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En febrero del 2020, el Punto Nacional de Contacto (PNC) –organismo responsable de favorecer el cumplimiento de los derechos humanos por parte de las multinacionales–, que pertenece al Ministerio de Industria español, ha reconocido en un informe que el Grupo Cobra, contratista del proyecto RENACE, no actuó de forma adecuada, particularmente respecto del derecho a la consulta previa, libre e informada a las comunidades indígenas. Ver infoLibre (2020) Un informe de Industria reconoce la vulneración de los derechos de los pueblos indígenas en Guatemala por parte de una filial de Florentino Pérez. En: https://www.infolibre.es/noticias/politica/2020/02/04/el_ministerio_industria_reconoce_vulneracion_derechos_humanos_por_parte_una_filial_florentino_perez_guatemala_103586_1012.html</w:t>
      </w:r>
    </w:p>
  </w:footnote>
  <w:footnote w:id="16">
    <w:p w14:paraId="6499DDCC" w14:textId="27DD7FDA" w:rsidR="0013710F" w:rsidRPr="001A7347" w:rsidRDefault="0013710F" w:rsidP="004164F5">
      <w:pPr>
        <w:contextualSpacing/>
        <w:jc w:val="both"/>
        <w:rPr>
          <w:sz w:val="20"/>
          <w:szCs w:val="20"/>
          <w:lang w:val="es-ES_tradnl"/>
        </w:rPr>
      </w:pPr>
      <w:r w:rsidRPr="001A7347">
        <w:rPr>
          <w:rStyle w:val="FootnoteReference"/>
          <w:sz w:val="20"/>
          <w:szCs w:val="20"/>
          <w:lang w:val="es-ES_tradnl"/>
        </w:rPr>
        <w:footnoteRef/>
      </w:r>
      <w:r w:rsidRPr="001A7347">
        <w:rPr>
          <w:sz w:val="20"/>
          <w:szCs w:val="20"/>
          <w:lang w:val="es-ES_tradnl"/>
        </w:rPr>
        <w:t xml:space="preserve"> Ver Patricia Macías (2018) Voces de Cahabón en defensa de sus ríos. Entremundos. En: https://www.entremundos.org/revista/wp-content/cache/all/revista/medio-ambiente/voces-de-cahabon-en-defensa-de-sus-rios/index.html</w:t>
      </w:r>
    </w:p>
  </w:footnote>
  <w:footnote w:id="17">
    <w:p w14:paraId="7CCB5024" w14:textId="4209A105"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w:t>
      </w:r>
      <w:r w:rsidRPr="001A7347">
        <w:rPr>
          <w:rFonts w:ascii="Times New Roman" w:eastAsia="Arial" w:hAnsi="Times New Roman" w:cs="Times New Roman"/>
          <w:sz w:val="20"/>
          <w:szCs w:val="20"/>
          <w:lang w:val="es-ES_tradnl"/>
        </w:rPr>
        <w:t>Ver Rony Morales (2019)</w:t>
      </w:r>
      <w:r w:rsidRPr="001A7347">
        <w:rPr>
          <w:rFonts w:ascii="Times New Roman" w:eastAsia="Arial" w:hAnsi="Times New Roman" w:cs="Times New Roman"/>
          <w:i/>
          <w:sz w:val="20"/>
          <w:szCs w:val="20"/>
          <w:lang w:val="es-ES_tradnl"/>
        </w:rPr>
        <w:t xml:space="preserve"> Vecinos de Cahabón rechazan construcción de la hidroeléctrica Oxec 3</w:t>
      </w:r>
      <w:r w:rsidRPr="001A7347">
        <w:rPr>
          <w:rFonts w:ascii="Times New Roman" w:eastAsia="Arial" w:hAnsi="Times New Roman" w:cs="Times New Roman"/>
          <w:sz w:val="20"/>
          <w:szCs w:val="20"/>
          <w:lang w:val="es-ES_tradnl"/>
        </w:rPr>
        <w:t>. Prensa Comunitaria. En:</w:t>
      </w:r>
      <w:hyperlink r:id="rId1">
        <w:r w:rsidRPr="001A7347">
          <w:rPr>
            <w:rStyle w:val="Internetverknpfung"/>
            <w:rFonts w:ascii="Times New Roman" w:eastAsia="Arial" w:hAnsi="Times New Roman" w:cs="Times New Roman"/>
            <w:color w:val="0563C1"/>
            <w:sz w:val="20"/>
            <w:szCs w:val="20"/>
            <w:lang w:val="es-ES_tradnl"/>
          </w:rPr>
          <w:t xml:space="preserve"> </w:t>
        </w:r>
      </w:hyperlink>
      <w:hyperlink r:id="rId2">
        <w:r w:rsidRPr="001A7347">
          <w:rPr>
            <w:rStyle w:val="Internetverknpfung"/>
            <w:rFonts w:ascii="Times New Roman" w:eastAsia="Arial" w:hAnsi="Times New Roman" w:cs="Times New Roman"/>
            <w:color w:val="1155CC"/>
            <w:sz w:val="20"/>
            <w:szCs w:val="20"/>
            <w:lang w:val="es-ES_tradnl"/>
          </w:rPr>
          <w:t>https://www.prensacomunitaria.org/vecinos-de-cahabon-rechazan-construccion-de-la-hidroelectrica-oxec-3/</w:t>
        </w:r>
      </w:hyperlink>
      <w:r w:rsidRPr="001A7347">
        <w:rPr>
          <w:rFonts w:ascii="Times New Roman" w:hAnsi="Times New Roman" w:cs="Times New Roman"/>
          <w:sz w:val="20"/>
          <w:szCs w:val="20"/>
          <w:lang w:val="es-ES_tradnl"/>
        </w:rPr>
        <w:t xml:space="preserve"> </w:t>
      </w:r>
      <w:r w:rsidRPr="001A7347">
        <w:rPr>
          <w:rFonts w:ascii="Times New Roman" w:eastAsia="Arial" w:hAnsi="Times New Roman" w:cs="Times New Roman"/>
          <w:sz w:val="20"/>
          <w:szCs w:val="20"/>
          <w:lang w:val="es-ES_tradnl"/>
        </w:rPr>
        <w:t xml:space="preserve">  </w:t>
      </w:r>
    </w:p>
  </w:footnote>
  <w:footnote w:id="18">
    <w:p w14:paraId="73A79269" w14:textId="7F2E0C4F"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Ver Jordi Quiles Sendra (2019), ¡Defendemos la vida! Las luchas sociales en Alta Verapaz. Edita y distribuye: PBI Guatemala. En: https://www.business-humanrights.org/sites/default/files/documents/We%20defend%20Life_cL.pdf, p.36</w:t>
      </w:r>
    </w:p>
  </w:footnote>
  <w:footnote w:id="19">
    <w:p w14:paraId="657B5487" w14:textId="77777777"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Ver “Lanzamiento Ventana de los mil días”,</w:t>
      </w:r>
    </w:p>
    <w:p w14:paraId="477887D0" w14:textId="4766B548" w:rsidR="0013710F" w:rsidRPr="001A7347" w:rsidRDefault="0013710F" w:rsidP="004164F5">
      <w:pPr>
        <w:pStyle w:val="FootnoteText"/>
        <w:jc w:val="both"/>
        <w:rPr>
          <w:rFonts w:ascii="Times New Roman" w:hAnsi="Times New Roman" w:cs="Times New Roman"/>
          <w:sz w:val="20"/>
          <w:szCs w:val="20"/>
          <w:lang w:val="es-ES_tradnl"/>
        </w:rPr>
      </w:pPr>
      <w:r w:rsidRPr="001A7347">
        <w:rPr>
          <w:rFonts w:ascii="Times New Roman" w:hAnsi="Times New Roman" w:cs="Times New Roman"/>
          <w:sz w:val="20"/>
          <w:szCs w:val="20"/>
          <w:lang w:val="es-ES_tradnl"/>
        </w:rPr>
        <w:t xml:space="preserve"> </w:t>
      </w:r>
      <w:hyperlink r:id="rId3" w:history="1">
        <w:r w:rsidRPr="001A7347">
          <w:rPr>
            <w:rFonts w:ascii="Times New Roman" w:hAnsi="Times New Roman" w:cs="Times New Roman"/>
            <w:sz w:val="20"/>
            <w:szCs w:val="20"/>
            <w:u w:val="single"/>
            <w:lang w:val="es-ES_tradnl"/>
          </w:rPr>
          <w:t>https://www.paho.org/gut/index.php?option=com_content&amp;view=article&amp;id=632:lanzamiento-ventana-de-mil-dias&amp;Itemid=405</w:t>
        </w:r>
      </w:hyperlink>
    </w:p>
  </w:footnote>
  <w:footnote w:id="20">
    <w:p w14:paraId="0DA2DCF2" w14:textId="4D2F4C23"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Ver “Informe señala escasos avances en la Ventana de los Mil Días y la atención primaria en salud”, </w:t>
      </w:r>
      <w:hyperlink r:id="rId4" w:history="1">
        <w:r w:rsidRPr="001A7347">
          <w:rPr>
            <w:rFonts w:ascii="Times New Roman" w:hAnsi="Times New Roman" w:cs="Times New Roman"/>
            <w:sz w:val="20"/>
            <w:szCs w:val="20"/>
            <w:u w:val="single"/>
            <w:lang w:val="es-ES_tradnl"/>
          </w:rPr>
          <w:t>https://www.sica.int/consulta/Noticia.aspx?Idn=118059&amp;idm=1</w:t>
        </w:r>
      </w:hyperlink>
    </w:p>
  </w:footnote>
  <w:footnote w:id="21">
    <w:p w14:paraId="494A7BEC" w14:textId="58DF4234" w:rsidR="0013710F" w:rsidRPr="001A7347" w:rsidRDefault="0013710F" w:rsidP="00613382">
      <w:pPr>
        <w:rPr>
          <w:rFonts w:ascii="Times" w:hAnsi="Times"/>
          <w:sz w:val="20"/>
          <w:szCs w:val="20"/>
          <w:lang w:val="es-ES_tradnl" w:eastAsia="es-ES"/>
        </w:rPr>
      </w:pPr>
      <w:r w:rsidRPr="001A7347">
        <w:rPr>
          <w:rStyle w:val="FootnoteReference"/>
          <w:sz w:val="20"/>
          <w:szCs w:val="20"/>
          <w:lang w:val="es-ES_tradnl"/>
        </w:rPr>
        <w:footnoteRef/>
      </w:r>
      <w:r w:rsidRPr="001A7347">
        <w:rPr>
          <w:sz w:val="20"/>
          <w:szCs w:val="20"/>
          <w:lang w:val="es-ES_tradnl"/>
        </w:rPr>
        <w:t xml:space="preserve"> </w:t>
      </w:r>
      <w:r w:rsidRPr="001A7347">
        <w:rPr>
          <w:rFonts w:ascii="Times" w:hAnsi="Times"/>
          <w:sz w:val="20"/>
          <w:szCs w:val="20"/>
          <w:lang w:val="es-ES_tradnl" w:eastAsia="es-ES"/>
        </w:rPr>
        <w:t>Declaración de las Naciones Unidas sobre los Derechos de los Campesinos y de Otras Personas que Trabajan en las Zonas Rurales,</w:t>
      </w:r>
      <w:r w:rsidRPr="001A7347">
        <w:rPr>
          <w:sz w:val="20"/>
          <w:szCs w:val="20"/>
          <w:lang w:val="es-ES_tradnl"/>
        </w:rPr>
        <w:t xml:space="preserve"> 28 septiembre 2018, A/HRC/RES/39/12, Art. 15.4</w:t>
      </w:r>
    </w:p>
  </w:footnote>
  <w:footnote w:id="22">
    <w:p w14:paraId="28235FDC" w14:textId="25A20ED4" w:rsidR="0013710F" w:rsidRPr="001A7347" w:rsidRDefault="0013710F" w:rsidP="004164F5">
      <w:pPr>
        <w:jc w:val="both"/>
        <w:rPr>
          <w:sz w:val="20"/>
          <w:szCs w:val="20"/>
          <w:lang w:val="es-ES_tradnl"/>
        </w:rPr>
      </w:pPr>
      <w:r w:rsidRPr="001A7347">
        <w:rPr>
          <w:rStyle w:val="FootnoteReference"/>
          <w:sz w:val="20"/>
          <w:szCs w:val="20"/>
          <w:lang w:val="es-ES_tradnl"/>
        </w:rPr>
        <w:footnoteRef/>
      </w:r>
      <w:r w:rsidRPr="001A7347">
        <w:rPr>
          <w:sz w:val="20"/>
          <w:szCs w:val="20"/>
          <w:lang w:val="es-ES_tradnl"/>
        </w:rPr>
        <w:t xml:space="preserve"> El Fondo de Tierras de acuerdo al Decreto Ley 24-99 del Congreso de la República es una institución descentralizada del Estado, y se desarrolla con base a la Agenda Estratégica 2012-2025 que se fundamenta en cuatro ejes: 1. Acceso a la tierra para el desarrollo integral y sostenible. 2. Regularización de procesos de adjudicación de tierras del Estado. 3. Desarrollo de Comunidades Agrarias Sostenible y 4. Fortalecimiento institucional para responder a las aspiraciones sociales y mandatos legales; apoyados por ejes transversales que fortalecen sus acciones</w:t>
      </w:r>
    </w:p>
  </w:footnote>
  <w:footnote w:id="23">
    <w:p w14:paraId="4A93B341" w14:textId="0F34E21C"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Ver “</w:t>
      </w:r>
      <w:r w:rsidRPr="001A7347">
        <w:rPr>
          <w:rFonts w:ascii="Times New Roman" w:eastAsia="Times New Roman" w:hAnsi="Times New Roman" w:cs="Times New Roman"/>
          <w:sz w:val="20"/>
          <w:szCs w:val="20"/>
          <w:lang w:val="es-ES_tradnl"/>
        </w:rPr>
        <w:t>Luego de Sepaz, Copredeh y SAA, Ejecutivo anuncia cierre de la Sosep”</w:t>
      </w:r>
      <w:r w:rsidRPr="001A7347">
        <w:rPr>
          <w:rFonts w:ascii="Times New Roman" w:hAnsi="Times New Roman" w:cs="Times New Roman"/>
          <w:sz w:val="20"/>
          <w:szCs w:val="20"/>
          <w:lang w:val="es-ES_tradnl"/>
        </w:rPr>
        <w:t xml:space="preserve"> </w:t>
      </w:r>
      <w:hyperlink r:id="rId5">
        <w:r w:rsidRPr="001A7347">
          <w:rPr>
            <w:rStyle w:val="Internetverknpfung"/>
            <w:rFonts w:ascii="Times New Roman" w:hAnsi="Times New Roman" w:cs="Times New Roman"/>
            <w:sz w:val="20"/>
            <w:szCs w:val="20"/>
            <w:lang w:val="es-ES_tradnl"/>
          </w:rPr>
          <w:t>https://republica.gt/2020/07/31/luego-de-sepaz-copredeh-y-saa-ejecutivo-anuncia-cierre-de-la-sosep/</w:t>
        </w:r>
      </w:hyperlink>
    </w:p>
  </w:footnote>
  <w:footnote w:id="24">
    <w:p w14:paraId="224ACA0A" w14:textId="5E2485F6"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https://www.prensalibre.com/guatemala/politica/giammattei-cierra-tres-entidades-y-crea-una-nueva-comision-para-la-paz-y-los-derechos-humanos-breaking/</w:t>
      </w:r>
    </w:p>
  </w:footnote>
  <w:footnote w:id="25">
    <w:p w14:paraId="11411F81" w14:textId="1E4E6F1B"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w:t>
      </w:r>
      <w:hyperlink r:id="rId6">
        <w:r w:rsidRPr="001A7347">
          <w:rPr>
            <w:rFonts w:ascii="Times New Roman" w:eastAsia="Arial" w:hAnsi="Times New Roman" w:cs="Times New Roman"/>
            <w:color w:val="0563C1"/>
            <w:sz w:val="20"/>
            <w:szCs w:val="20"/>
            <w:u w:val="single"/>
            <w:lang w:val="es-ES_tradnl"/>
          </w:rPr>
          <w:t>https://www.prensalibre.com/ciudades/totonicapan/con-bloqueos-de-carreteras-en-totonicapan-pobladores-piden-que-se-quite-el-toque-de-queda/</w:t>
        </w:r>
      </w:hyperlink>
    </w:p>
  </w:footnote>
  <w:footnote w:id="26">
    <w:p w14:paraId="75EB6E6D" w14:textId="77777777" w:rsidR="0013710F" w:rsidRPr="001A7347" w:rsidRDefault="0013710F" w:rsidP="004164F5">
      <w:pPr>
        <w:jc w:val="both"/>
        <w:rPr>
          <w:sz w:val="20"/>
          <w:szCs w:val="20"/>
          <w:lang w:val="es-ES_tradnl"/>
        </w:rPr>
      </w:pPr>
      <w:r w:rsidRPr="001A7347">
        <w:rPr>
          <w:rStyle w:val="FootnoteReference"/>
          <w:sz w:val="20"/>
          <w:szCs w:val="20"/>
          <w:lang w:val="es-ES_tradnl"/>
        </w:rPr>
        <w:footnoteRef/>
      </w:r>
      <w:r w:rsidRPr="001A7347">
        <w:rPr>
          <w:sz w:val="20"/>
          <w:szCs w:val="20"/>
          <w:lang w:val="es-ES_tradnl"/>
        </w:rPr>
        <w:t xml:space="preserve"> El Decreto 4-2020 hubiera introducido reformas a la Ley de Organizaciones No Gubernamentales para el Desarrollo, conocida popularmente como Ley de ONGs, y al Código Civil. Hubiera aumentado de manera drástica el control gubernamental sobre las ONG que operan en el país. Tres Relatores Especiales de la OACNUDH se</w:t>
      </w:r>
      <w:hyperlink r:id="rId7">
        <w:r w:rsidRPr="001A7347">
          <w:rPr>
            <w:rStyle w:val="Internetverknpfung"/>
            <w:sz w:val="20"/>
            <w:szCs w:val="20"/>
            <w:lang w:val="es-ES_tradnl"/>
          </w:rPr>
          <w:t xml:space="preserve"> </w:t>
        </w:r>
      </w:hyperlink>
      <w:hyperlink r:id="rId8">
        <w:r w:rsidRPr="001A7347">
          <w:rPr>
            <w:rStyle w:val="Internetverknpfung"/>
            <w:color w:val="0000FF"/>
            <w:sz w:val="20"/>
            <w:szCs w:val="20"/>
            <w:lang w:val="es-ES_tradnl"/>
          </w:rPr>
          <w:t>pronunciaron en marzo de 2020</w:t>
        </w:r>
      </w:hyperlink>
      <w:r w:rsidRPr="001A7347">
        <w:rPr>
          <w:sz w:val="20"/>
          <w:szCs w:val="20"/>
          <w:lang w:val="es-ES_tradnl"/>
        </w:rPr>
        <w:t xml:space="preserve"> para denunciar las incongruencias de la ley con respecto a los estándares internacionales de derechos humanos. En particular señalan el impacto que tendría la ley en los derechos a la libertad de reunión pacífica, asociación y expresión, así como a la criminalización de personas defensoras de derechos humanos. </w:t>
      </w:r>
    </w:p>
    <w:p w14:paraId="2746859C" w14:textId="1F1EA7CD" w:rsidR="0013710F" w:rsidRPr="001A7347" w:rsidRDefault="0013710F" w:rsidP="004164F5">
      <w:pPr>
        <w:pStyle w:val="FootnoteText"/>
        <w:jc w:val="both"/>
        <w:rPr>
          <w:rFonts w:ascii="Times New Roman" w:hAnsi="Times New Roman" w:cs="Times New Roman"/>
          <w:sz w:val="20"/>
          <w:szCs w:val="20"/>
          <w:lang w:val="es-ES_tradnl"/>
        </w:rPr>
      </w:pPr>
      <w:r w:rsidRPr="001A7347">
        <w:rPr>
          <w:rFonts w:ascii="Times New Roman" w:hAnsi="Times New Roman" w:cs="Times New Roman"/>
          <w:sz w:val="20"/>
          <w:szCs w:val="20"/>
          <w:lang w:val="es-ES_tradnl"/>
        </w:rPr>
        <w:t>Ver también</w:t>
      </w:r>
      <w:hyperlink r:id="rId9">
        <w:r w:rsidRPr="001A7347">
          <w:rPr>
            <w:rStyle w:val="Internetverknpfung"/>
            <w:rFonts w:ascii="Times New Roman" w:hAnsi="Times New Roman" w:cs="Times New Roman"/>
            <w:sz w:val="20"/>
            <w:szCs w:val="20"/>
            <w:lang w:val="es-ES_tradnl"/>
          </w:rPr>
          <w:t xml:space="preserve"> </w:t>
        </w:r>
      </w:hyperlink>
      <w:hyperlink r:id="rId10">
        <w:r w:rsidRPr="001A7347">
          <w:rPr>
            <w:rStyle w:val="Internetverknpfung"/>
            <w:rFonts w:ascii="Times New Roman" w:hAnsi="Times New Roman" w:cs="Times New Roman"/>
            <w:color w:val="0000FF"/>
            <w:sz w:val="20"/>
            <w:szCs w:val="20"/>
            <w:lang w:val="es-ES_tradnl"/>
          </w:rPr>
          <w:t>la comunicación OL GTM 2/2020</w:t>
        </w:r>
      </w:hyperlink>
      <w:r w:rsidRPr="001A7347">
        <w:rPr>
          <w:rFonts w:ascii="Times New Roman" w:hAnsi="Times New Roman" w:cs="Times New Roman"/>
          <w:sz w:val="20"/>
          <w:szCs w:val="20"/>
          <w:lang w:val="es-ES_tradnl"/>
        </w:rPr>
        <w:t xml:space="preserve"> mandada por los tres Relatores Especiales sobre la iniciativa de ley al Estado guatemalteco en febrero de 2020, y Adeline Hite y Adriana Beltrán (2020) </w:t>
      </w:r>
      <w:r w:rsidRPr="001A7347">
        <w:rPr>
          <w:rFonts w:ascii="Times New Roman" w:hAnsi="Times New Roman" w:cs="Times New Roman"/>
          <w:i/>
          <w:sz w:val="20"/>
          <w:szCs w:val="20"/>
          <w:lang w:val="es-ES_tradnl"/>
        </w:rPr>
        <w:t>PREGUNTAS Y RESPUESTAS: La nueva ley de ONG de Guatemala</w:t>
      </w:r>
      <w:r w:rsidRPr="001A7347">
        <w:rPr>
          <w:rFonts w:ascii="Times New Roman" w:hAnsi="Times New Roman" w:cs="Times New Roman"/>
          <w:sz w:val="20"/>
          <w:szCs w:val="20"/>
          <w:lang w:val="es-ES_tradnl"/>
        </w:rPr>
        <w:t>. Washington Office on Latin America. En: https://www.wola.org/es/analisis/nueva-ley-ong-guatemala/</w:t>
      </w:r>
    </w:p>
  </w:footnote>
  <w:footnote w:id="27">
    <w:p w14:paraId="6AA95573" w14:textId="3C97EFB7"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Comisión Internacional contra la Impunidad en Guatemala (CICIG), Una mirada a la justicia y el Estado en Guatemala, 2018.</w:t>
      </w:r>
    </w:p>
  </w:footnote>
  <w:footnote w:id="28">
    <w:p w14:paraId="7D618DFE" w14:textId="1096596A"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Ver el informe de PBI Guatemala: Jordi Quiles Sendra (2019), ¡Defendemos la vida! Las luchas sociales en Alta Verapaz. Edita y distribuye: PBI Guatemala. En:</w:t>
      </w:r>
      <w:hyperlink r:id="rId11">
        <w:r w:rsidRPr="001A7347">
          <w:rPr>
            <w:rStyle w:val="Internetverknpfung"/>
            <w:rFonts w:ascii="Times New Roman" w:hAnsi="Times New Roman" w:cs="Times New Roman"/>
            <w:sz w:val="20"/>
            <w:szCs w:val="20"/>
            <w:lang w:val="es-ES_tradnl"/>
          </w:rPr>
          <w:t xml:space="preserve"> https://pbi-guatemala.org/sites/pbi-guatemala.org/files/Defendemos%20la%20vida_cL.pdf</w:t>
        </w:r>
      </w:hyperlink>
    </w:p>
  </w:footnote>
  <w:footnote w:id="29">
    <w:p w14:paraId="19349B01" w14:textId="4CF8BDD6"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UDEFEGUA: Denuncia 02-2020; Comunicado público de la Asociación de Finqueros de Alta Verapaz llamando al Gobierno y al Ejército a declarar un Estado de Sitio para efectuar inmediatamente más desalojos en Facebook, 16 de abril 2020.</w:t>
      </w:r>
    </w:p>
  </w:footnote>
  <w:footnote w:id="30">
    <w:p w14:paraId="535B4B17" w14:textId="121C94EB"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Ver Jordi Quiles Sendra (2019), ¡Defendemos la vida! Las luchas sociales en Alta Verapaz. Edita y distribuye: PBI Guatemala. En: https://pbi-guatemala.org/sites/pbi-guatemala.org/files/Defendemos%20la%20vida_cL.pdf, págs. 34 a 42. veáse para entrevistas con Bernardo Caal: PBI Guatemala (2019 y 2020), Bernardo Caal en sus palabras. En: https://pbi-guatemala.org/es/qui%C3%A9n-acompa%C3%B1amos/resistencia-pacifica-de-cahab%C3%B3n/bernardo-caal-en-sus-palabras.</w:t>
      </w:r>
    </w:p>
  </w:footnote>
  <w:footnote w:id="31">
    <w:p w14:paraId="337C3728" w14:textId="75BD13B6" w:rsidR="0013710F" w:rsidRPr="001A7347" w:rsidRDefault="0013710F" w:rsidP="00031046">
      <w:pPr>
        <w:rPr>
          <w:sz w:val="20"/>
          <w:szCs w:val="20"/>
          <w:lang w:val="es-ES_tradnl" w:eastAsia="es-ES"/>
        </w:rPr>
      </w:pPr>
      <w:r w:rsidRPr="001A7347">
        <w:rPr>
          <w:rStyle w:val="FootnoteReference"/>
          <w:sz w:val="20"/>
          <w:szCs w:val="20"/>
          <w:lang w:val="es-ES_tradnl"/>
        </w:rPr>
        <w:footnoteRef/>
      </w:r>
      <w:r w:rsidRPr="001A7347">
        <w:rPr>
          <w:sz w:val="20"/>
          <w:szCs w:val="20"/>
          <w:lang w:val="es-ES_tradnl"/>
        </w:rPr>
        <w:t xml:space="preserve"> Comunicación </w:t>
      </w:r>
      <w:r w:rsidRPr="001A7347">
        <w:rPr>
          <w:sz w:val="20"/>
          <w:szCs w:val="20"/>
          <w:lang w:val="es-ES_tradnl" w:eastAsia="es-ES"/>
        </w:rPr>
        <w:t xml:space="preserve">UA GTM 16/2018, 17 de diciembre de 2018; </w:t>
      </w:r>
      <w:hyperlink r:id="rId12" w:history="1">
        <w:r w:rsidRPr="001A7347">
          <w:rPr>
            <w:color w:val="0000FF"/>
            <w:sz w:val="20"/>
            <w:szCs w:val="20"/>
            <w:u w:val="single"/>
            <w:lang w:val="es-ES_tradnl" w:eastAsia="es-ES"/>
          </w:rPr>
          <w:t>https://spcommreports.ohchr.org/TMResultsBase/DownLoadPublicCommunicationFile?gId=24251</w:t>
        </w:r>
      </w:hyperlink>
    </w:p>
  </w:footnote>
  <w:footnote w:id="32">
    <w:p w14:paraId="7DF29910" w14:textId="232870A7" w:rsidR="0013710F" w:rsidRPr="001A7347"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https://m.facebook.com/story.php?story_fbid=2373565116280840&amp;id=153273092008845&amp;funlid=rpA1NFYetJX3az98</w:t>
      </w:r>
    </w:p>
  </w:footnote>
  <w:footnote w:id="33">
    <w:p w14:paraId="12DDD54D" w14:textId="58EFFB9D" w:rsidR="0013710F" w:rsidRPr="00A8634C" w:rsidRDefault="0013710F" w:rsidP="004164F5">
      <w:pPr>
        <w:pStyle w:val="FootnoteText"/>
        <w:jc w:val="both"/>
        <w:rPr>
          <w:rFonts w:ascii="Times New Roman" w:hAnsi="Times New Roman" w:cs="Times New Roman"/>
          <w:sz w:val="20"/>
          <w:szCs w:val="20"/>
          <w:lang w:val="es-ES_tradnl"/>
        </w:rPr>
      </w:pPr>
      <w:r w:rsidRPr="001A7347">
        <w:rPr>
          <w:rStyle w:val="FootnoteReference"/>
          <w:rFonts w:ascii="Times New Roman" w:hAnsi="Times New Roman" w:cs="Times New Roman"/>
          <w:sz w:val="20"/>
          <w:szCs w:val="20"/>
          <w:lang w:val="es-ES_tradnl"/>
        </w:rPr>
        <w:footnoteRef/>
      </w:r>
      <w:r w:rsidRPr="001A7347">
        <w:rPr>
          <w:rFonts w:ascii="Times New Roman" w:hAnsi="Times New Roman" w:cs="Times New Roman"/>
          <w:sz w:val="20"/>
          <w:szCs w:val="20"/>
          <w:lang w:val="es-ES_tradnl"/>
        </w:rPr>
        <w:t xml:space="preserve"> Tal es el caso de la Asociación de Servicios Comunitarios de Salud (ASECSA), la Asociación para la Promoción de la Salud y el Desarrollo Socio Económico (APROSADSE), el Movimiento Nacional de Abuelas Comadronas (NIM ALAXIK MAYAB'), la Asociación de Terapeutas Holísticos de Guatemala (ATHG) entre otros muchos más.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558FB" w14:textId="77777777" w:rsidR="0013710F" w:rsidRDefault="0013710F">
    <w:pPr>
      <w:pStyle w:val="Header"/>
    </w:pPr>
  </w:p>
  <w:p w14:paraId="2E523CE2" w14:textId="77777777" w:rsidR="0013710F" w:rsidRDefault="0013710F">
    <w:pPr>
      <w:pStyle w:val="Header"/>
    </w:pPr>
  </w:p>
  <w:p w14:paraId="23F68823" w14:textId="77777777" w:rsidR="0013710F" w:rsidRDefault="001371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35667" w14:textId="77777777" w:rsidR="0013710F" w:rsidRDefault="0013710F">
    <w:pPr>
      <w:pStyle w:val="Header"/>
    </w:pPr>
  </w:p>
  <w:p w14:paraId="1E7A7E53" w14:textId="77777777" w:rsidR="0013710F" w:rsidRDefault="0013710F">
    <w:pPr>
      <w:pStyle w:val="Heade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5"/>
      <w:gridCol w:w="2871"/>
      <w:gridCol w:w="3736"/>
    </w:tblGrid>
    <w:tr w:rsidR="0013710F" w14:paraId="475525B5" w14:textId="77777777" w:rsidTr="00FB052D">
      <w:trPr>
        <w:jc w:val="center"/>
      </w:trPr>
      <w:tc>
        <w:tcPr>
          <w:tcW w:w="3070" w:type="dxa"/>
          <w:vAlign w:val="center"/>
        </w:tcPr>
        <w:p w14:paraId="4EFC4481" w14:textId="77777777" w:rsidR="0013710F" w:rsidRDefault="0013710F" w:rsidP="00D6319E">
          <w:pPr>
            <w:pStyle w:val="Header"/>
            <w:jc w:val="center"/>
          </w:pPr>
          <w:r>
            <w:rPr>
              <w:noProof/>
              <w:lang w:val="en-GB" w:eastAsia="en-GB"/>
            </w:rPr>
            <w:drawing>
              <wp:inline distT="0" distB="0" distL="0" distR="0" wp14:anchorId="28945C95" wp14:editId="7DC49C2E">
                <wp:extent cx="1373179" cy="573111"/>
                <wp:effectExtent l="0" t="0" r="0" b="11430"/>
                <wp:docPr id="4" name="Imagen 4" descr="Macintosh HD:Users:leoqsoul:Downloads:Logo_noirblanc_es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qsoul:Downloads:Logo_noirblanc_esp.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4207" cy="573540"/>
                        </a:xfrm>
                        <a:prstGeom prst="rect">
                          <a:avLst/>
                        </a:prstGeom>
                        <a:noFill/>
                        <a:ln>
                          <a:noFill/>
                        </a:ln>
                      </pic:spPr>
                    </pic:pic>
                  </a:graphicData>
                </a:graphic>
              </wp:inline>
            </w:drawing>
          </w:r>
        </w:p>
      </w:tc>
      <w:tc>
        <w:tcPr>
          <w:tcW w:w="3071" w:type="dxa"/>
          <w:vAlign w:val="center"/>
        </w:tcPr>
        <w:p w14:paraId="3EDCE9E5" w14:textId="77777777" w:rsidR="0013710F" w:rsidRDefault="0013710F" w:rsidP="00D6319E">
          <w:pPr>
            <w:pStyle w:val="Header"/>
            <w:jc w:val="center"/>
          </w:pPr>
          <w:r>
            <w:rPr>
              <w:b/>
              <w:noProof/>
              <w:color w:val="000000"/>
              <w:sz w:val="32"/>
              <w:szCs w:val="32"/>
              <w:lang w:val="en-GB" w:eastAsia="en-GB"/>
            </w:rPr>
            <w:drawing>
              <wp:inline distT="0" distB="0" distL="0" distR="0" wp14:anchorId="37071CAA" wp14:editId="26E37AA7">
                <wp:extent cx="1668241" cy="848186"/>
                <wp:effectExtent l="0" t="0" r="0" b="0"/>
                <wp:docPr id="5" name="Imagen 5" descr="Macintosh HD:Users:leoqsoul:Downloads:Dominicans_logo_RGB_for digital purpo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eoqsoul:Downloads:Dominicans_logo_RGB_for digital purpose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8241" cy="848186"/>
                        </a:xfrm>
                        <a:prstGeom prst="rect">
                          <a:avLst/>
                        </a:prstGeom>
                        <a:noFill/>
                        <a:ln>
                          <a:noFill/>
                        </a:ln>
                      </pic:spPr>
                    </pic:pic>
                  </a:graphicData>
                </a:graphic>
              </wp:inline>
            </w:drawing>
          </w:r>
        </w:p>
      </w:tc>
      <w:tc>
        <w:tcPr>
          <w:tcW w:w="3071" w:type="dxa"/>
          <w:vAlign w:val="center"/>
        </w:tcPr>
        <w:p w14:paraId="3C05D8A6" w14:textId="77777777" w:rsidR="0013710F" w:rsidRDefault="0013710F" w:rsidP="00D6319E">
          <w:pPr>
            <w:pStyle w:val="Header"/>
            <w:jc w:val="center"/>
          </w:pPr>
          <w:r>
            <w:rPr>
              <w:noProof/>
              <w:lang w:val="en-GB" w:eastAsia="en-GB"/>
            </w:rPr>
            <w:drawing>
              <wp:inline distT="0" distB="0" distL="0" distR="0" wp14:anchorId="7FE52AC9" wp14:editId="15A76439">
                <wp:extent cx="2224866" cy="396623"/>
                <wp:effectExtent l="0" t="0" r="10795" b="1016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286420" cy="407596"/>
                        </a:xfrm>
                        <a:prstGeom prst="rect">
                          <a:avLst/>
                        </a:prstGeom>
                        <a:noFill/>
                        <a:ln>
                          <a:noFill/>
                        </a:ln>
                      </pic:spPr>
                    </pic:pic>
                  </a:graphicData>
                </a:graphic>
              </wp:inline>
            </w:drawing>
          </w:r>
        </w:p>
      </w:tc>
    </w:tr>
  </w:tbl>
  <w:p w14:paraId="6935C610" w14:textId="77777777" w:rsidR="0013710F" w:rsidRDefault="00137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676E8"/>
    <w:multiLevelType w:val="hybridMultilevel"/>
    <w:tmpl w:val="D48A51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C2142C"/>
    <w:multiLevelType w:val="hybridMultilevel"/>
    <w:tmpl w:val="41DE52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5610A1"/>
    <w:multiLevelType w:val="hybridMultilevel"/>
    <w:tmpl w:val="464434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325AA8"/>
    <w:multiLevelType w:val="hybridMultilevel"/>
    <w:tmpl w:val="5DB8F9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9701803"/>
    <w:multiLevelType w:val="multilevel"/>
    <w:tmpl w:val="D48A51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A6E1807"/>
    <w:multiLevelType w:val="hybridMultilevel"/>
    <w:tmpl w:val="DABACF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611256A"/>
    <w:multiLevelType w:val="hybridMultilevel"/>
    <w:tmpl w:val="3FE6A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250706B"/>
    <w:multiLevelType w:val="hybridMultilevel"/>
    <w:tmpl w:val="131EDF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4B17BE2"/>
    <w:multiLevelType w:val="hybridMultilevel"/>
    <w:tmpl w:val="B8506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4F40639"/>
    <w:multiLevelType w:val="multilevel"/>
    <w:tmpl w:val="D48A51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62E05B5"/>
    <w:multiLevelType w:val="multilevel"/>
    <w:tmpl w:val="41DE527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48C377D"/>
    <w:multiLevelType w:val="hybridMultilevel"/>
    <w:tmpl w:val="F4562A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8"/>
  </w:num>
  <w:num w:numId="4">
    <w:abstractNumId w:val="0"/>
  </w:num>
  <w:num w:numId="5">
    <w:abstractNumId w:val="9"/>
  </w:num>
  <w:num w:numId="6">
    <w:abstractNumId w:val="4"/>
  </w:num>
  <w:num w:numId="7">
    <w:abstractNumId w:val="11"/>
  </w:num>
  <w:num w:numId="8">
    <w:abstractNumId w:val="3"/>
  </w:num>
  <w:num w:numId="9">
    <w:abstractNumId w:val="5"/>
  </w:num>
  <w:num w:numId="10">
    <w:abstractNumId w:val="1"/>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9B1"/>
    <w:rsid w:val="00031046"/>
    <w:rsid w:val="000A348B"/>
    <w:rsid w:val="000B7074"/>
    <w:rsid w:val="000E2F32"/>
    <w:rsid w:val="00111698"/>
    <w:rsid w:val="0013518C"/>
    <w:rsid w:val="0013710F"/>
    <w:rsid w:val="00140284"/>
    <w:rsid w:val="0019515C"/>
    <w:rsid w:val="001A7347"/>
    <w:rsid w:val="001C2A33"/>
    <w:rsid w:val="001E58EB"/>
    <w:rsid w:val="001E6069"/>
    <w:rsid w:val="002700A6"/>
    <w:rsid w:val="002E003D"/>
    <w:rsid w:val="002E0396"/>
    <w:rsid w:val="002F494E"/>
    <w:rsid w:val="002F5B6F"/>
    <w:rsid w:val="00310CF8"/>
    <w:rsid w:val="0031527A"/>
    <w:rsid w:val="00364C6E"/>
    <w:rsid w:val="0037324E"/>
    <w:rsid w:val="00373DA4"/>
    <w:rsid w:val="003851C8"/>
    <w:rsid w:val="0038795F"/>
    <w:rsid w:val="003B0954"/>
    <w:rsid w:val="003F1EBD"/>
    <w:rsid w:val="0040222A"/>
    <w:rsid w:val="004164F5"/>
    <w:rsid w:val="00481612"/>
    <w:rsid w:val="004A0380"/>
    <w:rsid w:val="0050381B"/>
    <w:rsid w:val="0050670D"/>
    <w:rsid w:val="00560848"/>
    <w:rsid w:val="0056551F"/>
    <w:rsid w:val="005718EB"/>
    <w:rsid w:val="00586DDB"/>
    <w:rsid w:val="00597B08"/>
    <w:rsid w:val="005C4FC2"/>
    <w:rsid w:val="005D5697"/>
    <w:rsid w:val="005E1690"/>
    <w:rsid w:val="00603694"/>
    <w:rsid w:val="00613382"/>
    <w:rsid w:val="00667A07"/>
    <w:rsid w:val="00677404"/>
    <w:rsid w:val="0068459E"/>
    <w:rsid w:val="00725B78"/>
    <w:rsid w:val="007455BF"/>
    <w:rsid w:val="00746686"/>
    <w:rsid w:val="00792A93"/>
    <w:rsid w:val="007A00F8"/>
    <w:rsid w:val="007C507B"/>
    <w:rsid w:val="007E69B1"/>
    <w:rsid w:val="007F7721"/>
    <w:rsid w:val="007F776C"/>
    <w:rsid w:val="00825F91"/>
    <w:rsid w:val="00840FF1"/>
    <w:rsid w:val="008972B1"/>
    <w:rsid w:val="008B6FCA"/>
    <w:rsid w:val="008C3C3B"/>
    <w:rsid w:val="008F105D"/>
    <w:rsid w:val="009162F6"/>
    <w:rsid w:val="00926922"/>
    <w:rsid w:val="00944E25"/>
    <w:rsid w:val="009675B9"/>
    <w:rsid w:val="009864B8"/>
    <w:rsid w:val="009A468B"/>
    <w:rsid w:val="009B0CEB"/>
    <w:rsid w:val="009B27D1"/>
    <w:rsid w:val="009C537F"/>
    <w:rsid w:val="009D1A75"/>
    <w:rsid w:val="009D3E31"/>
    <w:rsid w:val="00A075D4"/>
    <w:rsid w:val="00A25F0B"/>
    <w:rsid w:val="00A54B92"/>
    <w:rsid w:val="00A61E28"/>
    <w:rsid w:val="00A8199A"/>
    <w:rsid w:val="00A82367"/>
    <w:rsid w:val="00A8634C"/>
    <w:rsid w:val="00AC4E4D"/>
    <w:rsid w:val="00AE7E4B"/>
    <w:rsid w:val="00B02E44"/>
    <w:rsid w:val="00B05872"/>
    <w:rsid w:val="00B2352F"/>
    <w:rsid w:val="00B82C25"/>
    <w:rsid w:val="00BA239B"/>
    <w:rsid w:val="00BB63C6"/>
    <w:rsid w:val="00BB7B5A"/>
    <w:rsid w:val="00BC4134"/>
    <w:rsid w:val="00C25DCB"/>
    <w:rsid w:val="00C34C7E"/>
    <w:rsid w:val="00C34F73"/>
    <w:rsid w:val="00C54FF3"/>
    <w:rsid w:val="00C76ADB"/>
    <w:rsid w:val="00CA6B0E"/>
    <w:rsid w:val="00CE4EC6"/>
    <w:rsid w:val="00CF278D"/>
    <w:rsid w:val="00CF732F"/>
    <w:rsid w:val="00D1355C"/>
    <w:rsid w:val="00D27C98"/>
    <w:rsid w:val="00D570FD"/>
    <w:rsid w:val="00D6319E"/>
    <w:rsid w:val="00D71439"/>
    <w:rsid w:val="00D9460F"/>
    <w:rsid w:val="00DA7B92"/>
    <w:rsid w:val="00DB09F4"/>
    <w:rsid w:val="00DB43BA"/>
    <w:rsid w:val="00DD1B78"/>
    <w:rsid w:val="00DE1B92"/>
    <w:rsid w:val="00DE3FF8"/>
    <w:rsid w:val="00DF69CA"/>
    <w:rsid w:val="00E40E65"/>
    <w:rsid w:val="00E4242E"/>
    <w:rsid w:val="00E447C3"/>
    <w:rsid w:val="00E54445"/>
    <w:rsid w:val="00E66464"/>
    <w:rsid w:val="00E85B01"/>
    <w:rsid w:val="00E9540C"/>
    <w:rsid w:val="00EE6F77"/>
    <w:rsid w:val="00F55575"/>
    <w:rsid w:val="00F80D28"/>
    <w:rsid w:val="00F933B6"/>
    <w:rsid w:val="00FB052D"/>
    <w:rsid w:val="00FC3B5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5856D7"/>
  <w15:docId w15:val="{6AEE287A-E0F5-4B3D-A9C0-7C4D715B8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81B"/>
    <w:rPr>
      <w:lang w:val="fr-FR"/>
    </w:rPr>
  </w:style>
  <w:style w:type="paragraph" w:styleId="Heading1">
    <w:name w:val="heading 1"/>
    <w:basedOn w:val="Normal"/>
    <w:link w:val="Heading1Char"/>
    <w:uiPriority w:val="9"/>
    <w:qFormat/>
    <w:rsid w:val="00A25F0B"/>
    <w:pPr>
      <w:spacing w:before="100" w:beforeAutospacing="1" w:after="100" w:afterAutospacing="1"/>
      <w:outlineLvl w:val="0"/>
    </w:pPr>
    <w:rPr>
      <w:rFonts w:ascii="Times" w:eastAsiaTheme="minorEastAsia" w:hAnsi="Times" w:cstheme="minorBidi"/>
      <w:b/>
      <w:bCs/>
      <w:kern w:val="36"/>
      <w:sz w:val="48"/>
      <w:szCs w:val="48"/>
      <w:lang w:val="es-ES_tradnl"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uiPriority w:val="9"/>
    <w:qFormat/>
    <w:pPr>
      <w:keepNext/>
      <w:keepLines/>
      <w:spacing w:before="480" w:after="120"/>
      <w:outlineLvl w:val="0"/>
    </w:pPr>
    <w:rPr>
      <w:b/>
      <w:sz w:val="48"/>
      <w:szCs w:val="48"/>
      <w:lang w:val="es-ES"/>
    </w:rPr>
  </w:style>
  <w:style w:type="paragraph" w:customStyle="1" w:styleId="Heading21">
    <w:name w:val="Heading 21"/>
    <w:basedOn w:val="Normal"/>
    <w:next w:val="Normal"/>
    <w:uiPriority w:val="9"/>
    <w:semiHidden/>
    <w:unhideWhenUsed/>
    <w:qFormat/>
    <w:pPr>
      <w:keepNext/>
      <w:keepLines/>
      <w:spacing w:before="360" w:after="80"/>
      <w:outlineLvl w:val="1"/>
    </w:pPr>
    <w:rPr>
      <w:b/>
      <w:sz w:val="36"/>
      <w:szCs w:val="36"/>
      <w:lang w:val="es-ES"/>
    </w:rPr>
  </w:style>
  <w:style w:type="paragraph" w:customStyle="1" w:styleId="Heading31">
    <w:name w:val="Heading 31"/>
    <w:basedOn w:val="Normal"/>
    <w:next w:val="Normal"/>
    <w:uiPriority w:val="9"/>
    <w:semiHidden/>
    <w:unhideWhenUsed/>
    <w:qFormat/>
    <w:pPr>
      <w:keepNext/>
      <w:keepLines/>
      <w:spacing w:before="280" w:after="80"/>
      <w:outlineLvl w:val="2"/>
    </w:pPr>
    <w:rPr>
      <w:b/>
      <w:sz w:val="28"/>
      <w:szCs w:val="28"/>
    </w:rPr>
  </w:style>
  <w:style w:type="paragraph" w:customStyle="1" w:styleId="Heading41">
    <w:name w:val="Heading 41"/>
    <w:basedOn w:val="Normal"/>
    <w:next w:val="Normal"/>
    <w:uiPriority w:val="9"/>
    <w:semiHidden/>
    <w:unhideWhenUsed/>
    <w:qFormat/>
    <w:pPr>
      <w:keepNext/>
      <w:keepLines/>
      <w:spacing w:before="240" w:after="40"/>
      <w:outlineLvl w:val="3"/>
    </w:pPr>
    <w:rPr>
      <w:b/>
    </w:rPr>
  </w:style>
  <w:style w:type="paragraph" w:customStyle="1" w:styleId="Heading51">
    <w:name w:val="Heading 51"/>
    <w:basedOn w:val="Normal"/>
    <w:next w:val="Normal"/>
    <w:uiPriority w:val="9"/>
    <w:semiHidden/>
    <w:unhideWhenUsed/>
    <w:qFormat/>
    <w:pPr>
      <w:keepNext/>
      <w:keepLines/>
      <w:spacing w:before="220" w:after="40"/>
      <w:outlineLvl w:val="4"/>
    </w:pPr>
    <w:rPr>
      <w:b/>
      <w:sz w:val="22"/>
      <w:szCs w:val="22"/>
    </w:rPr>
  </w:style>
  <w:style w:type="paragraph" w:customStyle="1" w:styleId="Heading61">
    <w:name w:val="Heading 61"/>
    <w:basedOn w:val="Normal"/>
    <w:next w:val="Normal"/>
    <w:uiPriority w:val="9"/>
    <w:semiHidden/>
    <w:unhideWhenUsed/>
    <w:qFormat/>
    <w:pPr>
      <w:keepNext/>
      <w:keepLines/>
      <w:spacing w:before="200" w:after="40"/>
      <w:outlineLvl w:val="5"/>
    </w:pPr>
    <w:rPr>
      <w:b/>
      <w:sz w:val="20"/>
      <w:szCs w:val="20"/>
    </w:rPr>
  </w:style>
  <w:style w:type="character" w:customStyle="1" w:styleId="SingleTxtGChar">
    <w:name w:val="_ Single Txt_G Char"/>
    <w:link w:val="SingleTxtG"/>
    <w:qFormat/>
    <w:locked/>
    <w:rsid w:val="004B4761"/>
    <w:rPr>
      <w:rFonts w:eastAsia="SimSun" w:cs="Times New Roman"/>
      <w:sz w:val="20"/>
      <w:szCs w:val="20"/>
      <w:lang w:val="es-ES" w:eastAsia="es-ES"/>
    </w:rPr>
  </w:style>
  <w:style w:type="character" w:customStyle="1" w:styleId="FootnoteTextChar">
    <w:name w:val="Footnote Text Char"/>
    <w:basedOn w:val="DefaultParagraphFont"/>
    <w:link w:val="FootnoteText1"/>
    <w:uiPriority w:val="99"/>
    <w:qFormat/>
    <w:rsid w:val="005C4449"/>
    <w:rPr>
      <w:sz w:val="20"/>
      <w:szCs w:val="20"/>
      <w:lang w:val="es-ES"/>
    </w:rPr>
  </w:style>
  <w:style w:type="character" w:customStyle="1" w:styleId="Funotenanker">
    <w:name w:val="Fußnotenanker"/>
    <w:rPr>
      <w:vertAlign w:val="superscript"/>
    </w:rPr>
  </w:style>
  <w:style w:type="character" w:customStyle="1" w:styleId="FootnoteCharacters">
    <w:name w:val="Footnote Characters"/>
    <w:basedOn w:val="DefaultParagraphFont"/>
    <w:uiPriority w:val="99"/>
    <w:unhideWhenUsed/>
    <w:qFormat/>
    <w:rsid w:val="005C4449"/>
    <w:rPr>
      <w:vertAlign w:val="superscript"/>
    </w:rPr>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BalloonTextChar">
    <w:name w:val="Balloon Text Char"/>
    <w:basedOn w:val="DefaultParagraphFont"/>
    <w:link w:val="BalloonText"/>
    <w:uiPriority w:val="99"/>
    <w:semiHidden/>
    <w:qFormat/>
    <w:rsid w:val="00807983"/>
    <w:rPr>
      <w:sz w:val="18"/>
      <w:szCs w:val="18"/>
    </w:rPr>
  </w:style>
  <w:style w:type="character" w:customStyle="1" w:styleId="CommentSubjectChar">
    <w:name w:val="Comment Subject Char"/>
    <w:basedOn w:val="CommentTextChar"/>
    <w:link w:val="CommentSubject"/>
    <w:uiPriority w:val="99"/>
    <w:semiHidden/>
    <w:qFormat/>
    <w:rsid w:val="005A1CD4"/>
    <w:rPr>
      <w:b/>
      <w:bCs/>
      <w:sz w:val="20"/>
      <w:szCs w:val="20"/>
    </w:rPr>
  </w:style>
  <w:style w:type="character" w:customStyle="1" w:styleId="ListLabel1">
    <w:name w:val="ListLabel 1"/>
    <w:qFormat/>
    <w:rPr>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u w:val="none"/>
    </w:rPr>
  </w:style>
  <w:style w:type="character" w:customStyle="1" w:styleId="ListLabel11">
    <w:name w:val="ListLabel 11"/>
    <w:qFormat/>
    <w:rPr>
      <w:u w:val="none"/>
    </w:rPr>
  </w:style>
  <w:style w:type="character" w:customStyle="1" w:styleId="ListLabel12">
    <w:name w:val="ListLabel 12"/>
    <w:qFormat/>
    <w:rPr>
      <w:u w:val="none"/>
    </w:rPr>
  </w:style>
  <w:style w:type="character" w:customStyle="1" w:styleId="ListLabel13">
    <w:name w:val="ListLabel 13"/>
    <w:qFormat/>
    <w:rPr>
      <w:u w:val="none"/>
    </w:rPr>
  </w:style>
  <w:style w:type="character" w:customStyle="1" w:styleId="ListLabel14">
    <w:name w:val="ListLabel 14"/>
    <w:qFormat/>
    <w:rPr>
      <w:u w:val="none"/>
    </w:rPr>
  </w:style>
  <w:style w:type="character" w:customStyle="1" w:styleId="ListLabel15">
    <w:name w:val="ListLabel 15"/>
    <w:qFormat/>
    <w:rPr>
      <w:u w:val="none"/>
    </w:rPr>
  </w:style>
  <w:style w:type="character" w:customStyle="1" w:styleId="ListLabel16">
    <w:name w:val="ListLabel 16"/>
    <w:qFormat/>
    <w:rPr>
      <w:u w:val="none"/>
    </w:rPr>
  </w:style>
  <w:style w:type="character" w:customStyle="1" w:styleId="ListLabel17">
    <w:name w:val="ListLabel 17"/>
    <w:qFormat/>
    <w:rPr>
      <w:u w:val="none"/>
    </w:rPr>
  </w:style>
  <w:style w:type="character" w:customStyle="1" w:styleId="ListLabel18">
    <w:name w:val="ListLabel 18"/>
    <w:qFormat/>
    <w:rPr>
      <w:u w:val="none"/>
    </w:rPr>
  </w:style>
  <w:style w:type="character" w:customStyle="1" w:styleId="ListLabel19">
    <w:name w:val="ListLabel 19"/>
    <w:qFormat/>
    <w:rPr>
      <w:u w:val="none"/>
    </w:rPr>
  </w:style>
  <w:style w:type="character" w:customStyle="1" w:styleId="ListLabel20">
    <w:name w:val="ListLabel 20"/>
    <w:qFormat/>
    <w:rPr>
      <w:u w:val="none"/>
    </w:rPr>
  </w:style>
  <w:style w:type="character" w:customStyle="1" w:styleId="ListLabel21">
    <w:name w:val="ListLabel 21"/>
    <w:qFormat/>
    <w:rPr>
      <w:u w:val="none"/>
    </w:rPr>
  </w:style>
  <w:style w:type="character" w:customStyle="1" w:styleId="ListLabel22">
    <w:name w:val="ListLabel 22"/>
    <w:qFormat/>
    <w:rPr>
      <w:u w:val="none"/>
    </w:rPr>
  </w:style>
  <w:style w:type="character" w:customStyle="1" w:styleId="ListLabel23">
    <w:name w:val="ListLabel 23"/>
    <w:qFormat/>
    <w:rPr>
      <w:u w:val="none"/>
    </w:rPr>
  </w:style>
  <w:style w:type="character" w:customStyle="1" w:styleId="ListLabel24">
    <w:name w:val="ListLabel 24"/>
    <w:qFormat/>
    <w:rPr>
      <w:u w:val="none"/>
    </w:rPr>
  </w:style>
  <w:style w:type="character" w:customStyle="1" w:styleId="ListLabel25">
    <w:name w:val="ListLabel 25"/>
    <w:qFormat/>
    <w:rPr>
      <w:u w:val="none"/>
    </w:rPr>
  </w:style>
  <w:style w:type="character" w:customStyle="1" w:styleId="ListLabel26">
    <w:name w:val="ListLabel 26"/>
    <w:qFormat/>
    <w:rPr>
      <w:u w:val="none"/>
    </w:rPr>
  </w:style>
  <w:style w:type="character" w:customStyle="1" w:styleId="ListLabel27">
    <w:name w:val="ListLabel 27"/>
    <w:qFormat/>
    <w:rPr>
      <w:u w:val="none"/>
    </w:rPr>
  </w:style>
  <w:style w:type="character" w:customStyle="1" w:styleId="Internetverknpfung">
    <w:name w:val="Internetverknüpfung"/>
    <w:rPr>
      <w:color w:val="000080"/>
      <w:u w:val="single"/>
      <w:lang w:val="uz-Cyrl-UZ" w:eastAsia="uz-Cyrl-UZ" w:bidi="uz-Cyrl-UZ"/>
    </w:rPr>
  </w:style>
  <w:style w:type="character" w:customStyle="1" w:styleId="Funotenzeichen">
    <w:name w:val="Fußnotenzeichen"/>
    <w:qFormat/>
  </w:style>
  <w:style w:type="character" w:customStyle="1" w:styleId="Endnotenanker">
    <w:name w:val="Endnotenanker"/>
    <w:rPr>
      <w:vertAlign w:val="superscript"/>
    </w:rPr>
  </w:style>
  <w:style w:type="character" w:customStyle="1" w:styleId="Endnotenzeichen">
    <w:name w:val="Endnotenzeichen"/>
    <w:qFormat/>
  </w:style>
  <w:style w:type="paragraph" w:customStyle="1" w:styleId="berschrift">
    <w:name w:val="Überschrift"/>
    <w:basedOn w:val="Normal"/>
    <w:next w:val="BodyText"/>
    <w:qFormat/>
    <w:pPr>
      <w:keepNext/>
      <w:spacing w:before="240" w:after="120"/>
    </w:pPr>
    <w:rPr>
      <w:rFonts w:ascii="Liberation Sans" w:eastAsia="Noto Sans CJK SC" w:hAnsi="Liberation Sans" w:cs="Lohit Devanagari"/>
      <w:sz w:val="28"/>
      <w:szCs w:val="28"/>
      <w:lang w:val="es-ES"/>
    </w:rPr>
  </w:style>
  <w:style w:type="paragraph" w:styleId="BodyText">
    <w:name w:val="Body Text"/>
    <w:basedOn w:val="Normal"/>
    <w:pPr>
      <w:spacing w:after="140" w:line="276" w:lineRule="auto"/>
    </w:pPr>
    <w:rPr>
      <w:lang w:val="es-ES"/>
    </w:rPr>
  </w:style>
  <w:style w:type="paragraph" w:styleId="List">
    <w:name w:val="List"/>
    <w:basedOn w:val="BodyText"/>
    <w:rPr>
      <w:rFonts w:cs="Lohit Devanagari"/>
    </w:rPr>
  </w:style>
  <w:style w:type="paragraph" w:customStyle="1" w:styleId="Caption1">
    <w:name w:val="Caption1"/>
    <w:basedOn w:val="Normal"/>
    <w:qFormat/>
    <w:pPr>
      <w:suppressLineNumbers/>
      <w:spacing w:before="120" w:after="120"/>
    </w:pPr>
    <w:rPr>
      <w:rFonts w:cs="Lohit Devanagari"/>
      <w:i/>
      <w:iCs/>
      <w:lang w:val="es-ES"/>
    </w:rPr>
  </w:style>
  <w:style w:type="paragraph" w:customStyle="1" w:styleId="Verzeichnis">
    <w:name w:val="Verzeichnis"/>
    <w:basedOn w:val="Normal"/>
    <w:qFormat/>
    <w:pPr>
      <w:suppressLineNumbers/>
    </w:pPr>
    <w:rPr>
      <w:rFonts w:cs="Lohit Devanagari"/>
      <w:lang w:val="es-ES"/>
    </w:rPr>
  </w:style>
  <w:style w:type="paragraph" w:styleId="Title">
    <w:name w:val="Title"/>
    <w:basedOn w:val="Normal"/>
    <w:next w:val="Normal"/>
    <w:uiPriority w:val="10"/>
    <w:qFormat/>
    <w:pPr>
      <w:keepNext/>
      <w:keepLines/>
      <w:spacing w:before="480" w:after="120"/>
    </w:pPr>
    <w:rPr>
      <w:b/>
      <w:sz w:val="72"/>
      <w:szCs w:val="72"/>
      <w:lang w:val="es-ES"/>
    </w:rPr>
  </w:style>
  <w:style w:type="paragraph" w:customStyle="1" w:styleId="TOC11">
    <w:name w:val="TOC 11"/>
    <w:basedOn w:val="Normal"/>
    <w:next w:val="Normal"/>
    <w:autoRedefine/>
    <w:uiPriority w:val="39"/>
    <w:unhideWhenUsed/>
    <w:rsid w:val="00E819F4"/>
    <w:pPr>
      <w:spacing w:before="120"/>
    </w:pPr>
    <w:rPr>
      <w:rFonts w:asciiTheme="majorHAnsi" w:eastAsiaTheme="minorEastAsia" w:hAnsiTheme="majorHAnsi" w:cstheme="minorBidi"/>
      <w:b/>
      <w:color w:val="7B7B7B" w:themeColor="accent3" w:themeShade="BF"/>
      <w:lang w:val="en-GB" w:eastAsia="fr-FR"/>
    </w:rPr>
  </w:style>
  <w:style w:type="paragraph" w:customStyle="1" w:styleId="TOC21">
    <w:name w:val="TOC 21"/>
    <w:basedOn w:val="Normal"/>
    <w:next w:val="Normal"/>
    <w:autoRedefine/>
    <w:uiPriority w:val="39"/>
    <w:semiHidden/>
    <w:unhideWhenUsed/>
    <w:qFormat/>
    <w:rsid w:val="00F7216A"/>
    <w:pPr>
      <w:spacing w:after="100"/>
      <w:ind w:left="240"/>
    </w:pPr>
    <w:rPr>
      <w:color w:val="4472C4" w:themeColor="accent1"/>
      <w:sz w:val="22"/>
    </w:rPr>
  </w:style>
  <w:style w:type="paragraph" w:customStyle="1" w:styleId="TOC31">
    <w:name w:val="TOC 31"/>
    <w:basedOn w:val="Normal"/>
    <w:next w:val="Normal"/>
    <w:autoRedefine/>
    <w:uiPriority w:val="39"/>
    <w:unhideWhenUsed/>
    <w:qFormat/>
    <w:rsid w:val="00F7216A"/>
    <w:pPr>
      <w:spacing w:before="120" w:after="220"/>
      <w:contextualSpacing/>
    </w:pPr>
    <w:rPr>
      <w:color w:val="4472C4" w:themeColor="accent1"/>
      <w:sz w:val="20"/>
      <w:lang w:val="es-ES"/>
    </w:rPr>
  </w:style>
  <w:style w:type="paragraph" w:styleId="ListParagraph">
    <w:name w:val="List Paragraph"/>
    <w:basedOn w:val="Normal"/>
    <w:uiPriority w:val="34"/>
    <w:qFormat/>
    <w:rsid w:val="00785D37"/>
    <w:pPr>
      <w:ind w:left="720"/>
      <w:contextualSpacing/>
    </w:pPr>
    <w:rPr>
      <w:lang w:val="es-ES"/>
    </w:rPr>
  </w:style>
  <w:style w:type="paragraph" w:customStyle="1" w:styleId="H23G">
    <w:name w:val="_ H_2/3_G"/>
    <w:basedOn w:val="Normal"/>
    <w:next w:val="Normal"/>
    <w:qFormat/>
    <w:rsid w:val="00775027"/>
    <w:pPr>
      <w:keepNext/>
      <w:keepLines/>
      <w:tabs>
        <w:tab w:val="right" w:pos="851"/>
      </w:tabs>
      <w:suppressAutoHyphens/>
      <w:spacing w:before="240" w:after="120" w:line="240" w:lineRule="exact"/>
      <w:ind w:left="1134" w:right="1134" w:hanging="1134"/>
    </w:pPr>
    <w:rPr>
      <w:rFonts w:eastAsia="SimSun"/>
      <w:b/>
      <w:sz w:val="20"/>
      <w:szCs w:val="20"/>
      <w:lang w:val="es-ES" w:eastAsia="es-ES"/>
    </w:rPr>
  </w:style>
  <w:style w:type="paragraph" w:customStyle="1" w:styleId="SingleTxtG">
    <w:name w:val="_ Single Txt_G"/>
    <w:basedOn w:val="Normal"/>
    <w:link w:val="SingleTxtGChar"/>
    <w:qFormat/>
    <w:rsid w:val="004B4761"/>
    <w:pPr>
      <w:spacing w:after="120" w:line="240" w:lineRule="atLeast"/>
      <w:ind w:left="1134" w:right="1134"/>
      <w:jc w:val="both"/>
    </w:pPr>
    <w:rPr>
      <w:rFonts w:eastAsia="SimSun"/>
      <w:sz w:val="20"/>
      <w:szCs w:val="20"/>
      <w:lang w:val="es-ES" w:eastAsia="es-ES"/>
    </w:rPr>
  </w:style>
  <w:style w:type="paragraph" w:customStyle="1" w:styleId="FootnoteText1">
    <w:name w:val="Footnote Text1"/>
    <w:basedOn w:val="Normal"/>
    <w:link w:val="FootnoteTextChar"/>
    <w:uiPriority w:val="99"/>
    <w:unhideWhenUsed/>
    <w:rsid w:val="005C4449"/>
    <w:rPr>
      <w:sz w:val="20"/>
      <w:szCs w:val="20"/>
      <w:lang w:val="es-E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lang w:val="es-ES"/>
    </w:rPr>
  </w:style>
  <w:style w:type="paragraph" w:styleId="CommentText">
    <w:name w:val="annotation text"/>
    <w:basedOn w:val="Normal"/>
    <w:link w:val="CommentTextChar"/>
    <w:uiPriority w:val="99"/>
    <w:semiHidden/>
    <w:unhideWhenUsed/>
    <w:qFormat/>
    <w:rPr>
      <w:sz w:val="20"/>
      <w:szCs w:val="20"/>
      <w:lang w:val="es-ES"/>
    </w:rPr>
  </w:style>
  <w:style w:type="paragraph" w:styleId="BalloonText">
    <w:name w:val="Balloon Text"/>
    <w:basedOn w:val="Normal"/>
    <w:link w:val="BalloonTextChar"/>
    <w:uiPriority w:val="99"/>
    <w:semiHidden/>
    <w:unhideWhenUsed/>
    <w:qFormat/>
    <w:rsid w:val="00807983"/>
    <w:rPr>
      <w:sz w:val="18"/>
      <w:szCs w:val="18"/>
      <w:lang w:val="es-ES"/>
    </w:rPr>
  </w:style>
  <w:style w:type="paragraph" w:styleId="CommentSubject">
    <w:name w:val="annotation subject"/>
    <w:basedOn w:val="CommentText"/>
    <w:link w:val="CommentSubjectChar"/>
    <w:uiPriority w:val="99"/>
    <w:semiHidden/>
    <w:unhideWhenUsed/>
    <w:qFormat/>
    <w:rsid w:val="005A1CD4"/>
    <w:rPr>
      <w:b/>
      <w:bCs/>
    </w:rPr>
  </w:style>
  <w:style w:type="paragraph" w:customStyle="1" w:styleId="Footer1">
    <w:name w:val="Footer1"/>
    <w:basedOn w:val="Normal"/>
    <w:rPr>
      <w:lang w:val="es-ES"/>
    </w:rPr>
  </w:style>
  <w:style w:type="paragraph" w:styleId="Revision">
    <w:name w:val="Revision"/>
    <w:hidden/>
    <w:uiPriority w:val="99"/>
    <w:semiHidden/>
    <w:rsid w:val="00A075D4"/>
  </w:style>
  <w:style w:type="character" w:customStyle="1" w:styleId="Heading1Char">
    <w:name w:val="Heading 1 Char"/>
    <w:basedOn w:val="DefaultParagraphFont"/>
    <w:link w:val="Heading1"/>
    <w:uiPriority w:val="9"/>
    <w:rsid w:val="00A25F0B"/>
    <w:rPr>
      <w:rFonts w:ascii="Times" w:eastAsiaTheme="minorEastAsia" w:hAnsi="Times" w:cstheme="minorBidi"/>
      <w:b/>
      <w:bCs/>
      <w:kern w:val="36"/>
      <w:sz w:val="48"/>
      <w:szCs w:val="48"/>
      <w:lang w:val="es-ES_tradnl" w:eastAsia="es-ES"/>
    </w:rPr>
  </w:style>
  <w:style w:type="paragraph" w:styleId="FootnoteText">
    <w:name w:val="footnote text"/>
    <w:basedOn w:val="Normal"/>
    <w:link w:val="FootnoteTextChar1"/>
    <w:uiPriority w:val="99"/>
    <w:unhideWhenUsed/>
    <w:rsid w:val="00A25F0B"/>
    <w:rPr>
      <w:rFonts w:asciiTheme="minorHAnsi" w:eastAsiaTheme="minorEastAsia" w:hAnsiTheme="minorHAnsi" w:cstheme="minorBidi"/>
      <w:lang w:val="en-US" w:eastAsia="es-ES"/>
    </w:rPr>
  </w:style>
  <w:style w:type="character" w:customStyle="1" w:styleId="FootnoteTextChar1">
    <w:name w:val="Footnote Text Char1"/>
    <w:basedOn w:val="DefaultParagraphFont"/>
    <w:link w:val="FootnoteText"/>
    <w:uiPriority w:val="99"/>
    <w:qFormat/>
    <w:rsid w:val="00A25F0B"/>
    <w:rPr>
      <w:rFonts w:asciiTheme="minorHAnsi" w:eastAsiaTheme="minorEastAsia" w:hAnsiTheme="minorHAnsi" w:cstheme="minorBidi"/>
      <w:lang w:val="en-US" w:eastAsia="es-ES"/>
    </w:rPr>
  </w:style>
  <w:style w:type="character" w:styleId="FootnoteReference">
    <w:name w:val="footnote reference"/>
    <w:basedOn w:val="DefaultParagraphFont"/>
    <w:uiPriority w:val="99"/>
    <w:unhideWhenUsed/>
    <w:rsid w:val="00A25F0B"/>
    <w:rPr>
      <w:vertAlign w:val="superscript"/>
    </w:rPr>
  </w:style>
  <w:style w:type="paragraph" w:styleId="Header">
    <w:name w:val="header"/>
    <w:basedOn w:val="Normal"/>
    <w:link w:val="HeaderChar"/>
    <w:uiPriority w:val="99"/>
    <w:unhideWhenUsed/>
    <w:rsid w:val="009A468B"/>
    <w:pPr>
      <w:tabs>
        <w:tab w:val="center" w:pos="4703"/>
        <w:tab w:val="right" w:pos="9406"/>
      </w:tabs>
    </w:pPr>
    <w:rPr>
      <w:lang w:val="es-ES"/>
    </w:rPr>
  </w:style>
  <w:style w:type="character" w:customStyle="1" w:styleId="HeaderChar">
    <w:name w:val="Header Char"/>
    <w:basedOn w:val="DefaultParagraphFont"/>
    <w:link w:val="Header"/>
    <w:uiPriority w:val="99"/>
    <w:rsid w:val="009A468B"/>
  </w:style>
  <w:style w:type="paragraph" w:styleId="Footer">
    <w:name w:val="footer"/>
    <w:basedOn w:val="Normal"/>
    <w:link w:val="FooterChar"/>
    <w:uiPriority w:val="99"/>
    <w:unhideWhenUsed/>
    <w:rsid w:val="009A468B"/>
    <w:pPr>
      <w:tabs>
        <w:tab w:val="center" w:pos="4703"/>
        <w:tab w:val="right" w:pos="9406"/>
      </w:tabs>
    </w:pPr>
    <w:rPr>
      <w:lang w:val="es-ES"/>
    </w:rPr>
  </w:style>
  <w:style w:type="character" w:customStyle="1" w:styleId="FooterChar">
    <w:name w:val="Footer Char"/>
    <w:basedOn w:val="DefaultParagraphFont"/>
    <w:link w:val="Footer"/>
    <w:uiPriority w:val="99"/>
    <w:rsid w:val="009A468B"/>
  </w:style>
  <w:style w:type="character" w:customStyle="1" w:styleId="apple-converted-space">
    <w:name w:val="apple-converted-space"/>
    <w:basedOn w:val="DefaultParagraphFont"/>
    <w:rsid w:val="0050381B"/>
  </w:style>
  <w:style w:type="table" w:styleId="TableGrid">
    <w:name w:val="Table Grid"/>
    <w:basedOn w:val="TableNormal"/>
    <w:uiPriority w:val="39"/>
    <w:rsid w:val="00825F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FB052D"/>
  </w:style>
  <w:style w:type="paragraph" w:styleId="NormalWeb">
    <w:name w:val="Normal (Web)"/>
    <w:basedOn w:val="Normal"/>
    <w:uiPriority w:val="99"/>
    <w:unhideWhenUsed/>
    <w:rsid w:val="00677404"/>
    <w:pPr>
      <w:spacing w:before="100" w:beforeAutospacing="1" w:after="100" w:afterAutospacing="1"/>
    </w:pPr>
    <w:rPr>
      <w:rFonts w:ascii="Times" w:hAnsi="Times"/>
      <w:sz w:val="20"/>
      <w:szCs w:val="20"/>
      <w:lang w:val="es-ES_tradnl" w:eastAsia="es-ES"/>
    </w:rPr>
  </w:style>
  <w:style w:type="character" w:styleId="Hyperlink">
    <w:name w:val="Hyperlink"/>
    <w:basedOn w:val="DefaultParagraphFont"/>
    <w:uiPriority w:val="99"/>
    <w:semiHidden/>
    <w:unhideWhenUsed/>
    <w:rsid w:val="00031046"/>
    <w:rPr>
      <w:color w:val="0000FF"/>
      <w:u w:val="single"/>
    </w:rPr>
  </w:style>
  <w:style w:type="character" w:customStyle="1" w:styleId="value">
    <w:name w:val="value"/>
    <w:basedOn w:val="DefaultParagraphFont"/>
    <w:rsid w:val="00613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715735">
      <w:bodyDiv w:val="1"/>
      <w:marLeft w:val="0"/>
      <w:marRight w:val="0"/>
      <w:marTop w:val="0"/>
      <w:marBottom w:val="0"/>
      <w:divBdr>
        <w:top w:val="none" w:sz="0" w:space="0" w:color="auto"/>
        <w:left w:val="none" w:sz="0" w:space="0" w:color="auto"/>
        <w:bottom w:val="none" w:sz="0" w:space="0" w:color="auto"/>
        <w:right w:val="none" w:sz="0" w:space="0" w:color="auto"/>
      </w:divBdr>
    </w:div>
    <w:div w:id="185680807">
      <w:bodyDiv w:val="1"/>
      <w:marLeft w:val="0"/>
      <w:marRight w:val="0"/>
      <w:marTop w:val="0"/>
      <w:marBottom w:val="0"/>
      <w:divBdr>
        <w:top w:val="none" w:sz="0" w:space="0" w:color="auto"/>
        <w:left w:val="none" w:sz="0" w:space="0" w:color="auto"/>
        <w:bottom w:val="none" w:sz="0" w:space="0" w:color="auto"/>
        <w:right w:val="none" w:sz="0" w:space="0" w:color="auto"/>
      </w:divBdr>
    </w:div>
    <w:div w:id="416752579">
      <w:bodyDiv w:val="1"/>
      <w:marLeft w:val="0"/>
      <w:marRight w:val="0"/>
      <w:marTop w:val="0"/>
      <w:marBottom w:val="0"/>
      <w:divBdr>
        <w:top w:val="none" w:sz="0" w:space="0" w:color="auto"/>
        <w:left w:val="none" w:sz="0" w:space="0" w:color="auto"/>
        <w:bottom w:val="none" w:sz="0" w:space="0" w:color="auto"/>
        <w:right w:val="none" w:sz="0" w:space="0" w:color="auto"/>
      </w:divBdr>
      <w:divsChild>
        <w:div w:id="1263762143">
          <w:marLeft w:val="0"/>
          <w:marRight w:val="0"/>
          <w:marTop w:val="0"/>
          <w:marBottom w:val="0"/>
          <w:divBdr>
            <w:top w:val="none" w:sz="0" w:space="0" w:color="auto"/>
            <w:left w:val="none" w:sz="0" w:space="0" w:color="auto"/>
            <w:bottom w:val="none" w:sz="0" w:space="0" w:color="auto"/>
            <w:right w:val="none" w:sz="0" w:space="0" w:color="auto"/>
          </w:divBdr>
        </w:div>
        <w:div w:id="1741320451">
          <w:marLeft w:val="0"/>
          <w:marRight w:val="0"/>
          <w:marTop w:val="0"/>
          <w:marBottom w:val="0"/>
          <w:divBdr>
            <w:top w:val="none" w:sz="0" w:space="0" w:color="auto"/>
            <w:left w:val="none" w:sz="0" w:space="0" w:color="auto"/>
            <w:bottom w:val="none" w:sz="0" w:space="0" w:color="auto"/>
            <w:right w:val="none" w:sz="0" w:space="0" w:color="auto"/>
          </w:divBdr>
        </w:div>
      </w:divsChild>
    </w:div>
    <w:div w:id="448819072">
      <w:bodyDiv w:val="1"/>
      <w:marLeft w:val="0"/>
      <w:marRight w:val="0"/>
      <w:marTop w:val="0"/>
      <w:marBottom w:val="0"/>
      <w:divBdr>
        <w:top w:val="none" w:sz="0" w:space="0" w:color="auto"/>
        <w:left w:val="none" w:sz="0" w:space="0" w:color="auto"/>
        <w:bottom w:val="none" w:sz="0" w:space="0" w:color="auto"/>
        <w:right w:val="none" w:sz="0" w:space="0" w:color="auto"/>
      </w:divBdr>
    </w:div>
    <w:div w:id="775172954">
      <w:bodyDiv w:val="1"/>
      <w:marLeft w:val="0"/>
      <w:marRight w:val="0"/>
      <w:marTop w:val="0"/>
      <w:marBottom w:val="0"/>
      <w:divBdr>
        <w:top w:val="none" w:sz="0" w:space="0" w:color="auto"/>
        <w:left w:val="none" w:sz="0" w:space="0" w:color="auto"/>
        <w:bottom w:val="none" w:sz="0" w:space="0" w:color="auto"/>
        <w:right w:val="none" w:sz="0" w:space="0" w:color="auto"/>
      </w:divBdr>
      <w:divsChild>
        <w:div w:id="940987716">
          <w:marLeft w:val="0"/>
          <w:marRight w:val="0"/>
          <w:marTop w:val="0"/>
          <w:marBottom w:val="0"/>
          <w:divBdr>
            <w:top w:val="none" w:sz="0" w:space="0" w:color="auto"/>
            <w:left w:val="none" w:sz="0" w:space="0" w:color="auto"/>
            <w:bottom w:val="none" w:sz="0" w:space="0" w:color="auto"/>
            <w:right w:val="none" w:sz="0" w:space="0" w:color="auto"/>
          </w:divBdr>
        </w:div>
      </w:divsChild>
    </w:div>
    <w:div w:id="866060748">
      <w:bodyDiv w:val="1"/>
      <w:marLeft w:val="0"/>
      <w:marRight w:val="0"/>
      <w:marTop w:val="0"/>
      <w:marBottom w:val="0"/>
      <w:divBdr>
        <w:top w:val="none" w:sz="0" w:space="0" w:color="auto"/>
        <w:left w:val="none" w:sz="0" w:space="0" w:color="auto"/>
        <w:bottom w:val="none" w:sz="0" w:space="0" w:color="auto"/>
        <w:right w:val="none" w:sz="0" w:space="0" w:color="auto"/>
      </w:divBdr>
    </w:div>
    <w:div w:id="1036929898">
      <w:bodyDiv w:val="1"/>
      <w:marLeft w:val="0"/>
      <w:marRight w:val="0"/>
      <w:marTop w:val="0"/>
      <w:marBottom w:val="0"/>
      <w:divBdr>
        <w:top w:val="none" w:sz="0" w:space="0" w:color="auto"/>
        <w:left w:val="none" w:sz="0" w:space="0" w:color="auto"/>
        <w:bottom w:val="none" w:sz="0" w:space="0" w:color="auto"/>
        <w:right w:val="none" w:sz="0" w:space="0" w:color="auto"/>
      </w:divBdr>
      <w:divsChild>
        <w:div w:id="195121850">
          <w:marLeft w:val="0"/>
          <w:marRight w:val="0"/>
          <w:marTop w:val="0"/>
          <w:marBottom w:val="0"/>
          <w:divBdr>
            <w:top w:val="none" w:sz="0" w:space="0" w:color="auto"/>
            <w:left w:val="none" w:sz="0" w:space="0" w:color="auto"/>
            <w:bottom w:val="none" w:sz="0" w:space="0" w:color="auto"/>
            <w:right w:val="none" w:sz="0" w:space="0" w:color="auto"/>
          </w:divBdr>
          <w:divsChild>
            <w:div w:id="920026528">
              <w:marLeft w:val="0"/>
              <w:marRight w:val="0"/>
              <w:marTop w:val="0"/>
              <w:marBottom w:val="0"/>
              <w:divBdr>
                <w:top w:val="none" w:sz="0" w:space="0" w:color="auto"/>
                <w:left w:val="none" w:sz="0" w:space="0" w:color="auto"/>
                <w:bottom w:val="none" w:sz="0" w:space="0" w:color="auto"/>
                <w:right w:val="none" w:sz="0" w:space="0" w:color="auto"/>
              </w:divBdr>
              <w:divsChild>
                <w:div w:id="106136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202315">
      <w:bodyDiv w:val="1"/>
      <w:marLeft w:val="0"/>
      <w:marRight w:val="0"/>
      <w:marTop w:val="0"/>
      <w:marBottom w:val="0"/>
      <w:divBdr>
        <w:top w:val="none" w:sz="0" w:space="0" w:color="auto"/>
        <w:left w:val="none" w:sz="0" w:space="0" w:color="auto"/>
        <w:bottom w:val="none" w:sz="0" w:space="0" w:color="auto"/>
        <w:right w:val="none" w:sz="0" w:space="0" w:color="auto"/>
      </w:divBdr>
      <w:divsChild>
        <w:div w:id="777677759">
          <w:marLeft w:val="-120"/>
          <w:marRight w:val="-120"/>
          <w:marTop w:val="0"/>
          <w:marBottom w:val="0"/>
          <w:divBdr>
            <w:top w:val="none" w:sz="0" w:space="0" w:color="auto"/>
            <w:left w:val="none" w:sz="0" w:space="0" w:color="auto"/>
            <w:bottom w:val="single" w:sz="6" w:space="4" w:color="DDDDDD"/>
            <w:right w:val="none" w:sz="0" w:space="0" w:color="auto"/>
          </w:divBdr>
        </w:div>
        <w:div w:id="676154295">
          <w:marLeft w:val="-120"/>
          <w:marRight w:val="-120"/>
          <w:marTop w:val="0"/>
          <w:marBottom w:val="0"/>
          <w:divBdr>
            <w:top w:val="none" w:sz="0" w:space="0" w:color="auto"/>
            <w:left w:val="none" w:sz="0" w:space="0" w:color="auto"/>
            <w:bottom w:val="single" w:sz="6" w:space="4" w:color="DDDDDD"/>
            <w:right w:val="none" w:sz="0" w:space="0" w:color="auto"/>
          </w:divBdr>
        </w:div>
      </w:divsChild>
    </w:div>
    <w:div w:id="1289317407">
      <w:bodyDiv w:val="1"/>
      <w:marLeft w:val="0"/>
      <w:marRight w:val="0"/>
      <w:marTop w:val="0"/>
      <w:marBottom w:val="0"/>
      <w:divBdr>
        <w:top w:val="none" w:sz="0" w:space="0" w:color="auto"/>
        <w:left w:val="none" w:sz="0" w:space="0" w:color="auto"/>
        <w:bottom w:val="none" w:sz="0" w:space="0" w:color="auto"/>
        <w:right w:val="none" w:sz="0" w:space="0" w:color="auto"/>
      </w:divBdr>
    </w:div>
    <w:div w:id="1403989659">
      <w:bodyDiv w:val="1"/>
      <w:marLeft w:val="0"/>
      <w:marRight w:val="0"/>
      <w:marTop w:val="0"/>
      <w:marBottom w:val="0"/>
      <w:divBdr>
        <w:top w:val="none" w:sz="0" w:space="0" w:color="auto"/>
        <w:left w:val="none" w:sz="0" w:space="0" w:color="auto"/>
        <w:bottom w:val="none" w:sz="0" w:space="0" w:color="auto"/>
        <w:right w:val="none" w:sz="0" w:space="0" w:color="auto"/>
      </w:divBdr>
    </w:div>
    <w:div w:id="1542283952">
      <w:bodyDiv w:val="1"/>
      <w:marLeft w:val="0"/>
      <w:marRight w:val="0"/>
      <w:marTop w:val="0"/>
      <w:marBottom w:val="0"/>
      <w:divBdr>
        <w:top w:val="none" w:sz="0" w:space="0" w:color="auto"/>
        <w:left w:val="none" w:sz="0" w:space="0" w:color="auto"/>
        <w:bottom w:val="none" w:sz="0" w:space="0" w:color="auto"/>
        <w:right w:val="none" w:sz="0" w:space="0" w:color="auto"/>
      </w:divBdr>
    </w:div>
    <w:div w:id="1572613604">
      <w:bodyDiv w:val="1"/>
      <w:marLeft w:val="0"/>
      <w:marRight w:val="0"/>
      <w:marTop w:val="0"/>
      <w:marBottom w:val="0"/>
      <w:divBdr>
        <w:top w:val="none" w:sz="0" w:space="0" w:color="auto"/>
        <w:left w:val="none" w:sz="0" w:space="0" w:color="auto"/>
        <w:bottom w:val="none" w:sz="0" w:space="0" w:color="auto"/>
        <w:right w:val="none" w:sz="0" w:space="0" w:color="auto"/>
      </w:divBdr>
    </w:div>
    <w:div w:id="1760515669">
      <w:bodyDiv w:val="1"/>
      <w:marLeft w:val="0"/>
      <w:marRight w:val="0"/>
      <w:marTop w:val="0"/>
      <w:marBottom w:val="0"/>
      <w:divBdr>
        <w:top w:val="none" w:sz="0" w:space="0" w:color="auto"/>
        <w:left w:val="none" w:sz="0" w:space="0" w:color="auto"/>
        <w:bottom w:val="none" w:sz="0" w:space="0" w:color="auto"/>
        <w:right w:val="none" w:sz="0" w:space="0" w:color="auto"/>
      </w:divBdr>
    </w:div>
    <w:div w:id="1804812336">
      <w:bodyDiv w:val="1"/>
      <w:marLeft w:val="0"/>
      <w:marRight w:val="0"/>
      <w:marTop w:val="0"/>
      <w:marBottom w:val="0"/>
      <w:divBdr>
        <w:top w:val="none" w:sz="0" w:space="0" w:color="auto"/>
        <w:left w:val="none" w:sz="0" w:space="0" w:color="auto"/>
        <w:bottom w:val="none" w:sz="0" w:space="0" w:color="auto"/>
        <w:right w:val="none" w:sz="0" w:space="0" w:color="auto"/>
      </w:divBdr>
    </w:div>
    <w:div w:id="1882982197">
      <w:bodyDiv w:val="1"/>
      <w:marLeft w:val="0"/>
      <w:marRight w:val="0"/>
      <w:marTop w:val="0"/>
      <w:marBottom w:val="0"/>
      <w:divBdr>
        <w:top w:val="none" w:sz="0" w:space="0" w:color="auto"/>
        <w:left w:val="none" w:sz="0" w:space="0" w:color="auto"/>
        <w:bottom w:val="none" w:sz="0" w:space="0" w:color="auto"/>
        <w:right w:val="none" w:sz="0" w:space="0" w:color="auto"/>
      </w:divBdr>
    </w:div>
    <w:div w:id="1945186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SP/NewsEvents/Pages/DisplayNews.aspx?NewsID=25646&amp;LangID=S" TargetMode="External"/><Relationship Id="rId3" Type="http://schemas.openxmlformats.org/officeDocument/2006/relationships/hyperlink" Target="https://www.paho.org/gut/index.php?option=com_content&amp;view=article&amp;id=632:lanzamiento-ventana-de-mil-dias&amp;Itemid=405" TargetMode="External"/><Relationship Id="rId7" Type="http://schemas.openxmlformats.org/officeDocument/2006/relationships/hyperlink" Target="https://www.ohchr.org/SP/NewsEvents/Pages/DisplayNews.aspx?NewsID=25646&amp;LangID=S" TargetMode="External"/><Relationship Id="rId12" Type="http://schemas.openxmlformats.org/officeDocument/2006/relationships/hyperlink" Target="https://spcommreports.ohchr.org/TMResultsBase/DownLoadPublicCommunicationFile?gId=24251" TargetMode="External"/><Relationship Id="rId2" Type="http://schemas.openxmlformats.org/officeDocument/2006/relationships/hyperlink" Target="https://www.prensacomunitaria.org/vecinos-de-cahabon-rechazan-construccion-de-la-hidroelectrica-oxec-3/" TargetMode="External"/><Relationship Id="rId1" Type="http://schemas.openxmlformats.org/officeDocument/2006/relationships/hyperlink" Target="https://www.prensacomunitaria.org/vecinos-de-cahabon-rechazan-construccion-de-la-hidroelectrica-oxec-3/" TargetMode="External"/><Relationship Id="rId6" Type="http://schemas.openxmlformats.org/officeDocument/2006/relationships/hyperlink" Target="https://www.prensalibre.com/ciudades/totonicapan/con-bloqueos-de-carreteras-en-totonicapan-pobladores-piden-que-se-quite-el-toque-de-queda/" TargetMode="External"/><Relationship Id="rId11" Type="http://schemas.openxmlformats.org/officeDocument/2006/relationships/hyperlink" Target="https://pbi-guatemala.org/sites/pbi-guatemala.org/files/Defendemos%20la%20vida_cL.pdf" TargetMode="External"/><Relationship Id="rId5" Type="http://schemas.openxmlformats.org/officeDocument/2006/relationships/hyperlink" Target="https://republica.gt/2020/07/31/luego-de-sepaz-copredeh-y-saa-ejecutivo-anuncia-cierre-de-la-sosep/" TargetMode="External"/><Relationship Id="rId10" Type="http://schemas.openxmlformats.org/officeDocument/2006/relationships/hyperlink" Target="https://spcommreports.ohchr.org/TMResultsBase/DownLoadPublicCommunicationFile?gId=25081" TargetMode="External"/><Relationship Id="rId4" Type="http://schemas.openxmlformats.org/officeDocument/2006/relationships/hyperlink" Target="https://www.sica.int/consulta/Noticia.aspx?Idn=118059&amp;idm=1" TargetMode="External"/><Relationship Id="rId9" Type="http://schemas.openxmlformats.org/officeDocument/2006/relationships/hyperlink" Target="https://spcommreports.ohchr.org/TMResultsBase/DownLoadPublicCommunicationFile?gId=2508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roundtripDataSignature="AMtx7mjTxYYca6rfh0cQI+NzZH6iHH6Ddw==">AMUW2mVzZjuqHooMolPvHHc0+fjgk0BLI9X2yJANvKbpm4agWZXyej8ZetL/FfLCRgETBl3Xxi1viPFQML8SmkBkNdZYThRdzeYYN9VwKRPCztAkJ+dAYh5WtEv/ySH9OfW0felP79W9BRWxgv4B1K+K11R/nXGhui7IXlmwqIO7WN8zGcmppStp3mqJ9LskGuQrPUVg9janEP+ZbbClRzXBT1L7RSr5OItsjW5eW11KbJQsojBxrOfAZT0Tuwklhx7m0RH8v12jcxkABPV8hlAjgzMU7kM3EVqTA1uzwJrcF67gzFle5FKglYZoDmtWOrluIiR5zVbU1qnAcClbzTnbhoAthUfVHvpfqimKrPFEqhPNTa8F82BQtitVxHqCWUbN8rnDtaTYG5GeDgQOjMhdo/6DtpZHi786eL58BUwdJ+4WlQm6L205HatBXVWhJmgeO/pte0H/iF2jQfO5vahqSyTQELhawH3p6VlFotqte27nJ/e9IWudLlS4Rps5Pdez1UxDZZ7EnY/gIFRTWdMr0XvKE8bXK0AAGmW4hFkKj94fOTujozw6PmpEcL4BXrUfQDRj7A2VPcBlKv8f6Z7t8ek6Mp+YiwtecAaQBQQIBprjD6FPjskWkEeOMH9yHuNs3DUtXOEeYIpnAJTWYeyKuO1B3FsovjVbVVYk7QiLrWCk2MwqBzjKf5wOyjMRefwPWl9a7CjIMhts93BK6w0XAQNaDk8Pbr8+fdaqAHcZ2jd/1HOQx49vcAKfhtKqm1O8rDTwgVkOWmExgZsPKeuyrq5H0WwQGt4JyelI8JA9uexxJidKRL5KNoZA32bA3ezArpzL6Pkrn4szq1yaXNFE43XYaUp1a8w3j17nX/RE6fXp96sWvZznYXkHkDUVInjz/FbZEX//paPIOuAVSuwLT/spzwNzeJE4/omiIAnZEz6B3yxZ0WXaT6HpAhR76JByfmwPJC+kMttx+fwQ0XSILm4qoqeNBTnJ/yB9gIAQu5zf41e/fuZd7foW8NV7aZv9MA+Munl05HZ5JA8VMTyeP/fI33BaZQYfqbCp5EqzsfpxI6eV9tUeleWGriU0UCtnLQ/iG68lsjv9TBLUtxrmtxizKSOwY2asykQp+qpocg6/wvzCTE/NvlipfZ55PHNKGFkJUt/8oCEX3SDw83HIbjbus/F/CBp34FNuPwURCgYzPUeu1w8iGkMppxpknuXG4KBUzP1uOFwEbTcmMla9LQN9t4axPX/1LlN3/JHBeQAD/0DtYv0bCtrGNWw8M9yULi0Lryak6pap7zOFmfSk2wHQY4lJCQ72RDF+FEaguSDyV6erSiM0iYXxNLfRboXvbadxtYToVx4KbKomV88Q8RcxBM8zuluiv/We6OrQfomolDzn5O40dmxEmPW/Nw8emTPDZw+2MNeUr5qfo4DiEzgCAvH2E1w3JUpgRTcCzg8qRI/68EcswPg5Ba+SdLAOstBiCsmOlrHaDWMx9e6e64EIem3jzof3OqULe7lg3J5hQVMsyjDU0ewDT36TAfxuqMzsyobEw8ynZjcNlgtVay84eCK2Dpt88mp+O/Bawe4wSJyBp/nv+FlrNqTXJqB6dfIGpefCwlSE43X35dWoYdW5EP/paslZ5/y05t9RmEp1pRpknU/+w2QOYnezQ12+8nwXvkD0Ul9zzQbvDC2uCDxk8JhLQbm/SbTcSZ2JCa3iuiHCimxq+p+KDP+xXOr10+28knHm1EMA8eY/7t1UKgNeVBBPaBMBQZCd7NPVrmlFtJWuXRaeSqcqMWPTyngnC+2Jk9mtzoqkraORS8c3KwIA6C2Zc52y1rdrgeMdUVdJgEmTcAXJOOEgQEGRbM9h8GnKyWhKRDY8vWxFEK6tz/iGn6pbBn6d68KluZFyhHiIrSz5CL6FOJpfPLxyGRA////6nKHN34FtbdjUoEH7nMX9v6g9fTJN/NbZ1PknKPPqmL+KBnp5JfOvf6TJZ9P0fR2s41wyc3rAdnXmtvjpsgRKlnKtncdpgqn1rHLfcwt4QTMmRd08kp9OAeg96IJY1ZdEv9Cou4zzEYk/b7gAsLvVgu0t3LJkzQbK/LQHVwafgBwu7u6sylTRhimUUN/bnRAXDQPzucA+nK7Bset4FvHgO9yvkc4EO+XggWQVIlidjYHIdCxq6PpffX0cuJNrTDOWwjnpfyqMEhzxjk8UuSjCh268IjXyTZVPCQtJxfmqzx5VdR8ZrdbAgxd2WI4SkzHFAeevcV5c/Wo2gq2tH+cPWGOGD3+K5/rZF2y3qJ+/nPCxMpfReryTecpGUw5a8DSdKzh7TdRAAwCH0uYD5Yfwy5unM9lFEXw5aCoBv+vKlPjZIdiWGUlmuOraUIGDOj+g2wFy8EnlBPr9hfp8JWPf63lILrH/5Qw1f5q0wiQZOjJ7nX2p1CC79TN+RDKaQrVj31l8GxfqsIAekHP2XiwaJh3yC2mp95/YXyoE4liP0eGr5ZK3gAMsfnB+hLslpeu2TK9VCNvyB/va9uYvMbFIRhUaojgPxfL9HpICOWpuQelSEyzziOBtSBA/PA5WcY8VMC4ZaauKY4w1tYh+NjyNK1rTlaSGHEJRmzBu+LMiXjGMRjjU5xi6pCdWjAj/4kURkWBuVN+LxX62rQsa89JhNR9Dxq8HonnyAHQGBSzhqswzeqJha2kmJj0oxt1yDf7Xd8PouFg3AezDs3MxbZ7eSDSglOvmeenxhKSyVBWQ9A5fSGMnr8JyavMnGKQSMNuy7VRO014nihSjokHBDEEo36U7VW4OrhLm6ET7s/KXJirbMN2Q8hFbIQh9OHvaoyFtVREAVnxajxCQDJVBBGNGHCMEGmaF79ox2vHySxqm9LwXsNsE9mhGKhiYF9WfYfLjsJbsJQ6hsGFlEU14zLrryQBsb+CfqeUffcvBTtkJ5xV7hRIhMx+wJ1Kr92YDpaP7bJFaI3GNJ04w3WiJX7BJBeSQHB3KwLVj2oEHZzPzb5VH/+VtM1ig/5x672MGWs8znRjtHcdJcUfXwnW1+jVum0Ro7qlrPFh3X5/AmC7kkAB6MMFcCOoGuNvxqyjyM3iW772UGrHN/Vb3QY1cIun2eV8nCdxxshLbR8xP0ArNeftDmJtkLZKlADECORUM224geKMy33ISkkBoLmIiALp8/g6G06eETTrBhYbuw9YdbPsy/VDa1Uibl26VwgykfujkhDipW3At8aSu2kAM5ues3D9Oe7CX0OrIsIvTZ0Rfbh1DjQO4oYL4gtmvv3Y73c7qOIIzrBcn4agA4hSAj5K2FUp3F9UnhzPMcrCDuBn3mZjzDsWM0+rR30mz+6AIQ+8OJwpAggTAWAdDSJpoiZoxXzeFOm8YhjJLcPV2xA331QvNPMu3B7JXsvZmIwflqAs0OTpyfzOMwtCTftG2hOcpYUQkTPm7o9yX/P0vs+in18MBwpBmRZCOBFZG9KJ6ex2MLerNTaauSCeyGAZ7b2SGNYuBLIswiiuSvUBtG5ntF6KRcr+P2eUJdsPR+Yd1BpNbk96mzbQRFYZxDI2dN89Ugo3eR4vLfz5csibtQoTD4rECnX8eeSIQ2Yal2FcJpKyZpCud4/eWJY6PLZ+qiOCB8nxAJtOWz82CZ1wActg424d91+LjEMfyikRH867mKHnKDETdQfHqKy7Z4/h3ie+0GkzC78PltPeA7Pi+dekh7BbCTFF9FAaJFRKW9I5EbJ7JAumo7gJbqN2n1prsrERRF8XL9Is9YbRk0Ckw7qFEpoUcICtxpJcXLKT6oFmAaW3XbHykYMdtc2v2DCTwYui5colKcIcw8uciKWnZsAZJIbjMB639o+DuL4Q6hcZKCOK7JeJl0//Fu4O3Qwn843qa9QgNqrW00RswEC6G1S5b7JKknr/OJ3VN1iLUFXF5pctVjE6hgc1XVnx6Qf73RH9Mryo5dnCN/X3j8T3vCG36KemRzhgLWWvTouX9gttHHjIfJejHzcbXMjPGrmJdr2lD7CUbBkjRBCdYxq5u1Bhc2hxiFju7EmKkLICKfwG/188JqOZsXKCyhIcE0H4fXPKe337SO+1bG8EJ7jSs0nAuImGllLx9U5zu6RlFupDsBThD56tyBmLyE7VORejBPoqMrMrMI7AibOKs9wL2h0e4IKkm9K3GVfvbYaUKkiYZK6eQw1JFrIIFj87kBcwRcPcxFHWrbC4hzHo3sJC5Cc/O60au5uWMXdnWdEezWxm1y1iX2//5W0mS8oGlOX1Q7BdetngQJiBib2s8VlZAT7TNQJILuYU2CuoxvLcjYjj/ekytvjJvdnQp7zvEDUODmg0ShswQAVys0GHU03u+QMDfvGI+wKpmeX3UQJl7yJzdsfmxB+5dBKATTn4tAvW/oYbHIR4S1ik5YuxyZyhP9BOugzdy3LWwdK5+FzxlLXXsygjH+hNx36n6b/PBMVtaC8NF8bpv5FC8BurBSjsT/YxSw1pFNbJfQ++hmT5wFLFrQnbuUoiAEE/S/f7tZZcXj7+DGV30Y+njX9qF0/f3sNo2DfZ+IWVCbiGZTJTfVK/RQDeXYQrWr3Z15kwg/k1Xxfb3vDsskzS0YIWdB/etlQ6uSIP+UzA6WTyyoDCC68ZT/7tJ+CBgtRDwYrsn4/71QT1B0NJGr91cIg3Ry7X0GyhCjMReGiA2Qh7nn7PE1XxUI62tlX1r15wf/gPZqbGQi8avj+IBmCEDYv8gNKwDuSSgPKyBVHRMb1vOLeLls3OGbP8kKINnNV4HMvRlN33nY7ZtUN5nDJxayXDlWMGnAS0aaoP0GlGy3xcTJeGsGBN0OahQuLH9O0iw/GNXaFW0RU1Bc9JlFLTUe9tnUPsydA9eelKiPCjng0d6W0/wJT40oTKuv6sZ6UECMTZe3SFzqCki0jKczQinTlWb9uswkdqoflTXpe6ibNVP3KwjPeplqIZcGdbDs8Pui9+JxMy0eVGd2XGNg8yJwXTpMKd5oPwMF4A6R/DC0d0h57QN6FfFvWYqzLWjGwQUTj435QDcljx29hOz2CG7XIZWea5uZ8aJmtUxVS6SfR69ISPiTaEzvV8HeobfoF8SRvcWlteyLRHGCu9uDrbnbLSfPEsYFZiNdHSBSv4gXLxg0Q6Th3OxMdMHTtnXFzHfaIAPCAXNJGDudYqfZyI0oS19rqXAp0dAh/ZZO6PnhK0XT7DeFp26UOGeTTZB9co47oOR3eACMSGWjUrgZHI4EGbiz1x2MHTfgNb3OtpAuIa/nHBqwzN6vobBJo0X2uH0CtDYP7TeBg2xHc6eIXHlwjnNlMk1v0qxocEWK/V+MhKnTpwE+zTdaNFQcbfIgMBQnWLFKZfr3238c4otufTELPASIdWs0mDIXLGs9Jl2MYArOPl2li0BH7QlC3b4ZmiJ6YdIssxrp+HycZdrn6+QPRe2Q/sMjUZgASU/3ZVxWA+RJetaRb2Myt3VmX1MfSHDif2AcsYgdX0J5dUIkr+xZ/CwxKdRzLSHLqub3iSy5qJ0FQKs+kNtXfwu9MN5jEh5guptXa5mrIpb7K06L9yDqO6cIw/v7Z5v0OW+YrzrgNzhFHj8pJchSLIRWRMOLqv0wqWhZBvADRPZ0M9EIb/88bZ5wP7U+6yR37vvuNbHfOX0ocDIvVQOIBW3JrMJ15DTKhM5dwUd6wZFaqNfJnclqN0k9QdhojsoKhPY6sYfoS9qCZOcyA0En3R/I4GVcFU9Uu3bbVmD7xDnnncIe6b3trWRXADUXb1TF4WxRIlrtbDo7xRx9nha7vdpB3VozIIVbXjIimhZK8klv9xPTyXxXAztxMiQpnsWv+89tegTqtRO97TPfod6iA2iX547YIkobBQ/OKSM6n5SCOAu/3iTvoLmvn0Vf781sT8t5vC3HAbDp0kRASTc7vmq9an1wKBwSzux5u1YXvHIBJCSKZ3VQlFzXazdpCtZIMbdxrgPss/EGvDAr3DrTNpIoQbjPajR23TOpkaAYguLaqIhmxzd3o6pO2NIR969dIEMNgV8437iUhuj/daxPYhVcvPJOozrYGjziMA+LpSVn/bjtZSPQ9CIwlijgVEuqgwDtECYXvZVNB5/xN6JiWXk0jZqC79MgcmmCWuJ+hJm+QyBI2SdhCj3YQ3RJW2pBfGU8nuIPkSqMPCl0xzHTr5ijlpx6zPb+RPW5oY1ux2HGEPWK7Y0TLoDAc57NDrJxA8xSEmcAt38MG61hAX75FxESI1lbydvjxJ9TefUj+vJTWhT2iaWHHkv5oOkJNkAMd3wGONDVIaPDlP4G41s3k9HeVMOG04eNTOVbQmIB0vY1KgYYBqNPkkoZkOMGrOKwk9IfU38BBi0J/PqpbNezzsMvYy5fwzbtnjJxUeIxs4A2zVlOG1AeCfx/7rjVfFkiiDnd2Z/0Jvj0EgXJ3zHxfkjCF7UiHlNOk2U2FC4obwfqI5NpqwfQNNu1AxkAqGxR8cgqCsiKAsIkaudVx4fhBtTneG1aVjlrcWs/NltUePW731LL3XH1rcqD5wBMkRhA+9AInp1gjDnyIJeLiBJJpycZseHtSgfr+tGgWtTZcblQohA89e7Cm+XWNHANLvq0xoDxOu/mGgsp5DWWkOBVwpU81c8NSGnOQtGaHrUqU7Z8GMVUyxM+HSQWaTY5283WQXjqBiAjaEGKHT2FlyovT0+XZnpH9cA+M5sJsP9D5o5cSw/k6Pdu+ONjEa4LYCICTxCpjfbtHBqJqGseRYlB08/IFp5ydabJRiIlsnvEdNQSl/8CYJPsawoBMWvbbU9R2SfC5f5JcD0uTO19J4zU3MTVNsk3KR6QX1mDJpvOWPjUmITZFUKxvo9377pFCoQ1ktHqJRvapanxOBL7QNX7jbAGWrIE4VhyMNNOW5Iwdkr6vcHszxXnwSz3Rq2xsQfkS8MMcMOqu1kkV1DltwJO/NQUZ/CZyzRcf04qZ/XfxfMjvtd1b58Li/I/WYbsZUj9mZs4F/OkSV8iMV0mDA9ArV6aHD+/mXnDlpQwuQXhi7v/x34QO0Mgu67kcJSuDoCF10PtfvUmPeFD17/ym0WTwSzA290NuEJlRGC/EZDtjIrchlq5wjD3NE+7BW0uLEp3adBzQI0nk25S6V71PV+kr6pihpPaBwMSA+Z7Uenuu2p/p97IbT9+CeSpVR4snYR1R1Z077RWhDpLLnRlsoO23ZT6lY73xcOCS9ybZQFGo4Koc/LbFxgTp7S/Sv+xwjwBGpHL1+dx9JAb4fKMgKlCzmS2vYoA7RshGcrdsZ+lOlJkCyRZ+5X5JDUNB3eQbG13ai+b7PwlYk0eOclh7awP8tXMUnaqfPseVeuXzPyVPAq3hCrSFUM1izewVk8gsj2oEvqrhlOb15+BzL2zB94nX9QWoxnhBGj82Hc7/Ev6YQ5LvEaDI09L3T+6wEhLCvu1tXZ5/IsMmCEXGLHEtUP2QT0KFRJAbmrU0/QBLCu2szjq6MZeqlEydyK7rE6+vEu4dfWBfh/xaLb6c7ijWOevRRFTvQEoiC9VG08G6ro+sotP4/Hn2smk4PBS9a4p3QbDrYESIdxybPUVjXXGLlui/mrXF5dAmcDZ83TsUaxt2I1ywz0wpEHChZPepcR3fmA4y3TV3hpGPueXQ9ldNVBe0sXAhOuOVAb3kyQ0dtIsM+dqmMrGetZJNApA7QtO+mogT1znBotVf6S41nZ3gaOUpLKv2odsPeLF8enNVW/T1gS04vJIocQfQAOwWl5+HMWURQO+/NBYIAdJOfq9Fed4EuwcjUYD/lY/Ug9gGwdr+ExAbn/OFjUSgu0Fy8pIir/hfRPOoqIVUeXhwlmQ4OyBWqXoMdbmsALv2HvrSfn0bOHR/PMod6ynR+oM0Ikgv74ZcgwUrvkYz4sHQByHwFfFaCzgYBl/YZBGgMGANQbN3POqtCypWe9bm/ExN3yh0WmBC0XOfJCuEIyCIOjWOEuvPiAPt0JiuCqZx9L9PwwByo/uqS5Km8peCJKg1Og6aE+8loPIQRAr7K87rRttdt/YtXZJ03LwUv8CqflLTNWhLtGV3osuQFoNe94S8QFk4iNM+GtBAXxOGlt1Iu2Ohoy+/xHIBAu+P+hJkUkoQCYrrQ7MPQ9nqRX+/Wyd+zkZq2QKETW6Obf4oX7LS0H4H8hUTgynMkwKG5cyh+tVVQymO9xP51TBqB5p945g6MIELGxRJ9E/q2b7Tw8iLp3Zx0kfFdcmdUryPj0NP0eXa5A7x6vtyV1zcUISLfpjyJ4EaN7Lnalxk1hpeGkR5B99k8ZdPeeWLjEua5ArhVTjTt3cSfkfGe/BU7oc8842zXDNF+jzypcPIE0DYOr1ny8fpk4h2F1JHarBtYhmOQ7jA7mpPNfSt+t8YxMNfdcI1wG+h2Yq5FlkK8Pv0U7afYQMEn+GOcJBkvrD9312DC1sGkzcomE4DqUPQV2vYS9/bm5bIlOS2NWnmNdU8E3xk8IlbGQAqdc/0YL7BveQ8pOQoqK0jKOXP28K0Ra2hYuH2c441LHvDzE9ScoylMEpwMiHMcbcmgU0/y5NKVT5HyHuECD0KREJZaVsO9LqD++slbmQ4UJ2/6MDpUxiEwN4Q3e7FpTjxJzTCqHMDNZw1Y/gUHkaJ3qr9ZjOsdlJw2USCw4ETRYDUV8c2KFNFdzYX7KP5QFCzJJxW6HuB+eMIPV1Zl4V1vVICTO4h7px9G8AU2uunmw7NFCOnccbWtnGwLNMvdBa9es6p5y1acZ94lgcZFwT/cZZG2YD3370uuZR1/ZMg0vPqkm4hmSJ4t9DzAtCrqwpK4C1DMyOEaNIcyeyP1YiyOtVBDVaJrHFxB8eXUbBy0mxEJOFA9OoRox7Tj0hGV23Nc050IzfvWwcA5p9MuOo0r7ZzK4onn06N9my3x2JpnwVzhSpCqZ1oDbs0ETmMKnwQlU8KhFu1TPMAIohfESsgBsnGdjk/8ozGhCixUCFqALmUjzm+/xS5qfZk6oF27Z+dXCGLGIpXEJiMtPq+z2geSSmnHZrW+c0D9RSukbyNdR2OZQQ5gLjR2LeEqP3/4MazgG3DN2ZdtsxHq+lL9wmbDLZ+LYOcUhLx8e9XaT189T45Uc6n/+sKNFqX59Js+q5amk8JHaLo9vlsPr5eUfY8jEkeyukRHHuYSkt9EfvsXx1YJSfHp55PabQohOCWKlb2jNkPNqafWNZTzqJPRX5bfZKrBdWK52gBGF1wj5R5LUZegk9HyDa2eEGNYgrNTyi9UhBzYxjSZlx+15ajqXRke4zFoe1RqBH1zoryxOWl7WJfkEZhnt1046yCDDY7+xldQ0L70NdRPiOCJUa+ov1WK1WDFJxEIhySlvwqGlN7h0oj+6djlWoj6bRLxOKjqGpBwbdOLuzWeaCQV3AtXsDgEF8kJmmmO6m27jyQF1dFaUx2PM7Lw5r4rDvwVEsXn4nzUZIY2GzCjqLMkWP/YSdYG+ygajOR4NUQLvcTstNEGk3DJ5D5SGu2B8Us8QLt5EIplE8ldJbMFf0CvFyz1lTVBj8uydr824XPn1PSrC5hSRkJ5dZvSbsoD661kXKJ6qE54hDUiBzU8uKasDWseM4thFzcQhm3mN9j9jjT+3wKBma+Tz2yOzdrd2x4mTgej36jtQ0UCxLrezCFmuDQjicxQRqR/mdRahTak0HcW0F4qigG2VYW6msQ+gimv9GjJ7wpbgVJnGoxkMmnsyz8cwnbsyFln4tyTKapYfq0t7frLuQgYRgiDcQAOIZxjT+R5FzRJBSI4acqpQYJJNT2Z3Mcl71CVhJGjqKaOjov9jgEsvBY5g4hqEjBvVdelP4w8WF8F2HokQX1U26Tj4MnTxURhUh9p0/oqJl6xlPCkm/h35Dpgp+XKwzTvuMdneSTSOv8mFG83VQPXVp7W/buG8gSO+J1DkmRKnD9ujy0jXluzAR6gm6hsc8zmsU/6MG1t+/cTVq2JUxN8XZe7n6oWG+Z1rMSn9MUE70Viirf2mX1RWWBotLukv5F7u7rSmiB0Jw0Gb9B8Qz9zTRB9b4AMcpuHVnLXlfR/o7weJAlOhSgLd6BFqYxYcwmyiU07uk3NgodDY2SW4VgRAq6U6v4tCEebsQ4UQ4xHTKvEpSUShOoHrbEPuhYwYSNHlEcIOvE4OSLekIxNYm2s+yif9iaytxRUSOBLDINweiLZT/UvbYM+Y3zjGIG2luqvgN1j3dKeJVNBkv0hbtleSO8mKLRzq1iAhkbsBUlK6ucMnECSuSUF4stW2GXUS3vhPf38lSk72geVSSovR7uzTX7/f3HLl9Uoer1UvcaL4u/y8zI0Q+MnG2CIovnankQw49VxXcDHqO9ZQzBNtMTAx0LYLJIuQz9BL3qUUOf6chsz7PBRfZdt4AysAbDKMoptSME7wJSmxC12iyP1Hb/wWiOVyG44hd/fGH28CzvRpOLxBe58Z2aotjdA1DgPcCFGlulC5DzJLko1n+8BlN9Mp2FlcNMm+gmeu7+nma/c28GUWA+Wg6UN6gTu9yNa55WQCzrhvSjkX3jRoHs1C2Dm4vo75iS6HiOowwJeNyaFanVgIUzIgaLy7ebFiX0iUCnd6AN/CrXk7ROzstCP2KjjwpW7SUhPjoCvqpRfaBOV64x0YmWCQAjAW8iRiRXT5PHlhvRdPyCaMijROn7AKE4uBlVtYjINFGOhjynWeG/8aI1UK6YwEiI0nVsnjM6S7Rgpsh70KudsrhdACjpPno3SRhFQCcjQzRTo3R+mrw26IMxULzpnWR04ufdQBg9K0NSFMNiRhJR72QnQmDy0WOAdGr22ZEeYFj85sp9Flu0R1gVCsKptQoN6XpGTRjqh2Tba9Huqfu3BsBp+GB8NqzfVt4suv3jliAaAvoGRReqXVgSNsF6jiALUj3yNw6sEirCly2R8Sqd60FSXh4XLODcaeGwMg3m8vUEAwkdOiFwoYj9l7igNKmBiL7hwqNbf70lcWEyvSxt8sp1rSnDMHsed/OEXwAMbRB9M2XYJRRULbULFQH+VN0V8Jp/7wgt7tZo0N4PDQ1ZOdCc8LapBztpIK8S6XxGE5vn8v2EP7U+xV3mGX2rRvKAYwY6OK7IT3xXG/LJK4c9hCexYji5ANl7bdkwg7jwUlCxEOoGqMlHVCf/xEU7DR+HtMnHGfOEN4JvsbhV6/EkftAfQAEKeA2L8yTAsSQZXcMnTJr1L0gL4AGEGfRYWLDT8S3yq6xH4PDFDEAa6w5Z89+a9qVyEJyGsF9oWh700dwP3nFJfNswbGSBz1J8JJcv2ercEnta6u37KMCdth+2mtB1ag0XBcJtGb9g9ttvJT1s4qqNgUD+XvraXyNvqzdGPTs+Y1vaFjc0/h4xz4erXBWubofUN9Wkgm/EnEs1BZ6IbDlTlmgQxKnYAAlgAhECfQWtDz7VVk4hptdnCHepGN1EH2q3yf9wVfsh796LSKGIEzkp3++qeSZCd5l5/mTT/ZC5u1/lKC3JS4WcLpGJZYg9CFKub9my0b3JNd3BOCuKZHp9VD4xeERWGTDU6J6Kxh55ApjcBsWwJGaj7cn7qaneHv7HbFUKj9GnFsaxmDVXdMGZSO1J4aj5dvwqJs8N7ldkLxWcM9plxvNj9KkUIZR65hSmfFFCbk3TosfarZeDJHjg+QLduY0rYGMVzFUEccC99Xm8ruSogMtZ2Knv/EE0MqQ6KwtI2y52Q9CdVHcCCnpw3lB6igO6EK+7ujPfZKdKroB2GHT8AdPbATBlYOOTbKdOjHihWY+w5FA9CuHev8TWcsjt2iPrcDodyC3L58R7ddugMPleDhpt9cBWQ9MSk81NFpyF/vGFx/PuuL45K5wiC9XgQkHLSjhoY2x4HZSfwn92GdcE5QZwIDUWra0CRNqULJpkBuJAolnKMptbyxHv+Ebu9gUsvONDHC9BYC3lzyE4+IeNqi37efmtjzPf3km7B0aVD/Cons+386c1G1xPXePv5Xjgp4ti2FScJ8BgYX2tLHGACJnYfKlMc15+wGhFBR1NlXBDukpLa3wDJ5mSC44/HLFmCZ+L/NmNubMUgTZ8Z4WYgRhHogW9LwhfzHGRg1SoWa499pG0rAq29eydShEcG1S8lZcrQIviumzrHZ0GdpVDRYk6FipszBjp3j1bRlnZocdmtNwuaz1KrpLLVtPdVtTrNCkcABqIX2OBNAfMKMuzZR1teUZS9jkx+gzXNNj99/ZpiAzxIbNa5TcAegR3qZX+4XZM8xtIfjGlBIbhFtJ3PxMVvyGRGGyWVY7c7WBZVzrzQh46hYfVM89n6xXz5/IlQyIXC2HhDTZxcRX5QYB1Eis9Rw2HS7ZHL7RCV4kf9dgSxJCSt4ZWMWgesYfI2+2OzPAZn0MCMZxRwb6QL0OAgY3CzF3b4jkv7eP2FyzDfIsMXeKeQhLHV3Gey+bIVa9Vr+6sFdFeA4bXvc1btyx/ICRmWgWfj4h+DVru/YMZmpQpJAj5IOJis6Koi276t1WJsc0NkVdXze4WpKoVQI2hc/94YAG1cCjRCk1RIWKUIhZBXXmvwlohQynlIeOmDHTEYONupnvrI86mYYma12tk7jywim7mVR3TD5491+lDJ+9VS3ocHCpmIXcyvv1h0W06UH940jRdQKIQfx+VhmQ4NJVnjfzDdTxRUHvbPt7DXQEbIcd3R/bA/E1q3fanfLKB/hTG5MngKAO8mZOUbC1yQuO1G+DeDzd13uYy79tOXIDyrk54Uj7AU8Z1+e2wjwIyh4QOJnDEJhROosnv5o4BmRuCBueHPpseJzjVaugNkCZR4gbs6XPBiFXlc1AnFmZkJsurPXDlxXqbOOgWAny01hL6xIObvzhgJQv6cANylY1qsAfmTsx5uTMkZnj3TADoNwmAplII6aYOvLtMg01uAijlxF1YoCs0NjhjcbbHory3pDoj9lKBvlowjeiATP6obB+s6Utl8lGJIuAxXyEzQIu8uxZJiEK5m4cL6JzIqYj1cdpKxihIJuJZZfprAsdjpyCy2EwYgtWmWNhyobdHw+ckXNEuHPS2CORHEPpRPpfG0yiR9AtJ/TqO0UBdlnS21gYou1d8cf2j6w2GTJRjzfCs8kwWFIhNuROlwdYMmtdzfDuTmnRQ0R9iFtPeSWM+tkkicc5NqCwfHWj05uo5wyIfkn+pQP1Hkr0vjJzu2hDeBMgdeVuAKqwqjQghJvlPW2kaeTM3ze5xTcvOPOXYWk5GfXzezjGAUXHJUkosfRfpSSIbZwUuMOjdmdhqBfX68EHdRX30UAaZoib5JtP5JFQVKL1k45lnm0LAhQZMMHFQfxzVIczxT/VFkMsAW9sQ39VEBGDPKNsvDdDBEf/hA3PdKBSura10gYrizX+Jf3ggJb6F8zzjGk40ixRbkTX2E+4Yu+Sq96sTXF0BIwOLMRyTi+we8R2jZQNT/25Y6+jNo3bWbHBoo5f8WuyKaPOBl8PxQxAqdhfS5YxNlRbzJrl65RxnNQ53FFymJaPSSHEVwf009hXCjfegfFQLRzMBs6K3Oew1WkX+akCVB2gsof0prt9bPjRhAwN/vu5telsVCY+g/LaTJUIfVKZ3/9uuwpIrvtal1oXmU2OWUfPNKwfPN8Z1vs2o3LCKrqchwOxY9SMgqLZaMxsyV8f7XxeI4TLdwbJJ7+zCMmST/BEyHfLyAmUPvxO/no9LnKccLsLEJGGGoCBzCtxVGaG5dgmOCMbgvxggw2p/0v7WdhwUWlVpDYGgNG15QXd1Q+v521V+ULjCz1x2Zqzm8Ys+FrYrSJP8Mbf6UACnwaJXXyAYWUOAsdHiTO32FZAZ7IIOrNPRrtL3dRehnxX82KRB/NIxTIEwDxUPFrCWECAlp1ZdXBMC8SgQhG/L4xTfKEMylICIpVep0eHEtR0FlHBxquSVEryD4jk0qeSUnZtk3UmEHAE4yt6VusrwZ61nkSkqK5AwO8sySp1JdHQ1N6t5oNa4nl3BOTJzo4jjMCF5lVRg+uHBbwK/vjZy7+fQzAFjlGusSjQ4DbeeqwrslC2LZOzqMJPi+N1rZ1IQ5gKPWnIe66dHANBYxfriN8crgCT/aaLWKEAuuAGVOzSiRQFaafx2+5HKTD7S0QEMVUMXxvpuIyyEbHbvKXuRimQ6fOjMrAkVuNYYVCVCw5GPawEpfnXZ2Bv1Pacwy/eUj6L93QYxlitlTkKx3k1vYy2WqXXJBXaTvOCYet0wuVFbxZFlNd+L1cG32kSJ0QzH140i+oHpIdjqNDXa9rfaYB54mD/0SYJoQr5oI/6XnRqoEn0VMmS0TZfcE5gl83E0iPZnO/unYie3cxKO0M4Txn6Pi39oRFHry24IniLAKgDPDuhU2f17MJkTdQt+N3ppoPFXEXLrcGCRt3Hs4ra61Ts7WgbYVtbAPi+8GxLB1b7fHHPeBYUAAGNFISyGsMaUWWpVDLLBlsLXxGtKCBwnqxaJwEcY7AX8+0Hm/7VI/Vvp6C+riB7XpOYZUHpO+Xsr+c8v9JP+iV+MUt7B/D3CA68csTp1akk5T3Phps41DzF+TLHdv9llgdJbKjMlbsBEEy/MVNrUiumreu8dVBkKb7d3kxcWin5SYg5y1b2hyfuAA+YN/iNqMMHVHH9ePD/gS97VA9aPyuhY/N3L4/JkGMD+WZOp3srRY+TtqF6fy+XR9SoVN2tFkDdh/Hp2J0vVTS3hUvdt2q7OXjgdzyGhABP4LbGzKQfcXAk9ULjx9fiszY5VMIKYisquSwtXkW8f4MGY4LcHJnJzraVvI8XdrQ07MiHgYV1WZxbtkACnL97k8cWHwlZFL0sWbehParKyAI7RagY1B29Wv2mohIoWU2DbyciAd6tAsmmO4IFXyjlAxYWL+QrhbM0H+sn0yqB9V/9JWzXxPozZX7qbv5kcIgFLk/+SXHMkkzV+6DVbzw3i6hzLs5cK15XGTSp+/Ed70fNX4KTaggTpoRwp170bFbcotGFI/CMB3hNa7zpnoM8nTvjWj9VauS9Su3IEOHBMala08aKtAbNAutZ17MOh44nnO8OAKN9trqafwmc2pjlRYPElaxGcQO+BrGclEdnVm4CY7zRdSGPNz5nWzlonIHCKnCPQH8GD8KW+nWczS9Eey352ixjmGir0oa3hQi+lDo414qY6fJM5Ki0SwvjGSEz/8h4c9JsNJDClIoiKwIb4rd808BUNZCskRPtzpv/WjgFU0bV2t1JYF+cXDRmOeS3r/RzwScXjUesuhGtO8y/+iXv1E2cUFDlx7N7lKrveo8bH+uiTKJXG/TWN/3dJgqPz/uyh9dT2K54COXls8akeyZ6aEOpt8y+gQ6Synxhiy2ajkDLM2mT7vCdhWPW7IbNAS+DqdSXEMKcQkCYuu3qCmWPNExmshdo3EE57PU3I7vTEsQqK8pdvpDXYsvBqoY5F3h5PvUSndhhumZAngNWP3uYT0Dx4YjCAnahpqizaR0AP8nUCJ+15x+m0IRak9ttoD1fNsTO3NmHWdtORErVuIRy3rQAsl3WzVQw6gFXJ2wkqMZ6NEIsgyoAHc8PDJh8K+h3jLbkKxqHmomee1jAh4jaU5n6GfD4aWj2T/VKfL4mjuGIgU3A5d0DAgHp6NzkfBt0bVeabBp5llitpprg4vDhaIixzUXiM1FiRZsWXg/27eq2J8nXXcjOgdQM41gVU13t1r1BnonFvGgVrqfeGnsF7SSxZl7O6GbeVxEQ3YQZD1I/A0nC9nNE/vyOAEeipqhEM8+j9QYyw/pJzPs+QRYtRlY2nLRv1IgcqGuRAQz54CwBAaq5+V2BCWMGzke7sDaHUT9U22d7X5Ofi7/m/ZUb5SQwxF6RBY3lKJC2wfDFWKzSOkLTu3w3F3au0xCC4BPDJabJKZqmEbCd3YiKEfz2N0CXiwjHOwONuwwq1/tLMl0v+xYpP5CryIg/bhVkhCTI1Qk8H+mOJywujJ0c59Yix/tXy64wBhuSZ6Wf8G/wgDUEJNdXjJWkdPVUk9pV3eDspCsAdA0Ox5fszshuUiZOaS4lpe0FQAqGnOQExen+lBhWFWAegfQZfA+gTTNz7vnLNjpjAKyEKbDx6QfISTQJiGvu905En3v2srYaZi0NunThLUan9vYz2Ns0HmiAfQAEpHYnyz3QrMndPuAUK1ydrVIMUPbEvMs40LKX3GY7jAzVK6gUrC8TEDPdkXgTtN8RkdihACSw5DVVqwDP8uwEp4UGB1I0MG1M8ncUiLLkG4huCnJDjzxi/ERorh6tgoU+kHZh+P897/IlmfhEcRsP0Cl+IeEPhi/8Q53G06LgNcq7CdhA5tm2wJr8W0tszvtcfX9JczuaNqcm/rb3o792EPD1lNfI4EibXJgm69SxPcuOs59vcfxILVDtvd9DZB/WsK+epa7/fPpH1U9JtQzWJOyNpovOsJ5X0oKdbcxBAMQbkK72RM+r5RTCp+/mDBdqNB0YK3dCW+fN30Vj9vdl1JdCWBj+Wamrxa+qYLeOIKz7NWY28CZnmoQnw1IDnewkp0Nmd3k8BUQgbEB9NDhn74sD8IqcMSi53vwl/nk0XraMY11o/Sv7LkRuz4UOWV6vVLwdn64vNq//SYY5esxQXveE/gFh9G2sRAZA3ThH0aISEfA1cc8ardGIjyvuUjddccPmdp+fqzo78bSrrG1mgBf3VOPNvfWRkhm9i+oc7J/eVIUX5lq+0fy2FDI6Vothurs5cdrorUM3xLgtPfagOlJb8+Ibn+G4mijnUUcarknvG520npl9GF2mu1oqRJrHCDW9XJ2K0sdkREAPkWf2eVEV4g8ExcrBbr1GG3cp/YKxyqz36X4Yd6rvMoV6VvMJSOjK04K3e0cydYuRj8YnhtpTFisLB6dlayO91VsgJ7OY1St7lELUEHvz5d3KFOuLSNBc1v11q2Fg+rfEtU9vGlJZQUxCROCAW/Ky2RhCW4dgIW6NEyZtlM9+1/d3+z7Q+GfiZQ20+qbSeQ8HmdXJ+aeKoKtp70hjy1HfK4gKjeSII/sFzlA1x7qP8ZTl8Bx3EtwP6AjzyFJUyBdvt/6vzQI/KQmJwjw552WgFehY+thvn337l0CyrZaWxCoMf1DuzlHAL0Ti2Q+fDC8Gr9nwy+vu1O4c51WNOF7qlkjyKuOXOMUy/PwLU20r1TxcDXhklUlKGH2VCznl0OhHZ/9M66GPU7d85MbX6LHo3P3DjY2tKLgNc4xh4ZIesb3M0QZQEnMKlAEryiXPMNQIaCVtEhNb6GEcL+bA7RwsBJuaPe5PARV0z7oH9tmZfvmLjJzaOy8RQZXnSeyQzINC9E6CWCFxgkMky5XHzcK/vhwTJUB0kXJwqlDwfbPdK20W1rWkPimOQ/MaRiyC4l5eukjtLHlbbKkRAHjFiLxOA9QewfbiUHx1FhZfEKcbWU17h2sSNh/vrAHOzuCX/th3fBC9K0mnPQFm/Up6VRjvKk0lVUFzJ8v0CwB2YYgZgAk0cfAR5kS+QY8a7moz08DPKFizCkWR8CP2YHXOT5FkvklDr5PxFIVJYNGtgev3EB5eE2/ZJlJbLGZ56Xc7RQk0AUzMGMz+2herMm0vkCaAvZoGSMk+BYG9OTdTxnPuOabCFVPsPYky6GKXjRj8LKSrxSekuYueKG2xZNDJdHiqPfGaz1UdbrUfNdA0amJ3fNHloMcOW5RlX4+ZJnwIhFUdyk1MdvO87XGeDSOsQUNGf/Rzc0gQ5y8mD7RHygCuuqZEPokbE+PK+Xxl8h9D6iEt/XWmL/r6Z7DXFY1LGAhPwhUGQ8hYon4bxwfdPFRFBGobOeq/oh5x/W9DJBbf2vk84EsH4nRi28leAEcklUhSDjCMt5xaioWdJHqMPT30IWR1YcD77PT/X2b2cakS+jfwZUMW3pdmRvB8/6gLVjxDGLrIrisLlqgTpqcu/TnOJjMFVQAIUgkp87orfEHgZiIw2PduSupHAvJu4kkBBu40pZ9oZmAnQ8kyBnBfWo29enhg54Ti2WUgiewOcr66bqeFq8rTo84deQWs4V2vHrYXUmMd9zFii2NQrCsDve2GxqqkvuEz+AAdGg5KWs8y8Hf1ShSB0/Hh0g0TZ0HEofeSeUQNUkCinI35sonX3FDxBVtjjpA1ScHJVcKBlaDQ70MAc/9QHtLLWS3TLvERIeAhDRcQie6FifX2X3WrGEy0+d2spLTVnhiovxoxcZzYqqYsMM3C8iqt71lpUzjXtAvDyYeQdWISpH6XF30+juOTp9Ud+Xe4D+Ly/oLz+cfuMBsBVxZeU/l6kYJ/zIcK2IE2fRxsPfONZbvIW6DCfw3qEtGcKaJ8d9bqotGXL2HdRO1CR9qgx19E9NcvZktB6xLL/EOWzvC4ZGOzYz/w5lHNGyt2uebx2WTOdKa0vDd4dkKvlsy5l9Ez66o7qCyvO9kQW95So/aCg1QzPQDcbDrd1VRpMs1YfM4xqNPHms+LqORJ0RR9PhHGb08/tbMb57jAcSEQMnQaPsX94Dh1Y7HwBt5f0fpQxCdo83FPimk8h6pRbuxDBsXhL5YLhrPPZWKCWss6kvLyn1QxySEWNCfF9ViNxW81ZCdUg3j7CxTdjxGacBtEDvE8iF8z01JwebzidoUEUNl9f/0zn9GAyiPvqFS7iaQ9F8xUabQ8sM+UeHemK/RxgeldCid8AxSLukycCt4ERZz1BwSC94dT/L6UaBrRn4tzVMP0RFts0pfxhPaH0mPPRxkDI707hvkAO4uWI90BZnelQtPBKKbLoPDXvvM442h+HLkRWDZ5ooBK7CG8U1qvIV3W3XzahsANNLCTtANwUqVWnsC+w2/UOsjHdtGmWQARS4ia+hhHLsI+yjUnz/5TEQ1z7ocziw1cSgPHTZuTeA8DSsxzind92ZxTw68VNdR3wP+Ji11/c8mqoV6uGMvrEtA48XxSeP8ZJHkMLsMGHL7n0mh1c0lHTFFi/PkXkaFkRizlPtdQpw72EvAmSs/gWn/dYX2aZtOOggS7dstRPfQaPaL8Lf/2md4C3uulYA5pRSYTzdT1twoH7VA3oi4PFxaDc0VEuGdrFUbXHLdNc4b9F3X5Nl/E8ljf/BZtt9EZHrU4MGVScLTmRMbeeIGixnp6GhXsXcNM9PAgni/rqK8CUw5/EX3csi+6HrC35IFh+sEaUq3XkYQMqMkl3IZmXdy0qGVkLfpKRnmEHSosHrrTsK6pSM0rL3Dt2PjWMyiyiuNKFRffl/j3vsUdoolK9pffzNxmzWYF/MksS3LT4m9dbCSFAtRV/eUNki633bpZHRyeAgcEqZVt3Waxni0p+OPtxF042ziQVr2Pfd7/1i3zEzyShfsRuND+oUN8EjjqTNuwfJAQ0PaxB15acre4aV6vfPeWX7wBH+DBiUnxrN72dnrWfQl06UddQl4KbL2p4trg6/u6/K70Bf5pTnh8xc/mCuzgWD4/zUKCp1PE+Zmo8YR4qsNh/8qi5TiQOElFvUbjEjSd1x2JzRo+tUsT7Sn2/KnWkdCbxZ1kpfxQ5ZEfyOlTSsX4Y1ieQhRU2mLsujTkL7ezqKcpsHvYK/raheVudAikb1d/doOEmu4A17XsuuTlnvSHYb4Y5r4VuOSK0Wle445gt4L43g54aqFDmt/nYe62t6JbrDMD8Ep3ZZqZ5gWv/UAJxzNBG3k6XS/Wi8ktzUlj5iMDsZfMXxN3YXx3FYJEEMJfupl6w9qk3ZGgGXswWmeIJfb5XjTQjRyp7ilvlLotEUMdKSeM7mjL/Vznf0iGxJLeeDtF9KPttJLKHKuXWHuZucpfwd5XDsywoHQlnOpBZbBuoH1h6LuM2Oxsmk+rtu0DjB+e2ailUmhOarOXV3uWWTkqTYGigRN4oRD1u80LSk1jsRjQXyO5u4e3506I2QbZWbToDrFi6h8nt8y1YQhjaBqVWAEdjRV8Y67kfRDftkkKdqyOUbLY1q8nz+tnW1UFLXjbwo4/dXk4kS2s0IYIvqwv87xJBS93bxkQpzXtrIF+b4d+/dnJtzbFQH3qn2Wc0X+6mRyKPfjRxpGjhE3lxcQOhkhxs6sJIBhZ+YCrBubh8tNXKOAqrMEdLai0w1j1Zey8kJO1jLujIjFRKj7NHvymLWpjab0931CV1kx1+L+jk7Vk1Bvu8H477x0NFhgp5aZ9v/EYmqVP9ZPGOrbwNQMsmqhiboC92hV1JCFBBGadVWNbIiV75r2JeEhaRGAYjyxBjzRMZtbyKpeqgfegbgLL67heMbQ4T+AHvFuKttHf2jp850RwSYQADKwj6K8EPoml2usbZ6RiomqkpUWMvkhOB1bVDSJuliP8FoOukKsjRpyHEm4pz5eG+zgBuX33rC8mmD3DZbi/wSoedi78CAVGdiLjy443QaMw0wKC7xjAkPwHjhLskZzswnf5Jj71lfK/BbVzlUhr+lGQQDbLkJ0F9vqXgaKvt6XtK2v/zbOJEyhxLZSDx9tHNZGcyoKQSkRrZ7R2XrrGbXJ6R2kpJoTDpQNHJ7JYgwSE5QhDEO/e2eG4gKidcdGs9nbWhcj+vEbWGBJIOQLnY9ypIionEoLSnzP2kcrGYzuu4HzFxASt43nRfSk8pl21Yt9FykP3Fv7cw3DwAkckC5K94wbCgRRclOyigj8Z0qLvH5jVivy4KC+tK0gTW+2z15VmqruL5tdwNFPwHmjQXnoRK3nn8F0w0TmAkxM</go:docsCustomData>
</go:gDocsCustomXmlDataStorage>
</file>

<file path=customXml/item2.xml><?xml version="1.0" encoding="utf-8"?>
<b:Sources xmlns:b="http://schemas.openxmlformats.org/officeDocument/2006/bibliography" xmlns="http://schemas.openxmlformats.org/officeDocument/2006/bibliography" SelectedStyle="/CHICAGO.XSL" StyleName="Chicago"/>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559720A-F372-4A5A-9F09-D398763EC6E0}">
  <ds:schemaRefs>
    <ds:schemaRef ds:uri="http://schemas.openxmlformats.org/officeDocument/2006/bibliography"/>
  </ds:schemaRefs>
</ds:datastoreItem>
</file>

<file path=customXml/itemProps3.xml><?xml version="1.0" encoding="utf-8"?>
<ds:datastoreItem xmlns:ds="http://schemas.openxmlformats.org/officeDocument/2006/customXml" ds:itemID="{FE7C8405-E53C-4308-8F91-327EF8D9F229}"/>
</file>

<file path=customXml/itemProps4.xml><?xml version="1.0" encoding="utf-8"?>
<ds:datastoreItem xmlns:ds="http://schemas.openxmlformats.org/officeDocument/2006/customXml" ds:itemID="{EA4B03D8-54E7-4E9E-BF14-13201CA85C1D}"/>
</file>

<file path=customXml/itemProps5.xml><?xml version="1.0" encoding="utf-8"?>
<ds:datastoreItem xmlns:ds="http://schemas.openxmlformats.org/officeDocument/2006/customXml" ds:itemID="{372D3713-4531-4530-9E6E-8FB63CB75D66}"/>
</file>

<file path=docProps/app.xml><?xml version="1.0" encoding="utf-8"?>
<Properties xmlns="http://schemas.openxmlformats.org/officeDocument/2006/extended-properties" xmlns:vt="http://schemas.openxmlformats.org/officeDocument/2006/docPropsVTypes">
  <Template>Normal.dotm</Template>
  <TotalTime>0</TotalTime>
  <Pages>15</Pages>
  <Words>6223</Words>
  <Characters>35477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leoqsoul</Company>
  <LinksUpToDate>false</LinksUpToDate>
  <CharactersWithSpaces>41617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Blattmer</dc:creator>
  <dc:description/>
  <cp:lastModifiedBy>Tolaïni Sabine</cp:lastModifiedBy>
  <cp:revision>2</cp:revision>
  <dcterms:created xsi:type="dcterms:W3CDTF">2020-08-21T09:53:00Z</dcterms:created>
  <dcterms:modified xsi:type="dcterms:W3CDTF">2020-08-21T09:53:00Z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0x010100FAE5DBF0ADA998469064B64F53A76F3C</vt:lpwstr>
  </property>
</Properties>
</file>