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33F973" w14:textId="2E298C85" w:rsidR="008120D1" w:rsidRDefault="008120D1" w:rsidP="007F7529">
      <w:pPr>
        <w:spacing w:after="120"/>
        <w:rPr>
          <w:rFonts w:asciiTheme="majorHAnsi" w:hAnsiTheme="majorHAnsi" w:cstheme="majorHAnsi"/>
          <w:b/>
          <w:sz w:val="34"/>
          <w:szCs w:val="34"/>
        </w:rPr>
      </w:pPr>
      <w:bookmarkStart w:id="0" w:name="_GoBack"/>
      <w:bookmarkEnd w:id="0"/>
      <w:r>
        <w:rPr>
          <w:noProof/>
        </w:rPr>
        <w:drawing>
          <wp:anchor distT="0" distB="0" distL="114300" distR="114300" simplePos="0" relativeHeight="251659264" behindDoc="0" locked="0" layoutInCell="1" allowOverlap="1" wp14:anchorId="3C46B38C" wp14:editId="12F2C256">
            <wp:simplePos x="0" y="0"/>
            <wp:positionH relativeFrom="column">
              <wp:posOffset>3632200</wp:posOffset>
            </wp:positionH>
            <wp:positionV relativeFrom="paragraph">
              <wp:posOffset>-3810</wp:posOffset>
            </wp:positionV>
            <wp:extent cx="2743200" cy="80518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2743200" cy="805180"/>
                    </a:xfrm>
                    <a:prstGeom prst="rect">
                      <a:avLst/>
                    </a:prstGeom>
                  </pic:spPr>
                </pic:pic>
              </a:graphicData>
            </a:graphic>
            <wp14:sizeRelH relativeFrom="margin">
              <wp14:pctWidth>0</wp14:pctWidth>
            </wp14:sizeRelH>
            <wp14:sizeRelV relativeFrom="margin">
              <wp14:pctHeight>0</wp14:pctHeight>
            </wp14:sizeRelV>
          </wp:anchor>
        </w:drawing>
      </w:r>
      <w:r w:rsidR="00767639" w:rsidRPr="001119F0">
        <w:rPr>
          <w:rFonts w:asciiTheme="majorHAnsi" w:hAnsiTheme="majorHAnsi" w:cstheme="majorHAnsi"/>
          <w:b/>
          <w:sz w:val="34"/>
          <w:szCs w:val="34"/>
        </w:rPr>
        <w:t>B</w:t>
      </w:r>
      <w:r w:rsidR="00BE37BF" w:rsidRPr="001119F0">
        <w:rPr>
          <w:rFonts w:asciiTheme="majorHAnsi" w:hAnsiTheme="majorHAnsi" w:cstheme="majorHAnsi"/>
          <w:b/>
          <w:sz w:val="34"/>
          <w:szCs w:val="34"/>
        </w:rPr>
        <w:t>riefing on</w:t>
      </w:r>
      <w:r w:rsidR="00E4774B" w:rsidRPr="001119F0">
        <w:rPr>
          <w:rFonts w:asciiTheme="majorHAnsi" w:hAnsiTheme="majorHAnsi" w:cstheme="majorHAnsi"/>
          <w:b/>
          <w:sz w:val="34"/>
          <w:szCs w:val="34"/>
        </w:rPr>
        <w:t xml:space="preserve"> </w:t>
      </w:r>
      <w:r w:rsidR="00E64999">
        <w:rPr>
          <w:rFonts w:asciiTheme="majorHAnsi" w:hAnsiTheme="majorHAnsi" w:cstheme="majorHAnsi"/>
          <w:b/>
          <w:sz w:val="34"/>
          <w:szCs w:val="34"/>
          <w:u w:val="single"/>
        </w:rPr>
        <w:t>Bangladesh</w:t>
      </w:r>
      <w:r w:rsidR="00BE37BF" w:rsidRPr="001119F0">
        <w:rPr>
          <w:rFonts w:asciiTheme="majorHAnsi" w:hAnsiTheme="majorHAnsi" w:cstheme="majorHAnsi"/>
          <w:b/>
          <w:sz w:val="34"/>
          <w:szCs w:val="34"/>
        </w:rPr>
        <w:t xml:space="preserve"> for the Committee on the Rights of Persons with Disabilities,</w:t>
      </w:r>
      <w:r w:rsidR="00C84FBA" w:rsidRPr="001119F0">
        <w:rPr>
          <w:rFonts w:asciiTheme="majorHAnsi" w:hAnsiTheme="majorHAnsi" w:cstheme="majorHAnsi"/>
          <w:b/>
          <w:sz w:val="34"/>
          <w:szCs w:val="34"/>
        </w:rPr>
        <w:t xml:space="preserve"> </w:t>
      </w:r>
      <w:r w:rsidR="00E64999">
        <w:rPr>
          <w:rFonts w:asciiTheme="majorHAnsi" w:hAnsiTheme="majorHAnsi" w:cstheme="majorHAnsi"/>
          <w:b/>
          <w:sz w:val="34"/>
          <w:szCs w:val="34"/>
        </w:rPr>
        <w:t>11</w:t>
      </w:r>
      <w:r w:rsidR="00E64999" w:rsidRPr="00E64999">
        <w:rPr>
          <w:rFonts w:asciiTheme="majorHAnsi" w:hAnsiTheme="majorHAnsi" w:cstheme="majorHAnsi"/>
          <w:b/>
          <w:sz w:val="34"/>
          <w:szCs w:val="34"/>
          <w:vertAlign w:val="superscript"/>
        </w:rPr>
        <w:t>th</w:t>
      </w:r>
      <w:r w:rsidR="00E64999">
        <w:rPr>
          <w:rFonts w:asciiTheme="majorHAnsi" w:hAnsiTheme="majorHAnsi" w:cstheme="majorHAnsi"/>
          <w:b/>
          <w:sz w:val="34"/>
          <w:szCs w:val="34"/>
        </w:rPr>
        <w:t xml:space="preserve"> </w:t>
      </w:r>
      <w:r w:rsidR="00C84FBA" w:rsidRPr="001119F0">
        <w:rPr>
          <w:rFonts w:asciiTheme="majorHAnsi" w:hAnsiTheme="majorHAnsi" w:cstheme="majorHAnsi"/>
          <w:b/>
          <w:sz w:val="34"/>
          <w:szCs w:val="34"/>
        </w:rPr>
        <w:t>Pre-Sessional Working Group,</w:t>
      </w:r>
      <w:r w:rsidR="00BE37BF" w:rsidRPr="001119F0">
        <w:rPr>
          <w:rFonts w:asciiTheme="majorHAnsi" w:hAnsiTheme="majorHAnsi" w:cstheme="majorHAnsi"/>
          <w:b/>
          <w:sz w:val="34"/>
          <w:szCs w:val="34"/>
        </w:rPr>
        <w:t xml:space="preserve"> </w:t>
      </w:r>
      <w:r w:rsidR="00E64999">
        <w:rPr>
          <w:rFonts w:asciiTheme="majorHAnsi" w:hAnsiTheme="majorHAnsi" w:cstheme="majorHAnsi"/>
          <w:b/>
          <w:sz w:val="34"/>
          <w:szCs w:val="34"/>
        </w:rPr>
        <w:t>April</w:t>
      </w:r>
      <w:r w:rsidR="00A53A7A" w:rsidRPr="001119F0">
        <w:rPr>
          <w:rFonts w:asciiTheme="majorHAnsi" w:hAnsiTheme="majorHAnsi" w:cstheme="majorHAnsi"/>
          <w:b/>
          <w:sz w:val="34"/>
          <w:szCs w:val="34"/>
        </w:rPr>
        <w:t xml:space="preserve"> 201</w:t>
      </w:r>
      <w:r w:rsidR="00E64999">
        <w:rPr>
          <w:rFonts w:asciiTheme="majorHAnsi" w:hAnsiTheme="majorHAnsi" w:cstheme="majorHAnsi"/>
          <w:b/>
          <w:sz w:val="34"/>
          <w:szCs w:val="34"/>
        </w:rPr>
        <w:t>9</w:t>
      </w:r>
    </w:p>
    <w:p w14:paraId="4508A740" w14:textId="5D5FE23D" w:rsidR="00767639" w:rsidRPr="001119F0" w:rsidRDefault="00767639" w:rsidP="007F7529">
      <w:pPr>
        <w:spacing w:after="120"/>
        <w:rPr>
          <w:rFonts w:asciiTheme="majorHAnsi" w:hAnsiTheme="majorHAnsi" w:cstheme="majorHAnsi"/>
        </w:rPr>
      </w:pPr>
      <w:r w:rsidRPr="001119F0">
        <w:rPr>
          <w:rFonts w:asciiTheme="majorHAnsi" w:hAnsiTheme="majorHAnsi" w:cstheme="majorHAnsi"/>
        </w:rPr>
        <w:t xml:space="preserve">From </w:t>
      </w:r>
      <w:r w:rsidR="00A53A7A" w:rsidRPr="001119F0">
        <w:rPr>
          <w:rFonts w:asciiTheme="majorHAnsi" w:hAnsiTheme="majorHAnsi" w:cstheme="majorHAnsi"/>
        </w:rPr>
        <w:t>the</w:t>
      </w:r>
      <w:r w:rsidR="005B5315" w:rsidRPr="001119F0">
        <w:rPr>
          <w:rFonts w:asciiTheme="majorHAnsi" w:hAnsiTheme="majorHAnsi" w:cstheme="majorHAnsi"/>
        </w:rPr>
        <w:t xml:space="preserve"> </w:t>
      </w:r>
      <w:r w:rsidRPr="001119F0">
        <w:rPr>
          <w:rFonts w:asciiTheme="majorHAnsi" w:hAnsiTheme="majorHAnsi" w:cstheme="majorHAnsi"/>
        </w:rPr>
        <w:t>Global Initiative</w:t>
      </w:r>
      <w:r w:rsidR="00633745" w:rsidRPr="001119F0">
        <w:rPr>
          <w:rFonts w:asciiTheme="majorHAnsi" w:hAnsiTheme="majorHAnsi" w:cstheme="majorHAnsi"/>
        </w:rPr>
        <w:t xml:space="preserve"> to End All Corporal Punishment </w:t>
      </w:r>
      <w:r w:rsidR="008120D1">
        <w:rPr>
          <w:rFonts w:asciiTheme="majorHAnsi" w:hAnsiTheme="majorHAnsi" w:cstheme="majorHAnsi"/>
        </w:rPr>
        <w:t>o</w:t>
      </w:r>
      <w:r w:rsidR="00633745" w:rsidRPr="001119F0">
        <w:rPr>
          <w:rFonts w:asciiTheme="majorHAnsi" w:hAnsiTheme="majorHAnsi" w:cstheme="majorHAnsi"/>
        </w:rPr>
        <w:t>f Children,</w:t>
      </w:r>
      <w:r w:rsidR="00E9361C" w:rsidRPr="001119F0">
        <w:rPr>
          <w:rFonts w:asciiTheme="majorHAnsi" w:hAnsiTheme="majorHAnsi" w:cstheme="majorHAnsi"/>
        </w:rPr>
        <w:t xml:space="preserve"> </w:t>
      </w:r>
      <w:r w:rsidR="00280E60">
        <w:rPr>
          <w:rFonts w:asciiTheme="majorHAnsi" w:hAnsiTheme="majorHAnsi" w:cstheme="majorHAnsi"/>
        </w:rPr>
        <w:t>February</w:t>
      </w:r>
      <w:r w:rsidR="009B471D" w:rsidRPr="001119F0">
        <w:rPr>
          <w:rFonts w:asciiTheme="majorHAnsi" w:hAnsiTheme="majorHAnsi" w:cstheme="majorHAnsi"/>
        </w:rPr>
        <w:t xml:space="preserve"> 201</w:t>
      </w:r>
      <w:r w:rsidR="00E64999">
        <w:rPr>
          <w:rFonts w:asciiTheme="majorHAnsi" w:hAnsiTheme="majorHAnsi" w:cstheme="majorHAnsi"/>
        </w:rPr>
        <w:t>9</w:t>
      </w:r>
      <w:r w:rsidR="00A53A7A" w:rsidRPr="001119F0">
        <w:rPr>
          <w:rFonts w:asciiTheme="majorHAnsi" w:hAnsiTheme="majorHAnsi" w:cstheme="majorHAnsi"/>
        </w:rPr>
        <w:t xml:space="preserve"> </w:t>
      </w:r>
      <w:r w:rsidR="00BE37BF" w:rsidRPr="001119F0">
        <w:rPr>
          <w:rFonts w:asciiTheme="majorHAnsi" w:hAnsiTheme="majorHAnsi" w:cstheme="majorHAnsi"/>
        </w:rPr>
        <w:br/>
      </w:r>
    </w:p>
    <w:p w14:paraId="4855D333" w14:textId="77777777" w:rsidR="00142366" w:rsidRPr="001119F0" w:rsidRDefault="00142366" w:rsidP="00716B5D">
      <w:pPr>
        <w:spacing w:after="120"/>
        <w:rPr>
          <w:rFonts w:asciiTheme="majorHAnsi" w:hAnsiTheme="majorHAnsi" w:cstheme="majorHAnsi"/>
        </w:rPr>
      </w:pPr>
    </w:p>
    <w:p w14:paraId="78052E85" w14:textId="33415951" w:rsidR="004D7A67"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(a) </w:t>
      </w:r>
      <w:r w:rsidR="00716B5D" w:rsidRPr="001119F0">
        <w:rPr>
          <w:rFonts w:asciiTheme="majorHAnsi" w:hAnsiTheme="majorHAnsi" w:cstheme="majorHAnsi"/>
          <w:b/>
          <w:sz w:val="26"/>
          <w:szCs w:val="26"/>
        </w:rPr>
        <w:t>About the Global Initiative</w:t>
      </w:r>
      <w:r w:rsidR="00106569" w:rsidRPr="001119F0">
        <w:rPr>
          <w:rFonts w:asciiTheme="majorHAnsi" w:hAnsiTheme="majorHAnsi" w:cstheme="majorHAnsi"/>
          <w:b/>
          <w:sz w:val="26"/>
          <w:szCs w:val="26"/>
        </w:rPr>
        <w:t xml:space="preserve"> to End All Corporal Punishment of Children</w:t>
      </w:r>
    </w:p>
    <w:p w14:paraId="3190CD76" w14:textId="78DB8F29" w:rsidR="00716B5D" w:rsidRPr="001119F0" w:rsidRDefault="00833827" w:rsidP="00716B5D">
      <w:pPr>
        <w:spacing w:after="120"/>
        <w:rPr>
          <w:rFonts w:asciiTheme="majorHAnsi" w:hAnsiTheme="majorHAnsi" w:cstheme="majorHAnsi"/>
        </w:rPr>
      </w:pPr>
      <w:r w:rsidRPr="001119F0">
        <w:rPr>
          <w:rFonts w:asciiTheme="majorHAnsi" w:hAnsiTheme="majorHAnsi" w:cstheme="majorHAnsi"/>
        </w:rPr>
        <w:t xml:space="preserve">1. </w:t>
      </w:r>
      <w:r w:rsidR="00716B5D" w:rsidRPr="001119F0">
        <w:rPr>
          <w:rFonts w:asciiTheme="majorHAnsi" w:hAnsiTheme="majorHAnsi" w:cstheme="majorHAnsi"/>
        </w:rPr>
        <w:t>The Global Initiative (</w:t>
      </w:r>
      <w:hyperlink r:id="rId13" w:history="1">
        <w:r w:rsidR="00716B5D" w:rsidRPr="00027CFB">
          <w:rPr>
            <w:rStyle w:val="Hyperlink"/>
            <w:rFonts w:asciiTheme="majorHAnsi" w:hAnsiTheme="majorHAnsi" w:cstheme="majorHAnsi"/>
            <w:color w:val="0096A3"/>
          </w:rPr>
          <w:t>www.endcorporalpunishment.org</w:t>
        </w:r>
        <w:r w:rsidR="00716B5D" w:rsidRPr="00027CFB">
          <w:rPr>
            <w:rStyle w:val="Hyperlink"/>
            <w:rFonts w:asciiTheme="majorHAnsi" w:hAnsiTheme="majorHAnsi" w:cstheme="majorHAnsi"/>
            <w:color w:val="auto"/>
            <w:u w:val="none"/>
          </w:rPr>
          <w:t>)</w:t>
        </w:r>
      </w:hyperlink>
      <w:r w:rsidR="00716B5D" w:rsidRPr="001119F0">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1119F0">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1119F0" w:rsidRDefault="00716B5D" w:rsidP="00716B5D">
      <w:pPr>
        <w:spacing w:after="120"/>
        <w:rPr>
          <w:rFonts w:asciiTheme="majorHAnsi" w:hAnsiTheme="majorHAnsi" w:cstheme="majorHAnsi"/>
        </w:rPr>
      </w:pPr>
    </w:p>
    <w:p w14:paraId="02EFC191" w14:textId="49D05158" w:rsidR="00142366"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(b) </w:t>
      </w:r>
      <w:r w:rsidR="00106569" w:rsidRPr="001119F0">
        <w:rPr>
          <w:rFonts w:asciiTheme="majorHAnsi" w:hAnsiTheme="majorHAnsi" w:cstheme="majorHAnsi"/>
          <w:b/>
          <w:sz w:val="26"/>
          <w:szCs w:val="26"/>
        </w:rPr>
        <w:t>S</w:t>
      </w:r>
      <w:r w:rsidRPr="001119F0">
        <w:rPr>
          <w:rFonts w:asciiTheme="majorHAnsi" w:hAnsiTheme="majorHAnsi" w:cstheme="majorHAnsi"/>
          <w:b/>
          <w:sz w:val="26"/>
          <w:szCs w:val="26"/>
        </w:rPr>
        <w:t>ummary</w:t>
      </w:r>
    </w:p>
    <w:p w14:paraId="57CD7F46" w14:textId="02DB5F27" w:rsidR="00106569" w:rsidRPr="001119F0" w:rsidRDefault="00833827" w:rsidP="007A21C3">
      <w:pPr>
        <w:spacing w:after="120"/>
        <w:rPr>
          <w:rFonts w:asciiTheme="majorHAnsi" w:hAnsiTheme="majorHAnsi" w:cstheme="majorHAnsi"/>
        </w:rPr>
      </w:pPr>
      <w:r w:rsidRPr="001119F0">
        <w:rPr>
          <w:rFonts w:asciiTheme="majorHAnsi" w:hAnsiTheme="majorHAnsi" w:cstheme="majorHAnsi"/>
        </w:rPr>
        <w:lastRenderedPageBreak/>
        <w:t xml:space="preserve">2. </w:t>
      </w:r>
      <w:r w:rsidR="00106569" w:rsidRPr="001119F0">
        <w:rPr>
          <w:rFonts w:asciiTheme="majorHAnsi" w:hAnsiTheme="majorHAnsi" w:cstheme="majorHAnsi"/>
        </w:rPr>
        <w:t>C</w:t>
      </w:r>
      <w:r w:rsidR="004D7A67" w:rsidRPr="001119F0">
        <w:rPr>
          <w:rFonts w:asciiTheme="majorHAnsi" w:hAnsiTheme="majorHAnsi" w:cstheme="majorHAnsi"/>
        </w:rPr>
        <w:t xml:space="preserve">orporal punishment of children in </w:t>
      </w:r>
      <w:r w:rsidR="00D27EAE">
        <w:rPr>
          <w:rFonts w:asciiTheme="majorHAnsi" w:hAnsiTheme="majorHAnsi" w:cstheme="majorHAnsi"/>
        </w:rPr>
        <w:t>Bangladesh</w:t>
      </w:r>
      <w:r w:rsidR="005D45A4" w:rsidRPr="001119F0">
        <w:rPr>
          <w:rFonts w:asciiTheme="majorHAnsi" w:hAnsiTheme="majorHAnsi" w:cstheme="majorHAnsi"/>
        </w:rPr>
        <w:t xml:space="preserve"> </w:t>
      </w:r>
      <w:r w:rsidR="00106569" w:rsidRPr="001119F0">
        <w:rPr>
          <w:rFonts w:asciiTheme="majorHAnsi" w:hAnsiTheme="majorHAnsi" w:cstheme="majorHAnsi"/>
        </w:rPr>
        <w:t xml:space="preserve">is unlawful </w:t>
      </w:r>
      <w:r w:rsidR="00E42BCC" w:rsidRPr="001119F0">
        <w:rPr>
          <w:rFonts w:asciiTheme="majorHAnsi" w:hAnsiTheme="majorHAnsi" w:cstheme="majorHAnsi"/>
        </w:rPr>
        <w:t xml:space="preserve">in schools </w:t>
      </w:r>
      <w:r w:rsidR="00D27EAE">
        <w:rPr>
          <w:rFonts w:asciiTheme="majorHAnsi" w:hAnsiTheme="majorHAnsi" w:cstheme="majorHAnsi"/>
        </w:rPr>
        <w:t>under a 2011 Supreme Court judgment (unconfirmed in legislation)</w:t>
      </w:r>
      <w:r w:rsidR="00106569" w:rsidRPr="001119F0">
        <w:rPr>
          <w:rFonts w:asciiTheme="majorHAnsi" w:hAnsiTheme="majorHAnsi" w:cstheme="majorHAnsi"/>
        </w:rPr>
        <w:t xml:space="preserve">, but it is not yet </w:t>
      </w:r>
      <w:r w:rsidR="001B7D95" w:rsidRPr="001119F0">
        <w:rPr>
          <w:rFonts w:asciiTheme="majorHAnsi" w:hAnsiTheme="majorHAnsi" w:cstheme="majorHAnsi"/>
        </w:rPr>
        <w:t xml:space="preserve">fully </w:t>
      </w:r>
      <w:r w:rsidR="00106569" w:rsidRPr="001119F0">
        <w:rPr>
          <w:rFonts w:asciiTheme="majorHAnsi" w:hAnsiTheme="majorHAnsi" w:cstheme="majorHAnsi"/>
        </w:rPr>
        <w:t xml:space="preserve">prohibited </w:t>
      </w:r>
      <w:r w:rsidR="00B05968" w:rsidRPr="001119F0">
        <w:rPr>
          <w:rFonts w:asciiTheme="majorHAnsi" w:hAnsiTheme="majorHAnsi" w:cstheme="majorHAnsi"/>
        </w:rPr>
        <w:t xml:space="preserve">in </w:t>
      </w:r>
      <w:r w:rsidR="00D27EAE">
        <w:rPr>
          <w:rFonts w:asciiTheme="majorHAnsi" w:hAnsiTheme="majorHAnsi" w:cstheme="majorHAnsi"/>
        </w:rPr>
        <w:t>any other setting, including the home and as a sentence for a crime</w:t>
      </w:r>
      <w:r w:rsidR="001947F2" w:rsidRPr="001119F0">
        <w:rPr>
          <w:rFonts w:asciiTheme="majorHAnsi" w:hAnsiTheme="majorHAnsi" w:cstheme="majorHAnsi"/>
        </w:rPr>
        <w:t>,</w:t>
      </w:r>
      <w:r w:rsidR="00E511FD" w:rsidRPr="001119F0">
        <w:rPr>
          <w:rFonts w:asciiTheme="majorHAnsi" w:hAnsiTheme="majorHAnsi" w:cstheme="majorHAnsi"/>
        </w:rPr>
        <w:t xml:space="preserve"> </w:t>
      </w:r>
      <w:r w:rsidR="004D7A67" w:rsidRPr="001119F0">
        <w:rPr>
          <w:rFonts w:asciiTheme="majorHAnsi" w:hAnsiTheme="majorHAnsi" w:cstheme="majorHAnsi"/>
        </w:rPr>
        <w:t xml:space="preserve">in violation of </w:t>
      </w:r>
      <w:r w:rsidR="00181FAC" w:rsidRPr="001119F0">
        <w:rPr>
          <w:rFonts w:asciiTheme="majorHAnsi" w:hAnsiTheme="majorHAnsi" w:cstheme="majorHAnsi"/>
        </w:rPr>
        <w:t xml:space="preserve">the </w:t>
      </w:r>
      <w:r w:rsidR="00E511FD" w:rsidRPr="001119F0">
        <w:rPr>
          <w:rFonts w:asciiTheme="majorHAnsi" w:hAnsiTheme="majorHAnsi" w:cstheme="majorHAnsi"/>
        </w:rPr>
        <w:t xml:space="preserve">fundamental </w:t>
      </w:r>
      <w:r w:rsidR="00181FAC" w:rsidRPr="001119F0">
        <w:rPr>
          <w:rFonts w:asciiTheme="majorHAnsi" w:hAnsiTheme="majorHAnsi" w:cstheme="majorHAnsi"/>
        </w:rPr>
        <w:t>right of all children</w:t>
      </w:r>
      <w:r w:rsidR="004D7A67" w:rsidRPr="001119F0">
        <w:rPr>
          <w:rFonts w:asciiTheme="majorHAnsi" w:hAnsiTheme="majorHAnsi" w:cstheme="majorHAnsi"/>
        </w:rPr>
        <w:t xml:space="preserve"> to protection from corporal punishment and other cruel or degrading forms of punishment.</w:t>
      </w:r>
    </w:p>
    <w:p w14:paraId="79D69036" w14:textId="75095961" w:rsidR="004D7A67" w:rsidRPr="001119F0" w:rsidRDefault="00833827" w:rsidP="007A21C3">
      <w:pPr>
        <w:spacing w:after="120"/>
        <w:rPr>
          <w:rFonts w:asciiTheme="majorHAnsi" w:hAnsiTheme="majorHAnsi" w:cstheme="majorHAnsi"/>
        </w:rPr>
      </w:pPr>
      <w:r w:rsidRPr="001119F0">
        <w:rPr>
          <w:rFonts w:asciiTheme="majorHAnsi" w:hAnsiTheme="majorHAnsi" w:cstheme="majorHAnsi"/>
        </w:rPr>
        <w:t xml:space="preserve">3. </w:t>
      </w:r>
      <w:r w:rsidR="00181FAC" w:rsidRPr="001119F0">
        <w:rPr>
          <w:rFonts w:asciiTheme="majorHAnsi" w:hAnsiTheme="majorHAnsi" w:cstheme="majorHAnsi"/>
        </w:rPr>
        <w:t xml:space="preserve">With reference to </w:t>
      </w:r>
      <w:r w:rsidR="00181FAC" w:rsidRPr="001119F0">
        <w:rPr>
          <w:rFonts w:asciiTheme="majorHAnsi" w:hAnsiTheme="majorHAnsi" w:cstheme="majorHAnsi"/>
          <w:b/>
        </w:rPr>
        <w:t>articles 7, 15, 16 and 17</w:t>
      </w:r>
      <w:r w:rsidR="00181FAC" w:rsidRPr="001119F0">
        <w:rPr>
          <w:rFonts w:asciiTheme="majorHAnsi" w:hAnsiTheme="majorHAnsi" w:cstheme="majorHAnsi"/>
        </w:rPr>
        <w:t xml:space="preserve"> of the Convention on the Rights of Persons with Disabilities, and i</w:t>
      </w:r>
      <w:r w:rsidR="004D7A67" w:rsidRPr="001119F0">
        <w:rPr>
          <w:rFonts w:asciiTheme="majorHAnsi" w:hAnsiTheme="majorHAnsi" w:cstheme="majorHAnsi"/>
        </w:rPr>
        <w:t>n light of the particular vulnerability of children with disabilities to</w:t>
      </w:r>
      <w:r w:rsidR="00181FAC" w:rsidRPr="001119F0">
        <w:rPr>
          <w:rFonts w:asciiTheme="majorHAnsi" w:hAnsiTheme="majorHAnsi" w:cstheme="majorHAnsi"/>
        </w:rPr>
        <w:t xml:space="preserve"> corporal punishment by adults, </w:t>
      </w:r>
      <w:r w:rsidR="004D7A67" w:rsidRPr="001119F0">
        <w:rPr>
          <w:rFonts w:asciiTheme="majorHAnsi" w:hAnsiTheme="majorHAnsi" w:cstheme="majorHAnsi"/>
        </w:rPr>
        <w:t>the jurisp</w:t>
      </w:r>
      <w:r w:rsidR="00181FAC" w:rsidRPr="001119F0">
        <w:rPr>
          <w:rFonts w:asciiTheme="majorHAnsi" w:hAnsiTheme="majorHAnsi" w:cstheme="majorHAnsi"/>
        </w:rPr>
        <w:t>rudence of the UN treaty bodies</w:t>
      </w:r>
      <w:r w:rsidR="00E4774B" w:rsidRPr="001119F0">
        <w:rPr>
          <w:rFonts w:asciiTheme="majorHAnsi" w:hAnsiTheme="majorHAnsi" w:cstheme="majorHAnsi"/>
        </w:rPr>
        <w:t>,</w:t>
      </w:r>
      <w:r w:rsidR="004D7A67" w:rsidRPr="001119F0">
        <w:rPr>
          <w:rFonts w:asciiTheme="majorHAnsi" w:hAnsiTheme="majorHAnsi" w:cstheme="majorHAnsi"/>
        </w:rPr>
        <w:t xml:space="preserve"> the </w:t>
      </w:r>
      <w:r w:rsidR="00106569" w:rsidRPr="001119F0">
        <w:rPr>
          <w:rFonts w:asciiTheme="majorHAnsi" w:hAnsiTheme="majorHAnsi" w:cstheme="majorHAnsi"/>
        </w:rPr>
        <w:t>emphasis on</w:t>
      </w:r>
      <w:r w:rsidR="004D7A67" w:rsidRPr="001119F0">
        <w:rPr>
          <w:rFonts w:asciiTheme="majorHAnsi" w:hAnsiTheme="majorHAnsi" w:cstheme="majorHAnsi"/>
        </w:rPr>
        <w:t xml:space="preserve"> eradicating this form of violence given by the UN Secretary General’s Study on Violence against Children</w:t>
      </w:r>
      <w:r w:rsidR="00E4774B" w:rsidRPr="001119F0">
        <w:rPr>
          <w:rFonts w:asciiTheme="majorHAnsi" w:hAnsiTheme="majorHAnsi" w:cstheme="majorHAnsi"/>
        </w:rPr>
        <w:t xml:space="preserve"> and </w:t>
      </w:r>
      <w:r w:rsidR="00106569" w:rsidRPr="001119F0">
        <w:rPr>
          <w:rFonts w:asciiTheme="majorHAnsi" w:hAnsiTheme="majorHAnsi" w:cstheme="majorHAnsi"/>
        </w:rPr>
        <w:t xml:space="preserve">the importance of the issue to achieving target 16.2 on ending violence against children in the 2030 Sustainable Development Goals, </w:t>
      </w:r>
      <w:r w:rsidR="004D7A67" w:rsidRPr="001119F0">
        <w:rPr>
          <w:rFonts w:asciiTheme="majorHAnsi" w:hAnsiTheme="majorHAnsi" w:cstheme="majorHAnsi"/>
        </w:rPr>
        <w:t>w</w:t>
      </w:r>
      <w:r w:rsidR="004D7A67" w:rsidRPr="001119F0">
        <w:rPr>
          <w:rFonts w:asciiTheme="majorHAnsi" w:hAnsiTheme="majorHAnsi" w:cstheme="majorHAnsi"/>
          <w:iCs/>
        </w:rPr>
        <w:t>e hope the Committee on the Rights of Persons with Disabilities will:</w:t>
      </w:r>
    </w:p>
    <w:p w14:paraId="7B48E400" w14:textId="178010FB" w:rsidR="007F7529" w:rsidRPr="001119F0" w:rsidRDefault="007F7529" w:rsidP="00521973">
      <w:pPr>
        <w:numPr>
          <w:ilvl w:val="0"/>
          <w:numId w:val="6"/>
        </w:numPr>
        <w:spacing w:after="120"/>
        <w:rPr>
          <w:rFonts w:asciiTheme="majorHAnsi" w:hAnsiTheme="majorHAnsi" w:cstheme="majorHAnsi"/>
          <w:iCs/>
        </w:rPr>
      </w:pPr>
      <w:r w:rsidRPr="001119F0">
        <w:rPr>
          <w:rFonts w:asciiTheme="majorHAnsi" w:hAnsiTheme="majorHAnsi" w:cstheme="majorHAnsi"/>
          <w:iCs/>
        </w:rPr>
        <w:t>include the issue of corporal puni</w:t>
      </w:r>
      <w:r w:rsidR="00B05968" w:rsidRPr="001119F0">
        <w:rPr>
          <w:rFonts w:asciiTheme="majorHAnsi" w:hAnsiTheme="majorHAnsi" w:cstheme="majorHAnsi"/>
          <w:iCs/>
        </w:rPr>
        <w:t>shment in its List of Issues</w:t>
      </w:r>
      <w:r w:rsidR="005F2E16" w:rsidRPr="001119F0">
        <w:rPr>
          <w:rFonts w:asciiTheme="majorHAnsi" w:hAnsiTheme="majorHAnsi" w:cstheme="majorHAnsi"/>
          <w:iCs/>
        </w:rPr>
        <w:t xml:space="preserve"> for</w:t>
      </w:r>
      <w:r w:rsidR="00B05968" w:rsidRPr="001119F0">
        <w:rPr>
          <w:rFonts w:asciiTheme="majorHAnsi" w:hAnsiTheme="majorHAnsi" w:cstheme="majorHAnsi"/>
          <w:iCs/>
        </w:rPr>
        <w:t xml:space="preserve"> </w:t>
      </w:r>
      <w:r w:rsidR="00D27EAE">
        <w:rPr>
          <w:rFonts w:asciiTheme="majorHAnsi" w:hAnsiTheme="majorHAnsi" w:cstheme="majorHAnsi"/>
          <w:iCs/>
        </w:rPr>
        <w:t>Bangladesh</w:t>
      </w:r>
      <w:r w:rsidRPr="001119F0">
        <w:rPr>
          <w:rFonts w:asciiTheme="majorHAnsi" w:hAnsiTheme="majorHAnsi" w:cstheme="majorHAnsi"/>
          <w:iCs/>
        </w:rPr>
        <w:t>, in particular asking</w:t>
      </w:r>
      <w:r w:rsidR="00DC20AE" w:rsidRPr="001119F0">
        <w:rPr>
          <w:rFonts w:asciiTheme="majorHAnsi" w:hAnsiTheme="majorHAnsi" w:cstheme="majorHAnsi"/>
          <w:iCs/>
        </w:rPr>
        <w:t>:</w:t>
      </w:r>
      <w:r w:rsidRPr="001119F0">
        <w:rPr>
          <w:rFonts w:asciiTheme="majorHAnsi" w:hAnsiTheme="majorHAnsi" w:cstheme="majorHAnsi"/>
          <w:iCs/>
        </w:rPr>
        <w:t xml:space="preserve"> </w:t>
      </w:r>
      <w:r w:rsidR="00DC20AE" w:rsidRPr="001119F0">
        <w:rPr>
          <w:rFonts w:asciiTheme="majorHAnsi" w:hAnsiTheme="majorHAnsi" w:cstheme="majorHAnsi"/>
          <w:iCs/>
        </w:rPr>
        <w:t>“</w:t>
      </w:r>
      <w:r w:rsidR="00B7483C" w:rsidRPr="001119F0">
        <w:rPr>
          <w:rFonts w:asciiTheme="majorHAnsi" w:hAnsiTheme="majorHAnsi" w:cstheme="majorHAnsi"/>
          <w:b/>
          <w:iCs/>
        </w:rPr>
        <w:t xml:space="preserve">what </w:t>
      </w:r>
      <w:r w:rsidR="00D27EAE">
        <w:rPr>
          <w:rFonts w:asciiTheme="majorHAnsi" w:hAnsiTheme="majorHAnsi" w:cstheme="majorHAnsi"/>
          <w:b/>
          <w:iCs/>
        </w:rPr>
        <w:t>steps are being taken to fulfil Bangladesh’s commitment</w:t>
      </w:r>
      <w:r w:rsidR="00521973" w:rsidRPr="001119F0">
        <w:rPr>
          <w:rFonts w:asciiTheme="majorHAnsi" w:hAnsiTheme="majorHAnsi" w:cstheme="majorHAnsi"/>
          <w:b/>
          <w:iCs/>
        </w:rPr>
        <w:t xml:space="preserve"> </w:t>
      </w:r>
      <w:r w:rsidR="00D27EAE">
        <w:rPr>
          <w:rFonts w:asciiTheme="majorHAnsi" w:hAnsiTheme="majorHAnsi" w:cstheme="majorHAnsi"/>
          <w:b/>
          <w:iCs/>
        </w:rPr>
        <w:t>to enact an explicit prohibition of all corporal punishment of children, as called for by the Supreme Court in 2011</w:t>
      </w:r>
      <w:r w:rsidR="00B7483C" w:rsidRPr="001119F0">
        <w:rPr>
          <w:rFonts w:asciiTheme="majorHAnsi" w:hAnsiTheme="majorHAnsi" w:cstheme="majorHAnsi"/>
          <w:b/>
          <w:iCs/>
        </w:rPr>
        <w:t>?</w:t>
      </w:r>
      <w:r w:rsidR="00B7483C" w:rsidRPr="001119F0">
        <w:rPr>
          <w:rFonts w:asciiTheme="majorHAnsi" w:hAnsiTheme="majorHAnsi" w:cstheme="majorHAnsi"/>
          <w:iCs/>
        </w:rPr>
        <w:t>”</w:t>
      </w:r>
    </w:p>
    <w:p w14:paraId="4FA79421" w14:textId="64702FB1" w:rsidR="00E4774B" w:rsidRPr="001119F0" w:rsidRDefault="00E4774B" w:rsidP="007A21C3">
      <w:pPr>
        <w:numPr>
          <w:ilvl w:val="0"/>
          <w:numId w:val="6"/>
        </w:numPr>
        <w:spacing w:after="120"/>
        <w:rPr>
          <w:rFonts w:asciiTheme="majorHAnsi" w:hAnsiTheme="majorHAnsi" w:cstheme="majorHAnsi"/>
          <w:iCs/>
        </w:rPr>
      </w:pPr>
      <w:r w:rsidRPr="001119F0">
        <w:rPr>
          <w:rFonts w:asciiTheme="majorHAnsi" w:hAnsiTheme="majorHAnsi" w:cstheme="majorHAnsi"/>
          <w:iCs/>
        </w:rPr>
        <w:t>recommend t</w:t>
      </w:r>
      <w:r w:rsidR="00B05968" w:rsidRPr="001119F0">
        <w:rPr>
          <w:rFonts w:asciiTheme="majorHAnsi" w:hAnsiTheme="majorHAnsi" w:cstheme="majorHAnsi"/>
          <w:iCs/>
        </w:rPr>
        <w:t xml:space="preserve">o the Government of </w:t>
      </w:r>
      <w:r w:rsidR="00D27EAE">
        <w:rPr>
          <w:rFonts w:asciiTheme="majorHAnsi" w:hAnsiTheme="majorHAnsi" w:cstheme="majorHAnsi"/>
          <w:iCs/>
        </w:rPr>
        <w:t>Bangladesh</w:t>
      </w:r>
      <w:r w:rsidR="007F7529" w:rsidRPr="001119F0">
        <w:rPr>
          <w:rFonts w:asciiTheme="majorHAnsi" w:hAnsiTheme="majorHAnsi" w:cstheme="majorHAnsi"/>
          <w:iCs/>
        </w:rPr>
        <w:t xml:space="preserve">, in the Committee’s concluding observations on the </w:t>
      </w:r>
      <w:r w:rsidR="00BC6C90" w:rsidRPr="001119F0">
        <w:rPr>
          <w:rFonts w:asciiTheme="majorHAnsi" w:hAnsiTheme="majorHAnsi" w:cstheme="majorHAnsi"/>
          <w:iCs/>
        </w:rPr>
        <w:t>initial</w:t>
      </w:r>
      <w:r w:rsidR="00833827" w:rsidRPr="001119F0">
        <w:rPr>
          <w:rFonts w:asciiTheme="majorHAnsi" w:hAnsiTheme="majorHAnsi" w:cstheme="majorHAnsi"/>
          <w:iCs/>
        </w:rPr>
        <w:t xml:space="preserve"> report, that </w:t>
      </w:r>
      <w:r w:rsidR="00DC20AE" w:rsidRPr="001119F0">
        <w:rPr>
          <w:rFonts w:asciiTheme="majorHAnsi" w:hAnsiTheme="majorHAnsi" w:cstheme="majorHAnsi"/>
          <w:iCs/>
        </w:rPr>
        <w:t>“</w:t>
      </w:r>
      <w:r w:rsidR="00521973" w:rsidRPr="001119F0">
        <w:rPr>
          <w:rFonts w:asciiTheme="majorHAnsi" w:hAnsiTheme="majorHAnsi" w:cstheme="majorHAnsi"/>
          <w:b/>
          <w:iCs/>
        </w:rPr>
        <w:t>an explicit prohibition of all</w:t>
      </w:r>
      <w:r w:rsidR="00DF42D1" w:rsidRPr="001119F0">
        <w:rPr>
          <w:rFonts w:asciiTheme="majorHAnsi" w:hAnsiTheme="majorHAnsi" w:cstheme="majorHAnsi"/>
          <w:b/>
          <w:iCs/>
        </w:rPr>
        <w:t xml:space="preserve"> corporal punishment of children</w:t>
      </w:r>
      <w:r w:rsidR="00521973" w:rsidRPr="001119F0">
        <w:rPr>
          <w:rFonts w:asciiTheme="majorHAnsi" w:hAnsiTheme="majorHAnsi" w:cstheme="majorHAnsi"/>
          <w:b/>
          <w:iCs/>
        </w:rPr>
        <w:t>, however light,</w:t>
      </w:r>
      <w:r w:rsidR="00DF42D1" w:rsidRPr="001119F0">
        <w:rPr>
          <w:rFonts w:asciiTheme="majorHAnsi" w:hAnsiTheme="majorHAnsi" w:cstheme="majorHAnsi"/>
          <w:b/>
          <w:iCs/>
        </w:rPr>
        <w:t xml:space="preserve"> in all settings</w:t>
      </w:r>
      <w:r w:rsidR="00D27EAE">
        <w:rPr>
          <w:rFonts w:asciiTheme="majorHAnsi" w:hAnsiTheme="majorHAnsi" w:cstheme="majorHAnsi"/>
          <w:b/>
          <w:iCs/>
        </w:rPr>
        <w:t xml:space="preserve"> including as a sentence for a crime</w:t>
      </w:r>
      <w:r w:rsidR="00521973" w:rsidRPr="001119F0">
        <w:rPr>
          <w:rFonts w:asciiTheme="majorHAnsi" w:hAnsiTheme="majorHAnsi" w:cstheme="majorHAnsi"/>
          <w:b/>
          <w:iCs/>
        </w:rPr>
        <w:t xml:space="preserve">, </w:t>
      </w:r>
      <w:r w:rsidR="00DF42D1" w:rsidRPr="001119F0">
        <w:rPr>
          <w:rFonts w:asciiTheme="majorHAnsi" w:hAnsiTheme="majorHAnsi" w:cstheme="majorHAnsi"/>
          <w:b/>
          <w:iCs/>
        </w:rPr>
        <w:t xml:space="preserve">is </w:t>
      </w:r>
      <w:r w:rsidR="002E2D70" w:rsidRPr="001119F0">
        <w:rPr>
          <w:rFonts w:asciiTheme="majorHAnsi" w:hAnsiTheme="majorHAnsi" w:cstheme="majorHAnsi"/>
          <w:b/>
          <w:iCs/>
        </w:rPr>
        <w:t>drafted and enacted as a matter of priority</w:t>
      </w:r>
      <w:r w:rsidR="00DF42D1" w:rsidRPr="001119F0">
        <w:rPr>
          <w:rFonts w:asciiTheme="majorHAnsi" w:hAnsiTheme="majorHAnsi" w:cstheme="majorHAnsi"/>
          <w:b/>
          <w:iCs/>
        </w:rPr>
        <w:t xml:space="preserve"> </w:t>
      </w:r>
      <w:r w:rsidR="00963238" w:rsidRPr="001119F0">
        <w:rPr>
          <w:rFonts w:asciiTheme="majorHAnsi" w:hAnsiTheme="majorHAnsi" w:cstheme="majorHAnsi"/>
          <w:b/>
        </w:rPr>
        <w:t xml:space="preserve">and that measures are put in place to ensure the </w:t>
      </w:r>
      <w:r w:rsidR="002E2D70" w:rsidRPr="001119F0">
        <w:rPr>
          <w:rFonts w:asciiTheme="majorHAnsi" w:hAnsiTheme="majorHAnsi" w:cstheme="majorHAnsi"/>
          <w:b/>
        </w:rPr>
        <w:t>law</w:t>
      </w:r>
      <w:r w:rsidR="00963238" w:rsidRPr="001119F0">
        <w:rPr>
          <w:rFonts w:asciiTheme="majorHAnsi" w:hAnsiTheme="majorHAnsi" w:cstheme="majorHAnsi"/>
          <w:b/>
        </w:rPr>
        <w:t xml:space="preserve"> is properly implemented</w:t>
      </w:r>
      <w:r w:rsidR="00DC20AE" w:rsidRPr="001119F0">
        <w:rPr>
          <w:rFonts w:asciiTheme="majorHAnsi" w:hAnsiTheme="majorHAnsi" w:cstheme="majorHAnsi"/>
        </w:rPr>
        <w:t>”</w:t>
      </w:r>
      <w:r w:rsidR="00833827" w:rsidRPr="001119F0">
        <w:rPr>
          <w:rFonts w:asciiTheme="majorHAnsi" w:hAnsiTheme="majorHAnsi" w:cstheme="majorHAnsi"/>
        </w:rPr>
        <w:t>.</w:t>
      </w:r>
    </w:p>
    <w:p w14:paraId="3FBF531E" w14:textId="77777777" w:rsidR="009D6E71" w:rsidRPr="001119F0" w:rsidRDefault="009D6E71" w:rsidP="007F7529">
      <w:pPr>
        <w:spacing w:after="120"/>
        <w:rPr>
          <w:rFonts w:asciiTheme="majorHAnsi" w:hAnsiTheme="majorHAnsi" w:cstheme="majorHAnsi"/>
        </w:rPr>
      </w:pPr>
    </w:p>
    <w:p w14:paraId="2E512E2A" w14:textId="77777777" w:rsidR="00106569" w:rsidRPr="001119F0" w:rsidRDefault="00106569">
      <w:pPr>
        <w:rPr>
          <w:rFonts w:asciiTheme="majorHAnsi" w:hAnsiTheme="majorHAnsi" w:cstheme="majorHAnsi"/>
          <w:b/>
          <w:sz w:val="26"/>
          <w:szCs w:val="26"/>
        </w:rPr>
      </w:pPr>
      <w:r w:rsidRPr="001119F0">
        <w:rPr>
          <w:rFonts w:asciiTheme="majorHAnsi" w:hAnsiTheme="majorHAnsi" w:cstheme="majorHAnsi"/>
          <w:b/>
          <w:sz w:val="26"/>
          <w:szCs w:val="26"/>
        </w:rPr>
        <w:br w:type="page"/>
      </w:r>
    </w:p>
    <w:p w14:paraId="1983D09B" w14:textId="28BE79BE"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lastRenderedPageBreak/>
        <w:t>(c) Detailed briefing</w:t>
      </w:r>
    </w:p>
    <w:p w14:paraId="69A1F232" w14:textId="5815296A"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t>The right of children with disabilities not to be subjected to corporal punishment</w:t>
      </w:r>
    </w:p>
    <w:p w14:paraId="4E1BFC9B" w14:textId="05914339" w:rsidR="006C166A" w:rsidRPr="001119F0" w:rsidRDefault="00833827" w:rsidP="00E511FD">
      <w:pPr>
        <w:spacing w:after="120"/>
        <w:rPr>
          <w:rFonts w:asciiTheme="majorHAnsi" w:hAnsiTheme="majorHAnsi" w:cstheme="majorHAnsi"/>
        </w:rPr>
      </w:pPr>
      <w:r w:rsidRPr="001119F0">
        <w:rPr>
          <w:rFonts w:asciiTheme="majorHAnsi" w:hAnsiTheme="majorHAnsi" w:cstheme="majorHAnsi"/>
        </w:rPr>
        <w:t>4</w:t>
      </w:r>
      <w:r w:rsidR="00E511FD" w:rsidRPr="001119F0">
        <w:rPr>
          <w:rFonts w:asciiTheme="majorHAnsi" w:hAnsiTheme="majorHAnsi" w:cstheme="majorHAnsi"/>
        </w:rPr>
        <w:t xml:space="preserve">. </w:t>
      </w:r>
      <w:r w:rsidR="007F7529" w:rsidRPr="001119F0">
        <w:rPr>
          <w:rFonts w:asciiTheme="majorHAnsi" w:hAnsiTheme="majorHAnsi" w:cstheme="majorHAnsi"/>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r w:rsidR="001B2F6E">
        <w:rPr>
          <w:rFonts w:asciiTheme="majorHAnsi" w:hAnsiTheme="majorHAnsi" w:cstheme="majorHAnsi"/>
        </w:rPr>
        <w:t>Despite this obligation</w:t>
      </w:r>
      <w:r w:rsidR="001B2F6E" w:rsidRPr="00D27EAE">
        <w:rPr>
          <w:rFonts w:asciiTheme="majorHAnsi" w:hAnsiTheme="majorHAnsi" w:cstheme="majorHAnsi"/>
        </w:rPr>
        <w:t xml:space="preserve">, </w:t>
      </w:r>
      <w:r w:rsidR="00D27EAE" w:rsidRPr="00D27EAE">
        <w:rPr>
          <w:rFonts w:asciiTheme="majorHAnsi" w:hAnsiTheme="majorHAnsi" w:cstheme="majorHAnsi"/>
        </w:rPr>
        <w:t>Bangladesh’s</w:t>
      </w:r>
      <w:r w:rsidR="001B2F6E" w:rsidRPr="00D27EAE">
        <w:rPr>
          <w:rFonts w:asciiTheme="majorHAnsi" w:hAnsiTheme="majorHAnsi" w:cstheme="majorHAnsi"/>
        </w:rPr>
        <w:t xml:space="preserve"> initial state report does not address corporal punishment of children.</w:t>
      </w:r>
    </w:p>
    <w:p w14:paraId="7D5B40EB" w14:textId="39FEEE47" w:rsidR="007F7529" w:rsidRPr="001119F0" w:rsidRDefault="00833827" w:rsidP="00E511FD">
      <w:pPr>
        <w:spacing w:after="120"/>
        <w:rPr>
          <w:rFonts w:asciiTheme="majorHAnsi" w:hAnsiTheme="majorHAnsi" w:cstheme="majorHAnsi"/>
        </w:rPr>
      </w:pPr>
      <w:r w:rsidRPr="001119F0">
        <w:rPr>
          <w:rFonts w:asciiTheme="majorHAnsi" w:hAnsiTheme="majorHAnsi" w:cstheme="majorHAnsi"/>
        </w:rPr>
        <w:t>5</w:t>
      </w:r>
      <w:r w:rsidR="00E511FD" w:rsidRPr="001119F0">
        <w:rPr>
          <w:rFonts w:asciiTheme="majorHAnsi" w:hAnsiTheme="majorHAnsi" w:cstheme="majorHAnsi"/>
        </w:rPr>
        <w:t xml:space="preserve">. </w:t>
      </w:r>
      <w:r w:rsidR="007F7529" w:rsidRPr="001119F0">
        <w:rPr>
          <w:rFonts w:asciiTheme="majorHAnsi" w:hAnsiTheme="majorHAnsi" w:cstheme="majorHAnsi"/>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1119F0">
        <w:rPr>
          <w:rStyle w:val="FootnoteReference"/>
          <w:rFonts w:asciiTheme="majorHAnsi" w:hAnsiTheme="majorHAnsi" w:cstheme="majorHAnsi"/>
        </w:rPr>
        <w:footnoteReference w:id="1"/>
      </w:r>
      <w:r w:rsidR="007F7529" w:rsidRPr="001119F0">
        <w:rPr>
          <w:rFonts w:asciiTheme="majorHAnsi" w:hAnsiTheme="majorHAnsi" w:cstheme="majorHAnsi"/>
        </w:rPr>
        <w:t xml:space="preserve"> Yet the obligation to prohibit corporal punishment is frequently ignored or evaded by governments. The near universal acceptance of violence in childrearing together with deeply held views that parents and other adults have a </w:t>
      </w:r>
      <w:r w:rsidR="007F7529" w:rsidRPr="001119F0">
        <w:rPr>
          <w:rFonts w:asciiTheme="majorHAnsi" w:hAnsiTheme="majorHAnsi" w:cstheme="majorHAnsi"/>
        </w:rPr>
        <w:lastRenderedPageBreak/>
        <w:t xml:space="preserve">“right” to physically punish children can challenge efforts to achieve prohibition. It also means that corporal punishment – at least to some degree – is not readily perceived as </w:t>
      </w:r>
      <w:r w:rsidR="00BC6C90" w:rsidRPr="001119F0">
        <w:rPr>
          <w:rFonts w:asciiTheme="majorHAnsi" w:hAnsiTheme="majorHAnsi" w:cstheme="majorHAnsi"/>
        </w:rPr>
        <w:t>violence</w:t>
      </w:r>
      <w:r w:rsidR="007F7529" w:rsidRPr="001119F0">
        <w:rPr>
          <w:rFonts w:asciiTheme="majorHAnsi" w:hAnsiTheme="majorHAnsi" w:cstheme="majorHAnsi"/>
        </w:rPr>
        <w:t xml:space="preserve"> in the same way as, for example, sexual and other socially unacceptable forms of </w:t>
      </w:r>
      <w:r w:rsidR="00E511FD" w:rsidRPr="001119F0">
        <w:rPr>
          <w:rFonts w:asciiTheme="majorHAnsi" w:hAnsiTheme="majorHAnsi" w:cstheme="majorHAnsi"/>
        </w:rPr>
        <w:t>violence.</w:t>
      </w:r>
    </w:p>
    <w:p w14:paraId="111ED3CA" w14:textId="75FB3DDE" w:rsidR="005B31F1" w:rsidRPr="001119F0" w:rsidRDefault="00833827" w:rsidP="00E511FD">
      <w:pPr>
        <w:spacing w:after="120"/>
        <w:rPr>
          <w:rFonts w:asciiTheme="majorHAnsi" w:hAnsiTheme="majorHAnsi" w:cstheme="majorHAnsi"/>
        </w:rPr>
      </w:pPr>
      <w:r w:rsidRPr="001119F0">
        <w:rPr>
          <w:rFonts w:asciiTheme="majorHAnsi" w:hAnsiTheme="majorHAnsi" w:cstheme="majorHAnsi"/>
        </w:rPr>
        <w:t>6</w:t>
      </w:r>
      <w:r w:rsidR="00E511FD" w:rsidRPr="001119F0">
        <w:rPr>
          <w:rFonts w:asciiTheme="majorHAnsi" w:hAnsiTheme="majorHAnsi" w:cstheme="majorHAnsi"/>
        </w:rPr>
        <w:t xml:space="preserve">. The </w:t>
      </w:r>
      <w:r w:rsidR="004866EF">
        <w:rPr>
          <w:rFonts w:asciiTheme="majorHAnsi" w:hAnsiTheme="majorHAnsi" w:cstheme="majorHAnsi"/>
        </w:rPr>
        <w:t>2030</w:t>
      </w:r>
      <w:r w:rsidR="00E511FD" w:rsidRPr="001119F0">
        <w:rPr>
          <w:rFonts w:asciiTheme="majorHAnsi" w:hAnsiTheme="majorHAnsi" w:cstheme="majorHAnsi"/>
        </w:rPr>
        <w:t xml:space="preserve"> Sustainable Development Goals include target 16.2 on ending all forms of violence against children. Violent punishment is the most common form of violence against children: ending it through the adoption and implementation of </w:t>
      </w:r>
      <w:r w:rsidRPr="001119F0">
        <w:rPr>
          <w:rFonts w:asciiTheme="majorHAnsi" w:hAnsiTheme="majorHAnsi" w:cstheme="majorHAnsi"/>
        </w:rPr>
        <w:t>legislation</w:t>
      </w:r>
      <w:r w:rsidR="00E511FD" w:rsidRPr="001119F0">
        <w:rPr>
          <w:rFonts w:asciiTheme="majorHAnsi" w:hAnsiTheme="majorHAnsi" w:cstheme="majorHAnsi"/>
        </w:rPr>
        <w:t xml:space="preserve"> prohibiting it in all settings including the home is critical. </w:t>
      </w:r>
    </w:p>
    <w:p w14:paraId="7CCE9FC2" w14:textId="77777777" w:rsidR="007F7529" w:rsidRPr="001119F0" w:rsidRDefault="007F7529" w:rsidP="007F7529">
      <w:pPr>
        <w:autoSpaceDE w:val="0"/>
        <w:autoSpaceDN w:val="0"/>
        <w:adjustRightInd w:val="0"/>
        <w:spacing w:after="120"/>
        <w:rPr>
          <w:rFonts w:asciiTheme="majorHAnsi" w:hAnsiTheme="majorHAnsi" w:cstheme="majorHAnsi"/>
          <w:b/>
          <w:sz w:val="26"/>
          <w:szCs w:val="26"/>
        </w:rPr>
      </w:pPr>
    </w:p>
    <w:p w14:paraId="1DD3CA84" w14:textId="0F924D69" w:rsidR="007F7529" w:rsidRPr="001119F0" w:rsidRDefault="00683188" w:rsidP="007F7529">
      <w:pPr>
        <w:pStyle w:val="Heading2"/>
        <w:spacing w:after="120"/>
        <w:rPr>
          <w:rFonts w:asciiTheme="majorHAnsi" w:hAnsiTheme="majorHAnsi" w:cstheme="majorHAnsi"/>
          <w:sz w:val="26"/>
          <w:szCs w:val="26"/>
          <w:lang w:val="en-GB"/>
        </w:rPr>
      </w:pPr>
      <w:r w:rsidRPr="001119F0">
        <w:rPr>
          <w:rFonts w:asciiTheme="majorHAnsi" w:hAnsiTheme="majorHAnsi" w:cstheme="majorHAnsi"/>
          <w:sz w:val="26"/>
          <w:szCs w:val="26"/>
        </w:rPr>
        <w:t>The l</w:t>
      </w:r>
      <w:r w:rsidR="007F7529" w:rsidRPr="001119F0">
        <w:rPr>
          <w:rFonts w:asciiTheme="majorHAnsi" w:hAnsiTheme="majorHAnsi" w:cstheme="majorHAnsi"/>
          <w:sz w:val="26"/>
          <w:szCs w:val="26"/>
        </w:rPr>
        <w:t xml:space="preserve">egality of corporal punishment of children with disabilities in </w:t>
      </w:r>
      <w:r w:rsidR="004866EF">
        <w:rPr>
          <w:rFonts w:asciiTheme="majorHAnsi" w:hAnsiTheme="majorHAnsi" w:cstheme="majorHAnsi"/>
          <w:sz w:val="26"/>
          <w:szCs w:val="26"/>
          <w:lang w:val="en-GB"/>
        </w:rPr>
        <w:t>Bangladesh</w:t>
      </w:r>
    </w:p>
    <w:p w14:paraId="610CF94D" w14:textId="25E69D43" w:rsidR="007F7529" w:rsidRPr="001119F0" w:rsidRDefault="00833827" w:rsidP="00BC6C90">
      <w:pPr>
        <w:autoSpaceDE w:val="0"/>
        <w:autoSpaceDN w:val="0"/>
        <w:adjustRightInd w:val="0"/>
        <w:spacing w:after="120"/>
        <w:rPr>
          <w:rFonts w:asciiTheme="majorHAnsi" w:hAnsiTheme="majorHAnsi" w:cstheme="majorHAnsi"/>
        </w:rPr>
      </w:pPr>
      <w:r w:rsidRPr="001119F0">
        <w:rPr>
          <w:rFonts w:asciiTheme="majorHAnsi" w:hAnsiTheme="majorHAnsi" w:cstheme="majorHAnsi"/>
        </w:rPr>
        <w:t>7</w:t>
      </w:r>
      <w:r w:rsidR="00BC6C90" w:rsidRPr="001119F0">
        <w:rPr>
          <w:rFonts w:asciiTheme="majorHAnsi" w:hAnsiTheme="majorHAnsi" w:cstheme="majorHAnsi"/>
        </w:rPr>
        <w:t xml:space="preserve">. </w:t>
      </w:r>
      <w:r w:rsidR="00126D81" w:rsidRPr="001119F0">
        <w:rPr>
          <w:rFonts w:asciiTheme="majorHAnsi" w:hAnsiTheme="majorHAnsi" w:cstheme="majorHAnsi"/>
        </w:rPr>
        <w:t xml:space="preserve">In </w:t>
      </w:r>
      <w:r w:rsidR="004866EF" w:rsidRPr="004866EF">
        <w:rPr>
          <w:rFonts w:asciiTheme="majorHAnsi" w:hAnsiTheme="majorHAnsi" w:cstheme="majorHAnsi"/>
        </w:rPr>
        <w:t>Bangladesh, corporal punishment of children is unlawful in schools under a 2011 Supreme Court judgment but the necessary law reform has not yet been carried out to inscribe this prohibition in law. It is still lawful in all other settings, including as a sentence for a crime</w:t>
      </w:r>
      <w:r w:rsidR="002467F9">
        <w:rPr>
          <w:rFonts w:asciiTheme="majorHAnsi" w:hAnsiTheme="majorHAnsi" w:cstheme="majorHAnsi"/>
        </w:rPr>
        <w:t>.</w:t>
      </w:r>
    </w:p>
    <w:p w14:paraId="2A7700C4" w14:textId="64DCA82C" w:rsidR="004866EF" w:rsidRPr="004866EF" w:rsidRDefault="00620321" w:rsidP="004866EF">
      <w:pPr>
        <w:autoSpaceDE w:val="0"/>
        <w:autoSpaceDN w:val="0"/>
        <w:adjustRightInd w:val="0"/>
        <w:spacing w:after="120"/>
        <w:rPr>
          <w:rFonts w:asciiTheme="majorHAnsi" w:hAnsiTheme="majorHAnsi" w:cstheme="majorHAnsi"/>
          <w:iCs/>
        </w:rPr>
      </w:pPr>
      <w:r w:rsidRPr="001119F0">
        <w:rPr>
          <w:rFonts w:asciiTheme="majorHAnsi" w:hAnsiTheme="majorHAnsi" w:cstheme="majorHAnsi"/>
        </w:rPr>
        <w:t xml:space="preserve">8. </w:t>
      </w:r>
      <w:r w:rsidRPr="001119F0">
        <w:rPr>
          <w:rFonts w:asciiTheme="majorHAnsi" w:hAnsiTheme="majorHAnsi" w:cstheme="majorHAnsi"/>
          <w:i/>
        </w:rPr>
        <w:t>Corporal punishment is lawful in the home</w:t>
      </w:r>
      <w:r w:rsidR="004866EF" w:rsidRPr="004866EF">
        <w:rPr>
          <w:rFonts w:asciiTheme="majorHAnsi" w:hAnsiTheme="majorHAnsi" w:cstheme="majorHAnsi"/>
          <w:iCs/>
        </w:rPr>
        <w:t>. Article 89 of the Penal Code 1860 states: “Nothing which is done in good faith for the benefit of a person under twelve years of age, or of unsound mind by or by consent, either express or implied, of the guardian or other person having lawful charge of that person, is an offence by reason of any harm which it may cause, or be intended by the doer to cause or be known by the doer to be likely to cause to that person.…” A 2011 Supreme Court ruling (see</w:t>
      </w:r>
      <w:r w:rsidR="00E236B6">
        <w:rPr>
          <w:rFonts w:asciiTheme="majorHAnsi" w:hAnsiTheme="majorHAnsi" w:cstheme="majorHAnsi"/>
          <w:iCs/>
        </w:rPr>
        <w:t xml:space="preserve"> below</w:t>
      </w:r>
      <w:r w:rsidR="004866EF" w:rsidRPr="004866EF">
        <w:rPr>
          <w:rFonts w:asciiTheme="majorHAnsi" w:hAnsiTheme="majorHAnsi" w:cstheme="majorHAnsi"/>
          <w:iCs/>
        </w:rPr>
        <w:t xml:space="preserve">) stated that this article is relevant only to medical actions on a child and not to corporal punishment. However, this has not been confirmed through law reform to explicitly prohibit all corporal </w:t>
      </w:r>
      <w:r w:rsidR="004866EF" w:rsidRPr="004866EF">
        <w:rPr>
          <w:rFonts w:asciiTheme="majorHAnsi" w:hAnsiTheme="majorHAnsi" w:cstheme="majorHAnsi"/>
          <w:iCs/>
        </w:rPr>
        <w:lastRenderedPageBreak/>
        <w:t>punishment; it is notable that in other jurisdictions with comparable Penal Code provisions the article is interpreted as providing a defence for corporal punishment.</w:t>
      </w:r>
      <w:r w:rsidR="004866EF" w:rsidRPr="004866EF">
        <w:rPr>
          <w:rFonts w:asciiTheme="majorHAnsi" w:hAnsiTheme="majorHAnsi" w:cstheme="majorHAnsi"/>
          <w:iCs/>
          <w:vertAlign w:val="superscript"/>
        </w:rPr>
        <w:footnoteReference w:id="2"/>
      </w:r>
      <w:r w:rsidR="004866EF" w:rsidRPr="004866EF">
        <w:rPr>
          <w:rFonts w:asciiTheme="majorHAnsi" w:hAnsiTheme="majorHAnsi" w:cstheme="majorHAnsi"/>
          <w:iCs/>
        </w:rPr>
        <w:t xml:space="preserve"> Provisions against violence and abuse in the Penal Code and the Domestic Violence Act 2010 are not interpreted as prohibiting corporal punishment in childrearing.</w:t>
      </w:r>
    </w:p>
    <w:p w14:paraId="6BB5616E" w14:textId="1062D979" w:rsidR="004866EF" w:rsidRDefault="00E236B6" w:rsidP="004866EF">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9. </w:t>
      </w:r>
      <w:r w:rsidR="004866EF" w:rsidRPr="004866EF">
        <w:rPr>
          <w:rFonts w:asciiTheme="majorHAnsi" w:hAnsiTheme="majorHAnsi" w:cstheme="majorHAnsi"/>
          <w:iCs/>
        </w:rPr>
        <w:t>In the 2011 ruling on corporal punishment in schools, the Supreme Court of Bangladesh High Court Division called for prohibition of corporal punishment in the home and directed the Government to consider amending the Children Act 1974 to make it an offence for parents (and employers) to impose corporal punishment on children. The Children Act 2013, which repeals the Children Act 1974, failed to achieve this. It includes the offence of child cruelty (art. 70), punishing “any person having the custody, charge or care of any child [who] assaults, abuses, neglects, forsakes, abandons unprotected, uses for personal services, or exposes in an obscene way such child and such assault, abuse, negligence, forsaking, abandonment, or the use in personal service causes unnecessary suffering or such injury to his health that it leads to loss of the child's eyesight or hearing or injury to any of limb or organ of the body and any mental derangement”, but it does not prohibit all corporal punishment.</w:t>
      </w:r>
    </w:p>
    <w:p w14:paraId="294A9B18" w14:textId="004F5138" w:rsidR="004866EF" w:rsidRPr="004866EF" w:rsidRDefault="00925C21" w:rsidP="004866EF">
      <w:pPr>
        <w:autoSpaceDE w:val="0"/>
        <w:autoSpaceDN w:val="0"/>
        <w:adjustRightInd w:val="0"/>
        <w:spacing w:after="120"/>
        <w:rPr>
          <w:rFonts w:asciiTheme="majorHAnsi" w:hAnsiTheme="majorHAnsi" w:cstheme="majorHAnsi"/>
        </w:rPr>
      </w:pPr>
      <w:r>
        <w:rPr>
          <w:rFonts w:asciiTheme="majorHAnsi" w:hAnsiTheme="majorHAnsi" w:cstheme="majorHAnsi"/>
        </w:rPr>
        <w:t>10</w:t>
      </w:r>
      <w:r w:rsidR="00620321" w:rsidRPr="001119F0">
        <w:rPr>
          <w:rFonts w:asciiTheme="majorHAnsi" w:hAnsiTheme="majorHAnsi" w:cstheme="majorHAnsi"/>
        </w:rPr>
        <w:t xml:space="preserve">. </w:t>
      </w:r>
      <w:r w:rsidR="00620321" w:rsidRPr="001119F0">
        <w:rPr>
          <w:rFonts w:asciiTheme="majorHAnsi" w:hAnsiTheme="majorHAnsi" w:cstheme="majorHAnsi"/>
          <w:i/>
        </w:rPr>
        <w:t>Corporal punishment is lawful in alternative care settings</w:t>
      </w:r>
      <w:r w:rsidR="00077E55">
        <w:rPr>
          <w:rFonts w:asciiTheme="majorHAnsi" w:hAnsiTheme="majorHAnsi" w:cstheme="majorHAnsi"/>
          <w:i/>
        </w:rPr>
        <w:t xml:space="preserve"> </w:t>
      </w:r>
      <w:r w:rsidR="004866EF" w:rsidRPr="004866EF">
        <w:rPr>
          <w:rFonts w:asciiTheme="majorHAnsi" w:hAnsiTheme="majorHAnsi" w:cstheme="majorHAnsi"/>
        </w:rPr>
        <w:t>under art</w:t>
      </w:r>
      <w:r w:rsidR="00077E55">
        <w:rPr>
          <w:rFonts w:asciiTheme="majorHAnsi" w:hAnsiTheme="majorHAnsi" w:cstheme="majorHAnsi"/>
        </w:rPr>
        <w:t>icle 89 of the Penal Code 1860</w:t>
      </w:r>
      <w:r w:rsidR="004866EF" w:rsidRPr="004866EF">
        <w:rPr>
          <w:rFonts w:asciiTheme="majorHAnsi" w:hAnsiTheme="majorHAnsi" w:cstheme="majorHAnsi"/>
        </w:rPr>
        <w:t xml:space="preserve">. Legislation governing care institutions reportedly provides for corporal punishment as a disciplinary measure but </w:t>
      </w:r>
      <w:r w:rsidR="004866EF" w:rsidRPr="004866EF">
        <w:rPr>
          <w:rFonts w:asciiTheme="majorHAnsi" w:hAnsiTheme="majorHAnsi" w:cstheme="majorHAnsi"/>
        </w:rPr>
        <w:lastRenderedPageBreak/>
        <w:t>we have no specific details.</w:t>
      </w:r>
      <w:r w:rsidR="004866EF" w:rsidRPr="004866EF">
        <w:rPr>
          <w:rFonts w:asciiTheme="majorHAnsi" w:hAnsiTheme="majorHAnsi" w:cstheme="majorHAnsi"/>
          <w:vertAlign w:val="superscript"/>
        </w:rPr>
        <w:footnoteReference w:id="3"/>
      </w:r>
      <w:r w:rsidR="004866EF" w:rsidRPr="004866EF">
        <w:rPr>
          <w:rFonts w:asciiTheme="majorHAnsi" w:hAnsiTheme="majorHAnsi" w:cstheme="majorHAnsi"/>
        </w:rPr>
        <w:t xml:space="preserve"> The Children Act 2013 does not explicitly prohibit all corporal punishment.</w:t>
      </w:r>
    </w:p>
    <w:p w14:paraId="718DEAB3" w14:textId="3C8C093B" w:rsidR="004866EF" w:rsidRPr="004866EF" w:rsidRDefault="00D63AA6" w:rsidP="004866EF">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925C21">
        <w:rPr>
          <w:rFonts w:asciiTheme="majorHAnsi" w:hAnsiTheme="majorHAnsi" w:cstheme="majorHAnsi"/>
        </w:rPr>
        <w:t>1</w:t>
      </w:r>
      <w:r w:rsidRPr="001119F0">
        <w:rPr>
          <w:rFonts w:asciiTheme="majorHAnsi" w:hAnsiTheme="majorHAnsi" w:cstheme="majorHAnsi"/>
        </w:rPr>
        <w:t xml:space="preserve">. </w:t>
      </w:r>
      <w:r w:rsidRPr="001119F0">
        <w:rPr>
          <w:rFonts w:asciiTheme="majorHAnsi" w:hAnsiTheme="majorHAnsi" w:cstheme="majorHAnsi"/>
          <w:i/>
        </w:rPr>
        <w:t>Corporal punishment is</w:t>
      </w:r>
      <w:r w:rsidR="005869E5" w:rsidRPr="001119F0">
        <w:rPr>
          <w:rFonts w:asciiTheme="majorHAnsi" w:hAnsiTheme="majorHAnsi" w:cstheme="majorHAnsi"/>
          <w:i/>
        </w:rPr>
        <w:t xml:space="preserve"> </w:t>
      </w:r>
      <w:r w:rsidRPr="001119F0">
        <w:rPr>
          <w:rFonts w:asciiTheme="majorHAnsi" w:hAnsiTheme="majorHAnsi" w:cstheme="majorHAnsi"/>
          <w:i/>
        </w:rPr>
        <w:t>lawful in</w:t>
      </w:r>
      <w:r w:rsidR="005C34D5" w:rsidRPr="001119F0">
        <w:rPr>
          <w:rFonts w:asciiTheme="majorHAnsi" w:hAnsiTheme="majorHAnsi" w:cstheme="majorHAnsi"/>
          <w:i/>
        </w:rPr>
        <w:t xml:space="preserve"> </w:t>
      </w:r>
      <w:r w:rsidRPr="001119F0">
        <w:rPr>
          <w:rFonts w:asciiTheme="majorHAnsi" w:hAnsiTheme="majorHAnsi" w:cstheme="majorHAnsi"/>
          <w:i/>
        </w:rPr>
        <w:t>early childhood care and in</w:t>
      </w:r>
      <w:r w:rsidR="005C34D5" w:rsidRPr="001119F0">
        <w:rPr>
          <w:rFonts w:asciiTheme="majorHAnsi" w:hAnsiTheme="majorHAnsi" w:cstheme="majorHAnsi"/>
          <w:i/>
        </w:rPr>
        <w:t xml:space="preserve"> </w:t>
      </w:r>
      <w:r w:rsidRPr="001119F0">
        <w:rPr>
          <w:rFonts w:asciiTheme="majorHAnsi" w:hAnsiTheme="majorHAnsi" w:cstheme="majorHAnsi"/>
          <w:i/>
        </w:rPr>
        <w:t>day care for older children, including for children with disabilities</w:t>
      </w:r>
      <w:r w:rsidR="00077E55">
        <w:rPr>
          <w:rFonts w:asciiTheme="majorHAnsi" w:hAnsiTheme="majorHAnsi" w:cstheme="majorHAnsi"/>
          <w:i/>
        </w:rPr>
        <w:t>,</w:t>
      </w:r>
      <w:r w:rsidR="004866EF" w:rsidRPr="004866EF">
        <w:rPr>
          <w:rFonts w:asciiTheme="majorHAnsi" w:hAnsiTheme="majorHAnsi" w:cstheme="majorHAnsi"/>
        </w:rPr>
        <w:t xml:space="preserve"> under article 89 of the Penal Code 1860. It is not prohibited in the Children Act 2013.</w:t>
      </w:r>
    </w:p>
    <w:p w14:paraId="2C915F7E" w14:textId="42F80100" w:rsidR="004866EF" w:rsidRPr="004866EF" w:rsidRDefault="00D63AA6" w:rsidP="004866EF">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925C21">
        <w:rPr>
          <w:rFonts w:asciiTheme="majorHAnsi" w:hAnsiTheme="majorHAnsi" w:cstheme="majorHAnsi"/>
        </w:rPr>
        <w:t>2</w:t>
      </w:r>
      <w:r w:rsidRPr="001119F0">
        <w:rPr>
          <w:rFonts w:asciiTheme="majorHAnsi" w:hAnsiTheme="majorHAnsi" w:cstheme="majorHAnsi"/>
        </w:rPr>
        <w:t xml:space="preserve">. </w:t>
      </w:r>
      <w:bookmarkStart w:id="1" w:name="OLE_LINK44"/>
      <w:bookmarkStart w:id="2" w:name="OLE_LINK45"/>
      <w:r w:rsidRPr="001119F0">
        <w:rPr>
          <w:rFonts w:asciiTheme="majorHAnsi" w:hAnsiTheme="majorHAnsi" w:cstheme="majorHAnsi"/>
          <w:i/>
        </w:rPr>
        <w:t xml:space="preserve">Corporal punishment is </w:t>
      </w:r>
      <w:r w:rsidR="00187327" w:rsidRPr="001119F0">
        <w:rPr>
          <w:rFonts w:asciiTheme="majorHAnsi" w:hAnsiTheme="majorHAnsi" w:cstheme="majorHAnsi"/>
          <w:i/>
        </w:rPr>
        <w:t>un</w:t>
      </w:r>
      <w:r w:rsidRPr="001119F0">
        <w:rPr>
          <w:rFonts w:asciiTheme="majorHAnsi" w:hAnsiTheme="majorHAnsi" w:cstheme="majorHAnsi"/>
          <w:i/>
        </w:rPr>
        <w:t>lawful in schools</w:t>
      </w:r>
      <w:bookmarkEnd w:id="1"/>
      <w:bookmarkEnd w:id="2"/>
      <w:r w:rsidR="00077E55">
        <w:rPr>
          <w:rFonts w:asciiTheme="majorHAnsi" w:hAnsiTheme="majorHAnsi" w:cstheme="majorHAnsi"/>
        </w:rPr>
        <w:t xml:space="preserve"> </w:t>
      </w:r>
      <w:r w:rsidR="004866EF" w:rsidRPr="004866EF">
        <w:rPr>
          <w:rFonts w:asciiTheme="majorHAnsi" w:hAnsiTheme="majorHAnsi" w:cstheme="majorHAnsi"/>
        </w:rPr>
        <w:t>according to a Supreme Court judgment issued on 13 January 2011</w:t>
      </w:r>
      <w:r w:rsidR="004866EF" w:rsidRPr="004866EF">
        <w:rPr>
          <w:rFonts w:asciiTheme="majorHAnsi" w:hAnsiTheme="majorHAnsi" w:cstheme="majorHAnsi"/>
          <w:vertAlign w:val="superscript"/>
        </w:rPr>
        <w:footnoteReference w:id="4"/>
      </w:r>
      <w:r w:rsidR="004866EF" w:rsidRPr="004866EF">
        <w:rPr>
          <w:rFonts w:asciiTheme="majorHAnsi" w:hAnsiTheme="majorHAnsi" w:cstheme="majorHAnsi"/>
        </w:rPr>
        <w:t xml:space="preserve"> which stated that it violated the Constitutional prohibition of torture and cruel, inhuman or degrading punishment or treatment. The judgment followed a writ petition filed in July 2010 by Bangladesh Legal Aid and Services Trust and Ain o Salish Kendra with the High Court in Dhaka, as a result of which the Ministry of Education published a circular stating that corporal punishment is prohibited in schools, that it constitutes misconduct and that measures will be taken against perpetrators under the Penal Code, the Children Act and through departmental action.</w:t>
      </w:r>
      <w:r w:rsidR="004866EF" w:rsidRPr="004866EF">
        <w:rPr>
          <w:rFonts w:asciiTheme="majorHAnsi" w:hAnsiTheme="majorHAnsi" w:cstheme="majorHAnsi"/>
          <w:vertAlign w:val="superscript"/>
        </w:rPr>
        <w:footnoteReference w:id="5"/>
      </w:r>
      <w:r w:rsidR="004866EF" w:rsidRPr="004866EF">
        <w:rPr>
          <w:rFonts w:asciiTheme="majorHAnsi" w:hAnsiTheme="majorHAnsi" w:cstheme="majorHAnsi"/>
        </w:rPr>
        <w:t xml:space="preserve"> The Ministry issued “Guidelines for the prohibition of corporal and mental punishment of students in educational institutions 2011”, which came into effect in April 2011.</w:t>
      </w:r>
      <w:r w:rsidR="004866EF" w:rsidRPr="004866EF">
        <w:rPr>
          <w:rFonts w:asciiTheme="majorHAnsi" w:hAnsiTheme="majorHAnsi" w:cstheme="majorHAnsi"/>
          <w:vertAlign w:val="superscript"/>
        </w:rPr>
        <w:footnoteReference w:id="6"/>
      </w:r>
      <w:r w:rsidR="004866EF" w:rsidRPr="004866EF">
        <w:rPr>
          <w:rFonts w:asciiTheme="majorHAnsi" w:hAnsiTheme="majorHAnsi" w:cstheme="majorHAnsi"/>
        </w:rPr>
        <w:t xml:space="preserve"> </w:t>
      </w:r>
    </w:p>
    <w:p w14:paraId="60092CDA" w14:textId="1D083098" w:rsidR="004866EF" w:rsidRPr="004866EF" w:rsidRDefault="00077E55" w:rsidP="004866EF">
      <w:pPr>
        <w:autoSpaceDE w:val="0"/>
        <w:autoSpaceDN w:val="0"/>
        <w:adjustRightInd w:val="0"/>
        <w:spacing w:after="120"/>
        <w:rPr>
          <w:rFonts w:asciiTheme="majorHAnsi" w:hAnsiTheme="majorHAnsi" w:cstheme="majorHAnsi"/>
        </w:rPr>
      </w:pPr>
      <w:r>
        <w:rPr>
          <w:rFonts w:asciiTheme="majorHAnsi" w:hAnsiTheme="majorHAnsi" w:cstheme="majorHAnsi"/>
        </w:rPr>
        <w:t xml:space="preserve">13. </w:t>
      </w:r>
      <w:r w:rsidR="004866EF" w:rsidRPr="004866EF">
        <w:rPr>
          <w:rFonts w:asciiTheme="majorHAnsi" w:hAnsiTheme="majorHAnsi" w:cstheme="majorHAnsi"/>
        </w:rPr>
        <w:t xml:space="preserve">Prohibition is yet to be confirmed in legislation passed by Parliament: a draft Education Act has long been under discussion but as at </w:t>
      </w:r>
      <w:r w:rsidR="004866EF" w:rsidRPr="004866EF">
        <w:rPr>
          <w:rFonts w:asciiTheme="majorHAnsi" w:hAnsiTheme="majorHAnsi" w:cstheme="majorHAnsi"/>
        </w:rPr>
        <w:lastRenderedPageBreak/>
        <w:t>June 2016 had still not been enacted.</w:t>
      </w:r>
      <w:r w:rsidR="004866EF" w:rsidRPr="004866EF">
        <w:rPr>
          <w:rFonts w:asciiTheme="majorHAnsi" w:hAnsiTheme="majorHAnsi" w:cstheme="majorHAnsi"/>
          <w:vertAlign w:val="superscript"/>
        </w:rPr>
        <w:footnoteReference w:id="7"/>
      </w:r>
      <w:r w:rsidR="004866EF" w:rsidRPr="004866EF">
        <w:rPr>
          <w:rFonts w:asciiTheme="majorHAnsi" w:hAnsiTheme="majorHAnsi" w:cstheme="majorHAnsi"/>
        </w:rPr>
        <w:t xml:space="preserve"> The Supreme Court ordered laws relating to disciplinary action against teachers to be amended to identify the imposition of corporal punishment as misconduct.</w:t>
      </w:r>
    </w:p>
    <w:p w14:paraId="3187AB22" w14:textId="3FEA0AC1" w:rsidR="004866EF" w:rsidRPr="004866EF" w:rsidRDefault="00D63AA6" w:rsidP="004866EF">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913972">
        <w:rPr>
          <w:rFonts w:asciiTheme="majorHAnsi" w:hAnsiTheme="majorHAnsi" w:cstheme="majorHAnsi"/>
        </w:rPr>
        <w:t>4</w:t>
      </w:r>
      <w:r w:rsidRPr="001119F0">
        <w:rPr>
          <w:rFonts w:asciiTheme="majorHAnsi" w:hAnsiTheme="majorHAnsi" w:cstheme="majorHAnsi"/>
        </w:rPr>
        <w:t xml:space="preserve">. </w:t>
      </w:r>
      <w:r w:rsidR="00591A1C" w:rsidRPr="001119F0">
        <w:rPr>
          <w:rFonts w:asciiTheme="majorHAnsi" w:hAnsiTheme="majorHAnsi" w:cstheme="majorHAnsi"/>
          <w:i/>
        </w:rPr>
        <w:t>Corporal punishment is</w:t>
      </w:r>
      <w:r w:rsidR="004F7EF9" w:rsidRPr="001119F0">
        <w:rPr>
          <w:rFonts w:asciiTheme="majorHAnsi" w:hAnsiTheme="majorHAnsi" w:cstheme="majorHAnsi"/>
          <w:i/>
        </w:rPr>
        <w:t xml:space="preserve"> </w:t>
      </w:r>
      <w:r w:rsidR="004866EF" w:rsidRPr="00077E55">
        <w:rPr>
          <w:rFonts w:asciiTheme="majorHAnsi" w:hAnsiTheme="majorHAnsi" w:cstheme="majorHAnsi"/>
          <w:i/>
        </w:rPr>
        <w:t>lawful as a disciplinary measure in penal institutions</w:t>
      </w:r>
      <w:r w:rsidR="004866EF" w:rsidRPr="004866EF">
        <w:rPr>
          <w:rFonts w:asciiTheme="majorHAnsi" w:hAnsiTheme="majorHAnsi" w:cstheme="majorHAnsi"/>
        </w:rPr>
        <w:t>, including certified institutes, approved homes, prisons and vagrant homes. Rule No. 24 of the Children Rules 1976 lists sanctions for infringements of discipline, including “caning not exceeding ten stripes”. It states that the number of strokes should vary according to the age of the person and nature of the offence, should be inflicted on the buttocks or on the palm of the hand, and a medical officer should be present. The Prisons Act 1894 authorises whipping as a punishment for breaches of discipline by male prisoners, up to 30 stripes (art. 46); for boys under 16 it must be inflicted “in the way of school discipline” (art. 53). According to the Borstal Schools Act (art. 4), the Prisons Act applies to borstal schools.</w:t>
      </w:r>
      <w:r w:rsidR="00077E55">
        <w:rPr>
          <w:rFonts w:asciiTheme="majorHAnsi" w:hAnsiTheme="majorHAnsi" w:cstheme="majorHAnsi"/>
        </w:rPr>
        <w:t xml:space="preserve"> </w:t>
      </w:r>
      <w:r w:rsidR="004866EF" w:rsidRPr="004866EF">
        <w:rPr>
          <w:rFonts w:asciiTheme="majorHAnsi" w:hAnsiTheme="majorHAnsi" w:cstheme="majorHAnsi"/>
        </w:rPr>
        <w:t>The Children Act 2013 does not prohibit corporal punishment.</w:t>
      </w:r>
    </w:p>
    <w:p w14:paraId="2BC5159F" w14:textId="2522C982" w:rsidR="004866EF" w:rsidRPr="004866EF" w:rsidRDefault="00D63AA6" w:rsidP="004866EF">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913972">
        <w:rPr>
          <w:rFonts w:asciiTheme="majorHAnsi" w:hAnsiTheme="majorHAnsi" w:cstheme="majorHAnsi"/>
        </w:rPr>
        <w:t>5</w:t>
      </w:r>
      <w:r w:rsidRPr="001119F0">
        <w:rPr>
          <w:rFonts w:asciiTheme="majorHAnsi" w:hAnsiTheme="majorHAnsi" w:cstheme="majorHAnsi"/>
        </w:rPr>
        <w:t>.</w:t>
      </w:r>
      <w:r w:rsidR="002B3F16" w:rsidRPr="002B3F16">
        <w:rPr>
          <w:rFonts w:asciiTheme="majorHAnsi" w:hAnsiTheme="majorHAnsi" w:cstheme="majorHAnsi"/>
        </w:rPr>
        <w:t xml:space="preserve"> </w:t>
      </w:r>
      <w:r w:rsidR="004866EF" w:rsidRPr="00077E55">
        <w:rPr>
          <w:rFonts w:asciiTheme="majorHAnsi" w:hAnsiTheme="majorHAnsi" w:cstheme="majorHAnsi"/>
          <w:i/>
        </w:rPr>
        <w:t>Whipping appears to be lawful as a sentence for crime for males</w:t>
      </w:r>
      <w:r w:rsidR="004866EF" w:rsidRPr="004866EF">
        <w:rPr>
          <w:rFonts w:asciiTheme="majorHAnsi" w:hAnsiTheme="majorHAnsi" w:cstheme="majorHAnsi"/>
        </w:rPr>
        <w:t xml:space="preserve">. Under the Code of Criminal Procedure 1898, boys under 16 may be whipped “with a light rattan not less than half an inch in diameter” up to 15 “stripes”, older males up to 30 stripes (art. 392). Whipping must not be inflicted in instalments and may not be inflicted on females or on males sentenced to death or more than five years imprisonment (art. 393). Whipping can be ordered in addition to imprisonment only if the term of imprisonment exceeds three months; it must not be carried out </w:t>
      </w:r>
      <w:r w:rsidR="004866EF" w:rsidRPr="004866EF">
        <w:rPr>
          <w:rFonts w:asciiTheme="majorHAnsi" w:hAnsiTheme="majorHAnsi" w:cstheme="majorHAnsi"/>
        </w:rPr>
        <w:lastRenderedPageBreak/>
        <w:t>until at least 15 days after sentencing and must be inflicted in the presence of the officer in charge of the jail or of the Judge or Magistrate (art. 391). The person to be whipped must be considered fit to receive the punishment, by a medical officer, the Magistrate or the officer present (art. 394).</w:t>
      </w:r>
      <w:r w:rsidR="00077E55">
        <w:rPr>
          <w:rFonts w:asciiTheme="majorHAnsi" w:hAnsiTheme="majorHAnsi" w:cstheme="majorHAnsi"/>
        </w:rPr>
        <w:t xml:space="preserve"> </w:t>
      </w:r>
      <w:r w:rsidR="004866EF" w:rsidRPr="004866EF">
        <w:rPr>
          <w:rFonts w:asciiTheme="majorHAnsi" w:hAnsiTheme="majorHAnsi" w:cstheme="majorHAnsi"/>
        </w:rPr>
        <w:t xml:space="preserve">The Penal Code 1860 does not provide for judicial whipping, but under the Whipping Act 1909 whipping may be given in lieu of or in addition to the punishments specified in the Penal Code for specific offences committed by persons over 16 (arts. 3 and 4). The Act provides for juvenile offenders (under 16) to be whipped in lieu of other punishments for a wider range of crimes under the Penal Code and other laws (art. 5). Whipping is a sentence for offences under the Cantonments Pure Food Act 1966 (art. 23), the Suppression of Immoral Traffic Act 1933 (arts. 9, 10 and 12) and, for boys under the age of 12, the Railways Act 1890 (art. 130). </w:t>
      </w:r>
    </w:p>
    <w:p w14:paraId="42DB38A6" w14:textId="6FDC941A" w:rsidR="004866EF" w:rsidRPr="004866EF" w:rsidRDefault="00077E55" w:rsidP="004866EF">
      <w:pPr>
        <w:autoSpaceDE w:val="0"/>
        <w:autoSpaceDN w:val="0"/>
        <w:adjustRightInd w:val="0"/>
        <w:spacing w:after="120"/>
        <w:rPr>
          <w:rFonts w:asciiTheme="majorHAnsi" w:hAnsiTheme="majorHAnsi" w:cstheme="majorHAnsi"/>
        </w:rPr>
      </w:pPr>
      <w:r>
        <w:rPr>
          <w:rFonts w:asciiTheme="majorHAnsi" w:hAnsiTheme="majorHAnsi" w:cstheme="majorHAnsi"/>
        </w:rPr>
        <w:t xml:space="preserve">16. </w:t>
      </w:r>
      <w:r w:rsidR="004866EF" w:rsidRPr="004866EF">
        <w:rPr>
          <w:rFonts w:asciiTheme="majorHAnsi" w:hAnsiTheme="majorHAnsi" w:cstheme="majorHAnsi"/>
        </w:rPr>
        <w:t>The 2011 Supreme Court judgment stated that all laws authorising whipping or caning of children as a sentence of the courts should be immediately repealed. The Children Act 2013 states that the dignity of children in conflict with the law should be respected at all times (art. 54) and does not provide for judicial corporal punishment – but it does not explicitly prohibit corporal punishment as a sentence nor repeal the above mentioned provisions authorising judicial whipping of juvenile offenders. We are seeking information regarding the extent to which the new Act overrides other laws.</w:t>
      </w:r>
    </w:p>
    <w:p w14:paraId="6F190182" w14:textId="7FCF1928" w:rsidR="004866EF" w:rsidRPr="004866EF" w:rsidRDefault="00077E55" w:rsidP="004866EF">
      <w:pPr>
        <w:autoSpaceDE w:val="0"/>
        <w:autoSpaceDN w:val="0"/>
        <w:adjustRightInd w:val="0"/>
        <w:spacing w:after="120"/>
        <w:rPr>
          <w:rFonts w:asciiTheme="majorHAnsi" w:hAnsiTheme="majorHAnsi" w:cstheme="majorHAnsi"/>
        </w:rPr>
      </w:pPr>
      <w:r>
        <w:rPr>
          <w:rFonts w:asciiTheme="majorHAnsi" w:hAnsiTheme="majorHAnsi" w:cstheme="majorHAnsi"/>
        </w:rPr>
        <w:t xml:space="preserve">17. </w:t>
      </w:r>
      <w:r w:rsidR="004866EF" w:rsidRPr="004866EF">
        <w:rPr>
          <w:rFonts w:asciiTheme="majorHAnsi" w:hAnsiTheme="majorHAnsi" w:cstheme="majorHAnsi"/>
        </w:rPr>
        <w:t>Corporal punishment is also commonly ordered by traditional village mediation councils (</w:t>
      </w:r>
      <w:r w:rsidR="004866EF" w:rsidRPr="004866EF">
        <w:rPr>
          <w:rFonts w:asciiTheme="majorHAnsi" w:hAnsiTheme="majorHAnsi" w:cstheme="majorHAnsi"/>
          <w:i/>
        </w:rPr>
        <w:t>shalish</w:t>
      </w:r>
      <w:r w:rsidR="004866EF" w:rsidRPr="004866EF">
        <w:rPr>
          <w:rFonts w:asciiTheme="majorHAnsi" w:hAnsiTheme="majorHAnsi" w:cstheme="majorHAnsi"/>
        </w:rPr>
        <w:t xml:space="preserve">), particularly against girls and women. Punishments include caning, whipping, beating and stoning to death, and are often issued as </w:t>
      </w:r>
      <w:r w:rsidR="004866EF" w:rsidRPr="004866EF">
        <w:rPr>
          <w:rFonts w:asciiTheme="majorHAnsi" w:hAnsiTheme="majorHAnsi" w:cstheme="majorHAnsi"/>
          <w:i/>
        </w:rPr>
        <w:t>fatwas</w:t>
      </w:r>
      <w:r w:rsidR="004866EF" w:rsidRPr="004866EF">
        <w:rPr>
          <w:rFonts w:asciiTheme="majorHAnsi" w:hAnsiTheme="majorHAnsi" w:cstheme="majorHAnsi"/>
        </w:rPr>
        <w:t xml:space="preserve"> under Shari’a</w:t>
      </w:r>
      <w:r w:rsidR="004866EF" w:rsidRPr="004866EF">
        <w:rPr>
          <w:rFonts w:asciiTheme="majorHAnsi" w:hAnsiTheme="majorHAnsi" w:cstheme="majorHAnsi"/>
          <w:i/>
        </w:rPr>
        <w:t xml:space="preserve"> </w:t>
      </w:r>
      <w:r w:rsidR="004866EF" w:rsidRPr="004866EF">
        <w:rPr>
          <w:rFonts w:asciiTheme="majorHAnsi" w:hAnsiTheme="majorHAnsi" w:cstheme="majorHAnsi"/>
        </w:rPr>
        <w:t xml:space="preserve">law. The practice continues, </w:t>
      </w:r>
      <w:r w:rsidR="004866EF" w:rsidRPr="004866EF">
        <w:rPr>
          <w:rFonts w:asciiTheme="majorHAnsi" w:hAnsiTheme="majorHAnsi" w:cstheme="majorHAnsi"/>
        </w:rPr>
        <w:lastRenderedPageBreak/>
        <w:t xml:space="preserve">despite a High Court ruling in July 2010 declaring all kinds of extra-judicial punishment unlawful and observing that cruel punishments at </w:t>
      </w:r>
      <w:r w:rsidR="004866EF" w:rsidRPr="004866EF">
        <w:rPr>
          <w:rFonts w:asciiTheme="majorHAnsi" w:hAnsiTheme="majorHAnsi" w:cstheme="majorHAnsi"/>
          <w:i/>
        </w:rPr>
        <w:t>shalish</w:t>
      </w:r>
      <w:r w:rsidR="004866EF" w:rsidRPr="004866EF">
        <w:rPr>
          <w:rFonts w:asciiTheme="majorHAnsi" w:hAnsiTheme="majorHAnsi" w:cstheme="majorHAnsi"/>
        </w:rPr>
        <w:t xml:space="preserve"> are unconstitutional; a ruling in October 2010 declared that Bangladesh is a secular state, again confirming the issuing of </w:t>
      </w:r>
      <w:r w:rsidR="004866EF" w:rsidRPr="004866EF">
        <w:rPr>
          <w:rFonts w:asciiTheme="majorHAnsi" w:hAnsiTheme="majorHAnsi" w:cstheme="majorHAnsi"/>
          <w:i/>
        </w:rPr>
        <w:t>fatwas</w:t>
      </w:r>
      <w:r w:rsidR="004866EF" w:rsidRPr="004866EF">
        <w:rPr>
          <w:rFonts w:asciiTheme="majorHAnsi" w:hAnsiTheme="majorHAnsi" w:cstheme="majorHAnsi"/>
        </w:rPr>
        <w:t xml:space="preserve"> as unlawful (writ petitions No. 5863/2009, No. 754/2010, No. 7245/2010). This prohibition of </w:t>
      </w:r>
      <w:r w:rsidR="004866EF" w:rsidRPr="004866EF">
        <w:rPr>
          <w:rFonts w:asciiTheme="majorHAnsi" w:hAnsiTheme="majorHAnsi" w:cstheme="majorHAnsi"/>
          <w:i/>
        </w:rPr>
        <w:t xml:space="preserve">shalish </w:t>
      </w:r>
      <w:r w:rsidR="004866EF" w:rsidRPr="004866EF">
        <w:rPr>
          <w:rFonts w:asciiTheme="majorHAnsi" w:hAnsiTheme="majorHAnsi" w:cstheme="majorHAnsi"/>
        </w:rPr>
        <w:t>decisions and</w:t>
      </w:r>
      <w:r w:rsidR="004866EF" w:rsidRPr="004866EF">
        <w:rPr>
          <w:rFonts w:asciiTheme="majorHAnsi" w:hAnsiTheme="majorHAnsi" w:cstheme="majorHAnsi"/>
          <w:i/>
        </w:rPr>
        <w:t xml:space="preserve"> Shari’a </w:t>
      </w:r>
      <w:r w:rsidR="004866EF" w:rsidRPr="004866EF">
        <w:rPr>
          <w:rFonts w:asciiTheme="majorHAnsi" w:hAnsiTheme="majorHAnsi" w:cstheme="majorHAnsi"/>
        </w:rPr>
        <w:t>courts was reiterated by the Government in 2017.</w:t>
      </w:r>
      <w:r w:rsidR="004866EF" w:rsidRPr="004866EF">
        <w:rPr>
          <w:rFonts w:asciiTheme="majorHAnsi" w:hAnsiTheme="majorHAnsi" w:cstheme="majorHAnsi"/>
          <w:vertAlign w:val="superscript"/>
        </w:rPr>
        <w:footnoteReference w:id="8"/>
      </w:r>
    </w:p>
    <w:p w14:paraId="2D5BC3D3" w14:textId="4F80D8BF" w:rsidR="004866EF" w:rsidRDefault="00077E55" w:rsidP="004866EF">
      <w:pPr>
        <w:autoSpaceDE w:val="0"/>
        <w:autoSpaceDN w:val="0"/>
        <w:adjustRightInd w:val="0"/>
        <w:spacing w:after="120"/>
        <w:rPr>
          <w:rFonts w:asciiTheme="majorHAnsi" w:hAnsiTheme="majorHAnsi" w:cstheme="majorHAnsi"/>
        </w:rPr>
      </w:pPr>
      <w:r>
        <w:rPr>
          <w:rFonts w:asciiTheme="majorHAnsi" w:hAnsiTheme="majorHAnsi" w:cstheme="majorHAnsi"/>
        </w:rPr>
        <w:t xml:space="preserve">18. </w:t>
      </w:r>
      <w:r w:rsidR="004866EF" w:rsidRPr="004866EF">
        <w:rPr>
          <w:rFonts w:asciiTheme="majorHAnsi" w:hAnsiTheme="majorHAnsi" w:cstheme="majorHAnsi"/>
        </w:rPr>
        <w:t>The Constitution protects persons who have been arrested or detained from torture, cruel, degrading and inhuman treatment but states that this provision “shall not affect the operation of any existing law which prescribes any punishment or procedure for trial” (art. 35).</w:t>
      </w:r>
    </w:p>
    <w:p w14:paraId="1FD218F9" w14:textId="7B8BCB37" w:rsidR="00077E55" w:rsidRPr="004866EF" w:rsidRDefault="00077E55" w:rsidP="00077E55">
      <w:pPr>
        <w:autoSpaceDE w:val="0"/>
        <w:autoSpaceDN w:val="0"/>
        <w:adjustRightInd w:val="0"/>
        <w:spacing w:after="120"/>
        <w:rPr>
          <w:rFonts w:asciiTheme="majorHAnsi" w:hAnsiTheme="majorHAnsi" w:cstheme="majorHAnsi"/>
          <w:iCs/>
        </w:rPr>
      </w:pPr>
      <w:r>
        <w:rPr>
          <w:rFonts w:asciiTheme="majorHAnsi" w:hAnsiTheme="majorHAnsi" w:cstheme="majorHAnsi"/>
        </w:rPr>
        <w:t xml:space="preserve">19. </w:t>
      </w:r>
      <w:r w:rsidRPr="00077E55">
        <w:rPr>
          <w:rFonts w:asciiTheme="majorHAnsi" w:hAnsiTheme="majorHAnsi" w:cstheme="majorHAnsi"/>
          <w:i/>
        </w:rPr>
        <w:t>Opportunities for law reform</w:t>
      </w:r>
      <w:r>
        <w:rPr>
          <w:rFonts w:asciiTheme="majorHAnsi" w:hAnsiTheme="majorHAnsi" w:cstheme="majorHAnsi"/>
        </w:rPr>
        <w:t xml:space="preserve">. </w:t>
      </w:r>
      <w:r w:rsidRPr="004866EF">
        <w:rPr>
          <w:rFonts w:asciiTheme="majorHAnsi" w:hAnsiTheme="majorHAnsi" w:cstheme="majorHAnsi"/>
          <w:iCs/>
        </w:rPr>
        <w:t>At a meeting of the South Asia Forum in July 2006, following on from the regional consultation in 2005 of the UN Secretary General’s Study on Violence against Children, the Government made a commitment to prohibition in all settings, including the home. In its written replies to questions from the Committee on the Rights of the Child in 2009, the Government identified “protection of children from corporal punishment at home, schools and institutions” as a priority. In 2010, Government representatives in SAIEVAC (South Asia Initiative to End Violence Against Children) developed a national action plan to achieve prohibition and in 2011 endorsed a report on progress towards prohibiting corporal punishment in South Asia states which included an analysis of the reforms required in Bangladesh.</w:t>
      </w:r>
      <w:r w:rsidRPr="004866EF">
        <w:rPr>
          <w:rFonts w:asciiTheme="majorHAnsi" w:hAnsiTheme="majorHAnsi" w:cstheme="majorHAnsi"/>
          <w:iCs/>
          <w:vertAlign w:val="superscript"/>
        </w:rPr>
        <w:footnoteReference w:id="9"/>
      </w:r>
      <w:r w:rsidRPr="004866EF">
        <w:rPr>
          <w:rFonts w:asciiTheme="majorHAnsi" w:hAnsiTheme="majorHAnsi" w:cstheme="majorHAnsi"/>
          <w:iCs/>
        </w:rPr>
        <w:t xml:space="preserve"> The </w:t>
      </w:r>
      <w:r w:rsidRPr="004866EF">
        <w:rPr>
          <w:rFonts w:asciiTheme="majorHAnsi" w:hAnsiTheme="majorHAnsi" w:cstheme="majorHAnsi"/>
          <w:iCs/>
        </w:rPr>
        <w:lastRenderedPageBreak/>
        <w:t>Ministry of Women and Children Affairs is involved in SAIEVAC activities aimed at prohibiting corporal punishment in all settings.</w:t>
      </w:r>
      <w:r>
        <w:rPr>
          <w:rFonts w:asciiTheme="majorHAnsi" w:hAnsiTheme="majorHAnsi" w:cstheme="majorHAnsi"/>
          <w:iCs/>
        </w:rPr>
        <w:t xml:space="preserve"> </w:t>
      </w:r>
      <w:r w:rsidRPr="004866EF">
        <w:rPr>
          <w:rFonts w:asciiTheme="majorHAnsi" w:hAnsiTheme="majorHAnsi" w:cstheme="majorHAnsi"/>
          <w:iCs/>
        </w:rPr>
        <w:t>In 2018, the Government supported clear</w:t>
      </w:r>
      <w:r>
        <w:rPr>
          <w:rFonts w:asciiTheme="majorHAnsi" w:hAnsiTheme="majorHAnsi" w:cstheme="majorHAnsi"/>
          <w:iCs/>
        </w:rPr>
        <w:t xml:space="preserve"> UPR</w:t>
      </w:r>
      <w:r w:rsidRPr="004866EF">
        <w:rPr>
          <w:rFonts w:asciiTheme="majorHAnsi" w:hAnsiTheme="majorHAnsi" w:cstheme="majorHAnsi"/>
          <w:iCs/>
        </w:rPr>
        <w:t xml:space="preserve"> recommendations to enact prohibition of all corporal punishment of children, including in the home.</w:t>
      </w:r>
      <w:r w:rsidRPr="004866EF">
        <w:rPr>
          <w:rFonts w:asciiTheme="majorHAnsi" w:hAnsiTheme="majorHAnsi" w:cstheme="majorHAnsi"/>
          <w:iCs/>
          <w:vertAlign w:val="superscript"/>
        </w:rPr>
        <w:footnoteReference w:id="10"/>
      </w:r>
    </w:p>
    <w:p w14:paraId="325E2879" w14:textId="37CD22D2" w:rsidR="00077E55" w:rsidRPr="00077E55" w:rsidRDefault="00077E55" w:rsidP="004866EF">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20. </w:t>
      </w:r>
      <w:r w:rsidRPr="004866EF">
        <w:rPr>
          <w:rFonts w:asciiTheme="majorHAnsi" w:hAnsiTheme="majorHAnsi" w:cstheme="majorHAnsi"/>
          <w:iCs/>
        </w:rPr>
        <w:t>In reporting to the Committee on the Rights of the Child in 2015, the Government noted that a number of legislative measures are still being developed, including a “Ban on Corporal Punishment Policy and Guideline 2015” and the Children Rules 2015.</w:t>
      </w:r>
      <w:r w:rsidRPr="004866EF">
        <w:rPr>
          <w:rFonts w:asciiTheme="majorHAnsi" w:hAnsiTheme="majorHAnsi" w:cstheme="majorHAnsi"/>
          <w:iCs/>
          <w:vertAlign w:val="superscript"/>
        </w:rPr>
        <w:footnoteReference w:id="11"/>
      </w:r>
      <w:r w:rsidRPr="004866EF">
        <w:rPr>
          <w:rFonts w:asciiTheme="majorHAnsi" w:hAnsiTheme="majorHAnsi" w:cstheme="majorHAnsi"/>
          <w:iCs/>
        </w:rPr>
        <w:t xml:space="preserve"> The Government also reported that a law to ban corporal punishment of children in all educational institutions and workplaces is being drafted, as well as a comprehensive law to ban all forms of violence against children, including corporal punishment.</w:t>
      </w:r>
      <w:r w:rsidRPr="004866EF">
        <w:rPr>
          <w:rFonts w:asciiTheme="majorHAnsi" w:hAnsiTheme="majorHAnsi" w:cstheme="majorHAnsi"/>
          <w:iCs/>
          <w:vertAlign w:val="superscript"/>
        </w:rPr>
        <w:footnoteReference w:id="12"/>
      </w:r>
      <w:r w:rsidRPr="004866EF">
        <w:rPr>
          <w:rFonts w:asciiTheme="majorHAnsi" w:hAnsiTheme="majorHAnsi" w:cstheme="majorHAnsi"/>
          <w:iCs/>
        </w:rPr>
        <w:t xml:space="preserve"> Consultations have been carried out in Dhaka, Chittagong and Patuakhali districts on amendments necessary to existing laws on violence against children and recommendation submitted to the Ministry of Law, Justice and Parliamentary Affairs in March 2014.</w:t>
      </w:r>
      <w:r w:rsidRPr="004866EF">
        <w:rPr>
          <w:rFonts w:asciiTheme="majorHAnsi" w:hAnsiTheme="majorHAnsi" w:cstheme="majorHAnsi"/>
          <w:iCs/>
          <w:vertAlign w:val="superscript"/>
        </w:rPr>
        <w:footnoteReference w:id="13"/>
      </w:r>
      <w:r w:rsidRPr="004866EF">
        <w:rPr>
          <w:rFonts w:asciiTheme="majorHAnsi" w:hAnsiTheme="majorHAnsi" w:cstheme="majorHAnsi"/>
          <w:iCs/>
        </w:rPr>
        <w:t xml:space="preserve"> We are seeking further information.</w:t>
      </w:r>
    </w:p>
    <w:p w14:paraId="6327BBC2" w14:textId="7052839B" w:rsidR="004F7EF9" w:rsidRPr="001119F0" w:rsidRDefault="004F7EF9" w:rsidP="004866EF">
      <w:pPr>
        <w:autoSpaceDE w:val="0"/>
        <w:autoSpaceDN w:val="0"/>
        <w:adjustRightInd w:val="0"/>
        <w:spacing w:after="120"/>
        <w:rPr>
          <w:rFonts w:asciiTheme="majorHAnsi" w:hAnsiTheme="majorHAnsi" w:cstheme="majorHAnsi"/>
        </w:rPr>
      </w:pPr>
    </w:p>
    <w:p w14:paraId="0632C366" w14:textId="49E72199" w:rsidR="007F7529" w:rsidRPr="001117DC" w:rsidRDefault="007F7529" w:rsidP="007F7529">
      <w:pPr>
        <w:pStyle w:val="Heading2"/>
        <w:spacing w:after="120"/>
        <w:rPr>
          <w:rFonts w:asciiTheme="majorHAnsi" w:hAnsiTheme="majorHAnsi" w:cstheme="majorHAnsi"/>
          <w:b w:val="0"/>
          <w:sz w:val="26"/>
          <w:szCs w:val="26"/>
          <w:lang w:val="en-GB"/>
        </w:rPr>
      </w:pPr>
      <w:r w:rsidRPr="001119F0">
        <w:rPr>
          <w:rFonts w:asciiTheme="majorHAnsi" w:hAnsiTheme="majorHAnsi" w:cstheme="majorHAnsi"/>
          <w:sz w:val="26"/>
          <w:szCs w:val="26"/>
        </w:rPr>
        <w:lastRenderedPageBreak/>
        <w:t>Recommendations by human rights treaty monitoring bodies</w:t>
      </w:r>
      <w:r w:rsidR="008730E0" w:rsidRPr="001119F0">
        <w:rPr>
          <w:rFonts w:asciiTheme="majorHAnsi" w:hAnsiTheme="majorHAnsi" w:cstheme="majorHAnsi"/>
          <w:sz w:val="26"/>
          <w:szCs w:val="26"/>
        </w:rPr>
        <w:t xml:space="preserve"> </w:t>
      </w:r>
      <w:r w:rsidR="001117DC">
        <w:rPr>
          <w:rFonts w:asciiTheme="majorHAnsi" w:hAnsiTheme="majorHAnsi" w:cstheme="majorHAnsi"/>
          <w:sz w:val="26"/>
          <w:szCs w:val="26"/>
          <w:lang w:val="en-GB"/>
        </w:rPr>
        <w:t>and during the UPR</w:t>
      </w:r>
    </w:p>
    <w:p w14:paraId="1D6646B2" w14:textId="3C12EF54" w:rsidR="004866EF" w:rsidRPr="004866EF" w:rsidRDefault="00077E55" w:rsidP="004866EF">
      <w:pPr>
        <w:spacing w:after="240"/>
        <w:rPr>
          <w:rFonts w:asciiTheme="majorHAnsi" w:hAnsiTheme="majorHAnsi" w:cstheme="majorHAnsi"/>
          <w:bCs/>
        </w:rPr>
      </w:pPr>
      <w:r>
        <w:rPr>
          <w:rFonts w:asciiTheme="majorHAnsi" w:hAnsiTheme="majorHAnsi" w:cstheme="majorHAnsi"/>
        </w:rPr>
        <w:t>21</w:t>
      </w:r>
      <w:r w:rsidR="00F67CC5" w:rsidRPr="001119F0">
        <w:rPr>
          <w:rFonts w:asciiTheme="majorHAnsi" w:hAnsiTheme="majorHAnsi" w:cstheme="majorHAnsi"/>
        </w:rPr>
        <w:t xml:space="preserve">. </w:t>
      </w:r>
      <w:r w:rsidR="004866EF" w:rsidRPr="004866EF">
        <w:rPr>
          <w:rFonts w:asciiTheme="majorHAnsi" w:hAnsiTheme="majorHAnsi" w:cstheme="majorHAnsi"/>
          <w:bCs/>
          <w:lang w:val="en-US"/>
        </w:rPr>
        <w:t xml:space="preserve">Bangladesh has received repeated recommendations concerning prohibition and elimination of corporal punishment of children from the </w:t>
      </w:r>
      <w:r w:rsidR="004866EF" w:rsidRPr="001901DA">
        <w:rPr>
          <w:rFonts w:asciiTheme="majorHAnsi" w:hAnsiTheme="majorHAnsi" w:cstheme="majorHAnsi"/>
          <w:bCs/>
          <w:i/>
          <w:lang w:val="en-US"/>
        </w:rPr>
        <w:t>Committee on the Rights of the Child</w:t>
      </w:r>
      <w:r w:rsidR="004866EF" w:rsidRPr="004866EF">
        <w:rPr>
          <w:rFonts w:asciiTheme="majorHAnsi" w:hAnsiTheme="majorHAnsi" w:cstheme="majorHAnsi"/>
          <w:bCs/>
          <w:lang w:val="en-US"/>
        </w:rPr>
        <w:t xml:space="preserve"> (2015, 2009, 2003, and 1997).</w:t>
      </w:r>
      <w:r w:rsidR="004866EF" w:rsidRPr="004866EF">
        <w:rPr>
          <w:rFonts w:asciiTheme="majorHAnsi" w:hAnsiTheme="majorHAnsi" w:cstheme="majorHAnsi"/>
          <w:bCs/>
          <w:vertAlign w:val="superscript"/>
          <w:lang w:val="en-US"/>
        </w:rPr>
        <w:footnoteReference w:id="14"/>
      </w:r>
      <w:r w:rsidR="004866EF" w:rsidRPr="004866EF">
        <w:rPr>
          <w:rFonts w:asciiTheme="majorHAnsi" w:hAnsiTheme="majorHAnsi" w:cstheme="majorHAnsi"/>
          <w:bCs/>
        </w:rPr>
        <w:t xml:space="preserve"> </w:t>
      </w:r>
    </w:p>
    <w:p w14:paraId="4BCB6BD2" w14:textId="73EB8CBA" w:rsidR="00077E55" w:rsidRPr="00077E55" w:rsidRDefault="00077E55" w:rsidP="00077E55">
      <w:pPr>
        <w:spacing w:after="240"/>
        <w:rPr>
          <w:rFonts w:asciiTheme="majorHAnsi" w:hAnsiTheme="majorHAnsi" w:cstheme="majorHAnsi"/>
          <w:bCs/>
        </w:rPr>
      </w:pPr>
      <w:r>
        <w:rPr>
          <w:rFonts w:asciiTheme="majorHAnsi" w:hAnsiTheme="majorHAnsi" w:cstheme="majorHAnsi"/>
          <w:bCs/>
        </w:rPr>
        <w:t>22</w:t>
      </w:r>
      <w:r w:rsidR="008120D1">
        <w:rPr>
          <w:rFonts w:asciiTheme="majorHAnsi" w:hAnsiTheme="majorHAnsi" w:cstheme="majorHAnsi"/>
          <w:bCs/>
        </w:rPr>
        <w:t xml:space="preserve">. </w:t>
      </w:r>
      <w:r w:rsidR="004866EF" w:rsidRPr="004866EF">
        <w:rPr>
          <w:rFonts w:asciiTheme="majorHAnsi" w:hAnsiTheme="majorHAnsi" w:cstheme="majorHAnsi"/>
          <w:bCs/>
          <w:lang w:val="en-US"/>
        </w:rPr>
        <w:t xml:space="preserve">During the </w:t>
      </w:r>
      <w:r w:rsidR="004866EF" w:rsidRPr="001901DA">
        <w:rPr>
          <w:rFonts w:asciiTheme="majorHAnsi" w:hAnsiTheme="majorHAnsi" w:cstheme="majorHAnsi"/>
          <w:bCs/>
          <w:i/>
          <w:lang w:val="en-US"/>
        </w:rPr>
        <w:t>Universal Periodic Review</w:t>
      </w:r>
      <w:r w:rsidR="004866EF" w:rsidRPr="004866EF">
        <w:rPr>
          <w:rFonts w:asciiTheme="majorHAnsi" w:hAnsiTheme="majorHAnsi" w:cstheme="majorHAnsi"/>
          <w:bCs/>
          <w:lang w:val="en-US"/>
        </w:rPr>
        <w:t xml:space="preserve"> of Bangladesh in 2009, the Government accepted the recommendation to prohibit corporal punishment of children.</w:t>
      </w:r>
      <w:r w:rsidR="004866EF" w:rsidRPr="004866EF">
        <w:rPr>
          <w:rFonts w:asciiTheme="majorHAnsi" w:hAnsiTheme="majorHAnsi" w:cstheme="majorHAnsi"/>
          <w:bCs/>
          <w:vertAlign w:val="superscript"/>
          <w:lang w:val="en-US"/>
        </w:rPr>
        <w:footnoteReference w:id="15"/>
      </w:r>
      <w:r w:rsidR="004866EF" w:rsidRPr="004866EF">
        <w:rPr>
          <w:rFonts w:asciiTheme="majorHAnsi" w:hAnsiTheme="majorHAnsi" w:cstheme="majorHAnsi"/>
          <w:bCs/>
          <w:lang w:val="en-US"/>
        </w:rPr>
        <w:t xml:space="preserve"> However, in response to a similar recommendation at the UPR in 2013, the Government indicated that it considered education and awareness raising needs to be undertaken before corporal punishment can be prohibited.</w:t>
      </w:r>
      <w:r w:rsidR="004866EF" w:rsidRPr="004866EF">
        <w:rPr>
          <w:rFonts w:asciiTheme="majorHAnsi" w:hAnsiTheme="majorHAnsi" w:cstheme="majorHAnsi"/>
          <w:bCs/>
          <w:vertAlign w:val="superscript"/>
          <w:lang w:val="en-US"/>
        </w:rPr>
        <w:footnoteReference w:id="16"/>
      </w:r>
      <w:r w:rsidR="004866EF" w:rsidRPr="004866EF">
        <w:rPr>
          <w:rFonts w:asciiTheme="majorHAnsi" w:hAnsiTheme="majorHAnsi" w:cstheme="majorHAnsi"/>
          <w:bCs/>
        </w:rPr>
        <w:t xml:space="preserve"> </w:t>
      </w:r>
      <w:r w:rsidR="00D27EAE">
        <w:rPr>
          <w:rFonts w:asciiTheme="majorHAnsi" w:hAnsiTheme="majorHAnsi" w:cstheme="majorHAnsi"/>
          <w:bCs/>
        </w:rPr>
        <w:t>During the third</w:t>
      </w:r>
      <w:r w:rsidRPr="00077E55">
        <w:rPr>
          <w:rFonts w:asciiTheme="majorHAnsi" w:hAnsiTheme="majorHAnsi" w:cstheme="majorHAnsi"/>
          <w:bCs/>
        </w:rPr>
        <w:t xml:space="preserve"> cycle examination </w:t>
      </w:r>
      <w:r w:rsidR="00D27EAE">
        <w:rPr>
          <w:rFonts w:asciiTheme="majorHAnsi" w:hAnsiTheme="majorHAnsi" w:cstheme="majorHAnsi"/>
          <w:bCs/>
        </w:rPr>
        <w:t>in 2018, the Government supported recommendations to explicitly prohibit corporal punishment in all settings including the home.</w:t>
      </w:r>
      <w:r w:rsidR="00D27EAE" w:rsidRPr="00077E55">
        <w:rPr>
          <w:rFonts w:asciiTheme="majorHAnsi" w:hAnsiTheme="majorHAnsi" w:cstheme="majorHAnsi"/>
          <w:bCs/>
          <w:vertAlign w:val="superscript"/>
        </w:rPr>
        <w:footnoteReference w:id="17"/>
      </w:r>
    </w:p>
    <w:p w14:paraId="6EFAA16E" w14:textId="15A0CCA4" w:rsidR="00E236B6" w:rsidRDefault="00E236B6" w:rsidP="007A21C3">
      <w:pPr>
        <w:rPr>
          <w:rFonts w:asciiTheme="majorHAnsi" w:hAnsiTheme="majorHAnsi" w:cstheme="majorHAnsi"/>
          <w:i/>
          <w:iCs/>
        </w:rPr>
      </w:pPr>
    </w:p>
    <w:p w14:paraId="54D77F4D" w14:textId="77777777" w:rsidR="00D27EAE" w:rsidRDefault="00D27EAE" w:rsidP="007A21C3">
      <w:pPr>
        <w:rPr>
          <w:rFonts w:asciiTheme="majorHAnsi" w:hAnsiTheme="majorHAnsi" w:cstheme="majorHAnsi"/>
          <w:i/>
          <w:iCs/>
        </w:rPr>
      </w:pPr>
    </w:p>
    <w:p w14:paraId="73A734C1" w14:textId="0D757AF4" w:rsidR="009C24BF" w:rsidRPr="001119F0" w:rsidRDefault="00482BF9" w:rsidP="007A21C3">
      <w:pPr>
        <w:rPr>
          <w:rFonts w:asciiTheme="majorHAnsi" w:hAnsiTheme="majorHAnsi" w:cstheme="majorHAnsi"/>
          <w:i/>
          <w:iCs/>
        </w:rPr>
      </w:pPr>
      <w:r w:rsidRPr="001119F0">
        <w:rPr>
          <w:rFonts w:asciiTheme="majorHAnsi" w:hAnsiTheme="majorHAnsi" w:cstheme="majorHAnsi"/>
          <w:i/>
          <w:iCs/>
        </w:rPr>
        <w:lastRenderedPageBreak/>
        <w:t>B</w:t>
      </w:r>
      <w:r w:rsidR="009C24BF" w:rsidRPr="001119F0">
        <w:rPr>
          <w:rFonts w:asciiTheme="majorHAnsi" w:hAnsiTheme="majorHAnsi" w:cstheme="majorHAnsi"/>
          <w:i/>
          <w:iCs/>
        </w:rPr>
        <w:t>riefing prepared by the Global Initiative to End All Corporal Punishment of Children</w:t>
      </w:r>
    </w:p>
    <w:p w14:paraId="3B3EA53F" w14:textId="4DBF834A" w:rsidR="008D6D66" w:rsidRPr="001119F0" w:rsidRDefault="00286624" w:rsidP="007A21C3">
      <w:pPr>
        <w:rPr>
          <w:rFonts w:asciiTheme="majorHAnsi" w:hAnsiTheme="majorHAnsi" w:cstheme="majorHAnsi"/>
          <w:i/>
          <w:iCs/>
        </w:rPr>
      </w:pPr>
      <w:hyperlink r:id="rId14" w:history="1">
        <w:r w:rsidR="009C24BF" w:rsidRPr="008F7507">
          <w:rPr>
            <w:rStyle w:val="Hyperlink"/>
            <w:rFonts w:asciiTheme="majorHAnsi" w:eastAsia="Calibri" w:hAnsiTheme="majorHAnsi" w:cstheme="majorHAnsi"/>
            <w:bCs/>
            <w:i/>
            <w:color w:val="0096A3"/>
          </w:rPr>
          <w:t>www.endcorporalpunishment.org</w:t>
        </w:r>
      </w:hyperlink>
      <w:r w:rsidR="009C24BF" w:rsidRPr="001119F0">
        <w:rPr>
          <w:rFonts w:asciiTheme="majorHAnsi" w:hAnsiTheme="majorHAnsi" w:cstheme="majorHAnsi"/>
          <w:i/>
          <w:iCs/>
        </w:rPr>
        <w:t xml:space="preserve">; </w:t>
      </w:r>
      <w:hyperlink r:id="rId15" w:history="1">
        <w:r w:rsidR="009C24BF" w:rsidRPr="008F7507">
          <w:rPr>
            <w:rStyle w:val="Hyperlink"/>
            <w:rFonts w:asciiTheme="majorHAnsi" w:eastAsia="Calibri" w:hAnsiTheme="majorHAnsi" w:cstheme="majorHAnsi"/>
            <w:bCs/>
            <w:i/>
            <w:color w:val="0096A3"/>
          </w:rPr>
          <w:t>info@endcorporalpunishment.org</w:t>
        </w:r>
      </w:hyperlink>
    </w:p>
    <w:sectPr w:rsidR="008D6D66" w:rsidRPr="001119F0" w:rsidSect="00BE37BF">
      <w:footerReference w:type="even" r:id="rId16"/>
      <w:footerReference w:type="default" r:id="rId17"/>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07B261" w14:textId="77777777" w:rsidR="00F745D7" w:rsidRDefault="00F745D7">
      <w:r>
        <w:separator/>
      </w:r>
    </w:p>
  </w:endnote>
  <w:endnote w:type="continuationSeparator" w:id="0">
    <w:p w14:paraId="7CC570FE" w14:textId="77777777" w:rsidR="00F745D7" w:rsidRDefault="00F74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00000000"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3F54C" w14:textId="785C5894" w:rsidR="00986253" w:rsidRPr="00BE0FA6" w:rsidRDefault="00986253">
    <w:pPr>
      <w:pStyle w:val="Footer"/>
      <w:jc w:val="center"/>
      <w:rPr>
        <w:rFonts w:ascii="Calibri" w:hAnsi="Calibri"/>
      </w:rPr>
    </w:pPr>
    <w:r w:rsidRPr="00BE0FA6">
      <w:rPr>
        <w:rFonts w:ascii="Calibri" w:hAnsi="Calibri"/>
      </w:rPr>
      <w:fldChar w:fldCharType="begin"/>
    </w:r>
    <w:r w:rsidRPr="00BE0FA6">
      <w:rPr>
        <w:rFonts w:ascii="Calibri" w:hAnsi="Calibri"/>
      </w:rPr>
      <w:instrText xml:space="preserve"> PAGE   \* MERGEFORMAT </w:instrText>
    </w:r>
    <w:r w:rsidRPr="00BE0FA6">
      <w:rPr>
        <w:rFonts w:ascii="Calibri" w:hAnsi="Calibri"/>
      </w:rPr>
      <w:fldChar w:fldCharType="separate"/>
    </w:r>
    <w:r w:rsidR="00286624">
      <w:rPr>
        <w:rFonts w:ascii="Calibri" w:hAnsi="Calibri"/>
        <w:noProof/>
      </w:rPr>
      <w:t>1</w:t>
    </w:r>
    <w:r w:rsidRPr="00BE0FA6">
      <w:rPr>
        <w:rFonts w:ascii="Calibri" w:hAnsi="Calibr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CB52CA" w14:textId="77777777" w:rsidR="00F745D7" w:rsidRDefault="00F745D7">
      <w:r>
        <w:separator/>
      </w:r>
    </w:p>
  </w:footnote>
  <w:footnote w:type="continuationSeparator" w:id="0">
    <w:p w14:paraId="56AF6B14" w14:textId="77777777" w:rsidR="00F745D7" w:rsidRDefault="00F745D7">
      <w:r>
        <w:continuationSeparator/>
      </w:r>
    </w:p>
  </w:footnote>
  <w:footnote w:id="1">
    <w:p w14:paraId="7306DD3C" w14:textId="3EA8A1D4" w:rsidR="007F7529" w:rsidRPr="001A0102" w:rsidRDefault="007F7529" w:rsidP="007F7529">
      <w:pPr>
        <w:pStyle w:val="FootnoteText"/>
        <w:rPr>
          <w:rFonts w:asciiTheme="majorHAnsi" w:hAnsiTheme="majorHAnsi" w:cstheme="majorHAnsi"/>
        </w:rPr>
      </w:pPr>
      <w:r w:rsidRPr="001A0102">
        <w:rPr>
          <w:rStyle w:val="FootnoteReference"/>
          <w:rFonts w:asciiTheme="majorHAnsi" w:hAnsiTheme="majorHAnsi" w:cstheme="majorHAnsi"/>
        </w:rPr>
        <w:footnoteRef/>
      </w:r>
      <w:r w:rsidRPr="001A0102">
        <w:rPr>
          <w:rFonts w:asciiTheme="majorHAnsi" w:hAnsiTheme="majorHAnsi" w:cstheme="majorHAnsi"/>
        </w:rPr>
        <w:t xml:space="preserve"> Pinheiro, P. S. (2006), </w:t>
      </w:r>
      <w:r w:rsidRPr="001A0102">
        <w:rPr>
          <w:rFonts w:asciiTheme="majorHAnsi" w:hAnsiTheme="majorHAnsi" w:cstheme="majorHAnsi"/>
          <w:i/>
        </w:rPr>
        <w:t>World Report on Violence against Children</w:t>
      </w:r>
      <w:r w:rsidRPr="001A0102">
        <w:rPr>
          <w:rFonts w:asciiTheme="majorHAnsi" w:hAnsiTheme="majorHAnsi" w:cstheme="majorHAnsi"/>
        </w:rPr>
        <w:t>, Geneva: United Nations. See also Krug E. G. et al (eds) (2002),</w:t>
      </w:r>
      <w:r w:rsidRPr="001A0102">
        <w:rPr>
          <w:rFonts w:asciiTheme="majorHAnsi" w:hAnsiTheme="majorHAnsi" w:cstheme="majorHAnsi"/>
          <w:i/>
          <w:iCs/>
        </w:rPr>
        <w:t xml:space="preserve"> World Report on Violence and Health, </w:t>
      </w:r>
      <w:r w:rsidRPr="001A0102">
        <w:rPr>
          <w:rFonts w:asciiTheme="majorHAnsi" w:hAnsiTheme="majorHAnsi" w:cstheme="majorHAnsi"/>
        </w:rPr>
        <w:t>Geneva: World Health Organisation</w:t>
      </w:r>
    </w:p>
  </w:footnote>
  <w:footnote w:id="2">
    <w:p w14:paraId="1D76EF00" w14:textId="77777777" w:rsidR="004866EF" w:rsidRPr="001A0102" w:rsidRDefault="004866EF" w:rsidP="004866EF">
      <w:pPr>
        <w:pStyle w:val="FootnoteText"/>
        <w:rPr>
          <w:rFonts w:asciiTheme="majorHAnsi" w:hAnsiTheme="majorHAnsi" w:cstheme="majorHAnsi"/>
        </w:rPr>
      </w:pPr>
      <w:r w:rsidRPr="001A0102">
        <w:rPr>
          <w:rStyle w:val="FootnoteReference"/>
          <w:rFonts w:asciiTheme="majorHAnsi" w:hAnsiTheme="majorHAnsi" w:cstheme="majorHAnsi"/>
        </w:rPr>
        <w:footnoteRef/>
      </w:r>
      <w:r w:rsidRPr="001A0102">
        <w:rPr>
          <w:rFonts w:asciiTheme="majorHAnsi" w:hAnsiTheme="majorHAnsi" w:cstheme="majorHAnsi"/>
        </w:rPr>
        <w:t xml:space="preserve"> For example, see India’s Third/fourth report to the UN Committee on the Rights of the Child (2012), ch. 4, para. 40</w:t>
      </w:r>
    </w:p>
  </w:footnote>
  <w:footnote w:id="3">
    <w:p w14:paraId="2E2C9ECB" w14:textId="77777777" w:rsidR="004866EF" w:rsidRPr="001A0102" w:rsidRDefault="004866EF" w:rsidP="004866EF">
      <w:pPr>
        <w:pStyle w:val="FootnoteText"/>
        <w:rPr>
          <w:rFonts w:asciiTheme="majorHAnsi" w:hAnsiTheme="majorHAnsi" w:cstheme="majorHAnsi"/>
          <w:lang w:val="en-US"/>
        </w:rPr>
      </w:pPr>
      <w:r w:rsidRPr="001A0102">
        <w:rPr>
          <w:rStyle w:val="FootnoteReference"/>
          <w:rFonts w:asciiTheme="majorHAnsi" w:hAnsiTheme="majorHAnsi" w:cstheme="majorHAnsi"/>
        </w:rPr>
        <w:footnoteRef/>
      </w:r>
      <w:r w:rsidRPr="001A0102">
        <w:rPr>
          <w:rFonts w:asciiTheme="majorHAnsi" w:hAnsiTheme="majorHAnsi" w:cstheme="majorHAnsi"/>
        </w:rPr>
        <w:t xml:space="preserve"> Justice M Imman Ali, Supreme Court of Bangladesh, in correspondence with the Global Initiative, 2 September 2010</w:t>
      </w:r>
    </w:p>
  </w:footnote>
  <w:footnote w:id="4">
    <w:p w14:paraId="5B0A9D5B" w14:textId="77777777" w:rsidR="004866EF" w:rsidRPr="001A0102" w:rsidRDefault="004866EF" w:rsidP="004866EF">
      <w:pPr>
        <w:pStyle w:val="FootnoteText"/>
        <w:rPr>
          <w:rFonts w:asciiTheme="majorHAnsi" w:hAnsiTheme="majorHAnsi" w:cstheme="majorHAnsi"/>
          <w:lang w:val="en-US"/>
        </w:rPr>
      </w:pPr>
      <w:r w:rsidRPr="001A0102">
        <w:rPr>
          <w:rStyle w:val="FootnoteReference"/>
          <w:rFonts w:asciiTheme="majorHAnsi" w:hAnsiTheme="majorHAnsi" w:cstheme="majorHAnsi"/>
        </w:rPr>
        <w:footnoteRef/>
      </w:r>
      <w:r w:rsidRPr="001A0102">
        <w:rPr>
          <w:rFonts w:asciiTheme="majorHAnsi" w:hAnsiTheme="majorHAnsi" w:cstheme="majorHAnsi"/>
        </w:rPr>
        <w:t xml:space="preserve"> Writ Petition No. 5684 of 2010</w:t>
      </w:r>
    </w:p>
  </w:footnote>
  <w:footnote w:id="5">
    <w:p w14:paraId="4143970E" w14:textId="77777777" w:rsidR="004866EF" w:rsidRPr="001A0102" w:rsidRDefault="004866EF" w:rsidP="004866EF">
      <w:pPr>
        <w:pStyle w:val="FootnoteText"/>
        <w:rPr>
          <w:rFonts w:asciiTheme="majorHAnsi" w:hAnsiTheme="majorHAnsi" w:cstheme="majorHAnsi"/>
          <w:lang w:val="en-US"/>
        </w:rPr>
      </w:pPr>
      <w:r w:rsidRPr="001A0102">
        <w:rPr>
          <w:rStyle w:val="FootnoteReference"/>
          <w:rFonts w:asciiTheme="majorHAnsi" w:hAnsiTheme="majorHAnsi" w:cstheme="majorHAnsi"/>
        </w:rPr>
        <w:footnoteRef/>
      </w:r>
      <w:r w:rsidRPr="001A0102">
        <w:rPr>
          <w:rFonts w:asciiTheme="majorHAnsi" w:hAnsiTheme="majorHAnsi" w:cstheme="majorHAnsi"/>
        </w:rPr>
        <w:t xml:space="preserve"> Ministry of Education Circular No. 37.031.004.02.00.134.2010, 8 August 2010, Regarding the Ending of Corporal Punishment on Students in Educational Institutions</w:t>
      </w:r>
    </w:p>
  </w:footnote>
  <w:footnote w:id="6">
    <w:p w14:paraId="5906DC9C" w14:textId="77777777" w:rsidR="004866EF" w:rsidRPr="001A0102" w:rsidRDefault="004866EF" w:rsidP="004866EF">
      <w:pPr>
        <w:pStyle w:val="FootnoteText"/>
        <w:rPr>
          <w:rFonts w:asciiTheme="majorHAnsi" w:hAnsiTheme="majorHAnsi" w:cstheme="majorHAnsi"/>
          <w:lang w:val="en-US"/>
        </w:rPr>
      </w:pPr>
      <w:r w:rsidRPr="001A0102">
        <w:rPr>
          <w:rStyle w:val="FootnoteReference"/>
          <w:rFonts w:asciiTheme="majorHAnsi" w:hAnsiTheme="majorHAnsi" w:cstheme="majorHAnsi"/>
        </w:rPr>
        <w:footnoteRef/>
      </w:r>
      <w:r w:rsidRPr="001A0102">
        <w:rPr>
          <w:rFonts w:asciiTheme="majorHAnsi" w:hAnsiTheme="majorHAnsi" w:cstheme="majorHAnsi"/>
        </w:rPr>
        <w:t xml:space="preserve"> Ministry of Education Circular No. 37.031.004.02.00.134.2010-151, 21 April 2011</w:t>
      </w:r>
    </w:p>
  </w:footnote>
  <w:footnote w:id="7">
    <w:p w14:paraId="774A356B" w14:textId="77777777" w:rsidR="004866EF" w:rsidRPr="001A0102" w:rsidRDefault="004866EF" w:rsidP="004866EF">
      <w:pPr>
        <w:pStyle w:val="FootnoteText"/>
        <w:rPr>
          <w:rFonts w:asciiTheme="majorHAnsi" w:hAnsiTheme="majorHAnsi" w:cstheme="majorHAnsi"/>
        </w:rPr>
      </w:pPr>
      <w:r w:rsidRPr="001A0102">
        <w:rPr>
          <w:rStyle w:val="FootnoteReference"/>
          <w:rFonts w:asciiTheme="majorHAnsi" w:hAnsiTheme="majorHAnsi" w:cstheme="majorHAnsi"/>
        </w:rPr>
        <w:footnoteRef/>
      </w:r>
      <w:r w:rsidRPr="001A0102">
        <w:rPr>
          <w:rFonts w:asciiTheme="majorHAnsi" w:hAnsiTheme="majorHAnsi" w:cstheme="majorHAnsi"/>
        </w:rPr>
        <w:t xml:space="preserve"> </w:t>
      </w:r>
      <w:r w:rsidRPr="001A0102">
        <w:rPr>
          <w:rFonts w:asciiTheme="majorHAnsi" w:eastAsia="Calibri" w:hAnsiTheme="majorHAnsi" w:cstheme="majorHAnsi"/>
          <w:lang w:val="en-US"/>
        </w:rPr>
        <w:t>2 October 2015, CRC/C/BGD/CO/5 Advance Unedited Version, Concluding observation on fifth report, para. 4</w:t>
      </w:r>
    </w:p>
  </w:footnote>
  <w:footnote w:id="8">
    <w:p w14:paraId="34744933" w14:textId="77777777" w:rsidR="004866EF" w:rsidRPr="001A0102" w:rsidRDefault="004866EF" w:rsidP="004866EF">
      <w:pPr>
        <w:pStyle w:val="FootnoteText"/>
        <w:rPr>
          <w:rFonts w:asciiTheme="majorHAnsi" w:hAnsiTheme="majorHAnsi" w:cstheme="majorHAnsi"/>
        </w:rPr>
      </w:pPr>
      <w:r w:rsidRPr="001A0102">
        <w:rPr>
          <w:rStyle w:val="FootnoteReference"/>
          <w:rFonts w:asciiTheme="majorHAnsi" w:hAnsiTheme="majorHAnsi" w:cstheme="majorHAnsi"/>
        </w:rPr>
        <w:footnoteRef/>
      </w:r>
      <w:r w:rsidRPr="001A0102">
        <w:rPr>
          <w:rFonts w:asciiTheme="majorHAnsi" w:hAnsiTheme="majorHAnsi" w:cstheme="majorHAnsi"/>
        </w:rPr>
        <w:t xml:space="preserve"> 14 March 2017, CCPR/C/SR.3340, Summary records of the 3340</w:t>
      </w:r>
      <w:r w:rsidRPr="001A0102">
        <w:rPr>
          <w:rFonts w:asciiTheme="majorHAnsi" w:hAnsiTheme="majorHAnsi" w:cstheme="majorHAnsi"/>
          <w:vertAlign w:val="superscript"/>
        </w:rPr>
        <w:t>th</w:t>
      </w:r>
      <w:r w:rsidRPr="001A0102">
        <w:rPr>
          <w:rFonts w:asciiTheme="majorHAnsi" w:hAnsiTheme="majorHAnsi" w:cstheme="majorHAnsi"/>
        </w:rPr>
        <w:t xml:space="preserve"> meeting, paras. 34 and 54</w:t>
      </w:r>
    </w:p>
  </w:footnote>
  <w:footnote w:id="9">
    <w:p w14:paraId="6A9CB8EC" w14:textId="77777777" w:rsidR="00077E55" w:rsidRPr="001A0102" w:rsidRDefault="00077E55" w:rsidP="00077E55">
      <w:pPr>
        <w:pStyle w:val="FootnoteText"/>
        <w:rPr>
          <w:rFonts w:asciiTheme="majorHAnsi" w:hAnsiTheme="majorHAnsi" w:cstheme="majorHAnsi"/>
          <w:lang w:val="en-US"/>
        </w:rPr>
      </w:pPr>
      <w:r w:rsidRPr="001A0102">
        <w:rPr>
          <w:rStyle w:val="FootnoteReference"/>
          <w:rFonts w:asciiTheme="majorHAnsi" w:hAnsiTheme="majorHAnsi" w:cstheme="majorHAnsi"/>
        </w:rPr>
        <w:footnoteRef/>
      </w:r>
      <w:r w:rsidRPr="001A0102">
        <w:rPr>
          <w:rFonts w:asciiTheme="majorHAnsi" w:hAnsiTheme="majorHAnsi" w:cstheme="majorHAnsi"/>
        </w:rPr>
        <w:t xml:space="preserve"> SAIEVAC (2011), </w:t>
      </w:r>
      <w:r w:rsidRPr="001A0102">
        <w:rPr>
          <w:rFonts w:asciiTheme="majorHAnsi" w:hAnsiTheme="majorHAnsi" w:cstheme="majorHAnsi"/>
          <w:i/>
        </w:rPr>
        <w:t>Prohibition of corporal punishment of children in South Asia: a progress review</w:t>
      </w:r>
    </w:p>
  </w:footnote>
  <w:footnote w:id="10">
    <w:p w14:paraId="196F25C1" w14:textId="77777777" w:rsidR="00077E55" w:rsidRPr="001A0102" w:rsidRDefault="00077E55" w:rsidP="00077E55">
      <w:pPr>
        <w:pStyle w:val="FootnoteText"/>
        <w:rPr>
          <w:rFonts w:asciiTheme="majorHAnsi" w:hAnsiTheme="majorHAnsi" w:cstheme="majorHAnsi"/>
        </w:rPr>
      </w:pPr>
      <w:r w:rsidRPr="001A0102">
        <w:rPr>
          <w:rStyle w:val="FootnoteReference"/>
          <w:rFonts w:asciiTheme="majorHAnsi" w:hAnsiTheme="majorHAnsi" w:cstheme="majorHAnsi"/>
        </w:rPr>
        <w:footnoteRef/>
      </w:r>
      <w:r w:rsidRPr="001A0102">
        <w:rPr>
          <w:rFonts w:asciiTheme="majorHAnsi" w:hAnsiTheme="majorHAnsi" w:cstheme="majorHAnsi"/>
        </w:rPr>
        <w:t xml:space="preserve"> 11 July 2018, A/HRC/39/12, Report of the Working Group, paras. 147(45), 147(52), 147(55), 147(56)</w:t>
      </w:r>
    </w:p>
  </w:footnote>
  <w:footnote w:id="11">
    <w:p w14:paraId="580825CB" w14:textId="77777777" w:rsidR="00077E55" w:rsidRPr="001A0102" w:rsidRDefault="00077E55" w:rsidP="00077E55">
      <w:pPr>
        <w:pStyle w:val="FootnoteText"/>
        <w:rPr>
          <w:rFonts w:asciiTheme="majorHAnsi" w:hAnsiTheme="majorHAnsi" w:cstheme="majorHAnsi"/>
        </w:rPr>
      </w:pPr>
      <w:r w:rsidRPr="001A0102">
        <w:rPr>
          <w:rStyle w:val="FootnoteReference"/>
          <w:rFonts w:asciiTheme="majorHAnsi" w:hAnsiTheme="majorHAnsi" w:cstheme="majorHAnsi"/>
        </w:rPr>
        <w:footnoteRef/>
      </w:r>
      <w:r w:rsidRPr="001A0102">
        <w:rPr>
          <w:rFonts w:asciiTheme="majorHAnsi" w:hAnsiTheme="majorHAnsi" w:cstheme="majorHAnsi"/>
        </w:rPr>
        <w:t xml:space="preserve"> </w:t>
      </w:r>
      <w:r w:rsidRPr="001A0102">
        <w:rPr>
          <w:rFonts w:asciiTheme="majorHAnsi" w:eastAsia="Calibri" w:hAnsiTheme="majorHAnsi" w:cstheme="majorHAnsi"/>
          <w:lang w:val="en-US"/>
        </w:rPr>
        <w:t>12 August 2015, CRC/C/BGD/Q/5/Add.1, Reply to list of issues, para. 3</w:t>
      </w:r>
    </w:p>
  </w:footnote>
  <w:footnote w:id="12">
    <w:p w14:paraId="4B9EBDED" w14:textId="77777777" w:rsidR="00077E55" w:rsidRPr="001A0102" w:rsidRDefault="00077E55" w:rsidP="00077E55">
      <w:pPr>
        <w:pStyle w:val="FootnoteText"/>
        <w:rPr>
          <w:rFonts w:asciiTheme="majorHAnsi" w:hAnsiTheme="majorHAnsi" w:cstheme="majorHAnsi"/>
        </w:rPr>
      </w:pPr>
      <w:r w:rsidRPr="001A0102">
        <w:rPr>
          <w:rStyle w:val="FootnoteReference"/>
          <w:rFonts w:asciiTheme="majorHAnsi" w:hAnsiTheme="majorHAnsi" w:cstheme="majorHAnsi"/>
        </w:rPr>
        <w:footnoteRef/>
      </w:r>
      <w:r w:rsidRPr="001A0102">
        <w:rPr>
          <w:rFonts w:asciiTheme="majorHAnsi" w:hAnsiTheme="majorHAnsi" w:cstheme="majorHAnsi"/>
        </w:rPr>
        <w:t xml:space="preserve"> </w:t>
      </w:r>
      <w:r w:rsidRPr="001A0102">
        <w:rPr>
          <w:rFonts w:asciiTheme="majorHAnsi" w:eastAsia="Calibri" w:hAnsiTheme="majorHAnsi" w:cstheme="majorHAnsi"/>
          <w:lang w:val="en-US"/>
        </w:rPr>
        <w:t>12 August 2015, CRC/C/BGD/Q/5/Add.1, Reply to list of issues, paras. 24 and 26</w:t>
      </w:r>
    </w:p>
  </w:footnote>
  <w:footnote w:id="13">
    <w:p w14:paraId="23E91D7E" w14:textId="77777777" w:rsidR="00077E55" w:rsidRPr="001A0102" w:rsidRDefault="00077E55" w:rsidP="00077E55">
      <w:pPr>
        <w:pStyle w:val="FootnoteText"/>
        <w:rPr>
          <w:rFonts w:asciiTheme="majorHAnsi" w:hAnsiTheme="majorHAnsi" w:cstheme="majorHAnsi"/>
        </w:rPr>
      </w:pPr>
      <w:r w:rsidRPr="001A0102">
        <w:rPr>
          <w:rStyle w:val="FootnoteReference"/>
          <w:rFonts w:asciiTheme="majorHAnsi" w:hAnsiTheme="majorHAnsi" w:cstheme="majorHAnsi"/>
        </w:rPr>
        <w:footnoteRef/>
      </w:r>
      <w:r w:rsidRPr="001A0102">
        <w:rPr>
          <w:rFonts w:asciiTheme="majorHAnsi" w:hAnsiTheme="majorHAnsi" w:cstheme="majorHAnsi"/>
        </w:rPr>
        <w:t xml:space="preserve"> </w:t>
      </w:r>
      <w:r w:rsidRPr="001A0102">
        <w:rPr>
          <w:rFonts w:asciiTheme="majorHAnsi" w:eastAsia="Calibri" w:hAnsiTheme="majorHAnsi" w:cstheme="majorHAnsi"/>
          <w:lang w:val="en-US"/>
        </w:rPr>
        <w:t>12 August 2015, CRC/C/BGD/Q/5/Add.1, Reply to list of issues, para. 27</w:t>
      </w:r>
    </w:p>
  </w:footnote>
  <w:footnote w:id="14">
    <w:p w14:paraId="77B2CE23" w14:textId="77777777" w:rsidR="004866EF" w:rsidRPr="001A0102" w:rsidRDefault="004866EF" w:rsidP="004866EF">
      <w:pPr>
        <w:pStyle w:val="FootnoteText"/>
        <w:rPr>
          <w:rFonts w:asciiTheme="majorHAnsi" w:hAnsiTheme="majorHAnsi" w:cstheme="majorHAnsi"/>
        </w:rPr>
      </w:pPr>
      <w:r w:rsidRPr="001A0102">
        <w:rPr>
          <w:rStyle w:val="FootnoteReference"/>
          <w:rFonts w:asciiTheme="majorHAnsi" w:hAnsiTheme="majorHAnsi" w:cstheme="majorHAnsi"/>
        </w:rPr>
        <w:footnoteRef/>
      </w:r>
      <w:r w:rsidRPr="001A0102">
        <w:rPr>
          <w:rFonts w:asciiTheme="majorHAnsi" w:hAnsiTheme="majorHAnsi" w:cstheme="majorHAnsi"/>
        </w:rPr>
        <w:t xml:space="preserve"> </w:t>
      </w:r>
      <w:r w:rsidRPr="001A0102">
        <w:rPr>
          <w:rFonts w:asciiTheme="majorHAnsi" w:eastAsia="Calibri" w:hAnsiTheme="majorHAnsi" w:cstheme="majorHAnsi"/>
        </w:rPr>
        <w:t xml:space="preserve">2 October 2015, CRC/C/BGD/CO/5 Advance Unedited Version, Concluding observation on fifth report, paras. 38 and 39; </w:t>
      </w:r>
      <w:r w:rsidRPr="001A0102">
        <w:rPr>
          <w:rFonts w:asciiTheme="majorHAnsi" w:hAnsiTheme="majorHAnsi" w:cstheme="majorHAnsi"/>
        </w:rPr>
        <w:t>26 June 2009, CRC/C/BGD/CO/4, Concluding observations on third/fourth report, paras. 48 and 49; 27 October 2003, CRC/C/15/Add.221, Concluding observations on second report, paras. 43, 44, 77 and 78; 18 June 1997, CRC/C/15/Add.74, Concluding observations on initial report, paras. 18 and 38</w:t>
      </w:r>
    </w:p>
  </w:footnote>
  <w:footnote w:id="15">
    <w:p w14:paraId="6848735D" w14:textId="77777777" w:rsidR="004866EF" w:rsidRPr="001A0102" w:rsidRDefault="004866EF" w:rsidP="004866EF">
      <w:pPr>
        <w:pStyle w:val="FootnoteText"/>
        <w:rPr>
          <w:rFonts w:asciiTheme="majorHAnsi" w:hAnsiTheme="majorHAnsi" w:cstheme="majorHAnsi"/>
        </w:rPr>
      </w:pPr>
      <w:r w:rsidRPr="001A0102">
        <w:rPr>
          <w:rStyle w:val="FootnoteReference"/>
          <w:rFonts w:asciiTheme="majorHAnsi" w:hAnsiTheme="majorHAnsi" w:cstheme="majorHAnsi"/>
        </w:rPr>
        <w:footnoteRef/>
      </w:r>
      <w:r w:rsidRPr="001A0102">
        <w:rPr>
          <w:rFonts w:asciiTheme="majorHAnsi" w:hAnsiTheme="majorHAnsi" w:cstheme="majorHAnsi"/>
        </w:rPr>
        <w:t xml:space="preserve"> </w:t>
      </w:r>
      <w:r w:rsidRPr="001A0102">
        <w:rPr>
          <w:rFonts w:asciiTheme="majorHAnsi" w:eastAsia="Calibri" w:hAnsiTheme="majorHAnsi" w:cstheme="majorHAnsi"/>
          <w:bCs/>
        </w:rPr>
        <w:t>5 October 2009, A/HRC/11/18, Report of the working group, para. 94(16)</w:t>
      </w:r>
    </w:p>
  </w:footnote>
  <w:footnote w:id="16">
    <w:p w14:paraId="3E7E938C" w14:textId="77777777" w:rsidR="004866EF" w:rsidRPr="001A0102" w:rsidRDefault="004866EF" w:rsidP="004866EF">
      <w:pPr>
        <w:pStyle w:val="FootnoteText"/>
        <w:rPr>
          <w:rFonts w:asciiTheme="majorHAnsi" w:hAnsiTheme="majorHAnsi" w:cstheme="majorHAnsi"/>
          <w:lang w:val="fr-FR"/>
        </w:rPr>
      </w:pPr>
      <w:r w:rsidRPr="001A0102">
        <w:rPr>
          <w:rStyle w:val="FootnoteReference"/>
          <w:rFonts w:asciiTheme="majorHAnsi" w:hAnsiTheme="majorHAnsi" w:cstheme="majorHAnsi"/>
        </w:rPr>
        <w:footnoteRef/>
      </w:r>
      <w:r w:rsidRPr="001A0102">
        <w:rPr>
          <w:rFonts w:asciiTheme="majorHAnsi" w:hAnsiTheme="majorHAnsi" w:cstheme="majorHAnsi"/>
        </w:rPr>
        <w:t xml:space="preserve"> </w:t>
      </w:r>
      <w:r w:rsidRPr="001A0102">
        <w:rPr>
          <w:rFonts w:asciiTheme="majorHAnsi" w:eastAsia="Calibri" w:hAnsiTheme="majorHAnsi" w:cstheme="majorHAnsi"/>
          <w:bCs/>
        </w:rPr>
        <w:t>23 July 2013, A/HRC/24/12/Add.1, Report of the working group: Addendum, para. 130(19)</w:t>
      </w:r>
    </w:p>
  </w:footnote>
  <w:footnote w:id="17">
    <w:p w14:paraId="0D80E26C" w14:textId="77777777" w:rsidR="00D27EAE" w:rsidRPr="001A0102" w:rsidRDefault="00D27EAE" w:rsidP="00D27EAE">
      <w:pPr>
        <w:pStyle w:val="FootnoteText"/>
        <w:rPr>
          <w:rFonts w:asciiTheme="majorHAnsi" w:hAnsiTheme="majorHAnsi" w:cstheme="majorHAnsi"/>
        </w:rPr>
      </w:pPr>
      <w:r w:rsidRPr="001A0102">
        <w:rPr>
          <w:rStyle w:val="FootnoteReference"/>
          <w:rFonts w:asciiTheme="majorHAnsi" w:hAnsiTheme="majorHAnsi" w:cstheme="majorHAnsi"/>
        </w:rPr>
        <w:footnoteRef/>
      </w:r>
      <w:r w:rsidRPr="001A0102">
        <w:rPr>
          <w:rFonts w:asciiTheme="majorHAnsi" w:hAnsiTheme="majorHAnsi" w:cstheme="majorHAnsi"/>
        </w:rPr>
        <w:t xml:space="preserve"> 11 July 2018, A/HRC/39/12, Report of the Working Group, paras. 147(45), 147(52), 147(55), 147(56)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15:restartNumberingAfterBreak="0">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409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176F0"/>
    <w:rsid w:val="00020DE2"/>
    <w:rsid w:val="000214C5"/>
    <w:rsid w:val="000217BF"/>
    <w:rsid w:val="000217FB"/>
    <w:rsid w:val="0002547D"/>
    <w:rsid w:val="000265D6"/>
    <w:rsid w:val="00027CFB"/>
    <w:rsid w:val="00030FED"/>
    <w:rsid w:val="000338A8"/>
    <w:rsid w:val="000533A7"/>
    <w:rsid w:val="00075396"/>
    <w:rsid w:val="00077E55"/>
    <w:rsid w:val="000859C9"/>
    <w:rsid w:val="0008612D"/>
    <w:rsid w:val="000932B3"/>
    <w:rsid w:val="000A3923"/>
    <w:rsid w:val="000D7F80"/>
    <w:rsid w:val="000E558E"/>
    <w:rsid w:val="00106569"/>
    <w:rsid w:val="001117DC"/>
    <w:rsid w:val="001119F0"/>
    <w:rsid w:val="00126D81"/>
    <w:rsid w:val="0014131F"/>
    <w:rsid w:val="00142366"/>
    <w:rsid w:val="00143759"/>
    <w:rsid w:val="00147F85"/>
    <w:rsid w:val="00150855"/>
    <w:rsid w:val="00162F5A"/>
    <w:rsid w:val="001768A1"/>
    <w:rsid w:val="00181FAC"/>
    <w:rsid w:val="001847FF"/>
    <w:rsid w:val="00186788"/>
    <w:rsid w:val="00187327"/>
    <w:rsid w:val="001901DA"/>
    <w:rsid w:val="001919DD"/>
    <w:rsid w:val="001947F2"/>
    <w:rsid w:val="001A0102"/>
    <w:rsid w:val="001B2F6E"/>
    <w:rsid w:val="001B43AF"/>
    <w:rsid w:val="001B7D95"/>
    <w:rsid w:val="001C55D9"/>
    <w:rsid w:val="001D1655"/>
    <w:rsid w:val="001D56D4"/>
    <w:rsid w:val="001E140B"/>
    <w:rsid w:val="001E2769"/>
    <w:rsid w:val="001F05A0"/>
    <w:rsid w:val="001F68F0"/>
    <w:rsid w:val="00205A1A"/>
    <w:rsid w:val="00215035"/>
    <w:rsid w:val="002230EE"/>
    <w:rsid w:val="00224BD1"/>
    <w:rsid w:val="00237875"/>
    <w:rsid w:val="00242520"/>
    <w:rsid w:val="002467F9"/>
    <w:rsid w:val="00250C7D"/>
    <w:rsid w:val="00251489"/>
    <w:rsid w:val="00254DF5"/>
    <w:rsid w:val="002638C7"/>
    <w:rsid w:val="00264AF9"/>
    <w:rsid w:val="00272A83"/>
    <w:rsid w:val="00272F68"/>
    <w:rsid w:val="002748BD"/>
    <w:rsid w:val="00280E60"/>
    <w:rsid w:val="00285A47"/>
    <w:rsid w:val="00286624"/>
    <w:rsid w:val="002A01E3"/>
    <w:rsid w:val="002A06FC"/>
    <w:rsid w:val="002A3229"/>
    <w:rsid w:val="002A7206"/>
    <w:rsid w:val="002B20D3"/>
    <w:rsid w:val="002B3F16"/>
    <w:rsid w:val="002C5DAB"/>
    <w:rsid w:val="002D6FD4"/>
    <w:rsid w:val="002E09C9"/>
    <w:rsid w:val="002E2D70"/>
    <w:rsid w:val="002E4E5B"/>
    <w:rsid w:val="002E61CE"/>
    <w:rsid w:val="00306C1D"/>
    <w:rsid w:val="00307A90"/>
    <w:rsid w:val="00312228"/>
    <w:rsid w:val="00315F04"/>
    <w:rsid w:val="00316151"/>
    <w:rsid w:val="00322E14"/>
    <w:rsid w:val="00327C1C"/>
    <w:rsid w:val="00347EAC"/>
    <w:rsid w:val="00353CF1"/>
    <w:rsid w:val="00353EF8"/>
    <w:rsid w:val="00361051"/>
    <w:rsid w:val="0036194C"/>
    <w:rsid w:val="003653BB"/>
    <w:rsid w:val="00373271"/>
    <w:rsid w:val="003757DE"/>
    <w:rsid w:val="003764A5"/>
    <w:rsid w:val="00382A8F"/>
    <w:rsid w:val="003942F0"/>
    <w:rsid w:val="003A1FDA"/>
    <w:rsid w:val="003A2D7A"/>
    <w:rsid w:val="003B1533"/>
    <w:rsid w:val="003C2A68"/>
    <w:rsid w:val="003D4B76"/>
    <w:rsid w:val="003D6A85"/>
    <w:rsid w:val="003E1F72"/>
    <w:rsid w:val="003F1015"/>
    <w:rsid w:val="00414428"/>
    <w:rsid w:val="0041473A"/>
    <w:rsid w:val="0041659A"/>
    <w:rsid w:val="00424AF4"/>
    <w:rsid w:val="00425F3B"/>
    <w:rsid w:val="00435577"/>
    <w:rsid w:val="00437B2C"/>
    <w:rsid w:val="00457AD2"/>
    <w:rsid w:val="00460F41"/>
    <w:rsid w:val="00463C10"/>
    <w:rsid w:val="004737EE"/>
    <w:rsid w:val="00482BF9"/>
    <w:rsid w:val="00485994"/>
    <w:rsid w:val="004866EF"/>
    <w:rsid w:val="00490379"/>
    <w:rsid w:val="004B3464"/>
    <w:rsid w:val="004B5EB3"/>
    <w:rsid w:val="004C3E11"/>
    <w:rsid w:val="004D0FF8"/>
    <w:rsid w:val="004D4BCC"/>
    <w:rsid w:val="004D68EA"/>
    <w:rsid w:val="004D7A67"/>
    <w:rsid w:val="004E431B"/>
    <w:rsid w:val="004E691B"/>
    <w:rsid w:val="004F1D03"/>
    <w:rsid w:val="004F1D22"/>
    <w:rsid w:val="004F2D26"/>
    <w:rsid w:val="004F5801"/>
    <w:rsid w:val="004F70CD"/>
    <w:rsid w:val="004F7D9E"/>
    <w:rsid w:val="004F7EF9"/>
    <w:rsid w:val="005006B7"/>
    <w:rsid w:val="00514929"/>
    <w:rsid w:val="00520D79"/>
    <w:rsid w:val="00521973"/>
    <w:rsid w:val="005223A5"/>
    <w:rsid w:val="00526077"/>
    <w:rsid w:val="00543B9A"/>
    <w:rsid w:val="0055414A"/>
    <w:rsid w:val="0057626F"/>
    <w:rsid w:val="00581B3E"/>
    <w:rsid w:val="00581D48"/>
    <w:rsid w:val="005869E5"/>
    <w:rsid w:val="00591A1C"/>
    <w:rsid w:val="00591DBA"/>
    <w:rsid w:val="0059593D"/>
    <w:rsid w:val="00597780"/>
    <w:rsid w:val="005A212D"/>
    <w:rsid w:val="005A66D2"/>
    <w:rsid w:val="005A7272"/>
    <w:rsid w:val="005B31F1"/>
    <w:rsid w:val="005B5315"/>
    <w:rsid w:val="005B7111"/>
    <w:rsid w:val="005C28E4"/>
    <w:rsid w:val="005C2BF1"/>
    <w:rsid w:val="005C34D5"/>
    <w:rsid w:val="005C4DDD"/>
    <w:rsid w:val="005D1998"/>
    <w:rsid w:val="005D45A4"/>
    <w:rsid w:val="005E0F62"/>
    <w:rsid w:val="005E224B"/>
    <w:rsid w:val="005E2DC2"/>
    <w:rsid w:val="005F292A"/>
    <w:rsid w:val="005F2E16"/>
    <w:rsid w:val="0060486A"/>
    <w:rsid w:val="00605D18"/>
    <w:rsid w:val="006101B1"/>
    <w:rsid w:val="0061376B"/>
    <w:rsid w:val="00620321"/>
    <w:rsid w:val="00620FAB"/>
    <w:rsid w:val="00623A0A"/>
    <w:rsid w:val="0062663B"/>
    <w:rsid w:val="00633745"/>
    <w:rsid w:val="006460B8"/>
    <w:rsid w:val="00655927"/>
    <w:rsid w:val="00655F1A"/>
    <w:rsid w:val="00667DAE"/>
    <w:rsid w:val="00681915"/>
    <w:rsid w:val="00683188"/>
    <w:rsid w:val="00683622"/>
    <w:rsid w:val="00693727"/>
    <w:rsid w:val="006969BA"/>
    <w:rsid w:val="00697EC0"/>
    <w:rsid w:val="006B237E"/>
    <w:rsid w:val="006B7454"/>
    <w:rsid w:val="006B76CE"/>
    <w:rsid w:val="006C166A"/>
    <w:rsid w:val="006C6EBB"/>
    <w:rsid w:val="006E3A2C"/>
    <w:rsid w:val="0070646C"/>
    <w:rsid w:val="00712118"/>
    <w:rsid w:val="00716B5D"/>
    <w:rsid w:val="0072294E"/>
    <w:rsid w:val="00725D25"/>
    <w:rsid w:val="00741FF7"/>
    <w:rsid w:val="00751244"/>
    <w:rsid w:val="00752380"/>
    <w:rsid w:val="00753966"/>
    <w:rsid w:val="00756CA5"/>
    <w:rsid w:val="007604D4"/>
    <w:rsid w:val="00766D98"/>
    <w:rsid w:val="00767639"/>
    <w:rsid w:val="007731FE"/>
    <w:rsid w:val="00785749"/>
    <w:rsid w:val="007915BB"/>
    <w:rsid w:val="00797BE0"/>
    <w:rsid w:val="00797CC8"/>
    <w:rsid w:val="007A21C3"/>
    <w:rsid w:val="007B15F5"/>
    <w:rsid w:val="007B398A"/>
    <w:rsid w:val="007B4603"/>
    <w:rsid w:val="007B540F"/>
    <w:rsid w:val="007C22B7"/>
    <w:rsid w:val="007C397C"/>
    <w:rsid w:val="007D2F31"/>
    <w:rsid w:val="007F25EE"/>
    <w:rsid w:val="007F5F26"/>
    <w:rsid w:val="007F709A"/>
    <w:rsid w:val="007F7529"/>
    <w:rsid w:val="007F791E"/>
    <w:rsid w:val="00804DE0"/>
    <w:rsid w:val="008120D1"/>
    <w:rsid w:val="0081318D"/>
    <w:rsid w:val="00825FA5"/>
    <w:rsid w:val="008331E5"/>
    <w:rsid w:val="00833827"/>
    <w:rsid w:val="0084473A"/>
    <w:rsid w:val="00847A77"/>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8F7507"/>
    <w:rsid w:val="00902C77"/>
    <w:rsid w:val="00911447"/>
    <w:rsid w:val="00913972"/>
    <w:rsid w:val="00917147"/>
    <w:rsid w:val="00921E92"/>
    <w:rsid w:val="00923377"/>
    <w:rsid w:val="009242B2"/>
    <w:rsid w:val="00925C21"/>
    <w:rsid w:val="00937F66"/>
    <w:rsid w:val="0094061F"/>
    <w:rsid w:val="00955525"/>
    <w:rsid w:val="00963238"/>
    <w:rsid w:val="00963DD6"/>
    <w:rsid w:val="0098296F"/>
    <w:rsid w:val="00986253"/>
    <w:rsid w:val="00990A46"/>
    <w:rsid w:val="00994D13"/>
    <w:rsid w:val="009A2D05"/>
    <w:rsid w:val="009A464A"/>
    <w:rsid w:val="009B471D"/>
    <w:rsid w:val="009C24BF"/>
    <w:rsid w:val="009C25E9"/>
    <w:rsid w:val="009C390B"/>
    <w:rsid w:val="009C687E"/>
    <w:rsid w:val="009C7037"/>
    <w:rsid w:val="009D4F36"/>
    <w:rsid w:val="009D6E71"/>
    <w:rsid w:val="009E0C08"/>
    <w:rsid w:val="009E2C0A"/>
    <w:rsid w:val="009F5901"/>
    <w:rsid w:val="009F5C73"/>
    <w:rsid w:val="00A1392E"/>
    <w:rsid w:val="00A141B8"/>
    <w:rsid w:val="00A20DE1"/>
    <w:rsid w:val="00A26D5D"/>
    <w:rsid w:val="00A34229"/>
    <w:rsid w:val="00A400C3"/>
    <w:rsid w:val="00A52185"/>
    <w:rsid w:val="00A52BB4"/>
    <w:rsid w:val="00A53A7A"/>
    <w:rsid w:val="00A57679"/>
    <w:rsid w:val="00A61F7B"/>
    <w:rsid w:val="00A647F9"/>
    <w:rsid w:val="00A64F13"/>
    <w:rsid w:val="00A72C9A"/>
    <w:rsid w:val="00A76356"/>
    <w:rsid w:val="00AA6CB9"/>
    <w:rsid w:val="00AA6FA5"/>
    <w:rsid w:val="00AB131E"/>
    <w:rsid w:val="00AB1753"/>
    <w:rsid w:val="00AC46B1"/>
    <w:rsid w:val="00AD2590"/>
    <w:rsid w:val="00AF314F"/>
    <w:rsid w:val="00B05968"/>
    <w:rsid w:val="00B14123"/>
    <w:rsid w:val="00B14859"/>
    <w:rsid w:val="00B2447D"/>
    <w:rsid w:val="00B25AB8"/>
    <w:rsid w:val="00B31925"/>
    <w:rsid w:val="00B34E50"/>
    <w:rsid w:val="00B36E76"/>
    <w:rsid w:val="00B438B7"/>
    <w:rsid w:val="00B468C3"/>
    <w:rsid w:val="00B55728"/>
    <w:rsid w:val="00B57CFD"/>
    <w:rsid w:val="00B61ACB"/>
    <w:rsid w:val="00B65878"/>
    <w:rsid w:val="00B73008"/>
    <w:rsid w:val="00B7483C"/>
    <w:rsid w:val="00B75C6A"/>
    <w:rsid w:val="00B81094"/>
    <w:rsid w:val="00B84358"/>
    <w:rsid w:val="00B84812"/>
    <w:rsid w:val="00B86C92"/>
    <w:rsid w:val="00B87C69"/>
    <w:rsid w:val="00B92BC6"/>
    <w:rsid w:val="00B95040"/>
    <w:rsid w:val="00B9545D"/>
    <w:rsid w:val="00B97015"/>
    <w:rsid w:val="00BA2A8D"/>
    <w:rsid w:val="00BA754F"/>
    <w:rsid w:val="00BB5726"/>
    <w:rsid w:val="00BB7182"/>
    <w:rsid w:val="00BB7F9F"/>
    <w:rsid w:val="00BC68F4"/>
    <w:rsid w:val="00BC6C90"/>
    <w:rsid w:val="00BD259A"/>
    <w:rsid w:val="00BE0FA6"/>
    <w:rsid w:val="00BE37BF"/>
    <w:rsid w:val="00BF1402"/>
    <w:rsid w:val="00C004A4"/>
    <w:rsid w:val="00C17385"/>
    <w:rsid w:val="00C237B1"/>
    <w:rsid w:val="00C252DE"/>
    <w:rsid w:val="00C278E1"/>
    <w:rsid w:val="00C37622"/>
    <w:rsid w:val="00C518E3"/>
    <w:rsid w:val="00C51CB0"/>
    <w:rsid w:val="00C63547"/>
    <w:rsid w:val="00C64EA1"/>
    <w:rsid w:val="00C82792"/>
    <w:rsid w:val="00C84FBA"/>
    <w:rsid w:val="00C91BB2"/>
    <w:rsid w:val="00C96E68"/>
    <w:rsid w:val="00C973D3"/>
    <w:rsid w:val="00C97A90"/>
    <w:rsid w:val="00C97C42"/>
    <w:rsid w:val="00CB457A"/>
    <w:rsid w:val="00CB7DD5"/>
    <w:rsid w:val="00CC09E1"/>
    <w:rsid w:val="00CD349E"/>
    <w:rsid w:val="00CE015B"/>
    <w:rsid w:val="00CF1491"/>
    <w:rsid w:val="00CF1D97"/>
    <w:rsid w:val="00CF3C9D"/>
    <w:rsid w:val="00CF6F86"/>
    <w:rsid w:val="00D04D81"/>
    <w:rsid w:val="00D14AE4"/>
    <w:rsid w:val="00D25FCE"/>
    <w:rsid w:val="00D27EAE"/>
    <w:rsid w:val="00D36C44"/>
    <w:rsid w:val="00D46AF1"/>
    <w:rsid w:val="00D5594E"/>
    <w:rsid w:val="00D63AA6"/>
    <w:rsid w:val="00D64999"/>
    <w:rsid w:val="00D67B66"/>
    <w:rsid w:val="00D90209"/>
    <w:rsid w:val="00D91C58"/>
    <w:rsid w:val="00DA14D6"/>
    <w:rsid w:val="00DA17C8"/>
    <w:rsid w:val="00DB0F27"/>
    <w:rsid w:val="00DC20AE"/>
    <w:rsid w:val="00DE4FD8"/>
    <w:rsid w:val="00DF2A6A"/>
    <w:rsid w:val="00DF42D1"/>
    <w:rsid w:val="00DF56D0"/>
    <w:rsid w:val="00DF6FBF"/>
    <w:rsid w:val="00DF749A"/>
    <w:rsid w:val="00DF7F1C"/>
    <w:rsid w:val="00E066AC"/>
    <w:rsid w:val="00E120C8"/>
    <w:rsid w:val="00E218F1"/>
    <w:rsid w:val="00E236B6"/>
    <w:rsid w:val="00E262BB"/>
    <w:rsid w:val="00E33299"/>
    <w:rsid w:val="00E34297"/>
    <w:rsid w:val="00E348D1"/>
    <w:rsid w:val="00E37399"/>
    <w:rsid w:val="00E42BCC"/>
    <w:rsid w:val="00E439B3"/>
    <w:rsid w:val="00E4774B"/>
    <w:rsid w:val="00E511FD"/>
    <w:rsid w:val="00E5715B"/>
    <w:rsid w:val="00E64999"/>
    <w:rsid w:val="00E745E0"/>
    <w:rsid w:val="00E74E94"/>
    <w:rsid w:val="00E82131"/>
    <w:rsid w:val="00E90F1D"/>
    <w:rsid w:val="00E91687"/>
    <w:rsid w:val="00E9361C"/>
    <w:rsid w:val="00E97452"/>
    <w:rsid w:val="00EA05DA"/>
    <w:rsid w:val="00EA123E"/>
    <w:rsid w:val="00EA3676"/>
    <w:rsid w:val="00EB16D4"/>
    <w:rsid w:val="00EC3476"/>
    <w:rsid w:val="00ED3374"/>
    <w:rsid w:val="00EE5770"/>
    <w:rsid w:val="00EF577B"/>
    <w:rsid w:val="00EF6D99"/>
    <w:rsid w:val="00F03CDA"/>
    <w:rsid w:val="00F238AE"/>
    <w:rsid w:val="00F27919"/>
    <w:rsid w:val="00F325F7"/>
    <w:rsid w:val="00F401E2"/>
    <w:rsid w:val="00F51705"/>
    <w:rsid w:val="00F63112"/>
    <w:rsid w:val="00F67CC5"/>
    <w:rsid w:val="00F7085F"/>
    <w:rsid w:val="00F70EFA"/>
    <w:rsid w:val="00F72865"/>
    <w:rsid w:val="00F745D7"/>
    <w:rsid w:val="00F8476D"/>
    <w:rsid w:val="00F85174"/>
    <w:rsid w:val="00FB3818"/>
    <w:rsid w:val="00FC190E"/>
    <w:rsid w:val="00FD148E"/>
    <w:rsid w:val="00FE17B4"/>
    <w:rsid w:val="00FF0747"/>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C9D2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66771">
      <w:bodyDiv w:val="1"/>
      <w:marLeft w:val="0"/>
      <w:marRight w:val="0"/>
      <w:marTop w:val="0"/>
      <w:marBottom w:val="0"/>
      <w:divBdr>
        <w:top w:val="none" w:sz="0" w:space="0" w:color="auto"/>
        <w:left w:val="none" w:sz="0" w:space="0" w:color="auto"/>
        <w:bottom w:val="none" w:sz="0" w:space="0" w:color="auto"/>
        <w:right w:val="none" w:sz="0" w:space="0" w:color="auto"/>
      </w:divBdr>
    </w:div>
    <w:div w:id="85227980">
      <w:bodyDiv w:val="1"/>
      <w:marLeft w:val="0"/>
      <w:marRight w:val="0"/>
      <w:marTop w:val="0"/>
      <w:marBottom w:val="0"/>
      <w:divBdr>
        <w:top w:val="none" w:sz="0" w:space="0" w:color="auto"/>
        <w:left w:val="none" w:sz="0" w:space="0" w:color="auto"/>
        <w:bottom w:val="none" w:sz="0" w:space="0" w:color="auto"/>
        <w:right w:val="none" w:sz="0" w:space="0" w:color="auto"/>
      </w:divBdr>
    </w:div>
    <w:div w:id="104889879">
      <w:bodyDiv w:val="1"/>
      <w:marLeft w:val="0"/>
      <w:marRight w:val="0"/>
      <w:marTop w:val="0"/>
      <w:marBottom w:val="0"/>
      <w:divBdr>
        <w:top w:val="none" w:sz="0" w:space="0" w:color="auto"/>
        <w:left w:val="none" w:sz="0" w:space="0" w:color="auto"/>
        <w:bottom w:val="none" w:sz="0" w:space="0" w:color="auto"/>
        <w:right w:val="none" w:sz="0" w:space="0" w:color="auto"/>
      </w:divBdr>
    </w:div>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021229">
      <w:bodyDiv w:val="1"/>
      <w:marLeft w:val="0"/>
      <w:marRight w:val="0"/>
      <w:marTop w:val="0"/>
      <w:marBottom w:val="0"/>
      <w:divBdr>
        <w:top w:val="none" w:sz="0" w:space="0" w:color="auto"/>
        <w:left w:val="none" w:sz="0" w:space="0" w:color="auto"/>
        <w:bottom w:val="none" w:sz="0" w:space="0" w:color="auto"/>
        <w:right w:val="none" w:sz="0" w:space="0" w:color="auto"/>
      </w:divBdr>
    </w:div>
    <w:div w:id="783227082">
      <w:bodyDiv w:val="1"/>
      <w:marLeft w:val="0"/>
      <w:marRight w:val="0"/>
      <w:marTop w:val="0"/>
      <w:marBottom w:val="0"/>
      <w:divBdr>
        <w:top w:val="none" w:sz="0" w:space="0" w:color="auto"/>
        <w:left w:val="none" w:sz="0" w:space="0" w:color="auto"/>
        <w:bottom w:val="none" w:sz="0" w:space="0" w:color="auto"/>
        <w:right w:val="none" w:sz="0" w:space="0" w:color="auto"/>
      </w:divBdr>
    </w:div>
    <w:div w:id="792287178">
      <w:bodyDiv w:val="1"/>
      <w:marLeft w:val="0"/>
      <w:marRight w:val="0"/>
      <w:marTop w:val="0"/>
      <w:marBottom w:val="0"/>
      <w:divBdr>
        <w:top w:val="none" w:sz="0" w:space="0" w:color="auto"/>
        <w:left w:val="none" w:sz="0" w:space="0" w:color="auto"/>
        <w:bottom w:val="none" w:sz="0" w:space="0" w:color="auto"/>
        <w:right w:val="none" w:sz="0" w:space="0" w:color="auto"/>
      </w:divBdr>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993071635">
      <w:bodyDiv w:val="1"/>
      <w:marLeft w:val="0"/>
      <w:marRight w:val="0"/>
      <w:marTop w:val="0"/>
      <w:marBottom w:val="0"/>
      <w:divBdr>
        <w:top w:val="none" w:sz="0" w:space="0" w:color="auto"/>
        <w:left w:val="none" w:sz="0" w:space="0" w:color="auto"/>
        <w:bottom w:val="none" w:sz="0" w:space="0" w:color="auto"/>
        <w:right w:val="none" w:sz="0" w:space="0" w:color="auto"/>
      </w:divBdr>
    </w:div>
    <w:div w:id="1099136349">
      <w:bodyDiv w:val="1"/>
      <w:marLeft w:val="0"/>
      <w:marRight w:val="0"/>
      <w:marTop w:val="0"/>
      <w:marBottom w:val="0"/>
      <w:divBdr>
        <w:top w:val="none" w:sz="0" w:space="0" w:color="auto"/>
        <w:left w:val="none" w:sz="0" w:space="0" w:color="auto"/>
        <w:bottom w:val="none" w:sz="0" w:space="0" w:color="auto"/>
        <w:right w:val="none" w:sz="0" w:space="0" w:color="auto"/>
      </w:divBdr>
    </w:div>
    <w:div w:id="1225486575">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545214621">
      <w:bodyDiv w:val="1"/>
      <w:marLeft w:val="0"/>
      <w:marRight w:val="0"/>
      <w:marTop w:val="0"/>
      <w:marBottom w:val="0"/>
      <w:divBdr>
        <w:top w:val="none" w:sz="0" w:space="0" w:color="auto"/>
        <w:left w:val="none" w:sz="0" w:space="0" w:color="auto"/>
        <w:bottom w:val="none" w:sz="0" w:space="0" w:color="auto"/>
        <w:right w:val="none" w:sz="0" w:space="0" w:color="auto"/>
      </w:divBdr>
    </w:div>
    <w:div w:id="1575622077">
      <w:bodyDiv w:val="1"/>
      <w:marLeft w:val="0"/>
      <w:marRight w:val="0"/>
      <w:marTop w:val="0"/>
      <w:marBottom w:val="0"/>
      <w:divBdr>
        <w:top w:val="none" w:sz="0" w:space="0" w:color="auto"/>
        <w:left w:val="none" w:sz="0" w:space="0" w:color="auto"/>
        <w:bottom w:val="none" w:sz="0" w:space="0" w:color="auto"/>
        <w:right w:val="none" w:sz="0" w:space="0" w:color="auto"/>
      </w:divBdr>
    </w:div>
    <w:div w:id="1651252958">
      <w:bodyDiv w:val="1"/>
      <w:marLeft w:val="0"/>
      <w:marRight w:val="0"/>
      <w:marTop w:val="0"/>
      <w:marBottom w:val="0"/>
      <w:divBdr>
        <w:top w:val="none" w:sz="0" w:space="0" w:color="auto"/>
        <w:left w:val="none" w:sz="0" w:space="0" w:color="auto"/>
        <w:bottom w:val="none" w:sz="0" w:space="0" w:color="auto"/>
        <w:right w:val="none" w:sz="0" w:space="0" w:color="auto"/>
      </w:divBdr>
    </w:div>
    <w:div w:id="1674838980">
      <w:bodyDiv w:val="1"/>
      <w:marLeft w:val="0"/>
      <w:marRight w:val="0"/>
      <w:marTop w:val="0"/>
      <w:marBottom w:val="0"/>
      <w:divBdr>
        <w:top w:val="none" w:sz="0" w:space="0" w:color="auto"/>
        <w:left w:val="none" w:sz="0" w:space="0" w:color="auto"/>
        <w:bottom w:val="none" w:sz="0" w:space="0" w:color="auto"/>
        <w:right w:val="none" w:sz="0" w:space="0" w:color="auto"/>
      </w:divBdr>
    </w:div>
    <w:div w:id="1702240869">
      <w:bodyDiv w:val="1"/>
      <w:marLeft w:val="0"/>
      <w:marRight w:val="0"/>
      <w:marTop w:val="0"/>
      <w:marBottom w:val="0"/>
      <w:divBdr>
        <w:top w:val="none" w:sz="0" w:space="0" w:color="auto"/>
        <w:left w:val="none" w:sz="0" w:space="0" w:color="auto"/>
        <w:bottom w:val="none" w:sz="0" w:space="0" w:color="auto"/>
        <w:right w:val="none" w:sz="0" w:space="0" w:color="auto"/>
      </w:divBdr>
    </w:div>
    <w:div w:id="174387106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982465">
      <w:bodyDiv w:val="1"/>
      <w:marLeft w:val="0"/>
      <w:marRight w:val="0"/>
      <w:marTop w:val="0"/>
      <w:marBottom w:val="0"/>
      <w:divBdr>
        <w:top w:val="none" w:sz="0" w:space="0" w:color="auto"/>
        <w:left w:val="none" w:sz="0" w:space="0" w:color="auto"/>
        <w:bottom w:val="none" w:sz="0" w:space="0" w:color="auto"/>
        <w:right w:val="none" w:sz="0" w:space="0" w:color="auto"/>
      </w:divBdr>
    </w:div>
    <w:div w:id="1844933582">
      <w:bodyDiv w:val="1"/>
      <w:marLeft w:val="0"/>
      <w:marRight w:val="0"/>
      <w:marTop w:val="0"/>
      <w:marBottom w:val="0"/>
      <w:divBdr>
        <w:top w:val="none" w:sz="0" w:space="0" w:color="auto"/>
        <w:left w:val="none" w:sz="0" w:space="0" w:color="auto"/>
        <w:bottom w:val="none" w:sz="0" w:space="0" w:color="auto"/>
        <w:right w:val="none" w:sz="0" w:space="0" w:color="auto"/>
      </w:divBdr>
    </w:div>
    <w:div w:id="1885750564">
      <w:bodyDiv w:val="1"/>
      <w:marLeft w:val="0"/>
      <w:marRight w:val="0"/>
      <w:marTop w:val="0"/>
      <w:marBottom w:val="0"/>
      <w:divBdr>
        <w:top w:val="none" w:sz="0" w:space="0" w:color="auto"/>
        <w:left w:val="none" w:sz="0" w:space="0" w:color="auto"/>
        <w:bottom w:val="none" w:sz="0" w:space="0" w:color="auto"/>
        <w:right w:val="none" w:sz="0" w:space="0" w:color="auto"/>
      </w:divBdr>
    </w:div>
    <w:div w:id="1915508211">
      <w:bodyDiv w:val="1"/>
      <w:marLeft w:val="0"/>
      <w:marRight w:val="0"/>
      <w:marTop w:val="0"/>
      <w:marBottom w:val="0"/>
      <w:divBdr>
        <w:top w:val="none" w:sz="0" w:space="0" w:color="auto"/>
        <w:left w:val="none" w:sz="0" w:space="0" w:color="auto"/>
        <w:bottom w:val="none" w:sz="0" w:space="0" w:color="auto"/>
        <w:right w:val="none" w:sz="0" w:space="0" w:color="auto"/>
      </w:divBdr>
    </w:div>
    <w:div w:id="196257244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486068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DF2AF814-9492-44F1-A95C-35CA4BDCD308}"/>
</file>

<file path=customXml/itemProps2.xml><?xml version="1.0" encoding="utf-8"?>
<ds:datastoreItem xmlns:ds="http://schemas.openxmlformats.org/officeDocument/2006/customXml" ds:itemID="{57A574D5-768C-42B9-B145-84C143D00D3D}"/>
</file>

<file path=customXml/itemProps3.xml><?xml version="1.0" encoding="utf-8"?>
<ds:datastoreItem xmlns:ds="http://schemas.openxmlformats.org/officeDocument/2006/customXml" ds:itemID="{CD458E77-4ECF-4667-B6F7-7996F83A0473}"/>
</file>

<file path=customXml/itemProps4.xml><?xml version="1.0" encoding="utf-8"?>
<ds:datastoreItem xmlns:ds="http://schemas.openxmlformats.org/officeDocument/2006/customXml" ds:itemID="{65E661BB-5D3F-474E-AAFC-B8D357E638B7}"/>
</file>

<file path=customXml/itemProps5.xml><?xml version="1.0" encoding="utf-8"?>
<ds:datastoreItem xmlns:ds="http://schemas.openxmlformats.org/officeDocument/2006/customXml" ds:itemID="{101527D1-71F8-455B-B6D9-EFEB835EF6CB}"/>
</file>

<file path=docProps/app.xml><?xml version="1.0" encoding="utf-8"?>
<Properties xmlns="http://schemas.openxmlformats.org/officeDocument/2006/extended-properties" xmlns:vt="http://schemas.openxmlformats.org/officeDocument/2006/docPropsVTypes">
  <Template>Normal.dotm</Template>
  <TotalTime>0</TotalTime>
  <Pages>5</Pages>
  <Words>2392</Words>
  <Characters>13640</Characters>
  <Application>Microsoft Office Word</Application>
  <DocSecurity>4</DocSecurity>
  <Lines>113</Lines>
  <Paragraphs>31</Paragraphs>
  <ScaleCrop>false</ScaleCrop>
  <HeadingPairs>
    <vt:vector size="2" baseType="variant">
      <vt:variant>
        <vt:lpstr>Title</vt:lpstr>
      </vt:variant>
      <vt:variant>
        <vt:i4>1</vt:i4>
      </vt:variant>
    </vt:vector>
  </HeadingPairs>
  <TitlesOfParts>
    <vt:vector size="1" baseType="lpstr">
      <vt:lpstr>GI CRPD briefing</vt:lpstr>
    </vt:vector>
  </TitlesOfParts>
  <Company>Freelance Writing &amp; Research</Company>
  <LinksUpToDate>false</LinksUpToDate>
  <CharactersWithSpaces>16001</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dc:title>
  <dc:subject/>
  <dc:creator>Global Initiative to End All Corporal Punishment of Children</dc:creator>
  <cp:keywords/>
  <cp:lastModifiedBy>CAILLOT Lucille</cp:lastModifiedBy>
  <cp:revision>2</cp:revision>
  <cp:lastPrinted>2005-01-04T10:45:00Z</cp:lastPrinted>
  <dcterms:created xsi:type="dcterms:W3CDTF">2019-02-11T12:41:00Z</dcterms:created>
  <dcterms:modified xsi:type="dcterms:W3CDTF">2019-02-11T12:41:00Z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