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00A5" w:rsidRPr="00D316E0" w:rsidRDefault="009400A5" w:rsidP="009400A5">
      <w:pPr>
        <w:spacing w:line="240" w:lineRule="auto"/>
        <w:jc w:val="both"/>
        <w:rPr>
          <w:rFonts w:eastAsia="Times New Roman" w:cs="Times New Roman"/>
          <w:color w:val="17365D"/>
          <w:spacing w:val="5"/>
          <w:kern w:val="28"/>
          <w:sz w:val="50"/>
          <w:szCs w:val="50"/>
        </w:rPr>
      </w:pPr>
      <w:r w:rsidRPr="00D316E0">
        <w:rPr>
          <w:rFonts w:eastAsia="Times New Roman" w:cs="Times New Roman"/>
          <w:color w:val="17365D"/>
          <w:spacing w:val="5"/>
          <w:kern w:val="28"/>
          <w:sz w:val="50"/>
          <w:szCs w:val="50"/>
        </w:rPr>
        <w:t xml:space="preserve">European Union Agency for Fundamental Rights, selection of rights of the child passages from published reports related to </w:t>
      </w:r>
      <w:r w:rsidR="00197350">
        <w:rPr>
          <w:rFonts w:eastAsia="Times New Roman" w:cs="Times New Roman"/>
          <w:color w:val="17365D"/>
          <w:spacing w:val="5"/>
          <w:kern w:val="28"/>
          <w:sz w:val="50"/>
          <w:szCs w:val="50"/>
        </w:rPr>
        <w:t>Malta</w:t>
      </w:r>
    </w:p>
    <w:p w:rsidR="009400A5" w:rsidRPr="00DA2D41" w:rsidRDefault="009400A5" w:rsidP="009400A5">
      <w:pPr>
        <w:pBdr>
          <w:bottom w:val="single" w:sz="8" w:space="4" w:color="4F81BD"/>
        </w:pBdr>
        <w:spacing w:line="240" w:lineRule="auto"/>
        <w:contextualSpacing/>
        <w:jc w:val="both"/>
        <w:rPr>
          <w:rFonts w:eastAsia="Times New Roman" w:cs="Times New Roman"/>
          <w:color w:val="17365D"/>
          <w:spacing w:val="5"/>
          <w:kern w:val="28"/>
          <w:sz w:val="50"/>
          <w:szCs w:val="50"/>
          <w:lang w:val="it-IT"/>
        </w:rPr>
      </w:pPr>
      <w:r w:rsidRPr="00DA2D41">
        <w:rPr>
          <w:rFonts w:eastAsia="Times New Roman" w:cs="Times New Roman"/>
          <w:color w:val="17365D"/>
          <w:spacing w:val="5"/>
          <w:kern w:val="28"/>
          <w:sz w:val="50"/>
          <w:szCs w:val="50"/>
          <w:lang w:val="it-IT"/>
        </w:rPr>
        <w:t>fra.europa.eu</w:t>
      </w:r>
    </w:p>
    <w:p w:rsidR="009400A5" w:rsidRDefault="009400A5" w:rsidP="009400A5">
      <w:pPr>
        <w:spacing w:line="240" w:lineRule="auto"/>
        <w:jc w:val="both"/>
        <w:rPr>
          <w:lang w:val="it-IT"/>
        </w:rPr>
      </w:pPr>
    </w:p>
    <w:p w:rsidR="009400A5" w:rsidRPr="00DA2D41" w:rsidRDefault="00482E41" w:rsidP="009400A5">
      <w:pPr>
        <w:spacing w:line="240" w:lineRule="auto"/>
        <w:jc w:val="both"/>
        <w:rPr>
          <w:i/>
          <w:lang w:val="it-IT"/>
        </w:rPr>
      </w:pPr>
      <w:r>
        <w:rPr>
          <w:lang w:val="it-IT"/>
        </w:rPr>
        <w:t>10 April 2019</w:t>
      </w:r>
      <w:r w:rsidR="009400A5" w:rsidRPr="009400A5">
        <w:rPr>
          <w:lang w:val="it-IT"/>
        </w:rPr>
        <w:t>,</w:t>
      </w:r>
      <w:r w:rsidR="009400A5" w:rsidRPr="00236538">
        <w:rPr>
          <w:i/>
          <w:lang w:val="it-IT"/>
        </w:rPr>
        <w:t xml:space="preserve"> Vienna</w:t>
      </w:r>
    </w:p>
    <w:p w:rsidR="009400A5" w:rsidRPr="00DA2D41" w:rsidRDefault="009400A5" w:rsidP="009400A5">
      <w:pPr>
        <w:spacing w:line="240" w:lineRule="auto"/>
        <w:jc w:val="both"/>
        <w:rPr>
          <w:i/>
          <w:lang w:val="it-IT"/>
        </w:rPr>
      </w:pPr>
    </w:p>
    <w:sdt>
      <w:sdtPr>
        <w:rPr>
          <w:rFonts w:asciiTheme="minorHAnsi" w:eastAsiaTheme="minorHAnsi" w:hAnsiTheme="minorHAnsi" w:cstheme="minorBidi"/>
          <w:color w:val="auto"/>
          <w:sz w:val="22"/>
          <w:szCs w:val="22"/>
          <w:lang w:val="en-GB"/>
        </w:rPr>
        <w:id w:val="-1941521781"/>
        <w:docPartObj>
          <w:docPartGallery w:val="Table of Contents"/>
          <w:docPartUnique/>
        </w:docPartObj>
      </w:sdtPr>
      <w:sdtEndPr>
        <w:rPr>
          <w:b/>
          <w:bCs/>
          <w:noProof/>
        </w:rPr>
      </w:sdtEndPr>
      <w:sdtContent>
        <w:p w:rsidR="009400A5" w:rsidRPr="00DA2D41" w:rsidRDefault="009400A5" w:rsidP="009400A5">
          <w:pPr>
            <w:pStyle w:val="TOCHeading"/>
            <w:spacing w:before="0" w:after="160" w:line="240" w:lineRule="auto"/>
            <w:jc w:val="both"/>
            <w:rPr>
              <w:lang w:val="it-IT"/>
            </w:rPr>
          </w:pPr>
          <w:r w:rsidRPr="00DA2D41">
            <w:rPr>
              <w:lang w:val="it-IT"/>
            </w:rPr>
            <w:t>Contents</w:t>
          </w:r>
        </w:p>
        <w:p w:rsidR="001D2675" w:rsidRDefault="009400A5">
          <w:pPr>
            <w:pStyle w:val="TOC1"/>
            <w:tabs>
              <w:tab w:val="left" w:pos="440"/>
              <w:tab w:val="right" w:leader="dot" w:pos="9016"/>
            </w:tabs>
            <w:rPr>
              <w:rFonts w:eastAsiaTheme="minorEastAsia"/>
              <w:noProof/>
              <w:lang w:eastAsia="en-GB"/>
            </w:rPr>
          </w:pPr>
          <w:r w:rsidRPr="00D316E0">
            <w:fldChar w:fldCharType="begin"/>
          </w:r>
          <w:r w:rsidRPr="00D316E0">
            <w:instrText xml:space="preserve"> TOC \o "1-3" \h \z \u </w:instrText>
          </w:r>
          <w:r w:rsidRPr="00D316E0">
            <w:fldChar w:fldCharType="separate"/>
          </w:r>
          <w:hyperlink w:anchor="_Toc5872486" w:history="1">
            <w:r w:rsidR="001D2675" w:rsidRPr="00E17C2C">
              <w:rPr>
                <w:rStyle w:val="Hyperlink"/>
                <w:rFonts w:eastAsiaTheme="majorEastAsia" w:cstheme="majorBidi"/>
                <w:b/>
                <w:noProof/>
              </w:rPr>
              <w:t>1.</w:t>
            </w:r>
            <w:r w:rsidR="001D2675">
              <w:rPr>
                <w:rFonts w:eastAsiaTheme="minorEastAsia"/>
                <w:noProof/>
                <w:lang w:eastAsia="en-GB"/>
              </w:rPr>
              <w:tab/>
            </w:r>
            <w:r w:rsidR="001D2675" w:rsidRPr="00E17C2C">
              <w:rPr>
                <w:rStyle w:val="Hyperlink"/>
                <w:rFonts w:eastAsiaTheme="majorEastAsia" w:cstheme="majorBidi"/>
                <w:b/>
                <w:noProof/>
              </w:rPr>
              <w:t>Data Explorers and tools</w:t>
            </w:r>
            <w:r w:rsidR="001D2675">
              <w:rPr>
                <w:noProof/>
                <w:webHidden/>
              </w:rPr>
              <w:tab/>
            </w:r>
            <w:r w:rsidR="001D2675">
              <w:rPr>
                <w:noProof/>
                <w:webHidden/>
              </w:rPr>
              <w:fldChar w:fldCharType="begin"/>
            </w:r>
            <w:r w:rsidR="001D2675">
              <w:rPr>
                <w:noProof/>
                <w:webHidden/>
              </w:rPr>
              <w:instrText xml:space="preserve"> PAGEREF _Toc5872486 \h </w:instrText>
            </w:r>
            <w:r w:rsidR="001D2675">
              <w:rPr>
                <w:noProof/>
                <w:webHidden/>
              </w:rPr>
            </w:r>
            <w:r w:rsidR="001D2675">
              <w:rPr>
                <w:noProof/>
                <w:webHidden/>
              </w:rPr>
              <w:fldChar w:fldCharType="separate"/>
            </w:r>
            <w:r w:rsidR="001D2675">
              <w:rPr>
                <w:noProof/>
                <w:webHidden/>
              </w:rPr>
              <w:t>2</w:t>
            </w:r>
            <w:r w:rsidR="001D2675">
              <w:rPr>
                <w:noProof/>
                <w:webHidden/>
              </w:rPr>
              <w:fldChar w:fldCharType="end"/>
            </w:r>
          </w:hyperlink>
        </w:p>
        <w:p w:rsidR="001D2675" w:rsidRDefault="00CD4672">
          <w:pPr>
            <w:pStyle w:val="TOC2"/>
            <w:tabs>
              <w:tab w:val="right" w:leader="dot" w:pos="9016"/>
            </w:tabs>
            <w:rPr>
              <w:rFonts w:eastAsiaTheme="minorEastAsia"/>
              <w:noProof/>
              <w:lang w:eastAsia="en-GB"/>
            </w:rPr>
          </w:pPr>
          <w:hyperlink w:anchor="_Toc5872487" w:history="1">
            <w:r w:rsidR="001D2675" w:rsidRPr="00E17C2C">
              <w:rPr>
                <w:rStyle w:val="Hyperlink"/>
                <w:rFonts w:eastAsiaTheme="majorEastAsia" w:cstheme="majorBidi"/>
                <w:noProof/>
              </w:rPr>
              <w:t>1. 1 Violence against women: an EU-wide survey (2014)</w:t>
            </w:r>
            <w:r w:rsidR="001D2675">
              <w:rPr>
                <w:noProof/>
                <w:webHidden/>
              </w:rPr>
              <w:tab/>
            </w:r>
            <w:r w:rsidR="001D2675">
              <w:rPr>
                <w:noProof/>
                <w:webHidden/>
              </w:rPr>
              <w:fldChar w:fldCharType="begin"/>
            </w:r>
            <w:r w:rsidR="001D2675">
              <w:rPr>
                <w:noProof/>
                <w:webHidden/>
              </w:rPr>
              <w:instrText xml:space="preserve"> PAGEREF _Toc5872487 \h </w:instrText>
            </w:r>
            <w:r w:rsidR="001D2675">
              <w:rPr>
                <w:noProof/>
                <w:webHidden/>
              </w:rPr>
            </w:r>
            <w:r w:rsidR="001D2675">
              <w:rPr>
                <w:noProof/>
                <w:webHidden/>
              </w:rPr>
              <w:fldChar w:fldCharType="separate"/>
            </w:r>
            <w:r w:rsidR="001D2675">
              <w:rPr>
                <w:noProof/>
                <w:webHidden/>
              </w:rPr>
              <w:t>2</w:t>
            </w:r>
            <w:r w:rsidR="001D2675">
              <w:rPr>
                <w:noProof/>
                <w:webHidden/>
              </w:rPr>
              <w:fldChar w:fldCharType="end"/>
            </w:r>
          </w:hyperlink>
        </w:p>
        <w:p w:rsidR="001D2675" w:rsidRDefault="00CD4672">
          <w:pPr>
            <w:pStyle w:val="TOC2"/>
            <w:tabs>
              <w:tab w:val="right" w:leader="dot" w:pos="9016"/>
            </w:tabs>
            <w:rPr>
              <w:rFonts w:eastAsiaTheme="minorEastAsia"/>
              <w:noProof/>
              <w:lang w:eastAsia="en-GB"/>
            </w:rPr>
          </w:pPr>
          <w:hyperlink w:anchor="_Toc5872488" w:history="1">
            <w:r w:rsidR="001D2675" w:rsidRPr="00E17C2C">
              <w:rPr>
                <w:rStyle w:val="Hyperlink"/>
                <w:noProof/>
              </w:rPr>
              <w:t>1.2 EU-LGBT survey (2012)</w:t>
            </w:r>
            <w:r w:rsidR="001D2675">
              <w:rPr>
                <w:noProof/>
                <w:webHidden/>
              </w:rPr>
              <w:tab/>
            </w:r>
            <w:r w:rsidR="001D2675">
              <w:rPr>
                <w:noProof/>
                <w:webHidden/>
              </w:rPr>
              <w:fldChar w:fldCharType="begin"/>
            </w:r>
            <w:r w:rsidR="001D2675">
              <w:rPr>
                <w:noProof/>
                <w:webHidden/>
              </w:rPr>
              <w:instrText xml:space="preserve"> PAGEREF _Toc5872488 \h </w:instrText>
            </w:r>
            <w:r w:rsidR="001D2675">
              <w:rPr>
                <w:noProof/>
                <w:webHidden/>
              </w:rPr>
            </w:r>
            <w:r w:rsidR="001D2675">
              <w:rPr>
                <w:noProof/>
                <w:webHidden/>
              </w:rPr>
              <w:fldChar w:fldCharType="separate"/>
            </w:r>
            <w:r w:rsidR="001D2675">
              <w:rPr>
                <w:noProof/>
                <w:webHidden/>
              </w:rPr>
              <w:t>3</w:t>
            </w:r>
            <w:r w:rsidR="001D2675">
              <w:rPr>
                <w:noProof/>
                <w:webHidden/>
              </w:rPr>
              <w:fldChar w:fldCharType="end"/>
            </w:r>
          </w:hyperlink>
        </w:p>
        <w:p w:rsidR="001D2675" w:rsidRDefault="00CD4672">
          <w:pPr>
            <w:pStyle w:val="TOC1"/>
            <w:tabs>
              <w:tab w:val="left" w:pos="440"/>
              <w:tab w:val="right" w:leader="dot" w:pos="9016"/>
            </w:tabs>
            <w:rPr>
              <w:rFonts w:eastAsiaTheme="minorEastAsia"/>
              <w:noProof/>
              <w:lang w:eastAsia="en-GB"/>
            </w:rPr>
          </w:pPr>
          <w:hyperlink w:anchor="_Toc5872489" w:history="1">
            <w:r w:rsidR="001D2675" w:rsidRPr="00E17C2C">
              <w:rPr>
                <w:rStyle w:val="Hyperlink"/>
                <w:rFonts w:eastAsiaTheme="majorEastAsia" w:cstheme="majorBidi"/>
                <w:b/>
                <w:noProof/>
              </w:rPr>
              <w:t>2.</w:t>
            </w:r>
            <w:r w:rsidR="001D2675">
              <w:rPr>
                <w:rFonts w:eastAsiaTheme="minorEastAsia"/>
                <w:noProof/>
                <w:lang w:eastAsia="en-GB"/>
              </w:rPr>
              <w:tab/>
            </w:r>
            <w:r w:rsidR="001D2675" w:rsidRPr="00E17C2C">
              <w:rPr>
                <w:rStyle w:val="Hyperlink"/>
                <w:rFonts w:eastAsiaTheme="majorEastAsia" w:cstheme="majorBidi"/>
                <w:b/>
                <w:noProof/>
              </w:rPr>
              <w:t>Annual reports</w:t>
            </w:r>
            <w:r w:rsidR="001D2675">
              <w:rPr>
                <w:noProof/>
                <w:webHidden/>
              </w:rPr>
              <w:tab/>
            </w:r>
            <w:r w:rsidR="001D2675">
              <w:rPr>
                <w:noProof/>
                <w:webHidden/>
              </w:rPr>
              <w:fldChar w:fldCharType="begin"/>
            </w:r>
            <w:r w:rsidR="001D2675">
              <w:rPr>
                <w:noProof/>
                <w:webHidden/>
              </w:rPr>
              <w:instrText xml:space="preserve"> PAGEREF _Toc5872489 \h </w:instrText>
            </w:r>
            <w:r w:rsidR="001D2675">
              <w:rPr>
                <w:noProof/>
                <w:webHidden/>
              </w:rPr>
            </w:r>
            <w:r w:rsidR="001D2675">
              <w:rPr>
                <w:noProof/>
                <w:webHidden/>
              </w:rPr>
              <w:fldChar w:fldCharType="separate"/>
            </w:r>
            <w:r w:rsidR="001D2675">
              <w:rPr>
                <w:noProof/>
                <w:webHidden/>
              </w:rPr>
              <w:t>5</w:t>
            </w:r>
            <w:r w:rsidR="001D2675">
              <w:rPr>
                <w:noProof/>
                <w:webHidden/>
              </w:rPr>
              <w:fldChar w:fldCharType="end"/>
            </w:r>
          </w:hyperlink>
        </w:p>
        <w:p w:rsidR="001D2675" w:rsidRDefault="00CD4672">
          <w:pPr>
            <w:pStyle w:val="TOC2"/>
            <w:tabs>
              <w:tab w:val="left" w:pos="880"/>
              <w:tab w:val="right" w:leader="dot" w:pos="9016"/>
            </w:tabs>
            <w:rPr>
              <w:rFonts w:eastAsiaTheme="minorEastAsia"/>
              <w:noProof/>
              <w:lang w:eastAsia="en-GB"/>
            </w:rPr>
          </w:pPr>
          <w:hyperlink w:anchor="_Toc5872490" w:history="1">
            <w:r w:rsidR="001D2675" w:rsidRPr="00E17C2C">
              <w:rPr>
                <w:rStyle w:val="Hyperlink"/>
                <w:rFonts w:eastAsiaTheme="majorEastAsia" w:cstheme="majorBidi"/>
                <w:noProof/>
              </w:rPr>
              <w:t>2.1</w:t>
            </w:r>
            <w:r w:rsidR="001D2675">
              <w:rPr>
                <w:rFonts w:eastAsiaTheme="minorEastAsia"/>
                <w:noProof/>
                <w:lang w:eastAsia="en-GB"/>
              </w:rPr>
              <w:tab/>
            </w:r>
            <w:r w:rsidR="001D2675" w:rsidRPr="00E17C2C">
              <w:rPr>
                <w:rStyle w:val="Hyperlink"/>
                <w:rFonts w:eastAsiaTheme="majorEastAsia" w:cstheme="majorBidi"/>
                <w:noProof/>
              </w:rPr>
              <w:t>Fundamental Rights Report 2017 Report</w:t>
            </w:r>
            <w:r w:rsidR="001D2675">
              <w:rPr>
                <w:noProof/>
                <w:webHidden/>
              </w:rPr>
              <w:tab/>
            </w:r>
            <w:r w:rsidR="001D2675">
              <w:rPr>
                <w:noProof/>
                <w:webHidden/>
              </w:rPr>
              <w:fldChar w:fldCharType="begin"/>
            </w:r>
            <w:r w:rsidR="001D2675">
              <w:rPr>
                <w:noProof/>
                <w:webHidden/>
              </w:rPr>
              <w:instrText xml:space="preserve"> PAGEREF _Toc5872490 \h </w:instrText>
            </w:r>
            <w:r w:rsidR="001D2675">
              <w:rPr>
                <w:noProof/>
                <w:webHidden/>
              </w:rPr>
            </w:r>
            <w:r w:rsidR="001D2675">
              <w:rPr>
                <w:noProof/>
                <w:webHidden/>
              </w:rPr>
              <w:fldChar w:fldCharType="separate"/>
            </w:r>
            <w:r w:rsidR="001D2675">
              <w:rPr>
                <w:noProof/>
                <w:webHidden/>
              </w:rPr>
              <w:t>5</w:t>
            </w:r>
            <w:r w:rsidR="001D2675">
              <w:rPr>
                <w:noProof/>
                <w:webHidden/>
              </w:rPr>
              <w:fldChar w:fldCharType="end"/>
            </w:r>
          </w:hyperlink>
        </w:p>
        <w:p w:rsidR="001D2675" w:rsidRDefault="00CD4672">
          <w:pPr>
            <w:pStyle w:val="TOC1"/>
            <w:tabs>
              <w:tab w:val="left" w:pos="440"/>
              <w:tab w:val="right" w:leader="dot" w:pos="9016"/>
            </w:tabs>
            <w:rPr>
              <w:rFonts w:eastAsiaTheme="minorEastAsia"/>
              <w:noProof/>
              <w:lang w:eastAsia="en-GB"/>
            </w:rPr>
          </w:pPr>
          <w:hyperlink w:anchor="_Toc5872491" w:history="1">
            <w:r w:rsidR="001D2675" w:rsidRPr="00E17C2C">
              <w:rPr>
                <w:rStyle w:val="Hyperlink"/>
                <w:rFonts w:eastAsiaTheme="majorEastAsia" w:cstheme="majorBidi"/>
                <w:b/>
                <w:noProof/>
              </w:rPr>
              <w:t>3</w:t>
            </w:r>
            <w:r w:rsidR="001D2675">
              <w:rPr>
                <w:rFonts w:eastAsiaTheme="minorEastAsia"/>
                <w:noProof/>
                <w:lang w:eastAsia="en-GB"/>
              </w:rPr>
              <w:tab/>
            </w:r>
            <w:r w:rsidR="001D2675" w:rsidRPr="00E17C2C">
              <w:rPr>
                <w:rStyle w:val="Hyperlink"/>
                <w:rFonts w:eastAsiaTheme="majorEastAsia" w:cstheme="majorBidi"/>
                <w:b/>
                <w:noProof/>
              </w:rPr>
              <w:t>Thematic reports</w:t>
            </w:r>
            <w:r w:rsidR="001D2675">
              <w:rPr>
                <w:noProof/>
                <w:webHidden/>
              </w:rPr>
              <w:tab/>
            </w:r>
            <w:r w:rsidR="001D2675">
              <w:rPr>
                <w:noProof/>
                <w:webHidden/>
              </w:rPr>
              <w:fldChar w:fldCharType="begin"/>
            </w:r>
            <w:r w:rsidR="001D2675">
              <w:rPr>
                <w:noProof/>
                <w:webHidden/>
              </w:rPr>
              <w:instrText xml:space="preserve"> PAGEREF _Toc5872491 \h </w:instrText>
            </w:r>
            <w:r w:rsidR="001D2675">
              <w:rPr>
                <w:noProof/>
                <w:webHidden/>
              </w:rPr>
            </w:r>
            <w:r w:rsidR="001D2675">
              <w:rPr>
                <w:noProof/>
                <w:webHidden/>
              </w:rPr>
              <w:fldChar w:fldCharType="separate"/>
            </w:r>
            <w:r w:rsidR="001D2675">
              <w:rPr>
                <w:noProof/>
                <w:webHidden/>
              </w:rPr>
              <w:t>6</w:t>
            </w:r>
            <w:r w:rsidR="001D2675">
              <w:rPr>
                <w:noProof/>
                <w:webHidden/>
              </w:rPr>
              <w:fldChar w:fldCharType="end"/>
            </w:r>
          </w:hyperlink>
        </w:p>
        <w:p w:rsidR="001D2675" w:rsidRDefault="00CD4672">
          <w:pPr>
            <w:pStyle w:val="TOC2"/>
            <w:tabs>
              <w:tab w:val="left" w:pos="880"/>
              <w:tab w:val="right" w:leader="dot" w:pos="9016"/>
            </w:tabs>
            <w:rPr>
              <w:rFonts w:eastAsiaTheme="minorEastAsia"/>
              <w:noProof/>
              <w:lang w:eastAsia="en-GB"/>
            </w:rPr>
          </w:pPr>
          <w:hyperlink w:anchor="_Toc5872492" w:history="1">
            <w:r w:rsidR="001D2675" w:rsidRPr="00E17C2C">
              <w:rPr>
                <w:rStyle w:val="Hyperlink"/>
                <w:noProof/>
              </w:rPr>
              <w:t>3.1</w:t>
            </w:r>
            <w:r w:rsidR="001D2675">
              <w:rPr>
                <w:rFonts w:eastAsiaTheme="minorEastAsia"/>
                <w:noProof/>
                <w:lang w:eastAsia="en-GB"/>
              </w:rPr>
              <w:tab/>
            </w:r>
            <w:r w:rsidR="001D2675" w:rsidRPr="00E17C2C">
              <w:rPr>
                <w:rStyle w:val="Hyperlink"/>
                <w:noProof/>
              </w:rPr>
              <w:t>Combating child poverty: an issue of fundamental rights (2018)</w:t>
            </w:r>
            <w:r w:rsidR="001D2675">
              <w:rPr>
                <w:noProof/>
                <w:webHidden/>
              </w:rPr>
              <w:tab/>
            </w:r>
            <w:r w:rsidR="001D2675">
              <w:rPr>
                <w:noProof/>
                <w:webHidden/>
              </w:rPr>
              <w:fldChar w:fldCharType="begin"/>
            </w:r>
            <w:r w:rsidR="001D2675">
              <w:rPr>
                <w:noProof/>
                <w:webHidden/>
              </w:rPr>
              <w:instrText xml:space="preserve"> PAGEREF _Toc5872492 \h </w:instrText>
            </w:r>
            <w:r w:rsidR="001D2675">
              <w:rPr>
                <w:noProof/>
                <w:webHidden/>
              </w:rPr>
            </w:r>
            <w:r w:rsidR="001D2675">
              <w:rPr>
                <w:noProof/>
                <w:webHidden/>
              </w:rPr>
              <w:fldChar w:fldCharType="separate"/>
            </w:r>
            <w:r w:rsidR="001D2675">
              <w:rPr>
                <w:noProof/>
                <w:webHidden/>
              </w:rPr>
              <w:t>6</w:t>
            </w:r>
            <w:r w:rsidR="001D2675">
              <w:rPr>
                <w:noProof/>
                <w:webHidden/>
              </w:rPr>
              <w:fldChar w:fldCharType="end"/>
            </w:r>
          </w:hyperlink>
        </w:p>
        <w:p w:rsidR="001D2675" w:rsidRDefault="00CD4672">
          <w:pPr>
            <w:pStyle w:val="TOC2"/>
            <w:tabs>
              <w:tab w:val="right" w:leader="dot" w:pos="9016"/>
            </w:tabs>
            <w:rPr>
              <w:rFonts w:eastAsiaTheme="minorEastAsia"/>
              <w:noProof/>
              <w:lang w:eastAsia="en-GB"/>
            </w:rPr>
          </w:pPr>
          <w:hyperlink w:anchor="_Toc5872493" w:history="1">
            <w:r w:rsidR="001D2675" w:rsidRPr="00E17C2C">
              <w:rPr>
                <w:rStyle w:val="Hyperlink"/>
                <w:rFonts w:eastAsiaTheme="majorEastAsia" w:cstheme="majorBidi"/>
                <w:noProof/>
              </w:rPr>
              <w:t>3.2 European legal and policy framework on immigration detention of children (2017)</w:t>
            </w:r>
            <w:r w:rsidR="001D2675">
              <w:rPr>
                <w:noProof/>
                <w:webHidden/>
              </w:rPr>
              <w:tab/>
            </w:r>
            <w:r w:rsidR="001D2675">
              <w:rPr>
                <w:noProof/>
                <w:webHidden/>
              </w:rPr>
              <w:fldChar w:fldCharType="begin"/>
            </w:r>
            <w:r w:rsidR="001D2675">
              <w:rPr>
                <w:noProof/>
                <w:webHidden/>
              </w:rPr>
              <w:instrText xml:space="preserve"> PAGEREF _Toc5872493 \h </w:instrText>
            </w:r>
            <w:r w:rsidR="001D2675">
              <w:rPr>
                <w:noProof/>
                <w:webHidden/>
              </w:rPr>
            </w:r>
            <w:r w:rsidR="001D2675">
              <w:rPr>
                <w:noProof/>
                <w:webHidden/>
              </w:rPr>
              <w:fldChar w:fldCharType="separate"/>
            </w:r>
            <w:r w:rsidR="001D2675">
              <w:rPr>
                <w:noProof/>
                <w:webHidden/>
              </w:rPr>
              <w:t>7</w:t>
            </w:r>
            <w:r w:rsidR="001D2675">
              <w:rPr>
                <w:noProof/>
                <w:webHidden/>
              </w:rPr>
              <w:fldChar w:fldCharType="end"/>
            </w:r>
          </w:hyperlink>
        </w:p>
        <w:p w:rsidR="001D2675" w:rsidRDefault="00CD4672">
          <w:pPr>
            <w:pStyle w:val="TOC2"/>
            <w:tabs>
              <w:tab w:val="right" w:leader="dot" w:pos="9016"/>
            </w:tabs>
            <w:rPr>
              <w:rFonts w:eastAsiaTheme="minorEastAsia"/>
              <w:noProof/>
              <w:lang w:eastAsia="en-GB"/>
            </w:rPr>
          </w:pPr>
          <w:hyperlink w:anchor="_Toc5872494" w:history="1">
            <w:r w:rsidR="001D2675" w:rsidRPr="00E17C2C">
              <w:rPr>
                <w:rStyle w:val="Hyperlink"/>
                <w:rFonts w:eastAsiaTheme="majorEastAsia" w:cstheme="majorBidi"/>
                <w:noProof/>
              </w:rPr>
              <w:t>3.3 Violence against women: an EU-wide survey (2014)</w:t>
            </w:r>
            <w:r w:rsidR="001D2675">
              <w:rPr>
                <w:noProof/>
                <w:webHidden/>
              </w:rPr>
              <w:tab/>
            </w:r>
            <w:r w:rsidR="001D2675">
              <w:rPr>
                <w:noProof/>
                <w:webHidden/>
              </w:rPr>
              <w:fldChar w:fldCharType="begin"/>
            </w:r>
            <w:r w:rsidR="001D2675">
              <w:rPr>
                <w:noProof/>
                <w:webHidden/>
              </w:rPr>
              <w:instrText xml:space="preserve"> PAGEREF _Toc5872494 \h </w:instrText>
            </w:r>
            <w:r w:rsidR="001D2675">
              <w:rPr>
                <w:noProof/>
                <w:webHidden/>
              </w:rPr>
            </w:r>
            <w:r w:rsidR="001D2675">
              <w:rPr>
                <w:noProof/>
                <w:webHidden/>
              </w:rPr>
              <w:fldChar w:fldCharType="separate"/>
            </w:r>
            <w:r w:rsidR="001D2675">
              <w:rPr>
                <w:noProof/>
                <w:webHidden/>
              </w:rPr>
              <w:t>8</w:t>
            </w:r>
            <w:r w:rsidR="001D2675">
              <w:rPr>
                <w:noProof/>
                <w:webHidden/>
              </w:rPr>
              <w:fldChar w:fldCharType="end"/>
            </w:r>
          </w:hyperlink>
        </w:p>
        <w:p w:rsidR="001D2675" w:rsidRDefault="00CD4672">
          <w:pPr>
            <w:pStyle w:val="TOC2"/>
            <w:tabs>
              <w:tab w:val="right" w:leader="dot" w:pos="9016"/>
            </w:tabs>
            <w:rPr>
              <w:rFonts w:eastAsiaTheme="minorEastAsia"/>
              <w:noProof/>
              <w:lang w:eastAsia="en-GB"/>
            </w:rPr>
          </w:pPr>
          <w:hyperlink w:anchor="_Toc5872495" w:history="1">
            <w:r w:rsidR="001D2675" w:rsidRPr="00E17C2C">
              <w:rPr>
                <w:rStyle w:val="Hyperlink"/>
                <w:rFonts w:eastAsiaTheme="majorEastAsia" w:cstheme="majorBidi"/>
                <w:noProof/>
              </w:rPr>
              <w:t>3.4 EU LGBT Survey – European Union lesbian, gay, bisexual and transgender survey (2012)</w:t>
            </w:r>
            <w:r w:rsidR="001D2675">
              <w:rPr>
                <w:noProof/>
                <w:webHidden/>
              </w:rPr>
              <w:tab/>
            </w:r>
            <w:r w:rsidR="001D2675">
              <w:rPr>
                <w:noProof/>
                <w:webHidden/>
              </w:rPr>
              <w:fldChar w:fldCharType="begin"/>
            </w:r>
            <w:r w:rsidR="001D2675">
              <w:rPr>
                <w:noProof/>
                <w:webHidden/>
              </w:rPr>
              <w:instrText xml:space="preserve"> PAGEREF _Toc5872495 \h </w:instrText>
            </w:r>
            <w:r w:rsidR="001D2675">
              <w:rPr>
                <w:noProof/>
                <w:webHidden/>
              </w:rPr>
            </w:r>
            <w:r w:rsidR="001D2675">
              <w:rPr>
                <w:noProof/>
                <w:webHidden/>
              </w:rPr>
              <w:fldChar w:fldCharType="separate"/>
            </w:r>
            <w:r w:rsidR="001D2675">
              <w:rPr>
                <w:noProof/>
                <w:webHidden/>
              </w:rPr>
              <w:t>9</w:t>
            </w:r>
            <w:r w:rsidR="001D2675">
              <w:rPr>
                <w:noProof/>
                <w:webHidden/>
              </w:rPr>
              <w:fldChar w:fldCharType="end"/>
            </w:r>
          </w:hyperlink>
        </w:p>
        <w:p w:rsidR="001D2675" w:rsidRDefault="00CD4672">
          <w:pPr>
            <w:pStyle w:val="TOC2"/>
            <w:tabs>
              <w:tab w:val="right" w:leader="dot" w:pos="9016"/>
            </w:tabs>
            <w:rPr>
              <w:rFonts w:eastAsiaTheme="minorEastAsia"/>
              <w:noProof/>
              <w:lang w:eastAsia="en-GB"/>
            </w:rPr>
          </w:pPr>
          <w:hyperlink w:anchor="_Toc5872496" w:history="1">
            <w:r w:rsidR="001D2675" w:rsidRPr="00E17C2C">
              <w:rPr>
                <w:rStyle w:val="Hyperlink"/>
                <w:rFonts w:eastAsiaTheme="majorEastAsia" w:cstheme="majorBidi"/>
                <w:noProof/>
              </w:rPr>
              <w:t>3.5 Second European Union Minorities and Discrimination Survey (2016)</w:t>
            </w:r>
            <w:r w:rsidR="001D2675">
              <w:rPr>
                <w:noProof/>
                <w:webHidden/>
              </w:rPr>
              <w:tab/>
            </w:r>
            <w:r w:rsidR="001D2675">
              <w:rPr>
                <w:noProof/>
                <w:webHidden/>
              </w:rPr>
              <w:fldChar w:fldCharType="begin"/>
            </w:r>
            <w:r w:rsidR="001D2675">
              <w:rPr>
                <w:noProof/>
                <w:webHidden/>
              </w:rPr>
              <w:instrText xml:space="preserve"> PAGEREF _Toc5872496 \h </w:instrText>
            </w:r>
            <w:r w:rsidR="001D2675">
              <w:rPr>
                <w:noProof/>
                <w:webHidden/>
              </w:rPr>
            </w:r>
            <w:r w:rsidR="001D2675">
              <w:rPr>
                <w:noProof/>
                <w:webHidden/>
              </w:rPr>
              <w:fldChar w:fldCharType="separate"/>
            </w:r>
            <w:r w:rsidR="001D2675">
              <w:rPr>
                <w:noProof/>
                <w:webHidden/>
              </w:rPr>
              <w:t>10</w:t>
            </w:r>
            <w:r w:rsidR="001D2675">
              <w:rPr>
                <w:noProof/>
                <w:webHidden/>
              </w:rPr>
              <w:fldChar w:fldCharType="end"/>
            </w:r>
          </w:hyperlink>
        </w:p>
        <w:p w:rsidR="001D2675" w:rsidRDefault="00CD4672">
          <w:pPr>
            <w:pStyle w:val="TOC2"/>
            <w:tabs>
              <w:tab w:val="right" w:leader="dot" w:pos="9016"/>
            </w:tabs>
            <w:rPr>
              <w:rFonts w:eastAsiaTheme="minorEastAsia"/>
              <w:noProof/>
              <w:lang w:eastAsia="en-GB"/>
            </w:rPr>
          </w:pPr>
          <w:hyperlink w:anchor="_Toc5872497" w:history="1">
            <w:r w:rsidR="001D2675" w:rsidRPr="00E17C2C">
              <w:rPr>
                <w:rStyle w:val="Hyperlink"/>
                <w:rFonts w:eastAsiaTheme="majorEastAsia" w:cstheme="majorBidi"/>
                <w:noProof/>
              </w:rPr>
              <w:t>3.6 Second European Union Minorities and Discrimination Survey – Being Black in the EU (2018)</w:t>
            </w:r>
            <w:r w:rsidR="001D2675">
              <w:rPr>
                <w:noProof/>
                <w:webHidden/>
              </w:rPr>
              <w:tab/>
            </w:r>
            <w:r w:rsidR="001D2675">
              <w:rPr>
                <w:noProof/>
                <w:webHidden/>
              </w:rPr>
              <w:fldChar w:fldCharType="begin"/>
            </w:r>
            <w:r w:rsidR="001D2675">
              <w:rPr>
                <w:noProof/>
                <w:webHidden/>
              </w:rPr>
              <w:instrText xml:space="preserve"> PAGEREF _Toc5872497 \h </w:instrText>
            </w:r>
            <w:r w:rsidR="001D2675">
              <w:rPr>
                <w:noProof/>
                <w:webHidden/>
              </w:rPr>
            </w:r>
            <w:r w:rsidR="001D2675">
              <w:rPr>
                <w:noProof/>
                <w:webHidden/>
              </w:rPr>
              <w:fldChar w:fldCharType="separate"/>
            </w:r>
            <w:r w:rsidR="001D2675">
              <w:rPr>
                <w:noProof/>
                <w:webHidden/>
              </w:rPr>
              <w:t>10</w:t>
            </w:r>
            <w:r w:rsidR="001D2675">
              <w:rPr>
                <w:noProof/>
                <w:webHidden/>
              </w:rPr>
              <w:fldChar w:fldCharType="end"/>
            </w:r>
          </w:hyperlink>
        </w:p>
        <w:p w:rsidR="001D2675" w:rsidRDefault="00CD4672">
          <w:pPr>
            <w:pStyle w:val="TOC2"/>
            <w:tabs>
              <w:tab w:val="right" w:leader="dot" w:pos="9016"/>
            </w:tabs>
            <w:rPr>
              <w:rFonts w:eastAsiaTheme="minorEastAsia"/>
              <w:noProof/>
              <w:lang w:eastAsia="en-GB"/>
            </w:rPr>
          </w:pPr>
          <w:hyperlink w:anchor="_Toc5872498" w:history="1">
            <w:r w:rsidR="001D2675" w:rsidRPr="00E17C2C">
              <w:rPr>
                <w:rStyle w:val="Hyperlink"/>
                <w:rFonts w:eastAsiaTheme="majorEastAsia" w:cstheme="majorBidi"/>
                <w:noProof/>
              </w:rPr>
              <w:t>3.7 Mapping of minimum age requirements (2017 – 2018)</w:t>
            </w:r>
            <w:r w:rsidR="001D2675">
              <w:rPr>
                <w:noProof/>
                <w:webHidden/>
              </w:rPr>
              <w:tab/>
            </w:r>
            <w:r w:rsidR="001D2675">
              <w:rPr>
                <w:noProof/>
                <w:webHidden/>
              </w:rPr>
              <w:fldChar w:fldCharType="begin"/>
            </w:r>
            <w:r w:rsidR="001D2675">
              <w:rPr>
                <w:noProof/>
                <w:webHidden/>
              </w:rPr>
              <w:instrText xml:space="preserve"> PAGEREF _Toc5872498 \h </w:instrText>
            </w:r>
            <w:r w:rsidR="001D2675">
              <w:rPr>
                <w:noProof/>
                <w:webHidden/>
              </w:rPr>
            </w:r>
            <w:r w:rsidR="001D2675">
              <w:rPr>
                <w:noProof/>
                <w:webHidden/>
              </w:rPr>
              <w:fldChar w:fldCharType="separate"/>
            </w:r>
            <w:r w:rsidR="001D2675">
              <w:rPr>
                <w:noProof/>
                <w:webHidden/>
              </w:rPr>
              <w:t>11</w:t>
            </w:r>
            <w:r w:rsidR="001D2675">
              <w:rPr>
                <w:noProof/>
                <w:webHidden/>
              </w:rPr>
              <w:fldChar w:fldCharType="end"/>
            </w:r>
          </w:hyperlink>
        </w:p>
        <w:p w:rsidR="009400A5" w:rsidRPr="00D316E0" w:rsidRDefault="009400A5" w:rsidP="009400A5">
          <w:pPr>
            <w:spacing w:line="240" w:lineRule="auto"/>
            <w:jc w:val="both"/>
          </w:pPr>
          <w:r w:rsidRPr="00D316E0">
            <w:rPr>
              <w:b/>
              <w:bCs/>
              <w:noProof/>
            </w:rPr>
            <w:fldChar w:fldCharType="end"/>
          </w:r>
        </w:p>
      </w:sdtContent>
    </w:sdt>
    <w:p w:rsidR="009400A5" w:rsidRPr="00D316E0" w:rsidRDefault="009400A5" w:rsidP="009400A5">
      <w:pPr>
        <w:spacing w:line="240" w:lineRule="auto"/>
        <w:jc w:val="both"/>
        <w:rPr>
          <w:i/>
        </w:rPr>
      </w:pPr>
    </w:p>
    <w:p w:rsidR="009400A5" w:rsidRPr="00D316E0" w:rsidRDefault="009400A5" w:rsidP="009400A5">
      <w:pPr>
        <w:spacing w:line="240" w:lineRule="auto"/>
        <w:jc w:val="both"/>
        <w:rPr>
          <w:i/>
        </w:rPr>
      </w:pPr>
    </w:p>
    <w:p w:rsidR="006C3678" w:rsidRDefault="006C3678">
      <w:pPr>
        <w:rPr>
          <w:i/>
        </w:rPr>
      </w:pPr>
      <w:r>
        <w:rPr>
          <w:i/>
        </w:rPr>
        <w:br w:type="page"/>
      </w:r>
    </w:p>
    <w:p w:rsidR="009400A5" w:rsidRPr="00D316E0" w:rsidRDefault="009400A5" w:rsidP="009400A5">
      <w:pPr>
        <w:spacing w:line="240" w:lineRule="auto"/>
        <w:jc w:val="both"/>
        <w:rPr>
          <w:i/>
        </w:rPr>
      </w:pPr>
    </w:p>
    <w:p w:rsidR="00957069" w:rsidRPr="00D316E0" w:rsidRDefault="00957069" w:rsidP="00957069">
      <w:pPr>
        <w:spacing w:line="240" w:lineRule="auto"/>
        <w:jc w:val="both"/>
      </w:pPr>
    </w:p>
    <w:p w:rsidR="00957069" w:rsidRPr="00957069" w:rsidRDefault="00957069" w:rsidP="00957069">
      <w:pPr>
        <w:pStyle w:val="ListParagraph"/>
        <w:keepNext/>
        <w:keepLines/>
        <w:numPr>
          <w:ilvl w:val="0"/>
          <w:numId w:val="1"/>
        </w:numPr>
        <w:spacing w:after="160" w:line="360" w:lineRule="auto"/>
        <w:jc w:val="both"/>
        <w:outlineLvl w:val="0"/>
        <w:rPr>
          <w:rFonts w:eastAsiaTheme="majorEastAsia" w:cstheme="majorBidi"/>
          <w:b/>
          <w:color w:val="2E74B5" w:themeColor="accent1" w:themeShade="BF"/>
          <w:sz w:val="32"/>
          <w:szCs w:val="32"/>
          <w:lang w:val="en-GB"/>
        </w:rPr>
      </w:pPr>
      <w:bookmarkStart w:id="0" w:name="_Toc5872486"/>
      <w:r>
        <w:rPr>
          <w:rFonts w:eastAsiaTheme="majorEastAsia" w:cstheme="majorBidi"/>
          <w:b/>
          <w:color w:val="2E74B5" w:themeColor="accent1" w:themeShade="BF"/>
          <w:sz w:val="32"/>
          <w:szCs w:val="32"/>
          <w:lang w:val="en-GB"/>
        </w:rPr>
        <w:t>Data Explorers and tools</w:t>
      </w:r>
      <w:bookmarkEnd w:id="0"/>
    </w:p>
    <w:p w:rsidR="00957069" w:rsidRDefault="00957069" w:rsidP="00957069">
      <w:pPr>
        <w:pStyle w:val="ListParagraph"/>
        <w:keepNext/>
        <w:keepLines/>
        <w:ind w:left="750"/>
        <w:outlineLvl w:val="1"/>
        <w:rPr>
          <w:rFonts w:eastAsiaTheme="majorEastAsia" w:cstheme="majorBidi"/>
          <w:color w:val="2E74B5" w:themeColor="accent1" w:themeShade="BF"/>
          <w:sz w:val="28"/>
          <w:szCs w:val="26"/>
        </w:rPr>
      </w:pPr>
      <w:bookmarkStart w:id="1" w:name="_Toc5872487"/>
      <w:r>
        <w:rPr>
          <w:rFonts w:eastAsiaTheme="majorEastAsia" w:cstheme="majorBidi"/>
          <w:color w:val="2E74B5" w:themeColor="accent1" w:themeShade="BF"/>
          <w:sz w:val="28"/>
          <w:szCs w:val="26"/>
        </w:rPr>
        <w:t>1. 1 Violence against women: an EU-wide survey (2014)</w:t>
      </w:r>
      <w:bookmarkEnd w:id="1"/>
    </w:p>
    <w:p w:rsidR="00957069" w:rsidRPr="00D316E0" w:rsidRDefault="00957069" w:rsidP="003658E5">
      <w:r w:rsidRPr="00C17836">
        <w:rPr>
          <w:lang w:val="en-IE"/>
        </w:rPr>
        <w:t xml:space="preserve">The </w:t>
      </w:r>
      <w:r>
        <w:rPr>
          <w:lang w:val="en-IE"/>
        </w:rPr>
        <w:t>survey</w:t>
      </w:r>
      <w:r w:rsidRPr="00C17836">
        <w:rPr>
          <w:lang w:val="en-IE"/>
        </w:rPr>
        <w:t xml:space="preserve"> includes extensive information regarding </w:t>
      </w:r>
      <w:r>
        <w:rPr>
          <w:lang w:val="en-IE"/>
        </w:rPr>
        <w:t>Malta</w:t>
      </w:r>
      <w:r w:rsidRPr="00C17836">
        <w:rPr>
          <w:lang w:val="en-IE"/>
        </w:rPr>
        <w:t>, these excerpts are just a selection.</w:t>
      </w:r>
      <w:r>
        <w:rPr>
          <w:lang w:val="en-IE"/>
        </w:rPr>
        <w:t xml:space="preserve"> </w:t>
      </w:r>
      <w:r w:rsidRPr="00D316E0">
        <w:t xml:space="preserve">Violence against women: an EU-wide survey data explorer: </w:t>
      </w:r>
      <w:hyperlink r:id="rId7" w:history="1">
        <w:r w:rsidRPr="00D316E0">
          <w:rPr>
            <w:rStyle w:val="Hyperlink"/>
          </w:rPr>
          <w:t>http://fra.europa.eu/en/publications-and-resources/data-and-maps/survey-data-explorer-violence-against-women-survey</w:t>
        </w:r>
      </w:hyperlink>
    </w:p>
    <w:p w:rsidR="00957069" w:rsidRPr="006431C2" w:rsidRDefault="00957069" w:rsidP="003658E5">
      <w:r w:rsidRPr="00957069">
        <w:t>In Malta – Women</w:t>
      </w:r>
      <w:r>
        <w:rPr>
          <w:rFonts w:eastAsiaTheme="majorEastAsia" w:cstheme="majorBidi"/>
          <w:color w:val="2E74B5" w:themeColor="accent1" w:themeShade="BF"/>
          <w:sz w:val="26"/>
          <w:szCs w:val="26"/>
        </w:rPr>
        <w:t xml:space="preserve"> </w:t>
      </w:r>
      <w:r w:rsidRPr="00D316E0">
        <w:t>who have experienced physical, sexual or psychological violence before the age of 15</w:t>
      </w:r>
    </w:p>
    <w:p w:rsidR="00957069" w:rsidRDefault="00957069" w:rsidP="003658E5">
      <w:pPr>
        <w:rPr>
          <w:rFonts w:eastAsiaTheme="majorEastAsia" w:cstheme="majorBidi"/>
          <w:color w:val="2E74B5" w:themeColor="accent1" w:themeShade="BF"/>
          <w:sz w:val="26"/>
          <w:szCs w:val="26"/>
        </w:rPr>
      </w:pPr>
      <w:r>
        <w:rPr>
          <w:rFonts w:eastAsiaTheme="majorEastAsia" w:cstheme="majorBidi"/>
          <w:noProof/>
          <w:color w:val="2E74B5" w:themeColor="accent1" w:themeShade="BF"/>
          <w:sz w:val="26"/>
          <w:szCs w:val="26"/>
          <w:lang w:eastAsia="en-GB"/>
        </w:rPr>
        <w:drawing>
          <wp:inline distT="0" distB="0" distL="0" distR="0" wp14:anchorId="611DB18D" wp14:editId="20172C8E">
            <wp:extent cx="5438692" cy="3179694"/>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Untitled5.png"/>
                    <pic:cNvPicPr/>
                  </pic:nvPicPr>
                  <pic:blipFill rotWithShape="1">
                    <a:blip r:embed="rId8">
                      <a:extLst>
                        <a:ext uri="{28A0092B-C50C-407E-A947-70E740481C1C}">
                          <a14:useLocalDpi xmlns:a14="http://schemas.microsoft.com/office/drawing/2010/main" val="0"/>
                        </a:ext>
                      </a:extLst>
                    </a:blip>
                    <a:srcRect l="1" t="8163" r="5085" b="17635"/>
                    <a:stretch/>
                  </pic:blipFill>
                  <pic:spPr bwMode="auto">
                    <a:xfrm>
                      <a:off x="0" y="0"/>
                      <a:ext cx="5440030" cy="3180476"/>
                    </a:xfrm>
                    <a:prstGeom prst="rect">
                      <a:avLst/>
                    </a:prstGeom>
                    <a:ln>
                      <a:noFill/>
                    </a:ln>
                    <a:extLst>
                      <a:ext uri="{53640926-AAD7-44D8-BBD7-CCE9431645EC}">
                        <a14:shadowObscured xmlns:a14="http://schemas.microsoft.com/office/drawing/2010/main"/>
                      </a:ext>
                    </a:extLst>
                  </pic:spPr>
                </pic:pic>
              </a:graphicData>
            </a:graphic>
          </wp:inline>
        </w:drawing>
      </w:r>
    </w:p>
    <w:p w:rsidR="00F86AF4" w:rsidRPr="00D316E0" w:rsidRDefault="00F86AF4" w:rsidP="003658E5">
      <w:r w:rsidRPr="00D316E0">
        <w:t>In the EU – Experiencing physical, sexual or psychological violence before t</w:t>
      </w:r>
      <w:r>
        <w:t>he age of 15</w:t>
      </w:r>
      <w:r w:rsidRPr="00D316E0">
        <w:t xml:space="preserve"> by an adult perpetrator</w:t>
      </w:r>
    </w:p>
    <w:p w:rsidR="00F86AF4" w:rsidRPr="00957069" w:rsidRDefault="00F86AF4" w:rsidP="003658E5">
      <w:pPr>
        <w:rPr>
          <w:rFonts w:eastAsiaTheme="majorEastAsia" w:cstheme="majorBidi"/>
          <w:color w:val="2E74B5" w:themeColor="accent1" w:themeShade="BF"/>
          <w:sz w:val="26"/>
          <w:szCs w:val="26"/>
        </w:rPr>
      </w:pPr>
      <w:r w:rsidRPr="00D316E0">
        <w:rPr>
          <w:noProof/>
          <w:lang w:eastAsia="en-GB"/>
        </w:rPr>
        <w:drawing>
          <wp:anchor distT="0" distB="0" distL="114300" distR="114300" simplePos="0" relativeHeight="251659264" behindDoc="1" locked="0" layoutInCell="1" allowOverlap="1" wp14:anchorId="04C60320" wp14:editId="19A1172E">
            <wp:simplePos x="0" y="0"/>
            <wp:positionH relativeFrom="margin">
              <wp:posOffset>198782</wp:posOffset>
            </wp:positionH>
            <wp:positionV relativeFrom="paragraph">
              <wp:posOffset>-83</wp:posOffset>
            </wp:positionV>
            <wp:extent cx="5319395" cy="5628005"/>
            <wp:effectExtent l="0" t="0" r="0" b="0"/>
            <wp:wrapTight wrapText="bothSides">
              <wp:wrapPolygon edited="0">
                <wp:start x="0" y="0"/>
                <wp:lineTo x="0" y="21495"/>
                <wp:lineTo x="21505" y="21495"/>
                <wp:lineTo x="21505"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ntitled.png"/>
                    <pic:cNvPicPr/>
                  </pic:nvPicPr>
                  <pic:blipFill>
                    <a:blip r:embed="rId9">
                      <a:extLst>
                        <a:ext uri="{28A0092B-C50C-407E-A947-70E740481C1C}">
                          <a14:useLocalDpi xmlns:a14="http://schemas.microsoft.com/office/drawing/2010/main" val="0"/>
                        </a:ext>
                      </a:extLst>
                    </a:blip>
                    <a:stretch>
                      <a:fillRect/>
                    </a:stretch>
                  </pic:blipFill>
                  <pic:spPr bwMode="auto">
                    <a:xfrm>
                      <a:off x="0" y="0"/>
                      <a:ext cx="5319395" cy="56280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86AF4" w:rsidRDefault="00F86AF4" w:rsidP="00F86AF4">
      <w:pPr>
        <w:pStyle w:val="Heading2"/>
        <w:spacing w:before="0" w:after="160"/>
        <w:ind w:firstLine="360"/>
        <w:jc w:val="both"/>
        <w:rPr>
          <w:rFonts w:asciiTheme="minorHAnsi" w:hAnsiTheme="minorHAnsi"/>
          <w:lang w:val="en-GB"/>
        </w:rPr>
      </w:pPr>
      <w:bookmarkStart w:id="2" w:name="_Toc484698241"/>
      <w:bookmarkStart w:id="3" w:name="_Toc5872488"/>
      <w:r w:rsidRPr="00D316E0">
        <w:rPr>
          <w:rFonts w:asciiTheme="minorHAnsi" w:hAnsiTheme="minorHAnsi"/>
          <w:lang w:val="en-GB"/>
        </w:rPr>
        <w:t>1.2 EU-LGBT survey (2012)</w:t>
      </w:r>
      <w:bookmarkEnd w:id="2"/>
      <w:bookmarkEnd w:id="3"/>
    </w:p>
    <w:p w:rsidR="00F86AF4" w:rsidRPr="00D316E0" w:rsidRDefault="00F86AF4" w:rsidP="003658E5">
      <w:r w:rsidRPr="00C17836">
        <w:rPr>
          <w:lang w:val="en-IE"/>
        </w:rPr>
        <w:t xml:space="preserve">The </w:t>
      </w:r>
      <w:r>
        <w:rPr>
          <w:lang w:val="en-IE"/>
        </w:rPr>
        <w:t>survey</w:t>
      </w:r>
      <w:r w:rsidRPr="00C17836">
        <w:rPr>
          <w:lang w:val="en-IE"/>
        </w:rPr>
        <w:t xml:space="preserve"> includes extensive information regarding </w:t>
      </w:r>
      <w:r>
        <w:rPr>
          <w:lang w:val="en-IE"/>
        </w:rPr>
        <w:t>Malta</w:t>
      </w:r>
      <w:r w:rsidRPr="00C17836">
        <w:rPr>
          <w:lang w:val="en-IE"/>
        </w:rPr>
        <w:t>, these excerpts are just a selection.</w:t>
      </w:r>
      <w:r>
        <w:rPr>
          <w:lang w:val="en-IE"/>
        </w:rPr>
        <w:t xml:space="preserve"> </w:t>
      </w:r>
      <w:r w:rsidRPr="00D316E0">
        <w:t xml:space="preserve">EU LGBT survey data explorer: </w:t>
      </w:r>
      <w:hyperlink r:id="rId10" w:history="1">
        <w:r w:rsidRPr="00D316E0">
          <w:rPr>
            <w:rStyle w:val="Hyperlink"/>
          </w:rPr>
          <w:t>http://fra.europa.eu/en/publications-and-resources/data-and-maps/survey-data-explorer-lgbt-survey-2012</w:t>
        </w:r>
      </w:hyperlink>
    </w:p>
    <w:p w:rsidR="006C7C3D" w:rsidRDefault="00F86AF4" w:rsidP="003658E5">
      <w:r w:rsidRPr="00D316E0">
        <w:t>I</w:t>
      </w:r>
      <w:r w:rsidR="006C7C3D">
        <w:t xml:space="preserve">n Malta </w:t>
      </w:r>
      <w:r w:rsidR="006C7C3D" w:rsidRPr="00D316E0">
        <w:t>– During your schooling before the age of 18, did you hide or disguise that you were L, G, B or T at school?</w:t>
      </w:r>
    </w:p>
    <w:p w:rsidR="006C7C3D" w:rsidRPr="006C7C3D" w:rsidRDefault="006C7C3D" w:rsidP="003658E5">
      <w:r>
        <w:rPr>
          <w:noProof/>
          <w:lang w:eastAsia="en-GB"/>
        </w:rPr>
        <w:drawing>
          <wp:inline distT="0" distB="0" distL="0" distR="0" wp14:anchorId="7EB4E0B0" wp14:editId="5F6C34F0">
            <wp:extent cx="5731510" cy="452374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Untitled6.png"/>
                    <pic:cNvPicPr/>
                  </pic:nvPicPr>
                  <pic:blipFill>
                    <a:blip r:embed="rId11">
                      <a:extLst>
                        <a:ext uri="{28A0092B-C50C-407E-A947-70E740481C1C}">
                          <a14:useLocalDpi xmlns:a14="http://schemas.microsoft.com/office/drawing/2010/main" val="0"/>
                        </a:ext>
                      </a:extLst>
                    </a:blip>
                    <a:stretch>
                      <a:fillRect/>
                    </a:stretch>
                  </pic:blipFill>
                  <pic:spPr>
                    <a:xfrm>
                      <a:off x="0" y="0"/>
                      <a:ext cx="5731510" cy="4523740"/>
                    </a:xfrm>
                    <a:prstGeom prst="rect">
                      <a:avLst/>
                    </a:prstGeom>
                  </pic:spPr>
                </pic:pic>
              </a:graphicData>
            </a:graphic>
          </wp:inline>
        </w:drawing>
      </w:r>
    </w:p>
    <w:p w:rsidR="006C7C3D" w:rsidRDefault="006C7C3D" w:rsidP="003658E5"/>
    <w:p w:rsidR="00F86AF4" w:rsidRPr="00D316E0" w:rsidRDefault="006C7C3D" w:rsidP="003658E5">
      <w:r>
        <w:t>I</w:t>
      </w:r>
      <w:r w:rsidR="00F86AF4" w:rsidRPr="00D316E0">
        <w:t>n the EU – During your schooling before the age of 18, did you experience negative comments or conduct at school because of you being L, G, B or T?</w:t>
      </w:r>
    </w:p>
    <w:p w:rsidR="00F86AF4" w:rsidRPr="00F86AF4" w:rsidRDefault="00F86AF4" w:rsidP="003658E5"/>
    <w:p w:rsidR="00957069" w:rsidRDefault="00957069" w:rsidP="003658E5">
      <w:pPr>
        <w:rPr>
          <w:rFonts w:eastAsiaTheme="majorEastAsia" w:cstheme="majorBidi"/>
          <w:b/>
          <w:color w:val="2E74B5" w:themeColor="accent1" w:themeShade="BF"/>
          <w:sz w:val="32"/>
          <w:szCs w:val="32"/>
        </w:rPr>
      </w:pPr>
    </w:p>
    <w:p w:rsidR="009400A5" w:rsidRPr="00D316E0" w:rsidRDefault="009400A5" w:rsidP="003658E5"/>
    <w:p w:rsidR="009400A5" w:rsidRDefault="00F86AF4" w:rsidP="009400A5">
      <w:pPr>
        <w:pStyle w:val="ListParagraph"/>
        <w:keepNext/>
        <w:keepLines/>
        <w:numPr>
          <w:ilvl w:val="0"/>
          <w:numId w:val="1"/>
        </w:numPr>
        <w:spacing w:after="160"/>
        <w:jc w:val="both"/>
        <w:outlineLvl w:val="0"/>
        <w:rPr>
          <w:rFonts w:eastAsiaTheme="majorEastAsia" w:cstheme="majorBidi"/>
          <w:b/>
          <w:color w:val="2E74B5" w:themeColor="accent1" w:themeShade="BF"/>
          <w:sz w:val="32"/>
          <w:szCs w:val="32"/>
          <w:lang w:val="en-GB"/>
        </w:rPr>
      </w:pPr>
      <w:bookmarkStart w:id="4" w:name="_Toc447537933"/>
      <w:bookmarkStart w:id="5" w:name="_Toc5872489"/>
      <w:r w:rsidRPr="00D316E0">
        <w:rPr>
          <w:noProof/>
          <w:lang w:val="en-GB" w:eastAsia="en-GB"/>
        </w:rPr>
        <w:drawing>
          <wp:anchor distT="0" distB="0" distL="114300" distR="114300" simplePos="0" relativeHeight="251661312" behindDoc="1" locked="0" layoutInCell="1" allowOverlap="1" wp14:anchorId="74352616" wp14:editId="004EFE96">
            <wp:simplePos x="0" y="0"/>
            <wp:positionH relativeFrom="margin">
              <wp:align>center</wp:align>
            </wp:positionH>
            <wp:positionV relativeFrom="paragraph">
              <wp:posOffset>-359</wp:posOffset>
            </wp:positionV>
            <wp:extent cx="4981575" cy="5327015"/>
            <wp:effectExtent l="0" t="0" r="9525" b="6985"/>
            <wp:wrapTight wrapText="bothSides">
              <wp:wrapPolygon edited="0">
                <wp:start x="0" y="0"/>
                <wp:lineTo x="0" y="21551"/>
                <wp:lineTo x="21559" y="21551"/>
                <wp:lineTo x="21559"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Untitled.png"/>
                    <pic:cNvPicPr/>
                  </pic:nvPicPr>
                  <pic:blipFill>
                    <a:blip r:embed="rId12">
                      <a:extLst>
                        <a:ext uri="{28A0092B-C50C-407E-A947-70E740481C1C}">
                          <a14:useLocalDpi xmlns:a14="http://schemas.microsoft.com/office/drawing/2010/main" val="0"/>
                        </a:ext>
                      </a:extLst>
                    </a:blip>
                    <a:stretch>
                      <a:fillRect/>
                    </a:stretch>
                  </pic:blipFill>
                  <pic:spPr bwMode="auto">
                    <a:xfrm>
                      <a:off x="0" y="0"/>
                      <a:ext cx="4981575" cy="53270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400A5" w:rsidRPr="00D316E0">
        <w:rPr>
          <w:rFonts w:eastAsiaTheme="majorEastAsia" w:cstheme="majorBidi"/>
          <w:b/>
          <w:color w:val="2E74B5" w:themeColor="accent1" w:themeShade="BF"/>
          <w:sz w:val="32"/>
          <w:szCs w:val="32"/>
          <w:lang w:val="en-GB"/>
        </w:rPr>
        <w:t>Annual reports</w:t>
      </w:r>
      <w:bookmarkEnd w:id="4"/>
      <w:bookmarkEnd w:id="5"/>
    </w:p>
    <w:p w:rsidR="00C65E84" w:rsidRPr="00D316E0" w:rsidRDefault="00C65E84" w:rsidP="00C65E84">
      <w:pPr>
        <w:pStyle w:val="ListParagraph"/>
        <w:keepNext/>
        <w:keepLines/>
        <w:spacing w:after="160"/>
        <w:jc w:val="both"/>
        <w:outlineLvl w:val="0"/>
        <w:rPr>
          <w:rFonts w:eastAsiaTheme="majorEastAsia" w:cstheme="majorBidi"/>
          <w:b/>
          <w:color w:val="2E74B5" w:themeColor="accent1" w:themeShade="BF"/>
          <w:sz w:val="32"/>
          <w:szCs w:val="32"/>
          <w:lang w:val="en-GB"/>
        </w:rPr>
      </w:pPr>
    </w:p>
    <w:p w:rsidR="009400A5" w:rsidRPr="00E6526E" w:rsidRDefault="00E6526E" w:rsidP="00E6526E">
      <w:pPr>
        <w:pStyle w:val="ListParagraph"/>
        <w:keepNext/>
        <w:keepLines/>
        <w:numPr>
          <w:ilvl w:val="1"/>
          <w:numId w:val="7"/>
        </w:numPr>
        <w:outlineLvl w:val="1"/>
        <w:rPr>
          <w:rFonts w:eastAsiaTheme="majorEastAsia" w:cstheme="majorBidi"/>
          <w:color w:val="2E74B5" w:themeColor="accent1" w:themeShade="BF"/>
          <w:sz w:val="26"/>
          <w:szCs w:val="26"/>
        </w:rPr>
      </w:pPr>
      <w:r>
        <w:rPr>
          <w:sz w:val="28"/>
        </w:rPr>
        <w:t xml:space="preserve"> </w:t>
      </w:r>
      <w:bookmarkStart w:id="6" w:name="_Toc5872490"/>
      <w:r w:rsidR="009400A5" w:rsidRPr="00E6526E">
        <w:rPr>
          <w:rFonts w:eastAsiaTheme="majorEastAsia" w:cstheme="majorBidi"/>
          <w:color w:val="2E74B5" w:themeColor="accent1" w:themeShade="BF"/>
          <w:sz w:val="28"/>
          <w:szCs w:val="26"/>
        </w:rPr>
        <w:t>Fundamental</w:t>
      </w:r>
      <w:r w:rsidR="009400A5" w:rsidRPr="00E6526E">
        <w:rPr>
          <w:rFonts w:eastAsiaTheme="majorEastAsia" w:cstheme="majorBidi"/>
          <w:color w:val="2E74B5" w:themeColor="accent1" w:themeShade="BF"/>
          <w:sz w:val="26"/>
          <w:szCs w:val="26"/>
        </w:rPr>
        <w:t xml:space="preserve"> Rights Report 2017 Report</w:t>
      </w:r>
      <w:bookmarkEnd w:id="6"/>
    </w:p>
    <w:p w:rsidR="009400A5" w:rsidRDefault="009400A5" w:rsidP="009400A5">
      <w:r w:rsidRPr="00D316E0">
        <w:t>For more detailed information:</w:t>
      </w:r>
      <w:r>
        <w:t xml:space="preserve"> </w:t>
      </w:r>
      <w:hyperlink r:id="rId13" w:anchor="child-rights" w:history="1">
        <w:r w:rsidRPr="00331907">
          <w:rPr>
            <w:rStyle w:val="Hyperlink"/>
          </w:rPr>
          <w:t>http://fra.europa.eu/en/publications-and-resources/publications/annual-reports/fundamental-rights-2017#child-rights</w:t>
        </w:r>
      </w:hyperlink>
      <w:r>
        <w:t xml:space="preserve"> </w:t>
      </w:r>
    </w:p>
    <w:p w:rsidR="002355D5" w:rsidRDefault="002355D5" w:rsidP="002355D5">
      <w:r>
        <w:t>“</w:t>
      </w:r>
      <w:r w:rsidRPr="002355D5">
        <w:t>In seven countries, the proportions of children at risk of poverty or social exclusion increased by 2–12 percentage points over time: Austria, Cyprus, France, Greece, Italy, Malta and Spain. In Greece, the increase over the 10-year period in question was around 12 percentage points.</w:t>
      </w:r>
      <w:r>
        <w:t xml:space="preserve"> </w:t>
      </w:r>
      <w:r w:rsidRPr="002355D5">
        <w:t>In most cases, this was not a continuous process.</w:t>
      </w:r>
      <w:r>
        <w:t>” (p. 176)</w:t>
      </w:r>
    </w:p>
    <w:p w:rsidR="002061B1" w:rsidRPr="002061B1" w:rsidRDefault="002061B1" w:rsidP="00390A4F">
      <w:pPr>
        <w:jc w:val="both"/>
      </w:pPr>
      <w:r w:rsidRPr="002061B1">
        <w:rPr>
          <w:noProof/>
          <w:lang w:eastAsia="en-GB"/>
        </w:rPr>
        <w:drawing>
          <wp:inline distT="0" distB="0" distL="0" distR="0">
            <wp:extent cx="4674413" cy="3478671"/>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58777" cy="3541455"/>
                    </a:xfrm>
                    <a:prstGeom prst="rect">
                      <a:avLst/>
                    </a:prstGeom>
                    <a:noFill/>
                    <a:ln>
                      <a:noFill/>
                    </a:ln>
                  </pic:spPr>
                </pic:pic>
              </a:graphicData>
            </a:graphic>
          </wp:inline>
        </w:drawing>
      </w:r>
      <w:r w:rsidRPr="002061B1">
        <w:t xml:space="preserve"> (p. 176)</w:t>
      </w:r>
    </w:p>
    <w:p w:rsidR="009400A5" w:rsidRDefault="009400A5" w:rsidP="00E6526E">
      <w:pPr>
        <w:pStyle w:val="ListParagraph"/>
        <w:keepNext/>
        <w:keepLines/>
        <w:numPr>
          <w:ilvl w:val="0"/>
          <w:numId w:val="7"/>
        </w:numPr>
        <w:spacing w:after="160"/>
        <w:outlineLvl w:val="0"/>
        <w:rPr>
          <w:rFonts w:eastAsiaTheme="majorEastAsia" w:cstheme="majorBidi"/>
          <w:b/>
          <w:color w:val="2E74B5" w:themeColor="accent1" w:themeShade="BF"/>
          <w:sz w:val="32"/>
          <w:szCs w:val="32"/>
          <w:lang w:val="en-GB"/>
        </w:rPr>
      </w:pPr>
      <w:bookmarkStart w:id="7" w:name="_Toc447537936"/>
      <w:bookmarkStart w:id="8" w:name="_Toc5872491"/>
      <w:r w:rsidRPr="00D316E0">
        <w:rPr>
          <w:rFonts w:eastAsiaTheme="majorEastAsia" w:cstheme="majorBidi"/>
          <w:b/>
          <w:color w:val="2E74B5" w:themeColor="accent1" w:themeShade="BF"/>
          <w:sz w:val="32"/>
          <w:szCs w:val="32"/>
          <w:lang w:val="en-GB"/>
        </w:rPr>
        <w:t>Thematic reports</w:t>
      </w:r>
      <w:bookmarkEnd w:id="7"/>
      <w:bookmarkEnd w:id="8"/>
    </w:p>
    <w:p w:rsidR="005F142B" w:rsidRDefault="005F142B" w:rsidP="00E6526E">
      <w:pPr>
        <w:pStyle w:val="Heading2"/>
        <w:numPr>
          <w:ilvl w:val="1"/>
          <w:numId w:val="7"/>
        </w:numPr>
      </w:pPr>
      <w:bookmarkStart w:id="9" w:name="_Toc5872492"/>
      <w:r w:rsidRPr="005F142B">
        <w:t>Combating child poverty: an issue of fundamental rights</w:t>
      </w:r>
      <w:r w:rsidR="007B4C76">
        <w:t xml:space="preserve"> (2018)</w:t>
      </w:r>
      <w:bookmarkEnd w:id="9"/>
    </w:p>
    <w:p w:rsidR="006C3678" w:rsidRPr="006C3678" w:rsidRDefault="006C3678" w:rsidP="006C3678">
      <w:pPr>
        <w:rPr>
          <w:lang w:val="en-US"/>
        </w:rPr>
      </w:pPr>
    </w:p>
    <w:p w:rsidR="005F142B" w:rsidRDefault="005F142B" w:rsidP="006C3678">
      <w:r>
        <w:t xml:space="preserve">For more detailed information: </w:t>
      </w:r>
      <w:hyperlink r:id="rId15" w:history="1">
        <w:r w:rsidRPr="00F16132">
          <w:rPr>
            <w:rStyle w:val="Hyperlink"/>
          </w:rPr>
          <w:t>https://fra.europa.eu/en/publication/2018/child-poverty</w:t>
        </w:r>
      </w:hyperlink>
      <w:r>
        <w:t xml:space="preserve"> </w:t>
      </w:r>
    </w:p>
    <w:p w:rsidR="00326EA6" w:rsidRPr="005F142B" w:rsidRDefault="00326EA6" w:rsidP="006C3678">
      <w:r>
        <w:rPr>
          <w:noProof/>
          <w:lang w:eastAsia="en-GB"/>
        </w:rPr>
        <w:drawing>
          <wp:inline distT="0" distB="0" distL="0" distR="0">
            <wp:extent cx="5731510" cy="579882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Untitled.png"/>
                    <pic:cNvPicPr/>
                  </pic:nvPicPr>
                  <pic:blipFill>
                    <a:blip r:embed="rId16">
                      <a:extLst>
                        <a:ext uri="{28A0092B-C50C-407E-A947-70E740481C1C}">
                          <a14:useLocalDpi xmlns:a14="http://schemas.microsoft.com/office/drawing/2010/main" val="0"/>
                        </a:ext>
                      </a:extLst>
                    </a:blip>
                    <a:stretch>
                      <a:fillRect/>
                    </a:stretch>
                  </pic:blipFill>
                  <pic:spPr>
                    <a:xfrm>
                      <a:off x="0" y="0"/>
                      <a:ext cx="5731510" cy="5798820"/>
                    </a:xfrm>
                    <a:prstGeom prst="rect">
                      <a:avLst/>
                    </a:prstGeom>
                  </pic:spPr>
                </pic:pic>
              </a:graphicData>
            </a:graphic>
          </wp:inline>
        </w:drawing>
      </w:r>
    </w:p>
    <w:p w:rsidR="005F142B" w:rsidRDefault="00E6526E" w:rsidP="009400A5">
      <w:pPr>
        <w:keepNext/>
        <w:keepLines/>
        <w:spacing w:line="240" w:lineRule="auto"/>
        <w:outlineLvl w:val="1"/>
        <w:rPr>
          <w:rFonts w:eastAsiaTheme="majorEastAsia" w:cstheme="majorBidi"/>
          <w:color w:val="2E74B5" w:themeColor="accent1" w:themeShade="BF"/>
          <w:sz w:val="26"/>
          <w:szCs w:val="26"/>
        </w:rPr>
      </w:pPr>
      <w:bookmarkStart w:id="10" w:name="_Toc5872493"/>
      <w:bookmarkStart w:id="11" w:name="_Toc447537937"/>
      <w:r>
        <w:rPr>
          <w:rFonts w:eastAsiaTheme="majorEastAsia" w:cstheme="majorBidi"/>
          <w:color w:val="2E74B5" w:themeColor="accent1" w:themeShade="BF"/>
          <w:sz w:val="26"/>
          <w:szCs w:val="26"/>
        </w:rPr>
        <w:t>3</w:t>
      </w:r>
      <w:r w:rsidR="006C3678">
        <w:rPr>
          <w:rFonts w:eastAsiaTheme="majorEastAsia" w:cstheme="majorBidi"/>
          <w:color w:val="2E74B5" w:themeColor="accent1" w:themeShade="BF"/>
          <w:sz w:val="26"/>
          <w:szCs w:val="26"/>
        </w:rPr>
        <w:t>.2</w:t>
      </w:r>
      <w:r w:rsidR="0097112F">
        <w:rPr>
          <w:rFonts w:eastAsiaTheme="majorEastAsia" w:cstheme="majorBidi"/>
          <w:color w:val="2E74B5" w:themeColor="accent1" w:themeShade="BF"/>
          <w:sz w:val="26"/>
          <w:szCs w:val="26"/>
        </w:rPr>
        <w:t xml:space="preserve"> </w:t>
      </w:r>
      <w:r w:rsidR="0097112F" w:rsidRPr="0097112F">
        <w:rPr>
          <w:rFonts w:eastAsiaTheme="majorEastAsia" w:cstheme="majorBidi"/>
          <w:color w:val="2E74B5" w:themeColor="accent1" w:themeShade="BF"/>
          <w:sz w:val="26"/>
          <w:szCs w:val="26"/>
        </w:rPr>
        <w:t>European legal and policy framework on immigration detention of children</w:t>
      </w:r>
      <w:r w:rsidR="0097112F">
        <w:rPr>
          <w:rFonts w:eastAsiaTheme="majorEastAsia" w:cstheme="majorBidi"/>
          <w:color w:val="2E74B5" w:themeColor="accent1" w:themeShade="BF"/>
          <w:sz w:val="26"/>
          <w:szCs w:val="26"/>
        </w:rPr>
        <w:t xml:space="preserve"> (2017)</w:t>
      </w:r>
      <w:bookmarkEnd w:id="10"/>
    </w:p>
    <w:p w:rsidR="0097112F" w:rsidRDefault="0097112F" w:rsidP="0097112F">
      <w:r>
        <w:t xml:space="preserve">For more detailed information: </w:t>
      </w:r>
      <w:hyperlink r:id="rId17" w:history="1">
        <w:r w:rsidRPr="00F16132">
          <w:rPr>
            <w:rStyle w:val="Hyperlink"/>
          </w:rPr>
          <w:t>https://fra.europa.eu/en/publication/2017/child-migrant-detention</w:t>
        </w:r>
      </w:hyperlink>
      <w:r>
        <w:t xml:space="preserve"> </w:t>
      </w:r>
    </w:p>
    <w:p w:rsidR="0097112F" w:rsidRDefault="00741D9C" w:rsidP="0097112F">
      <w:pPr>
        <w:jc w:val="both"/>
      </w:pPr>
      <w:r>
        <w:t>“</w:t>
      </w:r>
      <w:r w:rsidRPr="00741D9C">
        <w:t>In Malta, the Immigration Appeals Board automatically reviews the detention order imposed upon an asylum applicant after seven working days, although this period can be extended by additional seven working days for duly justified reasons. If the applicant remains in detention, further reviews are conducted every two months.</w:t>
      </w:r>
      <w:r>
        <w:t>” (p. 61)</w:t>
      </w:r>
    </w:p>
    <w:p w:rsidR="00741D9C" w:rsidRDefault="00741D9C" w:rsidP="00741D9C">
      <w:pPr>
        <w:jc w:val="both"/>
      </w:pPr>
      <w:r>
        <w:t>“</w:t>
      </w:r>
      <w:r w:rsidRPr="00741D9C">
        <w:t>Most Member States provide internal or external mechanisms, or both. Internal complaint mechanisms take various forms. In Finland, Hungary and Malta, complaints can be addressed to the Director or Head of the detention facility.</w:t>
      </w:r>
      <w:r>
        <w:t xml:space="preserve">” (p. </w:t>
      </w:r>
      <w:r w:rsidR="003D4697">
        <w:t>93)</w:t>
      </w:r>
    </w:p>
    <w:p w:rsidR="009F4A13" w:rsidRDefault="00741D9C" w:rsidP="003D4697">
      <w:pPr>
        <w:jc w:val="both"/>
      </w:pPr>
      <w:r w:rsidRPr="00741D9C">
        <w:t xml:space="preserve"> </w:t>
      </w:r>
    </w:p>
    <w:p w:rsidR="000669AD" w:rsidRDefault="00E6526E" w:rsidP="000669AD">
      <w:pPr>
        <w:keepNext/>
        <w:keepLines/>
        <w:spacing w:line="240" w:lineRule="auto"/>
        <w:outlineLvl w:val="1"/>
        <w:rPr>
          <w:rFonts w:eastAsiaTheme="majorEastAsia" w:cstheme="majorBidi"/>
          <w:color w:val="2E74B5" w:themeColor="accent1" w:themeShade="BF"/>
          <w:sz w:val="26"/>
          <w:szCs w:val="26"/>
        </w:rPr>
      </w:pPr>
      <w:bookmarkStart w:id="12" w:name="_Toc5872494"/>
      <w:r>
        <w:rPr>
          <w:rFonts w:eastAsiaTheme="majorEastAsia" w:cstheme="majorBidi"/>
          <w:color w:val="2E74B5" w:themeColor="accent1" w:themeShade="BF"/>
          <w:sz w:val="26"/>
          <w:szCs w:val="26"/>
        </w:rPr>
        <w:t>3</w:t>
      </w:r>
      <w:r w:rsidR="000669AD">
        <w:rPr>
          <w:rFonts w:eastAsiaTheme="majorEastAsia" w:cstheme="majorBidi"/>
          <w:color w:val="2E74B5" w:themeColor="accent1" w:themeShade="BF"/>
          <w:sz w:val="26"/>
          <w:szCs w:val="26"/>
        </w:rPr>
        <w:t>.3 Violence against women: an EU-wide survey</w:t>
      </w:r>
      <w:r w:rsidR="00A92625">
        <w:rPr>
          <w:rFonts w:eastAsiaTheme="majorEastAsia" w:cstheme="majorBidi"/>
          <w:color w:val="2E74B5" w:themeColor="accent1" w:themeShade="BF"/>
          <w:sz w:val="26"/>
          <w:szCs w:val="26"/>
        </w:rPr>
        <w:t xml:space="preserve"> (2014)</w:t>
      </w:r>
      <w:bookmarkEnd w:id="12"/>
    </w:p>
    <w:p w:rsidR="000669AD" w:rsidRDefault="000669AD" w:rsidP="00EE64D9">
      <w:pPr>
        <w:rPr>
          <w:rFonts w:eastAsiaTheme="majorEastAsia" w:cstheme="majorBidi"/>
          <w:color w:val="2E74B5" w:themeColor="accent1" w:themeShade="BF"/>
          <w:sz w:val="26"/>
          <w:szCs w:val="26"/>
        </w:rPr>
      </w:pPr>
      <w:r w:rsidRPr="00442091">
        <w:rPr>
          <w:bCs/>
        </w:rPr>
        <w:t>For more detailed information:</w:t>
      </w:r>
      <w:r>
        <w:rPr>
          <w:bCs/>
        </w:rPr>
        <w:t xml:space="preserve">  </w:t>
      </w:r>
      <w:hyperlink r:id="rId18" w:history="1">
        <w:r>
          <w:rPr>
            <w:rStyle w:val="Hyperlink"/>
          </w:rPr>
          <w:t>https://fra.europa.eu/en/publication/2014/violence-against-women-eu-wide-survey-main-results-report</w:t>
        </w:r>
      </w:hyperlink>
      <w:r w:rsidR="00904A93">
        <w:t xml:space="preserve"> </w:t>
      </w:r>
    </w:p>
    <w:p w:rsidR="000669AD" w:rsidRDefault="000669AD" w:rsidP="00EE64D9">
      <w:pPr>
        <w:rPr>
          <w:bCs/>
        </w:rPr>
      </w:pPr>
      <w:r>
        <w:rPr>
          <w:bCs/>
        </w:rPr>
        <w:t>“</w:t>
      </w:r>
      <w:r w:rsidRPr="000669AD">
        <w:rPr>
          <w:bCs/>
        </w:rPr>
        <w:t>In Malta, a 2011 report on the findings from a survey of 1,200 female respondents found that 16 % said they had experienced physical violence, sexual violence or both by a current or former partner since the age of 15.8 The FRA survey found that 15 % of women in Malta have experienced physical and/or sexual violence by a current or a previous partner since the age of 15.</w:t>
      </w:r>
      <w:r>
        <w:rPr>
          <w:bCs/>
        </w:rPr>
        <w:t>” (p. 24)</w:t>
      </w:r>
    </w:p>
    <w:p w:rsidR="000669AD" w:rsidRPr="000669AD" w:rsidRDefault="000669AD" w:rsidP="00EE64D9">
      <w:pPr>
        <w:rPr>
          <w:bCs/>
        </w:rPr>
      </w:pPr>
      <w:r>
        <w:rPr>
          <w:rFonts w:ascii="DaxlinePro-Regular" w:hAnsi="DaxlinePro-Regular" w:cs="DaxlinePro-Regular"/>
          <w:sz w:val="18"/>
          <w:szCs w:val="18"/>
          <w:lang w:val="hu-HU"/>
        </w:rPr>
        <w:t>„</w:t>
      </w:r>
      <w:r w:rsidRPr="000669AD">
        <w:rPr>
          <w:bCs/>
        </w:rPr>
        <w:t>However, a number of EU Member States have not fully banned corporal punishment to protect children from physical violence within the family or in institutions (including Malta).” (p. 126)</w:t>
      </w:r>
    </w:p>
    <w:p w:rsidR="000669AD" w:rsidRDefault="000669AD" w:rsidP="00EE64D9"/>
    <w:p w:rsidR="000669AD" w:rsidRDefault="000669AD" w:rsidP="00EE64D9">
      <w:r>
        <w:rPr>
          <w:noProof/>
          <w:lang w:eastAsia="en-GB"/>
        </w:rPr>
        <w:drawing>
          <wp:inline distT="0" distB="0" distL="0" distR="0">
            <wp:extent cx="4038600" cy="3898900"/>
            <wp:effectExtent l="0" t="0" r="0" b="6350"/>
            <wp:docPr id="3" name="Kép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évtelen.png"/>
                    <pic:cNvPicPr/>
                  </pic:nvPicPr>
                  <pic:blipFill rotWithShape="1">
                    <a:blip r:embed="rId19">
                      <a:extLst>
                        <a:ext uri="{28A0092B-C50C-407E-A947-70E740481C1C}">
                          <a14:useLocalDpi xmlns:a14="http://schemas.microsoft.com/office/drawing/2010/main" val="0"/>
                        </a:ext>
                      </a:extLst>
                    </a:blip>
                    <a:srcRect r="29537" b="7585"/>
                    <a:stretch/>
                  </pic:blipFill>
                  <pic:spPr bwMode="auto">
                    <a:xfrm>
                      <a:off x="0" y="0"/>
                      <a:ext cx="4038600" cy="3898900"/>
                    </a:xfrm>
                    <a:prstGeom prst="rect">
                      <a:avLst/>
                    </a:prstGeom>
                    <a:ln>
                      <a:noFill/>
                    </a:ln>
                    <a:extLst>
                      <a:ext uri="{53640926-AAD7-44D8-BBD7-CCE9431645EC}">
                        <a14:shadowObscured xmlns:a14="http://schemas.microsoft.com/office/drawing/2010/main"/>
                      </a:ext>
                    </a:extLst>
                  </pic:spPr>
                </pic:pic>
              </a:graphicData>
            </a:graphic>
          </wp:inline>
        </w:drawing>
      </w:r>
    </w:p>
    <w:p w:rsidR="00BF4781" w:rsidRDefault="00BF4781" w:rsidP="00EE64D9">
      <w:r>
        <w:rPr>
          <w:noProof/>
          <w:lang w:eastAsia="en-GB"/>
        </w:rPr>
        <w:drawing>
          <wp:inline distT="0" distB="0" distL="0" distR="0" wp14:anchorId="174D9304" wp14:editId="160DC17E">
            <wp:extent cx="4279900" cy="3796030"/>
            <wp:effectExtent l="0" t="0" r="6350" b="0"/>
            <wp:docPr id="10" name="Kép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orszag.png"/>
                    <pic:cNvPicPr/>
                  </pic:nvPicPr>
                  <pic:blipFill rotWithShape="1">
                    <a:blip r:embed="rId20">
                      <a:extLst>
                        <a:ext uri="{28A0092B-C50C-407E-A947-70E740481C1C}">
                          <a14:useLocalDpi xmlns:a14="http://schemas.microsoft.com/office/drawing/2010/main" val="0"/>
                        </a:ext>
                      </a:extLst>
                    </a:blip>
                    <a:srcRect r="25327"/>
                    <a:stretch/>
                  </pic:blipFill>
                  <pic:spPr bwMode="auto">
                    <a:xfrm>
                      <a:off x="0" y="0"/>
                      <a:ext cx="4279900" cy="3796030"/>
                    </a:xfrm>
                    <a:prstGeom prst="rect">
                      <a:avLst/>
                    </a:prstGeom>
                    <a:ln>
                      <a:noFill/>
                    </a:ln>
                    <a:extLst>
                      <a:ext uri="{53640926-AAD7-44D8-BBD7-CCE9431645EC}">
                        <a14:shadowObscured xmlns:a14="http://schemas.microsoft.com/office/drawing/2010/main"/>
                      </a:ext>
                    </a:extLst>
                  </pic:spPr>
                </pic:pic>
              </a:graphicData>
            </a:graphic>
          </wp:inline>
        </w:drawing>
      </w:r>
    </w:p>
    <w:p w:rsidR="00BF4781" w:rsidRDefault="00BF4781" w:rsidP="00EE64D9">
      <w:r>
        <w:rPr>
          <w:noProof/>
          <w:lang w:eastAsia="en-GB"/>
        </w:rPr>
        <w:drawing>
          <wp:inline distT="0" distB="0" distL="0" distR="0" wp14:anchorId="423F9E68" wp14:editId="1DACD672">
            <wp:extent cx="4343400" cy="374650"/>
            <wp:effectExtent l="0" t="0" r="0" b="6350"/>
            <wp:docPr id="12" name="Kép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under.png"/>
                    <pic:cNvPicPr/>
                  </pic:nvPicPr>
                  <pic:blipFill rotWithShape="1">
                    <a:blip r:embed="rId21">
                      <a:extLst>
                        <a:ext uri="{28A0092B-C50C-407E-A947-70E740481C1C}">
                          <a14:useLocalDpi xmlns:a14="http://schemas.microsoft.com/office/drawing/2010/main" val="0"/>
                        </a:ext>
                      </a:extLst>
                    </a:blip>
                    <a:srcRect t="9060" r="31199" b="79319"/>
                    <a:stretch/>
                  </pic:blipFill>
                  <pic:spPr bwMode="auto">
                    <a:xfrm>
                      <a:off x="0" y="0"/>
                      <a:ext cx="4343400" cy="374650"/>
                    </a:xfrm>
                    <a:prstGeom prst="rect">
                      <a:avLst/>
                    </a:prstGeom>
                    <a:ln>
                      <a:noFill/>
                    </a:ln>
                    <a:extLst>
                      <a:ext uri="{53640926-AAD7-44D8-BBD7-CCE9431645EC}">
                        <a14:shadowObscured xmlns:a14="http://schemas.microsoft.com/office/drawing/2010/main"/>
                      </a:ext>
                    </a:extLst>
                  </pic:spPr>
                </pic:pic>
              </a:graphicData>
            </a:graphic>
          </wp:inline>
        </w:drawing>
      </w:r>
    </w:p>
    <w:p w:rsidR="00BF4781" w:rsidRDefault="00BF4781" w:rsidP="00EE64D9">
      <w:r>
        <w:rPr>
          <w:noProof/>
          <w:lang w:eastAsia="en-GB"/>
        </w:rPr>
        <w:drawing>
          <wp:inline distT="0" distB="0" distL="0" distR="0" wp14:anchorId="1F5A3A2B" wp14:editId="63764388">
            <wp:extent cx="4394200" cy="412750"/>
            <wp:effectExtent l="0" t="0" r="6350" b="6350"/>
            <wp:docPr id="11" name="Kép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headline.png"/>
                    <pic:cNvPicPr/>
                  </pic:nvPicPr>
                  <pic:blipFill rotWithShape="1">
                    <a:blip r:embed="rId22">
                      <a:extLst>
                        <a:ext uri="{28A0092B-C50C-407E-A947-70E740481C1C}">
                          <a14:useLocalDpi xmlns:a14="http://schemas.microsoft.com/office/drawing/2010/main" val="0"/>
                        </a:ext>
                      </a:extLst>
                    </a:blip>
                    <a:srcRect t="3348" r="23333" b="83849"/>
                    <a:stretch/>
                  </pic:blipFill>
                  <pic:spPr bwMode="auto">
                    <a:xfrm>
                      <a:off x="0" y="0"/>
                      <a:ext cx="4394200" cy="412750"/>
                    </a:xfrm>
                    <a:prstGeom prst="rect">
                      <a:avLst/>
                    </a:prstGeom>
                    <a:ln>
                      <a:noFill/>
                    </a:ln>
                    <a:extLst>
                      <a:ext uri="{53640926-AAD7-44D8-BBD7-CCE9431645EC}">
                        <a14:shadowObscured xmlns:a14="http://schemas.microsoft.com/office/drawing/2010/main"/>
                      </a:ext>
                    </a:extLst>
                  </pic:spPr>
                </pic:pic>
              </a:graphicData>
            </a:graphic>
          </wp:inline>
        </w:drawing>
      </w:r>
    </w:p>
    <w:p w:rsidR="00AD27BD" w:rsidRDefault="00E6526E" w:rsidP="00AD27BD">
      <w:pPr>
        <w:keepNext/>
        <w:keepLines/>
        <w:spacing w:line="240" w:lineRule="auto"/>
        <w:outlineLvl w:val="1"/>
        <w:rPr>
          <w:rFonts w:eastAsiaTheme="majorEastAsia" w:cstheme="majorBidi"/>
          <w:color w:val="2E74B5" w:themeColor="accent1" w:themeShade="BF"/>
          <w:sz w:val="26"/>
          <w:szCs w:val="26"/>
        </w:rPr>
      </w:pPr>
      <w:bookmarkStart w:id="13" w:name="_Toc5872495"/>
      <w:r>
        <w:rPr>
          <w:rFonts w:eastAsiaTheme="majorEastAsia" w:cstheme="majorBidi"/>
          <w:color w:val="2E74B5" w:themeColor="accent1" w:themeShade="BF"/>
          <w:sz w:val="26"/>
          <w:szCs w:val="26"/>
        </w:rPr>
        <w:t>3</w:t>
      </w:r>
      <w:r w:rsidR="00AD27BD">
        <w:rPr>
          <w:rFonts w:eastAsiaTheme="majorEastAsia" w:cstheme="majorBidi"/>
          <w:color w:val="2E74B5" w:themeColor="accent1" w:themeShade="BF"/>
          <w:sz w:val="26"/>
          <w:szCs w:val="26"/>
        </w:rPr>
        <w:t>.4 EU LGBT Survey – European Union lesbian, gay, bisexual and transgender survey</w:t>
      </w:r>
      <w:r w:rsidR="00A92625">
        <w:rPr>
          <w:rFonts w:eastAsiaTheme="majorEastAsia" w:cstheme="majorBidi"/>
          <w:color w:val="2E74B5" w:themeColor="accent1" w:themeShade="BF"/>
          <w:sz w:val="26"/>
          <w:szCs w:val="26"/>
        </w:rPr>
        <w:t xml:space="preserve"> (2012)</w:t>
      </w:r>
      <w:bookmarkEnd w:id="13"/>
    </w:p>
    <w:p w:rsidR="00AD27BD" w:rsidRDefault="00AD27BD" w:rsidP="00EE64D9">
      <w:r w:rsidRPr="00442091">
        <w:rPr>
          <w:bCs/>
        </w:rPr>
        <w:t>For more detailed information:</w:t>
      </w:r>
      <w:r>
        <w:rPr>
          <w:bCs/>
        </w:rPr>
        <w:t xml:space="preserve">  </w:t>
      </w:r>
      <w:hyperlink r:id="rId23" w:history="1">
        <w:r>
          <w:rPr>
            <w:rStyle w:val="Hyperlink"/>
          </w:rPr>
          <w:t>https://fra.europa.eu/en/publication/2014/eu-lgbt-survey-european-union-lesbian-gay-bisexual-and-transgender-survey-main</w:t>
        </w:r>
      </w:hyperlink>
      <w:r w:rsidR="001478E5">
        <w:rPr>
          <w:rStyle w:val="Hyperlink"/>
        </w:rPr>
        <w:t xml:space="preserve"> </w:t>
      </w:r>
    </w:p>
    <w:p w:rsidR="00AD27BD" w:rsidRPr="0065773A" w:rsidRDefault="00AD27BD" w:rsidP="00EE64D9">
      <w:r w:rsidRPr="0065773A">
        <w:t xml:space="preserve">“Overall, one in eight respondents lives with a child under the age of 18. Gay men are less than half as likely as any of the other LGBT groups to have a child living in their household. The proportion of survey participants living in </w:t>
      </w:r>
      <w:r w:rsidRPr="0065773A">
        <w:t>a household with at least one child under the age of 18 ranges from 17 % in the Czech Republic, Ire</w:t>
      </w:r>
      <w:r w:rsidRPr="0065773A">
        <w:softHyphen/>
        <w:t>land, Malta and Slovakia to 9 % in Austria, Germany, Greece and the Netherlands.” (p. 136)</w:t>
      </w:r>
    </w:p>
    <w:p w:rsidR="00AD27BD" w:rsidRDefault="00AD27BD" w:rsidP="00EE64D9">
      <w:pPr>
        <w:rPr>
          <w:rFonts w:eastAsiaTheme="majorEastAsia" w:cstheme="majorBidi"/>
          <w:color w:val="2E74B5" w:themeColor="accent1" w:themeShade="BF"/>
          <w:sz w:val="26"/>
          <w:szCs w:val="26"/>
        </w:rPr>
      </w:pPr>
      <w:r>
        <w:rPr>
          <w:rFonts w:eastAsiaTheme="majorEastAsia" w:cstheme="majorBidi"/>
          <w:noProof/>
          <w:color w:val="2E74B5" w:themeColor="accent1" w:themeShade="BF"/>
          <w:sz w:val="26"/>
          <w:szCs w:val="26"/>
          <w:lang w:eastAsia="en-GB"/>
        </w:rPr>
        <w:drawing>
          <wp:inline distT="0" distB="0" distL="0" distR="0">
            <wp:extent cx="5731510" cy="3701415"/>
            <wp:effectExtent l="0" t="0" r="2540" b="0"/>
            <wp:docPr id="4" name="Kép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gbti.png"/>
                    <pic:cNvPicPr/>
                  </pic:nvPicPr>
                  <pic:blipFill>
                    <a:blip r:embed="rId24">
                      <a:extLst>
                        <a:ext uri="{28A0092B-C50C-407E-A947-70E740481C1C}">
                          <a14:useLocalDpi xmlns:a14="http://schemas.microsoft.com/office/drawing/2010/main" val="0"/>
                        </a:ext>
                      </a:extLst>
                    </a:blip>
                    <a:stretch>
                      <a:fillRect/>
                    </a:stretch>
                  </pic:blipFill>
                  <pic:spPr>
                    <a:xfrm>
                      <a:off x="0" y="0"/>
                      <a:ext cx="5731510" cy="3701415"/>
                    </a:xfrm>
                    <a:prstGeom prst="rect">
                      <a:avLst/>
                    </a:prstGeom>
                  </pic:spPr>
                </pic:pic>
              </a:graphicData>
            </a:graphic>
          </wp:inline>
        </w:drawing>
      </w:r>
    </w:p>
    <w:p w:rsidR="0012496A" w:rsidRDefault="00E6526E" w:rsidP="0012496A">
      <w:pPr>
        <w:keepNext/>
        <w:keepLines/>
        <w:spacing w:line="240" w:lineRule="auto"/>
        <w:outlineLvl w:val="1"/>
        <w:rPr>
          <w:rFonts w:eastAsiaTheme="majorEastAsia" w:cstheme="majorBidi"/>
          <w:color w:val="2E74B5" w:themeColor="accent1" w:themeShade="BF"/>
          <w:sz w:val="26"/>
          <w:szCs w:val="26"/>
        </w:rPr>
      </w:pPr>
      <w:bookmarkStart w:id="14" w:name="_Toc5872496"/>
      <w:r>
        <w:rPr>
          <w:rFonts w:eastAsiaTheme="majorEastAsia" w:cstheme="majorBidi"/>
          <w:color w:val="2E74B5" w:themeColor="accent1" w:themeShade="BF"/>
          <w:sz w:val="26"/>
          <w:szCs w:val="26"/>
        </w:rPr>
        <w:t>3</w:t>
      </w:r>
      <w:r w:rsidR="00391F48">
        <w:rPr>
          <w:rFonts w:eastAsiaTheme="majorEastAsia" w:cstheme="majorBidi"/>
          <w:color w:val="2E74B5" w:themeColor="accent1" w:themeShade="BF"/>
          <w:sz w:val="26"/>
          <w:szCs w:val="26"/>
        </w:rPr>
        <w:t>.5</w:t>
      </w:r>
      <w:r w:rsidR="0012496A">
        <w:rPr>
          <w:rFonts w:eastAsiaTheme="majorEastAsia" w:cstheme="majorBidi"/>
          <w:color w:val="2E74B5" w:themeColor="accent1" w:themeShade="BF"/>
          <w:sz w:val="26"/>
          <w:szCs w:val="26"/>
        </w:rPr>
        <w:t xml:space="preserve"> Second European Union Minorities and Discrimination Survey</w:t>
      </w:r>
      <w:r w:rsidR="00A92625">
        <w:rPr>
          <w:rFonts w:eastAsiaTheme="majorEastAsia" w:cstheme="majorBidi"/>
          <w:color w:val="2E74B5" w:themeColor="accent1" w:themeShade="BF"/>
          <w:sz w:val="26"/>
          <w:szCs w:val="26"/>
        </w:rPr>
        <w:t xml:space="preserve"> (2016)</w:t>
      </w:r>
      <w:bookmarkEnd w:id="14"/>
    </w:p>
    <w:p w:rsidR="00860D79" w:rsidRPr="00860D79" w:rsidRDefault="00860D79" w:rsidP="00EE64D9">
      <w:r w:rsidRPr="00442091">
        <w:t>For more detailed information:</w:t>
      </w:r>
      <w:r>
        <w:t xml:space="preserve"> </w:t>
      </w:r>
      <w:hyperlink r:id="rId25" w:history="1">
        <w:r w:rsidRPr="00F70370">
          <w:rPr>
            <w:rStyle w:val="Hyperlink"/>
            <w:bCs/>
          </w:rPr>
          <w:t>https://fra.europa.eu/en/publication/2017/eumidis-ii-main-results</w:t>
        </w:r>
      </w:hyperlink>
      <w:r w:rsidR="0012496A">
        <w:rPr>
          <w:rFonts w:cs="DaxlinePro"/>
          <w:color w:val="000000"/>
          <w:sz w:val="18"/>
          <w:szCs w:val="18"/>
        </w:rPr>
        <w:t xml:space="preserve"> </w:t>
      </w:r>
    </w:p>
    <w:p w:rsidR="0012496A" w:rsidRDefault="0012496A" w:rsidP="00EE64D9">
      <w:r>
        <w:rPr>
          <w:rFonts w:cs="DaxlinePro"/>
          <w:color w:val="000000"/>
          <w:sz w:val="18"/>
          <w:szCs w:val="18"/>
        </w:rPr>
        <w:t>“</w:t>
      </w:r>
      <w:r w:rsidRPr="0092592A">
        <w:t>Among respondents who are immigrants or descend</w:t>
      </w:r>
      <w:r w:rsidRPr="0092592A">
        <w:softHyphen/>
        <w:t>ants of immigrants, 7 % have a wife, husband or chil</w:t>
      </w:r>
      <w:r w:rsidRPr="0092592A">
        <w:softHyphen/>
        <w:t>dren living outside the country in which they live. The percentage of those with family outside the coun</w:t>
      </w:r>
      <w:r w:rsidRPr="0092592A">
        <w:softHyphen/>
        <w:t>try is higher among groups with recent immigration histories, particularly among immigrants from South Asia in Greece (44 %) and immigrants from Asia in Cyprus (29 %). Among recent immigrants in Slovenia, one in five has family outside the country (21 %). The same rate can be found among immigrants from Sub- Saharan Africa in several countries, including Italy, Lux</w:t>
      </w:r>
      <w:r w:rsidRPr="0092592A">
        <w:softHyphen/>
        <w:t>embourg, Malta and Austria (19–20 %).” (p. 86)</w:t>
      </w:r>
    </w:p>
    <w:p w:rsidR="008235D0" w:rsidRDefault="008235D0" w:rsidP="00EE64D9"/>
    <w:p w:rsidR="00391F48" w:rsidRPr="00391F48" w:rsidRDefault="00E6526E" w:rsidP="00391F48">
      <w:pPr>
        <w:keepNext/>
        <w:keepLines/>
        <w:spacing w:line="240" w:lineRule="auto"/>
        <w:outlineLvl w:val="1"/>
        <w:rPr>
          <w:rFonts w:eastAsiaTheme="majorEastAsia" w:cstheme="majorBidi"/>
          <w:color w:val="2E74B5" w:themeColor="accent1" w:themeShade="BF"/>
          <w:sz w:val="26"/>
          <w:szCs w:val="26"/>
        </w:rPr>
      </w:pPr>
      <w:bookmarkStart w:id="15" w:name="_Toc5872497"/>
      <w:r>
        <w:rPr>
          <w:rFonts w:eastAsiaTheme="majorEastAsia" w:cstheme="majorBidi"/>
          <w:color w:val="2E74B5" w:themeColor="accent1" w:themeShade="BF"/>
          <w:sz w:val="26"/>
          <w:szCs w:val="26"/>
        </w:rPr>
        <w:t>3</w:t>
      </w:r>
      <w:r w:rsidR="00391F48">
        <w:rPr>
          <w:rFonts w:eastAsiaTheme="majorEastAsia" w:cstheme="majorBidi"/>
          <w:color w:val="2E74B5" w:themeColor="accent1" w:themeShade="BF"/>
          <w:sz w:val="26"/>
          <w:szCs w:val="26"/>
        </w:rPr>
        <w:t>.6 Second European Union Minorities and Discrimination Survey – Being Black in the EU</w:t>
      </w:r>
      <w:r w:rsidR="00A92625">
        <w:rPr>
          <w:rFonts w:eastAsiaTheme="majorEastAsia" w:cstheme="majorBidi"/>
          <w:color w:val="2E74B5" w:themeColor="accent1" w:themeShade="BF"/>
          <w:sz w:val="26"/>
          <w:szCs w:val="26"/>
        </w:rPr>
        <w:t xml:space="preserve"> (2018)</w:t>
      </w:r>
      <w:bookmarkEnd w:id="15"/>
    </w:p>
    <w:p w:rsidR="00E13F3F" w:rsidRDefault="00E13F3F" w:rsidP="00EE64D9">
      <w:r w:rsidRPr="00442091">
        <w:t>For more detailed information:</w:t>
      </w:r>
      <w:r>
        <w:t xml:space="preserve"> </w:t>
      </w:r>
      <w:hyperlink r:id="rId26" w:history="1">
        <w:r w:rsidRPr="00F70370">
          <w:rPr>
            <w:rStyle w:val="Hyperlink"/>
            <w:bCs/>
          </w:rPr>
          <w:t>https://fra.europa.eu/en/publication/2018/eumidis-ii-being-black</w:t>
        </w:r>
      </w:hyperlink>
    </w:p>
    <w:p w:rsidR="00E13F3F" w:rsidRPr="00E13F3F" w:rsidRDefault="00E13F3F" w:rsidP="00EE64D9"/>
    <w:p w:rsidR="00E13F3F" w:rsidRPr="00E13F3F" w:rsidRDefault="00E13F3F" w:rsidP="00EE64D9">
      <w:pPr>
        <w:rPr>
          <w:shd w:val="clear" w:color="auto" w:fill="FBFBFB"/>
        </w:rPr>
      </w:pPr>
      <w:r w:rsidRPr="00E13F3F">
        <w:rPr>
          <w:noProof/>
          <w:shd w:val="clear" w:color="auto" w:fill="FBFBFB"/>
          <w:lang w:eastAsia="en-GB"/>
        </w:rPr>
        <w:drawing>
          <wp:inline distT="0" distB="0" distL="0" distR="0" wp14:anchorId="1D39EC6A" wp14:editId="522F6EAE">
            <wp:extent cx="5467350" cy="5062815"/>
            <wp:effectExtent l="0" t="0" r="0" b="508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Untitled4.png"/>
                    <pic:cNvPicPr/>
                  </pic:nvPicPr>
                  <pic:blipFill rotWithShape="1">
                    <a:blip r:embed="rId27">
                      <a:extLst>
                        <a:ext uri="{28A0092B-C50C-407E-A947-70E740481C1C}">
                          <a14:useLocalDpi xmlns:a14="http://schemas.microsoft.com/office/drawing/2010/main" val="0"/>
                        </a:ext>
                      </a:extLst>
                    </a:blip>
                    <a:srcRect r="25881" b="14150"/>
                    <a:stretch/>
                  </pic:blipFill>
                  <pic:spPr bwMode="auto">
                    <a:xfrm>
                      <a:off x="0" y="0"/>
                      <a:ext cx="5474261" cy="5069215"/>
                    </a:xfrm>
                    <a:prstGeom prst="rect">
                      <a:avLst/>
                    </a:prstGeom>
                    <a:ln>
                      <a:noFill/>
                    </a:ln>
                    <a:extLst>
                      <a:ext uri="{53640926-AAD7-44D8-BBD7-CCE9431645EC}">
                        <a14:shadowObscured xmlns:a14="http://schemas.microsoft.com/office/drawing/2010/main"/>
                      </a:ext>
                    </a:extLst>
                  </pic:spPr>
                </pic:pic>
              </a:graphicData>
            </a:graphic>
          </wp:inline>
        </w:drawing>
      </w:r>
      <w:r w:rsidRPr="00E13F3F">
        <w:rPr>
          <w:shd w:val="clear" w:color="auto" w:fill="FBFBFB"/>
        </w:rPr>
        <w:t>(p.61)</w:t>
      </w:r>
    </w:p>
    <w:p w:rsidR="009F4A13" w:rsidRDefault="00E6526E" w:rsidP="009F4A13">
      <w:pPr>
        <w:keepNext/>
        <w:keepLines/>
        <w:spacing w:line="240" w:lineRule="auto"/>
        <w:outlineLvl w:val="1"/>
        <w:rPr>
          <w:rFonts w:eastAsiaTheme="majorEastAsia" w:cstheme="majorBidi"/>
          <w:color w:val="2E74B5" w:themeColor="accent1" w:themeShade="BF"/>
          <w:sz w:val="26"/>
          <w:szCs w:val="26"/>
        </w:rPr>
      </w:pPr>
      <w:bookmarkStart w:id="16" w:name="_Toc5872498"/>
      <w:r>
        <w:rPr>
          <w:rFonts w:eastAsiaTheme="majorEastAsia" w:cstheme="majorBidi"/>
          <w:color w:val="2E74B5" w:themeColor="accent1" w:themeShade="BF"/>
          <w:sz w:val="26"/>
          <w:szCs w:val="26"/>
        </w:rPr>
        <w:t>3</w:t>
      </w:r>
      <w:r w:rsidR="00391F48">
        <w:rPr>
          <w:rFonts w:eastAsiaTheme="majorEastAsia" w:cstheme="majorBidi"/>
          <w:color w:val="2E74B5" w:themeColor="accent1" w:themeShade="BF"/>
          <w:sz w:val="26"/>
          <w:szCs w:val="26"/>
        </w:rPr>
        <w:t>.7</w:t>
      </w:r>
      <w:r w:rsidR="006C3678">
        <w:rPr>
          <w:rFonts w:eastAsiaTheme="majorEastAsia" w:cstheme="majorBidi"/>
          <w:color w:val="2E74B5" w:themeColor="accent1" w:themeShade="BF"/>
          <w:sz w:val="26"/>
          <w:szCs w:val="26"/>
        </w:rPr>
        <w:t xml:space="preserve"> </w:t>
      </w:r>
      <w:r w:rsidR="009F4A13">
        <w:rPr>
          <w:rFonts w:eastAsiaTheme="majorEastAsia" w:cstheme="majorBidi"/>
          <w:color w:val="2E74B5" w:themeColor="accent1" w:themeShade="BF"/>
          <w:sz w:val="26"/>
          <w:szCs w:val="26"/>
        </w:rPr>
        <w:t>Mapping of minimum age requirements</w:t>
      </w:r>
      <w:r w:rsidR="00A92625">
        <w:rPr>
          <w:rFonts w:eastAsiaTheme="majorEastAsia" w:cstheme="majorBidi"/>
          <w:color w:val="2E74B5" w:themeColor="accent1" w:themeShade="BF"/>
          <w:sz w:val="26"/>
          <w:szCs w:val="26"/>
        </w:rPr>
        <w:t xml:space="preserve"> (2017 – 2018)</w:t>
      </w:r>
      <w:bookmarkEnd w:id="16"/>
    </w:p>
    <w:p w:rsidR="009F4A13" w:rsidRPr="00EE64D9" w:rsidRDefault="009F4A13" w:rsidP="006C3678">
      <w:pPr>
        <w:jc w:val="both"/>
      </w:pPr>
      <w:r w:rsidRPr="00EE64D9">
        <w:t>In 2017, FRA is mapped national laws across EU governing age requirements linked to the child rights of protection and participation. The Convention on the rights of the Child requires States to take children's views into consideration on matters which concern them in accordance with their age and maturity. However, FRA research has shown that the way children are recognised as rights holders differs across the EU. Age requirements can also be arbitrary and inconsistent, potentially limiting child rights</w:t>
      </w:r>
    </w:p>
    <w:p w:rsidR="009F4A13" w:rsidRPr="00EE64D9" w:rsidRDefault="009F4A13" w:rsidP="006C3678">
      <w:pPr>
        <w:jc w:val="both"/>
      </w:pPr>
      <w:r w:rsidRPr="00EE64D9">
        <w:t xml:space="preserve">The areas covered in this mapping exercise are: the legal definition of a child; political participation; social rights and welfare; education; health and medical treatment; employment; child care and child protection; access to justice (including juvenile justice); children in the digital world; asylum and migration. </w:t>
      </w:r>
    </w:p>
    <w:p w:rsidR="0097112F" w:rsidRDefault="009F4A13" w:rsidP="006C3678">
      <w:r w:rsidRPr="00EE64D9">
        <w:t xml:space="preserve">For more detailed information: </w:t>
      </w:r>
      <w:hyperlink r:id="rId28" w:history="1">
        <w:r w:rsidR="006E6E6C" w:rsidRPr="006E6E6C">
          <w:rPr>
            <w:rStyle w:val="Hyperlink"/>
          </w:rPr>
          <w:t>https://fra.europa.eu/en/publications-and-resources/data-and-maps/minag?mdq1=theme&amp;mdq2=3509</w:t>
        </w:r>
      </w:hyperlink>
      <w:r w:rsidR="006E6E6C">
        <w:t xml:space="preserve"> and </w:t>
      </w:r>
      <w:hyperlink r:id="rId29" w:history="1">
        <w:r w:rsidR="006E6E6C" w:rsidRPr="00F70370">
          <w:rPr>
            <w:rStyle w:val="Hyperlink"/>
          </w:rPr>
          <w:t>https://fra.europa.eu/en/publication/2017/mapping-minimum-age-requirements-concerning-rights-child-eu</w:t>
        </w:r>
      </w:hyperlink>
    </w:p>
    <w:p w:rsidR="009F4A13" w:rsidRPr="00EE64D9" w:rsidRDefault="009F4A13" w:rsidP="006C3678">
      <w:r w:rsidRPr="00EE64D9">
        <w:t xml:space="preserve">As a matter of example, please find some extracts of this mapping concerning the age requirements in Belgium in the area of asylum and migration: </w:t>
      </w:r>
    </w:p>
    <w:p w:rsidR="0097112F" w:rsidRDefault="009F4A13" w:rsidP="00ED21A7">
      <w:r w:rsidRPr="009F4A13">
        <w:rPr>
          <w:noProof/>
          <w:lang w:eastAsia="en-GB"/>
        </w:rPr>
        <w:drawing>
          <wp:inline distT="0" distB="0" distL="0" distR="0">
            <wp:extent cx="5730875" cy="6074159"/>
            <wp:effectExtent l="0" t="0" r="3175" b="3175"/>
            <wp:docPr id="2" name="Picture 2" descr="C:\Users\beckele\Downloads\MDX-MAP-MINAG_en_76078-Tk9ORQ==-Tk9ORQ==-Z3JvdXAwNg==-TUlOQUdfQVMwMQ==-TUlOQUdfQVMwMQ==-MjAxNw==-740.entit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eckele\Downloads\MDX-MAP-MINAG_en_76078-Tk9ORQ==-Tk9ORQ==-Z3JvdXAwNg==-TUlOQUdfQVMwMQ==-TUlOQUdfQVMwMQ==-MjAxNw==-740.entitled.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47587" cy="6091872"/>
                    </a:xfrm>
                    <a:prstGeom prst="rect">
                      <a:avLst/>
                    </a:prstGeom>
                    <a:noFill/>
                    <a:ln>
                      <a:noFill/>
                    </a:ln>
                  </pic:spPr>
                </pic:pic>
              </a:graphicData>
            </a:graphic>
          </wp:inline>
        </w:drawing>
      </w:r>
    </w:p>
    <w:p w:rsidR="0097112F" w:rsidRDefault="0097112F" w:rsidP="009400A5">
      <w:pPr>
        <w:keepNext/>
        <w:keepLines/>
        <w:spacing w:line="240" w:lineRule="auto"/>
        <w:outlineLvl w:val="1"/>
        <w:rPr>
          <w:rFonts w:eastAsiaTheme="majorEastAsia" w:cstheme="majorBidi"/>
          <w:color w:val="2E74B5" w:themeColor="accent1" w:themeShade="BF"/>
          <w:sz w:val="26"/>
          <w:szCs w:val="26"/>
        </w:rPr>
      </w:pPr>
    </w:p>
    <w:p w:rsidR="00702EE9" w:rsidRDefault="00702EE9" w:rsidP="00ED21A7">
      <w:r>
        <w:rPr>
          <w:noProof/>
          <w:lang w:eastAsia="en-GB"/>
        </w:rPr>
        <w:drawing>
          <wp:inline distT="0" distB="0" distL="0" distR="0">
            <wp:extent cx="5731510" cy="644398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unnamed(1).png"/>
                    <pic:cNvPicPr/>
                  </pic:nvPicPr>
                  <pic:blipFill>
                    <a:blip r:embed="rId31">
                      <a:extLst>
                        <a:ext uri="{28A0092B-C50C-407E-A947-70E740481C1C}">
                          <a14:useLocalDpi xmlns:a14="http://schemas.microsoft.com/office/drawing/2010/main" val="0"/>
                        </a:ext>
                      </a:extLst>
                    </a:blip>
                    <a:stretch>
                      <a:fillRect/>
                    </a:stretch>
                  </pic:blipFill>
                  <pic:spPr>
                    <a:xfrm>
                      <a:off x="0" y="0"/>
                      <a:ext cx="5731510" cy="6443980"/>
                    </a:xfrm>
                    <a:prstGeom prst="rect">
                      <a:avLst/>
                    </a:prstGeom>
                  </pic:spPr>
                </pic:pic>
              </a:graphicData>
            </a:graphic>
          </wp:inline>
        </w:drawing>
      </w:r>
    </w:p>
    <w:p w:rsidR="0097112F" w:rsidRDefault="0097112F" w:rsidP="009400A5">
      <w:pPr>
        <w:keepNext/>
        <w:keepLines/>
        <w:spacing w:line="240" w:lineRule="auto"/>
        <w:outlineLvl w:val="1"/>
        <w:rPr>
          <w:rFonts w:eastAsiaTheme="majorEastAsia" w:cstheme="majorBidi"/>
          <w:color w:val="2E74B5" w:themeColor="accent1" w:themeShade="BF"/>
          <w:sz w:val="26"/>
          <w:szCs w:val="26"/>
        </w:rPr>
      </w:pPr>
    </w:p>
    <w:p w:rsidR="0097112F" w:rsidRDefault="0097112F" w:rsidP="009400A5">
      <w:pPr>
        <w:keepNext/>
        <w:keepLines/>
        <w:spacing w:line="240" w:lineRule="auto"/>
        <w:outlineLvl w:val="1"/>
        <w:rPr>
          <w:rFonts w:eastAsiaTheme="majorEastAsia" w:cstheme="majorBidi"/>
          <w:color w:val="2E74B5" w:themeColor="accent1" w:themeShade="BF"/>
          <w:sz w:val="26"/>
          <w:szCs w:val="26"/>
        </w:rPr>
      </w:pPr>
    </w:p>
    <w:p w:rsidR="0097112F" w:rsidRDefault="0097112F" w:rsidP="009400A5">
      <w:pPr>
        <w:keepNext/>
        <w:keepLines/>
        <w:spacing w:line="240" w:lineRule="auto"/>
        <w:outlineLvl w:val="1"/>
        <w:rPr>
          <w:rFonts w:eastAsiaTheme="majorEastAsia" w:cstheme="majorBidi"/>
          <w:color w:val="2E74B5" w:themeColor="accent1" w:themeShade="BF"/>
          <w:sz w:val="26"/>
          <w:szCs w:val="26"/>
        </w:rPr>
      </w:pPr>
    </w:p>
    <w:bookmarkEnd w:id="11"/>
    <w:p w:rsidR="009400A5" w:rsidRDefault="009400A5" w:rsidP="009400A5">
      <w:pPr>
        <w:spacing w:line="240" w:lineRule="auto"/>
        <w:jc w:val="both"/>
        <w:rPr>
          <w:noProof/>
          <w:lang w:eastAsia="en-GB"/>
        </w:rPr>
      </w:pPr>
    </w:p>
    <w:p w:rsidR="00B14C39" w:rsidRDefault="00B14C39"/>
    <w:sectPr w:rsidR="00B14C39" w:rsidSect="0012496A">
      <w:footerReference w:type="default" r:id="rId32"/>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4672" w:rsidRDefault="00CD4672">
      <w:pPr>
        <w:spacing w:after="0" w:line="240" w:lineRule="auto"/>
      </w:pPr>
      <w:r>
        <w:separator/>
      </w:r>
    </w:p>
  </w:endnote>
  <w:endnote w:type="continuationSeparator" w:id="0">
    <w:p w:rsidR="00CD4672" w:rsidRDefault="00CD46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 w:name="DaxlinePro-Regular">
    <w:altName w:val="Arial"/>
    <w:panose1 w:val="00000000000000000000"/>
    <w:charset w:val="00"/>
    <w:family w:val="swiss"/>
    <w:notTrueType/>
    <w:pitch w:val="variable"/>
    <w:sig w:usb0="A00002FF" w:usb1="4000A4FB" w:usb2="00000000" w:usb3="00000000" w:csb0="0000009F" w:csb1="00000000"/>
  </w:font>
  <w:font w:name="Segoe UI">
    <w:altName w:val="Sylfaen"/>
    <w:panose1 w:val="020B0502040204020203"/>
    <w:charset w:val="00"/>
    <w:family w:val="swiss"/>
    <w:pitch w:val="variable"/>
    <w:sig w:usb0="E4002EFF" w:usb1="C000E47F" w:usb2="00000009" w:usb3="00000000" w:csb0="000001FF" w:csb1="00000000"/>
  </w:font>
  <w:font w:name="DaxlinePro">
    <w:altName w:val="DaxlinePro"/>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9127134"/>
      <w:docPartObj>
        <w:docPartGallery w:val="Page Numbers (Bottom of Page)"/>
        <w:docPartUnique/>
      </w:docPartObj>
    </w:sdtPr>
    <w:sdtEndPr>
      <w:rPr>
        <w:noProof/>
      </w:rPr>
    </w:sdtEndPr>
    <w:sdtContent>
      <w:p w:rsidR="0012496A" w:rsidRDefault="0012496A">
        <w:pPr>
          <w:pStyle w:val="Footer"/>
          <w:jc w:val="right"/>
        </w:pPr>
        <w:r>
          <w:fldChar w:fldCharType="begin"/>
        </w:r>
        <w:r>
          <w:instrText xml:space="preserve"> PAGE   \* MERGEFORMAT </w:instrText>
        </w:r>
        <w:r>
          <w:fldChar w:fldCharType="separate"/>
        </w:r>
        <w:r w:rsidR="00087469">
          <w:rPr>
            <w:noProof/>
          </w:rPr>
          <w:t>13</w:t>
        </w:r>
        <w:r>
          <w:rPr>
            <w:noProof/>
          </w:rPr>
          <w:fldChar w:fldCharType="end"/>
        </w:r>
      </w:p>
    </w:sdtContent>
  </w:sdt>
  <w:p w:rsidR="0012496A" w:rsidRDefault="001249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4672" w:rsidRDefault="00CD4672">
      <w:pPr>
        <w:spacing w:after="0" w:line="240" w:lineRule="auto"/>
      </w:pPr>
      <w:r>
        <w:separator/>
      </w:r>
    </w:p>
  </w:footnote>
  <w:footnote w:type="continuationSeparator" w:id="0">
    <w:p w:rsidR="00CD4672" w:rsidRDefault="00CD46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10112A"/>
    <w:multiLevelType w:val="multilevel"/>
    <w:tmpl w:val="49DC14C8"/>
    <w:lvl w:ilvl="0">
      <w:start w:val="2"/>
      <w:numFmt w:val="decimal"/>
      <w:lvlText w:val="%1"/>
      <w:lvlJc w:val="left"/>
      <w:pPr>
        <w:ind w:left="375" w:hanging="375"/>
      </w:pPr>
      <w:rPr>
        <w:rFonts w:hint="default"/>
        <w:sz w:val="28"/>
      </w:rPr>
    </w:lvl>
    <w:lvl w:ilvl="1">
      <w:start w:val="1"/>
      <w:numFmt w:val="decimal"/>
      <w:lvlText w:val="%1.%2"/>
      <w:lvlJc w:val="left"/>
      <w:pPr>
        <w:ind w:left="735" w:hanging="375"/>
      </w:pPr>
      <w:rPr>
        <w:rFonts w:hint="default"/>
        <w:sz w:val="28"/>
      </w:rPr>
    </w:lvl>
    <w:lvl w:ilvl="2">
      <w:start w:val="1"/>
      <w:numFmt w:val="decimal"/>
      <w:lvlText w:val="%1.%2.%3"/>
      <w:lvlJc w:val="left"/>
      <w:pPr>
        <w:ind w:left="1440" w:hanging="720"/>
      </w:pPr>
      <w:rPr>
        <w:rFonts w:hint="default"/>
        <w:sz w:val="28"/>
      </w:rPr>
    </w:lvl>
    <w:lvl w:ilvl="3">
      <w:start w:val="1"/>
      <w:numFmt w:val="decimal"/>
      <w:lvlText w:val="%1.%2.%3.%4"/>
      <w:lvlJc w:val="left"/>
      <w:pPr>
        <w:ind w:left="1800" w:hanging="720"/>
      </w:pPr>
      <w:rPr>
        <w:rFonts w:hint="default"/>
        <w:sz w:val="28"/>
      </w:rPr>
    </w:lvl>
    <w:lvl w:ilvl="4">
      <w:start w:val="1"/>
      <w:numFmt w:val="decimal"/>
      <w:lvlText w:val="%1.%2.%3.%4.%5"/>
      <w:lvlJc w:val="left"/>
      <w:pPr>
        <w:ind w:left="2520" w:hanging="1080"/>
      </w:pPr>
      <w:rPr>
        <w:rFonts w:hint="default"/>
        <w:sz w:val="28"/>
      </w:rPr>
    </w:lvl>
    <w:lvl w:ilvl="5">
      <w:start w:val="1"/>
      <w:numFmt w:val="decimal"/>
      <w:lvlText w:val="%1.%2.%3.%4.%5.%6"/>
      <w:lvlJc w:val="left"/>
      <w:pPr>
        <w:ind w:left="3240" w:hanging="1440"/>
      </w:pPr>
      <w:rPr>
        <w:rFonts w:hint="default"/>
        <w:sz w:val="28"/>
      </w:rPr>
    </w:lvl>
    <w:lvl w:ilvl="6">
      <w:start w:val="1"/>
      <w:numFmt w:val="decimal"/>
      <w:lvlText w:val="%1.%2.%3.%4.%5.%6.%7"/>
      <w:lvlJc w:val="left"/>
      <w:pPr>
        <w:ind w:left="3600" w:hanging="1440"/>
      </w:pPr>
      <w:rPr>
        <w:rFonts w:hint="default"/>
        <w:sz w:val="28"/>
      </w:rPr>
    </w:lvl>
    <w:lvl w:ilvl="7">
      <w:start w:val="1"/>
      <w:numFmt w:val="decimal"/>
      <w:lvlText w:val="%1.%2.%3.%4.%5.%6.%7.%8"/>
      <w:lvlJc w:val="left"/>
      <w:pPr>
        <w:ind w:left="4320" w:hanging="1800"/>
      </w:pPr>
      <w:rPr>
        <w:rFonts w:hint="default"/>
        <w:sz w:val="28"/>
      </w:rPr>
    </w:lvl>
    <w:lvl w:ilvl="8">
      <w:start w:val="1"/>
      <w:numFmt w:val="decimal"/>
      <w:lvlText w:val="%1.%2.%3.%4.%5.%6.%7.%8.%9"/>
      <w:lvlJc w:val="left"/>
      <w:pPr>
        <w:ind w:left="4680" w:hanging="1800"/>
      </w:pPr>
      <w:rPr>
        <w:rFonts w:hint="default"/>
        <w:sz w:val="28"/>
      </w:rPr>
    </w:lvl>
  </w:abstractNum>
  <w:abstractNum w:abstractNumId="1" w15:restartNumberingAfterBreak="0">
    <w:nsid w:val="2DC10220"/>
    <w:multiLevelType w:val="hybridMultilevel"/>
    <w:tmpl w:val="CDD043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7130F7E"/>
    <w:multiLevelType w:val="multilevel"/>
    <w:tmpl w:val="E0C223EA"/>
    <w:lvl w:ilvl="0">
      <w:start w:val="1"/>
      <w:numFmt w:val="decimal"/>
      <w:lvlText w:val="%1."/>
      <w:lvlJc w:val="left"/>
      <w:pPr>
        <w:ind w:left="720" w:hanging="360"/>
      </w:pPr>
    </w:lvl>
    <w:lvl w:ilvl="1">
      <w:start w:val="6"/>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38C52EF0"/>
    <w:multiLevelType w:val="multilevel"/>
    <w:tmpl w:val="2D880824"/>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3BC95BE3"/>
    <w:multiLevelType w:val="multilevel"/>
    <w:tmpl w:val="CB6A39EE"/>
    <w:lvl w:ilvl="0">
      <w:start w:val="2"/>
      <w:numFmt w:val="decimal"/>
      <w:lvlText w:val="%1"/>
      <w:lvlJc w:val="left"/>
      <w:pPr>
        <w:ind w:left="360" w:hanging="360"/>
      </w:pPr>
      <w:rPr>
        <w:rFonts w:asciiTheme="majorHAnsi" w:eastAsiaTheme="majorEastAsia" w:hAnsiTheme="majorHAnsi" w:cstheme="majorBidi" w:hint="default"/>
        <w:color w:val="2E74B5" w:themeColor="accent1" w:themeShade="BF"/>
        <w:sz w:val="26"/>
      </w:rPr>
    </w:lvl>
    <w:lvl w:ilvl="1">
      <w:start w:val="1"/>
      <w:numFmt w:val="decimal"/>
      <w:lvlText w:val="%1.%2"/>
      <w:lvlJc w:val="left"/>
      <w:pPr>
        <w:ind w:left="360" w:hanging="360"/>
      </w:pPr>
      <w:rPr>
        <w:rFonts w:asciiTheme="majorHAnsi" w:eastAsiaTheme="majorEastAsia" w:hAnsiTheme="majorHAnsi" w:cstheme="majorBidi" w:hint="default"/>
        <w:color w:val="2E74B5" w:themeColor="accent1" w:themeShade="BF"/>
        <w:sz w:val="26"/>
      </w:rPr>
    </w:lvl>
    <w:lvl w:ilvl="2">
      <w:start w:val="1"/>
      <w:numFmt w:val="decimal"/>
      <w:lvlText w:val="%1.%2.%3"/>
      <w:lvlJc w:val="left"/>
      <w:pPr>
        <w:ind w:left="720" w:hanging="720"/>
      </w:pPr>
      <w:rPr>
        <w:rFonts w:asciiTheme="majorHAnsi" w:eastAsiaTheme="majorEastAsia" w:hAnsiTheme="majorHAnsi" w:cstheme="majorBidi" w:hint="default"/>
        <w:color w:val="2E74B5" w:themeColor="accent1" w:themeShade="BF"/>
        <w:sz w:val="26"/>
      </w:rPr>
    </w:lvl>
    <w:lvl w:ilvl="3">
      <w:start w:val="1"/>
      <w:numFmt w:val="decimal"/>
      <w:lvlText w:val="%1.%2.%3.%4"/>
      <w:lvlJc w:val="left"/>
      <w:pPr>
        <w:ind w:left="720" w:hanging="720"/>
      </w:pPr>
      <w:rPr>
        <w:rFonts w:asciiTheme="majorHAnsi" w:eastAsiaTheme="majorEastAsia" w:hAnsiTheme="majorHAnsi" w:cstheme="majorBidi" w:hint="default"/>
        <w:color w:val="2E74B5" w:themeColor="accent1" w:themeShade="BF"/>
        <w:sz w:val="26"/>
      </w:rPr>
    </w:lvl>
    <w:lvl w:ilvl="4">
      <w:start w:val="1"/>
      <w:numFmt w:val="decimal"/>
      <w:lvlText w:val="%1.%2.%3.%4.%5"/>
      <w:lvlJc w:val="left"/>
      <w:pPr>
        <w:ind w:left="1080" w:hanging="1080"/>
      </w:pPr>
      <w:rPr>
        <w:rFonts w:asciiTheme="majorHAnsi" w:eastAsiaTheme="majorEastAsia" w:hAnsiTheme="majorHAnsi" w:cstheme="majorBidi" w:hint="default"/>
        <w:color w:val="2E74B5" w:themeColor="accent1" w:themeShade="BF"/>
        <w:sz w:val="26"/>
      </w:rPr>
    </w:lvl>
    <w:lvl w:ilvl="5">
      <w:start w:val="1"/>
      <w:numFmt w:val="decimal"/>
      <w:lvlText w:val="%1.%2.%3.%4.%5.%6"/>
      <w:lvlJc w:val="left"/>
      <w:pPr>
        <w:ind w:left="1080" w:hanging="1080"/>
      </w:pPr>
      <w:rPr>
        <w:rFonts w:asciiTheme="majorHAnsi" w:eastAsiaTheme="majorEastAsia" w:hAnsiTheme="majorHAnsi" w:cstheme="majorBidi" w:hint="default"/>
        <w:color w:val="2E74B5" w:themeColor="accent1" w:themeShade="BF"/>
        <w:sz w:val="26"/>
      </w:rPr>
    </w:lvl>
    <w:lvl w:ilvl="6">
      <w:start w:val="1"/>
      <w:numFmt w:val="decimal"/>
      <w:lvlText w:val="%1.%2.%3.%4.%5.%6.%7"/>
      <w:lvlJc w:val="left"/>
      <w:pPr>
        <w:ind w:left="1440" w:hanging="1440"/>
      </w:pPr>
      <w:rPr>
        <w:rFonts w:asciiTheme="majorHAnsi" w:eastAsiaTheme="majorEastAsia" w:hAnsiTheme="majorHAnsi" w:cstheme="majorBidi" w:hint="default"/>
        <w:color w:val="2E74B5" w:themeColor="accent1" w:themeShade="BF"/>
        <w:sz w:val="26"/>
      </w:rPr>
    </w:lvl>
    <w:lvl w:ilvl="7">
      <w:start w:val="1"/>
      <w:numFmt w:val="decimal"/>
      <w:lvlText w:val="%1.%2.%3.%4.%5.%6.%7.%8"/>
      <w:lvlJc w:val="left"/>
      <w:pPr>
        <w:ind w:left="1440" w:hanging="1440"/>
      </w:pPr>
      <w:rPr>
        <w:rFonts w:asciiTheme="majorHAnsi" w:eastAsiaTheme="majorEastAsia" w:hAnsiTheme="majorHAnsi" w:cstheme="majorBidi" w:hint="default"/>
        <w:color w:val="2E74B5" w:themeColor="accent1" w:themeShade="BF"/>
        <w:sz w:val="26"/>
      </w:rPr>
    </w:lvl>
    <w:lvl w:ilvl="8">
      <w:start w:val="1"/>
      <w:numFmt w:val="decimal"/>
      <w:lvlText w:val="%1.%2.%3.%4.%5.%6.%7.%8.%9"/>
      <w:lvlJc w:val="left"/>
      <w:pPr>
        <w:ind w:left="1440" w:hanging="1440"/>
      </w:pPr>
      <w:rPr>
        <w:rFonts w:asciiTheme="majorHAnsi" w:eastAsiaTheme="majorEastAsia" w:hAnsiTheme="majorHAnsi" w:cstheme="majorBidi" w:hint="default"/>
        <w:color w:val="2E74B5" w:themeColor="accent1" w:themeShade="BF"/>
        <w:sz w:val="26"/>
      </w:rPr>
    </w:lvl>
  </w:abstractNum>
  <w:abstractNum w:abstractNumId="5" w15:restartNumberingAfterBreak="0">
    <w:nsid w:val="5AB105CC"/>
    <w:multiLevelType w:val="multilevel"/>
    <w:tmpl w:val="02A4CDDE"/>
    <w:lvl w:ilvl="0">
      <w:start w:val="2"/>
      <w:numFmt w:val="decimal"/>
      <w:lvlText w:val="%1"/>
      <w:lvlJc w:val="left"/>
      <w:pPr>
        <w:ind w:left="360" w:hanging="360"/>
      </w:pPr>
      <w:rPr>
        <w:rFonts w:asciiTheme="majorHAnsi" w:eastAsiaTheme="majorEastAsia" w:hAnsiTheme="majorHAnsi" w:cstheme="majorBidi" w:hint="default"/>
        <w:color w:val="2E74B5" w:themeColor="accent1" w:themeShade="BF"/>
        <w:sz w:val="26"/>
      </w:rPr>
    </w:lvl>
    <w:lvl w:ilvl="1">
      <w:start w:val="1"/>
      <w:numFmt w:val="decimal"/>
      <w:lvlText w:val="%1.%2"/>
      <w:lvlJc w:val="left"/>
      <w:pPr>
        <w:ind w:left="720" w:hanging="360"/>
      </w:pPr>
      <w:rPr>
        <w:rFonts w:asciiTheme="majorHAnsi" w:eastAsiaTheme="majorEastAsia" w:hAnsiTheme="majorHAnsi" w:cstheme="majorBidi" w:hint="default"/>
        <w:color w:val="2E74B5" w:themeColor="accent1" w:themeShade="BF"/>
        <w:sz w:val="26"/>
      </w:rPr>
    </w:lvl>
    <w:lvl w:ilvl="2">
      <w:start w:val="1"/>
      <w:numFmt w:val="decimal"/>
      <w:lvlText w:val="%1.%2.%3"/>
      <w:lvlJc w:val="left"/>
      <w:pPr>
        <w:ind w:left="1440" w:hanging="720"/>
      </w:pPr>
      <w:rPr>
        <w:rFonts w:asciiTheme="majorHAnsi" w:eastAsiaTheme="majorEastAsia" w:hAnsiTheme="majorHAnsi" w:cstheme="majorBidi" w:hint="default"/>
        <w:color w:val="2E74B5" w:themeColor="accent1" w:themeShade="BF"/>
        <w:sz w:val="26"/>
      </w:rPr>
    </w:lvl>
    <w:lvl w:ilvl="3">
      <w:start w:val="1"/>
      <w:numFmt w:val="decimal"/>
      <w:lvlText w:val="%1.%2.%3.%4"/>
      <w:lvlJc w:val="left"/>
      <w:pPr>
        <w:ind w:left="1800" w:hanging="720"/>
      </w:pPr>
      <w:rPr>
        <w:rFonts w:asciiTheme="majorHAnsi" w:eastAsiaTheme="majorEastAsia" w:hAnsiTheme="majorHAnsi" w:cstheme="majorBidi" w:hint="default"/>
        <w:color w:val="2E74B5" w:themeColor="accent1" w:themeShade="BF"/>
        <w:sz w:val="26"/>
      </w:rPr>
    </w:lvl>
    <w:lvl w:ilvl="4">
      <w:start w:val="1"/>
      <w:numFmt w:val="decimal"/>
      <w:lvlText w:val="%1.%2.%3.%4.%5"/>
      <w:lvlJc w:val="left"/>
      <w:pPr>
        <w:ind w:left="2520" w:hanging="1080"/>
      </w:pPr>
      <w:rPr>
        <w:rFonts w:asciiTheme="majorHAnsi" w:eastAsiaTheme="majorEastAsia" w:hAnsiTheme="majorHAnsi" w:cstheme="majorBidi" w:hint="default"/>
        <w:color w:val="2E74B5" w:themeColor="accent1" w:themeShade="BF"/>
        <w:sz w:val="26"/>
      </w:rPr>
    </w:lvl>
    <w:lvl w:ilvl="5">
      <w:start w:val="1"/>
      <w:numFmt w:val="decimal"/>
      <w:lvlText w:val="%1.%2.%3.%4.%5.%6"/>
      <w:lvlJc w:val="left"/>
      <w:pPr>
        <w:ind w:left="2880" w:hanging="1080"/>
      </w:pPr>
      <w:rPr>
        <w:rFonts w:asciiTheme="majorHAnsi" w:eastAsiaTheme="majorEastAsia" w:hAnsiTheme="majorHAnsi" w:cstheme="majorBidi" w:hint="default"/>
        <w:color w:val="2E74B5" w:themeColor="accent1" w:themeShade="BF"/>
        <w:sz w:val="26"/>
      </w:rPr>
    </w:lvl>
    <w:lvl w:ilvl="6">
      <w:start w:val="1"/>
      <w:numFmt w:val="decimal"/>
      <w:lvlText w:val="%1.%2.%3.%4.%5.%6.%7"/>
      <w:lvlJc w:val="left"/>
      <w:pPr>
        <w:ind w:left="3600" w:hanging="1440"/>
      </w:pPr>
      <w:rPr>
        <w:rFonts w:asciiTheme="majorHAnsi" w:eastAsiaTheme="majorEastAsia" w:hAnsiTheme="majorHAnsi" w:cstheme="majorBidi" w:hint="default"/>
        <w:color w:val="2E74B5" w:themeColor="accent1" w:themeShade="BF"/>
        <w:sz w:val="26"/>
      </w:rPr>
    </w:lvl>
    <w:lvl w:ilvl="7">
      <w:start w:val="1"/>
      <w:numFmt w:val="decimal"/>
      <w:lvlText w:val="%1.%2.%3.%4.%5.%6.%7.%8"/>
      <w:lvlJc w:val="left"/>
      <w:pPr>
        <w:ind w:left="3960" w:hanging="1440"/>
      </w:pPr>
      <w:rPr>
        <w:rFonts w:asciiTheme="majorHAnsi" w:eastAsiaTheme="majorEastAsia" w:hAnsiTheme="majorHAnsi" w:cstheme="majorBidi" w:hint="default"/>
        <w:color w:val="2E74B5" w:themeColor="accent1" w:themeShade="BF"/>
        <w:sz w:val="26"/>
      </w:rPr>
    </w:lvl>
    <w:lvl w:ilvl="8">
      <w:start w:val="1"/>
      <w:numFmt w:val="decimal"/>
      <w:lvlText w:val="%1.%2.%3.%4.%5.%6.%7.%8.%9"/>
      <w:lvlJc w:val="left"/>
      <w:pPr>
        <w:ind w:left="4320" w:hanging="1440"/>
      </w:pPr>
      <w:rPr>
        <w:rFonts w:asciiTheme="majorHAnsi" w:eastAsiaTheme="majorEastAsia" w:hAnsiTheme="majorHAnsi" w:cstheme="majorBidi" w:hint="default"/>
        <w:color w:val="2E74B5" w:themeColor="accent1" w:themeShade="BF"/>
        <w:sz w:val="26"/>
      </w:rPr>
    </w:lvl>
  </w:abstractNum>
  <w:abstractNum w:abstractNumId="6" w15:restartNumberingAfterBreak="0">
    <w:nsid w:val="72D76714"/>
    <w:multiLevelType w:val="hybridMultilevel"/>
    <w:tmpl w:val="FEC0BF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6"/>
  </w:num>
  <w:num w:numId="3">
    <w:abstractNumId w:val="3"/>
  </w:num>
  <w:num w:numId="4">
    <w:abstractNumId w:val="5"/>
  </w:num>
  <w:num w:numId="5">
    <w:abstractNumId w:val="4"/>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00A5"/>
    <w:rsid w:val="00044011"/>
    <w:rsid w:val="000669AD"/>
    <w:rsid w:val="00087469"/>
    <w:rsid w:val="001162AE"/>
    <w:rsid w:val="0012496A"/>
    <w:rsid w:val="001478E5"/>
    <w:rsid w:val="00165514"/>
    <w:rsid w:val="00197350"/>
    <w:rsid w:val="001B141E"/>
    <w:rsid w:val="001D2675"/>
    <w:rsid w:val="002061B1"/>
    <w:rsid w:val="0022289B"/>
    <w:rsid w:val="002355D5"/>
    <w:rsid w:val="002B4374"/>
    <w:rsid w:val="00326EA6"/>
    <w:rsid w:val="003658E5"/>
    <w:rsid w:val="00390A4F"/>
    <w:rsid w:val="00391F48"/>
    <w:rsid w:val="003A62EA"/>
    <w:rsid w:val="003C24CA"/>
    <w:rsid w:val="003D4697"/>
    <w:rsid w:val="00482E41"/>
    <w:rsid w:val="00493838"/>
    <w:rsid w:val="005F03E8"/>
    <w:rsid w:val="005F142B"/>
    <w:rsid w:val="006C3678"/>
    <w:rsid w:val="006C7C3D"/>
    <w:rsid w:val="006E6E6C"/>
    <w:rsid w:val="00702EE9"/>
    <w:rsid w:val="00741D9C"/>
    <w:rsid w:val="007B4C76"/>
    <w:rsid w:val="007F0A2D"/>
    <w:rsid w:val="008235D0"/>
    <w:rsid w:val="0082494F"/>
    <w:rsid w:val="00860D79"/>
    <w:rsid w:val="00904A93"/>
    <w:rsid w:val="009400A5"/>
    <w:rsid w:val="00957069"/>
    <w:rsid w:val="0097112F"/>
    <w:rsid w:val="00973ADB"/>
    <w:rsid w:val="009F4A13"/>
    <w:rsid w:val="00A92625"/>
    <w:rsid w:val="00AB5219"/>
    <w:rsid w:val="00AD27BD"/>
    <w:rsid w:val="00B14C39"/>
    <w:rsid w:val="00BF4781"/>
    <w:rsid w:val="00C047AD"/>
    <w:rsid w:val="00C65E84"/>
    <w:rsid w:val="00C935A0"/>
    <w:rsid w:val="00CD4672"/>
    <w:rsid w:val="00D05A38"/>
    <w:rsid w:val="00DA2D9E"/>
    <w:rsid w:val="00E13F3F"/>
    <w:rsid w:val="00E6526E"/>
    <w:rsid w:val="00E6562A"/>
    <w:rsid w:val="00ED21A7"/>
    <w:rsid w:val="00EE64D9"/>
    <w:rsid w:val="00EF1353"/>
    <w:rsid w:val="00F86A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4F219"/>
  <w15:chartTrackingRefBased/>
  <w15:docId w15:val="{AD749176-BFC5-453D-9B89-0C84CB458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00A5"/>
  </w:style>
  <w:style w:type="paragraph" w:styleId="Heading1">
    <w:name w:val="heading 1"/>
    <w:basedOn w:val="Normal"/>
    <w:next w:val="Normal"/>
    <w:link w:val="Heading1Char"/>
    <w:uiPriority w:val="9"/>
    <w:qFormat/>
    <w:rsid w:val="009400A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400A5"/>
    <w:pPr>
      <w:keepNext/>
      <w:keepLines/>
      <w:spacing w:before="40" w:after="0" w:line="240" w:lineRule="auto"/>
      <w:outlineLvl w:val="1"/>
    </w:pPr>
    <w:rPr>
      <w:rFonts w:asciiTheme="majorHAnsi" w:eastAsiaTheme="majorEastAsia" w:hAnsiTheme="majorHAnsi" w:cstheme="majorBidi"/>
      <w:color w:val="2E74B5" w:themeColor="accent1" w:themeShade="BF"/>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400A5"/>
    <w:rPr>
      <w:rFonts w:asciiTheme="majorHAnsi" w:eastAsiaTheme="majorEastAsia" w:hAnsiTheme="majorHAnsi" w:cstheme="majorBidi"/>
      <w:color w:val="2E74B5" w:themeColor="accent1" w:themeShade="BF"/>
      <w:sz w:val="26"/>
      <w:szCs w:val="26"/>
      <w:lang w:val="en-US"/>
    </w:rPr>
  </w:style>
  <w:style w:type="paragraph" w:styleId="ListParagraph">
    <w:name w:val="List Paragraph"/>
    <w:basedOn w:val="Normal"/>
    <w:uiPriority w:val="34"/>
    <w:qFormat/>
    <w:rsid w:val="009400A5"/>
    <w:pPr>
      <w:spacing w:after="0" w:line="240" w:lineRule="auto"/>
      <w:ind w:left="720"/>
      <w:contextualSpacing/>
    </w:pPr>
    <w:rPr>
      <w:lang w:val="en-US"/>
    </w:rPr>
  </w:style>
  <w:style w:type="character" w:styleId="Hyperlink">
    <w:name w:val="Hyperlink"/>
    <w:basedOn w:val="DefaultParagraphFont"/>
    <w:uiPriority w:val="99"/>
    <w:unhideWhenUsed/>
    <w:rsid w:val="009400A5"/>
    <w:rPr>
      <w:color w:val="0563C1" w:themeColor="hyperlink"/>
      <w:u w:val="single"/>
    </w:rPr>
  </w:style>
  <w:style w:type="paragraph" w:styleId="Footer">
    <w:name w:val="footer"/>
    <w:basedOn w:val="Normal"/>
    <w:link w:val="FooterChar"/>
    <w:uiPriority w:val="99"/>
    <w:unhideWhenUsed/>
    <w:rsid w:val="009400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00A5"/>
  </w:style>
  <w:style w:type="character" w:customStyle="1" w:styleId="Heading1Char">
    <w:name w:val="Heading 1 Char"/>
    <w:basedOn w:val="DefaultParagraphFont"/>
    <w:link w:val="Heading1"/>
    <w:uiPriority w:val="9"/>
    <w:rsid w:val="009400A5"/>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400A5"/>
    <w:pPr>
      <w:outlineLvl w:val="9"/>
    </w:pPr>
    <w:rPr>
      <w:lang w:val="en-US"/>
    </w:rPr>
  </w:style>
  <w:style w:type="paragraph" w:styleId="TOC1">
    <w:name w:val="toc 1"/>
    <w:basedOn w:val="Normal"/>
    <w:next w:val="Normal"/>
    <w:autoRedefine/>
    <w:uiPriority w:val="39"/>
    <w:unhideWhenUsed/>
    <w:rsid w:val="009400A5"/>
    <w:pPr>
      <w:spacing w:after="100"/>
    </w:pPr>
  </w:style>
  <w:style w:type="paragraph" w:styleId="TOC2">
    <w:name w:val="toc 2"/>
    <w:basedOn w:val="Normal"/>
    <w:next w:val="Normal"/>
    <w:autoRedefine/>
    <w:uiPriority w:val="39"/>
    <w:unhideWhenUsed/>
    <w:rsid w:val="009400A5"/>
    <w:pPr>
      <w:spacing w:after="100"/>
      <w:ind w:left="220"/>
    </w:pPr>
  </w:style>
  <w:style w:type="character" w:customStyle="1" w:styleId="A7">
    <w:name w:val="A7"/>
    <w:uiPriority w:val="99"/>
    <w:rsid w:val="009400A5"/>
    <w:rPr>
      <w:rFonts w:cs="DaxlinePro-Regular"/>
      <w:color w:val="000000"/>
      <w:sz w:val="10"/>
      <w:szCs w:val="10"/>
    </w:rPr>
  </w:style>
  <w:style w:type="paragraph" w:customStyle="1" w:styleId="Pa12">
    <w:name w:val="Pa12"/>
    <w:basedOn w:val="Normal"/>
    <w:next w:val="Normal"/>
    <w:uiPriority w:val="99"/>
    <w:rsid w:val="009400A5"/>
    <w:pPr>
      <w:autoSpaceDE w:val="0"/>
      <w:autoSpaceDN w:val="0"/>
      <w:adjustRightInd w:val="0"/>
      <w:spacing w:after="0" w:line="185" w:lineRule="atLeast"/>
    </w:pPr>
    <w:rPr>
      <w:rFonts w:ascii="DaxlinePro-Regular" w:eastAsia="DaxlinePro-Regular"/>
      <w:sz w:val="24"/>
      <w:szCs w:val="24"/>
      <w:lang w:val="en-IE"/>
    </w:rPr>
  </w:style>
  <w:style w:type="paragraph" w:customStyle="1" w:styleId="Pa10">
    <w:name w:val="Pa10"/>
    <w:basedOn w:val="Normal"/>
    <w:next w:val="Normal"/>
    <w:uiPriority w:val="99"/>
    <w:rsid w:val="009400A5"/>
    <w:pPr>
      <w:autoSpaceDE w:val="0"/>
      <w:autoSpaceDN w:val="0"/>
      <w:adjustRightInd w:val="0"/>
      <w:spacing w:after="0" w:line="185" w:lineRule="atLeast"/>
    </w:pPr>
    <w:rPr>
      <w:rFonts w:ascii="DaxlinePro-Regular" w:eastAsia="DaxlinePro-Regular"/>
      <w:sz w:val="24"/>
      <w:szCs w:val="24"/>
      <w:lang w:val="en-IE"/>
    </w:rPr>
  </w:style>
  <w:style w:type="character" w:styleId="Strong">
    <w:name w:val="Strong"/>
    <w:basedOn w:val="DefaultParagraphFont"/>
    <w:uiPriority w:val="22"/>
    <w:qFormat/>
    <w:rsid w:val="009400A5"/>
    <w:rPr>
      <w:b/>
      <w:bCs/>
    </w:rPr>
  </w:style>
  <w:style w:type="character" w:customStyle="1" w:styleId="apple-converted-space">
    <w:name w:val="apple-converted-space"/>
    <w:basedOn w:val="DefaultParagraphFont"/>
    <w:rsid w:val="009400A5"/>
  </w:style>
  <w:style w:type="paragraph" w:styleId="BalloonText">
    <w:name w:val="Balloon Text"/>
    <w:basedOn w:val="Normal"/>
    <w:link w:val="BalloonTextChar"/>
    <w:uiPriority w:val="99"/>
    <w:semiHidden/>
    <w:unhideWhenUsed/>
    <w:rsid w:val="000669A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69AD"/>
    <w:rPr>
      <w:rFonts w:ascii="Segoe UI" w:hAnsi="Segoe UI" w:cs="Segoe UI"/>
      <w:sz w:val="18"/>
      <w:szCs w:val="18"/>
    </w:rPr>
  </w:style>
  <w:style w:type="paragraph" w:customStyle="1" w:styleId="Pa8">
    <w:name w:val="Pa8"/>
    <w:basedOn w:val="Normal"/>
    <w:next w:val="Normal"/>
    <w:uiPriority w:val="99"/>
    <w:rsid w:val="00E13F3F"/>
    <w:pPr>
      <w:autoSpaceDE w:val="0"/>
      <w:autoSpaceDN w:val="0"/>
      <w:adjustRightInd w:val="0"/>
      <w:spacing w:after="0" w:line="185" w:lineRule="atLeast"/>
    </w:pPr>
    <w:rPr>
      <w:rFonts w:ascii="DaxlinePro" w:hAnsi="DaxlinePro"/>
      <w:sz w:val="24"/>
      <w:szCs w:val="24"/>
    </w:rPr>
  </w:style>
  <w:style w:type="character" w:styleId="FollowedHyperlink">
    <w:name w:val="FollowedHyperlink"/>
    <w:basedOn w:val="DefaultParagraphFont"/>
    <w:uiPriority w:val="99"/>
    <w:semiHidden/>
    <w:unhideWhenUsed/>
    <w:rsid w:val="00741D9C"/>
    <w:rPr>
      <w:color w:val="954F72" w:themeColor="followedHyperlink"/>
      <w:u w:val="single"/>
    </w:rPr>
  </w:style>
  <w:style w:type="character" w:styleId="CommentReference">
    <w:name w:val="annotation reference"/>
    <w:basedOn w:val="DefaultParagraphFont"/>
    <w:uiPriority w:val="99"/>
    <w:semiHidden/>
    <w:unhideWhenUsed/>
    <w:rsid w:val="00197350"/>
    <w:rPr>
      <w:sz w:val="16"/>
      <w:szCs w:val="16"/>
    </w:rPr>
  </w:style>
  <w:style w:type="paragraph" w:styleId="CommentText">
    <w:name w:val="annotation text"/>
    <w:basedOn w:val="Normal"/>
    <w:link w:val="CommentTextChar"/>
    <w:uiPriority w:val="99"/>
    <w:semiHidden/>
    <w:unhideWhenUsed/>
    <w:rsid w:val="00197350"/>
    <w:pPr>
      <w:spacing w:line="240" w:lineRule="auto"/>
    </w:pPr>
    <w:rPr>
      <w:sz w:val="20"/>
      <w:szCs w:val="20"/>
    </w:rPr>
  </w:style>
  <w:style w:type="character" w:customStyle="1" w:styleId="CommentTextChar">
    <w:name w:val="Comment Text Char"/>
    <w:basedOn w:val="DefaultParagraphFont"/>
    <w:link w:val="CommentText"/>
    <w:uiPriority w:val="99"/>
    <w:semiHidden/>
    <w:rsid w:val="00197350"/>
    <w:rPr>
      <w:sz w:val="20"/>
      <w:szCs w:val="20"/>
    </w:rPr>
  </w:style>
  <w:style w:type="paragraph" w:styleId="CommentSubject">
    <w:name w:val="annotation subject"/>
    <w:basedOn w:val="CommentText"/>
    <w:next w:val="CommentText"/>
    <w:link w:val="CommentSubjectChar"/>
    <w:uiPriority w:val="99"/>
    <w:semiHidden/>
    <w:unhideWhenUsed/>
    <w:rsid w:val="00197350"/>
    <w:rPr>
      <w:b/>
      <w:bCs/>
    </w:rPr>
  </w:style>
  <w:style w:type="character" w:customStyle="1" w:styleId="CommentSubjectChar">
    <w:name w:val="Comment Subject Char"/>
    <w:basedOn w:val="CommentTextChar"/>
    <w:link w:val="CommentSubject"/>
    <w:uiPriority w:val="99"/>
    <w:semiHidden/>
    <w:rsid w:val="0019735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0408644">
      <w:bodyDiv w:val="1"/>
      <w:marLeft w:val="0"/>
      <w:marRight w:val="0"/>
      <w:marTop w:val="0"/>
      <w:marBottom w:val="0"/>
      <w:divBdr>
        <w:top w:val="none" w:sz="0" w:space="0" w:color="auto"/>
        <w:left w:val="none" w:sz="0" w:space="0" w:color="auto"/>
        <w:bottom w:val="none" w:sz="0" w:space="0" w:color="auto"/>
        <w:right w:val="none" w:sz="0" w:space="0" w:color="auto"/>
      </w:divBdr>
    </w:div>
    <w:div w:id="907613852">
      <w:bodyDiv w:val="1"/>
      <w:marLeft w:val="0"/>
      <w:marRight w:val="0"/>
      <w:marTop w:val="0"/>
      <w:marBottom w:val="0"/>
      <w:divBdr>
        <w:top w:val="none" w:sz="0" w:space="0" w:color="auto"/>
        <w:left w:val="none" w:sz="0" w:space="0" w:color="auto"/>
        <w:bottom w:val="none" w:sz="0" w:space="0" w:color="auto"/>
        <w:right w:val="none" w:sz="0" w:space="0" w:color="auto"/>
      </w:divBdr>
    </w:div>
    <w:div w:id="2044550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fra.europa.eu/en/publications-and-resources/publications/annual-reports/fundamental-rights-2017" TargetMode="External"/><Relationship Id="rId18" Type="http://schemas.openxmlformats.org/officeDocument/2006/relationships/hyperlink" Target="https://fra.europa.eu/en/publication/2014/violence-against-women-eu-wide-survey-main-results-report" TargetMode="External"/><Relationship Id="rId26" Type="http://schemas.openxmlformats.org/officeDocument/2006/relationships/hyperlink" Target="https://fra.europa.eu/en/publication/2018/eumidis-ii-being-black" TargetMode="External"/><Relationship Id="rId21" Type="http://schemas.openxmlformats.org/officeDocument/2006/relationships/image" Target="media/image9.png"/><Relationship Id="rId34" Type="http://schemas.openxmlformats.org/officeDocument/2006/relationships/theme" Target="theme/theme1.xml"/><Relationship Id="rId7" Type="http://schemas.openxmlformats.org/officeDocument/2006/relationships/hyperlink" Target="http://fra.europa.eu/en/publications-and-resources/data-and-maps/survey-data-explorer-violence-against-women-survey" TargetMode="External"/><Relationship Id="rId12" Type="http://schemas.openxmlformats.org/officeDocument/2006/relationships/image" Target="media/image4.png"/><Relationship Id="rId17" Type="http://schemas.openxmlformats.org/officeDocument/2006/relationships/hyperlink" Target="https://fra.europa.eu/en/publication/2017/child-migrant-detention" TargetMode="External"/><Relationship Id="rId25" Type="http://schemas.openxmlformats.org/officeDocument/2006/relationships/hyperlink" Target="https://fra.europa.eu/en/publication/2017/eumidis-ii-main-results"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8.png"/><Relationship Id="rId29" Type="http://schemas.openxmlformats.org/officeDocument/2006/relationships/hyperlink" Target="https://fra.europa.eu/en/publication/2017/mapping-minimum-age-requirements-concerning-rights-child-e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image" Target="media/image11.png"/><Relationship Id="rId32" Type="http://schemas.openxmlformats.org/officeDocument/2006/relationships/footer" Target="footer1.xml"/><Relationship Id="rId37" Type="http://schemas.openxmlformats.org/officeDocument/2006/relationships/customXml" Target="../customXml/item3.xml"/><Relationship Id="rId5" Type="http://schemas.openxmlformats.org/officeDocument/2006/relationships/footnotes" Target="footnotes.xml"/><Relationship Id="rId15" Type="http://schemas.openxmlformats.org/officeDocument/2006/relationships/hyperlink" Target="https://fra.europa.eu/en/publication/2018/child-poverty" TargetMode="External"/><Relationship Id="rId23" Type="http://schemas.openxmlformats.org/officeDocument/2006/relationships/hyperlink" Target="https://fra.europa.eu/en/publication/2014/eu-lgbt-survey-european-union-lesbian-gay-bisexual-and-transgender-survey-main" TargetMode="External"/><Relationship Id="rId28" Type="http://schemas.openxmlformats.org/officeDocument/2006/relationships/hyperlink" Target="https://fra.europa.eu/en/publications-and-resources/data-and-maps/minag?mdq1=theme&amp;mdq2=3509" TargetMode="External"/><Relationship Id="rId36" Type="http://schemas.openxmlformats.org/officeDocument/2006/relationships/customXml" Target="../customXml/item2.xml"/><Relationship Id="rId10" Type="http://schemas.openxmlformats.org/officeDocument/2006/relationships/hyperlink" Target="http://fra.europa.eu/en/publications-and-resources/data-and-maps/survey-data-explorer-lgbt-survey-2012" TargetMode="External"/><Relationship Id="rId19" Type="http://schemas.openxmlformats.org/officeDocument/2006/relationships/image" Target="media/image7.png"/><Relationship Id="rId31" Type="http://schemas.openxmlformats.org/officeDocument/2006/relationships/image" Target="media/image14.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5.emf"/><Relationship Id="rId22" Type="http://schemas.openxmlformats.org/officeDocument/2006/relationships/image" Target="media/image10.png"/><Relationship Id="rId27" Type="http://schemas.openxmlformats.org/officeDocument/2006/relationships/image" Target="media/image12.png"/><Relationship Id="rId30" Type="http://schemas.openxmlformats.org/officeDocument/2006/relationships/image" Target="media/image13.jpeg"/><Relationship Id="rId35" Type="http://schemas.openxmlformats.org/officeDocument/2006/relationships/customXml" Target="../customXml/item1.xml"/><Relationship Id="rId8" Type="http://schemas.openxmlformats.org/officeDocument/2006/relationships/image" Target="media/image1.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E8C70AF-8001-4B37-A7EF-50A2C6EE00ED}"/>
</file>

<file path=customXml/itemProps2.xml><?xml version="1.0" encoding="utf-8"?>
<ds:datastoreItem xmlns:ds="http://schemas.openxmlformats.org/officeDocument/2006/customXml" ds:itemID="{814A32B9-8096-4BD8-B069-79754400D66D}"/>
</file>

<file path=customXml/itemProps3.xml><?xml version="1.0" encoding="utf-8"?>
<ds:datastoreItem xmlns:ds="http://schemas.openxmlformats.org/officeDocument/2006/customXml" ds:itemID="{800BB2B5-031C-4843-BC83-885387A3E3AD}"/>
</file>

<file path=docProps/app.xml><?xml version="1.0" encoding="utf-8"?>
<Properties xmlns="http://schemas.openxmlformats.org/officeDocument/2006/extended-properties" xmlns:vt="http://schemas.openxmlformats.org/officeDocument/2006/docPropsVTypes">
  <Template>Normal.dotm</Template>
  <TotalTime>144</TotalTime>
  <Pages>1</Pages>
  <Words>1369</Words>
  <Characters>7807</Characters>
  <Application>Microsoft Office Word</Application>
  <DocSecurity>0</DocSecurity>
  <Lines>65</Lines>
  <Paragraphs>18</Paragraphs>
  <ScaleCrop>false</ScaleCrop>
  <HeadingPairs>
    <vt:vector size="4" baseType="variant">
      <vt:variant>
        <vt:lpstr>Title</vt:lpstr>
      </vt:variant>
      <vt:variant>
        <vt:i4>1</vt:i4>
      </vt:variant>
      <vt:variant>
        <vt:lpstr>Cím</vt:lpstr>
      </vt:variant>
      <vt:variant>
        <vt:i4>1</vt:i4>
      </vt:variant>
    </vt:vector>
  </HeadingPairs>
  <TitlesOfParts>
    <vt:vector size="2" baseType="lpstr">
      <vt:lpstr/>
      <vt:lpstr/>
    </vt:vector>
  </TitlesOfParts>
  <Company>EU Agency for Fundamental Rights</Company>
  <LinksUpToDate>false</LinksUpToDate>
  <CharactersWithSpaces>9158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BECKER Lena Ellen (FRA)</dc:creator>
  <cp:keywords/>
  <dc:description/>
  <cp:lastModifiedBy>GUTIERREZ ARQUES Monica (FRA)</cp:lastModifiedBy>
  <cp:revision>26</cp:revision>
  <dcterms:created xsi:type="dcterms:W3CDTF">2018-12-21T16:33:00Z</dcterms:created>
  <dcterms:modified xsi:type="dcterms:W3CDTF">2019-04-11T09:53:00Z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