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CA2AE6" w14:textId="4428F763" w:rsidR="00E33627" w:rsidRPr="006D6A3F" w:rsidRDefault="00E33627" w:rsidP="00DC50DE">
      <w:pPr>
        <w:spacing w:after="240"/>
        <w:jc w:val="center"/>
        <w:rPr>
          <w:rFonts w:cstheme="minorHAnsi"/>
          <w:b/>
          <w:sz w:val="28"/>
        </w:rPr>
      </w:pPr>
      <w:r w:rsidRPr="006D6A3F">
        <w:rPr>
          <w:rFonts w:cstheme="minorHAnsi"/>
          <w:b/>
          <w:bCs/>
          <w:sz w:val="28"/>
        </w:rPr>
        <w:t>Comité contre la torture (CAT)</w:t>
      </w:r>
    </w:p>
    <w:p w14:paraId="1FDC7DD1" w14:textId="13F39B66" w:rsidR="00E33627" w:rsidRPr="006D6A3F" w:rsidRDefault="00E33627" w:rsidP="00DC50DE">
      <w:pPr>
        <w:spacing w:after="240"/>
        <w:jc w:val="center"/>
        <w:rPr>
          <w:rFonts w:cstheme="minorHAnsi"/>
          <w:b/>
          <w:sz w:val="28"/>
        </w:rPr>
      </w:pPr>
      <w:r w:rsidRPr="006D6A3F">
        <w:rPr>
          <w:rFonts w:cstheme="minorHAnsi"/>
          <w:b/>
          <w:sz w:val="28"/>
        </w:rPr>
        <w:t>Examen du Luxembourg (2</w:t>
      </w:r>
      <w:r w:rsidR="002A7A1D">
        <w:rPr>
          <w:rFonts w:cstheme="minorHAnsi"/>
          <w:b/>
          <w:sz w:val="28"/>
        </w:rPr>
        <w:t>6-</w:t>
      </w:r>
      <w:r w:rsidRPr="006D6A3F">
        <w:rPr>
          <w:rFonts w:cstheme="minorHAnsi"/>
          <w:b/>
          <w:sz w:val="28"/>
        </w:rPr>
        <w:t>27 avril 2023)</w:t>
      </w:r>
    </w:p>
    <w:p w14:paraId="68D3809B" w14:textId="79A26BEF" w:rsidR="00E33627" w:rsidRPr="006D6A3F" w:rsidRDefault="00E33627" w:rsidP="00DC50DE">
      <w:pPr>
        <w:spacing w:after="240"/>
        <w:jc w:val="center"/>
        <w:rPr>
          <w:rFonts w:cstheme="minorHAnsi"/>
          <w:i/>
          <w:sz w:val="24"/>
          <w:u w:val="single"/>
        </w:rPr>
      </w:pPr>
      <w:r w:rsidRPr="006D6A3F">
        <w:rPr>
          <w:rFonts w:cstheme="minorHAnsi"/>
          <w:i/>
          <w:sz w:val="24"/>
          <w:u w:val="single"/>
        </w:rPr>
        <w:t>Informations supplémentaires</w:t>
      </w:r>
    </w:p>
    <w:sdt>
      <w:sdtPr>
        <w:id w:val="-285122240"/>
        <w:docPartObj>
          <w:docPartGallery w:val="Table of Contents"/>
          <w:docPartUnique/>
        </w:docPartObj>
      </w:sdtPr>
      <w:sdtEndPr>
        <w:rPr>
          <w:rFonts w:asciiTheme="minorHAnsi" w:eastAsiaTheme="minorHAnsi" w:hAnsiTheme="minorHAnsi" w:cstheme="minorBidi"/>
          <w:b/>
          <w:bCs/>
          <w:noProof/>
          <w:color w:val="auto"/>
          <w:sz w:val="22"/>
          <w:szCs w:val="22"/>
          <w:lang w:val="fr-FR"/>
        </w:rPr>
      </w:sdtEndPr>
      <w:sdtContent>
        <w:p w14:paraId="7C325B58" w14:textId="7F26BDB7" w:rsidR="00977944" w:rsidRDefault="00977944">
          <w:pPr>
            <w:pStyle w:val="TOCHeading"/>
          </w:pPr>
          <w:proofErr w:type="spellStart"/>
          <w:r>
            <w:t>Contenu</w:t>
          </w:r>
          <w:proofErr w:type="spellEnd"/>
        </w:p>
        <w:p w14:paraId="4599235D" w14:textId="030DEC89" w:rsidR="002941D8" w:rsidRDefault="00977944">
          <w:pPr>
            <w:pStyle w:val="TOC1"/>
            <w:tabs>
              <w:tab w:val="right" w:leader="dot" w:pos="9350"/>
            </w:tabs>
            <w:rPr>
              <w:rFonts w:eastAsiaTheme="minorEastAsia"/>
              <w:noProof/>
              <w:lang w:eastAsia="fr-FR"/>
            </w:rPr>
          </w:pPr>
          <w:r>
            <w:fldChar w:fldCharType="begin"/>
          </w:r>
          <w:r>
            <w:instrText xml:space="preserve"> TOC \o "1-3" \h \z \u </w:instrText>
          </w:r>
          <w:r>
            <w:fldChar w:fldCharType="separate"/>
          </w:r>
          <w:hyperlink w:anchor="_Toc133934837" w:history="1">
            <w:r w:rsidR="002941D8" w:rsidRPr="00324BC8">
              <w:rPr>
                <w:rStyle w:val="Hyperlink"/>
                <w:noProof/>
              </w:rPr>
              <w:t>Questions de M. Sébastien TOUZE (France)</w:t>
            </w:r>
            <w:r w:rsidR="002941D8">
              <w:rPr>
                <w:noProof/>
                <w:webHidden/>
              </w:rPr>
              <w:tab/>
            </w:r>
            <w:r w:rsidR="002941D8">
              <w:rPr>
                <w:noProof/>
                <w:webHidden/>
              </w:rPr>
              <w:fldChar w:fldCharType="begin"/>
            </w:r>
            <w:r w:rsidR="002941D8">
              <w:rPr>
                <w:noProof/>
                <w:webHidden/>
              </w:rPr>
              <w:instrText xml:space="preserve"> PAGEREF _Toc133934837 \h </w:instrText>
            </w:r>
            <w:r w:rsidR="002941D8">
              <w:rPr>
                <w:noProof/>
                <w:webHidden/>
              </w:rPr>
            </w:r>
            <w:r w:rsidR="002941D8">
              <w:rPr>
                <w:noProof/>
                <w:webHidden/>
              </w:rPr>
              <w:fldChar w:fldCharType="separate"/>
            </w:r>
            <w:r w:rsidR="002941D8">
              <w:rPr>
                <w:noProof/>
                <w:webHidden/>
              </w:rPr>
              <w:t>2</w:t>
            </w:r>
            <w:r w:rsidR="002941D8">
              <w:rPr>
                <w:noProof/>
                <w:webHidden/>
              </w:rPr>
              <w:fldChar w:fldCharType="end"/>
            </w:r>
          </w:hyperlink>
        </w:p>
        <w:p w14:paraId="1EEE7B75" w14:textId="359C65A5" w:rsidR="002941D8" w:rsidRDefault="002941D8">
          <w:pPr>
            <w:pStyle w:val="TOC2"/>
            <w:tabs>
              <w:tab w:val="left" w:pos="660"/>
              <w:tab w:val="right" w:leader="dot" w:pos="9350"/>
            </w:tabs>
            <w:rPr>
              <w:rFonts w:eastAsiaTheme="minorEastAsia"/>
              <w:noProof/>
              <w:lang w:eastAsia="fr-FR"/>
            </w:rPr>
          </w:pPr>
          <w:hyperlink w:anchor="_Toc133934838" w:history="1">
            <w:r w:rsidRPr="00324BC8">
              <w:rPr>
                <w:rStyle w:val="Hyperlink"/>
                <w:noProof/>
              </w:rPr>
              <w:t>I.</w:t>
            </w:r>
            <w:r>
              <w:rPr>
                <w:rFonts w:eastAsiaTheme="minorEastAsia"/>
                <w:noProof/>
                <w:lang w:eastAsia="fr-FR"/>
              </w:rPr>
              <w:tab/>
            </w:r>
            <w:r w:rsidRPr="00324BC8">
              <w:rPr>
                <w:rStyle w:val="Hyperlink"/>
                <w:noProof/>
              </w:rPr>
              <w:t>Les conditions de détention</w:t>
            </w:r>
            <w:r>
              <w:rPr>
                <w:noProof/>
                <w:webHidden/>
              </w:rPr>
              <w:tab/>
            </w:r>
            <w:r>
              <w:rPr>
                <w:noProof/>
                <w:webHidden/>
              </w:rPr>
              <w:fldChar w:fldCharType="begin"/>
            </w:r>
            <w:r>
              <w:rPr>
                <w:noProof/>
                <w:webHidden/>
              </w:rPr>
              <w:instrText xml:space="preserve"> PAGEREF _Toc133934838 \h </w:instrText>
            </w:r>
            <w:r>
              <w:rPr>
                <w:noProof/>
                <w:webHidden/>
              </w:rPr>
            </w:r>
            <w:r>
              <w:rPr>
                <w:noProof/>
                <w:webHidden/>
              </w:rPr>
              <w:fldChar w:fldCharType="separate"/>
            </w:r>
            <w:r>
              <w:rPr>
                <w:noProof/>
                <w:webHidden/>
              </w:rPr>
              <w:t>2</w:t>
            </w:r>
            <w:r>
              <w:rPr>
                <w:noProof/>
                <w:webHidden/>
              </w:rPr>
              <w:fldChar w:fldCharType="end"/>
            </w:r>
          </w:hyperlink>
        </w:p>
        <w:p w14:paraId="3E02F4B9" w14:textId="71877C17" w:rsidR="002941D8" w:rsidRDefault="002941D8">
          <w:pPr>
            <w:pStyle w:val="TOC3"/>
            <w:tabs>
              <w:tab w:val="right" w:leader="dot" w:pos="9350"/>
            </w:tabs>
            <w:rPr>
              <w:rFonts w:eastAsiaTheme="minorEastAsia"/>
              <w:noProof/>
              <w:lang w:eastAsia="fr-FR"/>
            </w:rPr>
          </w:pPr>
          <w:hyperlink w:anchor="_Toc133934839" w:history="1">
            <w:r w:rsidRPr="00324BC8">
              <w:rPr>
                <w:rStyle w:val="Hyperlink"/>
                <w:noProof/>
              </w:rPr>
              <w:t>I.1. Taux d’occupation des lieux de détention</w:t>
            </w:r>
            <w:r>
              <w:rPr>
                <w:noProof/>
                <w:webHidden/>
              </w:rPr>
              <w:tab/>
            </w:r>
            <w:r>
              <w:rPr>
                <w:noProof/>
                <w:webHidden/>
              </w:rPr>
              <w:fldChar w:fldCharType="begin"/>
            </w:r>
            <w:r>
              <w:rPr>
                <w:noProof/>
                <w:webHidden/>
              </w:rPr>
              <w:instrText xml:space="preserve"> PAGEREF _Toc133934839 \h </w:instrText>
            </w:r>
            <w:r>
              <w:rPr>
                <w:noProof/>
                <w:webHidden/>
              </w:rPr>
            </w:r>
            <w:r>
              <w:rPr>
                <w:noProof/>
                <w:webHidden/>
              </w:rPr>
              <w:fldChar w:fldCharType="separate"/>
            </w:r>
            <w:r>
              <w:rPr>
                <w:noProof/>
                <w:webHidden/>
              </w:rPr>
              <w:t>2</w:t>
            </w:r>
            <w:r>
              <w:rPr>
                <w:noProof/>
                <w:webHidden/>
              </w:rPr>
              <w:fldChar w:fldCharType="end"/>
            </w:r>
          </w:hyperlink>
        </w:p>
        <w:p w14:paraId="1273200C" w14:textId="6E0319A0" w:rsidR="002941D8" w:rsidRDefault="002941D8">
          <w:pPr>
            <w:pStyle w:val="TOC3"/>
            <w:tabs>
              <w:tab w:val="right" w:leader="dot" w:pos="9350"/>
            </w:tabs>
            <w:rPr>
              <w:rFonts w:eastAsiaTheme="minorEastAsia"/>
              <w:noProof/>
              <w:lang w:eastAsia="fr-FR"/>
            </w:rPr>
          </w:pPr>
          <w:hyperlink w:anchor="_Toc133934840" w:history="1">
            <w:r w:rsidRPr="00324BC8">
              <w:rPr>
                <w:rStyle w:val="Hyperlink"/>
                <w:noProof/>
              </w:rPr>
              <w:t>I.2. Recours à la garde à vue</w:t>
            </w:r>
            <w:r>
              <w:rPr>
                <w:noProof/>
                <w:webHidden/>
              </w:rPr>
              <w:tab/>
            </w:r>
            <w:r>
              <w:rPr>
                <w:noProof/>
                <w:webHidden/>
              </w:rPr>
              <w:fldChar w:fldCharType="begin"/>
            </w:r>
            <w:r>
              <w:rPr>
                <w:noProof/>
                <w:webHidden/>
              </w:rPr>
              <w:instrText xml:space="preserve"> PAGEREF _Toc133934840 \h </w:instrText>
            </w:r>
            <w:r>
              <w:rPr>
                <w:noProof/>
                <w:webHidden/>
              </w:rPr>
            </w:r>
            <w:r>
              <w:rPr>
                <w:noProof/>
                <w:webHidden/>
              </w:rPr>
              <w:fldChar w:fldCharType="separate"/>
            </w:r>
            <w:r>
              <w:rPr>
                <w:noProof/>
                <w:webHidden/>
              </w:rPr>
              <w:t>5</w:t>
            </w:r>
            <w:r>
              <w:rPr>
                <w:noProof/>
                <w:webHidden/>
              </w:rPr>
              <w:fldChar w:fldCharType="end"/>
            </w:r>
          </w:hyperlink>
        </w:p>
        <w:p w14:paraId="65A120BB" w14:textId="0CA4EB8D" w:rsidR="002941D8" w:rsidRDefault="002941D8">
          <w:pPr>
            <w:pStyle w:val="TOC3"/>
            <w:tabs>
              <w:tab w:val="right" w:leader="dot" w:pos="9350"/>
            </w:tabs>
            <w:rPr>
              <w:rFonts w:eastAsiaTheme="minorEastAsia"/>
              <w:noProof/>
              <w:lang w:eastAsia="fr-FR"/>
            </w:rPr>
          </w:pPr>
          <w:hyperlink w:anchor="_Toc133934841" w:history="1">
            <w:r w:rsidRPr="00324BC8">
              <w:rPr>
                <w:rStyle w:val="Hyperlink"/>
                <w:noProof/>
              </w:rPr>
              <w:t>I.3. Détention préventive</w:t>
            </w:r>
            <w:r>
              <w:rPr>
                <w:noProof/>
                <w:webHidden/>
              </w:rPr>
              <w:tab/>
            </w:r>
            <w:r>
              <w:rPr>
                <w:noProof/>
                <w:webHidden/>
              </w:rPr>
              <w:fldChar w:fldCharType="begin"/>
            </w:r>
            <w:r>
              <w:rPr>
                <w:noProof/>
                <w:webHidden/>
              </w:rPr>
              <w:instrText xml:space="preserve"> PAGEREF _Toc133934841 \h </w:instrText>
            </w:r>
            <w:r>
              <w:rPr>
                <w:noProof/>
                <w:webHidden/>
              </w:rPr>
            </w:r>
            <w:r>
              <w:rPr>
                <w:noProof/>
                <w:webHidden/>
              </w:rPr>
              <w:fldChar w:fldCharType="separate"/>
            </w:r>
            <w:r>
              <w:rPr>
                <w:noProof/>
                <w:webHidden/>
              </w:rPr>
              <w:t>6</w:t>
            </w:r>
            <w:r>
              <w:rPr>
                <w:noProof/>
                <w:webHidden/>
              </w:rPr>
              <w:fldChar w:fldCharType="end"/>
            </w:r>
          </w:hyperlink>
        </w:p>
        <w:p w14:paraId="7171A4DC" w14:textId="62035BC6" w:rsidR="002941D8" w:rsidRDefault="002941D8">
          <w:pPr>
            <w:pStyle w:val="TOC3"/>
            <w:tabs>
              <w:tab w:val="right" w:leader="dot" w:pos="9350"/>
            </w:tabs>
            <w:rPr>
              <w:rFonts w:eastAsiaTheme="minorEastAsia"/>
              <w:noProof/>
              <w:lang w:eastAsia="fr-FR"/>
            </w:rPr>
          </w:pPr>
          <w:hyperlink w:anchor="_Toc133934842" w:history="1">
            <w:r w:rsidRPr="00324BC8">
              <w:rPr>
                <w:rStyle w:val="Hyperlink"/>
                <w:noProof/>
              </w:rPr>
              <w:t>I.3. Centres pénitentiaires</w:t>
            </w:r>
            <w:r>
              <w:rPr>
                <w:noProof/>
                <w:webHidden/>
              </w:rPr>
              <w:tab/>
            </w:r>
            <w:r>
              <w:rPr>
                <w:noProof/>
                <w:webHidden/>
              </w:rPr>
              <w:fldChar w:fldCharType="begin"/>
            </w:r>
            <w:r>
              <w:rPr>
                <w:noProof/>
                <w:webHidden/>
              </w:rPr>
              <w:instrText xml:space="preserve"> PAGEREF _Toc133934842 \h </w:instrText>
            </w:r>
            <w:r>
              <w:rPr>
                <w:noProof/>
                <w:webHidden/>
              </w:rPr>
            </w:r>
            <w:r>
              <w:rPr>
                <w:noProof/>
                <w:webHidden/>
              </w:rPr>
              <w:fldChar w:fldCharType="separate"/>
            </w:r>
            <w:r>
              <w:rPr>
                <w:noProof/>
                <w:webHidden/>
              </w:rPr>
              <w:t>10</w:t>
            </w:r>
            <w:r>
              <w:rPr>
                <w:noProof/>
                <w:webHidden/>
              </w:rPr>
              <w:fldChar w:fldCharType="end"/>
            </w:r>
          </w:hyperlink>
        </w:p>
        <w:p w14:paraId="2FCE8096" w14:textId="0971C2F7" w:rsidR="002941D8" w:rsidRDefault="002941D8">
          <w:pPr>
            <w:pStyle w:val="TOC3"/>
            <w:tabs>
              <w:tab w:val="right" w:leader="dot" w:pos="9350"/>
            </w:tabs>
            <w:rPr>
              <w:rFonts w:eastAsiaTheme="minorEastAsia"/>
              <w:noProof/>
              <w:lang w:eastAsia="fr-FR"/>
            </w:rPr>
          </w:pPr>
          <w:hyperlink w:anchor="_Toc133934843" w:history="1">
            <w:r w:rsidRPr="00324BC8">
              <w:rPr>
                <w:rStyle w:val="Hyperlink"/>
                <w:noProof/>
              </w:rPr>
              <w:t>I.4. Conditions de détention des mineurs</w:t>
            </w:r>
            <w:r>
              <w:rPr>
                <w:noProof/>
                <w:webHidden/>
              </w:rPr>
              <w:tab/>
            </w:r>
            <w:r>
              <w:rPr>
                <w:noProof/>
                <w:webHidden/>
              </w:rPr>
              <w:fldChar w:fldCharType="begin"/>
            </w:r>
            <w:r>
              <w:rPr>
                <w:noProof/>
                <w:webHidden/>
              </w:rPr>
              <w:instrText xml:space="preserve"> PAGEREF _Toc133934843 \h </w:instrText>
            </w:r>
            <w:r>
              <w:rPr>
                <w:noProof/>
                <w:webHidden/>
              </w:rPr>
            </w:r>
            <w:r>
              <w:rPr>
                <w:noProof/>
                <w:webHidden/>
              </w:rPr>
              <w:fldChar w:fldCharType="separate"/>
            </w:r>
            <w:r>
              <w:rPr>
                <w:noProof/>
                <w:webHidden/>
              </w:rPr>
              <w:t>14</w:t>
            </w:r>
            <w:r>
              <w:rPr>
                <w:noProof/>
                <w:webHidden/>
              </w:rPr>
              <w:fldChar w:fldCharType="end"/>
            </w:r>
          </w:hyperlink>
        </w:p>
        <w:p w14:paraId="2027CD4A" w14:textId="0BF7AA6B" w:rsidR="002941D8" w:rsidRDefault="002941D8">
          <w:pPr>
            <w:pStyle w:val="TOC2"/>
            <w:tabs>
              <w:tab w:val="left" w:pos="660"/>
              <w:tab w:val="right" w:leader="dot" w:pos="9350"/>
            </w:tabs>
            <w:rPr>
              <w:rFonts w:eastAsiaTheme="minorEastAsia"/>
              <w:noProof/>
              <w:lang w:eastAsia="fr-FR"/>
            </w:rPr>
          </w:pPr>
          <w:hyperlink w:anchor="_Toc133934844" w:history="1">
            <w:r w:rsidRPr="00324BC8">
              <w:rPr>
                <w:rStyle w:val="Hyperlink"/>
                <w:noProof/>
              </w:rPr>
              <w:t>II.</w:t>
            </w:r>
            <w:r>
              <w:rPr>
                <w:rFonts w:eastAsiaTheme="minorEastAsia"/>
                <w:noProof/>
                <w:lang w:eastAsia="fr-FR"/>
              </w:rPr>
              <w:tab/>
            </w:r>
            <w:r w:rsidRPr="00324BC8">
              <w:rPr>
                <w:rStyle w:val="Hyperlink"/>
                <w:noProof/>
              </w:rPr>
              <w:t>Violences en détention</w:t>
            </w:r>
            <w:r>
              <w:rPr>
                <w:noProof/>
                <w:webHidden/>
              </w:rPr>
              <w:tab/>
            </w:r>
            <w:r>
              <w:rPr>
                <w:noProof/>
                <w:webHidden/>
              </w:rPr>
              <w:fldChar w:fldCharType="begin"/>
            </w:r>
            <w:r>
              <w:rPr>
                <w:noProof/>
                <w:webHidden/>
              </w:rPr>
              <w:instrText xml:space="preserve"> PAGEREF _Toc133934844 \h </w:instrText>
            </w:r>
            <w:r>
              <w:rPr>
                <w:noProof/>
                <w:webHidden/>
              </w:rPr>
            </w:r>
            <w:r>
              <w:rPr>
                <w:noProof/>
                <w:webHidden/>
              </w:rPr>
              <w:fldChar w:fldCharType="separate"/>
            </w:r>
            <w:r>
              <w:rPr>
                <w:noProof/>
                <w:webHidden/>
              </w:rPr>
              <w:t>15</w:t>
            </w:r>
            <w:r>
              <w:rPr>
                <w:noProof/>
                <w:webHidden/>
              </w:rPr>
              <w:fldChar w:fldCharType="end"/>
            </w:r>
          </w:hyperlink>
        </w:p>
        <w:p w14:paraId="31FB5EB5" w14:textId="08BA7634" w:rsidR="002941D8" w:rsidRDefault="002941D8">
          <w:pPr>
            <w:pStyle w:val="TOC3"/>
            <w:tabs>
              <w:tab w:val="right" w:leader="dot" w:pos="9350"/>
            </w:tabs>
            <w:rPr>
              <w:rFonts w:eastAsiaTheme="minorEastAsia"/>
              <w:noProof/>
              <w:lang w:eastAsia="fr-FR"/>
            </w:rPr>
          </w:pPr>
          <w:hyperlink w:anchor="_Toc133934845" w:history="1">
            <w:r w:rsidRPr="00324BC8">
              <w:rPr>
                <w:rStyle w:val="Hyperlink"/>
                <w:noProof/>
              </w:rPr>
              <w:t>II.2. Violences entre détenus</w:t>
            </w:r>
            <w:r>
              <w:rPr>
                <w:noProof/>
                <w:webHidden/>
              </w:rPr>
              <w:tab/>
            </w:r>
            <w:r>
              <w:rPr>
                <w:noProof/>
                <w:webHidden/>
              </w:rPr>
              <w:fldChar w:fldCharType="begin"/>
            </w:r>
            <w:r>
              <w:rPr>
                <w:noProof/>
                <w:webHidden/>
              </w:rPr>
              <w:instrText xml:space="preserve"> PAGEREF _Toc133934845 \h </w:instrText>
            </w:r>
            <w:r>
              <w:rPr>
                <w:noProof/>
                <w:webHidden/>
              </w:rPr>
            </w:r>
            <w:r>
              <w:rPr>
                <w:noProof/>
                <w:webHidden/>
              </w:rPr>
              <w:fldChar w:fldCharType="separate"/>
            </w:r>
            <w:r>
              <w:rPr>
                <w:noProof/>
                <w:webHidden/>
              </w:rPr>
              <w:t>15</w:t>
            </w:r>
            <w:r>
              <w:rPr>
                <w:noProof/>
                <w:webHidden/>
              </w:rPr>
              <w:fldChar w:fldCharType="end"/>
            </w:r>
          </w:hyperlink>
        </w:p>
        <w:p w14:paraId="136D22E5" w14:textId="21A6FC80" w:rsidR="002941D8" w:rsidRDefault="002941D8">
          <w:pPr>
            <w:pStyle w:val="TOC2"/>
            <w:tabs>
              <w:tab w:val="left" w:pos="880"/>
              <w:tab w:val="right" w:leader="dot" w:pos="9350"/>
            </w:tabs>
            <w:rPr>
              <w:rFonts w:eastAsiaTheme="minorEastAsia"/>
              <w:noProof/>
              <w:lang w:eastAsia="fr-FR"/>
            </w:rPr>
          </w:pPr>
          <w:hyperlink w:anchor="_Toc133934846" w:history="1">
            <w:r w:rsidRPr="00324BC8">
              <w:rPr>
                <w:rStyle w:val="Hyperlink"/>
                <w:noProof/>
              </w:rPr>
              <w:t>III.</w:t>
            </w:r>
            <w:r>
              <w:rPr>
                <w:rFonts w:eastAsiaTheme="minorEastAsia"/>
                <w:noProof/>
                <w:lang w:eastAsia="fr-FR"/>
              </w:rPr>
              <w:tab/>
            </w:r>
            <w:r w:rsidRPr="00324BC8">
              <w:rPr>
                <w:rStyle w:val="Hyperlink"/>
                <w:noProof/>
              </w:rPr>
              <w:t>Traite des êtres humains</w:t>
            </w:r>
            <w:r>
              <w:rPr>
                <w:noProof/>
                <w:webHidden/>
              </w:rPr>
              <w:tab/>
            </w:r>
            <w:r>
              <w:rPr>
                <w:noProof/>
                <w:webHidden/>
              </w:rPr>
              <w:fldChar w:fldCharType="begin"/>
            </w:r>
            <w:r>
              <w:rPr>
                <w:noProof/>
                <w:webHidden/>
              </w:rPr>
              <w:instrText xml:space="preserve"> PAGEREF _Toc133934846 \h </w:instrText>
            </w:r>
            <w:r>
              <w:rPr>
                <w:noProof/>
                <w:webHidden/>
              </w:rPr>
            </w:r>
            <w:r>
              <w:rPr>
                <w:noProof/>
                <w:webHidden/>
              </w:rPr>
              <w:fldChar w:fldCharType="separate"/>
            </w:r>
            <w:r>
              <w:rPr>
                <w:noProof/>
                <w:webHidden/>
              </w:rPr>
              <w:t>16</w:t>
            </w:r>
            <w:r>
              <w:rPr>
                <w:noProof/>
                <w:webHidden/>
              </w:rPr>
              <w:fldChar w:fldCharType="end"/>
            </w:r>
          </w:hyperlink>
        </w:p>
        <w:p w14:paraId="5CE05633" w14:textId="071560C7" w:rsidR="002941D8" w:rsidRDefault="002941D8">
          <w:pPr>
            <w:pStyle w:val="TOC3"/>
            <w:tabs>
              <w:tab w:val="right" w:leader="dot" w:pos="9350"/>
            </w:tabs>
            <w:rPr>
              <w:rFonts w:eastAsiaTheme="minorEastAsia"/>
              <w:noProof/>
              <w:lang w:eastAsia="fr-FR"/>
            </w:rPr>
          </w:pPr>
          <w:hyperlink w:anchor="_Toc133934847" w:history="1">
            <w:r w:rsidRPr="00324BC8">
              <w:rPr>
                <w:rStyle w:val="Hyperlink"/>
                <w:noProof/>
              </w:rPr>
              <w:t>III.1. Plan de lutte contre la traite des êtres humains</w:t>
            </w:r>
            <w:r>
              <w:rPr>
                <w:noProof/>
                <w:webHidden/>
              </w:rPr>
              <w:tab/>
            </w:r>
            <w:r>
              <w:rPr>
                <w:noProof/>
                <w:webHidden/>
              </w:rPr>
              <w:fldChar w:fldCharType="begin"/>
            </w:r>
            <w:r>
              <w:rPr>
                <w:noProof/>
                <w:webHidden/>
              </w:rPr>
              <w:instrText xml:space="preserve"> PAGEREF _Toc133934847 \h </w:instrText>
            </w:r>
            <w:r>
              <w:rPr>
                <w:noProof/>
                <w:webHidden/>
              </w:rPr>
            </w:r>
            <w:r>
              <w:rPr>
                <w:noProof/>
                <w:webHidden/>
              </w:rPr>
              <w:fldChar w:fldCharType="separate"/>
            </w:r>
            <w:r>
              <w:rPr>
                <w:noProof/>
                <w:webHidden/>
              </w:rPr>
              <w:t>16</w:t>
            </w:r>
            <w:r>
              <w:rPr>
                <w:noProof/>
                <w:webHidden/>
              </w:rPr>
              <w:fldChar w:fldCharType="end"/>
            </w:r>
          </w:hyperlink>
        </w:p>
        <w:p w14:paraId="2557C669" w14:textId="1CEB0CFD" w:rsidR="002941D8" w:rsidRDefault="002941D8">
          <w:pPr>
            <w:pStyle w:val="TOC3"/>
            <w:tabs>
              <w:tab w:val="right" w:leader="dot" w:pos="9350"/>
            </w:tabs>
            <w:rPr>
              <w:rFonts w:eastAsiaTheme="minorEastAsia"/>
              <w:noProof/>
              <w:lang w:eastAsia="fr-FR"/>
            </w:rPr>
          </w:pPr>
          <w:hyperlink w:anchor="_Toc133934848" w:history="1">
            <w:r w:rsidRPr="00324BC8">
              <w:rPr>
                <w:rStyle w:val="Hyperlink"/>
                <w:noProof/>
              </w:rPr>
              <w:t>III.2. Prostitution de mineurs</w:t>
            </w:r>
            <w:r>
              <w:rPr>
                <w:noProof/>
                <w:webHidden/>
              </w:rPr>
              <w:tab/>
            </w:r>
            <w:r>
              <w:rPr>
                <w:noProof/>
                <w:webHidden/>
              </w:rPr>
              <w:fldChar w:fldCharType="begin"/>
            </w:r>
            <w:r>
              <w:rPr>
                <w:noProof/>
                <w:webHidden/>
              </w:rPr>
              <w:instrText xml:space="preserve"> PAGEREF _Toc133934848 \h </w:instrText>
            </w:r>
            <w:r>
              <w:rPr>
                <w:noProof/>
                <w:webHidden/>
              </w:rPr>
            </w:r>
            <w:r>
              <w:rPr>
                <w:noProof/>
                <w:webHidden/>
              </w:rPr>
              <w:fldChar w:fldCharType="separate"/>
            </w:r>
            <w:r>
              <w:rPr>
                <w:noProof/>
                <w:webHidden/>
              </w:rPr>
              <w:t>17</w:t>
            </w:r>
            <w:r>
              <w:rPr>
                <w:noProof/>
                <w:webHidden/>
              </w:rPr>
              <w:fldChar w:fldCharType="end"/>
            </w:r>
          </w:hyperlink>
        </w:p>
        <w:p w14:paraId="3363627E" w14:textId="1260BCE0" w:rsidR="002941D8" w:rsidRDefault="002941D8">
          <w:pPr>
            <w:pStyle w:val="TOC2"/>
            <w:tabs>
              <w:tab w:val="left" w:pos="880"/>
              <w:tab w:val="right" w:leader="dot" w:pos="9350"/>
            </w:tabs>
            <w:rPr>
              <w:rFonts w:eastAsiaTheme="minorEastAsia"/>
              <w:noProof/>
              <w:lang w:eastAsia="fr-FR"/>
            </w:rPr>
          </w:pPr>
          <w:hyperlink w:anchor="_Toc133934849" w:history="1">
            <w:r w:rsidRPr="00324BC8">
              <w:rPr>
                <w:rStyle w:val="Hyperlink"/>
                <w:noProof/>
              </w:rPr>
              <w:t>IV.</w:t>
            </w:r>
            <w:r>
              <w:rPr>
                <w:rFonts w:eastAsiaTheme="minorEastAsia"/>
                <w:noProof/>
                <w:lang w:eastAsia="fr-FR"/>
              </w:rPr>
              <w:tab/>
            </w:r>
            <w:r w:rsidRPr="00324BC8">
              <w:rPr>
                <w:rStyle w:val="Hyperlink"/>
                <w:noProof/>
              </w:rPr>
              <w:t>Violences faites aux femmes</w:t>
            </w:r>
            <w:r>
              <w:rPr>
                <w:noProof/>
                <w:webHidden/>
              </w:rPr>
              <w:tab/>
            </w:r>
            <w:r>
              <w:rPr>
                <w:noProof/>
                <w:webHidden/>
              </w:rPr>
              <w:fldChar w:fldCharType="begin"/>
            </w:r>
            <w:r>
              <w:rPr>
                <w:noProof/>
                <w:webHidden/>
              </w:rPr>
              <w:instrText xml:space="preserve"> PAGEREF _Toc133934849 \h </w:instrText>
            </w:r>
            <w:r>
              <w:rPr>
                <w:noProof/>
                <w:webHidden/>
              </w:rPr>
            </w:r>
            <w:r>
              <w:rPr>
                <w:noProof/>
                <w:webHidden/>
              </w:rPr>
              <w:fldChar w:fldCharType="separate"/>
            </w:r>
            <w:r>
              <w:rPr>
                <w:noProof/>
                <w:webHidden/>
              </w:rPr>
              <w:t>18</w:t>
            </w:r>
            <w:r>
              <w:rPr>
                <w:noProof/>
                <w:webHidden/>
              </w:rPr>
              <w:fldChar w:fldCharType="end"/>
            </w:r>
          </w:hyperlink>
        </w:p>
        <w:p w14:paraId="06C64608" w14:textId="1F5E2360" w:rsidR="002941D8" w:rsidRDefault="002941D8">
          <w:pPr>
            <w:pStyle w:val="TOC3"/>
            <w:tabs>
              <w:tab w:val="right" w:leader="dot" w:pos="9350"/>
            </w:tabs>
            <w:rPr>
              <w:rFonts w:eastAsiaTheme="minorEastAsia"/>
              <w:noProof/>
              <w:lang w:eastAsia="fr-FR"/>
            </w:rPr>
          </w:pPr>
          <w:hyperlink w:anchor="_Toc133934850" w:history="1">
            <w:r w:rsidRPr="00324BC8">
              <w:rPr>
                <w:rStyle w:val="Hyperlink"/>
                <w:noProof/>
              </w:rPr>
              <w:t>IV.1. Statistiques</w:t>
            </w:r>
            <w:r>
              <w:rPr>
                <w:noProof/>
                <w:webHidden/>
              </w:rPr>
              <w:tab/>
            </w:r>
            <w:r>
              <w:rPr>
                <w:noProof/>
                <w:webHidden/>
              </w:rPr>
              <w:fldChar w:fldCharType="begin"/>
            </w:r>
            <w:r>
              <w:rPr>
                <w:noProof/>
                <w:webHidden/>
              </w:rPr>
              <w:instrText xml:space="preserve"> PAGEREF _Toc133934850 \h </w:instrText>
            </w:r>
            <w:r>
              <w:rPr>
                <w:noProof/>
                <w:webHidden/>
              </w:rPr>
            </w:r>
            <w:r>
              <w:rPr>
                <w:noProof/>
                <w:webHidden/>
              </w:rPr>
              <w:fldChar w:fldCharType="separate"/>
            </w:r>
            <w:r>
              <w:rPr>
                <w:noProof/>
                <w:webHidden/>
              </w:rPr>
              <w:t>18</w:t>
            </w:r>
            <w:r>
              <w:rPr>
                <w:noProof/>
                <w:webHidden/>
              </w:rPr>
              <w:fldChar w:fldCharType="end"/>
            </w:r>
          </w:hyperlink>
        </w:p>
        <w:p w14:paraId="7F79549A" w14:textId="5FEE0EF5" w:rsidR="002941D8" w:rsidRDefault="002941D8">
          <w:pPr>
            <w:pStyle w:val="TOC3"/>
            <w:tabs>
              <w:tab w:val="right" w:leader="dot" w:pos="9350"/>
            </w:tabs>
            <w:rPr>
              <w:rFonts w:eastAsiaTheme="minorEastAsia"/>
              <w:noProof/>
              <w:lang w:eastAsia="fr-FR"/>
            </w:rPr>
          </w:pPr>
          <w:hyperlink w:anchor="_Toc133934851" w:history="1">
            <w:r w:rsidRPr="00324BC8">
              <w:rPr>
                <w:rStyle w:val="Hyperlink"/>
                <w:noProof/>
              </w:rPr>
              <w:t>IV.2. La prise en charge des victimes de violences conjugales</w:t>
            </w:r>
            <w:r>
              <w:rPr>
                <w:noProof/>
                <w:webHidden/>
              </w:rPr>
              <w:tab/>
            </w:r>
            <w:r>
              <w:rPr>
                <w:noProof/>
                <w:webHidden/>
              </w:rPr>
              <w:fldChar w:fldCharType="begin"/>
            </w:r>
            <w:r>
              <w:rPr>
                <w:noProof/>
                <w:webHidden/>
              </w:rPr>
              <w:instrText xml:space="preserve"> PAGEREF _Toc133934851 \h </w:instrText>
            </w:r>
            <w:r>
              <w:rPr>
                <w:noProof/>
                <w:webHidden/>
              </w:rPr>
            </w:r>
            <w:r>
              <w:rPr>
                <w:noProof/>
                <w:webHidden/>
              </w:rPr>
              <w:fldChar w:fldCharType="separate"/>
            </w:r>
            <w:r>
              <w:rPr>
                <w:noProof/>
                <w:webHidden/>
              </w:rPr>
              <w:t>19</w:t>
            </w:r>
            <w:r>
              <w:rPr>
                <w:noProof/>
                <w:webHidden/>
              </w:rPr>
              <w:fldChar w:fldCharType="end"/>
            </w:r>
          </w:hyperlink>
        </w:p>
        <w:p w14:paraId="6CAFA4E2" w14:textId="29EE287D" w:rsidR="002941D8" w:rsidRDefault="002941D8">
          <w:pPr>
            <w:pStyle w:val="TOC3"/>
            <w:tabs>
              <w:tab w:val="right" w:leader="dot" w:pos="9350"/>
            </w:tabs>
            <w:rPr>
              <w:rFonts w:eastAsiaTheme="minorEastAsia"/>
              <w:noProof/>
              <w:lang w:eastAsia="fr-FR"/>
            </w:rPr>
          </w:pPr>
          <w:hyperlink w:anchor="_Toc133934852" w:history="1">
            <w:r w:rsidRPr="00324BC8">
              <w:rPr>
                <w:rStyle w:val="Hyperlink"/>
                <w:noProof/>
              </w:rPr>
              <w:t>IV.3. Prescription du viol</w:t>
            </w:r>
            <w:r>
              <w:rPr>
                <w:noProof/>
                <w:webHidden/>
              </w:rPr>
              <w:tab/>
            </w:r>
            <w:r>
              <w:rPr>
                <w:noProof/>
                <w:webHidden/>
              </w:rPr>
              <w:fldChar w:fldCharType="begin"/>
            </w:r>
            <w:r>
              <w:rPr>
                <w:noProof/>
                <w:webHidden/>
              </w:rPr>
              <w:instrText xml:space="preserve"> PAGEREF _Toc133934852 \h </w:instrText>
            </w:r>
            <w:r>
              <w:rPr>
                <w:noProof/>
                <w:webHidden/>
              </w:rPr>
            </w:r>
            <w:r>
              <w:rPr>
                <w:noProof/>
                <w:webHidden/>
              </w:rPr>
              <w:fldChar w:fldCharType="separate"/>
            </w:r>
            <w:r>
              <w:rPr>
                <w:noProof/>
                <w:webHidden/>
              </w:rPr>
              <w:t>19</w:t>
            </w:r>
            <w:r>
              <w:rPr>
                <w:noProof/>
                <w:webHidden/>
              </w:rPr>
              <w:fldChar w:fldCharType="end"/>
            </w:r>
          </w:hyperlink>
        </w:p>
        <w:p w14:paraId="29556591" w14:textId="3B9513DA" w:rsidR="002941D8" w:rsidRDefault="002941D8">
          <w:pPr>
            <w:pStyle w:val="TOC3"/>
            <w:tabs>
              <w:tab w:val="right" w:leader="dot" w:pos="9350"/>
            </w:tabs>
            <w:rPr>
              <w:rFonts w:eastAsiaTheme="minorEastAsia"/>
              <w:noProof/>
              <w:lang w:eastAsia="fr-FR"/>
            </w:rPr>
          </w:pPr>
          <w:hyperlink w:anchor="_Toc133934853" w:history="1">
            <w:r w:rsidRPr="00324BC8">
              <w:rPr>
                <w:rStyle w:val="Hyperlink"/>
                <w:noProof/>
              </w:rPr>
              <w:t>IV.4. Appui au Fonds de contributions volontaires des Nations Unies pour les victimes de la torture</w:t>
            </w:r>
            <w:r>
              <w:rPr>
                <w:noProof/>
                <w:webHidden/>
              </w:rPr>
              <w:tab/>
            </w:r>
            <w:r>
              <w:rPr>
                <w:noProof/>
                <w:webHidden/>
              </w:rPr>
              <w:fldChar w:fldCharType="begin"/>
            </w:r>
            <w:r>
              <w:rPr>
                <w:noProof/>
                <w:webHidden/>
              </w:rPr>
              <w:instrText xml:space="preserve"> PAGEREF _Toc133934853 \h </w:instrText>
            </w:r>
            <w:r>
              <w:rPr>
                <w:noProof/>
                <w:webHidden/>
              </w:rPr>
            </w:r>
            <w:r>
              <w:rPr>
                <w:noProof/>
                <w:webHidden/>
              </w:rPr>
              <w:fldChar w:fldCharType="separate"/>
            </w:r>
            <w:r>
              <w:rPr>
                <w:noProof/>
                <w:webHidden/>
              </w:rPr>
              <w:t>19</w:t>
            </w:r>
            <w:r>
              <w:rPr>
                <w:noProof/>
                <w:webHidden/>
              </w:rPr>
              <w:fldChar w:fldCharType="end"/>
            </w:r>
          </w:hyperlink>
        </w:p>
        <w:p w14:paraId="4C264211" w14:textId="55BD07A1" w:rsidR="002941D8" w:rsidRDefault="002941D8">
          <w:pPr>
            <w:pStyle w:val="TOC1"/>
            <w:tabs>
              <w:tab w:val="right" w:leader="dot" w:pos="9350"/>
            </w:tabs>
            <w:rPr>
              <w:rFonts w:eastAsiaTheme="minorEastAsia"/>
              <w:noProof/>
              <w:lang w:eastAsia="fr-FR"/>
            </w:rPr>
          </w:pPr>
          <w:hyperlink w:anchor="_Toc133934854" w:history="1">
            <w:r w:rsidRPr="00324BC8">
              <w:rPr>
                <w:rStyle w:val="Hyperlink"/>
                <w:noProof/>
              </w:rPr>
              <w:t>Questions de Mme. MAEDA Naoko (Japon)</w:t>
            </w:r>
            <w:r>
              <w:rPr>
                <w:noProof/>
                <w:webHidden/>
              </w:rPr>
              <w:tab/>
            </w:r>
            <w:r>
              <w:rPr>
                <w:noProof/>
                <w:webHidden/>
              </w:rPr>
              <w:fldChar w:fldCharType="begin"/>
            </w:r>
            <w:r>
              <w:rPr>
                <w:noProof/>
                <w:webHidden/>
              </w:rPr>
              <w:instrText xml:space="preserve"> PAGEREF _Toc133934854 \h </w:instrText>
            </w:r>
            <w:r>
              <w:rPr>
                <w:noProof/>
                <w:webHidden/>
              </w:rPr>
            </w:r>
            <w:r>
              <w:rPr>
                <w:noProof/>
                <w:webHidden/>
              </w:rPr>
              <w:fldChar w:fldCharType="separate"/>
            </w:r>
            <w:r>
              <w:rPr>
                <w:noProof/>
                <w:webHidden/>
              </w:rPr>
              <w:t>20</w:t>
            </w:r>
            <w:r>
              <w:rPr>
                <w:noProof/>
                <w:webHidden/>
              </w:rPr>
              <w:fldChar w:fldCharType="end"/>
            </w:r>
          </w:hyperlink>
        </w:p>
        <w:p w14:paraId="72C17092" w14:textId="37FB8F90" w:rsidR="002941D8" w:rsidRDefault="002941D8">
          <w:pPr>
            <w:pStyle w:val="TOC2"/>
            <w:tabs>
              <w:tab w:val="left" w:pos="660"/>
              <w:tab w:val="right" w:leader="dot" w:pos="9350"/>
            </w:tabs>
            <w:rPr>
              <w:rFonts w:eastAsiaTheme="minorEastAsia"/>
              <w:noProof/>
              <w:lang w:eastAsia="fr-FR"/>
            </w:rPr>
          </w:pPr>
          <w:hyperlink w:anchor="_Toc133934855" w:history="1">
            <w:r w:rsidRPr="00324BC8">
              <w:rPr>
                <w:rStyle w:val="Hyperlink"/>
                <w:noProof/>
              </w:rPr>
              <w:t>V.</w:t>
            </w:r>
            <w:r>
              <w:rPr>
                <w:rFonts w:eastAsiaTheme="minorEastAsia"/>
                <w:noProof/>
                <w:lang w:eastAsia="fr-FR"/>
              </w:rPr>
              <w:tab/>
            </w:r>
            <w:r w:rsidRPr="00324BC8">
              <w:rPr>
                <w:rStyle w:val="Hyperlink"/>
                <w:noProof/>
              </w:rPr>
              <w:t>Asile</w:t>
            </w:r>
            <w:r>
              <w:rPr>
                <w:noProof/>
                <w:webHidden/>
              </w:rPr>
              <w:tab/>
            </w:r>
            <w:r>
              <w:rPr>
                <w:noProof/>
                <w:webHidden/>
              </w:rPr>
              <w:fldChar w:fldCharType="begin"/>
            </w:r>
            <w:r>
              <w:rPr>
                <w:noProof/>
                <w:webHidden/>
              </w:rPr>
              <w:instrText xml:space="preserve"> PAGEREF _Toc133934855 \h </w:instrText>
            </w:r>
            <w:r>
              <w:rPr>
                <w:noProof/>
                <w:webHidden/>
              </w:rPr>
            </w:r>
            <w:r>
              <w:rPr>
                <w:noProof/>
                <w:webHidden/>
              </w:rPr>
              <w:fldChar w:fldCharType="separate"/>
            </w:r>
            <w:r>
              <w:rPr>
                <w:noProof/>
                <w:webHidden/>
              </w:rPr>
              <w:t>20</w:t>
            </w:r>
            <w:r>
              <w:rPr>
                <w:noProof/>
                <w:webHidden/>
              </w:rPr>
              <w:fldChar w:fldCharType="end"/>
            </w:r>
          </w:hyperlink>
        </w:p>
        <w:p w14:paraId="02088E8C" w14:textId="15114C95" w:rsidR="002941D8" w:rsidRDefault="002941D8">
          <w:pPr>
            <w:pStyle w:val="TOC3"/>
            <w:tabs>
              <w:tab w:val="right" w:leader="dot" w:pos="9350"/>
            </w:tabs>
            <w:rPr>
              <w:rFonts w:eastAsiaTheme="minorEastAsia"/>
              <w:noProof/>
              <w:lang w:eastAsia="fr-FR"/>
            </w:rPr>
          </w:pPr>
          <w:hyperlink w:anchor="_Toc133934856" w:history="1">
            <w:r w:rsidRPr="00324BC8">
              <w:rPr>
                <w:rStyle w:val="Hyperlink"/>
                <w:noProof/>
              </w:rPr>
              <w:t>V.1. Statistiques</w:t>
            </w:r>
            <w:r>
              <w:rPr>
                <w:noProof/>
                <w:webHidden/>
              </w:rPr>
              <w:tab/>
            </w:r>
            <w:r>
              <w:rPr>
                <w:noProof/>
                <w:webHidden/>
              </w:rPr>
              <w:fldChar w:fldCharType="begin"/>
            </w:r>
            <w:r>
              <w:rPr>
                <w:noProof/>
                <w:webHidden/>
              </w:rPr>
              <w:instrText xml:space="preserve"> PAGEREF _Toc133934856 \h </w:instrText>
            </w:r>
            <w:r>
              <w:rPr>
                <w:noProof/>
                <w:webHidden/>
              </w:rPr>
            </w:r>
            <w:r>
              <w:rPr>
                <w:noProof/>
                <w:webHidden/>
              </w:rPr>
              <w:fldChar w:fldCharType="separate"/>
            </w:r>
            <w:r>
              <w:rPr>
                <w:noProof/>
                <w:webHidden/>
              </w:rPr>
              <w:t>20</w:t>
            </w:r>
            <w:r>
              <w:rPr>
                <w:noProof/>
                <w:webHidden/>
              </w:rPr>
              <w:fldChar w:fldCharType="end"/>
            </w:r>
          </w:hyperlink>
        </w:p>
        <w:p w14:paraId="1D514DEE" w14:textId="3B27C398" w:rsidR="002941D8" w:rsidRDefault="002941D8">
          <w:pPr>
            <w:pStyle w:val="TOC3"/>
            <w:tabs>
              <w:tab w:val="right" w:leader="dot" w:pos="9350"/>
            </w:tabs>
            <w:rPr>
              <w:rFonts w:eastAsiaTheme="minorEastAsia"/>
              <w:noProof/>
              <w:lang w:eastAsia="fr-FR"/>
            </w:rPr>
          </w:pPr>
          <w:hyperlink w:anchor="_Toc133934857" w:history="1">
            <w:r w:rsidRPr="00324BC8">
              <w:rPr>
                <w:rStyle w:val="Hyperlink"/>
                <w:noProof/>
              </w:rPr>
              <w:t>V.2. Demandes de protection internationale</w:t>
            </w:r>
            <w:r>
              <w:rPr>
                <w:noProof/>
                <w:webHidden/>
              </w:rPr>
              <w:tab/>
            </w:r>
            <w:r>
              <w:rPr>
                <w:noProof/>
                <w:webHidden/>
              </w:rPr>
              <w:fldChar w:fldCharType="begin"/>
            </w:r>
            <w:r>
              <w:rPr>
                <w:noProof/>
                <w:webHidden/>
              </w:rPr>
              <w:instrText xml:space="preserve"> PAGEREF _Toc133934857 \h </w:instrText>
            </w:r>
            <w:r>
              <w:rPr>
                <w:noProof/>
                <w:webHidden/>
              </w:rPr>
            </w:r>
            <w:r>
              <w:rPr>
                <w:noProof/>
                <w:webHidden/>
              </w:rPr>
              <w:fldChar w:fldCharType="separate"/>
            </w:r>
            <w:r>
              <w:rPr>
                <w:noProof/>
                <w:webHidden/>
              </w:rPr>
              <w:t>21</w:t>
            </w:r>
            <w:r>
              <w:rPr>
                <w:noProof/>
                <w:webHidden/>
              </w:rPr>
              <w:fldChar w:fldCharType="end"/>
            </w:r>
          </w:hyperlink>
        </w:p>
        <w:p w14:paraId="5327585D" w14:textId="21D360A1" w:rsidR="002941D8" w:rsidRDefault="002941D8">
          <w:pPr>
            <w:pStyle w:val="TOC3"/>
            <w:tabs>
              <w:tab w:val="right" w:leader="dot" w:pos="9350"/>
            </w:tabs>
            <w:rPr>
              <w:rFonts w:eastAsiaTheme="minorEastAsia"/>
              <w:noProof/>
              <w:lang w:eastAsia="fr-FR"/>
            </w:rPr>
          </w:pPr>
          <w:hyperlink w:anchor="_Toc133934858" w:history="1">
            <w:r w:rsidRPr="00324BC8">
              <w:rPr>
                <w:rStyle w:val="Hyperlink"/>
                <w:noProof/>
              </w:rPr>
              <w:t>V.3. Soutien aux demandeurs de protection internationale</w:t>
            </w:r>
            <w:r>
              <w:rPr>
                <w:noProof/>
                <w:webHidden/>
              </w:rPr>
              <w:tab/>
            </w:r>
            <w:r>
              <w:rPr>
                <w:noProof/>
                <w:webHidden/>
              </w:rPr>
              <w:fldChar w:fldCharType="begin"/>
            </w:r>
            <w:r>
              <w:rPr>
                <w:noProof/>
                <w:webHidden/>
              </w:rPr>
              <w:instrText xml:space="preserve"> PAGEREF _Toc133934858 \h </w:instrText>
            </w:r>
            <w:r>
              <w:rPr>
                <w:noProof/>
                <w:webHidden/>
              </w:rPr>
            </w:r>
            <w:r>
              <w:rPr>
                <w:noProof/>
                <w:webHidden/>
              </w:rPr>
              <w:fldChar w:fldCharType="separate"/>
            </w:r>
            <w:r>
              <w:rPr>
                <w:noProof/>
                <w:webHidden/>
              </w:rPr>
              <w:t>24</w:t>
            </w:r>
            <w:r>
              <w:rPr>
                <w:noProof/>
                <w:webHidden/>
              </w:rPr>
              <w:fldChar w:fldCharType="end"/>
            </w:r>
          </w:hyperlink>
        </w:p>
        <w:p w14:paraId="2775BB68" w14:textId="4ECA030A" w:rsidR="002941D8" w:rsidRDefault="002941D8">
          <w:pPr>
            <w:pStyle w:val="TOC2"/>
            <w:tabs>
              <w:tab w:val="left" w:pos="880"/>
              <w:tab w:val="right" w:leader="dot" w:pos="9350"/>
            </w:tabs>
            <w:rPr>
              <w:rFonts w:eastAsiaTheme="minorEastAsia"/>
              <w:noProof/>
              <w:lang w:eastAsia="fr-FR"/>
            </w:rPr>
          </w:pPr>
          <w:hyperlink w:anchor="_Toc133934859" w:history="1">
            <w:r w:rsidRPr="00324BC8">
              <w:rPr>
                <w:rStyle w:val="Hyperlink"/>
                <w:noProof/>
              </w:rPr>
              <w:t>VI.</w:t>
            </w:r>
            <w:r>
              <w:rPr>
                <w:rFonts w:eastAsiaTheme="minorEastAsia"/>
                <w:noProof/>
                <w:lang w:eastAsia="fr-FR"/>
              </w:rPr>
              <w:tab/>
            </w:r>
            <w:r w:rsidRPr="00324BC8">
              <w:rPr>
                <w:rStyle w:val="Hyperlink"/>
                <w:noProof/>
              </w:rPr>
              <w:t>Extradition</w:t>
            </w:r>
            <w:r>
              <w:rPr>
                <w:noProof/>
                <w:webHidden/>
              </w:rPr>
              <w:tab/>
            </w:r>
            <w:r>
              <w:rPr>
                <w:noProof/>
                <w:webHidden/>
              </w:rPr>
              <w:fldChar w:fldCharType="begin"/>
            </w:r>
            <w:r>
              <w:rPr>
                <w:noProof/>
                <w:webHidden/>
              </w:rPr>
              <w:instrText xml:space="preserve"> PAGEREF _Toc133934859 \h </w:instrText>
            </w:r>
            <w:r>
              <w:rPr>
                <w:noProof/>
                <w:webHidden/>
              </w:rPr>
            </w:r>
            <w:r>
              <w:rPr>
                <w:noProof/>
                <w:webHidden/>
              </w:rPr>
              <w:fldChar w:fldCharType="separate"/>
            </w:r>
            <w:r>
              <w:rPr>
                <w:noProof/>
                <w:webHidden/>
              </w:rPr>
              <w:t>27</w:t>
            </w:r>
            <w:r>
              <w:rPr>
                <w:noProof/>
                <w:webHidden/>
              </w:rPr>
              <w:fldChar w:fldCharType="end"/>
            </w:r>
          </w:hyperlink>
        </w:p>
        <w:p w14:paraId="6AA35387" w14:textId="40E74DDF" w:rsidR="002941D8" w:rsidRDefault="002941D8">
          <w:pPr>
            <w:pStyle w:val="TOC3"/>
            <w:tabs>
              <w:tab w:val="right" w:leader="dot" w:pos="9350"/>
            </w:tabs>
            <w:rPr>
              <w:rFonts w:eastAsiaTheme="minorEastAsia"/>
              <w:noProof/>
              <w:lang w:eastAsia="fr-FR"/>
            </w:rPr>
          </w:pPr>
          <w:hyperlink w:anchor="_Toc133934860" w:history="1">
            <w:r w:rsidRPr="00324BC8">
              <w:rPr>
                <w:rStyle w:val="Hyperlink"/>
                <w:noProof/>
              </w:rPr>
              <w:t>VI.1. Cadre légal</w:t>
            </w:r>
            <w:r>
              <w:rPr>
                <w:noProof/>
                <w:webHidden/>
              </w:rPr>
              <w:tab/>
            </w:r>
            <w:r>
              <w:rPr>
                <w:noProof/>
                <w:webHidden/>
              </w:rPr>
              <w:fldChar w:fldCharType="begin"/>
            </w:r>
            <w:r>
              <w:rPr>
                <w:noProof/>
                <w:webHidden/>
              </w:rPr>
              <w:instrText xml:space="preserve"> PAGEREF _Toc133934860 \h </w:instrText>
            </w:r>
            <w:r>
              <w:rPr>
                <w:noProof/>
                <w:webHidden/>
              </w:rPr>
            </w:r>
            <w:r>
              <w:rPr>
                <w:noProof/>
                <w:webHidden/>
              </w:rPr>
              <w:fldChar w:fldCharType="separate"/>
            </w:r>
            <w:r>
              <w:rPr>
                <w:noProof/>
                <w:webHidden/>
              </w:rPr>
              <w:t>27</w:t>
            </w:r>
            <w:r>
              <w:rPr>
                <w:noProof/>
                <w:webHidden/>
              </w:rPr>
              <w:fldChar w:fldCharType="end"/>
            </w:r>
          </w:hyperlink>
        </w:p>
        <w:p w14:paraId="16C85E94" w14:textId="6BD4E165" w:rsidR="002941D8" w:rsidRDefault="002941D8">
          <w:pPr>
            <w:pStyle w:val="TOC2"/>
            <w:tabs>
              <w:tab w:val="left" w:pos="880"/>
              <w:tab w:val="right" w:leader="dot" w:pos="9350"/>
            </w:tabs>
            <w:rPr>
              <w:rFonts w:eastAsiaTheme="minorEastAsia"/>
              <w:noProof/>
              <w:lang w:eastAsia="fr-FR"/>
            </w:rPr>
          </w:pPr>
          <w:hyperlink w:anchor="_Toc133934861" w:history="1">
            <w:r w:rsidRPr="00324BC8">
              <w:rPr>
                <w:rStyle w:val="Hyperlink"/>
                <w:noProof/>
              </w:rPr>
              <w:t>VII.</w:t>
            </w:r>
            <w:r>
              <w:rPr>
                <w:rFonts w:eastAsiaTheme="minorEastAsia"/>
                <w:noProof/>
                <w:lang w:eastAsia="fr-FR"/>
              </w:rPr>
              <w:tab/>
            </w:r>
            <w:r w:rsidRPr="00324BC8">
              <w:rPr>
                <w:rStyle w:val="Hyperlink"/>
                <w:noProof/>
              </w:rPr>
              <w:t>Actes racistes</w:t>
            </w:r>
            <w:r>
              <w:rPr>
                <w:noProof/>
                <w:webHidden/>
              </w:rPr>
              <w:tab/>
            </w:r>
            <w:r>
              <w:rPr>
                <w:noProof/>
                <w:webHidden/>
              </w:rPr>
              <w:fldChar w:fldCharType="begin"/>
            </w:r>
            <w:r>
              <w:rPr>
                <w:noProof/>
                <w:webHidden/>
              </w:rPr>
              <w:instrText xml:space="preserve"> PAGEREF _Toc133934861 \h </w:instrText>
            </w:r>
            <w:r>
              <w:rPr>
                <w:noProof/>
                <w:webHidden/>
              </w:rPr>
            </w:r>
            <w:r>
              <w:rPr>
                <w:noProof/>
                <w:webHidden/>
              </w:rPr>
              <w:fldChar w:fldCharType="separate"/>
            </w:r>
            <w:r>
              <w:rPr>
                <w:noProof/>
                <w:webHidden/>
              </w:rPr>
              <w:t>28</w:t>
            </w:r>
            <w:r>
              <w:rPr>
                <w:noProof/>
                <w:webHidden/>
              </w:rPr>
              <w:fldChar w:fldCharType="end"/>
            </w:r>
          </w:hyperlink>
        </w:p>
        <w:p w14:paraId="1FE102E6" w14:textId="5A3DCC2D" w:rsidR="002941D8" w:rsidRDefault="002941D8">
          <w:pPr>
            <w:pStyle w:val="TOC3"/>
            <w:tabs>
              <w:tab w:val="right" w:leader="dot" w:pos="9350"/>
            </w:tabs>
            <w:rPr>
              <w:rFonts w:eastAsiaTheme="minorEastAsia"/>
              <w:noProof/>
              <w:lang w:eastAsia="fr-FR"/>
            </w:rPr>
          </w:pPr>
          <w:hyperlink w:anchor="_Toc133934862" w:history="1">
            <w:r w:rsidRPr="00324BC8">
              <w:rPr>
                <w:rStyle w:val="Hyperlink"/>
                <w:noProof/>
              </w:rPr>
              <w:t>VIII.1. Contexte général</w:t>
            </w:r>
            <w:r>
              <w:rPr>
                <w:noProof/>
                <w:webHidden/>
              </w:rPr>
              <w:tab/>
            </w:r>
            <w:r>
              <w:rPr>
                <w:noProof/>
                <w:webHidden/>
              </w:rPr>
              <w:fldChar w:fldCharType="begin"/>
            </w:r>
            <w:r>
              <w:rPr>
                <w:noProof/>
                <w:webHidden/>
              </w:rPr>
              <w:instrText xml:space="preserve"> PAGEREF _Toc133934862 \h </w:instrText>
            </w:r>
            <w:r>
              <w:rPr>
                <w:noProof/>
                <w:webHidden/>
              </w:rPr>
            </w:r>
            <w:r>
              <w:rPr>
                <w:noProof/>
                <w:webHidden/>
              </w:rPr>
              <w:fldChar w:fldCharType="separate"/>
            </w:r>
            <w:r>
              <w:rPr>
                <w:noProof/>
                <w:webHidden/>
              </w:rPr>
              <w:t>28</w:t>
            </w:r>
            <w:r>
              <w:rPr>
                <w:noProof/>
                <w:webHidden/>
              </w:rPr>
              <w:fldChar w:fldCharType="end"/>
            </w:r>
          </w:hyperlink>
        </w:p>
        <w:p w14:paraId="1638EEB3" w14:textId="559658AA" w:rsidR="002941D8" w:rsidRDefault="002941D8">
          <w:pPr>
            <w:pStyle w:val="TOC2"/>
            <w:tabs>
              <w:tab w:val="left" w:pos="880"/>
              <w:tab w:val="right" w:leader="dot" w:pos="9350"/>
            </w:tabs>
            <w:rPr>
              <w:rFonts w:eastAsiaTheme="minorEastAsia"/>
              <w:noProof/>
              <w:lang w:eastAsia="fr-FR"/>
            </w:rPr>
          </w:pPr>
          <w:hyperlink w:anchor="_Toc133934863" w:history="1">
            <w:r w:rsidRPr="00324BC8">
              <w:rPr>
                <w:rStyle w:val="Hyperlink"/>
                <w:noProof/>
              </w:rPr>
              <w:t>VIII.</w:t>
            </w:r>
            <w:r>
              <w:rPr>
                <w:rFonts w:eastAsiaTheme="minorEastAsia"/>
                <w:noProof/>
                <w:lang w:eastAsia="fr-FR"/>
              </w:rPr>
              <w:tab/>
            </w:r>
            <w:r w:rsidRPr="00324BC8">
              <w:rPr>
                <w:rStyle w:val="Hyperlink"/>
                <w:noProof/>
              </w:rPr>
              <w:t>Traitement d’enfants intersexués</w:t>
            </w:r>
            <w:r>
              <w:rPr>
                <w:noProof/>
                <w:webHidden/>
              </w:rPr>
              <w:tab/>
            </w:r>
            <w:r>
              <w:rPr>
                <w:noProof/>
                <w:webHidden/>
              </w:rPr>
              <w:fldChar w:fldCharType="begin"/>
            </w:r>
            <w:r>
              <w:rPr>
                <w:noProof/>
                <w:webHidden/>
              </w:rPr>
              <w:instrText xml:space="preserve"> PAGEREF _Toc133934863 \h </w:instrText>
            </w:r>
            <w:r>
              <w:rPr>
                <w:noProof/>
                <w:webHidden/>
              </w:rPr>
            </w:r>
            <w:r>
              <w:rPr>
                <w:noProof/>
                <w:webHidden/>
              </w:rPr>
              <w:fldChar w:fldCharType="separate"/>
            </w:r>
            <w:r>
              <w:rPr>
                <w:noProof/>
                <w:webHidden/>
              </w:rPr>
              <w:t>31</w:t>
            </w:r>
            <w:r>
              <w:rPr>
                <w:noProof/>
                <w:webHidden/>
              </w:rPr>
              <w:fldChar w:fldCharType="end"/>
            </w:r>
          </w:hyperlink>
        </w:p>
        <w:p w14:paraId="212A04E6" w14:textId="20111D33" w:rsidR="002941D8" w:rsidRDefault="002941D8">
          <w:pPr>
            <w:pStyle w:val="TOC3"/>
            <w:tabs>
              <w:tab w:val="right" w:leader="dot" w:pos="9350"/>
            </w:tabs>
            <w:rPr>
              <w:rFonts w:eastAsiaTheme="minorEastAsia"/>
              <w:noProof/>
              <w:lang w:eastAsia="fr-FR"/>
            </w:rPr>
          </w:pPr>
          <w:hyperlink w:anchor="_Toc133934864" w:history="1">
            <w:r w:rsidRPr="00324BC8">
              <w:rPr>
                <w:rStyle w:val="Hyperlink"/>
                <w:noProof/>
              </w:rPr>
              <w:t>IX.1. Violence fondée sur le genre</w:t>
            </w:r>
            <w:r>
              <w:rPr>
                <w:noProof/>
                <w:webHidden/>
              </w:rPr>
              <w:tab/>
            </w:r>
            <w:r>
              <w:rPr>
                <w:noProof/>
                <w:webHidden/>
              </w:rPr>
              <w:fldChar w:fldCharType="begin"/>
            </w:r>
            <w:r>
              <w:rPr>
                <w:noProof/>
                <w:webHidden/>
              </w:rPr>
              <w:instrText xml:space="preserve"> PAGEREF _Toc133934864 \h </w:instrText>
            </w:r>
            <w:r>
              <w:rPr>
                <w:noProof/>
                <w:webHidden/>
              </w:rPr>
            </w:r>
            <w:r>
              <w:rPr>
                <w:noProof/>
                <w:webHidden/>
              </w:rPr>
              <w:fldChar w:fldCharType="separate"/>
            </w:r>
            <w:r>
              <w:rPr>
                <w:noProof/>
                <w:webHidden/>
              </w:rPr>
              <w:t>31</w:t>
            </w:r>
            <w:r>
              <w:rPr>
                <w:noProof/>
                <w:webHidden/>
              </w:rPr>
              <w:fldChar w:fldCharType="end"/>
            </w:r>
          </w:hyperlink>
        </w:p>
        <w:p w14:paraId="640AA40C" w14:textId="7B1C6783" w:rsidR="002941D8" w:rsidRDefault="002941D8">
          <w:pPr>
            <w:pStyle w:val="TOC2"/>
            <w:tabs>
              <w:tab w:val="left" w:pos="880"/>
              <w:tab w:val="right" w:leader="dot" w:pos="9350"/>
            </w:tabs>
            <w:rPr>
              <w:rFonts w:eastAsiaTheme="minorEastAsia"/>
              <w:noProof/>
              <w:lang w:eastAsia="fr-FR"/>
            </w:rPr>
          </w:pPr>
          <w:hyperlink w:anchor="_Toc133934865" w:history="1">
            <w:r w:rsidRPr="00324BC8">
              <w:rPr>
                <w:rStyle w:val="Hyperlink"/>
                <w:noProof/>
              </w:rPr>
              <w:t>IX.</w:t>
            </w:r>
            <w:r>
              <w:rPr>
                <w:rFonts w:eastAsiaTheme="minorEastAsia"/>
                <w:noProof/>
                <w:lang w:eastAsia="fr-FR"/>
              </w:rPr>
              <w:tab/>
            </w:r>
            <w:r w:rsidRPr="00324BC8">
              <w:rPr>
                <w:rStyle w:val="Hyperlink"/>
                <w:noProof/>
              </w:rPr>
              <w:t>Recours à la force (par les autorités de police)</w:t>
            </w:r>
            <w:r>
              <w:rPr>
                <w:noProof/>
                <w:webHidden/>
              </w:rPr>
              <w:tab/>
            </w:r>
            <w:r>
              <w:rPr>
                <w:noProof/>
                <w:webHidden/>
              </w:rPr>
              <w:fldChar w:fldCharType="begin"/>
            </w:r>
            <w:r>
              <w:rPr>
                <w:noProof/>
                <w:webHidden/>
              </w:rPr>
              <w:instrText xml:space="preserve"> PAGEREF _Toc133934865 \h </w:instrText>
            </w:r>
            <w:r>
              <w:rPr>
                <w:noProof/>
                <w:webHidden/>
              </w:rPr>
            </w:r>
            <w:r>
              <w:rPr>
                <w:noProof/>
                <w:webHidden/>
              </w:rPr>
              <w:fldChar w:fldCharType="separate"/>
            </w:r>
            <w:r>
              <w:rPr>
                <w:noProof/>
                <w:webHidden/>
              </w:rPr>
              <w:t>33</w:t>
            </w:r>
            <w:r>
              <w:rPr>
                <w:noProof/>
                <w:webHidden/>
              </w:rPr>
              <w:fldChar w:fldCharType="end"/>
            </w:r>
          </w:hyperlink>
        </w:p>
        <w:p w14:paraId="07445EEB" w14:textId="213D6A92" w:rsidR="002941D8" w:rsidRDefault="002941D8">
          <w:pPr>
            <w:pStyle w:val="TOC3"/>
            <w:tabs>
              <w:tab w:val="right" w:leader="dot" w:pos="9350"/>
            </w:tabs>
            <w:rPr>
              <w:rFonts w:eastAsiaTheme="minorEastAsia"/>
              <w:noProof/>
              <w:lang w:eastAsia="fr-FR"/>
            </w:rPr>
          </w:pPr>
          <w:hyperlink w:anchor="_Toc133934866" w:history="1">
            <w:r w:rsidRPr="00324BC8">
              <w:rPr>
                <w:rStyle w:val="Hyperlink"/>
                <w:noProof/>
              </w:rPr>
              <w:t>X.1. Cadre général</w:t>
            </w:r>
            <w:r>
              <w:rPr>
                <w:noProof/>
                <w:webHidden/>
              </w:rPr>
              <w:tab/>
            </w:r>
            <w:r>
              <w:rPr>
                <w:noProof/>
                <w:webHidden/>
              </w:rPr>
              <w:fldChar w:fldCharType="begin"/>
            </w:r>
            <w:r>
              <w:rPr>
                <w:noProof/>
                <w:webHidden/>
              </w:rPr>
              <w:instrText xml:space="preserve"> PAGEREF _Toc133934866 \h </w:instrText>
            </w:r>
            <w:r>
              <w:rPr>
                <w:noProof/>
                <w:webHidden/>
              </w:rPr>
            </w:r>
            <w:r>
              <w:rPr>
                <w:noProof/>
                <w:webHidden/>
              </w:rPr>
              <w:fldChar w:fldCharType="separate"/>
            </w:r>
            <w:r>
              <w:rPr>
                <w:noProof/>
                <w:webHidden/>
              </w:rPr>
              <w:t>33</w:t>
            </w:r>
            <w:r>
              <w:rPr>
                <w:noProof/>
                <w:webHidden/>
              </w:rPr>
              <w:fldChar w:fldCharType="end"/>
            </w:r>
          </w:hyperlink>
        </w:p>
        <w:p w14:paraId="64FA08D4" w14:textId="2F652371" w:rsidR="002941D8" w:rsidRDefault="002941D8">
          <w:pPr>
            <w:pStyle w:val="TOC3"/>
            <w:tabs>
              <w:tab w:val="right" w:leader="dot" w:pos="9350"/>
            </w:tabs>
            <w:rPr>
              <w:rFonts w:eastAsiaTheme="minorEastAsia"/>
              <w:noProof/>
              <w:lang w:eastAsia="fr-FR"/>
            </w:rPr>
          </w:pPr>
          <w:hyperlink w:anchor="_Toc133934867" w:history="1">
            <w:r w:rsidRPr="00324BC8">
              <w:rPr>
                <w:rStyle w:val="Hyperlink"/>
                <w:noProof/>
              </w:rPr>
              <w:t>X.2. Bodycams</w:t>
            </w:r>
            <w:r>
              <w:rPr>
                <w:noProof/>
                <w:webHidden/>
              </w:rPr>
              <w:tab/>
            </w:r>
            <w:r>
              <w:rPr>
                <w:noProof/>
                <w:webHidden/>
              </w:rPr>
              <w:fldChar w:fldCharType="begin"/>
            </w:r>
            <w:r>
              <w:rPr>
                <w:noProof/>
                <w:webHidden/>
              </w:rPr>
              <w:instrText xml:space="preserve"> PAGEREF _Toc133934867 \h </w:instrText>
            </w:r>
            <w:r>
              <w:rPr>
                <w:noProof/>
                <w:webHidden/>
              </w:rPr>
            </w:r>
            <w:r>
              <w:rPr>
                <w:noProof/>
                <w:webHidden/>
              </w:rPr>
              <w:fldChar w:fldCharType="separate"/>
            </w:r>
            <w:r>
              <w:rPr>
                <w:noProof/>
                <w:webHidden/>
              </w:rPr>
              <w:t>33</w:t>
            </w:r>
            <w:r>
              <w:rPr>
                <w:noProof/>
                <w:webHidden/>
              </w:rPr>
              <w:fldChar w:fldCharType="end"/>
            </w:r>
          </w:hyperlink>
        </w:p>
        <w:p w14:paraId="67319457" w14:textId="57E6022B" w:rsidR="002941D8" w:rsidRDefault="002941D8">
          <w:pPr>
            <w:pStyle w:val="TOC2"/>
            <w:tabs>
              <w:tab w:val="left" w:pos="660"/>
              <w:tab w:val="right" w:leader="dot" w:pos="9350"/>
            </w:tabs>
            <w:rPr>
              <w:rFonts w:eastAsiaTheme="minorEastAsia"/>
              <w:noProof/>
              <w:lang w:eastAsia="fr-FR"/>
            </w:rPr>
          </w:pPr>
          <w:hyperlink w:anchor="_Toc133934868" w:history="1">
            <w:r w:rsidRPr="00324BC8">
              <w:rPr>
                <w:rStyle w:val="Hyperlink"/>
                <w:noProof/>
              </w:rPr>
              <w:t>X.</w:t>
            </w:r>
            <w:r>
              <w:rPr>
                <w:rFonts w:eastAsiaTheme="minorEastAsia"/>
                <w:noProof/>
                <w:lang w:eastAsia="fr-FR"/>
              </w:rPr>
              <w:tab/>
            </w:r>
            <w:r w:rsidRPr="00324BC8">
              <w:rPr>
                <w:rStyle w:val="Hyperlink"/>
                <w:noProof/>
              </w:rPr>
              <w:t>Institut national des droits de l'homme (INDH)/ Mécanisme national de prévention (MNP)</w:t>
            </w:r>
            <w:r>
              <w:rPr>
                <w:noProof/>
                <w:webHidden/>
              </w:rPr>
              <w:tab/>
            </w:r>
            <w:r>
              <w:rPr>
                <w:noProof/>
                <w:webHidden/>
              </w:rPr>
              <w:fldChar w:fldCharType="begin"/>
            </w:r>
            <w:r>
              <w:rPr>
                <w:noProof/>
                <w:webHidden/>
              </w:rPr>
              <w:instrText xml:space="preserve"> PAGEREF _Toc133934868 \h </w:instrText>
            </w:r>
            <w:r>
              <w:rPr>
                <w:noProof/>
                <w:webHidden/>
              </w:rPr>
            </w:r>
            <w:r>
              <w:rPr>
                <w:noProof/>
                <w:webHidden/>
              </w:rPr>
              <w:fldChar w:fldCharType="separate"/>
            </w:r>
            <w:r>
              <w:rPr>
                <w:noProof/>
                <w:webHidden/>
              </w:rPr>
              <w:t>34</w:t>
            </w:r>
            <w:r>
              <w:rPr>
                <w:noProof/>
                <w:webHidden/>
              </w:rPr>
              <w:fldChar w:fldCharType="end"/>
            </w:r>
          </w:hyperlink>
        </w:p>
        <w:p w14:paraId="7414B9F3" w14:textId="507B8451" w:rsidR="002941D8" w:rsidRDefault="002941D8">
          <w:pPr>
            <w:pStyle w:val="TOC1"/>
            <w:tabs>
              <w:tab w:val="right" w:leader="dot" w:pos="9350"/>
            </w:tabs>
            <w:rPr>
              <w:rFonts w:eastAsiaTheme="minorEastAsia"/>
              <w:noProof/>
              <w:lang w:eastAsia="fr-FR"/>
            </w:rPr>
          </w:pPr>
          <w:hyperlink w:anchor="_Toc133934869" w:history="1">
            <w:r w:rsidRPr="00324BC8">
              <w:rPr>
                <w:rStyle w:val="Hyperlink"/>
                <w:noProof/>
              </w:rPr>
              <w:t>Informations complémentaires (hors du champ des questions des rapporteurs)</w:t>
            </w:r>
            <w:r>
              <w:rPr>
                <w:noProof/>
                <w:webHidden/>
              </w:rPr>
              <w:tab/>
            </w:r>
            <w:r>
              <w:rPr>
                <w:noProof/>
                <w:webHidden/>
              </w:rPr>
              <w:fldChar w:fldCharType="begin"/>
            </w:r>
            <w:r>
              <w:rPr>
                <w:noProof/>
                <w:webHidden/>
              </w:rPr>
              <w:instrText xml:space="preserve"> PAGEREF _Toc133934869 \h </w:instrText>
            </w:r>
            <w:r>
              <w:rPr>
                <w:noProof/>
                <w:webHidden/>
              </w:rPr>
            </w:r>
            <w:r>
              <w:rPr>
                <w:noProof/>
                <w:webHidden/>
              </w:rPr>
              <w:fldChar w:fldCharType="separate"/>
            </w:r>
            <w:r>
              <w:rPr>
                <w:noProof/>
                <w:webHidden/>
              </w:rPr>
              <w:t>35</w:t>
            </w:r>
            <w:r>
              <w:rPr>
                <w:noProof/>
                <w:webHidden/>
              </w:rPr>
              <w:fldChar w:fldCharType="end"/>
            </w:r>
          </w:hyperlink>
        </w:p>
        <w:p w14:paraId="5A2E9224" w14:textId="09BD453F" w:rsidR="002941D8" w:rsidRDefault="002941D8">
          <w:pPr>
            <w:pStyle w:val="TOC2"/>
            <w:tabs>
              <w:tab w:val="left" w:pos="880"/>
              <w:tab w:val="right" w:leader="dot" w:pos="9350"/>
            </w:tabs>
            <w:rPr>
              <w:rFonts w:eastAsiaTheme="minorEastAsia"/>
              <w:noProof/>
              <w:lang w:eastAsia="fr-FR"/>
            </w:rPr>
          </w:pPr>
          <w:hyperlink w:anchor="_Toc133934870" w:history="1">
            <w:r w:rsidRPr="00324BC8">
              <w:rPr>
                <w:rStyle w:val="Hyperlink"/>
                <w:noProof/>
              </w:rPr>
              <w:t>XI.</w:t>
            </w:r>
            <w:r>
              <w:rPr>
                <w:rFonts w:eastAsiaTheme="minorEastAsia"/>
                <w:noProof/>
                <w:lang w:eastAsia="fr-FR"/>
              </w:rPr>
              <w:tab/>
            </w:r>
            <w:r w:rsidRPr="00324BC8">
              <w:rPr>
                <w:rStyle w:val="Hyperlink"/>
                <w:noProof/>
              </w:rPr>
              <w:t>Chiffres quant aux articles 12 et 13 de la Convention relatifs aux enquêtes portant sur des faits de torture et de mauvais traitements et aux plaintes portant sur de tels faits</w:t>
            </w:r>
            <w:r>
              <w:rPr>
                <w:noProof/>
                <w:webHidden/>
              </w:rPr>
              <w:tab/>
            </w:r>
            <w:r>
              <w:rPr>
                <w:noProof/>
                <w:webHidden/>
              </w:rPr>
              <w:fldChar w:fldCharType="begin"/>
            </w:r>
            <w:r>
              <w:rPr>
                <w:noProof/>
                <w:webHidden/>
              </w:rPr>
              <w:instrText xml:space="preserve"> PAGEREF _Toc133934870 \h </w:instrText>
            </w:r>
            <w:r>
              <w:rPr>
                <w:noProof/>
                <w:webHidden/>
              </w:rPr>
            </w:r>
            <w:r>
              <w:rPr>
                <w:noProof/>
                <w:webHidden/>
              </w:rPr>
              <w:fldChar w:fldCharType="separate"/>
            </w:r>
            <w:r>
              <w:rPr>
                <w:noProof/>
                <w:webHidden/>
              </w:rPr>
              <w:t>35</w:t>
            </w:r>
            <w:r>
              <w:rPr>
                <w:noProof/>
                <w:webHidden/>
              </w:rPr>
              <w:fldChar w:fldCharType="end"/>
            </w:r>
          </w:hyperlink>
        </w:p>
        <w:p w14:paraId="47A95A73" w14:textId="23F5AD14" w:rsidR="002941D8" w:rsidRDefault="002941D8">
          <w:pPr>
            <w:pStyle w:val="TOC2"/>
            <w:tabs>
              <w:tab w:val="left" w:pos="880"/>
              <w:tab w:val="right" w:leader="dot" w:pos="9350"/>
            </w:tabs>
            <w:rPr>
              <w:rFonts w:eastAsiaTheme="minorEastAsia"/>
              <w:noProof/>
              <w:lang w:eastAsia="fr-FR"/>
            </w:rPr>
          </w:pPr>
          <w:hyperlink w:anchor="_Toc133934871" w:history="1">
            <w:r w:rsidRPr="00324BC8">
              <w:rPr>
                <w:rStyle w:val="Hyperlink"/>
                <w:noProof/>
              </w:rPr>
              <w:t>XII.</w:t>
            </w:r>
            <w:r>
              <w:rPr>
                <w:rFonts w:eastAsiaTheme="minorEastAsia"/>
                <w:noProof/>
                <w:lang w:eastAsia="fr-FR"/>
              </w:rPr>
              <w:tab/>
            </w:r>
            <w:r w:rsidRPr="00324BC8">
              <w:rPr>
                <w:rStyle w:val="Hyperlink"/>
                <w:noProof/>
              </w:rPr>
              <w:t>Nombre de décès en détention</w:t>
            </w:r>
            <w:r>
              <w:rPr>
                <w:noProof/>
                <w:webHidden/>
              </w:rPr>
              <w:tab/>
            </w:r>
            <w:r>
              <w:rPr>
                <w:noProof/>
                <w:webHidden/>
              </w:rPr>
              <w:fldChar w:fldCharType="begin"/>
            </w:r>
            <w:r>
              <w:rPr>
                <w:noProof/>
                <w:webHidden/>
              </w:rPr>
              <w:instrText xml:space="preserve"> PAGEREF _Toc133934871 \h </w:instrText>
            </w:r>
            <w:r>
              <w:rPr>
                <w:noProof/>
                <w:webHidden/>
              </w:rPr>
            </w:r>
            <w:r>
              <w:rPr>
                <w:noProof/>
                <w:webHidden/>
              </w:rPr>
              <w:fldChar w:fldCharType="separate"/>
            </w:r>
            <w:r>
              <w:rPr>
                <w:noProof/>
                <w:webHidden/>
              </w:rPr>
              <w:t>35</w:t>
            </w:r>
            <w:r>
              <w:rPr>
                <w:noProof/>
                <w:webHidden/>
              </w:rPr>
              <w:fldChar w:fldCharType="end"/>
            </w:r>
          </w:hyperlink>
        </w:p>
        <w:p w14:paraId="46FFD2C8" w14:textId="69E3C7A0" w:rsidR="002941D8" w:rsidRDefault="002941D8">
          <w:pPr>
            <w:pStyle w:val="TOC2"/>
            <w:tabs>
              <w:tab w:val="left" w:pos="880"/>
              <w:tab w:val="right" w:leader="dot" w:pos="9350"/>
            </w:tabs>
            <w:rPr>
              <w:rFonts w:eastAsiaTheme="minorEastAsia"/>
              <w:noProof/>
              <w:lang w:eastAsia="fr-FR"/>
            </w:rPr>
          </w:pPr>
          <w:hyperlink w:anchor="_Toc133934872" w:history="1">
            <w:r w:rsidRPr="00324BC8">
              <w:rPr>
                <w:rStyle w:val="Hyperlink"/>
                <w:noProof/>
              </w:rPr>
              <w:t>XIII.</w:t>
            </w:r>
            <w:r>
              <w:rPr>
                <w:rFonts w:eastAsiaTheme="minorEastAsia"/>
                <w:noProof/>
                <w:lang w:eastAsia="fr-FR"/>
              </w:rPr>
              <w:tab/>
            </w:r>
            <w:r w:rsidRPr="00324BC8">
              <w:rPr>
                <w:rStyle w:val="Hyperlink"/>
                <w:noProof/>
              </w:rPr>
              <w:t>Informations additionnelles sur le Centre de rétention</w:t>
            </w:r>
            <w:r>
              <w:rPr>
                <w:noProof/>
                <w:webHidden/>
              </w:rPr>
              <w:tab/>
            </w:r>
            <w:r>
              <w:rPr>
                <w:noProof/>
                <w:webHidden/>
              </w:rPr>
              <w:fldChar w:fldCharType="begin"/>
            </w:r>
            <w:r>
              <w:rPr>
                <w:noProof/>
                <w:webHidden/>
              </w:rPr>
              <w:instrText xml:space="preserve"> PAGEREF _Toc133934872 \h </w:instrText>
            </w:r>
            <w:r>
              <w:rPr>
                <w:noProof/>
                <w:webHidden/>
              </w:rPr>
            </w:r>
            <w:r>
              <w:rPr>
                <w:noProof/>
                <w:webHidden/>
              </w:rPr>
              <w:fldChar w:fldCharType="separate"/>
            </w:r>
            <w:r>
              <w:rPr>
                <w:noProof/>
                <w:webHidden/>
              </w:rPr>
              <w:t>36</w:t>
            </w:r>
            <w:r>
              <w:rPr>
                <w:noProof/>
                <w:webHidden/>
              </w:rPr>
              <w:fldChar w:fldCharType="end"/>
            </w:r>
          </w:hyperlink>
        </w:p>
        <w:p w14:paraId="5F4616CD" w14:textId="0EBFB447" w:rsidR="002941D8" w:rsidRDefault="002941D8">
          <w:pPr>
            <w:pStyle w:val="TOC3"/>
            <w:tabs>
              <w:tab w:val="right" w:leader="dot" w:pos="9350"/>
            </w:tabs>
            <w:rPr>
              <w:rFonts w:eastAsiaTheme="minorEastAsia"/>
              <w:noProof/>
              <w:lang w:eastAsia="fr-FR"/>
            </w:rPr>
          </w:pPr>
          <w:hyperlink w:anchor="_Toc133934873" w:history="1">
            <w:r w:rsidRPr="00324BC8">
              <w:rPr>
                <w:rStyle w:val="Hyperlink"/>
                <w:noProof/>
              </w:rPr>
              <w:t>XII.1. Mise à jour de la contribution du Centre de rétention au huitième rapport</w:t>
            </w:r>
            <w:r>
              <w:rPr>
                <w:noProof/>
                <w:webHidden/>
              </w:rPr>
              <w:tab/>
            </w:r>
            <w:r>
              <w:rPr>
                <w:noProof/>
                <w:webHidden/>
              </w:rPr>
              <w:fldChar w:fldCharType="begin"/>
            </w:r>
            <w:r>
              <w:rPr>
                <w:noProof/>
                <w:webHidden/>
              </w:rPr>
              <w:instrText xml:space="preserve"> PAGEREF _Toc133934873 \h </w:instrText>
            </w:r>
            <w:r>
              <w:rPr>
                <w:noProof/>
                <w:webHidden/>
              </w:rPr>
            </w:r>
            <w:r>
              <w:rPr>
                <w:noProof/>
                <w:webHidden/>
              </w:rPr>
              <w:fldChar w:fldCharType="separate"/>
            </w:r>
            <w:r>
              <w:rPr>
                <w:noProof/>
                <w:webHidden/>
              </w:rPr>
              <w:t>36</w:t>
            </w:r>
            <w:r>
              <w:rPr>
                <w:noProof/>
                <w:webHidden/>
              </w:rPr>
              <w:fldChar w:fldCharType="end"/>
            </w:r>
          </w:hyperlink>
        </w:p>
        <w:p w14:paraId="1EE58FA4" w14:textId="47E9B9D8" w:rsidR="002941D8" w:rsidRDefault="002941D8">
          <w:pPr>
            <w:pStyle w:val="TOC3"/>
            <w:tabs>
              <w:tab w:val="right" w:leader="dot" w:pos="9350"/>
            </w:tabs>
            <w:rPr>
              <w:rFonts w:eastAsiaTheme="minorEastAsia"/>
              <w:noProof/>
              <w:lang w:eastAsia="fr-FR"/>
            </w:rPr>
          </w:pPr>
          <w:hyperlink w:anchor="_Toc133934874" w:history="1">
            <w:r w:rsidRPr="00324BC8">
              <w:rPr>
                <w:rStyle w:val="Hyperlink"/>
                <w:noProof/>
              </w:rPr>
              <w:t>XII.2. Informations complémentaires</w:t>
            </w:r>
            <w:r>
              <w:rPr>
                <w:noProof/>
                <w:webHidden/>
              </w:rPr>
              <w:tab/>
            </w:r>
            <w:r>
              <w:rPr>
                <w:noProof/>
                <w:webHidden/>
              </w:rPr>
              <w:fldChar w:fldCharType="begin"/>
            </w:r>
            <w:r>
              <w:rPr>
                <w:noProof/>
                <w:webHidden/>
              </w:rPr>
              <w:instrText xml:space="preserve"> PAGEREF _Toc133934874 \h </w:instrText>
            </w:r>
            <w:r>
              <w:rPr>
                <w:noProof/>
                <w:webHidden/>
              </w:rPr>
            </w:r>
            <w:r>
              <w:rPr>
                <w:noProof/>
                <w:webHidden/>
              </w:rPr>
              <w:fldChar w:fldCharType="separate"/>
            </w:r>
            <w:r>
              <w:rPr>
                <w:noProof/>
                <w:webHidden/>
              </w:rPr>
              <w:t>40</w:t>
            </w:r>
            <w:r>
              <w:rPr>
                <w:noProof/>
                <w:webHidden/>
              </w:rPr>
              <w:fldChar w:fldCharType="end"/>
            </w:r>
          </w:hyperlink>
        </w:p>
        <w:p w14:paraId="32E72758" w14:textId="630EB095" w:rsidR="00977944" w:rsidRDefault="00977944">
          <w:r>
            <w:rPr>
              <w:b/>
              <w:bCs/>
              <w:noProof/>
            </w:rPr>
            <w:fldChar w:fldCharType="end"/>
          </w:r>
        </w:p>
      </w:sdtContent>
    </w:sdt>
    <w:p w14:paraId="00A11ED1" w14:textId="77777777" w:rsidR="00FB6D76" w:rsidRPr="006D6A3F" w:rsidRDefault="00FB6D76" w:rsidP="00DC50DE">
      <w:pPr>
        <w:spacing w:after="240"/>
        <w:jc w:val="both"/>
        <w:rPr>
          <w:rFonts w:cstheme="minorHAnsi"/>
        </w:rPr>
      </w:pPr>
      <w:bookmarkStart w:id="0" w:name="_GoBack"/>
      <w:bookmarkEnd w:id="0"/>
    </w:p>
    <w:p w14:paraId="4027DE24" w14:textId="052F2E4B" w:rsidR="00DC0D82" w:rsidRPr="006D6A3F" w:rsidRDefault="00E33627" w:rsidP="00DC50DE">
      <w:pPr>
        <w:pStyle w:val="Heading1"/>
        <w:spacing w:after="240"/>
        <w:jc w:val="center"/>
        <w:rPr>
          <w:sz w:val="24"/>
        </w:rPr>
      </w:pPr>
      <w:bookmarkStart w:id="1" w:name="_Toc133934837"/>
      <w:r w:rsidRPr="006D6A3F">
        <w:rPr>
          <w:sz w:val="24"/>
        </w:rPr>
        <w:t xml:space="preserve">Questions de </w:t>
      </w:r>
      <w:r w:rsidR="00DC50DE" w:rsidRPr="006D6A3F">
        <w:rPr>
          <w:sz w:val="24"/>
        </w:rPr>
        <w:t>M</w:t>
      </w:r>
      <w:r w:rsidR="00DC0D82" w:rsidRPr="006D6A3F">
        <w:rPr>
          <w:sz w:val="24"/>
        </w:rPr>
        <w:t>. Sébastien TOUZE (France</w:t>
      </w:r>
      <w:r w:rsidR="00FB6D76" w:rsidRPr="006D6A3F">
        <w:rPr>
          <w:sz w:val="24"/>
        </w:rPr>
        <w:t>)</w:t>
      </w:r>
      <w:bookmarkEnd w:id="1"/>
    </w:p>
    <w:p w14:paraId="7BEB0499" w14:textId="25F37102" w:rsidR="00E33627" w:rsidRPr="006D6A3F" w:rsidRDefault="006832C4" w:rsidP="00DC50DE">
      <w:pPr>
        <w:pStyle w:val="Heading2"/>
        <w:spacing w:before="0"/>
        <w:rPr>
          <w:lang w:val="fr-FR"/>
        </w:rPr>
      </w:pPr>
      <w:bookmarkStart w:id="2" w:name="_Toc133934838"/>
      <w:r w:rsidRPr="006D6A3F">
        <w:rPr>
          <w:lang w:val="fr-FR"/>
        </w:rPr>
        <w:t>Les conditions de détention</w:t>
      </w:r>
      <w:bookmarkEnd w:id="2"/>
    </w:p>
    <w:p w14:paraId="021C6C6E" w14:textId="0C375AA9" w:rsidR="00E33627" w:rsidRPr="006D6A3F" w:rsidRDefault="006832C4" w:rsidP="00DC50DE">
      <w:pPr>
        <w:pStyle w:val="Heading3"/>
      </w:pPr>
      <w:bookmarkStart w:id="3" w:name="_Toc133934839"/>
      <w:r w:rsidRPr="006D6A3F">
        <w:t>I.1. Taux d’occupation des lieux de détention</w:t>
      </w:r>
      <w:bookmarkEnd w:id="3"/>
    </w:p>
    <w:p w14:paraId="5217EE70" w14:textId="6F946FA3" w:rsidR="00E33627" w:rsidRPr="006D6A3F" w:rsidRDefault="00E33627" w:rsidP="006D6A3F">
      <w:pPr>
        <w:spacing w:after="240"/>
        <w:jc w:val="both"/>
        <w:rPr>
          <w:rFonts w:cstheme="minorHAnsi"/>
        </w:rPr>
      </w:pPr>
      <w:r w:rsidRPr="006D6A3F">
        <w:rPr>
          <w:rFonts w:cstheme="minorHAnsi"/>
        </w:rPr>
        <w:t xml:space="preserve">La </w:t>
      </w:r>
      <w:r w:rsidRPr="006D6A3F">
        <w:rPr>
          <w:rFonts w:cstheme="minorHAnsi"/>
          <w:b/>
        </w:rPr>
        <w:t>Police grand-ducale</w:t>
      </w:r>
      <w:r w:rsidRPr="006D6A3F">
        <w:rPr>
          <w:rFonts w:cstheme="minorHAnsi"/>
        </w:rPr>
        <w:t xml:space="preserve"> ne dispose pas de statistiques sur le taux d'occupation des cellules dans les commissariats. Par conséquent, il n'est pas possible de déterminer un taux d'occupation précis. </w:t>
      </w:r>
      <w:r w:rsidR="00405F0C" w:rsidRPr="006D6A3F">
        <w:rPr>
          <w:rFonts w:cstheme="minorHAnsi"/>
        </w:rPr>
        <w:t>Il</w:t>
      </w:r>
      <w:r w:rsidRPr="006D6A3F">
        <w:rPr>
          <w:rFonts w:cstheme="minorHAnsi"/>
        </w:rPr>
        <w:t xml:space="preserve"> est </w:t>
      </w:r>
      <w:r w:rsidR="00405F0C" w:rsidRPr="006D6A3F">
        <w:rPr>
          <w:rFonts w:cstheme="minorHAnsi"/>
        </w:rPr>
        <w:t>à noter</w:t>
      </w:r>
      <w:r w:rsidRPr="006D6A3F">
        <w:rPr>
          <w:rFonts w:cstheme="minorHAnsi"/>
        </w:rPr>
        <w:t xml:space="preserve"> </w:t>
      </w:r>
      <w:r w:rsidR="00405F0C" w:rsidRPr="006D6A3F">
        <w:rPr>
          <w:rFonts w:cstheme="minorHAnsi"/>
        </w:rPr>
        <w:t xml:space="preserve">que </w:t>
      </w:r>
      <w:r w:rsidRPr="006D6A3F">
        <w:rPr>
          <w:rFonts w:cstheme="minorHAnsi"/>
        </w:rPr>
        <w:t xml:space="preserve">les cellules ne sont occupées que par une seule personne à la fois et </w:t>
      </w:r>
      <w:r w:rsidR="00405F0C" w:rsidRPr="006D6A3F">
        <w:rPr>
          <w:rFonts w:cstheme="minorHAnsi"/>
        </w:rPr>
        <w:t>à titre</w:t>
      </w:r>
      <w:r w:rsidRPr="006D6A3F">
        <w:rPr>
          <w:rFonts w:cstheme="minorHAnsi"/>
        </w:rPr>
        <w:t xml:space="preserve"> temporaire.</w:t>
      </w:r>
    </w:p>
    <w:p w14:paraId="7DEE74B1" w14:textId="4E307230" w:rsidR="00341875" w:rsidRPr="006D6A3F" w:rsidRDefault="00341875" w:rsidP="006D6A3F">
      <w:pPr>
        <w:spacing w:after="240"/>
        <w:jc w:val="both"/>
        <w:rPr>
          <w:rFonts w:cstheme="minorHAnsi"/>
        </w:rPr>
      </w:pPr>
      <w:r w:rsidRPr="006D6A3F">
        <w:rPr>
          <w:rFonts w:cstheme="minorHAnsi"/>
        </w:rPr>
        <w:t xml:space="preserve">Au 29 avril 2023, le taux d'occupation </w:t>
      </w:r>
      <w:r w:rsidR="00A7638A" w:rsidRPr="006D6A3F">
        <w:rPr>
          <w:rFonts w:cstheme="minorHAnsi"/>
        </w:rPr>
        <w:t xml:space="preserve">dans les </w:t>
      </w:r>
      <w:r w:rsidR="00A7638A" w:rsidRPr="006D6A3F">
        <w:rPr>
          <w:rFonts w:cstheme="minorHAnsi"/>
          <w:b/>
        </w:rPr>
        <w:t>centres pénitentiaires</w:t>
      </w:r>
      <w:r w:rsidR="0053221C" w:rsidRPr="006D6A3F">
        <w:rPr>
          <w:rFonts w:cstheme="minorHAnsi"/>
          <w:b/>
        </w:rPr>
        <w:t xml:space="preserve"> </w:t>
      </w:r>
      <w:r w:rsidR="0053221C" w:rsidRPr="006D6A3F">
        <w:rPr>
          <w:rFonts w:cstheme="minorHAnsi"/>
        </w:rPr>
        <w:t xml:space="preserve">(Centre Pénitentiaire de Luxembourg à </w:t>
      </w:r>
      <w:proofErr w:type="spellStart"/>
      <w:r w:rsidR="0053221C" w:rsidRPr="006D6A3F">
        <w:rPr>
          <w:rFonts w:cstheme="minorHAnsi"/>
        </w:rPr>
        <w:t>Schrassig</w:t>
      </w:r>
      <w:proofErr w:type="spellEnd"/>
      <w:r w:rsidR="0053221C" w:rsidRPr="006D6A3F">
        <w:rPr>
          <w:rFonts w:cstheme="minorHAnsi"/>
        </w:rPr>
        <w:t xml:space="preserve"> – CPL et Centre pénitentiaire d’Uerschterhaff – CPU)</w:t>
      </w:r>
      <w:r w:rsidR="00A7638A" w:rsidRPr="006D6A3F">
        <w:rPr>
          <w:rFonts w:cstheme="minorHAnsi"/>
        </w:rPr>
        <w:t xml:space="preserve"> </w:t>
      </w:r>
      <w:r w:rsidRPr="006D6A3F">
        <w:rPr>
          <w:rFonts w:cstheme="minorHAnsi"/>
        </w:rPr>
        <w:t>était le suivant :</w:t>
      </w:r>
    </w:p>
    <w:tbl>
      <w:tblPr>
        <w:tblStyle w:val="TableGridLight"/>
        <w:tblW w:w="9300" w:type="dxa"/>
        <w:tblLook w:val="04A0" w:firstRow="1" w:lastRow="0" w:firstColumn="1" w:lastColumn="0" w:noHBand="0" w:noVBand="1"/>
      </w:tblPr>
      <w:tblGrid>
        <w:gridCol w:w="2820"/>
        <w:gridCol w:w="1077"/>
        <w:gridCol w:w="1077"/>
        <w:gridCol w:w="6"/>
        <w:gridCol w:w="1071"/>
        <w:gridCol w:w="1077"/>
        <w:gridCol w:w="12"/>
        <w:gridCol w:w="1065"/>
        <w:gridCol w:w="17"/>
        <w:gridCol w:w="1060"/>
        <w:gridCol w:w="18"/>
      </w:tblGrid>
      <w:tr w:rsidR="00341875" w:rsidRPr="006D6A3F" w14:paraId="533163CB" w14:textId="77777777" w:rsidTr="006D6A3F">
        <w:trPr>
          <w:trHeight w:val="360"/>
        </w:trPr>
        <w:tc>
          <w:tcPr>
            <w:tcW w:w="2820" w:type="dxa"/>
            <w:noWrap/>
            <w:hideMark/>
          </w:tcPr>
          <w:p w14:paraId="3FFFA75B" w14:textId="77777777" w:rsidR="00341875" w:rsidRPr="006D6A3F" w:rsidRDefault="00341875" w:rsidP="00DC50DE">
            <w:pPr>
              <w:spacing w:after="240" w:line="240" w:lineRule="auto"/>
              <w:rPr>
                <w:rFonts w:eastAsia="Times New Roman" w:cstheme="minorHAnsi"/>
                <w:i/>
                <w:color w:val="000000"/>
                <w:sz w:val="20"/>
                <w:szCs w:val="20"/>
              </w:rPr>
            </w:pPr>
            <w:r w:rsidRPr="006D6A3F">
              <w:rPr>
                <w:rFonts w:eastAsia="Times New Roman" w:cstheme="minorHAnsi"/>
                <w:i/>
                <w:color w:val="000000"/>
                <w:sz w:val="20"/>
                <w:szCs w:val="20"/>
              </w:rPr>
              <w:t>Centre Pénitentiaire</w:t>
            </w:r>
          </w:p>
        </w:tc>
        <w:tc>
          <w:tcPr>
            <w:tcW w:w="2160" w:type="dxa"/>
            <w:gridSpan w:val="3"/>
            <w:noWrap/>
            <w:hideMark/>
          </w:tcPr>
          <w:p w14:paraId="4DC42E0B" w14:textId="77777777" w:rsidR="00341875" w:rsidRPr="006D6A3F" w:rsidRDefault="00341875" w:rsidP="00DC50DE">
            <w:pPr>
              <w:spacing w:after="240" w:line="240" w:lineRule="auto"/>
              <w:jc w:val="center"/>
              <w:rPr>
                <w:rFonts w:eastAsia="Times New Roman" w:cstheme="minorHAnsi"/>
                <w:i/>
                <w:color w:val="000000"/>
                <w:sz w:val="20"/>
                <w:szCs w:val="20"/>
              </w:rPr>
            </w:pPr>
            <w:r w:rsidRPr="006D6A3F">
              <w:rPr>
                <w:rFonts w:eastAsia="Times New Roman" w:cstheme="minorHAnsi"/>
                <w:i/>
                <w:color w:val="000000"/>
                <w:sz w:val="20"/>
                <w:szCs w:val="20"/>
              </w:rPr>
              <w:t>CPL</w:t>
            </w:r>
          </w:p>
        </w:tc>
        <w:tc>
          <w:tcPr>
            <w:tcW w:w="2160" w:type="dxa"/>
            <w:gridSpan w:val="3"/>
            <w:noWrap/>
            <w:hideMark/>
          </w:tcPr>
          <w:p w14:paraId="7A27299E" w14:textId="77777777" w:rsidR="00341875" w:rsidRPr="006D6A3F" w:rsidRDefault="00341875" w:rsidP="00DC50DE">
            <w:pPr>
              <w:spacing w:after="240" w:line="240" w:lineRule="auto"/>
              <w:jc w:val="center"/>
              <w:rPr>
                <w:rFonts w:eastAsia="Times New Roman" w:cstheme="minorHAnsi"/>
                <w:i/>
                <w:color w:val="000000"/>
                <w:sz w:val="20"/>
                <w:szCs w:val="20"/>
              </w:rPr>
            </w:pPr>
            <w:r w:rsidRPr="006D6A3F">
              <w:rPr>
                <w:rFonts w:eastAsia="Times New Roman" w:cstheme="minorHAnsi"/>
                <w:i/>
                <w:color w:val="000000"/>
                <w:sz w:val="20"/>
                <w:szCs w:val="20"/>
              </w:rPr>
              <w:t>CPG</w:t>
            </w:r>
          </w:p>
        </w:tc>
        <w:tc>
          <w:tcPr>
            <w:tcW w:w="2160" w:type="dxa"/>
            <w:gridSpan w:val="4"/>
            <w:noWrap/>
            <w:hideMark/>
          </w:tcPr>
          <w:p w14:paraId="4B74997E" w14:textId="77777777" w:rsidR="00341875" w:rsidRPr="006D6A3F" w:rsidRDefault="00341875" w:rsidP="00DC50DE">
            <w:pPr>
              <w:spacing w:after="240" w:line="240" w:lineRule="auto"/>
              <w:jc w:val="center"/>
              <w:rPr>
                <w:rFonts w:eastAsia="Times New Roman" w:cstheme="minorHAnsi"/>
                <w:i/>
                <w:color w:val="000000"/>
                <w:sz w:val="20"/>
                <w:szCs w:val="20"/>
              </w:rPr>
            </w:pPr>
            <w:r w:rsidRPr="006D6A3F">
              <w:rPr>
                <w:rFonts w:eastAsia="Times New Roman" w:cstheme="minorHAnsi"/>
                <w:i/>
                <w:color w:val="000000"/>
                <w:sz w:val="20"/>
                <w:szCs w:val="20"/>
              </w:rPr>
              <w:t>CPU*</w:t>
            </w:r>
          </w:p>
        </w:tc>
      </w:tr>
      <w:tr w:rsidR="00341875" w:rsidRPr="006D6A3F" w14:paraId="6F749F1E" w14:textId="77777777" w:rsidTr="006D6A3F">
        <w:trPr>
          <w:trHeight w:val="360"/>
        </w:trPr>
        <w:tc>
          <w:tcPr>
            <w:tcW w:w="2820" w:type="dxa"/>
            <w:noWrap/>
            <w:hideMark/>
          </w:tcPr>
          <w:p w14:paraId="28CE479A"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Capacité maximale</w:t>
            </w:r>
          </w:p>
        </w:tc>
        <w:tc>
          <w:tcPr>
            <w:tcW w:w="2160" w:type="dxa"/>
            <w:gridSpan w:val="3"/>
            <w:noWrap/>
            <w:hideMark/>
          </w:tcPr>
          <w:p w14:paraId="0C9DA528"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597</w:t>
            </w:r>
          </w:p>
        </w:tc>
        <w:tc>
          <w:tcPr>
            <w:tcW w:w="2160" w:type="dxa"/>
            <w:gridSpan w:val="3"/>
            <w:noWrap/>
            <w:hideMark/>
          </w:tcPr>
          <w:p w14:paraId="16D5AA94"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113</w:t>
            </w:r>
          </w:p>
        </w:tc>
        <w:tc>
          <w:tcPr>
            <w:tcW w:w="1082" w:type="dxa"/>
            <w:gridSpan w:val="2"/>
            <w:noWrap/>
            <w:hideMark/>
          </w:tcPr>
          <w:p w14:paraId="1DFDA857" w14:textId="77777777" w:rsidR="00341875" w:rsidRPr="006D6A3F" w:rsidRDefault="00341875" w:rsidP="00DC50DE">
            <w:pPr>
              <w:spacing w:after="240" w:line="240" w:lineRule="auto"/>
              <w:jc w:val="center"/>
              <w:rPr>
                <w:rFonts w:eastAsia="Times New Roman" w:cstheme="minorHAnsi"/>
                <w:b/>
                <w:bCs/>
                <w:color w:val="000000"/>
                <w:sz w:val="20"/>
                <w:szCs w:val="20"/>
              </w:rPr>
            </w:pPr>
            <w:r w:rsidRPr="006D6A3F">
              <w:rPr>
                <w:rFonts w:eastAsia="Times New Roman" w:cstheme="minorHAnsi"/>
                <w:b/>
                <w:bCs/>
                <w:color w:val="000000"/>
                <w:sz w:val="20"/>
                <w:szCs w:val="20"/>
              </w:rPr>
              <w:t>200</w:t>
            </w:r>
          </w:p>
        </w:tc>
        <w:tc>
          <w:tcPr>
            <w:tcW w:w="1078" w:type="dxa"/>
            <w:gridSpan w:val="2"/>
            <w:noWrap/>
            <w:hideMark/>
          </w:tcPr>
          <w:p w14:paraId="272FCA67" w14:textId="77777777" w:rsidR="00341875" w:rsidRPr="006D6A3F" w:rsidRDefault="00341875" w:rsidP="00DC50DE">
            <w:pPr>
              <w:spacing w:after="240" w:line="240" w:lineRule="auto"/>
              <w:jc w:val="center"/>
              <w:rPr>
                <w:rFonts w:eastAsia="Times New Roman" w:cstheme="minorHAnsi"/>
                <w:b/>
                <w:bCs/>
                <w:i/>
                <w:iCs/>
                <w:color w:val="000000"/>
                <w:sz w:val="20"/>
                <w:szCs w:val="20"/>
              </w:rPr>
            </w:pPr>
            <w:r w:rsidRPr="006D6A3F">
              <w:rPr>
                <w:rFonts w:eastAsia="Times New Roman" w:cstheme="minorHAnsi"/>
                <w:b/>
                <w:bCs/>
                <w:i/>
                <w:iCs/>
                <w:color w:val="000000"/>
                <w:sz w:val="20"/>
                <w:szCs w:val="20"/>
              </w:rPr>
              <w:t>400</w:t>
            </w:r>
          </w:p>
        </w:tc>
      </w:tr>
      <w:tr w:rsidR="00341875" w:rsidRPr="006D6A3F" w14:paraId="1412BDB0" w14:textId="77777777" w:rsidTr="006D6A3F">
        <w:trPr>
          <w:gridAfter w:val="1"/>
          <w:wAfter w:w="18" w:type="dxa"/>
          <w:trHeight w:val="360"/>
        </w:trPr>
        <w:tc>
          <w:tcPr>
            <w:tcW w:w="2820" w:type="dxa"/>
            <w:noWrap/>
            <w:hideMark/>
          </w:tcPr>
          <w:p w14:paraId="68092999"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Population au 01/01/2019</w:t>
            </w:r>
          </w:p>
        </w:tc>
        <w:tc>
          <w:tcPr>
            <w:tcW w:w="1077" w:type="dxa"/>
            <w:noWrap/>
            <w:hideMark/>
          </w:tcPr>
          <w:p w14:paraId="428DBB68"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584</w:t>
            </w:r>
          </w:p>
        </w:tc>
        <w:tc>
          <w:tcPr>
            <w:tcW w:w="1077" w:type="dxa"/>
            <w:noWrap/>
            <w:hideMark/>
          </w:tcPr>
          <w:p w14:paraId="525B630A"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97.8%</w:t>
            </w:r>
          </w:p>
        </w:tc>
        <w:tc>
          <w:tcPr>
            <w:tcW w:w="1077" w:type="dxa"/>
            <w:gridSpan w:val="2"/>
            <w:noWrap/>
            <w:hideMark/>
          </w:tcPr>
          <w:p w14:paraId="16F363CE"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72</w:t>
            </w:r>
          </w:p>
        </w:tc>
        <w:tc>
          <w:tcPr>
            <w:tcW w:w="1077" w:type="dxa"/>
            <w:noWrap/>
            <w:hideMark/>
          </w:tcPr>
          <w:p w14:paraId="1248A244"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63.7%</w:t>
            </w:r>
          </w:p>
        </w:tc>
        <w:tc>
          <w:tcPr>
            <w:tcW w:w="1077" w:type="dxa"/>
            <w:gridSpan w:val="2"/>
            <w:noWrap/>
            <w:hideMark/>
          </w:tcPr>
          <w:p w14:paraId="0785C8AC"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c>
          <w:tcPr>
            <w:tcW w:w="1077" w:type="dxa"/>
            <w:gridSpan w:val="2"/>
            <w:noWrap/>
            <w:hideMark/>
          </w:tcPr>
          <w:p w14:paraId="32702A47"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r>
      <w:tr w:rsidR="00341875" w:rsidRPr="006D6A3F" w14:paraId="2368A291" w14:textId="77777777" w:rsidTr="006D6A3F">
        <w:trPr>
          <w:gridAfter w:val="1"/>
          <w:wAfter w:w="18" w:type="dxa"/>
          <w:trHeight w:val="360"/>
        </w:trPr>
        <w:tc>
          <w:tcPr>
            <w:tcW w:w="2820" w:type="dxa"/>
            <w:noWrap/>
            <w:hideMark/>
          </w:tcPr>
          <w:p w14:paraId="2E03BEE3"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Moyenne annuelle 2018</w:t>
            </w:r>
          </w:p>
        </w:tc>
        <w:tc>
          <w:tcPr>
            <w:tcW w:w="1077" w:type="dxa"/>
            <w:noWrap/>
            <w:hideMark/>
          </w:tcPr>
          <w:p w14:paraId="60BEDBE9"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575</w:t>
            </w:r>
          </w:p>
        </w:tc>
        <w:tc>
          <w:tcPr>
            <w:tcW w:w="1077" w:type="dxa"/>
            <w:noWrap/>
            <w:hideMark/>
          </w:tcPr>
          <w:p w14:paraId="1507647F"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96.3%</w:t>
            </w:r>
          </w:p>
        </w:tc>
        <w:tc>
          <w:tcPr>
            <w:tcW w:w="1077" w:type="dxa"/>
            <w:gridSpan w:val="2"/>
            <w:noWrap/>
            <w:hideMark/>
          </w:tcPr>
          <w:p w14:paraId="57A7105C"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81</w:t>
            </w:r>
          </w:p>
        </w:tc>
        <w:tc>
          <w:tcPr>
            <w:tcW w:w="1077" w:type="dxa"/>
            <w:noWrap/>
            <w:hideMark/>
          </w:tcPr>
          <w:p w14:paraId="3F2B8A6A"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71.7%</w:t>
            </w:r>
          </w:p>
        </w:tc>
        <w:tc>
          <w:tcPr>
            <w:tcW w:w="1077" w:type="dxa"/>
            <w:gridSpan w:val="2"/>
            <w:noWrap/>
            <w:hideMark/>
          </w:tcPr>
          <w:p w14:paraId="0469DB0E"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c>
          <w:tcPr>
            <w:tcW w:w="1077" w:type="dxa"/>
            <w:gridSpan w:val="2"/>
            <w:noWrap/>
            <w:hideMark/>
          </w:tcPr>
          <w:p w14:paraId="6C0553B1"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r>
      <w:tr w:rsidR="00341875" w:rsidRPr="006D6A3F" w14:paraId="38046ADD" w14:textId="77777777" w:rsidTr="006D6A3F">
        <w:trPr>
          <w:gridAfter w:val="1"/>
          <w:wAfter w:w="18" w:type="dxa"/>
          <w:trHeight w:val="360"/>
        </w:trPr>
        <w:tc>
          <w:tcPr>
            <w:tcW w:w="2820" w:type="dxa"/>
            <w:noWrap/>
            <w:hideMark/>
          </w:tcPr>
          <w:p w14:paraId="0031527F"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Population au 01/01/2020</w:t>
            </w:r>
          </w:p>
        </w:tc>
        <w:tc>
          <w:tcPr>
            <w:tcW w:w="1077" w:type="dxa"/>
            <w:noWrap/>
            <w:hideMark/>
          </w:tcPr>
          <w:p w14:paraId="7F367FFD"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538</w:t>
            </w:r>
          </w:p>
        </w:tc>
        <w:tc>
          <w:tcPr>
            <w:tcW w:w="1077" w:type="dxa"/>
            <w:noWrap/>
            <w:hideMark/>
          </w:tcPr>
          <w:p w14:paraId="68D91368"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90.1%</w:t>
            </w:r>
          </w:p>
        </w:tc>
        <w:tc>
          <w:tcPr>
            <w:tcW w:w="1077" w:type="dxa"/>
            <w:gridSpan w:val="2"/>
            <w:noWrap/>
            <w:hideMark/>
          </w:tcPr>
          <w:p w14:paraId="6ACA66CD"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70</w:t>
            </w:r>
          </w:p>
        </w:tc>
        <w:tc>
          <w:tcPr>
            <w:tcW w:w="1077" w:type="dxa"/>
            <w:noWrap/>
            <w:hideMark/>
          </w:tcPr>
          <w:p w14:paraId="71D6C77F"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61.9%</w:t>
            </w:r>
          </w:p>
        </w:tc>
        <w:tc>
          <w:tcPr>
            <w:tcW w:w="1077" w:type="dxa"/>
            <w:gridSpan w:val="2"/>
            <w:noWrap/>
            <w:hideMark/>
          </w:tcPr>
          <w:p w14:paraId="57B04B3F"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c>
          <w:tcPr>
            <w:tcW w:w="1077" w:type="dxa"/>
            <w:gridSpan w:val="2"/>
            <w:noWrap/>
            <w:hideMark/>
          </w:tcPr>
          <w:p w14:paraId="21439052"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r>
      <w:tr w:rsidR="00341875" w:rsidRPr="006D6A3F" w14:paraId="6831B839" w14:textId="77777777" w:rsidTr="006D6A3F">
        <w:trPr>
          <w:gridAfter w:val="1"/>
          <w:wAfter w:w="18" w:type="dxa"/>
          <w:trHeight w:val="360"/>
        </w:trPr>
        <w:tc>
          <w:tcPr>
            <w:tcW w:w="2820" w:type="dxa"/>
            <w:noWrap/>
            <w:hideMark/>
          </w:tcPr>
          <w:p w14:paraId="1C84684B"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lastRenderedPageBreak/>
              <w:t>Moyenne annuelle 2019</w:t>
            </w:r>
          </w:p>
        </w:tc>
        <w:tc>
          <w:tcPr>
            <w:tcW w:w="1077" w:type="dxa"/>
            <w:noWrap/>
            <w:hideMark/>
          </w:tcPr>
          <w:p w14:paraId="1EA1CE14"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567</w:t>
            </w:r>
          </w:p>
        </w:tc>
        <w:tc>
          <w:tcPr>
            <w:tcW w:w="1077" w:type="dxa"/>
            <w:noWrap/>
            <w:hideMark/>
          </w:tcPr>
          <w:p w14:paraId="406B9E05"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95.0%</w:t>
            </w:r>
          </w:p>
        </w:tc>
        <w:tc>
          <w:tcPr>
            <w:tcW w:w="1077" w:type="dxa"/>
            <w:gridSpan w:val="2"/>
            <w:noWrap/>
            <w:hideMark/>
          </w:tcPr>
          <w:p w14:paraId="7B9A0DF7"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74</w:t>
            </w:r>
          </w:p>
        </w:tc>
        <w:tc>
          <w:tcPr>
            <w:tcW w:w="1077" w:type="dxa"/>
            <w:noWrap/>
            <w:hideMark/>
          </w:tcPr>
          <w:p w14:paraId="6016A900"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65.5%</w:t>
            </w:r>
          </w:p>
        </w:tc>
        <w:tc>
          <w:tcPr>
            <w:tcW w:w="1077" w:type="dxa"/>
            <w:gridSpan w:val="2"/>
            <w:noWrap/>
            <w:hideMark/>
          </w:tcPr>
          <w:p w14:paraId="605E50F8"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c>
          <w:tcPr>
            <w:tcW w:w="1077" w:type="dxa"/>
            <w:gridSpan w:val="2"/>
            <w:noWrap/>
            <w:hideMark/>
          </w:tcPr>
          <w:p w14:paraId="1D55307C"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r>
      <w:tr w:rsidR="00341875" w:rsidRPr="006D6A3F" w14:paraId="44B01D70" w14:textId="77777777" w:rsidTr="006D6A3F">
        <w:trPr>
          <w:gridAfter w:val="1"/>
          <w:wAfter w:w="18" w:type="dxa"/>
          <w:trHeight w:val="360"/>
        </w:trPr>
        <w:tc>
          <w:tcPr>
            <w:tcW w:w="2820" w:type="dxa"/>
            <w:noWrap/>
            <w:hideMark/>
          </w:tcPr>
          <w:p w14:paraId="56753EDE"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Population au 01/01/2021</w:t>
            </w:r>
          </w:p>
        </w:tc>
        <w:tc>
          <w:tcPr>
            <w:tcW w:w="1077" w:type="dxa"/>
            <w:noWrap/>
            <w:hideMark/>
          </w:tcPr>
          <w:p w14:paraId="6AF9B485"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500</w:t>
            </w:r>
          </w:p>
        </w:tc>
        <w:tc>
          <w:tcPr>
            <w:tcW w:w="1077" w:type="dxa"/>
            <w:noWrap/>
            <w:hideMark/>
          </w:tcPr>
          <w:p w14:paraId="088F4569"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83.8%</w:t>
            </w:r>
          </w:p>
        </w:tc>
        <w:tc>
          <w:tcPr>
            <w:tcW w:w="1077" w:type="dxa"/>
            <w:gridSpan w:val="2"/>
            <w:noWrap/>
            <w:hideMark/>
          </w:tcPr>
          <w:p w14:paraId="7B66809E"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48</w:t>
            </w:r>
          </w:p>
        </w:tc>
        <w:tc>
          <w:tcPr>
            <w:tcW w:w="1077" w:type="dxa"/>
            <w:noWrap/>
            <w:hideMark/>
          </w:tcPr>
          <w:p w14:paraId="2661256F"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42.5%</w:t>
            </w:r>
          </w:p>
        </w:tc>
        <w:tc>
          <w:tcPr>
            <w:tcW w:w="1077" w:type="dxa"/>
            <w:gridSpan w:val="2"/>
            <w:noWrap/>
            <w:hideMark/>
          </w:tcPr>
          <w:p w14:paraId="77E5ECDC"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c>
          <w:tcPr>
            <w:tcW w:w="1077" w:type="dxa"/>
            <w:gridSpan w:val="2"/>
            <w:noWrap/>
            <w:hideMark/>
          </w:tcPr>
          <w:p w14:paraId="4ABCB672"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r>
      <w:tr w:rsidR="00341875" w:rsidRPr="006D6A3F" w14:paraId="3BAB9F22" w14:textId="77777777" w:rsidTr="006D6A3F">
        <w:trPr>
          <w:gridAfter w:val="1"/>
          <w:wAfter w:w="18" w:type="dxa"/>
          <w:trHeight w:val="360"/>
        </w:trPr>
        <w:tc>
          <w:tcPr>
            <w:tcW w:w="2820" w:type="dxa"/>
            <w:noWrap/>
            <w:hideMark/>
          </w:tcPr>
          <w:p w14:paraId="33662C5A"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Moyenne annuelle 2020</w:t>
            </w:r>
          </w:p>
        </w:tc>
        <w:tc>
          <w:tcPr>
            <w:tcW w:w="1077" w:type="dxa"/>
            <w:noWrap/>
            <w:hideMark/>
          </w:tcPr>
          <w:p w14:paraId="71C04A4A"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489</w:t>
            </w:r>
          </w:p>
        </w:tc>
        <w:tc>
          <w:tcPr>
            <w:tcW w:w="1077" w:type="dxa"/>
            <w:noWrap/>
            <w:hideMark/>
          </w:tcPr>
          <w:p w14:paraId="78EEF1AA"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81.9%</w:t>
            </w:r>
          </w:p>
        </w:tc>
        <w:tc>
          <w:tcPr>
            <w:tcW w:w="1077" w:type="dxa"/>
            <w:gridSpan w:val="2"/>
            <w:noWrap/>
            <w:hideMark/>
          </w:tcPr>
          <w:p w14:paraId="01B9FF79"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59</w:t>
            </w:r>
          </w:p>
        </w:tc>
        <w:tc>
          <w:tcPr>
            <w:tcW w:w="1077" w:type="dxa"/>
            <w:noWrap/>
            <w:hideMark/>
          </w:tcPr>
          <w:p w14:paraId="578A6A0C"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52.2%</w:t>
            </w:r>
          </w:p>
        </w:tc>
        <w:tc>
          <w:tcPr>
            <w:tcW w:w="1077" w:type="dxa"/>
            <w:gridSpan w:val="2"/>
            <w:noWrap/>
            <w:hideMark/>
          </w:tcPr>
          <w:p w14:paraId="741324D3"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c>
          <w:tcPr>
            <w:tcW w:w="1077" w:type="dxa"/>
            <w:gridSpan w:val="2"/>
            <w:noWrap/>
            <w:hideMark/>
          </w:tcPr>
          <w:p w14:paraId="1D78BB06"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r>
      <w:tr w:rsidR="00341875" w:rsidRPr="006D6A3F" w14:paraId="1781A161" w14:textId="77777777" w:rsidTr="006D6A3F">
        <w:trPr>
          <w:gridAfter w:val="1"/>
          <w:wAfter w:w="18" w:type="dxa"/>
          <w:trHeight w:val="360"/>
        </w:trPr>
        <w:tc>
          <w:tcPr>
            <w:tcW w:w="2820" w:type="dxa"/>
            <w:noWrap/>
            <w:hideMark/>
          </w:tcPr>
          <w:p w14:paraId="4204BFE8"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Population au 01/01/2022</w:t>
            </w:r>
          </w:p>
        </w:tc>
        <w:tc>
          <w:tcPr>
            <w:tcW w:w="1077" w:type="dxa"/>
            <w:noWrap/>
            <w:hideMark/>
          </w:tcPr>
          <w:p w14:paraId="4B42F7FB"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543</w:t>
            </w:r>
          </w:p>
        </w:tc>
        <w:tc>
          <w:tcPr>
            <w:tcW w:w="1077" w:type="dxa"/>
            <w:noWrap/>
            <w:hideMark/>
          </w:tcPr>
          <w:p w14:paraId="633023B6"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91.0%</w:t>
            </w:r>
          </w:p>
        </w:tc>
        <w:tc>
          <w:tcPr>
            <w:tcW w:w="1077" w:type="dxa"/>
            <w:gridSpan w:val="2"/>
            <w:noWrap/>
            <w:hideMark/>
          </w:tcPr>
          <w:p w14:paraId="48D6DA8D"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74</w:t>
            </w:r>
          </w:p>
        </w:tc>
        <w:tc>
          <w:tcPr>
            <w:tcW w:w="1077" w:type="dxa"/>
            <w:noWrap/>
            <w:hideMark/>
          </w:tcPr>
          <w:p w14:paraId="758B4077"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65.5%</w:t>
            </w:r>
          </w:p>
        </w:tc>
        <w:tc>
          <w:tcPr>
            <w:tcW w:w="1077" w:type="dxa"/>
            <w:gridSpan w:val="2"/>
            <w:noWrap/>
            <w:hideMark/>
          </w:tcPr>
          <w:p w14:paraId="7A350EFC"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c>
          <w:tcPr>
            <w:tcW w:w="1077" w:type="dxa"/>
            <w:gridSpan w:val="2"/>
            <w:noWrap/>
            <w:hideMark/>
          </w:tcPr>
          <w:p w14:paraId="608CE031"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w:t>
            </w:r>
          </w:p>
        </w:tc>
      </w:tr>
      <w:tr w:rsidR="00341875" w:rsidRPr="006D6A3F" w14:paraId="06EE8E51" w14:textId="77777777" w:rsidTr="006D6A3F">
        <w:trPr>
          <w:gridAfter w:val="1"/>
          <w:wAfter w:w="18" w:type="dxa"/>
          <w:trHeight w:val="360"/>
        </w:trPr>
        <w:tc>
          <w:tcPr>
            <w:tcW w:w="2820" w:type="dxa"/>
            <w:noWrap/>
            <w:hideMark/>
          </w:tcPr>
          <w:p w14:paraId="6318B717"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Moyenne annuelle 2021</w:t>
            </w:r>
          </w:p>
        </w:tc>
        <w:tc>
          <w:tcPr>
            <w:tcW w:w="1077" w:type="dxa"/>
            <w:noWrap/>
            <w:hideMark/>
          </w:tcPr>
          <w:p w14:paraId="4634D7AE"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530</w:t>
            </w:r>
          </w:p>
        </w:tc>
        <w:tc>
          <w:tcPr>
            <w:tcW w:w="1077" w:type="dxa"/>
            <w:noWrap/>
            <w:hideMark/>
          </w:tcPr>
          <w:p w14:paraId="7442FE62"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88.8%</w:t>
            </w:r>
          </w:p>
        </w:tc>
        <w:tc>
          <w:tcPr>
            <w:tcW w:w="1077" w:type="dxa"/>
            <w:gridSpan w:val="2"/>
            <w:noWrap/>
            <w:hideMark/>
          </w:tcPr>
          <w:p w14:paraId="4925DD14"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68</w:t>
            </w:r>
          </w:p>
        </w:tc>
        <w:tc>
          <w:tcPr>
            <w:tcW w:w="1077" w:type="dxa"/>
            <w:noWrap/>
            <w:hideMark/>
          </w:tcPr>
          <w:p w14:paraId="4C9F1C43"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60.2%</w:t>
            </w:r>
          </w:p>
        </w:tc>
        <w:tc>
          <w:tcPr>
            <w:tcW w:w="1077" w:type="dxa"/>
            <w:gridSpan w:val="2"/>
            <w:noWrap/>
            <w:hideMark/>
          </w:tcPr>
          <w:p w14:paraId="0F0C0192" w14:textId="77777777" w:rsidR="00341875" w:rsidRPr="006D6A3F" w:rsidRDefault="00341875" w:rsidP="00DC50DE">
            <w:pPr>
              <w:spacing w:after="240" w:line="240" w:lineRule="auto"/>
              <w:jc w:val="center"/>
              <w:rPr>
                <w:rFonts w:eastAsia="Times New Roman" w:cstheme="minorHAnsi"/>
                <w:b/>
                <w:bCs/>
                <w:color w:val="000000"/>
                <w:sz w:val="20"/>
                <w:szCs w:val="20"/>
              </w:rPr>
            </w:pPr>
            <w:r w:rsidRPr="006D6A3F">
              <w:rPr>
                <w:rFonts w:eastAsia="Times New Roman" w:cstheme="minorHAnsi"/>
                <w:b/>
                <w:bCs/>
                <w:color w:val="000000"/>
                <w:sz w:val="20"/>
                <w:szCs w:val="20"/>
              </w:rPr>
              <w:t>-</w:t>
            </w:r>
          </w:p>
        </w:tc>
        <w:tc>
          <w:tcPr>
            <w:tcW w:w="1077" w:type="dxa"/>
            <w:gridSpan w:val="2"/>
            <w:noWrap/>
            <w:hideMark/>
          </w:tcPr>
          <w:p w14:paraId="5AA4FF9A" w14:textId="77777777" w:rsidR="00341875" w:rsidRPr="006D6A3F" w:rsidRDefault="00341875" w:rsidP="00DC50DE">
            <w:pPr>
              <w:spacing w:after="240" w:line="240" w:lineRule="auto"/>
              <w:jc w:val="center"/>
              <w:rPr>
                <w:rFonts w:eastAsia="Times New Roman" w:cstheme="minorHAnsi"/>
                <w:b/>
                <w:bCs/>
                <w:color w:val="000000"/>
                <w:sz w:val="20"/>
                <w:szCs w:val="20"/>
              </w:rPr>
            </w:pPr>
            <w:r w:rsidRPr="006D6A3F">
              <w:rPr>
                <w:rFonts w:eastAsia="Times New Roman" w:cstheme="minorHAnsi"/>
                <w:b/>
                <w:bCs/>
                <w:color w:val="000000"/>
                <w:sz w:val="20"/>
                <w:szCs w:val="20"/>
              </w:rPr>
              <w:t>-</w:t>
            </w:r>
          </w:p>
        </w:tc>
      </w:tr>
      <w:tr w:rsidR="00341875" w:rsidRPr="006D6A3F" w14:paraId="1D24CB82" w14:textId="77777777" w:rsidTr="006D6A3F">
        <w:trPr>
          <w:gridAfter w:val="1"/>
          <w:wAfter w:w="18" w:type="dxa"/>
          <w:trHeight w:val="300"/>
        </w:trPr>
        <w:tc>
          <w:tcPr>
            <w:tcW w:w="2820" w:type="dxa"/>
            <w:noWrap/>
            <w:hideMark/>
          </w:tcPr>
          <w:p w14:paraId="08D664F6"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Population au 01/01/2023</w:t>
            </w:r>
          </w:p>
        </w:tc>
        <w:tc>
          <w:tcPr>
            <w:tcW w:w="1077" w:type="dxa"/>
            <w:noWrap/>
            <w:hideMark/>
          </w:tcPr>
          <w:p w14:paraId="23EBF94D"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486</w:t>
            </w:r>
          </w:p>
        </w:tc>
        <w:tc>
          <w:tcPr>
            <w:tcW w:w="1077" w:type="dxa"/>
            <w:noWrap/>
            <w:hideMark/>
          </w:tcPr>
          <w:p w14:paraId="2EC7C0D6"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81.4%</w:t>
            </w:r>
          </w:p>
        </w:tc>
        <w:tc>
          <w:tcPr>
            <w:tcW w:w="1077" w:type="dxa"/>
            <w:gridSpan w:val="2"/>
            <w:noWrap/>
            <w:hideMark/>
          </w:tcPr>
          <w:p w14:paraId="403D9E9E"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75</w:t>
            </w:r>
          </w:p>
        </w:tc>
        <w:tc>
          <w:tcPr>
            <w:tcW w:w="1077" w:type="dxa"/>
            <w:noWrap/>
            <w:hideMark/>
          </w:tcPr>
          <w:p w14:paraId="16FAFB2D"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66.4%</w:t>
            </w:r>
          </w:p>
        </w:tc>
        <w:tc>
          <w:tcPr>
            <w:tcW w:w="1077" w:type="dxa"/>
            <w:gridSpan w:val="2"/>
            <w:noWrap/>
            <w:hideMark/>
          </w:tcPr>
          <w:p w14:paraId="3582B6C7"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144</w:t>
            </w:r>
          </w:p>
        </w:tc>
        <w:tc>
          <w:tcPr>
            <w:tcW w:w="1077" w:type="dxa"/>
            <w:gridSpan w:val="2"/>
            <w:noWrap/>
            <w:hideMark/>
          </w:tcPr>
          <w:p w14:paraId="72AACA6E"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72.0%</w:t>
            </w:r>
          </w:p>
        </w:tc>
      </w:tr>
      <w:tr w:rsidR="00341875" w:rsidRPr="006D6A3F" w14:paraId="140BC307" w14:textId="77777777" w:rsidTr="006D6A3F">
        <w:trPr>
          <w:gridAfter w:val="1"/>
          <w:wAfter w:w="18" w:type="dxa"/>
          <w:trHeight w:val="300"/>
        </w:trPr>
        <w:tc>
          <w:tcPr>
            <w:tcW w:w="2820" w:type="dxa"/>
            <w:noWrap/>
            <w:hideMark/>
          </w:tcPr>
          <w:p w14:paraId="27A00349" w14:textId="77777777" w:rsidR="00341875" w:rsidRPr="006D6A3F" w:rsidRDefault="00341875" w:rsidP="00DC50DE">
            <w:pPr>
              <w:spacing w:after="240" w:line="240" w:lineRule="auto"/>
              <w:rPr>
                <w:rFonts w:eastAsia="Times New Roman" w:cstheme="minorHAnsi"/>
                <w:color w:val="000000"/>
                <w:sz w:val="20"/>
                <w:szCs w:val="20"/>
              </w:rPr>
            </w:pPr>
            <w:r w:rsidRPr="006D6A3F">
              <w:rPr>
                <w:rFonts w:eastAsia="Times New Roman" w:cstheme="minorHAnsi"/>
                <w:color w:val="000000"/>
                <w:sz w:val="20"/>
                <w:szCs w:val="20"/>
              </w:rPr>
              <w:t>Moyenne annuelle 2022</w:t>
            </w:r>
          </w:p>
        </w:tc>
        <w:tc>
          <w:tcPr>
            <w:tcW w:w="1077" w:type="dxa"/>
            <w:noWrap/>
            <w:hideMark/>
          </w:tcPr>
          <w:p w14:paraId="40AABED1"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592</w:t>
            </w:r>
          </w:p>
        </w:tc>
        <w:tc>
          <w:tcPr>
            <w:tcW w:w="1077" w:type="dxa"/>
            <w:noWrap/>
            <w:hideMark/>
          </w:tcPr>
          <w:p w14:paraId="716733B6"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99.2%</w:t>
            </w:r>
          </w:p>
        </w:tc>
        <w:tc>
          <w:tcPr>
            <w:tcW w:w="1077" w:type="dxa"/>
            <w:gridSpan w:val="2"/>
            <w:noWrap/>
            <w:hideMark/>
          </w:tcPr>
          <w:p w14:paraId="1F37BA84"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75</w:t>
            </w:r>
          </w:p>
        </w:tc>
        <w:tc>
          <w:tcPr>
            <w:tcW w:w="1077" w:type="dxa"/>
            <w:noWrap/>
            <w:hideMark/>
          </w:tcPr>
          <w:p w14:paraId="37FB14EC"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66.4%</w:t>
            </w:r>
          </w:p>
        </w:tc>
        <w:tc>
          <w:tcPr>
            <w:tcW w:w="1077" w:type="dxa"/>
            <w:gridSpan w:val="2"/>
            <w:noWrap/>
            <w:hideMark/>
          </w:tcPr>
          <w:p w14:paraId="365E79B3" w14:textId="77777777" w:rsidR="00341875" w:rsidRPr="006D6A3F" w:rsidRDefault="00341875" w:rsidP="00DC50DE">
            <w:pPr>
              <w:spacing w:after="240" w:line="240" w:lineRule="auto"/>
              <w:jc w:val="center"/>
              <w:rPr>
                <w:rFonts w:eastAsia="Times New Roman" w:cstheme="minorHAnsi"/>
                <w:b/>
                <w:bCs/>
                <w:color w:val="000000"/>
                <w:sz w:val="20"/>
                <w:szCs w:val="20"/>
              </w:rPr>
            </w:pPr>
            <w:r w:rsidRPr="006D6A3F">
              <w:rPr>
                <w:rFonts w:eastAsia="Times New Roman" w:cstheme="minorHAnsi"/>
                <w:b/>
                <w:bCs/>
                <w:color w:val="000000"/>
                <w:sz w:val="20"/>
                <w:szCs w:val="20"/>
              </w:rPr>
              <w:t>105</w:t>
            </w:r>
          </w:p>
        </w:tc>
        <w:tc>
          <w:tcPr>
            <w:tcW w:w="1077" w:type="dxa"/>
            <w:gridSpan w:val="2"/>
            <w:noWrap/>
            <w:hideMark/>
          </w:tcPr>
          <w:p w14:paraId="616FAB4E" w14:textId="77777777" w:rsidR="00341875" w:rsidRPr="006D6A3F" w:rsidRDefault="00341875" w:rsidP="00DC50DE">
            <w:pPr>
              <w:spacing w:after="240" w:line="240" w:lineRule="auto"/>
              <w:jc w:val="center"/>
              <w:rPr>
                <w:rFonts w:eastAsia="Times New Roman" w:cstheme="minorHAnsi"/>
                <w:color w:val="000000"/>
                <w:sz w:val="20"/>
                <w:szCs w:val="20"/>
              </w:rPr>
            </w:pPr>
            <w:r w:rsidRPr="006D6A3F">
              <w:rPr>
                <w:rFonts w:eastAsia="Times New Roman" w:cstheme="minorHAnsi"/>
                <w:color w:val="000000"/>
                <w:sz w:val="20"/>
                <w:szCs w:val="20"/>
              </w:rPr>
              <w:t>52.5%</w:t>
            </w:r>
          </w:p>
        </w:tc>
      </w:tr>
    </w:tbl>
    <w:p w14:paraId="6BA19551" w14:textId="77777777" w:rsidR="00341875" w:rsidRPr="006D6A3F" w:rsidRDefault="00341875" w:rsidP="00DC50DE">
      <w:pPr>
        <w:spacing w:after="240"/>
        <w:jc w:val="both"/>
        <w:rPr>
          <w:rFonts w:cstheme="minorHAnsi"/>
        </w:rPr>
      </w:pPr>
      <w:r w:rsidRPr="006D6A3F">
        <w:rPr>
          <w:rFonts w:cstheme="minorHAnsi"/>
        </w:rPr>
        <w:t xml:space="preserve">* Le CPU n’ayant accueilli les premiers prévenus qu’à partir du 6 décembre 2023, la valeur de la moyenne annuelle ne représente concrètement ici uniquement qu’une moyenne d’une partie du mois de décembre 2022. </w:t>
      </w:r>
    </w:p>
    <w:p w14:paraId="2C74ACDB" w14:textId="729C5B62" w:rsidR="00341875" w:rsidRPr="006D6A3F" w:rsidRDefault="00341875" w:rsidP="006D6A3F">
      <w:pPr>
        <w:spacing w:after="240"/>
        <w:jc w:val="both"/>
        <w:rPr>
          <w:rFonts w:cstheme="minorHAnsi"/>
        </w:rPr>
      </w:pPr>
      <w:r w:rsidRPr="006D6A3F">
        <w:rPr>
          <w:rFonts w:cstheme="minorHAnsi"/>
        </w:rPr>
        <w:t>En ce qui concerne la capacité, au moment de l'établissement des chiffres, seules deux des quatre sections étaient officiellement ouvertes, d'où le calcul du taux d'occupation sur la base d'une capacité de 200 personnes. La capacité effective totale est de 400 personnes.</w:t>
      </w:r>
    </w:p>
    <w:p w14:paraId="1546684D" w14:textId="3899A370" w:rsidR="00DC50DE" w:rsidRPr="006D6A3F" w:rsidRDefault="00DC50DE" w:rsidP="006D6A3F">
      <w:pPr>
        <w:spacing w:after="240"/>
        <w:jc w:val="both"/>
        <w:rPr>
          <w:rFonts w:cstheme="minorHAnsi"/>
        </w:rPr>
      </w:pPr>
      <w:r w:rsidRPr="006D6A3F">
        <w:rPr>
          <w:rFonts w:cstheme="minorHAnsi"/>
        </w:rPr>
        <w:t xml:space="preserve">En ce qui concerne l’Unité de sécurité de sécurité </w:t>
      </w:r>
      <w:r w:rsidR="00BB0E24" w:rsidRPr="006D6A3F">
        <w:rPr>
          <w:rFonts w:cstheme="minorHAnsi"/>
        </w:rPr>
        <w:t>(</w:t>
      </w:r>
      <w:r w:rsidR="00BB0E24" w:rsidRPr="006D6A3F">
        <w:rPr>
          <w:rFonts w:cstheme="minorHAnsi"/>
          <w:b/>
        </w:rPr>
        <w:t>UNISEC</w:t>
      </w:r>
      <w:r w:rsidR="00BB0E24" w:rsidRPr="006D6A3F">
        <w:rPr>
          <w:rFonts w:cstheme="minorHAnsi"/>
        </w:rPr>
        <w:t>)</w:t>
      </w:r>
      <w:r w:rsidRPr="006D6A3F">
        <w:rPr>
          <w:rFonts w:cstheme="minorHAnsi"/>
        </w:rPr>
        <w:t>du Centre socio-éducatif de l’</w:t>
      </w:r>
      <w:r w:rsidR="00BB0E24">
        <w:rPr>
          <w:rFonts w:cstheme="minorHAnsi"/>
        </w:rPr>
        <w:t>État</w:t>
      </w:r>
      <w:r w:rsidRPr="006D6A3F">
        <w:rPr>
          <w:rFonts w:cstheme="minorHAnsi"/>
        </w:rPr>
        <w:t xml:space="preserve"> à </w:t>
      </w:r>
      <w:proofErr w:type="spellStart"/>
      <w:r w:rsidRPr="006D6A3F">
        <w:rPr>
          <w:rFonts w:cstheme="minorHAnsi"/>
        </w:rPr>
        <w:t>Dreiborn</w:t>
      </w:r>
      <w:proofErr w:type="spellEnd"/>
      <w:r w:rsidR="00BB0E24">
        <w:rPr>
          <w:rFonts w:cstheme="minorHAnsi"/>
        </w:rPr>
        <w:t xml:space="preserve"> (CSEE)</w:t>
      </w:r>
      <w:r w:rsidRPr="006D6A3F">
        <w:rPr>
          <w:rFonts w:cstheme="minorHAnsi"/>
        </w:rPr>
        <w:t>, la moyenne annuelle est de 53 % pour 2019, 35 % pour 2020, 84 % pour 2021 et 73 % pour 2022.</w:t>
      </w:r>
    </w:p>
    <w:p w14:paraId="455067E7" w14:textId="4F01B869" w:rsidR="001A2152" w:rsidRPr="006D6A3F" w:rsidRDefault="001A2152" w:rsidP="006D6A3F">
      <w:pPr>
        <w:spacing w:after="240"/>
        <w:jc w:val="both"/>
        <w:rPr>
          <w:rFonts w:cstheme="minorHAnsi"/>
        </w:rPr>
      </w:pPr>
      <w:r w:rsidRPr="006D6A3F">
        <w:rPr>
          <w:rFonts w:cstheme="minorHAnsi"/>
        </w:rPr>
        <w:t xml:space="preserve">En ce qui concerne le </w:t>
      </w:r>
      <w:r w:rsidRPr="006D6A3F">
        <w:rPr>
          <w:rFonts w:cstheme="minorHAnsi"/>
          <w:b/>
        </w:rPr>
        <w:t>Centre</w:t>
      </w:r>
      <w:r w:rsidR="00DC50DE" w:rsidRPr="006D6A3F">
        <w:rPr>
          <w:rFonts w:cstheme="minorHAnsi"/>
          <w:b/>
        </w:rPr>
        <w:t xml:space="preserve"> </w:t>
      </w:r>
      <w:r w:rsidRPr="006D6A3F">
        <w:rPr>
          <w:rFonts w:cstheme="minorHAnsi"/>
          <w:b/>
        </w:rPr>
        <w:t>de rétention</w:t>
      </w:r>
      <w:r w:rsidR="00DC50DE" w:rsidRPr="006D6A3F">
        <w:rPr>
          <w:rFonts w:cstheme="minorHAnsi"/>
        </w:rPr>
        <w:t xml:space="preserve">, </w:t>
      </w:r>
      <w:r w:rsidR="006D6A3F" w:rsidRPr="006D6A3F">
        <w:rPr>
          <w:rFonts w:cstheme="minorHAnsi"/>
        </w:rPr>
        <w:t>ci-dessous un relevé du taux d’occupation entre</w:t>
      </w:r>
      <w:r w:rsidR="00DC50DE" w:rsidRPr="006D6A3F">
        <w:rPr>
          <w:rFonts w:cstheme="minorHAnsi"/>
        </w:rPr>
        <w:t xml:space="preserve"> 2019 et 2022 </w:t>
      </w:r>
      <w:r w:rsidR="006D6A3F" w:rsidRPr="006D6A3F">
        <w:rPr>
          <w:rFonts w:cstheme="minorHAnsi"/>
        </w:rPr>
        <w:t>et une ventilation du taux actuel par nationalité et par âge</w:t>
      </w:r>
      <w:r w:rsidR="00DC50DE" w:rsidRPr="006D6A3F">
        <w:rPr>
          <w:rFonts w:cstheme="minorHAnsi"/>
        </w:rPr>
        <w:t> :</w:t>
      </w:r>
    </w:p>
    <w:tbl>
      <w:tblPr>
        <w:tblStyle w:val="TableGridLight"/>
        <w:tblW w:w="9072" w:type="dxa"/>
        <w:tblLook w:val="04A0" w:firstRow="1" w:lastRow="0" w:firstColumn="1" w:lastColumn="0" w:noHBand="0" w:noVBand="1"/>
      </w:tblPr>
      <w:tblGrid>
        <w:gridCol w:w="2552"/>
        <w:gridCol w:w="2268"/>
        <w:gridCol w:w="2126"/>
        <w:gridCol w:w="2126"/>
      </w:tblGrid>
      <w:tr w:rsidR="001A2152" w:rsidRPr="006D6A3F" w14:paraId="0FD5AE6F" w14:textId="77777777" w:rsidTr="0053221C">
        <w:trPr>
          <w:trHeight w:val="276"/>
        </w:trPr>
        <w:tc>
          <w:tcPr>
            <w:tcW w:w="2552" w:type="dxa"/>
            <w:noWrap/>
            <w:hideMark/>
          </w:tcPr>
          <w:p w14:paraId="38AEEDFF" w14:textId="77777777" w:rsidR="001A2152" w:rsidRPr="006D6A3F" w:rsidRDefault="001A2152" w:rsidP="0053221C">
            <w:pPr>
              <w:rPr>
                <w:rFonts w:cstheme="minorHAnsi"/>
                <w:b/>
                <w:bCs/>
                <w:sz w:val="20"/>
                <w:szCs w:val="20"/>
              </w:rPr>
            </w:pPr>
          </w:p>
        </w:tc>
        <w:tc>
          <w:tcPr>
            <w:tcW w:w="2268" w:type="dxa"/>
            <w:noWrap/>
            <w:hideMark/>
          </w:tcPr>
          <w:p w14:paraId="29ED2AC0" w14:textId="77777777" w:rsidR="001A2152" w:rsidRPr="006D6A3F" w:rsidRDefault="001A2152" w:rsidP="0053221C">
            <w:pPr>
              <w:rPr>
                <w:rFonts w:cstheme="minorHAnsi"/>
                <w:b/>
                <w:bCs/>
                <w:sz w:val="20"/>
                <w:szCs w:val="20"/>
              </w:rPr>
            </w:pPr>
            <w:r w:rsidRPr="006D6A3F">
              <w:rPr>
                <w:rFonts w:cstheme="minorHAnsi"/>
                <w:b/>
                <w:bCs/>
                <w:sz w:val="20"/>
                <w:szCs w:val="20"/>
              </w:rPr>
              <w:t>Capacité maximale</w:t>
            </w:r>
          </w:p>
        </w:tc>
        <w:tc>
          <w:tcPr>
            <w:tcW w:w="2126" w:type="dxa"/>
            <w:noWrap/>
            <w:hideMark/>
          </w:tcPr>
          <w:p w14:paraId="0A8DDCCC" w14:textId="77777777" w:rsidR="001A2152" w:rsidRPr="006D6A3F" w:rsidRDefault="001A2152" w:rsidP="0053221C">
            <w:pPr>
              <w:rPr>
                <w:rFonts w:cstheme="minorHAnsi"/>
                <w:b/>
                <w:bCs/>
                <w:sz w:val="20"/>
                <w:szCs w:val="20"/>
              </w:rPr>
            </w:pPr>
            <w:r w:rsidRPr="006D6A3F">
              <w:rPr>
                <w:rFonts w:cstheme="minorHAnsi"/>
                <w:b/>
                <w:bCs/>
                <w:sz w:val="20"/>
                <w:szCs w:val="20"/>
              </w:rPr>
              <w:t>Capacité moyenne</w:t>
            </w:r>
          </w:p>
        </w:tc>
        <w:tc>
          <w:tcPr>
            <w:tcW w:w="2126" w:type="dxa"/>
            <w:noWrap/>
            <w:hideMark/>
          </w:tcPr>
          <w:p w14:paraId="7F5C37CD" w14:textId="77777777" w:rsidR="001A2152" w:rsidRPr="006D6A3F" w:rsidRDefault="001A2152" w:rsidP="0053221C">
            <w:pPr>
              <w:rPr>
                <w:rFonts w:cstheme="minorHAnsi"/>
                <w:b/>
                <w:bCs/>
                <w:sz w:val="20"/>
                <w:szCs w:val="20"/>
              </w:rPr>
            </w:pPr>
            <w:r w:rsidRPr="006D6A3F">
              <w:rPr>
                <w:rFonts w:cstheme="minorHAnsi"/>
                <w:b/>
                <w:bCs/>
                <w:sz w:val="20"/>
                <w:szCs w:val="20"/>
              </w:rPr>
              <w:t>Taux d'occupation</w:t>
            </w:r>
          </w:p>
        </w:tc>
      </w:tr>
      <w:tr w:rsidR="001A2152" w:rsidRPr="006D6A3F" w14:paraId="3D66E415" w14:textId="77777777" w:rsidTr="0053221C">
        <w:trPr>
          <w:trHeight w:val="264"/>
        </w:trPr>
        <w:tc>
          <w:tcPr>
            <w:tcW w:w="2552" w:type="dxa"/>
            <w:noWrap/>
            <w:hideMark/>
          </w:tcPr>
          <w:p w14:paraId="13918EA6" w14:textId="77777777" w:rsidR="001A2152" w:rsidRPr="006D6A3F" w:rsidRDefault="001A2152" w:rsidP="0053221C">
            <w:pPr>
              <w:rPr>
                <w:rFonts w:cstheme="minorHAnsi"/>
                <w:b/>
                <w:bCs/>
                <w:sz w:val="20"/>
                <w:szCs w:val="20"/>
              </w:rPr>
            </w:pPr>
            <w:r w:rsidRPr="006D6A3F">
              <w:rPr>
                <w:rFonts w:cstheme="minorHAnsi"/>
                <w:b/>
                <w:bCs/>
                <w:sz w:val="20"/>
                <w:szCs w:val="20"/>
              </w:rPr>
              <w:t>2019</w:t>
            </w:r>
          </w:p>
        </w:tc>
        <w:tc>
          <w:tcPr>
            <w:tcW w:w="2268" w:type="dxa"/>
            <w:noWrap/>
            <w:hideMark/>
          </w:tcPr>
          <w:p w14:paraId="521A443B" w14:textId="77777777" w:rsidR="001A2152" w:rsidRPr="006D6A3F" w:rsidRDefault="001A2152" w:rsidP="0053221C">
            <w:pPr>
              <w:rPr>
                <w:rFonts w:cstheme="minorHAnsi"/>
                <w:b/>
                <w:bCs/>
                <w:sz w:val="20"/>
                <w:szCs w:val="20"/>
              </w:rPr>
            </w:pPr>
            <w:r w:rsidRPr="006D6A3F">
              <w:rPr>
                <w:rFonts w:cstheme="minorHAnsi"/>
                <w:b/>
                <w:bCs/>
                <w:sz w:val="20"/>
                <w:szCs w:val="20"/>
              </w:rPr>
              <w:t> </w:t>
            </w:r>
          </w:p>
        </w:tc>
        <w:tc>
          <w:tcPr>
            <w:tcW w:w="2126" w:type="dxa"/>
            <w:noWrap/>
            <w:hideMark/>
          </w:tcPr>
          <w:p w14:paraId="54B861AD" w14:textId="77777777" w:rsidR="001A2152" w:rsidRPr="006D6A3F" w:rsidRDefault="001A2152" w:rsidP="0053221C">
            <w:pPr>
              <w:jc w:val="right"/>
              <w:rPr>
                <w:rFonts w:cstheme="minorHAnsi"/>
                <w:b/>
                <w:bCs/>
                <w:sz w:val="20"/>
                <w:szCs w:val="20"/>
              </w:rPr>
            </w:pPr>
            <w:r w:rsidRPr="006D6A3F">
              <w:rPr>
                <w:rFonts w:cstheme="minorHAnsi"/>
                <w:b/>
                <w:bCs/>
                <w:sz w:val="20"/>
                <w:szCs w:val="20"/>
              </w:rPr>
              <w:t>49</w:t>
            </w:r>
          </w:p>
        </w:tc>
        <w:tc>
          <w:tcPr>
            <w:tcW w:w="2126" w:type="dxa"/>
            <w:noWrap/>
            <w:hideMark/>
          </w:tcPr>
          <w:p w14:paraId="4088064F" w14:textId="77777777" w:rsidR="001A2152" w:rsidRPr="006D6A3F" w:rsidRDefault="001A2152" w:rsidP="0053221C">
            <w:pPr>
              <w:jc w:val="right"/>
              <w:rPr>
                <w:rFonts w:cstheme="minorHAnsi"/>
                <w:b/>
                <w:bCs/>
                <w:sz w:val="20"/>
                <w:szCs w:val="20"/>
              </w:rPr>
            </w:pPr>
            <w:r w:rsidRPr="006D6A3F">
              <w:rPr>
                <w:rFonts w:cstheme="minorHAnsi"/>
                <w:b/>
                <w:bCs/>
                <w:sz w:val="20"/>
                <w:szCs w:val="20"/>
              </w:rPr>
              <w:t>97,05%</w:t>
            </w:r>
          </w:p>
        </w:tc>
      </w:tr>
      <w:tr w:rsidR="001A2152" w:rsidRPr="006D6A3F" w14:paraId="7A60A9D6" w14:textId="77777777" w:rsidTr="0053221C">
        <w:trPr>
          <w:trHeight w:val="264"/>
        </w:trPr>
        <w:tc>
          <w:tcPr>
            <w:tcW w:w="2552" w:type="dxa"/>
            <w:noWrap/>
            <w:hideMark/>
          </w:tcPr>
          <w:p w14:paraId="2F48DC3C" w14:textId="77777777" w:rsidR="001A2152" w:rsidRPr="006D6A3F" w:rsidRDefault="001A2152" w:rsidP="0053221C">
            <w:pPr>
              <w:rPr>
                <w:rFonts w:cstheme="minorHAnsi"/>
                <w:sz w:val="20"/>
                <w:szCs w:val="20"/>
              </w:rPr>
            </w:pPr>
            <w:r w:rsidRPr="006D6A3F">
              <w:rPr>
                <w:rFonts w:cstheme="minorHAnsi"/>
                <w:sz w:val="20"/>
                <w:szCs w:val="20"/>
              </w:rPr>
              <w:t>01/01/2019-02/05/2019</w:t>
            </w:r>
          </w:p>
        </w:tc>
        <w:tc>
          <w:tcPr>
            <w:tcW w:w="2268" w:type="dxa"/>
            <w:noWrap/>
            <w:hideMark/>
          </w:tcPr>
          <w:p w14:paraId="1935C523" w14:textId="77777777" w:rsidR="001A2152" w:rsidRPr="006D6A3F" w:rsidRDefault="001A2152" w:rsidP="0053221C">
            <w:pPr>
              <w:jc w:val="right"/>
              <w:rPr>
                <w:rFonts w:cstheme="minorHAnsi"/>
                <w:sz w:val="20"/>
                <w:szCs w:val="20"/>
              </w:rPr>
            </w:pPr>
            <w:r w:rsidRPr="006D6A3F">
              <w:rPr>
                <w:rFonts w:cstheme="minorHAnsi"/>
                <w:sz w:val="20"/>
                <w:szCs w:val="20"/>
              </w:rPr>
              <w:t>58</w:t>
            </w:r>
          </w:p>
        </w:tc>
        <w:tc>
          <w:tcPr>
            <w:tcW w:w="2126" w:type="dxa"/>
            <w:noWrap/>
            <w:hideMark/>
          </w:tcPr>
          <w:p w14:paraId="3ED8934D" w14:textId="77777777" w:rsidR="001A2152" w:rsidRPr="006D6A3F" w:rsidRDefault="001A2152" w:rsidP="0053221C">
            <w:pPr>
              <w:rPr>
                <w:rFonts w:cstheme="minorHAnsi"/>
                <w:sz w:val="20"/>
                <w:szCs w:val="20"/>
              </w:rPr>
            </w:pPr>
            <w:r w:rsidRPr="006D6A3F">
              <w:rPr>
                <w:rFonts w:cstheme="minorHAnsi"/>
                <w:sz w:val="20"/>
                <w:szCs w:val="20"/>
              </w:rPr>
              <w:t> </w:t>
            </w:r>
          </w:p>
        </w:tc>
        <w:tc>
          <w:tcPr>
            <w:tcW w:w="2126" w:type="dxa"/>
            <w:noWrap/>
            <w:hideMark/>
          </w:tcPr>
          <w:p w14:paraId="1597C4AC" w14:textId="77777777" w:rsidR="001A2152" w:rsidRPr="006D6A3F" w:rsidRDefault="001A2152" w:rsidP="0053221C">
            <w:pPr>
              <w:jc w:val="right"/>
              <w:rPr>
                <w:rFonts w:cstheme="minorHAnsi"/>
                <w:sz w:val="20"/>
                <w:szCs w:val="20"/>
              </w:rPr>
            </w:pPr>
            <w:r w:rsidRPr="006D6A3F">
              <w:rPr>
                <w:rFonts w:cstheme="minorHAnsi"/>
                <w:sz w:val="20"/>
                <w:szCs w:val="20"/>
              </w:rPr>
              <w:t>95,14%</w:t>
            </w:r>
          </w:p>
        </w:tc>
      </w:tr>
      <w:tr w:rsidR="001A2152" w:rsidRPr="006D6A3F" w14:paraId="51259A2B" w14:textId="77777777" w:rsidTr="0053221C">
        <w:trPr>
          <w:trHeight w:val="276"/>
        </w:trPr>
        <w:tc>
          <w:tcPr>
            <w:tcW w:w="2552" w:type="dxa"/>
            <w:noWrap/>
            <w:hideMark/>
          </w:tcPr>
          <w:p w14:paraId="69606F26" w14:textId="77777777" w:rsidR="001A2152" w:rsidRPr="006D6A3F" w:rsidRDefault="001A2152" w:rsidP="0053221C">
            <w:pPr>
              <w:rPr>
                <w:rFonts w:cstheme="minorHAnsi"/>
                <w:sz w:val="20"/>
                <w:szCs w:val="20"/>
              </w:rPr>
            </w:pPr>
            <w:r w:rsidRPr="006D6A3F">
              <w:rPr>
                <w:rFonts w:cstheme="minorHAnsi"/>
                <w:sz w:val="20"/>
                <w:szCs w:val="20"/>
              </w:rPr>
              <w:t>03/05/2019-31/12/2019</w:t>
            </w:r>
          </w:p>
        </w:tc>
        <w:tc>
          <w:tcPr>
            <w:tcW w:w="2268" w:type="dxa"/>
            <w:noWrap/>
            <w:hideMark/>
          </w:tcPr>
          <w:p w14:paraId="3395011D" w14:textId="77777777" w:rsidR="001A2152" w:rsidRPr="006D6A3F" w:rsidRDefault="001A2152" w:rsidP="0053221C">
            <w:pPr>
              <w:jc w:val="right"/>
              <w:rPr>
                <w:rFonts w:cstheme="minorHAnsi"/>
                <w:sz w:val="20"/>
                <w:szCs w:val="20"/>
              </w:rPr>
            </w:pPr>
            <w:r w:rsidRPr="006D6A3F">
              <w:rPr>
                <w:rFonts w:cstheme="minorHAnsi"/>
                <w:sz w:val="20"/>
                <w:szCs w:val="20"/>
              </w:rPr>
              <w:t>44</w:t>
            </w:r>
          </w:p>
        </w:tc>
        <w:tc>
          <w:tcPr>
            <w:tcW w:w="2126" w:type="dxa"/>
            <w:noWrap/>
            <w:hideMark/>
          </w:tcPr>
          <w:p w14:paraId="7658761F" w14:textId="77777777" w:rsidR="001A2152" w:rsidRPr="006D6A3F" w:rsidRDefault="001A2152" w:rsidP="0053221C">
            <w:pPr>
              <w:rPr>
                <w:rFonts w:cstheme="minorHAnsi"/>
                <w:sz w:val="20"/>
                <w:szCs w:val="20"/>
              </w:rPr>
            </w:pPr>
            <w:r w:rsidRPr="006D6A3F">
              <w:rPr>
                <w:rFonts w:cstheme="minorHAnsi"/>
                <w:sz w:val="20"/>
                <w:szCs w:val="20"/>
              </w:rPr>
              <w:t> </w:t>
            </w:r>
          </w:p>
        </w:tc>
        <w:tc>
          <w:tcPr>
            <w:tcW w:w="2126" w:type="dxa"/>
            <w:noWrap/>
            <w:hideMark/>
          </w:tcPr>
          <w:p w14:paraId="3AB87321" w14:textId="77777777" w:rsidR="001A2152" w:rsidRPr="006D6A3F" w:rsidRDefault="001A2152" w:rsidP="0053221C">
            <w:pPr>
              <w:jc w:val="right"/>
              <w:rPr>
                <w:rFonts w:cstheme="minorHAnsi"/>
                <w:sz w:val="20"/>
                <w:szCs w:val="20"/>
              </w:rPr>
            </w:pPr>
            <w:r w:rsidRPr="006D6A3F">
              <w:rPr>
                <w:rFonts w:cstheme="minorHAnsi"/>
                <w:sz w:val="20"/>
                <w:szCs w:val="20"/>
              </w:rPr>
              <w:t>98,96%</w:t>
            </w:r>
          </w:p>
        </w:tc>
      </w:tr>
      <w:tr w:rsidR="001A2152" w:rsidRPr="006D6A3F" w14:paraId="6C36302D" w14:textId="77777777" w:rsidTr="0053221C">
        <w:trPr>
          <w:trHeight w:val="264"/>
        </w:trPr>
        <w:tc>
          <w:tcPr>
            <w:tcW w:w="2552" w:type="dxa"/>
            <w:noWrap/>
            <w:hideMark/>
          </w:tcPr>
          <w:p w14:paraId="2A985404" w14:textId="77777777" w:rsidR="001A2152" w:rsidRPr="006D6A3F" w:rsidRDefault="001A2152" w:rsidP="0053221C">
            <w:pPr>
              <w:rPr>
                <w:rFonts w:cstheme="minorHAnsi"/>
                <w:b/>
                <w:bCs/>
                <w:sz w:val="20"/>
                <w:szCs w:val="20"/>
              </w:rPr>
            </w:pPr>
            <w:r w:rsidRPr="006D6A3F">
              <w:rPr>
                <w:rFonts w:cstheme="minorHAnsi"/>
                <w:b/>
                <w:bCs/>
                <w:sz w:val="20"/>
                <w:szCs w:val="20"/>
              </w:rPr>
              <w:t>2020</w:t>
            </w:r>
          </w:p>
        </w:tc>
        <w:tc>
          <w:tcPr>
            <w:tcW w:w="2268" w:type="dxa"/>
            <w:noWrap/>
            <w:hideMark/>
          </w:tcPr>
          <w:p w14:paraId="30DBE29D" w14:textId="77777777" w:rsidR="001A2152" w:rsidRPr="006D6A3F" w:rsidRDefault="001A2152" w:rsidP="0053221C">
            <w:pPr>
              <w:rPr>
                <w:rFonts w:cstheme="minorHAnsi"/>
                <w:b/>
                <w:bCs/>
                <w:sz w:val="20"/>
                <w:szCs w:val="20"/>
              </w:rPr>
            </w:pPr>
            <w:r w:rsidRPr="006D6A3F">
              <w:rPr>
                <w:rFonts w:cstheme="minorHAnsi"/>
                <w:b/>
                <w:bCs/>
                <w:sz w:val="20"/>
                <w:szCs w:val="20"/>
              </w:rPr>
              <w:t> </w:t>
            </w:r>
          </w:p>
        </w:tc>
        <w:tc>
          <w:tcPr>
            <w:tcW w:w="2126" w:type="dxa"/>
            <w:noWrap/>
            <w:hideMark/>
          </w:tcPr>
          <w:p w14:paraId="7E916D9C" w14:textId="77777777" w:rsidR="001A2152" w:rsidRPr="006D6A3F" w:rsidRDefault="001A2152" w:rsidP="0053221C">
            <w:pPr>
              <w:jc w:val="right"/>
              <w:rPr>
                <w:rFonts w:cstheme="minorHAnsi"/>
                <w:b/>
                <w:bCs/>
                <w:sz w:val="20"/>
                <w:szCs w:val="20"/>
              </w:rPr>
            </w:pPr>
            <w:r w:rsidRPr="006D6A3F">
              <w:rPr>
                <w:rFonts w:cstheme="minorHAnsi"/>
                <w:b/>
                <w:bCs/>
                <w:sz w:val="20"/>
                <w:szCs w:val="20"/>
              </w:rPr>
              <w:t>33</w:t>
            </w:r>
          </w:p>
        </w:tc>
        <w:tc>
          <w:tcPr>
            <w:tcW w:w="2126" w:type="dxa"/>
            <w:noWrap/>
            <w:hideMark/>
          </w:tcPr>
          <w:p w14:paraId="2C26EBF0" w14:textId="77777777" w:rsidR="001A2152" w:rsidRPr="006D6A3F" w:rsidRDefault="001A2152" w:rsidP="0053221C">
            <w:pPr>
              <w:jc w:val="right"/>
              <w:rPr>
                <w:rFonts w:cstheme="minorHAnsi"/>
                <w:b/>
                <w:bCs/>
                <w:sz w:val="20"/>
                <w:szCs w:val="20"/>
              </w:rPr>
            </w:pPr>
            <w:r w:rsidRPr="006D6A3F">
              <w:rPr>
                <w:rFonts w:cstheme="minorHAnsi"/>
                <w:b/>
                <w:bCs/>
                <w:sz w:val="20"/>
                <w:szCs w:val="20"/>
              </w:rPr>
              <w:t>97,73%</w:t>
            </w:r>
          </w:p>
        </w:tc>
      </w:tr>
      <w:tr w:rsidR="001A2152" w:rsidRPr="006D6A3F" w14:paraId="41A07F30" w14:textId="77777777" w:rsidTr="0053221C">
        <w:trPr>
          <w:trHeight w:val="264"/>
        </w:trPr>
        <w:tc>
          <w:tcPr>
            <w:tcW w:w="2552" w:type="dxa"/>
            <w:noWrap/>
            <w:hideMark/>
          </w:tcPr>
          <w:p w14:paraId="75E30DF4" w14:textId="77777777" w:rsidR="001A2152" w:rsidRPr="006D6A3F" w:rsidRDefault="001A2152" w:rsidP="0053221C">
            <w:pPr>
              <w:rPr>
                <w:rFonts w:cstheme="minorHAnsi"/>
                <w:sz w:val="20"/>
                <w:szCs w:val="20"/>
              </w:rPr>
            </w:pPr>
            <w:r w:rsidRPr="006D6A3F">
              <w:rPr>
                <w:rFonts w:cstheme="minorHAnsi"/>
                <w:sz w:val="20"/>
                <w:szCs w:val="20"/>
              </w:rPr>
              <w:t>01/01/2020-22/03/2020</w:t>
            </w:r>
          </w:p>
        </w:tc>
        <w:tc>
          <w:tcPr>
            <w:tcW w:w="2268" w:type="dxa"/>
            <w:noWrap/>
            <w:hideMark/>
          </w:tcPr>
          <w:p w14:paraId="229B4127" w14:textId="77777777" w:rsidR="001A2152" w:rsidRPr="006D6A3F" w:rsidRDefault="001A2152" w:rsidP="0053221C">
            <w:pPr>
              <w:jc w:val="right"/>
              <w:rPr>
                <w:rFonts w:cstheme="minorHAnsi"/>
                <w:sz w:val="20"/>
                <w:szCs w:val="20"/>
              </w:rPr>
            </w:pPr>
            <w:r w:rsidRPr="006D6A3F">
              <w:rPr>
                <w:rFonts w:cstheme="minorHAnsi"/>
                <w:sz w:val="20"/>
                <w:szCs w:val="20"/>
              </w:rPr>
              <w:t>44</w:t>
            </w:r>
          </w:p>
        </w:tc>
        <w:tc>
          <w:tcPr>
            <w:tcW w:w="2126" w:type="dxa"/>
            <w:noWrap/>
            <w:hideMark/>
          </w:tcPr>
          <w:p w14:paraId="391F4438" w14:textId="77777777" w:rsidR="001A2152" w:rsidRPr="006D6A3F" w:rsidRDefault="001A2152" w:rsidP="0053221C">
            <w:pPr>
              <w:rPr>
                <w:rFonts w:cstheme="minorHAnsi"/>
                <w:sz w:val="20"/>
                <w:szCs w:val="20"/>
              </w:rPr>
            </w:pPr>
            <w:r w:rsidRPr="006D6A3F">
              <w:rPr>
                <w:rFonts w:cstheme="minorHAnsi"/>
                <w:sz w:val="20"/>
                <w:szCs w:val="20"/>
              </w:rPr>
              <w:t> </w:t>
            </w:r>
          </w:p>
        </w:tc>
        <w:tc>
          <w:tcPr>
            <w:tcW w:w="2126" w:type="dxa"/>
            <w:noWrap/>
            <w:hideMark/>
          </w:tcPr>
          <w:p w14:paraId="7F88E405" w14:textId="77777777" w:rsidR="001A2152" w:rsidRPr="006D6A3F" w:rsidRDefault="001A2152" w:rsidP="0053221C">
            <w:pPr>
              <w:jc w:val="right"/>
              <w:rPr>
                <w:rFonts w:cstheme="minorHAnsi"/>
                <w:sz w:val="20"/>
                <w:szCs w:val="20"/>
              </w:rPr>
            </w:pPr>
            <w:r w:rsidRPr="006D6A3F">
              <w:rPr>
                <w:rFonts w:cstheme="minorHAnsi"/>
                <w:sz w:val="20"/>
                <w:szCs w:val="20"/>
              </w:rPr>
              <w:t>97,96%</w:t>
            </w:r>
          </w:p>
        </w:tc>
      </w:tr>
      <w:tr w:rsidR="001A2152" w:rsidRPr="006D6A3F" w14:paraId="53B2D903" w14:textId="77777777" w:rsidTr="0053221C">
        <w:trPr>
          <w:trHeight w:val="276"/>
        </w:trPr>
        <w:tc>
          <w:tcPr>
            <w:tcW w:w="2552" w:type="dxa"/>
            <w:noWrap/>
            <w:hideMark/>
          </w:tcPr>
          <w:p w14:paraId="453C3984" w14:textId="77777777" w:rsidR="001A2152" w:rsidRPr="006D6A3F" w:rsidRDefault="001A2152" w:rsidP="0053221C">
            <w:pPr>
              <w:rPr>
                <w:rFonts w:cstheme="minorHAnsi"/>
                <w:sz w:val="20"/>
                <w:szCs w:val="20"/>
              </w:rPr>
            </w:pPr>
            <w:r w:rsidRPr="006D6A3F">
              <w:rPr>
                <w:rFonts w:cstheme="minorHAnsi"/>
                <w:sz w:val="20"/>
                <w:szCs w:val="20"/>
              </w:rPr>
              <w:t>23/03/2020-31/12/2020</w:t>
            </w:r>
          </w:p>
        </w:tc>
        <w:tc>
          <w:tcPr>
            <w:tcW w:w="2268" w:type="dxa"/>
            <w:noWrap/>
            <w:hideMark/>
          </w:tcPr>
          <w:p w14:paraId="32775811" w14:textId="77777777" w:rsidR="001A2152" w:rsidRPr="006D6A3F" w:rsidRDefault="001A2152" w:rsidP="0053221C">
            <w:pPr>
              <w:jc w:val="right"/>
              <w:rPr>
                <w:rFonts w:cstheme="minorHAnsi"/>
                <w:sz w:val="20"/>
                <w:szCs w:val="20"/>
              </w:rPr>
            </w:pPr>
            <w:r w:rsidRPr="006D6A3F">
              <w:rPr>
                <w:rFonts w:cstheme="minorHAnsi"/>
                <w:sz w:val="20"/>
                <w:szCs w:val="20"/>
              </w:rPr>
              <w:t>29</w:t>
            </w:r>
          </w:p>
        </w:tc>
        <w:tc>
          <w:tcPr>
            <w:tcW w:w="2126" w:type="dxa"/>
            <w:noWrap/>
            <w:hideMark/>
          </w:tcPr>
          <w:p w14:paraId="277A5939" w14:textId="77777777" w:rsidR="001A2152" w:rsidRPr="006D6A3F" w:rsidRDefault="001A2152" w:rsidP="0053221C">
            <w:pPr>
              <w:rPr>
                <w:rFonts w:cstheme="minorHAnsi"/>
                <w:sz w:val="20"/>
                <w:szCs w:val="20"/>
              </w:rPr>
            </w:pPr>
            <w:r w:rsidRPr="006D6A3F">
              <w:rPr>
                <w:rFonts w:cstheme="minorHAnsi"/>
                <w:sz w:val="20"/>
                <w:szCs w:val="20"/>
              </w:rPr>
              <w:t> </w:t>
            </w:r>
          </w:p>
        </w:tc>
        <w:tc>
          <w:tcPr>
            <w:tcW w:w="2126" w:type="dxa"/>
            <w:noWrap/>
            <w:hideMark/>
          </w:tcPr>
          <w:p w14:paraId="1BBD9968" w14:textId="77777777" w:rsidR="001A2152" w:rsidRPr="006D6A3F" w:rsidRDefault="001A2152" w:rsidP="0053221C">
            <w:pPr>
              <w:jc w:val="right"/>
              <w:rPr>
                <w:rFonts w:cstheme="minorHAnsi"/>
                <w:sz w:val="20"/>
                <w:szCs w:val="20"/>
              </w:rPr>
            </w:pPr>
            <w:r w:rsidRPr="006D6A3F">
              <w:rPr>
                <w:rFonts w:cstheme="minorHAnsi"/>
                <w:sz w:val="20"/>
                <w:szCs w:val="20"/>
              </w:rPr>
              <w:t>97,51%</w:t>
            </w:r>
          </w:p>
        </w:tc>
      </w:tr>
      <w:tr w:rsidR="001A2152" w:rsidRPr="006D6A3F" w14:paraId="3C11E4A8" w14:textId="77777777" w:rsidTr="0053221C">
        <w:trPr>
          <w:trHeight w:val="276"/>
        </w:trPr>
        <w:tc>
          <w:tcPr>
            <w:tcW w:w="2552" w:type="dxa"/>
            <w:noWrap/>
            <w:hideMark/>
          </w:tcPr>
          <w:p w14:paraId="0F3C24B4" w14:textId="77777777" w:rsidR="001A2152" w:rsidRPr="006D6A3F" w:rsidRDefault="001A2152" w:rsidP="0053221C">
            <w:pPr>
              <w:rPr>
                <w:rFonts w:cstheme="minorHAnsi"/>
                <w:b/>
                <w:bCs/>
                <w:sz w:val="20"/>
                <w:szCs w:val="20"/>
              </w:rPr>
            </w:pPr>
            <w:r w:rsidRPr="006D6A3F">
              <w:rPr>
                <w:rFonts w:cstheme="minorHAnsi"/>
                <w:b/>
                <w:bCs/>
                <w:sz w:val="20"/>
                <w:szCs w:val="20"/>
              </w:rPr>
              <w:t>2021</w:t>
            </w:r>
          </w:p>
        </w:tc>
        <w:tc>
          <w:tcPr>
            <w:tcW w:w="2268" w:type="dxa"/>
            <w:noWrap/>
            <w:hideMark/>
          </w:tcPr>
          <w:p w14:paraId="1158D45A" w14:textId="77777777" w:rsidR="001A2152" w:rsidRPr="006D6A3F" w:rsidRDefault="001A2152" w:rsidP="0053221C">
            <w:pPr>
              <w:rPr>
                <w:rFonts w:cstheme="minorHAnsi"/>
                <w:b/>
                <w:bCs/>
                <w:sz w:val="20"/>
                <w:szCs w:val="20"/>
              </w:rPr>
            </w:pPr>
          </w:p>
        </w:tc>
        <w:tc>
          <w:tcPr>
            <w:tcW w:w="2126" w:type="dxa"/>
            <w:noWrap/>
            <w:hideMark/>
          </w:tcPr>
          <w:p w14:paraId="17D734B3" w14:textId="77777777" w:rsidR="001A2152" w:rsidRPr="006D6A3F" w:rsidRDefault="001A2152" w:rsidP="0053221C">
            <w:pPr>
              <w:jc w:val="right"/>
              <w:rPr>
                <w:rFonts w:cstheme="minorHAnsi"/>
                <w:b/>
                <w:bCs/>
                <w:sz w:val="20"/>
                <w:szCs w:val="20"/>
              </w:rPr>
            </w:pPr>
            <w:r w:rsidRPr="006D6A3F">
              <w:rPr>
                <w:rFonts w:cstheme="minorHAnsi"/>
                <w:b/>
                <w:bCs/>
                <w:sz w:val="20"/>
                <w:szCs w:val="20"/>
              </w:rPr>
              <w:t>30</w:t>
            </w:r>
          </w:p>
        </w:tc>
        <w:tc>
          <w:tcPr>
            <w:tcW w:w="2126" w:type="dxa"/>
            <w:noWrap/>
            <w:hideMark/>
          </w:tcPr>
          <w:p w14:paraId="360D6CC0" w14:textId="77777777" w:rsidR="001A2152" w:rsidRPr="006D6A3F" w:rsidRDefault="001A2152" w:rsidP="0053221C">
            <w:pPr>
              <w:jc w:val="right"/>
              <w:rPr>
                <w:rFonts w:cstheme="minorHAnsi"/>
                <w:b/>
                <w:bCs/>
                <w:sz w:val="20"/>
                <w:szCs w:val="20"/>
              </w:rPr>
            </w:pPr>
            <w:r w:rsidRPr="006D6A3F">
              <w:rPr>
                <w:rFonts w:cstheme="minorHAnsi"/>
                <w:b/>
                <w:bCs/>
                <w:sz w:val="20"/>
                <w:szCs w:val="20"/>
              </w:rPr>
              <w:t>98,92%</w:t>
            </w:r>
          </w:p>
        </w:tc>
      </w:tr>
      <w:tr w:rsidR="001A2152" w:rsidRPr="006D6A3F" w14:paraId="671EC37A" w14:textId="77777777" w:rsidTr="0053221C">
        <w:trPr>
          <w:trHeight w:val="264"/>
        </w:trPr>
        <w:tc>
          <w:tcPr>
            <w:tcW w:w="2552" w:type="dxa"/>
            <w:noWrap/>
            <w:hideMark/>
          </w:tcPr>
          <w:p w14:paraId="157DD1E2" w14:textId="77777777" w:rsidR="001A2152" w:rsidRPr="006D6A3F" w:rsidRDefault="001A2152" w:rsidP="0053221C">
            <w:pPr>
              <w:rPr>
                <w:rFonts w:cstheme="minorHAnsi"/>
                <w:sz w:val="20"/>
                <w:szCs w:val="20"/>
              </w:rPr>
            </w:pPr>
            <w:r w:rsidRPr="006D6A3F">
              <w:rPr>
                <w:rFonts w:cstheme="minorHAnsi"/>
                <w:sz w:val="20"/>
                <w:szCs w:val="20"/>
              </w:rPr>
              <w:t>01/01/2021-30/09/2021</w:t>
            </w:r>
          </w:p>
        </w:tc>
        <w:tc>
          <w:tcPr>
            <w:tcW w:w="2268" w:type="dxa"/>
            <w:noWrap/>
            <w:hideMark/>
          </w:tcPr>
          <w:p w14:paraId="16E97E35" w14:textId="77777777" w:rsidR="001A2152" w:rsidRPr="006D6A3F" w:rsidRDefault="001A2152" w:rsidP="0053221C">
            <w:pPr>
              <w:jc w:val="right"/>
              <w:rPr>
                <w:rFonts w:cstheme="minorHAnsi"/>
                <w:sz w:val="20"/>
                <w:szCs w:val="20"/>
              </w:rPr>
            </w:pPr>
            <w:r w:rsidRPr="006D6A3F">
              <w:rPr>
                <w:rFonts w:cstheme="minorHAnsi"/>
                <w:sz w:val="20"/>
                <w:szCs w:val="20"/>
              </w:rPr>
              <w:t>29</w:t>
            </w:r>
          </w:p>
        </w:tc>
        <w:tc>
          <w:tcPr>
            <w:tcW w:w="2126" w:type="dxa"/>
            <w:noWrap/>
            <w:hideMark/>
          </w:tcPr>
          <w:p w14:paraId="169B6616" w14:textId="77777777" w:rsidR="001A2152" w:rsidRPr="006D6A3F" w:rsidRDefault="001A2152" w:rsidP="0053221C">
            <w:pPr>
              <w:rPr>
                <w:rFonts w:cstheme="minorHAnsi"/>
                <w:sz w:val="20"/>
                <w:szCs w:val="20"/>
              </w:rPr>
            </w:pPr>
            <w:r w:rsidRPr="006D6A3F">
              <w:rPr>
                <w:rFonts w:cstheme="minorHAnsi"/>
                <w:sz w:val="20"/>
                <w:szCs w:val="20"/>
              </w:rPr>
              <w:t> </w:t>
            </w:r>
          </w:p>
        </w:tc>
        <w:tc>
          <w:tcPr>
            <w:tcW w:w="2126" w:type="dxa"/>
            <w:noWrap/>
            <w:hideMark/>
          </w:tcPr>
          <w:p w14:paraId="62A8219F" w14:textId="77777777" w:rsidR="001A2152" w:rsidRPr="006D6A3F" w:rsidRDefault="001A2152" w:rsidP="0053221C">
            <w:pPr>
              <w:jc w:val="right"/>
              <w:rPr>
                <w:rFonts w:cstheme="minorHAnsi"/>
                <w:sz w:val="20"/>
                <w:szCs w:val="20"/>
              </w:rPr>
            </w:pPr>
            <w:r w:rsidRPr="006D6A3F">
              <w:rPr>
                <w:rFonts w:cstheme="minorHAnsi"/>
                <w:sz w:val="20"/>
                <w:szCs w:val="20"/>
              </w:rPr>
              <w:t>98,26%</w:t>
            </w:r>
          </w:p>
        </w:tc>
      </w:tr>
      <w:tr w:rsidR="001A2152" w:rsidRPr="006D6A3F" w14:paraId="4D53C296" w14:textId="77777777" w:rsidTr="0053221C">
        <w:trPr>
          <w:trHeight w:val="276"/>
        </w:trPr>
        <w:tc>
          <w:tcPr>
            <w:tcW w:w="2552" w:type="dxa"/>
            <w:noWrap/>
            <w:hideMark/>
          </w:tcPr>
          <w:p w14:paraId="223DFCAF" w14:textId="77777777" w:rsidR="001A2152" w:rsidRPr="006D6A3F" w:rsidRDefault="001A2152" w:rsidP="0053221C">
            <w:pPr>
              <w:rPr>
                <w:rFonts w:cstheme="minorHAnsi"/>
                <w:sz w:val="20"/>
                <w:szCs w:val="20"/>
              </w:rPr>
            </w:pPr>
            <w:r w:rsidRPr="006D6A3F">
              <w:rPr>
                <w:rFonts w:cstheme="minorHAnsi"/>
                <w:sz w:val="20"/>
                <w:szCs w:val="20"/>
              </w:rPr>
              <w:t>01/10/2021-31/12/2021</w:t>
            </w:r>
          </w:p>
        </w:tc>
        <w:tc>
          <w:tcPr>
            <w:tcW w:w="2268" w:type="dxa"/>
            <w:noWrap/>
            <w:hideMark/>
          </w:tcPr>
          <w:p w14:paraId="3F13857D" w14:textId="77777777" w:rsidR="001A2152" w:rsidRPr="006D6A3F" w:rsidRDefault="001A2152" w:rsidP="0053221C">
            <w:pPr>
              <w:jc w:val="right"/>
              <w:rPr>
                <w:rFonts w:cstheme="minorHAnsi"/>
                <w:sz w:val="20"/>
                <w:szCs w:val="20"/>
              </w:rPr>
            </w:pPr>
            <w:r w:rsidRPr="006D6A3F">
              <w:rPr>
                <w:rFonts w:cstheme="minorHAnsi"/>
                <w:sz w:val="20"/>
                <w:szCs w:val="20"/>
              </w:rPr>
              <w:t>34</w:t>
            </w:r>
          </w:p>
        </w:tc>
        <w:tc>
          <w:tcPr>
            <w:tcW w:w="2126" w:type="dxa"/>
            <w:noWrap/>
            <w:hideMark/>
          </w:tcPr>
          <w:p w14:paraId="6AF4E3ED" w14:textId="77777777" w:rsidR="001A2152" w:rsidRPr="006D6A3F" w:rsidRDefault="001A2152" w:rsidP="0053221C">
            <w:pPr>
              <w:rPr>
                <w:rFonts w:cstheme="minorHAnsi"/>
                <w:sz w:val="20"/>
                <w:szCs w:val="20"/>
              </w:rPr>
            </w:pPr>
            <w:r w:rsidRPr="006D6A3F">
              <w:rPr>
                <w:rFonts w:cstheme="minorHAnsi"/>
                <w:sz w:val="20"/>
                <w:szCs w:val="20"/>
              </w:rPr>
              <w:t> </w:t>
            </w:r>
          </w:p>
        </w:tc>
        <w:tc>
          <w:tcPr>
            <w:tcW w:w="2126" w:type="dxa"/>
            <w:noWrap/>
            <w:hideMark/>
          </w:tcPr>
          <w:p w14:paraId="4FD8DAEE" w14:textId="77777777" w:rsidR="001A2152" w:rsidRPr="006D6A3F" w:rsidRDefault="001A2152" w:rsidP="0053221C">
            <w:pPr>
              <w:jc w:val="right"/>
              <w:rPr>
                <w:rFonts w:cstheme="minorHAnsi"/>
                <w:sz w:val="20"/>
                <w:szCs w:val="20"/>
              </w:rPr>
            </w:pPr>
            <w:r w:rsidRPr="006D6A3F">
              <w:rPr>
                <w:rFonts w:cstheme="minorHAnsi"/>
                <w:sz w:val="20"/>
                <w:szCs w:val="20"/>
              </w:rPr>
              <w:t>99,58%</w:t>
            </w:r>
          </w:p>
        </w:tc>
      </w:tr>
      <w:tr w:rsidR="001A2152" w:rsidRPr="006D6A3F" w14:paraId="449522F2" w14:textId="77777777" w:rsidTr="0053221C">
        <w:trPr>
          <w:trHeight w:val="276"/>
        </w:trPr>
        <w:tc>
          <w:tcPr>
            <w:tcW w:w="2552" w:type="dxa"/>
            <w:noWrap/>
            <w:hideMark/>
          </w:tcPr>
          <w:p w14:paraId="215CE470" w14:textId="77777777" w:rsidR="001A2152" w:rsidRPr="006D6A3F" w:rsidRDefault="001A2152" w:rsidP="0053221C">
            <w:pPr>
              <w:rPr>
                <w:rFonts w:cstheme="minorHAnsi"/>
                <w:b/>
                <w:bCs/>
                <w:sz w:val="20"/>
                <w:szCs w:val="20"/>
              </w:rPr>
            </w:pPr>
            <w:r w:rsidRPr="006D6A3F">
              <w:rPr>
                <w:rFonts w:cstheme="minorHAnsi"/>
                <w:b/>
                <w:bCs/>
                <w:sz w:val="20"/>
                <w:szCs w:val="20"/>
              </w:rPr>
              <w:t>2022</w:t>
            </w:r>
          </w:p>
        </w:tc>
        <w:tc>
          <w:tcPr>
            <w:tcW w:w="2268" w:type="dxa"/>
            <w:noWrap/>
            <w:hideMark/>
          </w:tcPr>
          <w:p w14:paraId="03B45E67" w14:textId="77777777" w:rsidR="001A2152" w:rsidRPr="006D6A3F" w:rsidRDefault="001A2152" w:rsidP="0053221C">
            <w:pPr>
              <w:rPr>
                <w:rFonts w:cstheme="minorHAnsi"/>
                <w:b/>
                <w:bCs/>
                <w:sz w:val="20"/>
                <w:szCs w:val="20"/>
              </w:rPr>
            </w:pPr>
          </w:p>
        </w:tc>
        <w:tc>
          <w:tcPr>
            <w:tcW w:w="2126" w:type="dxa"/>
            <w:noWrap/>
            <w:hideMark/>
          </w:tcPr>
          <w:p w14:paraId="3996545C" w14:textId="77777777" w:rsidR="001A2152" w:rsidRPr="006D6A3F" w:rsidRDefault="001A2152" w:rsidP="0053221C">
            <w:pPr>
              <w:jc w:val="right"/>
              <w:rPr>
                <w:rFonts w:cstheme="minorHAnsi"/>
                <w:b/>
                <w:bCs/>
                <w:sz w:val="20"/>
                <w:szCs w:val="20"/>
              </w:rPr>
            </w:pPr>
            <w:r w:rsidRPr="006D6A3F">
              <w:rPr>
                <w:rFonts w:cstheme="minorHAnsi"/>
                <w:b/>
                <w:bCs/>
                <w:sz w:val="20"/>
                <w:szCs w:val="20"/>
              </w:rPr>
              <w:t>34</w:t>
            </w:r>
          </w:p>
        </w:tc>
        <w:tc>
          <w:tcPr>
            <w:tcW w:w="2126" w:type="dxa"/>
            <w:noWrap/>
            <w:hideMark/>
          </w:tcPr>
          <w:p w14:paraId="572F1713" w14:textId="77777777" w:rsidR="001A2152" w:rsidRPr="006D6A3F" w:rsidRDefault="001A2152" w:rsidP="0053221C">
            <w:pPr>
              <w:jc w:val="right"/>
              <w:rPr>
                <w:rFonts w:cstheme="minorHAnsi"/>
                <w:b/>
                <w:bCs/>
                <w:sz w:val="20"/>
                <w:szCs w:val="20"/>
              </w:rPr>
            </w:pPr>
            <w:r w:rsidRPr="006D6A3F">
              <w:rPr>
                <w:rFonts w:cstheme="minorHAnsi"/>
                <w:b/>
                <w:bCs/>
                <w:sz w:val="20"/>
                <w:szCs w:val="20"/>
              </w:rPr>
              <w:t>97,90%</w:t>
            </w:r>
          </w:p>
        </w:tc>
      </w:tr>
      <w:tr w:rsidR="001A2152" w:rsidRPr="006D6A3F" w14:paraId="6FA12C6D" w14:textId="77777777" w:rsidTr="0053221C">
        <w:trPr>
          <w:trHeight w:val="276"/>
        </w:trPr>
        <w:tc>
          <w:tcPr>
            <w:tcW w:w="2552" w:type="dxa"/>
            <w:noWrap/>
            <w:hideMark/>
          </w:tcPr>
          <w:p w14:paraId="286A7F19" w14:textId="77777777" w:rsidR="001A2152" w:rsidRPr="006D6A3F" w:rsidRDefault="001A2152" w:rsidP="0053221C">
            <w:pPr>
              <w:rPr>
                <w:rFonts w:cstheme="minorHAnsi"/>
                <w:sz w:val="20"/>
                <w:szCs w:val="20"/>
              </w:rPr>
            </w:pPr>
            <w:r w:rsidRPr="006D6A3F">
              <w:rPr>
                <w:rFonts w:cstheme="minorHAnsi"/>
                <w:sz w:val="20"/>
                <w:szCs w:val="20"/>
              </w:rPr>
              <w:t>01/01/2022-31/12/2022</w:t>
            </w:r>
          </w:p>
        </w:tc>
        <w:tc>
          <w:tcPr>
            <w:tcW w:w="2268" w:type="dxa"/>
            <w:noWrap/>
            <w:hideMark/>
          </w:tcPr>
          <w:p w14:paraId="189AAC1D" w14:textId="77777777" w:rsidR="001A2152" w:rsidRPr="006D6A3F" w:rsidRDefault="001A2152" w:rsidP="0053221C">
            <w:pPr>
              <w:jc w:val="right"/>
              <w:rPr>
                <w:rFonts w:cstheme="minorHAnsi"/>
                <w:sz w:val="20"/>
                <w:szCs w:val="20"/>
              </w:rPr>
            </w:pPr>
            <w:r w:rsidRPr="006D6A3F">
              <w:rPr>
                <w:rFonts w:cstheme="minorHAnsi"/>
                <w:sz w:val="20"/>
                <w:szCs w:val="20"/>
              </w:rPr>
              <w:t>34</w:t>
            </w:r>
          </w:p>
        </w:tc>
        <w:tc>
          <w:tcPr>
            <w:tcW w:w="2126" w:type="dxa"/>
            <w:noWrap/>
            <w:hideMark/>
          </w:tcPr>
          <w:p w14:paraId="00C999B3" w14:textId="77777777" w:rsidR="001A2152" w:rsidRPr="006D6A3F" w:rsidRDefault="001A2152" w:rsidP="0053221C">
            <w:pPr>
              <w:rPr>
                <w:rFonts w:cstheme="minorHAnsi"/>
                <w:sz w:val="20"/>
                <w:szCs w:val="20"/>
              </w:rPr>
            </w:pPr>
            <w:r w:rsidRPr="006D6A3F">
              <w:rPr>
                <w:rFonts w:cstheme="minorHAnsi"/>
                <w:sz w:val="20"/>
                <w:szCs w:val="20"/>
              </w:rPr>
              <w:t> </w:t>
            </w:r>
          </w:p>
        </w:tc>
        <w:tc>
          <w:tcPr>
            <w:tcW w:w="2126" w:type="dxa"/>
            <w:noWrap/>
            <w:hideMark/>
          </w:tcPr>
          <w:p w14:paraId="511A0E3D" w14:textId="77777777" w:rsidR="001A2152" w:rsidRPr="006D6A3F" w:rsidRDefault="001A2152" w:rsidP="0053221C">
            <w:pPr>
              <w:jc w:val="right"/>
              <w:rPr>
                <w:rFonts w:cstheme="minorHAnsi"/>
                <w:sz w:val="20"/>
                <w:szCs w:val="20"/>
              </w:rPr>
            </w:pPr>
            <w:r w:rsidRPr="006D6A3F">
              <w:rPr>
                <w:rFonts w:cstheme="minorHAnsi"/>
                <w:sz w:val="20"/>
                <w:szCs w:val="20"/>
              </w:rPr>
              <w:t>97,90%</w:t>
            </w:r>
          </w:p>
        </w:tc>
      </w:tr>
    </w:tbl>
    <w:p w14:paraId="68914CCC" w14:textId="2C2872ED" w:rsidR="006D6A3F" w:rsidRPr="006D6A3F" w:rsidRDefault="006D6A3F" w:rsidP="006D6A3F"/>
    <w:tbl>
      <w:tblPr>
        <w:tblStyle w:val="TableGridLight"/>
        <w:tblW w:w="6237" w:type="dxa"/>
        <w:jc w:val="center"/>
        <w:tblLook w:val="04A0" w:firstRow="1" w:lastRow="0" w:firstColumn="1" w:lastColumn="0" w:noHBand="0" w:noVBand="1"/>
      </w:tblPr>
      <w:tblGrid>
        <w:gridCol w:w="2010"/>
        <w:gridCol w:w="1250"/>
        <w:gridCol w:w="2977"/>
      </w:tblGrid>
      <w:tr w:rsidR="006D6A3F" w:rsidRPr="006D6A3F" w14:paraId="283E3E74" w14:textId="77777777" w:rsidTr="006D6A3F">
        <w:trPr>
          <w:trHeight w:val="276"/>
          <w:jc w:val="center"/>
        </w:trPr>
        <w:tc>
          <w:tcPr>
            <w:tcW w:w="2010" w:type="dxa"/>
            <w:noWrap/>
            <w:hideMark/>
          </w:tcPr>
          <w:p w14:paraId="3A07C824" w14:textId="77777777" w:rsidR="006D6A3F" w:rsidRPr="006D6A3F" w:rsidRDefault="006D6A3F" w:rsidP="00D3609F">
            <w:pPr>
              <w:spacing w:line="240" w:lineRule="auto"/>
              <w:rPr>
                <w:rFonts w:eastAsia="Times New Roman" w:cstheme="minorHAnsi"/>
                <w:b/>
                <w:bCs/>
                <w:sz w:val="20"/>
                <w:szCs w:val="20"/>
              </w:rPr>
            </w:pPr>
            <w:r w:rsidRPr="006D6A3F">
              <w:rPr>
                <w:rFonts w:eastAsia="Times New Roman" w:cstheme="minorHAnsi"/>
                <w:b/>
                <w:bCs/>
                <w:sz w:val="20"/>
                <w:szCs w:val="20"/>
              </w:rPr>
              <w:t>Nationalité</w:t>
            </w:r>
          </w:p>
        </w:tc>
        <w:tc>
          <w:tcPr>
            <w:tcW w:w="1250" w:type="dxa"/>
            <w:noWrap/>
            <w:hideMark/>
          </w:tcPr>
          <w:p w14:paraId="5795E99D" w14:textId="77777777" w:rsidR="006D6A3F" w:rsidRPr="006D6A3F" w:rsidRDefault="006D6A3F" w:rsidP="006D6A3F">
            <w:pPr>
              <w:spacing w:line="240" w:lineRule="auto"/>
              <w:ind w:firstLineChars="300" w:firstLine="600"/>
              <w:jc w:val="center"/>
              <w:rPr>
                <w:rFonts w:eastAsia="Times New Roman" w:cstheme="minorHAnsi"/>
                <w:b/>
                <w:bCs/>
                <w:sz w:val="20"/>
                <w:szCs w:val="20"/>
              </w:rPr>
            </w:pPr>
            <w:r w:rsidRPr="006D6A3F">
              <w:rPr>
                <w:rFonts w:eastAsia="Times New Roman" w:cstheme="minorHAnsi"/>
                <w:b/>
                <w:bCs/>
                <w:sz w:val="20"/>
                <w:szCs w:val="20"/>
              </w:rPr>
              <w:t>Nb</w:t>
            </w:r>
          </w:p>
        </w:tc>
        <w:tc>
          <w:tcPr>
            <w:tcW w:w="2977" w:type="dxa"/>
            <w:noWrap/>
            <w:hideMark/>
          </w:tcPr>
          <w:p w14:paraId="2D301264" w14:textId="77777777" w:rsidR="006D6A3F" w:rsidRPr="006D6A3F" w:rsidRDefault="006D6A3F" w:rsidP="00D3609F">
            <w:pPr>
              <w:spacing w:line="240" w:lineRule="auto"/>
              <w:jc w:val="center"/>
              <w:rPr>
                <w:rFonts w:eastAsia="Times New Roman" w:cstheme="minorHAnsi"/>
                <w:b/>
                <w:bCs/>
                <w:sz w:val="20"/>
                <w:szCs w:val="20"/>
              </w:rPr>
            </w:pPr>
            <w:r w:rsidRPr="006D6A3F">
              <w:rPr>
                <w:rFonts w:eastAsia="Times New Roman" w:cstheme="minorHAnsi"/>
                <w:b/>
                <w:bCs/>
                <w:sz w:val="20"/>
                <w:szCs w:val="20"/>
              </w:rPr>
              <w:t>% de la population totale</w:t>
            </w:r>
          </w:p>
        </w:tc>
      </w:tr>
      <w:tr w:rsidR="006D6A3F" w:rsidRPr="006D6A3F" w14:paraId="101A6AA1" w14:textId="77777777" w:rsidTr="006D6A3F">
        <w:trPr>
          <w:trHeight w:val="276"/>
          <w:jc w:val="center"/>
        </w:trPr>
        <w:tc>
          <w:tcPr>
            <w:tcW w:w="2010" w:type="dxa"/>
            <w:noWrap/>
            <w:hideMark/>
          </w:tcPr>
          <w:p w14:paraId="76EE9D7D"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marocaine</w:t>
            </w:r>
          </w:p>
        </w:tc>
        <w:tc>
          <w:tcPr>
            <w:tcW w:w="1250" w:type="dxa"/>
            <w:noWrap/>
            <w:hideMark/>
          </w:tcPr>
          <w:p w14:paraId="3B1CAAD6"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102</w:t>
            </w:r>
          </w:p>
        </w:tc>
        <w:tc>
          <w:tcPr>
            <w:tcW w:w="2977" w:type="dxa"/>
            <w:noWrap/>
            <w:hideMark/>
          </w:tcPr>
          <w:p w14:paraId="55D2B945"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10,63%</w:t>
            </w:r>
          </w:p>
        </w:tc>
      </w:tr>
      <w:tr w:rsidR="006D6A3F" w:rsidRPr="006D6A3F" w14:paraId="7776D959" w14:textId="77777777" w:rsidTr="006D6A3F">
        <w:trPr>
          <w:trHeight w:val="264"/>
          <w:jc w:val="center"/>
        </w:trPr>
        <w:tc>
          <w:tcPr>
            <w:tcW w:w="2010" w:type="dxa"/>
            <w:noWrap/>
            <w:hideMark/>
          </w:tcPr>
          <w:p w14:paraId="60795ECE"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nigériane</w:t>
            </w:r>
          </w:p>
        </w:tc>
        <w:tc>
          <w:tcPr>
            <w:tcW w:w="1250" w:type="dxa"/>
            <w:noWrap/>
            <w:hideMark/>
          </w:tcPr>
          <w:p w14:paraId="2B36E725"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101</w:t>
            </w:r>
          </w:p>
        </w:tc>
        <w:tc>
          <w:tcPr>
            <w:tcW w:w="2977" w:type="dxa"/>
            <w:noWrap/>
            <w:hideMark/>
          </w:tcPr>
          <w:p w14:paraId="744E35E7"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10,52%</w:t>
            </w:r>
          </w:p>
        </w:tc>
      </w:tr>
      <w:tr w:rsidR="006D6A3F" w:rsidRPr="006D6A3F" w14:paraId="4E0432E4" w14:textId="77777777" w:rsidTr="006D6A3F">
        <w:trPr>
          <w:trHeight w:val="264"/>
          <w:jc w:val="center"/>
        </w:trPr>
        <w:tc>
          <w:tcPr>
            <w:tcW w:w="2010" w:type="dxa"/>
            <w:noWrap/>
            <w:hideMark/>
          </w:tcPr>
          <w:p w14:paraId="257D240B"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tunisienne</w:t>
            </w:r>
          </w:p>
        </w:tc>
        <w:tc>
          <w:tcPr>
            <w:tcW w:w="1250" w:type="dxa"/>
            <w:noWrap/>
            <w:hideMark/>
          </w:tcPr>
          <w:p w14:paraId="4CDC8573"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97</w:t>
            </w:r>
          </w:p>
        </w:tc>
        <w:tc>
          <w:tcPr>
            <w:tcW w:w="2977" w:type="dxa"/>
            <w:noWrap/>
            <w:hideMark/>
          </w:tcPr>
          <w:p w14:paraId="42F8633F"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10,10%</w:t>
            </w:r>
          </w:p>
        </w:tc>
      </w:tr>
      <w:tr w:rsidR="006D6A3F" w:rsidRPr="006D6A3F" w14:paraId="6C193A7C" w14:textId="77777777" w:rsidTr="006D6A3F">
        <w:trPr>
          <w:trHeight w:val="264"/>
          <w:jc w:val="center"/>
        </w:trPr>
        <w:tc>
          <w:tcPr>
            <w:tcW w:w="2010" w:type="dxa"/>
            <w:noWrap/>
            <w:hideMark/>
          </w:tcPr>
          <w:p w14:paraId="122127DA"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algérienne</w:t>
            </w:r>
          </w:p>
        </w:tc>
        <w:tc>
          <w:tcPr>
            <w:tcW w:w="1250" w:type="dxa"/>
            <w:noWrap/>
            <w:hideMark/>
          </w:tcPr>
          <w:p w14:paraId="1D029390"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75</w:t>
            </w:r>
          </w:p>
        </w:tc>
        <w:tc>
          <w:tcPr>
            <w:tcW w:w="2977" w:type="dxa"/>
            <w:noWrap/>
            <w:hideMark/>
          </w:tcPr>
          <w:p w14:paraId="06E3CC17"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7,81%</w:t>
            </w:r>
          </w:p>
        </w:tc>
      </w:tr>
      <w:tr w:rsidR="006D6A3F" w:rsidRPr="006D6A3F" w14:paraId="1DFD4E95" w14:textId="77777777" w:rsidTr="006D6A3F">
        <w:trPr>
          <w:trHeight w:val="264"/>
          <w:jc w:val="center"/>
        </w:trPr>
        <w:tc>
          <w:tcPr>
            <w:tcW w:w="2010" w:type="dxa"/>
            <w:noWrap/>
            <w:hideMark/>
          </w:tcPr>
          <w:p w14:paraId="1EE5A6BA"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lastRenderedPageBreak/>
              <w:t>albanaise</w:t>
            </w:r>
          </w:p>
        </w:tc>
        <w:tc>
          <w:tcPr>
            <w:tcW w:w="1250" w:type="dxa"/>
            <w:noWrap/>
            <w:hideMark/>
          </w:tcPr>
          <w:p w14:paraId="6B39F4D3"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58</w:t>
            </w:r>
          </w:p>
        </w:tc>
        <w:tc>
          <w:tcPr>
            <w:tcW w:w="2977" w:type="dxa"/>
            <w:noWrap/>
            <w:hideMark/>
          </w:tcPr>
          <w:p w14:paraId="297238E4"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6,04%</w:t>
            </w:r>
          </w:p>
        </w:tc>
      </w:tr>
      <w:tr w:rsidR="006D6A3F" w:rsidRPr="006D6A3F" w14:paraId="213799EF" w14:textId="77777777" w:rsidTr="006D6A3F">
        <w:trPr>
          <w:trHeight w:val="264"/>
          <w:jc w:val="center"/>
        </w:trPr>
        <w:tc>
          <w:tcPr>
            <w:tcW w:w="2010" w:type="dxa"/>
            <w:noWrap/>
            <w:hideMark/>
          </w:tcPr>
          <w:p w14:paraId="19BC761C"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géorgienne</w:t>
            </w:r>
          </w:p>
        </w:tc>
        <w:tc>
          <w:tcPr>
            <w:tcW w:w="1250" w:type="dxa"/>
            <w:noWrap/>
            <w:hideMark/>
          </w:tcPr>
          <w:p w14:paraId="6E0BCAB0"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52</w:t>
            </w:r>
          </w:p>
        </w:tc>
        <w:tc>
          <w:tcPr>
            <w:tcW w:w="2977" w:type="dxa"/>
            <w:noWrap/>
            <w:hideMark/>
          </w:tcPr>
          <w:p w14:paraId="556BBCD2"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5,42%</w:t>
            </w:r>
          </w:p>
        </w:tc>
      </w:tr>
      <w:tr w:rsidR="006D6A3F" w:rsidRPr="006D6A3F" w14:paraId="18CF71EC" w14:textId="77777777" w:rsidTr="006D6A3F">
        <w:trPr>
          <w:trHeight w:val="264"/>
          <w:jc w:val="center"/>
        </w:trPr>
        <w:tc>
          <w:tcPr>
            <w:tcW w:w="2010" w:type="dxa"/>
            <w:noWrap/>
            <w:hideMark/>
          </w:tcPr>
          <w:p w14:paraId="6D1930E6"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libyenne</w:t>
            </w:r>
          </w:p>
        </w:tc>
        <w:tc>
          <w:tcPr>
            <w:tcW w:w="1250" w:type="dxa"/>
            <w:noWrap/>
            <w:hideMark/>
          </w:tcPr>
          <w:p w14:paraId="7A75E7E7"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34</w:t>
            </w:r>
          </w:p>
        </w:tc>
        <w:tc>
          <w:tcPr>
            <w:tcW w:w="2977" w:type="dxa"/>
            <w:noWrap/>
            <w:hideMark/>
          </w:tcPr>
          <w:p w14:paraId="184E8EF8"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3,54%</w:t>
            </w:r>
          </w:p>
        </w:tc>
      </w:tr>
      <w:tr w:rsidR="006D6A3F" w:rsidRPr="006D6A3F" w14:paraId="329EE4C7" w14:textId="77777777" w:rsidTr="006D6A3F">
        <w:trPr>
          <w:trHeight w:val="264"/>
          <w:jc w:val="center"/>
        </w:trPr>
        <w:tc>
          <w:tcPr>
            <w:tcW w:w="2010" w:type="dxa"/>
            <w:noWrap/>
            <w:hideMark/>
          </w:tcPr>
          <w:p w14:paraId="69523C8E"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serbe</w:t>
            </w:r>
          </w:p>
        </w:tc>
        <w:tc>
          <w:tcPr>
            <w:tcW w:w="1250" w:type="dxa"/>
            <w:noWrap/>
            <w:hideMark/>
          </w:tcPr>
          <w:p w14:paraId="12E9FAEA"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25</w:t>
            </w:r>
          </w:p>
        </w:tc>
        <w:tc>
          <w:tcPr>
            <w:tcW w:w="2977" w:type="dxa"/>
            <w:noWrap/>
            <w:hideMark/>
          </w:tcPr>
          <w:p w14:paraId="354BA8FE"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2,60%</w:t>
            </w:r>
          </w:p>
        </w:tc>
      </w:tr>
      <w:tr w:rsidR="006D6A3F" w:rsidRPr="006D6A3F" w14:paraId="55CBE3D7" w14:textId="77777777" w:rsidTr="006D6A3F">
        <w:trPr>
          <w:trHeight w:val="264"/>
          <w:jc w:val="center"/>
        </w:trPr>
        <w:tc>
          <w:tcPr>
            <w:tcW w:w="2010" w:type="dxa"/>
            <w:noWrap/>
            <w:hideMark/>
          </w:tcPr>
          <w:p w14:paraId="14BB6B3B"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brésilienne</w:t>
            </w:r>
          </w:p>
        </w:tc>
        <w:tc>
          <w:tcPr>
            <w:tcW w:w="1250" w:type="dxa"/>
            <w:noWrap/>
            <w:hideMark/>
          </w:tcPr>
          <w:p w14:paraId="750D6E1A"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22</w:t>
            </w:r>
          </w:p>
        </w:tc>
        <w:tc>
          <w:tcPr>
            <w:tcW w:w="2977" w:type="dxa"/>
            <w:noWrap/>
            <w:hideMark/>
          </w:tcPr>
          <w:p w14:paraId="1F45DA14"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2,29%</w:t>
            </w:r>
          </w:p>
        </w:tc>
      </w:tr>
      <w:tr w:rsidR="006D6A3F" w:rsidRPr="006D6A3F" w14:paraId="2C086763" w14:textId="77777777" w:rsidTr="006D6A3F">
        <w:trPr>
          <w:trHeight w:val="264"/>
          <w:jc w:val="center"/>
        </w:trPr>
        <w:tc>
          <w:tcPr>
            <w:tcW w:w="2010" w:type="dxa"/>
            <w:noWrap/>
            <w:hideMark/>
          </w:tcPr>
          <w:p w14:paraId="09F0A040"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guinéenne</w:t>
            </w:r>
          </w:p>
        </w:tc>
        <w:tc>
          <w:tcPr>
            <w:tcW w:w="1250" w:type="dxa"/>
            <w:noWrap/>
            <w:hideMark/>
          </w:tcPr>
          <w:p w14:paraId="6F40755D"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22</w:t>
            </w:r>
          </w:p>
        </w:tc>
        <w:tc>
          <w:tcPr>
            <w:tcW w:w="2977" w:type="dxa"/>
            <w:noWrap/>
            <w:hideMark/>
          </w:tcPr>
          <w:p w14:paraId="16E360E1"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2,29%</w:t>
            </w:r>
          </w:p>
        </w:tc>
      </w:tr>
      <w:tr w:rsidR="006D6A3F" w:rsidRPr="006D6A3F" w14:paraId="4FF92A58" w14:textId="77777777" w:rsidTr="006D6A3F">
        <w:trPr>
          <w:trHeight w:val="264"/>
          <w:jc w:val="center"/>
        </w:trPr>
        <w:tc>
          <w:tcPr>
            <w:tcW w:w="2010" w:type="dxa"/>
            <w:noWrap/>
            <w:hideMark/>
          </w:tcPr>
          <w:p w14:paraId="59731E06"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érythréenne</w:t>
            </w:r>
          </w:p>
        </w:tc>
        <w:tc>
          <w:tcPr>
            <w:tcW w:w="1250" w:type="dxa"/>
            <w:noWrap/>
            <w:hideMark/>
          </w:tcPr>
          <w:p w14:paraId="3053BCF3"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21</w:t>
            </w:r>
          </w:p>
        </w:tc>
        <w:tc>
          <w:tcPr>
            <w:tcW w:w="2977" w:type="dxa"/>
            <w:noWrap/>
            <w:hideMark/>
          </w:tcPr>
          <w:p w14:paraId="178477EB"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2,19%</w:t>
            </w:r>
          </w:p>
        </w:tc>
      </w:tr>
      <w:tr w:rsidR="006D6A3F" w:rsidRPr="006D6A3F" w14:paraId="3648FE00" w14:textId="77777777" w:rsidTr="006D6A3F">
        <w:trPr>
          <w:trHeight w:val="264"/>
          <w:jc w:val="center"/>
        </w:trPr>
        <w:tc>
          <w:tcPr>
            <w:tcW w:w="2010" w:type="dxa"/>
            <w:noWrap/>
            <w:hideMark/>
          </w:tcPr>
          <w:p w14:paraId="24DA3FBF"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monténégrine</w:t>
            </w:r>
          </w:p>
        </w:tc>
        <w:tc>
          <w:tcPr>
            <w:tcW w:w="1250" w:type="dxa"/>
            <w:noWrap/>
            <w:hideMark/>
          </w:tcPr>
          <w:p w14:paraId="63CC4AB1"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21</w:t>
            </w:r>
          </w:p>
        </w:tc>
        <w:tc>
          <w:tcPr>
            <w:tcW w:w="2977" w:type="dxa"/>
            <w:noWrap/>
            <w:hideMark/>
          </w:tcPr>
          <w:p w14:paraId="2F5A4D01"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2,19%</w:t>
            </w:r>
          </w:p>
        </w:tc>
      </w:tr>
      <w:tr w:rsidR="006D6A3F" w:rsidRPr="006D6A3F" w14:paraId="16E185C5" w14:textId="77777777" w:rsidTr="006D6A3F">
        <w:trPr>
          <w:trHeight w:val="264"/>
          <w:jc w:val="center"/>
        </w:trPr>
        <w:tc>
          <w:tcPr>
            <w:tcW w:w="2010" w:type="dxa"/>
            <w:noWrap/>
            <w:hideMark/>
          </w:tcPr>
          <w:p w14:paraId="2945094A"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syrienne</w:t>
            </w:r>
          </w:p>
        </w:tc>
        <w:tc>
          <w:tcPr>
            <w:tcW w:w="1250" w:type="dxa"/>
            <w:noWrap/>
            <w:hideMark/>
          </w:tcPr>
          <w:p w14:paraId="588213B4"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19</w:t>
            </w:r>
          </w:p>
        </w:tc>
        <w:tc>
          <w:tcPr>
            <w:tcW w:w="2977" w:type="dxa"/>
            <w:noWrap/>
            <w:hideMark/>
          </w:tcPr>
          <w:p w14:paraId="113AC699"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1,98%</w:t>
            </w:r>
          </w:p>
        </w:tc>
      </w:tr>
      <w:tr w:rsidR="006D6A3F" w:rsidRPr="006D6A3F" w14:paraId="2A80D131" w14:textId="77777777" w:rsidTr="006D6A3F">
        <w:trPr>
          <w:trHeight w:val="264"/>
          <w:jc w:val="center"/>
        </w:trPr>
        <w:tc>
          <w:tcPr>
            <w:tcW w:w="2010" w:type="dxa"/>
            <w:noWrap/>
            <w:hideMark/>
          </w:tcPr>
          <w:p w14:paraId="64D59428"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kosovare</w:t>
            </w:r>
          </w:p>
        </w:tc>
        <w:tc>
          <w:tcPr>
            <w:tcW w:w="1250" w:type="dxa"/>
            <w:noWrap/>
            <w:hideMark/>
          </w:tcPr>
          <w:p w14:paraId="70A1A835"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18</w:t>
            </w:r>
          </w:p>
        </w:tc>
        <w:tc>
          <w:tcPr>
            <w:tcW w:w="2977" w:type="dxa"/>
            <w:noWrap/>
            <w:hideMark/>
          </w:tcPr>
          <w:p w14:paraId="04BEE5C1"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1,88%</w:t>
            </w:r>
          </w:p>
        </w:tc>
      </w:tr>
      <w:tr w:rsidR="006D6A3F" w:rsidRPr="006D6A3F" w14:paraId="62D215ED" w14:textId="77777777" w:rsidTr="006D6A3F">
        <w:trPr>
          <w:trHeight w:val="264"/>
          <w:jc w:val="center"/>
        </w:trPr>
        <w:tc>
          <w:tcPr>
            <w:tcW w:w="2010" w:type="dxa"/>
            <w:noWrap/>
            <w:hideMark/>
          </w:tcPr>
          <w:p w14:paraId="2AE6017F"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indéterminée</w:t>
            </w:r>
          </w:p>
        </w:tc>
        <w:tc>
          <w:tcPr>
            <w:tcW w:w="1250" w:type="dxa"/>
            <w:noWrap/>
            <w:hideMark/>
          </w:tcPr>
          <w:p w14:paraId="54D41D8F"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18</w:t>
            </w:r>
          </w:p>
        </w:tc>
        <w:tc>
          <w:tcPr>
            <w:tcW w:w="2977" w:type="dxa"/>
            <w:noWrap/>
            <w:hideMark/>
          </w:tcPr>
          <w:p w14:paraId="687EC82B"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1,88%</w:t>
            </w:r>
          </w:p>
        </w:tc>
      </w:tr>
      <w:tr w:rsidR="006D6A3F" w:rsidRPr="006D6A3F" w14:paraId="697389C5" w14:textId="77777777" w:rsidTr="006D6A3F">
        <w:trPr>
          <w:trHeight w:val="264"/>
          <w:jc w:val="center"/>
        </w:trPr>
        <w:tc>
          <w:tcPr>
            <w:tcW w:w="2010" w:type="dxa"/>
            <w:noWrap/>
            <w:hideMark/>
          </w:tcPr>
          <w:p w14:paraId="30A00C0D"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macédonienne</w:t>
            </w:r>
          </w:p>
        </w:tc>
        <w:tc>
          <w:tcPr>
            <w:tcW w:w="1250" w:type="dxa"/>
            <w:noWrap/>
            <w:hideMark/>
          </w:tcPr>
          <w:p w14:paraId="06FB183B"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17</w:t>
            </w:r>
          </w:p>
        </w:tc>
        <w:tc>
          <w:tcPr>
            <w:tcW w:w="2977" w:type="dxa"/>
            <w:noWrap/>
            <w:hideMark/>
          </w:tcPr>
          <w:p w14:paraId="69DD4A2D"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1,77%</w:t>
            </w:r>
          </w:p>
        </w:tc>
      </w:tr>
      <w:tr w:rsidR="006D6A3F" w:rsidRPr="006D6A3F" w14:paraId="6E735CA2" w14:textId="77777777" w:rsidTr="006D6A3F">
        <w:trPr>
          <w:trHeight w:val="264"/>
          <w:jc w:val="center"/>
        </w:trPr>
        <w:tc>
          <w:tcPr>
            <w:tcW w:w="2010" w:type="dxa"/>
            <w:noWrap/>
            <w:hideMark/>
          </w:tcPr>
          <w:p w14:paraId="10793A36"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iraquienne</w:t>
            </w:r>
          </w:p>
        </w:tc>
        <w:tc>
          <w:tcPr>
            <w:tcW w:w="1250" w:type="dxa"/>
            <w:noWrap/>
            <w:hideMark/>
          </w:tcPr>
          <w:p w14:paraId="15BAF5D2"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16</w:t>
            </w:r>
          </w:p>
        </w:tc>
        <w:tc>
          <w:tcPr>
            <w:tcW w:w="2977" w:type="dxa"/>
            <w:noWrap/>
            <w:hideMark/>
          </w:tcPr>
          <w:p w14:paraId="407548B7"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1,67%</w:t>
            </w:r>
          </w:p>
        </w:tc>
      </w:tr>
      <w:tr w:rsidR="006D6A3F" w:rsidRPr="006D6A3F" w14:paraId="217AA658" w14:textId="77777777" w:rsidTr="006D6A3F">
        <w:trPr>
          <w:trHeight w:val="264"/>
          <w:jc w:val="center"/>
        </w:trPr>
        <w:tc>
          <w:tcPr>
            <w:tcW w:w="2010" w:type="dxa"/>
            <w:noWrap/>
            <w:hideMark/>
          </w:tcPr>
          <w:p w14:paraId="5AB5AFFB"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sénégalaise</w:t>
            </w:r>
          </w:p>
        </w:tc>
        <w:tc>
          <w:tcPr>
            <w:tcW w:w="1250" w:type="dxa"/>
            <w:noWrap/>
            <w:hideMark/>
          </w:tcPr>
          <w:p w14:paraId="072D1737"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15</w:t>
            </w:r>
          </w:p>
        </w:tc>
        <w:tc>
          <w:tcPr>
            <w:tcW w:w="2977" w:type="dxa"/>
            <w:noWrap/>
            <w:hideMark/>
          </w:tcPr>
          <w:p w14:paraId="67E04317"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1,56%</w:t>
            </w:r>
          </w:p>
        </w:tc>
      </w:tr>
      <w:tr w:rsidR="006D6A3F" w:rsidRPr="006D6A3F" w14:paraId="12C2DDF7" w14:textId="77777777" w:rsidTr="006D6A3F">
        <w:trPr>
          <w:trHeight w:val="264"/>
          <w:jc w:val="center"/>
        </w:trPr>
        <w:tc>
          <w:tcPr>
            <w:tcW w:w="2010" w:type="dxa"/>
            <w:noWrap/>
            <w:hideMark/>
          </w:tcPr>
          <w:p w14:paraId="794C4167"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soudanaise</w:t>
            </w:r>
          </w:p>
        </w:tc>
        <w:tc>
          <w:tcPr>
            <w:tcW w:w="1250" w:type="dxa"/>
            <w:noWrap/>
            <w:hideMark/>
          </w:tcPr>
          <w:p w14:paraId="7D75F889"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15</w:t>
            </w:r>
          </w:p>
        </w:tc>
        <w:tc>
          <w:tcPr>
            <w:tcW w:w="2977" w:type="dxa"/>
            <w:noWrap/>
            <w:hideMark/>
          </w:tcPr>
          <w:p w14:paraId="31CCA42B"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1,56%</w:t>
            </w:r>
          </w:p>
        </w:tc>
      </w:tr>
      <w:tr w:rsidR="006D6A3F" w:rsidRPr="006D6A3F" w14:paraId="0E8464A8" w14:textId="77777777" w:rsidTr="006D6A3F">
        <w:trPr>
          <w:trHeight w:val="264"/>
          <w:jc w:val="center"/>
        </w:trPr>
        <w:tc>
          <w:tcPr>
            <w:tcW w:w="2010" w:type="dxa"/>
            <w:noWrap/>
            <w:hideMark/>
          </w:tcPr>
          <w:p w14:paraId="58CA0620"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gambienne</w:t>
            </w:r>
          </w:p>
        </w:tc>
        <w:tc>
          <w:tcPr>
            <w:tcW w:w="1250" w:type="dxa"/>
            <w:noWrap/>
            <w:hideMark/>
          </w:tcPr>
          <w:p w14:paraId="5959D8B5"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15</w:t>
            </w:r>
          </w:p>
        </w:tc>
        <w:tc>
          <w:tcPr>
            <w:tcW w:w="2977" w:type="dxa"/>
            <w:noWrap/>
            <w:hideMark/>
          </w:tcPr>
          <w:p w14:paraId="66DB84D9"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1,56%</w:t>
            </w:r>
          </w:p>
        </w:tc>
      </w:tr>
      <w:tr w:rsidR="006D6A3F" w:rsidRPr="006D6A3F" w14:paraId="39E8E9AE" w14:textId="77777777" w:rsidTr="006D6A3F">
        <w:trPr>
          <w:trHeight w:val="264"/>
          <w:jc w:val="center"/>
        </w:trPr>
        <w:tc>
          <w:tcPr>
            <w:tcW w:w="2010" w:type="dxa"/>
            <w:noWrap/>
            <w:hideMark/>
          </w:tcPr>
          <w:p w14:paraId="0816431F"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bosniaque</w:t>
            </w:r>
          </w:p>
        </w:tc>
        <w:tc>
          <w:tcPr>
            <w:tcW w:w="1250" w:type="dxa"/>
            <w:noWrap/>
            <w:hideMark/>
          </w:tcPr>
          <w:p w14:paraId="5919B7AE"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15</w:t>
            </w:r>
          </w:p>
        </w:tc>
        <w:tc>
          <w:tcPr>
            <w:tcW w:w="2977" w:type="dxa"/>
            <w:noWrap/>
            <w:hideMark/>
          </w:tcPr>
          <w:p w14:paraId="4AA869A0"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1,56%</w:t>
            </w:r>
          </w:p>
        </w:tc>
      </w:tr>
      <w:tr w:rsidR="006D6A3F" w:rsidRPr="006D6A3F" w14:paraId="1DE75214" w14:textId="77777777" w:rsidTr="006D6A3F">
        <w:trPr>
          <w:trHeight w:val="264"/>
          <w:jc w:val="center"/>
        </w:trPr>
        <w:tc>
          <w:tcPr>
            <w:tcW w:w="2010" w:type="dxa"/>
            <w:noWrap/>
            <w:hideMark/>
          </w:tcPr>
          <w:p w14:paraId="375987C9"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camerounaise</w:t>
            </w:r>
          </w:p>
        </w:tc>
        <w:tc>
          <w:tcPr>
            <w:tcW w:w="1250" w:type="dxa"/>
            <w:noWrap/>
            <w:hideMark/>
          </w:tcPr>
          <w:p w14:paraId="00BB001E"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13</w:t>
            </w:r>
          </w:p>
        </w:tc>
        <w:tc>
          <w:tcPr>
            <w:tcW w:w="2977" w:type="dxa"/>
            <w:noWrap/>
            <w:hideMark/>
          </w:tcPr>
          <w:p w14:paraId="21002710"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1,35%</w:t>
            </w:r>
          </w:p>
        </w:tc>
      </w:tr>
      <w:tr w:rsidR="006D6A3F" w:rsidRPr="006D6A3F" w14:paraId="32BB2811" w14:textId="77777777" w:rsidTr="006D6A3F">
        <w:trPr>
          <w:trHeight w:val="264"/>
          <w:jc w:val="center"/>
        </w:trPr>
        <w:tc>
          <w:tcPr>
            <w:tcW w:w="2010" w:type="dxa"/>
            <w:noWrap/>
            <w:hideMark/>
          </w:tcPr>
          <w:p w14:paraId="4E449042"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chinoise</w:t>
            </w:r>
          </w:p>
        </w:tc>
        <w:tc>
          <w:tcPr>
            <w:tcW w:w="1250" w:type="dxa"/>
            <w:noWrap/>
            <w:hideMark/>
          </w:tcPr>
          <w:p w14:paraId="375F2502"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13</w:t>
            </w:r>
          </w:p>
        </w:tc>
        <w:tc>
          <w:tcPr>
            <w:tcW w:w="2977" w:type="dxa"/>
            <w:noWrap/>
            <w:hideMark/>
          </w:tcPr>
          <w:p w14:paraId="581B849C"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1,35%</w:t>
            </w:r>
          </w:p>
        </w:tc>
      </w:tr>
      <w:tr w:rsidR="006D6A3F" w:rsidRPr="006D6A3F" w14:paraId="7AB3A2E9" w14:textId="77777777" w:rsidTr="006D6A3F">
        <w:trPr>
          <w:trHeight w:val="264"/>
          <w:jc w:val="center"/>
        </w:trPr>
        <w:tc>
          <w:tcPr>
            <w:tcW w:w="2010" w:type="dxa"/>
            <w:noWrap/>
            <w:hideMark/>
          </w:tcPr>
          <w:p w14:paraId="50FCF462"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malienne</w:t>
            </w:r>
          </w:p>
        </w:tc>
        <w:tc>
          <w:tcPr>
            <w:tcW w:w="1250" w:type="dxa"/>
            <w:noWrap/>
            <w:hideMark/>
          </w:tcPr>
          <w:p w14:paraId="13383623"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9</w:t>
            </w:r>
          </w:p>
        </w:tc>
        <w:tc>
          <w:tcPr>
            <w:tcW w:w="2977" w:type="dxa"/>
            <w:noWrap/>
            <w:hideMark/>
          </w:tcPr>
          <w:p w14:paraId="6E818AB8"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0,94%</w:t>
            </w:r>
          </w:p>
        </w:tc>
      </w:tr>
      <w:tr w:rsidR="006D6A3F" w:rsidRPr="006D6A3F" w14:paraId="0FEA144B" w14:textId="77777777" w:rsidTr="006D6A3F">
        <w:trPr>
          <w:trHeight w:val="264"/>
          <w:jc w:val="center"/>
        </w:trPr>
        <w:tc>
          <w:tcPr>
            <w:tcW w:w="2010" w:type="dxa"/>
            <w:noWrap/>
            <w:hideMark/>
          </w:tcPr>
          <w:p w14:paraId="587DBE67"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biélorusse</w:t>
            </w:r>
          </w:p>
        </w:tc>
        <w:tc>
          <w:tcPr>
            <w:tcW w:w="1250" w:type="dxa"/>
            <w:noWrap/>
            <w:hideMark/>
          </w:tcPr>
          <w:p w14:paraId="6AFE55B3"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8</w:t>
            </w:r>
          </w:p>
        </w:tc>
        <w:tc>
          <w:tcPr>
            <w:tcW w:w="2977" w:type="dxa"/>
            <w:noWrap/>
            <w:hideMark/>
          </w:tcPr>
          <w:p w14:paraId="3A2A9D87"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0,83%</w:t>
            </w:r>
          </w:p>
        </w:tc>
      </w:tr>
      <w:tr w:rsidR="006D6A3F" w:rsidRPr="006D6A3F" w14:paraId="5D50F2F9" w14:textId="77777777" w:rsidTr="006D6A3F">
        <w:trPr>
          <w:trHeight w:val="264"/>
          <w:jc w:val="center"/>
        </w:trPr>
        <w:tc>
          <w:tcPr>
            <w:tcW w:w="2010" w:type="dxa"/>
            <w:noWrap/>
            <w:hideMark/>
          </w:tcPr>
          <w:p w14:paraId="22194954"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égyptienne</w:t>
            </w:r>
          </w:p>
        </w:tc>
        <w:tc>
          <w:tcPr>
            <w:tcW w:w="1250" w:type="dxa"/>
            <w:noWrap/>
            <w:hideMark/>
          </w:tcPr>
          <w:p w14:paraId="3F1EEB51"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8</w:t>
            </w:r>
          </w:p>
        </w:tc>
        <w:tc>
          <w:tcPr>
            <w:tcW w:w="2977" w:type="dxa"/>
            <w:noWrap/>
            <w:hideMark/>
          </w:tcPr>
          <w:p w14:paraId="20364710"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0,83%</w:t>
            </w:r>
          </w:p>
        </w:tc>
      </w:tr>
      <w:tr w:rsidR="006D6A3F" w:rsidRPr="006D6A3F" w14:paraId="0C9D5970" w14:textId="77777777" w:rsidTr="006D6A3F">
        <w:trPr>
          <w:trHeight w:val="264"/>
          <w:jc w:val="center"/>
        </w:trPr>
        <w:tc>
          <w:tcPr>
            <w:tcW w:w="2010" w:type="dxa"/>
            <w:noWrap/>
            <w:hideMark/>
          </w:tcPr>
          <w:p w14:paraId="05862336"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ivoirienne</w:t>
            </w:r>
          </w:p>
        </w:tc>
        <w:tc>
          <w:tcPr>
            <w:tcW w:w="1250" w:type="dxa"/>
            <w:noWrap/>
            <w:hideMark/>
          </w:tcPr>
          <w:p w14:paraId="06017F8D"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8</w:t>
            </w:r>
          </w:p>
        </w:tc>
        <w:tc>
          <w:tcPr>
            <w:tcW w:w="2977" w:type="dxa"/>
            <w:noWrap/>
            <w:hideMark/>
          </w:tcPr>
          <w:p w14:paraId="0286E8CB"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0,83%</w:t>
            </w:r>
          </w:p>
        </w:tc>
      </w:tr>
      <w:tr w:rsidR="006D6A3F" w:rsidRPr="006D6A3F" w14:paraId="0A0AE68C" w14:textId="77777777" w:rsidTr="006D6A3F">
        <w:trPr>
          <w:trHeight w:val="264"/>
          <w:jc w:val="center"/>
        </w:trPr>
        <w:tc>
          <w:tcPr>
            <w:tcW w:w="2010" w:type="dxa"/>
            <w:noWrap/>
            <w:hideMark/>
          </w:tcPr>
          <w:p w14:paraId="0B7CDF2E"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bissau-guinéenne</w:t>
            </w:r>
          </w:p>
        </w:tc>
        <w:tc>
          <w:tcPr>
            <w:tcW w:w="1250" w:type="dxa"/>
            <w:noWrap/>
            <w:hideMark/>
          </w:tcPr>
          <w:p w14:paraId="508AA8BD"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7</w:t>
            </w:r>
          </w:p>
        </w:tc>
        <w:tc>
          <w:tcPr>
            <w:tcW w:w="2977" w:type="dxa"/>
            <w:noWrap/>
            <w:hideMark/>
          </w:tcPr>
          <w:p w14:paraId="72783EB7"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0,73%</w:t>
            </w:r>
          </w:p>
        </w:tc>
      </w:tr>
      <w:tr w:rsidR="006D6A3F" w:rsidRPr="006D6A3F" w14:paraId="21CCDEFF" w14:textId="77777777" w:rsidTr="006D6A3F">
        <w:trPr>
          <w:trHeight w:val="264"/>
          <w:jc w:val="center"/>
        </w:trPr>
        <w:tc>
          <w:tcPr>
            <w:tcW w:w="2010" w:type="dxa"/>
            <w:noWrap/>
            <w:hideMark/>
          </w:tcPr>
          <w:p w14:paraId="5F3B4A45"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afghane</w:t>
            </w:r>
          </w:p>
        </w:tc>
        <w:tc>
          <w:tcPr>
            <w:tcW w:w="1250" w:type="dxa"/>
            <w:noWrap/>
            <w:hideMark/>
          </w:tcPr>
          <w:p w14:paraId="009D28DD"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7</w:t>
            </w:r>
          </w:p>
        </w:tc>
        <w:tc>
          <w:tcPr>
            <w:tcW w:w="2977" w:type="dxa"/>
            <w:noWrap/>
            <w:hideMark/>
          </w:tcPr>
          <w:p w14:paraId="28355A10"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0,73%</w:t>
            </w:r>
          </w:p>
        </w:tc>
      </w:tr>
      <w:tr w:rsidR="006D6A3F" w:rsidRPr="006D6A3F" w14:paraId="260EF559" w14:textId="77777777" w:rsidTr="006D6A3F">
        <w:trPr>
          <w:trHeight w:val="264"/>
          <w:jc w:val="center"/>
        </w:trPr>
        <w:tc>
          <w:tcPr>
            <w:tcW w:w="2010" w:type="dxa"/>
            <w:noWrap/>
            <w:hideMark/>
          </w:tcPr>
          <w:p w14:paraId="4B93B10B"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russe</w:t>
            </w:r>
          </w:p>
        </w:tc>
        <w:tc>
          <w:tcPr>
            <w:tcW w:w="1250" w:type="dxa"/>
            <w:noWrap/>
            <w:hideMark/>
          </w:tcPr>
          <w:p w14:paraId="7BFBD15D"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7</w:t>
            </w:r>
          </w:p>
        </w:tc>
        <w:tc>
          <w:tcPr>
            <w:tcW w:w="2977" w:type="dxa"/>
            <w:noWrap/>
            <w:hideMark/>
          </w:tcPr>
          <w:p w14:paraId="069BE78E"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0,73%</w:t>
            </w:r>
          </w:p>
        </w:tc>
      </w:tr>
      <w:tr w:rsidR="006D6A3F" w:rsidRPr="006D6A3F" w14:paraId="433A3109" w14:textId="77777777" w:rsidTr="006D6A3F">
        <w:trPr>
          <w:trHeight w:val="264"/>
          <w:jc w:val="center"/>
        </w:trPr>
        <w:tc>
          <w:tcPr>
            <w:tcW w:w="2010" w:type="dxa"/>
            <w:noWrap/>
            <w:hideMark/>
          </w:tcPr>
          <w:p w14:paraId="26E72B1B"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ukrainienne</w:t>
            </w:r>
          </w:p>
        </w:tc>
        <w:tc>
          <w:tcPr>
            <w:tcW w:w="1250" w:type="dxa"/>
            <w:noWrap/>
            <w:hideMark/>
          </w:tcPr>
          <w:p w14:paraId="0D6D6123"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6</w:t>
            </w:r>
          </w:p>
        </w:tc>
        <w:tc>
          <w:tcPr>
            <w:tcW w:w="2977" w:type="dxa"/>
            <w:noWrap/>
            <w:hideMark/>
          </w:tcPr>
          <w:p w14:paraId="38342347"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0,63%</w:t>
            </w:r>
          </w:p>
        </w:tc>
      </w:tr>
      <w:tr w:rsidR="006D6A3F" w:rsidRPr="006D6A3F" w14:paraId="451E133E" w14:textId="77777777" w:rsidTr="006D6A3F">
        <w:trPr>
          <w:trHeight w:val="264"/>
          <w:jc w:val="center"/>
        </w:trPr>
        <w:tc>
          <w:tcPr>
            <w:tcW w:w="2010" w:type="dxa"/>
            <w:noWrap/>
            <w:hideMark/>
          </w:tcPr>
          <w:p w14:paraId="2A7802BC"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libanaise</w:t>
            </w:r>
          </w:p>
        </w:tc>
        <w:tc>
          <w:tcPr>
            <w:tcW w:w="1250" w:type="dxa"/>
            <w:noWrap/>
            <w:hideMark/>
          </w:tcPr>
          <w:p w14:paraId="590D9F51"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6</w:t>
            </w:r>
          </w:p>
        </w:tc>
        <w:tc>
          <w:tcPr>
            <w:tcW w:w="2977" w:type="dxa"/>
            <w:noWrap/>
            <w:hideMark/>
          </w:tcPr>
          <w:p w14:paraId="7AA5C907"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0,63%</w:t>
            </w:r>
          </w:p>
        </w:tc>
      </w:tr>
      <w:tr w:rsidR="006D6A3F" w:rsidRPr="006D6A3F" w14:paraId="2E41C837" w14:textId="77777777" w:rsidTr="006D6A3F">
        <w:trPr>
          <w:trHeight w:val="264"/>
          <w:jc w:val="center"/>
        </w:trPr>
        <w:tc>
          <w:tcPr>
            <w:tcW w:w="2010" w:type="dxa"/>
            <w:noWrap/>
            <w:hideMark/>
          </w:tcPr>
          <w:p w14:paraId="2DD51B8C"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capverdienne</w:t>
            </w:r>
          </w:p>
        </w:tc>
        <w:tc>
          <w:tcPr>
            <w:tcW w:w="1250" w:type="dxa"/>
            <w:noWrap/>
            <w:hideMark/>
          </w:tcPr>
          <w:p w14:paraId="638EA485"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6</w:t>
            </w:r>
          </w:p>
        </w:tc>
        <w:tc>
          <w:tcPr>
            <w:tcW w:w="2977" w:type="dxa"/>
            <w:noWrap/>
            <w:hideMark/>
          </w:tcPr>
          <w:p w14:paraId="724A7A46"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0,63%</w:t>
            </w:r>
          </w:p>
        </w:tc>
      </w:tr>
      <w:tr w:rsidR="006D6A3F" w:rsidRPr="006D6A3F" w14:paraId="43A5B66D" w14:textId="77777777" w:rsidTr="006D6A3F">
        <w:trPr>
          <w:trHeight w:val="264"/>
          <w:jc w:val="center"/>
        </w:trPr>
        <w:tc>
          <w:tcPr>
            <w:tcW w:w="2010" w:type="dxa"/>
            <w:noWrap/>
            <w:hideMark/>
          </w:tcPr>
          <w:p w14:paraId="2CAAB854"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iranienne</w:t>
            </w:r>
          </w:p>
        </w:tc>
        <w:tc>
          <w:tcPr>
            <w:tcW w:w="1250" w:type="dxa"/>
            <w:noWrap/>
            <w:hideMark/>
          </w:tcPr>
          <w:p w14:paraId="2C6E39E5"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5</w:t>
            </w:r>
          </w:p>
        </w:tc>
        <w:tc>
          <w:tcPr>
            <w:tcW w:w="2977" w:type="dxa"/>
            <w:noWrap/>
            <w:hideMark/>
          </w:tcPr>
          <w:p w14:paraId="1BAFD5B1"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0,52%</w:t>
            </w:r>
          </w:p>
        </w:tc>
      </w:tr>
      <w:tr w:rsidR="006D6A3F" w:rsidRPr="006D6A3F" w14:paraId="6E042B52" w14:textId="77777777" w:rsidTr="006D6A3F">
        <w:trPr>
          <w:trHeight w:val="264"/>
          <w:jc w:val="center"/>
        </w:trPr>
        <w:tc>
          <w:tcPr>
            <w:tcW w:w="2010" w:type="dxa"/>
            <w:noWrap/>
            <w:hideMark/>
          </w:tcPr>
          <w:p w14:paraId="4754463E"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moldave</w:t>
            </w:r>
          </w:p>
        </w:tc>
        <w:tc>
          <w:tcPr>
            <w:tcW w:w="1250" w:type="dxa"/>
            <w:noWrap/>
            <w:hideMark/>
          </w:tcPr>
          <w:p w14:paraId="07179FC7"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5</w:t>
            </w:r>
          </w:p>
        </w:tc>
        <w:tc>
          <w:tcPr>
            <w:tcW w:w="2977" w:type="dxa"/>
            <w:noWrap/>
            <w:hideMark/>
          </w:tcPr>
          <w:p w14:paraId="3059544F"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0,52%</w:t>
            </w:r>
          </w:p>
        </w:tc>
      </w:tr>
      <w:tr w:rsidR="006D6A3F" w:rsidRPr="006D6A3F" w14:paraId="2825A8DE" w14:textId="77777777" w:rsidTr="006D6A3F">
        <w:trPr>
          <w:trHeight w:val="264"/>
          <w:jc w:val="center"/>
        </w:trPr>
        <w:tc>
          <w:tcPr>
            <w:tcW w:w="2010" w:type="dxa"/>
            <w:noWrap/>
            <w:hideMark/>
          </w:tcPr>
          <w:p w14:paraId="30FED3B7"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pakistanaise</w:t>
            </w:r>
          </w:p>
        </w:tc>
        <w:tc>
          <w:tcPr>
            <w:tcW w:w="1250" w:type="dxa"/>
            <w:noWrap/>
            <w:hideMark/>
          </w:tcPr>
          <w:p w14:paraId="3B0CCEC0"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5</w:t>
            </w:r>
          </w:p>
        </w:tc>
        <w:tc>
          <w:tcPr>
            <w:tcW w:w="2977" w:type="dxa"/>
            <w:noWrap/>
            <w:hideMark/>
          </w:tcPr>
          <w:p w14:paraId="75646939"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0,52%</w:t>
            </w:r>
          </w:p>
        </w:tc>
      </w:tr>
      <w:tr w:rsidR="006D6A3F" w:rsidRPr="006D6A3F" w14:paraId="6EBCE683" w14:textId="77777777" w:rsidTr="006D6A3F">
        <w:trPr>
          <w:trHeight w:val="264"/>
          <w:jc w:val="center"/>
        </w:trPr>
        <w:tc>
          <w:tcPr>
            <w:tcW w:w="2010" w:type="dxa"/>
            <w:noWrap/>
            <w:hideMark/>
          </w:tcPr>
          <w:p w14:paraId="47CC1B8C"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arménienne</w:t>
            </w:r>
          </w:p>
        </w:tc>
        <w:tc>
          <w:tcPr>
            <w:tcW w:w="1250" w:type="dxa"/>
            <w:noWrap/>
            <w:hideMark/>
          </w:tcPr>
          <w:p w14:paraId="7C49ADF6"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4</w:t>
            </w:r>
          </w:p>
        </w:tc>
        <w:tc>
          <w:tcPr>
            <w:tcW w:w="2977" w:type="dxa"/>
            <w:noWrap/>
            <w:hideMark/>
          </w:tcPr>
          <w:p w14:paraId="31A3A9FC"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0,42%</w:t>
            </w:r>
          </w:p>
        </w:tc>
      </w:tr>
      <w:tr w:rsidR="006D6A3F" w:rsidRPr="006D6A3F" w14:paraId="154CF50A" w14:textId="77777777" w:rsidTr="006D6A3F">
        <w:trPr>
          <w:trHeight w:val="264"/>
          <w:jc w:val="center"/>
        </w:trPr>
        <w:tc>
          <w:tcPr>
            <w:tcW w:w="2010" w:type="dxa"/>
            <w:noWrap/>
            <w:hideMark/>
          </w:tcPr>
          <w:p w14:paraId="5FE411BF"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indienne</w:t>
            </w:r>
          </w:p>
        </w:tc>
        <w:tc>
          <w:tcPr>
            <w:tcW w:w="1250" w:type="dxa"/>
            <w:noWrap/>
            <w:hideMark/>
          </w:tcPr>
          <w:p w14:paraId="4B89A46D"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4</w:t>
            </w:r>
          </w:p>
        </w:tc>
        <w:tc>
          <w:tcPr>
            <w:tcW w:w="2977" w:type="dxa"/>
            <w:noWrap/>
            <w:hideMark/>
          </w:tcPr>
          <w:p w14:paraId="7A75D3D8"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0,42%</w:t>
            </w:r>
          </w:p>
        </w:tc>
      </w:tr>
      <w:tr w:rsidR="006D6A3F" w:rsidRPr="006D6A3F" w14:paraId="70CFB067" w14:textId="77777777" w:rsidTr="006D6A3F">
        <w:trPr>
          <w:trHeight w:val="264"/>
          <w:jc w:val="center"/>
        </w:trPr>
        <w:tc>
          <w:tcPr>
            <w:tcW w:w="2010" w:type="dxa"/>
            <w:noWrap/>
            <w:hideMark/>
          </w:tcPr>
          <w:p w14:paraId="446145F1"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somalienne</w:t>
            </w:r>
          </w:p>
        </w:tc>
        <w:tc>
          <w:tcPr>
            <w:tcW w:w="1250" w:type="dxa"/>
            <w:noWrap/>
            <w:hideMark/>
          </w:tcPr>
          <w:p w14:paraId="62C50910"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4</w:t>
            </w:r>
          </w:p>
        </w:tc>
        <w:tc>
          <w:tcPr>
            <w:tcW w:w="2977" w:type="dxa"/>
            <w:noWrap/>
            <w:hideMark/>
          </w:tcPr>
          <w:p w14:paraId="3BF994D6"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0,42%</w:t>
            </w:r>
          </w:p>
        </w:tc>
      </w:tr>
      <w:tr w:rsidR="006D6A3F" w:rsidRPr="006D6A3F" w14:paraId="35D7454B" w14:textId="77777777" w:rsidTr="006D6A3F">
        <w:trPr>
          <w:trHeight w:val="264"/>
          <w:jc w:val="center"/>
        </w:trPr>
        <w:tc>
          <w:tcPr>
            <w:tcW w:w="2010" w:type="dxa"/>
            <w:noWrap/>
            <w:hideMark/>
          </w:tcPr>
          <w:p w14:paraId="6AAF5760"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turque</w:t>
            </w:r>
          </w:p>
        </w:tc>
        <w:tc>
          <w:tcPr>
            <w:tcW w:w="1250" w:type="dxa"/>
            <w:noWrap/>
            <w:hideMark/>
          </w:tcPr>
          <w:p w14:paraId="63B7F6BC"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3</w:t>
            </w:r>
          </w:p>
        </w:tc>
        <w:tc>
          <w:tcPr>
            <w:tcW w:w="2977" w:type="dxa"/>
            <w:noWrap/>
            <w:hideMark/>
          </w:tcPr>
          <w:p w14:paraId="2381639D"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0,31%</w:t>
            </w:r>
          </w:p>
        </w:tc>
      </w:tr>
      <w:tr w:rsidR="006D6A3F" w:rsidRPr="006D6A3F" w14:paraId="39AD8910" w14:textId="77777777" w:rsidTr="006D6A3F">
        <w:trPr>
          <w:trHeight w:val="264"/>
          <w:jc w:val="center"/>
        </w:trPr>
        <w:tc>
          <w:tcPr>
            <w:tcW w:w="2010" w:type="dxa"/>
            <w:noWrap/>
            <w:hideMark/>
          </w:tcPr>
          <w:p w14:paraId="1E8A1E1F"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béninoise</w:t>
            </w:r>
          </w:p>
        </w:tc>
        <w:tc>
          <w:tcPr>
            <w:tcW w:w="1250" w:type="dxa"/>
            <w:noWrap/>
            <w:hideMark/>
          </w:tcPr>
          <w:p w14:paraId="33B256DE"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3</w:t>
            </w:r>
          </w:p>
        </w:tc>
        <w:tc>
          <w:tcPr>
            <w:tcW w:w="2977" w:type="dxa"/>
            <w:noWrap/>
            <w:hideMark/>
          </w:tcPr>
          <w:p w14:paraId="5BBB40B0"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0,31%</w:t>
            </w:r>
          </w:p>
        </w:tc>
      </w:tr>
      <w:tr w:rsidR="006D6A3F" w:rsidRPr="006D6A3F" w14:paraId="0F7F6A71" w14:textId="77777777" w:rsidTr="006D6A3F">
        <w:trPr>
          <w:trHeight w:val="264"/>
          <w:jc w:val="center"/>
        </w:trPr>
        <w:tc>
          <w:tcPr>
            <w:tcW w:w="2010" w:type="dxa"/>
            <w:noWrap/>
            <w:hideMark/>
          </w:tcPr>
          <w:p w14:paraId="516FFE95"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sierra-</w:t>
            </w:r>
            <w:proofErr w:type="spellStart"/>
            <w:r w:rsidRPr="006D6A3F">
              <w:rPr>
                <w:rFonts w:eastAsia="Times New Roman" w:cstheme="minorHAnsi"/>
                <w:sz w:val="20"/>
                <w:szCs w:val="20"/>
              </w:rPr>
              <w:t>léonienne</w:t>
            </w:r>
            <w:proofErr w:type="spellEnd"/>
          </w:p>
        </w:tc>
        <w:tc>
          <w:tcPr>
            <w:tcW w:w="1250" w:type="dxa"/>
            <w:noWrap/>
            <w:hideMark/>
          </w:tcPr>
          <w:p w14:paraId="508676D1"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3</w:t>
            </w:r>
          </w:p>
        </w:tc>
        <w:tc>
          <w:tcPr>
            <w:tcW w:w="2977" w:type="dxa"/>
            <w:noWrap/>
            <w:hideMark/>
          </w:tcPr>
          <w:p w14:paraId="5188FDDA"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0,31%</w:t>
            </w:r>
          </w:p>
        </w:tc>
      </w:tr>
      <w:tr w:rsidR="006D6A3F" w:rsidRPr="006D6A3F" w14:paraId="6C1A6155" w14:textId="77777777" w:rsidTr="006D6A3F">
        <w:trPr>
          <w:trHeight w:val="264"/>
          <w:jc w:val="center"/>
        </w:trPr>
        <w:tc>
          <w:tcPr>
            <w:tcW w:w="2010" w:type="dxa"/>
            <w:noWrap/>
            <w:hideMark/>
          </w:tcPr>
          <w:p w14:paraId="26232727"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yéménite</w:t>
            </w:r>
          </w:p>
        </w:tc>
        <w:tc>
          <w:tcPr>
            <w:tcW w:w="1250" w:type="dxa"/>
            <w:noWrap/>
            <w:hideMark/>
          </w:tcPr>
          <w:p w14:paraId="2DA1BC31"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3</w:t>
            </w:r>
          </w:p>
        </w:tc>
        <w:tc>
          <w:tcPr>
            <w:tcW w:w="2977" w:type="dxa"/>
            <w:noWrap/>
            <w:hideMark/>
          </w:tcPr>
          <w:p w14:paraId="30BD600B"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0,31%</w:t>
            </w:r>
          </w:p>
        </w:tc>
      </w:tr>
      <w:tr w:rsidR="006D6A3F" w:rsidRPr="006D6A3F" w14:paraId="55494DB8" w14:textId="77777777" w:rsidTr="006D6A3F">
        <w:trPr>
          <w:trHeight w:val="264"/>
          <w:jc w:val="center"/>
        </w:trPr>
        <w:tc>
          <w:tcPr>
            <w:tcW w:w="2010" w:type="dxa"/>
            <w:noWrap/>
            <w:hideMark/>
          </w:tcPr>
          <w:p w14:paraId="4B14E3D4"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congolaise</w:t>
            </w:r>
          </w:p>
        </w:tc>
        <w:tc>
          <w:tcPr>
            <w:tcW w:w="1250" w:type="dxa"/>
            <w:noWrap/>
            <w:hideMark/>
          </w:tcPr>
          <w:p w14:paraId="7B750FDB"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3</w:t>
            </w:r>
          </w:p>
        </w:tc>
        <w:tc>
          <w:tcPr>
            <w:tcW w:w="2977" w:type="dxa"/>
            <w:noWrap/>
            <w:hideMark/>
          </w:tcPr>
          <w:p w14:paraId="54EE4E93"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0,31%</w:t>
            </w:r>
          </w:p>
        </w:tc>
      </w:tr>
      <w:tr w:rsidR="006D6A3F" w:rsidRPr="006D6A3F" w14:paraId="51939CE3" w14:textId="77777777" w:rsidTr="006D6A3F">
        <w:trPr>
          <w:trHeight w:val="264"/>
          <w:jc w:val="center"/>
        </w:trPr>
        <w:tc>
          <w:tcPr>
            <w:tcW w:w="2010" w:type="dxa"/>
            <w:noWrap/>
            <w:hideMark/>
          </w:tcPr>
          <w:p w14:paraId="78377065"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mauritanienne</w:t>
            </w:r>
          </w:p>
        </w:tc>
        <w:tc>
          <w:tcPr>
            <w:tcW w:w="1250" w:type="dxa"/>
            <w:noWrap/>
            <w:hideMark/>
          </w:tcPr>
          <w:p w14:paraId="01DFC9C2"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3</w:t>
            </w:r>
          </w:p>
        </w:tc>
        <w:tc>
          <w:tcPr>
            <w:tcW w:w="2977" w:type="dxa"/>
            <w:noWrap/>
            <w:hideMark/>
          </w:tcPr>
          <w:p w14:paraId="014BBCB8"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0,31%</w:t>
            </w:r>
          </w:p>
        </w:tc>
      </w:tr>
      <w:tr w:rsidR="006D6A3F" w:rsidRPr="006D6A3F" w14:paraId="73114CC8" w14:textId="77777777" w:rsidTr="006D6A3F">
        <w:trPr>
          <w:trHeight w:val="264"/>
          <w:jc w:val="center"/>
        </w:trPr>
        <w:tc>
          <w:tcPr>
            <w:tcW w:w="2010" w:type="dxa"/>
            <w:noWrap/>
            <w:hideMark/>
          </w:tcPr>
          <w:p w14:paraId="26F68A3A"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Inconnue</w:t>
            </w:r>
          </w:p>
        </w:tc>
        <w:tc>
          <w:tcPr>
            <w:tcW w:w="1250" w:type="dxa"/>
            <w:noWrap/>
            <w:hideMark/>
          </w:tcPr>
          <w:p w14:paraId="5B218AAA"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30D1936B"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25E57E2D" w14:textId="77777777" w:rsidTr="006D6A3F">
        <w:trPr>
          <w:trHeight w:val="264"/>
          <w:jc w:val="center"/>
        </w:trPr>
        <w:tc>
          <w:tcPr>
            <w:tcW w:w="2010" w:type="dxa"/>
            <w:noWrap/>
            <w:hideMark/>
          </w:tcPr>
          <w:p w14:paraId="79BB777C"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ghanéenne</w:t>
            </w:r>
          </w:p>
        </w:tc>
        <w:tc>
          <w:tcPr>
            <w:tcW w:w="1250" w:type="dxa"/>
            <w:noWrap/>
            <w:hideMark/>
          </w:tcPr>
          <w:p w14:paraId="27E3C05E"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67579469"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36BD80A8" w14:textId="77777777" w:rsidTr="006D6A3F">
        <w:trPr>
          <w:trHeight w:val="264"/>
          <w:jc w:val="center"/>
        </w:trPr>
        <w:tc>
          <w:tcPr>
            <w:tcW w:w="2010" w:type="dxa"/>
            <w:noWrap/>
            <w:hideMark/>
          </w:tcPr>
          <w:p w14:paraId="70264BC0"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éthiopienne</w:t>
            </w:r>
          </w:p>
        </w:tc>
        <w:tc>
          <w:tcPr>
            <w:tcW w:w="1250" w:type="dxa"/>
            <w:noWrap/>
            <w:hideMark/>
          </w:tcPr>
          <w:p w14:paraId="083508ED"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75A42F75"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11AF2CAB" w14:textId="77777777" w:rsidTr="006D6A3F">
        <w:trPr>
          <w:trHeight w:val="264"/>
          <w:jc w:val="center"/>
        </w:trPr>
        <w:tc>
          <w:tcPr>
            <w:tcW w:w="2010" w:type="dxa"/>
            <w:noWrap/>
            <w:hideMark/>
          </w:tcPr>
          <w:p w14:paraId="1EFD8F44"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gabonaise</w:t>
            </w:r>
          </w:p>
        </w:tc>
        <w:tc>
          <w:tcPr>
            <w:tcW w:w="1250" w:type="dxa"/>
            <w:noWrap/>
            <w:hideMark/>
          </w:tcPr>
          <w:p w14:paraId="006DDC34"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11A568B9"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58F8CD3F" w14:textId="77777777" w:rsidTr="006D6A3F">
        <w:trPr>
          <w:trHeight w:val="264"/>
          <w:jc w:val="center"/>
        </w:trPr>
        <w:tc>
          <w:tcPr>
            <w:tcW w:w="2010" w:type="dxa"/>
            <w:noWrap/>
            <w:hideMark/>
          </w:tcPr>
          <w:p w14:paraId="08516897"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togolaise</w:t>
            </w:r>
          </w:p>
        </w:tc>
        <w:tc>
          <w:tcPr>
            <w:tcW w:w="1250" w:type="dxa"/>
            <w:noWrap/>
            <w:hideMark/>
          </w:tcPr>
          <w:p w14:paraId="36261720"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6E51F389"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79E81D7E" w14:textId="77777777" w:rsidTr="006D6A3F">
        <w:trPr>
          <w:trHeight w:val="264"/>
          <w:jc w:val="center"/>
        </w:trPr>
        <w:tc>
          <w:tcPr>
            <w:tcW w:w="2010" w:type="dxa"/>
            <w:noWrap/>
            <w:hideMark/>
          </w:tcPr>
          <w:p w14:paraId="5BE6DB1A"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nigérienne</w:t>
            </w:r>
          </w:p>
        </w:tc>
        <w:tc>
          <w:tcPr>
            <w:tcW w:w="1250" w:type="dxa"/>
            <w:noWrap/>
            <w:hideMark/>
          </w:tcPr>
          <w:p w14:paraId="42705FE5"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6C1B99CC"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2AA5CB90" w14:textId="77777777" w:rsidTr="006D6A3F">
        <w:trPr>
          <w:trHeight w:val="264"/>
          <w:jc w:val="center"/>
        </w:trPr>
        <w:tc>
          <w:tcPr>
            <w:tcW w:w="2010" w:type="dxa"/>
            <w:noWrap/>
            <w:hideMark/>
          </w:tcPr>
          <w:p w14:paraId="58C06AAD"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lastRenderedPageBreak/>
              <w:t>chilienne</w:t>
            </w:r>
          </w:p>
        </w:tc>
        <w:tc>
          <w:tcPr>
            <w:tcW w:w="1250" w:type="dxa"/>
            <w:noWrap/>
            <w:hideMark/>
          </w:tcPr>
          <w:p w14:paraId="68C94B15"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0D525579"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58922686" w14:textId="77777777" w:rsidTr="006D6A3F">
        <w:trPr>
          <w:trHeight w:val="264"/>
          <w:jc w:val="center"/>
        </w:trPr>
        <w:tc>
          <w:tcPr>
            <w:tcW w:w="2010" w:type="dxa"/>
            <w:noWrap/>
            <w:hideMark/>
          </w:tcPr>
          <w:p w14:paraId="357F2D87"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sud-soudanaise</w:t>
            </w:r>
          </w:p>
        </w:tc>
        <w:tc>
          <w:tcPr>
            <w:tcW w:w="1250" w:type="dxa"/>
            <w:noWrap/>
            <w:hideMark/>
          </w:tcPr>
          <w:p w14:paraId="6B026231"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557DDCF3"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5360D9D4" w14:textId="77777777" w:rsidTr="006D6A3F">
        <w:trPr>
          <w:trHeight w:val="264"/>
          <w:jc w:val="center"/>
        </w:trPr>
        <w:tc>
          <w:tcPr>
            <w:tcW w:w="2010" w:type="dxa"/>
            <w:noWrap/>
            <w:hideMark/>
          </w:tcPr>
          <w:p w14:paraId="79DCD11F"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zimbabwéenne</w:t>
            </w:r>
          </w:p>
        </w:tc>
        <w:tc>
          <w:tcPr>
            <w:tcW w:w="1250" w:type="dxa"/>
            <w:noWrap/>
            <w:hideMark/>
          </w:tcPr>
          <w:p w14:paraId="274F886D"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3131824F"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70F5B426" w14:textId="77777777" w:rsidTr="006D6A3F">
        <w:trPr>
          <w:trHeight w:val="264"/>
          <w:jc w:val="center"/>
        </w:trPr>
        <w:tc>
          <w:tcPr>
            <w:tcW w:w="2010" w:type="dxa"/>
            <w:noWrap/>
            <w:hideMark/>
          </w:tcPr>
          <w:p w14:paraId="45917EA5"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équatorienne</w:t>
            </w:r>
          </w:p>
        </w:tc>
        <w:tc>
          <w:tcPr>
            <w:tcW w:w="1250" w:type="dxa"/>
            <w:noWrap/>
            <w:hideMark/>
          </w:tcPr>
          <w:p w14:paraId="79B4579B"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1691C315"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31915FAB" w14:textId="77777777" w:rsidTr="006D6A3F">
        <w:trPr>
          <w:trHeight w:val="264"/>
          <w:jc w:val="center"/>
        </w:trPr>
        <w:tc>
          <w:tcPr>
            <w:tcW w:w="2010" w:type="dxa"/>
            <w:noWrap/>
            <w:hideMark/>
          </w:tcPr>
          <w:p w14:paraId="1D0D0680"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tchadienne</w:t>
            </w:r>
          </w:p>
        </w:tc>
        <w:tc>
          <w:tcPr>
            <w:tcW w:w="1250" w:type="dxa"/>
            <w:noWrap/>
            <w:hideMark/>
          </w:tcPr>
          <w:p w14:paraId="17BF172C"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18E8AF14"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6720C67C" w14:textId="77777777" w:rsidTr="006D6A3F">
        <w:trPr>
          <w:trHeight w:val="264"/>
          <w:jc w:val="center"/>
        </w:trPr>
        <w:tc>
          <w:tcPr>
            <w:tcW w:w="2010" w:type="dxa"/>
            <w:noWrap/>
            <w:hideMark/>
          </w:tcPr>
          <w:p w14:paraId="310FEEF3"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koweïtienne</w:t>
            </w:r>
          </w:p>
        </w:tc>
        <w:tc>
          <w:tcPr>
            <w:tcW w:w="1250" w:type="dxa"/>
            <w:noWrap/>
            <w:hideMark/>
          </w:tcPr>
          <w:p w14:paraId="4B4EB339"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2</w:t>
            </w:r>
          </w:p>
        </w:tc>
        <w:tc>
          <w:tcPr>
            <w:tcW w:w="2977" w:type="dxa"/>
            <w:noWrap/>
            <w:hideMark/>
          </w:tcPr>
          <w:p w14:paraId="253E6E78"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0,21%</w:t>
            </w:r>
          </w:p>
        </w:tc>
      </w:tr>
      <w:tr w:rsidR="006D6A3F" w:rsidRPr="006D6A3F" w14:paraId="5BDF66D6" w14:textId="77777777" w:rsidTr="006D6A3F">
        <w:trPr>
          <w:trHeight w:val="264"/>
          <w:jc w:val="center"/>
        </w:trPr>
        <w:tc>
          <w:tcPr>
            <w:tcW w:w="2010" w:type="dxa"/>
            <w:noWrap/>
            <w:hideMark/>
          </w:tcPr>
          <w:p w14:paraId="6F6B7B87"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serbe/macédonienne</w:t>
            </w:r>
          </w:p>
        </w:tc>
        <w:tc>
          <w:tcPr>
            <w:tcW w:w="1250" w:type="dxa"/>
            <w:noWrap/>
            <w:hideMark/>
          </w:tcPr>
          <w:p w14:paraId="096EED3F"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7F903F75"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26F301E4" w14:textId="77777777" w:rsidTr="006D6A3F">
        <w:trPr>
          <w:trHeight w:val="264"/>
          <w:jc w:val="center"/>
        </w:trPr>
        <w:tc>
          <w:tcPr>
            <w:tcW w:w="2010" w:type="dxa"/>
            <w:noWrap/>
            <w:hideMark/>
          </w:tcPr>
          <w:p w14:paraId="2478F8FC"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saoudienne</w:t>
            </w:r>
          </w:p>
        </w:tc>
        <w:tc>
          <w:tcPr>
            <w:tcW w:w="1250" w:type="dxa"/>
            <w:noWrap/>
            <w:hideMark/>
          </w:tcPr>
          <w:p w14:paraId="4FF49BD6"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760B34BC"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7BE43A3E" w14:textId="77777777" w:rsidTr="006D6A3F">
        <w:trPr>
          <w:trHeight w:val="264"/>
          <w:jc w:val="center"/>
        </w:trPr>
        <w:tc>
          <w:tcPr>
            <w:tcW w:w="2010" w:type="dxa"/>
            <w:noWrap/>
            <w:hideMark/>
          </w:tcPr>
          <w:p w14:paraId="539C4964"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algérienne/tunisienne</w:t>
            </w:r>
          </w:p>
        </w:tc>
        <w:tc>
          <w:tcPr>
            <w:tcW w:w="1250" w:type="dxa"/>
            <w:noWrap/>
            <w:hideMark/>
          </w:tcPr>
          <w:p w14:paraId="2DB858B2"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142F7690"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1EDA641D" w14:textId="77777777" w:rsidTr="006D6A3F">
        <w:trPr>
          <w:trHeight w:val="264"/>
          <w:jc w:val="center"/>
        </w:trPr>
        <w:tc>
          <w:tcPr>
            <w:tcW w:w="2010" w:type="dxa"/>
            <w:noWrap/>
            <w:hideMark/>
          </w:tcPr>
          <w:p w14:paraId="7D9B44BF"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népalaise</w:t>
            </w:r>
          </w:p>
        </w:tc>
        <w:tc>
          <w:tcPr>
            <w:tcW w:w="1250" w:type="dxa"/>
            <w:noWrap/>
            <w:hideMark/>
          </w:tcPr>
          <w:p w14:paraId="48A946B3"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210A2FD9"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302F0A55" w14:textId="77777777" w:rsidTr="006D6A3F">
        <w:trPr>
          <w:trHeight w:val="264"/>
          <w:jc w:val="center"/>
        </w:trPr>
        <w:tc>
          <w:tcPr>
            <w:tcW w:w="2010" w:type="dxa"/>
            <w:noWrap/>
            <w:hideMark/>
          </w:tcPr>
          <w:p w14:paraId="3B3F5C91"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libérienne</w:t>
            </w:r>
          </w:p>
        </w:tc>
        <w:tc>
          <w:tcPr>
            <w:tcW w:w="1250" w:type="dxa"/>
            <w:noWrap/>
            <w:hideMark/>
          </w:tcPr>
          <w:p w14:paraId="08CEEAB7"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050F1F43"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4472E830" w14:textId="77777777" w:rsidTr="006D6A3F">
        <w:trPr>
          <w:trHeight w:val="264"/>
          <w:jc w:val="center"/>
        </w:trPr>
        <w:tc>
          <w:tcPr>
            <w:tcW w:w="2010" w:type="dxa"/>
            <w:noWrap/>
            <w:hideMark/>
          </w:tcPr>
          <w:p w14:paraId="17AC332D"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kenyane</w:t>
            </w:r>
          </w:p>
        </w:tc>
        <w:tc>
          <w:tcPr>
            <w:tcW w:w="1250" w:type="dxa"/>
            <w:noWrap/>
            <w:hideMark/>
          </w:tcPr>
          <w:p w14:paraId="44340616"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1ADA5170"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1209A031" w14:textId="77777777" w:rsidTr="006D6A3F">
        <w:trPr>
          <w:trHeight w:val="264"/>
          <w:jc w:val="center"/>
        </w:trPr>
        <w:tc>
          <w:tcPr>
            <w:tcW w:w="2010" w:type="dxa"/>
            <w:noWrap/>
            <w:hideMark/>
          </w:tcPr>
          <w:p w14:paraId="0742639D"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philippine</w:t>
            </w:r>
          </w:p>
        </w:tc>
        <w:tc>
          <w:tcPr>
            <w:tcW w:w="1250" w:type="dxa"/>
            <w:noWrap/>
            <w:hideMark/>
          </w:tcPr>
          <w:p w14:paraId="18F44046"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6D5286C8"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5E85CCDF" w14:textId="77777777" w:rsidTr="006D6A3F">
        <w:trPr>
          <w:trHeight w:val="264"/>
          <w:jc w:val="center"/>
        </w:trPr>
        <w:tc>
          <w:tcPr>
            <w:tcW w:w="2010" w:type="dxa"/>
            <w:noWrap/>
            <w:hideMark/>
          </w:tcPr>
          <w:p w14:paraId="16534342"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dominicaine</w:t>
            </w:r>
          </w:p>
        </w:tc>
        <w:tc>
          <w:tcPr>
            <w:tcW w:w="1250" w:type="dxa"/>
            <w:noWrap/>
            <w:hideMark/>
          </w:tcPr>
          <w:p w14:paraId="1347EB15"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49124FA2"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2F35CAA0" w14:textId="77777777" w:rsidTr="006D6A3F">
        <w:trPr>
          <w:trHeight w:val="264"/>
          <w:jc w:val="center"/>
        </w:trPr>
        <w:tc>
          <w:tcPr>
            <w:tcW w:w="2010" w:type="dxa"/>
            <w:noWrap/>
            <w:hideMark/>
          </w:tcPr>
          <w:p w14:paraId="4E116ABE"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Sao Tomé et principe</w:t>
            </w:r>
          </w:p>
        </w:tc>
        <w:tc>
          <w:tcPr>
            <w:tcW w:w="1250" w:type="dxa"/>
            <w:noWrap/>
            <w:hideMark/>
          </w:tcPr>
          <w:p w14:paraId="0D38CBCD"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56EF239B"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29558F24" w14:textId="77777777" w:rsidTr="006D6A3F">
        <w:trPr>
          <w:trHeight w:val="264"/>
          <w:jc w:val="center"/>
        </w:trPr>
        <w:tc>
          <w:tcPr>
            <w:tcW w:w="2010" w:type="dxa"/>
            <w:noWrap/>
            <w:hideMark/>
          </w:tcPr>
          <w:p w14:paraId="3DAB2362"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ougandaise</w:t>
            </w:r>
          </w:p>
        </w:tc>
        <w:tc>
          <w:tcPr>
            <w:tcW w:w="1250" w:type="dxa"/>
            <w:noWrap/>
            <w:hideMark/>
          </w:tcPr>
          <w:p w14:paraId="69793679"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6A2BB1EC"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11F34ED1" w14:textId="77777777" w:rsidTr="006D6A3F">
        <w:trPr>
          <w:trHeight w:val="264"/>
          <w:jc w:val="center"/>
        </w:trPr>
        <w:tc>
          <w:tcPr>
            <w:tcW w:w="2010" w:type="dxa"/>
            <w:noWrap/>
            <w:hideMark/>
          </w:tcPr>
          <w:p w14:paraId="52611AD7"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vénézuélienne</w:t>
            </w:r>
          </w:p>
        </w:tc>
        <w:tc>
          <w:tcPr>
            <w:tcW w:w="1250" w:type="dxa"/>
            <w:noWrap/>
            <w:hideMark/>
          </w:tcPr>
          <w:p w14:paraId="724F7DDF"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6E9CD70F"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6DE1E603" w14:textId="77777777" w:rsidTr="006D6A3F">
        <w:trPr>
          <w:trHeight w:val="264"/>
          <w:jc w:val="center"/>
        </w:trPr>
        <w:tc>
          <w:tcPr>
            <w:tcW w:w="2010" w:type="dxa"/>
            <w:noWrap/>
            <w:hideMark/>
          </w:tcPr>
          <w:p w14:paraId="3E235ED9"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angolaise/portugaise</w:t>
            </w:r>
          </w:p>
        </w:tc>
        <w:tc>
          <w:tcPr>
            <w:tcW w:w="1250" w:type="dxa"/>
            <w:noWrap/>
            <w:hideMark/>
          </w:tcPr>
          <w:p w14:paraId="6DFA8A23"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3F9262B7"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6E8A3377" w14:textId="77777777" w:rsidTr="006D6A3F">
        <w:trPr>
          <w:trHeight w:val="264"/>
          <w:jc w:val="center"/>
        </w:trPr>
        <w:tc>
          <w:tcPr>
            <w:tcW w:w="2010" w:type="dxa"/>
            <w:noWrap/>
            <w:hideMark/>
          </w:tcPr>
          <w:p w14:paraId="0E41F1A3"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angolaise</w:t>
            </w:r>
          </w:p>
        </w:tc>
        <w:tc>
          <w:tcPr>
            <w:tcW w:w="1250" w:type="dxa"/>
            <w:noWrap/>
            <w:hideMark/>
          </w:tcPr>
          <w:p w14:paraId="12DFA71A"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291A3C5B"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3A9DC0F0" w14:textId="77777777" w:rsidTr="006D6A3F">
        <w:trPr>
          <w:trHeight w:val="264"/>
          <w:jc w:val="center"/>
        </w:trPr>
        <w:tc>
          <w:tcPr>
            <w:tcW w:w="2010" w:type="dxa"/>
            <w:noWrap/>
            <w:hideMark/>
          </w:tcPr>
          <w:p w14:paraId="46E55637"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tanzanienne</w:t>
            </w:r>
          </w:p>
        </w:tc>
        <w:tc>
          <w:tcPr>
            <w:tcW w:w="1250" w:type="dxa"/>
            <w:noWrap/>
            <w:hideMark/>
          </w:tcPr>
          <w:p w14:paraId="67294ABA"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3624BE1A"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1AB1F30C" w14:textId="77777777" w:rsidTr="006D6A3F">
        <w:trPr>
          <w:trHeight w:val="264"/>
          <w:jc w:val="center"/>
        </w:trPr>
        <w:tc>
          <w:tcPr>
            <w:tcW w:w="2010" w:type="dxa"/>
            <w:noWrap/>
            <w:hideMark/>
          </w:tcPr>
          <w:p w14:paraId="50FF9AB1" w14:textId="77777777" w:rsidR="006D6A3F" w:rsidRPr="006D6A3F" w:rsidRDefault="006D6A3F" w:rsidP="00D3609F">
            <w:pPr>
              <w:spacing w:line="240" w:lineRule="auto"/>
              <w:rPr>
                <w:rFonts w:eastAsia="Times New Roman" w:cstheme="minorHAnsi"/>
                <w:sz w:val="20"/>
                <w:szCs w:val="20"/>
              </w:rPr>
            </w:pPr>
            <w:r w:rsidRPr="006D6A3F">
              <w:rPr>
                <w:rFonts w:eastAsia="Times New Roman" w:cstheme="minorHAnsi"/>
                <w:sz w:val="20"/>
                <w:szCs w:val="20"/>
              </w:rPr>
              <w:t>palestinienne</w:t>
            </w:r>
          </w:p>
        </w:tc>
        <w:tc>
          <w:tcPr>
            <w:tcW w:w="1250" w:type="dxa"/>
            <w:noWrap/>
            <w:hideMark/>
          </w:tcPr>
          <w:p w14:paraId="78DE5A87" w14:textId="77777777" w:rsidR="006D6A3F" w:rsidRPr="006D6A3F" w:rsidRDefault="006D6A3F" w:rsidP="006D6A3F">
            <w:pPr>
              <w:spacing w:line="240" w:lineRule="auto"/>
              <w:ind w:firstLineChars="300" w:firstLine="600"/>
              <w:jc w:val="center"/>
              <w:rPr>
                <w:rFonts w:eastAsia="Times New Roman" w:cstheme="minorHAnsi"/>
                <w:sz w:val="20"/>
                <w:szCs w:val="20"/>
              </w:rPr>
            </w:pPr>
            <w:r w:rsidRPr="006D6A3F">
              <w:rPr>
                <w:rFonts w:eastAsia="Times New Roman" w:cstheme="minorHAnsi"/>
                <w:sz w:val="20"/>
                <w:szCs w:val="20"/>
              </w:rPr>
              <w:t>1</w:t>
            </w:r>
          </w:p>
        </w:tc>
        <w:tc>
          <w:tcPr>
            <w:tcW w:w="2977" w:type="dxa"/>
            <w:noWrap/>
            <w:hideMark/>
          </w:tcPr>
          <w:p w14:paraId="0543F245" w14:textId="77777777" w:rsidR="006D6A3F" w:rsidRPr="006D6A3F" w:rsidRDefault="006D6A3F" w:rsidP="00D3609F">
            <w:pPr>
              <w:spacing w:line="240" w:lineRule="auto"/>
              <w:ind w:firstLineChars="500" w:firstLine="1000"/>
              <w:jc w:val="right"/>
              <w:rPr>
                <w:rFonts w:eastAsia="Times New Roman" w:cstheme="minorHAnsi"/>
                <w:sz w:val="20"/>
                <w:szCs w:val="20"/>
              </w:rPr>
            </w:pPr>
            <w:r w:rsidRPr="006D6A3F">
              <w:rPr>
                <w:rFonts w:eastAsia="Times New Roman" w:cstheme="minorHAnsi"/>
                <w:sz w:val="20"/>
                <w:szCs w:val="20"/>
              </w:rPr>
              <w:t>0,10%</w:t>
            </w:r>
          </w:p>
        </w:tc>
      </w:tr>
      <w:tr w:rsidR="006D6A3F" w:rsidRPr="006D6A3F" w14:paraId="5F500DCC" w14:textId="77777777" w:rsidTr="006D6A3F">
        <w:trPr>
          <w:trHeight w:val="276"/>
          <w:jc w:val="center"/>
        </w:trPr>
        <w:tc>
          <w:tcPr>
            <w:tcW w:w="2010" w:type="dxa"/>
            <w:noWrap/>
            <w:hideMark/>
          </w:tcPr>
          <w:p w14:paraId="37C5CCC1" w14:textId="77777777" w:rsidR="006D6A3F" w:rsidRPr="006D6A3F" w:rsidRDefault="006D6A3F" w:rsidP="00D3609F">
            <w:pPr>
              <w:spacing w:line="240" w:lineRule="auto"/>
              <w:rPr>
                <w:rFonts w:eastAsia="Times New Roman" w:cstheme="minorHAnsi"/>
                <w:b/>
                <w:bCs/>
                <w:sz w:val="20"/>
                <w:szCs w:val="20"/>
              </w:rPr>
            </w:pPr>
            <w:r w:rsidRPr="006D6A3F">
              <w:rPr>
                <w:rFonts w:eastAsia="Times New Roman" w:cstheme="minorHAnsi"/>
                <w:b/>
                <w:bCs/>
                <w:sz w:val="20"/>
                <w:szCs w:val="20"/>
              </w:rPr>
              <w:t>Total</w:t>
            </w:r>
          </w:p>
        </w:tc>
        <w:tc>
          <w:tcPr>
            <w:tcW w:w="1250" w:type="dxa"/>
            <w:noWrap/>
            <w:hideMark/>
          </w:tcPr>
          <w:p w14:paraId="3A4CE733" w14:textId="77777777" w:rsidR="006D6A3F" w:rsidRPr="006D6A3F" w:rsidRDefault="006D6A3F" w:rsidP="006D6A3F">
            <w:pPr>
              <w:spacing w:line="240" w:lineRule="auto"/>
              <w:ind w:firstLineChars="300" w:firstLine="600"/>
              <w:jc w:val="center"/>
              <w:rPr>
                <w:rFonts w:eastAsia="Times New Roman" w:cstheme="minorHAnsi"/>
                <w:b/>
                <w:bCs/>
                <w:sz w:val="20"/>
                <w:szCs w:val="20"/>
              </w:rPr>
            </w:pPr>
            <w:r w:rsidRPr="006D6A3F">
              <w:rPr>
                <w:rFonts w:eastAsia="Times New Roman" w:cstheme="minorHAnsi"/>
                <w:b/>
                <w:bCs/>
                <w:sz w:val="20"/>
                <w:szCs w:val="20"/>
              </w:rPr>
              <w:t>960</w:t>
            </w:r>
          </w:p>
        </w:tc>
        <w:tc>
          <w:tcPr>
            <w:tcW w:w="2977" w:type="dxa"/>
            <w:noWrap/>
            <w:hideMark/>
          </w:tcPr>
          <w:p w14:paraId="334E5643" w14:textId="77777777" w:rsidR="006D6A3F" w:rsidRPr="006D6A3F" w:rsidRDefault="006D6A3F" w:rsidP="00D3609F">
            <w:pPr>
              <w:spacing w:line="240" w:lineRule="auto"/>
              <w:ind w:firstLineChars="700" w:firstLine="1400"/>
              <w:jc w:val="right"/>
              <w:rPr>
                <w:rFonts w:eastAsia="Times New Roman" w:cstheme="minorHAnsi"/>
                <w:b/>
                <w:bCs/>
                <w:sz w:val="20"/>
                <w:szCs w:val="20"/>
              </w:rPr>
            </w:pPr>
            <w:r w:rsidRPr="006D6A3F">
              <w:rPr>
                <w:rFonts w:eastAsia="Times New Roman" w:cstheme="minorHAnsi"/>
                <w:b/>
                <w:bCs/>
                <w:sz w:val="20"/>
                <w:szCs w:val="20"/>
              </w:rPr>
              <w:t>100,00%</w:t>
            </w:r>
          </w:p>
        </w:tc>
      </w:tr>
    </w:tbl>
    <w:p w14:paraId="26CDB6ED" w14:textId="598BBCDB" w:rsidR="006D6A3F" w:rsidRPr="006D6A3F" w:rsidRDefault="006D6A3F" w:rsidP="006D6A3F">
      <w:pPr>
        <w:tabs>
          <w:tab w:val="left" w:pos="2790"/>
        </w:tabs>
      </w:pPr>
      <w:r w:rsidRPr="006D6A3F">
        <w:tab/>
      </w:r>
    </w:p>
    <w:p w14:paraId="60D90DB9" w14:textId="4CE19ADE" w:rsidR="006D6A3F" w:rsidRPr="006D6A3F" w:rsidRDefault="006D6A3F" w:rsidP="006D6A3F">
      <w:pPr>
        <w:tabs>
          <w:tab w:val="left" w:pos="2790"/>
        </w:tabs>
      </w:pPr>
      <w:r w:rsidRPr="006D6A3F">
        <w:rPr>
          <w:noProof/>
          <w:lang w:eastAsia="fr-FR"/>
        </w:rPr>
        <w:drawing>
          <wp:anchor distT="0" distB="0" distL="114300" distR="114300" simplePos="0" relativeHeight="251659264" behindDoc="1" locked="0" layoutInCell="1" allowOverlap="1" wp14:anchorId="05FF1EE1" wp14:editId="27504441">
            <wp:simplePos x="0" y="0"/>
            <wp:positionH relativeFrom="margin">
              <wp:posOffset>0</wp:posOffset>
            </wp:positionH>
            <wp:positionV relativeFrom="paragraph">
              <wp:posOffset>199390</wp:posOffset>
            </wp:positionV>
            <wp:extent cx="6367780" cy="2519680"/>
            <wp:effectExtent l="0" t="0" r="0" b="0"/>
            <wp:wrapTight wrapText="bothSides">
              <wp:wrapPolygon edited="0">
                <wp:start x="0" y="0"/>
                <wp:lineTo x="0" y="21393"/>
                <wp:lineTo x="21518" y="21393"/>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7780" cy="2519680"/>
                    </a:xfrm>
                    <a:prstGeom prst="rect">
                      <a:avLst/>
                    </a:prstGeom>
                    <a:noFill/>
                  </pic:spPr>
                </pic:pic>
              </a:graphicData>
            </a:graphic>
            <wp14:sizeRelH relativeFrom="page">
              <wp14:pctWidth>0</wp14:pctWidth>
            </wp14:sizeRelH>
            <wp14:sizeRelV relativeFrom="page">
              <wp14:pctHeight>0</wp14:pctHeight>
            </wp14:sizeRelV>
          </wp:anchor>
        </w:drawing>
      </w:r>
    </w:p>
    <w:p w14:paraId="43372F3C" w14:textId="32C271B7" w:rsidR="006832C4" w:rsidRPr="006D6A3F" w:rsidRDefault="006832C4" w:rsidP="00DC50DE">
      <w:pPr>
        <w:pStyle w:val="Heading3"/>
      </w:pPr>
      <w:bookmarkStart w:id="4" w:name="_Toc133934840"/>
      <w:r w:rsidRPr="006D6A3F">
        <w:t>I.2. Recours à la garde à vue</w:t>
      </w:r>
      <w:bookmarkEnd w:id="4"/>
    </w:p>
    <w:p w14:paraId="30F62939" w14:textId="456CF445" w:rsidR="00547D1B" w:rsidRPr="006D6A3F" w:rsidRDefault="00E33627" w:rsidP="006D6A3F">
      <w:pPr>
        <w:spacing w:after="240"/>
        <w:jc w:val="both"/>
        <w:rPr>
          <w:rFonts w:cstheme="minorHAnsi"/>
        </w:rPr>
      </w:pPr>
      <w:r w:rsidRPr="006D6A3F">
        <w:rPr>
          <w:rFonts w:cstheme="minorHAnsi"/>
        </w:rPr>
        <w:t>Les circonstances justifian</w:t>
      </w:r>
      <w:r w:rsidR="00FB6D76" w:rsidRPr="006D6A3F">
        <w:rPr>
          <w:rFonts w:cstheme="minorHAnsi"/>
        </w:rPr>
        <w:t>t la garde à vue </w:t>
      </w:r>
      <w:r w:rsidR="006832C4" w:rsidRPr="006D6A3F">
        <w:rPr>
          <w:rFonts w:cstheme="minorHAnsi"/>
        </w:rPr>
        <w:t xml:space="preserve">(Art. 39 du Code de </w:t>
      </w:r>
      <w:r w:rsidR="00DC50DE" w:rsidRPr="006D6A3F">
        <w:rPr>
          <w:rFonts w:cstheme="minorHAnsi"/>
        </w:rPr>
        <w:t>Procédure</w:t>
      </w:r>
      <w:r w:rsidR="006832C4" w:rsidRPr="006D6A3F">
        <w:rPr>
          <w:rFonts w:cstheme="minorHAnsi"/>
        </w:rPr>
        <w:t xml:space="preserve"> Pénale) </w:t>
      </w:r>
      <w:r w:rsidRPr="006D6A3F">
        <w:rPr>
          <w:rFonts w:cstheme="minorHAnsi"/>
        </w:rPr>
        <w:t>sont le r</w:t>
      </w:r>
      <w:r w:rsidR="00F20D27" w:rsidRPr="006D6A3F">
        <w:rPr>
          <w:rFonts w:cstheme="minorHAnsi"/>
        </w:rPr>
        <w:t xml:space="preserve">isque de fuite, </w:t>
      </w:r>
      <w:r w:rsidRPr="006D6A3F">
        <w:rPr>
          <w:rFonts w:cstheme="minorHAnsi"/>
        </w:rPr>
        <w:t xml:space="preserve">le potentiel </w:t>
      </w:r>
      <w:r w:rsidR="00F20D27" w:rsidRPr="006D6A3F">
        <w:rPr>
          <w:rFonts w:cstheme="minorHAnsi"/>
        </w:rPr>
        <w:t>danger pour la victi</w:t>
      </w:r>
      <w:r w:rsidRPr="006D6A3F">
        <w:rPr>
          <w:rFonts w:cstheme="minorHAnsi"/>
        </w:rPr>
        <w:t>me et le dépérissement des preuves.</w:t>
      </w:r>
    </w:p>
    <w:p w14:paraId="0AFC8C23" w14:textId="77777777" w:rsidR="00DC50DE" w:rsidRPr="006D6A3F" w:rsidRDefault="00DC50DE" w:rsidP="006D6A3F">
      <w:pPr>
        <w:spacing w:after="240"/>
        <w:jc w:val="both"/>
        <w:rPr>
          <w:rFonts w:cstheme="minorHAnsi"/>
        </w:rPr>
      </w:pPr>
      <w:r w:rsidRPr="006D6A3F">
        <w:rPr>
          <w:rFonts w:cstheme="minorHAnsi"/>
        </w:rPr>
        <w:lastRenderedPageBreak/>
        <w:t xml:space="preserve">Pour des raisons de sécurité (éviter toute atteinte à l’intégrité physique du médecin et limiter tout risque de fuite), </w:t>
      </w:r>
      <w:r w:rsidRPr="006D6A3F">
        <w:rPr>
          <w:rFonts w:cstheme="minorHAnsi"/>
          <w:u w:val="single"/>
        </w:rPr>
        <w:t>l’examen médical</w:t>
      </w:r>
      <w:r w:rsidRPr="006D6A3F">
        <w:rPr>
          <w:rFonts w:cstheme="minorHAnsi"/>
        </w:rPr>
        <w:t xml:space="preserve"> se fait en principe en présence policière, mais </w:t>
      </w:r>
      <w:r w:rsidRPr="006D6A3F">
        <w:rPr>
          <w:rFonts w:cstheme="minorHAnsi"/>
          <w:u w:val="single"/>
        </w:rPr>
        <w:t>sans</w:t>
      </w:r>
      <w:r w:rsidRPr="006D6A3F">
        <w:rPr>
          <w:rFonts w:cstheme="minorHAnsi"/>
        </w:rPr>
        <w:t xml:space="preserve"> </w:t>
      </w:r>
      <w:proofErr w:type="spellStart"/>
      <w:r w:rsidRPr="006D6A3F">
        <w:rPr>
          <w:rFonts w:cstheme="minorHAnsi"/>
        </w:rPr>
        <w:t>menottage</w:t>
      </w:r>
      <w:proofErr w:type="spellEnd"/>
      <w:r w:rsidRPr="006D6A3F">
        <w:rPr>
          <w:rFonts w:cstheme="minorHAnsi"/>
        </w:rPr>
        <w:t>. Exceptionnellement, l’examen médical se fait sans présence policière notamment dans les cas suivants :</w:t>
      </w:r>
    </w:p>
    <w:p w14:paraId="1598C726" w14:textId="77777777" w:rsidR="00DC50DE" w:rsidRPr="006D6A3F" w:rsidRDefault="00DC50DE" w:rsidP="006D6A3F">
      <w:pPr>
        <w:pStyle w:val="ListParagraph"/>
        <w:numPr>
          <w:ilvl w:val="1"/>
          <w:numId w:val="2"/>
        </w:numPr>
        <w:spacing w:after="240"/>
        <w:ind w:left="720"/>
        <w:jc w:val="both"/>
        <w:rPr>
          <w:rFonts w:cstheme="minorHAnsi"/>
        </w:rPr>
      </w:pPr>
      <w:r w:rsidRPr="006D6A3F">
        <w:rPr>
          <w:rFonts w:cstheme="minorHAnsi"/>
        </w:rPr>
        <w:t>Sur demande explicite du médecin,</w:t>
      </w:r>
    </w:p>
    <w:p w14:paraId="211CCBA2" w14:textId="77777777" w:rsidR="00DC50DE" w:rsidRPr="006D6A3F" w:rsidRDefault="00DC50DE" w:rsidP="006D6A3F">
      <w:pPr>
        <w:pStyle w:val="ListParagraph"/>
        <w:numPr>
          <w:ilvl w:val="1"/>
          <w:numId w:val="2"/>
        </w:numPr>
        <w:spacing w:after="240"/>
        <w:ind w:left="720"/>
        <w:jc w:val="both"/>
        <w:rPr>
          <w:rFonts w:cstheme="minorHAnsi"/>
        </w:rPr>
      </w:pPr>
      <w:r w:rsidRPr="006D6A3F">
        <w:rPr>
          <w:rFonts w:cstheme="minorHAnsi"/>
        </w:rPr>
        <w:t>S’il s'agit d'un examen de la sphère intime,</w:t>
      </w:r>
    </w:p>
    <w:p w14:paraId="68BCBC9F" w14:textId="77777777" w:rsidR="00DC50DE" w:rsidRPr="006D6A3F" w:rsidRDefault="00DC50DE" w:rsidP="006D6A3F">
      <w:pPr>
        <w:pStyle w:val="ListParagraph"/>
        <w:numPr>
          <w:ilvl w:val="1"/>
          <w:numId w:val="2"/>
        </w:numPr>
        <w:spacing w:after="240"/>
        <w:ind w:left="720"/>
        <w:jc w:val="both"/>
        <w:rPr>
          <w:rFonts w:cstheme="minorHAnsi"/>
        </w:rPr>
      </w:pPr>
      <w:r w:rsidRPr="006D6A3F">
        <w:rPr>
          <w:rFonts w:cstheme="minorHAnsi"/>
        </w:rPr>
        <w:t>En présence d’une personne privée de liberté de sexe féminin, si aucun fonctionnaire féminin n’est disponible.</w:t>
      </w:r>
    </w:p>
    <w:p w14:paraId="2B9D1780" w14:textId="77777777" w:rsidR="00DC50DE" w:rsidRPr="006D6A3F" w:rsidRDefault="00DC50DE" w:rsidP="006D6A3F">
      <w:pPr>
        <w:spacing w:after="240"/>
        <w:jc w:val="both"/>
        <w:rPr>
          <w:rFonts w:cstheme="minorHAnsi"/>
          <w:highlight w:val="cyan"/>
        </w:rPr>
      </w:pPr>
      <w:r w:rsidRPr="006D6A3F">
        <w:rPr>
          <w:rFonts w:cstheme="minorHAnsi"/>
        </w:rPr>
        <w:t>Dans ces cas de figure, la personne est menottée et les policiers se positionnent devant la porte afin d’intervenir en cas de besoin.</w:t>
      </w:r>
    </w:p>
    <w:p w14:paraId="7CB27E80" w14:textId="6D4E38DB" w:rsidR="00547D1B" w:rsidRPr="006D6A3F" w:rsidRDefault="00547D1B" w:rsidP="00DC50DE">
      <w:pPr>
        <w:pStyle w:val="Heading4"/>
        <w:spacing w:before="0"/>
      </w:pPr>
      <w:r w:rsidRPr="006D6A3F">
        <w:t xml:space="preserve">Droit à l’assistance d’un </w:t>
      </w:r>
      <w:r w:rsidR="006832C4" w:rsidRPr="006D6A3F">
        <w:t>avocat</w:t>
      </w:r>
    </w:p>
    <w:p w14:paraId="504FDB41" w14:textId="2B9EFDC6" w:rsidR="0048285E" w:rsidRPr="006D6A3F" w:rsidRDefault="00547D1B" w:rsidP="00DC50DE">
      <w:pPr>
        <w:spacing w:after="240"/>
        <w:jc w:val="both"/>
        <w:rPr>
          <w:rFonts w:cstheme="minorHAnsi"/>
        </w:rPr>
      </w:pPr>
      <w:r w:rsidRPr="006D6A3F">
        <w:rPr>
          <w:rFonts w:cstheme="minorHAnsi"/>
        </w:rPr>
        <w:t xml:space="preserve">Le Luxembourg permet la réalisation en pratique du droit à l’assistance d’un avocat </w:t>
      </w:r>
      <w:r w:rsidR="006832C4" w:rsidRPr="006D6A3F">
        <w:rPr>
          <w:rFonts w:cstheme="minorHAnsi"/>
        </w:rPr>
        <w:t xml:space="preserve">(Article 3-6) </w:t>
      </w:r>
      <w:r w:rsidRPr="006D6A3F">
        <w:rPr>
          <w:rFonts w:cstheme="minorHAnsi"/>
        </w:rPr>
        <w:t>des manières suivantes :</w:t>
      </w:r>
    </w:p>
    <w:p w14:paraId="382C869F" w14:textId="5E08908A" w:rsidR="00405F0C" w:rsidRPr="006D6A3F" w:rsidRDefault="00405F0C" w:rsidP="00DC50DE">
      <w:pPr>
        <w:pStyle w:val="ListParagraph"/>
        <w:numPr>
          <w:ilvl w:val="0"/>
          <w:numId w:val="13"/>
        </w:numPr>
        <w:spacing w:after="240"/>
        <w:jc w:val="both"/>
        <w:rPr>
          <w:rFonts w:cstheme="minorHAnsi"/>
        </w:rPr>
      </w:pPr>
      <w:r w:rsidRPr="006D6A3F">
        <w:rPr>
          <w:rFonts w:cstheme="minorHAnsi"/>
        </w:rPr>
        <w:t>Le choix de l’avocat est personnel.</w:t>
      </w:r>
    </w:p>
    <w:p w14:paraId="347B292F" w14:textId="42FC78AB" w:rsidR="0048285E" w:rsidRPr="006D6A3F" w:rsidRDefault="00405F0C" w:rsidP="00DC50DE">
      <w:pPr>
        <w:pStyle w:val="ListParagraph"/>
        <w:numPr>
          <w:ilvl w:val="0"/>
          <w:numId w:val="13"/>
        </w:numPr>
        <w:spacing w:after="240"/>
        <w:jc w:val="both"/>
        <w:rPr>
          <w:rFonts w:cstheme="minorHAnsi"/>
        </w:rPr>
      </w:pPr>
      <w:r w:rsidRPr="006D6A3F">
        <w:rPr>
          <w:rFonts w:cstheme="minorHAnsi"/>
        </w:rPr>
        <w:t>Si l’avocat de son choix fait défaut ou et indisponible, la</w:t>
      </w:r>
      <w:r w:rsidR="00547D1B" w:rsidRPr="006D6A3F">
        <w:rPr>
          <w:rFonts w:cstheme="minorHAnsi"/>
        </w:rPr>
        <w:t xml:space="preserve"> d</w:t>
      </w:r>
      <w:r w:rsidR="0048285E" w:rsidRPr="006D6A3F">
        <w:rPr>
          <w:rFonts w:cstheme="minorHAnsi"/>
        </w:rPr>
        <w:t>isponibilité des avocats est garantie 24/24h et 7/7</w:t>
      </w:r>
      <w:r w:rsidRPr="006D6A3F">
        <w:rPr>
          <w:rFonts w:cstheme="minorHAnsi"/>
        </w:rPr>
        <w:t>j par une permanence « avocat ».</w:t>
      </w:r>
    </w:p>
    <w:p w14:paraId="73E7CE2E" w14:textId="0D34AB4E" w:rsidR="0048285E" w:rsidRPr="006D6A3F" w:rsidRDefault="00547D1B" w:rsidP="00DC50DE">
      <w:pPr>
        <w:pStyle w:val="ListParagraph"/>
        <w:numPr>
          <w:ilvl w:val="0"/>
          <w:numId w:val="13"/>
        </w:numPr>
        <w:spacing w:after="240"/>
        <w:jc w:val="both"/>
        <w:rPr>
          <w:rFonts w:cstheme="minorHAnsi"/>
        </w:rPr>
      </w:pPr>
      <w:r w:rsidRPr="006D6A3F">
        <w:rPr>
          <w:rFonts w:cstheme="minorHAnsi"/>
        </w:rPr>
        <w:t>Une section sur les droits de la personne susceptible d’avoir commis une infraction a été introduite d</w:t>
      </w:r>
      <w:r w:rsidR="0048285E" w:rsidRPr="006D6A3F">
        <w:rPr>
          <w:rFonts w:cstheme="minorHAnsi"/>
        </w:rPr>
        <w:t xml:space="preserve">ans </w:t>
      </w:r>
      <w:r w:rsidRPr="006D6A3F">
        <w:rPr>
          <w:rFonts w:cstheme="minorHAnsi"/>
        </w:rPr>
        <w:t>le procès-verbal interrogatoire</w:t>
      </w:r>
    </w:p>
    <w:p w14:paraId="1EDDC04F" w14:textId="47278200" w:rsidR="0048285E" w:rsidRPr="006D6A3F" w:rsidRDefault="00547D1B" w:rsidP="00DC50DE">
      <w:pPr>
        <w:pStyle w:val="ListParagraph"/>
        <w:numPr>
          <w:ilvl w:val="0"/>
          <w:numId w:val="13"/>
        </w:numPr>
        <w:spacing w:after="240"/>
        <w:jc w:val="both"/>
        <w:rPr>
          <w:rFonts w:cstheme="minorHAnsi"/>
        </w:rPr>
      </w:pPr>
      <w:r w:rsidRPr="006D6A3F">
        <w:rPr>
          <w:rFonts w:cstheme="minorHAnsi"/>
        </w:rPr>
        <w:t>Une d</w:t>
      </w:r>
      <w:r w:rsidR="0048285E" w:rsidRPr="006D6A3F">
        <w:rPr>
          <w:rFonts w:cstheme="minorHAnsi"/>
        </w:rPr>
        <w:t>éclaration des droits de la personne est annexée au procès-verbal d’interrogatoire</w:t>
      </w:r>
    </w:p>
    <w:p w14:paraId="6719F0F5" w14:textId="097772B5" w:rsidR="00F20D27" w:rsidRPr="006D6A3F" w:rsidRDefault="00547D1B" w:rsidP="00DC50DE">
      <w:pPr>
        <w:pStyle w:val="ListParagraph"/>
        <w:numPr>
          <w:ilvl w:val="0"/>
          <w:numId w:val="13"/>
        </w:numPr>
        <w:spacing w:after="240"/>
        <w:jc w:val="both"/>
        <w:rPr>
          <w:rFonts w:cstheme="minorHAnsi"/>
        </w:rPr>
      </w:pPr>
      <w:r w:rsidRPr="006D6A3F">
        <w:rPr>
          <w:rFonts w:cstheme="minorHAnsi"/>
        </w:rPr>
        <w:t xml:space="preserve">Des prescriptions de service détaillent les droits à respecter dans différents cas (par exemple, en cas de flagrant délit, de contrôle d'identité, etc.) </w:t>
      </w:r>
    </w:p>
    <w:p w14:paraId="06EFCD06" w14:textId="64983423" w:rsidR="0048285E" w:rsidRPr="006D6A3F" w:rsidRDefault="00491D8D" w:rsidP="00DC50DE">
      <w:pPr>
        <w:spacing w:after="240"/>
        <w:jc w:val="both"/>
        <w:rPr>
          <w:rFonts w:cstheme="minorHAnsi"/>
        </w:rPr>
      </w:pPr>
      <w:r w:rsidRPr="006D6A3F">
        <w:rPr>
          <w:rFonts w:cstheme="minorHAnsi"/>
        </w:rPr>
        <w:t xml:space="preserve">En termes de formation, </w:t>
      </w:r>
      <w:r w:rsidR="0048285E" w:rsidRPr="006D6A3F">
        <w:rPr>
          <w:rFonts w:cstheme="minorHAnsi"/>
        </w:rPr>
        <w:t>lors de l’entrée en vigueur de la loi du 8 mars 2017 relative aux garanties procédurales, les policiers étant affectés à des unités / services opérationnels ont été formés des changements (droits) législatifs. Cette formation a été enregistrée en séquences vidéos et peut être consultée à tout moment par l’ensemble du personnel de la PGD.</w:t>
      </w:r>
    </w:p>
    <w:p w14:paraId="38991BB9" w14:textId="77777777" w:rsidR="0048285E" w:rsidRPr="006D6A3F" w:rsidRDefault="0048285E" w:rsidP="00DC50DE">
      <w:pPr>
        <w:spacing w:after="240"/>
        <w:jc w:val="both"/>
        <w:rPr>
          <w:rFonts w:cstheme="minorHAnsi"/>
        </w:rPr>
      </w:pPr>
      <w:r w:rsidRPr="006D6A3F">
        <w:rPr>
          <w:rFonts w:cstheme="minorHAnsi"/>
        </w:rPr>
        <w:t>Dans la formation de base des policiers, les cours suivants (en relation avec la matière) sont dispensés :</w:t>
      </w:r>
    </w:p>
    <w:p w14:paraId="64C9590E" w14:textId="50AB9F01" w:rsidR="0048285E" w:rsidRPr="006D6A3F" w:rsidRDefault="0048285E" w:rsidP="00DC50DE">
      <w:pPr>
        <w:pStyle w:val="ListParagraph"/>
        <w:numPr>
          <w:ilvl w:val="0"/>
          <w:numId w:val="14"/>
        </w:numPr>
        <w:spacing w:after="240"/>
        <w:jc w:val="both"/>
        <w:rPr>
          <w:rFonts w:cstheme="minorHAnsi"/>
        </w:rPr>
      </w:pPr>
      <w:r w:rsidRPr="006D6A3F">
        <w:rPr>
          <w:rFonts w:cstheme="minorHAnsi"/>
        </w:rPr>
        <w:t xml:space="preserve">Droits </w:t>
      </w:r>
      <w:r w:rsidR="00491D8D" w:rsidRPr="006D6A3F">
        <w:rPr>
          <w:rFonts w:cstheme="minorHAnsi"/>
        </w:rPr>
        <w:t>humains</w:t>
      </w:r>
      <w:r w:rsidRPr="006D6A3F">
        <w:rPr>
          <w:rFonts w:cstheme="minorHAnsi"/>
        </w:rPr>
        <w:t xml:space="preserve"> (12 h)</w:t>
      </w:r>
    </w:p>
    <w:p w14:paraId="1B6A478E" w14:textId="77777777" w:rsidR="0048285E" w:rsidRPr="006D6A3F" w:rsidRDefault="0048285E" w:rsidP="00DC50DE">
      <w:pPr>
        <w:pStyle w:val="ListParagraph"/>
        <w:numPr>
          <w:ilvl w:val="0"/>
          <w:numId w:val="14"/>
        </w:numPr>
        <w:spacing w:after="240"/>
        <w:jc w:val="both"/>
        <w:rPr>
          <w:rFonts w:cstheme="minorHAnsi"/>
        </w:rPr>
      </w:pPr>
      <w:r w:rsidRPr="006D6A3F">
        <w:rPr>
          <w:rFonts w:cstheme="minorHAnsi"/>
        </w:rPr>
        <w:t>Principes constitutionnels, droits fondamentaux et libertés publiques (12 h)</w:t>
      </w:r>
    </w:p>
    <w:p w14:paraId="5747C16A" w14:textId="77777777" w:rsidR="0048285E" w:rsidRPr="006D6A3F" w:rsidRDefault="0048285E" w:rsidP="00DC50DE">
      <w:pPr>
        <w:pStyle w:val="ListParagraph"/>
        <w:numPr>
          <w:ilvl w:val="0"/>
          <w:numId w:val="14"/>
        </w:numPr>
        <w:spacing w:after="240"/>
        <w:jc w:val="both"/>
        <w:rPr>
          <w:rFonts w:cstheme="minorHAnsi"/>
        </w:rPr>
      </w:pPr>
      <w:r w:rsidRPr="006D6A3F">
        <w:rPr>
          <w:rFonts w:cstheme="minorHAnsi"/>
        </w:rPr>
        <w:t>Code de procédure pénale (60 h)</w:t>
      </w:r>
    </w:p>
    <w:p w14:paraId="11CB4E29" w14:textId="06DD34C5" w:rsidR="006832C4" w:rsidRPr="006D6A3F" w:rsidRDefault="0048285E" w:rsidP="00DC50DE">
      <w:pPr>
        <w:pStyle w:val="ListParagraph"/>
        <w:numPr>
          <w:ilvl w:val="0"/>
          <w:numId w:val="14"/>
        </w:numPr>
        <w:spacing w:after="240"/>
        <w:jc w:val="both"/>
        <w:rPr>
          <w:rFonts w:cstheme="minorHAnsi"/>
        </w:rPr>
      </w:pPr>
      <w:r w:rsidRPr="006D6A3F">
        <w:rPr>
          <w:rFonts w:cstheme="minorHAnsi"/>
        </w:rPr>
        <w:t>Code pénal (60 h)</w:t>
      </w:r>
    </w:p>
    <w:p w14:paraId="50052D6A" w14:textId="59FA2A7F" w:rsidR="00AB5EF8" w:rsidRPr="006D6A3F" w:rsidRDefault="006832C4" w:rsidP="00DC50DE">
      <w:pPr>
        <w:pStyle w:val="Heading3"/>
      </w:pPr>
      <w:bookmarkStart w:id="5" w:name="_Toc133934841"/>
      <w:r w:rsidRPr="006D6A3F">
        <w:t xml:space="preserve">I.3. </w:t>
      </w:r>
      <w:r w:rsidR="00491D8D" w:rsidRPr="006D6A3F">
        <w:t>Détention préventive</w:t>
      </w:r>
      <w:bookmarkEnd w:id="5"/>
      <w:r w:rsidR="00491D8D" w:rsidRPr="006D6A3F">
        <w:t> </w:t>
      </w:r>
    </w:p>
    <w:p w14:paraId="77335F75" w14:textId="5091C27E" w:rsidR="00045685" w:rsidRPr="006D6A3F" w:rsidRDefault="00045685" w:rsidP="00045685">
      <w:pPr>
        <w:jc w:val="both"/>
      </w:pPr>
      <w:r w:rsidRPr="006D6A3F">
        <w:t xml:space="preserve">De manière générale, il est difficile d'imposer un délai maximal i vu que la durée de l'enquête/instruction n'est pas toujours prévisible, notamment lorsque des expertises sont ordonnées. De plus, la personne détenue préventivement peut déposer des demandes de mise en liberté provisoire une fois par mois (hors appel). Il convient néanmoins de relever qu'une limitation de la détention préventive est prévue dans le </w:t>
      </w:r>
      <w:r w:rsidRPr="006D6A3F">
        <w:lastRenderedPageBreak/>
        <w:t>projet de loi 7991 portant introduction d'une procédure pénale pour mineurs : 3 mois renouvelables jusqu'à 1 an maximum (art. 29 (4) du PL: "La détention préventive est d’une durée aussi brève que possible et ne peut pas dépasser trois mois. Néanmoins la période de détention préventive peut, dans l’intérêt de la manifestation de la vérité, être renouvelée à trois reprises, sans excéder la durée d’un an jusqu’au renvoi devant le tribunal pénal pour mineurs. En cas de prolongement de la durée de détention, la décision du juge d’instruction est spécialement motivée.")</w:t>
      </w:r>
    </w:p>
    <w:p w14:paraId="16D02B2A" w14:textId="4E2EFFBB" w:rsidR="00341875" w:rsidRPr="006D6A3F" w:rsidRDefault="00DC50DE" w:rsidP="00045685">
      <w:pPr>
        <w:spacing w:after="240" w:line="259" w:lineRule="auto"/>
        <w:jc w:val="both"/>
        <w:rPr>
          <w:rFonts w:cstheme="minorHAnsi"/>
        </w:rPr>
      </w:pPr>
      <w:r w:rsidRPr="006D6A3F">
        <w:rPr>
          <w:rFonts w:cstheme="minorHAnsi"/>
        </w:rPr>
        <w:t>Le nombre de personnes (ventilé par sexe, groupe d'âge et ethnie/nationalité) détenues dans des centres de détention provisoire par rapport au nombre total de détenus, ainsi que la durée moyenne et maximale de la détention préventive, sont actuellement les suivants :</w:t>
      </w:r>
    </w:p>
    <w:tbl>
      <w:tblPr>
        <w:tblStyle w:val="TableGridLight"/>
        <w:tblW w:w="7100" w:type="dxa"/>
        <w:jc w:val="center"/>
        <w:tblLook w:val="04A0" w:firstRow="1" w:lastRow="0" w:firstColumn="1" w:lastColumn="0" w:noHBand="0" w:noVBand="1"/>
      </w:tblPr>
      <w:tblGrid>
        <w:gridCol w:w="2260"/>
        <w:gridCol w:w="1284"/>
        <w:gridCol w:w="1116"/>
        <w:gridCol w:w="1220"/>
        <w:gridCol w:w="1220"/>
      </w:tblGrid>
      <w:tr w:rsidR="00341875" w:rsidRPr="006D6A3F" w14:paraId="73BB9AB3" w14:textId="77777777" w:rsidTr="0053221C">
        <w:trPr>
          <w:trHeight w:val="369"/>
          <w:jc w:val="center"/>
        </w:trPr>
        <w:tc>
          <w:tcPr>
            <w:tcW w:w="2260" w:type="dxa"/>
            <w:noWrap/>
            <w:hideMark/>
          </w:tcPr>
          <w:p w14:paraId="665C7611"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 </w:t>
            </w:r>
          </w:p>
        </w:tc>
        <w:tc>
          <w:tcPr>
            <w:tcW w:w="2400" w:type="dxa"/>
            <w:gridSpan w:val="2"/>
            <w:noWrap/>
            <w:hideMark/>
          </w:tcPr>
          <w:p w14:paraId="042A5FBE" w14:textId="77777777" w:rsidR="00341875" w:rsidRPr="006D6A3F" w:rsidRDefault="00341875" w:rsidP="00045685">
            <w:pPr>
              <w:spacing w:line="240" w:lineRule="auto"/>
              <w:jc w:val="center"/>
              <w:rPr>
                <w:rFonts w:eastAsia="Times New Roman" w:cstheme="minorHAnsi"/>
                <w:b/>
                <w:color w:val="000000"/>
                <w:sz w:val="20"/>
                <w:szCs w:val="20"/>
              </w:rPr>
            </w:pPr>
            <w:r w:rsidRPr="006D6A3F">
              <w:rPr>
                <w:rFonts w:eastAsia="Times New Roman" w:cstheme="minorHAnsi"/>
                <w:b/>
                <w:color w:val="000000"/>
                <w:sz w:val="20"/>
                <w:szCs w:val="20"/>
              </w:rPr>
              <w:t>..par sexe</w:t>
            </w:r>
          </w:p>
        </w:tc>
        <w:tc>
          <w:tcPr>
            <w:tcW w:w="1220" w:type="dxa"/>
            <w:vMerge w:val="restart"/>
            <w:hideMark/>
          </w:tcPr>
          <w:p w14:paraId="68A7AF46" w14:textId="77777777" w:rsidR="00341875" w:rsidRPr="006D6A3F" w:rsidRDefault="00341875" w:rsidP="00045685">
            <w:pPr>
              <w:spacing w:line="240" w:lineRule="auto"/>
              <w:jc w:val="center"/>
              <w:rPr>
                <w:rFonts w:eastAsia="Times New Roman" w:cstheme="minorHAnsi"/>
                <w:b/>
                <w:color w:val="000000"/>
                <w:sz w:val="20"/>
                <w:szCs w:val="20"/>
              </w:rPr>
            </w:pPr>
            <w:r w:rsidRPr="006D6A3F">
              <w:rPr>
                <w:rFonts w:eastAsia="Times New Roman" w:cstheme="minorHAnsi"/>
                <w:b/>
                <w:color w:val="000000"/>
                <w:sz w:val="20"/>
                <w:szCs w:val="20"/>
              </w:rPr>
              <w:t>Pop</w:t>
            </w:r>
            <w:r w:rsidRPr="006D6A3F">
              <w:rPr>
                <w:rFonts w:eastAsia="Times New Roman" w:cstheme="minorHAnsi"/>
                <w:b/>
                <w:color w:val="000000"/>
                <w:sz w:val="20"/>
                <w:szCs w:val="20"/>
              </w:rPr>
              <w:br/>
              <w:t>totale</w:t>
            </w:r>
          </w:p>
        </w:tc>
        <w:tc>
          <w:tcPr>
            <w:tcW w:w="1220" w:type="dxa"/>
            <w:vMerge w:val="restart"/>
            <w:hideMark/>
          </w:tcPr>
          <w:p w14:paraId="03FBF390" w14:textId="77777777" w:rsidR="00341875" w:rsidRPr="006D6A3F" w:rsidRDefault="00341875" w:rsidP="00045685">
            <w:pPr>
              <w:spacing w:line="240" w:lineRule="auto"/>
              <w:jc w:val="center"/>
              <w:rPr>
                <w:rFonts w:eastAsia="Times New Roman" w:cstheme="minorHAnsi"/>
                <w:b/>
                <w:color w:val="000000"/>
                <w:sz w:val="20"/>
                <w:szCs w:val="20"/>
              </w:rPr>
            </w:pPr>
            <w:r w:rsidRPr="006D6A3F">
              <w:rPr>
                <w:rFonts w:eastAsia="Times New Roman" w:cstheme="minorHAnsi"/>
                <w:b/>
                <w:color w:val="000000"/>
                <w:sz w:val="20"/>
                <w:szCs w:val="20"/>
              </w:rPr>
              <w:t>% de la pop</w:t>
            </w:r>
            <w:r w:rsidRPr="006D6A3F">
              <w:rPr>
                <w:rFonts w:eastAsia="Times New Roman" w:cstheme="minorHAnsi"/>
                <w:b/>
                <w:color w:val="000000"/>
                <w:sz w:val="20"/>
                <w:szCs w:val="20"/>
              </w:rPr>
              <w:br/>
              <w:t>totale</w:t>
            </w:r>
          </w:p>
        </w:tc>
      </w:tr>
      <w:tr w:rsidR="00341875" w:rsidRPr="006D6A3F" w14:paraId="7FEA9A19" w14:textId="77777777" w:rsidTr="0053221C">
        <w:trPr>
          <w:trHeight w:val="369"/>
          <w:jc w:val="center"/>
        </w:trPr>
        <w:tc>
          <w:tcPr>
            <w:tcW w:w="2260" w:type="dxa"/>
            <w:noWrap/>
            <w:hideMark/>
          </w:tcPr>
          <w:p w14:paraId="7F2AB87D" w14:textId="7A59F4E5" w:rsidR="00341875" w:rsidRPr="006D6A3F" w:rsidRDefault="00341875" w:rsidP="00045685">
            <w:pPr>
              <w:spacing w:line="240" w:lineRule="auto"/>
              <w:jc w:val="center"/>
              <w:rPr>
                <w:rFonts w:eastAsia="Times New Roman" w:cstheme="minorHAnsi"/>
                <w:b/>
                <w:color w:val="000000"/>
                <w:sz w:val="20"/>
                <w:szCs w:val="20"/>
              </w:rPr>
            </w:pPr>
            <w:r w:rsidRPr="006D6A3F">
              <w:rPr>
                <w:rFonts w:eastAsia="Times New Roman" w:cstheme="minorHAnsi"/>
                <w:b/>
                <w:color w:val="000000"/>
                <w:sz w:val="20"/>
                <w:szCs w:val="20"/>
              </w:rPr>
              <w:t>Nb de prévenus</w:t>
            </w:r>
            <w:r w:rsidR="00BB0E24">
              <w:rPr>
                <w:rFonts w:eastAsia="Times New Roman" w:cstheme="minorHAnsi"/>
                <w:b/>
                <w:color w:val="000000"/>
                <w:sz w:val="20"/>
                <w:szCs w:val="20"/>
              </w:rPr>
              <w:t>.</w:t>
            </w:r>
            <w:r w:rsidRPr="006D6A3F">
              <w:rPr>
                <w:rFonts w:eastAsia="Times New Roman" w:cstheme="minorHAnsi"/>
                <w:b/>
                <w:color w:val="000000"/>
                <w:sz w:val="20"/>
                <w:szCs w:val="20"/>
              </w:rPr>
              <w:t xml:space="preserve">.. </w:t>
            </w:r>
          </w:p>
        </w:tc>
        <w:tc>
          <w:tcPr>
            <w:tcW w:w="1284" w:type="dxa"/>
            <w:noWrap/>
            <w:hideMark/>
          </w:tcPr>
          <w:p w14:paraId="24F4902B"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H</w:t>
            </w:r>
          </w:p>
        </w:tc>
        <w:tc>
          <w:tcPr>
            <w:tcW w:w="1116" w:type="dxa"/>
            <w:noWrap/>
            <w:hideMark/>
          </w:tcPr>
          <w:p w14:paraId="554B85BB"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F</w:t>
            </w:r>
          </w:p>
        </w:tc>
        <w:tc>
          <w:tcPr>
            <w:tcW w:w="1220" w:type="dxa"/>
            <w:vMerge/>
            <w:hideMark/>
          </w:tcPr>
          <w:p w14:paraId="4D56350B" w14:textId="77777777" w:rsidR="00341875" w:rsidRPr="006D6A3F" w:rsidRDefault="00341875" w:rsidP="00045685">
            <w:pPr>
              <w:spacing w:line="240" w:lineRule="auto"/>
              <w:rPr>
                <w:rFonts w:eastAsia="Times New Roman" w:cstheme="minorHAnsi"/>
                <w:color w:val="000000"/>
                <w:sz w:val="20"/>
                <w:szCs w:val="20"/>
              </w:rPr>
            </w:pPr>
          </w:p>
        </w:tc>
        <w:tc>
          <w:tcPr>
            <w:tcW w:w="1220" w:type="dxa"/>
            <w:vMerge/>
            <w:hideMark/>
          </w:tcPr>
          <w:p w14:paraId="7F3DC63A" w14:textId="77777777" w:rsidR="00341875" w:rsidRPr="006D6A3F" w:rsidRDefault="00341875" w:rsidP="00045685">
            <w:pPr>
              <w:spacing w:line="240" w:lineRule="auto"/>
              <w:rPr>
                <w:rFonts w:eastAsia="Times New Roman" w:cstheme="minorHAnsi"/>
                <w:color w:val="000000"/>
                <w:sz w:val="20"/>
                <w:szCs w:val="20"/>
              </w:rPr>
            </w:pPr>
          </w:p>
        </w:tc>
      </w:tr>
      <w:tr w:rsidR="00341875" w:rsidRPr="006D6A3F" w14:paraId="19E5DC64" w14:textId="77777777" w:rsidTr="0053221C">
        <w:trPr>
          <w:trHeight w:val="369"/>
          <w:jc w:val="center"/>
        </w:trPr>
        <w:tc>
          <w:tcPr>
            <w:tcW w:w="2260" w:type="dxa"/>
            <w:noWrap/>
            <w:hideMark/>
          </w:tcPr>
          <w:p w14:paraId="6626BB2C"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...au 01/01/2019</w:t>
            </w:r>
          </w:p>
        </w:tc>
        <w:tc>
          <w:tcPr>
            <w:tcW w:w="1284" w:type="dxa"/>
            <w:noWrap/>
            <w:hideMark/>
          </w:tcPr>
          <w:p w14:paraId="76E77E31"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308</w:t>
            </w:r>
          </w:p>
        </w:tc>
        <w:tc>
          <w:tcPr>
            <w:tcW w:w="1116" w:type="dxa"/>
            <w:noWrap/>
            <w:hideMark/>
          </w:tcPr>
          <w:p w14:paraId="29E11DA1"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12</w:t>
            </w:r>
          </w:p>
        </w:tc>
        <w:tc>
          <w:tcPr>
            <w:tcW w:w="1220" w:type="dxa"/>
            <w:noWrap/>
            <w:hideMark/>
          </w:tcPr>
          <w:p w14:paraId="3C3A7ED5"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656</w:t>
            </w:r>
          </w:p>
        </w:tc>
        <w:tc>
          <w:tcPr>
            <w:tcW w:w="1220" w:type="dxa"/>
            <w:noWrap/>
            <w:hideMark/>
          </w:tcPr>
          <w:p w14:paraId="2B2086F3"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49%</w:t>
            </w:r>
          </w:p>
        </w:tc>
      </w:tr>
      <w:tr w:rsidR="00341875" w:rsidRPr="006D6A3F" w14:paraId="4C146062" w14:textId="77777777" w:rsidTr="0053221C">
        <w:trPr>
          <w:trHeight w:val="369"/>
          <w:jc w:val="center"/>
        </w:trPr>
        <w:tc>
          <w:tcPr>
            <w:tcW w:w="2260" w:type="dxa"/>
            <w:noWrap/>
            <w:hideMark/>
          </w:tcPr>
          <w:p w14:paraId="2244A014"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...au 01/01/2020</w:t>
            </w:r>
          </w:p>
        </w:tc>
        <w:tc>
          <w:tcPr>
            <w:tcW w:w="1284" w:type="dxa"/>
            <w:noWrap/>
            <w:hideMark/>
          </w:tcPr>
          <w:p w14:paraId="3DBDD823"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278</w:t>
            </w:r>
          </w:p>
        </w:tc>
        <w:tc>
          <w:tcPr>
            <w:tcW w:w="1116" w:type="dxa"/>
            <w:noWrap/>
            <w:hideMark/>
          </w:tcPr>
          <w:p w14:paraId="37198B62"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13</w:t>
            </w:r>
          </w:p>
        </w:tc>
        <w:tc>
          <w:tcPr>
            <w:tcW w:w="1220" w:type="dxa"/>
            <w:noWrap/>
            <w:hideMark/>
          </w:tcPr>
          <w:p w14:paraId="6A05122E"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608</w:t>
            </w:r>
          </w:p>
        </w:tc>
        <w:tc>
          <w:tcPr>
            <w:tcW w:w="1220" w:type="dxa"/>
            <w:noWrap/>
            <w:hideMark/>
          </w:tcPr>
          <w:p w14:paraId="5F9757E9"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48%</w:t>
            </w:r>
          </w:p>
        </w:tc>
      </w:tr>
      <w:tr w:rsidR="00341875" w:rsidRPr="006D6A3F" w14:paraId="57CA1D35" w14:textId="77777777" w:rsidTr="0053221C">
        <w:trPr>
          <w:trHeight w:val="369"/>
          <w:jc w:val="center"/>
        </w:trPr>
        <w:tc>
          <w:tcPr>
            <w:tcW w:w="2260" w:type="dxa"/>
            <w:noWrap/>
            <w:hideMark/>
          </w:tcPr>
          <w:p w14:paraId="44C2682B"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...au 01/01/2021</w:t>
            </w:r>
          </w:p>
        </w:tc>
        <w:tc>
          <w:tcPr>
            <w:tcW w:w="1284" w:type="dxa"/>
            <w:noWrap/>
            <w:hideMark/>
          </w:tcPr>
          <w:p w14:paraId="712307EB"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228</w:t>
            </w:r>
          </w:p>
        </w:tc>
        <w:tc>
          <w:tcPr>
            <w:tcW w:w="1116" w:type="dxa"/>
            <w:noWrap/>
            <w:hideMark/>
          </w:tcPr>
          <w:p w14:paraId="67F3BB74"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14</w:t>
            </w:r>
          </w:p>
        </w:tc>
        <w:tc>
          <w:tcPr>
            <w:tcW w:w="1220" w:type="dxa"/>
            <w:noWrap/>
            <w:hideMark/>
          </w:tcPr>
          <w:p w14:paraId="0C6B3F5D"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548</w:t>
            </w:r>
          </w:p>
        </w:tc>
        <w:tc>
          <w:tcPr>
            <w:tcW w:w="1220" w:type="dxa"/>
            <w:noWrap/>
            <w:hideMark/>
          </w:tcPr>
          <w:p w14:paraId="096A8DAF"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44%</w:t>
            </w:r>
          </w:p>
        </w:tc>
      </w:tr>
      <w:tr w:rsidR="00341875" w:rsidRPr="006D6A3F" w14:paraId="65FDCD3B" w14:textId="77777777" w:rsidTr="0053221C">
        <w:trPr>
          <w:trHeight w:val="369"/>
          <w:jc w:val="center"/>
        </w:trPr>
        <w:tc>
          <w:tcPr>
            <w:tcW w:w="2260" w:type="dxa"/>
            <w:noWrap/>
            <w:hideMark/>
          </w:tcPr>
          <w:p w14:paraId="7FCF61A7"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...au 01/01/2022</w:t>
            </w:r>
          </w:p>
        </w:tc>
        <w:tc>
          <w:tcPr>
            <w:tcW w:w="1284" w:type="dxa"/>
            <w:noWrap/>
            <w:hideMark/>
          </w:tcPr>
          <w:p w14:paraId="51E236FB"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272</w:t>
            </w:r>
          </w:p>
        </w:tc>
        <w:tc>
          <w:tcPr>
            <w:tcW w:w="1116" w:type="dxa"/>
            <w:noWrap/>
            <w:hideMark/>
          </w:tcPr>
          <w:p w14:paraId="6E642A00"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13</w:t>
            </w:r>
          </w:p>
        </w:tc>
        <w:tc>
          <w:tcPr>
            <w:tcW w:w="1220" w:type="dxa"/>
            <w:noWrap/>
            <w:hideMark/>
          </w:tcPr>
          <w:p w14:paraId="13AC34A5"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617</w:t>
            </w:r>
          </w:p>
        </w:tc>
        <w:tc>
          <w:tcPr>
            <w:tcW w:w="1220" w:type="dxa"/>
            <w:noWrap/>
            <w:hideMark/>
          </w:tcPr>
          <w:p w14:paraId="506C4E1F"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46%</w:t>
            </w:r>
          </w:p>
        </w:tc>
      </w:tr>
      <w:tr w:rsidR="00341875" w:rsidRPr="006D6A3F" w14:paraId="51C127A4" w14:textId="77777777" w:rsidTr="0053221C">
        <w:trPr>
          <w:trHeight w:val="369"/>
          <w:jc w:val="center"/>
        </w:trPr>
        <w:tc>
          <w:tcPr>
            <w:tcW w:w="2260" w:type="dxa"/>
            <w:noWrap/>
            <w:hideMark/>
          </w:tcPr>
          <w:p w14:paraId="54B745B2"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...au 01/01/2023</w:t>
            </w:r>
          </w:p>
        </w:tc>
        <w:tc>
          <w:tcPr>
            <w:tcW w:w="1284" w:type="dxa"/>
            <w:noWrap/>
            <w:hideMark/>
          </w:tcPr>
          <w:p w14:paraId="15F9A1C5"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326</w:t>
            </w:r>
          </w:p>
        </w:tc>
        <w:tc>
          <w:tcPr>
            <w:tcW w:w="1116" w:type="dxa"/>
            <w:noWrap/>
            <w:hideMark/>
          </w:tcPr>
          <w:p w14:paraId="24BFCFD2"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19</w:t>
            </w:r>
          </w:p>
        </w:tc>
        <w:tc>
          <w:tcPr>
            <w:tcW w:w="1220" w:type="dxa"/>
            <w:noWrap/>
            <w:hideMark/>
          </w:tcPr>
          <w:p w14:paraId="6D94692D"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705</w:t>
            </w:r>
          </w:p>
        </w:tc>
        <w:tc>
          <w:tcPr>
            <w:tcW w:w="1220" w:type="dxa"/>
            <w:noWrap/>
            <w:hideMark/>
          </w:tcPr>
          <w:p w14:paraId="7193E4E5" w14:textId="77777777" w:rsidR="00341875" w:rsidRPr="006D6A3F" w:rsidRDefault="00341875" w:rsidP="00045685">
            <w:pPr>
              <w:spacing w:line="240" w:lineRule="auto"/>
              <w:jc w:val="center"/>
              <w:rPr>
                <w:rFonts w:eastAsia="Times New Roman" w:cstheme="minorHAnsi"/>
                <w:color w:val="000000"/>
                <w:sz w:val="20"/>
                <w:szCs w:val="20"/>
              </w:rPr>
            </w:pPr>
            <w:r w:rsidRPr="006D6A3F">
              <w:rPr>
                <w:rFonts w:eastAsia="Times New Roman" w:cstheme="minorHAnsi"/>
                <w:color w:val="000000"/>
                <w:sz w:val="20"/>
                <w:szCs w:val="20"/>
              </w:rPr>
              <w:t>49%</w:t>
            </w:r>
          </w:p>
        </w:tc>
      </w:tr>
    </w:tbl>
    <w:p w14:paraId="089711AB" w14:textId="77777777" w:rsidR="00045685" w:rsidRPr="006D6A3F" w:rsidRDefault="00045685" w:rsidP="00045685">
      <w:pPr>
        <w:pStyle w:val="SingleTxtG"/>
        <w:spacing w:after="240"/>
        <w:ind w:left="0"/>
        <w:jc w:val="center"/>
        <w:rPr>
          <w:rFonts w:asciiTheme="minorHAnsi" w:hAnsiTheme="minorHAnsi" w:cstheme="minorHAnsi"/>
          <w:lang w:val="fr-FR"/>
        </w:rPr>
      </w:pPr>
    </w:p>
    <w:p w14:paraId="3655066E" w14:textId="64897695" w:rsidR="00341875" w:rsidRPr="006D6A3F" w:rsidRDefault="00045685" w:rsidP="00045685">
      <w:pPr>
        <w:pStyle w:val="SingleTxtG"/>
        <w:spacing w:after="240"/>
        <w:ind w:left="0"/>
        <w:jc w:val="center"/>
        <w:rPr>
          <w:rFonts w:asciiTheme="minorHAnsi" w:hAnsiTheme="minorHAnsi" w:cstheme="minorHAnsi"/>
          <w:lang w:val="fr-FR"/>
        </w:rPr>
      </w:pPr>
      <w:r w:rsidRPr="006D6A3F">
        <w:rPr>
          <w:rFonts w:asciiTheme="minorHAnsi" w:hAnsiTheme="minorHAnsi" w:cstheme="minorHAnsi"/>
          <w:noProof/>
          <w:lang w:val="fr-FR" w:eastAsia="fr-FR"/>
        </w:rPr>
        <w:lastRenderedPageBreak/>
        <w:drawing>
          <wp:inline distT="0" distB="0" distL="0" distR="0" wp14:anchorId="38BF6D95" wp14:editId="55976481">
            <wp:extent cx="5943600" cy="4777105"/>
            <wp:effectExtent l="0" t="0" r="0" b="4445"/>
            <wp:docPr id="3" name="Chart 3">
              <a:extLst xmlns:a="http://schemas.openxmlformats.org/drawingml/2006/main">
                <a:ext uri="{FF2B5EF4-FFF2-40B4-BE49-F238E27FC236}">
                  <a16:creationId xmlns:a16="http://schemas.microsoft.com/office/drawing/2014/main" id="{00000000-0008-0000-0F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D1AAFAF" w14:textId="77777777" w:rsidR="00045685" w:rsidRPr="006D6A3F" w:rsidRDefault="00341875" w:rsidP="00DC50DE">
      <w:pPr>
        <w:pStyle w:val="H23G"/>
        <w:spacing w:before="0" w:after="240"/>
        <w:rPr>
          <w:rFonts w:asciiTheme="minorHAnsi" w:hAnsiTheme="minorHAnsi" w:cstheme="minorHAnsi"/>
          <w:lang w:val="fr-FR"/>
        </w:rPr>
      </w:pPr>
      <w:r w:rsidRPr="006D6A3F">
        <w:rPr>
          <w:rFonts w:asciiTheme="minorHAnsi" w:hAnsiTheme="minorHAnsi" w:cstheme="minorHAnsi"/>
          <w:lang w:val="fr-FR"/>
        </w:rPr>
        <w:tab/>
      </w:r>
    </w:p>
    <w:p w14:paraId="76E46E11" w14:textId="1E197F58" w:rsidR="00341875" w:rsidRPr="006D6A3F" w:rsidRDefault="00045685" w:rsidP="00045685">
      <w:pPr>
        <w:spacing w:after="160" w:line="259" w:lineRule="auto"/>
        <w:jc w:val="center"/>
        <w:rPr>
          <w:rFonts w:cstheme="minorHAnsi"/>
          <w:b/>
          <w:sz w:val="20"/>
          <w:szCs w:val="20"/>
        </w:rPr>
      </w:pPr>
      <w:r w:rsidRPr="006D6A3F">
        <w:rPr>
          <w:rFonts w:cstheme="minorHAnsi"/>
        </w:rPr>
        <w:br w:type="page"/>
      </w:r>
      <w:r w:rsidR="00341875" w:rsidRPr="006D6A3F">
        <w:rPr>
          <w:rFonts w:cstheme="minorHAnsi"/>
          <w:b/>
        </w:rPr>
        <w:lastRenderedPageBreak/>
        <w:t>R n°10 b par nationalité – tri décroissant au 01/01/2023</w:t>
      </w:r>
    </w:p>
    <w:tbl>
      <w:tblPr>
        <w:tblW w:w="10640" w:type="dxa"/>
        <w:jc w:val="center"/>
        <w:tblLook w:val="04A0" w:firstRow="1" w:lastRow="0" w:firstColumn="1" w:lastColumn="0" w:noHBand="0" w:noVBand="1"/>
      </w:tblPr>
      <w:tblGrid>
        <w:gridCol w:w="2240"/>
        <w:gridCol w:w="1120"/>
        <w:gridCol w:w="980"/>
        <w:gridCol w:w="1120"/>
        <w:gridCol w:w="980"/>
        <w:gridCol w:w="1120"/>
        <w:gridCol w:w="980"/>
        <w:gridCol w:w="1120"/>
        <w:gridCol w:w="980"/>
      </w:tblGrid>
      <w:tr w:rsidR="00341875" w:rsidRPr="006D6A3F" w14:paraId="6E061D23" w14:textId="77777777" w:rsidTr="00045685">
        <w:trPr>
          <w:trHeight w:val="600"/>
          <w:jc w:val="center"/>
        </w:trPr>
        <w:tc>
          <w:tcPr>
            <w:tcW w:w="2240" w:type="dxa"/>
            <w:tcBorders>
              <w:top w:val="single" w:sz="4" w:space="0" w:color="auto"/>
              <w:left w:val="single" w:sz="4" w:space="0" w:color="auto"/>
              <w:bottom w:val="single" w:sz="12" w:space="0" w:color="auto"/>
              <w:right w:val="single" w:sz="8" w:space="0" w:color="auto"/>
            </w:tcBorders>
            <w:shd w:val="clear" w:color="000000" w:fill="D9D9D9"/>
            <w:noWrap/>
            <w:vAlign w:val="center"/>
            <w:hideMark/>
          </w:tcPr>
          <w:p w14:paraId="345F86A6" w14:textId="77777777" w:rsidR="00341875" w:rsidRPr="006D6A3F" w:rsidRDefault="00341875" w:rsidP="00045685">
            <w:pPr>
              <w:spacing w:line="240" w:lineRule="auto"/>
              <w:jc w:val="center"/>
              <w:rPr>
                <w:rFonts w:eastAsia="Times New Roman" w:cstheme="minorHAnsi"/>
                <w:b/>
                <w:i/>
                <w:iCs/>
                <w:color w:val="000000"/>
                <w:sz w:val="18"/>
                <w:szCs w:val="18"/>
              </w:rPr>
            </w:pPr>
            <w:r w:rsidRPr="006D6A3F">
              <w:rPr>
                <w:rFonts w:eastAsia="Times New Roman" w:cstheme="minorHAnsi"/>
                <w:b/>
                <w:i/>
                <w:iCs/>
                <w:color w:val="000000"/>
                <w:sz w:val="18"/>
                <w:szCs w:val="18"/>
              </w:rPr>
              <w:t>Nationalité</w:t>
            </w:r>
          </w:p>
        </w:tc>
        <w:tc>
          <w:tcPr>
            <w:tcW w:w="1120" w:type="dxa"/>
            <w:tcBorders>
              <w:top w:val="single" w:sz="4" w:space="0" w:color="auto"/>
              <w:left w:val="nil"/>
              <w:bottom w:val="single" w:sz="12" w:space="0" w:color="auto"/>
              <w:right w:val="nil"/>
            </w:tcBorders>
            <w:shd w:val="clear" w:color="000000" w:fill="BDD7EE"/>
            <w:vAlign w:val="center"/>
            <w:hideMark/>
          </w:tcPr>
          <w:p w14:paraId="4FBD6D8A" w14:textId="77777777" w:rsidR="00341875" w:rsidRPr="006D6A3F" w:rsidRDefault="00341875" w:rsidP="00045685">
            <w:pPr>
              <w:spacing w:line="240" w:lineRule="auto"/>
              <w:jc w:val="center"/>
              <w:rPr>
                <w:rFonts w:eastAsia="Times New Roman" w:cstheme="minorHAnsi"/>
                <w:b/>
                <w:i/>
                <w:iCs/>
                <w:color w:val="000000"/>
                <w:sz w:val="18"/>
                <w:szCs w:val="18"/>
              </w:rPr>
            </w:pPr>
            <w:r w:rsidRPr="006D6A3F">
              <w:rPr>
                <w:rFonts w:eastAsia="Times New Roman" w:cstheme="minorHAnsi"/>
                <w:b/>
                <w:i/>
                <w:iCs/>
                <w:color w:val="000000"/>
                <w:sz w:val="18"/>
                <w:szCs w:val="18"/>
              </w:rPr>
              <w:t xml:space="preserve">Nb au </w:t>
            </w:r>
            <w:r w:rsidRPr="006D6A3F">
              <w:rPr>
                <w:rFonts w:eastAsia="Times New Roman" w:cstheme="minorHAnsi"/>
                <w:b/>
                <w:i/>
                <w:iCs/>
                <w:color w:val="000000"/>
                <w:sz w:val="18"/>
                <w:szCs w:val="18"/>
              </w:rPr>
              <w:br/>
              <w:t>01/01/20</w:t>
            </w:r>
          </w:p>
        </w:tc>
        <w:tc>
          <w:tcPr>
            <w:tcW w:w="980" w:type="dxa"/>
            <w:tcBorders>
              <w:top w:val="single" w:sz="4" w:space="0" w:color="auto"/>
              <w:left w:val="nil"/>
              <w:bottom w:val="single" w:sz="12" w:space="0" w:color="auto"/>
              <w:right w:val="nil"/>
            </w:tcBorders>
            <w:shd w:val="clear" w:color="000000" w:fill="BDD7EE"/>
            <w:vAlign w:val="center"/>
            <w:hideMark/>
          </w:tcPr>
          <w:p w14:paraId="31201BCE" w14:textId="77777777" w:rsidR="00341875" w:rsidRPr="006D6A3F" w:rsidRDefault="00341875" w:rsidP="00045685">
            <w:pPr>
              <w:spacing w:line="240" w:lineRule="auto"/>
              <w:jc w:val="center"/>
              <w:rPr>
                <w:rFonts w:eastAsia="Times New Roman" w:cstheme="minorHAnsi"/>
                <w:b/>
                <w:i/>
                <w:iCs/>
                <w:color w:val="000000"/>
                <w:sz w:val="18"/>
                <w:szCs w:val="18"/>
              </w:rPr>
            </w:pPr>
            <w:r w:rsidRPr="006D6A3F">
              <w:rPr>
                <w:rFonts w:eastAsia="Times New Roman" w:cstheme="minorHAnsi"/>
                <w:b/>
                <w:i/>
                <w:iCs/>
                <w:color w:val="000000"/>
                <w:sz w:val="18"/>
                <w:szCs w:val="18"/>
              </w:rPr>
              <w:t xml:space="preserve">% de la </w:t>
            </w:r>
            <w:r w:rsidRPr="006D6A3F">
              <w:rPr>
                <w:rFonts w:eastAsia="Times New Roman" w:cstheme="minorHAnsi"/>
                <w:b/>
                <w:i/>
                <w:iCs/>
                <w:color w:val="000000"/>
                <w:sz w:val="18"/>
                <w:szCs w:val="18"/>
              </w:rPr>
              <w:br/>
              <w:t>pop totale</w:t>
            </w:r>
          </w:p>
        </w:tc>
        <w:tc>
          <w:tcPr>
            <w:tcW w:w="1120" w:type="dxa"/>
            <w:tcBorders>
              <w:top w:val="single" w:sz="4" w:space="0" w:color="auto"/>
              <w:left w:val="single" w:sz="4" w:space="0" w:color="auto"/>
              <w:bottom w:val="single" w:sz="12" w:space="0" w:color="auto"/>
              <w:right w:val="nil"/>
            </w:tcBorders>
            <w:shd w:val="clear" w:color="000000" w:fill="D9D9D9"/>
            <w:vAlign w:val="center"/>
            <w:hideMark/>
          </w:tcPr>
          <w:p w14:paraId="37D76B0E" w14:textId="77777777" w:rsidR="00341875" w:rsidRPr="006D6A3F" w:rsidRDefault="00341875" w:rsidP="00045685">
            <w:pPr>
              <w:spacing w:line="240" w:lineRule="auto"/>
              <w:jc w:val="center"/>
              <w:rPr>
                <w:rFonts w:eastAsia="Times New Roman" w:cstheme="minorHAnsi"/>
                <w:b/>
                <w:i/>
                <w:iCs/>
                <w:color w:val="000000"/>
                <w:sz w:val="18"/>
                <w:szCs w:val="18"/>
              </w:rPr>
            </w:pPr>
            <w:r w:rsidRPr="006D6A3F">
              <w:rPr>
                <w:rFonts w:eastAsia="Times New Roman" w:cstheme="minorHAnsi"/>
                <w:b/>
                <w:i/>
                <w:iCs/>
                <w:color w:val="000000"/>
                <w:sz w:val="18"/>
                <w:szCs w:val="18"/>
              </w:rPr>
              <w:t xml:space="preserve">Nb au </w:t>
            </w:r>
            <w:r w:rsidRPr="006D6A3F">
              <w:rPr>
                <w:rFonts w:eastAsia="Times New Roman" w:cstheme="minorHAnsi"/>
                <w:b/>
                <w:i/>
                <w:iCs/>
                <w:color w:val="000000"/>
                <w:sz w:val="18"/>
                <w:szCs w:val="18"/>
              </w:rPr>
              <w:br/>
              <w:t>01/01/21</w:t>
            </w:r>
          </w:p>
        </w:tc>
        <w:tc>
          <w:tcPr>
            <w:tcW w:w="980" w:type="dxa"/>
            <w:tcBorders>
              <w:top w:val="single" w:sz="4" w:space="0" w:color="auto"/>
              <w:left w:val="nil"/>
              <w:bottom w:val="single" w:sz="12" w:space="0" w:color="auto"/>
              <w:right w:val="single" w:sz="4" w:space="0" w:color="auto"/>
            </w:tcBorders>
            <w:shd w:val="clear" w:color="000000" w:fill="D9D9D9"/>
            <w:vAlign w:val="center"/>
            <w:hideMark/>
          </w:tcPr>
          <w:p w14:paraId="5E32BAEC" w14:textId="77777777" w:rsidR="00341875" w:rsidRPr="006D6A3F" w:rsidRDefault="00341875" w:rsidP="00045685">
            <w:pPr>
              <w:spacing w:line="240" w:lineRule="auto"/>
              <w:jc w:val="center"/>
              <w:rPr>
                <w:rFonts w:eastAsia="Times New Roman" w:cstheme="minorHAnsi"/>
                <w:b/>
                <w:i/>
                <w:iCs/>
                <w:color w:val="000000"/>
                <w:sz w:val="18"/>
                <w:szCs w:val="18"/>
              </w:rPr>
            </w:pPr>
            <w:r w:rsidRPr="006D6A3F">
              <w:rPr>
                <w:rFonts w:eastAsia="Times New Roman" w:cstheme="minorHAnsi"/>
                <w:b/>
                <w:i/>
                <w:iCs/>
                <w:color w:val="000000"/>
                <w:sz w:val="18"/>
                <w:szCs w:val="18"/>
              </w:rPr>
              <w:t xml:space="preserve">% de la </w:t>
            </w:r>
            <w:r w:rsidRPr="006D6A3F">
              <w:rPr>
                <w:rFonts w:eastAsia="Times New Roman" w:cstheme="minorHAnsi"/>
                <w:b/>
                <w:i/>
                <w:iCs/>
                <w:color w:val="000000"/>
                <w:sz w:val="18"/>
                <w:szCs w:val="18"/>
              </w:rPr>
              <w:br/>
              <w:t>pop totale</w:t>
            </w:r>
          </w:p>
        </w:tc>
        <w:tc>
          <w:tcPr>
            <w:tcW w:w="1120" w:type="dxa"/>
            <w:tcBorders>
              <w:top w:val="single" w:sz="4" w:space="0" w:color="auto"/>
              <w:left w:val="nil"/>
              <w:bottom w:val="single" w:sz="12" w:space="0" w:color="auto"/>
              <w:right w:val="nil"/>
            </w:tcBorders>
            <w:shd w:val="clear" w:color="000000" w:fill="BDD7EE"/>
            <w:vAlign w:val="center"/>
            <w:hideMark/>
          </w:tcPr>
          <w:p w14:paraId="5B39CA79" w14:textId="77777777" w:rsidR="00341875" w:rsidRPr="006D6A3F" w:rsidRDefault="00341875" w:rsidP="00045685">
            <w:pPr>
              <w:spacing w:line="240" w:lineRule="auto"/>
              <w:jc w:val="center"/>
              <w:rPr>
                <w:rFonts w:eastAsia="Times New Roman" w:cstheme="minorHAnsi"/>
                <w:b/>
                <w:i/>
                <w:iCs/>
                <w:color w:val="000000"/>
                <w:sz w:val="18"/>
                <w:szCs w:val="18"/>
              </w:rPr>
            </w:pPr>
            <w:r w:rsidRPr="006D6A3F">
              <w:rPr>
                <w:rFonts w:eastAsia="Times New Roman" w:cstheme="minorHAnsi"/>
                <w:b/>
                <w:i/>
                <w:iCs/>
                <w:color w:val="000000"/>
                <w:sz w:val="18"/>
                <w:szCs w:val="18"/>
              </w:rPr>
              <w:t xml:space="preserve">Nb au </w:t>
            </w:r>
            <w:r w:rsidRPr="006D6A3F">
              <w:rPr>
                <w:rFonts w:eastAsia="Times New Roman" w:cstheme="minorHAnsi"/>
                <w:b/>
                <w:i/>
                <w:iCs/>
                <w:color w:val="000000"/>
                <w:sz w:val="18"/>
                <w:szCs w:val="18"/>
              </w:rPr>
              <w:br/>
              <w:t>01/01/22</w:t>
            </w:r>
          </w:p>
        </w:tc>
        <w:tc>
          <w:tcPr>
            <w:tcW w:w="980" w:type="dxa"/>
            <w:tcBorders>
              <w:top w:val="single" w:sz="4" w:space="0" w:color="auto"/>
              <w:left w:val="nil"/>
              <w:bottom w:val="single" w:sz="12" w:space="0" w:color="auto"/>
              <w:right w:val="nil"/>
            </w:tcBorders>
            <w:shd w:val="clear" w:color="000000" w:fill="BDD7EE"/>
            <w:vAlign w:val="center"/>
            <w:hideMark/>
          </w:tcPr>
          <w:p w14:paraId="53195C85" w14:textId="77777777" w:rsidR="00341875" w:rsidRPr="006D6A3F" w:rsidRDefault="00341875" w:rsidP="00045685">
            <w:pPr>
              <w:spacing w:line="240" w:lineRule="auto"/>
              <w:jc w:val="center"/>
              <w:rPr>
                <w:rFonts w:eastAsia="Times New Roman" w:cstheme="minorHAnsi"/>
                <w:b/>
                <w:i/>
                <w:iCs/>
                <w:color w:val="000000"/>
                <w:sz w:val="18"/>
                <w:szCs w:val="18"/>
              </w:rPr>
            </w:pPr>
            <w:r w:rsidRPr="006D6A3F">
              <w:rPr>
                <w:rFonts w:eastAsia="Times New Roman" w:cstheme="minorHAnsi"/>
                <w:b/>
                <w:i/>
                <w:iCs/>
                <w:color w:val="000000"/>
                <w:sz w:val="18"/>
                <w:szCs w:val="18"/>
              </w:rPr>
              <w:t xml:space="preserve">% de la </w:t>
            </w:r>
            <w:r w:rsidRPr="006D6A3F">
              <w:rPr>
                <w:rFonts w:eastAsia="Times New Roman" w:cstheme="minorHAnsi"/>
                <w:b/>
                <w:i/>
                <w:iCs/>
                <w:color w:val="000000"/>
                <w:sz w:val="18"/>
                <w:szCs w:val="18"/>
              </w:rPr>
              <w:br/>
              <w:t>pop totale</w:t>
            </w:r>
          </w:p>
        </w:tc>
        <w:tc>
          <w:tcPr>
            <w:tcW w:w="1120" w:type="dxa"/>
            <w:tcBorders>
              <w:top w:val="single" w:sz="4" w:space="0" w:color="auto"/>
              <w:left w:val="single" w:sz="4" w:space="0" w:color="auto"/>
              <w:bottom w:val="single" w:sz="12" w:space="0" w:color="auto"/>
              <w:right w:val="nil"/>
            </w:tcBorders>
            <w:shd w:val="clear" w:color="000000" w:fill="D9D9D9"/>
            <w:vAlign w:val="center"/>
            <w:hideMark/>
          </w:tcPr>
          <w:p w14:paraId="0EFF4EFC" w14:textId="77777777" w:rsidR="00341875" w:rsidRPr="006D6A3F" w:rsidRDefault="00341875" w:rsidP="00045685">
            <w:pPr>
              <w:spacing w:line="240" w:lineRule="auto"/>
              <w:jc w:val="center"/>
              <w:rPr>
                <w:rFonts w:eastAsia="Times New Roman" w:cstheme="minorHAnsi"/>
                <w:b/>
                <w:i/>
                <w:iCs/>
                <w:color w:val="000000"/>
                <w:sz w:val="18"/>
                <w:szCs w:val="18"/>
              </w:rPr>
            </w:pPr>
            <w:r w:rsidRPr="006D6A3F">
              <w:rPr>
                <w:rFonts w:eastAsia="Times New Roman" w:cstheme="minorHAnsi"/>
                <w:b/>
                <w:i/>
                <w:iCs/>
                <w:color w:val="000000"/>
                <w:sz w:val="18"/>
                <w:szCs w:val="18"/>
              </w:rPr>
              <w:t xml:space="preserve">Nb au </w:t>
            </w:r>
            <w:r w:rsidRPr="006D6A3F">
              <w:rPr>
                <w:rFonts w:eastAsia="Times New Roman" w:cstheme="minorHAnsi"/>
                <w:b/>
                <w:i/>
                <w:iCs/>
                <w:color w:val="000000"/>
                <w:sz w:val="18"/>
                <w:szCs w:val="18"/>
              </w:rPr>
              <w:br/>
              <w:t>01/01/23</w:t>
            </w:r>
          </w:p>
        </w:tc>
        <w:tc>
          <w:tcPr>
            <w:tcW w:w="980" w:type="dxa"/>
            <w:tcBorders>
              <w:top w:val="single" w:sz="4" w:space="0" w:color="auto"/>
              <w:left w:val="nil"/>
              <w:bottom w:val="single" w:sz="12" w:space="0" w:color="auto"/>
              <w:right w:val="single" w:sz="4" w:space="0" w:color="auto"/>
            </w:tcBorders>
            <w:shd w:val="clear" w:color="000000" w:fill="D9D9D9"/>
            <w:vAlign w:val="center"/>
            <w:hideMark/>
          </w:tcPr>
          <w:p w14:paraId="7385C5E7" w14:textId="77777777" w:rsidR="00341875" w:rsidRPr="006D6A3F" w:rsidRDefault="00341875" w:rsidP="00045685">
            <w:pPr>
              <w:spacing w:line="240" w:lineRule="auto"/>
              <w:jc w:val="center"/>
              <w:rPr>
                <w:rFonts w:eastAsia="Times New Roman" w:cstheme="minorHAnsi"/>
                <w:b/>
                <w:i/>
                <w:iCs/>
                <w:color w:val="000000"/>
                <w:sz w:val="18"/>
                <w:szCs w:val="18"/>
              </w:rPr>
            </w:pPr>
            <w:r w:rsidRPr="006D6A3F">
              <w:rPr>
                <w:rFonts w:eastAsia="Times New Roman" w:cstheme="minorHAnsi"/>
                <w:b/>
                <w:i/>
                <w:iCs/>
                <w:color w:val="000000"/>
                <w:sz w:val="18"/>
                <w:szCs w:val="18"/>
              </w:rPr>
              <w:t xml:space="preserve">% de la </w:t>
            </w:r>
            <w:r w:rsidRPr="006D6A3F">
              <w:rPr>
                <w:rFonts w:eastAsia="Times New Roman" w:cstheme="minorHAnsi"/>
                <w:b/>
                <w:i/>
                <w:iCs/>
                <w:color w:val="000000"/>
                <w:sz w:val="18"/>
                <w:szCs w:val="18"/>
              </w:rPr>
              <w:br/>
              <w:t>pop totale</w:t>
            </w:r>
          </w:p>
        </w:tc>
      </w:tr>
      <w:tr w:rsidR="00341875" w:rsidRPr="006D6A3F" w14:paraId="57407F16"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B98A90B"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portugaise</w:t>
            </w:r>
          </w:p>
        </w:tc>
        <w:tc>
          <w:tcPr>
            <w:tcW w:w="1120" w:type="dxa"/>
            <w:tcBorders>
              <w:top w:val="nil"/>
              <w:left w:val="nil"/>
              <w:bottom w:val="nil"/>
              <w:right w:val="nil"/>
            </w:tcBorders>
            <w:shd w:val="clear" w:color="000000" w:fill="DDEBF7"/>
            <w:noWrap/>
            <w:vAlign w:val="center"/>
            <w:hideMark/>
          </w:tcPr>
          <w:p w14:paraId="2A9A096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36</w:t>
            </w:r>
          </w:p>
        </w:tc>
        <w:tc>
          <w:tcPr>
            <w:tcW w:w="980" w:type="dxa"/>
            <w:tcBorders>
              <w:top w:val="nil"/>
              <w:left w:val="nil"/>
              <w:bottom w:val="nil"/>
              <w:right w:val="nil"/>
            </w:tcBorders>
            <w:shd w:val="clear" w:color="000000" w:fill="DDEBF7"/>
            <w:noWrap/>
            <w:vAlign w:val="center"/>
            <w:hideMark/>
          </w:tcPr>
          <w:p w14:paraId="7267786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12.4%</w:t>
            </w:r>
          </w:p>
        </w:tc>
        <w:tc>
          <w:tcPr>
            <w:tcW w:w="1120" w:type="dxa"/>
            <w:tcBorders>
              <w:top w:val="nil"/>
              <w:left w:val="single" w:sz="4" w:space="0" w:color="auto"/>
              <w:bottom w:val="nil"/>
              <w:right w:val="nil"/>
            </w:tcBorders>
            <w:shd w:val="clear" w:color="000000" w:fill="F2F2F2"/>
            <w:noWrap/>
            <w:vAlign w:val="center"/>
            <w:hideMark/>
          </w:tcPr>
          <w:p w14:paraId="0681F16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27</w:t>
            </w:r>
          </w:p>
        </w:tc>
        <w:tc>
          <w:tcPr>
            <w:tcW w:w="980" w:type="dxa"/>
            <w:tcBorders>
              <w:top w:val="nil"/>
              <w:left w:val="nil"/>
              <w:bottom w:val="nil"/>
              <w:right w:val="single" w:sz="4" w:space="0" w:color="auto"/>
            </w:tcBorders>
            <w:shd w:val="clear" w:color="000000" w:fill="F2F2F2"/>
            <w:noWrap/>
            <w:vAlign w:val="center"/>
            <w:hideMark/>
          </w:tcPr>
          <w:p w14:paraId="421730C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11.2%</w:t>
            </w:r>
          </w:p>
        </w:tc>
        <w:tc>
          <w:tcPr>
            <w:tcW w:w="1120" w:type="dxa"/>
            <w:tcBorders>
              <w:top w:val="nil"/>
              <w:left w:val="nil"/>
              <w:bottom w:val="nil"/>
              <w:right w:val="nil"/>
            </w:tcBorders>
            <w:shd w:val="clear" w:color="000000" w:fill="DDEBF7"/>
            <w:noWrap/>
            <w:vAlign w:val="center"/>
            <w:hideMark/>
          </w:tcPr>
          <w:p w14:paraId="0EB6D76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33</w:t>
            </w:r>
          </w:p>
        </w:tc>
        <w:tc>
          <w:tcPr>
            <w:tcW w:w="980" w:type="dxa"/>
            <w:tcBorders>
              <w:top w:val="nil"/>
              <w:left w:val="nil"/>
              <w:bottom w:val="nil"/>
              <w:right w:val="nil"/>
            </w:tcBorders>
            <w:shd w:val="clear" w:color="000000" w:fill="DDEBF7"/>
            <w:noWrap/>
            <w:vAlign w:val="center"/>
            <w:hideMark/>
          </w:tcPr>
          <w:p w14:paraId="17732C9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11.6%</w:t>
            </w:r>
          </w:p>
        </w:tc>
        <w:tc>
          <w:tcPr>
            <w:tcW w:w="1120" w:type="dxa"/>
            <w:tcBorders>
              <w:top w:val="nil"/>
              <w:left w:val="single" w:sz="4" w:space="0" w:color="auto"/>
              <w:bottom w:val="nil"/>
              <w:right w:val="nil"/>
            </w:tcBorders>
            <w:shd w:val="clear" w:color="000000" w:fill="F2F2F2"/>
            <w:noWrap/>
            <w:vAlign w:val="center"/>
            <w:hideMark/>
          </w:tcPr>
          <w:p w14:paraId="38836FD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46</w:t>
            </w:r>
          </w:p>
        </w:tc>
        <w:tc>
          <w:tcPr>
            <w:tcW w:w="980" w:type="dxa"/>
            <w:tcBorders>
              <w:top w:val="nil"/>
              <w:left w:val="nil"/>
              <w:bottom w:val="nil"/>
              <w:right w:val="single" w:sz="4" w:space="0" w:color="auto"/>
            </w:tcBorders>
            <w:shd w:val="clear" w:color="000000" w:fill="F2F2F2"/>
            <w:noWrap/>
            <w:vAlign w:val="center"/>
            <w:hideMark/>
          </w:tcPr>
          <w:p w14:paraId="25660E5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13.3%</w:t>
            </w:r>
          </w:p>
        </w:tc>
      </w:tr>
      <w:tr w:rsidR="00341875" w:rsidRPr="006D6A3F" w14:paraId="5E360D90"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0584F46"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luxembourgeoise</w:t>
            </w:r>
          </w:p>
        </w:tc>
        <w:tc>
          <w:tcPr>
            <w:tcW w:w="1120" w:type="dxa"/>
            <w:tcBorders>
              <w:top w:val="nil"/>
              <w:left w:val="nil"/>
              <w:bottom w:val="nil"/>
              <w:right w:val="nil"/>
            </w:tcBorders>
            <w:shd w:val="clear" w:color="000000" w:fill="DDEBF7"/>
            <w:noWrap/>
            <w:vAlign w:val="center"/>
            <w:hideMark/>
          </w:tcPr>
          <w:p w14:paraId="36E619E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43</w:t>
            </w:r>
          </w:p>
        </w:tc>
        <w:tc>
          <w:tcPr>
            <w:tcW w:w="980" w:type="dxa"/>
            <w:tcBorders>
              <w:top w:val="nil"/>
              <w:left w:val="nil"/>
              <w:bottom w:val="nil"/>
              <w:right w:val="nil"/>
            </w:tcBorders>
            <w:shd w:val="clear" w:color="000000" w:fill="DDEBF7"/>
            <w:noWrap/>
            <w:vAlign w:val="center"/>
            <w:hideMark/>
          </w:tcPr>
          <w:p w14:paraId="347D8FB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14.8%</w:t>
            </w:r>
          </w:p>
        </w:tc>
        <w:tc>
          <w:tcPr>
            <w:tcW w:w="1120" w:type="dxa"/>
            <w:tcBorders>
              <w:top w:val="nil"/>
              <w:left w:val="single" w:sz="4" w:space="0" w:color="auto"/>
              <w:bottom w:val="nil"/>
              <w:right w:val="nil"/>
            </w:tcBorders>
            <w:shd w:val="clear" w:color="000000" w:fill="F2F2F2"/>
            <w:noWrap/>
            <w:vAlign w:val="center"/>
            <w:hideMark/>
          </w:tcPr>
          <w:p w14:paraId="4FFF013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49</w:t>
            </w:r>
          </w:p>
        </w:tc>
        <w:tc>
          <w:tcPr>
            <w:tcW w:w="980" w:type="dxa"/>
            <w:tcBorders>
              <w:top w:val="nil"/>
              <w:left w:val="nil"/>
              <w:bottom w:val="nil"/>
              <w:right w:val="single" w:sz="4" w:space="0" w:color="auto"/>
            </w:tcBorders>
            <w:shd w:val="clear" w:color="000000" w:fill="F2F2F2"/>
            <w:noWrap/>
            <w:vAlign w:val="center"/>
            <w:hideMark/>
          </w:tcPr>
          <w:p w14:paraId="04DDD15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20.2%</w:t>
            </w:r>
          </w:p>
        </w:tc>
        <w:tc>
          <w:tcPr>
            <w:tcW w:w="1120" w:type="dxa"/>
            <w:tcBorders>
              <w:top w:val="nil"/>
              <w:left w:val="nil"/>
              <w:bottom w:val="nil"/>
              <w:right w:val="nil"/>
            </w:tcBorders>
            <w:shd w:val="clear" w:color="000000" w:fill="DDEBF7"/>
            <w:noWrap/>
            <w:vAlign w:val="center"/>
            <w:hideMark/>
          </w:tcPr>
          <w:p w14:paraId="4CB4482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56</w:t>
            </w:r>
          </w:p>
        </w:tc>
        <w:tc>
          <w:tcPr>
            <w:tcW w:w="980" w:type="dxa"/>
            <w:tcBorders>
              <w:top w:val="nil"/>
              <w:left w:val="nil"/>
              <w:bottom w:val="nil"/>
              <w:right w:val="nil"/>
            </w:tcBorders>
            <w:shd w:val="clear" w:color="000000" w:fill="DDEBF7"/>
            <w:noWrap/>
            <w:vAlign w:val="center"/>
            <w:hideMark/>
          </w:tcPr>
          <w:p w14:paraId="3B40C25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19.6%</w:t>
            </w:r>
          </w:p>
        </w:tc>
        <w:tc>
          <w:tcPr>
            <w:tcW w:w="1120" w:type="dxa"/>
            <w:tcBorders>
              <w:top w:val="nil"/>
              <w:left w:val="single" w:sz="4" w:space="0" w:color="auto"/>
              <w:bottom w:val="nil"/>
              <w:right w:val="nil"/>
            </w:tcBorders>
            <w:shd w:val="clear" w:color="000000" w:fill="F2F2F2"/>
            <w:noWrap/>
            <w:vAlign w:val="center"/>
            <w:hideMark/>
          </w:tcPr>
          <w:p w14:paraId="3E6BF94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43</w:t>
            </w:r>
          </w:p>
        </w:tc>
        <w:tc>
          <w:tcPr>
            <w:tcW w:w="980" w:type="dxa"/>
            <w:tcBorders>
              <w:top w:val="nil"/>
              <w:left w:val="nil"/>
              <w:bottom w:val="nil"/>
              <w:right w:val="single" w:sz="4" w:space="0" w:color="auto"/>
            </w:tcBorders>
            <w:shd w:val="clear" w:color="000000" w:fill="F2F2F2"/>
            <w:noWrap/>
            <w:vAlign w:val="center"/>
            <w:hideMark/>
          </w:tcPr>
          <w:p w14:paraId="4F467CF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12.5%</w:t>
            </w:r>
          </w:p>
        </w:tc>
      </w:tr>
      <w:tr w:rsidR="00341875" w:rsidRPr="006D6A3F" w14:paraId="036296A8"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AB33FBA"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marocaine</w:t>
            </w:r>
          </w:p>
        </w:tc>
        <w:tc>
          <w:tcPr>
            <w:tcW w:w="1120" w:type="dxa"/>
            <w:tcBorders>
              <w:top w:val="nil"/>
              <w:left w:val="nil"/>
              <w:bottom w:val="nil"/>
              <w:right w:val="nil"/>
            </w:tcBorders>
            <w:shd w:val="clear" w:color="000000" w:fill="DDEBF7"/>
            <w:noWrap/>
            <w:vAlign w:val="center"/>
            <w:hideMark/>
          </w:tcPr>
          <w:p w14:paraId="29A0AA6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8</w:t>
            </w:r>
          </w:p>
        </w:tc>
        <w:tc>
          <w:tcPr>
            <w:tcW w:w="980" w:type="dxa"/>
            <w:tcBorders>
              <w:top w:val="nil"/>
              <w:left w:val="nil"/>
              <w:bottom w:val="nil"/>
              <w:right w:val="nil"/>
            </w:tcBorders>
            <w:shd w:val="clear" w:color="000000" w:fill="DDEBF7"/>
            <w:noWrap/>
            <w:vAlign w:val="center"/>
            <w:hideMark/>
          </w:tcPr>
          <w:p w14:paraId="13B6C1A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2.7%</w:t>
            </w:r>
          </w:p>
        </w:tc>
        <w:tc>
          <w:tcPr>
            <w:tcW w:w="1120" w:type="dxa"/>
            <w:tcBorders>
              <w:top w:val="nil"/>
              <w:left w:val="single" w:sz="4" w:space="0" w:color="auto"/>
              <w:bottom w:val="nil"/>
              <w:right w:val="nil"/>
            </w:tcBorders>
            <w:shd w:val="clear" w:color="000000" w:fill="F2F2F2"/>
            <w:noWrap/>
            <w:vAlign w:val="center"/>
            <w:hideMark/>
          </w:tcPr>
          <w:p w14:paraId="652F39D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9</w:t>
            </w:r>
          </w:p>
        </w:tc>
        <w:tc>
          <w:tcPr>
            <w:tcW w:w="980" w:type="dxa"/>
            <w:tcBorders>
              <w:top w:val="nil"/>
              <w:left w:val="nil"/>
              <w:bottom w:val="nil"/>
              <w:right w:val="single" w:sz="4" w:space="0" w:color="auto"/>
            </w:tcBorders>
            <w:shd w:val="clear" w:color="000000" w:fill="F2F2F2"/>
            <w:noWrap/>
            <w:vAlign w:val="center"/>
            <w:hideMark/>
          </w:tcPr>
          <w:p w14:paraId="5FCBE79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3.7%</w:t>
            </w:r>
          </w:p>
        </w:tc>
        <w:tc>
          <w:tcPr>
            <w:tcW w:w="1120" w:type="dxa"/>
            <w:tcBorders>
              <w:top w:val="nil"/>
              <w:left w:val="nil"/>
              <w:bottom w:val="nil"/>
              <w:right w:val="nil"/>
            </w:tcBorders>
            <w:shd w:val="clear" w:color="000000" w:fill="DDEBF7"/>
            <w:noWrap/>
            <w:vAlign w:val="center"/>
            <w:hideMark/>
          </w:tcPr>
          <w:p w14:paraId="2C7F916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24</w:t>
            </w:r>
          </w:p>
        </w:tc>
        <w:tc>
          <w:tcPr>
            <w:tcW w:w="980" w:type="dxa"/>
            <w:tcBorders>
              <w:top w:val="nil"/>
              <w:left w:val="nil"/>
              <w:bottom w:val="nil"/>
              <w:right w:val="nil"/>
            </w:tcBorders>
            <w:shd w:val="clear" w:color="000000" w:fill="DDEBF7"/>
            <w:noWrap/>
            <w:vAlign w:val="center"/>
            <w:hideMark/>
          </w:tcPr>
          <w:p w14:paraId="34FABDB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8.4%</w:t>
            </w:r>
          </w:p>
        </w:tc>
        <w:tc>
          <w:tcPr>
            <w:tcW w:w="1120" w:type="dxa"/>
            <w:tcBorders>
              <w:top w:val="nil"/>
              <w:left w:val="single" w:sz="4" w:space="0" w:color="auto"/>
              <w:bottom w:val="nil"/>
              <w:right w:val="nil"/>
            </w:tcBorders>
            <w:shd w:val="clear" w:color="000000" w:fill="F2F2F2"/>
            <w:noWrap/>
            <w:vAlign w:val="center"/>
            <w:hideMark/>
          </w:tcPr>
          <w:p w14:paraId="124CFB6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36</w:t>
            </w:r>
          </w:p>
        </w:tc>
        <w:tc>
          <w:tcPr>
            <w:tcW w:w="980" w:type="dxa"/>
            <w:tcBorders>
              <w:top w:val="nil"/>
              <w:left w:val="nil"/>
              <w:bottom w:val="nil"/>
              <w:right w:val="single" w:sz="4" w:space="0" w:color="auto"/>
            </w:tcBorders>
            <w:shd w:val="clear" w:color="000000" w:fill="F2F2F2"/>
            <w:noWrap/>
            <w:vAlign w:val="center"/>
            <w:hideMark/>
          </w:tcPr>
          <w:p w14:paraId="2E54B9A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10.4%</w:t>
            </w:r>
          </w:p>
        </w:tc>
      </w:tr>
      <w:tr w:rsidR="00341875" w:rsidRPr="006D6A3F" w14:paraId="3D62A3EA"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83A68D8"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algérienne</w:t>
            </w:r>
          </w:p>
        </w:tc>
        <w:tc>
          <w:tcPr>
            <w:tcW w:w="1120" w:type="dxa"/>
            <w:tcBorders>
              <w:top w:val="nil"/>
              <w:left w:val="nil"/>
              <w:bottom w:val="nil"/>
              <w:right w:val="nil"/>
            </w:tcBorders>
            <w:shd w:val="clear" w:color="000000" w:fill="DDEBF7"/>
            <w:noWrap/>
            <w:vAlign w:val="center"/>
            <w:hideMark/>
          </w:tcPr>
          <w:p w14:paraId="73D5210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nil"/>
            </w:tcBorders>
            <w:shd w:val="clear" w:color="000000" w:fill="DDEBF7"/>
            <w:noWrap/>
            <w:vAlign w:val="center"/>
            <w:hideMark/>
          </w:tcPr>
          <w:p w14:paraId="5261CFD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w:t>
            </w:r>
          </w:p>
        </w:tc>
        <w:tc>
          <w:tcPr>
            <w:tcW w:w="1120" w:type="dxa"/>
            <w:tcBorders>
              <w:top w:val="nil"/>
              <w:left w:val="single" w:sz="4" w:space="0" w:color="auto"/>
              <w:bottom w:val="nil"/>
              <w:right w:val="nil"/>
            </w:tcBorders>
            <w:shd w:val="clear" w:color="000000" w:fill="F2F2F2"/>
            <w:noWrap/>
            <w:vAlign w:val="center"/>
            <w:hideMark/>
          </w:tcPr>
          <w:p w14:paraId="0D6FE03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9</w:t>
            </w:r>
          </w:p>
        </w:tc>
        <w:tc>
          <w:tcPr>
            <w:tcW w:w="980" w:type="dxa"/>
            <w:tcBorders>
              <w:top w:val="nil"/>
              <w:left w:val="nil"/>
              <w:bottom w:val="nil"/>
              <w:right w:val="single" w:sz="4" w:space="0" w:color="auto"/>
            </w:tcBorders>
            <w:shd w:val="clear" w:color="000000" w:fill="F2F2F2"/>
            <w:noWrap/>
            <w:vAlign w:val="center"/>
            <w:hideMark/>
          </w:tcPr>
          <w:p w14:paraId="17F8BDA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3.7%</w:t>
            </w:r>
          </w:p>
        </w:tc>
        <w:tc>
          <w:tcPr>
            <w:tcW w:w="1120" w:type="dxa"/>
            <w:tcBorders>
              <w:top w:val="nil"/>
              <w:left w:val="nil"/>
              <w:bottom w:val="nil"/>
              <w:right w:val="nil"/>
            </w:tcBorders>
            <w:shd w:val="clear" w:color="000000" w:fill="DDEBF7"/>
            <w:noWrap/>
            <w:vAlign w:val="center"/>
            <w:hideMark/>
          </w:tcPr>
          <w:p w14:paraId="3C8F665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13</w:t>
            </w:r>
          </w:p>
        </w:tc>
        <w:tc>
          <w:tcPr>
            <w:tcW w:w="980" w:type="dxa"/>
            <w:tcBorders>
              <w:top w:val="nil"/>
              <w:left w:val="nil"/>
              <w:bottom w:val="nil"/>
              <w:right w:val="nil"/>
            </w:tcBorders>
            <w:shd w:val="clear" w:color="000000" w:fill="DDEBF7"/>
            <w:noWrap/>
            <w:vAlign w:val="center"/>
            <w:hideMark/>
          </w:tcPr>
          <w:p w14:paraId="6455C87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4.6%</w:t>
            </w:r>
          </w:p>
        </w:tc>
        <w:tc>
          <w:tcPr>
            <w:tcW w:w="1120" w:type="dxa"/>
            <w:tcBorders>
              <w:top w:val="nil"/>
              <w:left w:val="single" w:sz="4" w:space="0" w:color="auto"/>
              <w:bottom w:val="nil"/>
              <w:right w:val="nil"/>
            </w:tcBorders>
            <w:shd w:val="clear" w:color="000000" w:fill="F2F2F2"/>
            <w:noWrap/>
            <w:vAlign w:val="center"/>
            <w:hideMark/>
          </w:tcPr>
          <w:p w14:paraId="49F81AD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28</w:t>
            </w:r>
          </w:p>
        </w:tc>
        <w:tc>
          <w:tcPr>
            <w:tcW w:w="980" w:type="dxa"/>
            <w:tcBorders>
              <w:top w:val="nil"/>
              <w:left w:val="nil"/>
              <w:bottom w:val="nil"/>
              <w:right w:val="single" w:sz="4" w:space="0" w:color="auto"/>
            </w:tcBorders>
            <w:shd w:val="clear" w:color="000000" w:fill="F2F2F2"/>
            <w:noWrap/>
            <w:vAlign w:val="center"/>
            <w:hideMark/>
          </w:tcPr>
          <w:p w14:paraId="4E2A073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8.1%</w:t>
            </w:r>
          </w:p>
        </w:tc>
      </w:tr>
      <w:tr w:rsidR="00341875" w:rsidRPr="006D6A3F" w14:paraId="54EE6DDB"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C371BEE"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française</w:t>
            </w:r>
          </w:p>
        </w:tc>
        <w:tc>
          <w:tcPr>
            <w:tcW w:w="1120" w:type="dxa"/>
            <w:tcBorders>
              <w:top w:val="nil"/>
              <w:left w:val="nil"/>
              <w:bottom w:val="nil"/>
              <w:right w:val="nil"/>
            </w:tcBorders>
            <w:shd w:val="clear" w:color="000000" w:fill="DDEBF7"/>
            <w:noWrap/>
            <w:vAlign w:val="center"/>
            <w:hideMark/>
          </w:tcPr>
          <w:p w14:paraId="39373DB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30</w:t>
            </w:r>
          </w:p>
        </w:tc>
        <w:tc>
          <w:tcPr>
            <w:tcW w:w="980" w:type="dxa"/>
            <w:tcBorders>
              <w:top w:val="nil"/>
              <w:left w:val="nil"/>
              <w:bottom w:val="nil"/>
              <w:right w:val="nil"/>
            </w:tcBorders>
            <w:shd w:val="clear" w:color="000000" w:fill="DDEBF7"/>
            <w:noWrap/>
            <w:vAlign w:val="center"/>
            <w:hideMark/>
          </w:tcPr>
          <w:p w14:paraId="1747A7E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10.3%</w:t>
            </w:r>
          </w:p>
        </w:tc>
        <w:tc>
          <w:tcPr>
            <w:tcW w:w="1120" w:type="dxa"/>
            <w:tcBorders>
              <w:top w:val="nil"/>
              <w:left w:val="single" w:sz="4" w:space="0" w:color="auto"/>
              <w:bottom w:val="nil"/>
              <w:right w:val="nil"/>
            </w:tcBorders>
            <w:shd w:val="clear" w:color="000000" w:fill="F2F2F2"/>
            <w:noWrap/>
            <w:vAlign w:val="center"/>
            <w:hideMark/>
          </w:tcPr>
          <w:p w14:paraId="3300ACD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19</w:t>
            </w:r>
          </w:p>
        </w:tc>
        <w:tc>
          <w:tcPr>
            <w:tcW w:w="980" w:type="dxa"/>
            <w:tcBorders>
              <w:top w:val="nil"/>
              <w:left w:val="nil"/>
              <w:bottom w:val="nil"/>
              <w:right w:val="single" w:sz="4" w:space="0" w:color="auto"/>
            </w:tcBorders>
            <w:shd w:val="clear" w:color="000000" w:fill="F2F2F2"/>
            <w:noWrap/>
            <w:vAlign w:val="center"/>
            <w:hideMark/>
          </w:tcPr>
          <w:p w14:paraId="3BF2C9B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7.9%</w:t>
            </w:r>
          </w:p>
        </w:tc>
        <w:tc>
          <w:tcPr>
            <w:tcW w:w="1120" w:type="dxa"/>
            <w:tcBorders>
              <w:top w:val="nil"/>
              <w:left w:val="nil"/>
              <w:bottom w:val="nil"/>
              <w:right w:val="nil"/>
            </w:tcBorders>
            <w:shd w:val="clear" w:color="000000" w:fill="DDEBF7"/>
            <w:noWrap/>
            <w:vAlign w:val="center"/>
            <w:hideMark/>
          </w:tcPr>
          <w:p w14:paraId="6C31014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13</w:t>
            </w:r>
          </w:p>
        </w:tc>
        <w:tc>
          <w:tcPr>
            <w:tcW w:w="980" w:type="dxa"/>
            <w:tcBorders>
              <w:top w:val="nil"/>
              <w:left w:val="nil"/>
              <w:bottom w:val="nil"/>
              <w:right w:val="nil"/>
            </w:tcBorders>
            <w:shd w:val="clear" w:color="000000" w:fill="DDEBF7"/>
            <w:noWrap/>
            <w:vAlign w:val="center"/>
            <w:hideMark/>
          </w:tcPr>
          <w:p w14:paraId="2F0B5A3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4.6%</w:t>
            </w:r>
          </w:p>
        </w:tc>
        <w:tc>
          <w:tcPr>
            <w:tcW w:w="1120" w:type="dxa"/>
            <w:tcBorders>
              <w:top w:val="nil"/>
              <w:left w:val="single" w:sz="4" w:space="0" w:color="auto"/>
              <w:bottom w:val="nil"/>
              <w:right w:val="nil"/>
            </w:tcBorders>
            <w:shd w:val="clear" w:color="000000" w:fill="F2F2F2"/>
            <w:noWrap/>
            <w:vAlign w:val="center"/>
            <w:hideMark/>
          </w:tcPr>
          <w:p w14:paraId="61918E6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23</w:t>
            </w:r>
          </w:p>
        </w:tc>
        <w:tc>
          <w:tcPr>
            <w:tcW w:w="980" w:type="dxa"/>
            <w:tcBorders>
              <w:top w:val="nil"/>
              <w:left w:val="nil"/>
              <w:bottom w:val="nil"/>
              <w:right w:val="single" w:sz="4" w:space="0" w:color="auto"/>
            </w:tcBorders>
            <w:shd w:val="clear" w:color="000000" w:fill="F2F2F2"/>
            <w:noWrap/>
            <w:vAlign w:val="center"/>
            <w:hideMark/>
          </w:tcPr>
          <w:p w14:paraId="2811FB9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6.7%</w:t>
            </w:r>
          </w:p>
        </w:tc>
      </w:tr>
      <w:tr w:rsidR="00341875" w:rsidRPr="006D6A3F" w14:paraId="304A6521"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9F950C2"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nigériane</w:t>
            </w:r>
          </w:p>
        </w:tc>
        <w:tc>
          <w:tcPr>
            <w:tcW w:w="1120" w:type="dxa"/>
            <w:tcBorders>
              <w:top w:val="nil"/>
              <w:left w:val="nil"/>
              <w:bottom w:val="nil"/>
              <w:right w:val="nil"/>
            </w:tcBorders>
            <w:shd w:val="clear" w:color="000000" w:fill="DDEBF7"/>
            <w:noWrap/>
            <w:vAlign w:val="center"/>
            <w:hideMark/>
          </w:tcPr>
          <w:p w14:paraId="4C9C196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43</w:t>
            </w:r>
          </w:p>
        </w:tc>
        <w:tc>
          <w:tcPr>
            <w:tcW w:w="980" w:type="dxa"/>
            <w:tcBorders>
              <w:top w:val="nil"/>
              <w:left w:val="nil"/>
              <w:bottom w:val="nil"/>
              <w:right w:val="nil"/>
            </w:tcBorders>
            <w:shd w:val="clear" w:color="000000" w:fill="DDEBF7"/>
            <w:noWrap/>
            <w:vAlign w:val="center"/>
            <w:hideMark/>
          </w:tcPr>
          <w:p w14:paraId="1B86CEE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14.8%</w:t>
            </w:r>
          </w:p>
        </w:tc>
        <w:tc>
          <w:tcPr>
            <w:tcW w:w="1120" w:type="dxa"/>
            <w:tcBorders>
              <w:top w:val="nil"/>
              <w:left w:val="single" w:sz="4" w:space="0" w:color="auto"/>
              <w:bottom w:val="nil"/>
              <w:right w:val="nil"/>
            </w:tcBorders>
            <w:shd w:val="clear" w:color="000000" w:fill="F2F2F2"/>
            <w:noWrap/>
            <w:vAlign w:val="center"/>
            <w:hideMark/>
          </w:tcPr>
          <w:p w14:paraId="1DBCF30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16</w:t>
            </w:r>
          </w:p>
        </w:tc>
        <w:tc>
          <w:tcPr>
            <w:tcW w:w="980" w:type="dxa"/>
            <w:tcBorders>
              <w:top w:val="nil"/>
              <w:left w:val="nil"/>
              <w:bottom w:val="nil"/>
              <w:right w:val="single" w:sz="4" w:space="0" w:color="auto"/>
            </w:tcBorders>
            <w:shd w:val="clear" w:color="000000" w:fill="F2F2F2"/>
            <w:noWrap/>
            <w:vAlign w:val="center"/>
            <w:hideMark/>
          </w:tcPr>
          <w:p w14:paraId="74C4FFD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6.6%</w:t>
            </w:r>
          </w:p>
        </w:tc>
        <w:tc>
          <w:tcPr>
            <w:tcW w:w="1120" w:type="dxa"/>
            <w:tcBorders>
              <w:top w:val="nil"/>
              <w:left w:val="nil"/>
              <w:bottom w:val="nil"/>
              <w:right w:val="nil"/>
            </w:tcBorders>
            <w:shd w:val="clear" w:color="000000" w:fill="DDEBF7"/>
            <w:noWrap/>
            <w:vAlign w:val="center"/>
            <w:hideMark/>
          </w:tcPr>
          <w:p w14:paraId="44984EF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28</w:t>
            </w:r>
          </w:p>
        </w:tc>
        <w:tc>
          <w:tcPr>
            <w:tcW w:w="980" w:type="dxa"/>
            <w:tcBorders>
              <w:top w:val="nil"/>
              <w:left w:val="nil"/>
              <w:bottom w:val="nil"/>
              <w:right w:val="nil"/>
            </w:tcBorders>
            <w:shd w:val="clear" w:color="000000" w:fill="DDEBF7"/>
            <w:noWrap/>
            <w:vAlign w:val="center"/>
            <w:hideMark/>
          </w:tcPr>
          <w:p w14:paraId="221B6FC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9.8%</w:t>
            </w:r>
          </w:p>
        </w:tc>
        <w:tc>
          <w:tcPr>
            <w:tcW w:w="1120" w:type="dxa"/>
            <w:tcBorders>
              <w:top w:val="nil"/>
              <w:left w:val="single" w:sz="4" w:space="0" w:color="auto"/>
              <w:bottom w:val="nil"/>
              <w:right w:val="nil"/>
            </w:tcBorders>
            <w:shd w:val="clear" w:color="000000" w:fill="F2F2F2"/>
            <w:noWrap/>
            <w:vAlign w:val="center"/>
            <w:hideMark/>
          </w:tcPr>
          <w:p w14:paraId="119B97F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22</w:t>
            </w:r>
          </w:p>
        </w:tc>
        <w:tc>
          <w:tcPr>
            <w:tcW w:w="980" w:type="dxa"/>
            <w:tcBorders>
              <w:top w:val="nil"/>
              <w:left w:val="nil"/>
              <w:bottom w:val="nil"/>
              <w:right w:val="single" w:sz="4" w:space="0" w:color="auto"/>
            </w:tcBorders>
            <w:shd w:val="clear" w:color="000000" w:fill="F2F2F2"/>
            <w:noWrap/>
            <w:vAlign w:val="center"/>
            <w:hideMark/>
          </w:tcPr>
          <w:p w14:paraId="19215F1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6.4%</w:t>
            </w:r>
          </w:p>
        </w:tc>
      </w:tr>
      <w:tr w:rsidR="00341875" w:rsidRPr="006D6A3F" w14:paraId="66A071A2"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3116600E"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tunisienne</w:t>
            </w:r>
          </w:p>
        </w:tc>
        <w:tc>
          <w:tcPr>
            <w:tcW w:w="1120" w:type="dxa"/>
            <w:tcBorders>
              <w:top w:val="nil"/>
              <w:left w:val="nil"/>
              <w:bottom w:val="nil"/>
              <w:right w:val="nil"/>
            </w:tcBorders>
            <w:shd w:val="clear" w:color="000000" w:fill="DDEBF7"/>
            <w:noWrap/>
            <w:vAlign w:val="center"/>
            <w:hideMark/>
          </w:tcPr>
          <w:p w14:paraId="426FD45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6</w:t>
            </w:r>
          </w:p>
        </w:tc>
        <w:tc>
          <w:tcPr>
            <w:tcW w:w="980" w:type="dxa"/>
            <w:tcBorders>
              <w:top w:val="nil"/>
              <w:left w:val="nil"/>
              <w:bottom w:val="nil"/>
              <w:right w:val="nil"/>
            </w:tcBorders>
            <w:shd w:val="clear" w:color="000000" w:fill="DDEBF7"/>
            <w:noWrap/>
            <w:vAlign w:val="center"/>
            <w:hideMark/>
          </w:tcPr>
          <w:p w14:paraId="57323D5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2.1%</w:t>
            </w:r>
          </w:p>
        </w:tc>
        <w:tc>
          <w:tcPr>
            <w:tcW w:w="1120" w:type="dxa"/>
            <w:tcBorders>
              <w:top w:val="nil"/>
              <w:left w:val="single" w:sz="4" w:space="0" w:color="auto"/>
              <w:bottom w:val="nil"/>
              <w:right w:val="nil"/>
            </w:tcBorders>
            <w:shd w:val="clear" w:color="000000" w:fill="F2F2F2"/>
            <w:noWrap/>
            <w:vAlign w:val="center"/>
            <w:hideMark/>
          </w:tcPr>
          <w:p w14:paraId="3D66FDE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single" w:sz="4" w:space="0" w:color="auto"/>
            </w:tcBorders>
            <w:shd w:val="clear" w:color="000000" w:fill="F2F2F2"/>
            <w:noWrap/>
            <w:vAlign w:val="center"/>
            <w:hideMark/>
          </w:tcPr>
          <w:p w14:paraId="3326761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2.1%</w:t>
            </w:r>
          </w:p>
        </w:tc>
        <w:tc>
          <w:tcPr>
            <w:tcW w:w="1120" w:type="dxa"/>
            <w:tcBorders>
              <w:top w:val="nil"/>
              <w:left w:val="nil"/>
              <w:bottom w:val="nil"/>
              <w:right w:val="nil"/>
            </w:tcBorders>
            <w:shd w:val="clear" w:color="000000" w:fill="DDEBF7"/>
            <w:noWrap/>
            <w:vAlign w:val="center"/>
            <w:hideMark/>
          </w:tcPr>
          <w:p w14:paraId="658CD93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9</w:t>
            </w:r>
          </w:p>
        </w:tc>
        <w:tc>
          <w:tcPr>
            <w:tcW w:w="980" w:type="dxa"/>
            <w:tcBorders>
              <w:top w:val="nil"/>
              <w:left w:val="nil"/>
              <w:bottom w:val="nil"/>
              <w:right w:val="nil"/>
            </w:tcBorders>
            <w:shd w:val="clear" w:color="000000" w:fill="DDEBF7"/>
            <w:noWrap/>
            <w:vAlign w:val="center"/>
            <w:hideMark/>
          </w:tcPr>
          <w:p w14:paraId="67753DA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3.2%</w:t>
            </w:r>
          </w:p>
        </w:tc>
        <w:tc>
          <w:tcPr>
            <w:tcW w:w="1120" w:type="dxa"/>
            <w:tcBorders>
              <w:top w:val="nil"/>
              <w:left w:val="single" w:sz="4" w:space="0" w:color="auto"/>
              <w:bottom w:val="nil"/>
              <w:right w:val="nil"/>
            </w:tcBorders>
            <w:shd w:val="clear" w:color="000000" w:fill="F2F2F2"/>
            <w:noWrap/>
            <w:vAlign w:val="center"/>
            <w:hideMark/>
          </w:tcPr>
          <w:p w14:paraId="17CA745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19</w:t>
            </w:r>
          </w:p>
        </w:tc>
        <w:tc>
          <w:tcPr>
            <w:tcW w:w="980" w:type="dxa"/>
            <w:tcBorders>
              <w:top w:val="nil"/>
              <w:left w:val="nil"/>
              <w:bottom w:val="nil"/>
              <w:right w:val="single" w:sz="4" w:space="0" w:color="auto"/>
            </w:tcBorders>
            <w:shd w:val="clear" w:color="000000" w:fill="F2F2F2"/>
            <w:noWrap/>
            <w:vAlign w:val="center"/>
            <w:hideMark/>
          </w:tcPr>
          <w:p w14:paraId="4CDD736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5.5%</w:t>
            </w:r>
          </w:p>
        </w:tc>
      </w:tr>
      <w:tr w:rsidR="00341875" w:rsidRPr="006D6A3F" w14:paraId="00B851A7"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3434376F"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roumaine</w:t>
            </w:r>
          </w:p>
        </w:tc>
        <w:tc>
          <w:tcPr>
            <w:tcW w:w="1120" w:type="dxa"/>
            <w:tcBorders>
              <w:top w:val="nil"/>
              <w:left w:val="nil"/>
              <w:bottom w:val="nil"/>
              <w:right w:val="nil"/>
            </w:tcBorders>
            <w:shd w:val="clear" w:color="000000" w:fill="DDEBF7"/>
            <w:noWrap/>
            <w:vAlign w:val="center"/>
            <w:hideMark/>
          </w:tcPr>
          <w:p w14:paraId="523F602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25</w:t>
            </w:r>
          </w:p>
        </w:tc>
        <w:tc>
          <w:tcPr>
            <w:tcW w:w="980" w:type="dxa"/>
            <w:tcBorders>
              <w:top w:val="nil"/>
              <w:left w:val="nil"/>
              <w:bottom w:val="nil"/>
              <w:right w:val="nil"/>
            </w:tcBorders>
            <w:shd w:val="clear" w:color="000000" w:fill="DDEBF7"/>
            <w:noWrap/>
            <w:vAlign w:val="center"/>
            <w:hideMark/>
          </w:tcPr>
          <w:p w14:paraId="6458DFA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8.6%</w:t>
            </w:r>
          </w:p>
        </w:tc>
        <w:tc>
          <w:tcPr>
            <w:tcW w:w="1120" w:type="dxa"/>
            <w:tcBorders>
              <w:top w:val="nil"/>
              <w:left w:val="single" w:sz="4" w:space="0" w:color="auto"/>
              <w:bottom w:val="nil"/>
              <w:right w:val="nil"/>
            </w:tcBorders>
            <w:shd w:val="clear" w:color="000000" w:fill="F2F2F2"/>
            <w:noWrap/>
            <w:vAlign w:val="center"/>
            <w:hideMark/>
          </w:tcPr>
          <w:p w14:paraId="4088226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24</w:t>
            </w:r>
          </w:p>
        </w:tc>
        <w:tc>
          <w:tcPr>
            <w:tcW w:w="980" w:type="dxa"/>
            <w:tcBorders>
              <w:top w:val="nil"/>
              <w:left w:val="nil"/>
              <w:bottom w:val="nil"/>
              <w:right w:val="single" w:sz="4" w:space="0" w:color="auto"/>
            </w:tcBorders>
            <w:shd w:val="clear" w:color="000000" w:fill="F2F2F2"/>
            <w:noWrap/>
            <w:vAlign w:val="center"/>
            <w:hideMark/>
          </w:tcPr>
          <w:p w14:paraId="419D312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9.9%</w:t>
            </w:r>
          </w:p>
        </w:tc>
        <w:tc>
          <w:tcPr>
            <w:tcW w:w="1120" w:type="dxa"/>
            <w:tcBorders>
              <w:top w:val="nil"/>
              <w:left w:val="nil"/>
              <w:bottom w:val="nil"/>
              <w:right w:val="nil"/>
            </w:tcBorders>
            <w:shd w:val="clear" w:color="000000" w:fill="DDEBF7"/>
            <w:noWrap/>
            <w:vAlign w:val="center"/>
            <w:hideMark/>
          </w:tcPr>
          <w:p w14:paraId="467437B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25</w:t>
            </w:r>
          </w:p>
        </w:tc>
        <w:tc>
          <w:tcPr>
            <w:tcW w:w="980" w:type="dxa"/>
            <w:tcBorders>
              <w:top w:val="nil"/>
              <w:left w:val="nil"/>
              <w:bottom w:val="nil"/>
              <w:right w:val="nil"/>
            </w:tcBorders>
            <w:shd w:val="clear" w:color="000000" w:fill="DDEBF7"/>
            <w:noWrap/>
            <w:vAlign w:val="center"/>
            <w:hideMark/>
          </w:tcPr>
          <w:p w14:paraId="7389E29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8.8%</w:t>
            </w:r>
          </w:p>
        </w:tc>
        <w:tc>
          <w:tcPr>
            <w:tcW w:w="1120" w:type="dxa"/>
            <w:tcBorders>
              <w:top w:val="nil"/>
              <w:left w:val="single" w:sz="4" w:space="0" w:color="auto"/>
              <w:bottom w:val="nil"/>
              <w:right w:val="nil"/>
            </w:tcBorders>
            <w:shd w:val="clear" w:color="000000" w:fill="F2F2F2"/>
            <w:noWrap/>
            <w:vAlign w:val="center"/>
            <w:hideMark/>
          </w:tcPr>
          <w:p w14:paraId="0BC75BE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c>
          <w:tcPr>
            <w:tcW w:w="980" w:type="dxa"/>
            <w:tcBorders>
              <w:top w:val="nil"/>
              <w:left w:val="nil"/>
              <w:bottom w:val="nil"/>
              <w:right w:val="single" w:sz="4" w:space="0" w:color="auto"/>
            </w:tcBorders>
            <w:shd w:val="clear" w:color="000000" w:fill="F2F2F2"/>
            <w:noWrap/>
            <w:vAlign w:val="center"/>
            <w:hideMark/>
          </w:tcPr>
          <w:p w14:paraId="7A1E8A9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4.9%</w:t>
            </w:r>
          </w:p>
        </w:tc>
      </w:tr>
      <w:tr w:rsidR="00341875" w:rsidRPr="006D6A3F" w14:paraId="2ADCFDBC"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3A21122A"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néerlandaise</w:t>
            </w:r>
          </w:p>
        </w:tc>
        <w:tc>
          <w:tcPr>
            <w:tcW w:w="1120" w:type="dxa"/>
            <w:tcBorders>
              <w:top w:val="nil"/>
              <w:left w:val="nil"/>
              <w:bottom w:val="nil"/>
              <w:right w:val="nil"/>
            </w:tcBorders>
            <w:shd w:val="clear" w:color="000000" w:fill="DDEBF7"/>
            <w:noWrap/>
            <w:vAlign w:val="center"/>
            <w:hideMark/>
          </w:tcPr>
          <w:p w14:paraId="21C2AC5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7</w:t>
            </w:r>
          </w:p>
        </w:tc>
        <w:tc>
          <w:tcPr>
            <w:tcW w:w="980" w:type="dxa"/>
            <w:tcBorders>
              <w:top w:val="nil"/>
              <w:left w:val="nil"/>
              <w:bottom w:val="nil"/>
              <w:right w:val="nil"/>
            </w:tcBorders>
            <w:shd w:val="clear" w:color="000000" w:fill="DDEBF7"/>
            <w:noWrap/>
            <w:vAlign w:val="center"/>
            <w:hideMark/>
          </w:tcPr>
          <w:p w14:paraId="4459D40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2.4%</w:t>
            </w:r>
          </w:p>
        </w:tc>
        <w:tc>
          <w:tcPr>
            <w:tcW w:w="1120" w:type="dxa"/>
            <w:tcBorders>
              <w:top w:val="nil"/>
              <w:left w:val="single" w:sz="4" w:space="0" w:color="auto"/>
              <w:bottom w:val="nil"/>
              <w:right w:val="nil"/>
            </w:tcBorders>
            <w:shd w:val="clear" w:color="000000" w:fill="F2F2F2"/>
            <w:noWrap/>
            <w:vAlign w:val="center"/>
            <w:hideMark/>
          </w:tcPr>
          <w:p w14:paraId="4526FAC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single" w:sz="4" w:space="0" w:color="auto"/>
            </w:tcBorders>
            <w:shd w:val="clear" w:color="000000" w:fill="F2F2F2"/>
            <w:noWrap/>
            <w:vAlign w:val="center"/>
            <w:hideMark/>
          </w:tcPr>
          <w:p w14:paraId="036EE0D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c>
          <w:tcPr>
            <w:tcW w:w="1120" w:type="dxa"/>
            <w:tcBorders>
              <w:top w:val="nil"/>
              <w:left w:val="nil"/>
              <w:bottom w:val="nil"/>
              <w:right w:val="nil"/>
            </w:tcBorders>
            <w:shd w:val="clear" w:color="000000" w:fill="DDEBF7"/>
            <w:noWrap/>
            <w:vAlign w:val="center"/>
            <w:hideMark/>
          </w:tcPr>
          <w:p w14:paraId="4FB51F7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nil"/>
            </w:tcBorders>
            <w:shd w:val="clear" w:color="000000" w:fill="DDEBF7"/>
            <w:noWrap/>
            <w:vAlign w:val="center"/>
            <w:hideMark/>
          </w:tcPr>
          <w:p w14:paraId="7285771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1.1%</w:t>
            </w:r>
          </w:p>
        </w:tc>
        <w:tc>
          <w:tcPr>
            <w:tcW w:w="1120" w:type="dxa"/>
            <w:tcBorders>
              <w:top w:val="nil"/>
              <w:left w:val="single" w:sz="4" w:space="0" w:color="auto"/>
              <w:bottom w:val="nil"/>
              <w:right w:val="nil"/>
            </w:tcBorders>
            <w:shd w:val="clear" w:color="000000" w:fill="F2F2F2"/>
            <w:noWrap/>
            <w:vAlign w:val="center"/>
            <w:hideMark/>
          </w:tcPr>
          <w:p w14:paraId="0535A8A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10</w:t>
            </w:r>
          </w:p>
        </w:tc>
        <w:tc>
          <w:tcPr>
            <w:tcW w:w="980" w:type="dxa"/>
            <w:tcBorders>
              <w:top w:val="nil"/>
              <w:left w:val="nil"/>
              <w:bottom w:val="nil"/>
              <w:right w:val="single" w:sz="4" w:space="0" w:color="auto"/>
            </w:tcBorders>
            <w:shd w:val="clear" w:color="000000" w:fill="F2F2F2"/>
            <w:noWrap/>
            <w:vAlign w:val="center"/>
            <w:hideMark/>
          </w:tcPr>
          <w:p w14:paraId="76941B0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2.9%</w:t>
            </w:r>
          </w:p>
        </w:tc>
      </w:tr>
      <w:tr w:rsidR="00341875" w:rsidRPr="006D6A3F" w14:paraId="58B74FB7"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AFEDF3F"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albanaise</w:t>
            </w:r>
          </w:p>
        </w:tc>
        <w:tc>
          <w:tcPr>
            <w:tcW w:w="1120" w:type="dxa"/>
            <w:tcBorders>
              <w:top w:val="nil"/>
              <w:left w:val="nil"/>
              <w:bottom w:val="nil"/>
              <w:right w:val="nil"/>
            </w:tcBorders>
            <w:shd w:val="clear" w:color="000000" w:fill="DDEBF7"/>
            <w:noWrap/>
            <w:vAlign w:val="center"/>
            <w:hideMark/>
          </w:tcPr>
          <w:p w14:paraId="1EC77EC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nil"/>
            </w:tcBorders>
            <w:shd w:val="clear" w:color="000000" w:fill="DDEBF7"/>
            <w:noWrap/>
            <w:vAlign w:val="center"/>
            <w:hideMark/>
          </w:tcPr>
          <w:p w14:paraId="665875A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c>
          <w:tcPr>
            <w:tcW w:w="1120" w:type="dxa"/>
            <w:tcBorders>
              <w:top w:val="nil"/>
              <w:left w:val="single" w:sz="4" w:space="0" w:color="auto"/>
              <w:bottom w:val="nil"/>
              <w:right w:val="nil"/>
            </w:tcBorders>
            <w:shd w:val="clear" w:color="000000" w:fill="F2F2F2"/>
            <w:noWrap/>
            <w:vAlign w:val="center"/>
            <w:hideMark/>
          </w:tcPr>
          <w:p w14:paraId="6AA7940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39E718D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71B044A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nil"/>
            </w:tcBorders>
            <w:shd w:val="clear" w:color="000000" w:fill="DDEBF7"/>
            <w:noWrap/>
            <w:vAlign w:val="center"/>
            <w:hideMark/>
          </w:tcPr>
          <w:p w14:paraId="124660A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1.8%</w:t>
            </w:r>
          </w:p>
        </w:tc>
        <w:tc>
          <w:tcPr>
            <w:tcW w:w="1120" w:type="dxa"/>
            <w:tcBorders>
              <w:top w:val="nil"/>
              <w:left w:val="single" w:sz="4" w:space="0" w:color="auto"/>
              <w:bottom w:val="nil"/>
              <w:right w:val="nil"/>
            </w:tcBorders>
            <w:shd w:val="clear" w:color="000000" w:fill="F2F2F2"/>
            <w:noWrap/>
            <w:vAlign w:val="center"/>
            <w:hideMark/>
          </w:tcPr>
          <w:p w14:paraId="30F6EA7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9</w:t>
            </w:r>
          </w:p>
        </w:tc>
        <w:tc>
          <w:tcPr>
            <w:tcW w:w="980" w:type="dxa"/>
            <w:tcBorders>
              <w:top w:val="nil"/>
              <w:left w:val="nil"/>
              <w:bottom w:val="nil"/>
              <w:right w:val="single" w:sz="4" w:space="0" w:color="auto"/>
            </w:tcBorders>
            <w:shd w:val="clear" w:color="000000" w:fill="F2F2F2"/>
            <w:noWrap/>
            <w:vAlign w:val="center"/>
            <w:hideMark/>
          </w:tcPr>
          <w:p w14:paraId="0B8DC47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2.6%</w:t>
            </w:r>
          </w:p>
        </w:tc>
      </w:tr>
      <w:tr w:rsidR="00341875" w:rsidRPr="006D6A3F" w14:paraId="12B6A621"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B79FFB1"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belge</w:t>
            </w:r>
          </w:p>
        </w:tc>
        <w:tc>
          <w:tcPr>
            <w:tcW w:w="1120" w:type="dxa"/>
            <w:tcBorders>
              <w:top w:val="nil"/>
              <w:left w:val="nil"/>
              <w:bottom w:val="nil"/>
              <w:right w:val="nil"/>
            </w:tcBorders>
            <w:shd w:val="clear" w:color="000000" w:fill="DDEBF7"/>
            <w:noWrap/>
            <w:vAlign w:val="center"/>
            <w:hideMark/>
          </w:tcPr>
          <w:p w14:paraId="6252E57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nil"/>
            </w:tcBorders>
            <w:shd w:val="clear" w:color="000000" w:fill="DDEBF7"/>
            <w:noWrap/>
            <w:vAlign w:val="center"/>
            <w:hideMark/>
          </w:tcPr>
          <w:p w14:paraId="213A00F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w:t>
            </w:r>
          </w:p>
        </w:tc>
        <w:tc>
          <w:tcPr>
            <w:tcW w:w="1120" w:type="dxa"/>
            <w:tcBorders>
              <w:top w:val="nil"/>
              <w:left w:val="single" w:sz="4" w:space="0" w:color="auto"/>
              <w:bottom w:val="nil"/>
              <w:right w:val="nil"/>
            </w:tcBorders>
            <w:shd w:val="clear" w:color="000000" w:fill="F2F2F2"/>
            <w:noWrap/>
            <w:vAlign w:val="center"/>
            <w:hideMark/>
          </w:tcPr>
          <w:p w14:paraId="4943CB7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8</w:t>
            </w:r>
          </w:p>
        </w:tc>
        <w:tc>
          <w:tcPr>
            <w:tcW w:w="980" w:type="dxa"/>
            <w:tcBorders>
              <w:top w:val="nil"/>
              <w:left w:val="nil"/>
              <w:bottom w:val="nil"/>
              <w:right w:val="single" w:sz="4" w:space="0" w:color="auto"/>
            </w:tcBorders>
            <w:shd w:val="clear" w:color="000000" w:fill="F2F2F2"/>
            <w:noWrap/>
            <w:vAlign w:val="center"/>
            <w:hideMark/>
          </w:tcPr>
          <w:p w14:paraId="48E05B0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3.3%</w:t>
            </w:r>
          </w:p>
        </w:tc>
        <w:tc>
          <w:tcPr>
            <w:tcW w:w="1120" w:type="dxa"/>
            <w:tcBorders>
              <w:top w:val="nil"/>
              <w:left w:val="nil"/>
              <w:bottom w:val="nil"/>
              <w:right w:val="nil"/>
            </w:tcBorders>
            <w:shd w:val="clear" w:color="000000" w:fill="DDEBF7"/>
            <w:noWrap/>
            <w:vAlign w:val="center"/>
            <w:hideMark/>
          </w:tcPr>
          <w:p w14:paraId="621034F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nil"/>
            </w:tcBorders>
            <w:shd w:val="clear" w:color="000000" w:fill="DDEBF7"/>
            <w:noWrap/>
            <w:vAlign w:val="center"/>
            <w:hideMark/>
          </w:tcPr>
          <w:p w14:paraId="22CCCE6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1.8%</w:t>
            </w:r>
          </w:p>
        </w:tc>
        <w:tc>
          <w:tcPr>
            <w:tcW w:w="1120" w:type="dxa"/>
            <w:tcBorders>
              <w:top w:val="nil"/>
              <w:left w:val="single" w:sz="4" w:space="0" w:color="auto"/>
              <w:bottom w:val="nil"/>
              <w:right w:val="nil"/>
            </w:tcBorders>
            <w:shd w:val="clear" w:color="000000" w:fill="F2F2F2"/>
            <w:noWrap/>
            <w:vAlign w:val="center"/>
            <w:hideMark/>
          </w:tcPr>
          <w:p w14:paraId="2616599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7</w:t>
            </w:r>
          </w:p>
        </w:tc>
        <w:tc>
          <w:tcPr>
            <w:tcW w:w="980" w:type="dxa"/>
            <w:tcBorders>
              <w:top w:val="nil"/>
              <w:left w:val="nil"/>
              <w:bottom w:val="nil"/>
              <w:right w:val="single" w:sz="4" w:space="0" w:color="auto"/>
            </w:tcBorders>
            <w:shd w:val="clear" w:color="000000" w:fill="F2F2F2"/>
            <w:noWrap/>
            <w:vAlign w:val="center"/>
            <w:hideMark/>
          </w:tcPr>
          <w:p w14:paraId="42780DC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2.0%</w:t>
            </w:r>
          </w:p>
        </w:tc>
      </w:tr>
      <w:tr w:rsidR="00341875" w:rsidRPr="006D6A3F" w14:paraId="118161F7"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40FF0FF"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italienne</w:t>
            </w:r>
          </w:p>
        </w:tc>
        <w:tc>
          <w:tcPr>
            <w:tcW w:w="1120" w:type="dxa"/>
            <w:tcBorders>
              <w:top w:val="nil"/>
              <w:left w:val="nil"/>
              <w:bottom w:val="nil"/>
              <w:right w:val="nil"/>
            </w:tcBorders>
            <w:shd w:val="clear" w:color="000000" w:fill="DDEBF7"/>
            <w:noWrap/>
            <w:vAlign w:val="center"/>
            <w:hideMark/>
          </w:tcPr>
          <w:p w14:paraId="729D122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nil"/>
            </w:tcBorders>
            <w:shd w:val="clear" w:color="000000" w:fill="DDEBF7"/>
            <w:noWrap/>
            <w:vAlign w:val="center"/>
            <w:hideMark/>
          </w:tcPr>
          <w:p w14:paraId="0ECEE9E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1.0%</w:t>
            </w:r>
          </w:p>
        </w:tc>
        <w:tc>
          <w:tcPr>
            <w:tcW w:w="1120" w:type="dxa"/>
            <w:tcBorders>
              <w:top w:val="nil"/>
              <w:left w:val="single" w:sz="4" w:space="0" w:color="auto"/>
              <w:bottom w:val="nil"/>
              <w:right w:val="nil"/>
            </w:tcBorders>
            <w:shd w:val="clear" w:color="000000" w:fill="F2F2F2"/>
            <w:noWrap/>
            <w:vAlign w:val="center"/>
            <w:hideMark/>
          </w:tcPr>
          <w:p w14:paraId="32F09E3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11</w:t>
            </w:r>
          </w:p>
        </w:tc>
        <w:tc>
          <w:tcPr>
            <w:tcW w:w="980" w:type="dxa"/>
            <w:tcBorders>
              <w:top w:val="nil"/>
              <w:left w:val="nil"/>
              <w:bottom w:val="nil"/>
              <w:right w:val="single" w:sz="4" w:space="0" w:color="auto"/>
            </w:tcBorders>
            <w:shd w:val="clear" w:color="000000" w:fill="F2F2F2"/>
            <w:noWrap/>
            <w:vAlign w:val="center"/>
            <w:hideMark/>
          </w:tcPr>
          <w:p w14:paraId="53F330A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4.5%</w:t>
            </w:r>
          </w:p>
        </w:tc>
        <w:tc>
          <w:tcPr>
            <w:tcW w:w="1120" w:type="dxa"/>
            <w:tcBorders>
              <w:top w:val="nil"/>
              <w:left w:val="nil"/>
              <w:bottom w:val="nil"/>
              <w:right w:val="nil"/>
            </w:tcBorders>
            <w:shd w:val="clear" w:color="000000" w:fill="DDEBF7"/>
            <w:noWrap/>
            <w:vAlign w:val="center"/>
            <w:hideMark/>
          </w:tcPr>
          <w:p w14:paraId="339F1E4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nil"/>
            </w:tcBorders>
            <w:shd w:val="clear" w:color="000000" w:fill="DDEBF7"/>
            <w:noWrap/>
            <w:vAlign w:val="center"/>
            <w:hideMark/>
          </w:tcPr>
          <w:p w14:paraId="7A58B9C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1.1%</w:t>
            </w:r>
          </w:p>
        </w:tc>
        <w:tc>
          <w:tcPr>
            <w:tcW w:w="1120" w:type="dxa"/>
            <w:tcBorders>
              <w:top w:val="nil"/>
              <w:left w:val="single" w:sz="4" w:space="0" w:color="auto"/>
              <w:bottom w:val="nil"/>
              <w:right w:val="nil"/>
            </w:tcBorders>
            <w:shd w:val="clear" w:color="000000" w:fill="F2F2F2"/>
            <w:noWrap/>
            <w:vAlign w:val="center"/>
            <w:hideMark/>
          </w:tcPr>
          <w:p w14:paraId="38DB94B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7</w:t>
            </w:r>
          </w:p>
        </w:tc>
        <w:tc>
          <w:tcPr>
            <w:tcW w:w="980" w:type="dxa"/>
            <w:tcBorders>
              <w:top w:val="nil"/>
              <w:left w:val="nil"/>
              <w:bottom w:val="nil"/>
              <w:right w:val="single" w:sz="4" w:space="0" w:color="auto"/>
            </w:tcBorders>
            <w:shd w:val="clear" w:color="000000" w:fill="F2F2F2"/>
            <w:noWrap/>
            <w:vAlign w:val="center"/>
            <w:hideMark/>
          </w:tcPr>
          <w:p w14:paraId="5AE4AB0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2.0%</w:t>
            </w:r>
          </w:p>
        </w:tc>
      </w:tr>
      <w:tr w:rsidR="00341875" w:rsidRPr="006D6A3F" w14:paraId="107077EB"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2B980C56"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libyenne</w:t>
            </w:r>
          </w:p>
        </w:tc>
        <w:tc>
          <w:tcPr>
            <w:tcW w:w="1120" w:type="dxa"/>
            <w:tcBorders>
              <w:top w:val="nil"/>
              <w:left w:val="nil"/>
              <w:bottom w:val="nil"/>
              <w:right w:val="nil"/>
            </w:tcBorders>
            <w:shd w:val="clear" w:color="000000" w:fill="DDEBF7"/>
            <w:noWrap/>
            <w:vAlign w:val="center"/>
            <w:hideMark/>
          </w:tcPr>
          <w:p w14:paraId="031DFD4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308A9C4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509A49E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single" w:sz="4" w:space="0" w:color="auto"/>
            </w:tcBorders>
            <w:shd w:val="clear" w:color="000000" w:fill="F2F2F2"/>
            <w:noWrap/>
            <w:vAlign w:val="center"/>
            <w:hideMark/>
          </w:tcPr>
          <w:p w14:paraId="4A12FCC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1.2%</w:t>
            </w:r>
          </w:p>
        </w:tc>
        <w:tc>
          <w:tcPr>
            <w:tcW w:w="1120" w:type="dxa"/>
            <w:tcBorders>
              <w:top w:val="nil"/>
              <w:left w:val="nil"/>
              <w:bottom w:val="nil"/>
              <w:right w:val="nil"/>
            </w:tcBorders>
            <w:shd w:val="clear" w:color="000000" w:fill="DDEBF7"/>
            <w:noWrap/>
            <w:vAlign w:val="center"/>
            <w:hideMark/>
          </w:tcPr>
          <w:p w14:paraId="5578963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0E289F9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477F403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7</w:t>
            </w:r>
          </w:p>
        </w:tc>
        <w:tc>
          <w:tcPr>
            <w:tcW w:w="980" w:type="dxa"/>
            <w:tcBorders>
              <w:top w:val="nil"/>
              <w:left w:val="nil"/>
              <w:bottom w:val="nil"/>
              <w:right w:val="single" w:sz="4" w:space="0" w:color="auto"/>
            </w:tcBorders>
            <w:shd w:val="clear" w:color="000000" w:fill="F2F2F2"/>
            <w:noWrap/>
            <w:vAlign w:val="center"/>
            <w:hideMark/>
          </w:tcPr>
          <w:p w14:paraId="77D062F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2.0%</w:t>
            </w:r>
          </w:p>
        </w:tc>
      </w:tr>
      <w:tr w:rsidR="00341875" w:rsidRPr="006D6A3F" w14:paraId="57DA6F3D"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5B5270C"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cap-verdienne</w:t>
            </w:r>
          </w:p>
        </w:tc>
        <w:tc>
          <w:tcPr>
            <w:tcW w:w="1120" w:type="dxa"/>
            <w:tcBorders>
              <w:top w:val="nil"/>
              <w:left w:val="nil"/>
              <w:bottom w:val="nil"/>
              <w:right w:val="nil"/>
            </w:tcBorders>
            <w:shd w:val="clear" w:color="000000" w:fill="DDEBF7"/>
            <w:noWrap/>
            <w:vAlign w:val="center"/>
            <w:hideMark/>
          </w:tcPr>
          <w:p w14:paraId="51A7C56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8</w:t>
            </w:r>
          </w:p>
        </w:tc>
        <w:tc>
          <w:tcPr>
            <w:tcW w:w="980" w:type="dxa"/>
            <w:tcBorders>
              <w:top w:val="nil"/>
              <w:left w:val="nil"/>
              <w:bottom w:val="nil"/>
              <w:right w:val="nil"/>
            </w:tcBorders>
            <w:shd w:val="clear" w:color="000000" w:fill="DDEBF7"/>
            <w:noWrap/>
            <w:vAlign w:val="center"/>
            <w:hideMark/>
          </w:tcPr>
          <w:p w14:paraId="2C4E178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2.7%</w:t>
            </w:r>
          </w:p>
        </w:tc>
        <w:tc>
          <w:tcPr>
            <w:tcW w:w="1120" w:type="dxa"/>
            <w:tcBorders>
              <w:top w:val="nil"/>
              <w:left w:val="single" w:sz="4" w:space="0" w:color="auto"/>
              <w:bottom w:val="nil"/>
              <w:right w:val="nil"/>
            </w:tcBorders>
            <w:shd w:val="clear" w:color="000000" w:fill="F2F2F2"/>
            <w:noWrap/>
            <w:vAlign w:val="center"/>
            <w:hideMark/>
          </w:tcPr>
          <w:p w14:paraId="4AE8841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single" w:sz="4" w:space="0" w:color="auto"/>
            </w:tcBorders>
            <w:shd w:val="clear" w:color="000000" w:fill="F2F2F2"/>
            <w:noWrap/>
            <w:vAlign w:val="center"/>
            <w:hideMark/>
          </w:tcPr>
          <w:p w14:paraId="551FF9C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2.1%</w:t>
            </w:r>
          </w:p>
        </w:tc>
        <w:tc>
          <w:tcPr>
            <w:tcW w:w="1120" w:type="dxa"/>
            <w:tcBorders>
              <w:top w:val="nil"/>
              <w:left w:val="nil"/>
              <w:bottom w:val="nil"/>
              <w:right w:val="nil"/>
            </w:tcBorders>
            <w:shd w:val="clear" w:color="000000" w:fill="DDEBF7"/>
            <w:noWrap/>
            <w:vAlign w:val="center"/>
            <w:hideMark/>
          </w:tcPr>
          <w:p w14:paraId="46BD896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7</w:t>
            </w:r>
          </w:p>
        </w:tc>
        <w:tc>
          <w:tcPr>
            <w:tcW w:w="980" w:type="dxa"/>
            <w:tcBorders>
              <w:top w:val="nil"/>
              <w:left w:val="nil"/>
              <w:bottom w:val="nil"/>
              <w:right w:val="nil"/>
            </w:tcBorders>
            <w:shd w:val="clear" w:color="000000" w:fill="DDEBF7"/>
            <w:noWrap/>
            <w:vAlign w:val="center"/>
            <w:hideMark/>
          </w:tcPr>
          <w:p w14:paraId="704D0CE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2.5%</w:t>
            </w:r>
          </w:p>
        </w:tc>
        <w:tc>
          <w:tcPr>
            <w:tcW w:w="1120" w:type="dxa"/>
            <w:tcBorders>
              <w:top w:val="nil"/>
              <w:left w:val="single" w:sz="4" w:space="0" w:color="auto"/>
              <w:bottom w:val="nil"/>
              <w:right w:val="nil"/>
            </w:tcBorders>
            <w:shd w:val="clear" w:color="000000" w:fill="F2F2F2"/>
            <w:noWrap/>
            <w:vAlign w:val="center"/>
            <w:hideMark/>
          </w:tcPr>
          <w:p w14:paraId="56F50DF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6</w:t>
            </w:r>
          </w:p>
        </w:tc>
        <w:tc>
          <w:tcPr>
            <w:tcW w:w="980" w:type="dxa"/>
            <w:tcBorders>
              <w:top w:val="nil"/>
              <w:left w:val="nil"/>
              <w:bottom w:val="nil"/>
              <w:right w:val="single" w:sz="4" w:space="0" w:color="auto"/>
            </w:tcBorders>
            <w:shd w:val="clear" w:color="000000" w:fill="F2F2F2"/>
            <w:noWrap/>
            <w:vAlign w:val="center"/>
            <w:hideMark/>
          </w:tcPr>
          <w:p w14:paraId="122606A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r>
      <w:tr w:rsidR="00341875" w:rsidRPr="006D6A3F" w14:paraId="1C003ED4"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1EA5BF0"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syrienne</w:t>
            </w:r>
          </w:p>
        </w:tc>
        <w:tc>
          <w:tcPr>
            <w:tcW w:w="1120" w:type="dxa"/>
            <w:tcBorders>
              <w:top w:val="nil"/>
              <w:left w:val="nil"/>
              <w:bottom w:val="nil"/>
              <w:right w:val="nil"/>
            </w:tcBorders>
            <w:shd w:val="clear" w:color="000000" w:fill="DDEBF7"/>
            <w:noWrap/>
            <w:vAlign w:val="center"/>
            <w:hideMark/>
          </w:tcPr>
          <w:p w14:paraId="46D5EBC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17C389E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438E8E3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EF2439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F171A5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745A87C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5018712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6</w:t>
            </w:r>
          </w:p>
        </w:tc>
        <w:tc>
          <w:tcPr>
            <w:tcW w:w="980" w:type="dxa"/>
            <w:tcBorders>
              <w:top w:val="nil"/>
              <w:left w:val="nil"/>
              <w:bottom w:val="nil"/>
              <w:right w:val="single" w:sz="4" w:space="0" w:color="auto"/>
            </w:tcBorders>
            <w:shd w:val="clear" w:color="000000" w:fill="F2F2F2"/>
            <w:noWrap/>
            <w:vAlign w:val="center"/>
            <w:hideMark/>
          </w:tcPr>
          <w:p w14:paraId="54BAC40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r>
      <w:tr w:rsidR="00341875" w:rsidRPr="006D6A3F" w14:paraId="4CA08BE5"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0771A84"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serbe</w:t>
            </w:r>
          </w:p>
        </w:tc>
        <w:tc>
          <w:tcPr>
            <w:tcW w:w="1120" w:type="dxa"/>
            <w:tcBorders>
              <w:top w:val="nil"/>
              <w:left w:val="nil"/>
              <w:bottom w:val="nil"/>
              <w:right w:val="nil"/>
            </w:tcBorders>
            <w:shd w:val="clear" w:color="000000" w:fill="DDEBF7"/>
            <w:noWrap/>
            <w:vAlign w:val="center"/>
            <w:hideMark/>
          </w:tcPr>
          <w:p w14:paraId="0441091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nil"/>
            </w:tcBorders>
            <w:shd w:val="clear" w:color="000000" w:fill="DDEBF7"/>
            <w:noWrap/>
            <w:vAlign w:val="center"/>
            <w:hideMark/>
          </w:tcPr>
          <w:p w14:paraId="4E0616E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c>
          <w:tcPr>
            <w:tcW w:w="1120" w:type="dxa"/>
            <w:tcBorders>
              <w:top w:val="nil"/>
              <w:left w:val="single" w:sz="4" w:space="0" w:color="auto"/>
              <w:bottom w:val="nil"/>
              <w:right w:val="nil"/>
            </w:tcBorders>
            <w:shd w:val="clear" w:color="000000" w:fill="F2F2F2"/>
            <w:noWrap/>
            <w:vAlign w:val="center"/>
            <w:hideMark/>
          </w:tcPr>
          <w:p w14:paraId="5AA9CFE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single" w:sz="4" w:space="0" w:color="auto"/>
            </w:tcBorders>
            <w:shd w:val="clear" w:color="000000" w:fill="F2F2F2"/>
            <w:noWrap/>
            <w:vAlign w:val="center"/>
            <w:hideMark/>
          </w:tcPr>
          <w:p w14:paraId="3F99699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c>
          <w:tcPr>
            <w:tcW w:w="1120" w:type="dxa"/>
            <w:tcBorders>
              <w:top w:val="nil"/>
              <w:left w:val="nil"/>
              <w:bottom w:val="nil"/>
              <w:right w:val="nil"/>
            </w:tcBorders>
            <w:shd w:val="clear" w:color="000000" w:fill="DDEBF7"/>
            <w:noWrap/>
            <w:vAlign w:val="center"/>
            <w:hideMark/>
          </w:tcPr>
          <w:p w14:paraId="7B73D6A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nil"/>
            </w:tcBorders>
            <w:shd w:val="clear" w:color="000000" w:fill="DDEBF7"/>
            <w:noWrap/>
            <w:vAlign w:val="center"/>
            <w:hideMark/>
          </w:tcPr>
          <w:p w14:paraId="25FEFC5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1.8%</w:t>
            </w:r>
          </w:p>
        </w:tc>
        <w:tc>
          <w:tcPr>
            <w:tcW w:w="1120" w:type="dxa"/>
            <w:tcBorders>
              <w:top w:val="nil"/>
              <w:left w:val="single" w:sz="4" w:space="0" w:color="auto"/>
              <w:bottom w:val="nil"/>
              <w:right w:val="nil"/>
            </w:tcBorders>
            <w:shd w:val="clear" w:color="000000" w:fill="F2F2F2"/>
            <w:noWrap/>
            <w:vAlign w:val="center"/>
            <w:hideMark/>
          </w:tcPr>
          <w:p w14:paraId="4222910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single" w:sz="4" w:space="0" w:color="auto"/>
            </w:tcBorders>
            <w:shd w:val="clear" w:color="000000" w:fill="F2F2F2"/>
            <w:noWrap/>
            <w:vAlign w:val="center"/>
            <w:hideMark/>
          </w:tcPr>
          <w:p w14:paraId="4323B9E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1.2%</w:t>
            </w:r>
          </w:p>
        </w:tc>
      </w:tr>
      <w:tr w:rsidR="00341875" w:rsidRPr="006D6A3F" w14:paraId="680AB358"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6239F04"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allemande</w:t>
            </w:r>
          </w:p>
        </w:tc>
        <w:tc>
          <w:tcPr>
            <w:tcW w:w="1120" w:type="dxa"/>
            <w:tcBorders>
              <w:top w:val="nil"/>
              <w:left w:val="nil"/>
              <w:bottom w:val="nil"/>
              <w:right w:val="nil"/>
            </w:tcBorders>
            <w:shd w:val="clear" w:color="000000" w:fill="DDEBF7"/>
            <w:noWrap/>
            <w:vAlign w:val="center"/>
            <w:hideMark/>
          </w:tcPr>
          <w:p w14:paraId="5F98399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nil"/>
            </w:tcBorders>
            <w:shd w:val="clear" w:color="000000" w:fill="DDEBF7"/>
            <w:noWrap/>
            <w:vAlign w:val="center"/>
            <w:hideMark/>
          </w:tcPr>
          <w:p w14:paraId="6DE6273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1.0%</w:t>
            </w:r>
          </w:p>
        </w:tc>
        <w:tc>
          <w:tcPr>
            <w:tcW w:w="1120" w:type="dxa"/>
            <w:tcBorders>
              <w:top w:val="nil"/>
              <w:left w:val="single" w:sz="4" w:space="0" w:color="auto"/>
              <w:bottom w:val="nil"/>
              <w:right w:val="nil"/>
            </w:tcBorders>
            <w:shd w:val="clear" w:color="000000" w:fill="F2F2F2"/>
            <w:noWrap/>
            <w:vAlign w:val="center"/>
            <w:hideMark/>
          </w:tcPr>
          <w:p w14:paraId="317BBFF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single" w:sz="4" w:space="0" w:color="auto"/>
            </w:tcBorders>
            <w:shd w:val="clear" w:color="000000" w:fill="F2F2F2"/>
            <w:noWrap/>
            <w:vAlign w:val="center"/>
            <w:hideMark/>
          </w:tcPr>
          <w:p w14:paraId="737FAC0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c>
          <w:tcPr>
            <w:tcW w:w="1120" w:type="dxa"/>
            <w:tcBorders>
              <w:top w:val="nil"/>
              <w:left w:val="nil"/>
              <w:bottom w:val="nil"/>
              <w:right w:val="nil"/>
            </w:tcBorders>
            <w:shd w:val="clear" w:color="000000" w:fill="DDEBF7"/>
            <w:noWrap/>
            <w:vAlign w:val="center"/>
            <w:hideMark/>
          </w:tcPr>
          <w:p w14:paraId="03F8B30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nil"/>
            </w:tcBorders>
            <w:shd w:val="clear" w:color="000000" w:fill="DDEBF7"/>
            <w:noWrap/>
            <w:vAlign w:val="center"/>
            <w:hideMark/>
          </w:tcPr>
          <w:p w14:paraId="76F9363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1.1%</w:t>
            </w:r>
          </w:p>
        </w:tc>
        <w:tc>
          <w:tcPr>
            <w:tcW w:w="1120" w:type="dxa"/>
            <w:tcBorders>
              <w:top w:val="nil"/>
              <w:left w:val="single" w:sz="4" w:space="0" w:color="auto"/>
              <w:bottom w:val="nil"/>
              <w:right w:val="nil"/>
            </w:tcBorders>
            <w:shd w:val="clear" w:color="000000" w:fill="F2F2F2"/>
            <w:noWrap/>
            <w:vAlign w:val="center"/>
            <w:hideMark/>
          </w:tcPr>
          <w:p w14:paraId="51A19C9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single" w:sz="4" w:space="0" w:color="auto"/>
            </w:tcBorders>
            <w:shd w:val="clear" w:color="000000" w:fill="F2F2F2"/>
            <w:noWrap/>
            <w:vAlign w:val="center"/>
            <w:hideMark/>
          </w:tcPr>
          <w:p w14:paraId="400056B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1.2%</w:t>
            </w:r>
          </w:p>
        </w:tc>
      </w:tr>
      <w:tr w:rsidR="00341875" w:rsidRPr="006D6A3F" w14:paraId="0F55585E"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D8F1826"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polonaise</w:t>
            </w:r>
          </w:p>
        </w:tc>
        <w:tc>
          <w:tcPr>
            <w:tcW w:w="1120" w:type="dxa"/>
            <w:tcBorders>
              <w:top w:val="nil"/>
              <w:left w:val="nil"/>
              <w:bottom w:val="nil"/>
              <w:right w:val="nil"/>
            </w:tcBorders>
            <w:shd w:val="clear" w:color="000000" w:fill="DDEBF7"/>
            <w:noWrap/>
            <w:vAlign w:val="center"/>
            <w:hideMark/>
          </w:tcPr>
          <w:p w14:paraId="759E5A3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nil"/>
            </w:tcBorders>
            <w:shd w:val="clear" w:color="000000" w:fill="DDEBF7"/>
            <w:noWrap/>
            <w:vAlign w:val="center"/>
            <w:hideMark/>
          </w:tcPr>
          <w:p w14:paraId="56F71BA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c>
          <w:tcPr>
            <w:tcW w:w="1120" w:type="dxa"/>
            <w:tcBorders>
              <w:top w:val="nil"/>
              <w:left w:val="single" w:sz="4" w:space="0" w:color="auto"/>
              <w:bottom w:val="nil"/>
              <w:right w:val="nil"/>
            </w:tcBorders>
            <w:shd w:val="clear" w:color="000000" w:fill="F2F2F2"/>
            <w:noWrap/>
            <w:vAlign w:val="center"/>
            <w:hideMark/>
          </w:tcPr>
          <w:p w14:paraId="60EDFB9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24D9A2B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0.8%</w:t>
            </w:r>
          </w:p>
        </w:tc>
        <w:tc>
          <w:tcPr>
            <w:tcW w:w="1120" w:type="dxa"/>
            <w:tcBorders>
              <w:top w:val="nil"/>
              <w:left w:val="nil"/>
              <w:bottom w:val="nil"/>
              <w:right w:val="nil"/>
            </w:tcBorders>
            <w:shd w:val="clear" w:color="000000" w:fill="DDEBF7"/>
            <w:noWrap/>
            <w:vAlign w:val="center"/>
            <w:hideMark/>
          </w:tcPr>
          <w:p w14:paraId="4C448F5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7D3CBBC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1DFD793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single" w:sz="4" w:space="0" w:color="auto"/>
            </w:tcBorders>
            <w:shd w:val="clear" w:color="000000" w:fill="F2F2F2"/>
            <w:noWrap/>
            <w:vAlign w:val="center"/>
            <w:hideMark/>
          </w:tcPr>
          <w:p w14:paraId="202039C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1.2%</w:t>
            </w:r>
          </w:p>
        </w:tc>
      </w:tr>
      <w:tr w:rsidR="00341875" w:rsidRPr="006D6A3F" w14:paraId="52603FE0"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82BD627"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géorgienne</w:t>
            </w:r>
          </w:p>
        </w:tc>
        <w:tc>
          <w:tcPr>
            <w:tcW w:w="1120" w:type="dxa"/>
            <w:tcBorders>
              <w:top w:val="nil"/>
              <w:left w:val="nil"/>
              <w:bottom w:val="nil"/>
              <w:right w:val="nil"/>
            </w:tcBorders>
            <w:shd w:val="clear" w:color="000000" w:fill="DDEBF7"/>
            <w:noWrap/>
            <w:vAlign w:val="center"/>
            <w:hideMark/>
          </w:tcPr>
          <w:p w14:paraId="24C3855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9</w:t>
            </w:r>
          </w:p>
        </w:tc>
        <w:tc>
          <w:tcPr>
            <w:tcW w:w="980" w:type="dxa"/>
            <w:tcBorders>
              <w:top w:val="nil"/>
              <w:left w:val="nil"/>
              <w:bottom w:val="nil"/>
              <w:right w:val="nil"/>
            </w:tcBorders>
            <w:shd w:val="clear" w:color="000000" w:fill="DDEBF7"/>
            <w:noWrap/>
            <w:vAlign w:val="center"/>
            <w:hideMark/>
          </w:tcPr>
          <w:p w14:paraId="7BE0098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3.1%</w:t>
            </w:r>
          </w:p>
        </w:tc>
        <w:tc>
          <w:tcPr>
            <w:tcW w:w="1120" w:type="dxa"/>
            <w:tcBorders>
              <w:top w:val="nil"/>
              <w:left w:val="single" w:sz="4" w:space="0" w:color="auto"/>
              <w:bottom w:val="nil"/>
              <w:right w:val="nil"/>
            </w:tcBorders>
            <w:shd w:val="clear" w:color="000000" w:fill="F2F2F2"/>
            <w:noWrap/>
            <w:vAlign w:val="center"/>
            <w:hideMark/>
          </w:tcPr>
          <w:p w14:paraId="5CDADB4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9</w:t>
            </w:r>
          </w:p>
        </w:tc>
        <w:tc>
          <w:tcPr>
            <w:tcW w:w="980" w:type="dxa"/>
            <w:tcBorders>
              <w:top w:val="nil"/>
              <w:left w:val="nil"/>
              <w:bottom w:val="nil"/>
              <w:right w:val="single" w:sz="4" w:space="0" w:color="auto"/>
            </w:tcBorders>
            <w:shd w:val="clear" w:color="000000" w:fill="F2F2F2"/>
            <w:noWrap/>
            <w:vAlign w:val="center"/>
            <w:hideMark/>
          </w:tcPr>
          <w:p w14:paraId="531B459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3.7%</w:t>
            </w:r>
          </w:p>
        </w:tc>
        <w:tc>
          <w:tcPr>
            <w:tcW w:w="1120" w:type="dxa"/>
            <w:tcBorders>
              <w:top w:val="nil"/>
              <w:left w:val="nil"/>
              <w:bottom w:val="nil"/>
              <w:right w:val="nil"/>
            </w:tcBorders>
            <w:shd w:val="clear" w:color="000000" w:fill="DDEBF7"/>
            <w:noWrap/>
            <w:vAlign w:val="center"/>
            <w:hideMark/>
          </w:tcPr>
          <w:p w14:paraId="5849123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nil"/>
            </w:tcBorders>
            <w:shd w:val="clear" w:color="000000" w:fill="DDEBF7"/>
            <w:noWrap/>
            <w:vAlign w:val="center"/>
            <w:hideMark/>
          </w:tcPr>
          <w:p w14:paraId="064D6EF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1.8%</w:t>
            </w:r>
          </w:p>
        </w:tc>
        <w:tc>
          <w:tcPr>
            <w:tcW w:w="1120" w:type="dxa"/>
            <w:tcBorders>
              <w:top w:val="nil"/>
              <w:left w:val="single" w:sz="4" w:space="0" w:color="auto"/>
              <w:bottom w:val="nil"/>
              <w:right w:val="nil"/>
            </w:tcBorders>
            <w:shd w:val="clear" w:color="000000" w:fill="F2F2F2"/>
            <w:noWrap/>
            <w:vAlign w:val="center"/>
            <w:hideMark/>
          </w:tcPr>
          <w:p w14:paraId="63A724D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single" w:sz="4" w:space="0" w:color="auto"/>
            </w:tcBorders>
            <w:shd w:val="clear" w:color="000000" w:fill="F2F2F2"/>
            <w:noWrap/>
            <w:vAlign w:val="center"/>
            <w:hideMark/>
          </w:tcPr>
          <w:p w14:paraId="1E3E2D6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0.9%</w:t>
            </w:r>
          </w:p>
        </w:tc>
      </w:tr>
      <w:tr w:rsidR="00341875" w:rsidRPr="006D6A3F" w14:paraId="571EFCD7"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17F5974"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monténégrine</w:t>
            </w:r>
          </w:p>
        </w:tc>
        <w:tc>
          <w:tcPr>
            <w:tcW w:w="1120" w:type="dxa"/>
            <w:tcBorders>
              <w:top w:val="nil"/>
              <w:left w:val="nil"/>
              <w:bottom w:val="nil"/>
              <w:right w:val="nil"/>
            </w:tcBorders>
            <w:shd w:val="clear" w:color="000000" w:fill="DDEBF7"/>
            <w:noWrap/>
            <w:vAlign w:val="center"/>
            <w:hideMark/>
          </w:tcPr>
          <w:p w14:paraId="1D97924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AD29CA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5CD0B91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4E597BF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59F4F5E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nil"/>
            </w:tcBorders>
            <w:shd w:val="clear" w:color="000000" w:fill="DDEBF7"/>
            <w:noWrap/>
            <w:vAlign w:val="center"/>
            <w:hideMark/>
          </w:tcPr>
          <w:p w14:paraId="2589F2C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w:t>
            </w:r>
          </w:p>
        </w:tc>
        <w:tc>
          <w:tcPr>
            <w:tcW w:w="1120" w:type="dxa"/>
            <w:tcBorders>
              <w:top w:val="nil"/>
              <w:left w:val="single" w:sz="4" w:space="0" w:color="auto"/>
              <w:bottom w:val="nil"/>
              <w:right w:val="nil"/>
            </w:tcBorders>
            <w:shd w:val="clear" w:color="000000" w:fill="F2F2F2"/>
            <w:noWrap/>
            <w:vAlign w:val="center"/>
            <w:hideMark/>
          </w:tcPr>
          <w:p w14:paraId="3833E36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single" w:sz="4" w:space="0" w:color="auto"/>
            </w:tcBorders>
            <w:shd w:val="clear" w:color="000000" w:fill="F2F2F2"/>
            <w:noWrap/>
            <w:vAlign w:val="center"/>
            <w:hideMark/>
          </w:tcPr>
          <w:p w14:paraId="39A702B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0.9%</w:t>
            </w:r>
          </w:p>
        </w:tc>
      </w:tr>
      <w:tr w:rsidR="00341875" w:rsidRPr="006D6A3F" w14:paraId="7B3CFE5A"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AD6BB51"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irakienne</w:t>
            </w:r>
          </w:p>
        </w:tc>
        <w:tc>
          <w:tcPr>
            <w:tcW w:w="1120" w:type="dxa"/>
            <w:tcBorders>
              <w:top w:val="nil"/>
              <w:left w:val="nil"/>
              <w:bottom w:val="nil"/>
              <w:right w:val="nil"/>
            </w:tcBorders>
            <w:shd w:val="clear" w:color="000000" w:fill="DDEBF7"/>
            <w:noWrap/>
            <w:vAlign w:val="center"/>
            <w:hideMark/>
          </w:tcPr>
          <w:p w14:paraId="7ADCEBE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nil"/>
            </w:tcBorders>
            <w:shd w:val="clear" w:color="000000" w:fill="DDEBF7"/>
            <w:noWrap/>
            <w:vAlign w:val="center"/>
            <w:hideMark/>
          </w:tcPr>
          <w:p w14:paraId="08525F0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w:t>
            </w:r>
          </w:p>
        </w:tc>
        <w:tc>
          <w:tcPr>
            <w:tcW w:w="1120" w:type="dxa"/>
            <w:tcBorders>
              <w:top w:val="nil"/>
              <w:left w:val="single" w:sz="4" w:space="0" w:color="auto"/>
              <w:bottom w:val="nil"/>
              <w:right w:val="nil"/>
            </w:tcBorders>
            <w:shd w:val="clear" w:color="000000" w:fill="F2F2F2"/>
            <w:noWrap/>
            <w:vAlign w:val="center"/>
            <w:hideMark/>
          </w:tcPr>
          <w:p w14:paraId="5B1430E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single" w:sz="4" w:space="0" w:color="auto"/>
            </w:tcBorders>
            <w:shd w:val="clear" w:color="000000" w:fill="F2F2F2"/>
            <w:noWrap/>
            <w:vAlign w:val="center"/>
            <w:hideMark/>
          </w:tcPr>
          <w:p w14:paraId="30A447C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1.7%</w:t>
            </w:r>
          </w:p>
        </w:tc>
        <w:tc>
          <w:tcPr>
            <w:tcW w:w="1120" w:type="dxa"/>
            <w:tcBorders>
              <w:top w:val="nil"/>
              <w:left w:val="nil"/>
              <w:bottom w:val="nil"/>
              <w:right w:val="nil"/>
            </w:tcBorders>
            <w:shd w:val="clear" w:color="000000" w:fill="DDEBF7"/>
            <w:noWrap/>
            <w:vAlign w:val="center"/>
            <w:hideMark/>
          </w:tcPr>
          <w:p w14:paraId="2962C34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4CE9A1A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39EA717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single" w:sz="4" w:space="0" w:color="auto"/>
            </w:tcBorders>
            <w:shd w:val="clear" w:color="000000" w:fill="F2F2F2"/>
            <w:noWrap/>
            <w:vAlign w:val="center"/>
            <w:hideMark/>
          </w:tcPr>
          <w:p w14:paraId="72106D4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0.9%</w:t>
            </w:r>
          </w:p>
        </w:tc>
      </w:tr>
      <w:tr w:rsidR="00341875" w:rsidRPr="006D6A3F" w14:paraId="1E75984E"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DF6C07F"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espagnole</w:t>
            </w:r>
          </w:p>
        </w:tc>
        <w:tc>
          <w:tcPr>
            <w:tcW w:w="1120" w:type="dxa"/>
            <w:tcBorders>
              <w:top w:val="nil"/>
              <w:left w:val="nil"/>
              <w:bottom w:val="nil"/>
              <w:right w:val="nil"/>
            </w:tcBorders>
            <w:shd w:val="clear" w:color="000000" w:fill="DDEBF7"/>
            <w:noWrap/>
            <w:vAlign w:val="center"/>
            <w:hideMark/>
          </w:tcPr>
          <w:p w14:paraId="2E43C77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794704E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3493FD5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2C6BC4E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3D6DD63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39C0D9D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36712A3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single" w:sz="4" w:space="0" w:color="auto"/>
            </w:tcBorders>
            <w:shd w:val="clear" w:color="000000" w:fill="F2F2F2"/>
            <w:noWrap/>
            <w:vAlign w:val="center"/>
            <w:hideMark/>
          </w:tcPr>
          <w:p w14:paraId="2E6CC95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0.9%</w:t>
            </w:r>
          </w:p>
        </w:tc>
      </w:tr>
      <w:tr w:rsidR="00341875" w:rsidRPr="006D6A3F" w14:paraId="49785ED2"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20609F8F"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bosnienne</w:t>
            </w:r>
          </w:p>
        </w:tc>
        <w:tc>
          <w:tcPr>
            <w:tcW w:w="1120" w:type="dxa"/>
            <w:tcBorders>
              <w:top w:val="nil"/>
              <w:left w:val="nil"/>
              <w:bottom w:val="nil"/>
              <w:right w:val="nil"/>
            </w:tcBorders>
            <w:shd w:val="clear" w:color="000000" w:fill="DDEBF7"/>
            <w:noWrap/>
            <w:vAlign w:val="center"/>
            <w:hideMark/>
          </w:tcPr>
          <w:p w14:paraId="35D605C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6EA821B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432270C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single" w:sz="4" w:space="0" w:color="auto"/>
            </w:tcBorders>
            <w:shd w:val="clear" w:color="000000" w:fill="F2F2F2"/>
            <w:noWrap/>
            <w:vAlign w:val="center"/>
            <w:hideMark/>
          </w:tcPr>
          <w:p w14:paraId="1B4E441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1.2%</w:t>
            </w:r>
          </w:p>
        </w:tc>
        <w:tc>
          <w:tcPr>
            <w:tcW w:w="1120" w:type="dxa"/>
            <w:tcBorders>
              <w:top w:val="nil"/>
              <w:left w:val="nil"/>
              <w:bottom w:val="nil"/>
              <w:right w:val="nil"/>
            </w:tcBorders>
            <w:shd w:val="clear" w:color="000000" w:fill="DDEBF7"/>
            <w:noWrap/>
            <w:vAlign w:val="center"/>
            <w:hideMark/>
          </w:tcPr>
          <w:p w14:paraId="2497C5A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nil"/>
            </w:tcBorders>
            <w:shd w:val="clear" w:color="000000" w:fill="DDEBF7"/>
            <w:noWrap/>
            <w:vAlign w:val="center"/>
            <w:hideMark/>
          </w:tcPr>
          <w:p w14:paraId="6D859B0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w:t>
            </w:r>
          </w:p>
        </w:tc>
        <w:tc>
          <w:tcPr>
            <w:tcW w:w="1120" w:type="dxa"/>
            <w:tcBorders>
              <w:top w:val="nil"/>
              <w:left w:val="single" w:sz="4" w:space="0" w:color="auto"/>
              <w:bottom w:val="nil"/>
              <w:right w:val="nil"/>
            </w:tcBorders>
            <w:shd w:val="clear" w:color="000000" w:fill="F2F2F2"/>
            <w:noWrap/>
            <w:vAlign w:val="center"/>
            <w:hideMark/>
          </w:tcPr>
          <w:p w14:paraId="399A8C0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78FAD2D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0.6%</w:t>
            </w:r>
          </w:p>
        </w:tc>
      </w:tr>
      <w:tr w:rsidR="00341875" w:rsidRPr="006D6A3F" w14:paraId="36448C44"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29DA85EB"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kosovare</w:t>
            </w:r>
          </w:p>
        </w:tc>
        <w:tc>
          <w:tcPr>
            <w:tcW w:w="1120" w:type="dxa"/>
            <w:tcBorders>
              <w:top w:val="nil"/>
              <w:left w:val="nil"/>
              <w:bottom w:val="nil"/>
              <w:right w:val="nil"/>
            </w:tcBorders>
            <w:shd w:val="clear" w:color="000000" w:fill="DDEBF7"/>
            <w:noWrap/>
            <w:vAlign w:val="center"/>
            <w:hideMark/>
          </w:tcPr>
          <w:p w14:paraId="3F5043D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nil"/>
            </w:tcBorders>
            <w:shd w:val="clear" w:color="000000" w:fill="DDEBF7"/>
            <w:noWrap/>
            <w:vAlign w:val="center"/>
            <w:hideMark/>
          </w:tcPr>
          <w:p w14:paraId="054857A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w:t>
            </w:r>
          </w:p>
        </w:tc>
        <w:tc>
          <w:tcPr>
            <w:tcW w:w="1120" w:type="dxa"/>
            <w:tcBorders>
              <w:top w:val="nil"/>
              <w:left w:val="single" w:sz="4" w:space="0" w:color="auto"/>
              <w:bottom w:val="nil"/>
              <w:right w:val="nil"/>
            </w:tcBorders>
            <w:shd w:val="clear" w:color="000000" w:fill="F2F2F2"/>
            <w:noWrap/>
            <w:vAlign w:val="center"/>
            <w:hideMark/>
          </w:tcPr>
          <w:p w14:paraId="4358018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2240748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1DC37E5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nil"/>
            </w:tcBorders>
            <w:shd w:val="clear" w:color="000000" w:fill="DDEBF7"/>
            <w:noWrap/>
            <w:vAlign w:val="center"/>
            <w:hideMark/>
          </w:tcPr>
          <w:p w14:paraId="6FD2AFE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w:t>
            </w:r>
          </w:p>
        </w:tc>
        <w:tc>
          <w:tcPr>
            <w:tcW w:w="1120" w:type="dxa"/>
            <w:tcBorders>
              <w:top w:val="nil"/>
              <w:left w:val="single" w:sz="4" w:space="0" w:color="auto"/>
              <w:bottom w:val="nil"/>
              <w:right w:val="nil"/>
            </w:tcBorders>
            <w:shd w:val="clear" w:color="000000" w:fill="F2F2F2"/>
            <w:noWrap/>
            <w:vAlign w:val="center"/>
            <w:hideMark/>
          </w:tcPr>
          <w:p w14:paraId="00B280F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5B0A53F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0.6%</w:t>
            </w:r>
          </w:p>
        </w:tc>
      </w:tr>
      <w:tr w:rsidR="00341875" w:rsidRPr="006D6A3F" w14:paraId="3B81B265"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EC5E7F6"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lituanienne</w:t>
            </w:r>
          </w:p>
        </w:tc>
        <w:tc>
          <w:tcPr>
            <w:tcW w:w="1120" w:type="dxa"/>
            <w:tcBorders>
              <w:top w:val="nil"/>
              <w:left w:val="nil"/>
              <w:bottom w:val="nil"/>
              <w:right w:val="nil"/>
            </w:tcBorders>
            <w:shd w:val="clear" w:color="000000" w:fill="DDEBF7"/>
            <w:noWrap/>
            <w:vAlign w:val="center"/>
            <w:hideMark/>
          </w:tcPr>
          <w:p w14:paraId="0960D1B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6</w:t>
            </w:r>
          </w:p>
        </w:tc>
        <w:tc>
          <w:tcPr>
            <w:tcW w:w="980" w:type="dxa"/>
            <w:tcBorders>
              <w:top w:val="nil"/>
              <w:left w:val="nil"/>
              <w:bottom w:val="nil"/>
              <w:right w:val="nil"/>
            </w:tcBorders>
            <w:shd w:val="clear" w:color="000000" w:fill="DDEBF7"/>
            <w:noWrap/>
            <w:vAlign w:val="center"/>
            <w:hideMark/>
          </w:tcPr>
          <w:p w14:paraId="625A0B0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2.1%</w:t>
            </w:r>
          </w:p>
        </w:tc>
        <w:tc>
          <w:tcPr>
            <w:tcW w:w="1120" w:type="dxa"/>
            <w:tcBorders>
              <w:top w:val="nil"/>
              <w:left w:val="single" w:sz="4" w:space="0" w:color="auto"/>
              <w:bottom w:val="nil"/>
              <w:right w:val="nil"/>
            </w:tcBorders>
            <w:shd w:val="clear" w:color="000000" w:fill="F2F2F2"/>
            <w:noWrap/>
            <w:vAlign w:val="center"/>
            <w:hideMark/>
          </w:tcPr>
          <w:p w14:paraId="3365280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5</w:t>
            </w:r>
          </w:p>
        </w:tc>
        <w:tc>
          <w:tcPr>
            <w:tcW w:w="980" w:type="dxa"/>
            <w:tcBorders>
              <w:top w:val="nil"/>
              <w:left w:val="nil"/>
              <w:bottom w:val="nil"/>
              <w:right w:val="single" w:sz="4" w:space="0" w:color="auto"/>
            </w:tcBorders>
            <w:shd w:val="clear" w:color="000000" w:fill="F2F2F2"/>
            <w:noWrap/>
            <w:vAlign w:val="center"/>
            <w:hideMark/>
          </w:tcPr>
          <w:p w14:paraId="4ABDD91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2.1%</w:t>
            </w:r>
          </w:p>
        </w:tc>
        <w:tc>
          <w:tcPr>
            <w:tcW w:w="1120" w:type="dxa"/>
            <w:tcBorders>
              <w:top w:val="nil"/>
              <w:left w:val="nil"/>
              <w:bottom w:val="nil"/>
              <w:right w:val="nil"/>
            </w:tcBorders>
            <w:shd w:val="clear" w:color="000000" w:fill="DDEBF7"/>
            <w:noWrap/>
            <w:vAlign w:val="center"/>
            <w:hideMark/>
          </w:tcPr>
          <w:p w14:paraId="703DBF1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nil"/>
            </w:tcBorders>
            <w:shd w:val="clear" w:color="000000" w:fill="DDEBF7"/>
            <w:noWrap/>
            <w:vAlign w:val="center"/>
            <w:hideMark/>
          </w:tcPr>
          <w:p w14:paraId="0BD9962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1.1%</w:t>
            </w:r>
          </w:p>
        </w:tc>
        <w:tc>
          <w:tcPr>
            <w:tcW w:w="1120" w:type="dxa"/>
            <w:tcBorders>
              <w:top w:val="nil"/>
              <w:left w:val="single" w:sz="4" w:space="0" w:color="auto"/>
              <w:bottom w:val="nil"/>
              <w:right w:val="nil"/>
            </w:tcBorders>
            <w:shd w:val="clear" w:color="000000" w:fill="F2F2F2"/>
            <w:noWrap/>
            <w:vAlign w:val="center"/>
            <w:hideMark/>
          </w:tcPr>
          <w:p w14:paraId="3561145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6855B80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0.6%</w:t>
            </w:r>
          </w:p>
        </w:tc>
      </w:tr>
      <w:tr w:rsidR="00341875" w:rsidRPr="006D6A3F" w14:paraId="32E71E20"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9A59BF6"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guinée-</w:t>
            </w:r>
            <w:proofErr w:type="spellStart"/>
            <w:r w:rsidRPr="006D6A3F">
              <w:rPr>
                <w:rFonts w:eastAsia="Times New Roman" w:cstheme="minorHAnsi"/>
                <w:sz w:val="18"/>
                <w:szCs w:val="18"/>
              </w:rPr>
              <w:t>bissauienne</w:t>
            </w:r>
            <w:proofErr w:type="spellEnd"/>
          </w:p>
        </w:tc>
        <w:tc>
          <w:tcPr>
            <w:tcW w:w="1120" w:type="dxa"/>
            <w:tcBorders>
              <w:top w:val="nil"/>
              <w:left w:val="nil"/>
              <w:bottom w:val="nil"/>
              <w:right w:val="nil"/>
            </w:tcBorders>
            <w:shd w:val="clear" w:color="000000" w:fill="DDEBF7"/>
            <w:noWrap/>
            <w:vAlign w:val="center"/>
            <w:hideMark/>
          </w:tcPr>
          <w:p w14:paraId="615D335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nil"/>
            </w:tcBorders>
            <w:shd w:val="clear" w:color="000000" w:fill="DDEBF7"/>
            <w:noWrap/>
            <w:vAlign w:val="center"/>
            <w:hideMark/>
          </w:tcPr>
          <w:p w14:paraId="4F86632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1.0%</w:t>
            </w:r>
          </w:p>
        </w:tc>
        <w:tc>
          <w:tcPr>
            <w:tcW w:w="1120" w:type="dxa"/>
            <w:tcBorders>
              <w:top w:val="nil"/>
              <w:left w:val="single" w:sz="4" w:space="0" w:color="auto"/>
              <w:bottom w:val="nil"/>
              <w:right w:val="nil"/>
            </w:tcBorders>
            <w:shd w:val="clear" w:color="000000" w:fill="F2F2F2"/>
            <w:noWrap/>
            <w:vAlign w:val="center"/>
            <w:hideMark/>
          </w:tcPr>
          <w:p w14:paraId="71966F8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3341C69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7D6C776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452CACF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5DF53D5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243F7E9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0.6%</w:t>
            </w:r>
          </w:p>
        </w:tc>
      </w:tr>
      <w:tr w:rsidR="00341875" w:rsidRPr="006D6A3F" w14:paraId="4F947EAD"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77B73DC"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dominicaine</w:t>
            </w:r>
          </w:p>
        </w:tc>
        <w:tc>
          <w:tcPr>
            <w:tcW w:w="1120" w:type="dxa"/>
            <w:tcBorders>
              <w:top w:val="nil"/>
              <w:left w:val="nil"/>
              <w:bottom w:val="nil"/>
              <w:right w:val="nil"/>
            </w:tcBorders>
            <w:shd w:val="clear" w:color="000000" w:fill="DDEBF7"/>
            <w:noWrap/>
            <w:vAlign w:val="center"/>
            <w:hideMark/>
          </w:tcPr>
          <w:p w14:paraId="0618AEA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BF09CB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58BA3D0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BC50AB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5138028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6CC5501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689EE09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321AF77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0.6%</w:t>
            </w:r>
          </w:p>
        </w:tc>
      </w:tr>
      <w:tr w:rsidR="00341875" w:rsidRPr="006D6A3F" w14:paraId="560A7EFB"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ECC82A6"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ukrainienne</w:t>
            </w:r>
          </w:p>
        </w:tc>
        <w:tc>
          <w:tcPr>
            <w:tcW w:w="1120" w:type="dxa"/>
            <w:tcBorders>
              <w:top w:val="nil"/>
              <w:left w:val="nil"/>
              <w:bottom w:val="nil"/>
              <w:right w:val="nil"/>
            </w:tcBorders>
            <w:shd w:val="clear" w:color="000000" w:fill="DDEBF7"/>
            <w:noWrap/>
            <w:vAlign w:val="center"/>
            <w:hideMark/>
          </w:tcPr>
          <w:p w14:paraId="56BCDEF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26C185B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69337FD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single" w:sz="4" w:space="0" w:color="auto"/>
            </w:tcBorders>
            <w:shd w:val="clear" w:color="000000" w:fill="F2F2F2"/>
            <w:noWrap/>
            <w:vAlign w:val="center"/>
            <w:hideMark/>
          </w:tcPr>
          <w:p w14:paraId="77BD3EF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1.2%</w:t>
            </w:r>
          </w:p>
        </w:tc>
        <w:tc>
          <w:tcPr>
            <w:tcW w:w="1120" w:type="dxa"/>
            <w:tcBorders>
              <w:top w:val="nil"/>
              <w:left w:val="nil"/>
              <w:bottom w:val="nil"/>
              <w:right w:val="nil"/>
            </w:tcBorders>
            <w:shd w:val="clear" w:color="000000" w:fill="DDEBF7"/>
            <w:noWrap/>
            <w:vAlign w:val="center"/>
            <w:hideMark/>
          </w:tcPr>
          <w:p w14:paraId="32246E7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3AAF30B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6DED842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4BF3763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0.6%</w:t>
            </w:r>
          </w:p>
        </w:tc>
      </w:tr>
      <w:tr w:rsidR="00341875" w:rsidRPr="006D6A3F" w14:paraId="101AB528"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BB65812"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guinéenne</w:t>
            </w:r>
          </w:p>
        </w:tc>
        <w:tc>
          <w:tcPr>
            <w:tcW w:w="1120" w:type="dxa"/>
            <w:tcBorders>
              <w:top w:val="nil"/>
              <w:left w:val="nil"/>
              <w:bottom w:val="nil"/>
              <w:right w:val="nil"/>
            </w:tcBorders>
            <w:shd w:val="clear" w:color="000000" w:fill="DDEBF7"/>
            <w:noWrap/>
            <w:vAlign w:val="center"/>
            <w:hideMark/>
          </w:tcPr>
          <w:p w14:paraId="4D5D922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19BD373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0AFB15C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5D7FA8B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057784F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535ACF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739250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364F025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0.6%</w:t>
            </w:r>
          </w:p>
        </w:tc>
      </w:tr>
      <w:tr w:rsidR="00341875" w:rsidRPr="006D6A3F" w14:paraId="656EBC42"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BA46D4F"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camerounaise</w:t>
            </w:r>
          </w:p>
        </w:tc>
        <w:tc>
          <w:tcPr>
            <w:tcW w:w="1120" w:type="dxa"/>
            <w:tcBorders>
              <w:top w:val="nil"/>
              <w:left w:val="nil"/>
              <w:bottom w:val="nil"/>
              <w:right w:val="nil"/>
            </w:tcBorders>
            <w:shd w:val="clear" w:color="000000" w:fill="DDEBF7"/>
            <w:noWrap/>
            <w:vAlign w:val="center"/>
            <w:hideMark/>
          </w:tcPr>
          <w:p w14:paraId="1E026F3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E71E3E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5240FAF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1E8E51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7EA8A95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776867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9106A4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55CAF03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0.6%</w:t>
            </w:r>
          </w:p>
        </w:tc>
      </w:tr>
      <w:tr w:rsidR="00341875" w:rsidRPr="006D6A3F" w14:paraId="5399C1B1"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4390BFD" w14:textId="750E09DE" w:rsidR="00341875" w:rsidRPr="006D6A3F" w:rsidRDefault="00BB0E24"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vénézuélienne</w:t>
            </w:r>
          </w:p>
        </w:tc>
        <w:tc>
          <w:tcPr>
            <w:tcW w:w="1120" w:type="dxa"/>
            <w:tcBorders>
              <w:top w:val="nil"/>
              <w:left w:val="nil"/>
              <w:bottom w:val="nil"/>
              <w:right w:val="nil"/>
            </w:tcBorders>
            <w:shd w:val="clear" w:color="000000" w:fill="DDEBF7"/>
            <w:noWrap/>
            <w:vAlign w:val="center"/>
            <w:hideMark/>
          </w:tcPr>
          <w:p w14:paraId="7B8DC4D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08C58DC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1DDDCAB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60B68EC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568FEF8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6AE6328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1C2DC01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222DD6E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0.6%</w:t>
            </w:r>
          </w:p>
        </w:tc>
      </w:tr>
      <w:tr w:rsidR="00341875" w:rsidRPr="006D6A3F" w14:paraId="6A7DAF0C"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CA88D79"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croate</w:t>
            </w:r>
          </w:p>
        </w:tc>
        <w:tc>
          <w:tcPr>
            <w:tcW w:w="1120" w:type="dxa"/>
            <w:tcBorders>
              <w:top w:val="nil"/>
              <w:left w:val="nil"/>
              <w:bottom w:val="nil"/>
              <w:right w:val="nil"/>
            </w:tcBorders>
            <w:shd w:val="clear" w:color="000000" w:fill="DDEBF7"/>
            <w:noWrap/>
            <w:vAlign w:val="center"/>
            <w:hideMark/>
          </w:tcPr>
          <w:p w14:paraId="7948438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64548E4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1AE4199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3BB63B6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5911A2D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nil"/>
            </w:tcBorders>
            <w:shd w:val="clear" w:color="000000" w:fill="DDEBF7"/>
            <w:noWrap/>
            <w:vAlign w:val="center"/>
            <w:hideMark/>
          </w:tcPr>
          <w:p w14:paraId="14A072A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1.1%</w:t>
            </w:r>
          </w:p>
        </w:tc>
        <w:tc>
          <w:tcPr>
            <w:tcW w:w="1120" w:type="dxa"/>
            <w:tcBorders>
              <w:top w:val="nil"/>
              <w:left w:val="single" w:sz="4" w:space="0" w:color="auto"/>
              <w:bottom w:val="nil"/>
              <w:right w:val="nil"/>
            </w:tcBorders>
            <w:shd w:val="clear" w:color="000000" w:fill="F2F2F2"/>
            <w:noWrap/>
            <w:vAlign w:val="center"/>
            <w:hideMark/>
          </w:tcPr>
          <w:p w14:paraId="6A5AA5F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329DCAE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0CACC6A5"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2B142DD"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iranienne</w:t>
            </w:r>
          </w:p>
        </w:tc>
        <w:tc>
          <w:tcPr>
            <w:tcW w:w="1120" w:type="dxa"/>
            <w:tcBorders>
              <w:top w:val="nil"/>
              <w:left w:val="nil"/>
              <w:bottom w:val="nil"/>
              <w:right w:val="nil"/>
            </w:tcBorders>
            <w:shd w:val="clear" w:color="000000" w:fill="DDEBF7"/>
            <w:noWrap/>
            <w:vAlign w:val="center"/>
            <w:hideMark/>
          </w:tcPr>
          <w:p w14:paraId="155EFA8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7BD78E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AD37BA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5E3A76F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03F3241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21BC8D4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5985A1F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76A4004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6D76929B"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B4D69CD"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hongroise</w:t>
            </w:r>
          </w:p>
        </w:tc>
        <w:tc>
          <w:tcPr>
            <w:tcW w:w="1120" w:type="dxa"/>
            <w:tcBorders>
              <w:top w:val="nil"/>
              <w:left w:val="nil"/>
              <w:bottom w:val="nil"/>
              <w:right w:val="nil"/>
            </w:tcBorders>
            <w:shd w:val="clear" w:color="000000" w:fill="DDEBF7"/>
            <w:noWrap/>
            <w:vAlign w:val="center"/>
            <w:hideMark/>
          </w:tcPr>
          <w:p w14:paraId="43E0D0B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2B3BDE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488C39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6DC584E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4D88591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02CF038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5AC6232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7E3FB7A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3AE629DB"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8E34302"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lastRenderedPageBreak/>
              <w:t>ivoirienne</w:t>
            </w:r>
          </w:p>
        </w:tc>
        <w:tc>
          <w:tcPr>
            <w:tcW w:w="1120" w:type="dxa"/>
            <w:tcBorders>
              <w:top w:val="nil"/>
              <w:left w:val="nil"/>
              <w:bottom w:val="nil"/>
              <w:right w:val="nil"/>
            </w:tcBorders>
            <w:shd w:val="clear" w:color="000000" w:fill="DDEBF7"/>
            <w:noWrap/>
            <w:vAlign w:val="center"/>
            <w:hideMark/>
          </w:tcPr>
          <w:p w14:paraId="418EA9E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1919A8D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86FEFD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4951D95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640C83B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4F26403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097AB9C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4434DBE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5C52E6FB"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2AE07BB8"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angolaise</w:t>
            </w:r>
          </w:p>
        </w:tc>
        <w:tc>
          <w:tcPr>
            <w:tcW w:w="1120" w:type="dxa"/>
            <w:tcBorders>
              <w:top w:val="nil"/>
              <w:left w:val="nil"/>
              <w:bottom w:val="nil"/>
              <w:right w:val="nil"/>
            </w:tcBorders>
            <w:shd w:val="clear" w:color="000000" w:fill="DDEBF7"/>
            <w:noWrap/>
            <w:vAlign w:val="center"/>
            <w:hideMark/>
          </w:tcPr>
          <w:p w14:paraId="00F70E6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20F1112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5B2B45A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61B15A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7819A57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0AECC5B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386A5D2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63840F7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6DCE252C"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3740A57"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chinoise</w:t>
            </w:r>
          </w:p>
        </w:tc>
        <w:tc>
          <w:tcPr>
            <w:tcW w:w="1120" w:type="dxa"/>
            <w:tcBorders>
              <w:top w:val="nil"/>
              <w:left w:val="nil"/>
              <w:bottom w:val="nil"/>
              <w:right w:val="nil"/>
            </w:tcBorders>
            <w:shd w:val="clear" w:color="000000" w:fill="DDEBF7"/>
            <w:noWrap/>
            <w:vAlign w:val="center"/>
            <w:hideMark/>
          </w:tcPr>
          <w:p w14:paraId="45BD9FA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16A34AE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117D22F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08B3F7B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7B31E21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43BC882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32C0A96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243058D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4B51EFD6"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1874F1BD"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lettone</w:t>
            </w:r>
          </w:p>
        </w:tc>
        <w:tc>
          <w:tcPr>
            <w:tcW w:w="1120" w:type="dxa"/>
            <w:tcBorders>
              <w:top w:val="nil"/>
              <w:left w:val="nil"/>
              <w:bottom w:val="nil"/>
              <w:right w:val="nil"/>
            </w:tcBorders>
            <w:shd w:val="clear" w:color="000000" w:fill="DDEBF7"/>
            <w:noWrap/>
            <w:vAlign w:val="center"/>
            <w:hideMark/>
          </w:tcPr>
          <w:p w14:paraId="596A90B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683F7B8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672ADD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58846CC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6B4E977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115836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715ED1D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5DA62E7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7C1DBC97"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216AC5B4"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macédonienne</w:t>
            </w:r>
          </w:p>
        </w:tc>
        <w:tc>
          <w:tcPr>
            <w:tcW w:w="1120" w:type="dxa"/>
            <w:tcBorders>
              <w:top w:val="nil"/>
              <w:left w:val="nil"/>
              <w:bottom w:val="nil"/>
              <w:right w:val="nil"/>
            </w:tcBorders>
            <w:shd w:val="clear" w:color="000000" w:fill="DDEBF7"/>
            <w:noWrap/>
            <w:vAlign w:val="center"/>
            <w:hideMark/>
          </w:tcPr>
          <w:p w14:paraId="182F3F8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67A47C7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2C481FC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65F7C56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6D5CA50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1635037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AD2F65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5A409EE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293D28E4"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1BD8EC89"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brésilienne</w:t>
            </w:r>
          </w:p>
        </w:tc>
        <w:tc>
          <w:tcPr>
            <w:tcW w:w="1120" w:type="dxa"/>
            <w:tcBorders>
              <w:top w:val="nil"/>
              <w:left w:val="nil"/>
              <w:bottom w:val="nil"/>
              <w:right w:val="nil"/>
            </w:tcBorders>
            <w:shd w:val="clear" w:color="000000" w:fill="DDEBF7"/>
            <w:noWrap/>
            <w:vAlign w:val="center"/>
            <w:hideMark/>
          </w:tcPr>
          <w:p w14:paraId="6BF70B0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F6EDB6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5AE4639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06CEBD2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443C4F3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8B727E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583851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2196977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751AE8C5"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2A566DF3"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russe</w:t>
            </w:r>
          </w:p>
        </w:tc>
        <w:tc>
          <w:tcPr>
            <w:tcW w:w="1120" w:type="dxa"/>
            <w:tcBorders>
              <w:top w:val="nil"/>
              <w:left w:val="nil"/>
              <w:bottom w:val="nil"/>
              <w:right w:val="nil"/>
            </w:tcBorders>
            <w:shd w:val="clear" w:color="000000" w:fill="DDEBF7"/>
            <w:noWrap/>
            <w:vAlign w:val="center"/>
            <w:hideMark/>
          </w:tcPr>
          <w:p w14:paraId="50C4C2D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772A6F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747C1FC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8DD060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23C9BC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A2FD57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781DF3D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3020CB1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12BE8823"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2460C41B"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moldave</w:t>
            </w:r>
          </w:p>
        </w:tc>
        <w:tc>
          <w:tcPr>
            <w:tcW w:w="1120" w:type="dxa"/>
            <w:tcBorders>
              <w:top w:val="nil"/>
              <w:left w:val="nil"/>
              <w:bottom w:val="nil"/>
              <w:right w:val="nil"/>
            </w:tcBorders>
            <w:shd w:val="clear" w:color="000000" w:fill="DDEBF7"/>
            <w:noWrap/>
            <w:vAlign w:val="center"/>
            <w:hideMark/>
          </w:tcPr>
          <w:p w14:paraId="2F50011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B45F16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54A921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08D2A95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14B7183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F27E25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482436C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3056F33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53E41D57"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32796ECC"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sénégalaise</w:t>
            </w:r>
          </w:p>
        </w:tc>
        <w:tc>
          <w:tcPr>
            <w:tcW w:w="1120" w:type="dxa"/>
            <w:tcBorders>
              <w:top w:val="nil"/>
              <w:left w:val="nil"/>
              <w:bottom w:val="nil"/>
              <w:right w:val="nil"/>
            </w:tcBorders>
            <w:shd w:val="clear" w:color="000000" w:fill="DDEBF7"/>
            <w:noWrap/>
            <w:vAlign w:val="center"/>
            <w:hideMark/>
          </w:tcPr>
          <w:p w14:paraId="779C57E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3E54A4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4E5F6E5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3E18022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3A184FA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1B4118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410744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0649AFA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655D7A4B"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146689F"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arménienne</w:t>
            </w:r>
          </w:p>
        </w:tc>
        <w:tc>
          <w:tcPr>
            <w:tcW w:w="1120" w:type="dxa"/>
            <w:tcBorders>
              <w:top w:val="nil"/>
              <w:left w:val="nil"/>
              <w:bottom w:val="nil"/>
              <w:right w:val="nil"/>
            </w:tcBorders>
            <w:shd w:val="clear" w:color="000000" w:fill="DDEBF7"/>
            <w:noWrap/>
            <w:vAlign w:val="center"/>
            <w:hideMark/>
          </w:tcPr>
          <w:p w14:paraId="352889A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6F36C40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230B4F5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03F037F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1A0CE4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0115A2A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60DB0F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464BCF5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0079D38A"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E29729A"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éthiopienne</w:t>
            </w:r>
          </w:p>
        </w:tc>
        <w:tc>
          <w:tcPr>
            <w:tcW w:w="1120" w:type="dxa"/>
            <w:tcBorders>
              <w:top w:val="nil"/>
              <w:left w:val="nil"/>
              <w:bottom w:val="nil"/>
              <w:right w:val="nil"/>
            </w:tcBorders>
            <w:shd w:val="clear" w:color="000000" w:fill="DDEBF7"/>
            <w:noWrap/>
            <w:vAlign w:val="center"/>
            <w:hideMark/>
          </w:tcPr>
          <w:p w14:paraId="271E523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145D54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7F1342C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0F5CB8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108D97A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2FF3EC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517333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56150BF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1C031018"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CB4F474"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grecque</w:t>
            </w:r>
          </w:p>
        </w:tc>
        <w:tc>
          <w:tcPr>
            <w:tcW w:w="1120" w:type="dxa"/>
            <w:tcBorders>
              <w:top w:val="nil"/>
              <w:left w:val="nil"/>
              <w:bottom w:val="nil"/>
              <w:right w:val="nil"/>
            </w:tcBorders>
            <w:shd w:val="clear" w:color="000000" w:fill="DDEBF7"/>
            <w:noWrap/>
            <w:vAlign w:val="center"/>
            <w:hideMark/>
          </w:tcPr>
          <w:p w14:paraId="2512DD2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FBA423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78BCC5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92A151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7E771E9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3ADE6D6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2174EA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53310E6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508FE592"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3C8D1E71"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soudanienne</w:t>
            </w:r>
          </w:p>
        </w:tc>
        <w:tc>
          <w:tcPr>
            <w:tcW w:w="1120" w:type="dxa"/>
            <w:tcBorders>
              <w:top w:val="nil"/>
              <w:left w:val="nil"/>
              <w:bottom w:val="nil"/>
              <w:right w:val="nil"/>
            </w:tcBorders>
            <w:shd w:val="clear" w:color="000000" w:fill="DDEBF7"/>
            <w:noWrap/>
            <w:vAlign w:val="center"/>
            <w:hideMark/>
          </w:tcPr>
          <w:p w14:paraId="0CD5B7F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DFF02D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B1D3EA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6BF9AEB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64B15E3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0378C1B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4AAB8F5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32A7205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7AD9B739"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3B66EE93"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tchèque</w:t>
            </w:r>
          </w:p>
        </w:tc>
        <w:tc>
          <w:tcPr>
            <w:tcW w:w="1120" w:type="dxa"/>
            <w:tcBorders>
              <w:top w:val="nil"/>
              <w:left w:val="nil"/>
              <w:bottom w:val="nil"/>
              <w:right w:val="nil"/>
            </w:tcBorders>
            <w:shd w:val="clear" w:color="000000" w:fill="DDEBF7"/>
            <w:noWrap/>
            <w:vAlign w:val="center"/>
            <w:hideMark/>
          </w:tcPr>
          <w:p w14:paraId="76DB63C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98EC19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54A5E65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B83918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017362D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2A3370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A83FE5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04C0FDE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r>
      <w:tr w:rsidR="00341875" w:rsidRPr="006D6A3F" w14:paraId="49D82D46"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D56EEE9" w14:textId="786CC7EF" w:rsidR="00341875" w:rsidRPr="006D6A3F" w:rsidRDefault="006C5876"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apatride</w:t>
            </w:r>
          </w:p>
        </w:tc>
        <w:tc>
          <w:tcPr>
            <w:tcW w:w="1120" w:type="dxa"/>
            <w:tcBorders>
              <w:top w:val="nil"/>
              <w:left w:val="nil"/>
              <w:bottom w:val="nil"/>
              <w:right w:val="nil"/>
            </w:tcBorders>
            <w:shd w:val="clear" w:color="000000" w:fill="DDEBF7"/>
            <w:noWrap/>
            <w:vAlign w:val="center"/>
            <w:hideMark/>
          </w:tcPr>
          <w:p w14:paraId="5B18150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5EB396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C0532E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single" w:sz="4" w:space="0" w:color="auto"/>
            </w:tcBorders>
            <w:shd w:val="clear" w:color="000000" w:fill="F2F2F2"/>
            <w:noWrap/>
            <w:vAlign w:val="center"/>
            <w:hideMark/>
          </w:tcPr>
          <w:p w14:paraId="1E7E9AA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0.8%</w:t>
            </w:r>
          </w:p>
        </w:tc>
        <w:tc>
          <w:tcPr>
            <w:tcW w:w="1120" w:type="dxa"/>
            <w:tcBorders>
              <w:top w:val="nil"/>
              <w:left w:val="nil"/>
              <w:bottom w:val="nil"/>
              <w:right w:val="nil"/>
            </w:tcBorders>
            <w:shd w:val="clear" w:color="000000" w:fill="DDEBF7"/>
            <w:noWrap/>
            <w:vAlign w:val="center"/>
            <w:hideMark/>
          </w:tcPr>
          <w:p w14:paraId="79FF4D6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24A7C9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E9A314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C613FC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048F33C4"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54DC5ED"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biélorussienne</w:t>
            </w:r>
          </w:p>
        </w:tc>
        <w:tc>
          <w:tcPr>
            <w:tcW w:w="1120" w:type="dxa"/>
            <w:tcBorders>
              <w:top w:val="nil"/>
              <w:left w:val="nil"/>
              <w:bottom w:val="nil"/>
              <w:right w:val="nil"/>
            </w:tcBorders>
            <w:shd w:val="clear" w:color="000000" w:fill="DDEBF7"/>
            <w:noWrap/>
            <w:vAlign w:val="center"/>
            <w:hideMark/>
          </w:tcPr>
          <w:p w14:paraId="13AED35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34EF6E7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606D1F8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5601BA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631258D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4</w:t>
            </w:r>
          </w:p>
        </w:tc>
        <w:tc>
          <w:tcPr>
            <w:tcW w:w="980" w:type="dxa"/>
            <w:tcBorders>
              <w:top w:val="nil"/>
              <w:left w:val="nil"/>
              <w:bottom w:val="nil"/>
              <w:right w:val="nil"/>
            </w:tcBorders>
            <w:shd w:val="clear" w:color="000000" w:fill="DDEBF7"/>
            <w:noWrap/>
            <w:vAlign w:val="center"/>
            <w:hideMark/>
          </w:tcPr>
          <w:p w14:paraId="51E73B9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1.4%</w:t>
            </w:r>
          </w:p>
        </w:tc>
        <w:tc>
          <w:tcPr>
            <w:tcW w:w="1120" w:type="dxa"/>
            <w:tcBorders>
              <w:top w:val="nil"/>
              <w:left w:val="single" w:sz="4" w:space="0" w:color="auto"/>
              <w:bottom w:val="nil"/>
              <w:right w:val="nil"/>
            </w:tcBorders>
            <w:shd w:val="clear" w:color="000000" w:fill="F2F2F2"/>
            <w:noWrap/>
            <w:vAlign w:val="center"/>
            <w:hideMark/>
          </w:tcPr>
          <w:p w14:paraId="2EE724D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47D436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43CB35BD"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4C190FE"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congolaise</w:t>
            </w:r>
          </w:p>
        </w:tc>
        <w:tc>
          <w:tcPr>
            <w:tcW w:w="1120" w:type="dxa"/>
            <w:tcBorders>
              <w:top w:val="nil"/>
              <w:left w:val="nil"/>
              <w:bottom w:val="nil"/>
              <w:right w:val="nil"/>
            </w:tcBorders>
            <w:shd w:val="clear" w:color="000000" w:fill="DDEBF7"/>
            <w:noWrap/>
            <w:vAlign w:val="center"/>
            <w:hideMark/>
          </w:tcPr>
          <w:p w14:paraId="10E408E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1735B12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1DAD47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31630F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4560B1F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29976F5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319697E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94E16B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5C412CBB"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5D96ED9" w14:textId="77777777" w:rsidR="00341875" w:rsidRPr="006D6A3F" w:rsidRDefault="00341875" w:rsidP="00045685">
            <w:pPr>
              <w:spacing w:line="240" w:lineRule="auto"/>
              <w:rPr>
                <w:rFonts w:eastAsia="Times New Roman" w:cstheme="minorHAnsi"/>
                <w:sz w:val="18"/>
                <w:szCs w:val="18"/>
              </w:rPr>
            </w:pPr>
            <w:proofErr w:type="spellStart"/>
            <w:r w:rsidRPr="006D6A3F">
              <w:rPr>
                <w:rFonts w:eastAsia="Times New Roman" w:cstheme="minorHAnsi"/>
                <w:sz w:val="18"/>
                <w:szCs w:val="18"/>
              </w:rPr>
              <w:t>bulgarienne</w:t>
            </w:r>
            <w:proofErr w:type="spellEnd"/>
          </w:p>
        </w:tc>
        <w:tc>
          <w:tcPr>
            <w:tcW w:w="1120" w:type="dxa"/>
            <w:tcBorders>
              <w:top w:val="nil"/>
              <w:left w:val="nil"/>
              <w:bottom w:val="nil"/>
              <w:right w:val="nil"/>
            </w:tcBorders>
            <w:shd w:val="clear" w:color="000000" w:fill="DDEBF7"/>
            <w:noWrap/>
            <w:vAlign w:val="center"/>
            <w:hideMark/>
          </w:tcPr>
          <w:p w14:paraId="617E56D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46D6786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2CD602C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293458D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584108D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51FC3C8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54AAD18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3834CA4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329590AA"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B5DF672"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équatorienne</w:t>
            </w:r>
          </w:p>
        </w:tc>
        <w:tc>
          <w:tcPr>
            <w:tcW w:w="1120" w:type="dxa"/>
            <w:tcBorders>
              <w:top w:val="nil"/>
              <w:left w:val="nil"/>
              <w:bottom w:val="nil"/>
              <w:right w:val="nil"/>
            </w:tcBorders>
            <w:shd w:val="clear" w:color="000000" w:fill="DDEBF7"/>
            <w:noWrap/>
            <w:vAlign w:val="center"/>
            <w:hideMark/>
          </w:tcPr>
          <w:p w14:paraId="6EC45E8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7E6C8A6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2506BEB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0ECFC4A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53B827C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5ADA4FA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042EEED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78DB64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30AC1D7A"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2EDB9450"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palestinienne</w:t>
            </w:r>
          </w:p>
        </w:tc>
        <w:tc>
          <w:tcPr>
            <w:tcW w:w="1120" w:type="dxa"/>
            <w:tcBorders>
              <w:top w:val="nil"/>
              <w:left w:val="nil"/>
              <w:bottom w:val="nil"/>
              <w:right w:val="nil"/>
            </w:tcBorders>
            <w:shd w:val="clear" w:color="000000" w:fill="DDEBF7"/>
            <w:noWrap/>
            <w:vAlign w:val="center"/>
            <w:hideMark/>
          </w:tcPr>
          <w:p w14:paraId="38D590A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741A934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3A920C3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0FEBCE5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645774B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0A2632A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767303A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355FA0E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09534563"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5F39235" w14:textId="7D242A88" w:rsidR="00341875" w:rsidRPr="006D6A3F" w:rsidRDefault="006C5876"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burkinabè</w:t>
            </w:r>
          </w:p>
        </w:tc>
        <w:tc>
          <w:tcPr>
            <w:tcW w:w="1120" w:type="dxa"/>
            <w:tcBorders>
              <w:top w:val="nil"/>
              <w:left w:val="nil"/>
              <w:bottom w:val="nil"/>
              <w:right w:val="nil"/>
            </w:tcBorders>
            <w:shd w:val="clear" w:color="000000" w:fill="DDEBF7"/>
            <w:noWrap/>
            <w:vAlign w:val="center"/>
            <w:hideMark/>
          </w:tcPr>
          <w:p w14:paraId="7C3CE0A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682777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162E47E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0888644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737C7E1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09FF1BD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1ADAEF6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C1E168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0402FCC1"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A99A29B"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irlandaise</w:t>
            </w:r>
          </w:p>
        </w:tc>
        <w:tc>
          <w:tcPr>
            <w:tcW w:w="1120" w:type="dxa"/>
            <w:tcBorders>
              <w:top w:val="nil"/>
              <w:left w:val="nil"/>
              <w:bottom w:val="nil"/>
              <w:right w:val="nil"/>
            </w:tcBorders>
            <w:shd w:val="clear" w:color="000000" w:fill="DDEBF7"/>
            <w:noWrap/>
            <w:vAlign w:val="center"/>
            <w:hideMark/>
          </w:tcPr>
          <w:p w14:paraId="530004A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2BE52A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1A76ADE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5FA8F2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0853686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02D9BE1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765F584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2CB157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1E4F928D"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1A72407"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sierra-</w:t>
            </w:r>
            <w:proofErr w:type="spellStart"/>
            <w:r w:rsidRPr="006D6A3F">
              <w:rPr>
                <w:rFonts w:eastAsia="Times New Roman" w:cstheme="minorHAnsi"/>
                <w:color w:val="000000"/>
                <w:sz w:val="18"/>
                <w:szCs w:val="18"/>
              </w:rPr>
              <w:t>leonienne</w:t>
            </w:r>
            <w:proofErr w:type="spellEnd"/>
          </w:p>
        </w:tc>
        <w:tc>
          <w:tcPr>
            <w:tcW w:w="1120" w:type="dxa"/>
            <w:tcBorders>
              <w:top w:val="nil"/>
              <w:left w:val="nil"/>
              <w:bottom w:val="nil"/>
              <w:right w:val="nil"/>
            </w:tcBorders>
            <w:shd w:val="clear" w:color="000000" w:fill="DDEBF7"/>
            <w:noWrap/>
            <w:vAlign w:val="center"/>
            <w:hideMark/>
          </w:tcPr>
          <w:p w14:paraId="041DBE9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04257A7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2CD8749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06FCBBD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28BFE5D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64E1AA7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single" w:sz="4" w:space="0" w:color="auto"/>
              <w:bottom w:val="nil"/>
              <w:right w:val="nil"/>
            </w:tcBorders>
            <w:shd w:val="clear" w:color="000000" w:fill="F2F2F2"/>
            <w:noWrap/>
            <w:vAlign w:val="center"/>
            <w:hideMark/>
          </w:tcPr>
          <w:p w14:paraId="40569CD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5CC6BC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5A77AD6A"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DB5FC38" w14:textId="293370FE" w:rsidR="00341875" w:rsidRPr="006D6A3F" w:rsidRDefault="006C5876" w:rsidP="00045685">
            <w:pPr>
              <w:spacing w:line="240" w:lineRule="auto"/>
              <w:rPr>
                <w:rFonts w:eastAsia="Times New Roman" w:cstheme="minorHAnsi"/>
                <w:sz w:val="18"/>
                <w:szCs w:val="18"/>
              </w:rPr>
            </w:pPr>
            <w:r w:rsidRPr="006D6A3F">
              <w:rPr>
                <w:rFonts w:eastAsia="Times New Roman" w:cstheme="minorHAnsi"/>
                <w:sz w:val="18"/>
                <w:szCs w:val="18"/>
              </w:rPr>
              <w:t>nigérienne</w:t>
            </w:r>
          </w:p>
        </w:tc>
        <w:tc>
          <w:tcPr>
            <w:tcW w:w="1120" w:type="dxa"/>
            <w:tcBorders>
              <w:top w:val="nil"/>
              <w:left w:val="nil"/>
              <w:bottom w:val="nil"/>
              <w:right w:val="nil"/>
            </w:tcBorders>
            <w:shd w:val="clear" w:color="000000" w:fill="DDEBF7"/>
            <w:noWrap/>
            <w:vAlign w:val="center"/>
            <w:hideMark/>
          </w:tcPr>
          <w:p w14:paraId="7999D7B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1DF6875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15B2DD1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09D77B1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2A99F7C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6FC244C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AD5AA2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1EDCA5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1C7FB14A"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3C449E7D"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népalaise</w:t>
            </w:r>
          </w:p>
        </w:tc>
        <w:tc>
          <w:tcPr>
            <w:tcW w:w="1120" w:type="dxa"/>
            <w:tcBorders>
              <w:top w:val="nil"/>
              <w:left w:val="nil"/>
              <w:bottom w:val="nil"/>
              <w:right w:val="nil"/>
            </w:tcBorders>
            <w:shd w:val="clear" w:color="000000" w:fill="DDEBF7"/>
            <w:noWrap/>
            <w:vAlign w:val="center"/>
            <w:hideMark/>
          </w:tcPr>
          <w:p w14:paraId="2F80F93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01E5FB6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EEAE71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44AFAE6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22C18DF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670F91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71049C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6EA7B0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2E27C9AC"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9C11841"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gambienne</w:t>
            </w:r>
          </w:p>
        </w:tc>
        <w:tc>
          <w:tcPr>
            <w:tcW w:w="1120" w:type="dxa"/>
            <w:tcBorders>
              <w:top w:val="nil"/>
              <w:left w:val="nil"/>
              <w:bottom w:val="nil"/>
              <w:right w:val="nil"/>
            </w:tcBorders>
            <w:shd w:val="clear" w:color="000000" w:fill="DDEBF7"/>
            <w:noWrap/>
            <w:vAlign w:val="center"/>
            <w:hideMark/>
          </w:tcPr>
          <w:p w14:paraId="2FCC748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2</w:t>
            </w:r>
          </w:p>
        </w:tc>
        <w:tc>
          <w:tcPr>
            <w:tcW w:w="980" w:type="dxa"/>
            <w:tcBorders>
              <w:top w:val="nil"/>
              <w:left w:val="nil"/>
              <w:bottom w:val="nil"/>
              <w:right w:val="nil"/>
            </w:tcBorders>
            <w:shd w:val="clear" w:color="000000" w:fill="DDEBF7"/>
            <w:noWrap/>
            <w:vAlign w:val="center"/>
            <w:hideMark/>
          </w:tcPr>
          <w:p w14:paraId="519FC6C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0.7%</w:t>
            </w:r>
          </w:p>
        </w:tc>
        <w:tc>
          <w:tcPr>
            <w:tcW w:w="1120" w:type="dxa"/>
            <w:tcBorders>
              <w:top w:val="nil"/>
              <w:left w:val="single" w:sz="4" w:space="0" w:color="auto"/>
              <w:bottom w:val="nil"/>
              <w:right w:val="nil"/>
            </w:tcBorders>
            <w:shd w:val="clear" w:color="000000" w:fill="F2F2F2"/>
            <w:noWrap/>
            <w:vAlign w:val="center"/>
            <w:hideMark/>
          </w:tcPr>
          <w:p w14:paraId="799A52D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30687D3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399482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1A70F1F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79FF00E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6D32B0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5AA118D0"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770A28D"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béninoise</w:t>
            </w:r>
          </w:p>
        </w:tc>
        <w:tc>
          <w:tcPr>
            <w:tcW w:w="1120" w:type="dxa"/>
            <w:tcBorders>
              <w:top w:val="nil"/>
              <w:left w:val="nil"/>
              <w:bottom w:val="nil"/>
              <w:right w:val="nil"/>
            </w:tcBorders>
            <w:shd w:val="clear" w:color="000000" w:fill="DDEBF7"/>
            <w:noWrap/>
            <w:vAlign w:val="center"/>
            <w:hideMark/>
          </w:tcPr>
          <w:p w14:paraId="4718D79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1F14541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69EAB6B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6C708BC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4B04B4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6A45D7B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14713BE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714F8F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3FAD0898"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141DD05"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libérienne</w:t>
            </w:r>
          </w:p>
        </w:tc>
        <w:tc>
          <w:tcPr>
            <w:tcW w:w="1120" w:type="dxa"/>
            <w:tcBorders>
              <w:top w:val="nil"/>
              <w:left w:val="nil"/>
              <w:bottom w:val="nil"/>
              <w:right w:val="nil"/>
            </w:tcBorders>
            <w:shd w:val="clear" w:color="000000" w:fill="DDEBF7"/>
            <w:noWrap/>
            <w:vAlign w:val="center"/>
            <w:hideMark/>
          </w:tcPr>
          <w:p w14:paraId="06C8F38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6632DB9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481F9C2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FB7668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9E43BE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03D9F87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5C1E8D6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B2398E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21A197C3"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C2F77AC"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malienne</w:t>
            </w:r>
          </w:p>
        </w:tc>
        <w:tc>
          <w:tcPr>
            <w:tcW w:w="1120" w:type="dxa"/>
            <w:tcBorders>
              <w:top w:val="nil"/>
              <w:left w:val="nil"/>
              <w:bottom w:val="nil"/>
              <w:right w:val="nil"/>
            </w:tcBorders>
            <w:shd w:val="clear" w:color="000000" w:fill="DDEBF7"/>
            <w:noWrap/>
            <w:vAlign w:val="center"/>
            <w:hideMark/>
          </w:tcPr>
          <w:p w14:paraId="740EF41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7CB8462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4468B1A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F74C30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D6C23C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8A4DFD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82CC39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858CC4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3EEC6321"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F47D0C2"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zimbabwéenne</w:t>
            </w:r>
          </w:p>
        </w:tc>
        <w:tc>
          <w:tcPr>
            <w:tcW w:w="1120" w:type="dxa"/>
            <w:tcBorders>
              <w:top w:val="nil"/>
              <w:left w:val="nil"/>
              <w:bottom w:val="nil"/>
              <w:right w:val="nil"/>
            </w:tcBorders>
            <w:shd w:val="clear" w:color="000000" w:fill="DDEBF7"/>
            <w:noWrap/>
            <w:vAlign w:val="center"/>
            <w:hideMark/>
          </w:tcPr>
          <w:p w14:paraId="11206FC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246DF6B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299DE1B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8E99F5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2591E53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6912E29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148CA25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23D90E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102E7029"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DA3BCD6"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burundaise</w:t>
            </w:r>
          </w:p>
        </w:tc>
        <w:tc>
          <w:tcPr>
            <w:tcW w:w="1120" w:type="dxa"/>
            <w:tcBorders>
              <w:top w:val="nil"/>
              <w:left w:val="nil"/>
              <w:bottom w:val="nil"/>
              <w:right w:val="nil"/>
            </w:tcBorders>
            <w:shd w:val="clear" w:color="000000" w:fill="DDEBF7"/>
            <w:noWrap/>
            <w:vAlign w:val="center"/>
            <w:hideMark/>
          </w:tcPr>
          <w:p w14:paraId="5D901B0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C69F21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778998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38A65C4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612E1AC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0C5429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A988AF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9175BE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2CED557E"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0919F72"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estonienne</w:t>
            </w:r>
          </w:p>
        </w:tc>
        <w:tc>
          <w:tcPr>
            <w:tcW w:w="1120" w:type="dxa"/>
            <w:tcBorders>
              <w:top w:val="nil"/>
              <w:left w:val="nil"/>
              <w:bottom w:val="nil"/>
              <w:right w:val="nil"/>
            </w:tcBorders>
            <w:shd w:val="clear" w:color="000000" w:fill="DDEBF7"/>
            <w:noWrap/>
            <w:vAlign w:val="center"/>
            <w:hideMark/>
          </w:tcPr>
          <w:p w14:paraId="4D9ECE5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605F28C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DAC9BE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1E5FAE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0ED7782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B28B91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451BA8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E6D29E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17331FFF"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27F57CB2"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slovaque</w:t>
            </w:r>
          </w:p>
        </w:tc>
        <w:tc>
          <w:tcPr>
            <w:tcW w:w="1120" w:type="dxa"/>
            <w:tcBorders>
              <w:top w:val="nil"/>
              <w:left w:val="nil"/>
              <w:bottom w:val="nil"/>
              <w:right w:val="nil"/>
            </w:tcBorders>
            <w:shd w:val="clear" w:color="000000" w:fill="DDEBF7"/>
            <w:noWrap/>
            <w:vAlign w:val="center"/>
            <w:hideMark/>
          </w:tcPr>
          <w:p w14:paraId="0FBD7BC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34337B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74BD7C4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455F2D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1051A80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7A7D56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CB3C25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733543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2ACED8CE"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1F5F34D5"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somalienne</w:t>
            </w:r>
          </w:p>
        </w:tc>
        <w:tc>
          <w:tcPr>
            <w:tcW w:w="1120" w:type="dxa"/>
            <w:tcBorders>
              <w:top w:val="nil"/>
              <w:left w:val="nil"/>
              <w:bottom w:val="nil"/>
              <w:right w:val="nil"/>
            </w:tcBorders>
            <w:shd w:val="clear" w:color="000000" w:fill="DDEBF7"/>
            <w:noWrap/>
            <w:vAlign w:val="center"/>
            <w:hideMark/>
          </w:tcPr>
          <w:p w14:paraId="227A95E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3D4FC6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2CE30A0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D05756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7574F03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2304FF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27966D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66C10D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656B1F40"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C602270"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turque</w:t>
            </w:r>
          </w:p>
        </w:tc>
        <w:tc>
          <w:tcPr>
            <w:tcW w:w="1120" w:type="dxa"/>
            <w:tcBorders>
              <w:top w:val="nil"/>
              <w:left w:val="nil"/>
              <w:bottom w:val="nil"/>
              <w:right w:val="nil"/>
            </w:tcBorders>
            <w:shd w:val="clear" w:color="000000" w:fill="DDEBF7"/>
            <w:noWrap/>
            <w:vAlign w:val="center"/>
            <w:hideMark/>
          </w:tcPr>
          <w:p w14:paraId="6F16071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3B1AE67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1208D08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734AEB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B1ED2D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88B0C1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795AEE7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307A787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0AB825E2"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99ACDCA"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autrichienne</w:t>
            </w:r>
          </w:p>
        </w:tc>
        <w:tc>
          <w:tcPr>
            <w:tcW w:w="1120" w:type="dxa"/>
            <w:tcBorders>
              <w:top w:val="nil"/>
              <w:left w:val="nil"/>
              <w:bottom w:val="nil"/>
              <w:right w:val="nil"/>
            </w:tcBorders>
            <w:shd w:val="clear" w:color="000000" w:fill="DDEBF7"/>
            <w:noWrap/>
            <w:vAlign w:val="center"/>
            <w:hideMark/>
          </w:tcPr>
          <w:p w14:paraId="22D59BA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7C1CE6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1192D9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DF7261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2D7E171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9482D5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41010D1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60612AE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1D940C83"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591FE88"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chypriote</w:t>
            </w:r>
          </w:p>
        </w:tc>
        <w:tc>
          <w:tcPr>
            <w:tcW w:w="1120" w:type="dxa"/>
            <w:tcBorders>
              <w:top w:val="nil"/>
              <w:left w:val="nil"/>
              <w:bottom w:val="nil"/>
              <w:right w:val="nil"/>
            </w:tcBorders>
            <w:shd w:val="clear" w:color="000000" w:fill="DDEBF7"/>
            <w:noWrap/>
            <w:vAlign w:val="center"/>
            <w:hideMark/>
          </w:tcPr>
          <w:p w14:paraId="5CDE806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EF180F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71EDFD8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224879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5E72EB2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9B3E03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4ADFF9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2331AB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195C7F64"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3B0BC01"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lastRenderedPageBreak/>
              <w:t>danoise</w:t>
            </w:r>
          </w:p>
        </w:tc>
        <w:tc>
          <w:tcPr>
            <w:tcW w:w="1120" w:type="dxa"/>
            <w:tcBorders>
              <w:top w:val="nil"/>
              <w:left w:val="nil"/>
              <w:bottom w:val="nil"/>
              <w:right w:val="nil"/>
            </w:tcBorders>
            <w:shd w:val="clear" w:color="000000" w:fill="DDEBF7"/>
            <w:noWrap/>
            <w:vAlign w:val="center"/>
            <w:hideMark/>
          </w:tcPr>
          <w:p w14:paraId="3E2957F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320844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217EB68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52D887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0ED8861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39CB97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4E83919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874869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5775ED30"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0C8FD0B6"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finlandaise</w:t>
            </w:r>
          </w:p>
        </w:tc>
        <w:tc>
          <w:tcPr>
            <w:tcW w:w="1120" w:type="dxa"/>
            <w:tcBorders>
              <w:top w:val="nil"/>
              <w:left w:val="nil"/>
              <w:bottom w:val="nil"/>
              <w:right w:val="nil"/>
            </w:tcBorders>
            <w:shd w:val="clear" w:color="000000" w:fill="DDEBF7"/>
            <w:noWrap/>
            <w:vAlign w:val="center"/>
            <w:hideMark/>
          </w:tcPr>
          <w:p w14:paraId="04467E2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1F6191A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7D1E83F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6B8BC8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4826146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7E9D9E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1598A5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31D55E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1C0D5C61"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2193BF4"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maltaise</w:t>
            </w:r>
          </w:p>
        </w:tc>
        <w:tc>
          <w:tcPr>
            <w:tcW w:w="1120" w:type="dxa"/>
            <w:tcBorders>
              <w:top w:val="nil"/>
              <w:left w:val="nil"/>
              <w:bottom w:val="nil"/>
              <w:right w:val="nil"/>
            </w:tcBorders>
            <w:shd w:val="clear" w:color="000000" w:fill="DDEBF7"/>
            <w:noWrap/>
            <w:vAlign w:val="center"/>
            <w:hideMark/>
          </w:tcPr>
          <w:p w14:paraId="7D1DE09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E3E291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1BA692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760363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210C8EE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9D42E1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5BF8AB8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6DD83F9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3CD00BAC"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79DAFE8"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slovène</w:t>
            </w:r>
          </w:p>
        </w:tc>
        <w:tc>
          <w:tcPr>
            <w:tcW w:w="1120" w:type="dxa"/>
            <w:tcBorders>
              <w:top w:val="nil"/>
              <w:left w:val="nil"/>
              <w:bottom w:val="nil"/>
              <w:right w:val="nil"/>
            </w:tcBorders>
            <w:shd w:val="clear" w:color="000000" w:fill="DDEBF7"/>
            <w:noWrap/>
            <w:vAlign w:val="center"/>
            <w:hideMark/>
          </w:tcPr>
          <w:p w14:paraId="077239B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41DD51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478392A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D9D708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BF2A17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662840F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150560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201741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041837EF"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145C93A3"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suédoise</w:t>
            </w:r>
          </w:p>
        </w:tc>
        <w:tc>
          <w:tcPr>
            <w:tcW w:w="1120" w:type="dxa"/>
            <w:tcBorders>
              <w:top w:val="nil"/>
              <w:left w:val="nil"/>
              <w:bottom w:val="nil"/>
              <w:right w:val="nil"/>
            </w:tcBorders>
            <w:shd w:val="clear" w:color="000000" w:fill="DDEBF7"/>
            <w:noWrap/>
            <w:vAlign w:val="center"/>
            <w:hideMark/>
          </w:tcPr>
          <w:p w14:paraId="3E98990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F32651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4B5D509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5E988E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7B35A37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3CBEF4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51A67C4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AFAD70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51DCCAFA"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30268033"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érythréenne</w:t>
            </w:r>
          </w:p>
        </w:tc>
        <w:tc>
          <w:tcPr>
            <w:tcW w:w="1120" w:type="dxa"/>
            <w:tcBorders>
              <w:top w:val="nil"/>
              <w:left w:val="nil"/>
              <w:bottom w:val="nil"/>
              <w:right w:val="nil"/>
            </w:tcBorders>
            <w:shd w:val="clear" w:color="000000" w:fill="DDEBF7"/>
            <w:noWrap/>
            <w:vAlign w:val="center"/>
            <w:hideMark/>
          </w:tcPr>
          <w:p w14:paraId="5010FD1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36CA500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0A6CA28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04A44FF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2E9D7E2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6AFE089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2E9D7CC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6AC9916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1D085B73"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1E63C4A5"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ougandaise</w:t>
            </w:r>
          </w:p>
        </w:tc>
        <w:tc>
          <w:tcPr>
            <w:tcW w:w="1120" w:type="dxa"/>
            <w:tcBorders>
              <w:top w:val="nil"/>
              <w:left w:val="nil"/>
              <w:bottom w:val="nil"/>
              <w:right w:val="nil"/>
            </w:tcBorders>
            <w:shd w:val="clear" w:color="000000" w:fill="DDEBF7"/>
            <w:noWrap/>
            <w:vAlign w:val="center"/>
            <w:hideMark/>
          </w:tcPr>
          <w:p w14:paraId="747BB00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81CDE5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1689F1A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single" w:sz="4" w:space="0" w:color="auto"/>
            </w:tcBorders>
            <w:shd w:val="clear" w:color="000000" w:fill="F2F2F2"/>
            <w:noWrap/>
            <w:vAlign w:val="center"/>
            <w:hideMark/>
          </w:tcPr>
          <w:p w14:paraId="4507F21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0.4%</w:t>
            </w:r>
          </w:p>
        </w:tc>
        <w:tc>
          <w:tcPr>
            <w:tcW w:w="1120" w:type="dxa"/>
            <w:tcBorders>
              <w:top w:val="nil"/>
              <w:left w:val="nil"/>
              <w:bottom w:val="nil"/>
              <w:right w:val="nil"/>
            </w:tcBorders>
            <w:shd w:val="clear" w:color="000000" w:fill="DDEBF7"/>
            <w:noWrap/>
            <w:vAlign w:val="center"/>
            <w:hideMark/>
          </w:tcPr>
          <w:p w14:paraId="5CDF9AE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09464007"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712F12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CBB6B1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17675F3E"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64A91B8C"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cubaine</w:t>
            </w:r>
          </w:p>
        </w:tc>
        <w:tc>
          <w:tcPr>
            <w:tcW w:w="1120" w:type="dxa"/>
            <w:tcBorders>
              <w:top w:val="nil"/>
              <w:left w:val="nil"/>
              <w:bottom w:val="nil"/>
              <w:right w:val="nil"/>
            </w:tcBorders>
            <w:shd w:val="clear" w:color="000000" w:fill="DDEBF7"/>
            <w:noWrap/>
            <w:vAlign w:val="center"/>
            <w:hideMark/>
          </w:tcPr>
          <w:p w14:paraId="4692C2B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3</w:t>
            </w:r>
          </w:p>
        </w:tc>
        <w:tc>
          <w:tcPr>
            <w:tcW w:w="980" w:type="dxa"/>
            <w:tcBorders>
              <w:top w:val="nil"/>
              <w:left w:val="nil"/>
              <w:bottom w:val="nil"/>
              <w:right w:val="nil"/>
            </w:tcBorders>
            <w:shd w:val="clear" w:color="000000" w:fill="DDEBF7"/>
            <w:noWrap/>
            <w:vAlign w:val="center"/>
            <w:hideMark/>
          </w:tcPr>
          <w:p w14:paraId="0744E62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1.0%</w:t>
            </w:r>
          </w:p>
        </w:tc>
        <w:tc>
          <w:tcPr>
            <w:tcW w:w="1120" w:type="dxa"/>
            <w:tcBorders>
              <w:top w:val="nil"/>
              <w:left w:val="single" w:sz="4" w:space="0" w:color="auto"/>
              <w:bottom w:val="nil"/>
              <w:right w:val="nil"/>
            </w:tcBorders>
            <w:shd w:val="clear" w:color="000000" w:fill="F2F2F2"/>
            <w:noWrap/>
            <w:vAlign w:val="center"/>
            <w:hideMark/>
          </w:tcPr>
          <w:p w14:paraId="793E7A2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6CE0FA0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0DE543C1"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2F64E8C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4D43E85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134888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2818924E"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73BD9514"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chilienne</w:t>
            </w:r>
          </w:p>
        </w:tc>
        <w:tc>
          <w:tcPr>
            <w:tcW w:w="1120" w:type="dxa"/>
            <w:tcBorders>
              <w:top w:val="nil"/>
              <w:left w:val="nil"/>
              <w:bottom w:val="nil"/>
              <w:right w:val="nil"/>
            </w:tcBorders>
            <w:shd w:val="clear" w:color="000000" w:fill="DDEBF7"/>
            <w:noWrap/>
            <w:vAlign w:val="center"/>
            <w:hideMark/>
          </w:tcPr>
          <w:p w14:paraId="4B0D0C0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4E92B0B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6C9276A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49DFEA5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2E2F0D6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5E22593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6C6B98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70C747C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02A66981"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51B1700F" w14:textId="6563406E" w:rsidR="00341875" w:rsidRPr="006D6A3F" w:rsidRDefault="006C5876" w:rsidP="00045685">
            <w:pPr>
              <w:spacing w:line="240" w:lineRule="auto"/>
              <w:rPr>
                <w:rFonts w:eastAsia="Times New Roman" w:cstheme="minorHAnsi"/>
                <w:sz w:val="18"/>
                <w:szCs w:val="18"/>
              </w:rPr>
            </w:pPr>
            <w:r w:rsidRPr="006D6A3F">
              <w:rPr>
                <w:rFonts w:eastAsia="Times New Roman" w:cstheme="minorHAnsi"/>
                <w:sz w:val="18"/>
                <w:szCs w:val="18"/>
              </w:rPr>
              <w:t>kenyane</w:t>
            </w:r>
          </w:p>
        </w:tc>
        <w:tc>
          <w:tcPr>
            <w:tcW w:w="1120" w:type="dxa"/>
            <w:tcBorders>
              <w:top w:val="nil"/>
              <w:left w:val="nil"/>
              <w:bottom w:val="nil"/>
              <w:right w:val="nil"/>
            </w:tcBorders>
            <w:shd w:val="clear" w:color="000000" w:fill="DDEBF7"/>
            <w:noWrap/>
            <w:vAlign w:val="center"/>
            <w:hideMark/>
          </w:tcPr>
          <w:p w14:paraId="1F24D25B"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1</w:t>
            </w:r>
          </w:p>
        </w:tc>
        <w:tc>
          <w:tcPr>
            <w:tcW w:w="980" w:type="dxa"/>
            <w:tcBorders>
              <w:top w:val="nil"/>
              <w:left w:val="nil"/>
              <w:bottom w:val="nil"/>
              <w:right w:val="nil"/>
            </w:tcBorders>
            <w:shd w:val="clear" w:color="000000" w:fill="DDEBF7"/>
            <w:noWrap/>
            <w:vAlign w:val="center"/>
            <w:hideMark/>
          </w:tcPr>
          <w:p w14:paraId="62A6BDE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0.3%</w:t>
            </w:r>
          </w:p>
        </w:tc>
        <w:tc>
          <w:tcPr>
            <w:tcW w:w="1120" w:type="dxa"/>
            <w:tcBorders>
              <w:top w:val="nil"/>
              <w:left w:val="single" w:sz="4" w:space="0" w:color="auto"/>
              <w:bottom w:val="nil"/>
              <w:right w:val="nil"/>
            </w:tcBorders>
            <w:shd w:val="clear" w:color="000000" w:fill="F2F2F2"/>
            <w:noWrap/>
            <w:vAlign w:val="center"/>
            <w:hideMark/>
          </w:tcPr>
          <w:p w14:paraId="31D046B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E36E29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3A9F35C3"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08DE463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5237A329"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3B7B422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0A1E4588"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52A3355"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américaine</w:t>
            </w:r>
          </w:p>
        </w:tc>
        <w:tc>
          <w:tcPr>
            <w:tcW w:w="1120" w:type="dxa"/>
            <w:tcBorders>
              <w:top w:val="nil"/>
              <w:left w:val="nil"/>
              <w:bottom w:val="nil"/>
              <w:right w:val="nil"/>
            </w:tcBorders>
            <w:shd w:val="clear" w:color="000000" w:fill="DDEBF7"/>
            <w:noWrap/>
            <w:vAlign w:val="center"/>
            <w:hideMark/>
          </w:tcPr>
          <w:p w14:paraId="7F0029EE"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44558F7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216C9ED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5F159DA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5B4EE95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7D59786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6C6C04A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06FBEF7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4A1F138A" w14:textId="77777777" w:rsidTr="00045685">
        <w:trPr>
          <w:trHeight w:val="345"/>
          <w:jc w:val="center"/>
        </w:trPr>
        <w:tc>
          <w:tcPr>
            <w:tcW w:w="2240" w:type="dxa"/>
            <w:tcBorders>
              <w:top w:val="nil"/>
              <w:left w:val="single" w:sz="4" w:space="0" w:color="auto"/>
              <w:bottom w:val="nil"/>
              <w:right w:val="single" w:sz="8" w:space="0" w:color="auto"/>
            </w:tcBorders>
            <w:shd w:val="clear" w:color="000000" w:fill="F2F2F2"/>
            <w:noWrap/>
            <w:vAlign w:val="bottom"/>
            <w:hideMark/>
          </w:tcPr>
          <w:p w14:paraId="465E26B5" w14:textId="77777777" w:rsidR="00341875" w:rsidRPr="006D6A3F" w:rsidRDefault="00341875" w:rsidP="00045685">
            <w:pPr>
              <w:spacing w:line="240" w:lineRule="auto"/>
              <w:rPr>
                <w:rFonts w:eastAsia="Times New Roman" w:cstheme="minorHAnsi"/>
                <w:sz w:val="18"/>
                <w:szCs w:val="18"/>
              </w:rPr>
            </w:pPr>
            <w:r w:rsidRPr="006D6A3F">
              <w:rPr>
                <w:rFonts w:eastAsia="Times New Roman" w:cstheme="minorHAnsi"/>
                <w:sz w:val="18"/>
                <w:szCs w:val="18"/>
              </w:rPr>
              <w:t>égyptienne</w:t>
            </w:r>
          </w:p>
        </w:tc>
        <w:tc>
          <w:tcPr>
            <w:tcW w:w="1120" w:type="dxa"/>
            <w:tcBorders>
              <w:top w:val="nil"/>
              <w:left w:val="nil"/>
              <w:bottom w:val="nil"/>
              <w:right w:val="nil"/>
            </w:tcBorders>
            <w:shd w:val="clear" w:color="000000" w:fill="DDEBF7"/>
            <w:noWrap/>
            <w:vAlign w:val="center"/>
            <w:hideMark/>
          </w:tcPr>
          <w:p w14:paraId="24FFBF5A"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025CB21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3929FB3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1A986B45"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nil"/>
              <w:bottom w:val="nil"/>
              <w:right w:val="nil"/>
            </w:tcBorders>
            <w:shd w:val="clear" w:color="000000" w:fill="DDEBF7"/>
            <w:noWrap/>
            <w:vAlign w:val="center"/>
            <w:hideMark/>
          </w:tcPr>
          <w:p w14:paraId="6457F63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nil"/>
            </w:tcBorders>
            <w:shd w:val="clear" w:color="000000" w:fill="DDEBF7"/>
            <w:noWrap/>
            <w:vAlign w:val="center"/>
            <w:hideMark/>
          </w:tcPr>
          <w:p w14:paraId="1D8D155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c>
          <w:tcPr>
            <w:tcW w:w="1120" w:type="dxa"/>
            <w:tcBorders>
              <w:top w:val="nil"/>
              <w:left w:val="single" w:sz="4" w:space="0" w:color="auto"/>
              <w:bottom w:val="nil"/>
              <w:right w:val="nil"/>
            </w:tcBorders>
            <w:shd w:val="clear" w:color="000000" w:fill="F2F2F2"/>
            <w:noWrap/>
            <w:vAlign w:val="center"/>
            <w:hideMark/>
          </w:tcPr>
          <w:p w14:paraId="48777188"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w:t>
            </w:r>
          </w:p>
        </w:tc>
        <w:tc>
          <w:tcPr>
            <w:tcW w:w="980" w:type="dxa"/>
            <w:tcBorders>
              <w:top w:val="nil"/>
              <w:left w:val="nil"/>
              <w:bottom w:val="nil"/>
              <w:right w:val="single" w:sz="4" w:space="0" w:color="auto"/>
            </w:tcBorders>
            <w:shd w:val="clear" w:color="000000" w:fill="F2F2F2"/>
            <w:noWrap/>
            <w:vAlign w:val="center"/>
            <w:hideMark/>
          </w:tcPr>
          <w:p w14:paraId="294B5596"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0.0%</w:t>
            </w:r>
          </w:p>
        </w:tc>
      </w:tr>
      <w:tr w:rsidR="00341875" w:rsidRPr="006D6A3F" w14:paraId="41120BEE" w14:textId="77777777" w:rsidTr="00045685">
        <w:trPr>
          <w:trHeight w:val="150"/>
          <w:jc w:val="center"/>
        </w:trPr>
        <w:tc>
          <w:tcPr>
            <w:tcW w:w="2240" w:type="dxa"/>
            <w:tcBorders>
              <w:top w:val="nil"/>
              <w:left w:val="single" w:sz="4" w:space="0" w:color="auto"/>
              <w:bottom w:val="nil"/>
              <w:right w:val="nil"/>
            </w:tcBorders>
            <w:shd w:val="clear" w:color="000000" w:fill="FFFFFF"/>
            <w:noWrap/>
            <w:vAlign w:val="bottom"/>
            <w:hideMark/>
          </w:tcPr>
          <w:p w14:paraId="253D69E1" w14:textId="77777777" w:rsidR="00341875" w:rsidRPr="006D6A3F" w:rsidRDefault="00341875" w:rsidP="00045685">
            <w:pPr>
              <w:spacing w:line="240" w:lineRule="auto"/>
              <w:rPr>
                <w:rFonts w:eastAsia="Times New Roman" w:cstheme="minorHAnsi"/>
                <w:color w:val="000000"/>
                <w:sz w:val="18"/>
                <w:szCs w:val="18"/>
              </w:rPr>
            </w:pPr>
            <w:r w:rsidRPr="006D6A3F">
              <w:rPr>
                <w:rFonts w:eastAsia="Times New Roman" w:cstheme="minorHAnsi"/>
                <w:color w:val="000000"/>
                <w:sz w:val="18"/>
                <w:szCs w:val="18"/>
              </w:rPr>
              <w:t> </w:t>
            </w:r>
          </w:p>
        </w:tc>
        <w:tc>
          <w:tcPr>
            <w:tcW w:w="1120" w:type="dxa"/>
            <w:tcBorders>
              <w:top w:val="nil"/>
              <w:left w:val="nil"/>
              <w:bottom w:val="nil"/>
              <w:right w:val="nil"/>
            </w:tcBorders>
            <w:shd w:val="clear" w:color="000000" w:fill="FFFFFF"/>
            <w:noWrap/>
            <w:vAlign w:val="center"/>
            <w:hideMark/>
          </w:tcPr>
          <w:p w14:paraId="4013A0EC"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 </w:t>
            </w:r>
          </w:p>
        </w:tc>
        <w:tc>
          <w:tcPr>
            <w:tcW w:w="980" w:type="dxa"/>
            <w:tcBorders>
              <w:top w:val="nil"/>
              <w:left w:val="nil"/>
              <w:bottom w:val="nil"/>
              <w:right w:val="nil"/>
            </w:tcBorders>
            <w:shd w:val="clear" w:color="000000" w:fill="FFFFFF"/>
            <w:noWrap/>
            <w:vAlign w:val="center"/>
            <w:hideMark/>
          </w:tcPr>
          <w:p w14:paraId="4C1162D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 </w:t>
            </w:r>
          </w:p>
        </w:tc>
        <w:tc>
          <w:tcPr>
            <w:tcW w:w="1120" w:type="dxa"/>
            <w:tcBorders>
              <w:top w:val="nil"/>
              <w:left w:val="nil"/>
              <w:bottom w:val="nil"/>
              <w:right w:val="nil"/>
            </w:tcBorders>
            <w:shd w:val="clear" w:color="000000" w:fill="FFFFFF"/>
            <w:noWrap/>
            <w:vAlign w:val="center"/>
            <w:hideMark/>
          </w:tcPr>
          <w:p w14:paraId="5208A0AD"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 </w:t>
            </w:r>
          </w:p>
        </w:tc>
        <w:tc>
          <w:tcPr>
            <w:tcW w:w="980" w:type="dxa"/>
            <w:tcBorders>
              <w:top w:val="nil"/>
              <w:left w:val="nil"/>
              <w:bottom w:val="nil"/>
              <w:right w:val="nil"/>
            </w:tcBorders>
            <w:shd w:val="clear" w:color="000000" w:fill="FFFFFF"/>
            <w:noWrap/>
            <w:vAlign w:val="center"/>
            <w:hideMark/>
          </w:tcPr>
          <w:p w14:paraId="3008E1E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 </w:t>
            </w:r>
          </w:p>
        </w:tc>
        <w:tc>
          <w:tcPr>
            <w:tcW w:w="1120" w:type="dxa"/>
            <w:tcBorders>
              <w:top w:val="nil"/>
              <w:left w:val="nil"/>
              <w:bottom w:val="nil"/>
              <w:right w:val="nil"/>
            </w:tcBorders>
            <w:shd w:val="clear" w:color="000000" w:fill="FFFFFF"/>
            <w:noWrap/>
            <w:vAlign w:val="center"/>
            <w:hideMark/>
          </w:tcPr>
          <w:p w14:paraId="5FCEC7E2"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 </w:t>
            </w:r>
          </w:p>
        </w:tc>
        <w:tc>
          <w:tcPr>
            <w:tcW w:w="980" w:type="dxa"/>
            <w:tcBorders>
              <w:top w:val="nil"/>
              <w:left w:val="nil"/>
              <w:bottom w:val="nil"/>
              <w:right w:val="nil"/>
            </w:tcBorders>
            <w:shd w:val="clear" w:color="000000" w:fill="FFFFFF"/>
            <w:noWrap/>
            <w:vAlign w:val="center"/>
            <w:hideMark/>
          </w:tcPr>
          <w:p w14:paraId="1AD72410"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 </w:t>
            </w:r>
          </w:p>
        </w:tc>
        <w:tc>
          <w:tcPr>
            <w:tcW w:w="1120" w:type="dxa"/>
            <w:tcBorders>
              <w:top w:val="nil"/>
              <w:left w:val="nil"/>
              <w:bottom w:val="nil"/>
              <w:right w:val="nil"/>
            </w:tcBorders>
            <w:shd w:val="clear" w:color="000000" w:fill="FFFFFF"/>
            <w:noWrap/>
            <w:vAlign w:val="center"/>
            <w:hideMark/>
          </w:tcPr>
          <w:p w14:paraId="4A8F300F"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 </w:t>
            </w:r>
          </w:p>
        </w:tc>
        <w:tc>
          <w:tcPr>
            <w:tcW w:w="980" w:type="dxa"/>
            <w:tcBorders>
              <w:top w:val="nil"/>
              <w:left w:val="nil"/>
              <w:bottom w:val="nil"/>
              <w:right w:val="single" w:sz="4" w:space="0" w:color="auto"/>
            </w:tcBorders>
            <w:shd w:val="clear" w:color="000000" w:fill="FFFFFF"/>
            <w:noWrap/>
            <w:vAlign w:val="center"/>
            <w:hideMark/>
          </w:tcPr>
          <w:p w14:paraId="72339CC4" w14:textId="77777777" w:rsidR="00341875" w:rsidRPr="006D6A3F" w:rsidRDefault="00341875" w:rsidP="00045685">
            <w:pPr>
              <w:spacing w:line="240" w:lineRule="auto"/>
              <w:jc w:val="center"/>
              <w:rPr>
                <w:rFonts w:eastAsia="Times New Roman" w:cstheme="minorHAnsi"/>
                <w:color w:val="000000"/>
                <w:sz w:val="18"/>
                <w:szCs w:val="18"/>
              </w:rPr>
            </w:pPr>
            <w:r w:rsidRPr="006D6A3F">
              <w:rPr>
                <w:rFonts w:eastAsia="Times New Roman" w:cstheme="minorHAnsi"/>
                <w:color w:val="000000"/>
                <w:sz w:val="18"/>
                <w:szCs w:val="18"/>
              </w:rPr>
              <w:t> </w:t>
            </w:r>
          </w:p>
        </w:tc>
      </w:tr>
      <w:tr w:rsidR="00341875" w:rsidRPr="006D6A3F" w14:paraId="3AEF0209" w14:textId="77777777" w:rsidTr="00045685">
        <w:trPr>
          <w:trHeight w:val="315"/>
          <w:jc w:val="center"/>
        </w:trPr>
        <w:tc>
          <w:tcPr>
            <w:tcW w:w="2240" w:type="dxa"/>
            <w:tcBorders>
              <w:top w:val="nil"/>
              <w:left w:val="single" w:sz="4" w:space="0" w:color="auto"/>
              <w:bottom w:val="nil"/>
              <w:right w:val="nil"/>
            </w:tcBorders>
            <w:shd w:val="clear" w:color="000000" w:fill="FFFFFF"/>
            <w:noWrap/>
            <w:vAlign w:val="bottom"/>
            <w:hideMark/>
          </w:tcPr>
          <w:p w14:paraId="6C6085B2" w14:textId="77777777" w:rsidR="00341875" w:rsidRPr="006D6A3F" w:rsidRDefault="00341875" w:rsidP="00045685">
            <w:pPr>
              <w:spacing w:line="240" w:lineRule="auto"/>
              <w:rPr>
                <w:rFonts w:eastAsia="Times New Roman" w:cstheme="minorHAnsi"/>
                <w:b/>
                <w:bCs/>
                <w:color w:val="000000"/>
                <w:sz w:val="18"/>
                <w:szCs w:val="18"/>
              </w:rPr>
            </w:pPr>
            <w:r w:rsidRPr="006D6A3F">
              <w:rPr>
                <w:rFonts w:eastAsia="Times New Roman" w:cstheme="minorHAnsi"/>
                <w:b/>
                <w:bCs/>
                <w:color w:val="000000"/>
                <w:sz w:val="18"/>
                <w:szCs w:val="18"/>
              </w:rPr>
              <w:t>Total</w:t>
            </w:r>
          </w:p>
        </w:tc>
        <w:tc>
          <w:tcPr>
            <w:tcW w:w="1120" w:type="dxa"/>
            <w:tcBorders>
              <w:top w:val="nil"/>
              <w:left w:val="nil"/>
              <w:bottom w:val="nil"/>
              <w:right w:val="nil"/>
            </w:tcBorders>
            <w:shd w:val="clear" w:color="000000" w:fill="FFFFFF"/>
            <w:noWrap/>
            <w:vAlign w:val="center"/>
            <w:hideMark/>
          </w:tcPr>
          <w:p w14:paraId="4DF5EE81" w14:textId="77777777" w:rsidR="00341875" w:rsidRPr="006D6A3F" w:rsidRDefault="00341875" w:rsidP="00045685">
            <w:pPr>
              <w:spacing w:line="240" w:lineRule="auto"/>
              <w:jc w:val="center"/>
              <w:rPr>
                <w:rFonts w:eastAsia="Times New Roman" w:cstheme="minorHAnsi"/>
                <w:b/>
                <w:bCs/>
                <w:color w:val="000000"/>
                <w:sz w:val="18"/>
                <w:szCs w:val="18"/>
              </w:rPr>
            </w:pPr>
            <w:r w:rsidRPr="006D6A3F">
              <w:rPr>
                <w:rFonts w:eastAsia="Times New Roman" w:cstheme="minorHAnsi"/>
                <w:b/>
                <w:bCs/>
                <w:color w:val="000000"/>
                <w:sz w:val="18"/>
                <w:szCs w:val="18"/>
              </w:rPr>
              <w:t>291</w:t>
            </w:r>
          </w:p>
        </w:tc>
        <w:tc>
          <w:tcPr>
            <w:tcW w:w="980" w:type="dxa"/>
            <w:tcBorders>
              <w:top w:val="nil"/>
              <w:left w:val="nil"/>
              <w:bottom w:val="nil"/>
              <w:right w:val="nil"/>
            </w:tcBorders>
            <w:shd w:val="clear" w:color="000000" w:fill="FFFFFF"/>
            <w:noWrap/>
            <w:vAlign w:val="center"/>
            <w:hideMark/>
          </w:tcPr>
          <w:p w14:paraId="6ECBB9FB" w14:textId="77777777" w:rsidR="00341875" w:rsidRPr="006D6A3F" w:rsidRDefault="00341875" w:rsidP="00045685">
            <w:pPr>
              <w:spacing w:line="240" w:lineRule="auto"/>
              <w:jc w:val="center"/>
              <w:rPr>
                <w:rFonts w:eastAsia="Times New Roman" w:cstheme="minorHAnsi"/>
                <w:b/>
                <w:bCs/>
                <w:color w:val="000000"/>
                <w:sz w:val="18"/>
                <w:szCs w:val="18"/>
              </w:rPr>
            </w:pPr>
            <w:r w:rsidRPr="006D6A3F">
              <w:rPr>
                <w:rFonts w:eastAsia="Times New Roman" w:cstheme="minorHAnsi"/>
                <w:b/>
                <w:bCs/>
                <w:color w:val="000000"/>
                <w:sz w:val="18"/>
                <w:szCs w:val="18"/>
              </w:rPr>
              <w:t>100%</w:t>
            </w:r>
          </w:p>
        </w:tc>
        <w:tc>
          <w:tcPr>
            <w:tcW w:w="1120" w:type="dxa"/>
            <w:tcBorders>
              <w:top w:val="nil"/>
              <w:left w:val="nil"/>
              <w:bottom w:val="nil"/>
              <w:right w:val="nil"/>
            </w:tcBorders>
            <w:shd w:val="clear" w:color="000000" w:fill="FFFFFF"/>
            <w:noWrap/>
            <w:vAlign w:val="center"/>
            <w:hideMark/>
          </w:tcPr>
          <w:p w14:paraId="18AABA56" w14:textId="77777777" w:rsidR="00341875" w:rsidRPr="006D6A3F" w:rsidRDefault="00341875" w:rsidP="00045685">
            <w:pPr>
              <w:spacing w:line="240" w:lineRule="auto"/>
              <w:jc w:val="center"/>
              <w:rPr>
                <w:rFonts w:eastAsia="Times New Roman" w:cstheme="minorHAnsi"/>
                <w:b/>
                <w:bCs/>
                <w:color w:val="000000"/>
                <w:sz w:val="18"/>
                <w:szCs w:val="18"/>
              </w:rPr>
            </w:pPr>
            <w:r w:rsidRPr="006D6A3F">
              <w:rPr>
                <w:rFonts w:eastAsia="Times New Roman" w:cstheme="minorHAnsi"/>
                <w:b/>
                <w:bCs/>
                <w:color w:val="000000"/>
                <w:sz w:val="18"/>
                <w:szCs w:val="18"/>
              </w:rPr>
              <w:t>242</w:t>
            </w:r>
          </w:p>
        </w:tc>
        <w:tc>
          <w:tcPr>
            <w:tcW w:w="980" w:type="dxa"/>
            <w:tcBorders>
              <w:top w:val="nil"/>
              <w:left w:val="nil"/>
              <w:bottom w:val="nil"/>
              <w:right w:val="nil"/>
            </w:tcBorders>
            <w:shd w:val="clear" w:color="000000" w:fill="FFFFFF"/>
            <w:noWrap/>
            <w:vAlign w:val="center"/>
            <w:hideMark/>
          </w:tcPr>
          <w:p w14:paraId="68BB3B4C" w14:textId="77777777" w:rsidR="00341875" w:rsidRPr="006D6A3F" w:rsidRDefault="00341875" w:rsidP="00045685">
            <w:pPr>
              <w:spacing w:line="240" w:lineRule="auto"/>
              <w:jc w:val="center"/>
              <w:rPr>
                <w:rFonts w:eastAsia="Times New Roman" w:cstheme="minorHAnsi"/>
                <w:b/>
                <w:bCs/>
                <w:color w:val="000000"/>
                <w:sz w:val="18"/>
                <w:szCs w:val="18"/>
              </w:rPr>
            </w:pPr>
            <w:r w:rsidRPr="006D6A3F">
              <w:rPr>
                <w:rFonts w:eastAsia="Times New Roman" w:cstheme="minorHAnsi"/>
                <w:b/>
                <w:bCs/>
                <w:color w:val="000000"/>
                <w:sz w:val="18"/>
                <w:szCs w:val="18"/>
              </w:rPr>
              <w:t>100%</w:t>
            </w:r>
          </w:p>
        </w:tc>
        <w:tc>
          <w:tcPr>
            <w:tcW w:w="1120" w:type="dxa"/>
            <w:tcBorders>
              <w:top w:val="nil"/>
              <w:left w:val="nil"/>
              <w:bottom w:val="nil"/>
              <w:right w:val="nil"/>
            </w:tcBorders>
            <w:shd w:val="clear" w:color="000000" w:fill="FFFFFF"/>
            <w:noWrap/>
            <w:vAlign w:val="center"/>
            <w:hideMark/>
          </w:tcPr>
          <w:p w14:paraId="71DECC71" w14:textId="77777777" w:rsidR="00341875" w:rsidRPr="006D6A3F" w:rsidRDefault="00341875" w:rsidP="00045685">
            <w:pPr>
              <w:spacing w:line="240" w:lineRule="auto"/>
              <w:jc w:val="center"/>
              <w:rPr>
                <w:rFonts w:eastAsia="Times New Roman" w:cstheme="minorHAnsi"/>
                <w:b/>
                <w:bCs/>
                <w:color w:val="000000"/>
                <w:sz w:val="18"/>
                <w:szCs w:val="18"/>
              </w:rPr>
            </w:pPr>
            <w:r w:rsidRPr="006D6A3F">
              <w:rPr>
                <w:rFonts w:eastAsia="Times New Roman" w:cstheme="minorHAnsi"/>
                <w:b/>
                <w:bCs/>
                <w:color w:val="000000"/>
                <w:sz w:val="18"/>
                <w:szCs w:val="18"/>
              </w:rPr>
              <w:t>285</w:t>
            </w:r>
          </w:p>
        </w:tc>
        <w:tc>
          <w:tcPr>
            <w:tcW w:w="980" w:type="dxa"/>
            <w:tcBorders>
              <w:top w:val="nil"/>
              <w:left w:val="nil"/>
              <w:bottom w:val="nil"/>
              <w:right w:val="nil"/>
            </w:tcBorders>
            <w:shd w:val="clear" w:color="000000" w:fill="FFFFFF"/>
            <w:noWrap/>
            <w:vAlign w:val="center"/>
            <w:hideMark/>
          </w:tcPr>
          <w:p w14:paraId="0B55F23B" w14:textId="77777777" w:rsidR="00341875" w:rsidRPr="006D6A3F" w:rsidRDefault="00341875" w:rsidP="00045685">
            <w:pPr>
              <w:spacing w:line="240" w:lineRule="auto"/>
              <w:jc w:val="center"/>
              <w:rPr>
                <w:rFonts w:eastAsia="Times New Roman" w:cstheme="minorHAnsi"/>
                <w:b/>
                <w:bCs/>
                <w:color w:val="000000"/>
                <w:sz w:val="18"/>
                <w:szCs w:val="18"/>
              </w:rPr>
            </w:pPr>
            <w:r w:rsidRPr="006D6A3F">
              <w:rPr>
                <w:rFonts w:eastAsia="Times New Roman" w:cstheme="minorHAnsi"/>
                <w:b/>
                <w:bCs/>
                <w:color w:val="000000"/>
                <w:sz w:val="18"/>
                <w:szCs w:val="18"/>
              </w:rPr>
              <w:t>100%</w:t>
            </w:r>
          </w:p>
        </w:tc>
        <w:tc>
          <w:tcPr>
            <w:tcW w:w="1120" w:type="dxa"/>
            <w:tcBorders>
              <w:top w:val="nil"/>
              <w:left w:val="nil"/>
              <w:bottom w:val="nil"/>
              <w:right w:val="nil"/>
            </w:tcBorders>
            <w:shd w:val="clear" w:color="000000" w:fill="FFFFFF"/>
            <w:noWrap/>
            <w:vAlign w:val="center"/>
            <w:hideMark/>
          </w:tcPr>
          <w:p w14:paraId="7B3A798D" w14:textId="77777777" w:rsidR="00341875" w:rsidRPr="006D6A3F" w:rsidRDefault="00341875" w:rsidP="00045685">
            <w:pPr>
              <w:spacing w:line="240" w:lineRule="auto"/>
              <w:jc w:val="center"/>
              <w:rPr>
                <w:rFonts w:eastAsia="Times New Roman" w:cstheme="minorHAnsi"/>
                <w:b/>
                <w:bCs/>
                <w:color w:val="000000"/>
                <w:sz w:val="18"/>
                <w:szCs w:val="18"/>
              </w:rPr>
            </w:pPr>
            <w:r w:rsidRPr="006D6A3F">
              <w:rPr>
                <w:rFonts w:eastAsia="Times New Roman" w:cstheme="minorHAnsi"/>
                <w:b/>
                <w:bCs/>
                <w:color w:val="000000"/>
                <w:sz w:val="18"/>
                <w:szCs w:val="18"/>
              </w:rPr>
              <w:t>345</w:t>
            </w:r>
          </w:p>
        </w:tc>
        <w:tc>
          <w:tcPr>
            <w:tcW w:w="980" w:type="dxa"/>
            <w:tcBorders>
              <w:top w:val="nil"/>
              <w:left w:val="nil"/>
              <w:bottom w:val="nil"/>
              <w:right w:val="single" w:sz="4" w:space="0" w:color="auto"/>
            </w:tcBorders>
            <w:shd w:val="clear" w:color="000000" w:fill="FFFFFF"/>
            <w:noWrap/>
            <w:vAlign w:val="center"/>
            <w:hideMark/>
          </w:tcPr>
          <w:p w14:paraId="0D56184D" w14:textId="77777777" w:rsidR="00341875" w:rsidRPr="006D6A3F" w:rsidRDefault="00341875" w:rsidP="00045685">
            <w:pPr>
              <w:spacing w:line="240" w:lineRule="auto"/>
              <w:jc w:val="center"/>
              <w:rPr>
                <w:rFonts w:eastAsia="Times New Roman" w:cstheme="minorHAnsi"/>
                <w:b/>
                <w:bCs/>
                <w:color w:val="000000"/>
                <w:sz w:val="18"/>
                <w:szCs w:val="18"/>
              </w:rPr>
            </w:pPr>
            <w:r w:rsidRPr="006D6A3F">
              <w:rPr>
                <w:rFonts w:eastAsia="Times New Roman" w:cstheme="minorHAnsi"/>
                <w:b/>
                <w:bCs/>
                <w:color w:val="000000"/>
                <w:sz w:val="18"/>
                <w:szCs w:val="18"/>
              </w:rPr>
              <w:t>100%</w:t>
            </w:r>
          </w:p>
        </w:tc>
      </w:tr>
      <w:tr w:rsidR="00341875" w:rsidRPr="006D6A3F" w14:paraId="584D0D54" w14:textId="77777777" w:rsidTr="00045685">
        <w:trPr>
          <w:trHeight w:val="645"/>
          <w:jc w:val="center"/>
        </w:trPr>
        <w:tc>
          <w:tcPr>
            <w:tcW w:w="2240" w:type="dxa"/>
            <w:tcBorders>
              <w:top w:val="nil"/>
              <w:left w:val="single" w:sz="4" w:space="0" w:color="auto"/>
              <w:bottom w:val="single" w:sz="4" w:space="0" w:color="auto"/>
              <w:right w:val="nil"/>
            </w:tcBorders>
            <w:shd w:val="clear" w:color="000000" w:fill="FFFFFF"/>
            <w:vAlign w:val="bottom"/>
            <w:hideMark/>
          </w:tcPr>
          <w:p w14:paraId="7E2DF8B8" w14:textId="3A5553E8" w:rsidR="00341875" w:rsidRPr="006D6A3F" w:rsidRDefault="00341875" w:rsidP="00045685">
            <w:pPr>
              <w:spacing w:line="240" w:lineRule="auto"/>
              <w:rPr>
                <w:rFonts w:eastAsia="Times New Roman" w:cstheme="minorHAnsi"/>
                <w:i/>
                <w:iCs/>
                <w:color w:val="000000"/>
                <w:sz w:val="18"/>
                <w:szCs w:val="18"/>
              </w:rPr>
            </w:pPr>
            <w:r w:rsidRPr="006D6A3F">
              <w:rPr>
                <w:rFonts w:eastAsia="Times New Roman" w:cstheme="minorHAnsi"/>
                <w:i/>
                <w:iCs/>
                <w:color w:val="000000"/>
                <w:sz w:val="18"/>
                <w:szCs w:val="18"/>
              </w:rPr>
              <w:t>Nombre</w:t>
            </w:r>
            <w:r w:rsidR="006C5876">
              <w:rPr>
                <w:rFonts w:eastAsia="Times New Roman" w:cstheme="minorHAnsi"/>
                <w:i/>
                <w:iCs/>
                <w:color w:val="000000"/>
                <w:sz w:val="18"/>
                <w:szCs w:val="18"/>
              </w:rPr>
              <w:t xml:space="preserve"> </w:t>
            </w:r>
            <w:r w:rsidRPr="006D6A3F">
              <w:rPr>
                <w:rFonts w:eastAsia="Times New Roman" w:cstheme="minorHAnsi"/>
                <w:i/>
                <w:iCs/>
                <w:color w:val="000000"/>
                <w:sz w:val="18"/>
                <w:szCs w:val="18"/>
              </w:rPr>
              <w:t>de nationalités</w:t>
            </w:r>
            <w:r w:rsidRPr="006D6A3F">
              <w:rPr>
                <w:rFonts w:eastAsia="Times New Roman" w:cstheme="minorHAnsi"/>
                <w:i/>
                <w:iCs/>
                <w:color w:val="000000"/>
                <w:sz w:val="18"/>
                <w:szCs w:val="18"/>
              </w:rPr>
              <w:br/>
              <w:t>distinctes</w:t>
            </w:r>
          </w:p>
        </w:tc>
        <w:tc>
          <w:tcPr>
            <w:tcW w:w="1120" w:type="dxa"/>
            <w:tcBorders>
              <w:top w:val="nil"/>
              <w:left w:val="nil"/>
              <w:bottom w:val="single" w:sz="4" w:space="0" w:color="auto"/>
              <w:right w:val="nil"/>
            </w:tcBorders>
            <w:shd w:val="clear" w:color="000000" w:fill="FFFFFF"/>
            <w:noWrap/>
            <w:vAlign w:val="center"/>
            <w:hideMark/>
          </w:tcPr>
          <w:p w14:paraId="44ABA8CC" w14:textId="77777777" w:rsidR="00341875" w:rsidRPr="006D6A3F" w:rsidRDefault="00341875" w:rsidP="00045685">
            <w:pPr>
              <w:spacing w:line="240" w:lineRule="auto"/>
              <w:jc w:val="center"/>
              <w:rPr>
                <w:rFonts w:eastAsia="Times New Roman" w:cstheme="minorHAnsi"/>
                <w:i/>
                <w:iCs/>
                <w:color w:val="000000"/>
                <w:sz w:val="18"/>
                <w:szCs w:val="18"/>
              </w:rPr>
            </w:pPr>
            <w:r w:rsidRPr="006D6A3F">
              <w:rPr>
                <w:rFonts w:eastAsia="Times New Roman" w:cstheme="minorHAnsi"/>
                <w:i/>
                <w:iCs/>
                <w:color w:val="000000"/>
                <w:sz w:val="18"/>
                <w:szCs w:val="18"/>
              </w:rPr>
              <w:t>44</w:t>
            </w:r>
          </w:p>
        </w:tc>
        <w:tc>
          <w:tcPr>
            <w:tcW w:w="980" w:type="dxa"/>
            <w:tcBorders>
              <w:top w:val="nil"/>
              <w:left w:val="nil"/>
              <w:bottom w:val="single" w:sz="4" w:space="0" w:color="auto"/>
              <w:right w:val="nil"/>
            </w:tcBorders>
            <w:shd w:val="clear" w:color="000000" w:fill="FFFFFF"/>
            <w:noWrap/>
            <w:vAlign w:val="center"/>
            <w:hideMark/>
          </w:tcPr>
          <w:p w14:paraId="087780FD" w14:textId="77777777" w:rsidR="00341875" w:rsidRPr="006D6A3F" w:rsidRDefault="00341875" w:rsidP="00045685">
            <w:pPr>
              <w:spacing w:line="240" w:lineRule="auto"/>
              <w:jc w:val="center"/>
              <w:rPr>
                <w:rFonts w:eastAsia="Times New Roman" w:cstheme="minorHAnsi"/>
                <w:i/>
                <w:iCs/>
                <w:color w:val="000000"/>
                <w:sz w:val="18"/>
                <w:szCs w:val="18"/>
              </w:rPr>
            </w:pPr>
            <w:r w:rsidRPr="006D6A3F">
              <w:rPr>
                <w:rFonts w:eastAsia="Times New Roman" w:cstheme="minorHAnsi"/>
                <w:i/>
                <w:iCs/>
                <w:color w:val="000000"/>
                <w:sz w:val="18"/>
                <w:szCs w:val="18"/>
              </w:rPr>
              <w:t> </w:t>
            </w:r>
          </w:p>
        </w:tc>
        <w:tc>
          <w:tcPr>
            <w:tcW w:w="1120" w:type="dxa"/>
            <w:tcBorders>
              <w:top w:val="nil"/>
              <w:left w:val="nil"/>
              <w:bottom w:val="single" w:sz="4" w:space="0" w:color="auto"/>
              <w:right w:val="nil"/>
            </w:tcBorders>
            <w:shd w:val="clear" w:color="000000" w:fill="FFFFFF"/>
            <w:noWrap/>
            <w:vAlign w:val="center"/>
            <w:hideMark/>
          </w:tcPr>
          <w:p w14:paraId="6B9C2C72" w14:textId="77777777" w:rsidR="00341875" w:rsidRPr="006D6A3F" w:rsidRDefault="00341875" w:rsidP="00045685">
            <w:pPr>
              <w:spacing w:line="240" w:lineRule="auto"/>
              <w:jc w:val="center"/>
              <w:rPr>
                <w:rFonts w:eastAsia="Times New Roman" w:cstheme="minorHAnsi"/>
                <w:i/>
                <w:iCs/>
                <w:color w:val="000000"/>
                <w:sz w:val="18"/>
                <w:szCs w:val="18"/>
              </w:rPr>
            </w:pPr>
            <w:r w:rsidRPr="006D6A3F">
              <w:rPr>
                <w:rFonts w:eastAsia="Times New Roman" w:cstheme="minorHAnsi"/>
                <w:i/>
                <w:iCs/>
                <w:color w:val="000000"/>
                <w:sz w:val="18"/>
                <w:szCs w:val="18"/>
              </w:rPr>
              <w:t>39</w:t>
            </w:r>
          </w:p>
        </w:tc>
        <w:tc>
          <w:tcPr>
            <w:tcW w:w="980" w:type="dxa"/>
            <w:tcBorders>
              <w:top w:val="nil"/>
              <w:left w:val="nil"/>
              <w:bottom w:val="single" w:sz="4" w:space="0" w:color="auto"/>
              <w:right w:val="nil"/>
            </w:tcBorders>
            <w:shd w:val="clear" w:color="000000" w:fill="FFFFFF"/>
            <w:noWrap/>
            <w:vAlign w:val="center"/>
            <w:hideMark/>
          </w:tcPr>
          <w:p w14:paraId="6161F6A4" w14:textId="77777777" w:rsidR="00341875" w:rsidRPr="006D6A3F" w:rsidRDefault="00341875" w:rsidP="00045685">
            <w:pPr>
              <w:spacing w:line="240" w:lineRule="auto"/>
              <w:jc w:val="center"/>
              <w:rPr>
                <w:rFonts w:eastAsia="Times New Roman" w:cstheme="minorHAnsi"/>
                <w:i/>
                <w:iCs/>
                <w:color w:val="000000"/>
                <w:sz w:val="18"/>
                <w:szCs w:val="18"/>
              </w:rPr>
            </w:pPr>
            <w:r w:rsidRPr="006D6A3F">
              <w:rPr>
                <w:rFonts w:eastAsia="Times New Roman" w:cstheme="minorHAnsi"/>
                <w:i/>
                <w:iCs/>
                <w:color w:val="000000"/>
                <w:sz w:val="18"/>
                <w:szCs w:val="18"/>
              </w:rPr>
              <w:t> </w:t>
            </w:r>
          </w:p>
        </w:tc>
        <w:tc>
          <w:tcPr>
            <w:tcW w:w="1120" w:type="dxa"/>
            <w:tcBorders>
              <w:top w:val="nil"/>
              <w:left w:val="nil"/>
              <w:bottom w:val="single" w:sz="4" w:space="0" w:color="auto"/>
              <w:right w:val="nil"/>
            </w:tcBorders>
            <w:shd w:val="clear" w:color="000000" w:fill="FFFFFF"/>
            <w:noWrap/>
            <w:vAlign w:val="center"/>
            <w:hideMark/>
          </w:tcPr>
          <w:p w14:paraId="063FDAB5" w14:textId="77777777" w:rsidR="00341875" w:rsidRPr="006D6A3F" w:rsidRDefault="00341875" w:rsidP="00045685">
            <w:pPr>
              <w:spacing w:line="240" w:lineRule="auto"/>
              <w:jc w:val="center"/>
              <w:rPr>
                <w:rFonts w:eastAsia="Times New Roman" w:cstheme="minorHAnsi"/>
                <w:i/>
                <w:iCs/>
                <w:color w:val="000000"/>
                <w:sz w:val="18"/>
                <w:szCs w:val="18"/>
              </w:rPr>
            </w:pPr>
            <w:r w:rsidRPr="006D6A3F">
              <w:rPr>
                <w:rFonts w:eastAsia="Times New Roman" w:cstheme="minorHAnsi"/>
                <w:i/>
                <w:iCs/>
                <w:color w:val="000000"/>
                <w:sz w:val="18"/>
                <w:szCs w:val="18"/>
              </w:rPr>
              <w:t>42</w:t>
            </w:r>
          </w:p>
        </w:tc>
        <w:tc>
          <w:tcPr>
            <w:tcW w:w="980" w:type="dxa"/>
            <w:tcBorders>
              <w:top w:val="nil"/>
              <w:left w:val="nil"/>
              <w:bottom w:val="single" w:sz="4" w:space="0" w:color="auto"/>
              <w:right w:val="nil"/>
            </w:tcBorders>
            <w:shd w:val="clear" w:color="000000" w:fill="FFFFFF"/>
            <w:noWrap/>
            <w:vAlign w:val="center"/>
            <w:hideMark/>
          </w:tcPr>
          <w:p w14:paraId="5AB5FF29" w14:textId="77777777" w:rsidR="00341875" w:rsidRPr="006D6A3F" w:rsidRDefault="00341875" w:rsidP="00045685">
            <w:pPr>
              <w:spacing w:line="240" w:lineRule="auto"/>
              <w:jc w:val="center"/>
              <w:rPr>
                <w:rFonts w:eastAsia="Times New Roman" w:cstheme="minorHAnsi"/>
                <w:i/>
                <w:iCs/>
                <w:color w:val="000000"/>
                <w:sz w:val="18"/>
                <w:szCs w:val="18"/>
              </w:rPr>
            </w:pPr>
            <w:r w:rsidRPr="006D6A3F">
              <w:rPr>
                <w:rFonts w:eastAsia="Times New Roman" w:cstheme="minorHAnsi"/>
                <w:i/>
                <w:iCs/>
                <w:color w:val="000000"/>
                <w:sz w:val="18"/>
                <w:szCs w:val="18"/>
              </w:rPr>
              <w:t> </w:t>
            </w:r>
          </w:p>
        </w:tc>
        <w:tc>
          <w:tcPr>
            <w:tcW w:w="1120" w:type="dxa"/>
            <w:tcBorders>
              <w:top w:val="nil"/>
              <w:left w:val="nil"/>
              <w:bottom w:val="single" w:sz="4" w:space="0" w:color="auto"/>
              <w:right w:val="nil"/>
            </w:tcBorders>
            <w:shd w:val="clear" w:color="000000" w:fill="FFFFFF"/>
            <w:noWrap/>
            <w:vAlign w:val="center"/>
            <w:hideMark/>
          </w:tcPr>
          <w:p w14:paraId="130AA495" w14:textId="77777777" w:rsidR="00341875" w:rsidRPr="006D6A3F" w:rsidRDefault="00341875" w:rsidP="00045685">
            <w:pPr>
              <w:spacing w:line="240" w:lineRule="auto"/>
              <w:jc w:val="center"/>
              <w:rPr>
                <w:rFonts w:eastAsia="Times New Roman" w:cstheme="minorHAnsi"/>
                <w:i/>
                <w:iCs/>
                <w:color w:val="000000"/>
                <w:sz w:val="18"/>
                <w:szCs w:val="18"/>
              </w:rPr>
            </w:pPr>
            <w:r w:rsidRPr="006D6A3F">
              <w:rPr>
                <w:rFonts w:eastAsia="Times New Roman" w:cstheme="minorHAnsi"/>
                <w:i/>
                <w:iCs/>
                <w:color w:val="000000"/>
                <w:sz w:val="18"/>
                <w:szCs w:val="18"/>
              </w:rPr>
              <w:t>48</w:t>
            </w:r>
          </w:p>
        </w:tc>
        <w:tc>
          <w:tcPr>
            <w:tcW w:w="980" w:type="dxa"/>
            <w:tcBorders>
              <w:top w:val="nil"/>
              <w:left w:val="nil"/>
              <w:bottom w:val="single" w:sz="4" w:space="0" w:color="auto"/>
              <w:right w:val="single" w:sz="4" w:space="0" w:color="auto"/>
            </w:tcBorders>
            <w:shd w:val="clear" w:color="000000" w:fill="FFFFFF"/>
            <w:noWrap/>
            <w:vAlign w:val="center"/>
            <w:hideMark/>
          </w:tcPr>
          <w:p w14:paraId="1A58B60F" w14:textId="77777777" w:rsidR="00341875" w:rsidRPr="006D6A3F" w:rsidRDefault="00341875" w:rsidP="00045685">
            <w:pPr>
              <w:spacing w:line="240" w:lineRule="auto"/>
              <w:jc w:val="center"/>
              <w:rPr>
                <w:rFonts w:eastAsia="Times New Roman" w:cstheme="minorHAnsi"/>
                <w:i/>
                <w:iCs/>
                <w:color w:val="000000"/>
                <w:sz w:val="18"/>
                <w:szCs w:val="18"/>
              </w:rPr>
            </w:pPr>
            <w:r w:rsidRPr="006D6A3F">
              <w:rPr>
                <w:rFonts w:eastAsia="Times New Roman" w:cstheme="minorHAnsi"/>
                <w:i/>
                <w:iCs/>
                <w:color w:val="000000"/>
                <w:sz w:val="18"/>
                <w:szCs w:val="18"/>
              </w:rPr>
              <w:t> </w:t>
            </w:r>
          </w:p>
        </w:tc>
      </w:tr>
    </w:tbl>
    <w:p w14:paraId="7A67AE4F" w14:textId="77777777" w:rsidR="00045685" w:rsidRPr="006D6A3F" w:rsidRDefault="00045685" w:rsidP="00045685">
      <w:pPr>
        <w:pStyle w:val="H23G"/>
        <w:spacing w:before="0" w:after="240"/>
        <w:ind w:left="0" w:firstLine="0"/>
        <w:rPr>
          <w:rFonts w:asciiTheme="minorHAnsi" w:hAnsiTheme="minorHAnsi" w:cstheme="minorHAnsi"/>
          <w:b w:val="0"/>
          <w:sz w:val="22"/>
          <w:szCs w:val="22"/>
          <w:lang w:val="fr-FR"/>
        </w:rPr>
      </w:pPr>
    </w:p>
    <w:p w14:paraId="35EFAE7F" w14:textId="5D03EB53" w:rsidR="00341875" w:rsidRPr="006D6A3F" w:rsidRDefault="00341875" w:rsidP="00045685">
      <w:pPr>
        <w:pStyle w:val="H23G"/>
        <w:spacing w:before="0" w:after="240"/>
        <w:ind w:left="0" w:firstLine="0"/>
        <w:jc w:val="center"/>
        <w:rPr>
          <w:rFonts w:asciiTheme="minorHAnsi" w:hAnsiTheme="minorHAnsi" w:cstheme="minorHAnsi"/>
          <w:sz w:val="22"/>
          <w:szCs w:val="22"/>
          <w:lang w:val="fr-FR"/>
        </w:rPr>
      </w:pPr>
      <w:r w:rsidRPr="006D6A3F">
        <w:rPr>
          <w:rFonts w:asciiTheme="minorHAnsi" w:hAnsiTheme="minorHAnsi" w:cstheme="minorHAnsi"/>
          <w:sz w:val="22"/>
          <w:szCs w:val="22"/>
          <w:lang w:val="fr-FR"/>
        </w:rPr>
        <w:t>R n°10 b détention préventive – au 24/04/2023</w:t>
      </w:r>
    </w:p>
    <w:tbl>
      <w:tblPr>
        <w:tblStyle w:val="TableGridLight"/>
        <w:tblW w:w="0" w:type="auto"/>
        <w:jc w:val="center"/>
        <w:tblLook w:val="04A0" w:firstRow="1" w:lastRow="0" w:firstColumn="1" w:lastColumn="0" w:noHBand="0" w:noVBand="1"/>
      </w:tblPr>
      <w:tblGrid>
        <w:gridCol w:w="5524"/>
      </w:tblGrid>
      <w:tr w:rsidR="00045685" w:rsidRPr="006D6A3F" w14:paraId="2669DD31" w14:textId="77777777" w:rsidTr="00045685">
        <w:trPr>
          <w:jc w:val="center"/>
        </w:trPr>
        <w:tc>
          <w:tcPr>
            <w:tcW w:w="5524" w:type="dxa"/>
          </w:tcPr>
          <w:p w14:paraId="09EEBA33" w14:textId="0284806D" w:rsidR="00045685" w:rsidRPr="006D6A3F" w:rsidRDefault="00045685" w:rsidP="00045685">
            <w:pPr>
              <w:rPr>
                <w:sz w:val="20"/>
                <w:szCs w:val="20"/>
              </w:rPr>
            </w:pPr>
            <w:r w:rsidRPr="006D6A3F">
              <w:rPr>
                <w:rFonts w:cstheme="minorHAnsi"/>
                <w:sz w:val="20"/>
                <w:szCs w:val="20"/>
              </w:rPr>
              <w:t>295 prévenus</w:t>
            </w:r>
          </w:p>
        </w:tc>
      </w:tr>
      <w:tr w:rsidR="00045685" w:rsidRPr="006D6A3F" w14:paraId="2376495C" w14:textId="77777777" w:rsidTr="00045685">
        <w:trPr>
          <w:jc w:val="center"/>
        </w:trPr>
        <w:tc>
          <w:tcPr>
            <w:tcW w:w="5524" w:type="dxa"/>
          </w:tcPr>
          <w:p w14:paraId="46577026" w14:textId="0CCACAB3" w:rsidR="00045685" w:rsidRPr="006D6A3F" w:rsidRDefault="00045685" w:rsidP="00045685">
            <w:pPr>
              <w:pStyle w:val="Bullet1G"/>
              <w:numPr>
                <w:ilvl w:val="0"/>
                <w:numId w:val="0"/>
              </w:numPr>
              <w:tabs>
                <w:tab w:val="left" w:pos="1701"/>
              </w:tabs>
              <w:spacing w:after="0"/>
              <w:rPr>
                <w:rFonts w:asciiTheme="minorHAnsi" w:hAnsiTheme="minorHAnsi" w:cstheme="minorHAnsi"/>
                <w:lang w:val="fr-FR"/>
              </w:rPr>
            </w:pPr>
            <w:r w:rsidRPr="006D6A3F">
              <w:rPr>
                <w:rFonts w:asciiTheme="minorHAnsi" w:hAnsiTheme="minorHAnsi" w:cstheme="minorHAnsi"/>
                <w:lang w:val="fr-FR"/>
              </w:rPr>
              <w:t>Durée moyenne de la détention préventive: 182 jours.</w:t>
            </w:r>
          </w:p>
        </w:tc>
      </w:tr>
      <w:tr w:rsidR="00045685" w:rsidRPr="006D6A3F" w14:paraId="0522E46B" w14:textId="77777777" w:rsidTr="00045685">
        <w:trPr>
          <w:jc w:val="center"/>
        </w:trPr>
        <w:tc>
          <w:tcPr>
            <w:tcW w:w="5524" w:type="dxa"/>
          </w:tcPr>
          <w:p w14:paraId="0BE902F3" w14:textId="1F1BD030" w:rsidR="00045685" w:rsidRPr="006D6A3F" w:rsidRDefault="00045685" w:rsidP="00045685">
            <w:pPr>
              <w:rPr>
                <w:sz w:val="20"/>
                <w:szCs w:val="20"/>
              </w:rPr>
            </w:pPr>
            <w:r w:rsidRPr="006D6A3F">
              <w:rPr>
                <w:rFonts w:cstheme="minorHAnsi"/>
                <w:sz w:val="20"/>
                <w:szCs w:val="20"/>
              </w:rPr>
              <w:t>Durée maximale de la détention préventive 1071 jours</w:t>
            </w:r>
          </w:p>
        </w:tc>
      </w:tr>
    </w:tbl>
    <w:p w14:paraId="120CFC65" w14:textId="77777777" w:rsidR="00045685" w:rsidRPr="006D6A3F" w:rsidRDefault="00045685" w:rsidP="00045685">
      <w:pPr>
        <w:pStyle w:val="H23G"/>
        <w:rPr>
          <w:lang w:val="fr-FR"/>
        </w:rPr>
      </w:pPr>
    </w:p>
    <w:p w14:paraId="3356DDE5" w14:textId="31B89A87" w:rsidR="00AB5EF8" w:rsidRPr="006D6A3F" w:rsidRDefault="006832C4" w:rsidP="00DC50DE">
      <w:pPr>
        <w:pStyle w:val="Heading3"/>
      </w:pPr>
      <w:bookmarkStart w:id="6" w:name="_Toc133934842"/>
      <w:r w:rsidRPr="006D6A3F">
        <w:t>I.3. C</w:t>
      </w:r>
      <w:r w:rsidR="00AB5EF8" w:rsidRPr="006D6A3F">
        <w:t>entres pénitentiaires</w:t>
      </w:r>
      <w:bookmarkEnd w:id="6"/>
    </w:p>
    <w:p w14:paraId="1ECA21BD" w14:textId="7C2F6486" w:rsidR="00896530" w:rsidRPr="006D6A3F" w:rsidRDefault="00896530" w:rsidP="00DC50DE">
      <w:pPr>
        <w:pStyle w:val="Heading4"/>
        <w:numPr>
          <w:ilvl w:val="0"/>
          <w:numId w:val="18"/>
        </w:numPr>
        <w:spacing w:before="0"/>
      </w:pPr>
      <w:r w:rsidRPr="006D6A3F">
        <w:t>Alternatives à l’emprisonnement</w:t>
      </w:r>
    </w:p>
    <w:p w14:paraId="42BC5764" w14:textId="6A10660A" w:rsidR="00F122F5" w:rsidRPr="006D6A3F" w:rsidRDefault="00896530" w:rsidP="00DC50DE">
      <w:pPr>
        <w:spacing w:after="240"/>
        <w:jc w:val="both"/>
        <w:rPr>
          <w:rFonts w:cstheme="minorHAnsi"/>
        </w:rPr>
      </w:pPr>
      <w:r w:rsidRPr="006D6A3F">
        <w:rPr>
          <w:rFonts w:cstheme="minorHAnsi"/>
        </w:rPr>
        <w:t xml:space="preserve">Les alternatives à l’emprisonnement </w:t>
      </w:r>
      <w:r w:rsidR="00F122F5" w:rsidRPr="006D6A3F">
        <w:rPr>
          <w:rFonts w:cstheme="minorHAnsi"/>
        </w:rPr>
        <w:t>peuvent être ord</w:t>
      </w:r>
      <w:r w:rsidRPr="006D6A3F">
        <w:rPr>
          <w:rFonts w:cstheme="minorHAnsi"/>
        </w:rPr>
        <w:t xml:space="preserve">onnées par le Parquet général : </w:t>
      </w:r>
      <w:r w:rsidR="00F122F5" w:rsidRPr="006D6A3F">
        <w:rPr>
          <w:rFonts w:cstheme="minorHAnsi"/>
        </w:rPr>
        <w:t xml:space="preserve">semi-liberté, surveillance électronique, </w:t>
      </w:r>
      <w:r w:rsidR="00BF1B85" w:rsidRPr="006D6A3F">
        <w:rPr>
          <w:rFonts w:cstheme="minorHAnsi"/>
        </w:rPr>
        <w:t xml:space="preserve">suspension de peines, </w:t>
      </w:r>
      <w:r w:rsidR="00F122F5" w:rsidRPr="006D6A3F">
        <w:rPr>
          <w:rFonts w:cstheme="minorHAnsi"/>
        </w:rPr>
        <w:t>libération conditionnelle ;</w:t>
      </w:r>
      <w:r w:rsidRPr="006D6A3F">
        <w:rPr>
          <w:rFonts w:cstheme="minorHAnsi"/>
        </w:rPr>
        <w:t xml:space="preserve"> ou encore</w:t>
      </w:r>
      <w:r w:rsidR="00F122F5" w:rsidRPr="006D6A3F">
        <w:rPr>
          <w:rFonts w:cstheme="minorHAnsi"/>
        </w:rPr>
        <w:t xml:space="preserve"> conditions d’octroi allégées</w:t>
      </w:r>
      <w:r w:rsidRPr="006D6A3F">
        <w:rPr>
          <w:rFonts w:cstheme="minorHAnsi"/>
        </w:rPr>
        <w:t>.</w:t>
      </w:r>
    </w:p>
    <w:p w14:paraId="4E717523" w14:textId="31614BD6" w:rsidR="000307EA" w:rsidRPr="006D6A3F" w:rsidRDefault="00896530" w:rsidP="00DC50DE">
      <w:pPr>
        <w:spacing w:after="240"/>
        <w:jc w:val="both"/>
        <w:rPr>
          <w:rFonts w:cstheme="minorHAnsi"/>
        </w:rPr>
      </w:pPr>
      <w:r w:rsidRPr="006D6A3F">
        <w:rPr>
          <w:rFonts w:cstheme="minorHAnsi"/>
        </w:rPr>
        <w:t>Un exemple</w:t>
      </w:r>
      <w:r w:rsidR="00045685" w:rsidRPr="006D6A3F">
        <w:rPr>
          <w:rFonts w:cstheme="minorHAnsi"/>
        </w:rPr>
        <w:t xml:space="preserve"> d’alternative</w:t>
      </w:r>
      <w:r w:rsidRPr="006D6A3F">
        <w:rPr>
          <w:rFonts w:cstheme="minorHAnsi"/>
        </w:rPr>
        <w:t xml:space="preserve"> est le programme « dialogue au lieu de la haine ». Dès</w:t>
      </w:r>
      <w:r w:rsidR="000307EA" w:rsidRPr="006D6A3F">
        <w:rPr>
          <w:rFonts w:cstheme="minorHAnsi"/>
        </w:rPr>
        <w:t xml:space="preserve"> réception d’un rapport de Bee Secure </w:t>
      </w:r>
      <w:proofErr w:type="spellStart"/>
      <w:r w:rsidR="000307EA" w:rsidRPr="006D6A3F">
        <w:rPr>
          <w:rFonts w:cstheme="minorHAnsi"/>
        </w:rPr>
        <w:t>Stopline</w:t>
      </w:r>
      <w:proofErr w:type="spellEnd"/>
      <w:r w:rsidR="000307EA" w:rsidRPr="006D6A3F">
        <w:rPr>
          <w:rFonts w:cstheme="minorHAnsi"/>
        </w:rPr>
        <w:t xml:space="preserve"> sur l’existence d’un contenu illégal rencontré sur Internet, le procureur d’</w:t>
      </w:r>
      <w:r w:rsidR="006C5876" w:rsidRPr="006D6A3F">
        <w:rPr>
          <w:rFonts w:cstheme="minorHAnsi"/>
        </w:rPr>
        <w:t>État</w:t>
      </w:r>
      <w:r w:rsidR="000307EA" w:rsidRPr="006D6A3F">
        <w:rPr>
          <w:rFonts w:cstheme="minorHAnsi"/>
        </w:rPr>
        <w:t xml:space="preserve"> compétent et la police décident ensemble s’il est nécessaire ou non d’ouvrir une enquête. Une fois que l’auteur présumé d’une infraction pénale est entendu par la police, le procureur d’</w:t>
      </w:r>
      <w:r w:rsidR="006C5876" w:rsidRPr="006D6A3F">
        <w:rPr>
          <w:rFonts w:cstheme="minorHAnsi"/>
        </w:rPr>
        <w:t>État</w:t>
      </w:r>
      <w:r w:rsidR="000307EA" w:rsidRPr="006D6A3F">
        <w:rPr>
          <w:rFonts w:cstheme="minorHAnsi"/>
        </w:rPr>
        <w:t xml:space="preserve"> compétent peut décider de lui proposer de participer à un programme organisé par l’association à but non lucratif S.O.S. Radicalisation à l’initiative de « respect.lu ».</w:t>
      </w:r>
      <w:r w:rsidR="006C5876">
        <w:rPr>
          <w:rFonts w:cstheme="minorHAnsi"/>
        </w:rPr>
        <w:t xml:space="preserve"> </w:t>
      </w:r>
      <w:r w:rsidR="000307EA" w:rsidRPr="006D6A3F">
        <w:rPr>
          <w:rFonts w:cstheme="minorHAnsi"/>
        </w:rPr>
        <w:t xml:space="preserve">Ce programme intitulé « le dialogue au lieu de la haine » se concentre sur les conséquences du discours de haine sur Internet. L’objectif principal du projet est d’aborder les questions suivantes: l’analyse et la réflexion de l’infraction, de faire la lumière sur les raisons </w:t>
      </w:r>
      <w:r w:rsidR="000307EA" w:rsidRPr="006D6A3F">
        <w:rPr>
          <w:rFonts w:cstheme="minorHAnsi"/>
        </w:rPr>
        <w:lastRenderedPageBreak/>
        <w:t>qui ont conduit les auteurs à s’exprimer de cette manière et d’explorer des formes de communication plus respectueuses.</w:t>
      </w:r>
    </w:p>
    <w:p w14:paraId="3CC904C7" w14:textId="285D0C3D" w:rsidR="00896530" w:rsidRPr="006D6A3F" w:rsidRDefault="000307EA" w:rsidP="00DC50DE">
      <w:pPr>
        <w:spacing w:after="240"/>
        <w:jc w:val="both"/>
        <w:rPr>
          <w:rFonts w:cstheme="minorHAnsi"/>
        </w:rPr>
      </w:pPr>
      <w:r w:rsidRPr="006D6A3F">
        <w:rPr>
          <w:rFonts w:cstheme="minorHAnsi"/>
        </w:rPr>
        <w:t>Pour atteindre cet objectif, la discussion est centrée sur les normes juridiques, l’importance de la liberté d’expression ainsi que ses limites légales et les raisons de son existence. En outre, les auteurs seront sensibilisés aux effets néfastes sur la cohésion sociale de l’utilisation de ce type de discours.</w:t>
      </w:r>
      <w:r w:rsidR="006C5876">
        <w:rPr>
          <w:rFonts w:cstheme="minorHAnsi"/>
        </w:rPr>
        <w:t xml:space="preserve"> </w:t>
      </w:r>
      <w:r w:rsidRPr="006D6A3F">
        <w:rPr>
          <w:rFonts w:cstheme="minorHAnsi"/>
        </w:rPr>
        <w:t>Si l’auteur présumé accepte de participer à ce programme avec succès, le procureur d’</w:t>
      </w:r>
      <w:proofErr w:type="spellStart"/>
      <w:r w:rsidRPr="006D6A3F">
        <w:rPr>
          <w:rFonts w:cstheme="minorHAnsi"/>
        </w:rPr>
        <w:t>Etat</w:t>
      </w:r>
      <w:proofErr w:type="spellEnd"/>
      <w:r w:rsidRPr="006D6A3F">
        <w:rPr>
          <w:rFonts w:cstheme="minorHAnsi"/>
        </w:rPr>
        <w:t xml:space="preserve"> peut décider de ne pas renvoyer l’affaire en chambre correctionnelle.</w:t>
      </w:r>
      <w:r w:rsidR="006C5876">
        <w:rPr>
          <w:rFonts w:cstheme="minorHAnsi"/>
        </w:rPr>
        <w:t xml:space="preserve"> </w:t>
      </w:r>
      <w:r w:rsidRPr="006D6A3F">
        <w:rPr>
          <w:rFonts w:cstheme="minorHAnsi"/>
        </w:rPr>
        <w:t>En outre, il est également possible qu’un accusé soit condamné à participer à ce programme par le tribunal pénal le condamnant à une peine d’emprisonnement avec sursis.</w:t>
      </w:r>
    </w:p>
    <w:p w14:paraId="10A523CD" w14:textId="5274641C" w:rsidR="00896530" w:rsidRPr="006D6A3F" w:rsidRDefault="006832C4" w:rsidP="00DC50DE">
      <w:pPr>
        <w:pStyle w:val="Heading4"/>
        <w:spacing w:before="0"/>
      </w:pPr>
      <w:r w:rsidRPr="006D6A3F">
        <w:t>Accès aux soins</w:t>
      </w:r>
    </w:p>
    <w:p w14:paraId="780BA455" w14:textId="4FDC586A" w:rsidR="001125B7" w:rsidRPr="006D6A3F" w:rsidRDefault="00234C48" w:rsidP="00DC50DE">
      <w:pPr>
        <w:spacing w:after="240"/>
        <w:jc w:val="both"/>
        <w:rPr>
          <w:rFonts w:cstheme="minorHAnsi"/>
        </w:rPr>
      </w:pPr>
      <w:r w:rsidRPr="006D6A3F">
        <w:rPr>
          <w:rFonts w:cstheme="minorHAnsi"/>
        </w:rPr>
        <w:t xml:space="preserve">Les </w:t>
      </w:r>
      <w:r w:rsidRPr="006D6A3F">
        <w:rPr>
          <w:rFonts w:cstheme="minorHAnsi"/>
          <w:b/>
        </w:rPr>
        <w:t>femmes enceintes</w:t>
      </w:r>
      <w:r w:rsidRPr="006D6A3F">
        <w:rPr>
          <w:rFonts w:cstheme="minorHAnsi"/>
        </w:rPr>
        <w:t xml:space="preserve"> au CPL bénéficient des mêmes soins de santé et d’accompagnement pré- et post-natal que les femmes enceintes à l’extérieur. Les contrôles réguliers sont effectués à la maternité du Centre Hospitalier de Luxembourg et les intéressées sont accompagnées après la naissance par une sage-femme. </w:t>
      </w:r>
    </w:p>
    <w:p w14:paraId="71AC5619" w14:textId="77777777" w:rsidR="00D82A4D" w:rsidRPr="006D6A3F" w:rsidRDefault="00234C48" w:rsidP="00DC50DE">
      <w:pPr>
        <w:spacing w:after="240"/>
        <w:jc w:val="both"/>
        <w:rPr>
          <w:rFonts w:cstheme="minorHAnsi"/>
        </w:rPr>
      </w:pPr>
      <w:r w:rsidRPr="006D6A3F">
        <w:rPr>
          <w:rFonts w:cstheme="minorHAnsi"/>
        </w:rPr>
        <w:t xml:space="preserve">La </w:t>
      </w:r>
      <w:r w:rsidR="00D82A4D" w:rsidRPr="006D6A3F">
        <w:rPr>
          <w:rFonts w:cstheme="minorHAnsi"/>
        </w:rPr>
        <w:t xml:space="preserve">cohabitation </w:t>
      </w:r>
      <w:r w:rsidRPr="006D6A3F">
        <w:rPr>
          <w:rFonts w:cstheme="minorHAnsi"/>
        </w:rPr>
        <w:t xml:space="preserve">de l’enfant avec sa mère après la naissance </w:t>
      </w:r>
      <w:r w:rsidR="00D82A4D" w:rsidRPr="006D6A3F">
        <w:rPr>
          <w:rFonts w:cstheme="minorHAnsi"/>
        </w:rPr>
        <w:t>est possible sans limite d’âge de l’enfant et encouragée, mais le bien–être de l’enfant est toujours examiné.</w:t>
      </w:r>
    </w:p>
    <w:p w14:paraId="7B6FFBC8" w14:textId="77777777" w:rsidR="00D82A4D" w:rsidRPr="006D6A3F" w:rsidRDefault="00D82A4D" w:rsidP="00DC50DE">
      <w:pPr>
        <w:spacing w:after="240"/>
        <w:jc w:val="both"/>
        <w:rPr>
          <w:rFonts w:cstheme="minorHAnsi"/>
        </w:rPr>
      </w:pPr>
      <w:r w:rsidRPr="006D6A3F">
        <w:rPr>
          <w:rFonts w:cstheme="minorHAnsi"/>
        </w:rPr>
        <w:t xml:space="preserve">Le </w:t>
      </w:r>
      <w:r w:rsidRPr="006D6A3F">
        <w:rPr>
          <w:rFonts w:cstheme="minorHAnsi"/>
          <w:i/>
        </w:rPr>
        <w:t xml:space="preserve">Service </w:t>
      </w:r>
      <w:proofErr w:type="spellStart"/>
      <w:r w:rsidRPr="006D6A3F">
        <w:rPr>
          <w:rFonts w:cstheme="minorHAnsi"/>
          <w:i/>
        </w:rPr>
        <w:t>Treff-Punkt</w:t>
      </w:r>
      <w:proofErr w:type="spellEnd"/>
      <w:r w:rsidRPr="006D6A3F">
        <w:rPr>
          <w:rFonts w:cstheme="minorHAnsi"/>
        </w:rPr>
        <w:t xml:space="preserve"> Prison de l’Institut étatique d’aide à l’enfance et à la jeunesse organise des visites encadré</w:t>
      </w:r>
      <w:r w:rsidR="00234C48" w:rsidRPr="006D6A3F">
        <w:rPr>
          <w:rFonts w:cstheme="minorHAnsi"/>
        </w:rPr>
        <w:t>e</w:t>
      </w:r>
      <w:r w:rsidRPr="006D6A3F">
        <w:rPr>
          <w:rFonts w:cstheme="minorHAnsi"/>
        </w:rPr>
        <w:t>s entre mineurs et leur parents détenus.</w:t>
      </w:r>
    </w:p>
    <w:p w14:paraId="37BAEA53" w14:textId="514EBDD0" w:rsidR="00F122F5" w:rsidRPr="006D6A3F" w:rsidRDefault="00F122F5" w:rsidP="00DC50DE">
      <w:pPr>
        <w:spacing w:after="240"/>
        <w:jc w:val="both"/>
        <w:rPr>
          <w:rFonts w:cstheme="minorHAnsi"/>
        </w:rPr>
      </w:pPr>
      <w:r w:rsidRPr="006D6A3F">
        <w:rPr>
          <w:rFonts w:cstheme="minorHAnsi"/>
        </w:rPr>
        <w:t xml:space="preserve">Tous </w:t>
      </w:r>
      <w:r w:rsidR="00234C48" w:rsidRPr="006D6A3F">
        <w:rPr>
          <w:rFonts w:cstheme="minorHAnsi"/>
        </w:rPr>
        <w:t xml:space="preserve">les </w:t>
      </w:r>
      <w:r w:rsidRPr="006D6A3F">
        <w:rPr>
          <w:rFonts w:cstheme="minorHAnsi"/>
        </w:rPr>
        <w:t xml:space="preserve">examens </w:t>
      </w:r>
      <w:r w:rsidR="00234C48" w:rsidRPr="006D6A3F">
        <w:rPr>
          <w:rFonts w:cstheme="minorHAnsi"/>
        </w:rPr>
        <w:t xml:space="preserve">médicaux sont </w:t>
      </w:r>
      <w:r w:rsidRPr="006D6A3F">
        <w:rPr>
          <w:rFonts w:cstheme="minorHAnsi"/>
        </w:rPr>
        <w:t xml:space="preserve">gratuits au CPL, </w:t>
      </w:r>
      <w:r w:rsidR="00045685" w:rsidRPr="006D6A3F">
        <w:rPr>
          <w:rFonts w:cstheme="minorHAnsi"/>
        </w:rPr>
        <w:t>ou alternativement</w:t>
      </w:r>
      <w:r w:rsidRPr="006D6A3F">
        <w:rPr>
          <w:rFonts w:cstheme="minorHAnsi"/>
        </w:rPr>
        <w:t xml:space="preserve"> au CHL dans les mêmes conditions que pour le grand public. </w:t>
      </w:r>
      <w:r w:rsidR="00045685" w:rsidRPr="006D6A3F">
        <w:rPr>
          <w:rFonts w:cstheme="minorHAnsi"/>
        </w:rPr>
        <w:t xml:space="preserve">Il existe deux </w:t>
      </w:r>
      <w:r w:rsidRPr="006D6A3F">
        <w:rPr>
          <w:rFonts w:cstheme="minorHAnsi"/>
        </w:rPr>
        <w:t>cellules a</w:t>
      </w:r>
      <w:r w:rsidR="00045685" w:rsidRPr="006D6A3F">
        <w:rPr>
          <w:rFonts w:cstheme="minorHAnsi"/>
        </w:rPr>
        <w:t>u CHL., géré dans le cadre d’une convention avec le CHEM.</w:t>
      </w:r>
    </w:p>
    <w:p w14:paraId="18B78EC6" w14:textId="53474D63" w:rsidR="00896530" w:rsidRPr="006D6A3F" w:rsidRDefault="00896530" w:rsidP="00DC50DE">
      <w:pPr>
        <w:spacing w:after="240"/>
        <w:jc w:val="both"/>
        <w:rPr>
          <w:rFonts w:cstheme="minorHAnsi"/>
        </w:rPr>
      </w:pPr>
      <w:r w:rsidRPr="006D6A3F">
        <w:rPr>
          <w:rFonts w:cstheme="minorHAnsi"/>
        </w:rPr>
        <w:t xml:space="preserve">En ce qui concerne </w:t>
      </w:r>
      <w:r w:rsidRPr="006D6A3F">
        <w:rPr>
          <w:rFonts w:cstheme="minorHAnsi"/>
          <w:b/>
        </w:rPr>
        <w:t>l</w:t>
      </w:r>
      <w:r w:rsidR="00DC50DE" w:rsidRPr="006D6A3F">
        <w:rPr>
          <w:rFonts w:cstheme="minorHAnsi"/>
          <w:b/>
        </w:rPr>
        <w:t>’UNISEC</w:t>
      </w:r>
      <w:r w:rsidR="00DC50DE" w:rsidRPr="006D6A3F">
        <w:rPr>
          <w:rFonts w:cstheme="minorHAnsi"/>
        </w:rPr>
        <w:t>,</w:t>
      </w:r>
      <w:r w:rsidRPr="006D6A3F">
        <w:rPr>
          <w:rFonts w:cstheme="minorHAnsi"/>
        </w:rPr>
        <w:t xml:space="preserve"> l</w:t>
      </w:r>
      <w:r w:rsidR="00234C48" w:rsidRPr="006D6A3F">
        <w:rPr>
          <w:rFonts w:cstheme="minorHAnsi"/>
        </w:rPr>
        <w:t>es frais médicaux sont pris en charge intégralement par le Centre. Ni les pensionnaires, ni leurs familles doivent payer les consultations ou prises en charges médicales ou psychothérapeutiques.</w:t>
      </w:r>
    </w:p>
    <w:p w14:paraId="29C70155" w14:textId="19F1104A" w:rsidR="00896530" w:rsidRPr="006D6A3F" w:rsidRDefault="001125B7" w:rsidP="00DC50DE">
      <w:pPr>
        <w:spacing w:after="240"/>
        <w:jc w:val="both"/>
        <w:rPr>
          <w:rFonts w:cstheme="minorHAnsi"/>
        </w:rPr>
      </w:pPr>
      <w:r w:rsidRPr="006D6A3F">
        <w:rPr>
          <w:rFonts w:cstheme="minorHAnsi"/>
        </w:rPr>
        <w:t xml:space="preserve">En pratique, </w:t>
      </w:r>
      <w:r w:rsidRPr="006D6A3F">
        <w:rPr>
          <w:rFonts w:cstheme="minorHAnsi"/>
          <w:b/>
        </w:rPr>
        <w:t>au CPL et au CPU</w:t>
      </w:r>
      <w:r w:rsidRPr="006D6A3F">
        <w:rPr>
          <w:rFonts w:cstheme="minorHAnsi"/>
        </w:rPr>
        <w:t xml:space="preserve">, la visite médicale des détenus est effectuée endéans les 24 heures de leur admission. </w:t>
      </w:r>
      <w:r w:rsidR="00896530" w:rsidRPr="006D6A3F">
        <w:rPr>
          <w:rFonts w:cstheme="minorHAnsi"/>
        </w:rPr>
        <w:t xml:space="preserve">En ce qui concerne le traitement des mineurs, la visite médicale n0a pas de délai prévu. </w:t>
      </w:r>
    </w:p>
    <w:p w14:paraId="31032594" w14:textId="63C43F8D" w:rsidR="00896530" w:rsidRPr="006D6A3F" w:rsidRDefault="00341875" w:rsidP="00DC50DE">
      <w:pPr>
        <w:pStyle w:val="Heading4"/>
        <w:spacing w:before="0"/>
      </w:pPr>
      <w:r w:rsidRPr="006D6A3F">
        <w:t>C</w:t>
      </w:r>
      <w:r w:rsidR="00896530" w:rsidRPr="006D6A3F">
        <w:t>onditions sanitaires</w:t>
      </w:r>
    </w:p>
    <w:p w14:paraId="51750053" w14:textId="360EC40C" w:rsidR="00D82A4D" w:rsidRPr="006D6A3F" w:rsidRDefault="00D82A4D" w:rsidP="00DC50DE">
      <w:pPr>
        <w:spacing w:after="240"/>
        <w:jc w:val="both"/>
        <w:rPr>
          <w:rFonts w:cstheme="minorHAnsi"/>
        </w:rPr>
      </w:pPr>
      <w:r w:rsidRPr="006D6A3F">
        <w:rPr>
          <w:rFonts w:cstheme="minorHAnsi"/>
        </w:rPr>
        <w:t>Dans le cadre des travaux préparatoires de la réforme pénitentiaire, ayant abouti aux deux lois du 20 juillet 2018, les deux sujets concernant, d’une part, les soins de santé des détenus, et, d’autre part, l’hygiène sanitaire des centres pénitentiaires ont également été abordés.</w:t>
      </w:r>
    </w:p>
    <w:p w14:paraId="109A5C6D" w14:textId="6DB935C5" w:rsidR="00D82A4D" w:rsidRPr="006D6A3F" w:rsidRDefault="00D82A4D" w:rsidP="00DC50DE">
      <w:pPr>
        <w:spacing w:after="240"/>
        <w:jc w:val="both"/>
        <w:rPr>
          <w:rFonts w:cstheme="minorHAnsi"/>
        </w:rPr>
      </w:pPr>
      <w:r w:rsidRPr="006D6A3F">
        <w:rPr>
          <w:rFonts w:cstheme="minorHAnsi"/>
        </w:rPr>
        <w:t xml:space="preserve">Avant la réforme, les attributions concernant les deux sujets n’étaient pas claires, alors que le </w:t>
      </w:r>
      <w:r w:rsidR="0053221C" w:rsidRPr="006D6A3F">
        <w:rPr>
          <w:rFonts w:cstheme="minorHAnsi"/>
        </w:rPr>
        <w:t>CPL</w:t>
      </w:r>
      <w:r w:rsidRPr="006D6A3F">
        <w:rPr>
          <w:rFonts w:cstheme="minorHAnsi"/>
        </w:rPr>
        <w:t xml:space="preserve"> disposait bien d’un médecin-fonctionnaire et de certaines infirmières et infirmiers, qui faisaient partie du personnel de l’Administration pénitentiaire, mais, d’un autre côté, le système du conventionnement avec le CHL pour les soins de santé des détenus existait également déjà.</w:t>
      </w:r>
    </w:p>
    <w:p w14:paraId="0CD88722" w14:textId="77777777" w:rsidR="00D82A4D" w:rsidRPr="006D6A3F" w:rsidRDefault="00D82A4D" w:rsidP="00DC50DE">
      <w:pPr>
        <w:spacing w:after="240"/>
        <w:jc w:val="both"/>
        <w:rPr>
          <w:rFonts w:cstheme="minorHAnsi"/>
        </w:rPr>
      </w:pPr>
      <w:r w:rsidRPr="006D6A3F">
        <w:rPr>
          <w:rFonts w:cstheme="minorHAnsi"/>
        </w:rPr>
        <w:lastRenderedPageBreak/>
        <w:t>La décision politique a alors été prise que les centres pénitentiaires devraient se concentrer dorénavant sur leurs missions principales, au sens de l’article 1er, paragraphe 2, de la loi du 20 juillet 2018 portant réforme de l’administration pénitentiaire, et que, pour toutes autres missions, services et tâches accessoires à ces missions principales, l’Administration pénitentiaire se procurerait alors le savoir-faire et les prestations nécessaires par le biais de contrats et conventions à conclure avec des prestataires externes.</w:t>
      </w:r>
    </w:p>
    <w:p w14:paraId="69C4EC68" w14:textId="3FD4D42E" w:rsidR="00D82A4D" w:rsidRPr="006D6A3F" w:rsidRDefault="00D82A4D" w:rsidP="00DC50DE">
      <w:pPr>
        <w:spacing w:after="240"/>
        <w:jc w:val="both"/>
        <w:rPr>
          <w:rFonts w:cstheme="minorHAnsi"/>
        </w:rPr>
      </w:pPr>
      <w:r w:rsidRPr="006D6A3F">
        <w:rPr>
          <w:rFonts w:cstheme="minorHAnsi"/>
        </w:rPr>
        <w:t xml:space="preserve">Avant son départ à la retraite, imminent à ce moment-là, le médecin-fonctionnaire s’est encore occupé de tâches concernant l’hygiène sanitaire au </w:t>
      </w:r>
      <w:r w:rsidR="0053221C" w:rsidRPr="006D6A3F">
        <w:rPr>
          <w:rFonts w:cstheme="minorHAnsi"/>
        </w:rPr>
        <w:t>CPL</w:t>
      </w:r>
      <w:r w:rsidRPr="006D6A3F">
        <w:rPr>
          <w:rFonts w:cstheme="minorHAnsi"/>
        </w:rPr>
        <w:t>, et les infirmières et infirmiers ont été mis à la disposition de l’</w:t>
      </w:r>
      <w:r w:rsidR="006C5876" w:rsidRPr="006D6A3F">
        <w:rPr>
          <w:rFonts w:cstheme="minorHAnsi"/>
        </w:rPr>
        <w:t>État</w:t>
      </w:r>
      <w:r w:rsidRPr="006D6A3F">
        <w:rPr>
          <w:rFonts w:cstheme="minorHAnsi"/>
        </w:rPr>
        <w:t xml:space="preserve"> pour être réaffectés à d’autres administrations ou services étatiques.</w:t>
      </w:r>
    </w:p>
    <w:p w14:paraId="42AE2F71" w14:textId="77777777" w:rsidR="00D82A4D" w:rsidRPr="006D6A3F" w:rsidRDefault="00D82A4D" w:rsidP="00DC50DE">
      <w:pPr>
        <w:spacing w:after="240"/>
        <w:jc w:val="both"/>
        <w:rPr>
          <w:rFonts w:cstheme="minorHAnsi"/>
        </w:rPr>
      </w:pPr>
      <w:r w:rsidRPr="006D6A3F">
        <w:rPr>
          <w:rFonts w:cstheme="minorHAnsi"/>
        </w:rPr>
        <w:t>Dans cette logique, l’organisation de l’hygiène sanitaire de chaque centre pénitentiaire fait partie des responsabilités de son directeur. Cependant, il n’a pas paru opportun d’inscrire cela expressément dans la loi du 20 juillet 2018 portant réforme de l’administration pénitentiaire, mais il a été décidé de régler cela de façon plus flexible au niveau réglementaire.</w:t>
      </w:r>
    </w:p>
    <w:p w14:paraId="65714823" w14:textId="5B34ABA1" w:rsidR="00D82A4D" w:rsidRPr="006D6A3F" w:rsidRDefault="006C5876" w:rsidP="00DC50DE">
      <w:pPr>
        <w:spacing w:after="240"/>
        <w:jc w:val="both"/>
        <w:rPr>
          <w:rFonts w:cstheme="minorHAnsi"/>
        </w:rPr>
      </w:pPr>
      <w:r w:rsidRPr="006D6A3F">
        <w:rPr>
          <w:rFonts w:cstheme="minorHAnsi"/>
        </w:rPr>
        <w:t>À</w:t>
      </w:r>
      <w:r w:rsidR="00D82A4D" w:rsidRPr="006D6A3F">
        <w:rPr>
          <w:rFonts w:cstheme="minorHAnsi"/>
        </w:rPr>
        <w:t xml:space="preserve"> noter que, bien entendu, l’Administration pénitentiaire peut décider de laisser l’organisation de cette responsabilité individuellement entre les mains de chaque directeur des trois centres pénitentiaires, ou d’organiser l’exécution contractuelle de cette responsabilité de façon transversale et uniforme pour les trois centres pénitentiaires, et, dans ce cas, elle peut conclure, par le biais du Ministère de la Justice, une seule convention avec un prestataire externe pour les trois centres pénitentiaires.</w:t>
      </w:r>
    </w:p>
    <w:p w14:paraId="65CE4E87" w14:textId="095E4991" w:rsidR="00341875" w:rsidRPr="006D6A3F" w:rsidRDefault="00341875" w:rsidP="00DC50DE">
      <w:pPr>
        <w:spacing w:after="240"/>
        <w:jc w:val="both"/>
        <w:rPr>
          <w:rFonts w:cstheme="minorHAnsi"/>
        </w:rPr>
      </w:pPr>
      <w:r w:rsidRPr="006D6A3F">
        <w:rPr>
          <w:rFonts w:cstheme="minorHAnsi"/>
        </w:rPr>
        <w:t>Dans le rapport de 2019, nous avions indiqué que les cloisonnements des parties sanitaires sont successivement aménagés dans toutes les cellules du CPL. À la fin des travaux de réaménagement du CPL, toutes les cellules ré</w:t>
      </w:r>
      <w:r w:rsidR="0053221C" w:rsidRPr="006D6A3F">
        <w:rPr>
          <w:rFonts w:cstheme="minorHAnsi"/>
        </w:rPr>
        <w:t>pondront aux standards. Au CPU</w:t>
      </w:r>
      <w:r w:rsidRPr="006D6A3F">
        <w:rPr>
          <w:rFonts w:cstheme="minorHAnsi"/>
        </w:rPr>
        <w:t xml:space="preserve">, un cloisonnement est prévu pour toutes les cellules à occupation double. Depuis décembre 2022, les prévenus ont été transférés du </w:t>
      </w:r>
      <w:r w:rsidR="0053221C" w:rsidRPr="006D6A3F">
        <w:rPr>
          <w:rFonts w:cstheme="minorHAnsi"/>
        </w:rPr>
        <w:t>CPL</w:t>
      </w:r>
      <w:r w:rsidRPr="006D6A3F">
        <w:rPr>
          <w:rFonts w:cstheme="minorHAnsi"/>
        </w:rPr>
        <w:t xml:space="preserve"> au </w:t>
      </w:r>
      <w:r w:rsidR="0053221C" w:rsidRPr="006D6A3F">
        <w:rPr>
          <w:rFonts w:cstheme="minorHAnsi"/>
        </w:rPr>
        <w:t>CPU.</w:t>
      </w:r>
      <w:r w:rsidRPr="006D6A3F">
        <w:rPr>
          <w:rFonts w:cstheme="minorHAnsi"/>
        </w:rPr>
        <w:t xml:space="preserve"> Par conséquent et dans la mesure du possible, les condamnés sont logés dans des cellules individuelles au CPL.</w:t>
      </w:r>
      <w:r w:rsidR="006C5876">
        <w:rPr>
          <w:rFonts w:cstheme="minorHAnsi"/>
        </w:rPr>
        <w:t xml:space="preserve"> </w:t>
      </w:r>
    </w:p>
    <w:p w14:paraId="2BB1B3F8" w14:textId="2C48B98F" w:rsidR="00341875" w:rsidRPr="006D6A3F" w:rsidRDefault="00341875" w:rsidP="00DC50DE">
      <w:pPr>
        <w:spacing w:after="240"/>
        <w:jc w:val="both"/>
        <w:rPr>
          <w:rFonts w:cstheme="minorHAnsi"/>
        </w:rPr>
      </w:pPr>
      <w:r w:rsidRPr="006D6A3F">
        <w:rPr>
          <w:rFonts w:cstheme="minorHAnsi"/>
        </w:rPr>
        <w:t xml:space="preserve">En ce qui </w:t>
      </w:r>
      <w:r w:rsidR="000179F9" w:rsidRPr="006D6A3F">
        <w:rPr>
          <w:rFonts w:cstheme="minorHAnsi"/>
        </w:rPr>
        <w:t>concerne</w:t>
      </w:r>
      <w:r w:rsidRPr="006D6A3F">
        <w:rPr>
          <w:rFonts w:cstheme="minorHAnsi"/>
        </w:rPr>
        <w:t xml:space="preserve"> les mesures prises pour veiller à ce que, dan</w:t>
      </w:r>
      <w:r w:rsidR="000179F9" w:rsidRPr="006D6A3F">
        <w:rPr>
          <w:rFonts w:cstheme="minorHAnsi"/>
        </w:rPr>
        <w:t xml:space="preserve">s la pratique, l’examen médical soit conduit dans un centre pénitentiaire, nous avions indiqué dans le rapport de 2019 que l’examen médical dans les 24 heures de l’admission constitue le standard toujours appliqué. La direction de l’Administration pénitentiaire ignore l’étendue des examens médicaux et le contenu des rapports pour des raisons de respect du secret médical. Ces informations valent aussi bien pour le CPL que le CPU. </w:t>
      </w:r>
    </w:p>
    <w:p w14:paraId="6634EA35" w14:textId="2447C6AF" w:rsidR="00896530" w:rsidRPr="006D6A3F" w:rsidRDefault="00DF6BBE" w:rsidP="00DC50DE">
      <w:pPr>
        <w:pStyle w:val="Heading4"/>
        <w:spacing w:before="0"/>
      </w:pPr>
      <w:r w:rsidRPr="006D6A3F">
        <w:t xml:space="preserve">Troubles psychiatriques en détention </w:t>
      </w:r>
      <w:r w:rsidR="00896530" w:rsidRPr="006D6A3F">
        <w:t>(relatif à l’article 71 du Code pénal)</w:t>
      </w:r>
    </w:p>
    <w:p w14:paraId="1503C2A7" w14:textId="16A51359" w:rsidR="00D82A4D" w:rsidRPr="006D6A3F" w:rsidRDefault="00D82A4D" w:rsidP="00DC50DE">
      <w:pPr>
        <w:spacing w:after="240"/>
        <w:jc w:val="both"/>
        <w:rPr>
          <w:rFonts w:cstheme="minorHAnsi"/>
        </w:rPr>
      </w:pPr>
      <w:r w:rsidRPr="006D6A3F">
        <w:rPr>
          <w:rFonts w:cstheme="minorHAnsi"/>
        </w:rPr>
        <w:t>Concernant l’</w:t>
      </w:r>
      <w:r w:rsidRPr="006D6A3F">
        <w:rPr>
          <w:rFonts w:cstheme="minorHAnsi"/>
          <w:b/>
        </w:rPr>
        <w:t>Unité de psychiatrie socio-judiciaire (UPSJ)</w:t>
      </w:r>
      <w:r w:rsidRPr="006D6A3F">
        <w:rPr>
          <w:rFonts w:cstheme="minorHAnsi"/>
        </w:rPr>
        <w:t>, celle-ci est toujours en cours de planification, deux groupes de travail interministé</w:t>
      </w:r>
      <w:r w:rsidR="00896530" w:rsidRPr="006D6A3F">
        <w:rPr>
          <w:rFonts w:cstheme="minorHAnsi"/>
        </w:rPr>
        <w:t>riels (ministères de la Justice, de l’</w:t>
      </w:r>
      <w:r w:rsidR="006C5876" w:rsidRPr="006D6A3F">
        <w:rPr>
          <w:rFonts w:cstheme="minorHAnsi"/>
        </w:rPr>
        <w:t>Éducation</w:t>
      </w:r>
      <w:r w:rsidR="00896530" w:rsidRPr="006D6A3F">
        <w:rPr>
          <w:rFonts w:cstheme="minorHAnsi"/>
        </w:rPr>
        <w:t xml:space="preserve"> nationale et de la Jeunesse, </w:t>
      </w:r>
      <w:r w:rsidRPr="006D6A3F">
        <w:rPr>
          <w:rFonts w:cstheme="minorHAnsi"/>
        </w:rPr>
        <w:t>et</w:t>
      </w:r>
      <w:r w:rsidR="00341875" w:rsidRPr="006D6A3F">
        <w:rPr>
          <w:rFonts w:cstheme="minorHAnsi"/>
        </w:rPr>
        <w:t xml:space="preserve"> du</w:t>
      </w:r>
      <w:r w:rsidRPr="006D6A3F">
        <w:rPr>
          <w:rFonts w:cstheme="minorHAnsi"/>
        </w:rPr>
        <w:t xml:space="preserve"> </w:t>
      </w:r>
      <w:r w:rsidR="00896530" w:rsidRPr="006D6A3F">
        <w:rPr>
          <w:rFonts w:cstheme="minorHAnsi"/>
        </w:rPr>
        <w:t>Centre hospitalier neuropsychiatrique au Luxembourg</w:t>
      </w:r>
      <w:r w:rsidRPr="006D6A3F">
        <w:rPr>
          <w:rFonts w:cstheme="minorHAnsi"/>
        </w:rPr>
        <w:t xml:space="preserve">) ayant été mis sur pied afin de discuter des questions de financement et d’organisation de l’UPSJ. </w:t>
      </w:r>
      <w:r w:rsidR="0053221C" w:rsidRPr="006D6A3F">
        <w:rPr>
          <w:rFonts w:cstheme="minorHAnsi"/>
        </w:rPr>
        <w:t>Elle</w:t>
      </w:r>
      <w:r w:rsidR="00896530" w:rsidRPr="006D6A3F">
        <w:rPr>
          <w:rFonts w:cstheme="minorHAnsi"/>
        </w:rPr>
        <w:t xml:space="preserve"> aura pour </w:t>
      </w:r>
      <w:r w:rsidR="005A030F" w:rsidRPr="006D6A3F">
        <w:rPr>
          <w:rFonts w:cstheme="minorHAnsi"/>
        </w:rPr>
        <w:t xml:space="preserve">objectif d’accueillir les détenus dont le placement a été ordonné en application de l’article 71 du code pénal afin de leur fournir les soins psychiatriques et psychothérapeutiques en lien avec leur pathologie. </w:t>
      </w:r>
      <w:r w:rsidR="00896530" w:rsidRPr="006D6A3F">
        <w:rPr>
          <w:rFonts w:cstheme="minorHAnsi"/>
        </w:rPr>
        <w:t>Il</w:t>
      </w:r>
      <w:r w:rsidR="005A030F" w:rsidRPr="006D6A3F">
        <w:rPr>
          <w:rFonts w:cstheme="minorHAnsi"/>
        </w:rPr>
        <w:t xml:space="preserve"> s’agira de recréer un </w:t>
      </w:r>
      <w:r w:rsidR="005A030F" w:rsidRPr="006D6A3F">
        <w:rPr>
          <w:rFonts w:cstheme="minorHAnsi"/>
        </w:rPr>
        <w:lastRenderedPageBreak/>
        <w:t>établissement hospitalier permettant d’assurer la sécurité des patients et du personnel soignant et d’offrir les soins nécessaires aux personnes concernées.</w:t>
      </w:r>
    </w:p>
    <w:p w14:paraId="5F7A5BE5" w14:textId="4BD9D527" w:rsidR="00341875" w:rsidRPr="006D6A3F" w:rsidRDefault="00341875" w:rsidP="00DC50DE">
      <w:pPr>
        <w:spacing w:after="240"/>
        <w:jc w:val="both"/>
        <w:rPr>
          <w:rFonts w:cstheme="minorHAnsi"/>
        </w:rPr>
      </w:pPr>
      <w:r w:rsidRPr="006D6A3F">
        <w:rPr>
          <w:rFonts w:cstheme="minorHAnsi"/>
        </w:rPr>
        <w:t>Le CHNP (Centre hospitalier neuropsychiatrique) vient de reformuler ses besoins en ce qui concerne l’UPSJ à construire de sorte que le projet a souffert un certain retard. La mise en service de l’UPSJ n’est pas envisageable avant 5 ans. Jusqu’à la mise en service de l’UPSJ, tous les patients psychiatriques détenus peuvent être soignés au CHNP/BU6.</w:t>
      </w:r>
    </w:p>
    <w:p w14:paraId="182B231D" w14:textId="6397A92D" w:rsidR="00D13CC6" w:rsidRPr="006D6A3F" w:rsidRDefault="00D13CC6" w:rsidP="00DC50DE">
      <w:pPr>
        <w:spacing w:after="240"/>
        <w:jc w:val="both"/>
        <w:rPr>
          <w:rFonts w:cstheme="minorHAnsi"/>
        </w:rPr>
      </w:pPr>
      <w:r w:rsidRPr="006D6A3F">
        <w:rPr>
          <w:rFonts w:cstheme="minorHAnsi"/>
        </w:rPr>
        <w:t xml:space="preserve">Le </w:t>
      </w:r>
      <w:r w:rsidRPr="006D6A3F">
        <w:rPr>
          <w:rFonts w:cstheme="minorHAnsi"/>
          <w:b/>
        </w:rPr>
        <w:t>Centre socio-éducatif de l’</w:t>
      </w:r>
      <w:r w:rsidR="006C5876" w:rsidRPr="006D6A3F">
        <w:rPr>
          <w:rFonts w:cstheme="minorHAnsi"/>
          <w:b/>
        </w:rPr>
        <w:t>État</w:t>
      </w:r>
      <w:r w:rsidRPr="006D6A3F">
        <w:rPr>
          <w:rFonts w:cstheme="minorHAnsi"/>
        </w:rPr>
        <w:t xml:space="preserve"> a une convention avec le </w:t>
      </w:r>
      <w:r w:rsidR="00896530" w:rsidRPr="006D6A3F">
        <w:rPr>
          <w:rFonts w:cstheme="minorHAnsi"/>
        </w:rPr>
        <w:t>CHNL</w:t>
      </w:r>
      <w:r w:rsidRPr="006D6A3F">
        <w:rPr>
          <w:rFonts w:cstheme="minorHAnsi"/>
        </w:rPr>
        <w:t xml:space="preserve"> qui met à disposition de l’UNISEC un médecin psychiatre pendant 20 heures par semaine. Le psychiatre participe aux intervisions du personnel et fait l’évaluation psychiatrique et psychothérapeutique des pensionnaires. Les jeunes sont alors orientés vers une prise en charge psychiatrique ambulatoire ou stationnaire qui répond à leurs besoins. Le CHNP met aussi à disposition de </w:t>
      </w:r>
      <w:r w:rsidR="006C5876">
        <w:rPr>
          <w:rFonts w:cstheme="minorHAnsi"/>
        </w:rPr>
        <w:t>l</w:t>
      </w:r>
      <w:r w:rsidRPr="006D6A3F">
        <w:rPr>
          <w:rFonts w:cstheme="minorHAnsi"/>
        </w:rPr>
        <w:t>’UNISEC un infirmier psychiatrique à temps plein.</w:t>
      </w:r>
    </w:p>
    <w:p w14:paraId="5BDBF183" w14:textId="18692A8A" w:rsidR="00DF6BBE" w:rsidRPr="006D6A3F" w:rsidRDefault="00D13CC6" w:rsidP="00DC50DE">
      <w:pPr>
        <w:spacing w:after="240"/>
        <w:jc w:val="both"/>
        <w:rPr>
          <w:rFonts w:cstheme="minorHAnsi"/>
        </w:rPr>
      </w:pPr>
      <w:r w:rsidRPr="006D6A3F">
        <w:rPr>
          <w:rFonts w:cstheme="minorHAnsi"/>
        </w:rPr>
        <w:t>L’UNISEC a aussi un contrat de collaboration avec le Service national de psychiatrie juvénile qui intervient dans des crises aigues des jeunes.</w:t>
      </w:r>
    </w:p>
    <w:p w14:paraId="1FCD098E" w14:textId="5DF7D96E" w:rsidR="00AB5EF8" w:rsidRPr="006D6A3F" w:rsidRDefault="00896530" w:rsidP="00DC50DE">
      <w:pPr>
        <w:pStyle w:val="Heading4"/>
        <w:spacing w:before="0"/>
      </w:pPr>
      <w:proofErr w:type="gramStart"/>
      <w:r w:rsidRPr="006D6A3F">
        <w:t>Fouilles de personnes</w:t>
      </w:r>
      <w:proofErr w:type="gramEnd"/>
    </w:p>
    <w:p w14:paraId="133B959B" w14:textId="77777777" w:rsidR="001D431B" w:rsidRPr="006D6A3F" w:rsidRDefault="001D431B" w:rsidP="00DC50DE">
      <w:pPr>
        <w:spacing w:after="240"/>
        <w:jc w:val="both"/>
        <w:rPr>
          <w:rFonts w:cstheme="minorHAnsi"/>
        </w:rPr>
      </w:pPr>
      <w:r w:rsidRPr="006D6A3F">
        <w:rPr>
          <w:rFonts w:cstheme="minorHAnsi"/>
        </w:rPr>
        <w:t xml:space="preserve">L’article 48-11bis du CPP et l’article 8bis de la loi sur la Police grand-ducale de 2018 soumettent la fouille intégrale à des conditions également strictes : cf. p.ex. art. 48-11bis paragraphe 6 : </w:t>
      </w:r>
    </w:p>
    <w:p w14:paraId="6FE708CA" w14:textId="77777777" w:rsidR="001D431B" w:rsidRPr="006D6A3F" w:rsidRDefault="001D431B" w:rsidP="00DC50DE">
      <w:pPr>
        <w:spacing w:after="240"/>
        <w:jc w:val="both"/>
        <w:rPr>
          <w:rStyle w:val="Emphasis"/>
          <w:rFonts w:cstheme="minorHAnsi"/>
        </w:rPr>
      </w:pPr>
      <w:r w:rsidRPr="006D6A3F">
        <w:rPr>
          <w:rStyle w:val="Emphasis"/>
          <w:rFonts w:cstheme="minorHAnsi"/>
        </w:rPr>
        <w:t>« (6) La fouille de personnes est effectuée dans le respect de la dignité humaine et évite toute humiliation de la personne fouillée. La personne concernée, qui fait l’objet d’une fouille, ne peut être retenue que pendant le temps strictement nécessaire à cette opération.</w:t>
      </w:r>
    </w:p>
    <w:p w14:paraId="0D49110A" w14:textId="77777777" w:rsidR="001D431B" w:rsidRPr="006D6A3F" w:rsidRDefault="001D431B" w:rsidP="00DC50DE">
      <w:pPr>
        <w:spacing w:after="240"/>
        <w:jc w:val="both"/>
        <w:rPr>
          <w:rStyle w:val="Emphasis"/>
          <w:rFonts w:cstheme="minorHAnsi"/>
        </w:rPr>
      </w:pPr>
      <w:r w:rsidRPr="006D6A3F">
        <w:rPr>
          <w:rStyle w:val="Emphasis"/>
          <w:rFonts w:cstheme="minorHAnsi"/>
        </w:rPr>
        <w:t>La fouille intégrale et la fouille intime sont effectuées à l’abri des regards de tierces personnes. Le dévêtement intégral de la personne concernée lors des fouilles intégrale et intime ne peut se faire qu’en deux temps.</w:t>
      </w:r>
    </w:p>
    <w:p w14:paraId="471F7696" w14:textId="77777777" w:rsidR="001D431B" w:rsidRPr="006D6A3F" w:rsidRDefault="001D431B" w:rsidP="00DC50DE">
      <w:pPr>
        <w:spacing w:after="240"/>
        <w:jc w:val="both"/>
        <w:rPr>
          <w:rStyle w:val="Emphasis"/>
          <w:rFonts w:cstheme="minorHAnsi"/>
        </w:rPr>
      </w:pPr>
      <w:r w:rsidRPr="006D6A3F">
        <w:rPr>
          <w:rStyle w:val="Emphasis"/>
          <w:rFonts w:cstheme="minorHAnsi"/>
        </w:rPr>
        <w:t>Sauf en cas d’impossibilité matérielle, la fouille simple est effectuée par un agent de police judiciaire ou un officier de police judiciaire du même sexe que la personne fouillée.</w:t>
      </w:r>
    </w:p>
    <w:p w14:paraId="1D153D0C" w14:textId="77777777" w:rsidR="001D431B" w:rsidRPr="006D6A3F" w:rsidRDefault="001D431B" w:rsidP="00DC50DE">
      <w:pPr>
        <w:spacing w:after="240"/>
        <w:jc w:val="both"/>
        <w:rPr>
          <w:rStyle w:val="Emphasis"/>
          <w:rFonts w:cstheme="minorHAnsi"/>
        </w:rPr>
      </w:pPr>
      <w:r w:rsidRPr="006D6A3F">
        <w:rPr>
          <w:rStyle w:val="Emphasis"/>
          <w:rFonts w:cstheme="minorHAnsi"/>
        </w:rPr>
        <w:t>Dans tous les cas, la fouille intégrale est effectuée par un agent de police judiciaire ou un officier de police judiciaire du même sexe que la personne fouillée. »</w:t>
      </w:r>
    </w:p>
    <w:p w14:paraId="54E163D5" w14:textId="468F9F96" w:rsidR="00896530" w:rsidRPr="006D6A3F" w:rsidRDefault="001D431B" w:rsidP="00DC50DE">
      <w:pPr>
        <w:spacing w:after="240"/>
        <w:jc w:val="both"/>
        <w:rPr>
          <w:rFonts w:cstheme="minorHAnsi"/>
        </w:rPr>
      </w:pPr>
      <w:r w:rsidRPr="006D6A3F">
        <w:rPr>
          <w:rFonts w:cstheme="minorHAnsi"/>
        </w:rPr>
        <w:t>La fouille simple peut être entreprise par des moyens électroniques. Il faut noter que pour la fouille intégrale il n’y a pas de contact physique, il ne s’agit que d’une inspection visuelle de la surface nue du corps, et qu’elle n’intervient que lorsque les moyens utilisés dans le cadre de la fouille simple se sont avérés insuffisants.</w:t>
      </w:r>
    </w:p>
    <w:p w14:paraId="06DAE6DD" w14:textId="0438E706" w:rsidR="00DF6BBE" w:rsidRPr="006D6A3F" w:rsidRDefault="001D431B" w:rsidP="00DC50DE">
      <w:pPr>
        <w:spacing w:after="240"/>
        <w:jc w:val="both"/>
        <w:rPr>
          <w:rFonts w:cstheme="minorHAnsi"/>
        </w:rPr>
      </w:pPr>
      <w:r w:rsidRPr="006D6A3F">
        <w:rPr>
          <w:rFonts w:cstheme="minorHAnsi"/>
        </w:rPr>
        <w:t xml:space="preserve">En milieu pénitentiaire, suivant instruction de service du CPU, en cas d’indice grave faisant présumer qu’un détenu transporte sur ou dans son corps des stupéfiants il peut être soumis-en dehors de la fouille intégrale-a une fouille intime et notamment à un examen radiologique ou à un examen des orifices. Ces </w:t>
      </w:r>
      <w:r w:rsidRPr="006D6A3F">
        <w:rPr>
          <w:rFonts w:cstheme="minorHAnsi"/>
        </w:rPr>
        <w:lastRenderedPageBreak/>
        <w:t>examens peuvent uniquement être réquisitionnés par le directeur du CPU. La fouille est effectuée par un médecin autre que le médecin traitant du détenu, le détenu est transféré à l’hôpital.</w:t>
      </w:r>
    </w:p>
    <w:p w14:paraId="16D75952" w14:textId="77777777" w:rsidR="00DF6BBE" w:rsidRPr="006D6A3F" w:rsidRDefault="00DF6BBE" w:rsidP="00DC50DE">
      <w:pPr>
        <w:pStyle w:val="Heading4"/>
        <w:spacing w:before="0"/>
      </w:pPr>
      <w:r w:rsidRPr="006D6A3F">
        <w:t>Régime disciplinaire</w:t>
      </w:r>
    </w:p>
    <w:p w14:paraId="014880FA" w14:textId="7A56687E" w:rsidR="001D431B" w:rsidRPr="006D6A3F" w:rsidRDefault="00896530" w:rsidP="00DC50DE">
      <w:pPr>
        <w:spacing w:after="240"/>
        <w:jc w:val="both"/>
        <w:rPr>
          <w:rFonts w:cstheme="minorHAnsi"/>
        </w:rPr>
      </w:pPr>
      <w:r w:rsidRPr="006D6A3F">
        <w:rPr>
          <w:rFonts w:cstheme="minorHAnsi"/>
        </w:rPr>
        <w:t>Un p</w:t>
      </w:r>
      <w:r w:rsidR="00F122F5" w:rsidRPr="006D6A3F">
        <w:rPr>
          <w:rFonts w:cstheme="minorHAnsi"/>
        </w:rPr>
        <w:t xml:space="preserve">rojet de </w:t>
      </w:r>
      <w:r w:rsidR="0053221C" w:rsidRPr="006D6A3F">
        <w:rPr>
          <w:rFonts w:cstheme="minorHAnsi"/>
        </w:rPr>
        <w:t>régime disciplinaire</w:t>
      </w:r>
      <w:r w:rsidR="00F122F5" w:rsidRPr="006D6A3F">
        <w:rPr>
          <w:rFonts w:cstheme="minorHAnsi"/>
        </w:rPr>
        <w:t xml:space="preserve"> sur </w:t>
      </w:r>
      <w:r w:rsidR="0053221C" w:rsidRPr="006D6A3F">
        <w:rPr>
          <w:rFonts w:cstheme="minorHAnsi"/>
        </w:rPr>
        <w:t>l’</w:t>
      </w:r>
      <w:r w:rsidR="00F122F5" w:rsidRPr="006D6A3F">
        <w:rPr>
          <w:rFonts w:cstheme="minorHAnsi"/>
        </w:rPr>
        <w:t>organisation inte</w:t>
      </w:r>
      <w:r w:rsidRPr="006D6A3F">
        <w:rPr>
          <w:rFonts w:cstheme="minorHAnsi"/>
        </w:rPr>
        <w:t>rne des centres pénitentiaires</w:t>
      </w:r>
      <w:r w:rsidR="00F122F5" w:rsidRPr="006D6A3F">
        <w:rPr>
          <w:rFonts w:cstheme="minorHAnsi"/>
        </w:rPr>
        <w:t xml:space="preserve"> prévoit </w:t>
      </w:r>
      <w:r w:rsidR="0053221C" w:rsidRPr="006D6A3F">
        <w:rPr>
          <w:rFonts w:cstheme="minorHAnsi"/>
        </w:rPr>
        <w:t xml:space="preserve">des </w:t>
      </w:r>
      <w:r w:rsidR="00F122F5" w:rsidRPr="006D6A3F">
        <w:rPr>
          <w:rFonts w:cstheme="minorHAnsi"/>
        </w:rPr>
        <w:t>faut</w:t>
      </w:r>
      <w:r w:rsidRPr="006D6A3F">
        <w:rPr>
          <w:rFonts w:cstheme="minorHAnsi"/>
        </w:rPr>
        <w:t>es disciplinaires spécifiques.</w:t>
      </w:r>
      <w:r w:rsidR="006C5876">
        <w:rPr>
          <w:rFonts w:cstheme="minorHAnsi"/>
        </w:rPr>
        <w:t xml:space="preserve"> </w:t>
      </w:r>
      <w:r w:rsidR="0053221C" w:rsidRPr="006D6A3F">
        <w:rPr>
          <w:rFonts w:cstheme="minorHAnsi"/>
        </w:rPr>
        <w:t>L</w:t>
      </w:r>
      <w:r w:rsidR="001D431B" w:rsidRPr="006D6A3F">
        <w:rPr>
          <w:rFonts w:cstheme="minorHAnsi"/>
        </w:rPr>
        <w:t>es dispositions légale</w:t>
      </w:r>
      <w:r w:rsidR="0053221C" w:rsidRPr="006D6A3F">
        <w:rPr>
          <w:rFonts w:cstheme="minorHAnsi"/>
        </w:rPr>
        <w:t>s</w:t>
      </w:r>
      <w:r w:rsidR="001D431B" w:rsidRPr="006D6A3F">
        <w:rPr>
          <w:rFonts w:cstheme="minorHAnsi"/>
        </w:rPr>
        <w:t xml:space="preserve"> et réglementaires pertinentes (notamment l’article 32 de la loi du 20 juillet 2018 portant réforme de l’administration pénitentiaire) prévoient en partie des fautes disciplinaires de manière générale (p.ex. « la violation des dispositions législatives ou règlementaires, au règlement intérieur du centre pénitentiaire ou à toute autre instruction de service »).</w:t>
      </w:r>
    </w:p>
    <w:p w14:paraId="0C8D2441" w14:textId="7A135B8B" w:rsidR="00DF6BBE" w:rsidRPr="006D6A3F" w:rsidRDefault="001D431B" w:rsidP="00DC50DE">
      <w:pPr>
        <w:spacing w:after="240"/>
        <w:jc w:val="both"/>
        <w:rPr>
          <w:rFonts w:cstheme="minorHAnsi"/>
        </w:rPr>
      </w:pPr>
      <w:r w:rsidRPr="006D6A3F">
        <w:rPr>
          <w:rFonts w:cstheme="minorHAnsi"/>
        </w:rPr>
        <w:t>Néanmoins, il convient de noter que les règlements intérieurs des différents centres pénitentiaires prévoient de manière spécifique les comportements pouvant constituer une faute disciplinaire (p.ex. se présenter à temps aux activités prévues), et qu’il existe un « guide de la personne détenue », distribué aux détenus au CPL et au CPG, qui contient leurs droits et obligations. Dès lors, une prévisibilité au niveau du régime disciplinaire existe.</w:t>
      </w:r>
    </w:p>
    <w:p w14:paraId="1DB48AC9" w14:textId="4764EC45" w:rsidR="00DF6BBE" w:rsidRPr="006D6A3F" w:rsidRDefault="006832C4" w:rsidP="00DC50DE">
      <w:pPr>
        <w:pStyle w:val="Heading3"/>
      </w:pPr>
      <w:bookmarkStart w:id="7" w:name="_Toc133934843"/>
      <w:r w:rsidRPr="006D6A3F">
        <w:t xml:space="preserve">I.4. </w:t>
      </w:r>
      <w:r w:rsidR="00DF6BBE" w:rsidRPr="006D6A3F">
        <w:t>Conditions de détention des mineurs</w:t>
      </w:r>
      <w:bookmarkEnd w:id="7"/>
    </w:p>
    <w:p w14:paraId="6AE3769F" w14:textId="77777777" w:rsidR="00F72DB7" w:rsidRPr="006D6A3F" w:rsidRDefault="00F72DB7" w:rsidP="00DC50DE">
      <w:pPr>
        <w:spacing w:after="240"/>
        <w:jc w:val="both"/>
        <w:rPr>
          <w:rFonts w:cstheme="minorHAnsi"/>
        </w:rPr>
      </w:pPr>
      <w:r w:rsidRPr="006D6A3F">
        <w:rPr>
          <w:rFonts w:cstheme="minorHAnsi"/>
        </w:rPr>
        <w:t xml:space="preserve">Actuellement la loi du 10 août 1992 relative à la protection de la jeunesse règle aussi bien les dossiers de mineurs en conflit avec la loi que ceux de mineurs nécessitant une protection. La loi applique la même procédure et les mêmes mesures aux deux cas de figures et populations cibles différentes, ce qui engendre que les mineurs en conflit avec la loi ne sont pas punis lors d’une procédure pénale mais sont protégés de leur propre comportement. La base légale actuelle permet des placements dans un centre pénitentiaire pour adultes. </w:t>
      </w:r>
    </w:p>
    <w:p w14:paraId="334A9C76" w14:textId="2153F300" w:rsidR="00F72DB7" w:rsidRPr="006D6A3F" w:rsidRDefault="00F72DB7" w:rsidP="00DC50DE">
      <w:pPr>
        <w:spacing w:after="240"/>
        <w:jc w:val="both"/>
        <w:rPr>
          <w:rFonts w:cstheme="minorHAnsi"/>
        </w:rPr>
      </w:pPr>
      <w:r w:rsidRPr="006D6A3F">
        <w:rPr>
          <w:rFonts w:cstheme="minorHAnsi"/>
        </w:rPr>
        <w:t xml:space="preserve">Or depuis novembre 2017, </w:t>
      </w:r>
      <w:r w:rsidR="00DC50DE" w:rsidRPr="006D6A3F">
        <w:rPr>
          <w:rFonts w:cstheme="minorHAnsi"/>
        </w:rPr>
        <w:t>l’UNISEC</w:t>
      </w:r>
      <w:r w:rsidRPr="006D6A3F">
        <w:rPr>
          <w:rFonts w:cstheme="minorHAnsi"/>
        </w:rPr>
        <w:t xml:space="preserve"> permet le placement de mineurs dans une structure fermée qui est réservée aux mineurs.</w:t>
      </w:r>
      <w:r w:rsidR="006C5876">
        <w:rPr>
          <w:rFonts w:cstheme="minorHAnsi"/>
        </w:rPr>
        <w:t xml:space="preserve"> </w:t>
      </w:r>
      <w:r w:rsidRPr="006D6A3F">
        <w:rPr>
          <w:rFonts w:cstheme="minorHAnsi"/>
        </w:rPr>
        <w:t xml:space="preserve">Depuis son ouverture, les placements de mineurs en centre pénitentiaire pour adultes ont fortement réduits. Or ils sont toujours </w:t>
      </w:r>
      <w:r w:rsidR="00896530" w:rsidRPr="006D6A3F">
        <w:rPr>
          <w:rFonts w:cstheme="minorHAnsi"/>
        </w:rPr>
        <w:t>possibles</w:t>
      </w:r>
      <w:r w:rsidRPr="006D6A3F">
        <w:rPr>
          <w:rFonts w:cstheme="minorHAnsi"/>
        </w:rPr>
        <w:t xml:space="preserve">, vue que la loi du 10 août 1992 est toujours en vigueur et la troisième pouvoir est libre d’appliquer la loi telle qu’elle est en vigueur. </w:t>
      </w:r>
    </w:p>
    <w:p w14:paraId="50612785" w14:textId="77777777" w:rsidR="00F72DB7" w:rsidRPr="006D6A3F" w:rsidRDefault="00F72DB7" w:rsidP="00DC50DE">
      <w:pPr>
        <w:spacing w:after="240"/>
        <w:jc w:val="both"/>
        <w:rPr>
          <w:rFonts w:cstheme="minorHAnsi"/>
        </w:rPr>
      </w:pPr>
      <w:r w:rsidRPr="006D6A3F">
        <w:rPr>
          <w:rFonts w:cstheme="minorHAnsi"/>
        </w:rPr>
        <w:t xml:space="preserve">Depuis des années, le gouvernement du Grand-Duché de Luxembourg fait des efforts pour réformer la législation relative à la protection de la jeunesse. Le projet de loi 7672 mentionné par le comité a été retiré par le gouvernement vu qu’il prévoyait aussi un mélange entre doit pénal et protection de la jeunesse. En mars 2022 trois projets de loi ont été déposés qui se trouvent actuellement en procédure législative. Il s’agit du projet de loi 7991 portant introduction d’un droit pénal pour mineurs, le projet de loi 7992 relatif aux droits des mineurs victimes et témoins dans le cadre de la procédure pénale et le projet de loi 7994 portant aide, soutien et protection aux mineurs, aux jeunes adultes et aux familles. Ces nouvelles lois assurent une séparation entre droit pénal pour mineurs et protection de la jeunesse. Ceci permet d’intégrer d’avantages de garanties procédurales pour les jeunes en conflit avec la loi. </w:t>
      </w:r>
    </w:p>
    <w:p w14:paraId="3A35EC30" w14:textId="77777777" w:rsidR="00F72DB7" w:rsidRPr="006D6A3F" w:rsidRDefault="00F72DB7" w:rsidP="00DC50DE">
      <w:pPr>
        <w:spacing w:after="240"/>
        <w:jc w:val="both"/>
        <w:rPr>
          <w:rFonts w:cstheme="minorHAnsi"/>
        </w:rPr>
      </w:pPr>
      <w:r w:rsidRPr="006D6A3F">
        <w:rPr>
          <w:rFonts w:cstheme="minorHAnsi"/>
        </w:rPr>
        <w:t xml:space="preserve">Le projet de loi 7991 prévoit aussi l’introduction d’un âge minimal de responsabilité pénale (initialement 14, 13 dans les amendements gouvernementaux de février 2023). Comme les mineurs en dessus de cet </w:t>
      </w:r>
      <w:r w:rsidRPr="006D6A3F">
        <w:rPr>
          <w:rFonts w:cstheme="minorHAnsi"/>
        </w:rPr>
        <w:lastRenderedPageBreak/>
        <w:t xml:space="preserve">âge ne tombent pas dans le champ d’application de la loi pénale pour mineurs, ils ne pourront pas être privés de liberté dans le cadre d’une procédure pénale. Le projet de loi 7994 prévoit aussi l’abolition entière de privation de liberté pour mineurs en besoin de protection. Les jeunes en question ne pourront donc pas non plus être privés de liberté dans ce contexte. </w:t>
      </w:r>
    </w:p>
    <w:p w14:paraId="41B2C33B" w14:textId="77777777" w:rsidR="00F72DB7" w:rsidRPr="006D6A3F" w:rsidRDefault="00F72DB7" w:rsidP="00DC50DE">
      <w:pPr>
        <w:spacing w:after="240"/>
        <w:jc w:val="both"/>
        <w:rPr>
          <w:rFonts w:cstheme="minorHAnsi"/>
        </w:rPr>
      </w:pPr>
      <w:r w:rsidRPr="006D6A3F">
        <w:rPr>
          <w:rFonts w:cstheme="minorHAnsi"/>
        </w:rPr>
        <w:t>Dans le nouveau cadre légal une privation de liberté de mineurs ne pourra que se faire dans le centre pénitentiaire pour mineurs. Une détention dans un établissement ensemble avec des détenus adultes ne sera plus possible.</w:t>
      </w:r>
    </w:p>
    <w:p w14:paraId="01F88774" w14:textId="77777777" w:rsidR="00F72DB7" w:rsidRPr="006D6A3F" w:rsidRDefault="00F72DB7" w:rsidP="00DC50DE">
      <w:pPr>
        <w:spacing w:after="240"/>
        <w:jc w:val="both"/>
        <w:rPr>
          <w:rFonts w:cstheme="minorHAnsi"/>
        </w:rPr>
      </w:pPr>
      <w:r w:rsidRPr="006D6A3F">
        <w:rPr>
          <w:rFonts w:cstheme="minorHAnsi"/>
        </w:rPr>
        <w:t xml:space="preserve">En ce qui concerne </w:t>
      </w:r>
      <w:r w:rsidRPr="006D6A3F">
        <w:rPr>
          <w:rFonts w:cstheme="minorHAnsi"/>
          <w:b/>
        </w:rPr>
        <w:t>l’autorité parentale</w:t>
      </w:r>
      <w:r w:rsidRPr="006D6A3F">
        <w:rPr>
          <w:rFonts w:cstheme="minorHAnsi"/>
        </w:rPr>
        <w:t>, les nouveaux projets de loi mettront aussi fin au transfert automatique de l’autorité parentale aux institutions qui assurent la garde des mineurs placés. Dans le nouveau cadre légal pénal un transfert de l’autorité parentale ne sera plus possible et dans la protection de la jeunesse l’autorité parentale restera avec les parents des mineurs placés. L’exercice de l’autorité parentale sera divisé en actes usuels et non-usuels comme dans le droit de divorce.</w:t>
      </w:r>
    </w:p>
    <w:p w14:paraId="3C25A259" w14:textId="72939A91" w:rsidR="00760FEB" w:rsidRDefault="00D13CC6" w:rsidP="00DC50DE">
      <w:pPr>
        <w:spacing w:after="240"/>
        <w:jc w:val="both"/>
        <w:rPr>
          <w:rFonts w:cstheme="minorHAnsi"/>
        </w:rPr>
      </w:pPr>
      <w:r w:rsidRPr="006D6A3F">
        <w:rPr>
          <w:rFonts w:cstheme="minorHAnsi"/>
        </w:rPr>
        <w:t xml:space="preserve">Le </w:t>
      </w:r>
      <w:r w:rsidRPr="006D6A3F">
        <w:rPr>
          <w:rFonts w:cstheme="minorHAnsi"/>
          <w:b/>
        </w:rPr>
        <w:t>droit à un avocat</w:t>
      </w:r>
      <w:r w:rsidRPr="006D6A3F">
        <w:rPr>
          <w:rFonts w:cstheme="minorHAnsi"/>
        </w:rPr>
        <w:t xml:space="preserve"> est aussi garanti dans le nouveau cadre légal. Tout mineur en conflit avec la loi ou dans une procédure judiciaire de protection se verra nommé un avocat par le Barreau ou pourra amener un avocat choisi par lui-même. Le mineur en conflit avec la loi ne peut que renoncer à son droit à un avocat si « </w:t>
      </w:r>
      <w:r w:rsidRPr="006D6A3F">
        <w:rPr>
          <w:rStyle w:val="markedcontent"/>
          <w:rFonts w:cstheme="minorHAnsi"/>
        </w:rPr>
        <w:t>l’assistance obligatoire d’un avocat n’est pas proportionnée au regard des</w:t>
      </w:r>
      <w:r w:rsidRPr="006D6A3F">
        <w:rPr>
          <w:rFonts w:cstheme="minorHAnsi"/>
        </w:rPr>
        <w:t xml:space="preserve"> </w:t>
      </w:r>
      <w:r w:rsidRPr="006D6A3F">
        <w:rPr>
          <w:rStyle w:val="markedcontent"/>
          <w:rFonts w:cstheme="minorHAnsi"/>
        </w:rPr>
        <w:t>circonstances de l’espèce, compte tenu de la gravité de l’infraction présumée, de la complexité</w:t>
      </w:r>
      <w:r w:rsidRPr="006D6A3F">
        <w:rPr>
          <w:rFonts w:cstheme="minorHAnsi"/>
        </w:rPr>
        <w:t xml:space="preserve"> </w:t>
      </w:r>
      <w:r w:rsidRPr="006D6A3F">
        <w:rPr>
          <w:rStyle w:val="markedcontent"/>
          <w:rFonts w:cstheme="minorHAnsi"/>
        </w:rPr>
        <w:t xml:space="preserve">de l’affaire et des mesures susceptibles d’être adoptées en rapport avec ladite infraction. » </w:t>
      </w:r>
      <w:r w:rsidRPr="006D6A3F">
        <w:rPr>
          <w:rFonts w:cstheme="minorHAnsi"/>
        </w:rPr>
        <w:t>Le projet de loi 7959 prévoit aussi que toute assistance judiciaire est gratuite pour les mineurs. L’</w:t>
      </w:r>
      <w:r w:rsidR="006C5876" w:rsidRPr="006D6A3F">
        <w:rPr>
          <w:rFonts w:cstheme="minorHAnsi"/>
        </w:rPr>
        <w:t>État</w:t>
      </w:r>
      <w:r w:rsidRPr="006D6A3F">
        <w:rPr>
          <w:rFonts w:cstheme="minorHAnsi"/>
        </w:rPr>
        <w:t xml:space="preserve"> renonce au recouvrement des frais de l’assistance judiciaire auprès des parents des mineurs.</w:t>
      </w:r>
    </w:p>
    <w:p w14:paraId="239D92F4" w14:textId="77777777" w:rsidR="006C5876" w:rsidRPr="006D6A3F" w:rsidRDefault="006C5876" w:rsidP="00DC50DE">
      <w:pPr>
        <w:spacing w:after="240"/>
        <w:jc w:val="both"/>
        <w:rPr>
          <w:rFonts w:cstheme="minorHAnsi"/>
        </w:rPr>
      </w:pPr>
    </w:p>
    <w:p w14:paraId="0AD20382" w14:textId="5E063F69" w:rsidR="00A96FD2" w:rsidRPr="006D6A3F" w:rsidRDefault="00A96FD2" w:rsidP="00DC50DE">
      <w:pPr>
        <w:pStyle w:val="Heading2"/>
        <w:spacing w:before="0"/>
        <w:rPr>
          <w:lang w:val="fr-FR"/>
        </w:rPr>
      </w:pPr>
      <w:bookmarkStart w:id="8" w:name="_Toc133934844"/>
      <w:r w:rsidRPr="006D6A3F">
        <w:rPr>
          <w:lang w:val="fr-FR"/>
        </w:rPr>
        <w:t>Violences en détention</w:t>
      </w:r>
      <w:bookmarkEnd w:id="8"/>
    </w:p>
    <w:p w14:paraId="30BB98D4" w14:textId="276A322B" w:rsidR="006832C4" w:rsidRPr="006D6A3F" w:rsidRDefault="006832C4" w:rsidP="00DC50DE">
      <w:pPr>
        <w:pStyle w:val="Heading3"/>
      </w:pPr>
      <w:bookmarkStart w:id="9" w:name="_Toc133934845"/>
      <w:r w:rsidRPr="006D6A3F">
        <w:t>II.2. Violences entre détenus</w:t>
      </w:r>
      <w:bookmarkEnd w:id="9"/>
      <w:r w:rsidRPr="006D6A3F">
        <w:t xml:space="preserve"> </w:t>
      </w:r>
    </w:p>
    <w:p w14:paraId="3013698C" w14:textId="09E1B051" w:rsidR="00A7638A" w:rsidRPr="006D6A3F" w:rsidRDefault="00A7638A" w:rsidP="00DC50DE">
      <w:pPr>
        <w:pStyle w:val="Heading4"/>
        <w:numPr>
          <w:ilvl w:val="0"/>
          <w:numId w:val="33"/>
        </w:numPr>
        <w:spacing w:before="0"/>
      </w:pPr>
      <w:r w:rsidRPr="006D6A3F">
        <w:t>Les centres pénitentiaires pour adultes</w:t>
      </w:r>
    </w:p>
    <w:p w14:paraId="0BA28426" w14:textId="309E7D59" w:rsidR="00F74C36" w:rsidRPr="006D6A3F" w:rsidRDefault="00896530" w:rsidP="00DC50DE">
      <w:pPr>
        <w:spacing w:after="240"/>
        <w:jc w:val="both"/>
        <w:rPr>
          <w:rFonts w:cstheme="minorHAnsi"/>
        </w:rPr>
      </w:pPr>
      <w:r w:rsidRPr="006D6A3F">
        <w:rPr>
          <w:rFonts w:cstheme="minorHAnsi"/>
          <w:u w:val="single"/>
        </w:rPr>
        <w:t>Le Luxembourg</w:t>
      </w:r>
      <w:r w:rsidR="00F74C36" w:rsidRPr="006D6A3F">
        <w:rPr>
          <w:rFonts w:cstheme="minorHAnsi"/>
        </w:rPr>
        <w:t xml:space="preserve"> </w:t>
      </w:r>
      <w:r w:rsidRPr="006D6A3F">
        <w:rPr>
          <w:rFonts w:cstheme="minorHAnsi"/>
        </w:rPr>
        <w:t>prend</w:t>
      </w:r>
      <w:r w:rsidR="00415DBA" w:rsidRPr="006D6A3F">
        <w:rPr>
          <w:rFonts w:cstheme="minorHAnsi"/>
        </w:rPr>
        <w:t xml:space="preserve"> note des recommandations du comité </w:t>
      </w:r>
      <w:r w:rsidRPr="006D6A3F">
        <w:rPr>
          <w:rFonts w:cstheme="minorHAnsi"/>
        </w:rPr>
        <w:t>pour sensibiliser davantage le personnel sur le respect envers les détenus</w:t>
      </w:r>
      <w:r w:rsidR="00415DBA" w:rsidRPr="006D6A3F">
        <w:rPr>
          <w:rFonts w:cstheme="minorHAnsi"/>
        </w:rPr>
        <w:t>, à savoir de prendre des mesures pour limiter les trafics de drogue afin de réduire les violences et de continuer sa politique architecturale consistant en la création de petites unités afin de mieux prendre en</w:t>
      </w:r>
      <w:r w:rsidRPr="006D6A3F">
        <w:rPr>
          <w:rFonts w:cstheme="minorHAnsi"/>
        </w:rPr>
        <w:t xml:space="preserve"> </w:t>
      </w:r>
      <w:r w:rsidR="00415DBA" w:rsidRPr="006D6A3F">
        <w:rPr>
          <w:rFonts w:cstheme="minorHAnsi"/>
        </w:rPr>
        <w:t>compte les différentes cultures et ainsi de désamorcer les situations de violences</w:t>
      </w:r>
      <w:r w:rsidR="00415DBA" w:rsidRPr="006D6A3F">
        <w:rPr>
          <w:rFonts w:cstheme="minorHAnsi"/>
          <w:b/>
        </w:rPr>
        <w:t>.</w:t>
      </w:r>
      <w:r w:rsidR="0053221C" w:rsidRPr="006D6A3F">
        <w:rPr>
          <w:rFonts w:cstheme="minorHAnsi"/>
          <w:b/>
        </w:rPr>
        <w:t xml:space="preserve"> </w:t>
      </w:r>
      <w:r w:rsidRPr="006D6A3F">
        <w:rPr>
          <w:rFonts w:cstheme="minorHAnsi"/>
        </w:rPr>
        <w:t>L</w:t>
      </w:r>
      <w:r w:rsidR="00F74C36" w:rsidRPr="006D6A3F">
        <w:rPr>
          <w:rFonts w:cstheme="minorHAnsi"/>
        </w:rPr>
        <w:t xml:space="preserve">’ouverture du nouveau Centre pénitentiaire </w:t>
      </w:r>
      <w:r w:rsidRPr="006D6A3F">
        <w:rPr>
          <w:rFonts w:cstheme="minorHAnsi"/>
        </w:rPr>
        <w:t>d’</w:t>
      </w:r>
      <w:r w:rsidR="00F74C36" w:rsidRPr="006D6A3F">
        <w:rPr>
          <w:rFonts w:cstheme="minorHAnsi"/>
        </w:rPr>
        <w:t>Uerschterhaff</w:t>
      </w:r>
      <w:r w:rsidR="0053221C" w:rsidRPr="006D6A3F">
        <w:rPr>
          <w:rFonts w:cstheme="minorHAnsi"/>
        </w:rPr>
        <w:t xml:space="preserve"> (CPU)</w:t>
      </w:r>
      <w:r w:rsidR="00F74C36" w:rsidRPr="006D6A3F">
        <w:rPr>
          <w:rFonts w:cstheme="minorHAnsi"/>
        </w:rPr>
        <w:t xml:space="preserve"> permet déjà de réduire le nombre de cas de violences.</w:t>
      </w:r>
    </w:p>
    <w:p w14:paraId="1E918D48" w14:textId="77777777" w:rsidR="00A7638A" w:rsidRPr="006D6A3F" w:rsidRDefault="00A7638A" w:rsidP="0053221C">
      <w:pPr>
        <w:spacing w:after="240"/>
        <w:jc w:val="both"/>
        <w:rPr>
          <w:rFonts w:cstheme="minorHAnsi"/>
        </w:rPr>
      </w:pPr>
      <w:r w:rsidRPr="006D6A3F">
        <w:rPr>
          <w:rFonts w:cstheme="minorHAnsi"/>
        </w:rPr>
        <w:t>Les détenus à risque sont généralement séparés et font l’objet d’un transfert dans une autre unité. Le service médical psychiatrique pénitentiaire œuvre en matière de détection de la suicidalité et en matière de prévention du suicide par l’accompagnement psychiatrique adapté.</w:t>
      </w:r>
    </w:p>
    <w:p w14:paraId="5E27BFE2" w14:textId="47D10737" w:rsidR="00A7638A" w:rsidRPr="006C5876" w:rsidRDefault="00A7638A" w:rsidP="006C5876">
      <w:pPr>
        <w:spacing w:after="240"/>
        <w:rPr>
          <w:rFonts w:cstheme="minorHAnsi"/>
        </w:rPr>
      </w:pPr>
      <w:r w:rsidRPr="006D6A3F">
        <w:rPr>
          <w:rFonts w:cstheme="minorHAnsi"/>
        </w:rPr>
        <w:lastRenderedPageBreak/>
        <w:t xml:space="preserve">Au CPU, des agents pénitentiaires </w:t>
      </w:r>
      <w:r w:rsidR="0053221C" w:rsidRPr="006D6A3F">
        <w:rPr>
          <w:rFonts w:cstheme="minorHAnsi"/>
        </w:rPr>
        <w:t>sont présents sur chaque étage, en plus d</w:t>
      </w:r>
      <w:r w:rsidRPr="006D6A3F">
        <w:rPr>
          <w:rFonts w:cstheme="minorHAnsi"/>
        </w:rPr>
        <w:t>es caméras de surveillance. La prise en charge psychiatrique est organisée et les détenus sont placés en cellule d’observation. Une prise en charge par le service psychosocial du CPU est assurée.</w:t>
      </w:r>
    </w:p>
    <w:p w14:paraId="122D1477" w14:textId="477000DB" w:rsidR="00A7638A" w:rsidRPr="006D6A3F" w:rsidRDefault="00A7638A" w:rsidP="00DC50DE">
      <w:pPr>
        <w:pStyle w:val="Heading4"/>
        <w:spacing w:before="0"/>
      </w:pPr>
      <w:r w:rsidRPr="006D6A3F">
        <w:t>Internats pour mineurs</w:t>
      </w:r>
    </w:p>
    <w:p w14:paraId="4492DF2F" w14:textId="748D5AB3" w:rsidR="00D072C4" w:rsidRPr="006D6A3F" w:rsidRDefault="00F74C36" w:rsidP="00DC50DE">
      <w:pPr>
        <w:spacing w:after="240"/>
        <w:jc w:val="both"/>
        <w:rPr>
          <w:rFonts w:cstheme="minorHAnsi"/>
          <w:highlight w:val="yellow"/>
        </w:rPr>
      </w:pPr>
      <w:r w:rsidRPr="006D6A3F">
        <w:rPr>
          <w:rFonts w:cstheme="minorHAnsi"/>
        </w:rPr>
        <w:t xml:space="preserve">L’UNISEC a plusieurs dispositifs pour prévenir et réagir aux comportements violents des jeunes y placés. Afin de prévenir des incidents de violence, les jeunes dans l’UNISEC ont tous leur propre chambre individuelle. En plus les quatre unités de vie de l’UNISEC qui hébergent 3 jeunes à la fois peuvent être séparés les uns des autres ce qui permet de réduire le contact entre les jeunes si besoin. Un encadrement individuel, en encadrement renforcé dans les domaines du sport et des activités non-formelles ainsi qu’une sensibilisation individuelle des pensionnaires aux questions de violence </w:t>
      </w:r>
      <w:r w:rsidR="0053221C" w:rsidRPr="006D6A3F">
        <w:rPr>
          <w:rFonts w:cstheme="minorHAnsi"/>
        </w:rPr>
        <w:t>sert</w:t>
      </w:r>
      <w:r w:rsidRPr="006D6A3F">
        <w:rPr>
          <w:rFonts w:cstheme="minorHAnsi"/>
        </w:rPr>
        <w:t xml:space="preserve"> aussi à la prévention de violences entre jeunes. </w:t>
      </w:r>
    </w:p>
    <w:p w14:paraId="5188E49E" w14:textId="7EA3127D" w:rsidR="00A96FD2" w:rsidRPr="006D6A3F" w:rsidRDefault="00A96FD2" w:rsidP="00DC50DE">
      <w:pPr>
        <w:pStyle w:val="Heading2"/>
        <w:spacing w:before="0"/>
        <w:rPr>
          <w:lang w:val="fr-FR"/>
        </w:rPr>
      </w:pPr>
      <w:bookmarkStart w:id="10" w:name="_Toc133934846"/>
      <w:r w:rsidRPr="006D6A3F">
        <w:rPr>
          <w:lang w:val="fr-FR"/>
        </w:rPr>
        <w:t>Traite des êtres humains</w:t>
      </w:r>
      <w:bookmarkEnd w:id="10"/>
    </w:p>
    <w:p w14:paraId="510937D3" w14:textId="76C46DC9" w:rsidR="003E5E28" w:rsidRPr="006D6A3F" w:rsidRDefault="003E5E28" w:rsidP="003E5E28">
      <w:pPr>
        <w:pStyle w:val="Heading3"/>
      </w:pPr>
      <w:bookmarkStart w:id="11" w:name="_Toc133934847"/>
      <w:r w:rsidRPr="006D6A3F">
        <w:t>III.1. Plan de lutte contre la traite des êtres humains</w:t>
      </w:r>
      <w:bookmarkEnd w:id="11"/>
    </w:p>
    <w:p w14:paraId="2BA3A72C" w14:textId="64A89A48" w:rsidR="007430E4" w:rsidRPr="006D6A3F" w:rsidRDefault="007430E4" w:rsidP="00DC50DE">
      <w:pPr>
        <w:spacing w:after="240"/>
        <w:jc w:val="both"/>
        <w:rPr>
          <w:rFonts w:cstheme="minorHAnsi"/>
        </w:rPr>
      </w:pPr>
      <w:r w:rsidRPr="006D6A3F">
        <w:rPr>
          <w:rFonts w:cstheme="minorHAnsi"/>
        </w:rPr>
        <w:t xml:space="preserve">Le </w:t>
      </w:r>
      <w:r w:rsidR="003E5E28" w:rsidRPr="006D6A3F">
        <w:rPr>
          <w:rFonts w:cstheme="minorHAnsi"/>
        </w:rPr>
        <w:t>Ministère de l’</w:t>
      </w:r>
      <w:r w:rsidR="006C5876" w:rsidRPr="006D6A3F">
        <w:rPr>
          <w:rFonts w:cstheme="minorHAnsi"/>
        </w:rPr>
        <w:t>Égalité</w:t>
      </w:r>
      <w:r w:rsidR="003E5E28" w:rsidRPr="006D6A3F">
        <w:rPr>
          <w:rFonts w:cstheme="minorHAnsi"/>
        </w:rPr>
        <w:t xml:space="preserve"> entre les femmes et les hommes (MEGA) </w:t>
      </w:r>
      <w:r w:rsidRPr="006D6A3F">
        <w:rPr>
          <w:rFonts w:cstheme="minorHAnsi"/>
        </w:rPr>
        <w:t>est en charge de la coordination de l’assistance aux victimes de la traite des êtres humains conformément à la loi du 8 mai 2009 sur l’assistance, la protection et la sécurité des victimes de la traite des êtres humains. L’objectif de la prise en charge psychosociale des victimes de la traite étant leur rétablissement physique, psychique et social des personnes indépendamment de leur sexe, âge, origine, identité de genre et pays de provenance, tout comme leur accompagnement de leurs démarches administratives.</w:t>
      </w:r>
    </w:p>
    <w:p w14:paraId="40511B07" w14:textId="26B293F3" w:rsidR="007430E4" w:rsidRPr="006D6A3F" w:rsidRDefault="006C5876" w:rsidP="00DC50DE">
      <w:pPr>
        <w:spacing w:after="240"/>
        <w:jc w:val="both"/>
        <w:rPr>
          <w:rFonts w:cstheme="minorHAnsi"/>
        </w:rPr>
      </w:pPr>
      <w:r w:rsidRPr="006D6A3F">
        <w:rPr>
          <w:rFonts w:cstheme="minorHAnsi"/>
        </w:rPr>
        <w:t>À</w:t>
      </w:r>
      <w:r w:rsidR="007430E4" w:rsidRPr="006D6A3F">
        <w:rPr>
          <w:rFonts w:cstheme="minorHAnsi"/>
        </w:rPr>
        <w:t xml:space="preserve"> part la prise en charge et </w:t>
      </w:r>
      <w:r>
        <w:rPr>
          <w:rFonts w:cstheme="minorHAnsi"/>
        </w:rPr>
        <w:t xml:space="preserve">le </w:t>
      </w:r>
      <w:r w:rsidR="007430E4" w:rsidRPr="006D6A3F">
        <w:rPr>
          <w:rFonts w:cstheme="minorHAnsi"/>
        </w:rPr>
        <w:t xml:space="preserve">logement des victimes, le Luxembourg met un accent sur l’information, la sensibilisation et la prévention par le biais de différents campagnes et sites d’information. Le site thématique </w:t>
      </w:r>
      <w:r w:rsidR="007430E4" w:rsidRPr="006D6A3F">
        <w:rPr>
          <w:rFonts w:cstheme="minorHAnsi"/>
          <w:i/>
        </w:rPr>
        <w:t>www.stoptraite.lu</w:t>
      </w:r>
      <w:r w:rsidR="007430E4" w:rsidRPr="006D6A3F">
        <w:rPr>
          <w:rFonts w:cstheme="minorHAnsi"/>
        </w:rPr>
        <w:t xml:space="preserve"> est le site de référence de la traite des êtres humains mais il convient aussi de noter que le site </w:t>
      </w:r>
      <w:r w:rsidR="007430E4" w:rsidRPr="006D6A3F">
        <w:rPr>
          <w:rFonts w:cstheme="minorHAnsi"/>
          <w:i/>
        </w:rPr>
        <w:t>violence.lu</w:t>
      </w:r>
      <w:r w:rsidR="007430E4" w:rsidRPr="006D6A3F">
        <w:rPr>
          <w:rFonts w:cstheme="minorHAnsi"/>
        </w:rPr>
        <w:t xml:space="preserve"> offre </w:t>
      </w:r>
      <w:r w:rsidR="003E5E28" w:rsidRPr="006D6A3F">
        <w:rPr>
          <w:rFonts w:cstheme="minorHAnsi"/>
        </w:rPr>
        <w:t>des informations en la matière. Depuis</w:t>
      </w:r>
      <w:r w:rsidR="007430E4" w:rsidRPr="006D6A3F">
        <w:rPr>
          <w:rFonts w:cstheme="minorHAnsi"/>
        </w:rPr>
        <w:t xml:space="preserve"> le lancement du site </w:t>
      </w:r>
      <w:r w:rsidR="007430E4" w:rsidRPr="006D6A3F">
        <w:rPr>
          <w:rFonts w:cstheme="minorHAnsi"/>
          <w:i/>
        </w:rPr>
        <w:t>violence.lu</w:t>
      </w:r>
      <w:r w:rsidR="007430E4" w:rsidRPr="006D6A3F">
        <w:rPr>
          <w:rFonts w:cstheme="minorHAnsi"/>
        </w:rPr>
        <w:t xml:space="preserve"> (qui informe sur les différentes formes de violence couvertes par la Conv</w:t>
      </w:r>
      <w:r w:rsidR="003E5E28" w:rsidRPr="006D6A3F">
        <w:rPr>
          <w:rFonts w:cstheme="minorHAnsi"/>
        </w:rPr>
        <w:t xml:space="preserve">ention d’Istanbul) en mars 2022, ont été </w:t>
      </w:r>
      <w:r w:rsidR="007430E4" w:rsidRPr="006D6A3F">
        <w:rPr>
          <w:rFonts w:cstheme="minorHAnsi"/>
        </w:rPr>
        <w:t>enregistr</w:t>
      </w:r>
      <w:r w:rsidR="003E5E28" w:rsidRPr="006D6A3F">
        <w:rPr>
          <w:rFonts w:cstheme="minorHAnsi"/>
        </w:rPr>
        <w:t>é plus de 10.000 visualisations</w:t>
      </w:r>
      <w:r w:rsidR="007430E4" w:rsidRPr="006D6A3F">
        <w:rPr>
          <w:rFonts w:cstheme="minorHAnsi"/>
        </w:rPr>
        <w:t xml:space="preserve">. C’est notamment par le biais du nombre de visualisations sur </w:t>
      </w:r>
      <w:r w:rsidR="003E5E28" w:rsidRPr="006D6A3F">
        <w:rPr>
          <w:rFonts w:cstheme="minorHAnsi"/>
        </w:rPr>
        <w:t>les</w:t>
      </w:r>
      <w:r w:rsidR="007430E4" w:rsidRPr="006D6A3F">
        <w:rPr>
          <w:rFonts w:cstheme="minorHAnsi"/>
        </w:rPr>
        <w:t xml:space="preserve"> sites de référence que nous pouvons juger l’impact de nos actions et campagnes.</w:t>
      </w:r>
      <w:r w:rsidR="003E5E28" w:rsidRPr="006D6A3F">
        <w:rPr>
          <w:rFonts w:cstheme="minorHAnsi"/>
        </w:rPr>
        <w:t xml:space="preserve"> Depuis le lancement du site </w:t>
      </w:r>
      <w:r w:rsidR="003E5E28" w:rsidRPr="006D6A3F">
        <w:rPr>
          <w:rFonts w:cstheme="minorHAnsi"/>
          <w:i/>
        </w:rPr>
        <w:t>violence.lu</w:t>
      </w:r>
      <w:r w:rsidR="003E5E28" w:rsidRPr="006D6A3F">
        <w:rPr>
          <w:rFonts w:cstheme="minorHAnsi"/>
        </w:rPr>
        <w:t xml:space="preserve"> (qui informe sur les différentes formes de violence couvertes par la Convention d’Istanbul) en mars 2022, ont été enregistré plus de 10.000 visualisations</w:t>
      </w:r>
    </w:p>
    <w:p w14:paraId="02869F6F" w14:textId="7E6255B6" w:rsidR="00F74C36" w:rsidRPr="006D6A3F" w:rsidRDefault="007430E4" w:rsidP="00DC50DE">
      <w:pPr>
        <w:spacing w:after="240"/>
        <w:jc w:val="both"/>
        <w:rPr>
          <w:rFonts w:cstheme="minorHAnsi"/>
        </w:rPr>
      </w:pPr>
      <w:r w:rsidRPr="006D6A3F">
        <w:rPr>
          <w:rFonts w:cstheme="minorHAnsi"/>
        </w:rPr>
        <w:t xml:space="preserve">Le </w:t>
      </w:r>
      <w:r w:rsidR="003E5E28" w:rsidRPr="006D6A3F">
        <w:rPr>
          <w:rFonts w:cstheme="minorHAnsi"/>
        </w:rPr>
        <w:t>MEGA</w:t>
      </w:r>
      <w:r w:rsidRPr="006D6A3F">
        <w:rPr>
          <w:rFonts w:cstheme="minorHAnsi"/>
        </w:rPr>
        <w:t xml:space="preserve"> en coopération avec le ministère de la Justice et ses partenaires conventionnés SAVTEH et COTEH proposent des formations sur la traite des êtres humains à l’Institut national d’administration publique et auprès des divers acteurs du terrain comme des associations caritatives (Caritas, Croix Rouge – Drop In (service pour travailleurs de sexe), des acteurs de la société civile et </w:t>
      </w:r>
      <w:r w:rsidR="003E5E28" w:rsidRPr="006D6A3F">
        <w:rPr>
          <w:rFonts w:cstheme="minorHAnsi"/>
        </w:rPr>
        <w:t>de l’Inspection</w:t>
      </w:r>
      <w:r w:rsidRPr="006D6A3F">
        <w:rPr>
          <w:rFonts w:cstheme="minorHAnsi"/>
        </w:rPr>
        <w:t xml:space="preserve"> du travail et des Mines. </w:t>
      </w:r>
    </w:p>
    <w:p w14:paraId="71F1A219" w14:textId="22D5E8F8" w:rsidR="002F16E9" w:rsidRPr="006D6A3F" w:rsidRDefault="00F839D0" w:rsidP="00DC50DE">
      <w:pPr>
        <w:spacing w:after="240"/>
        <w:jc w:val="both"/>
        <w:rPr>
          <w:rFonts w:cstheme="minorHAnsi"/>
        </w:rPr>
      </w:pPr>
      <w:r w:rsidRPr="006D6A3F">
        <w:rPr>
          <w:rFonts w:cstheme="minorHAnsi"/>
        </w:rPr>
        <w:t xml:space="preserve">Le prochain </w:t>
      </w:r>
      <w:r w:rsidR="003E5E28" w:rsidRPr="006D6A3F">
        <w:rPr>
          <w:rFonts w:cstheme="minorHAnsi"/>
        </w:rPr>
        <w:t>plan d’action national sur la traite</w:t>
      </w:r>
      <w:r w:rsidRPr="006D6A3F">
        <w:rPr>
          <w:rFonts w:cstheme="minorHAnsi"/>
        </w:rPr>
        <w:t xml:space="preserve"> est en cours d’</w:t>
      </w:r>
      <w:r w:rsidR="001D431B" w:rsidRPr="006D6A3F">
        <w:rPr>
          <w:rFonts w:cstheme="minorHAnsi"/>
        </w:rPr>
        <w:t>élaboration</w:t>
      </w:r>
      <w:r w:rsidRPr="006D6A3F">
        <w:rPr>
          <w:rFonts w:cstheme="minorHAnsi"/>
        </w:rPr>
        <w:t>.</w:t>
      </w:r>
    </w:p>
    <w:p w14:paraId="60BD1289" w14:textId="77777777" w:rsidR="003E5E28" w:rsidRPr="006D6A3F" w:rsidRDefault="003E5E28" w:rsidP="003E5E28">
      <w:pPr>
        <w:spacing w:after="240"/>
        <w:jc w:val="both"/>
        <w:rPr>
          <w:rFonts w:cstheme="minorHAnsi"/>
        </w:rPr>
      </w:pPr>
      <w:r w:rsidRPr="006D6A3F">
        <w:rPr>
          <w:rFonts w:cstheme="minorHAnsi"/>
        </w:rPr>
        <w:lastRenderedPageBreak/>
        <w:t xml:space="preserve">En </w:t>
      </w:r>
      <w:r w:rsidRPr="006D6A3F">
        <w:rPr>
          <w:rFonts w:cstheme="minorHAnsi"/>
          <w:b/>
        </w:rPr>
        <w:t>2022</w:t>
      </w:r>
      <w:r w:rsidRPr="006D6A3F">
        <w:rPr>
          <w:rFonts w:cstheme="minorHAnsi"/>
        </w:rPr>
        <w:t xml:space="preserve">, le Luxembourg a compté </w:t>
      </w:r>
      <w:r w:rsidRPr="006D6A3F">
        <w:rPr>
          <w:rFonts w:cstheme="minorHAnsi"/>
          <w:b/>
        </w:rPr>
        <w:t>77 victimes</w:t>
      </w:r>
      <w:r w:rsidRPr="006D6A3F">
        <w:rPr>
          <w:rFonts w:cstheme="minorHAnsi"/>
        </w:rPr>
        <w:t xml:space="preserve"> de la traite des êtres humains. 74% des victimes étaient des femmes et 26% étaient des hommes qui ont été soumis à la traite aux fins de l’exploitation sexuelle et l’exploitation par le travail. Pour </w:t>
      </w:r>
      <w:r w:rsidRPr="006D6A3F">
        <w:rPr>
          <w:rFonts w:cstheme="minorHAnsi"/>
          <w:b/>
        </w:rPr>
        <w:t>2023</w:t>
      </w:r>
      <w:r w:rsidRPr="006D6A3F">
        <w:rPr>
          <w:rFonts w:cstheme="minorHAnsi"/>
        </w:rPr>
        <w:t xml:space="preserve">, le Luxembourg a détecté jusqu’à présent </w:t>
      </w:r>
      <w:r w:rsidRPr="006D6A3F">
        <w:rPr>
          <w:rFonts w:cstheme="minorHAnsi"/>
          <w:b/>
        </w:rPr>
        <w:t>60</w:t>
      </w:r>
      <w:r w:rsidRPr="006D6A3F">
        <w:rPr>
          <w:rFonts w:cstheme="minorHAnsi"/>
        </w:rPr>
        <w:t xml:space="preserve"> victimes de la traite des êtres humains, dont la majeure partie ont été victimes d’exploitation sexuelle.</w:t>
      </w:r>
    </w:p>
    <w:p w14:paraId="035725F3" w14:textId="50407B85" w:rsidR="003E5E28" w:rsidRPr="006D6A3F" w:rsidRDefault="003E5E28" w:rsidP="00DC50DE">
      <w:pPr>
        <w:spacing w:after="240"/>
        <w:jc w:val="both"/>
        <w:rPr>
          <w:rFonts w:cstheme="minorHAnsi"/>
          <w:highlight w:val="yellow"/>
        </w:rPr>
      </w:pPr>
      <w:r w:rsidRPr="006D6A3F">
        <w:rPr>
          <w:rFonts w:cstheme="minorHAnsi"/>
          <w:noProof/>
          <w:lang w:eastAsia="fr-FR"/>
        </w:rPr>
        <w:drawing>
          <wp:inline distT="0" distB="0" distL="0" distR="0" wp14:anchorId="677262C9" wp14:editId="2A449F00">
            <wp:extent cx="5943600" cy="56671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566714"/>
                    </a:xfrm>
                    <a:prstGeom prst="rect">
                      <a:avLst/>
                    </a:prstGeom>
                  </pic:spPr>
                </pic:pic>
              </a:graphicData>
            </a:graphic>
          </wp:inline>
        </w:drawing>
      </w:r>
    </w:p>
    <w:p w14:paraId="5AA67A09" w14:textId="4B9D1E1F" w:rsidR="003E5E28" w:rsidRPr="006D6A3F" w:rsidRDefault="003E5E28" w:rsidP="003E5E28">
      <w:pPr>
        <w:spacing w:after="240"/>
        <w:jc w:val="both"/>
        <w:rPr>
          <w:rFonts w:cstheme="minorHAnsi"/>
        </w:rPr>
      </w:pPr>
      <w:r w:rsidRPr="006D6A3F">
        <w:rPr>
          <w:rFonts w:cstheme="minorHAnsi"/>
        </w:rPr>
        <w:t xml:space="preserve">La </w:t>
      </w:r>
      <w:r w:rsidRPr="006D6A3F">
        <w:rPr>
          <w:rFonts w:cstheme="minorHAnsi"/>
          <w:b/>
        </w:rPr>
        <w:t>croissance</w:t>
      </w:r>
      <w:r w:rsidRPr="006D6A3F">
        <w:rPr>
          <w:rFonts w:cstheme="minorHAnsi"/>
        </w:rPr>
        <w:t xml:space="preserve"> dans la détection des cas de traite des êtres humains (TEH) pourrait avoir un lien avec des efforts d’élargir le pool des personnes formées. </w:t>
      </w:r>
    </w:p>
    <w:p w14:paraId="3FA48E2D" w14:textId="478B01D0" w:rsidR="003E5E28" w:rsidRPr="006D6A3F" w:rsidRDefault="003E5E28" w:rsidP="003E5E28">
      <w:pPr>
        <w:spacing w:after="240"/>
        <w:jc w:val="both"/>
        <w:rPr>
          <w:rFonts w:cstheme="minorHAnsi"/>
        </w:rPr>
      </w:pPr>
      <w:r w:rsidRPr="006D6A3F">
        <w:rPr>
          <w:rFonts w:cstheme="minorHAnsi"/>
        </w:rPr>
        <w:t xml:space="preserve">Le MEGA a formé ensemble avec le Service de Police Judiciaire, le Service </w:t>
      </w:r>
      <w:proofErr w:type="spellStart"/>
      <w:r w:rsidRPr="006D6A3F">
        <w:rPr>
          <w:rFonts w:cstheme="minorHAnsi"/>
          <w:i/>
        </w:rPr>
        <w:t>InfoTraite</w:t>
      </w:r>
      <w:proofErr w:type="spellEnd"/>
      <w:r w:rsidRPr="006D6A3F">
        <w:rPr>
          <w:rFonts w:cstheme="minorHAnsi"/>
        </w:rPr>
        <w:t xml:space="preserve">, la Direction de l’immigration et le Ministère de la Justice les responsables et les contrôleurs de </w:t>
      </w:r>
      <w:r w:rsidR="006C5876">
        <w:rPr>
          <w:rFonts w:cstheme="minorHAnsi"/>
        </w:rPr>
        <w:t>l’</w:t>
      </w:r>
      <w:proofErr w:type="spellStart"/>
      <w:r w:rsidRPr="006D6A3F">
        <w:rPr>
          <w:rFonts w:cstheme="minorHAnsi"/>
        </w:rPr>
        <w:t>lnspection</w:t>
      </w:r>
      <w:proofErr w:type="spellEnd"/>
      <w:r w:rsidRPr="006D6A3F">
        <w:rPr>
          <w:rFonts w:cstheme="minorHAnsi"/>
        </w:rPr>
        <w:t xml:space="preserve"> du Travail et des Mines</w:t>
      </w:r>
      <w:r w:rsidR="006C5876">
        <w:rPr>
          <w:rFonts w:cstheme="minorHAnsi"/>
        </w:rPr>
        <w:t>. Leur sensibilisation et formation</w:t>
      </w:r>
      <w:r w:rsidRPr="006D6A3F">
        <w:rPr>
          <w:rFonts w:cstheme="minorHAnsi"/>
        </w:rPr>
        <w:t xml:space="preserve"> en matière de la TEH a très vraisemblablement eu un impact sur le nombre de personnes détectés. Tenant compte du fait qu’ils se concentrent surtout sur le domaine de la construction et de la restauration (</w:t>
      </w:r>
      <w:proofErr w:type="spellStart"/>
      <w:r w:rsidRPr="006D6A3F">
        <w:rPr>
          <w:rFonts w:cstheme="minorHAnsi"/>
        </w:rPr>
        <w:t>Horesca</w:t>
      </w:r>
      <w:proofErr w:type="spellEnd"/>
      <w:r w:rsidRPr="006D6A3F">
        <w:rPr>
          <w:rFonts w:cstheme="minorHAnsi"/>
        </w:rPr>
        <w:t>) pourrait expliquer le fait que plus d’hommes sont identifiées actuellement.</w:t>
      </w:r>
    </w:p>
    <w:p w14:paraId="07EC2CA2" w14:textId="78B2FC7E" w:rsidR="003E5E28" w:rsidRPr="006D6A3F" w:rsidRDefault="006C5876" w:rsidP="00DC50DE">
      <w:pPr>
        <w:spacing w:after="240"/>
        <w:jc w:val="both"/>
        <w:rPr>
          <w:rFonts w:cstheme="minorHAnsi"/>
        </w:rPr>
      </w:pPr>
      <w:r w:rsidRPr="006D6A3F">
        <w:rPr>
          <w:rFonts w:cstheme="minorHAnsi"/>
        </w:rPr>
        <w:t>À</w:t>
      </w:r>
      <w:r w:rsidR="003E5E28" w:rsidRPr="006D6A3F">
        <w:rPr>
          <w:rFonts w:cstheme="minorHAnsi"/>
        </w:rPr>
        <w:t xml:space="preserve"> noter que le personnel du Service Drop In de la Croix Rouge, un dispensaire pour travailleurs de sexe ouvert à toute femme et à tout homme prostitué(e), travesti(e) ou transsexuel(le), professionnel(le) ou occasionnel(le), sans distinction de nationalité, de statut (légal ou illégal) ou d’âge, a aussi eu une formation tout comme le personnel de l’Office National de l’Accueil. </w:t>
      </w:r>
    </w:p>
    <w:p w14:paraId="5DE4916A" w14:textId="19586B0C" w:rsidR="002F16E9" w:rsidRPr="006D6A3F" w:rsidRDefault="006D6A3F" w:rsidP="00DC50DE">
      <w:pPr>
        <w:pStyle w:val="Heading3"/>
      </w:pPr>
      <w:bookmarkStart w:id="12" w:name="_Toc133934848"/>
      <w:r w:rsidRPr="006D6A3F">
        <w:t xml:space="preserve">III.2. </w:t>
      </w:r>
      <w:r w:rsidR="008E1C30" w:rsidRPr="006D6A3F">
        <w:t>Prostitution de mineurs</w:t>
      </w:r>
      <w:bookmarkEnd w:id="12"/>
    </w:p>
    <w:p w14:paraId="08D03085" w14:textId="6AFCB2A7" w:rsidR="000A4FBB" w:rsidRPr="006D6A3F" w:rsidRDefault="008E1C30" w:rsidP="00DC50DE">
      <w:pPr>
        <w:spacing w:after="240"/>
        <w:jc w:val="both"/>
        <w:rPr>
          <w:rFonts w:cstheme="minorHAnsi"/>
        </w:rPr>
      </w:pPr>
      <w:r w:rsidRPr="006D6A3F">
        <w:rPr>
          <w:rFonts w:cstheme="minorHAnsi"/>
        </w:rPr>
        <w:t>Aucun</w:t>
      </w:r>
      <w:r w:rsidR="000A4FBB" w:rsidRPr="006D6A3F">
        <w:rPr>
          <w:rFonts w:cstheme="minorHAnsi"/>
        </w:rPr>
        <w:t xml:space="preserve"> cas d’exploitation, sexuelle ou autre, dans </w:t>
      </w:r>
      <w:r w:rsidR="00F839D0" w:rsidRPr="006D6A3F">
        <w:rPr>
          <w:rFonts w:cstheme="minorHAnsi"/>
        </w:rPr>
        <w:t>le cadre de voyages de « </w:t>
      </w:r>
      <w:proofErr w:type="spellStart"/>
      <w:r w:rsidR="000A4FBB" w:rsidRPr="006D6A3F">
        <w:rPr>
          <w:rFonts w:cstheme="minorHAnsi"/>
        </w:rPr>
        <w:t>volontourisme</w:t>
      </w:r>
      <w:proofErr w:type="spellEnd"/>
      <w:r w:rsidR="000A4FBB" w:rsidRPr="006D6A3F">
        <w:rPr>
          <w:rFonts w:cstheme="minorHAnsi"/>
        </w:rPr>
        <w:t xml:space="preserve"> » n’a jusqu’à présent été recensé auprès des autorités judiciaires luxembourgeoises.</w:t>
      </w:r>
    </w:p>
    <w:p w14:paraId="35E21CF5" w14:textId="77777777" w:rsidR="000A4FBB" w:rsidRPr="006D6A3F" w:rsidRDefault="000A4FBB" w:rsidP="00DC50DE">
      <w:pPr>
        <w:spacing w:after="240"/>
        <w:jc w:val="both"/>
        <w:rPr>
          <w:rFonts w:cstheme="minorHAnsi"/>
        </w:rPr>
      </w:pPr>
      <w:r w:rsidRPr="006D6A3F">
        <w:rPr>
          <w:rFonts w:cstheme="minorHAnsi"/>
        </w:rPr>
        <w:t>Quant au volet répressif, plusieurs infractions punissent l’exploitation sexuelle d’enfants ainsi que la vente d’enfants :</w:t>
      </w:r>
    </w:p>
    <w:p w14:paraId="2C38CE9E" w14:textId="77777777" w:rsidR="008E1C30" w:rsidRPr="006D6A3F" w:rsidRDefault="000A4FBB" w:rsidP="00DC50DE">
      <w:pPr>
        <w:pStyle w:val="ListParagraph"/>
        <w:numPr>
          <w:ilvl w:val="0"/>
          <w:numId w:val="15"/>
        </w:numPr>
        <w:spacing w:after="240"/>
        <w:jc w:val="both"/>
        <w:rPr>
          <w:rFonts w:cstheme="minorHAnsi"/>
        </w:rPr>
      </w:pPr>
      <w:r w:rsidRPr="006D6A3F">
        <w:rPr>
          <w:rFonts w:cstheme="minorHAnsi"/>
        </w:rPr>
        <w:t>Les articles 368 à 371-1 du Code pénal punissent l’enlèvement de mineurs</w:t>
      </w:r>
    </w:p>
    <w:p w14:paraId="164A88F4" w14:textId="77777777" w:rsidR="008E1C30" w:rsidRPr="006D6A3F" w:rsidRDefault="000A4FBB" w:rsidP="00DC50DE">
      <w:pPr>
        <w:pStyle w:val="ListParagraph"/>
        <w:numPr>
          <w:ilvl w:val="0"/>
          <w:numId w:val="15"/>
        </w:numPr>
        <w:spacing w:after="240"/>
        <w:jc w:val="both"/>
        <w:rPr>
          <w:rFonts w:cstheme="minorHAnsi"/>
        </w:rPr>
      </w:pPr>
      <w:r w:rsidRPr="006D6A3F">
        <w:rPr>
          <w:rFonts w:cstheme="minorHAnsi"/>
        </w:rPr>
        <w:t xml:space="preserve">Les articles 379 à 382 punissent l’exploitation de la prostitution de mineurs </w:t>
      </w:r>
    </w:p>
    <w:p w14:paraId="49107E85" w14:textId="77777777" w:rsidR="008E1C30" w:rsidRPr="006D6A3F" w:rsidRDefault="000A4FBB" w:rsidP="00DC50DE">
      <w:pPr>
        <w:pStyle w:val="ListParagraph"/>
        <w:numPr>
          <w:ilvl w:val="0"/>
          <w:numId w:val="15"/>
        </w:numPr>
        <w:spacing w:after="240"/>
        <w:jc w:val="both"/>
        <w:rPr>
          <w:rFonts w:cstheme="minorHAnsi"/>
        </w:rPr>
      </w:pPr>
      <w:r w:rsidRPr="006D6A3F">
        <w:rPr>
          <w:rFonts w:cstheme="minorHAnsi"/>
        </w:rPr>
        <w:t>Les articles 382-1 et 382-2 punissent la traite des êtres humains et la vente d’enfants</w:t>
      </w:r>
    </w:p>
    <w:p w14:paraId="1262DEF8" w14:textId="77777777" w:rsidR="008E1C30" w:rsidRPr="006D6A3F" w:rsidRDefault="000A4FBB" w:rsidP="00DC50DE">
      <w:pPr>
        <w:pStyle w:val="ListParagraph"/>
        <w:numPr>
          <w:ilvl w:val="0"/>
          <w:numId w:val="15"/>
        </w:numPr>
        <w:spacing w:after="240"/>
        <w:jc w:val="both"/>
        <w:rPr>
          <w:rFonts w:cstheme="minorHAnsi"/>
        </w:rPr>
      </w:pPr>
      <w:r w:rsidRPr="006D6A3F">
        <w:rPr>
          <w:rFonts w:cstheme="minorHAnsi"/>
        </w:rPr>
        <w:t>L’article 382-7 punit le recours à la prostitution d’un mineur</w:t>
      </w:r>
    </w:p>
    <w:p w14:paraId="0B3952DF" w14:textId="761157D1" w:rsidR="000A4FBB" w:rsidRPr="006D6A3F" w:rsidRDefault="000A4FBB" w:rsidP="00DC50DE">
      <w:pPr>
        <w:pStyle w:val="ListParagraph"/>
        <w:numPr>
          <w:ilvl w:val="0"/>
          <w:numId w:val="15"/>
        </w:numPr>
        <w:spacing w:after="240"/>
        <w:jc w:val="both"/>
        <w:rPr>
          <w:rFonts w:cstheme="minorHAnsi"/>
        </w:rPr>
      </w:pPr>
      <w:r w:rsidRPr="006D6A3F">
        <w:rPr>
          <w:rFonts w:cstheme="minorHAnsi"/>
        </w:rPr>
        <w:t xml:space="preserve">Les articles 383 à 386 punissent les infractions relatives à la pédopornographie </w:t>
      </w:r>
    </w:p>
    <w:p w14:paraId="312CF5FA" w14:textId="77777777" w:rsidR="000A4FBB" w:rsidRPr="006D6A3F" w:rsidRDefault="000A4FBB" w:rsidP="00DC50DE">
      <w:pPr>
        <w:spacing w:after="240"/>
        <w:jc w:val="both"/>
        <w:rPr>
          <w:rFonts w:cstheme="minorHAnsi"/>
        </w:rPr>
      </w:pPr>
      <w:r w:rsidRPr="006D6A3F">
        <w:rPr>
          <w:rFonts w:cstheme="minorHAnsi"/>
        </w:rPr>
        <w:t xml:space="preserve">Ces infractions peuvent en partie être poursuivies même si elles sont commises à l’étranger. </w:t>
      </w:r>
    </w:p>
    <w:p w14:paraId="24E53DCE" w14:textId="77777777" w:rsidR="000A4FBB" w:rsidRPr="006D6A3F" w:rsidRDefault="000A4FBB" w:rsidP="00DC50DE">
      <w:pPr>
        <w:spacing w:after="240"/>
        <w:jc w:val="both"/>
        <w:rPr>
          <w:rFonts w:cstheme="minorHAnsi"/>
        </w:rPr>
      </w:pPr>
      <w:r w:rsidRPr="006D6A3F">
        <w:rPr>
          <w:rFonts w:cstheme="minorHAnsi"/>
        </w:rPr>
        <w:t xml:space="preserve">Les mineurs victimes de tels faits peuvent faire l’objet d’un suivi et d’une assistance de la part de plusieurs services d’aide (p.ex. le Service d’Aide aux Victimes du Service Central d’Assistance Sociale, l’Association Luxembourgeoise de Pédiatrie Sociale, la fondation Pro </w:t>
      </w:r>
      <w:proofErr w:type="spellStart"/>
      <w:r w:rsidRPr="006D6A3F">
        <w:rPr>
          <w:rFonts w:cstheme="minorHAnsi"/>
        </w:rPr>
        <w:t>Familia</w:t>
      </w:r>
      <w:proofErr w:type="spellEnd"/>
      <w:r w:rsidRPr="006D6A3F">
        <w:rPr>
          <w:rFonts w:cstheme="minorHAnsi"/>
        </w:rPr>
        <w:t>, le Planning Familial, etc.)</w:t>
      </w:r>
    </w:p>
    <w:p w14:paraId="0980D457" w14:textId="0A5C20DD" w:rsidR="000A4FBB" w:rsidRPr="006D6A3F" w:rsidRDefault="000A4FBB" w:rsidP="00DC50DE">
      <w:pPr>
        <w:spacing w:after="240"/>
        <w:jc w:val="both"/>
        <w:rPr>
          <w:rFonts w:cstheme="minorHAnsi"/>
        </w:rPr>
      </w:pPr>
      <w:r w:rsidRPr="006D6A3F">
        <w:rPr>
          <w:rFonts w:cstheme="minorHAnsi"/>
        </w:rPr>
        <w:lastRenderedPageBreak/>
        <w:t xml:space="preserve">En outre, l’ONG ECPAT (End Child Prostitution, Child </w:t>
      </w:r>
      <w:proofErr w:type="spellStart"/>
      <w:r w:rsidRPr="006D6A3F">
        <w:rPr>
          <w:rFonts w:cstheme="minorHAnsi"/>
        </w:rPr>
        <w:t>Pornography</w:t>
      </w:r>
      <w:proofErr w:type="spellEnd"/>
      <w:r w:rsidRPr="006D6A3F">
        <w:rPr>
          <w:rFonts w:cstheme="minorHAnsi"/>
        </w:rPr>
        <w:t xml:space="preserve"> And </w:t>
      </w:r>
      <w:proofErr w:type="spellStart"/>
      <w:r w:rsidRPr="006D6A3F">
        <w:rPr>
          <w:rFonts w:cstheme="minorHAnsi"/>
        </w:rPr>
        <w:t>Trafficking</w:t>
      </w:r>
      <w:proofErr w:type="spellEnd"/>
      <w:r w:rsidRPr="006D6A3F">
        <w:rPr>
          <w:rFonts w:cstheme="minorHAnsi"/>
        </w:rPr>
        <w:t xml:space="preserve"> of </w:t>
      </w:r>
      <w:proofErr w:type="spellStart"/>
      <w:r w:rsidRPr="006D6A3F">
        <w:rPr>
          <w:rFonts w:cstheme="minorHAnsi"/>
        </w:rPr>
        <w:t>children</w:t>
      </w:r>
      <w:proofErr w:type="spellEnd"/>
      <w:r w:rsidRPr="006D6A3F">
        <w:rPr>
          <w:rFonts w:cstheme="minorHAnsi"/>
        </w:rPr>
        <w:t xml:space="preserve"> for </w:t>
      </w:r>
      <w:proofErr w:type="spellStart"/>
      <w:r w:rsidRPr="006D6A3F">
        <w:rPr>
          <w:rFonts w:cstheme="minorHAnsi"/>
        </w:rPr>
        <w:t>sexual</w:t>
      </w:r>
      <w:proofErr w:type="spellEnd"/>
      <w:r w:rsidRPr="006D6A3F">
        <w:rPr>
          <w:rFonts w:cstheme="minorHAnsi"/>
        </w:rPr>
        <w:t xml:space="preserve"> </w:t>
      </w:r>
      <w:proofErr w:type="spellStart"/>
      <w:r w:rsidRPr="006D6A3F">
        <w:rPr>
          <w:rFonts w:cstheme="minorHAnsi"/>
        </w:rPr>
        <w:t>purposes</w:t>
      </w:r>
      <w:proofErr w:type="spellEnd"/>
      <w:r w:rsidRPr="006D6A3F">
        <w:rPr>
          <w:rFonts w:cstheme="minorHAnsi"/>
        </w:rPr>
        <w:t>) a pour mission, au Luxembourg et dans les pays où elle intervient, de lutter par tous les moyens légaux contre l’exploitation sexuelle des enfants à des fins commerciales ainsi que de sensibiliser et informer l’opinion publique sur les droits de l’Enfant en la matière. Elle facilite l’identification et la mise en œuvre de programmes en faveur des enfants vulnérables et/ou victimes d’exploitation sexuelle à des fins commerciales et de leurs familles. Ces programmes comporteront un ou plusieurs de ces axes : la prévention, la réhabilitation et la réinsertion des enfants.</w:t>
      </w:r>
      <w:r w:rsidR="003E5E28" w:rsidRPr="006D6A3F">
        <w:rPr>
          <w:rStyle w:val="FootnoteReference"/>
          <w:rFonts w:cstheme="minorHAnsi"/>
        </w:rPr>
        <w:footnoteReference w:id="1"/>
      </w:r>
      <w:r w:rsidRPr="006D6A3F">
        <w:rPr>
          <w:rFonts w:cstheme="minorHAnsi"/>
        </w:rPr>
        <w:t xml:space="preserve"> </w:t>
      </w:r>
    </w:p>
    <w:p w14:paraId="48E16370" w14:textId="1E1C3483" w:rsidR="008E1C30" w:rsidRPr="006D6A3F" w:rsidRDefault="000A4FBB" w:rsidP="00DC50DE">
      <w:pPr>
        <w:spacing w:after="240"/>
        <w:jc w:val="both"/>
        <w:rPr>
          <w:rFonts w:cstheme="minorHAnsi"/>
        </w:rPr>
      </w:pPr>
      <w:r w:rsidRPr="006D6A3F">
        <w:rPr>
          <w:rFonts w:cstheme="minorHAnsi"/>
        </w:rPr>
        <w:t>Dans ce contexte, ECPAT a par exemple mis sur pied avec les autorités judiciaires et la Police grand-ducale le site www.childprotection.lu qui permet de signaler des exploitations sexuelles de mineurs ou du matériel pédopornographique à la Police, que ces infractions soient commises au Luxembourg ou à l’étranger. Ce site contient une rubrique spécifique se rapportant au signalement de cas d’exploitation sexuelle d’enfants dans le cadre des voyages et du tourisme</w:t>
      </w:r>
      <w:r w:rsidR="003E5E28" w:rsidRPr="006D6A3F">
        <w:rPr>
          <w:rFonts w:cstheme="minorHAnsi"/>
        </w:rPr>
        <w:t>.</w:t>
      </w:r>
      <w:r w:rsidR="003E5E28" w:rsidRPr="006D6A3F">
        <w:rPr>
          <w:rStyle w:val="FootnoteReference"/>
          <w:rFonts w:cstheme="minorHAnsi"/>
        </w:rPr>
        <w:footnoteReference w:id="2"/>
      </w:r>
      <w:r w:rsidRPr="006D6A3F">
        <w:rPr>
          <w:rFonts w:cstheme="minorHAnsi"/>
        </w:rPr>
        <w:t xml:space="preserve"> </w:t>
      </w:r>
    </w:p>
    <w:p w14:paraId="7154D3F6" w14:textId="3A57799E" w:rsidR="00EA6367" w:rsidRPr="006D6A3F" w:rsidRDefault="00EA6367" w:rsidP="00DC50DE">
      <w:pPr>
        <w:spacing w:after="240"/>
        <w:jc w:val="both"/>
        <w:rPr>
          <w:rFonts w:cstheme="minorHAnsi"/>
        </w:rPr>
      </w:pPr>
      <w:r w:rsidRPr="006D6A3F">
        <w:rPr>
          <w:rFonts w:cstheme="minorHAnsi"/>
        </w:rPr>
        <w:t>La prise en charge des mineurs victimes d’exploitation sexuelle ou qui se livrent à la prostitution est assurée par l’Office national de l’enfance (ONE). Les mineurs peuvent bénéficiaire d’une prise en charge ambulatoire, stationnaire ou de pédagogie individuelle selon les besoins du mineur en question. Cette prise en charge peut se faire au Luxembourg ou à l’étranger si le mineur pourrait bénéficier d’une prise de distance par rapport à son milieu de vie usuel. Elle est assurée par des services spécialisés dans la prise en charge de mineurs aux comportement sexuels non-adaptés et selon les besoins des mineurs les groupes d’accueil n’hébergent que les garçons ou que des filles.</w:t>
      </w:r>
    </w:p>
    <w:p w14:paraId="088807E4" w14:textId="54F58B2C" w:rsidR="00CF5D85" w:rsidRPr="006D6A3F" w:rsidRDefault="00E6671B" w:rsidP="00DC50DE">
      <w:pPr>
        <w:pStyle w:val="Heading2"/>
        <w:spacing w:before="0"/>
        <w:rPr>
          <w:lang w:val="fr-FR"/>
        </w:rPr>
      </w:pPr>
      <w:bookmarkStart w:id="13" w:name="_Toc133934849"/>
      <w:r w:rsidRPr="006D6A3F">
        <w:rPr>
          <w:lang w:val="fr-FR"/>
        </w:rPr>
        <w:t>Violences faites aux femmes</w:t>
      </w:r>
      <w:bookmarkEnd w:id="13"/>
    </w:p>
    <w:p w14:paraId="0C93B5DA" w14:textId="0D7F83C0" w:rsidR="00E6671B" w:rsidRPr="006D6A3F" w:rsidRDefault="00E6671B" w:rsidP="00DC50DE">
      <w:pPr>
        <w:pStyle w:val="Heading3"/>
      </w:pPr>
      <w:bookmarkStart w:id="14" w:name="_Toc133934850"/>
      <w:r w:rsidRPr="006D6A3F">
        <w:t>IV.1. Statistiques</w:t>
      </w:r>
      <w:bookmarkEnd w:id="14"/>
    </w:p>
    <w:p w14:paraId="1CB82276" w14:textId="05D92C69" w:rsidR="003E5E28" w:rsidRPr="006D6A3F" w:rsidRDefault="000A4FBB" w:rsidP="004F3733">
      <w:pPr>
        <w:spacing w:after="240"/>
        <w:jc w:val="both"/>
        <w:rPr>
          <w:rFonts w:cstheme="minorHAnsi"/>
        </w:rPr>
      </w:pPr>
      <w:r w:rsidRPr="006D6A3F">
        <w:rPr>
          <w:rFonts w:cstheme="minorHAnsi"/>
        </w:rPr>
        <w:t xml:space="preserve">Concernant le viol, les autorités judiciaires disposent des chiffres dans leur système informatique qui sont rendus publics dans leurs rapports d’activité et dans le cadre de questions parlementaires posées à ce sujet. </w:t>
      </w:r>
      <w:r w:rsidR="004F3733" w:rsidRPr="006D6A3F">
        <w:rPr>
          <w:rFonts w:cstheme="minorHAnsi"/>
        </w:rPr>
        <w:t xml:space="preserve">Les </w:t>
      </w:r>
      <w:r w:rsidR="00760FEB" w:rsidRPr="006D6A3F">
        <w:rPr>
          <w:rFonts w:cstheme="minorHAnsi"/>
        </w:rPr>
        <w:t xml:space="preserve">homicides dans le contexte de violence domestique sont publiés au niveau du rapport violence et les </w:t>
      </w:r>
      <w:proofErr w:type="spellStart"/>
      <w:r w:rsidR="00760FEB" w:rsidRPr="006D6A3F">
        <w:rPr>
          <w:rFonts w:cstheme="minorHAnsi"/>
        </w:rPr>
        <w:t>féminicides</w:t>
      </w:r>
      <w:proofErr w:type="spellEnd"/>
      <w:r w:rsidR="00760FEB" w:rsidRPr="006D6A3F">
        <w:rPr>
          <w:rFonts w:cstheme="minorHAnsi"/>
        </w:rPr>
        <w:t xml:space="preserve"> ne sont pas répertoriés en tant que tels au Luxembourg, alors qu’il n’existe pas d’infraction autonome de </w:t>
      </w:r>
      <w:proofErr w:type="spellStart"/>
      <w:r w:rsidR="00760FEB" w:rsidRPr="006D6A3F">
        <w:rPr>
          <w:rFonts w:cstheme="minorHAnsi"/>
        </w:rPr>
        <w:t>féminicide</w:t>
      </w:r>
      <w:proofErr w:type="spellEnd"/>
      <w:r w:rsidR="00760FEB" w:rsidRPr="006D6A3F">
        <w:rPr>
          <w:rFonts w:cstheme="minorHAnsi"/>
        </w:rPr>
        <w:t xml:space="preserve"> dans la législation luxembourgeoise</w:t>
      </w:r>
      <w:r w:rsidR="004F3733" w:rsidRPr="006D6A3F">
        <w:rPr>
          <w:rFonts w:cstheme="minorHAnsi"/>
        </w:rPr>
        <w:t>. Il existe néanmoins la c</w:t>
      </w:r>
      <w:r w:rsidR="00445DDE" w:rsidRPr="006D6A3F">
        <w:rPr>
          <w:rFonts w:cstheme="minorHAnsi"/>
        </w:rPr>
        <w:t>irconstance aggravante pour le mobile de haine</w:t>
      </w:r>
      <w:r w:rsidR="004F3733" w:rsidRPr="006D6A3F">
        <w:rPr>
          <w:rFonts w:cstheme="minorHAnsi"/>
        </w:rPr>
        <w:t>, qui entraine que le</w:t>
      </w:r>
      <w:r w:rsidR="001D431B" w:rsidRPr="006D6A3F">
        <w:rPr>
          <w:rFonts w:cstheme="minorHAnsi"/>
        </w:rPr>
        <w:t xml:space="preserve"> mobile peut ainsi être la misogynie.</w:t>
      </w:r>
    </w:p>
    <w:p w14:paraId="00BB2EB4" w14:textId="4D99B4C1" w:rsidR="000A4FBB" w:rsidRPr="006D6A3F" w:rsidRDefault="000A4FBB" w:rsidP="004F3733">
      <w:pPr>
        <w:spacing w:after="240"/>
        <w:jc w:val="both"/>
        <w:rPr>
          <w:rFonts w:cstheme="minorHAnsi"/>
        </w:rPr>
      </w:pPr>
      <w:r w:rsidRPr="006D6A3F">
        <w:rPr>
          <w:rFonts w:cstheme="minorHAnsi"/>
        </w:rPr>
        <w:t>L’observatoire de l’égalité entre les genres est opérationnel à 100% depuis 2022, le MEGA est aussi en train de finaliser un premier rapport plus analytique sur les données présentées dans les 7 volets de l’observatoire, qui va être publié en 2023.</w:t>
      </w:r>
    </w:p>
    <w:p w14:paraId="73B33D4F" w14:textId="40C15D66" w:rsidR="000A4FBB" w:rsidRPr="006D6A3F" w:rsidRDefault="000A4FBB" w:rsidP="004F3733">
      <w:pPr>
        <w:spacing w:after="240"/>
        <w:jc w:val="both"/>
        <w:rPr>
          <w:rFonts w:cstheme="minorHAnsi"/>
        </w:rPr>
      </w:pPr>
      <w:r w:rsidRPr="006D6A3F">
        <w:rPr>
          <w:rFonts w:cstheme="minorHAnsi"/>
        </w:rPr>
        <w:t>En</w:t>
      </w:r>
      <w:r w:rsidR="003E5E28" w:rsidRPr="006D6A3F">
        <w:rPr>
          <w:rFonts w:cstheme="minorHAnsi"/>
        </w:rPr>
        <w:t xml:space="preserve"> matière de violence domestique, </w:t>
      </w:r>
      <w:r w:rsidRPr="006D6A3F">
        <w:rPr>
          <w:rFonts w:cstheme="minorHAnsi"/>
        </w:rPr>
        <w:t xml:space="preserve">l’Observatoire complète les statistiques sur la violence domestique recueillies par le Comité de coopération entre les professionnels dans le domaine de la lutte contre la violence dans un rapport au gouvernement publié annuellement. </w:t>
      </w:r>
    </w:p>
    <w:p w14:paraId="010BB1F4" w14:textId="1ADA70A4" w:rsidR="000A4FBB" w:rsidRPr="006D6A3F" w:rsidRDefault="000A4FBB" w:rsidP="004F3733">
      <w:pPr>
        <w:spacing w:after="240"/>
        <w:jc w:val="both"/>
        <w:rPr>
          <w:rFonts w:cstheme="minorHAnsi"/>
        </w:rPr>
      </w:pPr>
      <w:r w:rsidRPr="006D6A3F">
        <w:rPr>
          <w:rFonts w:cstheme="minorHAnsi"/>
        </w:rPr>
        <w:lastRenderedPageBreak/>
        <w:t>Ce rapport donne un aperçu sur la situation de la violence domestique au Luxembourg, il inclut aussi des chiffres sur la violence psychologique et la violence sexuelle collecte dans le cadre de la violence domestique.</w:t>
      </w:r>
    </w:p>
    <w:p w14:paraId="375F7A8C" w14:textId="0037B72F" w:rsidR="00E6671B" w:rsidRPr="006D6A3F" w:rsidRDefault="00E6671B" w:rsidP="00DC50DE">
      <w:pPr>
        <w:pStyle w:val="Heading3"/>
      </w:pPr>
      <w:bookmarkStart w:id="15" w:name="_Toc133934851"/>
      <w:r w:rsidRPr="006D6A3F">
        <w:t xml:space="preserve">IV.2. </w:t>
      </w:r>
      <w:r w:rsidR="004F3733" w:rsidRPr="006D6A3F">
        <w:t>La prise en charge des victimes de violences c</w:t>
      </w:r>
      <w:r w:rsidRPr="006D6A3F">
        <w:t>onjugales</w:t>
      </w:r>
      <w:bookmarkEnd w:id="15"/>
    </w:p>
    <w:p w14:paraId="521D318A" w14:textId="77777777" w:rsidR="000A4FBB" w:rsidRPr="006D6A3F" w:rsidRDefault="00D072C4" w:rsidP="004F3733">
      <w:pPr>
        <w:spacing w:after="240"/>
        <w:jc w:val="both"/>
        <w:rPr>
          <w:rFonts w:cstheme="minorHAnsi"/>
        </w:rPr>
      </w:pPr>
      <w:r w:rsidRPr="006D6A3F">
        <w:rPr>
          <w:rFonts w:cstheme="minorHAnsi"/>
        </w:rPr>
        <w:t>La loi du 8 septembre 2003 sur la violence de domestique définit essentiellement la chaine d’intervention en cas de violence domestique allant de l’intervention policière, l’expulsion et la prise en charge des victimes et auteurs.</w:t>
      </w:r>
    </w:p>
    <w:p w14:paraId="45025F29" w14:textId="77777777" w:rsidR="00BA263D" w:rsidRPr="006D6A3F" w:rsidRDefault="00D072C4" w:rsidP="004F3733">
      <w:pPr>
        <w:spacing w:after="240"/>
        <w:jc w:val="both"/>
        <w:rPr>
          <w:rFonts w:cstheme="minorHAnsi"/>
        </w:rPr>
      </w:pPr>
      <w:r w:rsidRPr="006D6A3F">
        <w:rPr>
          <w:rFonts w:cstheme="minorHAnsi"/>
        </w:rPr>
        <w:t>L’expulsion est principalement considérée comme un outil de protection de la victime comme c’est notamment l’auteur qui doit quitter le domicile et la victime peut par conséquent rester dans son domicile.</w:t>
      </w:r>
    </w:p>
    <w:p w14:paraId="0709948B" w14:textId="77777777" w:rsidR="000A4FBB" w:rsidRPr="006D6A3F" w:rsidRDefault="00D072C4" w:rsidP="004F3733">
      <w:pPr>
        <w:spacing w:after="240"/>
        <w:jc w:val="both"/>
        <w:rPr>
          <w:rFonts w:cstheme="minorHAnsi"/>
        </w:rPr>
      </w:pPr>
      <w:r w:rsidRPr="006D6A3F">
        <w:rPr>
          <w:rFonts w:cstheme="minorHAnsi"/>
        </w:rPr>
        <w:t xml:space="preserve">Le Luxembourg à 166 lits dans des centres d’accueils classiques pour une prise en charge de femmes victimes de violence domestique et une dizaine de places pour hommes. </w:t>
      </w:r>
      <w:proofErr w:type="spellStart"/>
      <w:r w:rsidRPr="006D6A3F">
        <w:rPr>
          <w:rFonts w:cstheme="minorHAnsi"/>
        </w:rPr>
        <w:t>A</w:t>
      </w:r>
      <w:proofErr w:type="spellEnd"/>
      <w:r w:rsidRPr="006D6A3F">
        <w:rPr>
          <w:rFonts w:cstheme="minorHAnsi"/>
        </w:rPr>
        <w:t xml:space="preserve"> part de ces lits le Luxembourg les partenaires du MEGA disposent de 95 logements de deuxième phase pour loger des victimes plus autonomes. Vue la pénurie de logements abordables au Luxembourg, le roulement dans nos foyers pour femmes en détresse devient de plus en plus difficile et les séjours des femmes deviennent de plus en plus longues. Une situation qui a aussi un impact sur les listes d’attente. Le Luxembourg élargit toutefois de manière continue l’offre de logements.</w:t>
      </w:r>
    </w:p>
    <w:p w14:paraId="15945A83" w14:textId="77777777" w:rsidR="00D072C4" w:rsidRPr="006D6A3F" w:rsidRDefault="00D072C4" w:rsidP="004F3733">
      <w:pPr>
        <w:spacing w:after="240"/>
        <w:jc w:val="both"/>
        <w:rPr>
          <w:rFonts w:cstheme="minorHAnsi"/>
        </w:rPr>
      </w:pPr>
      <w:r w:rsidRPr="006D6A3F">
        <w:rPr>
          <w:rFonts w:cstheme="minorHAnsi"/>
        </w:rPr>
        <w:t>Toutefois le Luxembourg met un accent sur la prévention et l’information pour sensibiliser le grand public sur la problématique par différents projets et activités et renforce aussi le travail avec les auteurs.</w:t>
      </w:r>
    </w:p>
    <w:p w14:paraId="77610809" w14:textId="06D08191" w:rsidR="00D072C4" w:rsidRPr="006D6A3F" w:rsidRDefault="000C3B98" w:rsidP="006D6A3F">
      <w:pPr>
        <w:pStyle w:val="Heading4"/>
        <w:numPr>
          <w:ilvl w:val="0"/>
          <w:numId w:val="40"/>
        </w:numPr>
      </w:pPr>
      <w:r w:rsidRPr="006D6A3F">
        <w:t>Projet de cellule spécialisée dédiée à la violence domestique</w:t>
      </w:r>
    </w:p>
    <w:p w14:paraId="7E4F3FD9" w14:textId="788BB074" w:rsidR="000C3B98" w:rsidRPr="006D6A3F" w:rsidRDefault="000C3B98" w:rsidP="004F3733">
      <w:pPr>
        <w:spacing w:after="240"/>
        <w:jc w:val="both"/>
        <w:rPr>
          <w:rFonts w:cstheme="minorHAnsi"/>
        </w:rPr>
      </w:pPr>
      <w:r w:rsidRPr="006D6A3F">
        <w:rPr>
          <w:rFonts w:cstheme="minorHAnsi"/>
        </w:rPr>
        <w:t>Une cellule spécialisée (2 fonctionnaires) en violence domestique vient d’être instaurée au sein de la Police grand-ducale. Elle traite les cas où un danger particulier pour la sécurité de la/les victimes de violence domestique. Un concept relatif à une analyse de risques est en cours d’élaboration. Ce concept permettra une meilleure appréciation de chaque cas précis et donc de garantir un meilleur suivi.</w:t>
      </w:r>
    </w:p>
    <w:p w14:paraId="607E472A" w14:textId="15768580" w:rsidR="00CF5D85" w:rsidRPr="006D6A3F" w:rsidRDefault="00E6671B" w:rsidP="00DC50DE">
      <w:pPr>
        <w:pStyle w:val="Heading3"/>
      </w:pPr>
      <w:bookmarkStart w:id="16" w:name="_Toc133934852"/>
      <w:r w:rsidRPr="006D6A3F">
        <w:t>IV.3. Prescription du viol</w:t>
      </w:r>
      <w:bookmarkEnd w:id="16"/>
    </w:p>
    <w:p w14:paraId="67744443" w14:textId="322639DE" w:rsidR="00643E58" w:rsidRPr="006D6A3F" w:rsidRDefault="004F3733" w:rsidP="004F3733">
      <w:pPr>
        <w:spacing w:after="240"/>
        <w:jc w:val="both"/>
        <w:rPr>
          <w:rFonts w:cstheme="minorHAnsi"/>
        </w:rPr>
      </w:pPr>
      <w:r w:rsidRPr="006D6A3F">
        <w:rPr>
          <w:rFonts w:cstheme="minorHAnsi"/>
        </w:rPr>
        <w:t>Le Conseil d’</w:t>
      </w:r>
      <w:r w:rsidR="006C5876" w:rsidRPr="006D6A3F">
        <w:rPr>
          <w:rFonts w:cstheme="minorHAnsi"/>
        </w:rPr>
        <w:t>État</w:t>
      </w:r>
      <w:r w:rsidRPr="006D6A3F">
        <w:rPr>
          <w:rFonts w:cstheme="minorHAnsi"/>
        </w:rPr>
        <w:t xml:space="preserve"> doit encore émettre son avis sur le projet de loi concernant la prescription du viol. Sur base de cet avis</w:t>
      </w:r>
      <w:r w:rsidR="006C5876">
        <w:rPr>
          <w:rFonts w:cstheme="minorHAnsi"/>
        </w:rPr>
        <w:t>, une analyse sera faite</w:t>
      </w:r>
      <w:r w:rsidR="000A4FBB" w:rsidRPr="006D6A3F">
        <w:rPr>
          <w:rFonts w:cstheme="minorHAnsi"/>
        </w:rPr>
        <w:t xml:space="preserve"> si </w:t>
      </w:r>
      <w:r w:rsidR="004C7F3D">
        <w:rPr>
          <w:rFonts w:cstheme="minorHAnsi"/>
        </w:rPr>
        <w:t xml:space="preserve">des </w:t>
      </w:r>
      <w:r w:rsidR="000A4FBB" w:rsidRPr="006D6A3F">
        <w:rPr>
          <w:rFonts w:cstheme="minorHAnsi"/>
        </w:rPr>
        <w:t>amendements seront nécessaires</w:t>
      </w:r>
      <w:r w:rsidR="004C7F3D">
        <w:rPr>
          <w:rFonts w:cstheme="minorHAnsi"/>
        </w:rPr>
        <w:t xml:space="preserve"> et si oui, lesquels</w:t>
      </w:r>
      <w:r w:rsidR="000A4FBB" w:rsidRPr="006D6A3F">
        <w:rPr>
          <w:rFonts w:cstheme="minorHAnsi"/>
        </w:rPr>
        <w:t>.</w:t>
      </w:r>
    </w:p>
    <w:p w14:paraId="2A13ABF4" w14:textId="071D080E" w:rsidR="004C7F3D" w:rsidRPr="006D6A3F" w:rsidRDefault="004C7F3D" w:rsidP="004C7F3D">
      <w:pPr>
        <w:pStyle w:val="Heading3"/>
      </w:pPr>
      <w:bookmarkStart w:id="17" w:name="_Toc133934853"/>
      <w:r w:rsidRPr="006D6A3F">
        <w:t>IV.</w:t>
      </w:r>
      <w:r>
        <w:t>4</w:t>
      </w:r>
      <w:r w:rsidRPr="006D6A3F">
        <w:t xml:space="preserve">. </w:t>
      </w:r>
      <w:r>
        <w:t xml:space="preserve">Appui au </w:t>
      </w:r>
      <w:r w:rsidRPr="004C7F3D">
        <w:t>Fonds de contributions volontaires des Nations Unies pour les victimes de la torture</w:t>
      </w:r>
      <w:bookmarkEnd w:id="17"/>
    </w:p>
    <w:p w14:paraId="0FA6B390" w14:textId="52D27D7E" w:rsidR="00E6671B" w:rsidRPr="006D6A3F" w:rsidRDefault="004F3733" w:rsidP="004F3733">
      <w:pPr>
        <w:spacing w:after="240"/>
        <w:jc w:val="both"/>
        <w:rPr>
          <w:rFonts w:cstheme="minorHAnsi"/>
        </w:rPr>
      </w:pPr>
      <w:r w:rsidRPr="006D6A3F">
        <w:rPr>
          <w:rFonts w:cstheme="minorHAnsi"/>
        </w:rPr>
        <w:t xml:space="preserve">Le Luxembourg </w:t>
      </w:r>
      <w:r w:rsidR="004C7F3D">
        <w:rPr>
          <w:rFonts w:cstheme="minorHAnsi"/>
        </w:rPr>
        <w:t xml:space="preserve">poursuivra </w:t>
      </w:r>
      <w:r w:rsidRPr="006D6A3F">
        <w:rPr>
          <w:rFonts w:cstheme="minorHAnsi"/>
        </w:rPr>
        <w:t xml:space="preserve">son appui </w:t>
      </w:r>
      <w:r w:rsidR="004C7F3D">
        <w:rPr>
          <w:rFonts w:cstheme="minorHAnsi"/>
        </w:rPr>
        <w:t xml:space="preserve">annuel à ce </w:t>
      </w:r>
      <w:r w:rsidRPr="006D6A3F">
        <w:rPr>
          <w:rFonts w:cstheme="minorHAnsi"/>
        </w:rPr>
        <w:t xml:space="preserve">Fonds </w:t>
      </w:r>
      <w:r w:rsidR="004C7F3D">
        <w:rPr>
          <w:rFonts w:cstheme="minorHAnsi"/>
        </w:rPr>
        <w:t>administré par le BHCDH</w:t>
      </w:r>
      <w:r w:rsidRPr="006D6A3F">
        <w:rPr>
          <w:rFonts w:cstheme="minorHAnsi"/>
        </w:rPr>
        <w:t>.</w:t>
      </w:r>
    </w:p>
    <w:p w14:paraId="61BA052D" w14:textId="77777777" w:rsidR="00E6671B" w:rsidRPr="006D6A3F" w:rsidRDefault="00E6671B" w:rsidP="00DC50DE">
      <w:pPr>
        <w:spacing w:after="240" w:line="259" w:lineRule="auto"/>
        <w:rPr>
          <w:rFonts w:cstheme="minorHAnsi"/>
          <w:b/>
        </w:rPr>
      </w:pPr>
      <w:r w:rsidRPr="006D6A3F">
        <w:rPr>
          <w:rFonts w:cstheme="minorHAnsi"/>
        </w:rPr>
        <w:br w:type="page"/>
      </w:r>
    </w:p>
    <w:p w14:paraId="5F86CEA1" w14:textId="3887EA6D" w:rsidR="00DC0D82" w:rsidRPr="006D6A3F" w:rsidRDefault="00E6671B" w:rsidP="006D6A3F">
      <w:pPr>
        <w:pStyle w:val="Heading1"/>
        <w:spacing w:after="240"/>
        <w:jc w:val="center"/>
        <w:rPr>
          <w:sz w:val="24"/>
        </w:rPr>
      </w:pPr>
      <w:bookmarkStart w:id="18" w:name="_Toc133934854"/>
      <w:r w:rsidRPr="006D6A3F">
        <w:rPr>
          <w:sz w:val="24"/>
        </w:rPr>
        <w:lastRenderedPageBreak/>
        <w:t>Questions de Mme. MAEDA Naoko (Japon)</w:t>
      </w:r>
      <w:bookmarkEnd w:id="18"/>
    </w:p>
    <w:p w14:paraId="51391FC1" w14:textId="5FF339DB" w:rsidR="00225913" w:rsidRPr="006D6A3F" w:rsidRDefault="00225913" w:rsidP="00DC50DE">
      <w:pPr>
        <w:pStyle w:val="Heading2"/>
        <w:spacing w:before="0"/>
        <w:rPr>
          <w:lang w:val="fr-FR"/>
        </w:rPr>
      </w:pPr>
      <w:bookmarkStart w:id="19" w:name="_Toc133934855"/>
      <w:r w:rsidRPr="006D6A3F">
        <w:rPr>
          <w:lang w:val="fr-FR"/>
        </w:rPr>
        <w:t>As</w:t>
      </w:r>
      <w:r w:rsidR="006D6A3F" w:rsidRPr="006D6A3F">
        <w:rPr>
          <w:lang w:val="fr-FR"/>
        </w:rPr>
        <w:t>i</w:t>
      </w:r>
      <w:r w:rsidRPr="006D6A3F">
        <w:rPr>
          <w:lang w:val="fr-FR"/>
        </w:rPr>
        <w:t>le</w:t>
      </w:r>
      <w:bookmarkEnd w:id="19"/>
    </w:p>
    <w:p w14:paraId="10A34A24" w14:textId="2DFFD79E" w:rsidR="00225913" w:rsidRPr="006D6A3F" w:rsidRDefault="00225913" w:rsidP="00DC50DE">
      <w:pPr>
        <w:pStyle w:val="Heading3"/>
      </w:pPr>
      <w:bookmarkStart w:id="20" w:name="_Toc133934856"/>
      <w:r w:rsidRPr="006D6A3F">
        <w:t>V.1. Statistiques</w:t>
      </w:r>
      <w:bookmarkEnd w:id="20"/>
    </w:p>
    <w:p w14:paraId="23A1DB4C" w14:textId="7F199A3D" w:rsidR="00954985" w:rsidRPr="006D6A3F" w:rsidRDefault="00954985" w:rsidP="00DC50DE">
      <w:pPr>
        <w:spacing w:after="240"/>
        <w:jc w:val="both"/>
        <w:rPr>
          <w:rFonts w:cstheme="minorHAnsi"/>
        </w:rPr>
      </w:pPr>
      <w:r w:rsidRPr="006D6A3F">
        <w:rPr>
          <w:rFonts w:cstheme="minorHAnsi"/>
        </w:rPr>
        <w:t>Le pic enregistré dans les statistiques livrées de 2015 à 2018 lors de notre de dernier rapport périodique s’explique par la crise migratoire qu’a connu le continent européen ces dernières années.</w:t>
      </w:r>
      <w:r w:rsidR="006C5876">
        <w:rPr>
          <w:rFonts w:cstheme="minorHAnsi"/>
        </w:rPr>
        <w:t xml:space="preserve"> </w:t>
      </w:r>
      <w:r w:rsidRPr="006D6A3F">
        <w:rPr>
          <w:rFonts w:cstheme="minorHAnsi"/>
        </w:rPr>
        <w:t>En effet depuis le printemps 2015, des centaines de milliers de réfugiés syriens sont arrivés sur les côtes européennes, principalement en Grèce, tentant de rejoindre l’Europe via la Turquie. Tel qu’il ressort des statistiques fournies lors de notre dernier rapport, le Grand-Duché de Luxembourg a dû, comme tous les pays européens, s’organiser afin de répondre au mieux au</w:t>
      </w:r>
      <w:r w:rsidR="00D3609F">
        <w:rPr>
          <w:rFonts w:cstheme="minorHAnsi"/>
        </w:rPr>
        <w:t>x</w:t>
      </w:r>
      <w:r w:rsidRPr="006D6A3F">
        <w:rPr>
          <w:rFonts w:cstheme="minorHAnsi"/>
        </w:rPr>
        <w:t xml:space="preserve"> réfugiés, ne se limitant pas à la route maritime, mais </w:t>
      </w:r>
      <w:r w:rsidR="00D3609F">
        <w:rPr>
          <w:rFonts w:cstheme="minorHAnsi"/>
        </w:rPr>
        <w:t xml:space="preserve">empruntant </w:t>
      </w:r>
      <w:r w:rsidRPr="006D6A3F">
        <w:rPr>
          <w:rFonts w:cstheme="minorHAnsi"/>
        </w:rPr>
        <w:t xml:space="preserve">également </w:t>
      </w:r>
      <w:r w:rsidR="00D3609F">
        <w:rPr>
          <w:rFonts w:cstheme="minorHAnsi"/>
        </w:rPr>
        <w:t xml:space="preserve">des </w:t>
      </w:r>
      <w:r w:rsidRPr="006D6A3F">
        <w:rPr>
          <w:rFonts w:cstheme="minorHAnsi"/>
        </w:rPr>
        <w:t xml:space="preserve">routes terrestres pour rejoindre d’autres pays européens, tel le Grand-Duché de Luxembourg, en traversant les Balkans à pied dans des conditions souvent extrêmement difficiles. </w:t>
      </w:r>
    </w:p>
    <w:p w14:paraId="67FDBD9F" w14:textId="1824A442" w:rsidR="00954985" w:rsidRPr="006D6A3F" w:rsidRDefault="00954985" w:rsidP="00DC50DE">
      <w:pPr>
        <w:spacing w:after="240"/>
        <w:jc w:val="both"/>
        <w:rPr>
          <w:rFonts w:cstheme="minorHAnsi"/>
        </w:rPr>
      </w:pPr>
      <w:r w:rsidRPr="006D6A3F">
        <w:rPr>
          <w:rFonts w:cstheme="minorHAnsi"/>
        </w:rPr>
        <w:t xml:space="preserve">Concernant plus précisément la différence entre les données de 2017 et 2018, il semblerait que cette dernière soit due à plusieurs facteurs, tel que le fait qu’il y ait généralement eu moins de demandes d’asile déposées en Europe en 2018, dû au fait que les procédures d’asile ont pris plus de temps, conséquence même de la crise migratoire de 2015 et du nombre élevé de demandes en Europe, mais également dû au fait que la situation sécuritaire s’est stabilisée dans certains pays tiers. </w:t>
      </w:r>
    </w:p>
    <w:p w14:paraId="0C60733A" w14:textId="5BAFA570" w:rsidR="00954985" w:rsidRPr="006D6A3F" w:rsidRDefault="004F3733" w:rsidP="00DC50DE">
      <w:pPr>
        <w:spacing w:after="240"/>
        <w:jc w:val="both"/>
        <w:rPr>
          <w:rFonts w:cstheme="minorHAnsi"/>
        </w:rPr>
      </w:pPr>
      <w:r w:rsidRPr="006D6A3F">
        <w:rPr>
          <w:rFonts w:cstheme="minorHAnsi"/>
        </w:rPr>
        <w:t>Ci-dessous</w:t>
      </w:r>
      <w:r w:rsidR="00954985" w:rsidRPr="006D6A3F">
        <w:rPr>
          <w:rFonts w:cstheme="minorHAnsi"/>
        </w:rPr>
        <w:t xml:space="preserve"> une actualisation des statistiques annuelles depuis 2019 sur les personnes demandant l’asile au Grand-Duché de </w:t>
      </w:r>
      <w:r w:rsidRPr="006D6A3F">
        <w:rPr>
          <w:rFonts w:cstheme="minorHAnsi"/>
        </w:rPr>
        <w:t>Luxembourg :</w:t>
      </w:r>
    </w:p>
    <w:p w14:paraId="421D20D5" w14:textId="77777777" w:rsidR="00D26343" w:rsidRPr="006D6A3F" w:rsidRDefault="00D26343" w:rsidP="00DC50DE">
      <w:pPr>
        <w:spacing w:after="240"/>
        <w:jc w:val="center"/>
        <w:rPr>
          <w:rFonts w:cstheme="minorHAnsi"/>
          <w:noProof/>
        </w:rPr>
      </w:pPr>
      <w:r w:rsidRPr="006D6A3F">
        <w:rPr>
          <w:rFonts w:cstheme="minorHAnsi"/>
          <w:noProof/>
          <w:lang w:eastAsia="fr-FR"/>
        </w:rPr>
        <w:drawing>
          <wp:inline distT="0" distB="0" distL="0" distR="0" wp14:anchorId="72816404" wp14:editId="68E6E915">
            <wp:extent cx="5790906" cy="334327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8826" cy="3359394"/>
                    </a:xfrm>
                    <a:prstGeom prst="rect">
                      <a:avLst/>
                    </a:prstGeom>
                  </pic:spPr>
                </pic:pic>
              </a:graphicData>
            </a:graphic>
          </wp:inline>
        </w:drawing>
      </w:r>
    </w:p>
    <w:p w14:paraId="6FA34D2E" w14:textId="77777777" w:rsidR="00D26343" w:rsidRPr="006D6A3F" w:rsidRDefault="00D26343" w:rsidP="00DC50DE">
      <w:pPr>
        <w:spacing w:after="240"/>
        <w:jc w:val="both"/>
        <w:rPr>
          <w:rFonts w:cstheme="minorHAnsi"/>
        </w:rPr>
      </w:pPr>
    </w:p>
    <w:p w14:paraId="72173740" w14:textId="7ACC0C38" w:rsidR="00954985" w:rsidRPr="006D6A3F" w:rsidRDefault="00B44244" w:rsidP="00DC50DE">
      <w:pPr>
        <w:spacing w:after="240"/>
        <w:jc w:val="both"/>
        <w:rPr>
          <w:rFonts w:cstheme="minorHAnsi"/>
        </w:rPr>
      </w:pPr>
      <w:r w:rsidRPr="006D6A3F">
        <w:rPr>
          <w:rFonts w:cstheme="minorHAnsi"/>
        </w:rPr>
        <w:t>À</w:t>
      </w:r>
      <w:r w:rsidR="004F3733" w:rsidRPr="006D6A3F">
        <w:rPr>
          <w:rFonts w:cstheme="minorHAnsi"/>
        </w:rPr>
        <w:t xml:space="preserve"> cet égard</w:t>
      </w:r>
      <w:r w:rsidR="00954985" w:rsidRPr="006D6A3F">
        <w:rPr>
          <w:rFonts w:cstheme="minorHAnsi"/>
        </w:rPr>
        <w:t xml:space="preserve">, le Grand-Duché tient à souligner qu’au courant de l’année 2022, 2270 personnes ont introduit une demande protection internationale au Luxembourg, ce qui constitue une augmentation de 80,65 % par rapport à l’année 2021. </w:t>
      </w:r>
      <w:r w:rsidRPr="006D6A3F">
        <w:rPr>
          <w:rFonts w:cstheme="minorHAnsi"/>
        </w:rPr>
        <w:t>À</w:t>
      </w:r>
      <w:r w:rsidR="00954985" w:rsidRPr="006D6A3F">
        <w:rPr>
          <w:rFonts w:cstheme="minorHAnsi"/>
        </w:rPr>
        <w:t xml:space="preserve"> souligner que le nombre de demandes introduites en 2022 correspond au nombre de demandes de protection internationale introduites au moment de la crise migratoire de 2015 mentionnée ci-avant (2318 demandes introduites en 2017, 2206 demandes introduites en 2018 cf. </w:t>
      </w:r>
      <w:r w:rsidR="00EE7484" w:rsidRPr="006D6A3F">
        <w:rPr>
          <w:rFonts w:cstheme="minorHAnsi"/>
        </w:rPr>
        <w:t>statistiques</w:t>
      </w:r>
      <w:r w:rsidR="00954985" w:rsidRPr="006D6A3F">
        <w:rPr>
          <w:rFonts w:cstheme="minorHAnsi"/>
        </w:rPr>
        <w:t xml:space="preserve"> livrées dans notre dernier rapport de 2019). Cette tendance se reflète d’ailleurs au niveau de toute l’Union européenne. Selon les derniers chiffres communiqués par l’Agence de l’Union européenne pour l’asile (ci-après EUAA), près d'un million de demandes de protection internationale ont été introduites en Europe en 2022, ce qui constitue une augmentation de 54% par rapport à l’année précédente.</w:t>
      </w:r>
    </w:p>
    <w:p w14:paraId="09DDA892" w14:textId="6FF92AF9" w:rsidR="00954985" w:rsidRPr="006D6A3F" w:rsidRDefault="00954985" w:rsidP="00DC50DE">
      <w:pPr>
        <w:spacing w:after="240"/>
        <w:jc w:val="both"/>
        <w:rPr>
          <w:rFonts w:cstheme="minorHAnsi"/>
        </w:rPr>
      </w:pPr>
      <w:r w:rsidRPr="006D6A3F">
        <w:rPr>
          <w:rFonts w:cstheme="minorHAnsi"/>
        </w:rPr>
        <w:t xml:space="preserve">Concernant finalement </w:t>
      </w:r>
      <w:r w:rsidR="004F3733" w:rsidRPr="006D6A3F">
        <w:rPr>
          <w:rFonts w:cstheme="minorHAnsi"/>
        </w:rPr>
        <w:t>les</w:t>
      </w:r>
      <w:r w:rsidRPr="006D6A3F">
        <w:rPr>
          <w:rFonts w:cstheme="minorHAnsi"/>
        </w:rPr>
        <w:t xml:space="preserve"> priorités prises en compte lors de l’octroi des demandes de protection internationale, les autorités compétentes prennent en compte la vulnérabilité des personnes (c’est-à-dire les MNA, les personnes âgées et les personnes malades), ces dernières devant néanmoins remplir toutes les conditions afin de se voir octroyer l’asile. Cependant, il est important de souligner que le Grand-Duché ne différencie aucunement en fonction du pays d’origine des demandeurs d’asile.</w:t>
      </w:r>
      <w:r w:rsidR="004F3733" w:rsidRPr="006D6A3F">
        <w:rPr>
          <w:rFonts w:cstheme="minorHAnsi"/>
        </w:rPr>
        <w:t xml:space="preserve"> </w:t>
      </w:r>
    </w:p>
    <w:p w14:paraId="3766A2D8" w14:textId="7ABEFF40" w:rsidR="000307EA" w:rsidRPr="006D6A3F" w:rsidRDefault="000307EA" w:rsidP="00DC50DE">
      <w:pPr>
        <w:spacing w:after="240"/>
        <w:jc w:val="both"/>
        <w:rPr>
          <w:rFonts w:cstheme="minorHAnsi"/>
        </w:rPr>
      </w:pPr>
      <w:r w:rsidRPr="006D6A3F">
        <w:rPr>
          <w:rFonts w:cstheme="minorHAnsi"/>
        </w:rPr>
        <w:t xml:space="preserve">Actuellement, les autorités luxembourgeoises n’enregistrent pas dans leurs bases de données les </w:t>
      </w:r>
      <w:r w:rsidRPr="006D6A3F">
        <w:rPr>
          <w:rFonts w:cstheme="minorHAnsi"/>
          <w:b/>
        </w:rPr>
        <w:t>motifs</w:t>
      </w:r>
      <w:r w:rsidRPr="006D6A3F">
        <w:rPr>
          <w:rFonts w:cstheme="minorHAnsi"/>
        </w:rPr>
        <w:t xml:space="preserve"> invoqués par les avocats dans leurs recours devant les juridictions administratives, tel que par exemple un argumentaire selon lequel un requérant serait soumis à la torture en cas de décision d’expulsion. Néanmoins, si un recours est introduit contre une décision d’expulsion, les juridictions administratives luxembourgeoises examineront ce dernier dans le plein respect de la Convention contre la torture et autres peines ou traitements cruels, inhumains ou dégradants, et notamment de son article 3.</w:t>
      </w:r>
    </w:p>
    <w:p w14:paraId="50CF175C" w14:textId="617CB68A" w:rsidR="000307EA" w:rsidRPr="006D6A3F" w:rsidRDefault="00225913" w:rsidP="00DC50DE">
      <w:pPr>
        <w:pStyle w:val="Heading3"/>
      </w:pPr>
      <w:bookmarkStart w:id="21" w:name="_Toc133934857"/>
      <w:r w:rsidRPr="006D6A3F">
        <w:t>V.2. Demandes de protection</w:t>
      </w:r>
      <w:r w:rsidR="00BF29A4" w:rsidRPr="006D6A3F">
        <w:t xml:space="preserve"> internationale</w:t>
      </w:r>
      <w:bookmarkEnd w:id="21"/>
    </w:p>
    <w:p w14:paraId="24AC2CE7" w14:textId="1F32FCD4" w:rsidR="00954985" w:rsidRPr="006D6A3F" w:rsidRDefault="00954985" w:rsidP="00DC50DE">
      <w:pPr>
        <w:spacing w:after="240"/>
        <w:jc w:val="both"/>
        <w:rPr>
          <w:rFonts w:cstheme="minorHAnsi"/>
        </w:rPr>
      </w:pPr>
      <w:r w:rsidRPr="006D6A3F">
        <w:rPr>
          <w:rFonts w:cstheme="minorHAnsi"/>
        </w:rPr>
        <w:t xml:space="preserve">Au printemps 2022, le Grand-Duché de Luxembourg a, comme tous les pays européens, accueilli dans </w:t>
      </w:r>
      <w:r w:rsidRPr="006D6A3F">
        <w:rPr>
          <w:rFonts w:cstheme="minorHAnsi"/>
          <w:b/>
        </w:rPr>
        <w:t>l’urgence les réfugiés ukrainiens</w:t>
      </w:r>
      <w:r w:rsidRPr="006D6A3F">
        <w:rPr>
          <w:rFonts w:cstheme="minorHAnsi"/>
        </w:rPr>
        <w:t>, leur mettant à disposition dans un premier temps, un logement d’urgence lors de leur arrivée, puis, dans la foulée, un logement définitif dans une structure d’accueil, tel un foyer. Afin d’organiser au mieux les demandes de protection temporaires des réfugiés ukrainiens, les autorités compétentes luxembourgeoises ont mis sur pied un « guichet unique », regroupant en un seul endroit tous les acteurs nécessaires, tel la Direction de l’immigration, le Ministère de l’Éducation nationale, de l’Enfance et de la Jeunesse pour la scolarisation des mineurs, ou encore la POST Luxembourg pour l’ouverture d’un compte bancaire. Grâce à la mise en place dudit « guichet unique », le Grand-Duché de Luxembourg a ainsi pu faire face efficacement à l’afflux urgent de réfugiés ukrainiens.</w:t>
      </w:r>
    </w:p>
    <w:p w14:paraId="3E3EDEE1" w14:textId="6B1E0C76" w:rsidR="000307EA" w:rsidRPr="006D6A3F" w:rsidRDefault="00B44244" w:rsidP="00DC50DE">
      <w:pPr>
        <w:spacing w:after="240"/>
        <w:jc w:val="both"/>
        <w:rPr>
          <w:rFonts w:cstheme="minorHAnsi"/>
          <w:color w:val="1F497D"/>
        </w:rPr>
      </w:pPr>
      <w:r w:rsidRPr="006D6A3F">
        <w:rPr>
          <w:rFonts w:cstheme="minorHAnsi"/>
        </w:rPr>
        <w:t>À</w:t>
      </w:r>
      <w:r>
        <w:rPr>
          <w:rFonts w:cstheme="minorHAnsi"/>
        </w:rPr>
        <w:t xml:space="preserve"> titre d’information</w:t>
      </w:r>
      <w:r w:rsidR="00954985" w:rsidRPr="006D6A3F">
        <w:rPr>
          <w:rFonts w:cstheme="minorHAnsi"/>
        </w:rPr>
        <w:t xml:space="preserve">, il est à noter que 5088 personnes ont obtenu une protection temporaire au Grand-Duché de Luxembourg en 2022, dont 4916 ressortissants ukrainiens. Tandis que de janvier à mars 2023, ce sont 3633 personnes qui ont obtenu le renouvellement de leur protection temporaire, dont 3499 ressortissants ukrainiens. </w:t>
      </w:r>
    </w:p>
    <w:p w14:paraId="177FDEE5" w14:textId="0614EA17" w:rsidR="000307EA" w:rsidRPr="006D6A3F" w:rsidRDefault="000307EA" w:rsidP="00DC50DE">
      <w:pPr>
        <w:spacing w:after="240"/>
        <w:jc w:val="both"/>
        <w:rPr>
          <w:rFonts w:cstheme="minorHAnsi"/>
        </w:rPr>
      </w:pPr>
      <w:r w:rsidRPr="006D6A3F">
        <w:rPr>
          <w:rFonts w:cstheme="minorHAnsi"/>
        </w:rPr>
        <w:lastRenderedPageBreak/>
        <w:t xml:space="preserve">Les autorités compétentes ont pris connaissance des préoccupations formulées à l’égard d’une </w:t>
      </w:r>
      <w:r w:rsidRPr="006D6A3F">
        <w:rPr>
          <w:rFonts w:cstheme="minorHAnsi"/>
          <w:b/>
        </w:rPr>
        <w:t>prétendue pratique préoccupante menée lors de l’enregistrement de demandes d’asile à l’été 2020</w:t>
      </w:r>
      <w:r w:rsidRPr="006D6A3F">
        <w:rPr>
          <w:rFonts w:cstheme="minorHAnsi"/>
        </w:rPr>
        <w:t xml:space="preserve"> au sein de la Direction de l’immigration. </w:t>
      </w:r>
      <w:r w:rsidR="00B44244" w:rsidRPr="006D6A3F">
        <w:rPr>
          <w:rFonts w:cstheme="minorHAnsi"/>
        </w:rPr>
        <w:t>À</w:t>
      </w:r>
      <w:r w:rsidRPr="006D6A3F">
        <w:rPr>
          <w:rFonts w:cstheme="minorHAnsi"/>
        </w:rPr>
        <w:t xml:space="preserve"> cet égard, le Grand-Duché tient à rappeler que le respect d’une procédure d’asile juste et humaine reste la priorité des autorités compétentes et que les agents en charge de l’accueil des demandeurs d’asile sont formés en conséquence. </w:t>
      </w:r>
    </w:p>
    <w:p w14:paraId="1595182B" w14:textId="4C399B2A" w:rsidR="00225913" w:rsidRPr="006D6A3F" w:rsidRDefault="000307EA" w:rsidP="00DC50DE">
      <w:pPr>
        <w:spacing w:after="240"/>
        <w:jc w:val="both"/>
        <w:rPr>
          <w:rFonts w:cstheme="minorHAnsi"/>
        </w:rPr>
      </w:pPr>
      <w:r w:rsidRPr="006D6A3F">
        <w:rPr>
          <w:rFonts w:cstheme="minorHAnsi"/>
        </w:rPr>
        <w:t xml:space="preserve">En effet, parmi les formations suivies par les agents en charge de mener les auditions avec les demandeurs d’asile, figurent celles ayant trait à « </w:t>
      </w:r>
      <w:proofErr w:type="spellStart"/>
      <w:r w:rsidRPr="006D6A3F">
        <w:rPr>
          <w:rFonts w:cstheme="minorHAnsi"/>
        </w:rPr>
        <w:t>Interviewing</w:t>
      </w:r>
      <w:proofErr w:type="spellEnd"/>
      <w:r w:rsidRPr="006D6A3F">
        <w:rPr>
          <w:rFonts w:cstheme="minorHAnsi"/>
        </w:rPr>
        <w:t xml:space="preserve"> </w:t>
      </w:r>
      <w:proofErr w:type="spellStart"/>
      <w:r w:rsidRPr="006D6A3F">
        <w:rPr>
          <w:rFonts w:cstheme="minorHAnsi"/>
        </w:rPr>
        <w:t>vulnerable</w:t>
      </w:r>
      <w:proofErr w:type="spellEnd"/>
      <w:r w:rsidRPr="006D6A3F">
        <w:rPr>
          <w:rFonts w:cstheme="minorHAnsi"/>
        </w:rPr>
        <w:t xml:space="preserve"> </w:t>
      </w:r>
      <w:proofErr w:type="spellStart"/>
      <w:r w:rsidRPr="006D6A3F">
        <w:rPr>
          <w:rFonts w:cstheme="minorHAnsi"/>
        </w:rPr>
        <w:t>persons</w:t>
      </w:r>
      <w:proofErr w:type="spellEnd"/>
      <w:r w:rsidRPr="006D6A3F">
        <w:rPr>
          <w:rFonts w:cstheme="minorHAnsi"/>
        </w:rPr>
        <w:t xml:space="preserve"> » et « Gender, Gender </w:t>
      </w:r>
      <w:proofErr w:type="spellStart"/>
      <w:r w:rsidRPr="006D6A3F">
        <w:rPr>
          <w:rFonts w:cstheme="minorHAnsi"/>
        </w:rPr>
        <w:t>Identity</w:t>
      </w:r>
      <w:proofErr w:type="spellEnd"/>
      <w:r w:rsidRPr="006D6A3F">
        <w:rPr>
          <w:rFonts w:cstheme="minorHAnsi"/>
        </w:rPr>
        <w:t xml:space="preserve"> and </w:t>
      </w:r>
      <w:proofErr w:type="spellStart"/>
      <w:r w:rsidRPr="006D6A3F">
        <w:rPr>
          <w:rFonts w:cstheme="minorHAnsi"/>
        </w:rPr>
        <w:t>Sexual</w:t>
      </w:r>
      <w:proofErr w:type="spellEnd"/>
      <w:r w:rsidRPr="006D6A3F">
        <w:rPr>
          <w:rFonts w:cstheme="minorHAnsi"/>
        </w:rPr>
        <w:t xml:space="preserve"> Orientation ». </w:t>
      </w:r>
      <w:r w:rsidR="00B44244" w:rsidRPr="006D6A3F">
        <w:rPr>
          <w:rFonts w:cstheme="minorHAnsi"/>
        </w:rPr>
        <w:t>À</w:t>
      </w:r>
      <w:r w:rsidRPr="006D6A3F">
        <w:rPr>
          <w:rFonts w:cstheme="minorHAnsi"/>
        </w:rPr>
        <w:t xml:space="preserve"> noter que cette deuxième formation est également suivie par les agents en charge de la prise de décision d’une demande d’asile. </w:t>
      </w:r>
    </w:p>
    <w:p w14:paraId="2E679B85" w14:textId="487BD90F" w:rsidR="00D26343" w:rsidRPr="006D6A3F" w:rsidRDefault="000307EA" w:rsidP="00DC50DE">
      <w:pPr>
        <w:spacing w:after="240"/>
        <w:jc w:val="both"/>
        <w:rPr>
          <w:rFonts w:cstheme="minorHAnsi"/>
        </w:rPr>
      </w:pPr>
      <w:r w:rsidRPr="006D6A3F">
        <w:rPr>
          <w:rFonts w:cstheme="minorHAnsi"/>
        </w:rPr>
        <w:t xml:space="preserve">De plus, un nouveau formateur national a été formé en avril/juin 2021 et une formation sur les entretiens avec les personnes vulnérables a été dispensée en mars 2022 à cinq nouveaux membres du personnel de la Direction de l’immigration, de sorte que tous les membres actuels du personnel qui mènent des entretiens ont désormais suivi cette formation. </w:t>
      </w:r>
      <w:r w:rsidR="00D26343" w:rsidRPr="006D6A3F">
        <w:rPr>
          <w:rFonts w:cstheme="minorHAnsi"/>
        </w:rPr>
        <w:t xml:space="preserve">De plus en 2021, les formations « Traite des êtres humains », « Journées de formation et échange sur les violences liées au genre dans un contexte migratoire </w:t>
      </w:r>
      <w:r w:rsidR="006D6A3F" w:rsidRPr="006D6A3F">
        <w:rPr>
          <w:rFonts w:cstheme="minorHAnsi"/>
        </w:rPr>
        <w:t>»,</w:t>
      </w:r>
      <w:r w:rsidR="00D26343" w:rsidRPr="006D6A3F">
        <w:rPr>
          <w:rFonts w:cstheme="minorHAnsi"/>
        </w:rPr>
        <w:t xml:space="preserve"> « Approche des victimes de traite et/ou trafic des êtres humains- Posture du travailleur et compréhension du phénomène », « Formation désescalade psychologique / communication non violente » et « Le traumatisme psychique est-il contagieux? » ont été suivies par 34 participants au total.</w:t>
      </w:r>
    </w:p>
    <w:p w14:paraId="64488DA2" w14:textId="1BDD6E5E" w:rsidR="00D26343" w:rsidRPr="006D6A3F" w:rsidRDefault="004F3733" w:rsidP="00DC50DE">
      <w:pPr>
        <w:spacing w:after="240"/>
        <w:jc w:val="both"/>
        <w:rPr>
          <w:rFonts w:cstheme="minorHAnsi"/>
        </w:rPr>
      </w:pPr>
      <w:r w:rsidRPr="006D6A3F">
        <w:rPr>
          <w:rFonts w:cstheme="minorHAnsi"/>
        </w:rPr>
        <w:t>Ci-dessous</w:t>
      </w:r>
      <w:r w:rsidR="00D26343" w:rsidRPr="006D6A3F">
        <w:rPr>
          <w:rFonts w:cstheme="minorHAnsi"/>
        </w:rPr>
        <w:t xml:space="preserve"> un relevé des formations données :</w:t>
      </w:r>
    </w:p>
    <w:p w14:paraId="1686CBA0" w14:textId="06B38361" w:rsidR="00D26343" w:rsidRPr="006D6A3F" w:rsidRDefault="00D26343" w:rsidP="00DC50DE">
      <w:pPr>
        <w:pStyle w:val="ListParagraph"/>
        <w:numPr>
          <w:ilvl w:val="0"/>
          <w:numId w:val="35"/>
        </w:numPr>
        <w:spacing w:after="240"/>
        <w:jc w:val="both"/>
        <w:rPr>
          <w:rFonts w:cstheme="minorHAnsi"/>
        </w:rPr>
      </w:pPr>
      <w:r w:rsidRPr="006D6A3F">
        <w:rPr>
          <w:rFonts w:cstheme="minorHAnsi"/>
        </w:rPr>
        <w:t xml:space="preserve">Agents de la Direction de l’immigration (DIRIMM) : </w:t>
      </w:r>
    </w:p>
    <w:p w14:paraId="4C3E6BDA" w14:textId="77777777" w:rsidR="00D26343" w:rsidRPr="006D6A3F" w:rsidRDefault="00D26343" w:rsidP="00DC50DE">
      <w:pPr>
        <w:pStyle w:val="ListParagraph"/>
        <w:numPr>
          <w:ilvl w:val="1"/>
          <w:numId w:val="35"/>
        </w:numPr>
        <w:spacing w:after="240" w:line="259" w:lineRule="auto"/>
        <w:jc w:val="both"/>
        <w:rPr>
          <w:rFonts w:cstheme="minorHAnsi"/>
        </w:rPr>
      </w:pPr>
      <w:r w:rsidRPr="006D6A3F">
        <w:rPr>
          <w:rFonts w:cstheme="minorHAnsi"/>
        </w:rPr>
        <w:t xml:space="preserve">Formation « </w:t>
      </w:r>
      <w:proofErr w:type="spellStart"/>
      <w:r w:rsidRPr="006D6A3F">
        <w:rPr>
          <w:rFonts w:cstheme="minorHAnsi"/>
        </w:rPr>
        <w:t>Interviewing</w:t>
      </w:r>
      <w:proofErr w:type="spellEnd"/>
      <w:r w:rsidRPr="006D6A3F">
        <w:rPr>
          <w:rFonts w:cstheme="minorHAnsi"/>
        </w:rPr>
        <w:t xml:space="preserve"> </w:t>
      </w:r>
      <w:proofErr w:type="spellStart"/>
      <w:r w:rsidRPr="006D6A3F">
        <w:rPr>
          <w:rFonts w:cstheme="minorHAnsi"/>
        </w:rPr>
        <w:t>vulnerable</w:t>
      </w:r>
      <w:proofErr w:type="spellEnd"/>
      <w:r w:rsidRPr="006D6A3F">
        <w:rPr>
          <w:rFonts w:cstheme="minorHAnsi"/>
        </w:rPr>
        <w:t xml:space="preserve"> </w:t>
      </w:r>
      <w:proofErr w:type="spellStart"/>
      <w:r w:rsidRPr="006D6A3F">
        <w:rPr>
          <w:rFonts w:cstheme="minorHAnsi"/>
        </w:rPr>
        <w:t>persons</w:t>
      </w:r>
      <w:proofErr w:type="spellEnd"/>
      <w:r w:rsidRPr="006D6A3F">
        <w:rPr>
          <w:rFonts w:cstheme="minorHAnsi"/>
        </w:rPr>
        <w:t xml:space="preserve"> »</w:t>
      </w:r>
    </w:p>
    <w:p w14:paraId="11BC62EA" w14:textId="77777777" w:rsidR="00D26343" w:rsidRPr="006D6A3F" w:rsidRDefault="00D26343" w:rsidP="00DC50DE">
      <w:pPr>
        <w:pStyle w:val="ListParagraph"/>
        <w:numPr>
          <w:ilvl w:val="1"/>
          <w:numId w:val="35"/>
        </w:numPr>
        <w:spacing w:after="240" w:line="259" w:lineRule="auto"/>
        <w:jc w:val="both"/>
        <w:rPr>
          <w:rFonts w:cstheme="minorHAnsi"/>
        </w:rPr>
      </w:pPr>
      <w:r w:rsidRPr="006D6A3F">
        <w:rPr>
          <w:rFonts w:cstheme="minorHAnsi"/>
        </w:rPr>
        <w:t xml:space="preserve">Formation « Gender, Gender </w:t>
      </w:r>
      <w:proofErr w:type="spellStart"/>
      <w:r w:rsidRPr="006D6A3F">
        <w:rPr>
          <w:rFonts w:cstheme="minorHAnsi"/>
        </w:rPr>
        <w:t>Identity</w:t>
      </w:r>
      <w:proofErr w:type="spellEnd"/>
      <w:r w:rsidRPr="006D6A3F">
        <w:rPr>
          <w:rFonts w:cstheme="minorHAnsi"/>
        </w:rPr>
        <w:t xml:space="preserve"> and </w:t>
      </w:r>
      <w:proofErr w:type="spellStart"/>
      <w:r w:rsidRPr="006D6A3F">
        <w:rPr>
          <w:rFonts w:cstheme="minorHAnsi"/>
        </w:rPr>
        <w:t>Sexual</w:t>
      </w:r>
      <w:proofErr w:type="spellEnd"/>
      <w:r w:rsidRPr="006D6A3F">
        <w:rPr>
          <w:rFonts w:cstheme="minorHAnsi"/>
        </w:rPr>
        <w:t xml:space="preserve"> Orientation »</w:t>
      </w:r>
    </w:p>
    <w:p w14:paraId="032B60E3" w14:textId="77777777" w:rsidR="00D26343" w:rsidRPr="006D6A3F" w:rsidRDefault="00D26343" w:rsidP="00DC50DE">
      <w:pPr>
        <w:pStyle w:val="ListParagraph"/>
        <w:numPr>
          <w:ilvl w:val="1"/>
          <w:numId w:val="35"/>
        </w:numPr>
        <w:spacing w:after="240" w:line="259" w:lineRule="auto"/>
        <w:jc w:val="both"/>
        <w:rPr>
          <w:rFonts w:cstheme="minorHAnsi"/>
        </w:rPr>
      </w:pPr>
      <w:r w:rsidRPr="006D6A3F">
        <w:rPr>
          <w:rFonts w:cstheme="minorHAnsi"/>
        </w:rPr>
        <w:t>Formation « Traite des êtres humains »</w:t>
      </w:r>
    </w:p>
    <w:p w14:paraId="32308895" w14:textId="77777777" w:rsidR="00D26343" w:rsidRPr="006D6A3F" w:rsidRDefault="00D26343" w:rsidP="00DC50DE">
      <w:pPr>
        <w:pStyle w:val="ListParagraph"/>
        <w:numPr>
          <w:ilvl w:val="1"/>
          <w:numId w:val="35"/>
        </w:numPr>
        <w:spacing w:after="240" w:line="259" w:lineRule="auto"/>
        <w:jc w:val="both"/>
        <w:rPr>
          <w:rFonts w:cstheme="minorHAnsi"/>
        </w:rPr>
      </w:pPr>
      <w:r w:rsidRPr="006D6A3F">
        <w:rPr>
          <w:rFonts w:cstheme="minorHAnsi"/>
        </w:rPr>
        <w:t xml:space="preserve">Participation à la « Journée de conférence sur la violence sexuelle » organisée par le Centre national de référence pour la promotion de la santé émotionnelle et sexuelle. </w:t>
      </w:r>
    </w:p>
    <w:p w14:paraId="0AF484BE" w14:textId="77777777" w:rsidR="00D26343" w:rsidRPr="006D6A3F" w:rsidRDefault="00D26343" w:rsidP="00DC50DE">
      <w:pPr>
        <w:pStyle w:val="ListParagraph"/>
        <w:numPr>
          <w:ilvl w:val="1"/>
          <w:numId w:val="35"/>
        </w:numPr>
        <w:spacing w:after="240"/>
        <w:jc w:val="both"/>
        <w:rPr>
          <w:rFonts w:cstheme="minorHAnsi"/>
        </w:rPr>
      </w:pPr>
      <w:r w:rsidRPr="006D6A3F">
        <w:rPr>
          <w:rFonts w:cstheme="minorHAnsi"/>
        </w:rPr>
        <w:t>Participation aux « Journées de formation et échange sur les violences liées au genre dans un contexte migratoire » </w:t>
      </w:r>
    </w:p>
    <w:p w14:paraId="61951183" w14:textId="77777777" w:rsidR="00D26343" w:rsidRPr="006D6A3F" w:rsidRDefault="00D26343" w:rsidP="00DC50DE">
      <w:pPr>
        <w:pStyle w:val="ListParagraph"/>
        <w:numPr>
          <w:ilvl w:val="1"/>
          <w:numId w:val="35"/>
        </w:numPr>
        <w:spacing w:after="240"/>
        <w:jc w:val="both"/>
        <w:rPr>
          <w:rFonts w:cstheme="minorHAnsi"/>
        </w:rPr>
      </w:pPr>
      <w:r w:rsidRPr="006D6A3F">
        <w:rPr>
          <w:rFonts w:cstheme="minorHAnsi"/>
        </w:rPr>
        <w:t xml:space="preserve">Formation « Approche des victimes de traite et/ou trafic des êtres humains- Posture du travailleur et compréhension du phénomène » </w:t>
      </w:r>
    </w:p>
    <w:p w14:paraId="2ECDBA0A" w14:textId="77777777" w:rsidR="00D26343" w:rsidRPr="006D6A3F" w:rsidRDefault="00D26343" w:rsidP="00DC50DE">
      <w:pPr>
        <w:pStyle w:val="ListParagraph"/>
        <w:numPr>
          <w:ilvl w:val="1"/>
          <w:numId w:val="35"/>
        </w:numPr>
        <w:spacing w:after="240"/>
        <w:jc w:val="both"/>
        <w:rPr>
          <w:rFonts w:cstheme="minorHAnsi"/>
        </w:rPr>
      </w:pPr>
      <w:r w:rsidRPr="006D6A3F">
        <w:rPr>
          <w:rFonts w:cstheme="minorHAnsi"/>
        </w:rPr>
        <w:t xml:space="preserve">Formation « Désescalade psychologique / communication non violente » </w:t>
      </w:r>
    </w:p>
    <w:p w14:paraId="755C358B" w14:textId="4B3E976B" w:rsidR="00D26343" w:rsidRPr="006D6A3F" w:rsidRDefault="00D26343" w:rsidP="00DC50DE">
      <w:pPr>
        <w:pStyle w:val="ListParagraph"/>
        <w:numPr>
          <w:ilvl w:val="1"/>
          <w:numId w:val="35"/>
        </w:numPr>
        <w:spacing w:after="240"/>
        <w:jc w:val="both"/>
        <w:rPr>
          <w:rFonts w:cstheme="minorHAnsi"/>
        </w:rPr>
      </w:pPr>
      <w:r w:rsidRPr="006D6A3F">
        <w:rPr>
          <w:rFonts w:cstheme="minorHAnsi"/>
        </w:rPr>
        <w:t>Formation « Le traumatisme psychique est-il contagieux? »</w:t>
      </w:r>
    </w:p>
    <w:p w14:paraId="4F5D91CE" w14:textId="77777777" w:rsidR="004F3733" w:rsidRPr="006D6A3F" w:rsidRDefault="004F3733" w:rsidP="004F3733">
      <w:pPr>
        <w:pStyle w:val="ListParagraph"/>
        <w:spacing w:after="240"/>
        <w:jc w:val="both"/>
        <w:rPr>
          <w:rFonts w:cstheme="minorHAnsi"/>
        </w:rPr>
      </w:pPr>
    </w:p>
    <w:p w14:paraId="6D7F1565" w14:textId="57DCDED6" w:rsidR="00D26343" w:rsidRPr="006D6A3F" w:rsidRDefault="00D26343" w:rsidP="00DC50DE">
      <w:pPr>
        <w:pStyle w:val="ListParagraph"/>
        <w:numPr>
          <w:ilvl w:val="0"/>
          <w:numId w:val="35"/>
        </w:numPr>
        <w:spacing w:after="240"/>
        <w:jc w:val="both"/>
        <w:rPr>
          <w:rFonts w:cstheme="minorHAnsi"/>
        </w:rPr>
      </w:pPr>
      <w:r w:rsidRPr="006D6A3F">
        <w:rPr>
          <w:rFonts w:cstheme="minorHAnsi"/>
        </w:rPr>
        <w:t xml:space="preserve">Agents de l’Office national de l’accueil (ONA) : </w:t>
      </w:r>
    </w:p>
    <w:p w14:paraId="3F64C64B" w14:textId="77777777" w:rsidR="00D26343" w:rsidRPr="006D6A3F" w:rsidRDefault="00D26343" w:rsidP="00DC50DE">
      <w:pPr>
        <w:pStyle w:val="ListParagraph"/>
        <w:numPr>
          <w:ilvl w:val="1"/>
          <w:numId w:val="35"/>
        </w:numPr>
        <w:spacing w:after="240"/>
        <w:jc w:val="both"/>
        <w:rPr>
          <w:rFonts w:cstheme="minorHAnsi"/>
        </w:rPr>
      </w:pPr>
      <w:r w:rsidRPr="006D6A3F">
        <w:rPr>
          <w:rFonts w:cstheme="minorHAnsi"/>
        </w:rPr>
        <w:t>Formation sur l’approche et l’accompagnement des victimes de la TEH (Traite des Êtres Humains</w:t>
      </w:r>
    </w:p>
    <w:p w14:paraId="1817F5CD" w14:textId="77777777" w:rsidR="00D26343" w:rsidRPr="006D6A3F" w:rsidRDefault="00D26343" w:rsidP="00DC50DE">
      <w:pPr>
        <w:pStyle w:val="ListParagraph"/>
        <w:numPr>
          <w:ilvl w:val="1"/>
          <w:numId w:val="35"/>
        </w:numPr>
        <w:spacing w:after="240"/>
        <w:jc w:val="both"/>
        <w:rPr>
          <w:rFonts w:cstheme="minorHAnsi"/>
        </w:rPr>
      </w:pPr>
      <w:r w:rsidRPr="006D6A3F">
        <w:rPr>
          <w:rFonts w:cstheme="minorHAnsi"/>
        </w:rPr>
        <w:t>Formation sur l’</w:t>
      </w:r>
      <w:r w:rsidRPr="006D6A3F">
        <w:rPr>
          <w:rFonts w:eastAsiaTheme="minorEastAsia" w:cstheme="minorHAnsi"/>
        </w:rPr>
        <w:t>approche et l’accompagnement des personnes LGBTIQ+</w:t>
      </w:r>
    </w:p>
    <w:p w14:paraId="6A3D890B" w14:textId="77777777" w:rsidR="00D26343" w:rsidRPr="006D6A3F" w:rsidRDefault="00D26343" w:rsidP="00DC50DE">
      <w:pPr>
        <w:pStyle w:val="ListParagraph"/>
        <w:numPr>
          <w:ilvl w:val="1"/>
          <w:numId w:val="35"/>
        </w:numPr>
        <w:spacing w:after="240"/>
        <w:jc w:val="both"/>
        <w:rPr>
          <w:rFonts w:cstheme="minorHAnsi"/>
        </w:rPr>
      </w:pPr>
      <w:r w:rsidRPr="006D6A3F">
        <w:rPr>
          <w:rFonts w:eastAsiaTheme="minorEastAsia" w:cstheme="minorHAnsi"/>
        </w:rPr>
        <w:t xml:space="preserve">Formation sur </w:t>
      </w:r>
      <w:r w:rsidRPr="006D6A3F">
        <w:rPr>
          <w:rFonts w:cstheme="minorHAnsi"/>
        </w:rPr>
        <w:t>les mutilations génitales féminines</w:t>
      </w:r>
    </w:p>
    <w:p w14:paraId="55BF6773" w14:textId="77777777" w:rsidR="00D26343" w:rsidRPr="006D6A3F" w:rsidRDefault="00D26343" w:rsidP="00DC50DE">
      <w:pPr>
        <w:pStyle w:val="ListParagraph"/>
        <w:numPr>
          <w:ilvl w:val="1"/>
          <w:numId w:val="35"/>
        </w:numPr>
        <w:spacing w:after="240"/>
        <w:jc w:val="both"/>
        <w:rPr>
          <w:rFonts w:cstheme="minorHAnsi"/>
        </w:rPr>
      </w:pPr>
      <w:r w:rsidRPr="006D6A3F">
        <w:rPr>
          <w:rFonts w:eastAsiaTheme="minorEastAsia" w:cstheme="minorHAnsi"/>
        </w:rPr>
        <w:t>Formation sur la diversité culturelle, sexuelle et de genre </w:t>
      </w:r>
    </w:p>
    <w:p w14:paraId="2AF09BAB" w14:textId="77777777" w:rsidR="00D26343" w:rsidRPr="006D6A3F" w:rsidRDefault="00D26343" w:rsidP="00DC50DE">
      <w:pPr>
        <w:pStyle w:val="ListParagraph"/>
        <w:numPr>
          <w:ilvl w:val="1"/>
          <w:numId w:val="35"/>
        </w:numPr>
        <w:spacing w:after="240"/>
        <w:jc w:val="both"/>
        <w:rPr>
          <w:rFonts w:cstheme="minorHAnsi"/>
        </w:rPr>
      </w:pPr>
      <w:r w:rsidRPr="006D6A3F">
        <w:rPr>
          <w:rFonts w:eastAsiaTheme="minorEastAsia" w:cstheme="minorHAnsi"/>
        </w:rPr>
        <w:t>Formation sur la santé mentale et prévention des maladies mentales</w:t>
      </w:r>
    </w:p>
    <w:p w14:paraId="6B90B062" w14:textId="77777777" w:rsidR="00D26343" w:rsidRPr="006D6A3F" w:rsidRDefault="00D26343" w:rsidP="00DC50DE">
      <w:pPr>
        <w:spacing w:after="240"/>
        <w:jc w:val="both"/>
        <w:rPr>
          <w:rFonts w:cstheme="minorHAnsi"/>
        </w:rPr>
      </w:pPr>
    </w:p>
    <w:p w14:paraId="629E5F0D" w14:textId="77777777" w:rsidR="00D26343" w:rsidRPr="006D6A3F" w:rsidRDefault="00D26343" w:rsidP="00DC50DE">
      <w:pPr>
        <w:pStyle w:val="ListParagraph"/>
        <w:numPr>
          <w:ilvl w:val="0"/>
          <w:numId w:val="35"/>
        </w:numPr>
        <w:spacing w:after="240"/>
        <w:jc w:val="both"/>
        <w:rPr>
          <w:rFonts w:cstheme="minorHAnsi"/>
        </w:rPr>
      </w:pPr>
      <w:r w:rsidRPr="006D6A3F">
        <w:rPr>
          <w:rFonts w:cstheme="minorHAnsi"/>
        </w:rPr>
        <w:t xml:space="preserve">Agents de la Police Grand-Ducale : </w:t>
      </w:r>
    </w:p>
    <w:p w14:paraId="490E35B3" w14:textId="77777777" w:rsidR="00D26343" w:rsidRPr="006D6A3F" w:rsidRDefault="00D26343" w:rsidP="00DC50DE">
      <w:pPr>
        <w:pStyle w:val="ListParagraph"/>
        <w:numPr>
          <w:ilvl w:val="1"/>
          <w:numId w:val="35"/>
        </w:numPr>
        <w:spacing w:after="240"/>
        <w:jc w:val="both"/>
        <w:rPr>
          <w:rFonts w:cstheme="minorHAnsi"/>
        </w:rPr>
      </w:pPr>
      <w:r w:rsidRPr="006D6A3F">
        <w:rPr>
          <w:rFonts w:cstheme="minorHAnsi"/>
        </w:rPr>
        <w:t>Formation « Traite des êtres humains »</w:t>
      </w:r>
    </w:p>
    <w:p w14:paraId="7E0255A3" w14:textId="142420E2" w:rsidR="00D26343" w:rsidRPr="006D6A3F" w:rsidRDefault="00D26343" w:rsidP="00DC50DE">
      <w:pPr>
        <w:pStyle w:val="ListParagraph"/>
        <w:numPr>
          <w:ilvl w:val="1"/>
          <w:numId w:val="35"/>
        </w:numPr>
        <w:spacing w:after="240"/>
        <w:jc w:val="both"/>
        <w:rPr>
          <w:rFonts w:cstheme="minorHAnsi"/>
        </w:rPr>
      </w:pPr>
      <w:r w:rsidRPr="006D6A3F">
        <w:rPr>
          <w:rFonts w:cstheme="minorHAnsi"/>
        </w:rPr>
        <w:t>Formation organisée par FRONTEX visant à la sensibilisation de la nécessité :</w:t>
      </w:r>
    </w:p>
    <w:p w14:paraId="3A9C3C49" w14:textId="77777777" w:rsidR="00D26343" w:rsidRPr="006D6A3F" w:rsidRDefault="00D26343" w:rsidP="00DC50DE">
      <w:pPr>
        <w:pStyle w:val="ListParagraph"/>
        <w:numPr>
          <w:ilvl w:val="0"/>
          <w:numId w:val="36"/>
        </w:numPr>
        <w:spacing w:after="240" w:line="259" w:lineRule="auto"/>
        <w:ind w:left="2520"/>
        <w:jc w:val="both"/>
        <w:rPr>
          <w:rFonts w:cstheme="minorHAnsi"/>
        </w:rPr>
      </w:pPr>
      <w:r w:rsidRPr="006D6A3F">
        <w:rPr>
          <w:rFonts w:cstheme="minorHAnsi"/>
        </w:rPr>
        <w:t>De veiller au respect, à la dignité et à l’intégrité de la personne soumise à une fouille corporelle;</w:t>
      </w:r>
    </w:p>
    <w:p w14:paraId="16C18FEB" w14:textId="77777777" w:rsidR="00D26343" w:rsidRPr="006D6A3F" w:rsidRDefault="00D26343" w:rsidP="00DC50DE">
      <w:pPr>
        <w:pStyle w:val="ListParagraph"/>
        <w:numPr>
          <w:ilvl w:val="0"/>
          <w:numId w:val="36"/>
        </w:numPr>
        <w:spacing w:after="240" w:line="259" w:lineRule="auto"/>
        <w:ind w:left="2520"/>
        <w:jc w:val="both"/>
        <w:rPr>
          <w:rFonts w:cstheme="minorHAnsi"/>
        </w:rPr>
      </w:pPr>
      <w:r w:rsidRPr="006D6A3F">
        <w:rPr>
          <w:rFonts w:cstheme="minorHAnsi"/>
        </w:rPr>
        <w:t>De veiller au respect de la dignité de la personne à éloigner pendant toute la durée de l’opération d’éloignement ;</w:t>
      </w:r>
    </w:p>
    <w:p w14:paraId="1ABAE438" w14:textId="77777777" w:rsidR="00D26343" w:rsidRPr="006D6A3F" w:rsidRDefault="00D26343" w:rsidP="00DC50DE">
      <w:pPr>
        <w:pStyle w:val="ListParagraph"/>
        <w:numPr>
          <w:ilvl w:val="0"/>
          <w:numId w:val="36"/>
        </w:numPr>
        <w:spacing w:after="240" w:line="259" w:lineRule="auto"/>
        <w:ind w:left="2520"/>
        <w:jc w:val="both"/>
        <w:rPr>
          <w:rFonts w:cstheme="minorHAnsi"/>
        </w:rPr>
      </w:pPr>
      <w:r w:rsidRPr="006D6A3F">
        <w:rPr>
          <w:rFonts w:cstheme="minorHAnsi"/>
        </w:rPr>
        <w:t>De veiller à ce que le menu proposé lors du vol soit compatible avec les convictions religieuses de la personne.</w:t>
      </w:r>
    </w:p>
    <w:p w14:paraId="75BD0F5E" w14:textId="77777777" w:rsidR="00D26343" w:rsidRPr="006D6A3F" w:rsidRDefault="00D26343" w:rsidP="00DC50DE">
      <w:pPr>
        <w:pStyle w:val="ListParagraph"/>
        <w:numPr>
          <w:ilvl w:val="0"/>
          <w:numId w:val="35"/>
        </w:numPr>
        <w:spacing w:after="240"/>
        <w:jc w:val="both"/>
        <w:rPr>
          <w:rFonts w:cstheme="minorHAnsi"/>
        </w:rPr>
      </w:pPr>
      <w:r w:rsidRPr="006D6A3F">
        <w:rPr>
          <w:rFonts w:cstheme="minorHAnsi"/>
        </w:rPr>
        <w:t xml:space="preserve">Agents de la Direction de la Santé : </w:t>
      </w:r>
    </w:p>
    <w:p w14:paraId="085E394C" w14:textId="18E03171" w:rsidR="00D26343" w:rsidRPr="006D6A3F" w:rsidRDefault="00D26343" w:rsidP="00DC50DE">
      <w:pPr>
        <w:pStyle w:val="ListParagraph"/>
        <w:numPr>
          <w:ilvl w:val="1"/>
          <w:numId w:val="35"/>
        </w:numPr>
        <w:spacing w:after="240"/>
        <w:jc w:val="both"/>
        <w:rPr>
          <w:rFonts w:cstheme="minorHAnsi"/>
        </w:rPr>
      </w:pPr>
      <w:r w:rsidRPr="006D6A3F">
        <w:rPr>
          <w:rFonts w:cstheme="minorHAnsi"/>
        </w:rPr>
        <w:t xml:space="preserve">Formation sur les mutilations sexuelles devrait être dispensée par le planning familial (un gestionnaire conventionné avec le Ministère de la Santé) courant 2023. </w:t>
      </w:r>
    </w:p>
    <w:p w14:paraId="7A7C7E49" w14:textId="40514203" w:rsidR="000307EA" w:rsidRPr="006D6A3F" w:rsidRDefault="000307EA" w:rsidP="00DC50DE">
      <w:pPr>
        <w:spacing w:after="240"/>
        <w:jc w:val="both"/>
        <w:rPr>
          <w:rFonts w:cstheme="minorHAnsi"/>
        </w:rPr>
      </w:pPr>
      <w:r w:rsidRPr="006D6A3F">
        <w:rPr>
          <w:rFonts w:cstheme="minorHAnsi"/>
        </w:rPr>
        <w:t xml:space="preserve">En outre, en décembre 2019, 9 des 12 agents du Service réfugiés de la Direction de l’immigration qui sont en contact direct avec les demandeurs d’asile lors des entretiens personnels, ont participé à une journée de conférence sur la violence sexuelle organisée par le Centre national de référence pour la promotion de la santé émotionnelle et sexuelle. </w:t>
      </w:r>
    </w:p>
    <w:p w14:paraId="2C156ED1" w14:textId="77777777" w:rsidR="000307EA" w:rsidRPr="006D6A3F" w:rsidRDefault="000307EA" w:rsidP="00DC50DE">
      <w:pPr>
        <w:spacing w:after="240"/>
        <w:jc w:val="both"/>
        <w:rPr>
          <w:rFonts w:cstheme="minorHAnsi"/>
        </w:rPr>
      </w:pPr>
      <w:r w:rsidRPr="006D6A3F">
        <w:rPr>
          <w:rFonts w:cstheme="minorHAnsi"/>
        </w:rPr>
        <w:t xml:space="preserve">Concernant la prétendue pratique préoccupante menée lors de l’enregistrement de demandes d’asile à l’été 2020, le Grand-Duché tient à rappeler que les agents en charge de l’accueil des demandeurs d’asile, communiquent avec ces derniers en leur donnant une expectative objective en application pragmatique de la loi luxembourgeoise de 2015 relative à la protection internationale et à la protection temporaire. </w:t>
      </w:r>
    </w:p>
    <w:p w14:paraId="4A6336F8" w14:textId="181FA16C" w:rsidR="000307EA" w:rsidRPr="006D6A3F" w:rsidRDefault="00B44244" w:rsidP="00DC50DE">
      <w:pPr>
        <w:spacing w:after="240"/>
        <w:jc w:val="both"/>
        <w:rPr>
          <w:rFonts w:cstheme="minorHAnsi"/>
        </w:rPr>
      </w:pPr>
      <w:r w:rsidRPr="006D6A3F">
        <w:rPr>
          <w:rFonts w:cstheme="minorHAnsi"/>
        </w:rPr>
        <w:t>À</w:t>
      </w:r>
      <w:r w:rsidR="000307EA" w:rsidRPr="006D6A3F">
        <w:rPr>
          <w:rFonts w:cstheme="minorHAnsi"/>
        </w:rPr>
        <w:t xml:space="preserve"> cet égard, le Grand-Duché se permet de citer le raisonnement rendu par le Tribunal administratif dans son jugement du 29 septembre 2022 (n°45273 du rôle) à l’égard du recours introduit à l’encontre de cette prétendue pratique par une ONG luxembourgeoise, selon lequel « (…) </w:t>
      </w:r>
      <w:r w:rsidR="000307EA" w:rsidRPr="006D6A3F">
        <w:rPr>
          <w:rFonts w:cstheme="minorHAnsi"/>
          <w:i/>
        </w:rPr>
        <w:t>au vu des éléments soumis à son appréciation</w:t>
      </w:r>
      <w:r w:rsidR="000307EA" w:rsidRPr="006D6A3F">
        <w:rPr>
          <w:rFonts w:cstheme="minorHAnsi"/>
        </w:rPr>
        <w:t xml:space="preserve"> (…), </w:t>
      </w:r>
      <w:r w:rsidR="000307EA" w:rsidRPr="006D6A3F">
        <w:rPr>
          <w:rFonts w:cstheme="minorHAnsi"/>
          <w:i/>
        </w:rPr>
        <w:t xml:space="preserve">il n’est pas établi qu’il existe une pratique institutionnalisée de refus d’enregistrement de demandes de protection internationale, d’intimidation ou de dissuasion des personnes se présentant au service compétent de la direction de l’Immigration aux fins de l’introduction d’une telle demande </w:t>
      </w:r>
      <w:r w:rsidR="000307EA" w:rsidRPr="006D6A3F">
        <w:rPr>
          <w:rFonts w:cstheme="minorHAnsi"/>
        </w:rPr>
        <w:t xml:space="preserve">(…) ». </w:t>
      </w:r>
    </w:p>
    <w:p w14:paraId="5B409232" w14:textId="2D7AA2C4" w:rsidR="000307EA" w:rsidRPr="006D6A3F" w:rsidRDefault="00B44244" w:rsidP="00DC50DE">
      <w:pPr>
        <w:spacing w:after="240"/>
        <w:jc w:val="both"/>
        <w:rPr>
          <w:rFonts w:cstheme="minorHAnsi"/>
          <w:i/>
        </w:rPr>
      </w:pPr>
      <w:r w:rsidRPr="006D6A3F">
        <w:rPr>
          <w:rFonts w:cstheme="minorHAnsi"/>
        </w:rPr>
        <w:t>À</w:t>
      </w:r>
      <w:r w:rsidR="000307EA" w:rsidRPr="006D6A3F">
        <w:rPr>
          <w:rFonts w:cstheme="minorHAnsi"/>
        </w:rPr>
        <w:t xml:space="preserve"> souligner que suite à l</w:t>
      </w:r>
      <w:r w:rsidR="00885006" w:rsidRPr="006D6A3F">
        <w:rPr>
          <w:rFonts w:cstheme="minorHAnsi"/>
        </w:rPr>
        <w:t>’appel introduit par l’</w:t>
      </w:r>
      <w:r w:rsidR="000307EA" w:rsidRPr="006D6A3F">
        <w:rPr>
          <w:rFonts w:cstheme="minorHAnsi"/>
        </w:rPr>
        <w:t>ONG luxembourgeoise</w:t>
      </w:r>
      <w:r w:rsidR="00885006" w:rsidRPr="006D6A3F">
        <w:rPr>
          <w:rFonts w:cstheme="minorHAnsi"/>
        </w:rPr>
        <w:t xml:space="preserve"> en question </w:t>
      </w:r>
      <w:r w:rsidR="000307EA" w:rsidRPr="006D6A3F">
        <w:rPr>
          <w:rFonts w:cstheme="minorHAnsi"/>
        </w:rPr>
        <w:t xml:space="preserve">, la Cour administrative, dans son arrêt récent du 23 février 2023 (n°48104C du rôle) a suivi le raisonnement des juges de première instance en retenant qu’elle ne dénotait pas « (…) </w:t>
      </w:r>
      <w:r w:rsidR="000307EA" w:rsidRPr="006D6A3F">
        <w:rPr>
          <w:rFonts w:cstheme="minorHAnsi"/>
          <w:i/>
        </w:rPr>
        <w:t xml:space="preserve">la preuve d’une pratique institutionnalisée de refus d’enregistrement de demandes de protection internationale, d’intimidation ou de dissuasion des personnes se présentant au service compétent de la direction de l’Immigration aux fins de l’introduction d’une telle demande </w:t>
      </w:r>
      <w:r w:rsidR="000307EA" w:rsidRPr="006D6A3F">
        <w:rPr>
          <w:rFonts w:cstheme="minorHAnsi"/>
        </w:rPr>
        <w:t xml:space="preserve">(…) ». </w:t>
      </w:r>
    </w:p>
    <w:p w14:paraId="1B34C231" w14:textId="77777777" w:rsidR="000307EA" w:rsidRPr="006D6A3F" w:rsidRDefault="000307EA" w:rsidP="00DC50DE">
      <w:pPr>
        <w:spacing w:after="240"/>
        <w:jc w:val="both"/>
        <w:rPr>
          <w:rFonts w:cstheme="minorHAnsi"/>
        </w:rPr>
      </w:pPr>
      <w:r w:rsidRPr="006D6A3F">
        <w:rPr>
          <w:rFonts w:cstheme="minorHAnsi"/>
        </w:rPr>
        <w:t xml:space="preserve">Enfin, le Grand-Duché est conscient qu’il doit mettre l’accent sur une formation plus spécifiquement liées aux tortures et à l’orientation vers des services dédiés autres que le planning familial. </w:t>
      </w:r>
      <w:proofErr w:type="spellStart"/>
      <w:r w:rsidRPr="006D6A3F">
        <w:rPr>
          <w:rFonts w:cstheme="minorHAnsi"/>
        </w:rPr>
        <w:t>A</w:t>
      </w:r>
      <w:proofErr w:type="spellEnd"/>
      <w:r w:rsidRPr="006D6A3F">
        <w:rPr>
          <w:rFonts w:cstheme="minorHAnsi"/>
        </w:rPr>
        <w:t xml:space="preserve"> ce titre, le démarrage de la </w:t>
      </w:r>
      <w:r w:rsidRPr="006D6A3F">
        <w:rPr>
          <w:rFonts w:cstheme="minorHAnsi"/>
          <w:b/>
        </w:rPr>
        <w:t>cellule psychologique de la Direction de la Santé</w:t>
      </w:r>
      <w:r w:rsidRPr="006D6A3F">
        <w:rPr>
          <w:rFonts w:cstheme="minorHAnsi"/>
        </w:rPr>
        <w:t xml:space="preserve"> d’ici mi-mai 2023 permettra d’améliorer le bilan médico-psychologique effectué et de mieux établir la cartographie avec les services </w:t>
      </w:r>
      <w:r w:rsidRPr="006D6A3F">
        <w:rPr>
          <w:rFonts w:cstheme="minorHAnsi"/>
        </w:rPr>
        <w:lastRenderedPageBreak/>
        <w:t>compétents. L’équipe médico-psychologique prévoit également l’évaluation des formations disponibles ainsi que futures et nécessaires à mettre en place en la matière.</w:t>
      </w:r>
    </w:p>
    <w:p w14:paraId="6D9C6AF8" w14:textId="73D798E6" w:rsidR="000307EA" w:rsidRPr="006D6A3F" w:rsidRDefault="000307EA" w:rsidP="00DC50DE">
      <w:pPr>
        <w:spacing w:after="240"/>
        <w:jc w:val="both"/>
        <w:rPr>
          <w:rFonts w:cstheme="minorHAnsi"/>
        </w:rPr>
      </w:pPr>
      <w:r w:rsidRPr="006D6A3F">
        <w:rPr>
          <w:rFonts w:cstheme="minorHAnsi"/>
        </w:rPr>
        <w:t xml:space="preserve">Le Grand-Duché de Luxembourg n’applique plus </w:t>
      </w:r>
      <w:r w:rsidR="004F3733" w:rsidRPr="006D6A3F">
        <w:rPr>
          <w:rFonts w:cstheme="minorHAnsi"/>
        </w:rPr>
        <w:t>la</w:t>
      </w:r>
      <w:r w:rsidRPr="006D6A3F">
        <w:rPr>
          <w:rFonts w:cstheme="minorHAnsi"/>
        </w:rPr>
        <w:t xml:space="preserve"> procédure</w:t>
      </w:r>
      <w:r w:rsidR="004F3733" w:rsidRPr="006D6A3F">
        <w:rPr>
          <w:rFonts w:cstheme="minorHAnsi"/>
        </w:rPr>
        <w:t xml:space="preserve"> consistant à effectuer des examens médicaux de mineurs non accompagnées sans documents d’identité afin de </w:t>
      </w:r>
      <w:r w:rsidR="004F3733" w:rsidRPr="006D6A3F">
        <w:rPr>
          <w:rFonts w:cstheme="minorHAnsi"/>
          <w:b/>
        </w:rPr>
        <w:t>déterminer l’âge des DPI.</w:t>
      </w:r>
      <w:r w:rsidRPr="006D6A3F">
        <w:rPr>
          <w:rFonts w:cstheme="minorHAnsi"/>
        </w:rPr>
        <w:t xml:space="preserve"> Actuellement, afin de déterminer l’âge des personnes demandeurs d’asile, un test osseux est effectué. Ce test consiste en une radio de la main et en une radio de la clavicule ainsi que d’un panoramique dentaire effectué par un médecin expert du Laboratoire national de la Santé (LNS) du Luxembourg au sein de l’hôpital de Dudelange. Ledit médecin expert examine les résultats, discute avec la personne demandeur d’asile afin de constituer une anamnèse et rend enfin un rapport sur base de tous ces résultats. </w:t>
      </w:r>
    </w:p>
    <w:p w14:paraId="55BA0B9B" w14:textId="028DFA81" w:rsidR="00BF29A4" w:rsidRPr="006D6A3F" w:rsidRDefault="00BF29A4" w:rsidP="00DC50DE">
      <w:pPr>
        <w:pStyle w:val="Heading3"/>
      </w:pPr>
      <w:bookmarkStart w:id="22" w:name="_Toc133934858"/>
      <w:r w:rsidRPr="006D6A3F">
        <w:t>V.3. Soutien aux demandeurs de protection internationale</w:t>
      </w:r>
      <w:bookmarkEnd w:id="22"/>
    </w:p>
    <w:p w14:paraId="1BCFE9A0" w14:textId="72C264C1" w:rsidR="00BF29A4" w:rsidRPr="006D6A3F" w:rsidRDefault="00BF29A4" w:rsidP="00DC50DE">
      <w:pPr>
        <w:pStyle w:val="Heading4"/>
        <w:numPr>
          <w:ilvl w:val="0"/>
          <w:numId w:val="21"/>
        </w:numPr>
        <w:spacing w:before="0"/>
      </w:pPr>
      <w:r w:rsidRPr="006D6A3F">
        <w:t>Pendant l'examen de la demande de protection</w:t>
      </w:r>
    </w:p>
    <w:p w14:paraId="4C0B90DB" w14:textId="0EB03004" w:rsidR="006D6A3F" w:rsidRPr="006D6A3F" w:rsidRDefault="006D6A3F" w:rsidP="006D6A3F">
      <w:pPr>
        <w:spacing w:after="240"/>
        <w:jc w:val="both"/>
      </w:pPr>
      <w:r w:rsidRPr="006D6A3F">
        <w:t xml:space="preserve">Concernant les aides allouées aux demandeurs de protection internationale (DPI), il y a lieu de souligner que l'Office national de l’accueil (ONA) couvre l’intégralité des frais de logement pour de ces derniers, à savoir le chauffage, l'électricité, le wifi, l'eau, le loyer, afin que l'ensemble des domaines (avec leur augmentation de prix) ne soient pas impactés par l’inflation des prix. D'un point de vue légal, le tarif est soumis à l’indexation automatique et les montants sont définis par la loi. Les personnes reçoivent </w:t>
      </w:r>
      <w:r w:rsidRPr="006D6A3F">
        <w:rPr>
          <w:b/>
          <w:bCs/>
        </w:rPr>
        <w:t>231€/adulte (adapté à l’index)</w:t>
      </w:r>
      <w:r w:rsidRPr="006D6A3F">
        <w:t>.</w:t>
      </w:r>
    </w:p>
    <w:p w14:paraId="29AAB930" w14:textId="6FA29A6F" w:rsidR="006D6A3F" w:rsidRPr="006D6A3F" w:rsidRDefault="006D6A3F" w:rsidP="006D6A3F">
      <w:pPr>
        <w:spacing w:after="240"/>
        <w:jc w:val="both"/>
      </w:pPr>
      <w:r w:rsidRPr="006D6A3F">
        <w:t>De plus, il a lieu de souligner qu’au sein du réseau d’hébergement de l’ONA, plusieurs systèmes d’alimentation sont actuellement en place. Suivant la structure d’hébergement, les DPI ont accès à une épicerie sur roue, à un système de cartes prépayés permettant de faire des achats dans un supermarché défini ou encore à une indemnité mensuelle (projet-pilote Cash for Food).</w:t>
      </w:r>
    </w:p>
    <w:p w14:paraId="30999862" w14:textId="77777777" w:rsidR="006D6A3F" w:rsidRPr="006D6A3F" w:rsidRDefault="006D6A3F" w:rsidP="006D6A3F">
      <w:pPr>
        <w:spacing w:after="240"/>
        <w:jc w:val="both"/>
      </w:pPr>
      <w:r w:rsidRPr="006D6A3F">
        <w:t xml:space="preserve">Le projet « </w:t>
      </w:r>
      <w:r w:rsidRPr="006D6A3F">
        <w:rPr>
          <w:b/>
          <w:bCs/>
        </w:rPr>
        <w:t>Cash For Food</w:t>
      </w:r>
      <w:r w:rsidRPr="006D6A3F">
        <w:t xml:space="preserve"> » assure l’octroi d’une allocation alimentaire de manière mensuelle sur le compte bancaire des DPI. Actuellement, </w:t>
      </w:r>
      <w:r w:rsidRPr="006D6A3F">
        <w:rPr>
          <w:b/>
          <w:bCs/>
        </w:rPr>
        <w:t>448 personnes</w:t>
      </w:r>
      <w:r w:rsidRPr="006D6A3F">
        <w:t xml:space="preserve"> hébergées dans 15 structures désignées et tous les DPI vivant en privé sont impliqués dans le projet. Il est entré dans une nouvelle phase en 2023 où le nombre de bénéficiaires frôlera un total de 500 personnes (5 nouvelles structures concernées).</w:t>
      </w:r>
    </w:p>
    <w:p w14:paraId="045552A2" w14:textId="3A2A2433" w:rsidR="00C60A96" w:rsidRPr="006D6A3F" w:rsidRDefault="006D6A3F" w:rsidP="006D6A3F">
      <w:pPr>
        <w:pStyle w:val="Heading4"/>
      </w:pPr>
      <w:r w:rsidRPr="006D6A3F">
        <w:t>Après la demande de protection internationale</w:t>
      </w:r>
    </w:p>
    <w:p w14:paraId="41D1337C" w14:textId="0B093B22" w:rsidR="006D6A3F" w:rsidRPr="006D6A3F" w:rsidRDefault="006D6A3F" w:rsidP="006D6A3F">
      <w:pPr>
        <w:jc w:val="both"/>
      </w:pPr>
      <w:r w:rsidRPr="006D6A3F">
        <w:t xml:space="preserve">Concernant les améliorations dans le processus d’appui aux DPI, il y lieu de souligner que dans le cas des familles avec des enfants en âge scolaire, une attention particulière est accordée aux besoins spécifiques liés à leur </w:t>
      </w:r>
      <w:r w:rsidRPr="006D6A3F">
        <w:rPr>
          <w:b/>
          <w:bCs/>
        </w:rPr>
        <w:t>scolarisation</w:t>
      </w:r>
      <w:r w:rsidRPr="006D6A3F">
        <w:t xml:space="preserve"> dans la commune d’arrivée. Une prise de rendez-vous systématique avec la Cellule d’accueil scolaire pour élèves nouveaux arrivants </w:t>
      </w:r>
      <w:r w:rsidRPr="006D6A3F">
        <w:rPr>
          <w:b/>
          <w:bCs/>
        </w:rPr>
        <w:t>(CASNA) du MENJE</w:t>
      </w:r>
      <w:r w:rsidRPr="006D6A3F">
        <w:t xml:space="preserve"> (Ministère de l'Éducation nationale, de l'Enfance et de la Jeunesse) est organisée. </w:t>
      </w:r>
      <w:r w:rsidRPr="006D6A3F">
        <w:rPr>
          <w:b/>
          <w:bCs/>
        </w:rPr>
        <w:t>Le relogement de la famille se fera ainsi en fonction de la disponibilité de l’offre scolaire adéquate pour les enfants</w:t>
      </w:r>
      <w:r w:rsidRPr="006D6A3F">
        <w:t xml:space="preserve">. Une prise de contact avec le CASNA pour faire un bilan scolaire et l’orienter vers une classe d’accueil est également réalisée par l’encadrant. En outre, </w:t>
      </w:r>
      <w:r w:rsidRPr="006D6A3F">
        <w:rPr>
          <w:b/>
          <w:bCs/>
        </w:rPr>
        <w:t xml:space="preserve">les enfants bénéficient d’un soutien scolaire annuel de la part de l’ONA </w:t>
      </w:r>
      <w:r w:rsidRPr="006D6A3F">
        <w:t xml:space="preserve">(financier et matériel – cahiers, crayons classeurs, </w:t>
      </w:r>
      <w:r w:rsidR="00B44244" w:rsidRPr="006D6A3F">
        <w:t>etc.</w:t>
      </w:r>
      <w:r w:rsidRPr="006D6A3F">
        <w:t>).</w:t>
      </w:r>
    </w:p>
    <w:p w14:paraId="11B0FD3B" w14:textId="77777777" w:rsidR="006D6A3F" w:rsidRPr="006D6A3F" w:rsidRDefault="006D6A3F" w:rsidP="006D6A3F">
      <w:pPr>
        <w:jc w:val="both"/>
      </w:pPr>
    </w:p>
    <w:p w14:paraId="4DEF8A76" w14:textId="77777777" w:rsidR="006D6A3F" w:rsidRPr="006D6A3F" w:rsidRDefault="006D6A3F" w:rsidP="006D6A3F">
      <w:pPr>
        <w:jc w:val="both"/>
      </w:pPr>
      <w:r w:rsidRPr="006D6A3F">
        <w:t xml:space="preserve">Le </w:t>
      </w:r>
      <w:r w:rsidRPr="006D6A3F">
        <w:rPr>
          <w:b/>
          <w:bCs/>
        </w:rPr>
        <w:t>parcours d’intégration accompagné</w:t>
      </w:r>
      <w:r w:rsidRPr="006D6A3F">
        <w:t xml:space="preserve"> (PIA), mis en place par l’ONA </w:t>
      </w:r>
      <w:r w:rsidRPr="006D6A3F">
        <w:rPr>
          <w:b/>
          <w:bCs/>
        </w:rPr>
        <w:t xml:space="preserve">en étroite collaboration avec le MENJE, vise à favoriser l’intégration sociale et professionnelle des DPI. </w:t>
      </w:r>
      <w:r w:rsidRPr="006D6A3F">
        <w:t xml:space="preserve">Le concept du PIA pose les jalons de l’intégration des DPI dès les premières semaines après l’arrivée des personnes sur le territoire luxembourgeois. Au vu des origines hétérogènes des DPI, il se base sur le principe qu’une intégration réussie se base sur deux éléments, à savoir </w:t>
      </w:r>
      <w:r w:rsidRPr="006D6A3F">
        <w:rPr>
          <w:b/>
          <w:bCs/>
        </w:rPr>
        <w:t>l’apprentissage des langues</w:t>
      </w:r>
      <w:r w:rsidRPr="006D6A3F">
        <w:t xml:space="preserve"> nationales et administratives ainsi que la </w:t>
      </w:r>
      <w:r w:rsidRPr="006D6A3F">
        <w:rPr>
          <w:b/>
          <w:bCs/>
        </w:rPr>
        <w:t>compréhension du fonctionnement de la vie quotidienne au Luxembourg</w:t>
      </w:r>
      <w:r w:rsidRPr="006D6A3F">
        <w:t xml:space="preserve">. L’ONA émet des bons de cours de langue pour que les inscriptions aux cours soient moins coûteuses. </w:t>
      </w:r>
    </w:p>
    <w:p w14:paraId="799FBC63" w14:textId="77777777" w:rsidR="006D6A3F" w:rsidRPr="006D6A3F" w:rsidRDefault="006D6A3F" w:rsidP="006D6A3F">
      <w:pPr>
        <w:jc w:val="both"/>
      </w:pPr>
    </w:p>
    <w:p w14:paraId="000B14E9" w14:textId="77777777" w:rsidR="006D6A3F" w:rsidRPr="006D6A3F" w:rsidRDefault="006D6A3F" w:rsidP="006D6A3F">
      <w:pPr>
        <w:jc w:val="both"/>
        <w:rPr>
          <w:color w:val="FF0000"/>
        </w:rPr>
      </w:pPr>
      <w:r w:rsidRPr="006D6A3F">
        <w:t xml:space="preserve">L’équipe socio-éducative de l’ONA encourage et participe aux évènements organisés par la commune ou des associations avec les résidents des structures d’accueil. Les assistants sociaux communiquent régulièrement avec le personnel des écoles en cas de besoin. Plusieurs projets visant à améliorer l’accueil et le suivi social et pédagogique pour enfants et adultes DPI sont mis en œuvre par l’ONA et ses partenaires, dont des projets visant l’autonomisation des DPI (CFF), la vie en communauté dans les structures d’hébergement, les </w:t>
      </w:r>
      <w:r w:rsidRPr="006D6A3F">
        <w:rPr>
          <w:b/>
          <w:bCs/>
        </w:rPr>
        <w:t>aides aux devoirs</w:t>
      </w:r>
      <w:r w:rsidRPr="006D6A3F">
        <w:t xml:space="preserve">, des </w:t>
      </w:r>
      <w:r w:rsidRPr="006D6A3F">
        <w:rPr>
          <w:b/>
          <w:bCs/>
        </w:rPr>
        <w:t>activités estivales</w:t>
      </w:r>
      <w:r w:rsidRPr="006D6A3F">
        <w:t xml:space="preserve"> et des formations sur la sécurité des enfants au quotidien. L’ONA cherche souvent des </w:t>
      </w:r>
      <w:r w:rsidRPr="006D6A3F">
        <w:rPr>
          <w:b/>
          <w:bCs/>
        </w:rPr>
        <w:t>bénévoles</w:t>
      </w:r>
      <w:r w:rsidRPr="006D6A3F">
        <w:t xml:space="preserve"> afin d’organiser des </w:t>
      </w:r>
      <w:r w:rsidRPr="006D6A3F">
        <w:rPr>
          <w:b/>
          <w:bCs/>
        </w:rPr>
        <w:t>tables de conversation</w:t>
      </w:r>
      <w:r w:rsidRPr="006D6A3F">
        <w:t xml:space="preserve"> ou des </w:t>
      </w:r>
      <w:r w:rsidRPr="006D6A3F">
        <w:rPr>
          <w:b/>
          <w:bCs/>
        </w:rPr>
        <w:t>cours d’appui pour les enfants</w:t>
      </w:r>
      <w:r w:rsidRPr="006D6A3F">
        <w:t xml:space="preserve">. </w:t>
      </w:r>
    </w:p>
    <w:p w14:paraId="442DD455" w14:textId="77777777" w:rsidR="006D6A3F" w:rsidRPr="006D6A3F" w:rsidRDefault="006D6A3F" w:rsidP="006D6A3F">
      <w:pPr>
        <w:jc w:val="both"/>
        <w:rPr>
          <w:b/>
          <w:bCs/>
          <w:color w:val="000000"/>
        </w:rPr>
      </w:pPr>
    </w:p>
    <w:p w14:paraId="2D37A8BB" w14:textId="53782E6E" w:rsidR="006D6A3F" w:rsidRPr="006D6A3F" w:rsidRDefault="006D6A3F" w:rsidP="006D6A3F">
      <w:pPr>
        <w:jc w:val="both"/>
      </w:pPr>
      <w:r w:rsidRPr="006D6A3F">
        <w:rPr>
          <w:b/>
          <w:bCs/>
          <w:color w:val="000000"/>
        </w:rPr>
        <w:t>Par ailleurs, un appel à projets AMIF</w:t>
      </w:r>
      <w:r w:rsidRPr="006D6A3F">
        <w:rPr>
          <w:color w:val="000000"/>
        </w:rPr>
        <w:t xml:space="preserve"> sera lancé par le Secrétariat général du MAEE le 9 mai 2023,</w:t>
      </w:r>
      <w:r w:rsidRPr="006D6A3F">
        <w:t xml:space="preserve"> Journée de l’Europe</w:t>
      </w:r>
      <w:r w:rsidRPr="006D6A3F">
        <w:rPr>
          <w:color w:val="000000"/>
        </w:rPr>
        <w:t xml:space="preserve">. L'appel à projets s’adressera aux organisations et organismes privés à but non lucratif, aux établissements publics ainsi qu'aux chambres professionnelles. Il visera à financer des </w:t>
      </w:r>
      <w:r w:rsidRPr="006D6A3F">
        <w:rPr>
          <w:b/>
          <w:bCs/>
        </w:rPr>
        <w:t>projets axés sur l’autonomisation des DPI</w:t>
      </w:r>
      <w:r w:rsidRPr="006D6A3F">
        <w:t xml:space="preserve"> </w:t>
      </w:r>
      <w:r w:rsidRPr="006D6A3F">
        <w:rPr>
          <w:b/>
          <w:bCs/>
        </w:rPr>
        <w:t>à travers leur accompagnement individuel</w:t>
      </w:r>
      <w:r w:rsidRPr="006D6A3F">
        <w:t xml:space="preserve">. </w:t>
      </w:r>
      <w:r w:rsidRPr="006D6A3F">
        <w:rPr>
          <w:color w:val="000000"/>
        </w:rPr>
        <w:t>Les projets sélectionnés seront mis en œuvre entre le 1er janvier 2024 et le 31 décembre 2025 et</w:t>
      </w:r>
      <w:r w:rsidRPr="006D6A3F">
        <w:t xml:space="preserve"> doivent inclure la thématique et les spécificités de genre et/ou peuvent spécifiquement cibler les femmes DPI.</w:t>
      </w:r>
      <w:r w:rsidR="006C5876">
        <w:t xml:space="preserve"> </w:t>
      </w:r>
    </w:p>
    <w:p w14:paraId="4B50EBF8" w14:textId="77777777" w:rsidR="006D6A3F" w:rsidRPr="006D6A3F" w:rsidRDefault="006D6A3F" w:rsidP="006D6A3F">
      <w:pPr>
        <w:jc w:val="both"/>
        <w:rPr>
          <w:color w:val="000000"/>
        </w:rPr>
      </w:pPr>
    </w:p>
    <w:p w14:paraId="7A79615B" w14:textId="77777777" w:rsidR="006D6A3F" w:rsidRPr="006D6A3F" w:rsidRDefault="006D6A3F" w:rsidP="006D6A3F">
      <w:pPr>
        <w:spacing w:line="100" w:lineRule="atLeast"/>
        <w:jc w:val="both"/>
        <w:rPr>
          <w:color w:val="000000"/>
        </w:rPr>
      </w:pPr>
      <w:r w:rsidRPr="006D6A3F">
        <w:rPr>
          <w:color w:val="000000"/>
        </w:rPr>
        <w:t>En 2022, l'ONA a sélectionné 4 associations : 1 association dans le cadre de l'action « femmes enceintes et parentalité », et 3 associations dans le cadre de l'action « santé mentale ».</w:t>
      </w:r>
    </w:p>
    <w:p w14:paraId="1D98DF37" w14:textId="77777777" w:rsidR="006D6A3F" w:rsidRPr="006D6A3F" w:rsidRDefault="006D6A3F" w:rsidP="006D6A3F">
      <w:pPr>
        <w:spacing w:line="100" w:lineRule="atLeast"/>
        <w:jc w:val="both"/>
        <w:rPr>
          <w:color w:val="000000"/>
        </w:rPr>
      </w:pPr>
    </w:p>
    <w:p w14:paraId="0CB7FDE7" w14:textId="77777777" w:rsidR="006D6A3F" w:rsidRPr="006D6A3F" w:rsidRDefault="006D6A3F" w:rsidP="006D6A3F">
      <w:pPr>
        <w:jc w:val="both"/>
        <w:rPr>
          <w:color w:val="000000"/>
        </w:rPr>
      </w:pPr>
      <w:r w:rsidRPr="006D6A3F">
        <w:rPr>
          <w:color w:val="000000"/>
        </w:rPr>
        <w:t>Dans le cadre</w:t>
      </w:r>
      <w:r w:rsidRPr="006D6A3F">
        <w:rPr>
          <w:rFonts w:ascii="Times New Roman" w:hAnsi="Times New Roman" w:cs="Times New Roman"/>
          <w:color w:val="000000"/>
          <w:sz w:val="24"/>
          <w:szCs w:val="24"/>
          <w:lang w:eastAsia="ar-SA"/>
        </w:rPr>
        <w:t xml:space="preserve"> </w:t>
      </w:r>
      <w:r w:rsidRPr="006D6A3F">
        <w:rPr>
          <w:color w:val="000000"/>
        </w:rPr>
        <w:t>du fonds européen AMIF « Asile, migration et intégration », les projets suivants ont été mis en place en 2022 :</w:t>
      </w:r>
    </w:p>
    <w:p w14:paraId="09942DE2" w14:textId="77777777" w:rsidR="006D6A3F" w:rsidRPr="006D6A3F" w:rsidRDefault="006D6A3F" w:rsidP="006D6A3F">
      <w:pPr>
        <w:jc w:val="both"/>
        <w:rPr>
          <w:color w:val="FF0000"/>
        </w:rPr>
      </w:pPr>
    </w:p>
    <w:p w14:paraId="2C55027D" w14:textId="564B4500" w:rsidR="006D6A3F" w:rsidRPr="006D6A3F" w:rsidRDefault="006D6A3F" w:rsidP="006D6A3F">
      <w:pPr>
        <w:pStyle w:val="ListParagraph"/>
        <w:numPr>
          <w:ilvl w:val="0"/>
          <w:numId w:val="35"/>
        </w:numPr>
        <w:spacing w:after="240"/>
        <w:jc w:val="both"/>
        <w:rPr>
          <w:bCs/>
        </w:rPr>
      </w:pPr>
      <w:r w:rsidRPr="006D6A3F">
        <w:rPr>
          <w:bCs/>
        </w:rPr>
        <w:t>Projet dans le cadre des Femmes enceintes et la parentalité :</w:t>
      </w:r>
    </w:p>
    <w:p w14:paraId="3A0A1F89" w14:textId="6817823C" w:rsidR="006D6A3F" w:rsidRPr="006D6A3F" w:rsidRDefault="006D6A3F" w:rsidP="006D6A3F">
      <w:pPr>
        <w:pStyle w:val="ListParagraph"/>
        <w:numPr>
          <w:ilvl w:val="1"/>
          <w:numId w:val="35"/>
        </w:numPr>
        <w:jc w:val="both"/>
        <w:rPr>
          <w:bCs/>
        </w:rPr>
      </w:pPr>
      <w:r w:rsidRPr="006D6A3F">
        <w:rPr>
          <w:bCs/>
        </w:rPr>
        <w:t xml:space="preserve">Ateliers autour de la naissance : </w:t>
      </w:r>
      <w:r w:rsidRPr="006D6A3F">
        <w:rPr>
          <w:bCs/>
          <w:i/>
          <w:iCs/>
        </w:rPr>
        <w:t xml:space="preserve">INITIATIV LIEWENSUFANK </w:t>
      </w:r>
    </w:p>
    <w:p w14:paraId="0D33CC53" w14:textId="77777777" w:rsidR="006D6A3F" w:rsidRPr="006D6A3F" w:rsidRDefault="006D6A3F" w:rsidP="006D6A3F">
      <w:pPr>
        <w:pStyle w:val="ListParagraph"/>
        <w:spacing w:after="240"/>
        <w:jc w:val="both"/>
        <w:rPr>
          <w:bCs/>
        </w:rPr>
      </w:pPr>
    </w:p>
    <w:p w14:paraId="0E30E436" w14:textId="1F6BFF74" w:rsidR="006D6A3F" w:rsidRPr="006D6A3F" w:rsidRDefault="006D6A3F" w:rsidP="006D6A3F">
      <w:pPr>
        <w:pStyle w:val="ListParagraph"/>
        <w:numPr>
          <w:ilvl w:val="0"/>
          <w:numId w:val="35"/>
        </w:numPr>
        <w:spacing w:after="240"/>
        <w:jc w:val="both"/>
        <w:rPr>
          <w:bCs/>
        </w:rPr>
      </w:pPr>
      <w:r w:rsidRPr="006D6A3F">
        <w:rPr>
          <w:bCs/>
        </w:rPr>
        <w:t xml:space="preserve">Projets dans le cadre de la Santé mentale : </w:t>
      </w:r>
    </w:p>
    <w:p w14:paraId="290BCDB5" w14:textId="3C57F0A4" w:rsidR="006D6A3F" w:rsidRPr="006D6A3F" w:rsidRDefault="006D6A3F" w:rsidP="006D6A3F">
      <w:pPr>
        <w:pStyle w:val="ListParagraph"/>
        <w:numPr>
          <w:ilvl w:val="1"/>
          <w:numId w:val="35"/>
        </w:numPr>
        <w:spacing w:after="240"/>
        <w:jc w:val="both"/>
        <w:rPr>
          <w:bCs/>
        </w:rPr>
      </w:pPr>
      <w:r w:rsidRPr="006D6A3F">
        <w:rPr>
          <w:bCs/>
        </w:rPr>
        <w:t xml:space="preserve">Coopération Nord-Sud : Le projet </w:t>
      </w:r>
      <w:proofErr w:type="spellStart"/>
      <w:r w:rsidRPr="006D6A3F">
        <w:rPr>
          <w:bCs/>
        </w:rPr>
        <w:t>Chysalis</w:t>
      </w:r>
      <w:proofErr w:type="spellEnd"/>
      <w:r w:rsidRPr="006D6A3F">
        <w:rPr>
          <w:bCs/>
        </w:rPr>
        <w:t> </w:t>
      </w:r>
      <w:r w:rsidRPr="006D6A3F">
        <w:t>vise à accroître la capacité des réfugiés à faire face au stress, améliorant ainsi leur bien-être mental. Les outils pour y parvenir seront des ateliers et des "groupes de parole" visant à développer les compétences personnelles et à créer un réseau social.</w:t>
      </w:r>
    </w:p>
    <w:p w14:paraId="6246A6F6" w14:textId="39DD8FA9" w:rsidR="006D6A3F" w:rsidRPr="006D6A3F" w:rsidRDefault="006D6A3F" w:rsidP="006D6A3F">
      <w:pPr>
        <w:pStyle w:val="ListParagraph"/>
        <w:numPr>
          <w:ilvl w:val="1"/>
          <w:numId w:val="35"/>
        </w:numPr>
        <w:spacing w:after="240"/>
        <w:rPr>
          <w:b/>
          <w:bCs/>
        </w:rPr>
      </w:pPr>
      <w:r w:rsidRPr="006D6A3F">
        <w:rPr>
          <w:bCs/>
        </w:rPr>
        <w:t>Le</w:t>
      </w:r>
      <w:r w:rsidRPr="006D6A3F">
        <w:rPr>
          <w:b/>
          <w:bCs/>
        </w:rPr>
        <w:t xml:space="preserve"> </w:t>
      </w:r>
      <w:r w:rsidRPr="006D6A3F">
        <w:rPr>
          <w:bCs/>
        </w:rPr>
        <w:t xml:space="preserve">projet </w:t>
      </w:r>
      <w:proofErr w:type="spellStart"/>
      <w:r w:rsidRPr="006D6A3F">
        <w:rPr>
          <w:bCs/>
        </w:rPr>
        <w:t>Motiro</w:t>
      </w:r>
      <w:proofErr w:type="spellEnd"/>
      <w:r w:rsidRPr="006D6A3F">
        <w:rPr>
          <w:bCs/>
        </w:rPr>
        <w:t xml:space="preserve"> de JRS</w:t>
      </w:r>
      <w:r w:rsidRPr="006D6A3F">
        <w:rPr>
          <w:i/>
          <w:iCs/>
        </w:rPr>
        <w:t xml:space="preserve"> </w:t>
      </w:r>
      <w:r w:rsidRPr="006D6A3F">
        <w:t>vise à dynamiser le processus d’intégration de jeunes réfugiés, à travers des activités et des échanges :</w:t>
      </w:r>
      <w:r w:rsidRPr="006D6A3F">
        <w:rPr>
          <w:i/>
          <w:iCs/>
        </w:rPr>
        <w:t xml:space="preserve"> </w:t>
      </w:r>
      <w:r w:rsidRPr="006D6A3F">
        <w:t xml:space="preserve">ateliers culturels (chant, danse, écriture, théâtre, dessin, peinture, groupe de paroles, activités ayant lieu aux dates importantes de </w:t>
      </w:r>
      <w:r w:rsidRPr="006D6A3F">
        <w:lastRenderedPageBreak/>
        <w:t xml:space="preserve">chaque culture) ; activités sportives (football, </w:t>
      </w:r>
      <w:proofErr w:type="spellStart"/>
      <w:r w:rsidRPr="006D6A3F">
        <w:t>trap-trap</w:t>
      </w:r>
      <w:proofErr w:type="spellEnd"/>
      <w:r w:rsidRPr="006D6A3F">
        <w:t xml:space="preserve">, ping-pong, volleyball, cyclisme, corde à sauter) ; visites historiques ; activités diverses (jeux de société, babyfoot, bowling, patinoire, cinéma, participation à des festivals,…) ; activités individuelles (natation et vélo) ; formation S-Team (identifier et former les « leaders » pour leur donner davantage de compétences pour soutenir les autres jeunes dans les structures d’hébergement). </w:t>
      </w:r>
    </w:p>
    <w:p w14:paraId="0E98B746" w14:textId="28E63BFE" w:rsidR="006D6A3F" w:rsidRPr="006D6A3F" w:rsidRDefault="006D6A3F" w:rsidP="006D6A3F">
      <w:pPr>
        <w:pStyle w:val="ListParagraph"/>
        <w:numPr>
          <w:ilvl w:val="1"/>
          <w:numId w:val="35"/>
        </w:numPr>
        <w:spacing w:after="240"/>
        <w:jc w:val="both"/>
        <w:rPr>
          <w:sz w:val="24"/>
          <w:szCs w:val="24"/>
        </w:rPr>
      </w:pPr>
      <w:r w:rsidRPr="006D6A3F">
        <w:rPr>
          <w:bCs/>
        </w:rPr>
        <w:t xml:space="preserve">Le programme </w:t>
      </w:r>
      <w:proofErr w:type="spellStart"/>
      <w:r w:rsidRPr="006D6A3F">
        <w:rPr>
          <w:bCs/>
        </w:rPr>
        <w:t>Zougang</w:t>
      </w:r>
      <w:proofErr w:type="spellEnd"/>
      <w:r w:rsidRPr="006D6A3F">
        <w:rPr>
          <w:bCs/>
        </w:rPr>
        <w:t xml:space="preserve"> de </w:t>
      </w:r>
      <w:r w:rsidRPr="00B44244">
        <w:rPr>
          <w:bCs/>
          <w:i/>
        </w:rPr>
        <w:t xml:space="preserve">Mir </w:t>
      </w:r>
      <w:proofErr w:type="spellStart"/>
      <w:r w:rsidRPr="00B44244">
        <w:rPr>
          <w:bCs/>
          <w:i/>
        </w:rPr>
        <w:t>wëllen</w:t>
      </w:r>
      <w:proofErr w:type="spellEnd"/>
      <w:r w:rsidRPr="00B44244">
        <w:rPr>
          <w:bCs/>
          <w:i/>
        </w:rPr>
        <w:t xml:space="preserve"> </w:t>
      </w:r>
      <w:proofErr w:type="spellStart"/>
      <w:r w:rsidRPr="00B44244">
        <w:rPr>
          <w:bCs/>
          <w:i/>
        </w:rPr>
        <w:t>iech</w:t>
      </w:r>
      <w:proofErr w:type="spellEnd"/>
      <w:r w:rsidRPr="00B44244">
        <w:rPr>
          <w:bCs/>
          <w:i/>
        </w:rPr>
        <w:t xml:space="preserve"> </w:t>
      </w:r>
      <w:proofErr w:type="spellStart"/>
      <w:r w:rsidRPr="00B44244">
        <w:rPr>
          <w:bCs/>
          <w:i/>
        </w:rPr>
        <w:t>ons</w:t>
      </w:r>
      <w:proofErr w:type="spellEnd"/>
      <w:r w:rsidRPr="00B44244">
        <w:rPr>
          <w:bCs/>
          <w:i/>
        </w:rPr>
        <w:t xml:space="preserve"> </w:t>
      </w:r>
      <w:proofErr w:type="spellStart"/>
      <w:r w:rsidRPr="00B44244">
        <w:rPr>
          <w:bCs/>
          <w:i/>
        </w:rPr>
        <w:t>Heemecht</w:t>
      </w:r>
      <w:proofErr w:type="spellEnd"/>
      <w:r w:rsidRPr="00B44244">
        <w:rPr>
          <w:bCs/>
          <w:i/>
        </w:rPr>
        <w:t xml:space="preserve"> </w:t>
      </w:r>
      <w:proofErr w:type="spellStart"/>
      <w:r w:rsidRPr="00B44244">
        <w:rPr>
          <w:bCs/>
          <w:i/>
        </w:rPr>
        <w:t>weisen</w:t>
      </w:r>
      <w:proofErr w:type="spellEnd"/>
      <w:r w:rsidRPr="006D6A3F">
        <w:rPr>
          <w:bCs/>
        </w:rPr>
        <w:t xml:space="preserve"> </w:t>
      </w:r>
      <w:r w:rsidRPr="006D6A3F">
        <w:t xml:space="preserve">est un programme d'intégration par l'accès aux loisirs et à la culture qui encourage les réfugiés et résidents pour participer à, et proposer eux-mêmes, des activités de loisir communes informelles, qui sont une base favorable à l'intégration et au dialogue interculturel. L’outil </w:t>
      </w:r>
      <w:proofErr w:type="spellStart"/>
      <w:r w:rsidRPr="006D6A3F">
        <w:rPr>
          <w:i/>
          <w:iCs/>
        </w:rPr>
        <w:t>fënster</w:t>
      </w:r>
      <w:proofErr w:type="spellEnd"/>
      <w:r w:rsidRPr="006D6A3F">
        <w:rPr>
          <w:i/>
          <w:iCs/>
        </w:rPr>
        <w:t xml:space="preserve"> </w:t>
      </w:r>
      <w:r w:rsidRPr="006D6A3F">
        <w:t xml:space="preserve">a déjà été créé, plateforme numérique sécurisée en ligne, qui permet aux utilisateurs de proposer des activités, qui seront </w:t>
      </w:r>
      <w:proofErr w:type="spellStart"/>
      <w:r w:rsidRPr="006D6A3F">
        <w:t>co</w:t>
      </w:r>
      <w:proofErr w:type="spellEnd"/>
      <w:r w:rsidRPr="006D6A3F">
        <w:t xml:space="preserve">-organisées par </w:t>
      </w:r>
      <w:proofErr w:type="spellStart"/>
      <w:r w:rsidRPr="006D6A3F">
        <w:t>l’asbl</w:t>
      </w:r>
      <w:proofErr w:type="spellEnd"/>
      <w:r w:rsidRPr="006D6A3F">
        <w:t>.</w:t>
      </w:r>
    </w:p>
    <w:p w14:paraId="37A6470A" w14:textId="7AC09AD6" w:rsidR="006D6A3F" w:rsidRPr="006D6A3F" w:rsidRDefault="006D6A3F" w:rsidP="006D6A3F">
      <w:pPr>
        <w:pStyle w:val="NoSpacing"/>
        <w:spacing w:after="240" w:line="276" w:lineRule="auto"/>
        <w:jc w:val="both"/>
      </w:pPr>
      <w:r w:rsidRPr="006D6A3F">
        <w:t xml:space="preserve">Les personnes souhaitant être </w:t>
      </w:r>
      <w:r w:rsidRPr="006D6A3F">
        <w:rPr>
          <w:rStyle w:val="Strong"/>
          <w:b w:val="0"/>
        </w:rPr>
        <w:t>informées sur l'étendue de leurs droits et/ou moyens de leur mise en œuvre</w:t>
      </w:r>
      <w:r w:rsidRPr="006D6A3F">
        <w:rPr>
          <w:b/>
        </w:rPr>
        <w:t xml:space="preserve"> </w:t>
      </w:r>
      <w:r w:rsidRPr="006D6A3F">
        <w:t xml:space="preserve">doivent s'adresser </w:t>
      </w:r>
      <w:r w:rsidRPr="006D6A3F">
        <w:rPr>
          <w:b/>
        </w:rPr>
        <w:t>gratuitement</w:t>
      </w:r>
      <w:r w:rsidRPr="006D6A3F">
        <w:t xml:space="preserve"> au service d'information assuré </w:t>
      </w:r>
      <w:r w:rsidRPr="006D6A3F">
        <w:rPr>
          <w:rStyle w:val="Strong"/>
          <w:b w:val="0"/>
        </w:rPr>
        <w:t>par des avocats</w:t>
      </w:r>
      <w:r w:rsidRPr="006D6A3F">
        <w:t xml:space="preserve">, soit à Luxembourg, soit à Diekirch. Les personnes souhaitant être informées en </w:t>
      </w:r>
      <w:r w:rsidRPr="006D6A3F">
        <w:rPr>
          <w:rStyle w:val="Strong"/>
          <w:b w:val="0"/>
        </w:rPr>
        <w:t>droit de la famille</w:t>
      </w:r>
      <w:r w:rsidRPr="006D6A3F">
        <w:rPr>
          <w:u w:val="single"/>
        </w:rPr>
        <w:t>,</w:t>
      </w:r>
      <w:r w:rsidRPr="006D6A3F">
        <w:t xml:space="preserve"> peuvent également s'adresser au service assuré par un juriste. Les informations juridiques sont dispensées </w:t>
      </w:r>
      <w:r w:rsidRPr="006D6A3F">
        <w:rPr>
          <w:rStyle w:val="Strong"/>
          <w:b w:val="0"/>
        </w:rPr>
        <w:t>gratuitement</w:t>
      </w:r>
      <w:r w:rsidRPr="006D6A3F">
        <w:t>.</w:t>
      </w:r>
    </w:p>
    <w:p w14:paraId="2A73DDB3" w14:textId="266CB139" w:rsidR="006D6A3F" w:rsidRPr="006D6A3F" w:rsidRDefault="006D6A3F" w:rsidP="006D6A3F">
      <w:pPr>
        <w:pStyle w:val="NoSpacing"/>
        <w:spacing w:after="240" w:line="276" w:lineRule="auto"/>
        <w:jc w:val="both"/>
        <w:rPr>
          <w:rFonts w:cstheme="minorHAnsi"/>
        </w:rPr>
      </w:pPr>
      <w:r w:rsidRPr="00B44244">
        <w:t>Par ailleurs, le ministère de la Justice dispose d’une nouvelle ligne budgétaire de 75 000 euros pour participer aux frais des organisations de la société civile œuvrant dans le domaine des droits humains au Luxembourg.</w:t>
      </w:r>
    </w:p>
    <w:p w14:paraId="2979963C" w14:textId="642C1C02" w:rsidR="00C60A96" w:rsidRPr="006D6A3F" w:rsidRDefault="00BF29A4" w:rsidP="00DC50DE">
      <w:pPr>
        <w:pStyle w:val="Heading4"/>
        <w:numPr>
          <w:ilvl w:val="0"/>
          <w:numId w:val="0"/>
        </w:numPr>
        <w:spacing w:before="0"/>
        <w:rPr>
          <w:b/>
        </w:rPr>
      </w:pPr>
      <w:r w:rsidRPr="006D6A3F">
        <w:t>V.4. Mineurs non accompagnés</w:t>
      </w:r>
    </w:p>
    <w:p w14:paraId="3AA24B8C" w14:textId="6CF8DC3E" w:rsidR="00373B6F" w:rsidRPr="006D6A3F" w:rsidRDefault="00373B6F" w:rsidP="006D6A3F">
      <w:pPr>
        <w:spacing w:after="240"/>
        <w:jc w:val="both"/>
        <w:rPr>
          <w:rFonts w:cstheme="minorHAnsi"/>
        </w:rPr>
      </w:pPr>
      <w:r w:rsidRPr="006D6A3F">
        <w:rPr>
          <w:rFonts w:cstheme="minorHAnsi"/>
        </w:rPr>
        <w:t xml:space="preserve">Comme indiqué justement par le CAT, la </w:t>
      </w:r>
      <w:r w:rsidRPr="006D6A3F">
        <w:rPr>
          <w:rFonts w:cstheme="minorHAnsi"/>
          <w:b/>
        </w:rPr>
        <w:t>situation au primo-accueil</w:t>
      </w:r>
      <w:r w:rsidRPr="006D6A3F">
        <w:rPr>
          <w:rFonts w:cstheme="minorHAnsi"/>
        </w:rPr>
        <w:t xml:space="preserve"> pour MNA était difficile en début de l’année 2022 suite au flux de réfugiées. Entretemps, les efforts substantiels ont été faits pour créer de nouvelles places pour l’hébergement et la prise en c</w:t>
      </w:r>
      <w:r w:rsidR="00DA79FD" w:rsidRPr="006D6A3F">
        <w:rPr>
          <w:rFonts w:cstheme="minorHAnsi"/>
        </w:rPr>
        <w:t>harge socio-pédagogique des MNA</w:t>
      </w:r>
      <w:r w:rsidRPr="006D6A3F">
        <w:rPr>
          <w:rFonts w:cstheme="minorHAnsi"/>
        </w:rPr>
        <w:t xml:space="preserve">. Tout d’abord il faut savoir que tandis que l’Office national d’accueil (ONA) est compétent en ce qui concerne les procédures administratifs et d’immigration des MNA, l’hébergement et la prise en charge socio-pédagogique des MNA est assurée par l’ONA et l’Office national de l’enfance (ONE). Conformément à la DIRECTIVE 2013/33/UE DU PARLEMENT EUROPÉEN ET DU CONSEIL du 26 juin 2013 établissant des normes pour l’accueil des personnes demandant la protection internationale les mineurs de moins de 16 ans et demi sont hébergé dans un contexte d’aide à l’enfance et à la Famille et les MNA âgés de plus de 16 ans et demi sont prises en charge par l’ONA. </w:t>
      </w:r>
    </w:p>
    <w:p w14:paraId="4D001CD4" w14:textId="1C42BA18" w:rsidR="00373B6F" w:rsidRPr="006D6A3F" w:rsidRDefault="00373B6F" w:rsidP="00DA79FD">
      <w:pPr>
        <w:spacing w:after="240"/>
        <w:jc w:val="both"/>
        <w:rPr>
          <w:rFonts w:cstheme="minorHAnsi"/>
        </w:rPr>
      </w:pPr>
      <w:r w:rsidRPr="006D6A3F">
        <w:rPr>
          <w:rFonts w:cstheme="minorHAnsi"/>
        </w:rPr>
        <w:t>En 2022</w:t>
      </w:r>
      <w:r w:rsidR="00DA79FD" w:rsidRPr="006D6A3F">
        <w:rPr>
          <w:rFonts w:cstheme="minorHAnsi"/>
        </w:rPr>
        <w:t>,</w:t>
      </w:r>
      <w:r w:rsidRPr="006D6A3F">
        <w:rPr>
          <w:rFonts w:cstheme="minorHAnsi"/>
        </w:rPr>
        <w:t xml:space="preserve"> l’ONE a créé 75 places additionnelles d’hébergement et de prise en charge pour MNA en dessous de 16 ans et demi ce qui a permis de mettre fin au blocage des structures de primo-accueil pour MNA. Les jeunes ne passent actuellement qu’un temps court dans une structure de primo-accueil avant d’être transférés dans une structure qui assure leur prise en charge à longue durée. En 2022, l’ONE a transféré 81 MNA d’une structure de primo-accueil dans une structure qui prend en charge les jeunes à long </w:t>
      </w:r>
      <w:r w:rsidR="00DA79FD" w:rsidRPr="006D6A3F">
        <w:rPr>
          <w:rFonts w:cstheme="minorHAnsi"/>
        </w:rPr>
        <w:t>terme</w:t>
      </w:r>
      <w:r w:rsidRPr="006D6A3F">
        <w:rPr>
          <w:rFonts w:cstheme="minorHAnsi"/>
        </w:rPr>
        <w:t>.</w:t>
      </w:r>
    </w:p>
    <w:p w14:paraId="438E24FD" w14:textId="77777777" w:rsidR="00DA79FD" w:rsidRPr="006D6A3F" w:rsidRDefault="00DA79FD" w:rsidP="00DA79FD">
      <w:pPr>
        <w:spacing w:after="240"/>
        <w:jc w:val="both"/>
        <w:rPr>
          <w:rFonts w:cstheme="minorHAnsi"/>
        </w:rPr>
      </w:pPr>
      <w:r w:rsidRPr="006D6A3F">
        <w:rPr>
          <w:rFonts w:cstheme="minorHAnsi"/>
        </w:rPr>
        <w:lastRenderedPageBreak/>
        <w:t xml:space="preserve">Les structures pour MNA gérés par l’ONE suffisent aux mêmes standards de qualité et de prise en charge que les autres structures d’aide à l’enfance et à la famille. Ainsi chaque structure d’hébergement engage des équipes multidisciplinaires qui seront sur place pour parler aux mineurs de leurs soucis. Le personnel d’encadrement détecte les besoins spécifiques et urgents des MNA qui sont orientés selon leur besoins à une offre plus intensive en psychothérapie le cas échéant spécialisé dans la prise en charge de jeunes avec un passé migratoire. Au primo-accueil un psychologue intègre l’équipe sociale et s’occupe détection de vulnérabilités et stabilisation des nouveaux arrivants. </w:t>
      </w:r>
    </w:p>
    <w:p w14:paraId="3F2DD9D9" w14:textId="41A2250A" w:rsidR="00DA79FD" w:rsidRPr="006D6A3F" w:rsidRDefault="00DA79FD" w:rsidP="00DA79FD">
      <w:pPr>
        <w:spacing w:after="240"/>
        <w:jc w:val="both"/>
        <w:rPr>
          <w:rFonts w:cstheme="minorHAnsi"/>
        </w:rPr>
      </w:pPr>
      <w:r w:rsidRPr="006D6A3F">
        <w:rPr>
          <w:rFonts w:cstheme="minorHAnsi"/>
        </w:rPr>
        <w:t xml:space="preserve">En outre, tout mineur ou jeune adultes en dessous de 27 ans </w:t>
      </w:r>
      <w:proofErr w:type="gramStart"/>
      <w:r w:rsidRPr="006D6A3F">
        <w:rPr>
          <w:rFonts w:cstheme="minorHAnsi"/>
        </w:rPr>
        <w:t>a</w:t>
      </w:r>
      <w:proofErr w:type="gramEnd"/>
      <w:r w:rsidRPr="006D6A3F">
        <w:rPr>
          <w:rFonts w:cstheme="minorHAnsi"/>
        </w:rPr>
        <w:t xml:space="preserve"> la possibilité de demander une prise en charge thérapeutique chez l’ONE qui prend en charge l’intégralité des couts y relatifs. Cette offre est ouverte à tout mineur ou jeune adulte peu importe son statut d’immigration. </w:t>
      </w:r>
    </w:p>
    <w:p w14:paraId="46E9D92D" w14:textId="5EDF3F5F" w:rsidR="00DA79FD" w:rsidRPr="006D6A3F" w:rsidRDefault="00DA79FD" w:rsidP="00DA79FD">
      <w:pPr>
        <w:spacing w:after="240"/>
        <w:jc w:val="both"/>
        <w:rPr>
          <w:rFonts w:cstheme="minorHAnsi"/>
        </w:rPr>
      </w:pPr>
      <w:r w:rsidRPr="006D6A3F">
        <w:rPr>
          <w:rFonts w:cstheme="minorHAnsi"/>
        </w:rPr>
        <w:t>Le personnel d’encadrement des structures d’hébergement pour MNA est aussi formé spécialement pour cette occupation ce qui inclut une formation sur la traite.</w:t>
      </w:r>
    </w:p>
    <w:p w14:paraId="6F910429" w14:textId="145150A6" w:rsidR="00373B6F" w:rsidRPr="006D6A3F" w:rsidRDefault="00373B6F" w:rsidP="00DC50DE">
      <w:pPr>
        <w:spacing w:after="240"/>
        <w:jc w:val="both"/>
        <w:rPr>
          <w:rFonts w:cstheme="minorHAnsi"/>
        </w:rPr>
      </w:pPr>
      <w:r w:rsidRPr="006D6A3F">
        <w:rPr>
          <w:rFonts w:cstheme="minorHAnsi"/>
        </w:rPr>
        <w:t xml:space="preserve">Concernant </w:t>
      </w:r>
      <w:r w:rsidR="00DA79FD" w:rsidRPr="006D6A3F">
        <w:rPr>
          <w:rFonts w:cstheme="minorHAnsi"/>
          <w:b/>
        </w:rPr>
        <w:t>l’accès aux soins de santé</w:t>
      </w:r>
      <w:r w:rsidR="00DA79FD" w:rsidRPr="006D6A3F">
        <w:rPr>
          <w:rFonts w:cstheme="minorHAnsi"/>
        </w:rPr>
        <w:t xml:space="preserve"> des MNA</w:t>
      </w:r>
      <w:r w:rsidRPr="006D6A3F">
        <w:rPr>
          <w:rFonts w:cstheme="minorHAnsi"/>
        </w:rPr>
        <w:t xml:space="preserve">, </w:t>
      </w:r>
      <w:r w:rsidR="00DA79FD" w:rsidRPr="006D6A3F">
        <w:rPr>
          <w:rFonts w:cstheme="minorHAnsi"/>
        </w:rPr>
        <w:t>les MNA sont dès leur arrivée au primo-accueil amené chez un généraliste qui détermine leurs besoins médicaux et les oriente vers les spécialistes qui assure le suivi médical des jeunes. Le</w:t>
      </w:r>
      <w:r w:rsidRPr="006D6A3F">
        <w:rPr>
          <w:rFonts w:cstheme="minorHAnsi"/>
        </w:rPr>
        <w:t xml:space="preserve"> contrôle médico-social est organisé par le service santé des réfugiés. Spécifiquement pour les enfants, les professionnels de l’ALUPSE (association luxembourgeoise de pédiatrie sociale conventionnée par le Ministère de la Santé) sont formés pour prendre en charge les enfants victimes de violence et de maltraitance. Il ne s’agit pas d’un point focal mais sa raison d’être est de prendre en charge cette population. </w:t>
      </w:r>
      <w:r w:rsidR="004355F0" w:rsidRPr="006D6A3F">
        <w:rPr>
          <w:rFonts w:cstheme="minorHAnsi"/>
        </w:rPr>
        <w:t xml:space="preserve">À </w:t>
      </w:r>
      <w:r w:rsidRPr="006D6A3F">
        <w:rPr>
          <w:rFonts w:cstheme="minorHAnsi"/>
        </w:rPr>
        <w:t xml:space="preserve">noter aussi que les soins psychothérapeutiques sont pris en charge à 100% par la CNS pour les mineurs. En présence d’une pénurie de psychiatres adultes et infanto-juvéniles, l’idée est d’élargir les possibilités de prise en charge en santé mentale, et ceci dans le domaine infanto-juvénile entre-autres. </w:t>
      </w:r>
    </w:p>
    <w:p w14:paraId="56FAFA02" w14:textId="3608B247" w:rsidR="00643E58" w:rsidRPr="006D6A3F" w:rsidRDefault="00643E58" w:rsidP="00DC50DE">
      <w:pPr>
        <w:pStyle w:val="Heading2"/>
        <w:spacing w:before="0"/>
        <w:rPr>
          <w:lang w:val="fr-FR"/>
        </w:rPr>
      </w:pPr>
      <w:bookmarkStart w:id="23" w:name="_Toc133934859"/>
      <w:r w:rsidRPr="006D6A3F">
        <w:rPr>
          <w:lang w:val="fr-FR"/>
        </w:rPr>
        <w:t>Ext</w:t>
      </w:r>
      <w:r w:rsidR="00C60A96" w:rsidRPr="006D6A3F">
        <w:rPr>
          <w:lang w:val="fr-FR"/>
        </w:rPr>
        <w:t>radition</w:t>
      </w:r>
      <w:bookmarkEnd w:id="23"/>
    </w:p>
    <w:p w14:paraId="06AC2406" w14:textId="49BFAE4F" w:rsidR="00BF29A4" w:rsidRPr="006D6A3F" w:rsidRDefault="00BF29A4" w:rsidP="00DC50DE">
      <w:pPr>
        <w:pStyle w:val="Heading3"/>
      </w:pPr>
      <w:bookmarkStart w:id="24" w:name="_Toc133934860"/>
      <w:r w:rsidRPr="006D6A3F">
        <w:t>VI.1. Cadre légal</w:t>
      </w:r>
      <w:bookmarkEnd w:id="24"/>
    </w:p>
    <w:p w14:paraId="3133C437" w14:textId="48B370F1" w:rsidR="00DA79FD" w:rsidRPr="006D6A3F" w:rsidRDefault="00F03A91" w:rsidP="00DA79FD">
      <w:pPr>
        <w:spacing w:after="240"/>
        <w:jc w:val="both"/>
        <w:rPr>
          <w:rFonts w:cstheme="minorHAnsi"/>
        </w:rPr>
      </w:pPr>
      <w:r w:rsidRPr="006D6A3F">
        <w:rPr>
          <w:rFonts w:cstheme="minorHAnsi"/>
        </w:rPr>
        <w:t xml:space="preserve">Le crime de torture est une « </w:t>
      </w:r>
      <w:proofErr w:type="spellStart"/>
      <w:r w:rsidRPr="006D6A3F">
        <w:rPr>
          <w:rFonts w:cstheme="minorHAnsi"/>
          <w:i/>
        </w:rPr>
        <w:t>extraditable</w:t>
      </w:r>
      <w:proofErr w:type="spellEnd"/>
      <w:r w:rsidRPr="006D6A3F">
        <w:rPr>
          <w:rFonts w:cstheme="minorHAnsi"/>
          <w:i/>
        </w:rPr>
        <w:t xml:space="preserve"> </w:t>
      </w:r>
      <w:proofErr w:type="spellStart"/>
      <w:r w:rsidRPr="006D6A3F">
        <w:rPr>
          <w:rFonts w:cstheme="minorHAnsi"/>
          <w:i/>
        </w:rPr>
        <w:t>offence</w:t>
      </w:r>
      <w:proofErr w:type="spellEnd"/>
      <w:r w:rsidRPr="006D6A3F">
        <w:rPr>
          <w:rFonts w:cstheme="minorHAnsi"/>
        </w:rPr>
        <w:t xml:space="preserve"> ». Entre les </w:t>
      </w:r>
      <w:r w:rsidR="00B44244" w:rsidRPr="006D6A3F">
        <w:rPr>
          <w:rFonts w:cstheme="minorHAnsi"/>
        </w:rPr>
        <w:t>États</w:t>
      </w:r>
      <w:r w:rsidRPr="006D6A3F">
        <w:rPr>
          <w:rFonts w:cstheme="minorHAnsi"/>
        </w:rPr>
        <w:t xml:space="preserve"> membres de l’UE, la loi du 17 mars 2003 s’applique, qui prévoit en principe le critère de la double incrimination.</w:t>
      </w:r>
      <w:r w:rsidR="006C5876">
        <w:rPr>
          <w:rFonts w:cstheme="minorHAnsi"/>
        </w:rPr>
        <w:t xml:space="preserve"> </w:t>
      </w:r>
      <w:r w:rsidRPr="006D6A3F">
        <w:rPr>
          <w:rFonts w:cstheme="minorHAnsi"/>
        </w:rPr>
        <w:t xml:space="preserve">Dans la relation du Luxembourg avec des </w:t>
      </w:r>
      <w:r w:rsidR="00B44244" w:rsidRPr="006D6A3F">
        <w:rPr>
          <w:rFonts w:cstheme="minorHAnsi"/>
        </w:rPr>
        <w:t>États</w:t>
      </w:r>
      <w:r w:rsidRPr="006D6A3F">
        <w:rPr>
          <w:rFonts w:cstheme="minorHAnsi"/>
        </w:rPr>
        <w:t xml:space="preserve"> non membres de l’UE, la loi du 20 juin 2001 sur l’extradition prévoit que : </w:t>
      </w:r>
    </w:p>
    <w:p w14:paraId="26FE51BE" w14:textId="4D35577F" w:rsidR="00DA79FD" w:rsidRPr="006D6A3F" w:rsidRDefault="00F03A91" w:rsidP="00DA79FD">
      <w:pPr>
        <w:spacing w:after="240"/>
        <w:jc w:val="both"/>
        <w:rPr>
          <w:rFonts w:cstheme="minorHAnsi"/>
          <w:i/>
        </w:rPr>
      </w:pPr>
      <w:r w:rsidRPr="006D6A3F">
        <w:rPr>
          <w:rFonts w:cstheme="minorHAnsi"/>
          <w:i/>
        </w:rPr>
        <w:t xml:space="preserve">« Art. 3. 1) Donnent lieu </w:t>
      </w:r>
      <w:proofErr w:type="spellStart"/>
      <w:r w:rsidRPr="006D6A3F">
        <w:rPr>
          <w:rFonts w:cstheme="minorHAnsi"/>
          <w:i/>
        </w:rPr>
        <w:t>a</w:t>
      </w:r>
      <w:proofErr w:type="spellEnd"/>
      <w:r w:rsidRPr="006D6A3F">
        <w:rPr>
          <w:rFonts w:cstheme="minorHAnsi"/>
          <w:i/>
        </w:rPr>
        <w:t>̀ extradition les faits punis par la loi luxembourgeoise et la loi de l'</w:t>
      </w:r>
      <w:proofErr w:type="spellStart"/>
      <w:r w:rsidRPr="006D6A3F">
        <w:rPr>
          <w:rFonts w:cstheme="minorHAnsi"/>
          <w:i/>
        </w:rPr>
        <w:t>Etat</w:t>
      </w:r>
      <w:proofErr w:type="spellEnd"/>
      <w:r w:rsidRPr="006D6A3F">
        <w:rPr>
          <w:rFonts w:cstheme="minorHAnsi"/>
          <w:i/>
        </w:rPr>
        <w:t xml:space="preserve"> </w:t>
      </w:r>
      <w:proofErr w:type="spellStart"/>
      <w:r w:rsidRPr="006D6A3F">
        <w:rPr>
          <w:rFonts w:cstheme="minorHAnsi"/>
          <w:i/>
        </w:rPr>
        <w:t>requérant</w:t>
      </w:r>
      <w:proofErr w:type="spellEnd"/>
      <w:r w:rsidRPr="006D6A3F">
        <w:rPr>
          <w:rFonts w:cstheme="minorHAnsi"/>
          <w:i/>
        </w:rPr>
        <w:t xml:space="preserve"> d'une peine privative de </w:t>
      </w:r>
      <w:proofErr w:type="spellStart"/>
      <w:r w:rsidRPr="006D6A3F">
        <w:rPr>
          <w:rFonts w:cstheme="minorHAnsi"/>
          <w:i/>
        </w:rPr>
        <w:t>liberte</w:t>
      </w:r>
      <w:proofErr w:type="spellEnd"/>
      <w:r w:rsidRPr="006D6A3F">
        <w:rPr>
          <w:rFonts w:cstheme="minorHAnsi"/>
          <w:i/>
        </w:rPr>
        <w:t xml:space="preserve">́ d'un maximum d'au moins un an ou d'une peine plus </w:t>
      </w:r>
      <w:r w:rsidR="00B44244" w:rsidRPr="006D6A3F">
        <w:rPr>
          <w:rFonts w:cstheme="minorHAnsi"/>
          <w:i/>
        </w:rPr>
        <w:t>sévère</w:t>
      </w:r>
      <w:r w:rsidRPr="006D6A3F">
        <w:rPr>
          <w:rFonts w:cstheme="minorHAnsi"/>
          <w:i/>
        </w:rPr>
        <w:t>.</w:t>
      </w:r>
    </w:p>
    <w:p w14:paraId="19CE63A5" w14:textId="77777777" w:rsidR="00B44244" w:rsidRDefault="00F03A91" w:rsidP="00B44244">
      <w:pPr>
        <w:spacing w:after="240"/>
        <w:jc w:val="both"/>
        <w:rPr>
          <w:rFonts w:cstheme="minorHAnsi"/>
          <w:i/>
        </w:rPr>
      </w:pPr>
      <w:r w:rsidRPr="006D6A3F">
        <w:rPr>
          <w:rFonts w:cstheme="minorHAnsi"/>
          <w:i/>
        </w:rPr>
        <w:t xml:space="preserve">4) Pour </w:t>
      </w:r>
      <w:r w:rsidR="00B44244" w:rsidRPr="006D6A3F">
        <w:rPr>
          <w:rFonts w:cstheme="minorHAnsi"/>
          <w:i/>
        </w:rPr>
        <w:t>déterminer</w:t>
      </w:r>
      <w:r w:rsidRPr="006D6A3F">
        <w:rPr>
          <w:rFonts w:cstheme="minorHAnsi"/>
          <w:i/>
        </w:rPr>
        <w:t xml:space="preserve"> si une infraction donne lieu </w:t>
      </w:r>
      <w:proofErr w:type="spellStart"/>
      <w:r w:rsidRPr="006D6A3F">
        <w:rPr>
          <w:rFonts w:cstheme="minorHAnsi"/>
          <w:i/>
        </w:rPr>
        <w:t>a</w:t>
      </w:r>
      <w:proofErr w:type="spellEnd"/>
      <w:r w:rsidRPr="006D6A3F">
        <w:rPr>
          <w:rFonts w:cstheme="minorHAnsi"/>
          <w:i/>
        </w:rPr>
        <w:t xml:space="preserve">̀ extradition, les faits sur lesquels porte la demande d'extradition sont pris en </w:t>
      </w:r>
      <w:r w:rsidR="00B44244" w:rsidRPr="006D6A3F">
        <w:rPr>
          <w:rFonts w:cstheme="minorHAnsi"/>
          <w:i/>
        </w:rPr>
        <w:t>considération</w:t>
      </w:r>
      <w:r w:rsidRPr="006D6A3F">
        <w:rPr>
          <w:rFonts w:cstheme="minorHAnsi"/>
          <w:i/>
        </w:rPr>
        <w:t xml:space="preserve">, alors </w:t>
      </w:r>
      <w:proofErr w:type="spellStart"/>
      <w:r w:rsidRPr="006D6A3F">
        <w:rPr>
          <w:rFonts w:cstheme="minorHAnsi"/>
          <w:i/>
        </w:rPr>
        <w:t>même</w:t>
      </w:r>
      <w:proofErr w:type="spellEnd"/>
      <w:r w:rsidRPr="006D6A3F">
        <w:rPr>
          <w:rFonts w:cstheme="minorHAnsi"/>
          <w:i/>
        </w:rPr>
        <w:t xml:space="preserve"> que d'</w:t>
      </w:r>
      <w:proofErr w:type="spellStart"/>
      <w:r w:rsidRPr="006D6A3F">
        <w:rPr>
          <w:rFonts w:cstheme="minorHAnsi"/>
          <w:i/>
        </w:rPr>
        <w:t>après</w:t>
      </w:r>
      <w:proofErr w:type="spellEnd"/>
      <w:r w:rsidRPr="006D6A3F">
        <w:rPr>
          <w:rFonts w:cstheme="minorHAnsi"/>
          <w:i/>
        </w:rPr>
        <w:t xml:space="preserve"> la loi luxembourgeoise et la loi de l'</w:t>
      </w:r>
      <w:proofErr w:type="spellStart"/>
      <w:r w:rsidRPr="006D6A3F">
        <w:rPr>
          <w:rFonts w:cstheme="minorHAnsi"/>
          <w:i/>
        </w:rPr>
        <w:t>Etat</w:t>
      </w:r>
      <w:proofErr w:type="spellEnd"/>
      <w:r w:rsidRPr="006D6A3F">
        <w:rPr>
          <w:rFonts w:cstheme="minorHAnsi"/>
          <w:i/>
        </w:rPr>
        <w:t xml:space="preserve"> </w:t>
      </w:r>
      <w:proofErr w:type="spellStart"/>
      <w:r w:rsidRPr="006D6A3F">
        <w:rPr>
          <w:rFonts w:cstheme="minorHAnsi"/>
          <w:i/>
        </w:rPr>
        <w:t>requérant</w:t>
      </w:r>
      <w:proofErr w:type="spellEnd"/>
      <w:r w:rsidRPr="006D6A3F">
        <w:rPr>
          <w:rFonts w:cstheme="minorHAnsi"/>
          <w:i/>
        </w:rPr>
        <w:t xml:space="preserve"> l'infraction n'est pas </w:t>
      </w:r>
      <w:proofErr w:type="spellStart"/>
      <w:r w:rsidRPr="006D6A3F">
        <w:rPr>
          <w:rFonts w:cstheme="minorHAnsi"/>
          <w:i/>
        </w:rPr>
        <w:t>qualifiée</w:t>
      </w:r>
      <w:proofErr w:type="spellEnd"/>
      <w:r w:rsidRPr="006D6A3F">
        <w:rPr>
          <w:rFonts w:cstheme="minorHAnsi"/>
          <w:i/>
        </w:rPr>
        <w:t xml:space="preserve"> par une terminologie identique ou similaire et qu'il n'y a pas de concordance des </w:t>
      </w:r>
      <w:proofErr w:type="spellStart"/>
      <w:r w:rsidRPr="006D6A3F">
        <w:rPr>
          <w:rFonts w:cstheme="minorHAnsi"/>
          <w:i/>
        </w:rPr>
        <w:t>éléments</w:t>
      </w:r>
      <w:proofErr w:type="spellEnd"/>
      <w:r w:rsidRPr="006D6A3F">
        <w:rPr>
          <w:rFonts w:cstheme="minorHAnsi"/>
          <w:i/>
        </w:rPr>
        <w:t xml:space="preserve"> constitutifs des infractions dans le droit de l'</w:t>
      </w:r>
      <w:proofErr w:type="spellStart"/>
      <w:r w:rsidRPr="006D6A3F">
        <w:rPr>
          <w:rFonts w:cstheme="minorHAnsi"/>
          <w:i/>
        </w:rPr>
        <w:t>Etat</w:t>
      </w:r>
      <w:proofErr w:type="spellEnd"/>
      <w:r w:rsidRPr="006D6A3F">
        <w:rPr>
          <w:rFonts w:cstheme="minorHAnsi"/>
          <w:i/>
        </w:rPr>
        <w:t xml:space="preserve"> </w:t>
      </w:r>
      <w:proofErr w:type="spellStart"/>
      <w:r w:rsidRPr="006D6A3F">
        <w:rPr>
          <w:rFonts w:cstheme="minorHAnsi"/>
          <w:i/>
        </w:rPr>
        <w:t>requérant</w:t>
      </w:r>
      <w:proofErr w:type="spellEnd"/>
      <w:r w:rsidRPr="006D6A3F">
        <w:rPr>
          <w:rFonts w:cstheme="minorHAnsi"/>
          <w:i/>
        </w:rPr>
        <w:t xml:space="preserve"> et le droit de l'</w:t>
      </w:r>
      <w:proofErr w:type="spellStart"/>
      <w:r w:rsidRPr="006D6A3F">
        <w:rPr>
          <w:rFonts w:cstheme="minorHAnsi"/>
          <w:i/>
        </w:rPr>
        <w:t>Etat</w:t>
      </w:r>
      <w:proofErr w:type="spellEnd"/>
      <w:r w:rsidRPr="006D6A3F">
        <w:rPr>
          <w:rFonts w:cstheme="minorHAnsi"/>
          <w:i/>
        </w:rPr>
        <w:t xml:space="preserve"> requis. »</w:t>
      </w:r>
    </w:p>
    <w:p w14:paraId="0EB52049" w14:textId="17848C53" w:rsidR="00B44244" w:rsidRDefault="00B44244" w:rsidP="00B44244">
      <w:pPr>
        <w:spacing w:after="240"/>
        <w:jc w:val="both"/>
        <w:rPr>
          <w:rFonts w:cstheme="minorHAnsi"/>
          <w:i/>
        </w:rPr>
      </w:pPr>
    </w:p>
    <w:p w14:paraId="76A41837" w14:textId="688A8B46" w:rsidR="002B13FA" w:rsidRPr="006D6A3F" w:rsidRDefault="00B44244" w:rsidP="00DA79FD">
      <w:pPr>
        <w:spacing w:after="240"/>
        <w:jc w:val="both"/>
        <w:rPr>
          <w:rFonts w:cstheme="minorHAnsi"/>
        </w:rPr>
      </w:pPr>
      <w:r w:rsidRPr="00B44244">
        <w:rPr>
          <w:rFonts w:cstheme="minorHAnsi"/>
        </w:rPr>
        <w:lastRenderedPageBreak/>
        <w:t>L</w:t>
      </w:r>
      <w:r w:rsidR="002B13FA" w:rsidRPr="00B44244">
        <w:rPr>
          <w:rFonts w:cstheme="minorHAnsi"/>
        </w:rPr>
        <w:t xml:space="preserve">’autorité judiciaire </w:t>
      </w:r>
      <w:r>
        <w:rPr>
          <w:rFonts w:cstheme="minorHAnsi"/>
        </w:rPr>
        <w:t>n</w:t>
      </w:r>
      <w:r w:rsidR="00BB0E24">
        <w:rPr>
          <w:rFonts w:cstheme="minorHAnsi"/>
        </w:rPr>
        <w:t>’</w:t>
      </w:r>
      <w:r>
        <w:rPr>
          <w:rFonts w:cstheme="minorHAnsi"/>
        </w:rPr>
        <w:t xml:space="preserve">a pas communiqué d’exemples de cas où le Luxembourg aurait refusé une demande d’extradition à cause de violations potentielles des droits humains comme prévu par l’art. 3 CAT. Or, </w:t>
      </w:r>
      <w:r w:rsidR="00BB0E24">
        <w:rPr>
          <w:rFonts w:cstheme="minorHAnsi"/>
        </w:rPr>
        <w:t>e</w:t>
      </w:r>
      <w:r w:rsidR="00BB0E24">
        <w:rPr>
          <w:rFonts w:cstheme="minorHAnsi"/>
        </w:rPr>
        <w:t xml:space="preserve">n principe, une demande d’extradition vers un État requérant </w:t>
      </w:r>
      <w:r w:rsidR="00BB0E24">
        <w:rPr>
          <w:rFonts w:cstheme="minorHAnsi"/>
        </w:rPr>
        <w:t>qui pratique la torture ne saurait se faire, étant donné que l</w:t>
      </w:r>
      <w:r>
        <w:rPr>
          <w:rFonts w:cstheme="minorHAnsi"/>
        </w:rPr>
        <w:t>a</w:t>
      </w:r>
      <w:r w:rsidR="00DA79FD" w:rsidRPr="006D6A3F">
        <w:rPr>
          <w:rFonts w:cstheme="minorHAnsi"/>
        </w:rPr>
        <w:t xml:space="preserve"> </w:t>
      </w:r>
      <w:r w:rsidR="00261701" w:rsidRPr="006D6A3F">
        <w:rPr>
          <w:rFonts w:cstheme="minorHAnsi"/>
          <w:b/>
        </w:rPr>
        <w:t>Loi du 20 juin 2001 sur l'extradition</w:t>
      </w:r>
      <w:r w:rsidR="00DA79FD" w:rsidRPr="006D6A3F">
        <w:rPr>
          <w:rFonts w:cstheme="minorHAnsi"/>
        </w:rPr>
        <w:t xml:space="preserve"> précise que :</w:t>
      </w:r>
    </w:p>
    <w:p w14:paraId="1041F9C8" w14:textId="77777777" w:rsidR="00261701" w:rsidRPr="006D6A3F" w:rsidRDefault="00261701" w:rsidP="00DA79FD">
      <w:pPr>
        <w:spacing w:after="240"/>
        <w:jc w:val="both"/>
        <w:rPr>
          <w:rFonts w:cstheme="minorHAnsi"/>
          <w:i/>
        </w:rPr>
      </w:pPr>
      <w:r w:rsidRPr="006D6A3F">
        <w:rPr>
          <w:rFonts w:cstheme="minorHAnsi"/>
          <w:i/>
        </w:rPr>
        <w:t>Art. 12 :</w:t>
      </w:r>
    </w:p>
    <w:p w14:paraId="4E18349D" w14:textId="02E5DBF5" w:rsidR="00261701" w:rsidRPr="006D6A3F" w:rsidRDefault="00261701" w:rsidP="00DC50DE">
      <w:pPr>
        <w:pStyle w:val="ListParagraph"/>
        <w:numPr>
          <w:ilvl w:val="0"/>
          <w:numId w:val="8"/>
        </w:numPr>
        <w:spacing w:after="240"/>
        <w:jc w:val="both"/>
        <w:rPr>
          <w:rFonts w:cstheme="minorHAnsi"/>
          <w:i/>
        </w:rPr>
      </w:pPr>
      <w:r w:rsidRPr="006D6A3F">
        <w:rPr>
          <w:rFonts w:cstheme="minorHAnsi"/>
          <w:i/>
        </w:rPr>
        <w:t>1)</w:t>
      </w:r>
      <w:r w:rsidR="00B44244">
        <w:rPr>
          <w:rFonts w:cstheme="minorHAnsi"/>
          <w:i/>
        </w:rPr>
        <w:t xml:space="preserve"> </w:t>
      </w:r>
      <w:r w:rsidRPr="006D6A3F">
        <w:rPr>
          <w:rFonts w:cstheme="minorHAnsi"/>
          <w:i/>
        </w:rPr>
        <w:t>Si le fait à raison duquel l'extradition est demandée est puni de la peine capitale par la loi de l'</w:t>
      </w:r>
      <w:r w:rsidR="00B44244" w:rsidRPr="006D6A3F">
        <w:rPr>
          <w:rFonts w:cstheme="minorHAnsi"/>
          <w:i/>
        </w:rPr>
        <w:t>État</w:t>
      </w:r>
      <w:r w:rsidRPr="006D6A3F">
        <w:rPr>
          <w:rFonts w:cstheme="minorHAnsi"/>
          <w:i/>
        </w:rPr>
        <w:t xml:space="preserve"> requérant, l'extradition n'est accordée qu'à la condition que l'</w:t>
      </w:r>
      <w:r w:rsidR="00B44244" w:rsidRPr="006D6A3F">
        <w:rPr>
          <w:rFonts w:cstheme="minorHAnsi"/>
          <w:i/>
        </w:rPr>
        <w:t>État</w:t>
      </w:r>
      <w:r w:rsidRPr="006D6A3F">
        <w:rPr>
          <w:rFonts w:cstheme="minorHAnsi"/>
          <w:i/>
        </w:rPr>
        <w:t xml:space="preserve"> requérant donne des assurances jugées suffisantes que la peine capitale ne sera pas exécutée.</w:t>
      </w:r>
    </w:p>
    <w:p w14:paraId="11A74567" w14:textId="77777777" w:rsidR="00261701" w:rsidRPr="006D6A3F" w:rsidRDefault="00261701" w:rsidP="00DC50DE">
      <w:pPr>
        <w:pStyle w:val="ListParagraph"/>
        <w:spacing w:after="240"/>
        <w:jc w:val="both"/>
        <w:rPr>
          <w:rFonts w:cstheme="minorHAnsi"/>
          <w:i/>
        </w:rPr>
      </w:pPr>
    </w:p>
    <w:p w14:paraId="37F6C565" w14:textId="1D738DB8" w:rsidR="00734163" w:rsidRDefault="00261701" w:rsidP="00DC50DE">
      <w:pPr>
        <w:pStyle w:val="ListParagraph"/>
        <w:numPr>
          <w:ilvl w:val="0"/>
          <w:numId w:val="8"/>
        </w:numPr>
        <w:spacing w:after="240"/>
        <w:jc w:val="both"/>
        <w:rPr>
          <w:rFonts w:cstheme="minorHAnsi"/>
          <w:i/>
        </w:rPr>
      </w:pPr>
      <w:r w:rsidRPr="006D6A3F">
        <w:rPr>
          <w:rFonts w:cstheme="minorHAnsi"/>
          <w:i/>
        </w:rPr>
        <w:t>2)</w:t>
      </w:r>
      <w:r w:rsidR="00B44244">
        <w:rPr>
          <w:rFonts w:cstheme="minorHAnsi"/>
          <w:i/>
        </w:rPr>
        <w:t xml:space="preserve"> </w:t>
      </w:r>
      <w:r w:rsidRPr="006D6A3F">
        <w:rPr>
          <w:rFonts w:cstheme="minorHAnsi"/>
          <w:i/>
        </w:rPr>
        <w:t>L'extradition ne peut avoir lieu s'il y a des raisons sérieuses d'admettre que la personne réclamée risque d'être soumise à des actes de torture au sens des articles 1 et 3 de la Convention des Nations-Unies contre la torture et autres peines ou traitements cruels, inhumains ou dégradants et de l'article 3 de la Convention de sauvegarde des droits de l'homme et des libertés fondamentales.</w:t>
      </w:r>
    </w:p>
    <w:p w14:paraId="4252189D" w14:textId="77777777" w:rsidR="00B44244" w:rsidRPr="00B44244" w:rsidRDefault="00B44244" w:rsidP="00B44244">
      <w:pPr>
        <w:pStyle w:val="ListParagraph"/>
        <w:rPr>
          <w:rFonts w:cstheme="minorHAnsi"/>
          <w:i/>
        </w:rPr>
      </w:pPr>
    </w:p>
    <w:p w14:paraId="10FF8D3C" w14:textId="2A8D4362" w:rsidR="00063F75" w:rsidRPr="006D6A3F" w:rsidRDefault="00063F75" w:rsidP="00DC50DE">
      <w:pPr>
        <w:pStyle w:val="Heading2"/>
        <w:spacing w:before="0"/>
        <w:rPr>
          <w:lang w:val="fr-FR"/>
        </w:rPr>
      </w:pPr>
      <w:bookmarkStart w:id="25" w:name="_Toc133934861"/>
      <w:r w:rsidRPr="006D6A3F">
        <w:rPr>
          <w:lang w:val="fr-FR"/>
        </w:rPr>
        <w:t>Actes racistes</w:t>
      </w:r>
      <w:bookmarkEnd w:id="25"/>
    </w:p>
    <w:p w14:paraId="085EDFFF" w14:textId="41EF4002" w:rsidR="00A63436" w:rsidRPr="006D6A3F" w:rsidRDefault="00A63436" w:rsidP="00DC50DE">
      <w:pPr>
        <w:pStyle w:val="Heading3"/>
      </w:pPr>
      <w:bookmarkStart w:id="26" w:name="_Toc133934862"/>
      <w:r w:rsidRPr="006D6A3F">
        <w:t>VIII.1. Contexte général</w:t>
      </w:r>
      <w:bookmarkEnd w:id="26"/>
    </w:p>
    <w:p w14:paraId="4BA3FE72" w14:textId="0DAC18FC" w:rsidR="00F529D7" w:rsidRPr="006D6A3F" w:rsidRDefault="00F529D7" w:rsidP="00DA79FD">
      <w:pPr>
        <w:spacing w:after="240"/>
        <w:jc w:val="both"/>
        <w:rPr>
          <w:rFonts w:cstheme="minorHAnsi"/>
        </w:rPr>
      </w:pPr>
      <w:r w:rsidRPr="006D6A3F">
        <w:rPr>
          <w:rFonts w:cstheme="minorHAnsi"/>
        </w:rPr>
        <w:t>BEE SECURE est une initiative du Gouvernement du Grand-Duché de Luxembourg, mise en œuvre par le Service national de la jeunesse (SNJ) et le KJT, en coopération avec la Maison luxembourgeoise de la cybersécurité, la Police Grand-Ducale et le Bureau du Procureur Général du Grand-Duché de Luxembourg.</w:t>
      </w:r>
      <w:r w:rsidR="006C5876">
        <w:rPr>
          <w:rFonts w:cstheme="minorHAnsi"/>
        </w:rPr>
        <w:t xml:space="preserve"> </w:t>
      </w:r>
      <w:r w:rsidRPr="006D6A3F">
        <w:rPr>
          <w:rFonts w:cstheme="minorHAnsi"/>
        </w:rPr>
        <w:t>BEE SECURE est coordonné par le SNJ et cofinancé par la Commission européenne. La participation du Gouvernement est assurée par le Ministère de l’éducation, de l’enfance et de la jeunesse, le Ministère de l’économie et le Ministère de la famille et de l’intégration. BEE SECURE fait partie des réseaux européens INSAFE (centres de sensibilisation et lignes d’assistance) et INHOPE (centres de signalement de contenus illicites).</w:t>
      </w:r>
    </w:p>
    <w:p w14:paraId="6D653540" w14:textId="037E3232" w:rsidR="00F529D7" w:rsidRPr="006D6A3F" w:rsidRDefault="00F529D7" w:rsidP="00DA79FD">
      <w:pPr>
        <w:spacing w:after="240"/>
        <w:jc w:val="both"/>
        <w:rPr>
          <w:rFonts w:cstheme="minorHAnsi"/>
        </w:rPr>
      </w:pPr>
      <w:r w:rsidRPr="006D6A3F">
        <w:rPr>
          <w:rFonts w:cstheme="minorHAnsi"/>
        </w:rPr>
        <w:t xml:space="preserve">Afin de réaliser notre mission mentionnée précédemment, BEE SECURE propose quatre activités clés: sensibilisation, formations, BEE SECURE </w:t>
      </w:r>
      <w:proofErr w:type="spellStart"/>
      <w:r w:rsidRPr="006D6A3F">
        <w:rPr>
          <w:rFonts w:cstheme="minorHAnsi"/>
        </w:rPr>
        <w:t>Helpline</w:t>
      </w:r>
      <w:proofErr w:type="spellEnd"/>
      <w:r w:rsidRPr="006D6A3F">
        <w:rPr>
          <w:rFonts w:cstheme="minorHAnsi"/>
        </w:rPr>
        <w:t xml:space="preserve"> &amp; </w:t>
      </w:r>
      <w:proofErr w:type="spellStart"/>
      <w:r w:rsidRPr="006D6A3F">
        <w:rPr>
          <w:rFonts w:cstheme="minorHAnsi"/>
        </w:rPr>
        <w:t>Stopline</w:t>
      </w:r>
      <w:proofErr w:type="spellEnd"/>
      <w:r w:rsidRPr="006D6A3F">
        <w:rPr>
          <w:rFonts w:cstheme="minorHAnsi"/>
        </w:rPr>
        <w:t xml:space="preserve"> et suivi des tendances.</w:t>
      </w:r>
      <w:r w:rsidR="006C5876">
        <w:rPr>
          <w:rFonts w:cstheme="minorHAnsi"/>
        </w:rPr>
        <w:t xml:space="preserve"> </w:t>
      </w:r>
      <w:r w:rsidRPr="006D6A3F">
        <w:rPr>
          <w:rFonts w:cstheme="minorHAnsi"/>
        </w:rPr>
        <w:t>En ce qui concerne le discours de haine en ligne, BEE SECURE joue son rôle de plate-forme nationale (https://stopline.bee-secure.lu/) pour le signalement de contenus potentiellement illégaux, qui seront analysés conceptuellement et transmis aux autorités chargées de l’application de la loi pour une procédure ultérieure et une décision finale.</w:t>
      </w:r>
    </w:p>
    <w:p w14:paraId="5EB8D049" w14:textId="07839528" w:rsidR="00F529D7" w:rsidRPr="006D6A3F" w:rsidRDefault="00F529D7" w:rsidP="00DA79FD">
      <w:pPr>
        <w:spacing w:after="240"/>
        <w:jc w:val="both"/>
        <w:rPr>
          <w:rFonts w:cstheme="minorHAnsi"/>
        </w:rPr>
      </w:pPr>
      <w:r w:rsidRPr="006D6A3F">
        <w:rPr>
          <w:rFonts w:cstheme="minorHAnsi"/>
        </w:rPr>
        <w:t>En outre, nous exploitons une ligne d’assistance BEE SECURE, où vous pouvez également obtenir des conseils sur la haine sur Internet, des options d’action et des possibilités de signalement/suppression et un traitement adéquat.</w:t>
      </w:r>
      <w:r w:rsidR="006C5876">
        <w:rPr>
          <w:rFonts w:cstheme="minorHAnsi"/>
        </w:rPr>
        <w:t xml:space="preserve"> </w:t>
      </w:r>
      <w:r w:rsidRPr="006D6A3F">
        <w:rPr>
          <w:rFonts w:cstheme="minorHAnsi"/>
        </w:rPr>
        <w:t>En 2022, BEE SECURE a également lancé la campagne contre le discours de haine appelée « Pas de haine en ligne », qui promeut plus de respect mutuel sur Internet et vise à réduire le discours de haine. En outre, la campagne vise à fournir des informations sur la liberté d’expression et ses limites légales.</w:t>
      </w:r>
    </w:p>
    <w:p w14:paraId="731B5A0E" w14:textId="13669E81" w:rsidR="004D08D1" w:rsidRPr="006D6A3F" w:rsidRDefault="00F529D7" w:rsidP="00DA79FD">
      <w:pPr>
        <w:spacing w:after="240"/>
        <w:jc w:val="both"/>
        <w:rPr>
          <w:rFonts w:cstheme="minorHAnsi"/>
        </w:rPr>
      </w:pPr>
      <w:r w:rsidRPr="006D6A3F">
        <w:rPr>
          <w:rFonts w:cstheme="minorHAnsi"/>
        </w:rPr>
        <w:lastRenderedPageBreak/>
        <w:t xml:space="preserve">En ce qui concerne les données actuelles sur le racisme, le révisionnisme, la discrimination et le discours de haine, le BEE SECURE </w:t>
      </w:r>
      <w:proofErr w:type="spellStart"/>
      <w:r w:rsidRPr="006D6A3F">
        <w:rPr>
          <w:rFonts w:cstheme="minorHAnsi"/>
        </w:rPr>
        <w:t>Stopline</w:t>
      </w:r>
      <w:proofErr w:type="spellEnd"/>
      <w:r w:rsidRPr="006D6A3F">
        <w:rPr>
          <w:rFonts w:cstheme="minorHAnsi"/>
        </w:rPr>
        <w:t xml:space="preserve"> a reçu moins de rapports de racisme, de révisionnisme et de discrimination en 2022 qu’en 2021, lorsque la pandémie de Corona a provoqué des troubles sociaux. En 2022, sur 169 signalements, 97 étaient potentiellement illégaux ou pertinents et envoyés à la police. La plupart des rapports ont été signalés en janvier 2022, influencés par la pandémie et les problèmes antigouvernementaux (incitation à la haine et à la violence). À partir de février, la situation s’est normalisée. Les sujets du contenu signalé allaient du racisme ou de la discrimination fondée sur l’appartenance religieuse, l’origine ethnique, l’orientation sexuelle, les questions antigouvernementales et la xénophobie. Dans 73 cas, le contenu </w:t>
      </w:r>
      <w:r w:rsidR="00AA1FCD" w:rsidRPr="006D6A3F">
        <w:rPr>
          <w:rFonts w:cstheme="minorHAnsi"/>
        </w:rPr>
        <w:t>avait atteint le seuil</w:t>
      </w:r>
      <w:r w:rsidRPr="006D6A3F">
        <w:rPr>
          <w:rFonts w:cstheme="minorHAnsi"/>
        </w:rPr>
        <w:t xml:space="preserve"> des propos haineux. Spécifiés sur la demande de « haine raciale », qui contenait l’origine ethnique et nationale, la xénophobie et le racisme, nous avons reçu 23 rapports.</w:t>
      </w:r>
    </w:p>
    <w:p w14:paraId="7391496C" w14:textId="1CAC1D51" w:rsidR="006B3D9E" w:rsidRPr="006D6A3F" w:rsidRDefault="006B3D9E" w:rsidP="006B3D9E">
      <w:pPr>
        <w:spacing w:after="240"/>
        <w:jc w:val="both"/>
        <w:rPr>
          <w:rFonts w:cstheme="minorHAnsi"/>
        </w:rPr>
      </w:pPr>
      <w:r w:rsidRPr="006D6A3F">
        <w:rPr>
          <w:rFonts w:cstheme="minorHAnsi"/>
        </w:rPr>
        <w:t xml:space="preserve">Le Luxembourg a mis en place des </w:t>
      </w:r>
      <w:r w:rsidRPr="006D6A3F">
        <w:rPr>
          <w:rFonts w:cstheme="minorHAnsi"/>
          <w:b/>
        </w:rPr>
        <w:t>mesures concrètes pour lutter contre le racisme et la discrimination racial</w:t>
      </w:r>
      <w:r w:rsidRPr="006D6A3F">
        <w:rPr>
          <w:rFonts w:cstheme="minorHAnsi"/>
        </w:rPr>
        <w:t>e, qui comprennent des mesures dans les domaines de la recherche, du renforcement des capacités, de la sensibilisation et de la législation et des politiques, résumées ci-dessous :</w:t>
      </w:r>
    </w:p>
    <w:p w14:paraId="27A560D8" w14:textId="77777777" w:rsidR="006B3D9E" w:rsidRPr="006D6A3F" w:rsidRDefault="006B3D9E" w:rsidP="006B3D9E">
      <w:pPr>
        <w:pStyle w:val="ListParagraph"/>
        <w:numPr>
          <w:ilvl w:val="0"/>
          <w:numId w:val="35"/>
        </w:numPr>
        <w:spacing w:after="240"/>
        <w:jc w:val="both"/>
        <w:rPr>
          <w:rFonts w:cstheme="minorHAnsi"/>
        </w:rPr>
      </w:pPr>
      <w:r w:rsidRPr="006D6A3F">
        <w:rPr>
          <w:rFonts w:cstheme="minorHAnsi"/>
        </w:rPr>
        <w:t>Recherche</w:t>
      </w:r>
    </w:p>
    <w:p w14:paraId="2689D690" w14:textId="77777777" w:rsidR="006B3D9E" w:rsidRPr="006D6A3F" w:rsidRDefault="006B3D9E" w:rsidP="006B3D9E">
      <w:pPr>
        <w:pStyle w:val="ListParagraph"/>
        <w:numPr>
          <w:ilvl w:val="1"/>
          <w:numId w:val="35"/>
        </w:numPr>
        <w:spacing w:after="240"/>
        <w:jc w:val="both"/>
        <w:rPr>
          <w:rFonts w:cstheme="minorHAnsi"/>
        </w:rPr>
      </w:pPr>
      <w:r w:rsidRPr="006D6A3F">
        <w:rPr>
          <w:rFonts w:cstheme="minorHAnsi"/>
        </w:rPr>
        <w:t>"Racisme et discrimination ethno-raciale au Luxembourg"</w:t>
      </w:r>
    </w:p>
    <w:p w14:paraId="52CAE9F2" w14:textId="77777777" w:rsidR="006B3D9E" w:rsidRPr="006D6A3F" w:rsidRDefault="006B3D9E" w:rsidP="006B3D9E">
      <w:pPr>
        <w:pStyle w:val="ListParagraph"/>
        <w:numPr>
          <w:ilvl w:val="1"/>
          <w:numId w:val="35"/>
        </w:numPr>
        <w:spacing w:after="240"/>
        <w:jc w:val="both"/>
        <w:rPr>
          <w:rFonts w:cstheme="minorHAnsi"/>
        </w:rPr>
      </w:pPr>
      <w:r w:rsidRPr="006D6A3F">
        <w:rPr>
          <w:rFonts w:cstheme="minorHAnsi"/>
        </w:rPr>
        <w:t xml:space="preserve">"Racisme et discrimination au Luxembourg - à l'écoute des victimes" </w:t>
      </w:r>
    </w:p>
    <w:p w14:paraId="77428FB1" w14:textId="7FBEB8F7" w:rsidR="006B3D9E" w:rsidRPr="006D6A3F" w:rsidRDefault="006B3D9E" w:rsidP="006B3D9E">
      <w:pPr>
        <w:pStyle w:val="ListParagraph"/>
        <w:numPr>
          <w:ilvl w:val="1"/>
          <w:numId w:val="35"/>
        </w:numPr>
        <w:spacing w:after="240"/>
        <w:jc w:val="both"/>
        <w:rPr>
          <w:rFonts w:cstheme="minorHAnsi"/>
        </w:rPr>
      </w:pPr>
      <w:r w:rsidRPr="006D6A3F">
        <w:rPr>
          <w:rFonts w:cstheme="minorHAnsi"/>
        </w:rPr>
        <w:t xml:space="preserve">"An </w:t>
      </w:r>
      <w:proofErr w:type="spellStart"/>
      <w:r w:rsidRPr="006D6A3F">
        <w:rPr>
          <w:rFonts w:cstheme="minorHAnsi"/>
        </w:rPr>
        <w:t>overview</w:t>
      </w:r>
      <w:proofErr w:type="spellEnd"/>
      <w:r w:rsidRPr="006D6A3F">
        <w:rPr>
          <w:rFonts w:cstheme="minorHAnsi"/>
        </w:rPr>
        <w:t xml:space="preserve"> of training and initiatives in the </w:t>
      </w:r>
      <w:proofErr w:type="spellStart"/>
      <w:r w:rsidRPr="006D6A3F">
        <w:rPr>
          <w:rFonts w:cstheme="minorHAnsi"/>
        </w:rPr>
        <w:t>field</w:t>
      </w:r>
      <w:proofErr w:type="spellEnd"/>
      <w:r w:rsidRPr="006D6A3F">
        <w:rPr>
          <w:rFonts w:cstheme="minorHAnsi"/>
        </w:rPr>
        <w:t xml:space="preserve"> of </w:t>
      </w:r>
      <w:proofErr w:type="spellStart"/>
      <w:r w:rsidRPr="006D6A3F">
        <w:rPr>
          <w:rFonts w:cstheme="minorHAnsi"/>
        </w:rPr>
        <w:t>interculturality</w:t>
      </w:r>
      <w:proofErr w:type="spellEnd"/>
      <w:r w:rsidRPr="006D6A3F">
        <w:rPr>
          <w:rFonts w:cstheme="minorHAnsi"/>
        </w:rPr>
        <w:t xml:space="preserve"> in Luxembourg" (Aperçu des formations et des initiatives dans le domaine de l'interculturalité au Luxembourg)</w:t>
      </w:r>
    </w:p>
    <w:p w14:paraId="521DC9D4" w14:textId="77777777" w:rsidR="006B3D9E" w:rsidRPr="006D6A3F" w:rsidRDefault="006B3D9E" w:rsidP="006B3D9E">
      <w:pPr>
        <w:pStyle w:val="ListParagraph"/>
        <w:numPr>
          <w:ilvl w:val="0"/>
          <w:numId w:val="35"/>
        </w:numPr>
        <w:spacing w:after="240"/>
        <w:jc w:val="both"/>
        <w:rPr>
          <w:rFonts w:cstheme="minorHAnsi"/>
        </w:rPr>
      </w:pPr>
      <w:r w:rsidRPr="006D6A3F">
        <w:rPr>
          <w:rFonts w:cstheme="minorHAnsi"/>
        </w:rPr>
        <w:t>Renforcement des capacités</w:t>
      </w:r>
    </w:p>
    <w:p w14:paraId="4FC4A9B5" w14:textId="0E404182" w:rsidR="006B3D9E" w:rsidRPr="006D6A3F" w:rsidRDefault="006B3D9E" w:rsidP="006B3D9E">
      <w:pPr>
        <w:spacing w:after="240"/>
        <w:jc w:val="both"/>
        <w:rPr>
          <w:rFonts w:cstheme="minorHAnsi"/>
        </w:rPr>
      </w:pPr>
      <w:r w:rsidRPr="006D6A3F">
        <w:rPr>
          <w:rFonts w:cstheme="minorHAnsi"/>
        </w:rPr>
        <w:t>Les initiatives de formation suivantes, entièrement ou partiellement axées sur la lutte contre le racisme et la discrimination raciale, ont été incluses dans les catalogues nationaux de formation destinés aux fonctionnaires municipaux, aux enseignants et au personnel éducatif, ainsi qu'aux forces de police. Le contenu des formations destinées aux enseignants, au personnel éducatif et aux forces de police a été développé en partenariat avec des organisations de la société civile.</w:t>
      </w:r>
    </w:p>
    <w:p w14:paraId="46AF6EB4" w14:textId="50A6EE71" w:rsidR="006B3D9E" w:rsidRPr="006D6A3F" w:rsidRDefault="006B3D9E" w:rsidP="006B3D9E">
      <w:pPr>
        <w:pStyle w:val="ListParagraph"/>
        <w:numPr>
          <w:ilvl w:val="1"/>
          <w:numId w:val="35"/>
        </w:numPr>
        <w:spacing w:after="240"/>
        <w:jc w:val="both"/>
        <w:rPr>
          <w:rFonts w:cstheme="minorHAnsi"/>
        </w:rPr>
      </w:pPr>
      <w:r w:rsidRPr="006D6A3F">
        <w:rPr>
          <w:rFonts w:cstheme="minorHAnsi"/>
        </w:rPr>
        <w:t>Institut national d'administration publique</w:t>
      </w:r>
    </w:p>
    <w:p w14:paraId="65C64C5D" w14:textId="77777777" w:rsidR="006B3D9E" w:rsidRPr="006D6A3F" w:rsidRDefault="006B3D9E" w:rsidP="006B3D9E">
      <w:pPr>
        <w:pStyle w:val="ListParagraph"/>
        <w:numPr>
          <w:ilvl w:val="2"/>
          <w:numId w:val="35"/>
        </w:numPr>
        <w:spacing w:after="240"/>
        <w:jc w:val="both"/>
        <w:rPr>
          <w:rFonts w:cstheme="minorHAnsi"/>
        </w:rPr>
      </w:pPr>
      <w:r w:rsidRPr="006D6A3F">
        <w:rPr>
          <w:rFonts w:cstheme="minorHAnsi"/>
        </w:rPr>
        <w:t>Diversité et non-discrimination</w:t>
      </w:r>
    </w:p>
    <w:p w14:paraId="3C690FA5" w14:textId="77777777" w:rsidR="006B3D9E" w:rsidRPr="006D6A3F" w:rsidRDefault="006B3D9E" w:rsidP="006B3D9E">
      <w:pPr>
        <w:pStyle w:val="ListParagraph"/>
        <w:numPr>
          <w:ilvl w:val="2"/>
          <w:numId w:val="35"/>
        </w:numPr>
        <w:spacing w:after="240"/>
        <w:jc w:val="both"/>
        <w:rPr>
          <w:rFonts w:cstheme="minorHAnsi"/>
        </w:rPr>
      </w:pPr>
      <w:r w:rsidRPr="006D6A3F">
        <w:rPr>
          <w:rFonts w:cstheme="minorHAnsi"/>
        </w:rPr>
        <w:t xml:space="preserve">Comment créer une bibliothèque inclusive et antiraciste </w:t>
      </w:r>
    </w:p>
    <w:p w14:paraId="76E7314E" w14:textId="77777777" w:rsidR="006B3D9E" w:rsidRPr="006D6A3F" w:rsidRDefault="006B3D9E" w:rsidP="006B3D9E">
      <w:pPr>
        <w:pStyle w:val="ListParagraph"/>
        <w:numPr>
          <w:ilvl w:val="2"/>
          <w:numId w:val="35"/>
        </w:numPr>
        <w:spacing w:after="240"/>
        <w:jc w:val="both"/>
        <w:rPr>
          <w:rFonts w:cstheme="minorHAnsi"/>
        </w:rPr>
      </w:pPr>
      <w:r w:rsidRPr="006D6A3F">
        <w:rPr>
          <w:rFonts w:cstheme="minorHAnsi"/>
        </w:rPr>
        <w:t xml:space="preserve">L'antiracisme dans l'enseignement et l'éducation </w:t>
      </w:r>
    </w:p>
    <w:p w14:paraId="279BDCB0" w14:textId="77777777" w:rsidR="006B3D9E" w:rsidRPr="006D6A3F" w:rsidRDefault="006B3D9E" w:rsidP="006B3D9E">
      <w:pPr>
        <w:pStyle w:val="ListParagraph"/>
        <w:numPr>
          <w:ilvl w:val="2"/>
          <w:numId w:val="35"/>
        </w:numPr>
        <w:spacing w:after="240"/>
        <w:jc w:val="both"/>
        <w:rPr>
          <w:rFonts w:cstheme="minorHAnsi"/>
        </w:rPr>
      </w:pPr>
      <w:r w:rsidRPr="006D6A3F">
        <w:rPr>
          <w:rFonts w:cstheme="minorHAnsi"/>
        </w:rPr>
        <w:t>Le racisme quotidien dans les écoles : Reconnaître et prévenir les micro-agressions et les préjugés racistes</w:t>
      </w:r>
    </w:p>
    <w:p w14:paraId="3903C40D" w14:textId="77777777" w:rsidR="006B3D9E" w:rsidRPr="006D6A3F" w:rsidRDefault="006B3D9E" w:rsidP="006B3D9E">
      <w:pPr>
        <w:pStyle w:val="ListParagraph"/>
        <w:numPr>
          <w:ilvl w:val="2"/>
          <w:numId w:val="35"/>
        </w:numPr>
        <w:spacing w:after="240"/>
        <w:jc w:val="both"/>
        <w:rPr>
          <w:rFonts w:cstheme="minorHAnsi"/>
        </w:rPr>
      </w:pPr>
      <w:r w:rsidRPr="006D6A3F">
        <w:rPr>
          <w:rFonts w:cstheme="minorHAnsi"/>
        </w:rPr>
        <w:t xml:space="preserve">Ai-je des préjugés ? Et si oui, combien ? - Exercice de réflexion sur les préjugés pour les enseignants </w:t>
      </w:r>
    </w:p>
    <w:p w14:paraId="205BFC6E" w14:textId="77777777" w:rsidR="006B3D9E" w:rsidRPr="006D6A3F" w:rsidRDefault="006B3D9E" w:rsidP="006B3D9E">
      <w:pPr>
        <w:pStyle w:val="ListParagraph"/>
        <w:numPr>
          <w:ilvl w:val="2"/>
          <w:numId w:val="35"/>
        </w:numPr>
        <w:spacing w:after="240"/>
        <w:jc w:val="both"/>
        <w:rPr>
          <w:rFonts w:cstheme="minorHAnsi"/>
        </w:rPr>
      </w:pPr>
      <w:r w:rsidRPr="006D6A3F">
        <w:rPr>
          <w:rFonts w:cstheme="minorHAnsi"/>
        </w:rPr>
        <w:t>Penser, parler et agir de manière critique face au racisme</w:t>
      </w:r>
    </w:p>
    <w:p w14:paraId="155A333D" w14:textId="77777777" w:rsidR="006B3D9E" w:rsidRPr="006D6A3F" w:rsidRDefault="006B3D9E" w:rsidP="006B3D9E">
      <w:pPr>
        <w:pStyle w:val="ListParagraph"/>
        <w:numPr>
          <w:ilvl w:val="1"/>
          <w:numId w:val="35"/>
        </w:numPr>
        <w:spacing w:after="240"/>
        <w:jc w:val="both"/>
        <w:rPr>
          <w:rFonts w:cstheme="minorHAnsi"/>
        </w:rPr>
      </w:pPr>
      <w:r w:rsidRPr="006D6A3F">
        <w:rPr>
          <w:rFonts w:cstheme="minorHAnsi"/>
        </w:rPr>
        <w:t>Police</w:t>
      </w:r>
    </w:p>
    <w:p w14:paraId="0AD2BF88" w14:textId="3933DAB5" w:rsidR="006B3D9E" w:rsidRPr="006D6A3F" w:rsidRDefault="006B3D9E" w:rsidP="006B3D9E">
      <w:pPr>
        <w:pStyle w:val="ListParagraph"/>
        <w:numPr>
          <w:ilvl w:val="2"/>
          <w:numId w:val="35"/>
        </w:numPr>
        <w:spacing w:after="240"/>
        <w:jc w:val="both"/>
        <w:rPr>
          <w:rFonts w:cstheme="minorHAnsi"/>
        </w:rPr>
      </w:pPr>
      <w:r w:rsidRPr="006D6A3F">
        <w:rPr>
          <w:rFonts w:cstheme="minorHAnsi"/>
        </w:rPr>
        <w:t>Éducation interculturelle - formation de la police (titre original en français : "Éducation interculturelle")</w:t>
      </w:r>
    </w:p>
    <w:p w14:paraId="520A6958" w14:textId="072AE11C" w:rsidR="006B3D9E" w:rsidRPr="006D6A3F" w:rsidRDefault="006B3D9E" w:rsidP="006B3D9E">
      <w:pPr>
        <w:pStyle w:val="ListParagraph"/>
        <w:numPr>
          <w:ilvl w:val="0"/>
          <w:numId w:val="35"/>
        </w:numPr>
        <w:spacing w:after="240"/>
        <w:jc w:val="both"/>
        <w:rPr>
          <w:rFonts w:cstheme="minorHAnsi"/>
        </w:rPr>
      </w:pPr>
      <w:r w:rsidRPr="006D6A3F">
        <w:rPr>
          <w:rFonts w:cstheme="minorHAnsi"/>
        </w:rPr>
        <w:lastRenderedPageBreak/>
        <w:t xml:space="preserve"> Sensibilisation</w:t>
      </w:r>
    </w:p>
    <w:p w14:paraId="747843DC" w14:textId="77777777" w:rsidR="006B3D9E" w:rsidRPr="006D6A3F" w:rsidRDefault="006B3D9E" w:rsidP="006B3D9E">
      <w:pPr>
        <w:spacing w:after="240"/>
        <w:jc w:val="both"/>
        <w:rPr>
          <w:rFonts w:cstheme="minorHAnsi"/>
        </w:rPr>
      </w:pPr>
      <w:r w:rsidRPr="006D6A3F">
        <w:rPr>
          <w:rFonts w:cstheme="minorHAnsi"/>
        </w:rPr>
        <w:t>Des mesures de sensibilisation visant à lutter contre le racisme, la discrimination raciale et les stéréotypes négatifs sont en cours. Une liste non exhaustive de ces mesures est présentée ci-dessous. Les organisations de la société civile mettent en œuvre la plupart des initiatives de sensibilisation susmentionnées actuellement en place au Luxembourg avec un financement public, notamment le ministère de la Famille, de l'Intégration et de la Grande Région, le ministère de la Justice, l'Œuvre nationale d'entraide de la Grande-Duchesse Charlotte.</w:t>
      </w:r>
    </w:p>
    <w:p w14:paraId="44D04888" w14:textId="3CDC686A" w:rsidR="006B3D9E" w:rsidRPr="006D6A3F" w:rsidRDefault="006B3D9E" w:rsidP="006B3D9E">
      <w:pPr>
        <w:pStyle w:val="ListParagraph"/>
        <w:numPr>
          <w:ilvl w:val="1"/>
          <w:numId w:val="35"/>
        </w:numPr>
        <w:spacing w:after="240"/>
        <w:jc w:val="both"/>
        <w:rPr>
          <w:rFonts w:cstheme="minorHAnsi"/>
        </w:rPr>
      </w:pPr>
      <w:r w:rsidRPr="006D6A3F">
        <w:rPr>
          <w:rFonts w:cstheme="minorHAnsi"/>
        </w:rPr>
        <w:t>"Racisme et discrimination ethno-raciale au Luxembourg" présentation au Comité interministériel des droits de l'homme du 28 avril 2022, au Comité interministériel de l'intégration du 16 juin 2022, et à la Commission luxembourgeoise de coopération avec l'UNESCO du 21 juin 2022.</w:t>
      </w:r>
    </w:p>
    <w:p w14:paraId="057B5BC2" w14:textId="13F9C573" w:rsidR="006B3D9E" w:rsidRPr="006D6A3F" w:rsidRDefault="006B3D9E" w:rsidP="006B3D9E">
      <w:pPr>
        <w:pStyle w:val="ListParagraph"/>
        <w:numPr>
          <w:ilvl w:val="0"/>
          <w:numId w:val="38"/>
        </w:numPr>
        <w:spacing w:after="240"/>
        <w:jc w:val="both"/>
        <w:rPr>
          <w:rFonts w:cstheme="minorHAnsi"/>
        </w:rPr>
      </w:pPr>
      <w:r w:rsidRPr="006D6A3F">
        <w:rPr>
          <w:rFonts w:cstheme="minorHAnsi"/>
        </w:rPr>
        <w:t>Série de conférences sur le racisme et les discriminations ethno-raciales au Luxembourg</w:t>
      </w:r>
    </w:p>
    <w:p w14:paraId="687BC67D" w14:textId="027F139F" w:rsidR="006B3D9E" w:rsidRPr="006D6A3F" w:rsidRDefault="006B3D9E" w:rsidP="006B3D9E">
      <w:pPr>
        <w:pStyle w:val="ListParagraph"/>
        <w:numPr>
          <w:ilvl w:val="0"/>
          <w:numId w:val="38"/>
        </w:numPr>
        <w:spacing w:after="240"/>
        <w:jc w:val="both"/>
        <w:rPr>
          <w:rFonts w:cstheme="minorHAnsi"/>
        </w:rPr>
      </w:pPr>
      <w:r w:rsidRPr="006D6A3F">
        <w:rPr>
          <w:rFonts w:cstheme="minorHAnsi"/>
        </w:rPr>
        <w:t>Le dialogue au lieu de la haine</w:t>
      </w:r>
    </w:p>
    <w:p w14:paraId="6F7A9F45" w14:textId="0837C1A0" w:rsidR="006B3D9E" w:rsidRPr="006D6A3F" w:rsidRDefault="006B3D9E" w:rsidP="006B3D9E">
      <w:pPr>
        <w:pStyle w:val="ListParagraph"/>
        <w:numPr>
          <w:ilvl w:val="0"/>
          <w:numId w:val="38"/>
        </w:numPr>
        <w:spacing w:after="240"/>
        <w:jc w:val="both"/>
        <w:rPr>
          <w:rFonts w:cstheme="minorHAnsi"/>
        </w:rPr>
      </w:pPr>
      <w:r w:rsidRPr="006D6A3F">
        <w:rPr>
          <w:rFonts w:cstheme="minorHAnsi"/>
        </w:rPr>
        <w:t>Visible</w:t>
      </w:r>
    </w:p>
    <w:p w14:paraId="4E3D0F8E" w14:textId="53E63F9A" w:rsidR="006B3D9E" w:rsidRPr="006D6A3F" w:rsidRDefault="006B3D9E" w:rsidP="006B3D9E">
      <w:pPr>
        <w:pStyle w:val="ListParagraph"/>
        <w:numPr>
          <w:ilvl w:val="0"/>
          <w:numId w:val="38"/>
        </w:numPr>
        <w:spacing w:after="240"/>
        <w:jc w:val="both"/>
        <w:rPr>
          <w:rFonts w:cstheme="minorHAnsi"/>
        </w:rPr>
      </w:pPr>
      <w:r w:rsidRPr="006D6A3F">
        <w:rPr>
          <w:rFonts w:cstheme="minorHAnsi"/>
        </w:rPr>
        <w:t>Le passé colonial du Luxembourg</w:t>
      </w:r>
    </w:p>
    <w:p w14:paraId="178A8D3C" w14:textId="7D4E63E4" w:rsidR="006B3D9E" w:rsidRPr="006D6A3F" w:rsidRDefault="006B3D9E" w:rsidP="006B3D9E">
      <w:pPr>
        <w:pStyle w:val="ListParagraph"/>
        <w:numPr>
          <w:ilvl w:val="0"/>
          <w:numId w:val="38"/>
        </w:numPr>
        <w:spacing w:after="240"/>
        <w:jc w:val="both"/>
        <w:rPr>
          <w:rFonts w:cstheme="minorHAnsi"/>
        </w:rPr>
      </w:pPr>
      <w:r w:rsidRPr="006D6A3F">
        <w:rPr>
          <w:rFonts w:cstheme="minorHAnsi"/>
        </w:rPr>
        <w:t>Cliché - La société en migration</w:t>
      </w:r>
    </w:p>
    <w:p w14:paraId="3958F7AF" w14:textId="375CEB49" w:rsidR="006B3D9E" w:rsidRPr="006D6A3F" w:rsidRDefault="006B3D9E" w:rsidP="006B3D9E">
      <w:pPr>
        <w:pStyle w:val="ListParagraph"/>
        <w:numPr>
          <w:ilvl w:val="0"/>
          <w:numId w:val="38"/>
        </w:numPr>
        <w:spacing w:after="240"/>
        <w:jc w:val="both"/>
        <w:rPr>
          <w:rFonts w:cstheme="minorHAnsi"/>
        </w:rPr>
      </w:pPr>
      <w:r w:rsidRPr="006D6A3F">
        <w:rPr>
          <w:rFonts w:cstheme="minorHAnsi"/>
        </w:rPr>
        <w:t xml:space="preserve">Semaine contre les discriminations </w:t>
      </w:r>
    </w:p>
    <w:p w14:paraId="2522D9F4" w14:textId="711B7ADF" w:rsidR="006B3D9E" w:rsidRPr="006D6A3F" w:rsidRDefault="006B3D9E" w:rsidP="006B3D9E">
      <w:pPr>
        <w:pStyle w:val="ListParagraph"/>
        <w:numPr>
          <w:ilvl w:val="0"/>
          <w:numId w:val="38"/>
        </w:numPr>
        <w:spacing w:after="240"/>
        <w:jc w:val="both"/>
        <w:rPr>
          <w:rFonts w:cstheme="minorHAnsi"/>
        </w:rPr>
      </w:pPr>
      <w:r w:rsidRPr="006D6A3F">
        <w:rPr>
          <w:rFonts w:cstheme="minorHAnsi"/>
        </w:rPr>
        <w:t>Projet arachide</w:t>
      </w:r>
    </w:p>
    <w:p w14:paraId="45103643" w14:textId="29E919B5" w:rsidR="006B3D9E" w:rsidRPr="006D6A3F" w:rsidRDefault="00BB0E24" w:rsidP="006B3D9E">
      <w:pPr>
        <w:pStyle w:val="ListParagraph"/>
        <w:numPr>
          <w:ilvl w:val="0"/>
          <w:numId w:val="38"/>
        </w:numPr>
        <w:spacing w:after="240"/>
        <w:jc w:val="both"/>
        <w:rPr>
          <w:rFonts w:cstheme="minorHAnsi"/>
        </w:rPr>
      </w:pPr>
      <w:r w:rsidRPr="006D6A3F">
        <w:rPr>
          <w:rFonts w:cstheme="minorHAnsi"/>
        </w:rPr>
        <w:t>À</w:t>
      </w:r>
      <w:r w:rsidR="006B3D9E" w:rsidRPr="006D6A3F">
        <w:rPr>
          <w:rFonts w:cstheme="minorHAnsi"/>
        </w:rPr>
        <w:t xml:space="preserve"> fleur de peau : être afro-descendant au Luxembourg</w:t>
      </w:r>
    </w:p>
    <w:p w14:paraId="19FE9344" w14:textId="02CED232" w:rsidR="006B3D9E" w:rsidRPr="006D6A3F" w:rsidRDefault="006B3D9E" w:rsidP="006B3D9E">
      <w:pPr>
        <w:pStyle w:val="ListParagraph"/>
        <w:numPr>
          <w:ilvl w:val="0"/>
          <w:numId w:val="38"/>
        </w:numPr>
        <w:spacing w:after="240"/>
        <w:jc w:val="both"/>
        <w:rPr>
          <w:rFonts w:cstheme="minorHAnsi"/>
        </w:rPr>
      </w:pPr>
      <w:r w:rsidRPr="006D6A3F">
        <w:rPr>
          <w:rFonts w:cstheme="minorHAnsi"/>
        </w:rPr>
        <w:t xml:space="preserve">De </w:t>
      </w:r>
      <w:proofErr w:type="spellStart"/>
      <w:r w:rsidRPr="00BB0E24">
        <w:rPr>
          <w:rFonts w:cstheme="minorHAnsi"/>
          <w:i/>
        </w:rPr>
        <w:t>Klang</w:t>
      </w:r>
      <w:proofErr w:type="spellEnd"/>
      <w:r w:rsidRPr="00BB0E24">
        <w:rPr>
          <w:rFonts w:cstheme="minorHAnsi"/>
          <w:i/>
        </w:rPr>
        <w:t xml:space="preserve"> Keller</w:t>
      </w:r>
      <w:r w:rsidRPr="006D6A3F">
        <w:rPr>
          <w:rFonts w:cstheme="minorHAnsi"/>
        </w:rPr>
        <w:t xml:space="preserve"> : Vivre la musique Vivre la culture Vivre le dialogue au Luxembourg</w:t>
      </w:r>
    </w:p>
    <w:p w14:paraId="566452E5" w14:textId="393E44B8" w:rsidR="006B3D9E" w:rsidRPr="006D6A3F" w:rsidRDefault="006B3D9E" w:rsidP="006B3D9E">
      <w:pPr>
        <w:pStyle w:val="ListParagraph"/>
        <w:numPr>
          <w:ilvl w:val="0"/>
          <w:numId w:val="38"/>
        </w:numPr>
        <w:spacing w:after="240"/>
        <w:jc w:val="both"/>
        <w:rPr>
          <w:rFonts w:cstheme="minorHAnsi"/>
        </w:rPr>
      </w:pPr>
      <w:r w:rsidRPr="006D6A3F">
        <w:rPr>
          <w:rFonts w:cstheme="minorHAnsi"/>
        </w:rPr>
        <w:t>Construire ensemble une société forte et inclusive</w:t>
      </w:r>
    </w:p>
    <w:p w14:paraId="61CD080F" w14:textId="268E494C" w:rsidR="006B3D9E" w:rsidRPr="006D6A3F" w:rsidRDefault="006B3D9E" w:rsidP="006B3D9E">
      <w:pPr>
        <w:pStyle w:val="ListParagraph"/>
        <w:numPr>
          <w:ilvl w:val="0"/>
          <w:numId w:val="38"/>
        </w:numPr>
        <w:spacing w:after="240"/>
        <w:jc w:val="both"/>
        <w:rPr>
          <w:rFonts w:cstheme="minorHAnsi"/>
        </w:rPr>
      </w:pPr>
      <w:r w:rsidRPr="006D6A3F">
        <w:rPr>
          <w:rFonts w:cstheme="minorHAnsi"/>
        </w:rPr>
        <w:t>Stéréotypes durables sur le Luxembourg</w:t>
      </w:r>
    </w:p>
    <w:p w14:paraId="11BB24BC" w14:textId="1BF33AE4" w:rsidR="006B3D9E" w:rsidRPr="006D6A3F" w:rsidRDefault="006B3D9E" w:rsidP="006B3D9E">
      <w:pPr>
        <w:pStyle w:val="ListParagraph"/>
        <w:numPr>
          <w:ilvl w:val="0"/>
          <w:numId w:val="38"/>
        </w:numPr>
        <w:spacing w:after="240"/>
        <w:jc w:val="both"/>
        <w:rPr>
          <w:rFonts w:cstheme="minorHAnsi"/>
        </w:rPr>
      </w:pPr>
      <w:r w:rsidRPr="006D6A3F">
        <w:rPr>
          <w:rFonts w:cstheme="minorHAnsi"/>
        </w:rPr>
        <w:t>Stéréotypes ethno-raciaux et stéréotypes dans le secteur de la santé au Luxembourg</w:t>
      </w:r>
    </w:p>
    <w:p w14:paraId="537CE862" w14:textId="084437BF" w:rsidR="006B3D9E" w:rsidRPr="006D6A3F" w:rsidRDefault="006B3D9E" w:rsidP="006B3D9E">
      <w:pPr>
        <w:pStyle w:val="ListParagraph"/>
        <w:numPr>
          <w:ilvl w:val="0"/>
          <w:numId w:val="38"/>
        </w:numPr>
        <w:spacing w:after="240"/>
        <w:jc w:val="both"/>
        <w:rPr>
          <w:rFonts w:cstheme="minorHAnsi"/>
        </w:rPr>
      </w:pPr>
      <w:r w:rsidRPr="006D6A3F">
        <w:rPr>
          <w:rFonts w:cstheme="minorHAnsi"/>
        </w:rPr>
        <w:t>Générer des changements importants sur la question du racisme au Luxembourg et améliorer les conditions d'intégration des ressortissants de pays tiers</w:t>
      </w:r>
    </w:p>
    <w:p w14:paraId="67D441F4" w14:textId="7E20C559" w:rsidR="006B3D9E" w:rsidRPr="006D6A3F" w:rsidRDefault="006B3D9E" w:rsidP="006B3D9E">
      <w:pPr>
        <w:pStyle w:val="ListParagraph"/>
        <w:numPr>
          <w:ilvl w:val="0"/>
          <w:numId w:val="38"/>
        </w:numPr>
        <w:spacing w:after="240"/>
        <w:jc w:val="both"/>
        <w:rPr>
          <w:rFonts w:cstheme="minorHAnsi"/>
        </w:rPr>
      </w:pPr>
      <w:r w:rsidRPr="006D6A3F">
        <w:rPr>
          <w:rFonts w:cstheme="minorHAnsi"/>
        </w:rPr>
        <w:t>Tout le monde dans la salle de classe !</w:t>
      </w:r>
    </w:p>
    <w:p w14:paraId="54F30FB9" w14:textId="77777777" w:rsidR="006B3D9E" w:rsidRPr="006D6A3F" w:rsidRDefault="006B3D9E" w:rsidP="006B3D9E">
      <w:pPr>
        <w:spacing w:after="240"/>
        <w:jc w:val="both"/>
        <w:rPr>
          <w:rFonts w:cstheme="minorHAnsi"/>
        </w:rPr>
      </w:pPr>
      <w:r w:rsidRPr="006D6A3F">
        <w:rPr>
          <w:rFonts w:cstheme="minorHAnsi"/>
        </w:rPr>
        <w:t>En ce qui concerne le discours de haine, le ministère de la famille, de l'intégration et de la grande région travaille en partenariat avec l'organisation de la société civile Respect.lu sur la prévention du discours de haine en ligne par le biais de divers projets de sensibilisation, de formation et d'information du public, ainsi qu'avec les auteurs de discours de haine. Le site web/plateforme BEE SECURE est une autre initiative en place qui réunit plusieurs ministères et la police. Ce site permet aux victimes de signaler les discours de haine.</w:t>
      </w:r>
    </w:p>
    <w:p w14:paraId="0BAEFD22" w14:textId="2873E9B6" w:rsidR="006B3D9E" w:rsidRPr="006D6A3F" w:rsidRDefault="006B3D9E" w:rsidP="006B3D9E">
      <w:pPr>
        <w:pStyle w:val="ListParagraph"/>
        <w:numPr>
          <w:ilvl w:val="0"/>
          <w:numId w:val="35"/>
        </w:numPr>
        <w:spacing w:after="240"/>
        <w:jc w:val="both"/>
        <w:rPr>
          <w:rFonts w:cstheme="minorHAnsi"/>
        </w:rPr>
      </w:pPr>
      <w:r w:rsidRPr="006D6A3F">
        <w:rPr>
          <w:rFonts w:cstheme="minorHAnsi"/>
        </w:rPr>
        <w:t>Législation et politiques</w:t>
      </w:r>
    </w:p>
    <w:p w14:paraId="5331BB6C" w14:textId="77777777" w:rsidR="006B3D9E" w:rsidRPr="006D6A3F" w:rsidRDefault="006B3D9E" w:rsidP="006B3D9E">
      <w:pPr>
        <w:spacing w:after="240"/>
        <w:jc w:val="both"/>
        <w:rPr>
          <w:rFonts w:cstheme="minorHAnsi"/>
        </w:rPr>
      </w:pPr>
      <w:r w:rsidRPr="006D6A3F">
        <w:rPr>
          <w:rFonts w:cstheme="minorHAnsi"/>
        </w:rPr>
        <w:t xml:space="preserve">Les mesures juridiques et politiques suivantes sont en place pour lutter contre le racisme et la discrimination raciale au Luxembourg : </w:t>
      </w:r>
    </w:p>
    <w:p w14:paraId="11A78E4E" w14:textId="0D5C298B" w:rsidR="006B3D9E" w:rsidRPr="006D6A3F" w:rsidRDefault="006B3D9E" w:rsidP="006B3D9E">
      <w:pPr>
        <w:pStyle w:val="ListParagraph"/>
        <w:numPr>
          <w:ilvl w:val="1"/>
          <w:numId w:val="35"/>
        </w:numPr>
        <w:spacing w:after="240"/>
        <w:jc w:val="both"/>
        <w:rPr>
          <w:rFonts w:cstheme="minorHAnsi"/>
        </w:rPr>
      </w:pPr>
      <w:r w:rsidRPr="006D6A3F">
        <w:rPr>
          <w:rFonts w:cstheme="minorHAnsi"/>
        </w:rPr>
        <w:t>Création d'un " Délégué interministériel chargé de la coordination des politiques de lutte contre le racisme, l'antisémitisme et la haine anti-LGBTIQ+ " (1</w:t>
      </w:r>
      <w:r w:rsidRPr="00BB0E24">
        <w:rPr>
          <w:rFonts w:cstheme="minorHAnsi"/>
          <w:vertAlign w:val="superscript"/>
        </w:rPr>
        <w:t>er</w:t>
      </w:r>
      <w:r w:rsidR="00BB0E24">
        <w:rPr>
          <w:rFonts w:cstheme="minorHAnsi"/>
        </w:rPr>
        <w:t xml:space="preserve"> </w:t>
      </w:r>
      <w:r w:rsidRPr="006D6A3F">
        <w:rPr>
          <w:rFonts w:cstheme="minorHAnsi"/>
        </w:rPr>
        <w:t>juin 2022)</w:t>
      </w:r>
    </w:p>
    <w:p w14:paraId="658EC3B2" w14:textId="79FCABEE" w:rsidR="00063F75" w:rsidRPr="006D6A3F" w:rsidRDefault="006B3D9E" w:rsidP="006B3D9E">
      <w:pPr>
        <w:pStyle w:val="Heading4"/>
        <w:numPr>
          <w:ilvl w:val="0"/>
          <w:numId w:val="39"/>
        </w:numPr>
      </w:pPr>
      <w:r w:rsidRPr="006D6A3F">
        <w:lastRenderedPageBreak/>
        <w:t>Cadre</w:t>
      </w:r>
      <w:r w:rsidR="00063F75" w:rsidRPr="006D6A3F">
        <w:t xml:space="preserve"> légal pour</w:t>
      </w:r>
      <w:r w:rsidRPr="006D6A3F">
        <w:t xml:space="preserve"> la</w:t>
      </w:r>
      <w:r w:rsidR="00063F75" w:rsidRPr="006D6A3F">
        <w:t xml:space="preserve"> prévention de racisme </w:t>
      </w:r>
    </w:p>
    <w:p w14:paraId="76906DFB" w14:textId="1FB65744" w:rsidR="00F529D7" w:rsidRPr="006D6A3F" w:rsidRDefault="00F529D7" w:rsidP="006B3D9E">
      <w:pPr>
        <w:spacing w:after="240"/>
        <w:jc w:val="both"/>
        <w:rPr>
          <w:rFonts w:cstheme="minorHAnsi"/>
        </w:rPr>
      </w:pPr>
      <w:r w:rsidRPr="006D6A3F">
        <w:rPr>
          <w:rFonts w:cstheme="minorHAnsi"/>
        </w:rPr>
        <w:t>La jurisprudence reconnaît de manière unanime que le législateur a entendu manifester sa ferme intention de lutter contre le racisme et l’intolérance dans toutes ses formes tout en démontrant par un signal clair aux auteurs potentiels sa volonté non-équivoque de combattre ces phénomènes d’une manière efficace et énergique.</w:t>
      </w:r>
    </w:p>
    <w:p w14:paraId="1DD82AD9" w14:textId="77777777" w:rsidR="00F529D7" w:rsidRPr="006D6A3F" w:rsidRDefault="00F529D7" w:rsidP="006B3D9E">
      <w:pPr>
        <w:spacing w:after="240"/>
        <w:jc w:val="both"/>
        <w:rPr>
          <w:rFonts w:cstheme="minorHAnsi"/>
        </w:rPr>
      </w:pPr>
      <w:r w:rsidRPr="006D6A3F">
        <w:rPr>
          <w:rFonts w:cstheme="minorHAnsi"/>
        </w:rPr>
        <w:t>Elle a consacré le principe suivant lequel il n’est pas nécessaire que les messages contiennent une exhortation à la haine, à la violence ou à la discrimination mais il suffit, pour que l’infraction soit constituée, que les messages soient de nature à susciter ces sentiments.</w:t>
      </w:r>
    </w:p>
    <w:p w14:paraId="08F099A2" w14:textId="77777777" w:rsidR="00F529D7" w:rsidRPr="006D6A3F" w:rsidRDefault="00F529D7" w:rsidP="006B3D9E">
      <w:pPr>
        <w:spacing w:after="240"/>
        <w:jc w:val="both"/>
        <w:rPr>
          <w:rFonts w:cstheme="minorHAnsi"/>
        </w:rPr>
      </w:pPr>
      <w:r w:rsidRPr="006D6A3F">
        <w:rPr>
          <w:rFonts w:cstheme="minorHAnsi"/>
        </w:rPr>
        <w:t>La nomination au 1er juin 2022 d’un délégué interministériel chargé de la lutte contre le racisme, l’antisémitisme et la haine anti-LGBTIQ+ contribue également à lutter contre tout phénomène lié à des comportements haineux. Assurant une permanence au niveau de l’administration gouvernementale, il est chargé de faciliter les échanges entre les différents départements ministériels sur la question de l’antisémitisme et du racisme afin d’optimiser les synergies entre les départements.</w:t>
      </w:r>
    </w:p>
    <w:p w14:paraId="11428451" w14:textId="77777777" w:rsidR="00F529D7" w:rsidRPr="006D6A3F" w:rsidRDefault="00F529D7" w:rsidP="006B3D9E">
      <w:pPr>
        <w:spacing w:after="240"/>
        <w:jc w:val="both"/>
        <w:rPr>
          <w:rFonts w:cstheme="minorHAnsi"/>
        </w:rPr>
      </w:pPr>
      <w:r w:rsidRPr="006D6A3F">
        <w:rPr>
          <w:rFonts w:cstheme="minorHAnsi"/>
        </w:rPr>
        <w:t xml:space="preserve">L’adoption prochaine du Plan National pour la lutte contre l’Antisémitisme, actuellement rédigé sous la forme d’un projet, servira de modèle pour l’adoption du Plan National contre le Racisme. </w:t>
      </w:r>
    </w:p>
    <w:p w14:paraId="3FDACE33" w14:textId="77777777" w:rsidR="00F529D7" w:rsidRPr="006D6A3F" w:rsidRDefault="00F529D7" w:rsidP="006B3D9E">
      <w:pPr>
        <w:spacing w:after="240"/>
        <w:jc w:val="both"/>
        <w:rPr>
          <w:rFonts w:cstheme="minorHAnsi"/>
        </w:rPr>
      </w:pPr>
      <w:r w:rsidRPr="006D6A3F">
        <w:rPr>
          <w:rFonts w:cstheme="minorHAnsi"/>
        </w:rPr>
        <w:t>Le Plan National contre le racisme est en cours d’élaboration et s’inscrit à la suite du rapport d’étude sur le racisme présenté le 8 mars 2022. Sa rédaction se fait sous la direction du Ministère de la Famille et de l’Intégration, en collaboration avec la société civile, et avec l’implication des ministères compétents pour le logement, le travail et l’éducation nationale. Il est envisagé de le finaliser pour la fin de l’année.</w:t>
      </w:r>
    </w:p>
    <w:p w14:paraId="1658F3A7" w14:textId="18BC2D92" w:rsidR="006B3D9E" w:rsidRDefault="006B3D9E" w:rsidP="006B3D9E">
      <w:pPr>
        <w:spacing w:after="240"/>
        <w:jc w:val="both"/>
        <w:rPr>
          <w:rFonts w:cstheme="minorHAnsi"/>
        </w:rPr>
      </w:pPr>
      <w:r w:rsidRPr="006D6A3F">
        <w:rPr>
          <w:rFonts w:cstheme="minorHAnsi"/>
        </w:rPr>
        <w:t>Le 8 mars 2023, le Parlement a modifié le code pénal afin d'inclure une circonstance aggravante générale pour les crimes commis avec un mobile fondé sur une ou plusieurs des caractéristiques visées à l'article 454 du code pénal, à savoir : l'origine, la couleur de peau, le sexe, l'orientation sexuelle, le changement de sexe, l'identité de genre, la situation de famille, l'âge, l'état de santé, le handicap, l'orientation sexuelle, les opinions politiques ou philosophiques, les activités syndicales, l'appartenance ou la non-appartenance, vraie ou supposée, à une ethnie, une nation, une race ou une religion déterminée.</w:t>
      </w:r>
    </w:p>
    <w:p w14:paraId="062D0A11" w14:textId="77777777" w:rsidR="00BB0E24" w:rsidRPr="006D6A3F" w:rsidRDefault="00BB0E24" w:rsidP="006B3D9E">
      <w:pPr>
        <w:spacing w:after="240"/>
        <w:jc w:val="both"/>
        <w:rPr>
          <w:rFonts w:cstheme="minorHAnsi"/>
          <w:b/>
          <w:highlight w:val="yellow"/>
          <w:u w:val="single"/>
        </w:rPr>
      </w:pPr>
    </w:p>
    <w:p w14:paraId="0C57F058" w14:textId="10A8F78C" w:rsidR="00063F75" w:rsidRPr="006D6A3F" w:rsidRDefault="00643E58" w:rsidP="00DC50DE">
      <w:pPr>
        <w:pStyle w:val="Heading2"/>
        <w:spacing w:before="0"/>
        <w:rPr>
          <w:lang w:val="fr-FR"/>
        </w:rPr>
      </w:pPr>
      <w:bookmarkStart w:id="27" w:name="_Toc133934863"/>
      <w:r w:rsidRPr="006D6A3F">
        <w:rPr>
          <w:lang w:val="fr-FR"/>
        </w:rPr>
        <w:t xml:space="preserve">Traitement </w:t>
      </w:r>
      <w:r w:rsidR="00063F75" w:rsidRPr="006D6A3F">
        <w:rPr>
          <w:lang w:val="fr-FR"/>
        </w:rPr>
        <w:t>d’</w:t>
      </w:r>
      <w:r w:rsidRPr="006D6A3F">
        <w:rPr>
          <w:lang w:val="fr-FR"/>
        </w:rPr>
        <w:t>enfants intersexués</w:t>
      </w:r>
      <w:bookmarkEnd w:id="27"/>
    </w:p>
    <w:p w14:paraId="3D2D5D0C" w14:textId="796451F7" w:rsidR="0019733F" w:rsidRPr="006D6A3F" w:rsidRDefault="0019733F" w:rsidP="00DC50DE">
      <w:pPr>
        <w:pStyle w:val="Heading3"/>
      </w:pPr>
      <w:bookmarkStart w:id="28" w:name="_Toc133934864"/>
      <w:r w:rsidRPr="006D6A3F">
        <w:t>IX.1. Violence fondée sur le genre</w:t>
      </w:r>
      <w:bookmarkEnd w:id="28"/>
    </w:p>
    <w:p w14:paraId="3A23814C" w14:textId="5CD7FACA" w:rsidR="00DC50DE" w:rsidRPr="006D6A3F" w:rsidRDefault="00DC50DE" w:rsidP="00DC50DE">
      <w:pPr>
        <w:spacing w:after="240"/>
        <w:jc w:val="both"/>
        <w:rPr>
          <w:rFonts w:cstheme="minorHAnsi"/>
        </w:rPr>
      </w:pPr>
      <w:r w:rsidRPr="006D6A3F">
        <w:rPr>
          <w:rFonts w:cstheme="minorHAnsi"/>
        </w:rPr>
        <w:t xml:space="preserve">En ce qui concerne le </w:t>
      </w:r>
      <w:r w:rsidRPr="006D6A3F">
        <w:rPr>
          <w:rFonts w:cstheme="minorHAnsi"/>
          <w:b/>
        </w:rPr>
        <w:t>cadre légal,</w:t>
      </w:r>
      <w:r w:rsidRPr="006D6A3F">
        <w:rPr>
          <w:rFonts w:cstheme="minorHAnsi"/>
        </w:rPr>
        <w:t xml:space="preserve"> u</w:t>
      </w:r>
      <w:r w:rsidR="00794E11" w:rsidRPr="006D6A3F">
        <w:rPr>
          <w:rFonts w:cstheme="minorHAnsi"/>
        </w:rPr>
        <w:t xml:space="preserve">n </w:t>
      </w:r>
      <w:r w:rsidR="005034F0" w:rsidRPr="006D6A3F">
        <w:rPr>
          <w:rFonts w:cstheme="minorHAnsi"/>
        </w:rPr>
        <w:t>avant-projet de loi</w:t>
      </w:r>
      <w:r w:rsidR="00794E11" w:rsidRPr="006D6A3F">
        <w:rPr>
          <w:rFonts w:cstheme="minorHAnsi"/>
        </w:rPr>
        <w:t xml:space="preserve"> est en cours de rédaction. Les travaux actuels portent sur les définitions, le champ d’application et la logique d’encadrement. Des réunions d’experts notamment médicaux mais aussi représentants de patients ont eu lieu pour collecter leur avis. Il s’agirait de s’orienter vers une interdiction des opérations chirurgicales des variations du développement sexuel avec mise en place d’une commission qui jouerait le rôle de garde-fou et étudierait la nécessité de l’intervention.</w:t>
      </w:r>
    </w:p>
    <w:p w14:paraId="46062409" w14:textId="0A20B8E3" w:rsidR="00794E11" w:rsidRPr="006D6A3F" w:rsidRDefault="00794E11" w:rsidP="00DC50DE">
      <w:pPr>
        <w:spacing w:after="240"/>
        <w:jc w:val="both"/>
        <w:rPr>
          <w:rFonts w:cstheme="minorHAnsi"/>
        </w:rPr>
      </w:pPr>
      <w:r w:rsidRPr="006D6A3F">
        <w:rPr>
          <w:rFonts w:cstheme="minorHAnsi"/>
        </w:rPr>
        <w:lastRenderedPageBreak/>
        <w:t xml:space="preserve">S’agissant des </w:t>
      </w:r>
      <w:r w:rsidRPr="006D6A3F">
        <w:rPr>
          <w:rFonts w:cstheme="minorHAnsi"/>
          <w:b/>
        </w:rPr>
        <w:t>statistiques</w:t>
      </w:r>
      <w:r w:rsidRPr="006D6A3F">
        <w:rPr>
          <w:rFonts w:cstheme="minorHAnsi"/>
        </w:rPr>
        <w:t>, pour des questions de définitions nous n’avons pas pu avancer comme espéré sur la mise en place d’une collecte structurée. Nous pouvons fournir des chiffres collectés de manière ad hoc sur base des discussions ayant lieu dans le cadre de l’APL : En 12 ans, un seul enfant a fait l’objet d’une assignation de sexe au sens strict du terme. Pour le reste il est question de 10 cas d’</w:t>
      </w:r>
      <w:proofErr w:type="spellStart"/>
      <w:r w:rsidRPr="006D6A3F">
        <w:rPr>
          <w:rFonts w:cstheme="minorHAnsi"/>
        </w:rPr>
        <w:t>intersexuation</w:t>
      </w:r>
      <w:proofErr w:type="spellEnd"/>
      <w:r w:rsidRPr="006D6A3F">
        <w:rPr>
          <w:rFonts w:cstheme="minorHAnsi"/>
        </w:rPr>
        <w:t xml:space="preserve"> et environ une 50aine d’</w:t>
      </w:r>
      <w:proofErr w:type="spellStart"/>
      <w:r w:rsidRPr="006D6A3F">
        <w:rPr>
          <w:rFonts w:cstheme="minorHAnsi"/>
        </w:rPr>
        <w:t>hypospadies</w:t>
      </w:r>
      <w:proofErr w:type="spellEnd"/>
      <w:r w:rsidRPr="006D6A3F">
        <w:rPr>
          <w:rFonts w:cstheme="minorHAnsi"/>
        </w:rPr>
        <w:t xml:space="preserve"> traitées par an.</w:t>
      </w:r>
    </w:p>
    <w:p w14:paraId="6BDB3BB3" w14:textId="40AEAFC9" w:rsidR="00794E11" w:rsidRPr="006D6A3F" w:rsidRDefault="00794E11" w:rsidP="00DC50DE">
      <w:pPr>
        <w:spacing w:after="240"/>
        <w:jc w:val="both"/>
        <w:rPr>
          <w:rFonts w:cstheme="minorHAnsi"/>
        </w:rPr>
      </w:pPr>
      <w:r w:rsidRPr="006D6A3F">
        <w:rPr>
          <w:rFonts w:cstheme="minorHAnsi"/>
        </w:rPr>
        <w:t xml:space="preserve">Sur le volet de </w:t>
      </w:r>
      <w:r w:rsidRPr="006D6A3F">
        <w:rPr>
          <w:rFonts w:cstheme="minorHAnsi"/>
          <w:b/>
        </w:rPr>
        <w:t>conseil</w:t>
      </w:r>
      <w:r w:rsidRPr="006D6A3F">
        <w:rPr>
          <w:rFonts w:cstheme="minorHAnsi"/>
        </w:rPr>
        <w:t>, il est actuellement envisagé la mise en place d’un centre de référence national qui s’occuperait de ces questions. Il serait attaché à des centres de références étrangers dont il deviendrait une antenne afin d’assurer d’une prise en charge optimale des enfants concernés selon les normes et pratiques les plus adaptées. Au sein du de l’établissement hospitalier pressenti fonctionne déjà une équipe pluridisciplinaire capable de conseiller les parents concernés.</w:t>
      </w:r>
    </w:p>
    <w:p w14:paraId="548E45D3" w14:textId="2CBCEDAE" w:rsidR="00794E11" w:rsidRPr="006D6A3F" w:rsidRDefault="00794E11" w:rsidP="00DC50DE">
      <w:pPr>
        <w:spacing w:after="240"/>
        <w:jc w:val="both"/>
        <w:rPr>
          <w:rFonts w:cstheme="minorHAnsi"/>
        </w:rPr>
      </w:pPr>
      <w:r w:rsidRPr="006D6A3F">
        <w:rPr>
          <w:rFonts w:cstheme="minorHAnsi"/>
        </w:rPr>
        <w:t>En attendant le conseil est fourni au travers d’initiatives comme le projet «</w:t>
      </w:r>
      <w:r w:rsidR="006C5876">
        <w:rPr>
          <w:rFonts w:cstheme="minorHAnsi"/>
        </w:rPr>
        <w:t xml:space="preserve"> </w:t>
      </w:r>
      <w:r w:rsidRPr="00BB0E24">
        <w:rPr>
          <w:rFonts w:cstheme="minorHAnsi"/>
          <w:i/>
        </w:rPr>
        <w:t xml:space="preserve">Wat </w:t>
      </w:r>
      <w:proofErr w:type="spellStart"/>
      <w:r w:rsidRPr="00BB0E24">
        <w:rPr>
          <w:rFonts w:cstheme="minorHAnsi"/>
          <w:i/>
        </w:rPr>
        <w:t>äntwere</w:t>
      </w:r>
      <w:proofErr w:type="spellEnd"/>
      <w:r w:rsidRPr="00BB0E24">
        <w:rPr>
          <w:rFonts w:cstheme="minorHAnsi"/>
          <w:i/>
        </w:rPr>
        <w:t> ?</w:t>
      </w:r>
      <w:r w:rsidRPr="006D6A3F">
        <w:rPr>
          <w:rFonts w:cstheme="minorHAnsi"/>
        </w:rPr>
        <w:t> » qui a pour objectif d’encourager les parents à parler de santé affective et santé sexuelle, dans le sens large, y compris des questions en lien avec l’intersexualité. Ce projet constitue une introduction à cette thématique et aux questionnements qu’elle génère, y compris les droits sexuels et droits de l’enfant.</w:t>
      </w:r>
    </w:p>
    <w:p w14:paraId="7EA7D6D1" w14:textId="2D185555" w:rsidR="00794E11" w:rsidRPr="006D6A3F" w:rsidRDefault="00794E11" w:rsidP="00DC50DE">
      <w:pPr>
        <w:spacing w:after="240"/>
        <w:jc w:val="both"/>
        <w:rPr>
          <w:rFonts w:cstheme="minorHAnsi"/>
        </w:rPr>
      </w:pPr>
      <w:r w:rsidRPr="006D6A3F">
        <w:rPr>
          <w:rFonts w:cstheme="minorHAnsi"/>
        </w:rPr>
        <w:t>Concrètement, ce projet-pilote propose un guide (online) pratico-pratique d’informations et de clés d’actions en réponses aux questions auxquelles les parents pourraient être confronté.</w:t>
      </w:r>
    </w:p>
    <w:p w14:paraId="5D82AB60" w14:textId="77777777" w:rsidR="00DC50DE" w:rsidRPr="006D6A3F" w:rsidRDefault="00DC50DE" w:rsidP="00DC50DE">
      <w:pPr>
        <w:spacing w:after="240"/>
        <w:jc w:val="both"/>
        <w:rPr>
          <w:rFonts w:cstheme="minorHAnsi"/>
        </w:rPr>
      </w:pPr>
      <w:r w:rsidRPr="006D6A3F">
        <w:rPr>
          <w:rFonts w:cstheme="minorHAnsi"/>
        </w:rPr>
        <w:t xml:space="preserve">En ce qui concerne le plan d’action national pour la promotion des droits de personnes lesbiennes, gays, bisexuelles, transgenres et </w:t>
      </w:r>
      <w:proofErr w:type="spellStart"/>
      <w:r w:rsidRPr="006D6A3F">
        <w:rPr>
          <w:rFonts w:cstheme="minorHAnsi"/>
        </w:rPr>
        <w:t>intersexes</w:t>
      </w:r>
      <w:proofErr w:type="spellEnd"/>
      <w:r w:rsidRPr="006D6A3F">
        <w:rPr>
          <w:rFonts w:cstheme="minorHAnsi"/>
        </w:rPr>
        <w:t xml:space="preserve"> (</w:t>
      </w:r>
      <w:r w:rsidRPr="006D6A3F">
        <w:rPr>
          <w:rFonts w:cstheme="minorHAnsi"/>
          <w:b/>
        </w:rPr>
        <w:t>PAN LGBTI</w:t>
      </w:r>
      <w:r w:rsidRPr="006D6A3F">
        <w:rPr>
          <w:rFonts w:cstheme="minorHAnsi"/>
        </w:rPr>
        <w:t>), celui-ci réserve un chapitre à la thématique spécifique des personnes intersexuées. Un groupe de travail interministériel travaille actuellement sur la question de l’interdiction des traitements médicaux sur les enfants présentant une variation des caractéristiques sexuées.</w:t>
      </w:r>
    </w:p>
    <w:p w14:paraId="78F5598A" w14:textId="77777777" w:rsidR="00DC50DE" w:rsidRPr="006D6A3F" w:rsidRDefault="00DC50DE" w:rsidP="00DC50DE">
      <w:pPr>
        <w:spacing w:after="240"/>
        <w:rPr>
          <w:rFonts w:cstheme="minorHAnsi"/>
        </w:rPr>
      </w:pPr>
      <w:r w:rsidRPr="006D6A3F">
        <w:rPr>
          <w:rFonts w:cstheme="minorHAnsi"/>
        </w:rPr>
        <w:t>Le Ministère de la Famille, de l’Intégration et à la Grande Région a mandaté en 2022 l’Université du Luxembourg pour effectuer un premier bilan intermédiaire du PAN LGBTI. Les résultats sont attendus pour le second semestre 2023. Il s’agit de faire l’analyse du degré d’implémentation du PAN LGBTI et d’étudier les nécessités et opportunités d’adapter le PAN LGBTI à la situation actuelle.</w:t>
      </w:r>
    </w:p>
    <w:p w14:paraId="7778F0E6" w14:textId="77777777" w:rsidR="00DC50DE" w:rsidRPr="006D6A3F" w:rsidRDefault="00DC50DE" w:rsidP="00DC50DE">
      <w:pPr>
        <w:spacing w:after="240"/>
        <w:rPr>
          <w:rFonts w:cstheme="minorHAnsi"/>
        </w:rPr>
      </w:pPr>
    </w:p>
    <w:p w14:paraId="07E91288" w14:textId="22CBAC09" w:rsidR="00794E11" w:rsidRDefault="00DC50DE" w:rsidP="00DC50DE">
      <w:pPr>
        <w:spacing w:after="240"/>
        <w:rPr>
          <w:rFonts w:cstheme="minorHAnsi"/>
          <w:b/>
          <w:bCs/>
        </w:rPr>
      </w:pPr>
      <w:r w:rsidRPr="006D6A3F">
        <w:rPr>
          <w:rFonts w:cstheme="minorHAnsi"/>
        </w:rPr>
        <w:t xml:space="preserve">Une offre de consultation pour les personnes </w:t>
      </w:r>
      <w:proofErr w:type="spellStart"/>
      <w:r w:rsidRPr="006D6A3F">
        <w:rPr>
          <w:rFonts w:cstheme="minorHAnsi"/>
        </w:rPr>
        <w:t>intersexes</w:t>
      </w:r>
      <w:proofErr w:type="spellEnd"/>
      <w:r w:rsidRPr="006D6A3F">
        <w:rPr>
          <w:rFonts w:cstheme="minorHAnsi"/>
        </w:rPr>
        <w:t xml:space="preserve"> et leur entourage a été installée en 2018 au sein d’un service de consultation conventionné et est accessible à toute personne souhaitant avoir des conseils socio-familiaux en dehors du contexte hospitalier. Cette initiative a été mise en place dans le cadre de la campagne de sensibilisation sur l’</w:t>
      </w:r>
      <w:proofErr w:type="spellStart"/>
      <w:r w:rsidRPr="006D6A3F">
        <w:rPr>
          <w:rFonts w:cstheme="minorHAnsi"/>
        </w:rPr>
        <w:t>intersexuation</w:t>
      </w:r>
      <w:proofErr w:type="spellEnd"/>
      <w:r w:rsidRPr="006D6A3F">
        <w:rPr>
          <w:rFonts w:cstheme="minorHAnsi"/>
        </w:rPr>
        <w:t xml:space="preserve"> initiée en 2018 par le Ministère de la Famille, de l’Intégration et à la Grande Région.</w:t>
      </w:r>
      <w:r w:rsidRPr="006D6A3F">
        <w:rPr>
          <w:rStyle w:val="FootnoteReference"/>
          <w:rFonts w:cstheme="minorHAnsi"/>
        </w:rPr>
        <w:footnoteReference w:id="3"/>
      </w:r>
      <w:r w:rsidRPr="006D6A3F">
        <w:rPr>
          <w:rFonts w:cstheme="minorHAnsi"/>
          <w:b/>
          <w:bCs/>
        </w:rPr>
        <w:t xml:space="preserve"> </w:t>
      </w:r>
    </w:p>
    <w:p w14:paraId="7A9392DB" w14:textId="77777777" w:rsidR="002A7A1D" w:rsidRPr="006D6A3F" w:rsidRDefault="002A7A1D" w:rsidP="00DC50DE">
      <w:pPr>
        <w:spacing w:after="240"/>
        <w:rPr>
          <w:rFonts w:cstheme="minorHAnsi"/>
          <w:b/>
          <w:bCs/>
        </w:rPr>
      </w:pPr>
    </w:p>
    <w:p w14:paraId="13788F9A" w14:textId="3E90078E" w:rsidR="00643E58" w:rsidRPr="006D6A3F" w:rsidRDefault="0019733F" w:rsidP="00DC50DE">
      <w:pPr>
        <w:pStyle w:val="Heading2"/>
        <w:spacing w:before="0"/>
        <w:rPr>
          <w:lang w:val="fr-FR"/>
        </w:rPr>
      </w:pPr>
      <w:bookmarkStart w:id="29" w:name="_Toc133934865"/>
      <w:r w:rsidRPr="006D6A3F">
        <w:rPr>
          <w:lang w:val="fr-FR"/>
        </w:rPr>
        <w:lastRenderedPageBreak/>
        <w:t>Recours à la force (par les autorités de police)</w:t>
      </w:r>
      <w:bookmarkEnd w:id="29"/>
    </w:p>
    <w:p w14:paraId="367EABD4" w14:textId="1862411A" w:rsidR="0019733F" w:rsidRPr="006D6A3F" w:rsidRDefault="0019733F" w:rsidP="00DC50DE">
      <w:pPr>
        <w:pStyle w:val="Heading3"/>
      </w:pPr>
      <w:bookmarkStart w:id="30" w:name="_Toc133934866"/>
      <w:r w:rsidRPr="006D6A3F">
        <w:t>X.1. Cadre général</w:t>
      </w:r>
      <w:bookmarkEnd w:id="30"/>
    </w:p>
    <w:p w14:paraId="2CDA0BC5" w14:textId="3C609C58" w:rsidR="000C3B98" w:rsidRPr="006D6A3F" w:rsidRDefault="000C3B98" w:rsidP="00DC50DE">
      <w:pPr>
        <w:spacing w:after="240"/>
        <w:rPr>
          <w:rFonts w:cstheme="minorHAnsi"/>
        </w:rPr>
      </w:pPr>
      <w:r w:rsidRPr="006D6A3F">
        <w:rPr>
          <w:rFonts w:cstheme="minorHAnsi"/>
        </w:rPr>
        <w:t>Les critères sont repris aux articles 1 à 3 des articles repris dans la loi du 28 juillet 1973 réglant l'usage des armes et autres moyens de contrainte par les membres de la force publique dans la lutte contre la criminalité.</w:t>
      </w:r>
      <w:r w:rsidR="006B3D9E" w:rsidRPr="006D6A3F">
        <w:rPr>
          <w:rStyle w:val="FootnoteReference"/>
          <w:rFonts w:cstheme="minorHAnsi"/>
        </w:rPr>
        <w:footnoteReference w:id="4"/>
      </w:r>
    </w:p>
    <w:p w14:paraId="2671758C" w14:textId="2D630271" w:rsidR="000C3B98" w:rsidRPr="006D6A3F" w:rsidRDefault="000C3B98" w:rsidP="00DC50DE">
      <w:pPr>
        <w:spacing w:after="240"/>
        <w:rPr>
          <w:rFonts w:cstheme="minorHAnsi"/>
        </w:rPr>
      </w:pPr>
      <w:r w:rsidRPr="006D6A3F">
        <w:rPr>
          <w:rFonts w:cstheme="minorHAnsi"/>
        </w:rPr>
        <w:t xml:space="preserve">Outre les critères repris dans la loi susmentionnée, </w:t>
      </w:r>
      <w:r w:rsidR="006B3D9E" w:rsidRPr="006D6A3F">
        <w:rPr>
          <w:rFonts w:cstheme="minorHAnsi"/>
        </w:rPr>
        <w:t>l’u</w:t>
      </w:r>
      <w:r w:rsidRPr="006D6A3F">
        <w:rPr>
          <w:rFonts w:cstheme="minorHAnsi"/>
        </w:rPr>
        <w:t>sage des armes respectivement des autres moyens de contrainte :</w:t>
      </w:r>
    </w:p>
    <w:p w14:paraId="69B73A6C" w14:textId="77777777" w:rsidR="000C3B98" w:rsidRPr="006D6A3F" w:rsidRDefault="000C3B98" w:rsidP="00DC50DE">
      <w:pPr>
        <w:pStyle w:val="ListParagraph"/>
        <w:numPr>
          <w:ilvl w:val="0"/>
          <w:numId w:val="3"/>
        </w:numPr>
        <w:spacing w:after="240"/>
        <w:rPr>
          <w:rFonts w:cstheme="minorHAnsi"/>
        </w:rPr>
      </w:pPr>
      <w:r w:rsidRPr="006D6A3F">
        <w:rPr>
          <w:rFonts w:cstheme="minorHAnsi"/>
        </w:rPr>
        <w:t>Se fait dans l’exercice des missions (principe de légalité)</w:t>
      </w:r>
    </w:p>
    <w:p w14:paraId="354934C6" w14:textId="77777777" w:rsidR="000C3B98" w:rsidRPr="006D6A3F" w:rsidRDefault="000C3B98" w:rsidP="00DC50DE">
      <w:pPr>
        <w:pStyle w:val="ListParagraph"/>
        <w:numPr>
          <w:ilvl w:val="0"/>
          <w:numId w:val="3"/>
        </w:numPr>
        <w:spacing w:after="240"/>
        <w:rPr>
          <w:rFonts w:cstheme="minorHAnsi"/>
        </w:rPr>
      </w:pPr>
      <w:r w:rsidRPr="006D6A3F">
        <w:rPr>
          <w:rFonts w:cstheme="minorHAnsi"/>
        </w:rPr>
        <w:t>Ne peut se faire qu’en cas de nécessité absolue (moyen ultime)</w:t>
      </w:r>
    </w:p>
    <w:p w14:paraId="77BCB649" w14:textId="76B07612" w:rsidR="000C3B98" w:rsidRPr="006D6A3F" w:rsidRDefault="000C3B98" w:rsidP="00DC50DE">
      <w:pPr>
        <w:pStyle w:val="ListParagraph"/>
        <w:numPr>
          <w:ilvl w:val="0"/>
          <w:numId w:val="3"/>
        </w:numPr>
        <w:spacing w:after="240"/>
        <w:rPr>
          <w:rFonts w:cstheme="minorHAnsi"/>
        </w:rPr>
      </w:pPr>
      <w:r w:rsidRPr="006D6A3F">
        <w:rPr>
          <w:rFonts w:cstheme="minorHAnsi"/>
        </w:rPr>
        <w:t>Doit être proportionnel et approprié à la situation (principe de proportionnalité)</w:t>
      </w:r>
    </w:p>
    <w:p w14:paraId="1DAA1086" w14:textId="77777777" w:rsidR="000C3B98" w:rsidRPr="006D6A3F" w:rsidRDefault="000C3B98" w:rsidP="00DC50DE">
      <w:pPr>
        <w:spacing w:after="240"/>
        <w:jc w:val="both"/>
        <w:rPr>
          <w:rFonts w:cstheme="minorHAnsi"/>
        </w:rPr>
      </w:pPr>
      <w:r w:rsidRPr="006D6A3F">
        <w:rPr>
          <w:rFonts w:cstheme="minorHAnsi"/>
        </w:rPr>
        <w:t>Des discussions relatives à une refonte du cadre légal concernant l’usage des moyens de contrainte ont déjà eu lieu entre le ministère de tutelle et la PGD.</w:t>
      </w:r>
    </w:p>
    <w:p w14:paraId="20489DDA" w14:textId="77777777" w:rsidR="000C3B98" w:rsidRPr="006D6A3F" w:rsidRDefault="000C3B98" w:rsidP="00DC50DE">
      <w:pPr>
        <w:spacing w:after="240"/>
        <w:jc w:val="both"/>
        <w:rPr>
          <w:rFonts w:cstheme="minorHAnsi"/>
        </w:rPr>
      </w:pPr>
      <w:r w:rsidRPr="006D6A3F">
        <w:rPr>
          <w:rFonts w:cstheme="minorHAnsi"/>
        </w:rPr>
        <w:t>Il y a lieu de remarquer que l’Inspection générale de la Police est informée de tout coup tiré (accidentellement ou non) et procède, le cas échéant, à une enquête.</w:t>
      </w:r>
    </w:p>
    <w:p w14:paraId="02EABDE0" w14:textId="69D29DD9" w:rsidR="00261701" w:rsidRPr="006D6A3F" w:rsidRDefault="0019733F" w:rsidP="009B7860">
      <w:pPr>
        <w:pStyle w:val="Heading3"/>
      </w:pPr>
      <w:bookmarkStart w:id="31" w:name="_Toc133934867"/>
      <w:r w:rsidRPr="006D6A3F">
        <w:t xml:space="preserve">X.2. </w:t>
      </w:r>
      <w:proofErr w:type="spellStart"/>
      <w:r w:rsidRPr="006D6A3F">
        <w:t>Bodycams</w:t>
      </w:r>
      <w:bookmarkEnd w:id="31"/>
      <w:proofErr w:type="spellEnd"/>
    </w:p>
    <w:p w14:paraId="588A6F9F" w14:textId="77777777" w:rsidR="009B7860" w:rsidRPr="006D6A3F" w:rsidRDefault="009B7860" w:rsidP="009B7860">
      <w:pPr>
        <w:jc w:val="both"/>
        <w:rPr>
          <w:rFonts w:cstheme="minorHAnsi"/>
        </w:rPr>
      </w:pPr>
      <w:r w:rsidRPr="006D6A3F">
        <w:rPr>
          <w:rFonts w:cstheme="minorHAnsi"/>
        </w:rPr>
        <w:t xml:space="preserve">Les </w:t>
      </w:r>
      <w:proofErr w:type="spellStart"/>
      <w:r w:rsidRPr="006D6A3F">
        <w:rPr>
          <w:rFonts w:cstheme="minorHAnsi"/>
        </w:rPr>
        <w:t>bodycams</w:t>
      </w:r>
      <w:proofErr w:type="spellEnd"/>
      <w:r w:rsidRPr="006D6A3F">
        <w:rPr>
          <w:rFonts w:cstheme="minorHAnsi"/>
        </w:rPr>
        <w:t xml:space="preserve"> ont été introduites dans l’accord de coalition du Gouvernement 2018-2023 dans un </w:t>
      </w:r>
      <w:r w:rsidRPr="006D6A3F">
        <w:rPr>
          <w:rFonts w:cstheme="minorHAnsi"/>
          <w:b/>
        </w:rPr>
        <w:t>contexte spécifique</w:t>
      </w:r>
      <w:r w:rsidRPr="006D6A3F">
        <w:rPr>
          <w:rFonts w:cstheme="minorHAnsi"/>
        </w:rPr>
        <w:t>, dans lequel on a constaté:</w:t>
      </w:r>
    </w:p>
    <w:p w14:paraId="51E8FA9B" w14:textId="77777777" w:rsidR="009B7860" w:rsidRPr="006D6A3F" w:rsidRDefault="009B7860" w:rsidP="009B7860">
      <w:pPr>
        <w:numPr>
          <w:ilvl w:val="0"/>
          <w:numId w:val="4"/>
        </w:numPr>
        <w:jc w:val="both"/>
        <w:rPr>
          <w:rFonts w:cstheme="minorHAnsi"/>
        </w:rPr>
      </w:pPr>
      <w:r w:rsidRPr="006D6A3F">
        <w:rPr>
          <w:rFonts w:cstheme="minorHAnsi"/>
          <w:bCs/>
        </w:rPr>
        <w:t xml:space="preserve">Manque de respect </w:t>
      </w:r>
      <w:r w:rsidRPr="006D6A3F">
        <w:rPr>
          <w:rFonts w:cstheme="minorHAnsi"/>
        </w:rPr>
        <w:t>envers les forces de l’ordre</w:t>
      </w:r>
    </w:p>
    <w:p w14:paraId="71E2EFF6" w14:textId="77777777" w:rsidR="009B7860" w:rsidRPr="006D6A3F" w:rsidRDefault="009B7860" w:rsidP="009B7860">
      <w:pPr>
        <w:numPr>
          <w:ilvl w:val="0"/>
          <w:numId w:val="4"/>
        </w:numPr>
        <w:jc w:val="both"/>
        <w:rPr>
          <w:rFonts w:cstheme="minorHAnsi"/>
        </w:rPr>
      </w:pPr>
      <w:r w:rsidRPr="006D6A3F">
        <w:rPr>
          <w:rFonts w:cstheme="minorHAnsi"/>
        </w:rPr>
        <w:t xml:space="preserve">Perception d’une </w:t>
      </w:r>
      <w:r w:rsidRPr="006D6A3F">
        <w:rPr>
          <w:rFonts w:cstheme="minorHAnsi"/>
          <w:bCs/>
        </w:rPr>
        <w:t>baisse d’autorité</w:t>
      </w:r>
    </w:p>
    <w:p w14:paraId="2A1CA089" w14:textId="77777777" w:rsidR="009B7860" w:rsidRPr="006D6A3F" w:rsidRDefault="009B7860" w:rsidP="009B7860">
      <w:pPr>
        <w:numPr>
          <w:ilvl w:val="0"/>
          <w:numId w:val="4"/>
        </w:numPr>
        <w:jc w:val="both"/>
        <w:rPr>
          <w:rFonts w:cstheme="minorHAnsi"/>
        </w:rPr>
      </w:pPr>
      <w:r w:rsidRPr="006D6A3F">
        <w:rPr>
          <w:rFonts w:cstheme="minorHAnsi"/>
          <w:bCs/>
        </w:rPr>
        <w:t>Menaces</w:t>
      </w:r>
      <w:r w:rsidRPr="006D6A3F">
        <w:rPr>
          <w:rFonts w:cstheme="minorHAnsi"/>
        </w:rPr>
        <w:t xml:space="preserve"> et </w:t>
      </w:r>
      <w:r w:rsidRPr="006D6A3F">
        <w:rPr>
          <w:rFonts w:cstheme="minorHAnsi"/>
          <w:bCs/>
        </w:rPr>
        <w:t xml:space="preserve">violences physiques et verbales </w:t>
      </w:r>
      <w:r w:rsidRPr="006D6A3F">
        <w:rPr>
          <w:rFonts w:cstheme="minorHAnsi"/>
        </w:rPr>
        <w:t>à l’encontre des agents de police</w:t>
      </w:r>
    </w:p>
    <w:p w14:paraId="27477E77" w14:textId="77777777" w:rsidR="009B7860" w:rsidRPr="006D6A3F" w:rsidRDefault="009B7860" w:rsidP="009B7860">
      <w:pPr>
        <w:numPr>
          <w:ilvl w:val="0"/>
          <w:numId w:val="4"/>
        </w:numPr>
        <w:jc w:val="both"/>
        <w:rPr>
          <w:rFonts w:cstheme="minorHAnsi"/>
        </w:rPr>
      </w:pPr>
      <w:r w:rsidRPr="006D6A3F">
        <w:rPr>
          <w:rFonts w:cstheme="minorHAnsi"/>
          <w:bCs/>
        </w:rPr>
        <w:t>Plaintes</w:t>
      </w:r>
      <w:r w:rsidRPr="006D6A3F">
        <w:rPr>
          <w:rFonts w:cstheme="minorHAnsi"/>
        </w:rPr>
        <w:t xml:space="preserve"> à l’encontre des agents de police</w:t>
      </w:r>
    </w:p>
    <w:p w14:paraId="7CCB54C6" w14:textId="77777777" w:rsidR="009B7860" w:rsidRPr="006D6A3F" w:rsidRDefault="009B7860" w:rsidP="009B7860">
      <w:pPr>
        <w:numPr>
          <w:ilvl w:val="0"/>
          <w:numId w:val="4"/>
        </w:numPr>
        <w:jc w:val="both"/>
        <w:rPr>
          <w:rFonts w:cstheme="minorHAnsi"/>
        </w:rPr>
      </w:pPr>
      <w:r w:rsidRPr="006D6A3F">
        <w:rPr>
          <w:rFonts w:cstheme="minorHAnsi"/>
          <w:bCs/>
        </w:rPr>
        <w:t xml:space="preserve">Effet de solidarisation </w:t>
      </w:r>
      <w:r w:rsidRPr="006D6A3F">
        <w:rPr>
          <w:rFonts w:cstheme="minorHAnsi"/>
        </w:rPr>
        <w:t>de tierces personnes aux fins de s’opposer aux agents de police</w:t>
      </w:r>
    </w:p>
    <w:p w14:paraId="1F801CF4" w14:textId="77777777" w:rsidR="009B7860" w:rsidRPr="006D6A3F" w:rsidRDefault="009B7860" w:rsidP="009B7860">
      <w:pPr>
        <w:numPr>
          <w:ilvl w:val="0"/>
          <w:numId w:val="4"/>
        </w:numPr>
        <w:jc w:val="both"/>
        <w:rPr>
          <w:rFonts w:cstheme="minorHAnsi"/>
        </w:rPr>
      </w:pPr>
      <w:r w:rsidRPr="006D6A3F">
        <w:rPr>
          <w:rFonts w:cstheme="minorHAnsi"/>
          <w:bCs/>
        </w:rPr>
        <w:t xml:space="preserve">Phénomène émergent des vidéos amateurs </w:t>
      </w:r>
      <w:r w:rsidRPr="006D6A3F">
        <w:rPr>
          <w:rFonts w:cstheme="minorHAnsi"/>
        </w:rPr>
        <w:t>du public</w:t>
      </w:r>
    </w:p>
    <w:p w14:paraId="10E37B35" w14:textId="77777777" w:rsidR="009B7860" w:rsidRPr="006D6A3F" w:rsidRDefault="009B7860" w:rsidP="009B7860">
      <w:pPr>
        <w:ind w:left="720"/>
        <w:jc w:val="both"/>
        <w:rPr>
          <w:rFonts w:cstheme="minorHAnsi"/>
        </w:rPr>
      </w:pPr>
    </w:p>
    <w:p w14:paraId="01FA6D6F" w14:textId="77777777" w:rsidR="009B7860" w:rsidRPr="006D6A3F" w:rsidRDefault="009B7860" w:rsidP="009B7860">
      <w:pPr>
        <w:jc w:val="both"/>
        <w:rPr>
          <w:rFonts w:cstheme="minorHAnsi"/>
        </w:rPr>
      </w:pPr>
      <w:r w:rsidRPr="006D6A3F">
        <w:rPr>
          <w:rFonts w:cstheme="minorHAnsi"/>
        </w:rPr>
        <w:t xml:space="preserve">Comme pour toute mesure policière susceptible d’avoir un impact sur la vie privée des personnes, et dans une volonté de respecter les droits individuels, le cadre légal a été construit dans le </w:t>
      </w:r>
      <w:r w:rsidRPr="006D6A3F">
        <w:rPr>
          <w:rFonts w:cstheme="minorHAnsi"/>
          <w:b/>
        </w:rPr>
        <w:t>respect des principes de proportionnalité et de nécessité</w:t>
      </w:r>
      <w:r w:rsidRPr="006D6A3F">
        <w:rPr>
          <w:rFonts w:cstheme="minorHAnsi"/>
        </w:rPr>
        <w:t>.</w:t>
      </w:r>
    </w:p>
    <w:p w14:paraId="7F44F23E" w14:textId="77777777" w:rsidR="009B7860" w:rsidRPr="006D6A3F" w:rsidRDefault="009B7860" w:rsidP="009B7860">
      <w:pPr>
        <w:jc w:val="both"/>
        <w:rPr>
          <w:rFonts w:cstheme="minorHAnsi"/>
        </w:rPr>
      </w:pPr>
    </w:p>
    <w:p w14:paraId="130E3A33" w14:textId="45B0A19D" w:rsidR="009B7860" w:rsidRPr="006D6A3F" w:rsidRDefault="009B7860" w:rsidP="009B7860">
      <w:pPr>
        <w:jc w:val="both"/>
        <w:rPr>
          <w:rFonts w:cstheme="minorHAnsi"/>
        </w:rPr>
      </w:pPr>
      <w:r w:rsidRPr="006D6A3F">
        <w:rPr>
          <w:rFonts w:cstheme="minorHAnsi"/>
        </w:rPr>
        <w:t xml:space="preserve">L’utilisation est strictement réglementée: Les amendements parlementaires prévoient que l’agent qui décide de faire des enregistrements avec sa « </w:t>
      </w:r>
      <w:proofErr w:type="spellStart"/>
      <w:r w:rsidRPr="006D6A3F">
        <w:rPr>
          <w:rFonts w:cstheme="minorHAnsi"/>
        </w:rPr>
        <w:t>bodycam</w:t>
      </w:r>
      <w:proofErr w:type="spellEnd"/>
      <w:r w:rsidRPr="006D6A3F">
        <w:rPr>
          <w:rFonts w:cstheme="minorHAnsi"/>
        </w:rPr>
        <w:t xml:space="preserve"> » devrait toujours en informer les personnes filmées, sauf si </w:t>
      </w:r>
      <w:r w:rsidRPr="006D6A3F">
        <w:rPr>
          <w:iCs/>
        </w:rPr>
        <w:t>des raisons purement matérielles et indépendantes des motifs de l’intervention l’interdisent</w:t>
      </w:r>
      <w:r w:rsidRPr="006D6A3F">
        <w:rPr>
          <w:i/>
          <w:iCs/>
        </w:rPr>
        <w:t xml:space="preserve">, </w:t>
      </w:r>
      <w:r w:rsidRPr="006D6A3F">
        <w:rPr>
          <w:rFonts w:cstheme="minorHAnsi"/>
        </w:rPr>
        <w:t xml:space="preserve">tel pourrait être le cas si l’intégrité physique d’une personne est en danger. L’agent qui a porté la caméra ne devrait consulter les enregistrements que si cela </w:t>
      </w:r>
      <w:r w:rsidRPr="006D6A3F">
        <w:t>est nécessaire pour l’exercice de ses missions de police administrative ou judiciaire</w:t>
      </w:r>
      <w:r w:rsidRPr="006D6A3F">
        <w:rPr>
          <w:rFonts w:cstheme="minorHAnsi"/>
        </w:rPr>
        <w:t>.</w:t>
      </w:r>
      <w:r w:rsidRPr="006D6A3F">
        <w:t xml:space="preserve"> Un autre membre de la police ne peut consulter les </w:t>
      </w:r>
      <w:r w:rsidRPr="006D6A3F">
        <w:lastRenderedPageBreak/>
        <w:t>enregistrements uniquement s’il présente un intérêt légitime dans le cadre de ses missions de police administrative et de police judiciaire, et seulement sur autorisation du directeur général de la Police.</w:t>
      </w:r>
    </w:p>
    <w:p w14:paraId="23DB82E2" w14:textId="77777777" w:rsidR="009B7860" w:rsidRPr="006D6A3F" w:rsidRDefault="009B7860" w:rsidP="009B7860">
      <w:pPr>
        <w:jc w:val="both"/>
        <w:rPr>
          <w:rFonts w:cstheme="minorHAnsi"/>
        </w:rPr>
      </w:pPr>
    </w:p>
    <w:p w14:paraId="3738CF1A" w14:textId="77777777" w:rsidR="009B7860" w:rsidRPr="006D6A3F" w:rsidRDefault="009B7860" w:rsidP="009B7860">
      <w:pPr>
        <w:jc w:val="both"/>
        <w:rPr>
          <w:rFonts w:cstheme="minorHAnsi"/>
        </w:rPr>
      </w:pPr>
      <w:r w:rsidRPr="006D6A3F">
        <w:rPr>
          <w:rFonts w:cstheme="minorHAnsi"/>
        </w:rPr>
        <w:t xml:space="preserve">L’Inspection générale de la Police, qui est l’organe de contrôle externe sous tutelle du Ministère de la Sécurité intérieure, peut demander au directeur général de la police l’accès aux enregistrements et agit donc comme garant de la bonne utilisation par la Police de ce nouvel outil. </w:t>
      </w:r>
    </w:p>
    <w:p w14:paraId="196DD85D" w14:textId="77777777" w:rsidR="009B7860" w:rsidRPr="006D6A3F" w:rsidRDefault="009B7860" w:rsidP="009B7860">
      <w:pPr>
        <w:jc w:val="both"/>
        <w:rPr>
          <w:rFonts w:cstheme="minorHAnsi"/>
        </w:rPr>
      </w:pPr>
      <w:r w:rsidRPr="006D6A3F">
        <w:rPr>
          <w:rFonts w:cstheme="minorHAnsi"/>
        </w:rPr>
        <w:t>Les enregistrements peuvent être utilisés « à charge » lors d’une enquête de l’IGP, ainsi que lors de la commission d’une infraction par le policier.</w:t>
      </w:r>
    </w:p>
    <w:p w14:paraId="261218F1" w14:textId="77777777" w:rsidR="009B7860" w:rsidRPr="006D6A3F" w:rsidRDefault="009B7860" w:rsidP="009B7860">
      <w:pPr>
        <w:jc w:val="both"/>
        <w:rPr>
          <w:rFonts w:cstheme="minorHAnsi"/>
        </w:rPr>
      </w:pPr>
    </w:p>
    <w:p w14:paraId="1F538F06" w14:textId="77777777" w:rsidR="009B7860" w:rsidRPr="006D6A3F" w:rsidRDefault="009B7860" w:rsidP="009B7860">
      <w:pPr>
        <w:jc w:val="both"/>
        <w:rPr>
          <w:rFonts w:cstheme="minorHAnsi"/>
        </w:rPr>
      </w:pPr>
      <w:r w:rsidRPr="006D6A3F">
        <w:rPr>
          <w:rFonts w:cstheme="minorHAnsi"/>
        </w:rPr>
        <w:t xml:space="preserve">Il est à souligner que la violence policière n’est pas un phénomène au Luxembourg et que les craintes d’une mauvaise utilisation contre les citoyens ne sont pas une des majeures inquiétudes. </w:t>
      </w:r>
    </w:p>
    <w:p w14:paraId="63A298DE" w14:textId="77777777" w:rsidR="009B7860" w:rsidRPr="006D6A3F" w:rsidRDefault="009B7860" w:rsidP="009B7860">
      <w:pPr>
        <w:jc w:val="both"/>
        <w:rPr>
          <w:rFonts w:cstheme="minorHAnsi"/>
          <w:highlight w:val="cyan"/>
        </w:rPr>
      </w:pPr>
    </w:p>
    <w:p w14:paraId="6FCF659F" w14:textId="77777777" w:rsidR="009B7860" w:rsidRPr="006D6A3F" w:rsidRDefault="009B7860" w:rsidP="009B7860">
      <w:pPr>
        <w:jc w:val="both"/>
        <w:rPr>
          <w:rFonts w:cstheme="minorHAnsi"/>
        </w:rPr>
      </w:pPr>
      <w:r w:rsidRPr="006D6A3F">
        <w:rPr>
          <w:rFonts w:cstheme="minorHAnsi"/>
        </w:rPr>
        <w:t xml:space="preserve">Le ministère a consulté les pays voisins concernant leurs expériences et a sollicité de nombreux avis, notamment de la société civile, afin de garantir que cette nouvelle mesure policière soit </w:t>
      </w:r>
      <w:r w:rsidRPr="006D6A3F">
        <w:rPr>
          <w:rFonts w:cstheme="minorHAnsi"/>
          <w:b/>
        </w:rPr>
        <w:t>autant au service de la protection du citoyen, que de la protection de la Police</w:t>
      </w:r>
      <w:r w:rsidRPr="006D6A3F">
        <w:rPr>
          <w:rFonts w:cstheme="minorHAnsi"/>
        </w:rPr>
        <w:t>.</w:t>
      </w:r>
    </w:p>
    <w:p w14:paraId="027A70F6" w14:textId="77777777" w:rsidR="009B7860" w:rsidRPr="006D6A3F" w:rsidRDefault="009B7860" w:rsidP="009B7860">
      <w:pPr>
        <w:jc w:val="both"/>
        <w:rPr>
          <w:rFonts w:cstheme="minorHAnsi"/>
        </w:rPr>
      </w:pPr>
    </w:p>
    <w:p w14:paraId="39AF80F5" w14:textId="3CE3F86C" w:rsidR="009B7860" w:rsidRPr="006D6A3F" w:rsidRDefault="009B7860" w:rsidP="009B7860">
      <w:pPr>
        <w:spacing w:after="240"/>
        <w:jc w:val="both"/>
        <w:rPr>
          <w:rFonts w:cstheme="minorHAnsi"/>
        </w:rPr>
      </w:pPr>
      <w:r w:rsidRPr="006D6A3F">
        <w:rPr>
          <w:rFonts w:cstheme="minorHAnsi"/>
        </w:rPr>
        <w:t>Finalement, notons que le ministre a précisé devant la</w:t>
      </w:r>
      <w:r w:rsidRPr="006D6A3F">
        <w:rPr>
          <w:rFonts w:cstheme="minorHAnsi"/>
          <w:bCs/>
        </w:rPr>
        <w:t xml:space="preserve"> Commission parlementaire Sécurité intérieure et de la Défense, que l’une des finalités des </w:t>
      </w:r>
      <w:proofErr w:type="spellStart"/>
      <w:r w:rsidRPr="006D6A3F">
        <w:rPr>
          <w:rFonts w:cstheme="minorHAnsi"/>
          <w:bCs/>
        </w:rPr>
        <w:t>Bodycams</w:t>
      </w:r>
      <w:proofErr w:type="spellEnd"/>
      <w:r w:rsidRPr="006D6A3F">
        <w:rPr>
          <w:rFonts w:cstheme="minorHAnsi"/>
          <w:bCs/>
        </w:rPr>
        <w:t xml:space="preserve"> était bien la « prévention</w:t>
      </w:r>
      <w:r w:rsidRPr="006D6A3F">
        <w:rPr>
          <w:rFonts w:cstheme="minorHAnsi"/>
        </w:rPr>
        <w:t xml:space="preserve"> des incidents au cours des interventions policières », dans un esprit de désescalade, qui bénéficie ultimement aux citoyens.</w:t>
      </w:r>
    </w:p>
    <w:p w14:paraId="02AE3941" w14:textId="7E9F2085" w:rsidR="00B7190C" w:rsidRPr="006D6A3F" w:rsidRDefault="0019733F" w:rsidP="00DC50DE">
      <w:pPr>
        <w:pStyle w:val="Heading2"/>
        <w:spacing w:before="0"/>
        <w:rPr>
          <w:lang w:val="fr-FR"/>
        </w:rPr>
      </w:pPr>
      <w:bookmarkStart w:id="32" w:name="_Toc133934868"/>
      <w:r w:rsidRPr="006D6A3F">
        <w:rPr>
          <w:lang w:val="fr-FR"/>
        </w:rPr>
        <w:t>Institut national des droits de l'homme (INDH)/ Mécanisme national de prévention (MNP)</w:t>
      </w:r>
      <w:bookmarkEnd w:id="32"/>
    </w:p>
    <w:p w14:paraId="67E9C3F5" w14:textId="5584F5E9" w:rsidR="00A059EE" w:rsidRPr="006D6A3F" w:rsidRDefault="00794E11" w:rsidP="00DC50DE">
      <w:pPr>
        <w:spacing w:after="240"/>
        <w:jc w:val="both"/>
        <w:rPr>
          <w:rFonts w:cstheme="minorHAnsi"/>
        </w:rPr>
      </w:pPr>
      <w:r w:rsidRPr="006D6A3F">
        <w:rPr>
          <w:rFonts w:cstheme="minorHAnsi"/>
        </w:rPr>
        <w:t>Une troisième personne a été recrutée</w:t>
      </w:r>
      <w:r w:rsidR="00F529D7" w:rsidRPr="006D6A3F">
        <w:rPr>
          <w:rFonts w:cstheme="minorHAnsi"/>
        </w:rPr>
        <w:t xml:space="preserve"> pour renforcer le Service du contrôle externe des lieux privatifs de liberté (CELPL)</w:t>
      </w:r>
      <w:r w:rsidRPr="006D6A3F">
        <w:rPr>
          <w:rFonts w:cstheme="minorHAnsi"/>
        </w:rPr>
        <w:t>.</w:t>
      </w:r>
    </w:p>
    <w:p w14:paraId="2AA83078" w14:textId="77777777" w:rsidR="009B7860" w:rsidRPr="006D6A3F" w:rsidRDefault="009B7860">
      <w:pPr>
        <w:spacing w:after="160" w:line="259" w:lineRule="auto"/>
        <w:rPr>
          <w:rFonts w:cstheme="minorHAnsi"/>
          <w:b/>
        </w:rPr>
      </w:pPr>
      <w:r w:rsidRPr="006D6A3F">
        <w:rPr>
          <w:rFonts w:cstheme="minorHAnsi"/>
          <w:b/>
        </w:rPr>
        <w:br w:type="page"/>
      </w:r>
    </w:p>
    <w:p w14:paraId="1F0EF0F7" w14:textId="77777777" w:rsidR="009B7860" w:rsidRPr="006D6A3F" w:rsidRDefault="009B7860" w:rsidP="006D6A3F">
      <w:pPr>
        <w:pStyle w:val="Heading1"/>
        <w:jc w:val="center"/>
        <w:rPr>
          <w:sz w:val="24"/>
        </w:rPr>
      </w:pPr>
      <w:bookmarkStart w:id="33" w:name="_Toc133934869"/>
      <w:r w:rsidRPr="006D6A3F">
        <w:rPr>
          <w:sz w:val="24"/>
        </w:rPr>
        <w:lastRenderedPageBreak/>
        <w:t>Informations complémentaires (hors du champ des questions des rapporteurs)</w:t>
      </w:r>
      <w:bookmarkEnd w:id="33"/>
    </w:p>
    <w:p w14:paraId="4F954493" w14:textId="77777777" w:rsidR="00CC3537" w:rsidRDefault="00CC3537" w:rsidP="00CC3537">
      <w:pPr>
        <w:pStyle w:val="Heading2"/>
      </w:pPr>
      <w:bookmarkStart w:id="34" w:name="_Toc133934870"/>
      <w:r w:rsidRPr="00802B94">
        <w:t>Chiffres quant aux articles 12 et 13 de la Convention relatifs aux enquêtes portant sur des faits de torture et de mauvais traitements et aux plaintes portant sur de tels faits</w:t>
      </w:r>
      <w:bookmarkEnd w:id="34"/>
    </w:p>
    <w:p w14:paraId="2C74A2A8" w14:textId="4BAA005B" w:rsidR="00CC3537" w:rsidRPr="00802B94" w:rsidRDefault="00CC3537" w:rsidP="00CC3537">
      <w:pPr>
        <w:jc w:val="both"/>
      </w:pPr>
      <w:r w:rsidRPr="00802B94">
        <w:t xml:space="preserve">En </w:t>
      </w:r>
      <w:r w:rsidRPr="00802B94">
        <w:rPr>
          <w:b/>
          <w:bCs/>
        </w:rPr>
        <w:t>2018</w:t>
      </w:r>
      <w:r w:rsidRPr="00802B94">
        <w:t>, le Procureur d’</w:t>
      </w:r>
      <w:r w:rsidR="00A624DB" w:rsidRPr="00802B94">
        <w:t>État</w:t>
      </w:r>
      <w:r w:rsidRPr="00802B94">
        <w:t xml:space="preserve"> a procédé à l’ouverture de </w:t>
      </w:r>
      <w:r w:rsidRPr="00802B94">
        <w:rPr>
          <w:u w:val="single"/>
        </w:rPr>
        <w:t>27 dossiers</w:t>
      </w:r>
      <w:r w:rsidRPr="00802B94">
        <w:t xml:space="preserve"> du chef de violences policières, dont un dossier ouvert et poursuivi du chef de meurtre. L’agent, qui a quitté les services de la Police Grand-ducale entretemps, a été condamné en première instance, après application de l’excuse de provocation, à une peine d’emprisonnement de 5 ans avec le bénéfice du sursis simple à l’exécution de 3 ans de cette peine, et à une amende correctionnelle de 5.000.- €. Les appels du prévenu et du Ministère public contre cette décision sont fixés aux audiences de la Cour d’appel siégeant en matière criminelle des 3 et 6 octobre 2023.</w:t>
      </w:r>
    </w:p>
    <w:p w14:paraId="1190C60D" w14:textId="77777777" w:rsidR="00CC3537" w:rsidRPr="00802B94" w:rsidRDefault="00CC3537" w:rsidP="00CC3537">
      <w:pPr>
        <w:jc w:val="both"/>
      </w:pPr>
    </w:p>
    <w:p w14:paraId="7A0A8AFB" w14:textId="77777777" w:rsidR="00CC3537" w:rsidRPr="00802B94" w:rsidRDefault="00CC3537" w:rsidP="00CC3537">
      <w:pPr>
        <w:jc w:val="both"/>
      </w:pPr>
      <w:r w:rsidRPr="00802B94">
        <w:t xml:space="preserve">En </w:t>
      </w:r>
      <w:r w:rsidRPr="00802B94">
        <w:rPr>
          <w:b/>
          <w:bCs/>
        </w:rPr>
        <w:t>2019</w:t>
      </w:r>
      <w:r w:rsidRPr="00802B94">
        <w:t xml:space="preserve">, </w:t>
      </w:r>
      <w:r w:rsidRPr="00802B94">
        <w:rPr>
          <w:u w:val="single"/>
        </w:rPr>
        <w:t>19 dossiers</w:t>
      </w:r>
      <w:r w:rsidRPr="00802B94">
        <w:t xml:space="preserve"> ont été ouverts du chef de violences policières dont un dossier du chef de torture. L’instruction judiciaire dans ce dossier est clôturée et le renvoi de l’agent responsable sera probablement requis dans les jours à venir. Il figurera donc également dans les dossiers « en cours ».</w:t>
      </w:r>
    </w:p>
    <w:p w14:paraId="0182AA1C" w14:textId="77777777" w:rsidR="00CC3537" w:rsidRPr="00802B94" w:rsidRDefault="00CC3537" w:rsidP="00CC3537">
      <w:pPr>
        <w:jc w:val="both"/>
      </w:pPr>
    </w:p>
    <w:p w14:paraId="0CC4AF72" w14:textId="77777777" w:rsidR="00CC3537" w:rsidRPr="00802B94" w:rsidRDefault="00CC3537" w:rsidP="00CC3537">
      <w:pPr>
        <w:jc w:val="both"/>
      </w:pPr>
      <w:r w:rsidRPr="00802B94">
        <w:t xml:space="preserve">En </w:t>
      </w:r>
      <w:r w:rsidRPr="00802B94">
        <w:rPr>
          <w:b/>
          <w:bCs/>
        </w:rPr>
        <w:t>2020</w:t>
      </w:r>
      <w:r w:rsidRPr="00802B94">
        <w:t xml:space="preserve">, </w:t>
      </w:r>
      <w:r w:rsidRPr="00802B94">
        <w:rPr>
          <w:u w:val="single"/>
        </w:rPr>
        <w:t>20 dossiers</w:t>
      </w:r>
      <w:r w:rsidRPr="00802B94">
        <w:t xml:space="preserve"> ont été ouverts du chef de violences policières.</w:t>
      </w:r>
    </w:p>
    <w:p w14:paraId="708B4F86" w14:textId="77777777" w:rsidR="00CC3537" w:rsidRPr="00802B94" w:rsidRDefault="00CC3537" w:rsidP="00CC3537">
      <w:pPr>
        <w:jc w:val="both"/>
      </w:pPr>
    </w:p>
    <w:p w14:paraId="2B76CC58" w14:textId="77777777" w:rsidR="00CC3537" w:rsidRPr="00802B94" w:rsidRDefault="00CC3537" w:rsidP="00CC3537">
      <w:pPr>
        <w:jc w:val="both"/>
      </w:pPr>
      <w:r w:rsidRPr="00802B94">
        <w:t xml:space="preserve">En </w:t>
      </w:r>
      <w:r w:rsidRPr="00802B94">
        <w:rPr>
          <w:b/>
          <w:bCs/>
        </w:rPr>
        <w:t>2021</w:t>
      </w:r>
      <w:r w:rsidRPr="00802B94">
        <w:t xml:space="preserve">, il s’agissait de </w:t>
      </w:r>
      <w:r w:rsidRPr="00802B94">
        <w:rPr>
          <w:u w:val="single"/>
        </w:rPr>
        <w:t>22 dossiers</w:t>
      </w:r>
      <w:r w:rsidRPr="00802B94">
        <w:t>.</w:t>
      </w:r>
    </w:p>
    <w:p w14:paraId="078A0332" w14:textId="77777777" w:rsidR="00CC3537" w:rsidRPr="00802B94" w:rsidRDefault="00CC3537" w:rsidP="00CC3537">
      <w:pPr>
        <w:jc w:val="both"/>
      </w:pPr>
    </w:p>
    <w:p w14:paraId="54A9439E" w14:textId="77777777" w:rsidR="00CC3537" w:rsidRPr="00802B94" w:rsidRDefault="00CC3537" w:rsidP="00CC3537">
      <w:pPr>
        <w:jc w:val="both"/>
      </w:pPr>
      <w:r w:rsidRPr="00802B94">
        <w:t xml:space="preserve">En </w:t>
      </w:r>
      <w:r w:rsidRPr="00802B94">
        <w:rPr>
          <w:b/>
          <w:bCs/>
        </w:rPr>
        <w:t>2022</w:t>
      </w:r>
      <w:r w:rsidRPr="00802B94">
        <w:t xml:space="preserve">, </w:t>
      </w:r>
      <w:r w:rsidRPr="00802B94">
        <w:rPr>
          <w:u w:val="single"/>
        </w:rPr>
        <w:t>35 dossiers</w:t>
      </w:r>
      <w:r w:rsidRPr="00802B94">
        <w:t xml:space="preserve"> ont été ouverts.</w:t>
      </w:r>
    </w:p>
    <w:p w14:paraId="7C93F5E9" w14:textId="77777777" w:rsidR="00CC3537" w:rsidRPr="00802B94" w:rsidRDefault="00CC3537" w:rsidP="00CC3537">
      <w:pPr>
        <w:jc w:val="both"/>
      </w:pPr>
    </w:p>
    <w:p w14:paraId="5EBE60A9" w14:textId="4065C489" w:rsidR="00CC3537" w:rsidRDefault="00CC3537" w:rsidP="00CC3537">
      <w:pPr>
        <w:jc w:val="both"/>
      </w:pPr>
      <w:r w:rsidRPr="00802B94">
        <w:t>Actuellement, sous réserve du dossier poursuivi du chef de meurtre, sur ces 123 dossiers au total, 91 dossiers ont été classés sans suites pénales, toujours à l’issue d’une enquête minutieuse diligentée par l’Inspection générale de la Police, et 31 dossiers sont en cours, avec 5 dossiers dont le statut final reste à être vérifié.</w:t>
      </w:r>
    </w:p>
    <w:p w14:paraId="6C1346B7" w14:textId="77777777" w:rsidR="00CC3537" w:rsidRPr="00CC3537" w:rsidRDefault="00CC3537" w:rsidP="00CC3537"/>
    <w:p w14:paraId="7EA24856" w14:textId="4667252B" w:rsidR="006D6A3F" w:rsidRPr="006D6A3F" w:rsidRDefault="00D26343" w:rsidP="006D6A3F">
      <w:pPr>
        <w:pStyle w:val="Heading2"/>
        <w:rPr>
          <w:lang w:val="fr-FR"/>
        </w:rPr>
      </w:pPr>
      <w:bookmarkStart w:id="35" w:name="_Toc133934871"/>
      <w:r w:rsidRPr="006D6A3F">
        <w:rPr>
          <w:lang w:val="fr-FR"/>
        </w:rPr>
        <w:t>Nombre de décès en détention</w:t>
      </w:r>
      <w:bookmarkEnd w:id="35"/>
      <w:r w:rsidRPr="006D6A3F">
        <w:rPr>
          <w:lang w:val="fr-FR"/>
        </w:rPr>
        <w:t xml:space="preserve"> </w:t>
      </w:r>
    </w:p>
    <w:p w14:paraId="04BCEBDD" w14:textId="1B7F0E88" w:rsidR="006D6A3F" w:rsidRPr="006D6A3F" w:rsidRDefault="006D6A3F" w:rsidP="006D6A3F">
      <w:pPr>
        <w:keepNext/>
        <w:keepLines/>
        <w:tabs>
          <w:tab w:val="right" w:pos="851"/>
        </w:tabs>
        <w:suppressAutoHyphens/>
        <w:kinsoku w:val="0"/>
        <w:overflowPunct w:val="0"/>
        <w:autoSpaceDE w:val="0"/>
        <w:autoSpaceDN w:val="0"/>
        <w:adjustRightInd w:val="0"/>
        <w:snapToGrid w:val="0"/>
        <w:spacing w:after="240" w:line="240" w:lineRule="exact"/>
        <w:ind w:left="1134" w:right="1134" w:hanging="1134"/>
        <w:rPr>
          <w:rFonts w:eastAsia="Calibri" w:cstheme="minorHAnsi"/>
          <w:b/>
        </w:rPr>
      </w:pPr>
      <w:r w:rsidRPr="006D6A3F">
        <w:rPr>
          <w:rFonts w:eastAsia="Calibri" w:cstheme="minorHAnsi"/>
          <w:b/>
        </w:rPr>
        <w:t>R n°13 i au CPL de 2019 à 2023</w:t>
      </w:r>
    </w:p>
    <w:tbl>
      <w:tblPr>
        <w:tblW w:w="7587" w:type="dxa"/>
        <w:jc w:val="center"/>
        <w:tblLook w:val="04A0" w:firstRow="1" w:lastRow="0" w:firstColumn="1" w:lastColumn="0" w:noHBand="0" w:noVBand="1"/>
      </w:tblPr>
      <w:tblGrid>
        <w:gridCol w:w="7587"/>
      </w:tblGrid>
      <w:tr w:rsidR="00D26343" w:rsidRPr="006D6A3F" w14:paraId="315070CF" w14:textId="77777777" w:rsidTr="009B7860">
        <w:trPr>
          <w:trHeight w:val="80"/>
          <w:jc w:val="center"/>
        </w:trPr>
        <w:tc>
          <w:tcPr>
            <w:tcW w:w="7587" w:type="dxa"/>
            <w:tcBorders>
              <w:top w:val="nil"/>
              <w:left w:val="nil"/>
              <w:bottom w:val="nil"/>
              <w:right w:val="nil"/>
            </w:tcBorders>
            <w:shd w:val="clear" w:color="auto" w:fill="auto"/>
            <w:noWrap/>
            <w:vAlign w:val="bottom"/>
            <w:hideMark/>
          </w:tcPr>
          <w:p w14:paraId="143FB6DB" w14:textId="1529033D" w:rsidR="00D26343" w:rsidRPr="006D6A3F" w:rsidRDefault="00D26343" w:rsidP="009B7860">
            <w:pPr>
              <w:keepNext/>
              <w:keepLines/>
              <w:tabs>
                <w:tab w:val="right" w:pos="851"/>
              </w:tabs>
              <w:suppressAutoHyphens/>
              <w:kinsoku w:val="0"/>
              <w:overflowPunct w:val="0"/>
              <w:autoSpaceDE w:val="0"/>
              <w:autoSpaceDN w:val="0"/>
              <w:adjustRightInd w:val="0"/>
              <w:snapToGrid w:val="0"/>
              <w:spacing w:line="240" w:lineRule="exact"/>
              <w:ind w:left="1134" w:right="1134" w:hanging="1134"/>
              <w:rPr>
                <w:rFonts w:eastAsia="Calibri" w:cstheme="minorHAnsi"/>
                <w:b/>
                <w:sz w:val="20"/>
                <w:szCs w:val="20"/>
              </w:rPr>
            </w:pPr>
          </w:p>
          <w:tbl>
            <w:tblPr>
              <w:tblStyle w:val="TableGrid11"/>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0"/>
              <w:gridCol w:w="674"/>
              <w:gridCol w:w="439"/>
              <w:gridCol w:w="557"/>
              <w:gridCol w:w="1856"/>
              <w:gridCol w:w="1402"/>
              <w:gridCol w:w="1983"/>
            </w:tblGrid>
            <w:tr w:rsidR="00D26343" w:rsidRPr="006D6A3F" w14:paraId="6F360BBA" w14:textId="77777777" w:rsidTr="004F3733">
              <w:trPr>
                <w:tblHeader/>
                <w:jc w:val="center"/>
              </w:trPr>
              <w:tc>
                <w:tcPr>
                  <w:tcW w:w="459" w:type="dxa"/>
                  <w:tcBorders>
                    <w:top w:val="single" w:sz="4" w:space="0" w:color="auto"/>
                    <w:bottom w:val="single" w:sz="4" w:space="0" w:color="auto"/>
                  </w:tcBorders>
                  <w:shd w:val="clear" w:color="auto" w:fill="auto"/>
                  <w:vAlign w:val="bottom"/>
                </w:tcPr>
                <w:p w14:paraId="6B56A235"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r w:rsidRPr="006D6A3F">
                    <w:rPr>
                      <w:rFonts w:eastAsia="Calibri" w:cstheme="minorHAnsi"/>
                      <w:i/>
                      <w:sz w:val="16"/>
                      <w:szCs w:val="20"/>
                    </w:rPr>
                    <w:t>Nb</w:t>
                  </w:r>
                </w:p>
              </w:tc>
              <w:tc>
                <w:tcPr>
                  <w:tcW w:w="674" w:type="dxa"/>
                  <w:tcBorders>
                    <w:top w:val="single" w:sz="4" w:space="0" w:color="auto"/>
                    <w:bottom w:val="single" w:sz="4" w:space="0" w:color="auto"/>
                  </w:tcBorders>
                  <w:shd w:val="clear" w:color="auto" w:fill="auto"/>
                  <w:vAlign w:val="bottom"/>
                </w:tcPr>
                <w:p w14:paraId="7599C35C"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r w:rsidRPr="006D6A3F">
                    <w:rPr>
                      <w:rFonts w:eastAsia="Calibri" w:cstheme="minorHAnsi"/>
                      <w:i/>
                      <w:sz w:val="16"/>
                      <w:szCs w:val="20"/>
                    </w:rPr>
                    <w:t>Année</w:t>
                  </w:r>
                </w:p>
              </w:tc>
              <w:tc>
                <w:tcPr>
                  <w:tcW w:w="437" w:type="dxa"/>
                  <w:tcBorders>
                    <w:top w:val="single" w:sz="4" w:space="0" w:color="auto"/>
                    <w:bottom w:val="single" w:sz="4" w:space="0" w:color="auto"/>
                  </w:tcBorders>
                  <w:shd w:val="clear" w:color="auto" w:fill="auto"/>
                  <w:vAlign w:val="bottom"/>
                </w:tcPr>
                <w:p w14:paraId="26E8A738"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r w:rsidRPr="006D6A3F">
                    <w:rPr>
                      <w:rFonts w:eastAsia="Calibri" w:cstheme="minorHAnsi"/>
                      <w:i/>
                      <w:sz w:val="16"/>
                      <w:szCs w:val="20"/>
                    </w:rPr>
                    <w:t>Age</w:t>
                  </w:r>
                </w:p>
              </w:tc>
              <w:tc>
                <w:tcPr>
                  <w:tcW w:w="557" w:type="dxa"/>
                  <w:tcBorders>
                    <w:top w:val="single" w:sz="4" w:space="0" w:color="auto"/>
                    <w:bottom w:val="single" w:sz="4" w:space="0" w:color="auto"/>
                  </w:tcBorders>
                  <w:shd w:val="clear" w:color="auto" w:fill="auto"/>
                  <w:vAlign w:val="bottom"/>
                </w:tcPr>
                <w:p w14:paraId="4663E07E"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r w:rsidRPr="006D6A3F">
                    <w:rPr>
                      <w:rFonts w:eastAsia="Calibri" w:cstheme="minorHAnsi"/>
                      <w:i/>
                      <w:sz w:val="16"/>
                      <w:szCs w:val="20"/>
                    </w:rPr>
                    <w:t>Sexe</w:t>
                  </w:r>
                </w:p>
              </w:tc>
              <w:tc>
                <w:tcPr>
                  <w:tcW w:w="1857" w:type="dxa"/>
                  <w:tcBorders>
                    <w:top w:val="single" w:sz="4" w:space="0" w:color="auto"/>
                    <w:bottom w:val="single" w:sz="4" w:space="0" w:color="auto"/>
                  </w:tcBorders>
                  <w:shd w:val="clear" w:color="auto" w:fill="auto"/>
                  <w:vAlign w:val="bottom"/>
                </w:tcPr>
                <w:p w14:paraId="00A810C1" w14:textId="77777777" w:rsidR="00D26343" w:rsidRPr="006D6A3F" w:rsidRDefault="00D26343" w:rsidP="009B7860">
                  <w:pPr>
                    <w:suppressAutoHyphens/>
                    <w:kinsoku w:val="0"/>
                    <w:overflowPunct w:val="0"/>
                    <w:autoSpaceDE w:val="0"/>
                    <w:autoSpaceDN w:val="0"/>
                    <w:adjustRightInd w:val="0"/>
                    <w:snapToGrid w:val="0"/>
                    <w:spacing w:line="200" w:lineRule="exact"/>
                    <w:ind w:left="285" w:right="113"/>
                    <w:rPr>
                      <w:rFonts w:eastAsia="Calibri" w:cstheme="minorHAnsi"/>
                      <w:i/>
                      <w:sz w:val="16"/>
                      <w:szCs w:val="20"/>
                    </w:rPr>
                  </w:pPr>
                  <w:r w:rsidRPr="006D6A3F">
                    <w:rPr>
                      <w:rFonts w:eastAsia="Calibri" w:cstheme="minorHAnsi"/>
                      <w:i/>
                      <w:sz w:val="16"/>
                      <w:szCs w:val="20"/>
                    </w:rPr>
                    <w:t>Nationalité</w:t>
                  </w:r>
                </w:p>
              </w:tc>
              <w:tc>
                <w:tcPr>
                  <w:tcW w:w="1403" w:type="dxa"/>
                  <w:tcBorders>
                    <w:top w:val="single" w:sz="4" w:space="0" w:color="auto"/>
                    <w:bottom w:val="single" w:sz="4" w:space="0" w:color="auto"/>
                  </w:tcBorders>
                  <w:shd w:val="clear" w:color="auto" w:fill="auto"/>
                  <w:vAlign w:val="bottom"/>
                </w:tcPr>
                <w:p w14:paraId="4A975A75"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r w:rsidRPr="006D6A3F">
                    <w:rPr>
                      <w:rFonts w:eastAsia="Calibri" w:cstheme="minorHAnsi"/>
                      <w:i/>
                      <w:sz w:val="16"/>
                      <w:szCs w:val="20"/>
                    </w:rPr>
                    <w:t>Cause</w:t>
                  </w:r>
                </w:p>
              </w:tc>
              <w:tc>
                <w:tcPr>
                  <w:tcW w:w="1984" w:type="dxa"/>
                  <w:tcBorders>
                    <w:top w:val="single" w:sz="4" w:space="0" w:color="auto"/>
                    <w:bottom w:val="single" w:sz="4" w:space="0" w:color="auto"/>
                  </w:tcBorders>
                  <w:shd w:val="clear" w:color="auto" w:fill="auto"/>
                  <w:vAlign w:val="bottom"/>
                </w:tcPr>
                <w:p w14:paraId="2B762A00"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r w:rsidRPr="006D6A3F">
                    <w:rPr>
                      <w:rFonts w:eastAsia="Calibri" w:cstheme="minorHAnsi"/>
                      <w:i/>
                      <w:sz w:val="16"/>
                      <w:szCs w:val="20"/>
                    </w:rPr>
                    <w:t>Observation</w:t>
                  </w:r>
                </w:p>
              </w:tc>
            </w:tr>
            <w:tr w:rsidR="00D26343" w:rsidRPr="006D6A3F" w14:paraId="4FA01EFF" w14:textId="77777777" w:rsidTr="004F3733">
              <w:trPr>
                <w:tblHeader/>
                <w:jc w:val="center"/>
              </w:trPr>
              <w:tc>
                <w:tcPr>
                  <w:tcW w:w="459" w:type="dxa"/>
                  <w:tcBorders>
                    <w:top w:val="single" w:sz="4" w:space="0" w:color="auto"/>
                    <w:bottom w:val="single" w:sz="12" w:space="0" w:color="auto"/>
                  </w:tcBorders>
                  <w:shd w:val="clear" w:color="auto" w:fill="auto"/>
                  <w:vAlign w:val="bottom"/>
                </w:tcPr>
                <w:p w14:paraId="076CD496"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p>
              </w:tc>
              <w:tc>
                <w:tcPr>
                  <w:tcW w:w="674" w:type="dxa"/>
                  <w:tcBorders>
                    <w:top w:val="single" w:sz="4" w:space="0" w:color="auto"/>
                    <w:bottom w:val="single" w:sz="12" w:space="0" w:color="auto"/>
                  </w:tcBorders>
                  <w:shd w:val="clear" w:color="auto" w:fill="auto"/>
                  <w:vAlign w:val="bottom"/>
                </w:tcPr>
                <w:p w14:paraId="75243543"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p>
              </w:tc>
              <w:tc>
                <w:tcPr>
                  <w:tcW w:w="437" w:type="dxa"/>
                  <w:tcBorders>
                    <w:top w:val="single" w:sz="4" w:space="0" w:color="auto"/>
                    <w:bottom w:val="single" w:sz="12" w:space="0" w:color="auto"/>
                  </w:tcBorders>
                  <w:shd w:val="clear" w:color="auto" w:fill="auto"/>
                  <w:vAlign w:val="bottom"/>
                </w:tcPr>
                <w:p w14:paraId="091C4314"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p>
              </w:tc>
              <w:tc>
                <w:tcPr>
                  <w:tcW w:w="557" w:type="dxa"/>
                  <w:tcBorders>
                    <w:top w:val="single" w:sz="4" w:space="0" w:color="auto"/>
                    <w:bottom w:val="single" w:sz="12" w:space="0" w:color="auto"/>
                  </w:tcBorders>
                  <w:shd w:val="clear" w:color="auto" w:fill="auto"/>
                  <w:vAlign w:val="bottom"/>
                </w:tcPr>
                <w:p w14:paraId="1C4613EF"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p>
              </w:tc>
              <w:tc>
                <w:tcPr>
                  <w:tcW w:w="1857" w:type="dxa"/>
                  <w:tcBorders>
                    <w:top w:val="single" w:sz="4" w:space="0" w:color="auto"/>
                    <w:bottom w:val="single" w:sz="12" w:space="0" w:color="auto"/>
                  </w:tcBorders>
                  <w:shd w:val="clear" w:color="auto" w:fill="auto"/>
                  <w:vAlign w:val="bottom"/>
                </w:tcPr>
                <w:p w14:paraId="47777E1B" w14:textId="77777777" w:rsidR="00D26343" w:rsidRPr="006D6A3F" w:rsidRDefault="00D26343" w:rsidP="009B7860">
                  <w:pPr>
                    <w:suppressAutoHyphens/>
                    <w:kinsoku w:val="0"/>
                    <w:overflowPunct w:val="0"/>
                    <w:autoSpaceDE w:val="0"/>
                    <w:autoSpaceDN w:val="0"/>
                    <w:adjustRightInd w:val="0"/>
                    <w:snapToGrid w:val="0"/>
                    <w:spacing w:line="200" w:lineRule="exact"/>
                    <w:ind w:left="285" w:right="113"/>
                    <w:rPr>
                      <w:rFonts w:eastAsia="Calibri" w:cstheme="minorHAnsi"/>
                      <w:i/>
                      <w:sz w:val="16"/>
                      <w:szCs w:val="20"/>
                    </w:rPr>
                  </w:pPr>
                </w:p>
              </w:tc>
              <w:tc>
                <w:tcPr>
                  <w:tcW w:w="1403" w:type="dxa"/>
                  <w:tcBorders>
                    <w:top w:val="single" w:sz="4" w:space="0" w:color="auto"/>
                    <w:bottom w:val="single" w:sz="12" w:space="0" w:color="auto"/>
                  </w:tcBorders>
                  <w:shd w:val="clear" w:color="auto" w:fill="auto"/>
                  <w:vAlign w:val="bottom"/>
                </w:tcPr>
                <w:p w14:paraId="4E2DBA2F"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p>
              </w:tc>
              <w:tc>
                <w:tcPr>
                  <w:tcW w:w="1984" w:type="dxa"/>
                  <w:tcBorders>
                    <w:top w:val="single" w:sz="4" w:space="0" w:color="auto"/>
                    <w:bottom w:val="single" w:sz="12" w:space="0" w:color="auto"/>
                  </w:tcBorders>
                  <w:shd w:val="clear" w:color="auto" w:fill="auto"/>
                  <w:vAlign w:val="bottom"/>
                </w:tcPr>
                <w:p w14:paraId="4B4C77E3" w14:textId="77777777" w:rsidR="00D26343" w:rsidRPr="006D6A3F" w:rsidRDefault="00D26343" w:rsidP="009B7860">
                  <w:pPr>
                    <w:suppressAutoHyphens/>
                    <w:kinsoku w:val="0"/>
                    <w:overflowPunct w:val="0"/>
                    <w:autoSpaceDE w:val="0"/>
                    <w:autoSpaceDN w:val="0"/>
                    <w:adjustRightInd w:val="0"/>
                    <w:snapToGrid w:val="0"/>
                    <w:spacing w:line="200" w:lineRule="exact"/>
                    <w:ind w:left="74" w:right="113"/>
                    <w:rPr>
                      <w:rFonts w:eastAsia="Calibri" w:cstheme="minorHAnsi"/>
                      <w:i/>
                      <w:sz w:val="16"/>
                      <w:szCs w:val="20"/>
                    </w:rPr>
                  </w:pPr>
                </w:p>
              </w:tc>
            </w:tr>
          </w:tbl>
          <w:p w14:paraId="4CD20D2E" w14:textId="77777777" w:rsidR="00D26343" w:rsidRPr="006D6A3F" w:rsidRDefault="00D26343" w:rsidP="009B7860">
            <w:pPr>
              <w:spacing w:line="240" w:lineRule="auto"/>
              <w:rPr>
                <w:rFonts w:eastAsia="Times New Roman" w:cstheme="minorHAnsi"/>
                <w:sz w:val="20"/>
                <w:szCs w:val="20"/>
              </w:rPr>
            </w:pPr>
          </w:p>
        </w:tc>
      </w:tr>
      <w:tr w:rsidR="00D26343" w:rsidRPr="006D6A3F" w14:paraId="3DCA05DF" w14:textId="77777777" w:rsidTr="009B7860">
        <w:trPr>
          <w:trHeight w:val="300"/>
          <w:jc w:val="center"/>
        </w:trPr>
        <w:tc>
          <w:tcPr>
            <w:tcW w:w="7587" w:type="dxa"/>
            <w:tcBorders>
              <w:top w:val="nil"/>
              <w:left w:val="nil"/>
              <w:bottom w:val="nil"/>
              <w:right w:val="nil"/>
            </w:tcBorders>
            <w:shd w:val="clear" w:color="auto" w:fill="auto"/>
            <w:noWrap/>
            <w:vAlign w:val="bottom"/>
            <w:hideMark/>
          </w:tcPr>
          <w:p w14:paraId="76047988" w14:textId="77777777" w:rsidR="00D26343" w:rsidRPr="006D6A3F" w:rsidRDefault="00D26343" w:rsidP="009B7860">
            <w:pPr>
              <w:spacing w:line="240" w:lineRule="auto"/>
              <w:rPr>
                <w:rFonts w:eastAsia="Times New Roman" w:cstheme="minorHAnsi"/>
                <w:sz w:val="20"/>
                <w:szCs w:val="20"/>
              </w:rPr>
            </w:pPr>
          </w:p>
          <w:p w14:paraId="24B7496C" w14:textId="2E7B4D6A" w:rsidR="00D26343" w:rsidRPr="006D6A3F" w:rsidRDefault="00D26343" w:rsidP="009B7860">
            <w:pPr>
              <w:spacing w:line="240" w:lineRule="auto"/>
              <w:rPr>
                <w:rFonts w:eastAsia="Times New Roman" w:cstheme="minorHAnsi"/>
                <w:sz w:val="20"/>
                <w:szCs w:val="20"/>
              </w:rPr>
            </w:pPr>
            <w:r w:rsidRPr="006D6A3F">
              <w:rPr>
                <w:rFonts w:eastAsia="Times New Roman" w:cstheme="minorHAnsi"/>
                <w:sz w:val="20"/>
                <w:szCs w:val="20"/>
              </w:rPr>
              <w:t>1</w:t>
            </w:r>
            <w:r w:rsidRPr="006D6A3F">
              <w:rPr>
                <w:rFonts w:eastAsia="Times New Roman" w:cstheme="minorHAnsi"/>
                <w:sz w:val="20"/>
                <w:szCs w:val="20"/>
              </w:rPr>
              <w:tab/>
              <w:t>2019</w:t>
            </w:r>
            <w:r w:rsidRPr="006D6A3F">
              <w:rPr>
                <w:rFonts w:eastAsia="Times New Roman" w:cstheme="minorHAnsi"/>
                <w:sz w:val="20"/>
                <w:szCs w:val="20"/>
              </w:rPr>
              <w:tab/>
              <w:t>61</w:t>
            </w:r>
            <w:r w:rsidRPr="006D6A3F">
              <w:rPr>
                <w:rFonts w:eastAsia="Times New Roman" w:cstheme="minorHAnsi"/>
                <w:sz w:val="20"/>
                <w:szCs w:val="20"/>
              </w:rPr>
              <w:tab/>
              <w:t>M</w:t>
            </w:r>
            <w:r w:rsidRPr="006D6A3F">
              <w:rPr>
                <w:rFonts w:eastAsia="Times New Roman" w:cstheme="minorHAnsi"/>
                <w:sz w:val="20"/>
                <w:szCs w:val="20"/>
              </w:rPr>
              <w:tab/>
              <w:t>Belge</w:t>
            </w:r>
            <w:r w:rsidRPr="006D6A3F">
              <w:rPr>
                <w:rFonts w:eastAsia="Times New Roman" w:cstheme="minorHAnsi"/>
                <w:sz w:val="20"/>
                <w:szCs w:val="20"/>
              </w:rPr>
              <w:tab/>
            </w:r>
            <w:r w:rsidR="00A624DB">
              <w:rPr>
                <w:rFonts w:eastAsia="Times New Roman" w:cstheme="minorHAnsi"/>
                <w:sz w:val="20"/>
                <w:szCs w:val="20"/>
              </w:rPr>
              <w:tab/>
            </w:r>
            <w:r w:rsidR="006C5876">
              <w:rPr>
                <w:rFonts w:eastAsia="Times New Roman" w:cstheme="minorHAnsi"/>
                <w:sz w:val="20"/>
                <w:szCs w:val="20"/>
              </w:rPr>
              <w:t xml:space="preserve"> </w:t>
            </w:r>
            <w:r w:rsidRPr="006D6A3F">
              <w:rPr>
                <w:rFonts w:eastAsia="Times New Roman" w:cstheme="minorHAnsi"/>
                <w:sz w:val="20"/>
                <w:szCs w:val="20"/>
              </w:rPr>
              <w:t>mort naturelle</w:t>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décédé en clinique</w:t>
            </w:r>
          </w:p>
          <w:p w14:paraId="2688872F" w14:textId="77777777" w:rsidR="00D26343" w:rsidRPr="006D6A3F" w:rsidRDefault="00D26343" w:rsidP="009B7860">
            <w:pPr>
              <w:spacing w:line="240" w:lineRule="auto"/>
              <w:rPr>
                <w:rFonts w:eastAsia="Times New Roman" w:cstheme="minorHAnsi"/>
                <w:sz w:val="20"/>
                <w:szCs w:val="20"/>
              </w:rPr>
            </w:pPr>
          </w:p>
          <w:p w14:paraId="5EB6CC78" w14:textId="002D4507" w:rsidR="00D26343" w:rsidRPr="006D6A3F" w:rsidRDefault="00D26343" w:rsidP="009B7860">
            <w:pPr>
              <w:spacing w:line="240" w:lineRule="auto"/>
              <w:rPr>
                <w:rFonts w:eastAsia="Times New Roman" w:cstheme="minorHAnsi"/>
                <w:sz w:val="20"/>
                <w:szCs w:val="20"/>
              </w:rPr>
            </w:pPr>
            <w:r w:rsidRPr="006D6A3F">
              <w:rPr>
                <w:rFonts w:eastAsia="Times New Roman" w:cstheme="minorHAnsi"/>
                <w:sz w:val="20"/>
                <w:szCs w:val="20"/>
              </w:rPr>
              <w:t>2</w:t>
            </w:r>
            <w:r w:rsidRPr="006D6A3F">
              <w:rPr>
                <w:rFonts w:eastAsia="Times New Roman" w:cstheme="minorHAnsi"/>
                <w:sz w:val="20"/>
                <w:szCs w:val="20"/>
              </w:rPr>
              <w:tab/>
              <w:t>2019</w:t>
            </w:r>
            <w:r w:rsidRPr="006D6A3F">
              <w:rPr>
                <w:rFonts w:eastAsia="Times New Roman" w:cstheme="minorHAnsi"/>
                <w:sz w:val="20"/>
                <w:szCs w:val="20"/>
              </w:rPr>
              <w:tab/>
              <w:t>56</w:t>
            </w:r>
            <w:r w:rsidRPr="006D6A3F">
              <w:rPr>
                <w:rFonts w:eastAsia="Times New Roman" w:cstheme="minorHAnsi"/>
                <w:sz w:val="20"/>
                <w:szCs w:val="20"/>
              </w:rPr>
              <w:tab/>
              <w:t>M</w:t>
            </w:r>
            <w:r w:rsidRPr="006D6A3F">
              <w:rPr>
                <w:rFonts w:eastAsia="Times New Roman" w:cstheme="minorHAnsi"/>
                <w:sz w:val="20"/>
                <w:szCs w:val="20"/>
              </w:rPr>
              <w:tab/>
              <w:t>Lux</w:t>
            </w:r>
            <w:r w:rsidRPr="006D6A3F">
              <w:rPr>
                <w:rFonts w:eastAsia="Times New Roman" w:cstheme="minorHAnsi"/>
                <w:sz w:val="20"/>
                <w:szCs w:val="20"/>
              </w:rPr>
              <w:tab/>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mort naturelle</w:t>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décédé en clinique</w:t>
            </w:r>
          </w:p>
          <w:p w14:paraId="25CF12DA" w14:textId="77777777" w:rsidR="00D26343" w:rsidRPr="006D6A3F" w:rsidRDefault="00D26343" w:rsidP="009B7860">
            <w:pPr>
              <w:spacing w:line="240" w:lineRule="auto"/>
              <w:rPr>
                <w:rFonts w:eastAsia="Times New Roman" w:cstheme="minorHAnsi"/>
                <w:sz w:val="20"/>
                <w:szCs w:val="20"/>
              </w:rPr>
            </w:pPr>
          </w:p>
          <w:p w14:paraId="14130752" w14:textId="5612F822" w:rsidR="00D26343" w:rsidRPr="006D6A3F" w:rsidRDefault="00D26343" w:rsidP="009B7860">
            <w:pPr>
              <w:spacing w:line="240" w:lineRule="auto"/>
              <w:rPr>
                <w:rFonts w:eastAsia="Times New Roman" w:cstheme="minorHAnsi"/>
                <w:sz w:val="20"/>
                <w:szCs w:val="20"/>
              </w:rPr>
            </w:pPr>
            <w:r w:rsidRPr="006D6A3F">
              <w:rPr>
                <w:rFonts w:eastAsia="Times New Roman" w:cstheme="minorHAnsi"/>
                <w:sz w:val="20"/>
                <w:szCs w:val="20"/>
              </w:rPr>
              <w:t>3</w:t>
            </w:r>
            <w:r w:rsidRPr="006D6A3F">
              <w:rPr>
                <w:rFonts w:eastAsia="Times New Roman" w:cstheme="minorHAnsi"/>
                <w:sz w:val="20"/>
                <w:szCs w:val="20"/>
              </w:rPr>
              <w:tab/>
              <w:t>2020</w:t>
            </w:r>
            <w:r w:rsidRPr="006D6A3F">
              <w:rPr>
                <w:rFonts w:eastAsia="Times New Roman" w:cstheme="minorHAnsi"/>
                <w:sz w:val="20"/>
                <w:szCs w:val="20"/>
              </w:rPr>
              <w:tab/>
              <w:t>37</w:t>
            </w:r>
            <w:r w:rsidRPr="006D6A3F">
              <w:rPr>
                <w:rFonts w:eastAsia="Times New Roman" w:cstheme="minorHAnsi"/>
                <w:sz w:val="20"/>
                <w:szCs w:val="20"/>
              </w:rPr>
              <w:tab/>
              <w:t>M</w:t>
            </w:r>
            <w:r w:rsidRPr="006D6A3F">
              <w:rPr>
                <w:rFonts w:eastAsia="Times New Roman" w:cstheme="minorHAnsi"/>
                <w:sz w:val="20"/>
                <w:szCs w:val="20"/>
              </w:rPr>
              <w:tab/>
              <w:t>Portugaise</w:t>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suicide</w:t>
            </w:r>
          </w:p>
          <w:p w14:paraId="390C8B43" w14:textId="77777777" w:rsidR="00D26343" w:rsidRPr="006D6A3F" w:rsidRDefault="00D26343" w:rsidP="009B7860">
            <w:pPr>
              <w:spacing w:line="240" w:lineRule="auto"/>
              <w:rPr>
                <w:rFonts w:eastAsia="Times New Roman" w:cstheme="minorHAnsi"/>
                <w:sz w:val="20"/>
                <w:szCs w:val="20"/>
              </w:rPr>
            </w:pPr>
          </w:p>
          <w:p w14:paraId="31476534" w14:textId="02434968" w:rsidR="00D26343" w:rsidRPr="006D6A3F" w:rsidRDefault="00D26343" w:rsidP="009B7860">
            <w:pPr>
              <w:spacing w:line="240" w:lineRule="auto"/>
              <w:rPr>
                <w:rFonts w:eastAsia="Times New Roman" w:cstheme="minorHAnsi"/>
                <w:sz w:val="20"/>
                <w:szCs w:val="20"/>
              </w:rPr>
            </w:pPr>
            <w:r w:rsidRPr="006D6A3F">
              <w:rPr>
                <w:rFonts w:eastAsia="Times New Roman" w:cstheme="minorHAnsi"/>
                <w:sz w:val="20"/>
                <w:szCs w:val="20"/>
              </w:rPr>
              <w:t>4</w:t>
            </w:r>
            <w:r w:rsidRPr="006D6A3F">
              <w:rPr>
                <w:rFonts w:eastAsia="Times New Roman" w:cstheme="minorHAnsi"/>
                <w:sz w:val="20"/>
                <w:szCs w:val="20"/>
              </w:rPr>
              <w:tab/>
              <w:t>2020</w:t>
            </w:r>
            <w:r w:rsidRPr="006D6A3F">
              <w:rPr>
                <w:rFonts w:eastAsia="Times New Roman" w:cstheme="minorHAnsi"/>
                <w:sz w:val="20"/>
                <w:szCs w:val="20"/>
              </w:rPr>
              <w:tab/>
              <w:t>32</w:t>
            </w:r>
            <w:r w:rsidRPr="006D6A3F">
              <w:rPr>
                <w:rFonts w:eastAsia="Times New Roman" w:cstheme="minorHAnsi"/>
                <w:sz w:val="20"/>
                <w:szCs w:val="20"/>
              </w:rPr>
              <w:tab/>
              <w:t>M</w:t>
            </w:r>
            <w:r w:rsidRPr="006D6A3F">
              <w:rPr>
                <w:rFonts w:eastAsia="Times New Roman" w:cstheme="minorHAnsi"/>
                <w:sz w:val="20"/>
                <w:szCs w:val="20"/>
              </w:rPr>
              <w:tab/>
              <w:t>Marocaine</w:t>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suicide</w:t>
            </w:r>
          </w:p>
          <w:p w14:paraId="1B0249E5" w14:textId="77777777" w:rsidR="00D26343" w:rsidRPr="006D6A3F" w:rsidRDefault="00D26343" w:rsidP="009B7860">
            <w:pPr>
              <w:spacing w:line="240" w:lineRule="auto"/>
              <w:rPr>
                <w:rFonts w:eastAsia="Times New Roman" w:cstheme="minorHAnsi"/>
                <w:sz w:val="20"/>
                <w:szCs w:val="20"/>
              </w:rPr>
            </w:pPr>
          </w:p>
          <w:p w14:paraId="41D98D0A" w14:textId="72281D45" w:rsidR="00D26343" w:rsidRPr="006D6A3F" w:rsidRDefault="00D26343" w:rsidP="009B7860">
            <w:pPr>
              <w:spacing w:line="240" w:lineRule="auto"/>
              <w:rPr>
                <w:rFonts w:eastAsia="Times New Roman" w:cstheme="minorHAnsi"/>
                <w:sz w:val="20"/>
                <w:szCs w:val="20"/>
              </w:rPr>
            </w:pPr>
            <w:r w:rsidRPr="006D6A3F">
              <w:rPr>
                <w:rFonts w:eastAsia="Times New Roman" w:cstheme="minorHAnsi"/>
                <w:sz w:val="20"/>
                <w:szCs w:val="20"/>
              </w:rPr>
              <w:t>5</w:t>
            </w:r>
            <w:r w:rsidRPr="006D6A3F">
              <w:rPr>
                <w:rFonts w:eastAsia="Times New Roman" w:cstheme="minorHAnsi"/>
                <w:sz w:val="20"/>
                <w:szCs w:val="20"/>
              </w:rPr>
              <w:tab/>
              <w:t>2021</w:t>
            </w:r>
            <w:r w:rsidRPr="006D6A3F">
              <w:rPr>
                <w:rFonts w:eastAsia="Times New Roman" w:cstheme="minorHAnsi"/>
                <w:sz w:val="20"/>
                <w:szCs w:val="20"/>
              </w:rPr>
              <w:tab/>
              <w:t>51</w:t>
            </w:r>
            <w:r w:rsidRPr="006D6A3F">
              <w:rPr>
                <w:rFonts w:eastAsia="Times New Roman" w:cstheme="minorHAnsi"/>
                <w:sz w:val="20"/>
                <w:szCs w:val="20"/>
              </w:rPr>
              <w:tab/>
              <w:t>M</w:t>
            </w:r>
            <w:r w:rsidRPr="006D6A3F">
              <w:rPr>
                <w:rFonts w:eastAsia="Times New Roman" w:cstheme="minorHAnsi"/>
                <w:sz w:val="20"/>
                <w:szCs w:val="20"/>
              </w:rPr>
              <w:tab/>
              <w:t>Portugaise</w:t>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incendie</w:t>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décédé en clinique</w:t>
            </w:r>
          </w:p>
          <w:p w14:paraId="520490F9" w14:textId="77777777" w:rsidR="00D26343" w:rsidRPr="006D6A3F" w:rsidRDefault="00D26343" w:rsidP="009B7860">
            <w:pPr>
              <w:spacing w:line="240" w:lineRule="auto"/>
              <w:rPr>
                <w:rFonts w:eastAsia="Times New Roman" w:cstheme="minorHAnsi"/>
                <w:sz w:val="20"/>
                <w:szCs w:val="20"/>
              </w:rPr>
            </w:pPr>
          </w:p>
          <w:p w14:paraId="143A8038" w14:textId="4DDE9FA2" w:rsidR="00D26343" w:rsidRPr="006D6A3F" w:rsidRDefault="00D26343" w:rsidP="009B7860">
            <w:pPr>
              <w:spacing w:line="240" w:lineRule="auto"/>
              <w:rPr>
                <w:rFonts w:eastAsia="Times New Roman" w:cstheme="minorHAnsi"/>
                <w:sz w:val="20"/>
                <w:szCs w:val="20"/>
              </w:rPr>
            </w:pPr>
            <w:r w:rsidRPr="006D6A3F">
              <w:rPr>
                <w:rFonts w:eastAsia="Times New Roman" w:cstheme="minorHAnsi"/>
                <w:sz w:val="20"/>
                <w:szCs w:val="20"/>
              </w:rPr>
              <w:t>6</w:t>
            </w:r>
            <w:r w:rsidRPr="006D6A3F">
              <w:rPr>
                <w:rFonts w:eastAsia="Times New Roman" w:cstheme="minorHAnsi"/>
                <w:sz w:val="20"/>
                <w:szCs w:val="20"/>
              </w:rPr>
              <w:tab/>
              <w:t>2022</w:t>
            </w:r>
            <w:r w:rsidRPr="006D6A3F">
              <w:rPr>
                <w:rFonts w:eastAsia="Times New Roman" w:cstheme="minorHAnsi"/>
                <w:sz w:val="20"/>
                <w:szCs w:val="20"/>
              </w:rPr>
              <w:tab/>
              <w:t>25</w:t>
            </w:r>
            <w:r w:rsidRPr="006D6A3F">
              <w:rPr>
                <w:rFonts w:eastAsia="Times New Roman" w:cstheme="minorHAnsi"/>
                <w:sz w:val="20"/>
                <w:szCs w:val="20"/>
              </w:rPr>
              <w:tab/>
              <w:t>M</w:t>
            </w:r>
            <w:r w:rsidRPr="006D6A3F">
              <w:rPr>
                <w:rFonts w:eastAsia="Times New Roman" w:cstheme="minorHAnsi"/>
                <w:sz w:val="20"/>
                <w:szCs w:val="20"/>
              </w:rPr>
              <w:tab/>
              <w:t>Erythréenne</w:t>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suicide</w:t>
            </w:r>
          </w:p>
          <w:p w14:paraId="23559D11" w14:textId="77777777" w:rsidR="00D26343" w:rsidRPr="006D6A3F" w:rsidRDefault="00D26343" w:rsidP="009B7860">
            <w:pPr>
              <w:spacing w:line="240" w:lineRule="auto"/>
              <w:rPr>
                <w:rFonts w:eastAsia="Times New Roman" w:cstheme="minorHAnsi"/>
                <w:sz w:val="20"/>
                <w:szCs w:val="20"/>
              </w:rPr>
            </w:pPr>
            <w:r w:rsidRPr="006D6A3F">
              <w:rPr>
                <w:rFonts w:eastAsia="Times New Roman" w:cstheme="minorHAnsi"/>
                <w:sz w:val="20"/>
                <w:szCs w:val="20"/>
              </w:rPr>
              <w:t xml:space="preserve"> </w:t>
            </w:r>
          </w:p>
          <w:p w14:paraId="26775BE9" w14:textId="0DCC332D" w:rsidR="00D26343" w:rsidRPr="006D6A3F" w:rsidRDefault="00D26343" w:rsidP="009B7860">
            <w:pPr>
              <w:spacing w:line="240" w:lineRule="auto"/>
              <w:rPr>
                <w:rFonts w:eastAsia="Times New Roman" w:cstheme="minorHAnsi"/>
                <w:sz w:val="20"/>
                <w:szCs w:val="20"/>
              </w:rPr>
            </w:pPr>
            <w:r w:rsidRPr="006D6A3F">
              <w:rPr>
                <w:rFonts w:eastAsia="Times New Roman" w:cstheme="minorHAnsi"/>
                <w:sz w:val="20"/>
                <w:szCs w:val="20"/>
              </w:rPr>
              <w:t>7</w:t>
            </w:r>
            <w:r w:rsidRPr="006D6A3F">
              <w:rPr>
                <w:rFonts w:eastAsia="Times New Roman" w:cstheme="minorHAnsi"/>
                <w:sz w:val="20"/>
                <w:szCs w:val="20"/>
              </w:rPr>
              <w:tab/>
              <w:t>2022</w:t>
            </w:r>
            <w:r w:rsidRPr="006D6A3F">
              <w:rPr>
                <w:rFonts w:eastAsia="Times New Roman" w:cstheme="minorHAnsi"/>
                <w:sz w:val="20"/>
                <w:szCs w:val="20"/>
              </w:rPr>
              <w:tab/>
              <w:t>47</w:t>
            </w:r>
            <w:r w:rsidRPr="006D6A3F">
              <w:rPr>
                <w:rFonts w:eastAsia="Times New Roman" w:cstheme="minorHAnsi"/>
                <w:sz w:val="20"/>
                <w:szCs w:val="20"/>
              </w:rPr>
              <w:tab/>
              <w:t>M</w:t>
            </w:r>
            <w:r w:rsidRPr="006D6A3F">
              <w:rPr>
                <w:rFonts w:eastAsia="Times New Roman" w:cstheme="minorHAnsi"/>
                <w:sz w:val="20"/>
                <w:szCs w:val="20"/>
              </w:rPr>
              <w:tab/>
              <w:t>Lux</w:t>
            </w:r>
            <w:r w:rsidRPr="006D6A3F">
              <w:rPr>
                <w:rFonts w:eastAsia="Times New Roman" w:cstheme="minorHAnsi"/>
                <w:sz w:val="20"/>
                <w:szCs w:val="20"/>
              </w:rPr>
              <w:tab/>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mort naturelle</w:t>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décédé en clinique</w:t>
            </w:r>
          </w:p>
          <w:p w14:paraId="4C0DBF1A" w14:textId="77777777" w:rsidR="00D26343" w:rsidRPr="006D6A3F" w:rsidRDefault="00D26343" w:rsidP="009B7860">
            <w:pPr>
              <w:spacing w:line="240" w:lineRule="auto"/>
              <w:rPr>
                <w:rFonts w:eastAsia="Times New Roman" w:cstheme="minorHAnsi"/>
                <w:sz w:val="20"/>
                <w:szCs w:val="20"/>
              </w:rPr>
            </w:pPr>
          </w:p>
          <w:p w14:paraId="466930E5" w14:textId="51879FE7" w:rsidR="00D26343" w:rsidRPr="006D6A3F" w:rsidRDefault="00D26343" w:rsidP="009B7860">
            <w:pPr>
              <w:spacing w:line="240" w:lineRule="auto"/>
              <w:rPr>
                <w:rFonts w:eastAsia="Times New Roman" w:cstheme="minorHAnsi"/>
                <w:sz w:val="20"/>
                <w:szCs w:val="20"/>
              </w:rPr>
            </w:pPr>
            <w:r w:rsidRPr="006D6A3F">
              <w:rPr>
                <w:rFonts w:eastAsia="Times New Roman" w:cstheme="minorHAnsi"/>
                <w:sz w:val="20"/>
                <w:szCs w:val="20"/>
              </w:rPr>
              <w:t>8</w:t>
            </w:r>
            <w:r w:rsidRPr="006D6A3F">
              <w:rPr>
                <w:rFonts w:eastAsia="Times New Roman" w:cstheme="minorHAnsi"/>
                <w:sz w:val="20"/>
                <w:szCs w:val="20"/>
              </w:rPr>
              <w:tab/>
              <w:t>2023</w:t>
            </w:r>
            <w:r w:rsidRPr="006D6A3F">
              <w:rPr>
                <w:rFonts w:eastAsia="Times New Roman" w:cstheme="minorHAnsi"/>
                <w:sz w:val="20"/>
                <w:szCs w:val="20"/>
              </w:rPr>
              <w:tab/>
              <w:t>85</w:t>
            </w:r>
            <w:r w:rsidRPr="006D6A3F">
              <w:rPr>
                <w:rFonts w:eastAsia="Times New Roman" w:cstheme="minorHAnsi"/>
                <w:sz w:val="20"/>
                <w:szCs w:val="20"/>
              </w:rPr>
              <w:tab/>
              <w:t>M</w:t>
            </w:r>
            <w:r w:rsidRPr="006D6A3F">
              <w:rPr>
                <w:rFonts w:eastAsia="Times New Roman" w:cstheme="minorHAnsi"/>
                <w:sz w:val="20"/>
                <w:szCs w:val="20"/>
              </w:rPr>
              <w:tab/>
              <w:t>Néerlandaise</w:t>
            </w:r>
            <w:r w:rsidRPr="006D6A3F">
              <w:rPr>
                <w:rFonts w:eastAsia="Times New Roman" w:cstheme="minorHAnsi"/>
                <w:sz w:val="20"/>
                <w:szCs w:val="20"/>
              </w:rPr>
              <w:tab/>
              <w:t>mort naturelle</w:t>
            </w:r>
            <w:r w:rsidR="006C5876">
              <w:rPr>
                <w:rFonts w:eastAsia="Times New Roman" w:cstheme="minorHAnsi"/>
                <w:sz w:val="20"/>
                <w:szCs w:val="20"/>
              </w:rPr>
              <w:t xml:space="preserve"> </w:t>
            </w:r>
            <w:r w:rsidR="00A624DB">
              <w:rPr>
                <w:rFonts w:eastAsia="Times New Roman" w:cstheme="minorHAnsi"/>
                <w:sz w:val="20"/>
                <w:szCs w:val="20"/>
              </w:rPr>
              <w:tab/>
            </w:r>
            <w:r w:rsidRPr="006D6A3F">
              <w:rPr>
                <w:rFonts w:eastAsia="Times New Roman" w:cstheme="minorHAnsi"/>
                <w:sz w:val="20"/>
                <w:szCs w:val="20"/>
              </w:rPr>
              <w:t>décédé en clinique</w:t>
            </w:r>
          </w:p>
          <w:p w14:paraId="4C85A2F9" w14:textId="77777777" w:rsidR="00D26343" w:rsidRPr="006D6A3F" w:rsidRDefault="00D26343" w:rsidP="009B7860">
            <w:pPr>
              <w:spacing w:line="240" w:lineRule="auto"/>
              <w:rPr>
                <w:rFonts w:eastAsia="Times New Roman" w:cstheme="minorHAnsi"/>
                <w:sz w:val="20"/>
                <w:szCs w:val="20"/>
              </w:rPr>
            </w:pPr>
          </w:p>
        </w:tc>
      </w:tr>
      <w:tr w:rsidR="00D26343" w:rsidRPr="006D6A3F" w14:paraId="6FC271F9" w14:textId="77777777" w:rsidTr="009B7860">
        <w:trPr>
          <w:trHeight w:val="300"/>
          <w:jc w:val="center"/>
        </w:trPr>
        <w:tc>
          <w:tcPr>
            <w:tcW w:w="7587" w:type="dxa"/>
            <w:tcBorders>
              <w:top w:val="nil"/>
              <w:left w:val="nil"/>
              <w:bottom w:val="nil"/>
              <w:right w:val="nil"/>
            </w:tcBorders>
            <w:shd w:val="clear" w:color="auto" w:fill="auto"/>
            <w:noWrap/>
            <w:vAlign w:val="bottom"/>
            <w:hideMark/>
          </w:tcPr>
          <w:p w14:paraId="3D1F2B07" w14:textId="77777777" w:rsidR="00D26343" w:rsidRPr="006D6A3F" w:rsidRDefault="00D26343" w:rsidP="009B7860">
            <w:pPr>
              <w:spacing w:line="240" w:lineRule="auto"/>
              <w:rPr>
                <w:rFonts w:eastAsia="Times New Roman" w:cstheme="minorHAnsi"/>
                <w:color w:val="000000"/>
              </w:rPr>
            </w:pPr>
            <w:r w:rsidRPr="006D6A3F">
              <w:rPr>
                <w:rFonts w:eastAsia="Times New Roman" w:cstheme="minorHAnsi"/>
                <w:color w:val="000000"/>
              </w:rPr>
              <w:lastRenderedPageBreak/>
              <w:t>Au CPG, un détenu est décédé en 2019. Il était âgé de 38 ans et il était de nationalité luxembourgeoise. Il est décédé d’une overdose.</w:t>
            </w:r>
          </w:p>
        </w:tc>
      </w:tr>
    </w:tbl>
    <w:p w14:paraId="4964C24F" w14:textId="18D9468B" w:rsidR="00D26343" w:rsidRPr="006D6A3F" w:rsidRDefault="00D26343" w:rsidP="00DC50DE">
      <w:pPr>
        <w:spacing w:after="240"/>
        <w:jc w:val="both"/>
        <w:rPr>
          <w:rFonts w:cstheme="minorHAnsi"/>
        </w:rPr>
      </w:pPr>
    </w:p>
    <w:p w14:paraId="6274118B" w14:textId="302B3F57" w:rsidR="006D6A3F" w:rsidRPr="006D6A3F" w:rsidRDefault="006D6A3F" w:rsidP="006D6A3F">
      <w:pPr>
        <w:pStyle w:val="Heading2"/>
        <w:rPr>
          <w:lang w:val="fr-FR"/>
        </w:rPr>
      </w:pPr>
      <w:bookmarkStart w:id="36" w:name="_Toc133934872"/>
      <w:r w:rsidRPr="006D6A3F">
        <w:rPr>
          <w:lang w:val="fr-FR"/>
        </w:rPr>
        <w:t>Informations additionnelles sur le Centre de rétention</w:t>
      </w:r>
      <w:bookmarkEnd w:id="36"/>
    </w:p>
    <w:p w14:paraId="165C60C3" w14:textId="602386E0" w:rsidR="006D6A3F" w:rsidRPr="006D6A3F" w:rsidRDefault="006D6A3F" w:rsidP="006D6A3F">
      <w:pPr>
        <w:pStyle w:val="Heading3"/>
      </w:pPr>
      <w:bookmarkStart w:id="37" w:name="_Toc133934873"/>
      <w:r w:rsidRPr="006D6A3F">
        <w:t>XII.1. Mise à jour de la contribution du Centre de rétention au huitième rapport</w:t>
      </w:r>
      <w:r w:rsidRPr="006D6A3F">
        <w:rPr>
          <w:rStyle w:val="FootnoteReference"/>
        </w:rPr>
        <w:footnoteReference w:id="5"/>
      </w:r>
      <w:bookmarkEnd w:id="37"/>
    </w:p>
    <w:p w14:paraId="70F8E0D8" w14:textId="77777777" w:rsidR="006D6A3F" w:rsidRPr="006D6A3F" w:rsidRDefault="006D6A3F" w:rsidP="006D6A3F">
      <w:pPr>
        <w:spacing w:after="240"/>
        <w:rPr>
          <w:rFonts w:cstheme="minorHAnsi"/>
          <w:u w:val="single"/>
        </w:rPr>
      </w:pPr>
      <w:r w:rsidRPr="006D6A3F">
        <w:rPr>
          <w:rFonts w:cstheme="minorHAnsi"/>
          <w:u w:val="single"/>
        </w:rPr>
        <w:t>Ad. Paragraphe 11, lettre c)</w:t>
      </w:r>
    </w:p>
    <w:p w14:paraId="44D11B83" w14:textId="2CB68B78" w:rsidR="006D6A3F" w:rsidRPr="006D6A3F" w:rsidRDefault="006D6A3F" w:rsidP="006D6A3F">
      <w:pPr>
        <w:spacing w:after="240"/>
        <w:jc w:val="both"/>
        <w:rPr>
          <w:rFonts w:cstheme="minorHAnsi"/>
        </w:rPr>
      </w:pPr>
      <w:r w:rsidRPr="006D6A3F">
        <w:rPr>
          <w:rFonts w:cstheme="minorHAnsi"/>
        </w:rPr>
        <w:t>Les nouveaux arrivants au Centre de rétention sont soumis sans exceptions dans les 24 heures de leur arrivée à un examen médical complet par les médecins mandatés à cette fin. (Cf. article 9 de la loi modifiée du 28 mai 2009 concernant le Centre de rétention). Les constatations du personnel médical sont consignées dans le dossier médical individuel du retenu concerné. Y sont entre autres documentées d’éventuelles blessures ou lésions décelées lors de l’examen d’entrée ainsi que toutes les allégations du retenu quant à son état de santé, d’éventuels maltraitances, de mauvais traitements et autres.</w:t>
      </w:r>
    </w:p>
    <w:p w14:paraId="251958BE" w14:textId="77777777" w:rsidR="006D6A3F" w:rsidRPr="006D6A3F" w:rsidRDefault="006D6A3F" w:rsidP="006D6A3F">
      <w:pPr>
        <w:spacing w:after="240"/>
        <w:jc w:val="both"/>
        <w:rPr>
          <w:rFonts w:cstheme="minorHAnsi"/>
          <w:u w:val="single"/>
        </w:rPr>
      </w:pPr>
      <w:r w:rsidRPr="006D6A3F">
        <w:rPr>
          <w:rFonts w:cstheme="minorHAnsi"/>
          <w:u w:val="single"/>
        </w:rPr>
        <w:t>Ad. Paragraphe 12</w:t>
      </w:r>
    </w:p>
    <w:p w14:paraId="586E36EE" w14:textId="71C41DE6" w:rsidR="006D6A3F" w:rsidRPr="006D6A3F" w:rsidRDefault="006D6A3F" w:rsidP="006D6A3F">
      <w:pPr>
        <w:spacing w:after="240"/>
        <w:jc w:val="both"/>
        <w:rPr>
          <w:rFonts w:cstheme="minorHAnsi"/>
        </w:rPr>
      </w:pPr>
      <w:r w:rsidRPr="006D6A3F">
        <w:rPr>
          <w:rFonts w:cstheme="minorHAnsi"/>
        </w:rPr>
        <w:t>La loi modifiée du 28 mai 2009 concernant le Centre de rétention prévoit en son article 20 les sanctions disciplinaires qu’un retenu majeur est susceptible de se voir appliquer. Parmi celles-ci figure l’isolement qui ne peut perdurer plus de 5 jours consécutifs. L’article 19 de la loi précitée</w:t>
      </w:r>
      <w:r w:rsidR="006C5876">
        <w:rPr>
          <w:rFonts w:cstheme="minorHAnsi"/>
        </w:rPr>
        <w:t xml:space="preserve"> </w:t>
      </w:r>
      <w:r w:rsidRPr="006D6A3F">
        <w:rPr>
          <w:rFonts w:cstheme="minorHAnsi"/>
        </w:rPr>
        <w:t xml:space="preserve">dispose que les sanctions doivent en tout état de cause être proportionnées à la nature et à la gravité de l’infraction et faire l’objet d’une décision écrite. Avant de prononcer une sanction, le retenu, qui peut se faire assister par un conseil, est entendu par le directeur ou par la personne par lui déléguée à cette fin, sur les faits qui lui sont reprochés en ayant recours, si nécessaire, aux services d’un interprète. Le retenu peut exercer son droit d’être entendu oralement ou par écrit. Les faits et, le cas échéant la déposition du retenu, sont consignés dans un rapport écrit. La sanction est notifiée par écrit au retenu concerné qui peut recourir contre celle-ci devant le tribunal administratif qui statue d’urgence comme juge du fond et en tout cas dans les trois jours de l’introduction de la requête. </w:t>
      </w:r>
    </w:p>
    <w:p w14:paraId="173E345C" w14:textId="77777777" w:rsidR="006D6A3F" w:rsidRPr="006D6A3F" w:rsidRDefault="006D6A3F" w:rsidP="006D6A3F">
      <w:pPr>
        <w:spacing w:after="240"/>
        <w:jc w:val="both"/>
        <w:rPr>
          <w:rFonts w:cstheme="minorHAnsi"/>
        </w:rPr>
      </w:pPr>
      <w:r w:rsidRPr="006D6A3F">
        <w:rPr>
          <w:rFonts w:cstheme="minorHAnsi"/>
        </w:rPr>
        <w:t xml:space="preserve">Un retenu placé en isolement bénéficie d’un suivi médical quotidien. L’isolement est suspendu s’il est de nature à compromettre la santé physique ou mentale du retenu. Il est à noter que le directeur peut en tout état de cause suspendre ou fractionner l’exécution de l’isolement. </w:t>
      </w:r>
    </w:p>
    <w:p w14:paraId="486B767A" w14:textId="77777777" w:rsidR="006D6A3F" w:rsidRPr="00BB0E24" w:rsidRDefault="006D6A3F" w:rsidP="006D6A3F">
      <w:pPr>
        <w:spacing w:after="240"/>
        <w:jc w:val="both"/>
        <w:rPr>
          <w:rFonts w:cstheme="minorHAnsi"/>
        </w:rPr>
      </w:pPr>
      <w:r w:rsidRPr="00BB0E24">
        <w:rPr>
          <w:rFonts w:cstheme="minorHAnsi"/>
        </w:rPr>
        <w:lastRenderedPageBreak/>
        <w:t>En principe, un retenu placé en isolement ne peut recevoir de visites en dehors de celles de son avocat, de représentants des cultes, de l’Ombudsman (CELPL), de l’OKAJU (</w:t>
      </w:r>
      <w:r w:rsidRPr="00BB0E24">
        <w:rPr>
          <w:rFonts w:cstheme="minorHAnsi"/>
          <w:i/>
        </w:rPr>
        <w:t xml:space="preserve">Ombudsman </w:t>
      </w:r>
      <w:proofErr w:type="spellStart"/>
      <w:r w:rsidRPr="00BB0E24">
        <w:rPr>
          <w:rFonts w:cstheme="minorHAnsi"/>
          <w:i/>
        </w:rPr>
        <w:t>vir</w:t>
      </w:r>
      <w:proofErr w:type="spellEnd"/>
      <w:r w:rsidRPr="00BB0E24">
        <w:rPr>
          <w:rFonts w:cstheme="minorHAnsi"/>
          <w:i/>
        </w:rPr>
        <w:t xml:space="preserve"> </w:t>
      </w:r>
      <w:proofErr w:type="spellStart"/>
      <w:r w:rsidRPr="00BB0E24">
        <w:rPr>
          <w:rFonts w:cstheme="minorHAnsi"/>
          <w:i/>
        </w:rPr>
        <w:t>Kanner</w:t>
      </w:r>
      <w:proofErr w:type="spellEnd"/>
      <w:r w:rsidRPr="00BB0E24">
        <w:rPr>
          <w:rFonts w:cstheme="minorHAnsi"/>
          <w:i/>
        </w:rPr>
        <w:t xml:space="preserve"> a </w:t>
      </w:r>
      <w:proofErr w:type="spellStart"/>
      <w:r w:rsidRPr="00BB0E24">
        <w:rPr>
          <w:rFonts w:cstheme="minorHAnsi"/>
          <w:i/>
        </w:rPr>
        <w:t>Jugendlecher</w:t>
      </w:r>
      <w:proofErr w:type="spellEnd"/>
      <w:r w:rsidRPr="00BB0E24">
        <w:rPr>
          <w:rFonts w:cstheme="minorHAnsi"/>
        </w:rPr>
        <w:t>) et des instances de contrôle internationales (CPT entre autres). Toutefois, aux fins de ne pas lui couper tout contact avec sa famille ou ses proches, le retenu concerné est autorisé à les contacter par téléphone après 21.30 heures, si toutefois son comportement le permet. Il est à signaler que le concerné peut à tout moment demander à contacter son avocat et/ou le CELPL auquel cas un téléphone est mis à sa disposition à cet effet.</w:t>
      </w:r>
    </w:p>
    <w:p w14:paraId="5DAD03FB" w14:textId="77777777" w:rsidR="006D6A3F" w:rsidRPr="00BB0E24" w:rsidRDefault="006D6A3F" w:rsidP="006D6A3F">
      <w:pPr>
        <w:spacing w:after="240"/>
        <w:jc w:val="both"/>
        <w:rPr>
          <w:rFonts w:cstheme="minorHAnsi"/>
        </w:rPr>
      </w:pPr>
      <w:r w:rsidRPr="00BB0E24">
        <w:rPr>
          <w:rFonts w:cstheme="minorHAnsi"/>
        </w:rPr>
        <w:t>Il est finalement à signaler que toutes les sanctions disciplinaires prononcées par le directeur sont consignées dans un registre spécial y dédié.</w:t>
      </w:r>
    </w:p>
    <w:p w14:paraId="517E8FF8" w14:textId="77777777" w:rsidR="006D6A3F" w:rsidRPr="00BB0E24" w:rsidRDefault="006D6A3F" w:rsidP="006D6A3F">
      <w:pPr>
        <w:spacing w:after="240"/>
        <w:jc w:val="both"/>
        <w:rPr>
          <w:rFonts w:cstheme="minorHAnsi"/>
        </w:rPr>
      </w:pPr>
      <w:r w:rsidRPr="00BB0E24">
        <w:rPr>
          <w:rFonts w:cstheme="minorHAnsi"/>
        </w:rPr>
        <w:t>Les retenus peuvent en tout temps obtenir un entretien avec la direction moyennant une demande préalable écrite. De même peuvent-ils en tout temps formuler une plainte au sujet des conditions de rétention ou des mesures restrictives dont ils font l’objet. Ces plaintes peuvent être adressées à toute autorité compétente.</w:t>
      </w:r>
    </w:p>
    <w:p w14:paraId="7F660A7C" w14:textId="77777777" w:rsidR="006D6A3F" w:rsidRPr="00BB0E24" w:rsidRDefault="006D6A3F" w:rsidP="006D6A3F">
      <w:pPr>
        <w:spacing w:after="240"/>
        <w:jc w:val="both"/>
        <w:rPr>
          <w:rFonts w:cstheme="minorHAnsi"/>
        </w:rPr>
      </w:pPr>
      <w:r w:rsidRPr="00BB0E24">
        <w:rPr>
          <w:rFonts w:cstheme="minorHAnsi"/>
        </w:rPr>
        <w:t>Il est à relever que depuis fin décembre 2022 chaque retenu se voit mettre à disposition un téléphone cellulaire avec carte SIM personnelle lors de son accueil avec un crédit d’appels initial de 10 euros. Ce crédit est renouvelé gratuitement une fois par semaine, le retenu étant par ailleurs libre de s’acheter des recharges supplémentaires avec ses avoirs. Il est à souligner qu’aucune restriction d’appel n’est appliquée, de sorte le retenu est libre d’appeler qui bon lui semble, étant par ailleurs précisé qu’il peut également réceptionner sans restrictions des appels de l’extérieur. Il va toutefois de soi que le téléphone cellulaire est retiré aux personnes placées en isolement pour des raisons évidentes de sécurité.</w:t>
      </w:r>
    </w:p>
    <w:p w14:paraId="08AD3EBF" w14:textId="77777777" w:rsidR="006D6A3F" w:rsidRPr="006D6A3F" w:rsidRDefault="006D6A3F" w:rsidP="006D6A3F">
      <w:pPr>
        <w:spacing w:after="240"/>
        <w:jc w:val="both"/>
        <w:rPr>
          <w:rFonts w:cstheme="minorHAnsi"/>
        </w:rPr>
      </w:pPr>
      <w:r w:rsidRPr="006D6A3F">
        <w:rPr>
          <w:rFonts w:cstheme="minorHAnsi"/>
        </w:rPr>
        <w:t>En 2015, 8 personnes ont été placées en isolement pour une durée moyenne de 3,5 jours.</w:t>
      </w:r>
    </w:p>
    <w:p w14:paraId="794CD710" w14:textId="77777777" w:rsidR="006D6A3F" w:rsidRPr="006D6A3F" w:rsidRDefault="006D6A3F" w:rsidP="006D6A3F">
      <w:pPr>
        <w:spacing w:after="240"/>
        <w:jc w:val="both"/>
        <w:rPr>
          <w:rFonts w:cstheme="minorHAnsi"/>
        </w:rPr>
      </w:pPr>
      <w:r w:rsidRPr="006D6A3F">
        <w:rPr>
          <w:rFonts w:cstheme="minorHAnsi"/>
        </w:rPr>
        <w:t>En 2016, 10 personnes ont été placées en isolement pour une durée moyenne de 2 jours.</w:t>
      </w:r>
    </w:p>
    <w:p w14:paraId="13E36B10" w14:textId="77777777" w:rsidR="006D6A3F" w:rsidRPr="006D6A3F" w:rsidRDefault="006D6A3F" w:rsidP="006D6A3F">
      <w:pPr>
        <w:spacing w:after="240"/>
        <w:jc w:val="both"/>
        <w:rPr>
          <w:rFonts w:cstheme="minorHAnsi"/>
        </w:rPr>
      </w:pPr>
      <w:r w:rsidRPr="006D6A3F">
        <w:rPr>
          <w:rFonts w:cstheme="minorHAnsi"/>
        </w:rPr>
        <w:t>En 2017, 8 personnes ont été placées en isolement pour une durée moyenne de 3 jours.</w:t>
      </w:r>
    </w:p>
    <w:p w14:paraId="168F0E2C" w14:textId="77777777" w:rsidR="006D6A3F" w:rsidRPr="00BB0E24" w:rsidRDefault="006D6A3F" w:rsidP="006D6A3F">
      <w:pPr>
        <w:spacing w:after="240"/>
        <w:jc w:val="both"/>
        <w:rPr>
          <w:rFonts w:cstheme="minorHAnsi"/>
        </w:rPr>
      </w:pPr>
      <w:r w:rsidRPr="00BB0E24">
        <w:rPr>
          <w:rFonts w:cstheme="minorHAnsi"/>
        </w:rPr>
        <w:t>En 2018, 8 personnes ont été placées en isolement pour une durée moyenne de 3 jours.</w:t>
      </w:r>
    </w:p>
    <w:p w14:paraId="091F5ACC" w14:textId="77777777" w:rsidR="006D6A3F" w:rsidRPr="00BB0E24" w:rsidRDefault="006D6A3F" w:rsidP="006D6A3F">
      <w:pPr>
        <w:spacing w:after="240"/>
        <w:jc w:val="both"/>
        <w:rPr>
          <w:rFonts w:cstheme="minorHAnsi"/>
        </w:rPr>
      </w:pPr>
      <w:r w:rsidRPr="00BB0E24">
        <w:rPr>
          <w:rFonts w:cstheme="minorHAnsi"/>
        </w:rPr>
        <w:t>En 2019, 9 personnes ont été placées en isolement pour une durée moyenne de 2 jours.</w:t>
      </w:r>
    </w:p>
    <w:p w14:paraId="12EAE90D" w14:textId="77777777" w:rsidR="006D6A3F" w:rsidRPr="00BB0E24" w:rsidRDefault="006D6A3F" w:rsidP="006D6A3F">
      <w:pPr>
        <w:spacing w:after="240"/>
        <w:jc w:val="both"/>
        <w:rPr>
          <w:rFonts w:cstheme="minorHAnsi"/>
        </w:rPr>
      </w:pPr>
      <w:r w:rsidRPr="00BB0E24">
        <w:rPr>
          <w:rFonts w:cstheme="minorHAnsi"/>
        </w:rPr>
        <w:t>En 2020, 5 personnes ont été placées en isolement pour une durée moyenne de 3 jours.</w:t>
      </w:r>
    </w:p>
    <w:p w14:paraId="58FB6041" w14:textId="77777777" w:rsidR="006D6A3F" w:rsidRPr="00BB0E24" w:rsidRDefault="006D6A3F" w:rsidP="006D6A3F">
      <w:pPr>
        <w:spacing w:after="240"/>
        <w:jc w:val="both"/>
        <w:rPr>
          <w:rFonts w:cstheme="minorHAnsi"/>
        </w:rPr>
      </w:pPr>
      <w:r w:rsidRPr="00BB0E24">
        <w:rPr>
          <w:rFonts w:cstheme="minorHAnsi"/>
        </w:rPr>
        <w:t>En 2021, 1 personne a été placée en isolement pour 2 jours.</w:t>
      </w:r>
    </w:p>
    <w:p w14:paraId="5EFE7A31" w14:textId="420D306C" w:rsidR="006D6A3F" w:rsidRPr="00BB0E24" w:rsidRDefault="006D6A3F" w:rsidP="006D6A3F">
      <w:pPr>
        <w:spacing w:after="240"/>
        <w:jc w:val="both"/>
        <w:rPr>
          <w:rFonts w:cstheme="minorHAnsi"/>
        </w:rPr>
      </w:pPr>
      <w:r w:rsidRPr="00BB0E24">
        <w:rPr>
          <w:rFonts w:cstheme="minorHAnsi"/>
        </w:rPr>
        <w:t>En 2022, 4 personnes ont été placées en isolement pour une durée moyenne de 3,5 jours.</w:t>
      </w:r>
    </w:p>
    <w:p w14:paraId="63A29492" w14:textId="77777777" w:rsidR="006D6A3F" w:rsidRPr="00BB0E24" w:rsidRDefault="006D6A3F" w:rsidP="006D6A3F">
      <w:pPr>
        <w:spacing w:after="240"/>
        <w:jc w:val="both"/>
        <w:rPr>
          <w:rFonts w:cstheme="minorHAnsi"/>
          <w:u w:val="single"/>
        </w:rPr>
      </w:pPr>
      <w:r w:rsidRPr="00BB0E24">
        <w:rPr>
          <w:rFonts w:cstheme="minorHAnsi"/>
          <w:u w:val="single"/>
        </w:rPr>
        <w:t>Ad. Paragraphe 13</w:t>
      </w:r>
    </w:p>
    <w:p w14:paraId="6F2A9F05" w14:textId="77777777" w:rsidR="006D6A3F" w:rsidRPr="00BB0E24" w:rsidRDefault="006D6A3F" w:rsidP="006D6A3F">
      <w:pPr>
        <w:spacing w:after="240"/>
        <w:jc w:val="both"/>
        <w:rPr>
          <w:rFonts w:cstheme="minorHAnsi"/>
        </w:rPr>
      </w:pPr>
      <w:r w:rsidRPr="00BB0E24">
        <w:rPr>
          <w:rFonts w:cstheme="minorHAnsi"/>
        </w:rPr>
        <w:t xml:space="preserve">Aucun retenu n’est décédé en rétention depuis la mise en service du Centre de rétention en août 2011. </w:t>
      </w:r>
    </w:p>
    <w:p w14:paraId="512377EE" w14:textId="77777777" w:rsidR="006D6A3F" w:rsidRPr="00BB0E24" w:rsidRDefault="006D6A3F" w:rsidP="006D6A3F">
      <w:pPr>
        <w:spacing w:after="240"/>
        <w:jc w:val="both"/>
        <w:rPr>
          <w:rFonts w:cstheme="minorHAnsi"/>
        </w:rPr>
      </w:pPr>
      <w:r w:rsidRPr="00BB0E24">
        <w:rPr>
          <w:rFonts w:cstheme="minorHAnsi"/>
        </w:rPr>
        <w:lastRenderedPageBreak/>
        <w:t xml:space="preserve">En 2017, un agent de rétention stagiaire a fait un usage disproportionné de la force à l’encontre d’un retenu qui lui avait craché au visage. L’agent concerné a été suspendu avec effet immédiat à la suite de son acte et il a été mis fin de façon définitive à son stage le lendemain. </w:t>
      </w:r>
    </w:p>
    <w:p w14:paraId="58BCBBB4" w14:textId="77777777" w:rsidR="006D6A3F" w:rsidRPr="00BB0E24" w:rsidRDefault="006D6A3F" w:rsidP="006D6A3F">
      <w:pPr>
        <w:spacing w:after="240"/>
        <w:jc w:val="both"/>
        <w:rPr>
          <w:rFonts w:cstheme="minorHAnsi"/>
        </w:rPr>
      </w:pPr>
      <w:r w:rsidRPr="00BB0E24">
        <w:rPr>
          <w:rFonts w:cstheme="minorHAnsi"/>
        </w:rPr>
        <w:t>En 2015, 2 agents du Centre de rétention âgés de 32 et 39 ans ont été blessés par des retenus. En 2016, 4 agents de rétention ont été blessés par des retenus. Les victimes étaient âgées de 48, 22, 30 et 46 ans. En 2017, 2 agents ont été blessés par des retenus. Ces agents étaient âgés de 23 et 47 ans. Aucun agent n’a été blessé en 2018. En 2019, 2 agents âgés de 33 ans chacun, ont été blessés par des retenus. En 2020 et 2021 aucun agent n’a été blessé. En 2022, 2 agents ont subi des blessures en raison d’une agression délibérée de la part d’un retenu.</w:t>
      </w:r>
    </w:p>
    <w:p w14:paraId="5B79C4DA" w14:textId="77777777" w:rsidR="006D6A3F" w:rsidRPr="00BB0E24" w:rsidRDefault="006D6A3F" w:rsidP="006D6A3F">
      <w:pPr>
        <w:spacing w:after="240"/>
        <w:jc w:val="both"/>
        <w:rPr>
          <w:rFonts w:cstheme="minorHAnsi"/>
        </w:rPr>
      </w:pPr>
      <w:r w:rsidRPr="00BB0E24">
        <w:rPr>
          <w:rFonts w:cstheme="minorHAnsi"/>
        </w:rPr>
        <w:t xml:space="preserve">En 2017 un retenu d’origine subsaharienne et âgé de 34 ans a été blessé par un </w:t>
      </w:r>
      <w:proofErr w:type="spellStart"/>
      <w:r w:rsidRPr="00BB0E24">
        <w:rPr>
          <w:rFonts w:cstheme="minorHAnsi"/>
        </w:rPr>
        <w:t>co</w:t>
      </w:r>
      <w:proofErr w:type="spellEnd"/>
      <w:r w:rsidRPr="00BB0E24">
        <w:rPr>
          <w:rFonts w:cstheme="minorHAnsi"/>
        </w:rPr>
        <w:t xml:space="preserve">-retenu. En 2018, 1 retenu d’origine maghrébine et âgé de 31 ans a été blessé par un </w:t>
      </w:r>
      <w:proofErr w:type="spellStart"/>
      <w:r w:rsidRPr="00BB0E24">
        <w:rPr>
          <w:rFonts w:cstheme="minorHAnsi"/>
        </w:rPr>
        <w:t>co</w:t>
      </w:r>
      <w:proofErr w:type="spellEnd"/>
      <w:r w:rsidRPr="00BB0E24">
        <w:rPr>
          <w:rFonts w:cstheme="minorHAnsi"/>
        </w:rPr>
        <w:t xml:space="preserve">-retenu. En 2019, 2 retenus, de 21 ans et de 28 ans ont été blessés par un </w:t>
      </w:r>
      <w:proofErr w:type="spellStart"/>
      <w:r w:rsidRPr="00BB0E24">
        <w:rPr>
          <w:rFonts w:cstheme="minorHAnsi"/>
        </w:rPr>
        <w:t>co</w:t>
      </w:r>
      <w:proofErr w:type="spellEnd"/>
      <w:r w:rsidRPr="00BB0E24">
        <w:rPr>
          <w:rFonts w:cstheme="minorHAnsi"/>
        </w:rPr>
        <w:t xml:space="preserve">-retenu. En 2020, 5 retenus âgés respectivement de 29 ans pour trois d’entre eux, de 21 ans et de 40 ans ont été blessés par des </w:t>
      </w:r>
      <w:proofErr w:type="spellStart"/>
      <w:r w:rsidRPr="00BB0E24">
        <w:rPr>
          <w:rFonts w:cstheme="minorHAnsi"/>
        </w:rPr>
        <w:t>co</w:t>
      </w:r>
      <w:proofErr w:type="spellEnd"/>
      <w:r w:rsidRPr="00BB0E24">
        <w:rPr>
          <w:rFonts w:cstheme="minorHAnsi"/>
        </w:rPr>
        <w:t>-retenus ou lors de tentatives d’évasion. En 2021, 7 retenus ont subi des blessures. Parmi eux, 4 étaient âgés de 25 ans, 1 de 26 ans, 1 de 34 ans et 1 de 35 ans. En 2022, 3 retenus âgés respectivement de 19 ans, de 24 ans et de 31 ans ont été blessés.</w:t>
      </w:r>
    </w:p>
    <w:p w14:paraId="6981BE94" w14:textId="77777777" w:rsidR="006D6A3F" w:rsidRPr="006D6A3F" w:rsidRDefault="006D6A3F" w:rsidP="006D6A3F">
      <w:pPr>
        <w:spacing w:after="240"/>
        <w:jc w:val="both"/>
        <w:rPr>
          <w:rFonts w:cstheme="minorHAnsi"/>
        </w:rPr>
      </w:pPr>
      <w:r w:rsidRPr="006D6A3F">
        <w:rPr>
          <w:rFonts w:cstheme="minorHAnsi"/>
        </w:rPr>
        <w:t>En cas de survenance de cas de violence, les victimes, qu’elles soient des agents du Centre ou des retenus, sont systématiquement informées de leurs droits et incitées à porter plainte au pénal contre leur agresseur. Une procédure disciplinaire est systématiquement entamée à l’encontre des auteurs de violences, la sanction étant proportionnée aux faits et susceptible de recours (cf. ci-avant). Les sanctions pénales prononcées le cas échéant à l’encontre des auteurs de faits de violence ne sont pas communiquées au Centre de rétention. Pour ce qui est de la réparation d’éventuelles violences subies, elles ne sont pas du ressort du Centre de rétention mais relèvent du droit commun.</w:t>
      </w:r>
    </w:p>
    <w:p w14:paraId="0D5C15DA" w14:textId="7947F71E" w:rsidR="006D6A3F" w:rsidRPr="00BB0E24" w:rsidRDefault="006D6A3F" w:rsidP="006D6A3F">
      <w:pPr>
        <w:spacing w:after="240"/>
        <w:jc w:val="both"/>
        <w:rPr>
          <w:rFonts w:cstheme="minorHAnsi"/>
        </w:rPr>
      </w:pPr>
      <w:r w:rsidRPr="006D6A3F">
        <w:rPr>
          <w:rFonts w:cstheme="minorHAnsi"/>
        </w:rPr>
        <w:t xml:space="preserve">La prévention de la violence entre retenus fait partie intégrante et est inhérente à la philosophe du Centre qui mise sur un encadrement psychosocial individuel de chaque retenu. Cet encadrement incombe en première ligne aux agents de rétention qui sont en contact permanent avec les retenus et décèlent donc très rapidement tout comportement déviant ou à risque. Le deuxième volet de prise ne charge est assuré </w:t>
      </w:r>
      <w:r w:rsidRPr="00BB0E24">
        <w:rPr>
          <w:rFonts w:cstheme="minorHAnsi"/>
        </w:rPr>
        <w:t>par le staff psychosocial composé de 6 agents à temps plein expérimentés et spécifiquement formés à cette fin (psychologues, assistants-sociaux, éducateurs gradués) qui gèrent chacun au quotidien au maximum une dizaine de retenus chacun (capacité limitée au 20/4/2023 à 44 retenus). Ces agents étant à l’écoute permanente de leurs clients et donc dans une interaction poussée avec eux désamorcent la plupart des conflits avant même qu’ils éclosent. Il est finalement à relever que les retenus bénéficient également de soins psychiatriques en fonction de leurs besoins, un psychiatre étant présent au moins une fois par semaine (0,1 EPT) et sur demande</w:t>
      </w:r>
      <w:r w:rsidR="006C5876" w:rsidRPr="00BB0E24">
        <w:rPr>
          <w:rFonts w:cstheme="minorHAnsi"/>
        </w:rPr>
        <w:t xml:space="preserve"> </w:t>
      </w:r>
      <w:r w:rsidRPr="00BB0E24">
        <w:rPr>
          <w:rFonts w:cstheme="minorHAnsi"/>
        </w:rPr>
        <w:t>en cas de besoin pour des consultations tandis qu’un infirmier psychiatrique assure une présence quotidienne au Centre du lundi au vendredi (0,5 EPT). Le Centre n’ayant à ce jour connu aucun suicide ni de tentative de suicide qualifiée comme telle, les mesure de prévention en place semblent adéquates et suffisantes, même s’il est envisagé d’encore augmenter l’équivalent temps plein du psychiatre dans un avenir proche.</w:t>
      </w:r>
    </w:p>
    <w:p w14:paraId="20BF0FC8" w14:textId="77777777" w:rsidR="006D6A3F" w:rsidRPr="006D6A3F" w:rsidRDefault="006D6A3F" w:rsidP="006D6A3F">
      <w:pPr>
        <w:spacing w:after="240"/>
        <w:rPr>
          <w:rFonts w:cstheme="minorHAnsi"/>
          <w:u w:val="single"/>
        </w:rPr>
      </w:pPr>
      <w:r w:rsidRPr="006D6A3F">
        <w:rPr>
          <w:rFonts w:cstheme="minorHAnsi"/>
          <w:u w:val="single"/>
        </w:rPr>
        <w:t>Ad. Paragraphe 15</w:t>
      </w:r>
    </w:p>
    <w:p w14:paraId="5CCD3F5A" w14:textId="77777777" w:rsidR="006D6A3F" w:rsidRPr="006D6A3F" w:rsidRDefault="006D6A3F" w:rsidP="006D6A3F">
      <w:pPr>
        <w:spacing w:after="240"/>
        <w:rPr>
          <w:rFonts w:cstheme="minorHAnsi"/>
          <w:i/>
        </w:rPr>
      </w:pPr>
      <w:r w:rsidRPr="006D6A3F">
        <w:rPr>
          <w:rFonts w:cstheme="minorHAnsi"/>
          <w:i/>
        </w:rPr>
        <w:lastRenderedPageBreak/>
        <w:t xml:space="preserve">Lettre a): </w:t>
      </w:r>
    </w:p>
    <w:p w14:paraId="4904356A" w14:textId="77777777" w:rsidR="006D6A3F" w:rsidRPr="00BB0E24" w:rsidRDefault="006D6A3F" w:rsidP="006D6A3F">
      <w:pPr>
        <w:spacing w:after="240"/>
        <w:jc w:val="both"/>
        <w:rPr>
          <w:rFonts w:cstheme="minorHAnsi"/>
        </w:rPr>
      </w:pPr>
      <w:r w:rsidRPr="00BB0E24">
        <w:rPr>
          <w:rFonts w:cstheme="minorHAnsi"/>
        </w:rPr>
        <w:t>En 2015, 71 personnes ont été placées en rétention administrative sur base respectivement de la loi modifiée du 5 mai 2006 relative au droit d’asile et à des formes complémentaires de protection et de la loi du 18 décembre 2015 relative à la protection internationale et à la protection temporaire pour une durée moyenne de 18 jours. En 2016, 74 personnes ont été placées en rétention sur base de la loi du 18 décembre 2015 relative à la protection internationale et à la protection temporaire pour une durée moyenne de rétention de 20 jours. En 2017 et 2018, 188 et 102 personnes ont été placées en rétention sur base de la prédite loi de 2015 pour une durée moyenne de rétention respectivement de 22 et 28 jours. En 2019, 59 personnes ont été placées en rétention administrative pour une durée moyenne de 26 jours. Il s’agissait en 2020 de 36 personnes pour une moyenne de 30 jours. En 2021, la durée moyenne de séjour pour les 45 retenus recensés s’est élevée à 46 jours. Pour 2022, la durée moyenne de séjour grimpe à 65 jours pour les 26 retenus concernés.</w:t>
      </w:r>
    </w:p>
    <w:p w14:paraId="4181F58E" w14:textId="77777777" w:rsidR="006D6A3F" w:rsidRPr="00BB0E24" w:rsidRDefault="006D6A3F" w:rsidP="006D6A3F">
      <w:pPr>
        <w:spacing w:after="240"/>
        <w:rPr>
          <w:rFonts w:cstheme="minorHAnsi"/>
          <w:i/>
        </w:rPr>
      </w:pPr>
      <w:r w:rsidRPr="00BB0E24">
        <w:rPr>
          <w:rFonts w:cstheme="minorHAnsi"/>
          <w:i/>
        </w:rPr>
        <w:t>Lettre b):</w:t>
      </w:r>
    </w:p>
    <w:p w14:paraId="31B61E74" w14:textId="77777777" w:rsidR="006D6A3F" w:rsidRPr="00BB0E24" w:rsidRDefault="006D6A3F" w:rsidP="006D6A3F">
      <w:pPr>
        <w:spacing w:after="240"/>
        <w:jc w:val="both"/>
        <w:rPr>
          <w:rFonts w:cstheme="minorHAnsi"/>
        </w:rPr>
      </w:pPr>
      <w:r w:rsidRPr="00BB0E24">
        <w:rPr>
          <w:rFonts w:cstheme="minorHAnsi"/>
        </w:rPr>
        <w:t xml:space="preserve">Aucun MNA n’a été placé en rétention administrative au Centre de rétention entre début 2015 et fin 2018. Toutefois, le Centre a accueilli pendant cette même période 84 familles (représentant un total de 306 personnes). Les durées moyennes de rétention s’établissent pour 2015 et 2016 à 1 journée, pour 2017 à un peu moins de 3 jours et pour 2018 à 2 jours. </w:t>
      </w:r>
    </w:p>
    <w:p w14:paraId="32BB2820" w14:textId="77777777" w:rsidR="006D6A3F" w:rsidRPr="00BB0E24" w:rsidRDefault="006D6A3F" w:rsidP="006D6A3F">
      <w:pPr>
        <w:spacing w:after="240"/>
        <w:jc w:val="both"/>
        <w:rPr>
          <w:rFonts w:cstheme="minorHAnsi"/>
        </w:rPr>
      </w:pPr>
      <w:r w:rsidRPr="00BB0E24">
        <w:rPr>
          <w:rFonts w:cstheme="minorHAnsi"/>
        </w:rPr>
        <w:t>En 2019, le Centre a hébergé un total de 10 familles représentant en tout 35 personnes pour une durée moyenne d’un peu moins de 2 jours. En 2020, 2 familles (une composée de 2 adultes et de 3 enfants et une composée d’une mère seule avec 1 enfant) ont séjourné au Centre pour une durée moyenne de 1,5 jours. Le Centre n’a hébergé ni femmes seules ni familles en 2021 et en 2022.</w:t>
      </w:r>
    </w:p>
    <w:p w14:paraId="50FF2140" w14:textId="77777777" w:rsidR="006D6A3F" w:rsidRPr="00BB0E24" w:rsidRDefault="006D6A3F" w:rsidP="006D6A3F">
      <w:pPr>
        <w:spacing w:after="240"/>
        <w:jc w:val="both"/>
        <w:rPr>
          <w:rFonts w:cstheme="minorHAnsi"/>
        </w:rPr>
      </w:pPr>
      <w:r w:rsidRPr="00BB0E24">
        <w:rPr>
          <w:rFonts w:cstheme="minorHAnsi"/>
        </w:rPr>
        <w:t xml:space="preserve"> Il est à relever dans ce contexte que depuis la loi du 8 mars 2017 modifiant entre autres la loi modifiée du 28 mai 2009 concernant le Centre de rétention, la durée de rétention maximale pour familles accompagnées d’enfants, et donc a fortiori pour MNA, est passée de 72 heures à 7 jours. Alors même que la durée maximale a été prolongée, on se doit de constater que la durée moyenne de rétention est restée quasi stable.</w:t>
      </w:r>
    </w:p>
    <w:p w14:paraId="66AB74FB" w14:textId="77777777" w:rsidR="006D6A3F" w:rsidRPr="00BB0E24" w:rsidRDefault="006D6A3F" w:rsidP="006D6A3F">
      <w:pPr>
        <w:spacing w:after="240"/>
        <w:jc w:val="both"/>
        <w:rPr>
          <w:rFonts w:cstheme="minorHAnsi"/>
        </w:rPr>
      </w:pPr>
      <w:r w:rsidRPr="00BB0E24">
        <w:rPr>
          <w:rFonts w:cstheme="minorHAnsi"/>
        </w:rPr>
        <w:t xml:space="preserve">Les familles placées en rétention le sont dans un unité séparée comportant 14 chambres communicantes et disposant d’une aire de jeux aménagée dans la cour extérieure au profit des enfants. Les familles bénéficient dès leur arrivée au Centre d’un régime allégé par rapport aux retenus majeurs célibataires. Ainsi les contrôles d’entrée sont-ils limités au strict minimum (simple palpation des parents, pas de contrôle des enfants). Les familles sont logées dans des chambres communicantes (2 personnes par chambre avec la possibilité d’y installer un lit d’appoint si nécessaire). Contrairement à ce qui se pratique pour les hommes et femmes célibataires, les portes des chambres ne sont pas fermées à clé entre 21.30 heures et 7.00 heures, de sorte que les personnes concernées circulent librement dans l’unité et la cour extérieure attenante (sauf pendant les repas et la nuit). La durée moyenne de séjour étant très brève, les familles en rétention sont traitées en priorité pour tout ce qui a trait aux visites et aux activités. Ainsi par exemple pour ce qui est des visites, contrairement aux règles normalement d’application, les rendez-vous </w:t>
      </w:r>
      <w:r w:rsidRPr="00BB0E24">
        <w:rPr>
          <w:rFonts w:cstheme="minorHAnsi"/>
        </w:rPr>
        <w:lastRenderedPageBreak/>
        <w:t xml:space="preserve">peuvent se prendre le jour même et si la demande en est faite, il est dérogé aux horaires de visite usuels. Des jeux et jouets adaptés à l’âge des enfants sont mis à leur disposition pendant leur séjour. Chaque chambre est équipée d’un téléviseur et une console de jeux est installée dans le réfectoire de l’unité quand des enfants y séjournent. </w:t>
      </w:r>
    </w:p>
    <w:p w14:paraId="3A2C05E0" w14:textId="7B38DBD0" w:rsidR="006D6A3F" w:rsidRPr="00BB0E24" w:rsidRDefault="006D6A3F" w:rsidP="006D6A3F">
      <w:pPr>
        <w:spacing w:after="240"/>
        <w:jc w:val="both"/>
        <w:rPr>
          <w:rFonts w:cstheme="minorHAnsi"/>
        </w:rPr>
      </w:pPr>
      <w:r w:rsidRPr="00BB0E24">
        <w:rPr>
          <w:rFonts w:cstheme="minorHAnsi"/>
        </w:rPr>
        <w:t xml:space="preserve">Le service psychosocial porte une attention particulière aux familles qui bénéficient d’un encadrement très attentif de leur part. Il va par ailleurs de soi que les enfants bénéficient d’une nourriture adaptée à leur âge et à leurs besoins. Il est également veillé à fournir aux parents tous les articles d’hygiène nécessaires pour les soins de leurs enfants. </w:t>
      </w:r>
    </w:p>
    <w:p w14:paraId="45EA2CB4" w14:textId="77777777" w:rsidR="006D6A3F" w:rsidRPr="00BB0E24" w:rsidRDefault="006D6A3F" w:rsidP="006D6A3F">
      <w:pPr>
        <w:spacing w:after="240"/>
        <w:jc w:val="both"/>
        <w:rPr>
          <w:rFonts w:cstheme="minorHAnsi"/>
          <w:i/>
        </w:rPr>
      </w:pPr>
      <w:r w:rsidRPr="00BB0E24">
        <w:rPr>
          <w:rFonts w:cstheme="minorHAnsi"/>
          <w:i/>
        </w:rPr>
        <w:t xml:space="preserve">Lettre c): </w:t>
      </w:r>
    </w:p>
    <w:p w14:paraId="43C1D66C" w14:textId="77777777" w:rsidR="006D6A3F" w:rsidRPr="00BB0E24" w:rsidRDefault="006D6A3F" w:rsidP="006D6A3F">
      <w:pPr>
        <w:spacing w:after="240"/>
        <w:jc w:val="both"/>
        <w:rPr>
          <w:rFonts w:cstheme="minorHAnsi"/>
        </w:rPr>
      </w:pPr>
      <w:r w:rsidRPr="00BB0E24">
        <w:rPr>
          <w:rFonts w:cstheme="minorHAnsi"/>
        </w:rPr>
        <w:t>Le tableau ci-après renseigne le nombre par année de retenus placés en rétention administrative au Centre de rétention sur base de la loi modifiée du 29 août 2008 sur la libre circulation des personnes et l’immigration ainsi que la durée moyenne de rétention.</w:t>
      </w:r>
    </w:p>
    <w:tbl>
      <w:tblPr>
        <w:tblStyle w:val="TableGridLight"/>
        <w:tblW w:w="0" w:type="auto"/>
        <w:tblLook w:val="04A0" w:firstRow="1" w:lastRow="0" w:firstColumn="1" w:lastColumn="0" w:noHBand="0" w:noVBand="1"/>
      </w:tblPr>
      <w:tblGrid>
        <w:gridCol w:w="3116"/>
        <w:gridCol w:w="3117"/>
        <w:gridCol w:w="3117"/>
      </w:tblGrid>
      <w:tr w:rsidR="006D6A3F" w:rsidRPr="00BB0E24" w14:paraId="7522DE28" w14:textId="77777777" w:rsidTr="006D6A3F">
        <w:tc>
          <w:tcPr>
            <w:tcW w:w="3116" w:type="dxa"/>
          </w:tcPr>
          <w:p w14:paraId="7E4BCFB0" w14:textId="77777777" w:rsidR="006D6A3F" w:rsidRPr="00BB0E24" w:rsidRDefault="006D6A3F" w:rsidP="00D3609F">
            <w:pPr>
              <w:jc w:val="center"/>
              <w:rPr>
                <w:rFonts w:cstheme="minorHAnsi"/>
                <w:b/>
              </w:rPr>
            </w:pPr>
            <w:r w:rsidRPr="00BB0E24">
              <w:rPr>
                <w:rFonts w:cstheme="minorHAnsi"/>
                <w:b/>
              </w:rPr>
              <w:t>Année</w:t>
            </w:r>
          </w:p>
        </w:tc>
        <w:tc>
          <w:tcPr>
            <w:tcW w:w="3117" w:type="dxa"/>
          </w:tcPr>
          <w:p w14:paraId="3D6B86B4" w14:textId="77777777" w:rsidR="006D6A3F" w:rsidRPr="00BB0E24" w:rsidRDefault="006D6A3F" w:rsidP="00D3609F">
            <w:pPr>
              <w:jc w:val="center"/>
              <w:rPr>
                <w:rFonts w:cstheme="minorHAnsi"/>
                <w:b/>
              </w:rPr>
            </w:pPr>
            <w:r w:rsidRPr="00BB0E24">
              <w:rPr>
                <w:rFonts w:cstheme="minorHAnsi"/>
                <w:b/>
              </w:rPr>
              <w:t>Nombre de retenus</w:t>
            </w:r>
          </w:p>
        </w:tc>
        <w:tc>
          <w:tcPr>
            <w:tcW w:w="3117" w:type="dxa"/>
          </w:tcPr>
          <w:p w14:paraId="611B734B" w14:textId="77777777" w:rsidR="006D6A3F" w:rsidRPr="00BB0E24" w:rsidRDefault="006D6A3F" w:rsidP="00D3609F">
            <w:pPr>
              <w:jc w:val="center"/>
              <w:rPr>
                <w:rFonts w:cstheme="minorHAnsi"/>
                <w:b/>
              </w:rPr>
            </w:pPr>
            <w:r w:rsidRPr="00BB0E24">
              <w:rPr>
                <w:rFonts w:cstheme="minorHAnsi"/>
                <w:b/>
              </w:rPr>
              <w:t>Durée moyenne de rétention</w:t>
            </w:r>
          </w:p>
        </w:tc>
      </w:tr>
      <w:tr w:rsidR="006D6A3F" w:rsidRPr="00BB0E24" w14:paraId="7ABEF669" w14:textId="77777777" w:rsidTr="006D6A3F">
        <w:tc>
          <w:tcPr>
            <w:tcW w:w="3116" w:type="dxa"/>
          </w:tcPr>
          <w:p w14:paraId="3E624A8E" w14:textId="77777777" w:rsidR="006D6A3F" w:rsidRPr="00BB0E24" w:rsidRDefault="006D6A3F" w:rsidP="00D3609F">
            <w:pPr>
              <w:jc w:val="center"/>
              <w:rPr>
                <w:rFonts w:cstheme="minorHAnsi"/>
              </w:rPr>
            </w:pPr>
            <w:r w:rsidRPr="00BB0E24">
              <w:rPr>
                <w:rFonts w:cstheme="minorHAnsi"/>
              </w:rPr>
              <w:t>2015</w:t>
            </w:r>
          </w:p>
        </w:tc>
        <w:tc>
          <w:tcPr>
            <w:tcW w:w="3117" w:type="dxa"/>
          </w:tcPr>
          <w:p w14:paraId="5BD30FC9" w14:textId="77777777" w:rsidR="006D6A3F" w:rsidRPr="00BB0E24" w:rsidRDefault="006D6A3F" w:rsidP="00D3609F">
            <w:pPr>
              <w:jc w:val="center"/>
              <w:rPr>
                <w:rFonts w:cstheme="minorHAnsi"/>
              </w:rPr>
            </w:pPr>
            <w:r w:rsidRPr="00BB0E24">
              <w:rPr>
                <w:rFonts w:cstheme="minorHAnsi"/>
              </w:rPr>
              <w:t>190</w:t>
            </w:r>
          </w:p>
        </w:tc>
        <w:tc>
          <w:tcPr>
            <w:tcW w:w="3117" w:type="dxa"/>
          </w:tcPr>
          <w:p w14:paraId="4B1188EE" w14:textId="77777777" w:rsidR="006D6A3F" w:rsidRPr="00BB0E24" w:rsidRDefault="006D6A3F" w:rsidP="00D3609F">
            <w:pPr>
              <w:jc w:val="center"/>
              <w:rPr>
                <w:rFonts w:cstheme="minorHAnsi"/>
              </w:rPr>
            </w:pPr>
            <w:r w:rsidRPr="00BB0E24">
              <w:rPr>
                <w:rFonts w:cstheme="minorHAnsi"/>
              </w:rPr>
              <w:t>48</w:t>
            </w:r>
          </w:p>
        </w:tc>
      </w:tr>
      <w:tr w:rsidR="006D6A3F" w:rsidRPr="00BB0E24" w14:paraId="7C7E3143" w14:textId="77777777" w:rsidTr="006D6A3F">
        <w:tc>
          <w:tcPr>
            <w:tcW w:w="3116" w:type="dxa"/>
          </w:tcPr>
          <w:p w14:paraId="0B002630" w14:textId="77777777" w:rsidR="006D6A3F" w:rsidRPr="00BB0E24" w:rsidRDefault="006D6A3F" w:rsidP="00D3609F">
            <w:pPr>
              <w:jc w:val="center"/>
              <w:rPr>
                <w:rFonts w:cstheme="minorHAnsi"/>
              </w:rPr>
            </w:pPr>
            <w:r w:rsidRPr="00BB0E24">
              <w:rPr>
                <w:rFonts w:cstheme="minorHAnsi"/>
              </w:rPr>
              <w:t>2016</w:t>
            </w:r>
          </w:p>
        </w:tc>
        <w:tc>
          <w:tcPr>
            <w:tcW w:w="3117" w:type="dxa"/>
          </w:tcPr>
          <w:p w14:paraId="1FC5C5A6" w14:textId="77777777" w:rsidR="006D6A3F" w:rsidRPr="00BB0E24" w:rsidRDefault="006D6A3F" w:rsidP="00D3609F">
            <w:pPr>
              <w:jc w:val="center"/>
              <w:rPr>
                <w:rFonts w:cstheme="minorHAnsi"/>
              </w:rPr>
            </w:pPr>
            <w:r w:rsidRPr="00BB0E24">
              <w:rPr>
                <w:rFonts w:cstheme="minorHAnsi"/>
              </w:rPr>
              <w:t>210</w:t>
            </w:r>
          </w:p>
        </w:tc>
        <w:tc>
          <w:tcPr>
            <w:tcW w:w="3117" w:type="dxa"/>
          </w:tcPr>
          <w:p w14:paraId="013C2C5A" w14:textId="77777777" w:rsidR="006D6A3F" w:rsidRPr="00BB0E24" w:rsidRDefault="006D6A3F" w:rsidP="00D3609F">
            <w:pPr>
              <w:jc w:val="center"/>
              <w:rPr>
                <w:rFonts w:cstheme="minorHAnsi"/>
              </w:rPr>
            </w:pPr>
            <w:r w:rsidRPr="00BB0E24">
              <w:rPr>
                <w:rFonts w:cstheme="minorHAnsi"/>
              </w:rPr>
              <w:t>60</w:t>
            </w:r>
          </w:p>
        </w:tc>
      </w:tr>
      <w:tr w:rsidR="006D6A3F" w:rsidRPr="00BB0E24" w14:paraId="5BB0FADF" w14:textId="77777777" w:rsidTr="006D6A3F">
        <w:tc>
          <w:tcPr>
            <w:tcW w:w="3116" w:type="dxa"/>
          </w:tcPr>
          <w:p w14:paraId="1034DCDE" w14:textId="77777777" w:rsidR="006D6A3F" w:rsidRPr="00BB0E24" w:rsidRDefault="006D6A3F" w:rsidP="00D3609F">
            <w:pPr>
              <w:jc w:val="center"/>
              <w:rPr>
                <w:rFonts w:cstheme="minorHAnsi"/>
              </w:rPr>
            </w:pPr>
            <w:r w:rsidRPr="00BB0E24">
              <w:rPr>
                <w:rFonts w:cstheme="minorHAnsi"/>
              </w:rPr>
              <w:t>2017</w:t>
            </w:r>
          </w:p>
        </w:tc>
        <w:tc>
          <w:tcPr>
            <w:tcW w:w="3117" w:type="dxa"/>
          </w:tcPr>
          <w:p w14:paraId="5709E386" w14:textId="77777777" w:rsidR="006D6A3F" w:rsidRPr="00BB0E24" w:rsidRDefault="006D6A3F" w:rsidP="00D3609F">
            <w:pPr>
              <w:jc w:val="center"/>
              <w:rPr>
                <w:rFonts w:cstheme="minorHAnsi"/>
              </w:rPr>
            </w:pPr>
            <w:r w:rsidRPr="00BB0E24">
              <w:rPr>
                <w:rFonts w:cstheme="minorHAnsi"/>
              </w:rPr>
              <w:t>206</w:t>
            </w:r>
          </w:p>
        </w:tc>
        <w:tc>
          <w:tcPr>
            <w:tcW w:w="3117" w:type="dxa"/>
          </w:tcPr>
          <w:p w14:paraId="316A7255" w14:textId="77777777" w:rsidR="006D6A3F" w:rsidRPr="00BB0E24" w:rsidRDefault="006D6A3F" w:rsidP="00D3609F">
            <w:pPr>
              <w:jc w:val="center"/>
              <w:rPr>
                <w:rFonts w:cstheme="minorHAnsi"/>
              </w:rPr>
            </w:pPr>
            <w:r w:rsidRPr="00BB0E24">
              <w:rPr>
                <w:rFonts w:cstheme="minorHAnsi"/>
              </w:rPr>
              <w:t>54</w:t>
            </w:r>
          </w:p>
        </w:tc>
      </w:tr>
      <w:tr w:rsidR="006D6A3F" w:rsidRPr="00BB0E24" w14:paraId="611E4E22" w14:textId="77777777" w:rsidTr="006D6A3F">
        <w:tc>
          <w:tcPr>
            <w:tcW w:w="3116" w:type="dxa"/>
          </w:tcPr>
          <w:p w14:paraId="2F952E9B" w14:textId="77777777" w:rsidR="006D6A3F" w:rsidRPr="00BB0E24" w:rsidRDefault="006D6A3F" w:rsidP="00D3609F">
            <w:pPr>
              <w:jc w:val="center"/>
              <w:rPr>
                <w:rFonts w:cstheme="minorHAnsi"/>
              </w:rPr>
            </w:pPr>
            <w:r w:rsidRPr="00BB0E24">
              <w:rPr>
                <w:rFonts w:cstheme="minorHAnsi"/>
              </w:rPr>
              <w:t>2018</w:t>
            </w:r>
          </w:p>
        </w:tc>
        <w:tc>
          <w:tcPr>
            <w:tcW w:w="3117" w:type="dxa"/>
          </w:tcPr>
          <w:p w14:paraId="0929B1E0" w14:textId="77777777" w:rsidR="006D6A3F" w:rsidRPr="00BB0E24" w:rsidRDefault="006D6A3F" w:rsidP="00D3609F">
            <w:pPr>
              <w:jc w:val="center"/>
              <w:rPr>
                <w:rFonts w:cstheme="minorHAnsi"/>
              </w:rPr>
            </w:pPr>
            <w:r w:rsidRPr="00BB0E24">
              <w:rPr>
                <w:rFonts w:cstheme="minorHAnsi"/>
              </w:rPr>
              <w:t>245</w:t>
            </w:r>
          </w:p>
        </w:tc>
        <w:tc>
          <w:tcPr>
            <w:tcW w:w="3117" w:type="dxa"/>
          </w:tcPr>
          <w:p w14:paraId="1F998F61" w14:textId="77777777" w:rsidR="006D6A3F" w:rsidRPr="00BB0E24" w:rsidRDefault="006D6A3F" w:rsidP="00D3609F">
            <w:pPr>
              <w:jc w:val="center"/>
              <w:rPr>
                <w:rFonts w:cstheme="minorHAnsi"/>
              </w:rPr>
            </w:pPr>
            <w:r w:rsidRPr="00BB0E24">
              <w:rPr>
                <w:rFonts w:cstheme="minorHAnsi"/>
              </w:rPr>
              <w:t>52</w:t>
            </w:r>
          </w:p>
        </w:tc>
      </w:tr>
      <w:tr w:rsidR="006D6A3F" w:rsidRPr="00BB0E24" w14:paraId="0CA17411" w14:textId="77777777" w:rsidTr="006D6A3F">
        <w:tc>
          <w:tcPr>
            <w:tcW w:w="3116" w:type="dxa"/>
          </w:tcPr>
          <w:p w14:paraId="62A85CA5" w14:textId="77777777" w:rsidR="006D6A3F" w:rsidRPr="00BB0E24" w:rsidRDefault="006D6A3F" w:rsidP="00D3609F">
            <w:pPr>
              <w:jc w:val="center"/>
              <w:rPr>
                <w:rFonts w:cstheme="minorHAnsi"/>
              </w:rPr>
            </w:pPr>
            <w:r w:rsidRPr="00BB0E24">
              <w:rPr>
                <w:rFonts w:cstheme="minorHAnsi"/>
              </w:rPr>
              <w:t>2019</w:t>
            </w:r>
          </w:p>
        </w:tc>
        <w:tc>
          <w:tcPr>
            <w:tcW w:w="3117" w:type="dxa"/>
          </w:tcPr>
          <w:p w14:paraId="6FF70E2A" w14:textId="77777777" w:rsidR="006D6A3F" w:rsidRPr="00BB0E24" w:rsidRDefault="006D6A3F" w:rsidP="00D3609F">
            <w:pPr>
              <w:jc w:val="center"/>
              <w:rPr>
                <w:rFonts w:cstheme="minorHAnsi"/>
              </w:rPr>
            </w:pPr>
            <w:r w:rsidRPr="00BB0E24">
              <w:rPr>
                <w:rFonts w:cstheme="minorHAnsi"/>
              </w:rPr>
              <w:t>272</w:t>
            </w:r>
          </w:p>
        </w:tc>
        <w:tc>
          <w:tcPr>
            <w:tcW w:w="3117" w:type="dxa"/>
          </w:tcPr>
          <w:p w14:paraId="73E7547F" w14:textId="77777777" w:rsidR="006D6A3F" w:rsidRPr="00BB0E24" w:rsidRDefault="006D6A3F" w:rsidP="00D3609F">
            <w:pPr>
              <w:jc w:val="center"/>
              <w:rPr>
                <w:rFonts w:cstheme="minorHAnsi"/>
              </w:rPr>
            </w:pPr>
            <w:r w:rsidRPr="00BB0E24">
              <w:rPr>
                <w:rFonts w:cstheme="minorHAnsi"/>
              </w:rPr>
              <w:t>53</w:t>
            </w:r>
          </w:p>
        </w:tc>
      </w:tr>
      <w:tr w:rsidR="006D6A3F" w:rsidRPr="00BB0E24" w14:paraId="6DCA9F5F" w14:textId="77777777" w:rsidTr="006D6A3F">
        <w:tc>
          <w:tcPr>
            <w:tcW w:w="3116" w:type="dxa"/>
          </w:tcPr>
          <w:p w14:paraId="28EE6141" w14:textId="77777777" w:rsidR="006D6A3F" w:rsidRPr="00BB0E24" w:rsidRDefault="006D6A3F" w:rsidP="00D3609F">
            <w:pPr>
              <w:jc w:val="center"/>
              <w:rPr>
                <w:rFonts w:cstheme="minorHAnsi"/>
              </w:rPr>
            </w:pPr>
            <w:r w:rsidRPr="00BB0E24">
              <w:rPr>
                <w:rFonts w:cstheme="minorHAnsi"/>
              </w:rPr>
              <w:t>2020</w:t>
            </w:r>
          </w:p>
        </w:tc>
        <w:tc>
          <w:tcPr>
            <w:tcW w:w="3117" w:type="dxa"/>
          </w:tcPr>
          <w:p w14:paraId="5C15D37A" w14:textId="77777777" w:rsidR="006D6A3F" w:rsidRPr="00BB0E24" w:rsidRDefault="006D6A3F" w:rsidP="00D3609F">
            <w:pPr>
              <w:jc w:val="center"/>
              <w:rPr>
                <w:rFonts w:cstheme="minorHAnsi"/>
              </w:rPr>
            </w:pPr>
            <w:r w:rsidRPr="00BB0E24">
              <w:rPr>
                <w:rFonts w:cstheme="minorHAnsi"/>
              </w:rPr>
              <w:t>159</w:t>
            </w:r>
          </w:p>
        </w:tc>
        <w:tc>
          <w:tcPr>
            <w:tcW w:w="3117" w:type="dxa"/>
          </w:tcPr>
          <w:p w14:paraId="4C5ED97E" w14:textId="77777777" w:rsidR="006D6A3F" w:rsidRPr="00BB0E24" w:rsidRDefault="006D6A3F" w:rsidP="00D3609F">
            <w:pPr>
              <w:jc w:val="center"/>
              <w:rPr>
                <w:rFonts w:cstheme="minorHAnsi"/>
              </w:rPr>
            </w:pPr>
            <w:r w:rsidRPr="00BB0E24">
              <w:rPr>
                <w:rFonts w:cstheme="minorHAnsi"/>
              </w:rPr>
              <w:t>55</w:t>
            </w:r>
          </w:p>
        </w:tc>
      </w:tr>
      <w:tr w:rsidR="006D6A3F" w:rsidRPr="00BB0E24" w14:paraId="650FAF74" w14:textId="77777777" w:rsidTr="006D6A3F">
        <w:tc>
          <w:tcPr>
            <w:tcW w:w="3116" w:type="dxa"/>
          </w:tcPr>
          <w:p w14:paraId="1150EF3C" w14:textId="77777777" w:rsidR="006D6A3F" w:rsidRPr="00BB0E24" w:rsidRDefault="006D6A3F" w:rsidP="00D3609F">
            <w:pPr>
              <w:jc w:val="center"/>
              <w:rPr>
                <w:rFonts w:cstheme="minorHAnsi"/>
              </w:rPr>
            </w:pPr>
            <w:r w:rsidRPr="00BB0E24">
              <w:rPr>
                <w:rFonts w:cstheme="minorHAnsi"/>
              </w:rPr>
              <w:t>2021</w:t>
            </w:r>
          </w:p>
        </w:tc>
        <w:tc>
          <w:tcPr>
            <w:tcW w:w="3117" w:type="dxa"/>
          </w:tcPr>
          <w:p w14:paraId="68F67DAD" w14:textId="77777777" w:rsidR="006D6A3F" w:rsidRPr="00BB0E24" w:rsidRDefault="006D6A3F" w:rsidP="00D3609F">
            <w:pPr>
              <w:jc w:val="center"/>
              <w:rPr>
                <w:rFonts w:cstheme="minorHAnsi"/>
              </w:rPr>
            </w:pPr>
            <w:r w:rsidRPr="00BB0E24">
              <w:rPr>
                <w:rFonts w:cstheme="minorHAnsi"/>
              </w:rPr>
              <w:t>159</w:t>
            </w:r>
          </w:p>
        </w:tc>
        <w:tc>
          <w:tcPr>
            <w:tcW w:w="3117" w:type="dxa"/>
          </w:tcPr>
          <w:p w14:paraId="53404E7B" w14:textId="77777777" w:rsidR="006D6A3F" w:rsidRPr="00BB0E24" w:rsidRDefault="006D6A3F" w:rsidP="00D3609F">
            <w:pPr>
              <w:jc w:val="center"/>
              <w:rPr>
                <w:rFonts w:cstheme="minorHAnsi"/>
              </w:rPr>
            </w:pPr>
            <w:r w:rsidRPr="00BB0E24">
              <w:rPr>
                <w:rFonts w:cstheme="minorHAnsi"/>
              </w:rPr>
              <w:t>55</w:t>
            </w:r>
          </w:p>
        </w:tc>
      </w:tr>
      <w:tr w:rsidR="006D6A3F" w:rsidRPr="00BB0E24" w14:paraId="689AC5A3" w14:textId="77777777" w:rsidTr="006D6A3F">
        <w:tc>
          <w:tcPr>
            <w:tcW w:w="3116" w:type="dxa"/>
          </w:tcPr>
          <w:p w14:paraId="25CAEF20" w14:textId="77777777" w:rsidR="006D6A3F" w:rsidRPr="00BB0E24" w:rsidRDefault="006D6A3F" w:rsidP="00D3609F">
            <w:pPr>
              <w:jc w:val="center"/>
              <w:rPr>
                <w:rFonts w:cstheme="minorHAnsi"/>
              </w:rPr>
            </w:pPr>
            <w:r w:rsidRPr="00BB0E24">
              <w:rPr>
                <w:rFonts w:cstheme="minorHAnsi"/>
              </w:rPr>
              <w:t>2022</w:t>
            </w:r>
          </w:p>
        </w:tc>
        <w:tc>
          <w:tcPr>
            <w:tcW w:w="3117" w:type="dxa"/>
          </w:tcPr>
          <w:p w14:paraId="75446D5F" w14:textId="77777777" w:rsidR="006D6A3F" w:rsidRPr="00BB0E24" w:rsidRDefault="006D6A3F" w:rsidP="00D3609F">
            <w:pPr>
              <w:jc w:val="center"/>
              <w:rPr>
                <w:rFonts w:cstheme="minorHAnsi"/>
              </w:rPr>
            </w:pPr>
            <w:r w:rsidRPr="00BB0E24">
              <w:rPr>
                <w:rFonts w:cstheme="minorHAnsi"/>
              </w:rPr>
              <w:t>166</w:t>
            </w:r>
          </w:p>
        </w:tc>
        <w:tc>
          <w:tcPr>
            <w:tcW w:w="3117" w:type="dxa"/>
          </w:tcPr>
          <w:p w14:paraId="5D24D20B" w14:textId="77777777" w:rsidR="006D6A3F" w:rsidRPr="00BB0E24" w:rsidRDefault="006D6A3F" w:rsidP="00D3609F">
            <w:pPr>
              <w:jc w:val="center"/>
              <w:rPr>
                <w:rFonts w:cstheme="minorHAnsi"/>
              </w:rPr>
            </w:pPr>
            <w:r w:rsidRPr="00BB0E24">
              <w:rPr>
                <w:rFonts w:cstheme="minorHAnsi"/>
              </w:rPr>
              <w:t>59</w:t>
            </w:r>
          </w:p>
        </w:tc>
      </w:tr>
    </w:tbl>
    <w:p w14:paraId="149CEFA9" w14:textId="104B482A" w:rsidR="006D6A3F" w:rsidRDefault="006D6A3F" w:rsidP="006D6A3F">
      <w:pPr>
        <w:rPr>
          <w:rFonts w:cstheme="minorHAnsi"/>
        </w:rPr>
      </w:pPr>
    </w:p>
    <w:p w14:paraId="331C3B31" w14:textId="0472CC5E" w:rsidR="002A7A1D" w:rsidRDefault="002A7A1D" w:rsidP="006D6A3F">
      <w:pPr>
        <w:rPr>
          <w:rFonts w:cstheme="minorHAnsi"/>
        </w:rPr>
      </w:pPr>
    </w:p>
    <w:p w14:paraId="4316DC09" w14:textId="77777777" w:rsidR="002A7A1D" w:rsidRPr="006D6A3F" w:rsidRDefault="002A7A1D" w:rsidP="006D6A3F">
      <w:pPr>
        <w:rPr>
          <w:rFonts w:cstheme="minorHAnsi"/>
        </w:rPr>
      </w:pPr>
    </w:p>
    <w:p w14:paraId="6BA7F7D9" w14:textId="311C1CD9" w:rsidR="006D6A3F" w:rsidRPr="006D6A3F" w:rsidRDefault="006D6A3F" w:rsidP="006D6A3F">
      <w:pPr>
        <w:pStyle w:val="Heading3"/>
      </w:pPr>
      <w:bookmarkStart w:id="38" w:name="_Toc133934874"/>
      <w:r w:rsidRPr="006D6A3F">
        <w:t>XII.2. Informations complémentaires</w:t>
      </w:r>
      <w:bookmarkEnd w:id="38"/>
    </w:p>
    <w:p w14:paraId="6E019447" w14:textId="77777777" w:rsidR="006D6A3F" w:rsidRPr="006D6A3F" w:rsidRDefault="006D6A3F" w:rsidP="006D6A3F">
      <w:pPr>
        <w:spacing w:after="240"/>
        <w:jc w:val="both"/>
        <w:rPr>
          <w:rFonts w:cstheme="minorHAnsi"/>
        </w:rPr>
      </w:pPr>
      <w:r w:rsidRPr="006D6A3F">
        <w:rPr>
          <w:rFonts w:cstheme="minorHAnsi"/>
        </w:rPr>
        <w:t xml:space="preserve">1° </w:t>
      </w:r>
      <w:r w:rsidRPr="006D6A3F">
        <w:rPr>
          <w:rFonts w:cstheme="minorHAnsi"/>
          <w:u w:val="single"/>
        </w:rPr>
        <w:t>Mise à jour chiffres:</w:t>
      </w:r>
      <w:r w:rsidRPr="006D6A3F">
        <w:rPr>
          <w:rFonts w:cstheme="minorHAnsi"/>
        </w:rPr>
        <w:t xml:space="preserve"> cf. mise à jour des réponses fournies dans le rapport initial</w:t>
      </w:r>
    </w:p>
    <w:p w14:paraId="4DA248F9" w14:textId="77777777" w:rsidR="006D6A3F" w:rsidRPr="006D6A3F" w:rsidRDefault="006D6A3F" w:rsidP="006D6A3F">
      <w:pPr>
        <w:spacing w:after="240"/>
        <w:jc w:val="both"/>
        <w:rPr>
          <w:rFonts w:cstheme="minorHAnsi"/>
        </w:rPr>
      </w:pPr>
      <w:r w:rsidRPr="006D6A3F">
        <w:rPr>
          <w:rFonts w:cstheme="minorHAnsi"/>
        </w:rPr>
        <w:t xml:space="preserve">2° </w:t>
      </w:r>
      <w:r w:rsidRPr="006D6A3F">
        <w:rPr>
          <w:rFonts w:cstheme="minorHAnsi"/>
          <w:u w:val="single"/>
        </w:rPr>
        <w:t>Capacité d’accueil / Nombre de retenus actuel:</w:t>
      </w:r>
      <w:r w:rsidRPr="006D6A3F">
        <w:rPr>
          <w:rFonts w:cstheme="minorHAnsi"/>
        </w:rPr>
        <w:t xml:space="preserve"> 44/44</w:t>
      </w:r>
    </w:p>
    <w:p w14:paraId="65D668EC" w14:textId="77777777" w:rsidR="006D6A3F" w:rsidRPr="006D6A3F" w:rsidRDefault="006D6A3F" w:rsidP="006D6A3F">
      <w:pPr>
        <w:spacing w:after="240"/>
        <w:jc w:val="both"/>
        <w:rPr>
          <w:rFonts w:cstheme="minorHAnsi"/>
        </w:rPr>
      </w:pPr>
      <w:r w:rsidRPr="006D6A3F">
        <w:rPr>
          <w:rFonts w:cstheme="minorHAnsi"/>
        </w:rPr>
        <w:t xml:space="preserve">3° </w:t>
      </w:r>
      <w:r w:rsidRPr="006D6A3F">
        <w:rPr>
          <w:rFonts w:cstheme="minorHAnsi"/>
          <w:u w:val="single"/>
        </w:rPr>
        <w:t>Taux d’occupation annuel:</w:t>
      </w:r>
      <w:r w:rsidRPr="006D6A3F">
        <w:rPr>
          <w:rFonts w:cstheme="minorHAnsi"/>
        </w:rPr>
        <w:t xml:space="preserve"> cf. annexe.</w:t>
      </w:r>
    </w:p>
    <w:p w14:paraId="6D841839" w14:textId="77777777" w:rsidR="006D6A3F" w:rsidRPr="006D6A3F" w:rsidRDefault="006D6A3F" w:rsidP="006D6A3F">
      <w:pPr>
        <w:spacing w:after="240"/>
        <w:jc w:val="both"/>
        <w:rPr>
          <w:rFonts w:cstheme="minorHAnsi"/>
        </w:rPr>
      </w:pPr>
      <w:r w:rsidRPr="006D6A3F">
        <w:rPr>
          <w:rFonts w:cstheme="minorHAnsi"/>
        </w:rPr>
        <w:t xml:space="preserve">4° </w:t>
      </w:r>
      <w:r w:rsidRPr="006D6A3F">
        <w:rPr>
          <w:rFonts w:cstheme="minorHAnsi"/>
          <w:u w:val="single"/>
        </w:rPr>
        <w:t>Fouilles:</w:t>
      </w:r>
      <w:r w:rsidRPr="006D6A3F">
        <w:rPr>
          <w:rFonts w:cstheme="minorHAnsi"/>
        </w:rPr>
        <w:t xml:space="preserve"> cf. articles 8 et 17 de la loi modifiée du 29 mai 2008 concernant le Centre de rétention + Instruction de service « Fouilles ».</w:t>
      </w:r>
    </w:p>
    <w:p w14:paraId="7FA23186" w14:textId="054A15C2" w:rsidR="006D6A3F" w:rsidRPr="006D6A3F" w:rsidRDefault="006D6A3F" w:rsidP="006D6A3F">
      <w:pPr>
        <w:spacing w:after="240"/>
        <w:jc w:val="both"/>
        <w:rPr>
          <w:rFonts w:cstheme="minorHAnsi"/>
        </w:rPr>
      </w:pPr>
      <w:r w:rsidRPr="006D6A3F">
        <w:rPr>
          <w:rFonts w:cstheme="minorHAnsi"/>
        </w:rPr>
        <w:t xml:space="preserve">5° </w:t>
      </w:r>
      <w:r w:rsidRPr="006D6A3F">
        <w:rPr>
          <w:rFonts w:cstheme="minorHAnsi"/>
          <w:u w:val="single"/>
        </w:rPr>
        <w:t>Violence entre retenus:</w:t>
      </w:r>
      <w:r w:rsidRPr="006D6A3F">
        <w:rPr>
          <w:rFonts w:cstheme="minorHAnsi"/>
        </w:rPr>
        <w:t xml:space="preserve"> Statistiques à jour dans la mise à jour des réponses fournies dans le rapport initial. Chiffres plus ou moins stables. Violence essentiellement due à des règlements de compte d’affaires non soldées lorsque les retenus étaient libres à l’extérieur. Ça part très souvent de broutilles (insultes, blagues mal comprises) et dans la grosse majorité des cas s’arrête à des agressions verbales en raison de </w:t>
      </w:r>
      <w:r w:rsidRPr="006D6A3F">
        <w:rPr>
          <w:rFonts w:cstheme="minorHAnsi"/>
        </w:rPr>
        <w:lastRenderedPageBreak/>
        <w:t>l’intervention très rapide des agents qui ne laissent pas les concernés monter en puissance (vidéosurveillance très utile en ce sens). Les agents sont d’ailleurs formés en matière de self-défense (obligatoirement 1 fois par mois) et en gestion des conflits.</w:t>
      </w:r>
    </w:p>
    <w:p w14:paraId="0C52D466" w14:textId="77777777" w:rsidR="006D6A3F" w:rsidRPr="006D6A3F" w:rsidRDefault="006D6A3F" w:rsidP="006D6A3F">
      <w:pPr>
        <w:spacing w:after="240"/>
        <w:jc w:val="both"/>
        <w:rPr>
          <w:rFonts w:cstheme="minorHAnsi"/>
        </w:rPr>
      </w:pPr>
      <w:r w:rsidRPr="006D6A3F">
        <w:rPr>
          <w:rFonts w:cstheme="minorHAnsi"/>
        </w:rPr>
        <w:t xml:space="preserve">Pour éviter d’éventuelles tensions, l’encadrement psychosocial a encore été renforcé (6ETP) pour en moyenne une quarantaine de retenus. Dans cette même optique, le nombre et le type d’activités proposées a été augmenté (après-midi cinéma, activités de cuisine et pâtisserie, projections sur grand écran de manifestations sportives, etc.). </w:t>
      </w:r>
    </w:p>
    <w:p w14:paraId="60AB0420" w14:textId="77777777" w:rsidR="006D6A3F" w:rsidRPr="006D6A3F" w:rsidRDefault="006D6A3F" w:rsidP="006D6A3F">
      <w:pPr>
        <w:spacing w:after="240"/>
        <w:jc w:val="both"/>
        <w:rPr>
          <w:rFonts w:cstheme="minorHAnsi"/>
        </w:rPr>
      </w:pPr>
      <w:r w:rsidRPr="006D6A3F">
        <w:rPr>
          <w:rFonts w:cstheme="minorHAnsi"/>
        </w:rPr>
        <w:t xml:space="preserve">La mise en place d’un nouveau système d’info-divertissement en chambre depuis fin 2022 permet également d’occuper les retenus (accès à YouTube notamment). </w:t>
      </w:r>
      <w:proofErr w:type="spellStart"/>
      <w:r w:rsidRPr="006D6A3F">
        <w:rPr>
          <w:rFonts w:cstheme="minorHAnsi"/>
        </w:rPr>
        <w:t>A</w:t>
      </w:r>
      <w:proofErr w:type="spellEnd"/>
      <w:r w:rsidRPr="006D6A3F">
        <w:rPr>
          <w:rFonts w:cstheme="minorHAnsi"/>
        </w:rPr>
        <w:t xml:space="preserve"> terme, des tablettes numériques permettront aux retenus de communiquer avec leurs proches par visioconférence depuis leur chambre, SKYPE étant déjà implémenté dans la salle informatique.</w:t>
      </w:r>
    </w:p>
    <w:p w14:paraId="1BCA2CDF" w14:textId="77777777" w:rsidR="006D6A3F" w:rsidRPr="006D6A3F" w:rsidRDefault="006D6A3F" w:rsidP="006D6A3F">
      <w:pPr>
        <w:spacing w:after="240"/>
        <w:jc w:val="both"/>
        <w:rPr>
          <w:rFonts w:cstheme="minorHAnsi"/>
        </w:rPr>
      </w:pPr>
      <w:r w:rsidRPr="006D6A3F">
        <w:rPr>
          <w:rFonts w:cstheme="minorHAnsi"/>
        </w:rPr>
        <w:t>Il est à relever que depuis fin décembre 2022 chaque retenu se voit mettre à disposition un téléphone cellulaire avec carte SIM personnelle lors de son accueil avec un crédit d’appels initial de 10 euros. Ce crédit est renouvelé gratuitement une fois par semaine, le retenu étant par ailleurs libre de s’acheter des recharges supplémentaires avec ses avoirs. Il est à souligner qu’aucune restriction d’appel n’est appliquée, de sorte le retenu est libre d’appeler qui bon lui semble, étant par ailleurs précisé qu’il peut également réceptionner sans restrictions des appels de l’extérieur. Il va toutefois de soi que le téléphone cellulaire est retiré aux personnes placées en isolement pour des raisons évidentes de sécurité</w:t>
      </w:r>
    </w:p>
    <w:p w14:paraId="36283A68" w14:textId="2CF3CB43" w:rsidR="006D6A3F" w:rsidRPr="006D6A3F" w:rsidRDefault="006D6A3F" w:rsidP="006D6A3F">
      <w:pPr>
        <w:spacing w:after="240"/>
        <w:jc w:val="both"/>
        <w:rPr>
          <w:rFonts w:cstheme="minorHAnsi"/>
        </w:rPr>
      </w:pPr>
      <w:r w:rsidRPr="006D6A3F">
        <w:rPr>
          <w:rFonts w:cstheme="minorHAnsi"/>
        </w:rPr>
        <w:t xml:space="preserve">6° </w:t>
      </w:r>
      <w:r w:rsidRPr="006D6A3F">
        <w:rPr>
          <w:rFonts w:cstheme="minorHAnsi"/>
          <w:u w:val="single"/>
        </w:rPr>
        <w:t>Procédure disciplinaire:</w:t>
      </w:r>
      <w:r w:rsidR="006C5876">
        <w:rPr>
          <w:rFonts w:cstheme="minorHAnsi"/>
        </w:rPr>
        <w:t xml:space="preserve"> </w:t>
      </w:r>
      <w:r w:rsidRPr="006D6A3F">
        <w:rPr>
          <w:rFonts w:cstheme="minorHAnsi"/>
        </w:rPr>
        <w:t>le CPT critique le fait que la consignation en chambre ne soit prévue en tant que sanction disciplinaire dans la loi modifiée du 28 mai 2009 concernant le Centre de rétention. Même si le principe « qui peut le plus peut le moins » trouve application en l’espèce (consigner quelqu’un en chambre étant beaucoup moins coercitif que de le placer en chambre à aménagements réduits), la consignation en chambre sera ajoutée aux sanctions disciplinaires prévues par la loi dans le cadre de la codification de la législation sur l’immigration (au stade de l’élaboration d’avant-projet de loi).</w:t>
      </w:r>
    </w:p>
    <w:p w14:paraId="405587FD" w14:textId="77777777" w:rsidR="006D6A3F" w:rsidRPr="006D6A3F" w:rsidRDefault="006D6A3F" w:rsidP="006D6A3F">
      <w:pPr>
        <w:spacing w:after="240"/>
        <w:jc w:val="both"/>
        <w:rPr>
          <w:rFonts w:cstheme="minorHAnsi"/>
        </w:rPr>
      </w:pPr>
      <w:r w:rsidRPr="006D6A3F">
        <w:rPr>
          <w:rFonts w:cstheme="minorHAnsi"/>
        </w:rPr>
        <w:t xml:space="preserve">7° </w:t>
      </w:r>
      <w:r w:rsidRPr="006D6A3F">
        <w:rPr>
          <w:rFonts w:cstheme="minorHAnsi"/>
          <w:u w:val="single"/>
        </w:rPr>
        <w:t>Mineurs en rétention:</w:t>
      </w:r>
      <w:r w:rsidRPr="006D6A3F">
        <w:rPr>
          <w:rFonts w:cstheme="minorHAnsi"/>
        </w:rPr>
        <w:t xml:space="preserve"> La législation en matière d’asile et d’immigration permet dans des cas exceptionnels et à titre de mesure de dernier recours de placer un mineur, accompagné ou non, en rétention dans un lieu approprié qui est actuellement le Centre de rétention. Cette solution étant toutefois loin d’être optimale, le programme gouvernemental prévoit la construction d’une nouvelle structure fermée pour personnes à besoins spécifiques, dont les mineurs, personnes âgées, femmes, familles sur le modèle du Centre de rétention néerlandais de Zeist. Il est à relever qu’en tout état de cause la durée de rétention des mineurs est et restera en principe limitée à 7 jours au plus. Ce projet est au stade de l’élaboration d’un avant-projet de loi mais risque de prendre du retard en raison de la nécessité d’acquérir des terrains indispensables à cette opération.</w:t>
      </w:r>
    </w:p>
    <w:p w14:paraId="2C4ED771" w14:textId="77777777" w:rsidR="006D6A3F" w:rsidRPr="006D6A3F" w:rsidRDefault="006D6A3F" w:rsidP="006D6A3F">
      <w:pPr>
        <w:spacing w:after="240"/>
        <w:jc w:val="both"/>
        <w:rPr>
          <w:rFonts w:cstheme="minorHAnsi"/>
        </w:rPr>
      </w:pPr>
      <w:r w:rsidRPr="006D6A3F">
        <w:rPr>
          <w:rFonts w:cstheme="minorHAnsi"/>
        </w:rPr>
        <w:t xml:space="preserve">8° </w:t>
      </w:r>
      <w:r w:rsidRPr="006D6A3F">
        <w:rPr>
          <w:rFonts w:cstheme="minorHAnsi"/>
          <w:u w:val="single"/>
        </w:rPr>
        <w:t>Usage de la force par les agents du Centre:</w:t>
      </w:r>
      <w:r w:rsidRPr="006D6A3F">
        <w:rPr>
          <w:rFonts w:cstheme="minorHAnsi"/>
        </w:rPr>
        <w:t xml:space="preserve"> L’article 22 de la loi modifiée du 28 mai 2009 concernant le Centre de rétention dispose que « (1) Les agents du Centre doivent, en toute circonstance, se conduire et accomplir leur tâche de telle manière que leur exemple ait une bonne influence sur les retenus et suscite leur respect. Dans l’exécution du service, ils doivent porter secours chaque fois que les circonstances </w:t>
      </w:r>
      <w:r w:rsidRPr="006D6A3F">
        <w:rPr>
          <w:rFonts w:cstheme="minorHAnsi"/>
        </w:rPr>
        <w:lastRenderedPageBreak/>
        <w:t>l’exigent. (2) Ils doivent s’abstenir de tout acte, de tout propos et de tout écrit qui serait de nature à porter atteinte à la sécurité et au bon fonctionnement du Centre. (3) Toute violence et toute voie de fait à l’égard des retenus est défendue. La contrainte n’est autorisée qu’afin d’empêcher un retenu de porter préjudice à lui-même ou à autrui ou de causer des dégâts. En aucun cas, l’application des moyens de contrainte ne doit être prolongée au-delà du temps strictement nécessaire pour vaincre la résistance du retenu. Toute application de moyens de contrainte doit être signalée sans retard par écrit au directeur</w:t>
      </w:r>
      <w:proofErr w:type="gramStart"/>
      <w:r w:rsidRPr="006D6A3F">
        <w:rPr>
          <w:rFonts w:cstheme="minorHAnsi"/>
        </w:rPr>
        <w:t>.»</w:t>
      </w:r>
      <w:proofErr w:type="gramEnd"/>
      <w:r w:rsidRPr="006D6A3F">
        <w:rPr>
          <w:rFonts w:cstheme="minorHAnsi"/>
        </w:rPr>
        <w:t>. L’usage de la force doit en tout état de cause toujours être documenté dans un rapport d’incident et l’usage de moyens de contrainte consigné dans le registre y relatif après avoir été avisé par le directeur. Un agent qui se serait rendu coupable de mauvais traitements ou traitements inhumains ou dégradants risque, en dehors d’une mise à pied immédiate, les sanctions disciplinaires d’application dans la fonction publique. Il va de soi que tant que la procédure n’est pas achevée, l’agent concerné n’exercera plus en contact direct avec les retenus. Les retenus victimes de tels actes sont incités à porter plainte auprès des instances compétentes (Police et parquet).</w:t>
      </w:r>
    </w:p>
    <w:p w14:paraId="6EC9A68C" w14:textId="3692D75B" w:rsidR="006D6A3F" w:rsidRPr="006D6A3F" w:rsidRDefault="006D6A3F" w:rsidP="006D6A3F">
      <w:pPr>
        <w:spacing w:after="240"/>
        <w:jc w:val="both"/>
        <w:rPr>
          <w:rFonts w:cstheme="minorHAnsi"/>
        </w:rPr>
      </w:pPr>
      <w:r w:rsidRPr="006D6A3F">
        <w:rPr>
          <w:rFonts w:cstheme="minorHAnsi"/>
        </w:rPr>
        <w:t xml:space="preserve">9° </w:t>
      </w:r>
      <w:r w:rsidRPr="006D6A3F">
        <w:rPr>
          <w:rFonts w:cstheme="minorHAnsi"/>
          <w:u w:val="single"/>
        </w:rPr>
        <w:t>Formation traite des êtres humains:</w:t>
      </w:r>
      <w:r w:rsidRPr="006D6A3F">
        <w:rPr>
          <w:rFonts w:cstheme="minorHAnsi"/>
        </w:rPr>
        <w:t xml:space="preserve"> L’ensemble du staff d’encadrement psychosocial a été formé en matière de traite (formation de 16 heures à l’INAP). Les agents de rétention doivent également suivre obligatoirement une formation relative à la détection des victimes de la traite d’une durée d’une journée. Sur les 56 agents de rétention que compte actuellement le Centre, 49 ont déjà suivi cette formation. </w:t>
      </w:r>
    </w:p>
    <w:sectPr w:rsidR="006D6A3F" w:rsidRPr="006D6A3F">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E8B0C" w14:textId="77777777" w:rsidR="00A31E69" w:rsidRDefault="00A31E69" w:rsidP="001158D9">
      <w:pPr>
        <w:spacing w:line="240" w:lineRule="auto"/>
      </w:pPr>
      <w:r>
        <w:separator/>
      </w:r>
    </w:p>
  </w:endnote>
  <w:endnote w:type="continuationSeparator" w:id="0">
    <w:p w14:paraId="61DFC4F1" w14:textId="77777777" w:rsidR="00A31E69" w:rsidRDefault="00A31E69" w:rsidP="001158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8411756"/>
      <w:docPartObj>
        <w:docPartGallery w:val="Page Numbers (Bottom of Page)"/>
        <w:docPartUnique/>
      </w:docPartObj>
    </w:sdtPr>
    <w:sdtContent>
      <w:p w14:paraId="5B2EB942" w14:textId="65ADB9DF" w:rsidR="00D3609F" w:rsidRDefault="00D3609F">
        <w:pPr>
          <w:pStyle w:val="Footer"/>
          <w:jc w:val="right"/>
        </w:pPr>
        <w:r>
          <w:fldChar w:fldCharType="begin"/>
        </w:r>
        <w:r>
          <w:instrText>PAGE   \* MERGEFORMAT</w:instrText>
        </w:r>
        <w:r>
          <w:fldChar w:fldCharType="separate"/>
        </w:r>
        <w:r w:rsidR="008401D6">
          <w:rPr>
            <w:noProof/>
          </w:rPr>
          <w:t>3</w:t>
        </w:r>
        <w:r>
          <w:fldChar w:fldCharType="end"/>
        </w:r>
      </w:p>
    </w:sdtContent>
  </w:sdt>
  <w:p w14:paraId="2A860FD1" w14:textId="77777777" w:rsidR="00D3609F" w:rsidRDefault="00D3609F" w:rsidP="001158D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91EB66" w14:textId="77777777" w:rsidR="00A31E69" w:rsidRDefault="00A31E69" w:rsidP="001158D9">
      <w:pPr>
        <w:spacing w:line="240" w:lineRule="auto"/>
      </w:pPr>
      <w:r>
        <w:separator/>
      </w:r>
    </w:p>
  </w:footnote>
  <w:footnote w:type="continuationSeparator" w:id="0">
    <w:p w14:paraId="18674129" w14:textId="77777777" w:rsidR="00A31E69" w:rsidRDefault="00A31E69" w:rsidP="001158D9">
      <w:pPr>
        <w:spacing w:line="240" w:lineRule="auto"/>
      </w:pPr>
      <w:r>
        <w:continuationSeparator/>
      </w:r>
    </w:p>
  </w:footnote>
  <w:footnote w:id="1">
    <w:p w14:paraId="1BF0620D" w14:textId="36099F07" w:rsidR="00D3609F" w:rsidRPr="006D6A3F" w:rsidRDefault="00D3609F">
      <w:pPr>
        <w:pStyle w:val="FootnoteText"/>
        <w:rPr>
          <w:sz w:val="18"/>
          <w:szCs w:val="18"/>
          <w:lang w:val="en-US"/>
        </w:rPr>
      </w:pPr>
      <w:r w:rsidRPr="006D6A3F">
        <w:rPr>
          <w:rStyle w:val="FootnoteReference"/>
          <w:sz w:val="18"/>
          <w:szCs w:val="18"/>
        </w:rPr>
        <w:footnoteRef/>
      </w:r>
      <w:r w:rsidRPr="006D6A3F">
        <w:rPr>
          <w:sz w:val="18"/>
          <w:szCs w:val="18"/>
        </w:rPr>
        <w:t xml:space="preserve"> </w:t>
      </w:r>
      <w:hyperlink r:id="rId1" w:history="1">
        <w:r w:rsidRPr="006D6A3F">
          <w:rPr>
            <w:rStyle w:val="Hyperlink"/>
            <w:rFonts w:cstheme="minorHAnsi"/>
            <w:sz w:val="18"/>
            <w:szCs w:val="18"/>
          </w:rPr>
          <w:t>https://ecpat.lu/</w:t>
        </w:r>
      </w:hyperlink>
      <w:r w:rsidRPr="006D6A3F">
        <w:rPr>
          <w:rFonts w:cstheme="minorHAnsi"/>
          <w:sz w:val="18"/>
          <w:szCs w:val="18"/>
        </w:rPr>
        <w:t xml:space="preserve"> </w:t>
      </w:r>
    </w:p>
  </w:footnote>
  <w:footnote w:id="2">
    <w:p w14:paraId="160EC22E" w14:textId="2023CBB9" w:rsidR="00D3609F" w:rsidRPr="006D6A3F" w:rsidRDefault="00D3609F">
      <w:pPr>
        <w:pStyle w:val="FootnoteText"/>
        <w:rPr>
          <w:sz w:val="18"/>
          <w:szCs w:val="18"/>
          <w:lang w:val="en-US"/>
        </w:rPr>
      </w:pPr>
      <w:r w:rsidRPr="006D6A3F">
        <w:rPr>
          <w:rStyle w:val="FootnoteReference"/>
          <w:sz w:val="18"/>
          <w:szCs w:val="18"/>
        </w:rPr>
        <w:footnoteRef/>
      </w:r>
      <w:r w:rsidRPr="006D6A3F">
        <w:rPr>
          <w:sz w:val="18"/>
          <w:szCs w:val="18"/>
        </w:rPr>
        <w:t xml:space="preserve"> </w:t>
      </w:r>
      <w:hyperlink r:id="rId2" w:anchor="exploitation" w:history="1">
        <w:r w:rsidRPr="006D6A3F">
          <w:rPr>
            <w:rStyle w:val="Hyperlink"/>
            <w:rFonts w:cstheme="minorHAnsi"/>
            <w:sz w:val="18"/>
            <w:szCs w:val="18"/>
          </w:rPr>
          <w:t>https://www.childprotection.lu/lexploitation-sexuelle-des-enfants-a-letranger/#exploitation</w:t>
        </w:r>
      </w:hyperlink>
    </w:p>
  </w:footnote>
  <w:footnote w:id="3">
    <w:p w14:paraId="2ED1C83E" w14:textId="41B8AEBB" w:rsidR="00D3609F" w:rsidRPr="006D6A3F" w:rsidRDefault="00D3609F" w:rsidP="00DC50DE">
      <w:pPr>
        <w:pStyle w:val="FootnoteText"/>
        <w:rPr>
          <w:sz w:val="18"/>
          <w:szCs w:val="18"/>
        </w:rPr>
      </w:pPr>
      <w:r w:rsidRPr="006D6A3F">
        <w:rPr>
          <w:rStyle w:val="FootnoteReference"/>
          <w:sz w:val="18"/>
          <w:szCs w:val="18"/>
        </w:rPr>
        <w:footnoteRef/>
      </w:r>
      <w:r>
        <w:rPr>
          <w:sz w:val="18"/>
          <w:szCs w:val="18"/>
        </w:rPr>
        <w:t xml:space="preserve"> </w:t>
      </w:r>
      <w:hyperlink r:id="rId3" w:history="1">
        <w:r w:rsidRPr="006D6A3F">
          <w:rPr>
            <w:rStyle w:val="Hyperlink"/>
            <w:color w:val="auto"/>
            <w:sz w:val="18"/>
            <w:szCs w:val="18"/>
            <w:u w:val="none"/>
          </w:rPr>
          <w:t xml:space="preserve">Féminin? Masculin? Intersexe? Gardons l'esprit ouvert. - Ministère de la Famille, de l'Intégration et à la Grande Région // Le gouvernement luxembourgeois : </w:t>
        </w:r>
        <w:r w:rsidRPr="006D6A3F">
          <w:rPr>
            <w:rStyle w:val="Hyperlink"/>
            <w:sz w:val="18"/>
            <w:szCs w:val="18"/>
          </w:rPr>
          <w:t>https://mfamigr.gouvernement.lu/fr/campagnes/solidarite/Personnesintersexes.html</w:t>
        </w:r>
      </w:hyperlink>
    </w:p>
  </w:footnote>
  <w:footnote w:id="4">
    <w:p w14:paraId="0BD40162" w14:textId="6738129F" w:rsidR="00D3609F" w:rsidRPr="006D6A3F" w:rsidRDefault="00D3609F">
      <w:pPr>
        <w:pStyle w:val="FootnoteText"/>
        <w:rPr>
          <w:sz w:val="18"/>
          <w:szCs w:val="18"/>
        </w:rPr>
      </w:pPr>
      <w:r w:rsidRPr="006D6A3F">
        <w:rPr>
          <w:rStyle w:val="FootnoteReference"/>
          <w:sz w:val="18"/>
          <w:szCs w:val="18"/>
        </w:rPr>
        <w:footnoteRef/>
      </w:r>
      <w:r w:rsidRPr="006D6A3F">
        <w:rPr>
          <w:sz w:val="18"/>
          <w:szCs w:val="18"/>
        </w:rPr>
        <w:t xml:space="preserve"> </w:t>
      </w:r>
      <w:hyperlink r:id="rId4" w:history="1">
        <w:r w:rsidRPr="006D6A3F">
          <w:rPr>
            <w:rStyle w:val="Hyperlink"/>
            <w:sz w:val="18"/>
            <w:szCs w:val="18"/>
          </w:rPr>
          <w:t>https://legilux.public.lu/eli/etat/leg/loi/1973/07/28/n3/consolide/20080101</w:t>
        </w:r>
      </w:hyperlink>
      <w:r w:rsidRPr="006D6A3F">
        <w:rPr>
          <w:sz w:val="18"/>
          <w:szCs w:val="18"/>
        </w:rPr>
        <w:t xml:space="preserve"> </w:t>
      </w:r>
    </w:p>
  </w:footnote>
  <w:footnote w:id="5">
    <w:p w14:paraId="374D6C24" w14:textId="77856C35" w:rsidR="00D3609F" w:rsidRPr="006D6A3F" w:rsidRDefault="00D3609F">
      <w:pPr>
        <w:pStyle w:val="FootnoteText"/>
        <w:rPr>
          <w:sz w:val="18"/>
          <w:szCs w:val="18"/>
        </w:rPr>
      </w:pPr>
      <w:r w:rsidRPr="006D6A3F">
        <w:rPr>
          <w:rStyle w:val="FootnoteReference"/>
          <w:sz w:val="18"/>
          <w:szCs w:val="18"/>
        </w:rPr>
        <w:footnoteRef/>
      </w:r>
      <w:r w:rsidRPr="006D6A3F">
        <w:rPr>
          <w:sz w:val="18"/>
          <w:szCs w:val="18"/>
        </w:rPr>
        <w:t xml:space="preserve"> Mises à jour marquées en rouge.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2D2A5" w14:textId="4036AC53" w:rsidR="00D3609F" w:rsidRPr="001158D9" w:rsidRDefault="00D3609F" w:rsidP="001158D9">
    <w:pPr>
      <w:pStyle w:val="Header"/>
      <w:jc w:val="right"/>
      <w:rPr>
        <w:i/>
        <w:u w:val="single"/>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07D8A"/>
    <w:multiLevelType w:val="hybridMultilevel"/>
    <w:tmpl w:val="C76ADC0E"/>
    <w:lvl w:ilvl="0" w:tplc="52E20CEA">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82734"/>
    <w:multiLevelType w:val="hybridMultilevel"/>
    <w:tmpl w:val="7A163C16"/>
    <w:lvl w:ilvl="0" w:tplc="501C9AD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338E"/>
    <w:multiLevelType w:val="hybridMultilevel"/>
    <w:tmpl w:val="471A38C2"/>
    <w:lvl w:ilvl="0" w:tplc="44DC1052">
      <w:start w:val="1"/>
      <w:numFmt w:val="upperRoman"/>
      <w:pStyle w:val="Heading2"/>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A16263"/>
    <w:multiLevelType w:val="hybridMultilevel"/>
    <w:tmpl w:val="F2240D12"/>
    <w:lvl w:ilvl="0" w:tplc="18090003">
      <w:start w:val="1"/>
      <w:numFmt w:val="bullet"/>
      <w:lvlText w:val="o"/>
      <w:lvlJc w:val="left"/>
      <w:pPr>
        <w:ind w:left="1353" w:hanging="360"/>
      </w:pPr>
      <w:rPr>
        <w:rFonts w:ascii="Courier New" w:hAnsi="Courier New" w:cs="Courier New" w:hint="default"/>
      </w:rPr>
    </w:lvl>
    <w:lvl w:ilvl="1" w:tplc="18090003" w:tentative="1">
      <w:start w:val="1"/>
      <w:numFmt w:val="bullet"/>
      <w:lvlText w:val="o"/>
      <w:lvlJc w:val="left"/>
      <w:pPr>
        <w:ind w:left="2073" w:hanging="360"/>
      </w:pPr>
      <w:rPr>
        <w:rFonts w:ascii="Courier New" w:hAnsi="Courier New" w:cs="Courier New" w:hint="default"/>
      </w:rPr>
    </w:lvl>
    <w:lvl w:ilvl="2" w:tplc="18090005" w:tentative="1">
      <w:start w:val="1"/>
      <w:numFmt w:val="bullet"/>
      <w:lvlText w:val=""/>
      <w:lvlJc w:val="left"/>
      <w:pPr>
        <w:ind w:left="2793" w:hanging="360"/>
      </w:pPr>
      <w:rPr>
        <w:rFonts w:ascii="Wingdings" w:hAnsi="Wingdings" w:hint="default"/>
      </w:rPr>
    </w:lvl>
    <w:lvl w:ilvl="3" w:tplc="18090001" w:tentative="1">
      <w:start w:val="1"/>
      <w:numFmt w:val="bullet"/>
      <w:lvlText w:val=""/>
      <w:lvlJc w:val="left"/>
      <w:pPr>
        <w:ind w:left="3513" w:hanging="360"/>
      </w:pPr>
      <w:rPr>
        <w:rFonts w:ascii="Symbol" w:hAnsi="Symbol" w:hint="default"/>
      </w:rPr>
    </w:lvl>
    <w:lvl w:ilvl="4" w:tplc="18090003" w:tentative="1">
      <w:start w:val="1"/>
      <w:numFmt w:val="bullet"/>
      <w:lvlText w:val="o"/>
      <w:lvlJc w:val="left"/>
      <w:pPr>
        <w:ind w:left="4233" w:hanging="360"/>
      </w:pPr>
      <w:rPr>
        <w:rFonts w:ascii="Courier New" w:hAnsi="Courier New" w:cs="Courier New" w:hint="default"/>
      </w:rPr>
    </w:lvl>
    <w:lvl w:ilvl="5" w:tplc="18090005" w:tentative="1">
      <w:start w:val="1"/>
      <w:numFmt w:val="bullet"/>
      <w:lvlText w:val=""/>
      <w:lvlJc w:val="left"/>
      <w:pPr>
        <w:ind w:left="4953" w:hanging="360"/>
      </w:pPr>
      <w:rPr>
        <w:rFonts w:ascii="Wingdings" w:hAnsi="Wingdings" w:hint="default"/>
      </w:rPr>
    </w:lvl>
    <w:lvl w:ilvl="6" w:tplc="18090001" w:tentative="1">
      <w:start w:val="1"/>
      <w:numFmt w:val="bullet"/>
      <w:lvlText w:val=""/>
      <w:lvlJc w:val="left"/>
      <w:pPr>
        <w:ind w:left="5673" w:hanging="360"/>
      </w:pPr>
      <w:rPr>
        <w:rFonts w:ascii="Symbol" w:hAnsi="Symbol" w:hint="default"/>
      </w:rPr>
    </w:lvl>
    <w:lvl w:ilvl="7" w:tplc="18090003" w:tentative="1">
      <w:start w:val="1"/>
      <w:numFmt w:val="bullet"/>
      <w:lvlText w:val="o"/>
      <w:lvlJc w:val="left"/>
      <w:pPr>
        <w:ind w:left="6393" w:hanging="360"/>
      </w:pPr>
      <w:rPr>
        <w:rFonts w:ascii="Courier New" w:hAnsi="Courier New" w:cs="Courier New" w:hint="default"/>
      </w:rPr>
    </w:lvl>
    <w:lvl w:ilvl="8" w:tplc="18090005" w:tentative="1">
      <w:start w:val="1"/>
      <w:numFmt w:val="bullet"/>
      <w:lvlText w:val=""/>
      <w:lvlJc w:val="left"/>
      <w:pPr>
        <w:ind w:left="7113" w:hanging="360"/>
      </w:pPr>
      <w:rPr>
        <w:rFonts w:ascii="Wingdings" w:hAnsi="Wingdings" w:hint="default"/>
      </w:rPr>
    </w:lvl>
  </w:abstractNum>
  <w:abstractNum w:abstractNumId="4" w15:restartNumberingAfterBreak="0">
    <w:nsid w:val="12587EF4"/>
    <w:multiLevelType w:val="multilevel"/>
    <w:tmpl w:val="3284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E12924"/>
    <w:multiLevelType w:val="hybridMultilevel"/>
    <w:tmpl w:val="90F6AFD6"/>
    <w:lvl w:ilvl="0" w:tplc="EA5C6246">
      <w:start w:val="5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F8678F"/>
    <w:multiLevelType w:val="hybridMultilevel"/>
    <w:tmpl w:val="2F0E8B5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 w15:restartNumberingAfterBreak="0">
    <w:nsid w:val="17C10D01"/>
    <w:multiLevelType w:val="hybridMultilevel"/>
    <w:tmpl w:val="1652B6F2"/>
    <w:lvl w:ilvl="0" w:tplc="3E1AC4EE">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CC97A56"/>
    <w:multiLevelType w:val="hybridMultilevel"/>
    <w:tmpl w:val="584E100E"/>
    <w:lvl w:ilvl="0" w:tplc="6D90B5FE">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1F6224E4"/>
    <w:multiLevelType w:val="hybridMultilevel"/>
    <w:tmpl w:val="0FD0DC04"/>
    <w:lvl w:ilvl="0" w:tplc="6D90B5F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A7666F"/>
    <w:multiLevelType w:val="hybridMultilevel"/>
    <w:tmpl w:val="9800D20A"/>
    <w:lvl w:ilvl="0" w:tplc="3B0242EA">
      <w:start w:val="1"/>
      <w:numFmt w:val="decimal"/>
      <w:lvlText w:val="%1)"/>
      <w:lvlJc w:val="left"/>
      <w:pPr>
        <w:ind w:left="720" w:hanging="360"/>
      </w:pPr>
      <w:rPr>
        <w:rFonts w:ascii="Calibri" w:eastAsia="Calibri" w:hAnsi="Calibri" w:cs="Times New Roman" w:hint="default"/>
        <w:b w:val="0"/>
        <w:w w:val="103"/>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F66658"/>
    <w:multiLevelType w:val="hybridMultilevel"/>
    <w:tmpl w:val="1AA6CC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786012"/>
    <w:multiLevelType w:val="hybridMultilevel"/>
    <w:tmpl w:val="E04658F4"/>
    <w:lvl w:ilvl="0" w:tplc="3E1AC4EE">
      <w:numFmt w:val="bullet"/>
      <w:lvlText w:val=""/>
      <w:lvlJc w:val="left"/>
      <w:pPr>
        <w:ind w:left="360" w:hanging="360"/>
      </w:pPr>
      <w:rPr>
        <w:rFonts w:ascii="Symbol" w:eastAsiaTheme="minorHAnsi" w:hAnsi="Symbol" w:cstheme="minorBidi"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2A5B2D33"/>
    <w:multiLevelType w:val="hybridMultilevel"/>
    <w:tmpl w:val="6FB8587A"/>
    <w:lvl w:ilvl="0" w:tplc="610212B0">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B3C5224"/>
    <w:multiLevelType w:val="hybridMultilevel"/>
    <w:tmpl w:val="0F385432"/>
    <w:lvl w:ilvl="0" w:tplc="819A6836">
      <w:start w:val="1"/>
      <w:numFmt w:val="bullet"/>
      <w:lvlText w:val="•"/>
      <w:lvlJc w:val="left"/>
      <w:pPr>
        <w:tabs>
          <w:tab w:val="num" w:pos="720"/>
        </w:tabs>
        <w:ind w:left="720" w:hanging="360"/>
      </w:pPr>
      <w:rPr>
        <w:rFonts w:ascii="Arial" w:hAnsi="Arial" w:hint="default"/>
      </w:rPr>
    </w:lvl>
    <w:lvl w:ilvl="1" w:tplc="7D94198C" w:tentative="1">
      <w:start w:val="1"/>
      <w:numFmt w:val="bullet"/>
      <w:lvlText w:val="•"/>
      <w:lvlJc w:val="left"/>
      <w:pPr>
        <w:tabs>
          <w:tab w:val="num" w:pos="1440"/>
        </w:tabs>
        <w:ind w:left="1440" w:hanging="360"/>
      </w:pPr>
      <w:rPr>
        <w:rFonts w:ascii="Arial" w:hAnsi="Arial" w:hint="default"/>
      </w:rPr>
    </w:lvl>
    <w:lvl w:ilvl="2" w:tplc="63320FDA" w:tentative="1">
      <w:start w:val="1"/>
      <w:numFmt w:val="bullet"/>
      <w:lvlText w:val="•"/>
      <w:lvlJc w:val="left"/>
      <w:pPr>
        <w:tabs>
          <w:tab w:val="num" w:pos="2160"/>
        </w:tabs>
        <w:ind w:left="2160" w:hanging="360"/>
      </w:pPr>
      <w:rPr>
        <w:rFonts w:ascii="Arial" w:hAnsi="Arial" w:hint="default"/>
      </w:rPr>
    </w:lvl>
    <w:lvl w:ilvl="3" w:tplc="6B5C10B8" w:tentative="1">
      <w:start w:val="1"/>
      <w:numFmt w:val="bullet"/>
      <w:lvlText w:val="•"/>
      <w:lvlJc w:val="left"/>
      <w:pPr>
        <w:tabs>
          <w:tab w:val="num" w:pos="2880"/>
        </w:tabs>
        <w:ind w:left="2880" w:hanging="360"/>
      </w:pPr>
      <w:rPr>
        <w:rFonts w:ascii="Arial" w:hAnsi="Arial" w:hint="default"/>
      </w:rPr>
    </w:lvl>
    <w:lvl w:ilvl="4" w:tplc="D0364542" w:tentative="1">
      <w:start w:val="1"/>
      <w:numFmt w:val="bullet"/>
      <w:lvlText w:val="•"/>
      <w:lvlJc w:val="left"/>
      <w:pPr>
        <w:tabs>
          <w:tab w:val="num" w:pos="3600"/>
        </w:tabs>
        <w:ind w:left="3600" w:hanging="360"/>
      </w:pPr>
      <w:rPr>
        <w:rFonts w:ascii="Arial" w:hAnsi="Arial" w:hint="default"/>
      </w:rPr>
    </w:lvl>
    <w:lvl w:ilvl="5" w:tplc="62248286" w:tentative="1">
      <w:start w:val="1"/>
      <w:numFmt w:val="bullet"/>
      <w:lvlText w:val="•"/>
      <w:lvlJc w:val="left"/>
      <w:pPr>
        <w:tabs>
          <w:tab w:val="num" w:pos="4320"/>
        </w:tabs>
        <w:ind w:left="4320" w:hanging="360"/>
      </w:pPr>
      <w:rPr>
        <w:rFonts w:ascii="Arial" w:hAnsi="Arial" w:hint="default"/>
      </w:rPr>
    </w:lvl>
    <w:lvl w:ilvl="6" w:tplc="CC58009A" w:tentative="1">
      <w:start w:val="1"/>
      <w:numFmt w:val="bullet"/>
      <w:lvlText w:val="•"/>
      <w:lvlJc w:val="left"/>
      <w:pPr>
        <w:tabs>
          <w:tab w:val="num" w:pos="5040"/>
        </w:tabs>
        <w:ind w:left="5040" w:hanging="360"/>
      </w:pPr>
      <w:rPr>
        <w:rFonts w:ascii="Arial" w:hAnsi="Arial" w:hint="default"/>
      </w:rPr>
    </w:lvl>
    <w:lvl w:ilvl="7" w:tplc="5F188528" w:tentative="1">
      <w:start w:val="1"/>
      <w:numFmt w:val="bullet"/>
      <w:lvlText w:val="•"/>
      <w:lvlJc w:val="left"/>
      <w:pPr>
        <w:tabs>
          <w:tab w:val="num" w:pos="5760"/>
        </w:tabs>
        <w:ind w:left="5760" w:hanging="360"/>
      </w:pPr>
      <w:rPr>
        <w:rFonts w:ascii="Arial" w:hAnsi="Arial" w:hint="default"/>
      </w:rPr>
    </w:lvl>
    <w:lvl w:ilvl="8" w:tplc="D278C2A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BDD7B87"/>
    <w:multiLevelType w:val="hybridMultilevel"/>
    <w:tmpl w:val="4142DDDA"/>
    <w:lvl w:ilvl="0" w:tplc="0DDC263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6706BF"/>
    <w:multiLevelType w:val="hybridMultilevel"/>
    <w:tmpl w:val="DEF28D6C"/>
    <w:lvl w:ilvl="0" w:tplc="430460E6">
      <w:start w:val="1"/>
      <w:numFmt w:val="lowerRoman"/>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7" w15:restartNumberingAfterBreak="0">
    <w:nsid w:val="3A9E6FC9"/>
    <w:multiLevelType w:val="hybridMultilevel"/>
    <w:tmpl w:val="A18E4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974D54"/>
    <w:multiLevelType w:val="hybridMultilevel"/>
    <w:tmpl w:val="E8A4950A"/>
    <w:lvl w:ilvl="0" w:tplc="AD18FF1E">
      <w:start w:val="5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9A1552"/>
    <w:multiLevelType w:val="hybridMultilevel"/>
    <w:tmpl w:val="4AAAC898"/>
    <w:lvl w:ilvl="0" w:tplc="3E1AC4EE">
      <w:numFmt w:val="bullet"/>
      <w:lvlText w:val=""/>
      <w:lvlJc w:val="left"/>
      <w:pPr>
        <w:ind w:left="360" w:hanging="360"/>
      </w:pPr>
      <w:rPr>
        <w:rFonts w:ascii="Symbol" w:eastAsiaTheme="minorHAnsi" w:hAnsi="Symbol" w:cstheme="minorBidi" w:hint="default"/>
      </w:rPr>
    </w:lvl>
    <w:lvl w:ilvl="1" w:tplc="0DDC263E">
      <w:numFmt w:val="bullet"/>
      <w:lvlText w:val="-"/>
      <w:lvlJc w:val="left"/>
      <w:pPr>
        <w:ind w:left="1080" w:hanging="360"/>
      </w:pPr>
      <w:rPr>
        <w:rFonts w:ascii="Calibri" w:eastAsia="Calibri" w:hAnsi="Calibri" w:cs="Calibri"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3F9B69BB"/>
    <w:multiLevelType w:val="hybridMultilevel"/>
    <w:tmpl w:val="F8E4039C"/>
    <w:lvl w:ilvl="0" w:tplc="0DDC263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226DB7"/>
    <w:multiLevelType w:val="hybridMultilevel"/>
    <w:tmpl w:val="9800D20A"/>
    <w:lvl w:ilvl="0" w:tplc="3B0242EA">
      <w:start w:val="1"/>
      <w:numFmt w:val="decimal"/>
      <w:lvlText w:val="%1)"/>
      <w:lvlJc w:val="left"/>
      <w:pPr>
        <w:ind w:left="720" w:hanging="360"/>
      </w:pPr>
      <w:rPr>
        <w:rFonts w:ascii="Calibri" w:eastAsia="Calibri" w:hAnsi="Calibri" w:cs="Times New Roman" w:hint="default"/>
        <w:b w:val="0"/>
        <w:w w:val="103"/>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483BD3"/>
    <w:multiLevelType w:val="hybridMultilevel"/>
    <w:tmpl w:val="724667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8A1C4E"/>
    <w:multiLevelType w:val="hybridMultilevel"/>
    <w:tmpl w:val="1B3A0878"/>
    <w:lvl w:ilvl="0" w:tplc="0DDC263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AD6BAF"/>
    <w:multiLevelType w:val="hybridMultilevel"/>
    <w:tmpl w:val="C8A016A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51957B69"/>
    <w:multiLevelType w:val="hybridMultilevel"/>
    <w:tmpl w:val="C596B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5C7152"/>
    <w:multiLevelType w:val="hybridMultilevel"/>
    <w:tmpl w:val="7430F284"/>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27" w15:restartNumberingAfterBreak="0">
    <w:nsid w:val="5DA260AF"/>
    <w:multiLevelType w:val="hybridMultilevel"/>
    <w:tmpl w:val="8342EA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BC0523"/>
    <w:multiLevelType w:val="hybridMultilevel"/>
    <w:tmpl w:val="A4888CAC"/>
    <w:lvl w:ilvl="0" w:tplc="0DDC263E">
      <w:numFmt w:val="bullet"/>
      <w:lvlText w:val="-"/>
      <w:lvlJc w:val="left"/>
      <w:pPr>
        <w:ind w:left="720" w:hanging="360"/>
      </w:pPr>
      <w:rPr>
        <w:rFonts w:ascii="Calibri" w:eastAsia="Calibri" w:hAnsi="Calibri" w:cs="Calibri" w:hint="default"/>
      </w:rPr>
    </w:lvl>
    <w:lvl w:ilvl="1" w:tplc="0DDC263E">
      <w:numFmt w:val="bullet"/>
      <w:lvlText w:val="-"/>
      <w:lvlJc w:val="left"/>
      <w:pPr>
        <w:ind w:left="1440" w:hanging="360"/>
      </w:pPr>
      <w:rPr>
        <w:rFonts w:ascii="Calibri" w:eastAsia="Calibri" w:hAnsi="Calibri" w:cs="Calibri"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8AD07B2"/>
    <w:multiLevelType w:val="hybridMultilevel"/>
    <w:tmpl w:val="5D1450C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CE71EB6"/>
    <w:multiLevelType w:val="hybridMultilevel"/>
    <w:tmpl w:val="6388E620"/>
    <w:lvl w:ilvl="0" w:tplc="F3F6AC96">
      <w:start w:val="1"/>
      <w:numFmt w:val="upperLetter"/>
      <w:pStyle w:val="Heading4"/>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32298F"/>
    <w:multiLevelType w:val="hybridMultilevel"/>
    <w:tmpl w:val="E6C0F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4C4F6A"/>
    <w:multiLevelType w:val="hybridMultilevel"/>
    <w:tmpl w:val="01CC39E6"/>
    <w:lvl w:ilvl="0" w:tplc="0F406722">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D6649F"/>
    <w:multiLevelType w:val="hybridMultilevel"/>
    <w:tmpl w:val="2E5A80E8"/>
    <w:lvl w:ilvl="0" w:tplc="0409000F">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F744FF9"/>
    <w:multiLevelType w:val="hybridMultilevel"/>
    <w:tmpl w:val="B3846A8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3"/>
  </w:num>
  <w:num w:numId="2">
    <w:abstractNumId w:val="12"/>
  </w:num>
  <w:num w:numId="3">
    <w:abstractNumId w:val="8"/>
  </w:num>
  <w:num w:numId="4">
    <w:abstractNumId w:val="14"/>
  </w:num>
  <w:num w:numId="5">
    <w:abstractNumId w:val="3"/>
  </w:num>
  <w:num w:numId="6">
    <w:abstractNumId w:val="6"/>
  </w:num>
  <w:num w:numId="7">
    <w:abstractNumId w:val="26"/>
  </w:num>
  <w:num w:numId="8">
    <w:abstractNumId w:val="7"/>
  </w:num>
  <w:num w:numId="9">
    <w:abstractNumId w:val="16"/>
  </w:num>
  <w:num w:numId="10">
    <w:abstractNumId w:val="15"/>
  </w:num>
  <w:num w:numId="11">
    <w:abstractNumId w:val="20"/>
  </w:num>
  <w:num w:numId="12">
    <w:abstractNumId w:val="19"/>
  </w:num>
  <w:num w:numId="13">
    <w:abstractNumId w:val="28"/>
  </w:num>
  <w:num w:numId="14">
    <w:abstractNumId w:val="23"/>
  </w:num>
  <w:num w:numId="15">
    <w:abstractNumId w:val="9"/>
  </w:num>
  <w:num w:numId="16">
    <w:abstractNumId w:val="2"/>
  </w:num>
  <w:num w:numId="17">
    <w:abstractNumId w:val="30"/>
  </w:num>
  <w:num w:numId="18">
    <w:abstractNumId w:val="30"/>
    <w:lvlOverride w:ilvl="0">
      <w:startOverride w:val="1"/>
    </w:lvlOverride>
  </w:num>
  <w:num w:numId="19">
    <w:abstractNumId w:val="30"/>
  </w:num>
  <w:num w:numId="20">
    <w:abstractNumId w:val="4"/>
  </w:num>
  <w:num w:numId="21">
    <w:abstractNumId w:val="30"/>
    <w:lvlOverride w:ilvl="0">
      <w:startOverride w:val="1"/>
    </w:lvlOverride>
  </w:num>
  <w:num w:numId="22">
    <w:abstractNumId w:val="18"/>
  </w:num>
  <w:num w:numId="23">
    <w:abstractNumId w:val="10"/>
  </w:num>
  <w:num w:numId="24">
    <w:abstractNumId w:val="29"/>
  </w:num>
  <w:num w:numId="25">
    <w:abstractNumId w:val="22"/>
  </w:num>
  <w:num w:numId="26">
    <w:abstractNumId w:val="21"/>
  </w:num>
  <w:num w:numId="27">
    <w:abstractNumId w:val="1"/>
  </w:num>
  <w:num w:numId="28">
    <w:abstractNumId w:val="25"/>
  </w:num>
  <w:num w:numId="29">
    <w:abstractNumId w:val="31"/>
  </w:num>
  <w:num w:numId="30">
    <w:abstractNumId w:val="17"/>
  </w:num>
  <w:num w:numId="31">
    <w:abstractNumId w:val="5"/>
  </w:num>
  <w:num w:numId="32">
    <w:abstractNumId w:val="27"/>
  </w:num>
  <w:num w:numId="33">
    <w:abstractNumId w:val="30"/>
    <w:lvlOverride w:ilvl="0">
      <w:startOverride w:val="1"/>
    </w:lvlOverride>
  </w:num>
  <w:num w:numId="34">
    <w:abstractNumId w:val="30"/>
    <w:lvlOverride w:ilvl="0">
      <w:startOverride w:val="1"/>
    </w:lvlOverride>
  </w:num>
  <w:num w:numId="35">
    <w:abstractNumId w:val="32"/>
  </w:num>
  <w:num w:numId="36">
    <w:abstractNumId w:val="34"/>
  </w:num>
  <w:num w:numId="37">
    <w:abstractNumId w:val="0"/>
  </w:num>
  <w:num w:numId="38">
    <w:abstractNumId w:val="11"/>
  </w:num>
  <w:num w:numId="39">
    <w:abstractNumId w:val="30"/>
    <w:lvlOverride w:ilvl="0">
      <w:startOverride w:val="1"/>
    </w:lvlOverride>
  </w:num>
  <w:num w:numId="40">
    <w:abstractNumId w:val="30"/>
    <w:lvlOverride w:ilvl="0">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FR" w:vendorID="64" w:dllVersion="6" w:nlCheck="1" w:checkStyle="0"/>
  <w:activeWritingStyle w:appName="MSWord" w:lang="en-US" w:vendorID="64" w:dllVersion="6" w:nlCheck="1" w:checkStyle="1"/>
  <w:activeWritingStyle w:appName="MSWord" w:lang="fr-CH" w:vendorID="64" w:dllVersion="6" w:nlCheck="1" w:checkStyle="0"/>
  <w:activeWritingStyle w:appName="MSWord" w:lang="en-GB" w:vendorID="64" w:dllVersion="6" w:nlCheck="1" w:checkStyle="1"/>
  <w:activeWritingStyle w:appName="MSWord" w:lang="fr-BE" w:vendorID="64" w:dllVersion="6" w:nlCheck="1" w:checkStyle="0"/>
  <w:activeWritingStyle w:appName="MSWord" w:lang="fr-LU" w:vendorID="64" w:dllVersion="6" w:nlCheck="1" w:checkStyle="0"/>
  <w:activeWritingStyle w:appName="MSWord" w:lang="fr-FR"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131078" w:nlCheck="1" w:checkStyle="0"/>
  <w:activeWritingStyle w:appName="MSWord" w:lang="en-US" w:vendorID="64" w:dllVersion="131078" w:nlCheck="1" w:checkStyle="1"/>
  <w:activeWritingStyle w:appName="MSWord" w:lang="fr-LU" w:vendorID="64" w:dllVersion="131078" w:nlCheck="1" w:checkStyle="0"/>
  <w:activeWritingStyle w:appName="MSWord" w:lang="fr-CH" w:vendorID="64" w:dllVersion="131078" w:nlCheck="1" w:checkStyle="0"/>
  <w:activeWritingStyle w:appName="MSWord" w:lang="en-GB" w:vendorID="64" w:dllVersion="131078" w:nlCheck="1" w:checkStyle="1"/>
  <w:activeWritingStyle w:appName="MSWord" w:lang="de-DE"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FA7"/>
    <w:rsid w:val="0000128C"/>
    <w:rsid w:val="00004216"/>
    <w:rsid w:val="000179F9"/>
    <w:rsid w:val="000307EA"/>
    <w:rsid w:val="00045685"/>
    <w:rsid w:val="00063F75"/>
    <w:rsid w:val="00063FF4"/>
    <w:rsid w:val="0007117A"/>
    <w:rsid w:val="000A4F85"/>
    <w:rsid w:val="000A4FBB"/>
    <w:rsid w:val="000C3B98"/>
    <w:rsid w:val="001125B7"/>
    <w:rsid w:val="001157D1"/>
    <w:rsid w:val="001158D9"/>
    <w:rsid w:val="0019733F"/>
    <w:rsid w:val="001A2152"/>
    <w:rsid w:val="001B3F2A"/>
    <w:rsid w:val="001D431B"/>
    <w:rsid w:val="00225913"/>
    <w:rsid w:val="002332B2"/>
    <w:rsid w:val="00234C48"/>
    <w:rsid w:val="0025064C"/>
    <w:rsid w:val="00261701"/>
    <w:rsid w:val="00271649"/>
    <w:rsid w:val="00287EAD"/>
    <w:rsid w:val="002941D8"/>
    <w:rsid w:val="002A7A1D"/>
    <w:rsid w:val="002B13FA"/>
    <w:rsid w:val="002F16E9"/>
    <w:rsid w:val="0030005C"/>
    <w:rsid w:val="00341875"/>
    <w:rsid w:val="00373B6F"/>
    <w:rsid w:val="00383BD7"/>
    <w:rsid w:val="00384480"/>
    <w:rsid w:val="00386F43"/>
    <w:rsid w:val="00390AE4"/>
    <w:rsid w:val="003E5E28"/>
    <w:rsid w:val="00405F0C"/>
    <w:rsid w:val="00415DBA"/>
    <w:rsid w:val="004355F0"/>
    <w:rsid w:val="00445DDE"/>
    <w:rsid w:val="00474366"/>
    <w:rsid w:val="0048285E"/>
    <w:rsid w:val="00483E66"/>
    <w:rsid w:val="004918F3"/>
    <w:rsid w:val="00491D8D"/>
    <w:rsid w:val="004C2694"/>
    <w:rsid w:val="004C7F3D"/>
    <w:rsid w:val="004D08D1"/>
    <w:rsid w:val="004F3733"/>
    <w:rsid w:val="005024CC"/>
    <w:rsid w:val="005034F0"/>
    <w:rsid w:val="0053221C"/>
    <w:rsid w:val="00547D1B"/>
    <w:rsid w:val="005A030F"/>
    <w:rsid w:val="005B5276"/>
    <w:rsid w:val="005C036C"/>
    <w:rsid w:val="005C0744"/>
    <w:rsid w:val="005F2728"/>
    <w:rsid w:val="00603D56"/>
    <w:rsid w:val="00643E58"/>
    <w:rsid w:val="006832C4"/>
    <w:rsid w:val="006B3D9E"/>
    <w:rsid w:val="006C5876"/>
    <w:rsid w:val="006D1F6D"/>
    <w:rsid w:val="006D6A3F"/>
    <w:rsid w:val="00703257"/>
    <w:rsid w:val="00734163"/>
    <w:rsid w:val="007430E4"/>
    <w:rsid w:val="00751DD6"/>
    <w:rsid w:val="00754A64"/>
    <w:rsid w:val="00760FEB"/>
    <w:rsid w:val="007706CF"/>
    <w:rsid w:val="00794E11"/>
    <w:rsid w:val="007A7261"/>
    <w:rsid w:val="007E05DC"/>
    <w:rsid w:val="008401D6"/>
    <w:rsid w:val="00846218"/>
    <w:rsid w:val="00885006"/>
    <w:rsid w:val="00896530"/>
    <w:rsid w:val="008E1C30"/>
    <w:rsid w:val="00940529"/>
    <w:rsid w:val="00954985"/>
    <w:rsid w:val="00971E0F"/>
    <w:rsid w:val="00977944"/>
    <w:rsid w:val="009867FD"/>
    <w:rsid w:val="009B6414"/>
    <w:rsid w:val="009B7860"/>
    <w:rsid w:val="00A00579"/>
    <w:rsid w:val="00A059EE"/>
    <w:rsid w:val="00A3161D"/>
    <w:rsid w:val="00A31E69"/>
    <w:rsid w:val="00A624DB"/>
    <w:rsid w:val="00A63436"/>
    <w:rsid w:val="00A7638A"/>
    <w:rsid w:val="00A96604"/>
    <w:rsid w:val="00A96FD2"/>
    <w:rsid w:val="00AA1FCD"/>
    <w:rsid w:val="00AB5EF8"/>
    <w:rsid w:val="00AC1258"/>
    <w:rsid w:val="00B44244"/>
    <w:rsid w:val="00B5629B"/>
    <w:rsid w:val="00B7190C"/>
    <w:rsid w:val="00BA263D"/>
    <w:rsid w:val="00BB0E24"/>
    <w:rsid w:val="00BB4DD8"/>
    <w:rsid w:val="00BE55A6"/>
    <w:rsid w:val="00BF1B85"/>
    <w:rsid w:val="00BF29A4"/>
    <w:rsid w:val="00C06C7D"/>
    <w:rsid w:val="00C60A96"/>
    <w:rsid w:val="00C973D3"/>
    <w:rsid w:val="00CC3537"/>
    <w:rsid w:val="00CE556A"/>
    <w:rsid w:val="00CF5D85"/>
    <w:rsid w:val="00D072C4"/>
    <w:rsid w:val="00D13CC6"/>
    <w:rsid w:val="00D26343"/>
    <w:rsid w:val="00D3609F"/>
    <w:rsid w:val="00D4214A"/>
    <w:rsid w:val="00D82A4D"/>
    <w:rsid w:val="00DA06B2"/>
    <w:rsid w:val="00DA79FD"/>
    <w:rsid w:val="00DB731C"/>
    <w:rsid w:val="00DC02AA"/>
    <w:rsid w:val="00DC054C"/>
    <w:rsid w:val="00DC0D82"/>
    <w:rsid w:val="00DC50DE"/>
    <w:rsid w:val="00DE5F99"/>
    <w:rsid w:val="00DF6BBE"/>
    <w:rsid w:val="00DF73AC"/>
    <w:rsid w:val="00DF7513"/>
    <w:rsid w:val="00E33627"/>
    <w:rsid w:val="00E565B6"/>
    <w:rsid w:val="00E576F9"/>
    <w:rsid w:val="00E6671B"/>
    <w:rsid w:val="00EA2F36"/>
    <w:rsid w:val="00EA6367"/>
    <w:rsid w:val="00EE7484"/>
    <w:rsid w:val="00F03A91"/>
    <w:rsid w:val="00F04639"/>
    <w:rsid w:val="00F122F5"/>
    <w:rsid w:val="00F20D27"/>
    <w:rsid w:val="00F310DD"/>
    <w:rsid w:val="00F35EB2"/>
    <w:rsid w:val="00F457A3"/>
    <w:rsid w:val="00F5197D"/>
    <w:rsid w:val="00F51FA7"/>
    <w:rsid w:val="00F529D7"/>
    <w:rsid w:val="00F67AE5"/>
    <w:rsid w:val="00F72DB7"/>
    <w:rsid w:val="00F74C36"/>
    <w:rsid w:val="00F7513F"/>
    <w:rsid w:val="00F839D0"/>
    <w:rsid w:val="00FB6D76"/>
    <w:rsid w:val="00FC1437"/>
    <w:rsid w:val="00FC468C"/>
    <w:rsid w:val="00FE4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73621"/>
  <w15:chartTrackingRefBased/>
  <w15:docId w15:val="{1DB94152-7281-495D-BE92-B6A33E7F1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3627"/>
    <w:pPr>
      <w:spacing w:after="0" w:line="276" w:lineRule="auto"/>
    </w:pPr>
    <w:rPr>
      <w:lang w:val="fr-FR"/>
    </w:rPr>
  </w:style>
  <w:style w:type="paragraph" w:styleId="Heading1">
    <w:name w:val="heading 1"/>
    <w:basedOn w:val="Normal"/>
    <w:next w:val="Normal"/>
    <w:link w:val="Heading1Char"/>
    <w:uiPriority w:val="9"/>
    <w:qFormat/>
    <w:rsid w:val="00E33627"/>
    <w:pPr>
      <w:jc w:val="both"/>
      <w:outlineLvl w:val="0"/>
    </w:pPr>
    <w:rPr>
      <w:rFonts w:cstheme="minorHAnsi"/>
      <w:b/>
    </w:rPr>
  </w:style>
  <w:style w:type="paragraph" w:styleId="Heading2">
    <w:name w:val="heading 2"/>
    <w:basedOn w:val="Normal"/>
    <w:next w:val="Normal"/>
    <w:link w:val="Heading2Char"/>
    <w:uiPriority w:val="9"/>
    <w:unhideWhenUsed/>
    <w:qFormat/>
    <w:rsid w:val="006832C4"/>
    <w:pPr>
      <w:numPr>
        <w:numId w:val="16"/>
      </w:numPr>
      <w:spacing w:before="160" w:after="240"/>
      <w:jc w:val="both"/>
      <w:outlineLvl w:val="1"/>
    </w:pPr>
    <w:rPr>
      <w:rFonts w:cstheme="minorHAnsi"/>
      <w:b/>
      <w:color w:val="FF5050"/>
      <w:lang w:val="fr-LU"/>
    </w:rPr>
  </w:style>
  <w:style w:type="paragraph" w:styleId="Heading3">
    <w:name w:val="heading 3"/>
    <w:basedOn w:val="Normal"/>
    <w:next w:val="Normal"/>
    <w:link w:val="Heading3Char"/>
    <w:uiPriority w:val="9"/>
    <w:unhideWhenUsed/>
    <w:qFormat/>
    <w:rsid w:val="00DC50DE"/>
    <w:pPr>
      <w:spacing w:before="160" w:after="240"/>
      <w:jc w:val="both"/>
      <w:outlineLvl w:val="2"/>
    </w:pPr>
    <w:rPr>
      <w:rFonts w:cstheme="minorHAnsi"/>
      <w:b/>
      <w:color w:val="5B9BD5" w:themeColor="accent1"/>
    </w:rPr>
  </w:style>
  <w:style w:type="paragraph" w:styleId="Heading4">
    <w:name w:val="heading 4"/>
    <w:basedOn w:val="Normal"/>
    <w:next w:val="Normal"/>
    <w:link w:val="Heading4Char"/>
    <w:uiPriority w:val="9"/>
    <w:unhideWhenUsed/>
    <w:qFormat/>
    <w:rsid w:val="006832C4"/>
    <w:pPr>
      <w:keepNext/>
      <w:keepLines/>
      <w:numPr>
        <w:numId w:val="17"/>
      </w:numPr>
      <w:spacing w:before="40" w:after="240"/>
      <w:outlineLvl w:val="3"/>
    </w:pPr>
    <w:rPr>
      <w:rFonts w:eastAsiaTheme="majorEastAsia" w:cstheme="minorHAnsi"/>
      <w:i/>
      <w:iCs/>
      <w:color w:val="2E74B5" w:themeColor="accent1" w:themeShade="BF"/>
    </w:rPr>
  </w:style>
  <w:style w:type="paragraph" w:styleId="Heading5">
    <w:name w:val="heading 5"/>
    <w:basedOn w:val="Normal"/>
    <w:next w:val="Normal"/>
    <w:link w:val="Heading5Char"/>
    <w:uiPriority w:val="9"/>
    <w:unhideWhenUsed/>
    <w:qFormat/>
    <w:rsid w:val="000C3B98"/>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627"/>
    <w:rPr>
      <w:rFonts w:cstheme="minorHAnsi"/>
      <w:b/>
      <w:lang w:val="fr-FR"/>
    </w:rPr>
  </w:style>
  <w:style w:type="character" w:customStyle="1" w:styleId="Heading2Char">
    <w:name w:val="Heading 2 Char"/>
    <w:basedOn w:val="DefaultParagraphFont"/>
    <w:link w:val="Heading2"/>
    <w:uiPriority w:val="9"/>
    <w:rsid w:val="006832C4"/>
    <w:rPr>
      <w:rFonts w:cstheme="minorHAnsi"/>
      <w:b/>
      <w:color w:val="FF5050"/>
      <w:lang w:val="fr-LU"/>
    </w:rPr>
  </w:style>
  <w:style w:type="character" w:customStyle="1" w:styleId="Heading3Char">
    <w:name w:val="Heading 3 Char"/>
    <w:basedOn w:val="DefaultParagraphFont"/>
    <w:link w:val="Heading3"/>
    <w:uiPriority w:val="9"/>
    <w:rsid w:val="00DC50DE"/>
    <w:rPr>
      <w:rFonts w:cstheme="minorHAnsi"/>
      <w:b/>
      <w:color w:val="5B9BD5" w:themeColor="accent1"/>
      <w:lang w:val="fr-FR"/>
    </w:rPr>
  </w:style>
  <w:style w:type="character" w:customStyle="1" w:styleId="Heading4Char">
    <w:name w:val="Heading 4 Char"/>
    <w:basedOn w:val="DefaultParagraphFont"/>
    <w:link w:val="Heading4"/>
    <w:uiPriority w:val="9"/>
    <w:rsid w:val="006832C4"/>
    <w:rPr>
      <w:rFonts w:eastAsiaTheme="majorEastAsia" w:cstheme="minorHAnsi"/>
      <w:i/>
      <w:iCs/>
      <w:color w:val="2E74B5" w:themeColor="accent1" w:themeShade="BF"/>
      <w:lang w:val="fr-FR"/>
    </w:rPr>
  </w:style>
  <w:style w:type="character" w:customStyle="1" w:styleId="Heading5Char">
    <w:name w:val="Heading 5 Char"/>
    <w:basedOn w:val="DefaultParagraphFont"/>
    <w:link w:val="Heading5"/>
    <w:uiPriority w:val="9"/>
    <w:rsid w:val="000C3B98"/>
    <w:rPr>
      <w:rFonts w:asciiTheme="majorHAnsi" w:eastAsiaTheme="majorEastAsia" w:hAnsiTheme="majorHAnsi" w:cstheme="majorBidi"/>
      <w:color w:val="2E74B5" w:themeColor="accent1" w:themeShade="BF"/>
      <w:lang w:val="fr-FR"/>
    </w:rPr>
  </w:style>
  <w:style w:type="paragraph" w:styleId="ListParagraph">
    <w:name w:val="List Paragraph"/>
    <w:basedOn w:val="Normal"/>
    <w:uiPriority w:val="34"/>
    <w:qFormat/>
    <w:rsid w:val="00DC0D82"/>
    <w:pPr>
      <w:ind w:left="720"/>
      <w:contextualSpacing/>
    </w:pPr>
  </w:style>
  <w:style w:type="paragraph" w:styleId="NoSpacing">
    <w:name w:val="No Spacing"/>
    <w:uiPriority w:val="1"/>
    <w:rsid w:val="00F72DB7"/>
    <w:pPr>
      <w:spacing w:after="0" w:line="240" w:lineRule="auto"/>
    </w:pPr>
    <w:rPr>
      <w:lang w:val="fr-FR"/>
    </w:rPr>
  </w:style>
  <w:style w:type="paragraph" w:styleId="Header">
    <w:name w:val="header"/>
    <w:basedOn w:val="Normal"/>
    <w:link w:val="HeaderChar"/>
    <w:uiPriority w:val="99"/>
    <w:unhideWhenUsed/>
    <w:rsid w:val="001158D9"/>
    <w:pPr>
      <w:tabs>
        <w:tab w:val="center" w:pos="4513"/>
        <w:tab w:val="right" w:pos="9026"/>
      </w:tabs>
      <w:spacing w:line="240" w:lineRule="auto"/>
    </w:pPr>
  </w:style>
  <w:style w:type="character" w:customStyle="1" w:styleId="HeaderChar">
    <w:name w:val="Header Char"/>
    <w:basedOn w:val="DefaultParagraphFont"/>
    <w:link w:val="Header"/>
    <w:uiPriority w:val="99"/>
    <w:rsid w:val="001158D9"/>
    <w:rPr>
      <w:lang w:val="fr-FR"/>
    </w:rPr>
  </w:style>
  <w:style w:type="paragraph" w:styleId="Footer">
    <w:name w:val="footer"/>
    <w:basedOn w:val="Normal"/>
    <w:link w:val="FooterChar"/>
    <w:uiPriority w:val="99"/>
    <w:unhideWhenUsed/>
    <w:rsid w:val="001158D9"/>
    <w:pPr>
      <w:tabs>
        <w:tab w:val="center" w:pos="4513"/>
        <w:tab w:val="right" w:pos="9026"/>
      </w:tabs>
      <w:spacing w:line="240" w:lineRule="auto"/>
    </w:pPr>
  </w:style>
  <w:style w:type="character" w:customStyle="1" w:styleId="FooterChar">
    <w:name w:val="Footer Char"/>
    <w:basedOn w:val="DefaultParagraphFont"/>
    <w:link w:val="Footer"/>
    <w:uiPriority w:val="99"/>
    <w:rsid w:val="001158D9"/>
    <w:rPr>
      <w:lang w:val="fr-FR"/>
    </w:rPr>
  </w:style>
  <w:style w:type="character" w:customStyle="1" w:styleId="markedcontent">
    <w:name w:val="markedcontent"/>
    <w:basedOn w:val="DefaultParagraphFont"/>
    <w:rsid w:val="00D13CC6"/>
  </w:style>
  <w:style w:type="character" w:styleId="Hyperlink">
    <w:name w:val="Hyperlink"/>
    <w:basedOn w:val="DefaultParagraphFont"/>
    <w:uiPriority w:val="99"/>
    <w:unhideWhenUsed/>
    <w:rsid w:val="007A7261"/>
    <w:rPr>
      <w:color w:val="0000FF"/>
      <w:u w:val="single"/>
    </w:rPr>
  </w:style>
  <w:style w:type="character" w:customStyle="1" w:styleId="UnresolvedMention">
    <w:name w:val="Unresolved Mention"/>
    <w:basedOn w:val="DefaultParagraphFont"/>
    <w:uiPriority w:val="99"/>
    <w:semiHidden/>
    <w:unhideWhenUsed/>
    <w:rsid w:val="00EA6367"/>
    <w:rPr>
      <w:color w:val="605E5C"/>
      <w:shd w:val="clear" w:color="auto" w:fill="E1DFDD"/>
    </w:rPr>
  </w:style>
  <w:style w:type="paragraph" w:styleId="FootnoteText">
    <w:name w:val="footnote text"/>
    <w:basedOn w:val="Normal"/>
    <w:link w:val="FootnoteTextChar"/>
    <w:uiPriority w:val="99"/>
    <w:semiHidden/>
    <w:unhideWhenUsed/>
    <w:rsid w:val="00547D1B"/>
    <w:pPr>
      <w:spacing w:line="240" w:lineRule="auto"/>
    </w:pPr>
    <w:rPr>
      <w:sz w:val="20"/>
      <w:szCs w:val="20"/>
    </w:rPr>
  </w:style>
  <w:style w:type="character" w:customStyle="1" w:styleId="FootnoteTextChar">
    <w:name w:val="Footnote Text Char"/>
    <w:basedOn w:val="DefaultParagraphFont"/>
    <w:link w:val="FootnoteText"/>
    <w:uiPriority w:val="99"/>
    <w:semiHidden/>
    <w:rsid w:val="00547D1B"/>
    <w:rPr>
      <w:sz w:val="20"/>
      <w:szCs w:val="20"/>
      <w:lang w:val="fr-FR"/>
    </w:rPr>
  </w:style>
  <w:style w:type="character" w:styleId="FootnoteReference">
    <w:name w:val="footnote reference"/>
    <w:basedOn w:val="DefaultParagraphFont"/>
    <w:uiPriority w:val="99"/>
    <w:semiHidden/>
    <w:unhideWhenUsed/>
    <w:rsid w:val="00547D1B"/>
    <w:rPr>
      <w:vertAlign w:val="superscript"/>
    </w:rPr>
  </w:style>
  <w:style w:type="character" w:styleId="Emphasis">
    <w:name w:val="Emphasis"/>
    <w:basedOn w:val="DefaultParagraphFont"/>
    <w:uiPriority w:val="20"/>
    <w:qFormat/>
    <w:rsid w:val="00896530"/>
    <w:rPr>
      <w:i/>
      <w:iCs/>
    </w:rPr>
  </w:style>
  <w:style w:type="character" w:styleId="CommentReference">
    <w:name w:val="annotation reference"/>
    <w:basedOn w:val="DefaultParagraphFont"/>
    <w:uiPriority w:val="99"/>
    <w:semiHidden/>
    <w:unhideWhenUsed/>
    <w:rsid w:val="008E1C30"/>
    <w:rPr>
      <w:sz w:val="16"/>
      <w:szCs w:val="16"/>
    </w:rPr>
  </w:style>
  <w:style w:type="paragraph" w:styleId="CommentText">
    <w:name w:val="annotation text"/>
    <w:basedOn w:val="Normal"/>
    <w:link w:val="CommentTextChar"/>
    <w:uiPriority w:val="99"/>
    <w:unhideWhenUsed/>
    <w:rsid w:val="008E1C30"/>
    <w:pPr>
      <w:spacing w:line="240" w:lineRule="auto"/>
    </w:pPr>
    <w:rPr>
      <w:sz w:val="20"/>
      <w:szCs w:val="20"/>
    </w:rPr>
  </w:style>
  <w:style w:type="character" w:customStyle="1" w:styleId="CommentTextChar">
    <w:name w:val="Comment Text Char"/>
    <w:basedOn w:val="DefaultParagraphFont"/>
    <w:link w:val="CommentText"/>
    <w:uiPriority w:val="99"/>
    <w:rsid w:val="008E1C30"/>
    <w:rPr>
      <w:sz w:val="20"/>
      <w:szCs w:val="20"/>
      <w:lang w:val="fr-FR"/>
    </w:rPr>
  </w:style>
  <w:style w:type="paragraph" w:styleId="CommentSubject">
    <w:name w:val="annotation subject"/>
    <w:basedOn w:val="CommentText"/>
    <w:next w:val="CommentText"/>
    <w:link w:val="CommentSubjectChar"/>
    <w:uiPriority w:val="99"/>
    <w:semiHidden/>
    <w:unhideWhenUsed/>
    <w:rsid w:val="008E1C30"/>
    <w:rPr>
      <w:b/>
      <w:bCs/>
    </w:rPr>
  </w:style>
  <w:style w:type="character" w:customStyle="1" w:styleId="CommentSubjectChar">
    <w:name w:val="Comment Subject Char"/>
    <w:basedOn w:val="CommentTextChar"/>
    <w:link w:val="CommentSubject"/>
    <w:uiPriority w:val="99"/>
    <w:semiHidden/>
    <w:rsid w:val="008E1C30"/>
    <w:rPr>
      <w:b/>
      <w:bCs/>
      <w:sz w:val="20"/>
      <w:szCs w:val="20"/>
      <w:lang w:val="fr-FR"/>
    </w:rPr>
  </w:style>
  <w:style w:type="paragraph" w:styleId="BalloonText">
    <w:name w:val="Balloon Text"/>
    <w:basedOn w:val="Normal"/>
    <w:link w:val="BalloonTextChar"/>
    <w:uiPriority w:val="99"/>
    <w:semiHidden/>
    <w:unhideWhenUsed/>
    <w:rsid w:val="008E1C3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1C30"/>
    <w:rPr>
      <w:rFonts w:ascii="Segoe UI" w:hAnsi="Segoe UI" w:cs="Segoe UI"/>
      <w:sz w:val="18"/>
      <w:szCs w:val="18"/>
      <w:lang w:val="fr-FR"/>
    </w:rPr>
  </w:style>
  <w:style w:type="paragraph" w:customStyle="1" w:styleId="SingleTxtG">
    <w:name w:val="_ Single Txt_G"/>
    <w:basedOn w:val="Normal"/>
    <w:qFormat/>
    <w:rsid w:val="00341875"/>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table" w:styleId="TableGrid">
    <w:name w:val="Table Grid"/>
    <w:basedOn w:val="TableNormal"/>
    <w:uiPriority w:val="39"/>
    <w:rsid w:val="00341875"/>
    <w:pPr>
      <w:suppressAutoHyphens/>
      <w:spacing w:after="0" w:line="240" w:lineRule="atLeast"/>
    </w:pPr>
    <w:rPr>
      <w:rFonts w:ascii="Times New Roman"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23G">
    <w:name w:val="_ H_2/3_G"/>
    <w:basedOn w:val="Normal"/>
    <w:next w:val="Normal"/>
    <w:qFormat/>
    <w:rsid w:val="00341875"/>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341875"/>
    <w:pPr>
      <w:numPr>
        <w:numId w:val="24"/>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sz w:val="20"/>
      <w:szCs w:val="20"/>
      <w:lang w:val="fr-CH"/>
    </w:rPr>
  </w:style>
  <w:style w:type="table" w:customStyle="1" w:styleId="TableGrid1">
    <w:name w:val="Table Grid1"/>
    <w:basedOn w:val="TableNormal"/>
    <w:next w:val="TableGrid"/>
    <w:uiPriority w:val="39"/>
    <w:rsid w:val="00341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D26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C50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6D6A3F"/>
    <w:rPr>
      <w:b/>
      <w:bCs/>
    </w:rPr>
  </w:style>
  <w:style w:type="paragraph" w:styleId="TOCHeading">
    <w:name w:val="TOC Heading"/>
    <w:basedOn w:val="Heading1"/>
    <w:next w:val="Normal"/>
    <w:uiPriority w:val="39"/>
    <w:unhideWhenUsed/>
    <w:qFormat/>
    <w:rsid w:val="00977944"/>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977944"/>
    <w:pPr>
      <w:spacing w:after="100"/>
    </w:pPr>
  </w:style>
  <w:style w:type="paragraph" w:styleId="TOC2">
    <w:name w:val="toc 2"/>
    <w:basedOn w:val="Normal"/>
    <w:next w:val="Normal"/>
    <w:autoRedefine/>
    <w:uiPriority w:val="39"/>
    <w:unhideWhenUsed/>
    <w:rsid w:val="00977944"/>
    <w:pPr>
      <w:spacing w:after="100"/>
      <w:ind w:left="220"/>
    </w:pPr>
  </w:style>
  <w:style w:type="paragraph" w:styleId="TOC3">
    <w:name w:val="toc 3"/>
    <w:basedOn w:val="Normal"/>
    <w:next w:val="Normal"/>
    <w:autoRedefine/>
    <w:uiPriority w:val="39"/>
    <w:unhideWhenUsed/>
    <w:rsid w:val="009779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3150">
      <w:bodyDiv w:val="1"/>
      <w:marLeft w:val="0"/>
      <w:marRight w:val="0"/>
      <w:marTop w:val="0"/>
      <w:marBottom w:val="0"/>
      <w:divBdr>
        <w:top w:val="none" w:sz="0" w:space="0" w:color="auto"/>
        <w:left w:val="none" w:sz="0" w:space="0" w:color="auto"/>
        <w:bottom w:val="none" w:sz="0" w:space="0" w:color="auto"/>
        <w:right w:val="none" w:sz="0" w:space="0" w:color="auto"/>
      </w:divBdr>
    </w:div>
    <w:div w:id="41636590">
      <w:bodyDiv w:val="1"/>
      <w:marLeft w:val="0"/>
      <w:marRight w:val="0"/>
      <w:marTop w:val="0"/>
      <w:marBottom w:val="0"/>
      <w:divBdr>
        <w:top w:val="none" w:sz="0" w:space="0" w:color="auto"/>
        <w:left w:val="none" w:sz="0" w:space="0" w:color="auto"/>
        <w:bottom w:val="none" w:sz="0" w:space="0" w:color="auto"/>
        <w:right w:val="none" w:sz="0" w:space="0" w:color="auto"/>
      </w:divBdr>
    </w:div>
    <w:div w:id="97217792">
      <w:bodyDiv w:val="1"/>
      <w:marLeft w:val="0"/>
      <w:marRight w:val="0"/>
      <w:marTop w:val="0"/>
      <w:marBottom w:val="0"/>
      <w:divBdr>
        <w:top w:val="none" w:sz="0" w:space="0" w:color="auto"/>
        <w:left w:val="none" w:sz="0" w:space="0" w:color="auto"/>
        <w:bottom w:val="none" w:sz="0" w:space="0" w:color="auto"/>
        <w:right w:val="none" w:sz="0" w:space="0" w:color="auto"/>
      </w:divBdr>
    </w:div>
    <w:div w:id="111166873">
      <w:bodyDiv w:val="1"/>
      <w:marLeft w:val="0"/>
      <w:marRight w:val="0"/>
      <w:marTop w:val="0"/>
      <w:marBottom w:val="0"/>
      <w:divBdr>
        <w:top w:val="none" w:sz="0" w:space="0" w:color="auto"/>
        <w:left w:val="none" w:sz="0" w:space="0" w:color="auto"/>
        <w:bottom w:val="none" w:sz="0" w:space="0" w:color="auto"/>
        <w:right w:val="none" w:sz="0" w:space="0" w:color="auto"/>
      </w:divBdr>
    </w:div>
    <w:div w:id="140926746">
      <w:bodyDiv w:val="1"/>
      <w:marLeft w:val="0"/>
      <w:marRight w:val="0"/>
      <w:marTop w:val="0"/>
      <w:marBottom w:val="0"/>
      <w:divBdr>
        <w:top w:val="none" w:sz="0" w:space="0" w:color="auto"/>
        <w:left w:val="none" w:sz="0" w:space="0" w:color="auto"/>
        <w:bottom w:val="none" w:sz="0" w:space="0" w:color="auto"/>
        <w:right w:val="none" w:sz="0" w:space="0" w:color="auto"/>
      </w:divBdr>
    </w:div>
    <w:div w:id="157230486">
      <w:bodyDiv w:val="1"/>
      <w:marLeft w:val="0"/>
      <w:marRight w:val="0"/>
      <w:marTop w:val="0"/>
      <w:marBottom w:val="0"/>
      <w:divBdr>
        <w:top w:val="none" w:sz="0" w:space="0" w:color="auto"/>
        <w:left w:val="none" w:sz="0" w:space="0" w:color="auto"/>
        <w:bottom w:val="none" w:sz="0" w:space="0" w:color="auto"/>
        <w:right w:val="none" w:sz="0" w:space="0" w:color="auto"/>
      </w:divBdr>
    </w:div>
    <w:div w:id="157353116">
      <w:bodyDiv w:val="1"/>
      <w:marLeft w:val="0"/>
      <w:marRight w:val="0"/>
      <w:marTop w:val="0"/>
      <w:marBottom w:val="0"/>
      <w:divBdr>
        <w:top w:val="none" w:sz="0" w:space="0" w:color="auto"/>
        <w:left w:val="none" w:sz="0" w:space="0" w:color="auto"/>
        <w:bottom w:val="none" w:sz="0" w:space="0" w:color="auto"/>
        <w:right w:val="none" w:sz="0" w:space="0" w:color="auto"/>
      </w:divBdr>
    </w:div>
    <w:div w:id="282267859">
      <w:bodyDiv w:val="1"/>
      <w:marLeft w:val="0"/>
      <w:marRight w:val="0"/>
      <w:marTop w:val="0"/>
      <w:marBottom w:val="0"/>
      <w:divBdr>
        <w:top w:val="none" w:sz="0" w:space="0" w:color="auto"/>
        <w:left w:val="none" w:sz="0" w:space="0" w:color="auto"/>
        <w:bottom w:val="none" w:sz="0" w:space="0" w:color="auto"/>
        <w:right w:val="none" w:sz="0" w:space="0" w:color="auto"/>
      </w:divBdr>
    </w:div>
    <w:div w:id="282620135">
      <w:bodyDiv w:val="1"/>
      <w:marLeft w:val="0"/>
      <w:marRight w:val="0"/>
      <w:marTop w:val="0"/>
      <w:marBottom w:val="0"/>
      <w:divBdr>
        <w:top w:val="none" w:sz="0" w:space="0" w:color="auto"/>
        <w:left w:val="none" w:sz="0" w:space="0" w:color="auto"/>
        <w:bottom w:val="none" w:sz="0" w:space="0" w:color="auto"/>
        <w:right w:val="none" w:sz="0" w:space="0" w:color="auto"/>
      </w:divBdr>
    </w:div>
    <w:div w:id="287394213">
      <w:bodyDiv w:val="1"/>
      <w:marLeft w:val="0"/>
      <w:marRight w:val="0"/>
      <w:marTop w:val="0"/>
      <w:marBottom w:val="0"/>
      <w:divBdr>
        <w:top w:val="none" w:sz="0" w:space="0" w:color="auto"/>
        <w:left w:val="none" w:sz="0" w:space="0" w:color="auto"/>
        <w:bottom w:val="none" w:sz="0" w:space="0" w:color="auto"/>
        <w:right w:val="none" w:sz="0" w:space="0" w:color="auto"/>
      </w:divBdr>
    </w:div>
    <w:div w:id="345406852">
      <w:bodyDiv w:val="1"/>
      <w:marLeft w:val="0"/>
      <w:marRight w:val="0"/>
      <w:marTop w:val="0"/>
      <w:marBottom w:val="0"/>
      <w:divBdr>
        <w:top w:val="none" w:sz="0" w:space="0" w:color="auto"/>
        <w:left w:val="none" w:sz="0" w:space="0" w:color="auto"/>
        <w:bottom w:val="none" w:sz="0" w:space="0" w:color="auto"/>
        <w:right w:val="none" w:sz="0" w:space="0" w:color="auto"/>
      </w:divBdr>
    </w:div>
    <w:div w:id="358823311">
      <w:bodyDiv w:val="1"/>
      <w:marLeft w:val="0"/>
      <w:marRight w:val="0"/>
      <w:marTop w:val="0"/>
      <w:marBottom w:val="0"/>
      <w:divBdr>
        <w:top w:val="none" w:sz="0" w:space="0" w:color="auto"/>
        <w:left w:val="none" w:sz="0" w:space="0" w:color="auto"/>
        <w:bottom w:val="none" w:sz="0" w:space="0" w:color="auto"/>
        <w:right w:val="none" w:sz="0" w:space="0" w:color="auto"/>
      </w:divBdr>
    </w:div>
    <w:div w:id="392587240">
      <w:bodyDiv w:val="1"/>
      <w:marLeft w:val="0"/>
      <w:marRight w:val="0"/>
      <w:marTop w:val="0"/>
      <w:marBottom w:val="0"/>
      <w:divBdr>
        <w:top w:val="none" w:sz="0" w:space="0" w:color="auto"/>
        <w:left w:val="none" w:sz="0" w:space="0" w:color="auto"/>
        <w:bottom w:val="none" w:sz="0" w:space="0" w:color="auto"/>
        <w:right w:val="none" w:sz="0" w:space="0" w:color="auto"/>
      </w:divBdr>
    </w:div>
    <w:div w:id="449711563">
      <w:bodyDiv w:val="1"/>
      <w:marLeft w:val="0"/>
      <w:marRight w:val="0"/>
      <w:marTop w:val="0"/>
      <w:marBottom w:val="0"/>
      <w:divBdr>
        <w:top w:val="none" w:sz="0" w:space="0" w:color="auto"/>
        <w:left w:val="none" w:sz="0" w:space="0" w:color="auto"/>
        <w:bottom w:val="none" w:sz="0" w:space="0" w:color="auto"/>
        <w:right w:val="none" w:sz="0" w:space="0" w:color="auto"/>
      </w:divBdr>
    </w:div>
    <w:div w:id="532764363">
      <w:bodyDiv w:val="1"/>
      <w:marLeft w:val="0"/>
      <w:marRight w:val="0"/>
      <w:marTop w:val="0"/>
      <w:marBottom w:val="0"/>
      <w:divBdr>
        <w:top w:val="none" w:sz="0" w:space="0" w:color="auto"/>
        <w:left w:val="none" w:sz="0" w:space="0" w:color="auto"/>
        <w:bottom w:val="none" w:sz="0" w:space="0" w:color="auto"/>
        <w:right w:val="none" w:sz="0" w:space="0" w:color="auto"/>
      </w:divBdr>
    </w:div>
    <w:div w:id="604465055">
      <w:bodyDiv w:val="1"/>
      <w:marLeft w:val="0"/>
      <w:marRight w:val="0"/>
      <w:marTop w:val="0"/>
      <w:marBottom w:val="0"/>
      <w:divBdr>
        <w:top w:val="none" w:sz="0" w:space="0" w:color="auto"/>
        <w:left w:val="none" w:sz="0" w:space="0" w:color="auto"/>
        <w:bottom w:val="none" w:sz="0" w:space="0" w:color="auto"/>
        <w:right w:val="none" w:sz="0" w:space="0" w:color="auto"/>
      </w:divBdr>
    </w:div>
    <w:div w:id="749811796">
      <w:bodyDiv w:val="1"/>
      <w:marLeft w:val="0"/>
      <w:marRight w:val="0"/>
      <w:marTop w:val="0"/>
      <w:marBottom w:val="0"/>
      <w:divBdr>
        <w:top w:val="none" w:sz="0" w:space="0" w:color="auto"/>
        <w:left w:val="none" w:sz="0" w:space="0" w:color="auto"/>
        <w:bottom w:val="none" w:sz="0" w:space="0" w:color="auto"/>
        <w:right w:val="none" w:sz="0" w:space="0" w:color="auto"/>
      </w:divBdr>
    </w:div>
    <w:div w:id="772363739">
      <w:bodyDiv w:val="1"/>
      <w:marLeft w:val="0"/>
      <w:marRight w:val="0"/>
      <w:marTop w:val="0"/>
      <w:marBottom w:val="0"/>
      <w:divBdr>
        <w:top w:val="none" w:sz="0" w:space="0" w:color="auto"/>
        <w:left w:val="none" w:sz="0" w:space="0" w:color="auto"/>
        <w:bottom w:val="none" w:sz="0" w:space="0" w:color="auto"/>
        <w:right w:val="none" w:sz="0" w:space="0" w:color="auto"/>
      </w:divBdr>
    </w:div>
    <w:div w:id="842472587">
      <w:bodyDiv w:val="1"/>
      <w:marLeft w:val="0"/>
      <w:marRight w:val="0"/>
      <w:marTop w:val="0"/>
      <w:marBottom w:val="0"/>
      <w:divBdr>
        <w:top w:val="none" w:sz="0" w:space="0" w:color="auto"/>
        <w:left w:val="none" w:sz="0" w:space="0" w:color="auto"/>
        <w:bottom w:val="none" w:sz="0" w:space="0" w:color="auto"/>
        <w:right w:val="none" w:sz="0" w:space="0" w:color="auto"/>
      </w:divBdr>
    </w:div>
    <w:div w:id="920287624">
      <w:bodyDiv w:val="1"/>
      <w:marLeft w:val="0"/>
      <w:marRight w:val="0"/>
      <w:marTop w:val="0"/>
      <w:marBottom w:val="0"/>
      <w:divBdr>
        <w:top w:val="none" w:sz="0" w:space="0" w:color="auto"/>
        <w:left w:val="none" w:sz="0" w:space="0" w:color="auto"/>
        <w:bottom w:val="none" w:sz="0" w:space="0" w:color="auto"/>
        <w:right w:val="none" w:sz="0" w:space="0" w:color="auto"/>
      </w:divBdr>
    </w:div>
    <w:div w:id="1010251742">
      <w:bodyDiv w:val="1"/>
      <w:marLeft w:val="0"/>
      <w:marRight w:val="0"/>
      <w:marTop w:val="0"/>
      <w:marBottom w:val="0"/>
      <w:divBdr>
        <w:top w:val="none" w:sz="0" w:space="0" w:color="auto"/>
        <w:left w:val="none" w:sz="0" w:space="0" w:color="auto"/>
        <w:bottom w:val="none" w:sz="0" w:space="0" w:color="auto"/>
        <w:right w:val="none" w:sz="0" w:space="0" w:color="auto"/>
      </w:divBdr>
    </w:div>
    <w:div w:id="1246451175">
      <w:bodyDiv w:val="1"/>
      <w:marLeft w:val="0"/>
      <w:marRight w:val="0"/>
      <w:marTop w:val="0"/>
      <w:marBottom w:val="0"/>
      <w:divBdr>
        <w:top w:val="none" w:sz="0" w:space="0" w:color="auto"/>
        <w:left w:val="none" w:sz="0" w:space="0" w:color="auto"/>
        <w:bottom w:val="none" w:sz="0" w:space="0" w:color="auto"/>
        <w:right w:val="none" w:sz="0" w:space="0" w:color="auto"/>
      </w:divBdr>
    </w:div>
    <w:div w:id="1253077964">
      <w:bodyDiv w:val="1"/>
      <w:marLeft w:val="0"/>
      <w:marRight w:val="0"/>
      <w:marTop w:val="0"/>
      <w:marBottom w:val="0"/>
      <w:divBdr>
        <w:top w:val="none" w:sz="0" w:space="0" w:color="auto"/>
        <w:left w:val="none" w:sz="0" w:space="0" w:color="auto"/>
        <w:bottom w:val="none" w:sz="0" w:space="0" w:color="auto"/>
        <w:right w:val="none" w:sz="0" w:space="0" w:color="auto"/>
      </w:divBdr>
    </w:div>
    <w:div w:id="1311521464">
      <w:bodyDiv w:val="1"/>
      <w:marLeft w:val="0"/>
      <w:marRight w:val="0"/>
      <w:marTop w:val="0"/>
      <w:marBottom w:val="0"/>
      <w:divBdr>
        <w:top w:val="none" w:sz="0" w:space="0" w:color="auto"/>
        <w:left w:val="none" w:sz="0" w:space="0" w:color="auto"/>
        <w:bottom w:val="none" w:sz="0" w:space="0" w:color="auto"/>
        <w:right w:val="none" w:sz="0" w:space="0" w:color="auto"/>
      </w:divBdr>
    </w:div>
    <w:div w:id="1460759562">
      <w:bodyDiv w:val="1"/>
      <w:marLeft w:val="0"/>
      <w:marRight w:val="0"/>
      <w:marTop w:val="0"/>
      <w:marBottom w:val="0"/>
      <w:divBdr>
        <w:top w:val="none" w:sz="0" w:space="0" w:color="auto"/>
        <w:left w:val="none" w:sz="0" w:space="0" w:color="auto"/>
        <w:bottom w:val="none" w:sz="0" w:space="0" w:color="auto"/>
        <w:right w:val="none" w:sz="0" w:space="0" w:color="auto"/>
      </w:divBdr>
    </w:div>
    <w:div w:id="1486361104">
      <w:bodyDiv w:val="1"/>
      <w:marLeft w:val="0"/>
      <w:marRight w:val="0"/>
      <w:marTop w:val="0"/>
      <w:marBottom w:val="0"/>
      <w:divBdr>
        <w:top w:val="none" w:sz="0" w:space="0" w:color="auto"/>
        <w:left w:val="none" w:sz="0" w:space="0" w:color="auto"/>
        <w:bottom w:val="none" w:sz="0" w:space="0" w:color="auto"/>
        <w:right w:val="none" w:sz="0" w:space="0" w:color="auto"/>
      </w:divBdr>
    </w:div>
    <w:div w:id="1574586501">
      <w:bodyDiv w:val="1"/>
      <w:marLeft w:val="0"/>
      <w:marRight w:val="0"/>
      <w:marTop w:val="0"/>
      <w:marBottom w:val="0"/>
      <w:divBdr>
        <w:top w:val="none" w:sz="0" w:space="0" w:color="auto"/>
        <w:left w:val="none" w:sz="0" w:space="0" w:color="auto"/>
        <w:bottom w:val="none" w:sz="0" w:space="0" w:color="auto"/>
        <w:right w:val="none" w:sz="0" w:space="0" w:color="auto"/>
      </w:divBdr>
    </w:div>
    <w:div w:id="1583102381">
      <w:bodyDiv w:val="1"/>
      <w:marLeft w:val="0"/>
      <w:marRight w:val="0"/>
      <w:marTop w:val="0"/>
      <w:marBottom w:val="0"/>
      <w:divBdr>
        <w:top w:val="none" w:sz="0" w:space="0" w:color="auto"/>
        <w:left w:val="none" w:sz="0" w:space="0" w:color="auto"/>
        <w:bottom w:val="none" w:sz="0" w:space="0" w:color="auto"/>
        <w:right w:val="none" w:sz="0" w:space="0" w:color="auto"/>
      </w:divBdr>
    </w:div>
    <w:div w:id="1759790333">
      <w:bodyDiv w:val="1"/>
      <w:marLeft w:val="0"/>
      <w:marRight w:val="0"/>
      <w:marTop w:val="0"/>
      <w:marBottom w:val="0"/>
      <w:divBdr>
        <w:top w:val="none" w:sz="0" w:space="0" w:color="auto"/>
        <w:left w:val="none" w:sz="0" w:space="0" w:color="auto"/>
        <w:bottom w:val="none" w:sz="0" w:space="0" w:color="auto"/>
        <w:right w:val="none" w:sz="0" w:space="0" w:color="auto"/>
      </w:divBdr>
    </w:div>
    <w:div w:id="1820344047">
      <w:bodyDiv w:val="1"/>
      <w:marLeft w:val="0"/>
      <w:marRight w:val="0"/>
      <w:marTop w:val="0"/>
      <w:marBottom w:val="0"/>
      <w:divBdr>
        <w:top w:val="none" w:sz="0" w:space="0" w:color="auto"/>
        <w:left w:val="none" w:sz="0" w:space="0" w:color="auto"/>
        <w:bottom w:val="none" w:sz="0" w:space="0" w:color="auto"/>
        <w:right w:val="none" w:sz="0" w:space="0" w:color="auto"/>
      </w:divBdr>
    </w:div>
    <w:div w:id="1894580281">
      <w:bodyDiv w:val="1"/>
      <w:marLeft w:val="0"/>
      <w:marRight w:val="0"/>
      <w:marTop w:val="0"/>
      <w:marBottom w:val="0"/>
      <w:divBdr>
        <w:top w:val="none" w:sz="0" w:space="0" w:color="auto"/>
        <w:left w:val="none" w:sz="0" w:space="0" w:color="auto"/>
        <w:bottom w:val="none" w:sz="0" w:space="0" w:color="auto"/>
        <w:right w:val="none" w:sz="0" w:space="0" w:color="auto"/>
      </w:divBdr>
    </w:div>
    <w:div w:id="1927617821">
      <w:bodyDiv w:val="1"/>
      <w:marLeft w:val="0"/>
      <w:marRight w:val="0"/>
      <w:marTop w:val="0"/>
      <w:marBottom w:val="0"/>
      <w:divBdr>
        <w:top w:val="none" w:sz="0" w:space="0" w:color="auto"/>
        <w:left w:val="none" w:sz="0" w:space="0" w:color="auto"/>
        <w:bottom w:val="none" w:sz="0" w:space="0" w:color="auto"/>
        <w:right w:val="none" w:sz="0" w:space="0" w:color="auto"/>
      </w:divBdr>
    </w:div>
    <w:div w:id="1940873200">
      <w:bodyDiv w:val="1"/>
      <w:marLeft w:val="0"/>
      <w:marRight w:val="0"/>
      <w:marTop w:val="0"/>
      <w:marBottom w:val="0"/>
      <w:divBdr>
        <w:top w:val="none" w:sz="0" w:space="0" w:color="auto"/>
        <w:left w:val="none" w:sz="0" w:space="0" w:color="auto"/>
        <w:bottom w:val="none" w:sz="0" w:space="0" w:color="auto"/>
        <w:right w:val="none" w:sz="0" w:space="0" w:color="auto"/>
      </w:divBdr>
    </w:div>
    <w:div w:id="1978027362">
      <w:bodyDiv w:val="1"/>
      <w:marLeft w:val="0"/>
      <w:marRight w:val="0"/>
      <w:marTop w:val="0"/>
      <w:marBottom w:val="0"/>
      <w:divBdr>
        <w:top w:val="none" w:sz="0" w:space="0" w:color="auto"/>
        <w:left w:val="none" w:sz="0" w:space="0" w:color="auto"/>
        <w:bottom w:val="none" w:sz="0" w:space="0" w:color="auto"/>
        <w:right w:val="none" w:sz="0" w:space="0" w:color="auto"/>
      </w:divBdr>
      <w:divsChild>
        <w:div w:id="543753888">
          <w:marLeft w:val="0"/>
          <w:marRight w:val="0"/>
          <w:marTop w:val="0"/>
          <w:marBottom w:val="0"/>
          <w:divBdr>
            <w:top w:val="none" w:sz="0" w:space="0" w:color="auto"/>
            <w:left w:val="none" w:sz="0" w:space="0" w:color="auto"/>
            <w:bottom w:val="none" w:sz="0" w:space="0" w:color="auto"/>
            <w:right w:val="none" w:sz="0" w:space="0" w:color="auto"/>
          </w:divBdr>
          <w:divsChild>
            <w:div w:id="1832864494">
              <w:marLeft w:val="0"/>
              <w:marRight w:val="0"/>
              <w:marTop w:val="0"/>
              <w:marBottom w:val="0"/>
              <w:divBdr>
                <w:top w:val="none" w:sz="0" w:space="0" w:color="auto"/>
                <w:left w:val="none" w:sz="0" w:space="0" w:color="auto"/>
                <w:bottom w:val="none" w:sz="0" w:space="0" w:color="auto"/>
                <w:right w:val="none" w:sz="0" w:space="0" w:color="auto"/>
              </w:divBdr>
            </w:div>
          </w:divsChild>
        </w:div>
        <w:div w:id="689454387">
          <w:marLeft w:val="0"/>
          <w:marRight w:val="0"/>
          <w:marTop w:val="0"/>
          <w:marBottom w:val="0"/>
          <w:divBdr>
            <w:top w:val="none" w:sz="0" w:space="0" w:color="auto"/>
            <w:left w:val="none" w:sz="0" w:space="0" w:color="auto"/>
            <w:bottom w:val="none" w:sz="0" w:space="0" w:color="auto"/>
            <w:right w:val="none" w:sz="0" w:space="0" w:color="auto"/>
          </w:divBdr>
          <w:divsChild>
            <w:div w:id="98423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917234">
      <w:bodyDiv w:val="1"/>
      <w:marLeft w:val="0"/>
      <w:marRight w:val="0"/>
      <w:marTop w:val="0"/>
      <w:marBottom w:val="0"/>
      <w:divBdr>
        <w:top w:val="none" w:sz="0" w:space="0" w:color="auto"/>
        <w:left w:val="none" w:sz="0" w:space="0" w:color="auto"/>
        <w:bottom w:val="none" w:sz="0" w:space="0" w:color="auto"/>
        <w:right w:val="none" w:sz="0" w:space="0" w:color="auto"/>
      </w:divBdr>
    </w:div>
    <w:div w:id="2063553178">
      <w:bodyDiv w:val="1"/>
      <w:marLeft w:val="0"/>
      <w:marRight w:val="0"/>
      <w:marTop w:val="0"/>
      <w:marBottom w:val="0"/>
      <w:divBdr>
        <w:top w:val="none" w:sz="0" w:space="0" w:color="auto"/>
        <w:left w:val="none" w:sz="0" w:space="0" w:color="auto"/>
        <w:bottom w:val="none" w:sz="0" w:space="0" w:color="auto"/>
        <w:right w:val="none" w:sz="0" w:space="0" w:color="auto"/>
      </w:divBdr>
    </w:div>
    <w:div w:id="2083409744">
      <w:bodyDiv w:val="1"/>
      <w:marLeft w:val="0"/>
      <w:marRight w:val="0"/>
      <w:marTop w:val="0"/>
      <w:marBottom w:val="0"/>
      <w:divBdr>
        <w:top w:val="none" w:sz="0" w:space="0" w:color="auto"/>
        <w:left w:val="none" w:sz="0" w:space="0" w:color="auto"/>
        <w:bottom w:val="none" w:sz="0" w:space="0" w:color="auto"/>
        <w:right w:val="none" w:sz="0" w:space="0" w:color="auto"/>
      </w:divBdr>
    </w:div>
    <w:div w:id="2087531570">
      <w:bodyDiv w:val="1"/>
      <w:marLeft w:val="0"/>
      <w:marRight w:val="0"/>
      <w:marTop w:val="0"/>
      <w:marBottom w:val="0"/>
      <w:divBdr>
        <w:top w:val="none" w:sz="0" w:space="0" w:color="auto"/>
        <w:left w:val="none" w:sz="0" w:space="0" w:color="auto"/>
        <w:bottom w:val="none" w:sz="0" w:space="0" w:color="auto"/>
        <w:right w:val="none" w:sz="0" w:space="0" w:color="auto"/>
      </w:divBdr>
    </w:div>
    <w:div w:id="209925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mfamigr.gouvernement.lu/fr/campagnes/solidarite/Personnesintersexes.html" TargetMode="External"/><Relationship Id="rId2" Type="http://schemas.openxmlformats.org/officeDocument/2006/relationships/hyperlink" Target="https://www.childprotection.lu/lexploitation-sexuelle-des-enfants-a-letranger/" TargetMode="External"/><Relationship Id="rId1" Type="http://schemas.openxmlformats.org/officeDocument/2006/relationships/hyperlink" Target="https://ecpat.lu/" TargetMode="External"/><Relationship Id="rId4" Type="http://schemas.openxmlformats.org/officeDocument/2006/relationships/hyperlink" Target="https://legilux.public.lu/eli/etat/leg/loi/1973/07/28/n3/consolide/20080101"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work01.gouv.etat.lu\AP\Fileserver\DAP\PUBLIC\r&#233;forme%20dossier%20commun\Direction%20g&#233;n&#233;rale%20-%20DG\280%20-%20Statistiques\Demandes%20de%20relev&#233;s%20statistiques\230421_SK_CAT20.04.202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fr-FR" sz="1100">
                <a:solidFill>
                  <a:sysClr val="windowText" lastClr="000000"/>
                </a:solidFill>
              </a:rPr>
              <a:t>Prévenus par groupe d'âge</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endParaRPr lang="fr-FR"/>
        </a:p>
      </c:txPr>
    </c:title>
    <c:autoTitleDeleted val="0"/>
    <c:plotArea>
      <c:layout/>
      <c:barChart>
        <c:barDir val="col"/>
        <c:grouping val="clustered"/>
        <c:varyColors val="0"/>
        <c:ser>
          <c:idx val="0"/>
          <c:order val="0"/>
          <c:tx>
            <c:strRef>
              <c:f>'2)b.'!$B$4</c:f>
              <c:strCache>
                <c:ptCount val="1"/>
                <c:pt idx="0">
                  <c:v>31.12.19</c:v>
                </c:pt>
              </c:strCache>
            </c:strRef>
          </c:tx>
          <c:spPr>
            <a:solidFill>
              <a:schemeClr val="accent1">
                <a:tint val="54000"/>
              </a:schemeClr>
            </a:solidFill>
            <a:ln>
              <a:noFill/>
            </a:ln>
            <a:effectLst/>
          </c:spPr>
          <c:invertIfNegative val="0"/>
          <c:dLbls>
            <c:delete val="1"/>
          </c:dLbls>
          <c:cat>
            <c:strRef>
              <c:f>'2)b.'!$C$3:$J$3</c:f>
              <c:strCache>
                <c:ptCount val="8"/>
                <c:pt idx="0">
                  <c:v>&lt; 18</c:v>
                </c:pt>
                <c:pt idx="1">
                  <c:v>18 ≤ x &lt; 21</c:v>
                </c:pt>
                <c:pt idx="2">
                  <c:v>21 ≤ x &lt; 25</c:v>
                </c:pt>
                <c:pt idx="3">
                  <c:v>25 ≤ x &lt; 30</c:v>
                </c:pt>
                <c:pt idx="4">
                  <c:v>30 ≤ x &lt; 40</c:v>
                </c:pt>
                <c:pt idx="5">
                  <c:v>40 ≤ x &lt; 50</c:v>
                </c:pt>
                <c:pt idx="6">
                  <c:v>50 ≤ x &lt; 60</c:v>
                </c:pt>
                <c:pt idx="7">
                  <c:v>60 ≥ x </c:v>
                </c:pt>
              </c:strCache>
            </c:strRef>
          </c:cat>
          <c:val>
            <c:numRef>
              <c:f>'2)b.'!$C$4:$J$4</c:f>
              <c:numCache>
                <c:formatCode>0.0%</c:formatCode>
                <c:ptCount val="8"/>
                <c:pt idx="0">
                  <c:v>9.3749999999999997E-3</c:v>
                </c:pt>
                <c:pt idx="1">
                  <c:v>5.3124999999999999E-2</c:v>
                </c:pt>
                <c:pt idx="2">
                  <c:v>0.15312500000000001</c:v>
                </c:pt>
                <c:pt idx="3">
                  <c:v>0.171875</c:v>
                </c:pt>
                <c:pt idx="4">
                  <c:v>0.32500000000000001</c:v>
                </c:pt>
                <c:pt idx="5">
                  <c:v>0.23125000000000001</c:v>
                </c:pt>
                <c:pt idx="6">
                  <c:v>4.6875E-2</c:v>
                </c:pt>
                <c:pt idx="7">
                  <c:v>9.3749999999999997E-3</c:v>
                </c:pt>
              </c:numCache>
            </c:numRef>
          </c:val>
          <c:extLst>
            <c:ext xmlns:c16="http://schemas.microsoft.com/office/drawing/2014/chart" uri="{C3380CC4-5D6E-409C-BE32-E72D297353CC}">
              <c16:uniqueId val="{00000000-6B58-44E9-A0B3-6CF391E15BCF}"/>
            </c:ext>
          </c:extLst>
        </c:ser>
        <c:ser>
          <c:idx val="1"/>
          <c:order val="1"/>
          <c:tx>
            <c:strRef>
              <c:f>'2)b.'!$B$5</c:f>
              <c:strCache>
                <c:ptCount val="1"/>
                <c:pt idx="0">
                  <c:v>01.01.20</c:v>
                </c:pt>
              </c:strCache>
            </c:strRef>
          </c:tx>
          <c:spPr>
            <a:solidFill>
              <a:schemeClr val="accent1">
                <a:tint val="77000"/>
              </a:schemeClr>
            </a:solidFill>
            <a:ln>
              <a:noFill/>
            </a:ln>
            <a:effectLst/>
          </c:spPr>
          <c:invertIfNegative val="0"/>
          <c:dLbls>
            <c:delete val="1"/>
          </c:dLbls>
          <c:cat>
            <c:strRef>
              <c:f>'2)b.'!$C$3:$J$3</c:f>
              <c:strCache>
                <c:ptCount val="8"/>
                <c:pt idx="0">
                  <c:v>&lt; 18</c:v>
                </c:pt>
                <c:pt idx="1">
                  <c:v>18 ≤ x &lt; 21</c:v>
                </c:pt>
                <c:pt idx="2">
                  <c:v>21 ≤ x &lt; 25</c:v>
                </c:pt>
                <c:pt idx="3">
                  <c:v>25 ≤ x &lt; 30</c:v>
                </c:pt>
                <c:pt idx="4">
                  <c:v>30 ≤ x &lt; 40</c:v>
                </c:pt>
                <c:pt idx="5">
                  <c:v>40 ≤ x &lt; 50</c:v>
                </c:pt>
                <c:pt idx="6">
                  <c:v>50 ≤ x &lt; 60</c:v>
                </c:pt>
                <c:pt idx="7">
                  <c:v>60 ≥ x </c:v>
                </c:pt>
              </c:strCache>
            </c:strRef>
          </c:cat>
          <c:val>
            <c:numRef>
              <c:f>'2)b.'!$C$5:$J$5</c:f>
              <c:numCache>
                <c:formatCode>0.0%</c:formatCode>
                <c:ptCount val="8"/>
                <c:pt idx="0">
                  <c:v>0</c:v>
                </c:pt>
                <c:pt idx="1">
                  <c:v>5.8419243986254296E-2</c:v>
                </c:pt>
                <c:pt idx="2">
                  <c:v>0.13745704467353953</c:v>
                </c:pt>
                <c:pt idx="3">
                  <c:v>0.18556701030927836</c:v>
                </c:pt>
                <c:pt idx="4">
                  <c:v>0.31958762886597936</c:v>
                </c:pt>
                <c:pt idx="5">
                  <c:v>0.18900343642611683</c:v>
                </c:pt>
                <c:pt idx="6">
                  <c:v>8.5910652920962199E-2</c:v>
                </c:pt>
                <c:pt idx="7">
                  <c:v>2.4054982817869417E-2</c:v>
                </c:pt>
              </c:numCache>
            </c:numRef>
          </c:val>
          <c:extLst>
            <c:ext xmlns:c16="http://schemas.microsoft.com/office/drawing/2014/chart" uri="{C3380CC4-5D6E-409C-BE32-E72D297353CC}">
              <c16:uniqueId val="{00000001-6B58-44E9-A0B3-6CF391E15BCF}"/>
            </c:ext>
          </c:extLst>
        </c:ser>
        <c:ser>
          <c:idx val="2"/>
          <c:order val="2"/>
          <c:tx>
            <c:strRef>
              <c:f>'2)b.'!$B$6</c:f>
              <c:strCache>
                <c:ptCount val="1"/>
                <c:pt idx="0">
                  <c:v>01.01.21</c:v>
                </c:pt>
              </c:strCache>
            </c:strRef>
          </c:tx>
          <c:spPr>
            <a:solidFill>
              <a:schemeClr val="accent1"/>
            </a:solidFill>
            <a:ln>
              <a:noFill/>
            </a:ln>
            <a:effectLst/>
          </c:spPr>
          <c:invertIfNegative val="0"/>
          <c:dLbls>
            <c:delete val="1"/>
          </c:dLbls>
          <c:cat>
            <c:strRef>
              <c:f>'2)b.'!$C$3:$J$3</c:f>
              <c:strCache>
                <c:ptCount val="8"/>
                <c:pt idx="0">
                  <c:v>&lt; 18</c:v>
                </c:pt>
                <c:pt idx="1">
                  <c:v>18 ≤ x &lt; 21</c:v>
                </c:pt>
                <c:pt idx="2">
                  <c:v>21 ≤ x &lt; 25</c:v>
                </c:pt>
                <c:pt idx="3">
                  <c:v>25 ≤ x &lt; 30</c:v>
                </c:pt>
                <c:pt idx="4">
                  <c:v>30 ≤ x &lt; 40</c:v>
                </c:pt>
                <c:pt idx="5">
                  <c:v>40 ≤ x &lt; 50</c:v>
                </c:pt>
                <c:pt idx="6">
                  <c:v>50 ≤ x &lt; 60</c:v>
                </c:pt>
                <c:pt idx="7">
                  <c:v>60 ≥ x </c:v>
                </c:pt>
              </c:strCache>
            </c:strRef>
          </c:cat>
          <c:val>
            <c:numRef>
              <c:f>'2)b.'!$C$6:$J$6</c:f>
              <c:numCache>
                <c:formatCode>0.0%</c:formatCode>
                <c:ptCount val="8"/>
                <c:pt idx="0">
                  <c:v>0</c:v>
                </c:pt>
                <c:pt idx="1">
                  <c:v>2.8925619834710745E-2</c:v>
                </c:pt>
                <c:pt idx="2">
                  <c:v>0.11570247933884298</c:v>
                </c:pt>
                <c:pt idx="3">
                  <c:v>0.12396694214876033</c:v>
                </c:pt>
                <c:pt idx="4">
                  <c:v>0.36776859504132231</c:v>
                </c:pt>
                <c:pt idx="5">
                  <c:v>0.24380165289256198</c:v>
                </c:pt>
                <c:pt idx="6">
                  <c:v>8.6776859504132234E-2</c:v>
                </c:pt>
                <c:pt idx="7">
                  <c:v>3.3057851239669422E-2</c:v>
                </c:pt>
              </c:numCache>
            </c:numRef>
          </c:val>
          <c:extLst>
            <c:ext xmlns:c16="http://schemas.microsoft.com/office/drawing/2014/chart" uri="{C3380CC4-5D6E-409C-BE32-E72D297353CC}">
              <c16:uniqueId val="{00000002-6B58-44E9-A0B3-6CF391E15BCF}"/>
            </c:ext>
          </c:extLst>
        </c:ser>
        <c:ser>
          <c:idx val="3"/>
          <c:order val="3"/>
          <c:tx>
            <c:strRef>
              <c:f>'2)b.'!$B$7</c:f>
              <c:strCache>
                <c:ptCount val="1"/>
                <c:pt idx="0">
                  <c:v>01.01.22</c:v>
                </c:pt>
              </c:strCache>
            </c:strRef>
          </c:tx>
          <c:spPr>
            <a:solidFill>
              <a:schemeClr val="accent1">
                <a:shade val="45000"/>
              </a:schemeClr>
            </a:solidFill>
            <a:ln>
              <a:noFill/>
            </a:ln>
            <a:effectLst/>
          </c:spPr>
          <c:invertIfNegative val="0"/>
          <c:dLbls>
            <c:delete val="1"/>
          </c:dLbls>
          <c:cat>
            <c:strRef>
              <c:f>'2)b.'!$C$3:$J$3</c:f>
              <c:strCache>
                <c:ptCount val="8"/>
                <c:pt idx="0">
                  <c:v>&lt; 18</c:v>
                </c:pt>
                <c:pt idx="1">
                  <c:v>18 ≤ x &lt; 21</c:v>
                </c:pt>
                <c:pt idx="2">
                  <c:v>21 ≤ x &lt; 25</c:v>
                </c:pt>
                <c:pt idx="3">
                  <c:v>25 ≤ x &lt; 30</c:v>
                </c:pt>
                <c:pt idx="4">
                  <c:v>30 ≤ x &lt; 40</c:v>
                </c:pt>
                <c:pt idx="5">
                  <c:v>40 ≤ x &lt; 50</c:v>
                </c:pt>
                <c:pt idx="6">
                  <c:v>50 ≤ x &lt; 60</c:v>
                </c:pt>
                <c:pt idx="7">
                  <c:v>60 ≥ x </c:v>
                </c:pt>
              </c:strCache>
            </c:strRef>
          </c:cat>
          <c:val>
            <c:numRef>
              <c:f>'2)b.'!$C$7:$J$7</c:f>
              <c:numCache>
                <c:formatCode>0.0%</c:formatCode>
                <c:ptCount val="8"/>
                <c:pt idx="0">
                  <c:v>1.0526315789473684E-2</c:v>
                </c:pt>
                <c:pt idx="1">
                  <c:v>9.1228070175438603E-2</c:v>
                </c:pt>
                <c:pt idx="2">
                  <c:v>0.14035087719298245</c:v>
                </c:pt>
                <c:pt idx="3">
                  <c:v>0.17894736842105263</c:v>
                </c:pt>
                <c:pt idx="4">
                  <c:v>0.35087719298245612</c:v>
                </c:pt>
                <c:pt idx="5">
                  <c:v>0.14736842105263157</c:v>
                </c:pt>
                <c:pt idx="6">
                  <c:v>5.6140350877192984E-2</c:v>
                </c:pt>
                <c:pt idx="7">
                  <c:v>2.456140350877193E-2</c:v>
                </c:pt>
              </c:numCache>
            </c:numRef>
          </c:val>
          <c:extLst>
            <c:ext xmlns:c16="http://schemas.microsoft.com/office/drawing/2014/chart" uri="{C3380CC4-5D6E-409C-BE32-E72D297353CC}">
              <c16:uniqueId val="{00000003-6B58-44E9-A0B3-6CF391E15BCF}"/>
            </c:ext>
          </c:extLst>
        </c:ser>
        <c:ser>
          <c:idx val="4"/>
          <c:order val="4"/>
          <c:tx>
            <c:strRef>
              <c:f>'2)b.'!$B$8</c:f>
              <c:strCache>
                <c:ptCount val="1"/>
                <c:pt idx="0">
                  <c:v>01.01.23</c:v>
                </c:pt>
              </c:strCache>
            </c:strRef>
          </c:tx>
          <c:spPr>
            <a:solidFill>
              <a:schemeClr val="accent1">
                <a:shade val="53000"/>
              </a:schemeClr>
            </a:solidFill>
            <a:ln>
              <a:noFill/>
            </a:ln>
            <a:effectLst/>
          </c:spPr>
          <c:invertIfNegative val="0"/>
          <c:dLbls>
            <c:delete val="1"/>
          </c:dLbls>
          <c:cat>
            <c:strRef>
              <c:f>'2)b.'!$C$3:$J$3</c:f>
              <c:strCache>
                <c:ptCount val="8"/>
                <c:pt idx="0">
                  <c:v>&lt; 18</c:v>
                </c:pt>
                <c:pt idx="1">
                  <c:v>18 ≤ x &lt; 21</c:v>
                </c:pt>
                <c:pt idx="2">
                  <c:v>21 ≤ x &lt; 25</c:v>
                </c:pt>
                <c:pt idx="3">
                  <c:v>25 ≤ x &lt; 30</c:v>
                </c:pt>
                <c:pt idx="4">
                  <c:v>30 ≤ x &lt; 40</c:v>
                </c:pt>
                <c:pt idx="5">
                  <c:v>40 ≤ x &lt; 50</c:v>
                </c:pt>
                <c:pt idx="6">
                  <c:v>50 ≤ x &lt; 60</c:v>
                </c:pt>
                <c:pt idx="7">
                  <c:v>60 ≥ x </c:v>
                </c:pt>
              </c:strCache>
            </c:strRef>
          </c:cat>
          <c:val>
            <c:numRef>
              <c:f>'2)b.'!$C$8:$J$8</c:f>
              <c:numCache>
                <c:formatCode>0.0%</c:formatCode>
                <c:ptCount val="8"/>
                <c:pt idx="0">
                  <c:v>1.7391304347826087E-2</c:v>
                </c:pt>
                <c:pt idx="1">
                  <c:v>8.4057971014492749E-2</c:v>
                </c:pt>
                <c:pt idx="2">
                  <c:v>0.13333333333333333</c:v>
                </c:pt>
                <c:pt idx="3">
                  <c:v>0.17971014492753623</c:v>
                </c:pt>
                <c:pt idx="4">
                  <c:v>0.29855072463768118</c:v>
                </c:pt>
                <c:pt idx="5">
                  <c:v>0.2</c:v>
                </c:pt>
                <c:pt idx="6">
                  <c:v>5.7971014492753624E-2</c:v>
                </c:pt>
                <c:pt idx="7">
                  <c:v>2.8985507246376812E-2</c:v>
                </c:pt>
              </c:numCache>
            </c:numRef>
          </c:val>
          <c:extLst>
            <c:ext xmlns:c16="http://schemas.microsoft.com/office/drawing/2014/chart" uri="{C3380CC4-5D6E-409C-BE32-E72D297353CC}">
              <c16:uniqueId val="{00000004-6B58-44E9-A0B3-6CF391E15BCF}"/>
            </c:ext>
          </c:extLst>
        </c:ser>
        <c:dLbls>
          <c:showLegendKey val="0"/>
          <c:showVal val="1"/>
          <c:showCatName val="0"/>
          <c:showSerName val="0"/>
          <c:showPercent val="0"/>
          <c:showBubbleSize val="0"/>
        </c:dLbls>
        <c:gapWidth val="100"/>
        <c:overlap val="-27"/>
        <c:axId val="113480064"/>
        <c:axId val="113482752"/>
      </c:barChart>
      <c:catAx>
        <c:axId val="11348006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8A8D8F"/>
                </a:solidFill>
                <a:latin typeface="+mn-lt"/>
                <a:ea typeface="+mn-ea"/>
                <a:cs typeface="+mn-cs"/>
              </a:defRPr>
            </a:pPr>
            <a:endParaRPr lang="fr-FR"/>
          </a:p>
        </c:txPr>
        <c:crossAx val="113482752"/>
        <c:crosses val="autoZero"/>
        <c:auto val="1"/>
        <c:lblAlgn val="ctr"/>
        <c:lblOffset val="100"/>
        <c:noMultiLvlLbl val="0"/>
      </c:catAx>
      <c:valAx>
        <c:axId val="11348275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rgbClr val="8A8D8F"/>
                </a:solidFill>
                <a:latin typeface="+mn-lt"/>
                <a:ea typeface="+mn-ea"/>
                <a:cs typeface="+mn-cs"/>
              </a:defRPr>
            </a:pPr>
            <a:endParaRPr lang="fr-FR"/>
          </a:p>
        </c:txPr>
        <c:crossAx val="1134800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rgbClr val="8A8D8F"/>
                </a:solidFill>
                <a:latin typeface="+mn-lt"/>
                <a:ea typeface="+mn-ea"/>
                <a:cs typeface="+mn-cs"/>
              </a:defRPr>
            </a:pPr>
            <a:endParaRPr lang="fr-FR"/>
          </a:p>
        </c:txPr>
      </c:dTable>
      <c:spPr>
        <a:noFill/>
        <a:ln>
          <a:noFill/>
        </a:ln>
        <a:effectLst/>
      </c:spPr>
    </c:plotArea>
    <c:plotVisOnly val="1"/>
    <c:dispBlanksAs val="gap"/>
    <c:showDLblsOverMax val="0"/>
  </c:chart>
  <c:spPr>
    <a:solidFill>
      <a:schemeClr val="bg1"/>
    </a:solidFill>
    <a:ln w="12700" cap="flat" cmpd="sng" algn="ctr">
      <a:no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withinLinearReversed" id="21">
  <a:schemeClr val="accent1"/>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43</Pages>
  <Words>16241</Words>
  <Characters>89326</Characters>
  <Application>Microsoft Office Word</Application>
  <DocSecurity>0</DocSecurity>
  <Lines>744</Lines>
  <Paragraphs>210</Paragraphs>
  <ScaleCrop>false</ScaleCrop>
  <HeadingPairs>
    <vt:vector size="2" baseType="variant">
      <vt:variant>
        <vt:lpstr>Title</vt:lpstr>
      </vt:variant>
      <vt:variant>
        <vt:i4>1</vt:i4>
      </vt:variant>
    </vt:vector>
  </HeadingPairs>
  <TitlesOfParts>
    <vt:vector size="1" baseType="lpstr">
      <vt:lpstr/>
    </vt:vector>
  </TitlesOfParts>
  <Company>CTIE</Company>
  <LinksUpToDate>false</LinksUpToDate>
  <CharactersWithSpaces>105357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Dockendorf</dc:creator>
  <cp:keywords/>
  <dc:description/>
  <cp:lastModifiedBy>Luc Dockendorf</cp:lastModifiedBy>
  <cp:revision>2</cp:revision>
  <cp:lastPrinted>2023-04-27T12:17:00Z</cp:lastPrinted>
  <dcterms:created xsi:type="dcterms:W3CDTF">2023-05-02T13:47:00Z</dcterms:created>
  <dcterms:modified xsi:type="dcterms:W3CDTF">2023-05-02T13:47:00Z</dcterms:modified>
</cp:coreProperties>
</file>