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72FA6" w14:textId="77777777" w:rsidR="00C1519B" w:rsidRDefault="00C1519B" w:rsidP="00C1519B">
      <w:pPr>
        <w:rPr>
          <w:rFonts w:ascii="Garamond" w:hAnsi="Garamond"/>
          <w:b/>
          <w:bCs/>
        </w:rPr>
      </w:pPr>
    </w:p>
    <w:p w14:paraId="013E9E1C" w14:textId="77777777" w:rsidR="001E3986" w:rsidRDefault="001E3986" w:rsidP="001E3986">
      <w:pPr>
        <w:jc w:val="center"/>
        <w:rPr>
          <w:rFonts w:ascii="Garamond" w:hAnsi="Garamond"/>
          <w:b/>
          <w:bCs/>
          <w:lang w:val="es-ES_tradnl"/>
        </w:rPr>
      </w:pPr>
    </w:p>
    <w:p w14:paraId="7F9FAB06" w14:textId="4D062ECF" w:rsidR="00FA3082" w:rsidRDefault="00FA3082" w:rsidP="001E3986">
      <w:pPr>
        <w:jc w:val="center"/>
        <w:rPr>
          <w:rFonts w:ascii="Garamond" w:hAnsi="Garamond"/>
          <w:b/>
          <w:bCs/>
          <w:lang w:val="es-ES_tradnl"/>
        </w:rPr>
      </w:pPr>
      <w:r w:rsidRPr="00691C93">
        <w:rPr>
          <w:rFonts w:ascii="Garamond" w:hAnsi="Garamond"/>
          <w:b/>
          <w:bCs/>
          <w:lang w:val="es-ES_tradnl"/>
        </w:rPr>
        <w:t>COMITÉ PARA LA ELIMINACIÓN DE LA DISCRIMINACIÓN CONTRA LA MUJER (CEDAW)</w:t>
      </w:r>
    </w:p>
    <w:p w14:paraId="22E8D834" w14:textId="77777777" w:rsidR="001E3986" w:rsidRDefault="001E3986" w:rsidP="001E3986">
      <w:pPr>
        <w:ind w:left="720" w:hanging="360"/>
        <w:jc w:val="center"/>
        <w:rPr>
          <w:rFonts w:ascii="Garamond" w:hAnsi="Garamond"/>
          <w:b/>
          <w:bCs/>
          <w:lang w:val="es-ES_tradnl"/>
        </w:rPr>
      </w:pPr>
      <w:r w:rsidRPr="004C7596">
        <w:rPr>
          <w:rFonts w:ascii="Garamond" w:hAnsi="Garamond"/>
          <w:b/>
          <w:bCs/>
          <w:lang w:val="es-ES_tradnl"/>
        </w:rPr>
        <w:t>Participación de organizaciones no gubernamentales (ONG)</w:t>
      </w:r>
    </w:p>
    <w:p w14:paraId="773AB96F" w14:textId="77777777" w:rsidR="001E3986" w:rsidRDefault="001E3986" w:rsidP="001E3986">
      <w:pPr>
        <w:jc w:val="center"/>
        <w:rPr>
          <w:rFonts w:ascii="Garamond" w:hAnsi="Garamond"/>
          <w:b/>
          <w:bCs/>
          <w:lang w:val="es-ES_tradnl"/>
        </w:rPr>
      </w:pPr>
    </w:p>
    <w:p w14:paraId="0E89C001" w14:textId="77777777" w:rsidR="00B86F0F" w:rsidRDefault="001E3986" w:rsidP="00FA3082">
      <w:pPr>
        <w:ind w:left="720" w:hanging="360"/>
        <w:jc w:val="center"/>
        <w:rPr>
          <w:rFonts w:ascii="Garamond" w:hAnsi="Garamond"/>
          <w:b/>
          <w:bCs/>
          <w:lang w:val="es-ES_tradnl"/>
        </w:rPr>
      </w:pPr>
      <w:r>
        <w:rPr>
          <w:rFonts w:ascii="Garamond" w:hAnsi="Garamond"/>
          <w:b/>
          <w:bCs/>
          <w:lang w:val="es-ES_tradnl"/>
        </w:rPr>
        <w:t>I</w:t>
      </w:r>
      <w:r w:rsidRPr="001E3986">
        <w:rPr>
          <w:rFonts w:ascii="Garamond" w:hAnsi="Garamond"/>
          <w:b/>
          <w:bCs/>
          <w:lang w:val="es-ES_tradnl"/>
        </w:rPr>
        <w:t>nformación sobre temas relativos a la implementación de la Convención por los Estados parte</w:t>
      </w:r>
    </w:p>
    <w:p w14:paraId="21AACF70" w14:textId="4801028F" w:rsidR="001E3986" w:rsidRDefault="00BF18BB" w:rsidP="00FA3082">
      <w:pPr>
        <w:ind w:left="720" w:hanging="360"/>
        <w:jc w:val="center"/>
        <w:rPr>
          <w:rFonts w:ascii="Garamond" w:hAnsi="Garamond"/>
          <w:b/>
          <w:bCs/>
          <w:lang w:val="es-ES_tradnl"/>
        </w:rPr>
      </w:pPr>
      <w:r>
        <w:rPr>
          <w:rFonts w:ascii="Garamond" w:hAnsi="Garamond"/>
          <w:b/>
          <w:bCs/>
          <w:lang w:val="es-ES_tradnl"/>
        </w:rPr>
        <w:t>Mujeres en Chile</w:t>
      </w:r>
      <w:r w:rsidR="00B86F0F">
        <w:rPr>
          <w:rFonts w:ascii="Garamond" w:hAnsi="Garamond"/>
          <w:b/>
          <w:bCs/>
          <w:lang w:val="es-ES_tradnl"/>
        </w:rPr>
        <w:t>:</w:t>
      </w:r>
      <w:r>
        <w:rPr>
          <w:rFonts w:ascii="Garamond" w:hAnsi="Garamond"/>
          <w:b/>
          <w:bCs/>
          <w:lang w:val="es-ES_tradnl"/>
        </w:rPr>
        <w:t xml:space="preserve"> desafíos </w:t>
      </w:r>
      <w:r w:rsidR="008525B1">
        <w:rPr>
          <w:rFonts w:ascii="Garamond" w:hAnsi="Garamond"/>
          <w:b/>
          <w:bCs/>
          <w:lang w:val="es-ES_tradnl"/>
        </w:rPr>
        <w:t xml:space="preserve">de política pública </w:t>
      </w:r>
      <w:r>
        <w:rPr>
          <w:rFonts w:ascii="Garamond" w:hAnsi="Garamond"/>
          <w:b/>
          <w:bCs/>
          <w:lang w:val="es-ES_tradnl"/>
        </w:rPr>
        <w:t>desde una perspectiva interseccional</w:t>
      </w:r>
    </w:p>
    <w:p w14:paraId="5286BB6A" w14:textId="77777777" w:rsidR="001E3986" w:rsidRPr="004C7596" w:rsidRDefault="001E3986" w:rsidP="00FA3082">
      <w:pPr>
        <w:ind w:left="720" w:hanging="360"/>
        <w:jc w:val="center"/>
        <w:rPr>
          <w:rFonts w:ascii="Garamond" w:hAnsi="Garamond"/>
          <w:b/>
          <w:bCs/>
          <w:lang w:val="es-ES_tradnl"/>
        </w:rPr>
      </w:pPr>
    </w:p>
    <w:p w14:paraId="7A259B12" w14:textId="77777777" w:rsidR="001E3986" w:rsidRDefault="00FA3082" w:rsidP="00FA3082">
      <w:pPr>
        <w:ind w:left="720" w:hanging="360"/>
        <w:jc w:val="center"/>
        <w:rPr>
          <w:rFonts w:ascii="Garamond" w:hAnsi="Garamond"/>
          <w:b/>
          <w:bCs/>
          <w:lang w:val="es-ES_tradnl"/>
        </w:rPr>
      </w:pPr>
      <w:r w:rsidRPr="0042144A">
        <w:rPr>
          <w:rFonts w:ascii="Garamond" w:hAnsi="Garamond"/>
          <w:b/>
          <w:bCs/>
          <w:lang w:val="es-ES_tradnl"/>
        </w:rPr>
        <w:t xml:space="preserve">89° período de sesiones </w:t>
      </w:r>
    </w:p>
    <w:p w14:paraId="659B6634" w14:textId="77777777" w:rsidR="00C1519B" w:rsidRDefault="00C1519B" w:rsidP="00C1519B">
      <w:pPr>
        <w:rPr>
          <w:rFonts w:ascii="Garamond" w:hAnsi="Garamond"/>
          <w:b/>
          <w:bCs/>
          <w:lang w:val="es-ES_tradnl"/>
        </w:rPr>
      </w:pPr>
    </w:p>
    <w:p w14:paraId="36BC7EB4" w14:textId="0990507C" w:rsidR="00337C1C" w:rsidRPr="00337C1C" w:rsidRDefault="00337C1C" w:rsidP="00337C1C">
      <w:pPr>
        <w:pStyle w:val="Ttulo1"/>
      </w:pPr>
      <w:r w:rsidRPr="00337C1C">
        <w:t xml:space="preserve">Introducción </w:t>
      </w:r>
    </w:p>
    <w:p w14:paraId="3B33B99F" w14:textId="77777777" w:rsidR="00FA3082" w:rsidRDefault="00FA3082" w:rsidP="00C1519B">
      <w:pPr>
        <w:rPr>
          <w:rFonts w:ascii="Garamond" w:hAnsi="Garamond"/>
          <w:b/>
          <w:bCs/>
          <w:lang w:val="es-ES_tradnl"/>
        </w:rPr>
      </w:pPr>
    </w:p>
    <w:p w14:paraId="1A1CADB7" w14:textId="39FA32FA" w:rsidR="00FA3082" w:rsidRDefault="00FA3082" w:rsidP="5BBD3998">
      <w:pPr>
        <w:jc w:val="both"/>
        <w:rPr>
          <w:rFonts w:ascii="Garamond" w:hAnsi="Garamond"/>
          <w:lang w:val="es-ES"/>
        </w:rPr>
      </w:pPr>
      <w:r w:rsidRPr="5BBD3998">
        <w:rPr>
          <w:rFonts w:ascii="Garamond" w:hAnsi="Garamond"/>
          <w:lang w:val="es-ES"/>
        </w:rPr>
        <w:t>En el contexto de la 89° sesión de</w:t>
      </w:r>
      <w:r w:rsidR="003D7A1D" w:rsidRPr="5BBD3998">
        <w:rPr>
          <w:rFonts w:ascii="Garamond" w:hAnsi="Garamond"/>
          <w:lang w:val="es-ES"/>
        </w:rPr>
        <w:t>l Comité para la Eliminación de la Discriminación contra la Mujer (CEDAW), desde el Centro de Estudios Justicia y Sociedad de la Pontificia Universidad Católica de Chile</w:t>
      </w:r>
      <w:r w:rsidR="00DA0579">
        <w:rPr>
          <w:rStyle w:val="Refdenotaalpie"/>
          <w:rFonts w:ascii="Garamond" w:hAnsi="Garamond"/>
          <w:lang w:val="es-ES"/>
        </w:rPr>
        <w:footnoteReference w:id="2"/>
      </w:r>
      <w:r w:rsidR="003D7A1D" w:rsidRPr="5BBD3998">
        <w:rPr>
          <w:rFonts w:ascii="Garamond" w:hAnsi="Garamond"/>
          <w:lang w:val="es-ES"/>
        </w:rPr>
        <w:t xml:space="preserve">, presentamos información respecto de las cuestiones y preguntas previas a la revisión de Chile. Esta se construye con base en los estudios y evidencia desarrollada por el Centro de Estudios Justicia y Sociedad en sus más de 15 años de experiencia realizando investigación aplicada y desarrollo de política pública en las áreas de justicia, seguridad e inclusión social. </w:t>
      </w:r>
      <w:r w:rsidR="00CD4DBD" w:rsidRPr="5BBD3998">
        <w:rPr>
          <w:rFonts w:ascii="Garamond" w:hAnsi="Garamond"/>
          <w:lang w:val="es-ES"/>
        </w:rPr>
        <w:t>A continuación, se presentará esta información organizada según las temáticas establecidas en la lista de cuestiones y preguntas:</w:t>
      </w:r>
    </w:p>
    <w:p w14:paraId="0ADFEDEC" w14:textId="77777777" w:rsidR="000F4092" w:rsidRPr="000F4092" w:rsidRDefault="000F4092" w:rsidP="000F4092">
      <w:pPr>
        <w:jc w:val="both"/>
        <w:rPr>
          <w:rFonts w:ascii="Garamond" w:hAnsi="Garamond"/>
          <w:b/>
          <w:bCs/>
        </w:rPr>
      </w:pPr>
    </w:p>
    <w:p w14:paraId="7D453784" w14:textId="50639531" w:rsidR="00CD4DBD" w:rsidRDefault="00CD4DBD" w:rsidP="00337C1C">
      <w:pPr>
        <w:pStyle w:val="Ttulo2"/>
      </w:pPr>
      <w:r>
        <w:t>Violencia de género contra las mujeres</w:t>
      </w:r>
    </w:p>
    <w:p w14:paraId="460B8428" w14:textId="77777777" w:rsidR="00337C1C" w:rsidRDefault="00337C1C" w:rsidP="00337C1C">
      <w:pPr>
        <w:rPr>
          <w:lang w:val="es-ES_tradnl"/>
        </w:rPr>
      </w:pPr>
    </w:p>
    <w:p w14:paraId="442D5077" w14:textId="6F5629F1" w:rsidR="003E028F" w:rsidRDefault="00337C1C" w:rsidP="003C36FB">
      <w:pPr>
        <w:jc w:val="both"/>
        <w:rPr>
          <w:rFonts w:ascii="Garamond" w:hAnsi="Garamond"/>
          <w:lang w:val="es-ES_tradnl"/>
        </w:rPr>
      </w:pPr>
      <w:r w:rsidRPr="00337C1C">
        <w:rPr>
          <w:rFonts w:ascii="Garamond" w:hAnsi="Garamond"/>
          <w:lang w:val="es-ES_tradnl"/>
        </w:rPr>
        <w:t>R</w:t>
      </w:r>
      <w:r>
        <w:rPr>
          <w:rFonts w:ascii="Garamond" w:hAnsi="Garamond"/>
          <w:lang w:val="es-ES_tradnl"/>
        </w:rPr>
        <w:t xml:space="preserve">especto al punto (c) de esta cuestión, es decir, la disponibilidad de servicios de apoyo adecuados, en particular en lo que respecta </w:t>
      </w:r>
      <w:r w:rsidRPr="00337C1C">
        <w:rPr>
          <w:rFonts w:ascii="Garamond" w:hAnsi="Garamond"/>
          <w:lang w:val="es-ES_tradnl"/>
        </w:rPr>
        <w:t>al acceso a casas de acogida y a servicios de rehabilitación, para las mujeres y niñas que han estado sometidas a la violencia de género, particularmente las de grupos desfavorecidos y marginados, en todo el territorio del Estado part</w:t>
      </w:r>
      <w:r w:rsidR="00F57FF7">
        <w:rPr>
          <w:rFonts w:ascii="Garamond" w:hAnsi="Garamond"/>
          <w:lang w:val="es-ES_tradnl"/>
        </w:rPr>
        <w:t>e,</w:t>
      </w:r>
      <w:r w:rsidR="003C36FB">
        <w:rPr>
          <w:rFonts w:ascii="Garamond" w:hAnsi="Garamond"/>
          <w:lang w:val="es-ES_tradnl"/>
        </w:rPr>
        <w:t xml:space="preserve"> y (d) sobre las medidas adoptadas para garantizar el acceso a la justicia a todas las víctimas de la violencia de género y para desarrollar la capacidad de la policía, los fiscales y los jueves a nivel federal, estatal y local en lo que respecta a la aplicación estricta de las disposiciones pertinentes del derecho penal y los métodos de investigación que tengan en cuenta las cuestiones de género en los casos de violencia de género,</w:t>
      </w:r>
      <w:r w:rsidR="00F57FF7">
        <w:rPr>
          <w:rFonts w:ascii="Garamond" w:hAnsi="Garamond"/>
          <w:lang w:val="es-ES_tradnl"/>
        </w:rPr>
        <w:t xml:space="preserve"> desde el Centro de Estudio Justicia y Sociedad UC realizamos un estudio </w:t>
      </w:r>
      <w:r w:rsidR="00F37DA2">
        <w:rPr>
          <w:rFonts w:ascii="Garamond" w:hAnsi="Garamond"/>
          <w:lang w:val="es-ES_tradnl"/>
        </w:rPr>
        <w:t xml:space="preserve">exploratorio del Programa Salas de Familia de Carabineros de Chile, para evaluar sus dimensiones de implementación y efectividad, que entrega algunas nuevas aristas de información. </w:t>
      </w:r>
      <w:r w:rsidR="00655665">
        <w:rPr>
          <w:rFonts w:ascii="Garamond" w:hAnsi="Garamond"/>
          <w:lang w:val="es-ES_tradnl"/>
        </w:rPr>
        <w:t xml:space="preserve">Este estudio fue licitado públicamente por la Subsecretaría de Prevención del Delito, </w:t>
      </w:r>
      <w:r w:rsidR="005A7E1C">
        <w:rPr>
          <w:rFonts w:ascii="Garamond" w:hAnsi="Garamond"/>
          <w:lang w:val="es-ES_tradnl"/>
        </w:rPr>
        <w:t>y tuvo como objetivo conocer las características de la implementación y efectividad del Programa Salas de Familia a lo largo del país, para identificar nudos críticos,</w:t>
      </w:r>
      <w:r w:rsidR="00D94730">
        <w:rPr>
          <w:rFonts w:ascii="Garamond" w:hAnsi="Garamond"/>
          <w:lang w:val="es-ES_tradnl"/>
        </w:rPr>
        <w:t xml:space="preserve"> </w:t>
      </w:r>
      <w:r w:rsidR="003E028F">
        <w:rPr>
          <w:rFonts w:ascii="Garamond" w:hAnsi="Garamond"/>
          <w:lang w:val="es-ES_tradnl"/>
        </w:rPr>
        <w:t>fortalezas y debilidades para establecer recomendaciones de escalabilidad.</w:t>
      </w:r>
    </w:p>
    <w:p w14:paraId="2DA7F4AA" w14:textId="77777777" w:rsidR="003E028F" w:rsidRDefault="003E028F" w:rsidP="00337C1C">
      <w:pPr>
        <w:rPr>
          <w:rFonts w:ascii="Garamond" w:hAnsi="Garamond"/>
          <w:lang w:val="es-ES_tradnl"/>
        </w:rPr>
      </w:pPr>
    </w:p>
    <w:p w14:paraId="3B1ABD3A" w14:textId="6AC50E48" w:rsidR="00F57FF7" w:rsidRDefault="00F01EFD" w:rsidP="5BBD3998">
      <w:pPr>
        <w:jc w:val="both"/>
        <w:rPr>
          <w:rFonts w:ascii="Garamond" w:hAnsi="Garamond"/>
          <w:lang w:val="es-ES"/>
        </w:rPr>
      </w:pPr>
      <w:r w:rsidRPr="5BBD3998">
        <w:rPr>
          <w:rFonts w:ascii="Garamond" w:hAnsi="Garamond"/>
          <w:lang w:val="es-ES"/>
        </w:rPr>
        <w:t>Dado que las unidades policiales de Carabineros de Chile cumplen un rol fundamental en el acceso a la justicia y la activación de la respuesta pública a la violencia contra las mujeres</w:t>
      </w:r>
      <w:r w:rsidR="006516FF" w:rsidRPr="5BBD3998">
        <w:rPr>
          <w:rFonts w:ascii="Garamond" w:hAnsi="Garamond"/>
          <w:lang w:val="es-ES"/>
        </w:rPr>
        <w:t xml:space="preserve">, en la institución se ha avanzado con dos programas consecutivos que buscar hacer de esta respuesta un proceso más </w:t>
      </w:r>
      <w:r w:rsidR="00092BA7" w:rsidRPr="5BBD3998">
        <w:rPr>
          <w:rFonts w:ascii="Garamond" w:hAnsi="Garamond"/>
          <w:lang w:val="es-ES"/>
        </w:rPr>
        <w:t>efectivo</w:t>
      </w:r>
      <w:r w:rsidR="006516FF" w:rsidRPr="5BBD3998">
        <w:rPr>
          <w:rFonts w:ascii="Garamond" w:hAnsi="Garamond"/>
          <w:lang w:val="es-ES"/>
        </w:rPr>
        <w:t xml:space="preserve"> y </w:t>
      </w:r>
      <w:r w:rsidR="00092BA7" w:rsidRPr="5BBD3998">
        <w:rPr>
          <w:rFonts w:ascii="Garamond" w:hAnsi="Garamond"/>
          <w:lang w:val="es-ES"/>
        </w:rPr>
        <w:t>especializado</w:t>
      </w:r>
      <w:r w:rsidR="00FB4805" w:rsidRPr="5BBD3998">
        <w:rPr>
          <w:rFonts w:ascii="Garamond" w:hAnsi="Garamond"/>
          <w:lang w:val="es-ES"/>
        </w:rPr>
        <w:t xml:space="preserve"> (Rufs, Figueroa &amp; Osorio, 2024)</w:t>
      </w:r>
      <w:r w:rsidR="006516FF" w:rsidRPr="5BBD3998">
        <w:rPr>
          <w:rFonts w:ascii="Garamond" w:hAnsi="Garamond"/>
          <w:lang w:val="es-ES"/>
        </w:rPr>
        <w:t xml:space="preserve">. </w:t>
      </w:r>
      <w:r w:rsidR="00092BA7" w:rsidRPr="5BBD3998">
        <w:rPr>
          <w:rFonts w:ascii="Garamond" w:hAnsi="Garamond"/>
          <w:lang w:val="es-ES"/>
        </w:rPr>
        <w:t xml:space="preserve">El primer avance se realizó el año 2001 con la implementación de las Oficinas de Violencia Intrafamiliar, que luego </w:t>
      </w:r>
      <w:r w:rsidR="00470B43" w:rsidRPr="5BBD3998">
        <w:rPr>
          <w:rFonts w:ascii="Garamond" w:hAnsi="Garamond"/>
          <w:lang w:val="es-ES"/>
        </w:rPr>
        <w:lastRenderedPageBreak/>
        <w:t xml:space="preserve">comenzaron a ser reemplazadas en el año 2017 por Salas de Familia. </w:t>
      </w:r>
      <w:r w:rsidR="008241B6" w:rsidRPr="5BBD3998">
        <w:rPr>
          <w:rFonts w:ascii="Garamond" w:hAnsi="Garamond"/>
          <w:lang w:val="es-ES"/>
        </w:rPr>
        <w:t xml:space="preserve">Esas últimas se </w:t>
      </w:r>
      <w:r w:rsidR="00393963" w:rsidRPr="5BBD3998">
        <w:rPr>
          <w:rFonts w:ascii="Garamond" w:hAnsi="Garamond"/>
          <w:lang w:val="es-ES"/>
        </w:rPr>
        <w:t xml:space="preserve">dispusieron </w:t>
      </w:r>
      <w:r w:rsidR="00FB4805" w:rsidRPr="5BBD3998">
        <w:rPr>
          <w:rFonts w:ascii="Garamond" w:hAnsi="Garamond"/>
          <w:lang w:val="es-ES"/>
        </w:rPr>
        <w:t xml:space="preserve">“con el fin de contar con dependencias especializadas a nivel nacional, con la misión de brindar una atención diferenciada y especializada bajo la perspectiva de género, a las víctimas de Violencia Intrafamiliar, y a la totalidad de los grupos vulnerables como Niños, Niñas y Adolescentes, personas con discapacidad, adultos mayores, migrantes, pueblos indígenas y población LGBTI (Lesbianas, </w:t>
      </w:r>
      <w:proofErr w:type="spellStart"/>
      <w:r w:rsidR="00FB4805" w:rsidRPr="5BBD3998">
        <w:rPr>
          <w:rFonts w:ascii="Garamond" w:hAnsi="Garamond"/>
          <w:lang w:val="es-ES"/>
        </w:rPr>
        <w:t>Gays</w:t>
      </w:r>
      <w:proofErr w:type="spellEnd"/>
      <w:r w:rsidR="00FB4805" w:rsidRPr="5BBD3998">
        <w:rPr>
          <w:rFonts w:ascii="Garamond" w:hAnsi="Garamond"/>
          <w:lang w:val="es-ES"/>
        </w:rPr>
        <w:t>, Bisexuales, Trans e Intersex), a cargo de Personal especialmente capacitado al efecto.”</w:t>
      </w:r>
      <w:r w:rsidR="00362123" w:rsidRPr="5BBD3998">
        <w:rPr>
          <w:rFonts w:ascii="Garamond" w:hAnsi="Garamond"/>
          <w:lang w:val="es-ES"/>
        </w:rPr>
        <w:t xml:space="preserve"> (Carabineros de Chile, 2020). De esta manera, se busca que la atención entregada tenga en su base un enfoque basado en los Derechos Humanos y perspectiva de género.</w:t>
      </w:r>
    </w:p>
    <w:p w14:paraId="1D517AAD" w14:textId="77777777" w:rsidR="00057132" w:rsidRDefault="00057132" w:rsidP="00FB4805">
      <w:pPr>
        <w:jc w:val="both"/>
        <w:rPr>
          <w:rFonts w:ascii="Garamond" w:hAnsi="Garamond"/>
          <w:lang w:val="es-ES_tradnl"/>
        </w:rPr>
      </w:pPr>
    </w:p>
    <w:p w14:paraId="6A391A4A" w14:textId="3142E302" w:rsidR="00057132" w:rsidRDefault="003C36FB" w:rsidP="5BBD3998">
      <w:pPr>
        <w:jc w:val="both"/>
        <w:rPr>
          <w:rFonts w:ascii="Garamond" w:hAnsi="Garamond"/>
          <w:lang w:val="es-ES"/>
        </w:rPr>
      </w:pPr>
      <w:r w:rsidRPr="5BBD3998">
        <w:rPr>
          <w:rFonts w:ascii="Garamond" w:hAnsi="Garamond"/>
          <w:lang w:val="es-ES"/>
        </w:rPr>
        <w:t>Respecto del punto (c), los hallazgos provenientes de los métodos cualitat</w:t>
      </w:r>
      <w:r w:rsidR="00D90B1B" w:rsidRPr="5BBD3998">
        <w:rPr>
          <w:rFonts w:ascii="Garamond" w:hAnsi="Garamond"/>
          <w:lang w:val="es-ES"/>
        </w:rPr>
        <w:t xml:space="preserve">ivos empleados en este estudio (entrevistas con personal del programa, representantes con instituciones del </w:t>
      </w:r>
      <w:proofErr w:type="spellStart"/>
      <w:r w:rsidR="00D90B1B" w:rsidRPr="5BBD3998">
        <w:rPr>
          <w:rFonts w:ascii="Garamond" w:hAnsi="Garamond"/>
          <w:lang w:val="es-ES"/>
        </w:rPr>
        <w:t>intersector</w:t>
      </w:r>
      <w:proofErr w:type="spellEnd"/>
      <w:r w:rsidR="008E3CE7" w:rsidRPr="5BBD3998">
        <w:rPr>
          <w:rFonts w:ascii="Garamond" w:hAnsi="Garamond"/>
          <w:lang w:val="es-ES"/>
        </w:rPr>
        <w:t xml:space="preserve"> -especialmente del Servicio Nacional de la Mujer y la Equidad de Género, en este caso-</w:t>
      </w:r>
      <w:r w:rsidR="00D90B1B" w:rsidRPr="5BBD3998">
        <w:rPr>
          <w:rFonts w:ascii="Garamond" w:hAnsi="Garamond"/>
          <w:lang w:val="es-ES"/>
        </w:rPr>
        <w:t xml:space="preserve"> y personas expertas en la materia), sugieren lo siguiente:</w:t>
      </w:r>
    </w:p>
    <w:p w14:paraId="6D5E84A1" w14:textId="77777777" w:rsidR="00D90B1B" w:rsidRDefault="00D90B1B" w:rsidP="00FB4805">
      <w:pPr>
        <w:jc w:val="both"/>
        <w:rPr>
          <w:rFonts w:ascii="Garamond" w:hAnsi="Garamond"/>
          <w:lang w:val="es-ES_tradnl"/>
        </w:rPr>
      </w:pPr>
    </w:p>
    <w:p w14:paraId="2048A536" w14:textId="65E9ABC7" w:rsidR="000A37C3" w:rsidRDefault="000A37C3" w:rsidP="5BBD3998">
      <w:pPr>
        <w:tabs>
          <w:tab w:val="left" w:pos="426"/>
        </w:tabs>
        <w:ind w:left="567"/>
        <w:jc w:val="both"/>
        <w:rPr>
          <w:rFonts w:ascii="Garamond" w:hAnsi="Garamond"/>
          <w:lang w:val="es-ES"/>
        </w:rPr>
      </w:pPr>
      <w:r w:rsidRPr="5BBD3998">
        <w:rPr>
          <w:rFonts w:ascii="Garamond" w:hAnsi="Garamond"/>
          <w:lang w:val="es-ES"/>
        </w:rPr>
        <w:t xml:space="preserve">“Por otra parte, en la coordinación con el sistema de casas de acogida para mujeres que sobreviven episodios de violencia intrafamiliar y necesitan resguardo de su seguridad, existen algunos desafíos. Dado que a ellas acceden mujeres con cierto puntaje [obtenido en la </w:t>
      </w:r>
      <w:r w:rsidR="0077546C" w:rsidRPr="5BBD3998">
        <w:rPr>
          <w:rFonts w:ascii="Garamond" w:hAnsi="Garamond"/>
          <w:lang w:val="es-ES"/>
        </w:rPr>
        <w:t xml:space="preserve">evaluación de riesgo realizada a través de la Pauta Unificada de Evaluación </w:t>
      </w:r>
      <w:r w:rsidR="009D15A3" w:rsidRPr="5BBD3998">
        <w:rPr>
          <w:rFonts w:ascii="Garamond" w:hAnsi="Garamond"/>
          <w:lang w:val="es-ES"/>
        </w:rPr>
        <w:t xml:space="preserve">Inicial </w:t>
      </w:r>
      <w:r w:rsidR="0077546C" w:rsidRPr="5BBD3998">
        <w:rPr>
          <w:rFonts w:ascii="Garamond" w:hAnsi="Garamond"/>
          <w:lang w:val="es-ES"/>
        </w:rPr>
        <w:t>de Riesgo]</w:t>
      </w:r>
      <w:r w:rsidRPr="5BBD3998">
        <w:rPr>
          <w:rFonts w:ascii="Garamond" w:hAnsi="Garamond"/>
          <w:lang w:val="es-ES"/>
        </w:rPr>
        <w:t xml:space="preserve"> que califica como riesgo alto, se recoge en las entrevistas institucionales que, por ejemplo, se rellenan inadecuadamente los partes para dar cuenta del riesgo y la mujer deja de calificar cuando en realidad está expuesta a un riesgo alto. O, por ejemplo, desde Carabineros se señala que cuando una mujer que no puntuó alto en nivel de riesgo, si vuelve para denunciar que su agresor está incumpliendo las cautelares, desde Carabineros no pueden brindar una opción habitacional pese a que ese riesgo pudiera haber aumentado por no tener el puntaje adecuado. </w:t>
      </w:r>
    </w:p>
    <w:p w14:paraId="6577FB93" w14:textId="77777777" w:rsidR="00D325BF" w:rsidRPr="000A37C3" w:rsidRDefault="00D325BF" w:rsidP="00CA2D2D">
      <w:pPr>
        <w:tabs>
          <w:tab w:val="left" w:pos="426"/>
        </w:tabs>
        <w:ind w:left="567"/>
        <w:jc w:val="both"/>
        <w:rPr>
          <w:rFonts w:ascii="Garamond" w:hAnsi="Garamond"/>
          <w:lang w:val="es-ES_tradnl"/>
        </w:rPr>
      </w:pPr>
    </w:p>
    <w:p w14:paraId="1B784E5C" w14:textId="4F6B3410" w:rsidR="00D90B1B" w:rsidRPr="000A37C3" w:rsidRDefault="000A37C3" w:rsidP="00CA2D2D">
      <w:pPr>
        <w:tabs>
          <w:tab w:val="left" w:pos="426"/>
        </w:tabs>
        <w:ind w:left="567"/>
        <w:jc w:val="both"/>
        <w:rPr>
          <w:rFonts w:ascii="Garamond" w:hAnsi="Garamond"/>
        </w:rPr>
      </w:pPr>
      <w:r w:rsidRPr="000A37C3">
        <w:rPr>
          <w:rFonts w:ascii="Garamond" w:hAnsi="Garamond"/>
          <w:lang w:val="es-ES_tradnl"/>
        </w:rPr>
        <w:t>Por otro lado, se menciona también por parte de las instituciones que existen protocolos desde las casas de acogidas que dificultan la derivación desde Carabineros, tales como la falta de cupos, por lo que deben esperar o ser derivadas a otra región -lo que colapsa las capacidades de dotación policial de cada unidad- o, por ejemplo, el hecho de no poder ingresar con adolescentes sobre cierta edad. En estas ocasiones señalan que las mujeres en general prefieren volver a los hogares donde están sus agresores que dejar a uno de sus hijos ahí para ellas acudir a un hogar, lo que las expone a un alto riesgo.</w:t>
      </w:r>
      <w:r w:rsidR="00D325BF">
        <w:rPr>
          <w:rFonts w:ascii="Garamond" w:hAnsi="Garamond"/>
          <w:lang w:val="es-ES_tradnl"/>
        </w:rPr>
        <w:t>”</w:t>
      </w:r>
    </w:p>
    <w:p w14:paraId="4E11974A" w14:textId="51EAD9A3" w:rsidR="00F57FF7" w:rsidRDefault="00DD7E5E" w:rsidP="48F96017">
      <w:pPr>
        <w:jc w:val="right"/>
        <w:rPr>
          <w:rFonts w:ascii="Garamond" w:hAnsi="Garamond"/>
          <w:lang w:val="es-ES"/>
        </w:rPr>
      </w:pPr>
      <w:r w:rsidRPr="48F96017">
        <w:rPr>
          <w:rFonts w:ascii="Garamond" w:hAnsi="Garamond"/>
          <w:lang w:val="es-ES"/>
        </w:rPr>
        <w:t xml:space="preserve">(Rufs, Figueroa &amp; </w:t>
      </w:r>
      <w:r w:rsidR="00162AC1" w:rsidRPr="48F96017">
        <w:rPr>
          <w:rFonts w:ascii="Garamond" w:hAnsi="Garamond"/>
          <w:lang w:val="es-ES"/>
        </w:rPr>
        <w:t>Osorio, 2024)</w:t>
      </w:r>
    </w:p>
    <w:p w14:paraId="5244248C" w14:textId="77777777" w:rsidR="00CB5515" w:rsidRDefault="00CB5515" w:rsidP="00CB5515">
      <w:pPr>
        <w:rPr>
          <w:rFonts w:ascii="Garamond" w:hAnsi="Garamond"/>
          <w:lang w:val="es-ES_tradnl"/>
        </w:rPr>
      </w:pPr>
    </w:p>
    <w:p w14:paraId="6BE3B446" w14:textId="43DB0120" w:rsidR="00CB5515" w:rsidRDefault="00CB5515" w:rsidP="00CB5515">
      <w:pPr>
        <w:rPr>
          <w:rFonts w:ascii="Garamond" w:hAnsi="Garamond"/>
          <w:lang w:val="es-ES_tradnl"/>
        </w:rPr>
      </w:pPr>
      <w:r>
        <w:rPr>
          <w:rFonts w:ascii="Garamond" w:hAnsi="Garamond"/>
          <w:lang w:val="es-ES_tradnl"/>
        </w:rPr>
        <w:t>Respecto del punto (d)</w:t>
      </w:r>
      <w:r w:rsidR="00215E5B">
        <w:rPr>
          <w:rFonts w:ascii="Garamond" w:hAnsi="Garamond"/>
          <w:lang w:val="es-ES_tradnl"/>
        </w:rPr>
        <w:t xml:space="preserve">, </w:t>
      </w:r>
      <w:r w:rsidR="00B829B4">
        <w:rPr>
          <w:rFonts w:ascii="Garamond" w:hAnsi="Garamond"/>
          <w:lang w:val="es-ES_tradnl"/>
        </w:rPr>
        <w:t xml:space="preserve">el estudio releva </w:t>
      </w:r>
      <w:r w:rsidR="00F6740F">
        <w:rPr>
          <w:rFonts w:ascii="Garamond" w:hAnsi="Garamond"/>
          <w:lang w:val="es-ES_tradnl"/>
        </w:rPr>
        <w:t>los siguientes aspectos respecto de la garantía en el acceso a la justicia de todas las víctimas de violencia de género:</w:t>
      </w:r>
    </w:p>
    <w:p w14:paraId="045525A1" w14:textId="77777777" w:rsidR="00F6740F" w:rsidRDefault="00F6740F" w:rsidP="00CB5515">
      <w:pPr>
        <w:rPr>
          <w:rFonts w:ascii="Garamond" w:hAnsi="Garamond"/>
          <w:lang w:val="es-ES_tradnl"/>
        </w:rPr>
      </w:pPr>
    </w:p>
    <w:p w14:paraId="1638B8A5" w14:textId="02135F99" w:rsidR="00C7469D" w:rsidRDefault="00C7469D" w:rsidP="008C55FE">
      <w:pPr>
        <w:pStyle w:val="Prrafodelista"/>
        <w:numPr>
          <w:ilvl w:val="0"/>
          <w:numId w:val="3"/>
        </w:numPr>
        <w:jc w:val="both"/>
        <w:rPr>
          <w:rFonts w:ascii="Garamond" w:hAnsi="Garamond"/>
          <w:lang w:val="es-ES_tradnl"/>
        </w:rPr>
      </w:pPr>
      <w:r>
        <w:rPr>
          <w:rFonts w:ascii="Garamond" w:hAnsi="Garamond"/>
          <w:lang w:val="es-ES_tradnl"/>
        </w:rPr>
        <w:t>Bajo nivel de cobertura del programa: se observó que el alcance del programa es limitado, en la medida en que no está presente en todas las unidades policiales (</w:t>
      </w:r>
      <w:r w:rsidR="000624DE">
        <w:rPr>
          <w:rFonts w:ascii="Garamond" w:hAnsi="Garamond"/>
          <w:lang w:val="es-ES_tradnl"/>
        </w:rPr>
        <w:t xml:space="preserve">un cuarto de las denuncias por este tipo de delitos u otros violentos contra poblaciones de mayor vulnerabilidad, se realizan en unidades con el programa. </w:t>
      </w:r>
      <w:r w:rsidR="00F9358A">
        <w:rPr>
          <w:rFonts w:ascii="Garamond" w:hAnsi="Garamond"/>
          <w:lang w:val="es-ES_tradnl"/>
        </w:rPr>
        <w:t>El resto se realiza en unidades sin el programa). Así también, se recogió que la baja cobertura también se da por dos motivos:</w:t>
      </w:r>
    </w:p>
    <w:p w14:paraId="237A105E" w14:textId="6CA519CA" w:rsidR="00F9358A" w:rsidRDefault="00F9358A" w:rsidP="5BBD3998">
      <w:pPr>
        <w:pStyle w:val="Prrafodelista"/>
        <w:numPr>
          <w:ilvl w:val="1"/>
          <w:numId w:val="3"/>
        </w:numPr>
        <w:jc w:val="both"/>
        <w:rPr>
          <w:rFonts w:ascii="Garamond" w:hAnsi="Garamond"/>
          <w:lang w:val="es-ES"/>
        </w:rPr>
      </w:pPr>
      <w:r w:rsidRPr="5BBD3998">
        <w:rPr>
          <w:rFonts w:ascii="Garamond" w:hAnsi="Garamond"/>
          <w:lang w:val="es-ES"/>
        </w:rPr>
        <w:t xml:space="preserve">Gran parte de este tipo de delitos se atiende en población, es decir, personal de Carabinero acude al lugar de los hechos a tomar la denuncia, y en general, no acude el personal certificado de la Sala de Familia. </w:t>
      </w:r>
    </w:p>
    <w:p w14:paraId="3D6B8709" w14:textId="74F6F46D" w:rsidR="00F9358A" w:rsidRDefault="006651E9" w:rsidP="00F9358A">
      <w:pPr>
        <w:pStyle w:val="Prrafodelista"/>
        <w:numPr>
          <w:ilvl w:val="1"/>
          <w:numId w:val="3"/>
        </w:numPr>
        <w:jc w:val="both"/>
        <w:rPr>
          <w:rFonts w:ascii="Garamond" w:hAnsi="Garamond"/>
          <w:lang w:val="es-ES_tradnl"/>
        </w:rPr>
      </w:pPr>
      <w:r>
        <w:rPr>
          <w:rFonts w:ascii="Garamond" w:hAnsi="Garamond"/>
          <w:lang w:val="es-ES_tradnl"/>
        </w:rPr>
        <w:lastRenderedPageBreak/>
        <w:t xml:space="preserve">Dado que este tipo de denuncias toma varias horas, especialmente cuando se deben constatar lesiones, la Sala tiene una baja cobertura del total de mujeres que acuden a realizar una denuncia de este tipo durante el día. </w:t>
      </w:r>
    </w:p>
    <w:p w14:paraId="5C38AD24" w14:textId="35A1C198" w:rsidR="001E7EC9" w:rsidRDefault="002A68D9" w:rsidP="001E7EC9">
      <w:pPr>
        <w:pStyle w:val="Prrafodelista"/>
        <w:numPr>
          <w:ilvl w:val="0"/>
          <w:numId w:val="3"/>
        </w:numPr>
        <w:jc w:val="both"/>
        <w:rPr>
          <w:rFonts w:ascii="Garamond" w:hAnsi="Garamond"/>
          <w:lang w:val="es-ES_tradnl"/>
        </w:rPr>
      </w:pPr>
      <w:r>
        <w:rPr>
          <w:rFonts w:ascii="Garamond" w:hAnsi="Garamond"/>
          <w:lang w:val="es-ES_tradnl"/>
        </w:rPr>
        <w:t>Oportunidades de mejora</w:t>
      </w:r>
      <w:r w:rsidR="007F3A97">
        <w:rPr>
          <w:rFonts w:ascii="Garamond" w:hAnsi="Garamond"/>
          <w:lang w:val="es-ES_tradnl"/>
        </w:rPr>
        <w:t xml:space="preserve"> con la medición de riesgo en población: otro aspecto que obstaculiza el acceso a la justicia</w:t>
      </w:r>
      <w:r w:rsidR="008C5074">
        <w:rPr>
          <w:rFonts w:ascii="Garamond" w:hAnsi="Garamond"/>
          <w:lang w:val="es-ES_tradnl"/>
        </w:rPr>
        <w:t xml:space="preserve"> oportuno, y</w:t>
      </w:r>
      <w:r w:rsidR="00547148">
        <w:rPr>
          <w:rFonts w:ascii="Garamond" w:hAnsi="Garamond"/>
          <w:lang w:val="es-ES_tradnl"/>
        </w:rPr>
        <w:t>,</w:t>
      </w:r>
      <w:r w:rsidR="008C5074">
        <w:rPr>
          <w:rFonts w:ascii="Garamond" w:hAnsi="Garamond"/>
          <w:lang w:val="es-ES_tradnl"/>
        </w:rPr>
        <w:t xml:space="preserve"> sobre todo, a las medidas de seguridad ante mayores niveles de riesgo,</w:t>
      </w:r>
      <w:r w:rsidR="007F3A97">
        <w:rPr>
          <w:rFonts w:ascii="Garamond" w:hAnsi="Garamond"/>
          <w:lang w:val="es-ES_tradnl"/>
        </w:rPr>
        <w:t xml:space="preserve"> es que </w:t>
      </w:r>
      <w:r w:rsidR="008C5074">
        <w:rPr>
          <w:rFonts w:ascii="Garamond" w:hAnsi="Garamond"/>
          <w:lang w:val="es-ES_tradnl"/>
        </w:rPr>
        <w:t xml:space="preserve">la Pauta Unificada Inicial de Evaluación de Riesgo solo se puede aplicar presencialmente en las unidades policiales. De esta manera, cuando personal de Carabineros toma la denuncia en terreno, </w:t>
      </w:r>
      <w:r w:rsidR="00FB3D55">
        <w:rPr>
          <w:rFonts w:ascii="Garamond" w:hAnsi="Garamond"/>
          <w:lang w:val="es-ES_tradnl"/>
        </w:rPr>
        <w:t xml:space="preserve">debe pedirle a la mujer que concurra a la comisaría a responder la evaluación. En la práctica, ocurre que muchas mujeres, especialmente de estratos socioeconómicos más bajos o migrantes, </w:t>
      </w:r>
      <w:r w:rsidR="002E5E34">
        <w:rPr>
          <w:rFonts w:ascii="Garamond" w:hAnsi="Garamond"/>
          <w:lang w:val="es-ES_tradnl"/>
        </w:rPr>
        <w:t>no pueden acudir por falta de redes de apoyo en el cuidado de sus hijos/as o trabajos menos flexibles</w:t>
      </w:r>
      <w:r>
        <w:rPr>
          <w:rFonts w:ascii="Garamond" w:hAnsi="Garamond"/>
          <w:lang w:val="es-ES_tradnl"/>
        </w:rPr>
        <w:t>.</w:t>
      </w:r>
    </w:p>
    <w:p w14:paraId="607ACAEA" w14:textId="092B4668" w:rsidR="002A68D9" w:rsidRPr="00BB1F62" w:rsidRDefault="002A68D9" w:rsidP="001E7EC9">
      <w:pPr>
        <w:pStyle w:val="Prrafodelista"/>
        <w:numPr>
          <w:ilvl w:val="0"/>
          <w:numId w:val="3"/>
        </w:numPr>
        <w:jc w:val="both"/>
        <w:rPr>
          <w:rFonts w:ascii="Garamond" w:hAnsi="Garamond"/>
          <w:lang w:val="es-ES_tradnl"/>
        </w:rPr>
      </w:pPr>
      <w:r w:rsidRPr="001E7EC9">
        <w:rPr>
          <w:rFonts w:ascii="Garamond" w:hAnsi="Garamond"/>
          <w:lang w:val="es-ES_tradnl"/>
        </w:rPr>
        <w:t>Oportunidades de mejora en la constatación de lesiones:</w:t>
      </w:r>
      <w:r w:rsidR="00B8189C" w:rsidRPr="001E7EC9">
        <w:rPr>
          <w:rFonts w:ascii="Garamond" w:hAnsi="Garamond"/>
          <w:lang w:val="es-ES_tradnl"/>
        </w:rPr>
        <w:t xml:space="preserve"> el procedimiento de cons</w:t>
      </w:r>
      <w:r w:rsidR="00530C94" w:rsidRPr="001E7EC9">
        <w:rPr>
          <w:rFonts w:ascii="Garamond" w:hAnsi="Garamond"/>
          <w:lang w:val="es-ES_tradnl"/>
        </w:rPr>
        <w:t xml:space="preserve">tatación de lesiones implica una coordinación interinstitucional que presenta algunas barreras. De partida, no siempre existe disponibilidad de patrullas o carros en Carabineros para llevar a la mujer a constatar lesiones, porque no son exclusivos para eso. Esto genera que </w:t>
      </w:r>
      <w:r w:rsidR="00865754" w:rsidRPr="001E7EC9">
        <w:rPr>
          <w:rFonts w:ascii="Garamond" w:hAnsi="Garamond"/>
          <w:lang w:val="es-ES_tradnl"/>
        </w:rPr>
        <w:t xml:space="preserve">a veces las mujeres deban irse por sus propios medios, exponiéndolas a </w:t>
      </w:r>
      <w:r w:rsidR="00827238" w:rsidRPr="001E7EC9">
        <w:rPr>
          <w:rFonts w:ascii="Garamond" w:hAnsi="Garamond"/>
          <w:lang w:val="es-ES_tradnl"/>
        </w:rPr>
        <w:t xml:space="preserve">reencuentros con su agresor u otros riesgos asociados. Así también, es un proceso que, dadas las largas esperas de los servicios de salud, toma muchas horas. Esto hace que muchas mujeres deban retirarse y no realizar la constatación por motivos laborales remunerados o no remunerados. </w:t>
      </w:r>
      <w:r w:rsidR="003805E2" w:rsidRPr="001E7EC9">
        <w:rPr>
          <w:rFonts w:ascii="Garamond" w:hAnsi="Garamond"/>
          <w:lang w:val="es-ES_tradnl"/>
        </w:rPr>
        <w:t>Además, en esta espera se ven expuestas públicamente ya que no hay un sector con privacidad para la denunciante.</w:t>
      </w:r>
      <w:r w:rsidR="003805E2" w:rsidRPr="001E7EC9">
        <w:rPr>
          <w:rFonts w:eastAsia="Garamond" w:cs="Garamond"/>
        </w:rPr>
        <w:t xml:space="preserve"> </w:t>
      </w:r>
    </w:p>
    <w:p w14:paraId="220E6556" w14:textId="37F123AF" w:rsidR="000B4D47" w:rsidRPr="000B4D47" w:rsidRDefault="00BB1F62" w:rsidP="000B4D47">
      <w:pPr>
        <w:pStyle w:val="Prrafodelista"/>
        <w:numPr>
          <w:ilvl w:val="0"/>
          <w:numId w:val="3"/>
        </w:numPr>
        <w:jc w:val="both"/>
        <w:rPr>
          <w:rFonts w:ascii="Garamond" w:hAnsi="Garamond"/>
          <w:lang w:val="es-ES_tradnl"/>
        </w:rPr>
      </w:pPr>
      <w:r w:rsidRPr="000B4D47">
        <w:rPr>
          <w:rFonts w:ascii="Garamond" w:hAnsi="Garamond"/>
          <w:lang w:val="es-ES_tradnl"/>
        </w:rPr>
        <w:t>Oportunidades de mejora en el seguimiento de cautelares:</w:t>
      </w:r>
      <w:r w:rsidR="000B4D47" w:rsidRPr="000B4D47">
        <w:rPr>
          <w:rFonts w:ascii="Garamond" w:hAnsi="Garamond"/>
          <w:lang w:val="es-ES_tradnl"/>
        </w:rPr>
        <w:t xml:space="preserve"> </w:t>
      </w:r>
      <w:r w:rsidR="000B4D47">
        <w:rPr>
          <w:rFonts w:ascii="Garamond" w:hAnsi="Garamond"/>
          <w:lang w:val="es-ES_tradnl"/>
        </w:rPr>
        <w:t>se ha observado en Chile un seguimiento insuficiente de las cautelares para los agresores. En este contexto, “el</w:t>
      </w:r>
      <w:r w:rsidR="000B4D47" w:rsidRPr="000B4D47">
        <w:rPr>
          <w:rFonts w:ascii="Garamond" w:hAnsi="Garamond"/>
          <w:lang w:val="es-ES_tradnl"/>
        </w:rPr>
        <w:t xml:space="preserve"> aporte que puede realizar el encargado de las salas de familia para el monitoreo y control de las medidas de protección o cautelares es marginal y en muchos casos se limita solo a tener contactos telefónicos ocasionales con las víctimas (considerando el escaso tiempo del que dispone luego de cumplir con el resto de las tareas asignadas por diseño). El control de la gestión del seguimiento de estas radica más bien en las unidades de </w:t>
      </w:r>
      <w:r w:rsidR="00D51D2D" w:rsidRPr="000B4D47">
        <w:rPr>
          <w:rFonts w:ascii="Garamond" w:hAnsi="Garamond"/>
          <w:lang w:val="es-ES_tradnl"/>
        </w:rPr>
        <w:t>órdenes</w:t>
      </w:r>
      <w:r w:rsidR="000B4D47" w:rsidRPr="000B4D47">
        <w:rPr>
          <w:rFonts w:ascii="Garamond" w:hAnsi="Garamond"/>
          <w:lang w:val="es-ES_tradnl"/>
        </w:rPr>
        <w:t xml:space="preserve"> judiciales y se aprecia que los niveles de coordinación entre el encargado y esta unidad no siempre es robusto.</w:t>
      </w:r>
    </w:p>
    <w:p w14:paraId="2E1AFCA7" w14:textId="054DF38C" w:rsidR="00BB1F62" w:rsidRPr="001E7EC9" w:rsidRDefault="0032439D" w:rsidP="001E7EC9">
      <w:pPr>
        <w:pStyle w:val="Prrafodelista"/>
        <w:numPr>
          <w:ilvl w:val="0"/>
          <w:numId w:val="3"/>
        </w:numPr>
        <w:jc w:val="both"/>
        <w:rPr>
          <w:rFonts w:ascii="Garamond" w:hAnsi="Garamond"/>
          <w:lang w:val="es-ES_tradnl"/>
        </w:rPr>
      </w:pPr>
      <w:r>
        <w:rPr>
          <w:rFonts w:ascii="Garamond" w:hAnsi="Garamond"/>
          <w:lang w:val="es-ES_tradnl"/>
        </w:rPr>
        <w:t>Oportunidades de mejora en cuanto a la garantía de acceso para todas las mujeres: desde el estudio se relevó que existen</w:t>
      </w:r>
      <w:r w:rsidRPr="0032439D">
        <w:rPr>
          <w:rFonts w:ascii="Garamond" w:hAnsi="Garamond"/>
          <w:lang w:val="es-ES_tradnl"/>
        </w:rPr>
        <w:t xml:space="preserve"> aspectos del diseño </w:t>
      </w:r>
      <w:r>
        <w:rPr>
          <w:rFonts w:ascii="Garamond" w:hAnsi="Garamond"/>
          <w:lang w:val="es-ES_tradnl"/>
        </w:rPr>
        <w:t>que s</w:t>
      </w:r>
      <w:r w:rsidRPr="0032439D">
        <w:rPr>
          <w:rFonts w:ascii="Garamond" w:hAnsi="Garamond"/>
          <w:lang w:val="es-ES_tradnl"/>
        </w:rPr>
        <w:t xml:space="preserve">on poco compatibles con la realidad de las personas (por ejemplo, la falta de disponibilidad, trabajos formales donde pueden solicitar permiso o redes de apoyo para ir a denunciar a la unidad policial, o para estar muchas horas a la espera en el proceso de denuncia por trabajo remunerado o no remunerado de cuidados y domésticos), lo cual evidencia la carencia de una perspectiva interseccional en el diseño. En esta misma línea, existen dificultades para comprender diferencias culturales cuando se trata de población migrante, o una perspectiva de curso de edad que permita una atención adecuada </w:t>
      </w:r>
      <w:r w:rsidR="00F23D46">
        <w:rPr>
          <w:rFonts w:ascii="Garamond" w:hAnsi="Garamond"/>
          <w:lang w:val="es-ES_tradnl"/>
        </w:rPr>
        <w:t>según las necesidades de mujeres de distintos tramos etarios</w:t>
      </w:r>
      <w:r w:rsidRPr="0032439D">
        <w:rPr>
          <w:rFonts w:ascii="Garamond" w:hAnsi="Garamond"/>
          <w:lang w:val="es-ES_tradnl"/>
        </w:rPr>
        <w:t>.</w:t>
      </w:r>
    </w:p>
    <w:p w14:paraId="474003AD" w14:textId="77777777" w:rsidR="00F6740F" w:rsidRDefault="00F6740F" w:rsidP="00CB5515">
      <w:pPr>
        <w:rPr>
          <w:rFonts w:ascii="Garamond" w:hAnsi="Garamond"/>
          <w:lang w:val="es-ES_tradnl"/>
        </w:rPr>
      </w:pPr>
    </w:p>
    <w:p w14:paraId="28710DC0" w14:textId="5450EAB9" w:rsidR="00F6740F" w:rsidRDefault="00F6740F" w:rsidP="00CB5515">
      <w:pPr>
        <w:rPr>
          <w:rFonts w:ascii="Garamond" w:hAnsi="Garamond"/>
          <w:lang w:val="es-ES_tradnl"/>
        </w:rPr>
      </w:pPr>
      <w:r>
        <w:rPr>
          <w:rFonts w:ascii="Garamond" w:hAnsi="Garamond"/>
          <w:lang w:val="es-ES_tradnl"/>
        </w:rPr>
        <w:t>Y respecto del desarrollo de la capacidad de la policía:</w:t>
      </w:r>
    </w:p>
    <w:p w14:paraId="3C470F01" w14:textId="77777777" w:rsidR="003805E2" w:rsidRDefault="003805E2" w:rsidP="5BBD3998">
      <w:pPr>
        <w:pStyle w:val="Prrafodelista"/>
        <w:numPr>
          <w:ilvl w:val="0"/>
          <w:numId w:val="5"/>
        </w:numPr>
        <w:jc w:val="both"/>
        <w:rPr>
          <w:rFonts w:ascii="Garamond" w:hAnsi="Garamond"/>
          <w:lang w:val="es-ES"/>
        </w:rPr>
      </w:pPr>
      <w:r w:rsidRPr="5BBD3998">
        <w:rPr>
          <w:rFonts w:ascii="Garamond" w:hAnsi="Garamond"/>
          <w:lang w:val="es-ES"/>
        </w:rPr>
        <w:t xml:space="preserve">Oportunidades de mejora en el personal de Carabineros que atiende a mujeres sobrevivientes de violencia de género: se observó a través del estudio que, en general, cuando el personal certificado para atender la Sala de Familia lo hacía, la atención se ajustaba a los principios establecidos por el programa en cuanto a perspectiva de género, especialización y respeto de los derechos humanos. Sin embargo, muchas veces las </w:t>
      </w:r>
      <w:r w:rsidRPr="5BBD3998">
        <w:rPr>
          <w:rFonts w:ascii="Garamond" w:hAnsi="Garamond"/>
          <w:lang w:val="es-ES"/>
        </w:rPr>
        <w:lastRenderedPageBreak/>
        <w:t xml:space="preserve">mujeres eran atendidas por otro personal que no tenía la formación adecuada y que generaba una serie de transgresiones y formas de revictimización, las cuales finalmente obstaculizan el acceso a la justicia. </w:t>
      </w:r>
    </w:p>
    <w:p w14:paraId="1A52587A" w14:textId="77777777" w:rsidR="009440D8" w:rsidRDefault="009440D8" w:rsidP="009440D8">
      <w:pPr>
        <w:pStyle w:val="Prrafodelista"/>
        <w:jc w:val="both"/>
        <w:rPr>
          <w:rFonts w:ascii="Garamond" w:hAnsi="Garamond"/>
          <w:lang w:val="es-ES"/>
        </w:rPr>
      </w:pPr>
    </w:p>
    <w:p w14:paraId="526BE665" w14:textId="77777777" w:rsidR="00CD4DBD" w:rsidRPr="00CD4DBD" w:rsidRDefault="00CD4DBD" w:rsidP="00337C1C">
      <w:pPr>
        <w:pStyle w:val="Ttulo2"/>
      </w:pPr>
      <w:r w:rsidRPr="00CD4DBD">
        <w:t>Trata y explotación de la prostitución</w:t>
      </w:r>
    </w:p>
    <w:p w14:paraId="1BA91599" w14:textId="77777777" w:rsidR="00CD4DBD" w:rsidRDefault="00CD4DBD" w:rsidP="00CD4DBD">
      <w:pPr>
        <w:rPr>
          <w:rFonts w:ascii="Garamond" w:hAnsi="Garamond"/>
        </w:rPr>
      </w:pPr>
    </w:p>
    <w:p w14:paraId="2C6804DE" w14:textId="7A29AE20" w:rsidR="00A00035" w:rsidRDefault="00A00035" w:rsidP="000E7DED">
      <w:pPr>
        <w:jc w:val="both"/>
        <w:rPr>
          <w:rFonts w:ascii="Garamond" w:hAnsi="Garamond"/>
        </w:rPr>
      </w:pPr>
      <w:r>
        <w:rPr>
          <w:rFonts w:ascii="Garamond" w:hAnsi="Garamond"/>
        </w:rPr>
        <w:t>Respecto de est</w:t>
      </w:r>
      <w:r w:rsidR="00694E12">
        <w:rPr>
          <w:rFonts w:ascii="Garamond" w:hAnsi="Garamond"/>
        </w:rPr>
        <w:t xml:space="preserve">a cuestión, desde el Centro de Estudios Justicia y Sociedad UC se desarrolló el anteproyecto de un estudio sobre </w:t>
      </w:r>
      <w:r w:rsidR="005D5C9C">
        <w:rPr>
          <w:rFonts w:ascii="Garamond" w:hAnsi="Garamond"/>
        </w:rPr>
        <w:t>trata de personas</w:t>
      </w:r>
      <w:r w:rsidR="006C343A">
        <w:rPr>
          <w:rFonts w:ascii="Garamond" w:hAnsi="Garamond"/>
        </w:rPr>
        <w:t xml:space="preserve"> con fines de explotación sexual y laboral</w:t>
      </w:r>
      <w:r w:rsidR="00874844">
        <w:rPr>
          <w:rFonts w:ascii="Garamond" w:hAnsi="Garamond"/>
        </w:rPr>
        <w:t xml:space="preserve">, para generar un diagnóstico </w:t>
      </w:r>
      <w:r w:rsidR="000C1F71">
        <w:rPr>
          <w:rFonts w:ascii="Garamond" w:hAnsi="Garamond"/>
        </w:rPr>
        <w:t>y propuestas para actuar</w:t>
      </w:r>
      <w:r w:rsidR="00BC5E91">
        <w:rPr>
          <w:rFonts w:ascii="Garamond" w:hAnsi="Garamond"/>
        </w:rPr>
        <w:t xml:space="preserve"> contra el abuso</w:t>
      </w:r>
      <w:r w:rsidR="00BC32E4">
        <w:rPr>
          <w:rFonts w:ascii="Garamond" w:hAnsi="Garamond"/>
        </w:rPr>
        <w:t xml:space="preserve"> del crimen organizado</w:t>
      </w:r>
      <w:r w:rsidR="000E7DED">
        <w:rPr>
          <w:rFonts w:ascii="Garamond" w:hAnsi="Garamond"/>
        </w:rPr>
        <w:t xml:space="preserve"> hacia las personas migrantes. La necesidad de generar este estudio diagnóstico, es justamente la falta de disponibilidad </w:t>
      </w:r>
      <w:r w:rsidR="00BC41CD">
        <w:rPr>
          <w:rFonts w:ascii="Garamond" w:hAnsi="Garamond"/>
        </w:rPr>
        <w:t xml:space="preserve">de información al respecto. </w:t>
      </w:r>
      <w:r w:rsidR="00850875">
        <w:rPr>
          <w:rFonts w:ascii="Garamond" w:hAnsi="Garamond"/>
        </w:rPr>
        <w:t>En el anteproyecto se dio cuenta de lo siguiente:</w:t>
      </w:r>
    </w:p>
    <w:p w14:paraId="16795940" w14:textId="77777777" w:rsidR="00850875" w:rsidRDefault="00850875" w:rsidP="000E7DED">
      <w:pPr>
        <w:jc w:val="both"/>
        <w:rPr>
          <w:rFonts w:ascii="Garamond" w:hAnsi="Garamond"/>
        </w:rPr>
      </w:pPr>
    </w:p>
    <w:p w14:paraId="16976D34" w14:textId="4C7BF2FD" w:rsidR="002547AD" w:rsidRDefault="00D20F51" w:rsidP="002547AD">
      <w:pPr>
        <w:pStyle w:val="Prrafodelista"/>
        <w:numPr>
          <w:ilvl w:val="0"/>
          <w:numId w:val="8"/>
        </w:numPr>
        <w:spacing w:before="120" w:after="120"/>
        <w:jc w:val="both"/>
        <w:rPr>
          <w:rFonts w:ascii="Garamond" w:eastAsia="Times New Roman" w:hAnsi="Garamond" w:cs="Times New Roman"/>
        </w:rPr>
      </w:pPr>
      <w:r w:rsidRPr="002547AD">
        <w:rPr>
          <w:rFonts w:ascii="Garamond" w:hAnsi="Garamond"/>
        </w:rPr>
        <w:t xml:space="preserve">En Chile se ha avanzado </w:t>
      </w:r>
      <w:r w:rsidR="00C83C50" w:rsidRPr="002547AD">
        <w:rPr>
          <w:rFonts w:ascii="Garamond" w:hAnsi="Garamond"/>
        </w:rPr>
        <w:t>en el desarrollo de cambios legales e institucionales</w:t>
      </w:r>
      <w:r w:rsidR="00687EE7" w:rsidRPr="002547AD">
        <w:rPr>
          <w:rFonts w:ascii="Garamond" w:hAnsi="Garamond"/>
        </w:rPr>
        <w:t xml:space="preserve"> </w:t>
      </w:r>
      <w:r w:rsidR="00FC7A9A" w:rsidRPr="002547AD">
        <w:rPr>
          <w:rFonts w:ascii="Garamond" w:hAnsi="Garamond"/>
        </w:rPr>
        <w:t>en torno a</w:t>
      </w:r>
      <w:r w:rsidR="00461C17" w:rsidRPr="002547AD">
        <w:rPr>
          <w:rFonts w:ascii="Garamond" w:hAnsi="Garamond"/>
        </w:rPr>
        <w:t xml:space="preserve">l delito </w:t>
      </w:r>
      <w:r w:rsidR="00D85111" w:rsidRPr="002547AD">
        <w:rPr>
          <w:rFonts w:ascii="Garamond" w:hAnsi="Garamond"/>
        </w:rPr>
        <w:t xml:space="preserve">de trata de personas. Entre ellos está la creación en 2011 de una legislación especial para perseguir penalmente este delito (Ley 20.507), la creación de unidades especializadas de la policía para dichos efectos, la progresiva especialización de algunos fiscales del Ministerio Público con el mismo objetivo y la creación desde el Poder Ejecutivo de la Mesa intersectorial sobre Trata de Personas. A nivel institucional, </w:t>
      </w:r>
      <w:r w:rsidR="002547AD" w:rsidRPr="002547AD">
        <w:rPr>
          <w:rFonts w:ascii="Garamond" w:eastAsia="Times New Roman" w:hAnsi="Garamond" w:cs="Times New Roman"/>
        </w:rPr>
        <w:t>un hito relevante fue la instalación de la mesa intersectorial de trata de personas, dependiente del Ministerio del Interior y Seguridad Públic</w:t>
      </w:r>
      <w:r w:rsidR="00C4436F">
        <w:rPr>
          <w:rFonts w:ascii="Garamond" w:eastAsia="Times New Roman" w:hAnsi="Garamond" w:cs="Times New Roman"/>
        </w:rPr>
        <w:t>o, que es una</w:t>
      </w:r>
      <w:r w:rsidR="002547AD" w:rsidRPr="002547AD">
        <w:rPr>
          <w:rFonts w:ascii="Garamond" w:eastAsia="Times New Roman" w:hAnsi="Garamond" w:cs="Times New Roman"/>
        </w:rPr>
        <w:t xml:space="preserve"> comisión asesora de carácter permanente de composición intersectorial, encargada de coordinar el Plan de Acción Nacional contra la Trata de Personas con acciones en prevención, protección de víctimas, sanción y cooperación internacional contra este delito. Actualmente se compone de 22 instituciones del Estado, Sociedad Civil y Organismos Internacionales y cuenta con representación de mesas regionales en el material (Ministerio del Interior y Seguridad Publica, 2022).</w:t>
      </w:r>
    </w:p>
    <w:p w14:paraId="2A2A2957" w14:textId="1E906A18" w:rsidR="00687EE7" w:rsidRDefault="00187D69" w:rsidP="008156C1">
      <w:pPr>
        <w:pStyle w:val="Prrafodelista"/>
        <w:numPr>
          <w:ilvl w:val="0"/>
          <w:numId w:val="8"/>
        </w:numPr>
        <w:spacing w:before="120" w:after="120"/>
        <w:jc w:val="both"/>
        <w:rPr>
          <w:rFonts w:ascii="Garamond" w:eastAsia="Times New Roman" w:hAnsi="Garamond" w:cs="Times New Roman"/>
        </w:rPr>
      </w:pPr>
      <w:r>
        <w:rPr>
          <w:rFonts w:ascii="Garamond" w:eastAsia="Times New Roman" w:hAnsi="Garamond" w:cs="Times New Roman"/>
        </w:rPr>
        <w:t>Sin embargo, pese a los esfuerzos</w:t>
      </w:r>
      <w:r w:rsidR="006D4990">
        <w:rPr>
          <w:rFonts w:ascii="Garamond" w:eastAsia="Times New Roman" w:hAnsi="Garamond" w:cs="Times New Roman"/>
        </w:rPr>
        <w:t xml:space="preserve"> realizados </w:t>
      </w:r>
      <w:r w:rsidR="008F143E" w:rsidRPr="008F143E">
        <w:rPr>
          <w:rFonts w:ascii="Garamond" w:eastAsia="Times New Roman" w:hAnsi="Garamond" w:cs="Times New Roman"/>
        </w:rPr>
        <w:t xml:space="preserve">el número de denuncias y de respuestas efectivas del sistema penal por eventos vinculados a la explotación laboral o sexual de personas víctimas de trata de personas es bastante pequeño. Datos del anuario estadístico del Ministerio Público de Chile (2011; 2022) </w:t>
      </w:r>
      <w:r w:rsidR="0055118C">
        <w:rPr>
          <w:rFonts w:ascii="Garamond" w:eastAsia="Times New Roman" w:hAnsi="Garamond" w:cs="Times New Roman"/>
        </w:rPr>
        <w:t>permiten</w:t>
      </w:r>
      <w:r w:rsidR="008F143E" w:rsidRPr="008F143E">
        <w:rPr>
          <w:rFonts w:ascii="Garamond" w:eastAsia="Times New Roman" w:hAnsi="Garamond" w:cs="Times New Roman"/>
        </w:rPr>
        <w:t xml:space="preserve"> inferir que durante la última década el sistema penal ha recibido 560 denuncias por trata de personas en cualquiera de sus modalidades (menos de 50 denuncias al año). De ellas 174 casos (aproximadamente 30%) corresponde imputaciones por trata laboral y en los restantes 393 casos (aproximadamente 70%) a imputaciones de trata sexual. En materia de trata laboral en solo 30 casos se han obtenido sentencias condenatorias, mientras que en casos de trata sexual ello ha ocurrido en 121 de los casos investigados.</w:t>
      </w:r>
      <w:r w:rsidR="001F7DB0">
        <w:rPr>
          <w:rFonts w:ascii="Garamond" w:eastAsia="Times New Roman" w:hAnsi="Garamond" w:cs="Times New Roman"/>
        </w:rPr>
        <w:t xml:space="preserve"> </w:t>
      </w:r>
      <w:r w:rsidR="008156C1">
        <w:rPr>
          <w:rFonts w:ascii="Garamond" w:eastAsia="Times New Roman" w:hAnsi="Garamond" w:cs="Times New Roman"/>
        </w:rPr>
        <w:t>Sin embargo, internacionalmente se reconoce</w:t>
      </w:r>
      <w:r w:rsidR="008156C1" w:rsidRPr="008156C1">
        <w:rPr>
          <w:rFonts w:ascii="Garamond" w:eastAsia="Times New Roman" w:hAnsi="Garamond" w:cs="Times New Roman"/>
        </w:rPr>
        <w:t xml:space="preserve"> la baja capacidad de los sistemas penales y los Estados para detectar casos de trata sexual y laboral de personas y perseguir penalmente a sus responsables es un fenómeno que se replica a nivel internacional</w:t>
      </w:r>
      <w:r w:rsidR="008156C1">
        <w:rPr>
          <w:rFonts w:ascii="Garamond" w:eastAsia="Times New Roman" w:hAnsi="Garamond" w:cs="Times New Roman"/>
        </w:rPr>
        <w:t xml:space="preserve">. Esto sugeriría un mecanismo de pesquisa aún insuficiente en la materia en nuestro país. </w:t>
      </w:r>
    </w:p>
    <w:p w14:paraId="10F28E8F" w14:textId="336FD18C" w:rsidR="008156C1" w:rsidRPr="008156C1" w:rsidRDefault="008156C1" w:rsidP="008156C1">
      <w:pPr>
        <w:pStyle w:val="Prrafodelista"/>
        <w:numPr>
          <w:ilvl w:val="0"/>
          <w:numId w:val="8"/>
        </w:numPr>
        <w:spacing w:before="120" w:after="120"/>
        <w:jc w:val="both"/>
        <w:rPr>
          <w:rFonts w:ascii="Garamond" w:eastAsia="Times New Roman" w:hAnsi="Garamond" w:cs="Times New Roman"/>
        </w:rPr>
      </w:pPr>
      <w:r>
        <w:rPr>
          <w:rFonts w:ascii="Garamond" w:eastAsia="Times New Roman" w:hAnsi="Garamond" w:cs="Times New Roman"/>
        </w:rPr>
        <w:t xml:space="preserve">Por otro lado, en el anteproyecto se establece también que </w:t>
      </w:r>
      <w:r w:rsidRPr="008156C1">
        <w:rPr>
          <w:rFonts w:ascii="Garamond" w:eastAsia="Times New Roman" w:hAnsi="Garamond" w:cs="Times New Roman"/>
        </w:rPr>
        <w:t xml:space="preserve">Chile no solo carece de información estadística robusta en materia de trata de personas, sino que además la investigación de carácter empírico que aspira a caracterizar y comprender fenómeno de la trata de personas y de sus protagonistas ha sido casi inexistente hasta la fecha, siendo este un campo de investigación emergente en nuestro país (Quinteros et al, 2021 y Chan et al, 2022). Por su parte, aquella que busca observar el funcionamiento del sistema penal como mecanismo de reacción ante esta clase de hechos es derechamente inexistente, </w:t>
      </w:r>
      <w:r w:rsidRPr="008156C1">
        <w:rPr>
          <w:rFonts w:ascii="Garamond" w:eastAsia="Times New Roman" w:hAnsi="Garamond" w:cs="Times New Roman"/>
        </w:rPr>
        <w:lastRenderedPageBreak/>
        <w:t>pues este aspecto ha sido abordado solo desde perspectivas normativas (Arias y Figueroa, 2013; Figueroa, 2014). Esta brecha de información dificulta el diseño de políticas públicas para la prevención de este fenómeno delictual basada en evidencia e impide avanzar hacia una persecución penal más eficaz de quienes llevan a cabo esta clase de delitos.</w:t>
      </w:r>
    </w:p>
    <w:p w14:paraId="29D4D2BE" w14:textId="028D062A" w:rsidR="00CD4DBD" w:rsidRPr="00277C0F" w:rsidRDefault="00CD4DBD" w:rsidP="00CD4DBD">
      <w:pPr>
        <w:rPr>
          <w:rFonts w:ascii="Garamond" w:hAnsi="Garamond"/>
        </w:rPr>
      </w:pPr>
    </w:p>
    <w:p w14:paraId="54B14597" w14:textId="77777777" w:rsidR="000F4092" w:rsidRDefault="000F4092" w:rsidP="00CD4DBD">
      <w:pPr>
        <w:rPr>
          <w:rFonts w:ascii="Garamond" w:hAnsi="Garamond"/>
          <w:color w:val="FF0000"/>
        </w:rPr>
      </w:pPr>
    </w:p>
    <w:p w14:paraId="27CF0FE3" w14:textId="77777777" w:rsidR="00CD4DBD" w:rsidRDefault="00CD4DBD" w:rsidP="00337C1C">
      <w:pPr>
        <w:pStyle w:val="Ttulo2"/>
      </w:pPr>
      <w:r w:rsidRPr="00CD4DBD">
        <w:t>Empleo</w:t>
      </w:r>
    </w:p>
    <w:p w14:paraId="5D49E1E5" w14:textId="77777777" w:rsidR="00930923" w:rsidRDefault="00930923" w:rsidP="00930923">
      <w:pPr>
        <w:rPr>
          <w:lang w:val="es-ES_tradnl"/>
        </w:rPr>
      </w:pPr>
    </w:p>
    <w:p w14:paraId="28602229" w14:textId="668C8E52" w:rsidR="00930923" w:rsidRPr="003D77E0" w:rsidRDefault="00930923" w:rsidP="002F35E5">
      <w:pPr>
        <w:jc w:val="both"/>
        <w:rPr>
          <w:rFonts w:ascii="Garamond" w:hAnsi="Garamond"/>
        </w:rPr>
      </w:pPr>
      <w:r w:rsidRPr="003D77E0">
        <w:rPr>
          <w:rFonts w:ascii="Garamond" w:hAnsi="Garamond"/>
          <w:lang w:val="es-ES_tradnl"/>
        </w:rPr>
        <w:t xml:space="preserve">Respecto al punto (a) de esta cuestión, es decir, </w:t>
      </w:r>
      <w:r w:rsidR="0065309D" w:rsidRPr="003D77E0">
        <w:rPr>
          <w:rFonts w:ascii="Garamond" w:hAnsi="Garamond"/>
        </w:rPr>
        <w:t xml:space="preserve">las medidas adoptadas para eliminar la discriminación contra las mujeres en el empleo, lo que incluye la adopción y aplicación de medidas especiales de carácter temporal para reducir las desigualdades de género en el mercado laboral en términos de segregación horizontal y vertical, en relación con las mujeres pertenecientes a grupos desfavorecidos, incluidas las mujeres indígenas, las mujeres con discapacidad y las mujeres migrantes, en los sectores público y privado, </w:t>
      </w:r>
      <w:r w:rsidR="00470681" w:rsidRPr="003D77E0">
        <w:rPr>
          <w:rFonts w:ascii="Garamond" w:hAnsi="Garamond"/>
        </w:rPr>
        <w:t xml:space="preserve">desde el Centro de Estudios Justicia y Sociedad se realizó el estudio “Trayectorias de vida de las mujeres privadas de libertad por la </w:t>
      </w:r>
      <w:r w:rsidR="00704249" w:rsidRPr="003D77E0">
        <w:rPr>
          <w:rFonts w:ascii="Garamond" w:hAnsi="Garamond"/>
        </w:rPr>
        <w:t>l</w:t>
      </w:r>
      <w:r w:rsidR="00470681" w:rsidRPr="003D77E0">
        <w:rPr>
          <w:rFonts w:ascii="Garamond" w:hAnsi="Garamond"/>
        </w:rPr>
        <w:t>ey 20.000”</w:t>
      </w:r>
      <w:r w:rsidR="002F35E5" w:rsidRPr="003D77E0">
        <w:rPr>
          <w:rFonts w:ascii="Garamond" w:hAnsi="Garamond"/>
        </w:rPr>
        <w:t xml:space="preserve"> que entrega algunas luces sobre formas de discriminación contra algunas poblaciones de mujeres en términos de empleo. </w:t>
      </w:r>
    </w:p>
    <w:p w14:paraId="1AB51D21" w14:textId="77777777" w:rsidR="002F35E5" w:rsidRPr="003D77E0" w:rsidRDefault="002F35E5" w:rsidP="002F35E5">
      <w:pPr>
        <w:jc w:val="both"/>
        <w:rPr>
          <w:rFonts w:ascii="Garamond" w:hAnsi="Garamond"/>
        </w:rPr>
      </w:pPr>
    </w:p>
    <w:p w14:paraId="5FE7854F" w14:textId="08D95FA6" w:rsidR="002F35E5" w:rsidRPr="003D77E0" w:rsidRDefault="002F35E5" w:rsidP="002F35E5">
      <w:pPr>
        <w:jc w:val="both"/>
        <w:rPr>
          <w:rFonts w:ascii="Garamond" w:hAnsi="Garamond"/>
        </w:rPr>
      </w:pPr>
      <w:r w:rsidRPr="003D77E0">
        <w:rPr>
          <w:rFonts w:ascii="Garamond" w:hAnsi="Garamond"/>
        </w:rPr>
        <w:t xml:space="preserve">Este estudio, </w:t>
      </w:r>
      <w:r w:rsidR="0088784D" w:rsidRPr="003D77E0">
        <w:rPr>
          <w:rFonts w:ascii="Garamond" w:hAnsi="Garamond"/>
        </w:rPr>
        <w:t xml:space="preserve">licitado públicamente por </w:t>
      </w:r>
      <w:r w:rsidR="00930AD9" w:rsidRPr="003D77E0">
        <w:rPr>
          <w:rFonts w:ascii="Garamond" w:hAnsi="Garamond"/>
        </w:rPr>
        <w:t>el Ministerio de Justicia y Derechos Humanos</w:t>
      </w:r>
      <w:r w:rsidR="001F75B6" w:rsidRPr="003D77E0">
        <w:rPr>
          <w:rFonts w:ascii="Garamond" w:hAnsi="Garamond"/>
        </w:rPr>
        <w:t xml:space="preserve">, </w:t>
      </w:r>
      <w:r w:rsidR="0001115C" w:rsidRPr="003D77E0">
        <w:rPr>
          <w:rFonts w:ascii="Garamond" w:hAnsi="Garamond"/>
        </w:rPr>
        <w:t xml:space="preserve">tuvo como objetivo </w:t>
      </w:r>
      <w:r w:rsidR="00F674DA" w:rsidRPr="003D77E0">
        <w:rPr>
          <w:rFonts w:ascii="Garamond" w:hAnsi="Garamond"/>
        </w:rPr>
        <w:t xml:space="preserve">caracterizar </w:t>
      </w:r>
      <w:r w:rsidR="00BC0833" w:rsidRPr="003D77E0">
        <w:rPr>
          <w:rFonts w:ascii="Garamond" w:hAnsi="Garamond"/>
        </w:rPr>
        <w:t xml:space="preserve">las trayectorias de vida de las mujeres privadas de libertad </w:t>
      </w:r>
      <w:r w:rsidR="00704249" w:rsidRPr="003D77E0">
        <w:rPr>
          <w:rFonts w:ascii="Garamond" w:hAnsi="Garamond"/>
        </w:rPr>
        <w:t>por delitos de la ley 20.000</w:t>
      </w:r>
      <w:r w:rsidR="00966AC9" w:rsidRPr="003D77E0">
        <w:rPr>
          <w:rFonts w:ascii="Garamond" w:hAnsi="Garamond"/>
        </w:rPr>
        <w:t>, que sanciona el tráfico ilícito</w:t>
      </w:r>
      <w:r w:rsidR="002B146D" w:rsidRPr="003D77E0">
        <w:rPr>
          <w:rFonts w:ascii="Garamond" w:hAnsi="Garamond"/>
        </w:rPr>
        <w:t xml:space="preserve"> de estupefacientes</w:t>
      </w:r>
      <w:r w:rsidR="00456B96" w:rsidRPr="003D77E0">
        <w:rPr>
          <w:rFonts w:ascii="Garamond" w:hAnsi="Garamond"/>
        </w:rPr>
        <w:t xml:space="preserve"> y sustancias psicotrópicas. </w:t>
      </w:r>
      <w:r w:rsidR="00A16F9C" w:rsidRPr="003D77E0">
        <w:rPr>
          <w:rFonts w:ascii="Garamond" w:hAnsi="Garamond"/>
        </w:rPr>
        <w:t>Cabe mencionar, que</w:t>
      </w:r>
      <w:r w:rsidR="009C478B">
        <w:rPr>
          <w:rFonts w:ascii="Garamond" w:hAnsi="Garamond"/>
        </w:rPr>
        <w:t>,</w:t>
      </w:r>
      <w:r w:rsidR="00A16F9C" w:rsidRPr="003D77E0">
        <w:rPr>
          <w:rFonts w:ascii="Garamond" w:hAnsi="Garamond"/>
        </w:rPr>
        <w:t xml:space="preserve"> si bien se entrevistó a una muestra no representativa de 100 mujeres, al ser un estudio de orden cualitativo</w:t>
      </w:r>
      <w:r w:rsidR="00603131" w:rsidRPr="003D77E0">
        <w:rPr>
          <w:rFonts w:ascii="Garamond" w:hAnsi="Garamond"/>
        </w:rPr>
        <w:t>, se complementó su análisis con información proveniente de los registros administrativos de las mujeres egresadas de condenas asociadas a esta ley</w:t>
      </w:r>
      <w:r w:rsidR="009B1988" w:rsidRPr="003D77E0">
        <w:rPr>
          <w:rFonts w:ascii="Garamond" w:hAnsi="Garamond"/>
        </w:rPr>
        <w:t xml:space="preserve"> y todo tipo de delitos</w:t>
      </w:r>
      <w:r w:rsidR="00603131" w:rsidRPr="003D77E0">
        <w:rPr>
          <w:rFonts w:ascii="Garamond" w:hAnsi="Garamond"/>
        </w:rPr>
        <w:t xml:space="preserve"> en la última década.</w:t>
      </w:r>
      <w:r w:rsidR="00A16F9C" w:rsidRPr="003D77E0">
        <w:rPr>
          <w:rFonts w:ascii="Garamond" w:hAnsi="Garamond"/>
        </w:rPr>
        <w:t xml:space="preserve"> </w:t>
      </w:r>
      <w:r w:rsidR="00456B96" w:rsidRPr="003D77E0">
        <w:rPr>
          <w:rFonts w:ascii="Garamond" w:hAnsi="Garamond"/>
        </w:rPr>
        <w:t xml:space="preserve">Algunos de sus hallazgos, evidencian formas estructurales de discriminación en términos de empleo en una población de mujeres </w:t>
      </w:r>
      <w:r w:rsidR="009D4C17" w:rsidRPr="003D77E0">
        <w:rPr>
          <w:rFonts w:ascii="Garamond" w:hAnsi="Garamond"/>
        </w:rPr>
        <w:t xml:space="preserve">perteneciente a estratos socioeconómicos bajos y de aguda exclusión social. </w:t>
      </w:r>
    </w:p>
    <w:p w14:paraId="7B926B1B" w14:textId="77777777" w:rsidR="00603131" w:rsidRPr="003D77E0" w:rsidRDefault="00603131" w:rsidP="002F35E5">
      <w:pPr>
        <w:jc w:val="both"/>
        <w:rPr>
          <w:rFonts w:ascii="Garamond" w:hAnsi="Garamond"/>
        </w:rPr>
      </w:pPr>
    </w:p>
    <w:p w14:paraId="21AC74E2" w14:textId="5F8E2CFB" w:rsidR="003D77E0" w:rsidRDefault="00E26F03" w:rsidP="00493485">
      <w:pPr>
        <w:pStyle w:val="Prrafodelista"/>
        <w:numPr>
          <w:ilvl w:val="0"/>
          <w:numId w:val="10"/>
        </w:numPr>
        <w:jc w:val="both"/>
        <w:rPr>
          <w:rFonts w:ascii="Garamond" w:hAnsi="Garamond"/>
        </w:rPr>
      </w:pPr>
      <w:r w:rsidRPr="003D77E0">
        <w:rPr>
          <w:rFonts w:ascii="Garamond" w:hAnsi="Garamond"/>
        </w:rPr>
        <w:t>En primer lugar</w:t>
      </w:r>
      <w:r w:rsidR="00FD1D78" w:rsidRPr="003D77E0">
        <w:rPr>
          <w:rFonts w:ascii="Garamond" w:hAnsi="Garamond"/>
        </w:rPr>
        <w:t xml:space="preserve"> y como contexto,</w:t>
      </w:r>
      <w:r w:rsidRPr="003D77E0">
        <w:rPr>
          <w:rFonts w:ascii="Garamond" w:hAnsi="Garamond"/>
        </w:rPr>
        <w:t xml:space="preserve"> se observó que</w:t>
      </w:r>
      <w:r w:rsidR="009B1988" w:rsidRPr="003D77E0">
        <w:rPr>
          <w:rFonts w:ascii="Garamond" w:hAnsi="Garamond"/>
        </w:rPr>
        <w:t xml:space="preserve">, en general, </w:t>
      </w:r>
      <w:r w:rsidR="00290F83" w:rsidRPr="003D77E0">
        <w:rPr>
          <w:rFonts w:ascii="Garamond" w:hAnsi="Garamond"/>
        </w:rPr>
        <w:t xml:space="preserve">la </w:t>
      </w:r>
      <w:r w:rsidR="00B73DA4" w:rsidRPr="003D77E0">
        <w:rPr>
          <w:rFonts w:ascii="Garamond" w:hAnsi="Garamond"/>
        </w:rPr>
        <w:t xml:space="preserve">gran mayoría de mujeres privadas de libertad -considerando todos los delitos-, </w:t>
      </w:r>
      <w:r w:rsidR="0031771B" w:rsidRPr="003D77E0">
        <w:rPr>
          <w:rFonts w:ascii="Garamond" w:hAnsi="Garamond"/>
        </w:rPr>
        <w:t>tienen trayectorias escolares interrumpida</w:t>
      </w:r>
      <w:r w:rsidR="0081267F" w:rsidRPr="003D77E0">
        <w:rPr>
          <w:rFonts w:ascii="Garamond" w:hAnsi="Garamond"/>
        </w:rPr>
        <w:t xml:space="preserve">s. Específicamente, </w:t>
      </w:r>
      <w:r w:rsidR="00494060" w:rsidRPr="003D77E0">
        <w:rPr>
          <w:rFonts w:ascii="Garamond" w:hAnsi="Garamond"/>
        </w:rPr>
        <w:t>66% de quienes egresaron la última década no terminaron el colegio</w:t>
      </w:r>
      <w:r w:rsidR="003D77E0" w:rsidRPr="003D77E0">
        <w:rPr>
          <w:rFonts w:ascii="Garamond" w:hAnsi="Garamond"/>
        </w:rPr>
        <w:t xml:space="preserve"> y un 40% no alcanzó la educación media (Rodríguez et al., 2024). </w:t>
      </w:r>
      <w:r w:rsidR="0078319C">
        <w:rPr>
          <w:rFonts w:ascii="Garamond" w:hAnsi="Garamond"/>
        </w:rPr>
        <w:t xml:space="preserve">En población de mujeres privadas de libertad por delitos de la ley de drogas, </w:t>
      </w:r>
      <w:r w:rsidR="004326EE">
        <w:rPr>
          <w:rFonts w:ascii="Garamond" w:hAnsi="Garamond"/>
        </w:rPr>
        <w:t xml:space="preserve">un 29% no completó la educación básica. </w:t>
      </w:r>
      <w:r w:rsidR="00DD2AF4">
        <w:rPr>
          <w:rFonts w:ascii="Garamond" w:hAnsi="Garamond"/>
        </w:rPr>
        <w:t xml:space="preserve">Esto, sabemos, es una barrera condicionante para el acceso a empleos formales y de calidad en el futuro. </w:t>
      </w:r>
    </w:p>
    <w:p w14:paraId="5A1E6C14" w14:textId="5670FC8A" w:rsidR="009C478B" w:rsidRDefault="007B5DB7" w:rsidP="00493485">
      <w:pPr>
        <w:pStyle w:val="Prrafodelista"/>
        <w:numPr>
          <w:ilvl w:val="0"/>
          <w:numId w:val="10"/>
        </w:numPr>
        <w:jc w:val="both"/>
        <w:rPr>
          <w:rFonts w:ascii="Garamond" w:hAnsi="Garamond"/>
        </w:rPr>
      </w:pPr>
      <w:r>
        <w:rPr>
          <w:rFonts w:ascii="Garamond" w:hAnsi="Garamond"/>
        </w:rPr>
        <w:t>Se observó, a través de las entrevistas, que la gran mayoría de mujeres trabajaba desde temprana edad</w:t>
      </w:r>
      <w:r w:rsidR="008D2C09">
        <w:rPr>
          <w:rFonts w:ascii="Garamond" w:hAnsi="Garamond"/>
        </w:rPr>
        <w:t xml:space="preserve"> en empleos </w:t>
      </w:r>
      <w:r w:rsidR="001A1A77">
        <w:rPr>
          <w:rFonts w:ascii="Garamond" w:hAnsi="Garamond"/>
        </w:rPr>
        <w:t>de manera informal</w:t>
      </w:r>
      <w:r w:rsidR="008D2C09">
        <w:rPr>
          <w:rFonts w:ascii="Garamond" w:hAnsi="Garamond"/>
        </w:rPr>
        <w:t xml:space="preserve">: </w:t>
      </w:r>
      <w:r w:rsidR="004D5920">
        <w:rPr>
          <w:rFonts w:ascii="Garamond" w:hAnsi="Garamond"/>
        </w:rPr>
        <w:t xml:space="preserve">comercio informal, trabajadoras de casa particular sin contrato, reponedoras en </w:t>
      </w:r>
      <w:proofErr w:type="spellStart"/>
      <w:r w:rsidR="004D5920" w:rsidRPr="004326EE">
        <w:rPr>
          <w:rFonts w:ascii="Garamond" w:hAnsi="Garamond"/>
          <w:i/>
          <w:iCs/>
        </w:rPr>
        <w:t>retail</w:t>
      </w:r>
      <w:proofErr w:type="spellEnd"/>
      <w:r w:rsidR="004D5920">
        <w:rPr>
          <w:rFonts w:ascii="Garamond" w:hAnsi="Garamond"/>
        </w:rPr>
        <w:t xml:space="preserve"> sin contrato, temporeras o feriantes, entre otros</w:t>
      </w:r>
      <w:r w:rsidR="008D2C09">
        <w:rPr>
          <w:rFonts w:ascii="Garamond" w:hAnsi="Garamond"/>
        </w:rPr>
        <w:t>.</w:t>
      </w:r>
      <w:r w:rsidR="001A1A77">
        <w:rPr>
          <w:rFonts w:ascii="Garamond" w:hAnsi="Garamond"/>
        </w:rPr>
        <w:t xml:space="preserve"> En todas se detectaban trayectorias de alta inestabilidad laboral, bajos salarios y aguda precarización. </w:t>
      </w:r>
    </w:p>
    <w:p w14:paraId="538B8946" w14:textId="78375068" w:rsidR="00D433EA" w:rsidRDefault="00D433EA" w:rsidP="00493485">
      <w:pPr>
        <w:pStyle w:val="Prrafodelista"/>
        <w:numPr>
          <w:ilvl w:val="0"/>
          <w:numId w:val="10"/>
        </w:numPr>
        <w:jc w:val="both"/>
        <w:rPr>
          <w:rFonts w:ascii="Garamond" w:hAnsi="Garamond"/>
        </w:rPr>
      </w:pPr>
      <w:r>
        <w:rPr>
          <w:rFonts w:ascii="Garamond" w:hAnsi="Garamond"/>
        </w:rPr>
        <w:t>Ante este contexto de precarización laboral,</w:t>
      </w:r>
      <w:r w:rsidR="00765DA2">
        <w:rPr>
          <w:rFonts w:ascii="Garamond" w:hAnsi="Garamond"/>
        </w:rPr>
        <w:t xml:space="preserve"> para gran parte de las mujeres</w:t>
      </w:r>
      <w:r>
        <w:rPr>
          <w:rFonts w:ascii="Garamond" w:hAnsi="Garamond"/>
        </w:rPr>
        <w:t xml:space="preserve"> el tráfico</w:t>
      </w:r>
      <w:r w:rsidR="00927CBD">
        <w:rPr>
          <w:rFonts w:ascii="Garamond" w:hAnsi="Garamond"/>
        </w:rPr>
        <w:t xml:space="preserve"> se volvía una opción que les permitía complementar ingresos y sostener de esta manera sus hogares y el cuidado de sus hijos e hijas</w:t>
      </w:r>
      <w:r w:rsidR="000A61B8">
        <w:rPr>
          <w:rFonts w:ascii="Garamond" w:hAnsi="Garamond"/>
        </w:rPr>
        <w:t xml:space="preserve"> -considerando que la gran mayoría eran madres y principales o únicas proveedoras-.</w:t>
      </w:r>
      <w:r w:rsidR="00927CBD">
        <w:rPr>
          <w:rFonts w:ascii="Garamond" w:hAnsi="Garamond"/>
        </w:rPr>
        <w:t xml:space="preserve"> Lo último tanto por el complemento económico que significaba </w:t>
      </w:r>
      <w:r w:rsidR="00171603">
        <w:rPr>
          <w:rFonts w:ascii="Garamond" w:hAnsi="Garamond"/>
        </w:rPr>
        <w:t xml:space="preserve">para sus bajos ingresos provenientes de fuentes informales y legales, como también por la posibilidad de generar ingresos a la vez que se cuidaba de los </w:t>
      </w:r>
      <w:r w:rsidR="00171603">
        <w:rPr>
          <w:rFonts w:ascii="Garamond" w:hAnsi="Garamond"/>
        </w:rPr>
        <w:lastRenderedPageBreak/>
        <w:t xml:space="preserve">hijos/as. Cabe destacar, que un </w:t>
      </w:r>
      <w:r w:rsidR="00594E90">
        <w:rPr>
          <w:rFonts w:ascii="Garamond" w:hAnsi="Garamond"/>
        </w:rPr>
        <w:t xml:space="preserve">68% de las mujeres chilenas </w:t>
      </w:r>
      <w:r w:rsidR="002B5062">
        <w:rPr>
          <w:rFonts w:ascii="Garamond" w:hAnsi="Garamond"/>
        </w:rPr>
        <w:t>privadas de libertad por la ley de drogas que participaron del estudio vendía su propia droga</w:t>
      </w:r>
      <w:r w:rsidR="00927CBD">
        <w:rPr>
          <w:rFonts w:ascii="Garamond" w:hAnsi="Garamond"/>
        </w:rPr>
        <w:t xml:space="preserve"> y un 32% era burrera o guardaba. 64% tenía un “negocio propio”</w:t>
      </w:r>
      <w:r w:rsidR="00171603">
        <w:rPr>
          <w:rFonts w:ascii="Garamond" w:hAnsi="Garamond"/>
        </w:rPr>
        <w:t>. Existen diferencias con las mujeres extranjeras que participaron del estudio, principalmente bolivianas, pero esta población será abordada en el punto 5. Grupos desfavorecidos y marginados de mujeres.</w:t>
      </w:r>
      <w:r>
        <w:rPr>
          <w:rFonts w:ascii="Garamond" w:hAnsi="Garamond"/>
        </w:rPr>
        <w:t xml:space="preserve"> </w:t>
      </w:r>
    </w:p>
    <w:p w14:paraId="74772D7C" w14:textId="6066BE5C" w:rsidR="00FD44BB" w:rsidRPr="00171603" w:rsidRDefault="00A31A4D" w:rsidP="00FD44BB">
      <w:pPr>
        <w:pStyle w:val="Prrafodelista"/>
        <w:numPr>
          <w:ilvl w:val="0"/>
          <w:numId w:val="10"/>
        </w:numPr>
        <w:jc w:val="both"/>
        <w:rPr>
          <w:rFonts w:ascii="Garamond" w:hAnsi="Garamond"/>
        </w:rPr>
      </w:pPr>
      <w:r>
        <w:rPr>
          <w:rFonts w:ascii="Garamond" w:hAnsi="Garamond"/>
        </w:rPr>
        <w:t>Respecto del acceso a la educación y el trabajo durante la condena, se observó que del total de mujeres privadas de libertad que egresaron en la última década, so</w:t>
      </w:r>
      <w:r w:rsidR="004A7D1A">
        <w:rPr>
          <w:rFonts w:ascii="Garamond" w:hAnsi="Garamond"/>
        </w:rPr>
        <w:t xml:space="preserve">lamente un 4% estudió y trabajó, pese a la alta exclusión escolar, y </w:t>
      </w:r>
      <w:r w:rsidR="00E24A4E">
        <w:rPr>
          <w:rFonts w:ascii="Garamond" w:hAnsi="Garamond"/>
        </w:rPr>
        <w:t>un cuarto solo estudió. Esta última cifra asciende a un 32% en mujeres condenadas por ley de drogas</w:t>
      </w:r>
      <w:r w:rsidR="0060163E">
        <w:rPr>
          <w:rFonts w:ascii="Garamond" w:hAnsi="Garamond"/>
        </w:rPr>
        <w:t xml:space="preserve">, dando cuenta de que un 68% no tuvo acceso a trabajo durante su condena, pese a que estas </w:t>
      </w:r>
      <w:r w:rsidR="00A7112B">
        <w:rPr>
          <w:rFonts w:ascii="Garamond" w:hAnsi="Garamond"/>
        </w:rPr>
        <w:t>en su mayoría duran entre 3 y 5 años. Del total de mujeres privadas de libertad, un 68% no estudiaron ni trabajaron durante la condena</w:t>
      </w:r>
      <w:r w:rsidR="00FD44BB">
        <w:rPr>
          <w:rFonts w:ascii="Garamond" w:hAnsi="Garamond"/>
        </w:rPr>
        <w:t>.</w:t>
      </w:r>
    </w:p>
    <w:p w14:paraId="1D3391EE" w14:textId="77777777" w:rsidR="009C478B" w:rsidRDefault="009C478B" w:rsidP="009C478B">
      <w:pPr>
        <w:jc w:val="both"/>
        <w:rPr>
          <w:rFonts w:ascii="Garamond" w:hAnsi="Garamond"/>
        </w:rPr>
      </w:pPr>
    </w:p>
    <w:p w14:paraId="1188D86A" w14:textId="77777777" w:rsidR="00216F9B" w:rsidRDefault="001A1A77" w:rsidP="009C478B">
      <w:pPr>
        <w:jc w:val="both"/>
        <w:rPr>
          <w:rFonts w:ascii="Garamond" w:hAnsi="Garamond"/>
        </w:rPr>
      </w:pPr>
      <w:r w:rsidRPr="009C478B">
        <w:rPr>
          <w:rFonts w:ascii="Garamond" w:hAnsi="Garamond"/>
        </w:rPr>
        <w:t>Un segundo estudio realizado por el Centro de Estudios Justicia y Sociedad UC (</w:t>
      </w:r>
      <w:r w:rsidR="00477239" w:rsidRPr="009C478B">
        <w:rPr>
          <w:rFonts w:ascii="Garamond" w:hAnsi="Garamond"/>
        </w:rPr>
        <w:t>“Reinserción, desistimiento y reincidencia en mujeres privadas de libertad en Chile”</w:t>
      </w:r>
      <w:r w:rsidR="0089099E">
        <w:rPr>
          <w:rFonts w:ascii="Garamond" w:hAnsi="Garamond"/>
        </w:rPr>
        <w:t xml:space="preserve"> (Larroulet et al.,</w:t>
      </w:r>
      <w:r w:rsidR="00A06E14" w:rsidRPr="009C478B">
        <w:rPr>
          <w:rFonts w:ascii="Garamond" w:hAnsi="Garamond"/>
        </w:rPr>
        <w:t xml:space="preserve"> </w:t>
      </w:r>
      <w:r w:rsidR="0089099E">
        <w:rPr>
          <w:rFonts w:ascii="Garamond" w:hAnsi="Garamond"/>
        </w:rPr>
        <w:t>2022</w:t>
      </w:r>
      <w:r w:rsidR="00A06E14" w:rsidRPr="009C478B">
        <w:rPr>
          <w:rFonts w:ascii="Garamond" w:hAnsi="Garamond"/>
        </w:rPr>
        <w:t>)</w:t>
      </w:r>
      <w:r w:rsidR="00211F22" w:rsidRPr="009C478B">
        <w:rPr>
          <w:rFonts w:ascii="Garamond" w:hAnsi="Garamond"/>
        </w:rPr>
        <w:t xml:space="preserve"> dio cuenta de lo mismo al evidenciar que</w:t>
      </w:r>
      <w:r w:rsidR="00216F9B">
        <w:rPr>
          <w:rFonts w:ascii="Garamond" w:hAnsi="Garamond"/>
        </w:rPr>
        <w:t>:</w:t>
      </w:r>
    </w:p>
    <w:p w14:paraId="7BEF8ADA" w14:textId="77777777" w:rsidR="00171603" w:rsidRDefault="00171603" w:rsidP="009C478B">
      <w:pPr>
        <w:jc w:val="both"/>
        <w:rPr>
          <w:rFonts w:ascii="Garamond" w:hAnsi="Garamond"/>
        </w:rPr>
      </w:pPr>
    </w:p>
    <w:p w14:paraId="5216E72A" w14:textId="77777777" w:rsidR="00216F9B" w:rsidRDefault="00216F9B" w:rsidP="00216F9B">
      <w:pPr>
        <w:pStyle w:val="Prrafodelista"/>
        <w:numPr>
          <w:ilvl w:val="0"/>
          <w:numId w:val="11"/>
        </w:numPr>
        <w:jc w:val="both"/>
        <w:rPr>
          <w:rFonts w:ascii="Garamond" w:hAnsi="Garamond"/>
        </w:rPr>
      </w:pPr>
      <w:r>
        <w:rPr>
          <w:rFonts w:ascii="Garamond" w:hAnsi="Garamond"/>
        </w:rPr>
        <w:t>D</w:t>
      </w:r>
      <w:r w:rsidR="00AA6D41" w:rsidRPr="00216F9B">
        <w:rPr>
          <w:rFonts w:ascii="Garamond" w:hAnsi="Garamond"/>
        </w:rPr>
        <w:t>e un</w:t>
      </w:r>
      <w:r>
        <w:rPr>
          <w:rFonts w:ascii="Garamond" w:hAnsi="Garamond"/>
        </w:rPr>
        <w:t>a</w:t>
      </w:r>
      <w:r w:rsidR="00AA6D41" w:rsidRPr="00216F9B">
        <w:rPr>
          <w:rFonts w:ascii="Garamond" w:hAnsi="Garamond"/>
        </w:rPr>
        <w:t xml:space="preserve"> cohorte de 225 mujeres que habían salido en libertad en Santiago entre el año 2016 y 2017</w:t>
      </w:r>
      <w:r w:rsidR="00F46BF4" w:rsidRPr="00216F9B">
        <w:rPr>
          <w:rFonts w:ascii="Garamond" w:hAnsi="Garamond"/>
        </w:rPr>
        <w:t>, solamente un 16% había trabajado de manera formal antes de entrar a la cárcel</w:t>
      </w:r>
      <w:r w:rsidR="006701C1" w:rsidRPr="00216F9B">
        <w:rPr>
          <w:rFonts w:ascii="Garamond" w:hAnsi="Garamond"/>
        </w:rPr>
        <w:t xml:space="preserve">, pese a que </w:t>
      </w:r>
      <w:r w:rsidR="009C478B" w:rsidRPr="00216F9B">
        <w:rPr>
          <w:rFonts w:ascii="Garamond" w:hAnsi="Garamond"/>
        </w:rPr>
        <w:t xml:space="preserve">69% había trabajado alguna vez de manera remunerada y legal. </w:t>
      </w:r>
    </w:p>
    <w:p w14:paraId="3865D70C" w14:textId="63A528B1" w:rsidR="00493485" w:rsidRDefault="00D86FFE" w:rsidP="00216F9B">
      <w:pPr>
        <w:pStyle w:val="Prrafodelista"/>
        <w:numPr>
          <w:ilvl w:val="0"/>
          <w:numId w:val="11"/>
        </w:numPr>
        <w:jc w:val="both"/>
        <w:rPr>
          <w:rFonts w:ascii="Garamond" w:hAnsi="Garamond"/>
        </w:rPr>
      </w:pPr>
      <w:r w:rsidRPr="00216F9B">
        <w:rPr>
          <w:rFonts w:ascii="Garamond" w:hAnsi="Garamond"/>
        </w:rPr>
        <w:t xml:space="preserve">Así también, se pudo evidenciar que, durante sus condenas, </w:t>
      </w:r>
      <w:r w:rsidR="00383C5B" w:rsidRPr="00216F9B">
        <w:rPr>
          <w:rFonts w:ascii="Garamond" w:hAnsi="Garamond"/>
        </w:rPr>
        <w:t xml:space="preserve">un 41% de las mujeres accedió a algún tipo de trabajo </w:t>
      </w:r>
      <w:proofErr w:type="spellStart"/>
      <w:r w:rsidR="00383C5B" w:rsidRPr="00216F9B">
        <w:rPr>
          <w:rFonts w:ascii="Garamond" w:hAnsi="Garamond"/>
        </w:rPr>
        <w:t>intrapenitenciario</w:t>
      </w:r>
      <w:proofErr w:type="spellEnd"/>
      <w:r w:rsidR="00383C5B" w:rsidRPr="00216F9B">
        <w:rPr>
          <w:rFonts w:ascii="Garamond" w:hAnsi="Garamond"/>
        </w:rPr>
        <w:t>, dentro de los cuales se consideran empleos para empresas privadas que operan al interior de las unidades, empleos asociados a la alimentación, trabajos para Gendarmería de Chile y otros trabajos independientes.</w:t>
      </w:r>
      <w:r w:rsidR="0089099E" w:rsidRPr="00216F9B">
        <w:rPr>
          <w:rFonts w:ascii="Garamond" w:hAnsi="Garamond"/>
        </w:rPr>
        <w:t xml:space="preserve"> Según la evidencia encontrada, este porcentaje varía de acuerdo con la extensión de la condena y la experiencia </w:t>
      </w:r>
      <w:r w:rsidR="00B03CA4" w:rsidRPr="00216F9B">
        <w:rPr>
          <w:rFonts w:ascii="Garamond" w:hAnsi="Garamond"/>
        </w:rPr>
        <w:t>previa</w:t>
      </w:r>
      <w:r w:rsidR="0046121E" w:rsidRPr="00216F9B">
        <w:rPr>
          <w:rFonts w:ascii="Garamond" w:hAnsi="Garamond"/>
        </w:rPr>
        <w:t>, y e</w:t>
      </w:r>
      <w:r w:rsidR="00AD219D" w:rsidRPr="00216F9B">
        <w:rPr>
          <w:rFonts w:ascii="Garamond" w:hAnsi="Garamond"/>
        </w:rPr>
        <w:t xml:space="preserve">studios anteriores han mostrado que el trabajo sería visto dentro de las cárceles como un </w:t>
      </w:r>
      <w:r w:rsidR="00E65A7B" w:rsidRPr="00216F9B">
        <w:rPr>
          <w:rFonts w:ascii="Garamond" w:hAnsi="Garamond"/>
        </w:rPr>
        <w:t>p</w:t>
      </w:r>
      <w:r w:rsidR="00AD219D" w:rsidRPr="00216F9B">
        <w:rPr>
          <w:rFonts w:ascii="Garamond" w:hAnsi="Garamond"/>
        </w:rPr>
        <w:t>remio y no como un derecho</w:t>
      </w:r>
      <w:r w:rsidR="00E65A7B" w:rsidRPr="00216F9B">
        <w:rPr>
          <w:rFonts w:ascii="Garamond" w:hAnsi="Garamond"/>
        </w:rPr>
        <w:t xml:space="preserve"> (Azócar et al., 2018)</w:t>
      </w:r>
      <w:r w:rsidR="00AD219D" w:rsidRPr="00216F9B">
        <w:rPr>
          <w:rFonts w:ascii="Garamond" w:hAnsi="Garamond"/>
        </w:rPr>
        <w:t>.</w:t>
      </w:r>
    </w:p>
    <w:p w14:paraId="007C0491" w14:textId="11B427D8" w:rsidR="00216F9B" w:rsidRDefault="007F1BCA" w:rsidP="00216F9B">
      <w:pPr>
        <w:pStyle w:val="Prrafodelista"/>
        <w:numPr>
          <w:ilvl w:val="0"/>
          <w:numId w:val="11"/>
        </w:numPr>
        <w:jc w:val="both"/>
        <w:rPr>
          <w:rFonts w:ascii="Garamond" w:hAnsi="Garamond"/>
        </w:rPr>
      </w:pPr>
      <w:r>
        <w:rPr>
          <w:rFonts w:ascii="Garamond" w:hAnsi="Garamond"/>
        </w:rPr>
        <w:t>Al momento de salir en libertad, la gran mayoría de mujeres declararon que para ellas sería importante (19%) o muy importante (65%) encontrar un empleo</w:t>
      </w:r>
      <w:r w:rsidR="002F29E9">
        <w:rPr>
          <w:rFonts w:ascii="Garamond" w:hAnsi="Garamond"/>
        </w:rPr>
        <w:t xml:space="preserve">, pero 7 de cada 10 cree que esto sería muy difícil. </w:t>
      </w:r>
    </w:p>
    <w:p w14:paraId="01ADFCA7" w14:textId="1EE53A4D" w:rsidR="00FC56F1" w:rsidRDefault="00ED1D0A" w:rsidP="002F35E5">
      <w:pPr>
        <w:pStyle w:val="Prrafodelista"/>
        <w:numPr>
          <w:ilvl w:val="0"/>
          <w:numId w:val="11"/>
        </w:numPr>
        <w:jc w:val="both"/>
        <w:rPr>
          <w:rFonts w:ascii="Garamond" w:hAnsi="Garamond"/>
        </w:rPr>
      </w:pPr>
      <w:r>
        <w:rPr>
          <w:rFonts w:ascii="Garamond" w:hAnsi="Garamond"/>
        </w:rPr>
        <w:t>Entre quienes buscaron empleo al egresar de la cárcel, un 63% señaló que la búsqueda sería difícil o muy difícil</w:t>
      </w:r>
      <w:r w:rsidR="005A3A16">
        <w:rPr>
          <w:rFonts w:ascii="Garamond" w:hAnsi="Garamond"/>
        </w:rPr>
        <w:t>, y esta fue aumentando en la medida en que se expusieron efectivamente a la búsqueda</w:t>
      </w:r>
      <w:r w:rsidR="000F7FAE">
        <w:rPr>
          <w:rFonts w:ascii="Garamond" w:hAnsi="Garamond"/>
        </w:rPr>
        <w:t>.</w:t>
      </w:r>
    </w:p>
    <w:p w14:paraId="5050BA3E" w14:textId="77777777" w:rsidR="00DD36FB" w:rsidRDefault="00DD36FB" w:rsidP="00DD36FB">
      <w:pPr>
        <w:jc w:val="both"/>
        <w:rPr>
          <w:rFonts w:ascii="Garamond" w:hAnsi="Garamond"/>
        </w:rPr>
      </w:pPr>
    </w:p>
    <w:p w14:paraId="599736B7" w14:textId="7CE99FE6" w:rsidR="00FF11F8" w:rsidRPr="00DD36FB" w:rsidRDefault="00DD36FB" w:rsidP="00DD36FB">
      <w:pPr>
        <w:jc w:val="both"/>
        <w:rPr>
          <w:rFonts w:ascii="Garamond" w:hAnsi="Garamond"/>
        </w:rPr>
      </w:pPr>
      <w:r>
        <w:rPr>
          <w:rFonts w:ascii="Garamond" w:hAnsi="Garamond"/>
        </w:rPr>
        <w:t xml:space="preserve">En conclusión, se observa que existe un acceso desigual en el acceso al mercado del trabajo que no solo está mediada por género, sino que se agudizaría cuando ser mujer </w:t>
      </w:r>
      <w:proofErr w:type="spellStart"/>
      <w:r>
        <w:rPr>
          <w:rFonts w:ascii="Garamond" w:hAnsi="Garamond"/>
        </w:rPr>
        <w:t>intersecciona</w:t>
      </w:r>
      <w:proofErr w:type="spellEnd"/>
      <w:r>
        <w:rPr>
          <w:rFonts w:ascii="Garamond" w:hAnsi="Garamond"/>
        </w:rPr>
        <w:t xml:space="preserve"> </w:t>
      </w:r>
      <w:r w:rsidR="001A1799">
        <w:rPr>
          <w:rFonts w:ascii="Garamond" w:hAnsi="Garamond"/>
        </w:rPr>
        <w:t>con otras estructuras de desigualdad como la clase social. Así, se observa que la población de mujeres que están privadas de libertad, quienes en general, comparten trayectorias de alta exclusión social</w:t>
      </w:r>
      <w:r w:rsidR="006338A9">
        <w:rPr>
          <w:rFonts w:ascii="Garamond" w:hAnsi="Garamond"/>
        </w:rPr>
        <w:t xml:space="preserve">, deprivación material y </w:t>
      </w:r>
      <w:r w:rsidR="00D233F9">
        <w:rPr>
          <w:rFonts w:ascii="Garamond" w:hAnsi="Garamond"/>
        </w:rPr>
        <w:t>experiencias adversas, han enfrentado barreras importantes para acceder al mercado del trabajo.</w:t>
      </w:r>
      <w:r w:rsidR="005C348F">
        <w:rPr>
          <w:rFonts w:ascii="Garamond" w:hAnsi="Garamond"/>
        </w:rPr>
        <w:t xml:space="preserve"> </w:t>
      </w:r>
      <w:r w:rsidR="00582A84">
        <w:rPr>
          <w:rFonts w:ascii="Garamond" w:hAnsi="Garamond"/>
        </w:rPr>
        <w:t xml:space="preserve">Esto es particularmente cierto sobre todo entre quienes están privadas de libertad por la ley de drogas. </w:t>
      </w:r>
      <w:r w:rsidR="005C348F">
        <w:rPr>
          <w:rFonts w:ascii="Garamond" w:hAnsi="Garamond"/>
        </w:rPr>
        <w:t xml:space="preserve">Entre </w:t>
      </w:r>
      <w:r w:rsidR="00582A84">
        <w:rPr>
          <w:rFonts w:ascii="Garamond" w:hAnsi="Garamond"/>
        </w:rPr>
        <w:t>las barreras laborales que han enfrentado</w:t>
      </w:r>
      <w:r w:rsidR="005C348F">
        <w:rPr>
          <w:rFonts w:ascii="Garamond" w:hAnsi="Garamond"/>
        </w:rPr>
        <w:t xml:space="preserve"> se encuentra (1) l</w:t>
      </w:r>
      <w:r w:rsidR="00D233F9">
        <w:rPr>
          <w:rFonts w:ascii="Garamond" w:hAnsi="Garamond"/>
        </w:rPr>
        <w:t>a interrupción temprana de las trayectorias educativas, producto de</w:t>
      </w:r>
      <w:r w:rsidR="005C348F">
        <w:rPr>
          <w:rFonts w:ascii="Garamond" w:hAnsi="Garamond"/>
        </w:rPr>
        <w:t xml:space="preserve"> </w:t>
      </w:r>
      <w:r w:rsidR="00D233F9">
        <w:rPr>
          <w:rFonts w:ascii="Garamond" w:hAnsi="Garamond"/>
        </w:rPr>
        <w:t xml:space="preserve">tener que asumir tempranamente roles de cuidado dadas las desigualdades de género, tanto por embarazos adolescentes como por </w:t>
      </w:r>
      <w:r w:rsidR="00314353">
        <w:rPr>
          <w:rFonts w:ascii="Garamond" w:hAnsi="Garamond"/>
        </w:rPr>
        <w:t>roles dentro de sus familias</w:t>
      </w:r>
      <w:r w:rsidR="005C348F">
        <w:rPr>
          <w:rFonts w:ascii="Garamond" w:hAnsi="Garamond"/>
        </w:rPr>
        <w:t>.</w:t>
      </w:r>
      <w:r w:rsidR="001115D7">
        <w:rPr>
          <w:rFonts w:ascii="Garamond" w:hAnsi="Garamond"/>
        </w:rPr>
        <w:t xml:space="preserve"> Y,</w:t>
      </w:r>
      <w:r w:rsidR="00314353">
        <w:rPr>
          <w:rFonts w:ascii="Garamond" w:hAnsi="Garamond"/>
        </w:rPr>
        <w:t xml:space="preserve"> </w:t>
      </w:r>
      <w:r w:rsidR="00580A44">
        <w:rPr>
          <w:rFonts w:ascii="Garamond" w:hAnsi="Garamond"/>
        </w:rPr>
        <w:t xml:space="preserve">(2) </w:t>
      </w:r>
      <w:r w:rsidR="001115D7">
        <w:rPr>
          <w:rFonts w:ascii="Garamond" w:hAnsi="Garamond"/>
        </w:rPr>
        <w:t>l</w:t>
      </w:r>
      <w:r w:rsidR="00D62E5D">
        <w:rPr>
          <w:rFonts w:ascii="Garamond" w:hAnsi="Garamond"/>
        </w:rPr>
        <w:t xml:space="preserve">a falta de opciones formales de trabajo con sueldos </w:t>
      </w:r>
      <w:r w:rsidR="00580A44">
        <w:rPr>
          <w:rFonts w:ascii="Garamond" w:hAnsi="Garamond"/>
        </w:rPr>
        <w:t>suficientes para sostener sus hogares</w:t>
      </w:r>
      <w:r w:rsidR="001115D7">
        <w:rPr>
          <w:rFonts w:ascii="Garamond" w:hAnsi="Garamond"/>
        </w:rPr>
        <w:t xml:space="preserve">. Además, esta exclusión del mercado laboral se ve acrecentada durante sus condenas, al tener un bajo nivel de acceso a trabajo, y en menor </w:t>
      </w:r>
      <w:r w:rsidR="001115D7">
        <w:rPr>
          <w:rFonts w:ascii="Garamond" w:hAnsi="Garamond"/>
        </w:rPr>
        <w:lastRenderedPageBreak/>
        <w:t>medida a educación</w:t>
      </w:r>
      <w:r w:rsidR="00FF11F8">
        <w:rPr>
          <w:rFonts w:ascii="Garamond" w:hAnsi="Garamond"/>
        </w:rPr>
        <w:t>. Y finalmente, el paso por la cárcel disminuye -aún más- las posibilidades de encontrar un empleo producto de tener antecedentes.</w:t>
      </w:r>
    </w:p>
    <w:p w14:paraId="3DBC7BC6" w14:textId="77777777" w:rsidR="00CD4DBD" w:rsidRDefault="00CD4DBD" w:rsidP="00EF4F39">
      <w:pPr>
        <w:jc w:val="both"/>
        <w:rPr>
          <w:lang w:val="es-ES_tradnl"/>
        </w:rPr>
      </w:pPr>
    </w:p>
    <w:p w14:paraId="0AA4BFA5" w14:textId="77777777" w:rsidR="00FC56F1" w:rsidRPr="00EF4F39" w:rsidRDefault="00FC56F1" w:rsidP="00EF4F39">
      <w:pPr>
        <w:jc w:val="both"/>
        <w:rPr>
          <w:lang w:val="es-ES_tradnl"/>
        </w:rPr>
      </w:pPr>
    </w:p>
    <w:p w14:paraId="3ADA13EA" w14:textId="17C8D4D5" w:rsidR="000F4092" w:rsidRPr="000F4092" w:rsidRDefault="000F4092" w:rsidP="00337C1C">
      <w:pPr>
        <w:pStyle w:val="Ttulo2"/>
      </w:pPr>
      <w:r w:rsidRPr="000F4092">
        <w:t>Mujeres y niñas en centros de reclusión</w:t>
      </w:r>
    </w:p>
    <w:p w14:paraId="42F77F09" w14:textId="77777777" w:rsidR="00CD4DBD" w:rsidRDefault="00CD4DBD" w:rsidP="00CD4DBD">
      <w:pPr>
        <w:jc w:val="both"/>
        <w:rPr>
          <w:rFonts w:ascii="Garamond" w:hAnsi="Garamond"/>
          <w:b/>
          <w:bCs/>
        </w:rPr>
      </w:pPr>
    </w:p>
    <w:p w14:paraId="66D47EBA" w14:textId="0430AAE4" w:rsidR="00334BAA" w:rsidRDefault="00334BAA" w:rsidP="00753BCA">
      <w:pPr>
        <w:jc w:val="both"/>
        <w:rPr>
          <w:rFonts w:ascii="Garamond" w:hAnsi="Garamond"/>
        </w:rPr>
      </w:pPr>
      <w:r>
        <w:rPr>
          <w:rFonts w:ascii="Garamond" w:hAnsi="Garamond"/>
        </w:rPr>
        <w:t>Respecto de esta cuestión, desde la investigación aplicada que hacemos desde el Centro de Estudios Justicia y Sociedad UC en el ámbito del sistema penitenciario, podemos informar respecto de algunas problemáticas desiguales</w:t>
      </w:r>
      <w:r w:rsidR="008539E8">
        <w:rPr>
          <w:rFonts w:ascii="Garamond" w:hAnsi="Garamond"/>
        </w:rPr>
        <w:t xml:space="preserve"> </w:t>
      </w:r>
      <w:r>
        <w:rPr>
          <w:rFonts w:ascii="Garamond" w:hAnsi="Garamond"/>
        </w:rPr>
        <w:t>respecto del género de la población penal</w:t>
      </w:r>
      <w:r w:rsidR="008539E8">
        <w:rPr>
          <w:rFonts w:ascii="Garamond" w:hAnsi="Garamond"/>
        </w:rPr>
        <w:t xml:space="preserve"> o situaciones críticas respecto de las condiciones en que están las mujeres privadas de libertad. A continuación</w:t>
      </w:r>
      <w:r w:rsidR="00BE76E7">
        <w:rPr>
          <w:rFonts w:ascii="Garamond" w:hAnsi="Garamond"/>
        </w:rPr>
        <w:t>,</w:t>
      </w:r>
      <w:r w:rsidR="008539E8">
        <w:rPr>
          <w:rFonts w:ascii="Garamond" w:hAnsi="Garamond"/>
        </w:rPr>
        <w:t xml:space="preserve"> se detallan</w:t>
      </w:r>
      <w:r>
        <w:rPr>
          <w:rFonts w:ascii="Garamond" w:hAnsi="Garamond"/>
        </w:rPr>
        <w:t xml:space="preserve">: </w:t>
      </w:r>
    </w:p>
    <w:p w14:paraId="54EE7867" w14:textId="77777777" w:rsidR="00334BAA" w:rsidRDefault="00334BAA" w:rsidP="00753BCA">
      <w:pPr>
        <w:jc w:val="both"/>
        <w:rPr>
          <w:rFonts w:ascii="Garamond" w:hAnsi="Garamond"/>
        </w:rPr>
      </w:pPr>
    </w:p>
    <w:p w14:paraId="50E6FBE8" w14:textId="29E239EA" w:rsidR="007E6D8A" w:rsidRDefault="008C20E3" w:rsidP="00753BCA">
      <w:pPr>
        <w:jc w:val="both"/>
        <w:rPr>
          <w:rFonts w:ascii="Garamond" w:hAnsi="Garamond"/>
        </w:rPr>
      </w:pPr>
      <w:r>
        <w:rPr>
          <w:rFonts w:ascii="Garamond" w:hAnsi="Garamond"/>
        </w:rPr>
        <w:t xml:space="preserve">En los últimos cuatro años ha existido un aumento agudo de la población penal </w:t>
      </w:r>
      <w:r w:rsidR="0060047A">
        <w:rPr>
          <w:rFonts w:ascii="Garamond" w:hAnsi="Garamond"/>
        </w:rPr>
        <w:t>y así también de las mujeres</w:t>
      </w:r>
      <w:r w:rsidR="004B0DE7">
        <w:rPr>
          <w:rFonts w:ascii="Garamond" w:hAnsi="Garamond"/>
        </w:rPr>
        <w:t xml:space="preserve"> quienes representan aun un 8% del total con 4.957 mujeres privadas de libertad </w:t>
      </w:r>
      <w:r w:rsidR="00AE506D">
        <w:rPr>
          <w:rFonts w:ascii="Garamond" w:hAnsi="Garamond"/>
        </w:rPr>
        <w:t xml:space="preserve">al cierre de julio de este año. </w:t>
      </w:r>
      <w:r w:rsidR="00EE3733">
        <w:rPr>
          <w:rFonts w:ascii="Garamond" w:hAnsi="Garamond"/>
        </w:rPr>
        <w:t xml:space="preserve">Del régimen cerrado, un 48% </w:t>
      </w:r>
      <w:r w:rsidR="002C541D">
        <w:rPr>
          <w:rFonts w:ascii="Garamond" w:hAnsi="Garamond"/>
        </w:rPr>
        <w:t xml:space="preserve">está en condición de imputada (prisión preventiva), es decir, casi la mitad está en la cárcel sin haberse demostrado su culpabilidad en el delito que se le imputa. </w:t>
      </w:r>
      <w:r w:rsidR="005A575C">
        <w:rPr>
          <w:rFonts w:ascii="Garamond" w:hAnsi="Garamond"/>
        </w:rPr>
        <w:t xml:space="preserve">Esta proporción es significativamente menor en la población masculina, </w:t>
      </w:r>
      <w:r w:rsidR="00436F46">
        <w:rPr>
          <w:rFonts w:ascii="Garamond" w:hAnsi="Garamond"/>
        </w:rPr>
        <w:t xml:space="preserve">entre quienes los que están en la cárcel por prisión preventiva alcanzan un 36% del total que está en régimen de control cerrado (Gendarmería de Chile, 2024). </w:t>
      </w:r>
    </w:p>
    <w:p w14:paraId="766C79F6" w14:textId="77777777" w:rsidR="00582FD1" w:rsidRDefault="00582FD1" w:rsidP="00753BCA">
      <w:pPr>
        <w:jc w:val="both"/>
        <w:rPr>
          <w:rFonts w:ascii="Garamond" w:hAnsi="Garamond"/>
        </w:rPr>
      </w:pPr>
    </w:p>
    <w:p w14:paraId="3A519F94" w14:textId="732BC3B5" w:rsidR="00582FD1" w:rsidRDefault="00582FD1" w:rsidP="00753BCA">
      <w:pPr>
        <w:jc w:val="both"/>
        <w:rPr>
          <w:rFonts w:ascii="Garamond" w:hAnsi="Garamond"/>
        </w:rPr>
      </w:pPr>
      <w:r>
        <w:rPr>
          <w:rFonts w:ascii="Garamond" w:hAnsi="Garamond"/>
        </w:rPr>
        <w:t>A través del estudio sobre caracterización de trayectorias de mujeres privadas de libertad por la ley 20.000 del Centro de Estudios Justicia y Sociedad UC antes mencionado (Rodríguez et al., 2024), se obtuvieron algunos hallazgos relevantes de considerar respecto de las condiciones de condena de este grupo de mujeres (</w:t>
      </w:r>
      <w:r w:rsidR="00F62048">
        <w:rPr>
          <w:rFonts w:ascii="Garamond" w:hAnsi="Garamond"/>
        </w:rPr>
        <w:t>quienes</w:t>
      </w:r>
      <w:r w:rsidR="00AA22DA">
        <w:rPr>
          <w:rFonts w:ascii="Garamond" w:hAnsi="Garamond"/>
        </w:rPr>
        <w:t>, cabe destacar,</w:t>
      </w:r>
      <w:r w:rsidR="00F62048">
        <w:rPr>
          <w:rFonts w:ascii="Garamond" w:hAnsi="Garamond"/>
        </w:rPr>
        <w:t xml:space="preserve"> representan 6 de cada 10 del total de mujeres privadas de libertad, según cifras al cierre del año pasado, en contraste con</w:t>
      </w:r>
      <w:r w:rsidR="00AA22DA">
        <w:rPr>
          <w:rFonts w:ascii="Garamond" w:hAnsi="Garamond"/>
        </w:rPr>
        <w:t xml:space="preserve"> los hombres que serían casi un cuarto (24%)). </w:t>
      </w:r>
    </w:p>
    <w:p w14:paraId="1BC9DB2B" w14:textId="77777777" w:rsidR="00F82AE8" w:rsidRDefault="00F82AE8" w:rsidP="00753BCA">
      <w:pPr>
        <w:jc w:val="both"/>
        <w:rPr>
          <w:rFonts w:ascii="Garamond" w:hAnsi="Garamond"/>
        </w:rPr>
      </w:pPr>
    </w:p>
    <w:p w14:paraId="074CE222" w14:textId="2A2E66D5" w:rsidR="00F82AE8" w:rsidRDefault="00790A1D" w:rsidP="00F82AE8">
      <w:pPr>
        <w:pStyle w:val="Prrafodelista"/>
        <w:numPr>
          <w:ilvl w:val="0"/>
          <w:numId w:val="12"/>
        </w:numPr>
        <w:jc w:val="both"/>
        <w:rPr>
          <w:rFonts w:ascii="Garamond" w:hAnsi="Garamond"/>
        </w:rPr>
      </w:pPr>
      <w:r>
        <w:rPr>
          <w:rFonts w:ascii="Garamond" w:hAnsi="Garamond"/>
        </w:rPr>
        <w:t>De las 100 mujeres entrevistadas, la gran mayoría señaló como una de las principales adversidades de la privación de libertad la reducida vinculación</w:t>
      </w:r>
      <w:r w:rsidR="0069659A">
        <w:rPr>
          <w:rFonts w:ascii="Garamond" w:hAnsi="Garamond"/>
        </w:rPr>
        <w:t xml:space="preserve"> con personas significativas</w:t>
      </w:r>
      <w:r w:rsidR="00C0274A">
        <w:rPr>
          <w:rFonts w:ascii="Garamond" w:hAnsi="Garamond"/>
        </w:rPr>
        <w:t xml:space="preserve"> (familiares</w:t>
      </w:r>
      <w:r w:rsidR="00F32A04">
        <w:rPr>
          <w:rFonts w:ascii="Garamond" w:hAnsi="Garamond"/>
        </w:rPr>
        <w:t>, pareja</w:t>
      </w:r>
      <w:r w:rsidR="00C0274A">
        <w:rPr>
          <w:rFonts w:ascii="Garamond" w:hAnsi="Garamond"/>
        </w:rPr>
        <w:t xml:space="preserve"> y amistades)</w:t>
      </w:r>
      <w:r w:rsidR="00BD27DB">
        <w:rPr>
          <w:rFonts w:ascii="Garamond" w:hAnsi="Garamond"/>
        </w:rPr>
        <w:t>, al</w:t>
      </w:r>
      <w:r w:rsidR="00F32A04">
        <w:rPr>
          <w:rFonts w:ascii="Garamond" w:hAnsi="Garamond"/>
        </w:rPr>
        <w:t xml:space="preserve"> recibir escasas visitas.</w:t>
      </w:r>
      <w:r w:rsidR="0069659A">
        <w:rPr>
          <w:rFonts w:ascii="Garamond" w:hAnsi="Garamond"/>
        </w:rPr>
        <w:t xml:space="preserve"> </w:t>
      </w:r>
      <w:r w:rsidR="008F1247">
        <w:rPr>
          <w:rFonts w:ascii="Garamond" w:hAnsi="Garamond"/>
        </w:rPr>
        <w:t>Por ello, la mayoría declara sentirse sola durante sus condenas</w:t>
      </w:r>
      <w:r w:rsidR="00BD27DB">
        <w:rPr>
          <w:rFonts w:ascii="Garamond" w:hAnsi="Garamond"/>
        </w:rPr>
        <w:t xml:space="preserve"> </w:t>
      </w:r>
      <w:r w:rsidR="0069659A">
        <w:rPr>
          <w:rFonts w:ascii="Garamond" w:hAnsi="Garamond"/>
        </w:rPr>
        <w:t xml:space="preserve">En esto, y dado que </w:t>
      </w:r>
      <w:r w:rsidR="00851AEC">
        <w:rPr>
          <w:rFonts w:ascii="Garamond" w:hAnsi="Garamond"/>
        </w:rPr>
        <w:t xml:space="preserve">aproximadamente </w:t>
      </w:r>
      <w:r w:rsidR="0069659A">
        <w:rPr>
          <w:rFonts w:ascii="Garamond" w:hAnsi="Garamond"/>
        </w:rPr>
        <w:t xml:space="preserve">9 de cada 10 son madres, </w:t>
      </w:r>
      <w:r w:rsidR="00851AEC">
        <w:rPr>
          <w:rFonts w:ascii="Garamond" w:hAnsi="Garamond"/>
        </w:rPr>
        <w:t>el principal dolor se producía producto de la obstaculización de la maternidad</w:t>
      </w:r>
      <w:r w:rsidR="00941719">
        <w:rPr>
          <w:rFonts w:ascii="Garamond" w:hAnsi="Garamond"/>
        </w:rPr>
        <w:t>,</w:t>
      </w:r>
      <w:r w:rsidR="00851AEC">
        <w:rPr>
          <w:rFonts w:ascii="Garamond" w:hAnsi="Garamond"/>
        </w:rPr>
        <w:t xml:space="preserve"> el vínculo con sus hijos e hijas</w:t>
      </w:r>
      <w:r w:rsidR="00941719">
        <w:rPr>
          <w:rFonts w:ascii="Garamond" w:hAnsi="Garamond"/>
        </w:rPr>
        <w:t xml:space="preserve"> y el posible efecto que su ausencia puede generar en sus vidas.</w:t>
      </w:r>
      <w:r w:rsidR="00E4596E">
        <w:rPr>
          <w:rFonts w:ascii="Garamond" w:hAnsi="Garamond"/>
        </w:rPr>
        <w:t xml:space="preserve"> En general, este vínculo se mantiene principalmente por teléfono producto de dos razones: </w:t>
      </w:r>
      <w:r w:rsidR="00D4503A">
        <w:rPr>
          <w:rFonts w:ascii="Garamond" w:hAnsi="Garamond"/>
        </w:rPr>
        <w:t xml:space="preserve">1. </w:t>
      </w:r>
      <w:r w:rsidR="00E4596E">
        <w:rPr>
          <w:rFonts w:ascii="Garamond" w:hAnsi="Garamond"/>
        </w:rPr>
        <w:t>quien está al cuidado de sus hijos (principalmente abuelas maternas) no tiene los recursos económicos y temporales para ir a visitarla -al ser una población reducida en porcentaje, normalmente quedan privadas de libertad lejos de sus hogares-</w:t>
      </w:r>
      <w:r w:rsidR="00D4503A">
        <w:rPr>
          <w:rFonts w:ascii="Garamond" w:hAnsi="Garamond"/>
        </w:rPr>
        <w:t xml:space="preserve">, y 2. muchas evitan que sus hijos vayan a visitarlas por lo precario de los espacios de visita, las vulneraciones que se pueden sufrir en ella y por la revictimización que se sufre al tener que separarse luego de cada visita. </w:t>
      </w:r>
      <w:r w:rsidR="003F2E11">
        <w:rPr>
          <w:rFonts w:ascii="Garamond" w:hAnsi="Garamond"/>
        </w:rPr>
        <w:t xml:space="preserve">Esta situación se agudiza de sobremanera cuando se trata de mujeres extranjeras privadas de libertad, quienes en su mayoría siendo bolivianas, tienen sus familiares y redes en otro país y escasos medios para contactarse. </w:t>
      </w:r>
    </w:p>
    <w:p w14:paraId="36057D0B" w14:textId="4B2532A2" w:rsidR="003F2E11" w:rsidRDefault="00D676F7" w:rsidP="00F82AE8">
      <w:pPr>
        <w:pStyle w:val="Prrafodelista"/>
        <w:numPr>
          <w:ilvl w:val="0"/>
          <w:numId w:val="12"/>
        </w:numPr>
        <w:jc w:val="both"/>
        <w:rPr>
          <w:rFonts w:ascii="Garamond" w:hAnsi="Garamond"/>
        </w:rPr>
      </w:pPr>
      <w:r>
        <w:rPr>
          <w:rFonts w:ascii="Garamond" w:hAnsi="Garamond"/>
        </w:rPr>
        <w:t xml:space="preserve">Además, la falta de vinculación con sus </w:t>
      </w:r>
      <w:r w:rsidR="000D7193">
        <w:rPr>
          <w:rFonts w:ascii="Garamond" w:hAnsi="Garamond"/>
        </w:rPr>
        <w:t>hijos y otras personas significativas de sus vidas,</w:t>
      </w:r>
      <w:r>
        <w:rPr>
          <w:rFonts w:ascii="Garamond" w:hAnsi="Garamond"/>
        </w:rPr>
        <w:t xml:space="preserve"> y las condiciones mismas del encarcelamiento</w:t>
      </w:r>
      <w:r w:rsidR="00EE3544">
        <w:rPr>
          <w:rFonts w:ascii="Garamond" w:hAnsi="Garamond"/>
        </w:rPr>
        <w:t xml:space="preserve"> producen o agudizan sus problemas de salud mental, y también, para aquellas que consumen drogas o alcohol, potenciaría estos problemas de consumo. Se señala un muy bajo nivel de acceso a apoyo de salud mental y tratamiento de drogas. </w:t>
      </w:r>
    </w:p>
    <w:p w14:paraId="3F7C4EB9" w14:textId="11A6D4F1" w:rsidR="000D7193" w:rsidRDefault="005F271F" w:rsidP="00F82AE8">
      <w:pPr>
        <w:pStyle w:val="Prrafodelista"/>
        <w:numPr>
          <w:ilvl w:val="0"/>
          <w:numId w:val="12"/>
        </w:numPr>
        <w:jc w:val="both"/>
        <w:rPr>
          <w:rFonts w:ascii="Garamond" w:hAnsi="Garamond"/>
        </w:rPr>
      </w:pPr>
      <w:r>
        <w:rPr>
          <w:rFonts w:ascii="Garamond" w:hAnsi="Garamond"/>
        </w:rPr>
        <w:lastRenderedPageBreak/>
        <w:t>Dentro de las condiciones de encarcelamiento,</w:t>
      </w:r>
      <w:r w:rsidR="00D863C9">
        <w:rPr>
          <w:rFonts w:ascii="Garamond" w:hAnsi="Garamond"/>
        </w:rPr>
        <w:t xml:space="preserve"> algunas señalan vulneraciones, bajo nivel </w:t>
      </w:r>
      <w:r w:rsidR="006A0518">
        <w:rPr>
          <w:rFonts w:ascii="Garamond" w:hAnsi="Garamond"/>
        </w:rPr>
        <w:t xml:space="preserve">de conocimiento sobre sus condenas </w:t>
      </w:r>
      <w:r w:rsidR="001553AE">
        <w:rPr>
          <w:rFonts w:ascii="Garamond" w:hAnsi="Garamond"/>
        </w:rPr>
        <w:t xml:space="preserve">y la razón de su extensión o castigo, </w:t>
      </w:r>
      <w:r w:rsidR="006A0518">
        <w:rPr>
          <w:rFonts w:ascii="Garamond" w:hAnsi="Garamond"/>
        </w:rPr>
        <w:t xml:space="preserve">y </w:t>
      </w:r>
      <w:r w:rsidR="00D863C9">
        <w:rPr>
          <w:rFonts w:ascii="Garamond" w:hAnsi="Garamond"/>
        </w:rPr>
        <w:t>tratos degradantes en sus procesos de acceso a la justicia</w:t>
      </w:r>
      <w:r w:rsidR="006A0518">
        <w:rPr>
          <w:rFonts w:ascii="Garamond" w:hAnsi="Garamond"/>
        </w:rPr>
        <w:t xml:space="preserve">. </w:t>
      </w:r>
      <w:r w:rsidR="00554E87">
        <w:rPr>
          <w:rFonts w:ascii="Garamond" w:hAnsi="Garamond"/>
        </w:rPr>
        <w:t xml:space="preserve">En esta última arista, se </w:t>
      </w:r>
      <w:r w:rsidR="001553AE">
        <w:rPr>
          <w:rFonts w:ascii="Garamond" w:hAnsi="Garamond"/>
        </w:rPr>
        <w:t>menciona,</w:t>
      </w:r>
      <w:r w:rsidR="00554E87">
        <w:rPr>
          <w:rFonts w:ascii="Garamond" w:hAnsi="Garamond"/>
        </w:rPr>
        <w:t xml:space="preserve"> por ejemplo, el estar en un calabozo</w:t>
      </w:r>
      <w:r w:rsidR="00CA647C">
        <w:rPr>
          <w:rFonts w:ascii="Garamond" w:hAnsi="Garamond"/>
        </w:rPr>
        <w:t xml:space="preserve"> de un Tribunal a la espera</w:t>
      </w:r>
      <w:r w:rsidR="00637E62">
        <w:rPr>
          <w:rFonts w:ascii="Garamond" w:hAnsi="Garamond"/>
        </w:rPr>
        <w:t xml:space="preserve"> de una audiencia,</w:t>
      </w:r>
      <w:r w:rsidR="00554E87">
        <w:rPr>
          <w:rFonts w:ascii="Garamond" w:hAnsi="Garamond"/>
        </w:rPr>
        <w:t xml:space="preserve"> sin comer ni ir al baño</w:t>
      </w:r>
      <w:r w:rsidR="00637E62">
        <w:rPr>
          <w:rFonts w:ascii="Garamond" w:hAnsi="Garamond"/>
        </w:rPr>
        <w:t>.</w:t>
      </w:r>
    </w:p>
    <w:p w14:paraId="1BF89EB8" w14:textId="77777777" w:rsidR="00B019D9" w:rsidRDefault="00B019D9" w:rsidP="00B019D9">
      <w:pPr>
        <w:jc w:val="both"/>
        <w:rPr>
          <w:rFonts w:ascii="Garamond" w:hAnsi="Garamond"/>
        </w:rPr>
      </w:pPr>
    </w:p>
    <w:p w14:paraId="1DE5E6C1" w14:textId="50FC00FA" w:rsidR="00B019D9" w:rsidRPr="00B019D9" w:rsidRDefault="00B019D9" w:rsidP="00B019D9">
      <w:pPr>
        <w:jc w:val="both"/>
        <w:rPr>
          <w:rFonts w:ascii="Garamond" w:hAnsi="Garamond"/>
        </w:rPr>
      </w:pPr>
      <w:r>
        <w:rPr>
          <w:rFonts w:ascii="Garamond" w:hAnsi="Garamond"/>
        </w:rPr>
        <w:t>Respecto de las mujeres</w:t>
      </w:r>
      <w:r w:rsidR="000E7730">
        <w:rPr>
          <w:rFonts w:ascii="Garamond" w:hAnsi="Garamond"/>
        </w:rPr>
        <w:t xml:space="preserve"> embarazadas o</w:t>
      </w:r>
      <w:r>
        <w:rPr>
          <w:rFonts w:ascii="Garamond" w:hAnsi="Garamond"/>
        </w:rPr>
        <w:t xml:space="preserve"> que viven con sus hijos menores de dos años en las unidades materno infantiles, </w:t>
      </w:r>
      <w:r w:rsidR="000E7730">
        <w:rPr>
          <w:rFonts w:ascii="Garamond" w:hAnsi="Garamond"/>
        </w:rPr>
        <w:t xml:space="preserve">en marzo de este año </w:t>
      </w:r>
      <w:r w:rsidR="00F8421F">
        <w:rPr>
          <w:rFonts w:ascii="Garamond" w:hAnsi="Garamond"/>
        </w:rPr>
        <w:t>habían 115 lactantes viviendo con sus madres y 43 mujeres embarazadas en todo Chile. Si bien, respecto de los cupos disponibles, la tasa de</w:t>
      </w:r>
      <w:r w:rsidR="00F323F6">
        <w:rPr>
          <w:rFonts w:ascii="Garamond" w:hAnsi="Garamond"/>
        </w:rPr>
        <w:t xml:space="preserve"> cobertura a nivel nacional era del 61%, se observó hacinamiento en las regiones de Arica y Parinacota (120%) y Tarapacá (140%), lo cual da cuenta de una alta heterogeneidad territorial respecto de las condiciones de habitabilidad para las mujeres y sus hijos</w:t>
      </w:r>
      <w:r w:rsidR="00D2628E">
        <w:rPr>
          <w:rFonts w:ascii="Garamond" w:hAnsi="Garamond"/>
        </w:rPr>
        <w:t xml:space="preserve"> </w:t>
      </w:r>
      <w:r w:rsidR="00F323F6">
        <w:rPr>
          <w:rFonts w:ascii="Garamond" w:hAnsi="Garamond"/>
        </w:rPr>
        <w:t>(Gend</w:t>
      </w:r>
      <w:r w:rsidR="00D2628E">
        <w:rPr>
          <w:rFonts w:ascii="Garamond" w:hAnsi="Garamond"/>
        </w:rPr>
        <w:t>armería de Chile. 2024).</w:t>
      </w:r>
      <w:r w:rsidR="00F323F6">
        <w:rPr>
          <w:rFonts w:ascii="Garamond" w:hAnsi="Garamond"/>
        </w:rPr>
        <w:t xml:space="preserve"> En estas regiones existe una alta prevalencia de mujeres migrantes, población en la que se profundizará en el siguiente ámbito. </w:t>
      </w:r>
    </w:p>
    <w:p w14:paraId="41C6A05E" w14:textId="77777777" w:rsidR="00753BCA" w:rsidRDefault="00753BCA" w:rsidP="00753BCA">
      <w:pPr>
        <w:jc w:val="both"/>
        <w:rPr>
          <w:rFonts w:ascii="Garamond" w:hAnsi="Garamond"/>
        </w:rPr>
      </w:pPr>
    </w:p>
    <w:p w14:paraId="1C66B023" w14:textId="3F6240E2" w:rsidR="00753BCA" w:rsidRDefault="00CC2BC3" w:rsidP="00753BCA">
      <w:pPr>
        <w:jc w:val="both"/>
        <w:rPr>
          <w:rFonts w:ascii="Garamond" w:hAnsi="Garamond"/>
        </w:rPr>
      </w:pPr>
      <w:r>
        <w:rPr>
          <w:rFonts w:ascii="Garamond" w:hAnsi="Garamond"/>
        </w:rPr>
        <w:t>Respecto de</w:t>
      </w:r>
      <w:r w:rsidR="0056447E">
        <w:rPr>
          <w:rFonts w:ascii="Garamond" w:hAnsi="Garamond"/>
        </w:rPr>
        <w:t xml:space="preserve">l uso de </w:t>
      </w:r>
      <w:r>
        <w:rPr>
          <w:rFonts w:ascii="Garamond" w:hAnsi="Garamond"/>
        </w:rPr>
        <w:t>medidas alternativas a la privación de libertad</w:t>
      </w:r>
      <w:r w:rsidR="0056447E">
        <w:rPr>
          <w:rFonts w:ascii="Garamond" w:hAnsi="Garamond"/>
        </w:rPr>
        <w:t xml:space="preserve"> para población infractora</w:t>
      </w:r>
      <w:r>
        <w:rPr>
          <w:rFonts w:ascii="Garamond" w:hAnsi="Garamond"/>
        </w:rPr>
        <w:t xml:space="preserve">, las decisiones políticas se están tomando </w:t>
      </w:r>
      <w:r w:rsidR="00B019D9">
        <w:rPr>
          <w:rFonts w:ascii="Garamond" w:hAnsi="Garamond"/>
        </w:rPr>
        <w:t>cada vez más e</w:t>
      </w:r>
      <w:r>
        <w:rPr>
          <w:rFonts w:ascii="Garamond" w:hAnsi="Garamond"/>
        </w:rPr>
        <w:t xml:space="preserve">n la dirección opuesta </w:t>
      </w:r>
      <w:r w:rsidR="00B019D9">
        <w:rPr>
          <w:rFonts w:ascii="Garamond" w:hAnsi="Garamond"/>
        </w:rPr>
        <w:t xml:space="preserve">en un contexto de populismo penal y </w:t>
      </w:r>
      <w:r>
        <w:rPr>
          <w:rFonts w:ascii="Garamond" w:hAnsi="Garamond"/>
        </w:rPr>
        <w:t xml:space="preserve">aguda percepción de inseguridad donde se han establecido agendas cortas contra la delincuencia </w:t>
      </w:r>
      <w:r w:rsidR="00B019D9">
        <w:rPr>
          <w:rFonts w:ascii="Garamond" w:hAnsi="Garamond"/>
        </w:rPr>
        <w:t xml:space="preserve">que buscan aumentar el uso de la cárcel, por tiempos más extendidos y con menos acceso a beneficios o progresividad de las penas. </w:t>
      </w:r>
      <w:r w:rsidR="00FB391E">
        <w:rPr>
          <w:rFonts w:ascii="Garamond" w:hAnsi="Garamond"/>
        </w:rPr>
        <w:t>Este contexto ha obstaculizado aún más la aprobación de</w:t>
      </w:r>
      <w:r w:rsidR="00753BCA">
        <w:rPr>
          <w:rFonts w:ascii="Garamond" w:hAnsi="Garamond"/>
        </w:rPr>
        <w:t xml:space="preserve"> la </w:t>
      </w:r>
      <w:r w:rsidR="000149B7">
        <w:rPr>
          <w:rFonts w:ascii="Garamond" w:hAnsi="Garamond"/>
        </w:rPr>
        <w:t xml:space="preserve">ley que </w:t>
      </w:r>
      <w:r w:rsidR="00FB391E">
        <w:rPr>
          <w:rFonts w:ascii="Garamond" w:hAnsi="Garamond"/>
        </w:rPr>
        <w:t>busca modificar “</w:t>
      </w:r>
      <w:r w:rsidR="000149B7" w:rsidRPr="000149B7">
        <w:rPr>
          <w:rFonts w:ascii="Garamond" w:hAnsi="Garamond"/>
        </w:rPr>
        <w:t>el Código Procesal Penal en Materia de Procedencia de la Prisión Preventiva y de Suspensión de Ejecución de la Sentencia, respecto de mujeres embarazadas o que tengan hijos o hijas menores de tres años</w:t>
      </w:r>
      <w:r w:rsidR="000149B7">
        <w:rPr>
          <w:rFonts w:ascii="Garamond" w:hAnsi="Garamond"/>
        </w:rPr>
        <w:t>”</w:t>
      </w:r>
      <w:r w:rsidR="00FB391E">
        <w:rPr>
          <w:rFonts w:ascii="Garamond" w:hAnsi="Garamond"/>
        </w:rPr>
        <w:t>, lo cual ha impedido la obtención de alternativas a la privación para mujeres que estén embarazadas o con hijos menores de tres años</w:t>
      </w:r>
      <w:r w:rsidR="00321D92">
        <w:rPr>
          <w:rFonts w:ascii="Garamond" w:hAnsi="Garamond"/>
        </w:rPr>
        <w:t xml:space="preserve">. </w:t>
      </w:r>
      <w:r>
        <w:rPr>
          <w:rFonts w:ascii="Garamond" w:hAnsi="Garamond"/>
        </w:rPr>
        <w:t>Pese a ello, a</w:t>
      </w:r>
      <w:r w:rsidR="00753BCA">
        <w:rPr>
          <w:rFonts w:ascii="Garamond" w:hAnsi="Garamond"/>
        </w:rPr>
        <w:t xml:space="preserve"> través de la participación del Centro de Estudios Justicia y Sociedad UC en discusiones con representantes de instituciones públicas, se ha tenido conocimiento de que </w:t>
      </w:r>
      <w:r w:rsidR="00321D92">
        <w:rPr>
          <w:rFonts w:ascii="Garamond" w:hAnsi="Garamond"/>
        </w:rPr>
        <w:t xml:space="preserve">en algunos Tribunales específicos, se han tomado decisiones de condenas o cautelares alternativas a la privación de libertad </w:t>
      </w:r>
      <w:r w:rsidR="00E30CF0">
        <w:rPr>
          <w:rFonts w:ascii="Garamond" w:hAnsi="Garamond"/>
        </w:rPr>
        <w:t xml:space="preserve">con esta misma argumentación. </w:t>
      </w:r>
    </w:p>
    <w:p w14:paraId="42893BAA" w14:textId="77777777" w:rsidR="007C7CA9" w:rsidRDefault="007C7CA9" w:rsidP="000F4092">
      <w:pPr>
        <w:rPr>
          <w:rFonts w:ascii="Garamond" w:hAnsi="Garamond"/>
          <w:color w:val="FF0000"/>
        </w:rPr>
      </w:pPr>
    </w:p>
    <w:p w14:paraId="0AFF13FD" w14:textId="77777777" w:rsidR="00312417" w:rsidRPr="00312417" w:rsidRDefault="00312417" w:rsidP="000F4092">
      <w:pPr>
        <w:rPr>
          <w:rFonts w:ascii="Garamond" w:hAnsi="Garamond"/>
          <w:color w:val="FF0000"/>
        </w:rPr>
      </w:pPr>
    </w:p>
    <w:p w14:paraId="009F7DC2" w14:textId="569EA88D" w:rsidR="000F4092" w:rsidRDefault="000F4092" w:rsidP="00337C1C">
      <w:pPr>
        <w:pStyle w:val="Ttulo2"/>
      </w:pPr>
      <w:r w:rsidRPr="000F4092">
        <w:t>Grupos desfavorecidos y marginados de mujeres</w:t>
      </w:r>
    </w:p>
    <w:p w14:paraId="27CBE40B" w14:textId="77777777" w:rsidR="000F4092" w:rsidRPr="00C1519B" w:rsidRDefault="000F4092" w:rsidP="000F4092">
      <w:pPr>
        <w:rPr>
          <w:rFonts w:ascii="Garamond" w:hAnsi="Garamond"/>
        </w:rPr>
      </w:pPr>
    </w:p>
    <w:p w14:paraId="72DAAF1F" w14:textId="7BBC5C5F" w:rsidR="00B40F86" w:rsidRDefault="008539E8" w:rsidP="00BD7954">
      <w:pPr>
        <w:jc w:val="both"/>
        <w:rPr>
          <w:rFonts w:ascii="Garamond" w:hAnsi="Garamond"/>
        </w:rPr>
      </w:pPr>
      <w:r w:rsidRPr="008539E8">
        <w:rPr>
          <w:rFonts w:ascii="Garamond" w:hAnsi="Garamond"/>
        </w:rPr>
        <w:t>Respecto del punto (c) de esta cuestión, “Mujeres migrantes, refugiadas y solicitades de asilo”</w:t>
      </w:r>
      <w:r w:rsidR="005A7638">
        <w:rPr>
          <w:rFonts w:ascii="Garamond" w:hAnsi="Garamond"/>
        </w:rPr>
        <w:t>, desde el estudio sobre trayectorias de mujeres privadas de libertad por la ley de drogas, se observó la</w:t>
      </w:r>
      <w:r w:rsidR="00BD7954">
        <w:rPr>
          <w:rFonts w:ascii="Garamond" w:hAnsi="Garamond"/>
        </w:rPr>
        <w:t xml:space="preserve"> situación en que se encuentran las mujeres extranjeras en esas condiciones</w:t>
      </w:r>
      <w:r w:rsidR="00B40F86">
        <w:rPr>
          <w:rFonts w:ascii="Garamond" w:hAnsi="Garamond"/>
        </w:rPr>
        <w:t>. A continuación</w:t>
      </w:r>
      <w:r w:rsidR="00BE76E7">
        <w:rPr>
          <w:rFonts w:ascii="Garamond" w:hAnsi="Garamond"/>
        </w:rPr>
        <w:t>,</w:t>
      </w:r>
      <w:r w:rsidR="00B40F86">
        <w:rPr>
          <w:rFonts w:ascii="Garamond" w:hAnsi="Garamond"/>
        </w:rPr>
        <w:t xml:space="preserve"> se detallarán aquellos hallazgos que sean pertinentes:</w:t>
      </w:r>
    </w:p>
    <w:p w14:paraId="607D1904" w14:textId="77777777" w:rsidR="00B40F86" w:rsidRDefault="00B40F86" w:rsidP="00BD7954">
      <w:pPr>
        <w:jc w:val="both"/>
        <w:rPr>
          <w:rFonts w:ascii="Garamond" w:hAnsi="Garamond"/>
        </w:rPr>
      </w:pPr>
    </w:p>
    <w:p w14:paraId="33A34C72" w14:textId="6FB3EB94" w:rsidR="00B40F86" w:rsidRDefault="008F4C5F" w:rsidP="008F4C5F">
      <w:pPr>
        <w:pStyle w:val="Prrafodelista"/>
        <w:numPr>
          <w:ilvl w:val="0"/>
          <w:numId w:val="13"/>
        </w:numPr>
        <w:jc w:val="both"/>
        <w:rPr>
          <w:rFonts w:ascii="Garamond" w:hAnsi="Garamond"/>
        </w:rPr>
      </w:pPr>
      <w:r>
        <w:rPr>
          <w:rFonts w:ascii="Garamond" w:hAnsi="Garamond"/>
        </w:rPr>
        <w:t xml:space="preserve">En primer lugar, cabe destacar que del total de mujeres egresadas en la última década </w:t>
      </w:r>
      <w:r w:rsidR="00D46E0D">
        <w:rPr>
          <w:rFonts w:ascii="Garamond" w:hAnsi="Garamond"/>
        </w:rPr>
        <w:t>de la cárcel</w:t>
      </w:r>
      <w:r w:rsidR="00B86FA1">
        <w:rPr>
          <w:rFonts w:ascii="Garamond" w:hAnsi="Garamond"/>
        </w:rPr>
        <w:t>, un 13% son extranjeras</w:t>
      </w:r>
      <w:r w:rsidR="00C612FD">
        <w:rPr>
          <w:rFonts w:ascii="Garamond" w:hAnsi="Garamond"/>
        </w:rPr>
        <w:t xml:space="preserve">. Esta proporción asciende a un 45% cuando se trata de condenas asociadas a delitos de la ley de drogas. De hecho, el 90% de las extranjeras que egresaron de la cárcel en ese mismo período cumplió condena por delitos de drogas, en contraste con un 16% de las mujeres chilenas. </w:t>
      </w:r>
    </w:p>
    <w:p w14:paraId="0967A617" w14:textId="5031CC85" w:rsidR="00C612FD" w:rsidRPr="00776810" w:rsidRDefault="00D4433A" w:rsidP="008F4C5F">
      <w:pPr>
        <w:pStyle w:val="Prrafodelista"/>
        <w:numPr>
          <w:ilvl w:val="0"/>
          <w:numId w:val="13"/>
        </w:numPr>
        <w:jc w:val="both"/>
        <w:rPr>
          <w:rFonts w:ascii="Garamond" w:hAnsi="Garamond"/>
        </w:rPr>
      </w:pPr>
      <w:r>
        <w:rPr>
          <w:rFonts w:ascii="Garamond" w:hAnsi="Garamond"/>
        </w:rPr>
        <w:t xml:space="preserve">De las 100 mujeres que participaron del estudio, un 51% era chilena, 36% boliviana y 13% de otra nacionalidad. </w:t>
      </w:r>
      <w:r w:rsidR="0046629F">
        <w:rPr>
          <w:rFonts w:ascii="Garamond" w:hAnsi="Garamond"/>
        </w:rPr>
        <w:t xml:space="preserve">Las mujeres </w:t>
      </w:r>
      <w:r w:rsidR="00FF2C27">
        <w:rPr>
          <w:rFonts w:ascii="Garamond" w:hAnsi="Garamond"/>
        </w:rPr>
        <w:t>bolivianas</w:t>
      </w:r>
      <w:r w:rsidR="0046629F">
        <w:rPr>
          <w:rFonts w:ascii="Garamond" w:hAnsi="Garamond"/>
        </w:rPr>
        <w:t xml:space="preserve"> comparten características sociodemográficas con las chilenas cuando se trata de maternidad (9 de cada 10 son madres)</w:t>
      </w:r>
      <w:r w:rsidR="00014652">
        <w:rPr>
          <w:rFonts w:ascii="Garamond" w:hAnsi="Garamond"/>
          <w:lang w:val="es-ES"/>
        </w:rPr>
        <w:t>. Sin embargo, tienen niveles más bajos de escolarización</w:t>
      </w:r>
      <w:r w:rsidR="00FF2C27">
        <w:rPr>
          <w:rFonts w:ascii="Garamond" w:hAnsi="Garamond"/>
          <w:lang w:val="es-ES"/>
        </w:rPr>
        <w:t xml:space="preserve">, mayor prevalencia en pertenencia a un pueblo originario y una edad promedio menor. </w:t>
      </w:r>
    </w:p>
    <w:p w14:paraId="1A559B93" w14:textId="7F5709D2" w:rsidR="00776810" w:rsidRPr="00E45EF1" w:rsidRDefault="00776810" w:rsidP="008F4C5F">
      <w:pPr>
        <w:pStyle w:val="Prrafodelista"/>
        <w:numPr>
          <w:ilvl w:val="0"/>
          <w:numId w:val="13"/>
        </w:numPr>
        <w:jc w:val="both"/>
        <w:rPr>
          <w:rFonts w:ascii="Garamond" w:hAnsi="Garamond"/>
        </w:rPr>
      </w:pPr>
      <w:r>
        <w:rPr>
          <w:rFonts w:ascii="Garamond" w:hAnsi="Garamond"/>
          <w:lang w:val="es-ES"/>
        </w:rPr>
        <w:lastRenderedPageBreak/>
        <w:t>Las mujeres bolivianas vienen de contextos de amplia exclusión social</w:t>
      </w:r>
      <w:r w:rsidR="00A87DB0">
        <w:rPr>
          <w:rFonts w:ascii="Garamond" w:hAnsi="Garamond"/>
          <w:lang w:val="es-ES"/>
        </w:rPr>
        <w:t xml:space="preserve">, y cumplen un rol distinto en el mercado de drogas. Un 97% de ellas trabajó </w:t>
      </w:r>
      <w:r w:rsidR="006D32F5">
        <w:rPr>
          <w:rFonts w:ascii="Garamond" w:hAnsi="Garamond"/>
          <w:lang w:val="es-ES"/>
        </w:rPr>
        <w:t xml:space="preserve">para otra persona y 97% de ellas lo hizo como “burrera”. </w:t>
      </w:r>
      <w:r w:rsidR="00E45EF1">
        <w:rPr>
          <w:rFonts w:ascii="Garamond" w:hAnsi="Garamond"/>
          <w:lang w:val="es-ES"/>
        </w:rPr>
        <w:t xml:space="preserve">A partir de las entrevistas se pudo observar que la gran mayoría de ellas no llegó a Chile con un proyecto migratorio, sino que viajó para realizar el trabajo para el cual fue “contratada”: ingresar droga hacia Chile. En general, son mujeres primerizas en el delito que toman este trabajo por una necesidad económica -también en general, madres </w:t>
      </w:r>
      <w:r w:rsidR="00310AC9">
        <w:rPr>
          <w:rFonts w:ascii="Garamond" w:hAnsi="Garamond"/>
          <w:lang w:val="es-ES"/>
        </w:rPr>
        <w:t xml:space="preserve">principales </w:t>
      </w:r>
      <w:r w:rsidR="00E45EF1">
        <w:rPr>
          <w:rFonts w:ascii="Garamond" w:hAnsi="Garamond"/>
          <w:lang w:val="es-ES"/>
        </w:rPr>
        <w:t xml:space="preserve">proveedoras de hogares </w:t>
      </w:r>
      <w:r w:rsidR="00310AC9">
        <w:rPr>
          <w:rFonts w:ascii="Garamond" w:hAnsi="Garamond"/>
          <w:lang w:val="es-ES"/>
        </w:rPr>
        <w:t>monoparentales</w:t>
      </w:r>
      <w:r w:rsidR="00E45EF1">
        <w:rPr>
          <w:rFonts w:ascii="Garamond" w:hAnsi="Garamond"/>
          <w:lang w:val="es-ES"/>
        </w:rPr>
        <w:t xml:space="preserve">-. </w:t>
      </w:r>
    </w:p>
    <w:p w14:paraId="5546D0D6" w14:textId="3C0F28AA" w:rsidR="00E45EF1" w:rsidRPr="00856C44" w:rsidRDefault="00907547" w:rsidP="008F4C5F">
      <w:pPr>
        <w:pStyle w:val="Prrafodelista"/>
        <w:numPr>
          <w:ilvl w:val="0"/>
          <w:numId w:val="13"/>
        </w:numPr>
        <w:jc w:val="both"/>
        <w:rPr>
          <w:rFonts w:ascii="Garamond" w:hAnsi="Garamond"/>
        </w:rPr>
      </w:pPr>
      <w:r>
        <w:rPr>
          <w:rFonts w:ascii="Garamond" w:hAnsi="Garamond"/>
          <w:lang w:val="es-ES"/>
        </w:rPr>
        <w:t xml:space="preserve">En este contexto, al ser detenidas y privadas de libertad acá en Chile, quedan sumamente aisladas de sus redes de apoyo. Algunas, incluso describen que habiendo pasado años desde que ingresaron a la cárcel, no habían podido comunicarse con sus familias e hijos que quedaron esperándolas en Bolivia para informales de su paradero. </w:t>
      </w:r>
    </w:p>
    <w:p w14:paraId="44BC8100" w14:textId="1985E9B3" w:rsidR="00856C44" w:rsidRPr="00856C44" w:rsidRDefault="00856C44" w:rsidP="008F4C5F">
      <w:pPr>
        <w:pStyle w:val="Prrafodelista"/>
        <w:numPr>
          <w:ilvl w:val="0"/>
          <w:numId w:val="13"/>
        </w:numPr>
        <w:jc w:val="both"/>
        <w:rPr>
          <w:rFonts w:ascii="Garamond" w:hAnsi="Garamond"/>
        </w:rPr>
      </w:pPr>
      <w:r>
        <w:rPr>
          <w:rFonts w:ascii="Garamond" w:hAnsi="Garamond"/>
          <w:lang w:val="es-ES"/>
        </w:rPr>
        <w:t xml:space="preserve">En algunos casos se percibieron barreras idiomáticas, y en uno, una mujer hablaba solamente Quechua por lo que no entendía lo que se le hablaba en español. Esto profundizaba su experiencia de aislamiento. </w:t>
      </w:r>
    </w:p>
    <w:p w14:paraId="168E2E42" w14:textId="710269CF" w:rsidR="00856C44" w:rsidRPr="008F4C5F" w:rsidRDefault="005E4E75" w:rsidP="008F4C5F">
      <w:pPr>
        <w:pStyle w:val="Prrafodelista"/>
        <w:numPr>
          <w:ilvl w:val="0"/>
          <w:numId w:val="13"/>
        </w:numPr>
        <w:jc w:val="both"/>
        <w:rPr>
          <w:rFonts w:ascii="Garamond" w:hAnsi="Garamond"/>
        </w:rPr>
      </w:pPr>
      <w:r>
        <w:rPr>
          <w:rFonts w:ascii="Garamond" w:hAnsi="Garamond"/>
          <w:lang w:val="es-ES"/>
        </w:rPr>
        <w:t xml:space="preserve">Otra vulneración que se profundiza en este ámbito ocurre en el proceso de acceso a la justicia, por el temor que sienten de estar en irregularidad y la falta de conocimiento </w:t>
      </w:r>
      <w:r w:rsidR="00324860">
        <w:rPr>
          <w:rFonts w:ascii="Garamond" w:hAnsi="Garamond"/>
          <w:lang w:val="es-ES"/>
        </w:rPr>
        <w:t xml:space="preserve">que tienen </w:t>
      </w:r>
      <w:r w:rsidR="00310AC9">
        <w:rPr>
          <w:rFonts w:ascii="Garamond" w:hAnsi="Garamond"/>
          <w:lang w:val="es-ES"/>
        </w:rPr>
        <w:t>respecto de su condena.</w:t>
      </w:r>
    </w:p>
    <w:p w14:paraId="4176662F" w14:textId="77777777" w:rsidR="00C1519B" w:rsidRPr="00C1519B" w:rsidRDefault="00C1519B">
      <w:pPr>
        <w:rPr>
          <w:rFonts w:ascii="Garamond" w:hAnsi="Garamond"/>
          <w:lang w:val="es-ES"/>
        </w:rPr>
      </w:pPr>
    </w:p>
    <w:p w14:paraId="4CB9E15F" w14:textId="77777777" w:rsidR="00C1519B" w:rsidRPr="00C1519B" w:rsidRDefault="00C1519B">
      <w:pPr>
        <w:rPr>
          <w:rFonts w:ascii="Garamond" w:hAnsi="Garamond"/>
          <w:lang w:val="es-ES"/>
        </w:rPr>
      </w:pPr>
    </w:p>
    <w:p w14:paraId="524C6978" w14:textId="77777777" w:rsidR="00C1519B" w:rsidRPr="00C1519B" w:rsidRDefault="00C1519B">
      <w:pPr>
        <w:rPr>
          <w:rFonts w:ascii="Garamond" w:hAnsi="Garamond"/>
          <w:lang w:val="es-ES"/>
        </w:rPr>
      </w:pPr>
    </w:p>
    <w:p w14:paraId="680D7F03" w14:textId="77777777" w:rsidR="00C1519B" w:rsidRPr="00C1519B" w:rsidRDefault="00C1519B">
      <w:pPr>
        <w:rPr>
          <w:rFonts w:ascii="Garamond" w:hAnsi="Garamond"/>
          <w:lang w:val="es-ES"/>
        </w:rPr>
      </w:pPr>
    </w:p>
    <w:p w14:paraId="5F3087CF" w14:textId="77777777" w:rsidR="000E423A" w:rsidRPr="00C1519B" w:rsidRDefault="000E423A" w:rsidP="000E423A">
      <w:pPr>
        <w:rPr>
          <w:rFonts w:ascii="Garamond" w:hAnsi="Garamond"/>
        </w:rPr>
      </w:pPr>
    </w:p>
    <w:p w14:paraId="34F1CA59" w14:textId="77777777" w:rsidR="000E423A" w:rsidRPr="00C1519B" w:rsidRDefault="000E423A">
      <w:pPr>
        <w:rPr>
          <w:rFonts w:ascii="Garamond" w:hAnsi="Garamond"/>
          <w:color w:val="FF0000"/>
        </w:rPr>
      </w:pPr>
    </w:p>
    <w:p w14:paraId="1B96EC48" w14:textId="77777777" w:rsidR="000E423A" w:rsidRPr="00C1519B" w:rsidRDefault="000E423A">
      <w:pPr>
        <w:rPr>
          <w:rFonts w:ascii="Garamond" w:hAnsi="Garamond"/>
        </w:rPr>
      </w:pPr>
    </w:p>
    <w:p w14:paraId="194D09A5" w14:textId="77777777" w:rsidR="000E423A" w:rsidRPr="00C1519B" w:rsidRDefault="000E423A">
      <w:pPr>
        <w:rPr>
          <w:rFonts w:ascii="Garamond" w:hAnsi="Garamond"/>
          <w:color w:val="FF0000"/>
        </w:rPr>
      </w:pPr>
    </w:p>
    <w:p w14:paraId="4C915AD3" w14:textId="3DAB4BF8" w:rsidR="000E423A" w:rsidRPr="00C1519B" w:rsidRDefault="000E423A">
      <w:pPr>
        <w:rPr>
          <w:rFonts w:ascii="Garamond" w:hAnsi="Garamond"/>
          <w:color w:val="FF0000"/>
        </w:rPr>
      </w:pPr>
      <w:r w:rsidRPr="00C1519B">
        <w:rPr>
          <w:rFonts w:ascii="Garamond" w:hAnsi="Garamond"/>
          <w:color w:val="FF0000"/>
        </w:rPr>
        <w:t xml:space="preserve"> </w:t>
      </w:r>
    </w:p>
    <w:sectPr w:rsidR="000E423A" w:rsidRPr="00C1519B">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87FFF" w14:textId="77777777" w:rsidR="00832452" w:rsidRDefault="00832452" w:rsidP="00C1519B">
      <w:r>
        <w:separator/>
      </w:r>
    </w:p>
  </w:endnote>
  <w:endnote w:type="continuationSeparator" w:id="0">
    <w:p w14:paraId="2394609F" w14:textId="77777777" w:rsidR="00832452" w:rsidRDefault="00832452" w:rsidP="00C1519B">
      <w:r>
        <w:continuationSeparator/>
      </w:r>
    </w:p>
  </w:endnote>
  <w:endnote w:type="continuationNotice" w:id="1">
    <w:p w14:paraId="0298693A" w14:textId="77777777" w:rsidR="00832452" w:rsidRDefault="008324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7419970"/>
      <w:docPartObj>
        <w:docPartGallery w:val="Page Numbers (Bottom of Page)"/>
        <w:docPartUnique/>
      </w:docPartObj>
    </w:sdtPr>
    <w:sdtEndPr/>
    <w:sdtContent>
      <w:p w14:paraId="5982D427" w14:textId="63DCD55B" w:rsidR="00D46E0D" w:rsidRDefault="00D46E0D">
        <w:pPr>
          <w:pStyle w:val="Piedepgina"/>
          <w:jc w:val="center"/>
        </w:pPr>
        <w:r>
          <w:fldChar w:fldCharType="begin"/>
        </w:r>
        <w:r>
          <w:instrText>PAGE   \* MERGEFORMAT</w:instrText>
        </w:r>
        <w:r>
          <w:fldChar w:fldCharType="separate"/>
        </w:r>
        <w:r>
          <w:rPr>
            <w:lang w:val="es-ES"/>
          </w:rPr>
          <w:t>2</w:t>
        </w:r>
        <w:r>
          <w:fldChar w:fldCharType="end"/>
        </w:r>
      </w:p>
    </w:sdtContent>
  </w:sdt>
  <w:p w14:paraId="488051A1" w14:textId="77777777" w:rsidR="00D46E0D" w:rsidRDefault="00D46E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D0081" w14:textId="77777777" w:rsidR="00832452" w:rsidRDefault="00832452" w:rsidP="00C1519B">
      <w:r>
        <w:separator/>
      </w:r>
    </w:p>
  </w:footnote>
  <w:footnote w:type="continuationSeparator" w:id="0">
    <w:p w14:paraId="4A7EFE5D" w14:textId="77777777" w:rsidR="00832452" w:rsidRDefault="00832452" w:rsidP="00C1519B">
      <w:r>
        <w:continuationSeparator/>
      </w:r>
    </w:p>
  </w:footnote>
  <w:footnote w:type="continuationNotice" w:id="1">
    <w:p w14:paraId="2E674502" w14:textId="77777777" w:rsidR="00832452" w:rsidRDefault="00832452"/>
  </w:footnote>
  <w:footnote w:id="2">
    <w:p w14:paraId="4E826EF8" w14:textId="0E76251E" w:rsidR="00DA0579" w:rsidRPr="00DA0579" w:rsidRDefault="00DA0579">
      <w:pPr>
        <w:pStyle w:val="Textonotapie"/>
        <w:rPr>
          <w:lang w:val="es-MX"/>
        </w:rPr>
      </w:pPr>
      <w:r>
        <w:rPr>
          <w:rStyle w:val="Refdenotaalpie"/>
        </w:rPr>
        <w:footnoteRef/>
      </w:r>
      <w:r>
        <w:t xml:space="preserve"> </w:t>
      </w:r>
      <w:r>
        <w:rPr>
          <w:rFonts w:ascii="Garamond" w:hAnsi="Garamond"/>
          <w:lang w:val="es-ES"/>
        </w:rPr>
        <w:t>Este trabajo fue coordinado</w:t>
      </w:r>
      <w:r w:rsidR="00BE76E7">
        <w:rPr>
          <w:rFonts w:ascii="Garamond" w:hAnsi="Garamond"/>
          <w:lang w:val="es-ES"/>
        </w:rPr>
        <w:t xml:space="preserve"> en con</w:t>
      </w:r>
      <w:r>
        <w:rPr>
          <w:rFonts w:ascii="Garamond" w:hAnsi="Garamond"/>
          <w:lang w:val="es-ES"/>
        </w:rPr>
        <w:t>junto con la o</w:t>
      </w:r>
      <w:r w:rsidRPr="5BBD3998">
        <w:rPr>
          <w:rFonts w:ascii="Garamond" w:hAnsi="Garamond"/>
          <w:lang w:val="es-ES"/>
        </w:rPr>
        <w:t>rganización no gubernamental Penal Reform International</w:t>
      </w:r>
      <w:r w:rsidR="00141ADF">
        <w:rPr>
          <w:rFonts w:ascii="Garamond" w:hAnsi="Garamond"/>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0312E" w14:textId="4F9455B3" w:rsidR="00C1519B" w:rsidRDefault="00C1519B">
    <w:pPr>
      <w:pStyle w:val="Encabezado"/>
    </w:pPr>
    <w:r>
      <w:rPr>
        <w:noProof/>
      </w:rPr>
      <w:drawing>
        <wp:anchor distT="0" distB="0" distL="114300" distR="114300" simplePos="0" relativeHeight="251658240" behindDoc="0" locked="0" layoutInCell="1" allowOverlap="1" wp14:anchorId="08A89EF4" wp14:editId="613FCE22">
          <wp:simplePos x="0" y="0"/>
          <wp:positionH relativeFrom="column">
            <wp:posOffset>3886200</wp:posOffset>
          </wp:positionH>
          <wp:positionV relativeFrom="paragraph">
            <wp:posOffset>-248285</wp:posOffset>
          </wp:positionV>
          <wp:extent cx="2194560" cy="560705"/>
          <wp:effectExtent l="0" t="0" r="0" b="0"/>
          <wp:wrapThrough wrapText="bothSides">
            <wp:wrapPolygon edited="0">
              <wp:start x="1875" y="0"/>
              <wp:lineTo x="563" y="5137"/>
              <wp:lineTo x="188" y="15411"/>
              <wp:lineTo x="1313" y="20548"/>
              <wp:lineTo x="1875" y="20548"/>
              <wp:lineTo x="3000" y="20548"/>
              <wp:lineTo x="21188" y="19080"/>
              <wp:lineTo x="20438" y="12476"/>
              <wp:lineTo x="20813" y="3669"/>
              <wp:lineTo x="16875" y="1468"/>
              <wp:lineTo x="3000" y="0"/>
              <wp:lineTo x="1875" y="0"/>
            </wp:wrapPolygon>
          </wp:wrapThrough>
          <wp:docPr id="1834429748"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29748" name="Imagen 1"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56070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A74C1"/>
    <w:multiLevelType w:val="hybridMultilevel"/>
    <w:tmpl w:val="1EA04CD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1257EC8"/>
    <w:multiLevelType w:val="hybridMultilevel"/>
    <w:tmpl w:val="C62408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26023C1"/>
    <w:multiLevelType w:val="hybridMultilevel"/>
    <w:tmpl w:val="5788918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6403B46"/>
    <w:multiLevelType w:val="hybridMultilevel"/>
    <w:tmpl w:val="886E8A28"/>
    <w:lvl w:ilvl="0" w:tplc="B6E602FA">
      <w:start w:val="1"/>
      <w:numFmt w:val="decimal"/>
      <w:lvlText w:val="%1."/>
      <w:lvlJc w:val="left"/>
      <w:pPr>
        <w:ind w:left="720" w:hanging="360"/>
      </w:pPr>
      <w:rPr>
        <w:rFonts w:ascii="Garamond" w:eastAsiaTheme="minorHAnsi" w:hAnsi="Garamond" w:cstheme="minorBidi"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7FC45A4"/>
    <w:multiLevelType w:val="hybridMultilevel"/>
    <w:tmpl w:val="1C207C9E"/>
    <w:lvl w:ilvl="0" w:tplc="3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D1C367D"/>
    <w:multiLevelType w:val="hybridMultilevel"/>
    <w:tmpl w:val="14BA826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63417E0E"/>
    <w:multiLevelType w:val="hybridMultilevel"/>
    <w:tmpl w:val="4B2C62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67FF6BAB"/>
    <w:multiLevelType w:val="hybridMultilevel"/>
    <w:tmpl w:val="7124D43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B9D2AE7"/>
    <w:multiLevelType w:val="hybridMultilevel"/>
    <w:tmpl w:val="66BEF34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74C87951"/>
    <w:multiLevelType w:val="hybridMultilevel"/>
    <w:tmpl w:val="C624081A"/>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76D778F5"/>
    <w:multiLevelType w:val="hybridMultilevel"/>
    <w:tmpl w:val="DD0CA5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7B622D08"/>
    <w:multiLevelType w:val="hybridMultilevel"/>
    <w:tmpl w:val="6E820A80"/>
    <w:lvl w:ilvl="0" w:tplc="0CE291B8">
      <w:start w:val="1"/>
      <w:numFmt w:val="decimal"/>
      <w:pStyle w:val="Ttulo2"/>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7B814C82"/>
    <w:multiLevelType w:val="hybridMultilevel"/>
    <w:tmpl w:val="A140B37A"/>
    <w:lvl w:ilvl="0" w:tplc="35B2355E">
      <w:numFmt w:val="bullet"/>
      <w:lvlText w:val="-"/>
      <w:lvlJc w:val="left"/>
      <w:pPr>
        <w:ind w:left="720" w:hanging="360"/>
      </w:pPr>
      <w:rPr>
        <w:rFonts w:ascii="Aptos" w:eastAsiaTheme="minorHAnsi" w:hAnsi="Aptos"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608195167">
    <w:abstractNumId w:val="11"/>
  </w:num>
  <w:num w:numId="2" w16cid:durableId="31270519">
    <w:abstractNumId w:val="5"/>
  </w:num>
  <w:num w:numId="3" w16cid:durableId="1002658257">
    <w:abstractNumId w:val="9"/>
  </w:num>
  <w:num w:numId="4" w16cid:durableId="1953902274">
    <w:abstractNumId w:val="4"/>
  </w:num>
  <w:num w:numId="5" w16cid:durableId="260920347">
    <w:abstractNumId w:val="1"/>
  </w:num>
  <w:num w:numId="6" w16cid:durableId="42798864">
    <w:abstractNumId w:val="0"/>
  </w:num>
  <w:num w:numId="7" w16cid:durableId="1836457042">
    <w:abstractNumId w:val="7"/>
  </w:num>
  <w:num w:numId="8" w16cid:durableId="1772773140">
    <w:abstractNumId w:val="3"/>
  </w:num>
  <w:num w:numId="9" w16cid:durableId="358631318">
    <w:abstractNumId w:val="12"/>
  </w:num>
  <w:num w:numId="10" w16cid:durableId="761024705">
    <w:abstractNumId w:val="8"/>
  </w:num>
  <w:num w:numId="11" w16cid:durableId="6518592">
    <w:abstractNumId w:val="2"/>
  </w:num>
  <w:num w:numId="12" w16cid:durableId="587925122">
    <w:abstractNumId w:val="6"/>
  </w:num>
  <w:num w:numId="13" w16cid:durableId="14582558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23A"/>
    <w:rsid w:val="0001115C"/>
    <w:rsid w:val="00014652"/>
    <w:rsid w:val="000149B7"/>
    <w:rsid w:val="0001609D"/>
    <w:rsid w:val="00023978"/>
    <w:rsid w:val="00057132"/>
    <w:rsid w:val="000624DE"/>
    <w:rsid w:val="00084877"/>
    <w:rsid w:val="00092BA7"/>
    <w:rsid w:val="000A37C3"/>
    <w:rsid w:val="000A61B8"/>
    <w:rsid w:val="000B4D47"/>
    <w:rsid w:val="000C1F71"/>
    <w:rsid w:val="000D7193"/>
    <w:rsid w:val="000E423A"/>
    <w:rsid w:val="000E7730"/>
    <w:rsid w:val="000E7DED"/>
    <w:rsid w:val="000F4092"/>
    <w:rsid w:val="000F7FAE"/>
    <w:rsid w:val="001115D7"/>
    <w:rsid w:val="001132CF"/>
    <w:rsid w:val="00141ADF"/>
    <w:rsid w:val="00142312"/>
    <w:rsid w:val="001553AE"/>
    <w:rsid w:val="00162AC1"/>
    <w:rsid w:val="00171603"/>
    <w:rsid w:val="00187D69"/>
    <w:rsid w:val="001A1799"/>
    <w:rsid w:val="001A1A77"/>
    <w:rsid w:val="001B66FF"/>
    <w:rsid w:val="001E3986"/>
    <w:rsid w:val="001E7EC9"/>
    <w:rsid w:val="001F75B6"/>
    <w:rsid w:val="001F7DB0"/>
    <w:rsid w:val="00211F22"/>
    <w:rsid w:val="00215E5B"/>
    <w:rsid w:val="00216F9B"/>
    <w:rsid w:val="002252A8"/>
    <w:rsid w:val="002547AD"/>
    <w:rsid w:val="00261E82"/>
    <w:rsid w:val="00277C0F"/>
    <w:rsid w:val="00290F83"/>
    <w:rsid w:val="002A68D9"/>
    <w:rsid w:val="002B146D"/>
    <w:rsid w:val="002B5062"/>
    <w:rsid w:val="002C541D"/>
    <w:rsid w:val="002E5E34"/>
    <w:rsid w:val="002F29E9"/>
    <w:rsid w:val="002F35E5"/>
    <w:rsid w:val="00310AC9"/>
    <w:rsid w:val="00312417"/>
    <w:rsid w:val="00314353"/>
    <w:rsid w:val="00314ED7"/>
    <w:rsid w:val="0031771B"/>
    <w:rsid w:val="00321D92"/>
    <w:rsid w:val="0032439D"/>
    <w:rsid w:val="00324860"/>
    <w:rsid w:val="00331087"/>
    <w:rsid w:val="00334BAA"/>
    <w:rsid w:val="00335D41"/>
    <w:rsid w:val="00337C1C"/>
    <w:rsid w:val="00362123"/>
    <w:rsid w:val="0036364C"/>
    <w:rsid w:val="003805E2"/>
    <w:rsid w:val="00383C5B"/>
    <w:rsid w:val="00393963"/>
    <w:rsid w:val="00394327"/>
    <w:rsid w:val="003A1410"/>
    <w:rsid w:val="003C36FB"/>
    <w:rsid w:val="003D77E0"/>
    <w:rsid w:val="003D7A1D"/>
    <w:rsid w:val="003E028F"/>
    <w:rsid w:val="003F2E11"/>
    <w:rsid w:val="003F6A40"/>
    <w:rsid w:val="004326EE"/>
    <w:rsid w:val="00436F46"/>
    <w:rsid w:val="00456B96"/>
    <w:rsid w:val="0046121E"/>
    <w:rsid w:val="00461C17"/>
    <w:rsid w:val="0046629F"/>
    <w:rsid w:val="00470681"/>
    <w:rsid w:val="00470B43"/>
    <w:rsid w:val="00477239"/>
    <w:rsid w:val="0049007C"/>
    <w:rsid w:val="00493485"/>
    <w:rsid w:val="00494060"/>
    <w:rsid w:val="004977CC"/>
    <w:rsid w:val="004A7D1A"/>
    <w:rsid w:val="004B0DE7"/>
    <w:rsid w:val="004D5920"/>
    <w:rsid w:val="00530C94"/>
    <w:rsid w:val="00547148"/>
    <w:rsid w:val="00550EB8"/>
    <w:rsid w:val="0055118C"/>
    <w:rsid w:val="00554E87"/>
    <w:rsid w:val="0056447E"/>
    <w:rsid w:val="00580A44"/>
    <w:rsid w:val="00582A84"/>
    <w:rsid w:val="00582FD1"/>
    <w:rsid w:val="00594E90"/>
    <w:rsid w:val="005A07EF"/>
    <w:rsid w:val="005A3A16"/>
    <w:rsid w:val="005A575C"/>
    <w:rsid w:val="005A7638"/>
    <w:rsid w:val="005A7E1C"/>
    <w:rsid w:val="005C348F"/>
    <w:rsid w:val="005D5C9C"/>
    <w:rsid w:val="005E4E75"/>
    <w:rsid w:val="005F271F"/>
    <w:rsid w:val="0060047A"/>
    <w:rsid w:val="0060163E"/>
    <w:rsid w:val="00603131"/>
    <w:rsid w:val="006045C5"/>
    <w:rsid w:val="006048FA"/>
    <w:rsid w:val="006338A9"/>
    <w:rsid w:val="00637E62"/>
    <w:rsid w:val="00640EAB"/>
    <w:rsid w:val="006516FF"/>
    <w:rsid w:val="00652D7C"/>
    <w:rsid w:val="0065309D"/>
    <w:rsid w:val="00655665"/>
    <w:rsid w:val="006651E9"/>
    <w:rsid w:val="00666CBE"/>
    <w:rsid w:val="006701C1"/>
    <w:rsid w:val="00677205"/>
    <w:rsid w:val="00687EE7"/>
    <w:rsid w:val="00694E12"/>
    <w:rsid w:val="0069659A"/>
    <w:rsid w:val="006A0518"/>
    <w:rsid w:val="006C343A"/>
    <w:rsid w:val="006D32F5"/>
    <w:rsid w:val="006D4990"/>
    <w:rsid w:val="00704249"/>
    <w:rsid w:val="00711807"/>
    <w:rsid w:val="00753BCA"/>
    <w:rsid w:val="00765DA2"/>
    <w:rsid w:val="0077546C"/>
    <w:rsid w:val="00776810"/>
    <w:rsid w:val="00777048"/>
    <w:rsid w:val="0078319C"/>
    <w:rsid w:val="00790A1D"/>
    <w:rsid w:val="007B5DB7"/>
    <w:rsid w:val="007C7CA9"/>
    <w:rsid w:val="007E6D8A"/>
    <w:rsid w:val="007F1BCA"/>
    <w:rsid w:val="007F3A97"/>
    <w:rsid w:val="0081267F"/>
    <w:rsid w:val="008156C1"/>
    <w:rsid w:val="008241B6"/>
    <w:rsid w:val="00827238"/>
    <w:rsid w:val="00832452"/>
    <w:rsid w:val="00850875"/>
    <w:rsid w:val="00851AEC"/>
    <w:rsid w:val="008525B1"/>
    <w:rsid w:val="008539E8"/>
    <w:rsid w:val="00856149"/>
    <w:rsid w:val="00856C44"/>
    <w:rsid w:val="00865754"/>
    <w:rsid w:val="00874844"/>
    <w:rsid w:val="0088784D"/>
    <w:rsid w:val="0089099E"/>
    <w:rsid w:val="008C20E3"/>
    <w:rsid w:val="008C5074"/>
    <w:rsid w:val="008C55FE"/>
    <w:rsid w:val="008D2C09"/>
    <w:rsid w:val="008E3CE7"/>
    <w:rsid w:val="008F1247"/>
    <w:rsid w:val="008F143E"/>
    <w:rsid w:val="008F4C5F"/>
    <w:rsid w:val="009056D5"/>
    <w:rsid w:val="00907547"/>
    <w:rsid w:val="00927CBD"/>
    <w:rsid w:val="00930923"/>
    <w:rsid w:val="00930AD9"/>
    <w:rsid w:val="00941719"/>
    <w:rsid w:val="009420C2"/>
    <w:rsid w:val="009440D8"/>
    <w:rsid w:val="00966AC9"/>
    <w:rsid w:val="009B1988"/>
    <w:rsid w:val="009B3E75"/>
    <w:rsid w:val="009C478B"/>
    <w:rsid w:val="009D15A3"/>
    <w:rsid w:val="009D4C17"/>
    <w:rsid w:val="00A00035"/>
    <w:rsid w:val="00A0069A"/>
    <w:rsid w:val="00A06E14"/>
    <w:rsid w:val="00A15451"/>
    <w:rsid w:val="00A16F9C"/>
    <w:rsid w:val="00A17061"/>
    <w:rsid w:val="00A31A4D"/>
    <w:rsid w:val="00A368E0"/>
    <w:rsid w:val="00A65E8C"/>
    <w:rsid w:val="00A7112B"/>
    <w:rsid w:val="00A87047"/>
    <w:rsid w:val="00A87DB0"/>
    <w:rsid w:val="00AA22DA"/>
    <w:rsid w:val="00AA6D41"/>
    <w:rsid w:val="00AD219D"/>
    <w:rsid w:val="00AE506D"/>
    <w:rsid w:val="00B019D9"/>
    <w:rsid w:val="00B03CA4"/>
    <w:rsid w:val="00B40F86"/>
    <w:rsid w:val="00B41565"/>
    <w:rsid w:val="00B64B4C"/>
    <w:rsid w:val="00B73DA4"/>
    <w:rsid w:val="00B8189C"/>
    <w:rsid w:val="00B829B4"/>
    <w:rsid w:val="00B86D99"/>
    <w:rsid w:val="00B86F0F"/>
    <w:rsid w:val="00B86FA1"/>
    <w:rsid w:val="00BB1F62"/>
    <w:rsid w:val="00BC0833"/>
    <w:rsid w:val="00BC32E4"/>
    <w:rsid w:val="00BC41CD"/>
    <w:rsid w:val="00BC5E91"/>
    <w:rsid w:val="00BD27DB"/>
    <w:rsid w:val="00BD7954"/>
    <w:rsid w:val="00BE76E7"/>
    <w:rsid w:val="00BF18BB"/>
    <w:rsid w:val="00C0274A"/>
    <w:rsid w:val="00C1519B"/>
    <w:rsid w:val="00C4436F"/>
    <w:rsid w:val="00C51A13"/>
    <w:rsid w:val="00C612FD"/>
    <w:rsid w:val="00C64487"/>
    <w:rsid w:val="00C7469D"/>
    <w:rsid w:val="00C83C50"/>
    <w:rsid w:val="00CA2D2D"/>
    <w:rsid w:val="00CA647C"/>
    <w:rsid w:val="00CB5515"/>
    <w:rsid w:val="00CC2BC3"/>
    <w:rsid w:val="00CD4DBD"/>
    <w:rsid w:val="00CF5D58"/>
    <w:rsid w:val="00D20F51"/>
    <w:rsid w:val="00D233F9"/>
    <w:rsid w:val="00D2628E"/>
    <w:rsid w:val="00D26698"/>
    <w:rsid w:val="00D325BF"/>
    <w:rsid w:val="00D433EA"/>
    <w:rsid w:val="00D4433A"/>
    <w:rsid w:val="00D4503A"/>
    <w:rsid w:val="00D46E0D"/>
    <w:rsid w:val="00D51D2D"/>
    <w:rsid w:val="00D52764"/>
    <w:rsid w:val="00D62E5D"/>
    <w:rsid w:val="00D676F7"/>
    <w:rsid w:val="00D85111"/>
    <w:rsid w:val="00D863C9"/>
    <w:rsid w:val="00D86FFE"/>
    <w:rsid w:val="00D90B1B"/>
    <w:rsid w:val="00D94730"/>
    <w:rsid w:val="00DA0579"/>
    <w:rsid w:val="00DD2AF4"/>
    <w:rsid w:val="00DD36FB"/>
    <w:rsid w:val="00DD7E5E"/>
    <w:rsid w:val="00DE1758"/>
    <w:rsid w:val="00E07F60"/>
    <w:rsid w:val="00E14CB0"/>
    <w:rsid w:val="00E24A4E"/>
    <w:rsid w:val="00E26F03"/>
    <w:rsid w:val="00E30CF0"/>
    <w:rsid w:val="00E4596E"/>
    <w:rsid w:val="00E45EF1"/>
    <w:rsid w:val="00E65A7B"/>
    <w:rsid w:val="00E95F5A"/>
    <w:rsid w:val="00ED14C6"/>
    <w:rsid w:val="00ED1D0A"/>
    <w:rsid w:val="00EE3544"/>
    <w:rsid w:val="00EE3733"/>
    <w:rsid w:val="00EE5DC8"/>
    <w:rsid w:val="00EF4F39"/>
    <w:rsid w:val="00F01EFD"/>
    <w:rsid w:val="00F23D46"/>
    <w:rsid w:val="00F31F9B"/>
    <w:rsid w:val="00F3230C"/>
    <w:rsid w:val="00F323F6"/>
    <w:rsid w:val="00F32A04"/>
    <w:rsid w:val="00F37DA2"/>
    <w:rsid w:val="00F46BF4"/>
    <w:rsid w:val="00F50371"/>
    <w:rsid w:val="00F57FF7"/>
    <w:rsid w:val="00F62048"/>
    <w:rsid w:val="00F6740F"/>
    <w:rsid w:val="00F674DA"/>
    <w:rsid w:val="00F82AE8"/>
    <w:rsid w:val="00F8421F"/>
    <w:rsid w:val="00F86DDB"/>
    <w:rsid w:val="00F9358A"/>
    <w:rsid w:val="00FA3082"/>
    <w:rsid w:val="00FB391E"/>
    <w:rsid w:val="00FB3D55"/>
    <w:rsid w:val="00FB4805"/>
    <w:rsid w:val="00FC56F1"/>
    <w:rsid w:val="00FC7A9A"/>
    <w:rsid w:val="00FD1D78"/>
    <w:rsid w:val="00FD44BB"/>
    <w:rsid w:val="00FF11F8"/>
    <w:rsid w:val="00FF2C27"/>
    <w:rsid w:val="48F96017"/>
    <w:rsid w:val="5BBD399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8EB67"/>
  <w15:chartTrackingRefBased/>
  <w15:docId w15:val="{63AE42CA-D03A-9E48-8FFC-00684D5B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37C1C"/>
    <w:pPr>
      <w:outlineLvl w:val="0"/>
    </w:pPr>
    <w:rPr>
      <w:rFonts w:ascii="Garamond" w:hAnsi="Garamond"/>
      <w:b/>
      <w:bCs/>
      <w:lang w:val="es-ES_tradnl"/>
    </w:rPr>
  </w:style>
  <w:style w:type="paragraph" w:styleId="Ttulo2">
    <w:name w:val="heading 2"/>
    <w:basedOn w:val="Prrafodelista"/>
    <w:next w:val="Normal"/>
    <w:link w:val="Ttulo2Car"/>
    <w:uiPriority w:val="9"/>
    <w:unhideWhenUsed/>
    <w:qFormat/>
    <w:rsid w:val="00337C1C"/>
    <w:pPr>
      <w:numPr>
        <w:numId w:val="1"/>
      </w:numPr>
      <w:jc w:val="both"/>
      <w:outlineLvl w:val="1"/>
    </w:pPr>
    <w:rPr>
      <w:rFonts w:ascii="Garamond" w:hAnsi="Garamond"/>
      <w:b/>
      <w:bCs/>
      <w:lang w:val="es-ES_tradnl"/>
    </w:rPr>
  </w:style>
  <w:style w:type="paragraph" w:styleId="Ttulo3">
    <w:name w:val="heading 3"/>
    <w:basedOn w:val="Normal"/>
    <w:next w:val="Normal"/>
    <w:link w:val="Ttulo3Car"/>
    <w:uiPriority w:val="9"/>
    <w:semiHidden/>
    <w:unhideWhenUsed/>
    <w:qFormat/>
    <w:rsid w:val="000E423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423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423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423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423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423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423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7C1C"/>
    <w:rPr>
      <w:rFonts w:ascii="Garamond" w:hAnsi="Garamond"/>
      <w:b/>
      <w:bCs/>
      <w:lang w:val="es-ES_tradnl"/>
    </w:rPr>
  </w:style>
  <w:style w:type="character" w:customStyle="1" w:styleId="Ttulo2Car">
    <w:name w:val="Título 2 Car"/>
    <w:basedOn w:val="Fuentedeprrafopredeter"/>
    <w:link w:val="Ttulo2"/>
    <w:uiPriority w:val="9"/>
    <w:rsid w:val="00337C1C"/>
    <w:rPr>
      <w:rFonts w:ascii="Garamond" w:hAnsi="Garamond"/>
      <w:b/>
      <w:bCs/>
      <w:lang w:val="es-ES_tradnl"/>
    </w:rPr>
  </w:style>
  <w:style w:type="character" w:customStyle="1" w:styleId="Ttulo3Car">
    <w:name w:val="Título 3 Car"/>
    <w:basedOn w:val="Fuentedeprrafopredeter"/>
    <w:link w:val="Ttulo3"/>
    <w:uiPriority w:val="9"/>
    <w:semiHidden/>
    <w:rsid w:val="000E423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423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423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42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42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42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423A"/>
    <w:rPr>
      <w:rFonts w:eastAsiaTheme="majorEastAsia" w:cstheme="majorBidi"/>
      <w:color w:val="272727" w:themeColor="text1" w:themeTint="D8"/>
    </w:rPr>
  </w:style>
  <w:style w:type="paragraph" w:styleId="Ttulo">
    <w:name w:val="Title"/>
    <w:basedOn w:val="Normal"/>
    <w:next w:val="Normal"/>
    <w:link w:val="TtuloCar"/>
    <w:uiPriority w:val="10"/>
    <w:qFormat/>
    <w:rsid w:val="000E423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42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423A"/>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42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423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E423A"/>
    <w:rPr>
      <w:i/>
      <w:iCs/>
      <w:color w:val="404040" w:themeColor="text1" w:themeTint="BF"/>
    </w:rPr>
  </w:style>
  <w:style w:type="paragraph" w:styleId="Prrafodelista">
    <w:name w:val="List Paragraph"/>
    <w:basedOn w:val="Normal"/>
    <w:uiPriority w:val="34"/>
    <w:qFormat/>
    <w:rsid w:val="000E423A"/>
    <w:pPr>
      <w:ind w:left="720"/>
      <w:contextualSpacing/>
    </w:pPr>
  </w:style>
  <w:style w:type="character" w:styleId="nfasisintenso">
    <w:name w:val="Intense Emphasis"/>
    <w:basedOn w:val="Fuentedeprrafopredeter"/>
    <w:uiPriority w:val="21"/>
    <w:qFormat/>
    <w:rsid w:val="000E423A"/>
    <w:rPr>
      <w:i/>
      <w:iCs/>
      <w:color w:val="0F4761" w:themeColor="accent1" w:themeShade="BF"/>
    </w:rPr>
  </w:style>
  <w:style w:type="paragraph" w:styleId="Citadestacada">
    <w:name w:val="Intense Quote"/>
    <w:basedOn w:val="Normal"/>
    <w:next w:val="Normal"/>
    <w:link w:val="CitadestacadaCar"/>
    <w:uiPriority w:val="30"/>
    <w:qFormat/>
    <w:rsid w:val="000E4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423A"/>
    <w:rPr>
      <w:i/>
      <w:iCs/>
      <w:color w:val="0F4761" w:themeColor="accent1" w:themeShade="BF"/>
    </w:rPr>
  </w:style>
  <w:style w:type="character" w:styleId="Referenciaintensa">
    <w:name w:val="Intense Reference"/>
    <w:basedOn w:val="Fuentedeprrafopredeter"/>
    <w:uiPriority w:val="32"/>
    <w:qFormat/>
    <w:rsid w:val="000E423A"/>
    <w:rPr>
      <w:b/>
      <w:bCs/>
      <w:smallCaps/>
      <w:color w:val="0F4761" w:themeColor="accent1" w:themeShade="BF"/>
      <w:spacing w:val="5"/>
    </w:rPr>
  </w:style>
  <w:style w:type="paragraph" w:styleId="Encabezado">
    <w:name w:val="header"/>
    <w:basedOn w:val="Normal"/>
    <w:link w:val="EncabezadoCar"/>
    <w:uiPriority w:val="99"/>
    <w:unhideWhenUsed/>
    <w:rsid w:val="00C1519B"/>
    <w:pPr>
      <w:tabs>
        <w:tab w:val="center" w:pos="4419"/>
        <w:tab w:val="right" w:pos="8838"/>
      </w:tabs>
    </w:pPr>
  </w:style>
  <w:style w:type="character" w:customStyle="1" w:styleId="EncabezadoCar">
    <w:name w:val="Encabezado Car"/>
    <w:basedOn w:val="Fuentedeprrafopredeter"/>
    <w:link w:val="Encabezado"/>
    <w:uiPriority w:val="99"/>
    <w:rsid w:val="00C1519B"/>
  </w:style>
  <w:style w:type="paragraph" w:styleId="Piedepgina">
    <w:name w:val="footer"/>
    <w:basedOn w:val="Normal"/>
    <w:link w:val="PiedepginaCar"/>
    <w:uiPriority w:val="99"/>
    <w:unhideWhenUsed/>
    <w:rsid w:val="00C1519B"/>
    <w:pPr>
      <w:tabs>
        <w:tab w:val="center" w:pos="4419"/>
        <w:tab w:val="right" w:pos="8838"/>
      </w:tabs>
    </w:pPr>
  </w:style>
  <w:style w:type="character" w:customStyle="1" w:styleId="PiedepginaCar">
    <w:name w:val="Pie de página Car"/>
    <w:basedOn w:val="Fuentedeprrafopredeter"/>
    <w:link w:val="Piedepgina"/>
    <w:uiPriority w:val="99"/>
    <w:rsid w:val="00C1519B"/>
  </w:style>
  <w:style w:type="character" w:styleId="Refdecomentario">
    <w:name w:val="annotation reference"/>
    <w:basedOn w:val="Fuentedeprrafopredeter"/>
    <w:uiPriority w:val="99"/>
    <w:semiHidden/>
    <w:unhideWhenUsed/>
    <w:rsid w:val="00337C1C"/>
    <w:rPr>
      <w:sz w:val="16"/>
      <w:szCs w:val="16"/>
    </w:rPr>
  </w:style>
  <w:style w:type="paragraph" w:styleId="Textocomentario">
    <w:name w:val="annotation text"/>
    <w:basedOn w:val="Normal"/>
    <w:link w:val="TextocomentarioCar"/>
    <w:uiPriority w:val="99"/>
    <w:unhideWhenUsed/>
    <w:rsid w:val="00337C1C"/>
    <w:rPr>
      <w:sz w:val="20"/>
      <w:szCs w:val="20"/>
    </w:rPr>
  </w:style>
  <w:style w:type="character" w:customStyle="1" w:styleId="TextocomentarioCar">
    <w:name w:val="Texto comentario Car"/>
    <w:basedOn w:val="Fuentedeprrafopredeter"/>
    <w:link w:val="Textocomentario"/>
    <w:uiPriority w:val="99"/>
    <w:rsid w:val="00337C1C"/>
    <w:rPr>
      <w:sz w:val="20"/>
      <w:szCs w:val="20"/>
    </w:rPr>
  </w:style>
  <w:style w:type="paragraph" w:styleId="Asuntodelcomentario">
    <w:name w:val="annotation subject"/>
    <w:basedOn w:val="Textocomentario"/>
    <w:next w:val="Textocomentario"/>
    <w:link w:val="AsuntodelcomentarioCar"/>
    <w:uiPriority w:val="99"/>
    <w:semiHidden/>
    <w:unhideWhenUsed/>
    <w:rsid w:val="00337C1C"/>
    <w:rPr>
      <w:b/>
      <w:bCs/>
    </w:rPr>
  </w:style>
  <w:style w:type="character" w:customStyle="1" w:styleId="AsuntodelcomentarioCar">
    <w:name w:val="Asunto del comentario Car"/>
    <w:basedOn w:val="TextocomentarioCar"/>
    <w:link w:val="Asuntodelcomentario"/>
    <w:uiPriority w:val="99"/>
    <w:semiHidden/>
    <w:rsid w:val="00337C1C"/>
    <w:rPr>
      <w:b/>
      <w:bCs/>
      <w:sz w:val="20"/>
      <w:szCs w:val="20"/>
    </w:rPr>
  </w:style>
  <w:style w:type="character" w:styleId="Mencionar">
    <w:name w:val="Mention"/>
    <w:basedOn w:val="Fuentedeprrafopredeter"/>
    <w:uiPriority w:val="99"/>
    <w:unhideWhenUsed/>
    <w:rsid w:val="009056D5"/>
    <w:rPr>
      <w:color w:val="2B579A"/>
      <w:shd w:val="clear" w:color="auto" w:fill="E1DFDD"/>
    </w:rPr>
  </w:style>
  <w:style w:type="paragraph" w:styleId="Textonotapie">
    <w:name w:val="footnote text"/>
    <w:basedOn w:val="Normal"/>
    <w:link w:val="TextonotapieCar"/>
    <w:uiPriority w:val="99"/>
    <w:semiHidden/>
    <w:unhideWhenUsed/>
    <w:rsid w:val="00DA0579"/>
    <w:rPr>
      <w:sz w:val="20"/>
      <w:szCs w:val="20"/>
    </w:rPr>
  </w:style>
  <w:style w:type="character" w:customStyle="1" w:styleId="TextonotapieCar">
    <w:name w:val="Texto nota pie Car"/>
    <w:basedOn w:val="Fuentedeprrafopredeter"/>
    <w:link w:val="Textonotapie"/>
    <w:uiPriority w:val="99"/>
    <w:semiHidden/>
    <w:rsid w:val="00DA0579"/>
    <w:rPr>
      <w:sz w:val="20"/>
      <w:szCs w:val="20"/>
    </w:rPr>
  </w:style>
  <w:style w:type="character" w:styleId="Refdenotaalpie">
    <w:name w:val="footnote reference"/>
    <w:basedOn w:val="Fuentedeprrafopredeter"/>
    <w:uiPriority w:val="99"/>
    <w:semiHidden/>
    <w:unhideWhenUsed/>
    <w:rsid w:val="00DA05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7322">
      <w:bodyDiv w:val="1"/>
      <w:marLeft w:val="0"/>
      <w:marRight w:val="0"/>
      <w:marTop w:val="0"/>
      <w:marBottom w:val="0"/>
      <w:divBdr>
        <w:top w:val="none" w:sz="0" w:space="0" w:color="auto"/>
        <w:left w:val="none" w:sz="0" w:space="0" w:color="auto"/>
        <w:bottom w:val="none" w:sz="0" w:space="0" w:color="auto"/>
        <w:right w:val="none" w:sz="0" w:space="0" w:color="auto"/>
      </w:divBdr>
    </w:div>
    <w:div w:id="103817907">
      <w:bodyDiv w:val="1"/>
      <w:marLeft w:val="0"/>
      <w:marRight w:val="0"/>
      <w:marTop w:val="0"/>
      <w:marBottom w:val="0"/>
      <w:divBdr>
        <w:top w:val="none" w:sz="0" w:space="0" w:color="auto"/>
        <w:left w:val="none" w:sz="0" w:space="0" w:color="auto"/>
        <w:bottom w:val="none" w:sz="0" w:space="0" w:color="auto"/>
        <w:right w:val="none" w:sz="0" w:space="0" w:color="auto"/>
      </w:divBdr>
    </w:div>
    <w:div w:id="277949978">
      <w:bodyDiv w:val="1"/>
      <w:marLeft w:val="0"/>
      <w:marRight w:val="0"/>
      <w:marTop w:val="0"/>
      <w:marBottom w:val="0"/>
      <w:divBdr>
        <w:top w:val="none" w:sz="0" w:space="0" w:color="auto"/>
        <w:left w:val="none" w:sz="0" w:space="0" w:color="auto"/>
        <w:bottom w:val="none" w:sz="0" w:space="0" w:color="auto"/>
        <w:right w:val="none" w:sz="0" w:space="0" w:color="auto"/>
      </w:divBdr>
    </w:div>
    <w:div w:id="378670049">
      <w:bodyDiv w:val="1"/>
      <w:marLeft w:val="0"/>
      <w:marRight w:val="0"/>
      <w:marTop w:val="0"/>
      <w:marBottom w:val="0"/>
      <w:divBdr>
        <w:top w:val="none" w:sz="0" w:space="0" w:color="auto"/>
        <w:left w:val="none" w:sz="0" w:space="0" w:color="auto"/>
        <w:bottom w:val="none" w:sz="0" w:space="0" w:color="auto"/>
        <w:right w:val="none" w:sz="0" w:space="0" w:color="auto"/>
      </w:divBdr>
    </w:div>
    <w:div w:id="410320991">
      <w:bodyDiv w:val="1"/>
      <w:marLeft w:val="0"/>
      <w:marRight w:val="0"/>
      <w:marTop w:val="0"/>
      <w:marBottom w:val="0"/>
      <w:divBdr>
        <w:top w:val="none" w:sz="0" w:space="0" w:color="auto"/>
        <w:left w:val="none" w:sz="0" w:space="0" w:color="auto"/>
        <w:bottom w:val="none" w:sz="0" w:space="0" w:color="auto"/>
        <w:right w:val="none" w:sz="0" w:space="0" w:color="auto"/>
      </w:divBdr>
    </w:div>
    <w:div w:id="679701452">
      <w:bodyDiv w:val="1"/>
      <w:marLeft w:val="0"/>
      <w:marRight w:val="0"/>
      <w:marTop w:val="0"/>
      <w:marBottom w:val="0"/>
      <w:divBdr>
        <w:top w:val="none" w:sz="0" w:space="0" w:color="auto"/>
        <w:left w:val="none" w:sz="0" w:space="0" w:color="auto"/>
        <w:bottom w:val="none" w:sz="0" w:space="0" w:color="auto"/>
        <w:right w:val="none" w:sz="0" w:space="0" w:color="auto"/>
      </w:divBdr>
    </w:div>
    <w:div w:id="847407151">
      <w:bodyDiv w:val="1"/>
      <w:marLeft w:val="0"/>
      <w:marRight w:val="0"/>
      <w:marTop w:val="0"/>
      <w:marBottom w:val="0"/>
      <w:divBdr>
        <w:top w:val="none" w:sz="0" w:space="0" w:color="auto"/>
        <w:left w:val="none" w:sz="0" w:space="0" w:color="auto"/>
        <w:bottom w:val="none" w:sz="0" w:space="0" w:color="auto"/>
        <w:right w:val="none" w:sz="0" w:space="0" w:color="auto"/>
      </w:divBdr>
    </w:div>
    <w:div w:id="863709119">
      <w:bodyDiv w:val="1"/>
      <w:marLeft w:val="0"/>
      <w:marRight w:val="0"/>
      <w:marTop w:val="0"/>
      <w:marBottom w:val="0"/>
      <w:divBdr>
        <w:top w:val="none" w:sz="0" w:space="0" w:color="auto"/>
        <w:left w:val="none" w:sz="0" w:space="0" w:color="auto"/>
        <w:bottom w:val="none" w:sz="0" w:space="0" w:color="auto"/>
        <w:right w:val="none" w:sz="0" w:space="0" w:color="auto"/>
      </w:divBdr>
    </w:div>
    <w:div w:id="887958520">
      <w:bodyDiv w:val="1"/>
      <w:marLeft w:val="0"/>
      <w:marRight w:val="0"/>
      <w:marTop w:val="0"/>
      <w:marBottom w:val="0"/>
      <w:divBdr>
        <w:top w:val="none" w:sz="0" w:space="0" w:color="auto"/>
        <w:left w:val="none" w:sz="0" w:space="0" w:color="auto"/>
        <w:bottom w:val="none" w:sz="0" w:space="0" w:color="auto"/>
        <w:right w:val="none" w:sz="0" w:space="0" w:color="auto"/>
      </w:divBdr>
    </w:div>
    <w:div w:id="935482313">
      <w:bodyDiv w:val="1"/>
      <w:marLeft w:val="0"/>
      <w:marRight w:val="0"/>
      <w:marTop w:val="0"/>
      <w:marBottom w:val="0"/>
      <w:divBdr>
        <w:top w:val="none" w:sz="0" w:space="0" w:color="auto"/>
        <w:left w:val="none" w:sz="0" w:space="0" w:color="auto"/>
        <w:bottom w:val="none" w:sz="0" w:space="0" w:color="auto"/>
        <w:right w:val="none" w:sz="0" w:space="0" w:color="auto"/>
      </w:divBdr>
    </w:div>
    <w:div w:id="1002972274">
      <w:bodyDiv w:val="1"/>
      <w:marLeft w:val="0"/>
      <w:marRight w:val="0"/>
      <w:marTop w:val="0"/>
      <w:marBottom w:val="0"/>
      <w:divBdr>
        <w:top w:val="none" w:sz="0" w:space="0" w:color="auto"/>
        <w:left w:val="none" w:sz="0" w:space="0" w:color="auto"/>
        <w:bottom w:val="none" w:sz="0" w:space="0" w:color="auto"/>
        <w:right w:val="none" w:sz="0" w:space="0" w:color="auto"/>
      </w:divBdr>
    </w:div>
    <w:div w:id="1148860297">
      <w:bodyDiv w:val="1"/>
      <w:marLeft w:val="0"/>
      <w:marRight w:val="0"/>
      <w:marTop w:val="0"/>
      <w:marBottom w:val="0"/>
      <w:divBdr>
        <w:top w:val="none" w:sz="0" w:space="0" w:color="auto"/>
        <w:left w:val="none" w:sz="0" w:space="0" w:color="auto"/>
        <w:bottom w:val="none" w:sz="0" w:space="0" w:color="auto"/>
        <w:right w:val="none" w:sz="0" w:space="0" w:color="auto"/>
      </w:divBdr>
    </w:div>
    <w:div w:id="1229421438">
      <w:bodyDiv w:val="1"/>
      <w:marLeft w:val="0"/>
      <w:marRight w:val="0"/>
      <w:marTop w:val="0"/>
      <w:marBottom w:val="0"/>
      <w:divBdr>
        <w:top w:val="none" w:sz="0" w:space="0" w:color="auto"/>
        <w:left w:val="none" w:sz="0" w:space="0" w:color="auto"/>
        <w:bottom w:val="none" w:sz="0" w:space="0" w:color="auto"/>
        <w:right w:val="none" w:sz="0" w:space="0" w:color="auto"/>
      </w:divBdr>
    </w:div>
    <w:div w:id="1240099879">
      <w:bodyDiv w:val="1"/>
      <w:marLeft w:val="0"/>
      <w:marRight w:val="0"/>
      <w:marTop w:val="0"/>
      <w:marBottom w:val="0"/>
      <w:divBdr>
        <w:top w:val="none" w:sz="0" w:space="0" w:color="auto"/>
        <w:left w:val="none" w:sz="0" w:space="0" w:color="auto"/>
        <w:bottom w:val="none" w:sz="0" w:space="0" w:color="auto"/>
        <w:right w:val="none" w:sz="0" w:space="0" w:color="auto"/>
      </w:divBdr>
    </w:div>
    <w:div w:id="1364868216">
      <w:bodyDiv w:val="1"/>
      <w:marLeft w:val="0"/>
      <w:marRight w:val="0"/>
      <w:marTop w:val="0"/>
      <w:marBottom w:val="0"/>
      <w:divBdr>
        <w:top w:val="none" w:sz="0" w:space="0" w:color="auto"/>
        <w:left w:val="none" w:sz="0" w:space="0" w:color="auto"/>
        <w:bottom w:val="none" w:sz="0" w:space="0" w:color="auto"/>
        <w:right w:val="none" w:sz="0" w:space="0" w:color="auto"/>
      </w:divBdr>
    </w:div>
    <w:div w:id="1734739534">
      <w:bodyDiv w:val="1"/>
      <w:marLeft w:val="0"/>
      <w:marRight w:val="0"/>
      <w:marTop w:val="0"/>
      <w:marBottom w:val="0"/>
      <w:divBdr>
        <w:top w:val="none" w:sz="0" w:space="0" w:color="auto"/>
        <w:left w:val="none" w:sz="0" w:space="0" w:color="auto"/>
        <w:bottom w:val="none" w:sz="0" w:space="0" w:color="auto"/>
        <w:right w:val="none" w:sz="0" w:space="0" w:color="auto"/>
      </w:divBdr>
    </w:div>
    <w:div w:id="1791434044">
      <w:bodyDiv w:val="1"/>
      <w:marLeft w:val="0"/>
      <w:marRight w:val="0"/>
      <w:marTop w:val="0"/>
      <w:marBottom w:val="0"/>
      <w:divBdr>
        <w:top w:val="none" w:sz="0" w:space="0" w:color="auto"/>
        <w:left w:val="none" w:sz="0" w:space="0" w:color="auto"/>
        <w:bottom w:val="none" w:sz="0" w:space="0" w:color="auto"/>
        <w:right w:val="none" w:sz="0" w:space="0" w:color="auto"/>
      </w:divBdr>
    </w:div>
    <w:div w:id="1812015368">
      <w:bodyDiv w:val="1"/>
      <w:marLeft w:val="0"/>
      <w:marRight w:val="0"/>
      <w:marTop w:val="0"/>
      <w:marBottom w:val="0"/>
      <w:divBdr>
        <w:top w:val="none" w:sz="0" w:space="0" w:color="auto"/>
        <w:left w:val="none" w:sz="0" w:space="0" w:color="auto"/>
        <w:bottom w:val="none" w:sz="0" w:space="0" w:color="auto"/>
        <w:right w:val="none" w:sz="0" w:space="0" w:color="auto"/>
      </w:divBdr>
    </w:div>
    <w:div w:id="1851750791">
      <w:bodyDiv w:val="1"/>
      <w:marLeft w:val="0"/>
      <w:marRight w:val="0"/>
      <w:marTop w:val="0"/>
      <w:marBottom w:val="0"/>
      <w:divBdr>
        <w:top w:val="none" w:sz="0" w:space="0" w:color="auto"/>
        <w:left w:val="none" w:sz="0" w:space="0" w:color="auto"/>
        <w:bottom w:val="none" w:sz="0" w:space="0" w:color="auto"/>
        <w:right w:val="none" w:sz="0" w:space="0" w:color="auto"/>
      </w:divBdr>
    </w:div>
    <w:div w:id="1982734835">
      <w:bodyDiv w:val="1"/>
      <w:marLeft w:val="0"/>
      <w:marRight w:val="0"/>
      <w:marTop w:val="0"/>
      <w:marBottom w:val="0"/>
      <w:divBdr>
        <w:top w:val="none" w:sz="0" w:space="0" w:color="auto"/>
        <w:left w:val="none" w:sz="0" w:space="0" w:color="auto"/>
        <w:bottom w:val="none" w:sz="0" w:space="0" w:color="auto"/>
        <w:right w:val="none" w:sz="0" w:space="0" w:color="auto"/>
      </w:divBdr>
    </w:div>
    <w:div w:id="208051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2024-09-12T13:34:59+00:00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D57EBC-D026-4DBF-8A05-EB628E4BFE70}">
  <ds:schemaRefs>
    <ds:schemaRef ds:uri="http://schemas.openxmlformats.org/officeDocument/2006/bibliography"/>
  </ds:schemaRefs>
</ds:datastoreItem>
</file>

<file path=customXml/itemProps2.xml><?xml version="1.0" encoding="utf-8"?>
<ds:datastoreItem xmlns:ds="http://schemas.openxmlformats.org/officeDocument/2006/customXml" ds:itemID="{BCBBBA53-2EE1-44D0-B930-BDB0994DC789}">
  <ds:schemaRefs>
    <ds:schemaRef ds:uri="http://schemas.microsoft.com/office/2006/metadata/properties"/>
    <ds:schemaRef ds:uri="http://schemas.microsoft.com/office/infopath/2007/PartnerControls"/>
    <ds:schemaRef ds:uri="ce1c9de6-1100-4137-ad37-9dcf06faf619"/>
    <ds:schemaRef ds:uri="7e51379e-bdb5-4bd0-a5b1-b77864abb5ba"/>
  </ds:schemaRefs>
</ds:datastoreItem>
</file>

<file path=customXml/itemProps3.xml><?xml version="1.0" encoding="utf-8"?>
<ds:datastoreItem xmlns:ds="http://schemas.openxmlformats.org/officeDocument/2006/customXml" ds:itemID="{4EF80079-C5ED-45C7-8D02-2AEB1831C6A3}"/>
</file>

<file path=customXml/itemProps4.xml><?xml version="1.0" encoding="utf-8"?>
<ds:datastoreItem xmlns:ds="http://schemas.openxmlformats.org/officeDocument/2006/customXml" ds:itemID="{820A5829-F96A-42A4-B04D-2D19FCCBC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4479</Words>
  <Characters>24638</Characters>
  <Application>Microsoft Office Word</Application>
  <DocSecurity>0</DocSecurity>
  <Lines>205</Lines>
  <Paragraphs>58</Paragraphs>
  <ScaleCrop>false</ScaleCrop>
  <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Droppelmann Roepke</dc:creator>
  <cp:keywords/>
  <dc:description/>
  <cp:lastModifiedBy>Catalina Ignacia Rufs Orellana</cp:lastModifiedBy>
  <cp:revision>280</cp:revision>
  <dcterms:created xsi:type="dcterms:W3CDTF">2024-08-26T20:57:00Z</dcterms:created>
  <dcterms:modified xsi:type="dcterms:W3CDTF">2024-09-09T18:09:00Z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0x0101001B210499B5E22C419FBE28C84918FB2E</vt:lpwstr>
  </property>
  <property fmtid="{D5CDD505-2E9C-101B-9397-08002B2CF9AE}" pid="3" name="MediaServiceImageTags">
    <vt:lpwstr/>
  </property>
</Properties>
</file>