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2F4FD" w14:textId="2931BD73" w:rsidR="00E64A51" w:rsidRPr="00184470" w:rsidRDefault="002727D5" w:rsidP="002727D5">
      <w:pPr>
        <w:jc w:val="center"/>
        <w:rPr>
          <w:u w:val="single"/>
        </w:rPr>
      </w:pPr>
      <w:r w:rsidRPr="00184470">
        <w:rPr>
          <w:u w:val="single"/>
        </w:rPr>
        <w:t>Informe complementario del Instituto Nacional de Derechos Humanos</w:t>
      </w:r>
    </w:p>
    <w:p w14:paraId="2C1103A7" w14:textId="44A0EE39" w:rsidR="002727D5" w:rsidRPr="00184470" w:rsidRDefault="002727D5" w:rsidP="002727D5">
      <w:pPr>
        <w:jc w:val="center"/>
        <w:rPr>
          <w:u w:val="single"/>
        </w:rPr>
      </w:pPr>
      <w:r w:rsidRPr="00184470">
        <w:rPr>
          <w:u w:val="single"/>
        </w:rPr>
        <w:t>Al octavo informe periódico del Estado de Chile sobre la implementación de la Convención sobre la Eliminación de todas las formas de Discriminación contra la Mujer al Comité CEDAW.</w:t>
      </w:r>
    </w:p>
    <w:p w14:paraId="5F1EED1E" w14:textId="407B8A17" w:rsidR="002727D5" w:rsidRPr="00184470" w:rsidRDefault="002727D5"/>
    <w:p w14:paraId="5E6D674D" w14:textId="77777777" w:rsidR="002727D5" w:rsidRPr="00184470" w:rsidRDefault="002727D5"/>
    <w:p w14:paraId="5E46EFBD" w14:textId="4F2544AF" w:rsidR="00196085" w:rsidRPr="00184470" w:rsidRDefault="00196085" w:rsidP="00196085"/>
    <w:p w14:paraId="63C8CC35" w14:textId="7D6610F9" w:rsidR="00196085" w:rsidRPr="00184470" w:rsidRDefault="00196085" w:rsidP="00196085">
      <w:pPr>
        <w:pStyle w:val="Prrafodelista"/>
        <w:numPr>
          <w:ilvl w:val="0"/>
          <w:numId w:val="2"/>
        </w:numPr>
        <w:rPr>
          <w:b/>
          <w:bCs/>
        </w:rPr>
      </w:pPr>
      <w:r w:rsidRPr="00184470">
        <w:rPr>
          <w:b/>
          <w:bCs/>
        </w:rPr>
        <w:t xml:space="preserve">Generalidades: </w:t>
      </w:r>
    </w:p>
    <w:p w14:paraId="583353B8" w14:textId="6A11C8AF" w:rsidR="00196085" w:rsidRPr="00184470" w:rsidRDefault="00196085" w:rsidP="00196085"/>
    <w:p w14:paraId="474CC78D" w14:textId="33E7AA81" w:rsidR="00196085" w:rsidRPr="00184470" w:rsidRDefault="00196085" w:rsidP="00196085">
      <w:pPr>
        <w:pStyle w:val="Prrafodelista"/>
        <w:numPr>
          <w:ilvl w:val="0"/>
          <w:numId w:val="3"/>
        </w:numPr>
        <w:jc w:val="both"/>
      </w:pPr>
      <w:r w:rsidRPr="00184470">
        <w:t>En sus Informes Anuales de 2018 y 2021, el INDH señaló las dificultades estadísticas para reconocer la violencia que afecta a mujeres en distintos contextos ya que el Estado, en especial el Servicio Nacional de la Mujer y la Equidad de Género (</w:t>
      </w:r>
      <w:proofErr w:type="spellStart"/>
      <w:r w:rsidRPr="00184470">
        <w:t>SernamEG</w:t>
      </w:r>
      <w:proofErr w:type="spellEnd"/>
      <w:r w:rsidRPr="00184470">
        <w:t>), no desagrega la información en variables de caracterización</w:t>
      </w:r>
      <w:r w:rsidR="003A423C" w:rsidRPr="00184470">
        <w:t>.</w:t>
      </w:r>
      <w:r w:rsidRPr="00184470">
        <w:t xml:space="preserve"> Consecuentemente, el tratamiento de la violencia hacia las mujeres se aborda de manera uniforme, </w:t>
      </w:r>
      <w:r w:rsidR="003A423C" w:rsidRPr="00184470">
        <w:t xml:space="preserve">lo </w:t>
      </w:r>
      <w:r w:rsidRPr="00184470">
        <w:t>que homogeniza la situación de discriminación y violencia que sufren, impidiendo diseñar políticas públicas capaces de responder a las distintas necesidades que enfrentan. El INDH ha recomendado en dos oportunidades (2018 y 2021) a todos los órganos estatales responsables de la producción de información estadística sobre violencia contra la mujer, especialmente el Ministerio de la Mujer y la Equidad de Género, el Ministerio de Economía, el Ministerio de Desarrollo Social y Familia, el Ministerio del Interior y Seguridad Pública, y al INE, implementar la desagregación de los datos; específicamente por pertenencia de la mujer a comunidades indígenas, condición de ruralidad, edad, situación de discapacidad, diversidad sexual y mujeres migrantes.</w:t>
      </w:r>
    </w:p>
    <w:p w14:paraId="48F7C186" w14:textId="77777777" w:rsidR="005B65FA" w:rsidRPr="00184470" w:rsidRDefault="005B65FA" w:rsidP="000F12D5">
      <w:pPr>
        <w:jc w:val="both"/>
      </w:pPr>
    </w:p>
    <w:p w14:paraId="1ED07296" w14:textId="77777777" w:rsidR="00BC524B" w:rsidRPr="00184470" w:rsidRDefault="00BC524B" w:rsidP="00BC524B"/>
    <w:p w14:paraId="40DEC6AD" w14:textId="67684E62" w:rsidR="00BC524B" w:rsidRPr="00184470" w:rsidRDefault="005B65FA" w:rsidP="00196085">
      <w:pPr>
        <w:pStyle w:val="Prrafodelista"/>
        <w:numPr>
          <w:ilvl w:val="0"/>
          <w:numId w:val="2"/>
        </w:numPr>
        <w:rPr>
          <w:b/>
          <w:bCs/>
        </w:rPr>
      </w:pPr>
      <w:r w:rsidRPr="00184470">
        <w:rPr>
          <w:b/>
          <w:bCs/>
          <w:lang w:val="es-ES_tradnl"/>
        </w:rPr>
        <w:t>Marco constitucional y legislativo</w:t>
      </w:r>
    </w:p>
    <w:p w14:paraId="2793EE94" w14:textId="6A1266F5" w:rsidR="005B65FA" w:rsidRPr="00184470" w:rsidRDefault="005B65FA" w:rsidP="005B65FA"/>
    <w:p w14:paraId="65CD6DF4" w14:textId="77777777" w:rsidR="005B65FA" w:rsidRPr="00184470" w:rsidRDefault="005B65FA" w:rsidP="005B65FA">
      <w:pPr>
        <w:pStyle w:val="Prrafodelista"/>
        <w:numPr>
          <w:ilvl w:val="0"/>
          <w:numId w:val="3"/>
        </w:numPr>
        <w:jc w:val="both"/>
      </w:pPr>
      <w:r w:rsidRPr="00184470">
        <w:t xml:space="preserve">En los últimos años Chile ha aprobado varias normas que tienen por finalidad establecer el principio de igualdad formal y sustantiva entre mujeres y hombres. Destaca: </w:t>
      </w:r>
    </w:p>
    <w:p w14:paraId="77C7B56B" w14:textId="49C89182" w:rsidR="005B65FA" w:rsidRPr="00184470" w:rsidRDefault="005B65FA" w:rsidP="003A423C">
      <w:pPr>
        <w:pStyle w:val="Prrafodelista"/>
        <w:numPr>
          <w:ilvl w:val="0"/>
          <w:numId w:val="4"/>
        </w:numPr>
        <w:jc w:val="both"/>
      </w:pPr>
      <w:r w:rsidRPr="00184470">
        <w:t xml:space="preserve">Ley 21.356, que establece la representación de género en los directorios de las Empresas Públicas y Sociedades del Estado que indica. </w:t>
      </w:r>
    </w:p>
    <w:p w14:paraId="10607B4C" w14:textId="59AD4FE7" w:rsidR="005B65FA" w:rsidRPr="00184470" w:rsidRDefault="005B65FA" w:rsidP="003A423C">
      <w:pPr>
        <w:pStyle w:val="Prrafodelista"/>
        <w:numPr>
          <w:ilvl w:val="0"/>
          <w:numId w:val="4"/>
        </w:numPr>
        <w:jc w:val="both"/>
      </w:pPr>
      <w:r w:rsidRPr="00184470">
        <w:t xml:space="preserve">Ley 21.129, que modifica diversos cuerpos legales, a fin de establecer fuero maternal a las funcionarias de las Fuerzas Armadas, de Orden y Seguridad Pública, en las condiciones que indica. </w:t>
      </w:r>
    </w:p>
    <w:p w14:paraId="586B5350" w14:textId="7087CE00" w:rsidR="005B65FA" w:rsidRPr="00184470" w:rsidRDefault="005B65FA" w:rsidP="003A423C">
      <w:pPr>
        <w:pStyle w:val="Prrafodelista"/>
        <w:numPr>
          <w:ilvl w:val="0"/>
          <w:numId w:val="4"/>
        </w:numPr>
        <w:jc w:val="both"/>
      </w:pPr>
      <w:r w:rsidRPr="00184470">
        <w:t>Ley 21.155, que establece medidas de protección a la lactancia materna y su ejercicio.</w:t>
      </w:r>
    </w:p>
    <w:p w14:paraId="225AEBA1" w14:textId="77777777" w:rsidR="00D434A0" w:rsidRPr="00184470" w:rsidRDefault="005B65FA" w:rsidP="003A423C">
      <w:pPr>
        <w:pStyle w:val="Prrafodelista"/>
        <w:numPr>
          <w:ilvl w:val="0"/>
          <w:numId w:val="4"/>
        </w:numPr>
        <w:jc w:val="both"/>
      </w:pPr>
      <w:r w:rsidRPr="00184470">
        <w:t xml:space="preserve">Ley 21.212, que modifica el Código Penal, el Código Procesal Penal y la ley </w:t>
      </w:r>
      <w:proofErr w:type="spellStart"/>
      <w:r w:rsidRPr="00184470">
        <w:t>N°</w:t>
      </w:r>
      <w:proofErr w:type="spellEnd"/>
      <w:r w:rsidRPr="00184470">
        <w:t xml:space="preserve"> 18.216 en materia de tipificación del femicidio.</w:t>
      </w:r>
    </w:p>
    <w:p w14:paraId="1FAF07EA" w14:textId="18B6AF7F" w:rsidR="005B65FA" w:rsidRPr="00184470" w:rsidRDefault="00D434A0" w:rsidP="003A423C">
      <w:pPr>
        <w:pStyle w:val="Prrafodelista"/>
        <w:numPr>
          <w:ilvl w:val="0"/>
          <w:numId w:val="4"/>
        </w:numPr>
        <w:jc w:val="both"/>
      </w:pPr>
      <w:r w:rsidRPr="00184470">
        <w:t>Ley 21.400, que establece el matrimonio igualitario.</w:t>
      </w:r>
    </w:p>
    <w:p w14:paraId="5135D9DD" w14:textId="7569206A" w:rsidR="005B65FA" w:rsidRPr="00184470" w:rsidRDefault="005B65FA" w:rsidP="003A423C">
      <w:pPr>
        <w:pStyle w:val="Prrafodelista"/>
        <w:numPr>
          <w:ilvl w:val="0"/>
          <w:numId w:val="4"/>
        </w:numPr>
        <w:jc w:val="both"/>
      </w:pPr>
      <w:r w:rsidRPr="00184470">
        <w:t xml:space="preserve">Ley 21.515, que modifica diversos cuerpos legales para establecer la mayoría de edad como requisito esencial para la celebración del matrimonio. </w:t>
      </w:r>
    </w:p>
    <w:p w14:paraId="521BCDF6" w14:textId="1F78B122" w:rsidR="005B65FA" w:rsidRPr="00184470" w:rsidRDefault="005B65FA" w:rsidP="003A423C">
      <w:pPr>
        <w:pStyle w:val="Prrafodelista"/>
        <w:numPr>
          <w:ilvl w:val="0"/>
          <w:numId w:val="4"/>
        </w:numPr>
        <w:jc w:val="both"/>
      </w:pPr>
      <w:r w:rsidRPr="00184470">
        <w:t xml:space="preserve">Ley 21.565, que establece un régimen de protección, y reparación integral en favor de las víctimas de femicidio y sus familias. </w:t>
      </w:r>
    </w:p>
    <w:p w14:paraId="4FD42798" w14:textId="38D0100F" w:rsidR="00EF6E59" w:rsidRPr="00184470" w:rsidRDefault="00EF6E59" w:rsidP="003A423C">
      <w:pPr>
        <w:pStyle w:val="Prrafodelista"/>
        <w:numPr>
          <w:ilvl w:val="0"/>
          <w:numId w:val="4"/>
        </w:numPr>
        <w:jc w:val="both"/>
      </w:pPr>
      <w:r w:rsidRPr="00184470">
        <w:lastRenderedPageBreak/>
        <w:t>Ley 21.643, que modifica el Código del Trabajo en materia de prevención, investigación y sanción del acoso laboral, sexual y violencia en el trabajo.</w:t>
      </w:r>
    </w:p>
    <w:p w14:paraId="4DA0BCC1" w14:textId="5FB1D70A" w:rsidR="005B65FA" w:rsidRPr="00184470" w:rsidRDefault="005B65FA" w:rsidP="003A423C">
      <w:pPr>
        <w:pStyle w:val="Prrafodelista"/>
        <w:numPr>
          <w:ilvl w:val="0"/>
          <w:numId w:val="4"/>
        </w:numPr>
        <w:jc w:val="both"/>
      </w:pPr>
      <w:r w:rsidRPr="00184470">
        <w:t xml:space="preserve">Ley 21.675, que estatuye medidas para prevenir, sancionar y erradicar la violencia en contra de las mujeres, en razón de su género. </w:t>
      </w:r>
    </w:p>
    <w:p w14:paraId="5F04A50F" w14:textId="168099D8" w:rsidR="005B65FA" w:rsidRPr="00184470" w:rsidRDefault="005B65FA" w:rsidP="005B65FA">
      <w:pPr>
        <w:pStyle w:val="Prrafodelista"/>
        <w:numPr>
          <w:ilvl w:val="0"/>
          <w:numId w:val="3"/>
        </w:numPr>
        <w:jc w:val="both"/>
      </w:pPr>
      <w:r w:rsidRPr="00184470">
        <w:t xml:space="preserve">Actualmente se encuentra en tercer trámite constitucional el proyecto de ley que tiene por objeto la modificación de la ley 20.609, que establece medidas contra la discriminación (Boletín 12748-17). Entre las propuestas planteadas se encuentra </w:t>
      </w:r>
      <w:r w:rsidR="003A423C" w:rsidRPr="00184470">
        <w:t>la definición</w:t>
      </w:r>
      <w:r w:rsidRPr="00184470">
        <w:t xml:space="preserve"> jurídica</w:t>
      </w:r>
      <w:r w:rsidR="003A423C" w:rsidRPr="00184470">
        <w:t xml:space="preserve"> de</w:t>
      </w:r>
      <w:r w:rsidRPr="00184470">
        <w:t xml:space="preserve"> todas las formas de discriminación.</w:t>
      </w:r>
    </w:p>
    <w:p w14:paraId="5E9AABE3" w14:textId="1619DAA9" w:rsidR="00D434A0" w:rsidRPr="00184470" w:rsidRDefault="00D434A0" w:rsidP="00D434A0">
      <w:pPr>
        <w:pStyle w:val="Prrafodelista"/>
        <w:numPr>
          <w:ilvl w:val="0"/>
          <w:numId w:val="3"/>
        </w:numPr>
        <w:jc w:val="both"/>
      </w:pPr>
      <w:r w:rsidRPr="00184470">
        <w:t>El proyecto de ley que reforma la sociedad conyugal fue presentado en abril de 2011 como iniciativa del Poder Ejecutivo, y actualmente se encuentra en segundo trámite constitucional en el Senado desde marzo de 2013. Si bien cuenta con urgencias por parte del gobierno, el proyecto no ha logrado avances significativos en su tramitación desde marzo de 2013, fecha en que pasó a su segundo trámite constitucional.</w:t>
      </w:r>
    </w:p>
    <w:p w14:paraId="02BCBF17" w14:textId="0EE89CFB" w:rsidR="005B65FA" w:rsidRPr="00184470" w:rsidRDefault="005B65FA" w:rsidP="005B65FA"/>
    <w:p w14:paraId="473B21ED" w14:textId="77777777" w:rsidR="00494A36" w:rsidRPr="00184470" w:rsidRDefault="00494A36" w:rsidP="00494A36">
      <w:pPr>
        <w:rPr>
          <w:b/>
          <w:bCs/>
          <w:lang w:val="es-ES_tradnl"/>
        </w:rPr>
      </w:pPr>
    </w:p>
    <w:p w14:paraId="6FFAE581" w14:textId="285B737A" w:rsidR="005B65FA" w:rsidRPr="00184470" w:rsidRDefault="0045207D" w:rsidP="00196085">
      <w:pPr>
        <w:pStyle w:val="Prrafodelista"/>
        <w:numPr>
          <w:ilvl w:val="0"/>
          <w:numId w:val="2"/>
        </w:numPr>
        <w:rPr>
          <w:b/>
          <w:bCs/>
        </w:rPr>
      </w:pPr>
      <w:r w:rsidRPr="00184470">
        <w:rPr>
          <w:b/>
          <w:bCs/>
          <w:lang w:val="es-ES_tradnl"/>
        </w:rPr>
        <w:t>Medidas especiales de carácter temporal</w:t>
      </w:r>
      <w:r w:rsidR="00F93E89" w:rsidRPr="00184470">
        <w:rPr>
          <w:b/>
          <w:bCs/>
          <w:lang w:val="es-ES_tradnl"/>
        </w:rPr>
        <w:t>:</w:t>
      </w:r>
    </w:p>
    <w:p w14:paraId="1B15AD13" w14:textId="03BEAE01" w:rsidR="0045207D" w:rsidRPr="00184470" w:rsidRDefault="0045207D" w:rsidP="0045207D"/>
    <w:p w14:paraId="0EDE1DF9" w14:textId="06F55B2C" w:rsidR="0045207D" w:rsidRPr="00184470" w:rsidRDefault="004E7033" w:rsidP="0045207D">
      <w:pPr>
        <w:pStyle w:val="Prrafodelista"/>
        <w:numPr>
          <w:ilvl w:val="0"/>
          <w:numId w:val="3"/>
        </w:numPr>
        <w:jc w:val="both"/>
      </w:pPr>
      <w:r w:rsidRPr="00184470">
        <w:t xml:space="preserve">Sigue vigente la ley Nº20.840 que estableció una medida especial de carácter temporal hasta las elecciones parlamentarias del 2029, en que en las listas de candidaturas al Congreso no podrá haber ningún sexo representado por sobre el 60%. </w:t>
      </w:r>
      <w:r w:rsidR="004A2521" w:rsidRPr="00184470">
        <w:t xml:space="preserve">Esta norma no incluye otros cuerpos colegiados. </w:t>
      </w:r>
      <w:r w:rsidR="0045207D" w:rsidRPr="00184470">
        <w:t xml:space="preserve">En la última elección parlamentaria </w:t>
      </w:r>
      <w:r w:rsidRPr="00184470">
        <w:t xml:space="preserve">del país, del año 2021, </w:t>
      </w:r>
      <w:r w:rsidR="0045207D" w:rsidRPr="00184470">
        <w:t xml:space="preserve">se eligió el máximo histórico de mujeres como diputadas de la República, alcanzando 55 escaños, lo que representa un 35% del hemiciclo. En el Senado actualmente hay 13 senadoras de un total de 50, lo que representa un 24% del hemiciclo. A nivel local, </w:t>
      </w:r>
      <w:r w:rsidRPr="00184470">
        <w:t xml:space="preserve">donde no existen medidas de carácter temporal, </w:t>
      </w:r>
      <w:r w:rsidR="0045207D" w:rsidRPr="00184470">
        <w:t xml:space="preserve">solo el 17% de las alcaldías son ocupadas por mujeres y en concejales alcanza el 33%. </w:t>
      </w:r>
    </w:p>
    <w:p w14:paraId="45260ABE" w14:textId="4FA61738" w:rsidR="0045207D" w:rsidRPr="00184470" w:rsidRDefault="004E7033" w:rsidP="0045207D">
      <w:pPr>
        <w:pStyle w:val="Prrafodelista"/>
        <w:numPr>
          <w:ilvl w:val="0"/>
          <w:numId w:val="3"/>
        </w:numPr>
        <w:jc w:val="both"/>
      </w:pPr>
      <w:r w:rsidRPr="00184470">
        <w:t>Sin perjuicio de lo anterior, e</w:t>
      </w:r>
      <w:r w:rsidR="0045207D" w:rsidRPr="00184470">
        <w:t>n los procesos constituyentes de 2022 y 2023, los órganos electos para la redacción de las propuestas constitucionales fueron paritari</w:t>
      </w:r>
      <w:r w:rsidRPr="00184470">
        <w:t>o</w:t>
      </w:r>
      <w:r w:rsidR="0045207D" w:rsidRPr="00184470">
        <w:t>s, es decir, compuest</w:t>
      </w:r>
      <w:r w:rsidRPr="00184470">
        <w:t>o</w:t>
      </w:r>
      <w:r w:rsidR="0045207D" w:rsidRPr="00184470">
        <w:t>s por la misma cantidad de hombres y de mujeres. Sin embargo, esta definición de paridad alcanzó solo ambos procesos</w:t>
      </w:r>
      <w:r w:rsidR="003A423C" w:rsidRPr="00184470">
        <w:t>.</w:t>
      </w:r>
    </w:p>
    <w:p w14:paraId="741D971D" w14:textId="7F7E76D9" w:rsidR="0045207D" w:rsidRPr="00184470" w:rsidRDefault="0045207D" w:rsidP="0045207D"/>
    <w:p w14:paraId="31A2546D" w14:textId="77777777" w:rsidR="004E7033" w:rsidRPr="00184470" w:rsidRDefault="004E7033" w:rsidP="0045207D"/>
    <w:p w14:paraId="3B8D9B29" w14:textId="38D6ED54" w:rsidR="004E7033" w:rsidRPr="00184470" w:rsidRDefault="004E7033" w:rsidP="004E7033">
      <w:pPr>
        <w:pStyle w:val="Prrafodelista"/>
        <w:numPr>
          <w:ilvl w:val="0"/>
          <w:numId w:val="2"/>
        </w:numPr>
        <w:rPr>
          <w:b/>
          <w:bCs/>
          <w:lang w:val="es-ES_tradnl"/>
        </w:rPr>
      </w:pPr>
      <w:r w:rsidRPr="00184470">
        <w:rPr>
          <w:b/>
          <w:bCs/>
          <w:lang w:val="es-ES_tradnl"/>
        </w:rPr>
        <w:t>Violencia de género contra la mujer</w:t>
      </w:r>
      <w:r w:rsidR="00F93E89" w:rsidRPr="00184470">
        <w:rPr>
          <w:b/>
          <w:bCs/>
          <w:lang w:val="es-ES_tradnl"/>
        </w:rPr>
        <w:t>:</w:t>
      </w:r>
    </w:p>
    <w:p w14:paraId="036D4FBE" w14:textId="1398CE0B" w:rsidR="004E7033" w:rsidRPr="00184470" w:rsidRDefault="004E7033" w:rsidP="004E7033">
      <w:pPr>
        <w:rPr>
          <w:lang w:val="es-ES_tradnl"/>
        </w:rPr>
      </w:pPr>
    </w:p>
    <w:p w14:paraId="6825414D" w14:textId="066A4A4A" w:rsidR="004E7033" w:rsidRPr="00184470" w:rsidRDefault="004E7033" w:rsidP="004E7033">
      <w:pPr>
        <w:pStyle w:val="Prrafodelista"/>
        <w:numPr>
          <w:ilvl w:val="0"/>
          <w:numId w:val="3"/>
        </w:numPr>
        <w:jc w:val="both"/>
        <w:rPr>
          <w:lang w:val="es-ES_tradnl"/>
        </w:rPr>
      </w:pPr>
      <w:r w:rsidRPr="00184470">
        <w:t>El 14 de junio de 2024 se publicó la ley N°21.675 que estatuye medidas para prevenir, sancionar y erradicar la violencia en contra de las mujeres en razón de su género. La ley tiene por objeto prevenir, sancionar y erradicar la violencia contra toda mujer. Para lograr lo anterior, la norma establece medidas de prevención, protección, atención, reparación y de acceso a la justicia para las mujeres víctimas de violencia en razón de su género, y considera especialmente las situaciones de vulnerabilidad o discriminaciones múltiples en que puedan hallarse. Esta norma institucionaliza un sistema de protección para niñas y mujeres contra la violencia de género y fortalece los mandatos sectoriales para la prevención y la erradicación de violencia contra mujeres y niñas</w:t>
      </w:r>
      <w:r w:rsidR="003A423C" w:rsidRPr="00184470">
        <w:t xml:space="preserve">. </w:t>
      </w:r>
      <w:r w:rsidRPr="00184470">
        <w:t xml:space="preserve">Además, reconoce y define las distintas formas en que se manifiesta la violencia de </w:t>
      </w:r>
      <w:r w:rsidRPr="00184470">
        <w:lastRenderedPageBreak/>
        <w:t>género, con el objeto de que desplegar políticas, planes y programas que prevengan y sancionen, cuando corresponda, su comisión. Finalmente propone la creación de un sistema integrado de información para el seguimiento de las medidas decretadas en favor de las víctimas, junto con la creación de una comisión interinstitucional para la coordinación de las medidas estatales que se establezcan para la prevención, sanción y erradicación de la violencia de género contra mujeres y niñas.</w:t>
      </w:r>
    </w:p>
    <w:p w14:paraId="55866081" w14:textId="03BE88D4" w:rsidR="00A41D61" w:rsidRPr="00184470" w:rsidRDefault="00A41D61" w:rsidP="004E7033">
      <w:pPr>
        <w:pStyle w:val="Prrafodelista"/>
        <w:numPr>
          <w:ilvl w:val="0"/>
          <w:numId w:val="3"/>
        </w:numPr>
        <w:jc w:val="both"/>
        <w:rPr>
          <w:lang w:val="es-ES_tradnl"/>
        </w:rPr>
      </w:pPr>
      <w:r w:rsidRPr="00184470">
        <w:t>El INDH mantiene su preocupación por las mujeres migrantes, especialmente aquellas que se encuentran en situación de irregularidad, quienes son particularmente vulnerables a la discriminación y la violencia ya que la mayoría de ellas carece de redes de apoyo y teme denunciar agresiones, dada su condición y el consecuente temor a ser deportadas a sus países de origen. Por otro lado, el aislamiento geográfico que viven las mujeres rurales e indígenas rurales hace que la violencia que experimentan por parte de sus parejas sea difícilmente denunciada. El INDH ha recomendado al Ministerio de la Mujer y la Equidad de Género y a la Subsecretaría de Prevención del Delito que su Encuesta Nacional de Victimización por Violencia Intrafamiliar y Delitos Sexuales (ENVIF), considere en la muestra a mujeres de zonas rurales y que en sus análisis se desagregue por etnia y mujeres urbanas y rurales; lo cual debería hacerse extensivo también a mujeres con discapacidad</w:t>
      </w:r>
      <w:r w:rsidR="003A423C" w:rsidRPr="00184470">
        <w:t>, migrantes, con discapacidad,</w:t>
      </w:r>
      <w:r w:rsidRPr="00184470">
        <w:t xml:space="preserve"> y lesbianas, bisexuales, trans e intersex. </w:t>
      </w:r>
    </w:p>
    <w:p w14:paraId="43E36240" w14:textId="590C8C06" w:rsidR="00811B93" w:rsidRPr="00184470" w:rsidRDefault="00811B93" w:rsidP="004E7033">
      <w:pPr>
        <w:pStyle w:val="Prrafodelista"/>
        <w:numPr>
          <w:ilvl w:val="0"/>
          <w:numId w:val="3"/>
        </w:numPr>
        <w:jc w:val="both"/>
        <w:rPr>
          <w:lang w:val="es-ES_tradnl"/>
        </w:rPr>
      </w:pPr>
      <w:r w:rsidRPr="00184470">
        <w:t xml:space="preserve">En el Informe Anual 2021, el INDH relevó que el Programa de Prevención Integral de Violencias contra las Mujeres (iniciado el año 2015), al 2019 contaba con un presupuesto de 1.148.419 mil millones de pesos, representando aproximadamente el 2,38% del presupuesto de la cartera ministerial. </w:t>
      </w:r>
      <w:r w:rsidR="003A423C" w:rsidRPr="00184470">
        <w:t>Considerando</w:t>
      </w:r>
      <w:r w:rsidRPr="00184470">
        <w:t xml:space="preserve"> la magnitud de la tarea, el presupuesto asignado resulta</w:t>
      </w:r>
      <w:r w:rsidR="003A423C" w:rsidRPr="00184470">
        <w:t>ba</w:t>
      </w:r>
      <w:r w:rsidRPr="00184470">
        <w:t xml:space="preserve"> limitado, y condiciona</w:t>
      </w:r>
      <w:r w:rsidR="003A423C" w:rsidRPr="00184470">
        <w:t>ba</w:t>
      </w:r>
      <w:r w:rsidRPr="00184470">
        <w:t xml:space="preserve"> una intervención muy restringida en cuanto cobertura y diversidad de las tareas a realizar; tanto así que abarc</w:t>
      </w:r>
      <w:r w:rsidR="003A423C" w:rsidRPr="00184470">
        <w:t>ó</w:t>
      </w:r>
      <w:r w:rsidRPr="00184470">
        <w:t xml:space="preserve"> solo 188 de las 346 comunas del país. Para el presupuesto del 2024, las autoridades anunciaron un crecimiento del 5,2%, enmarcado en su rediseño programático. El INDH mantiene su preocupación respecto a que una </w:t>
      </w:r>
      <w:r w:rsidR="003A423C" w:rsidRPr="00184470">
        <w:t>tarea principal</w:t>
      </w:r>
      <w:r w:rsidRPr="00184470">
        <w:t xml:space="preserve"> definida en el programa es la capacitación para la prevención de violencia contra las mujeres, que incluye la formación de monitoras comunitarias</w:t>
      </w:r>
      <w:r w:rsidR="00261D15" w:rsidRPr="00184470">
        <w:t>. Actualmente,</w:t>
      </w:r>
      <w:r w:rsidRPr="00184470">
        <w:t xml:space="preserve"> se ha podido capacitar a un número muy limitado de </w:t>
      </w:r>
      <w:r w:rsidR="003A423C" w:rsidRPr="00184470">
        <w:t>éstas</w:t>
      </w:r>
      <w:r w:rsidRPr="00184470">
        <w:t>. Asimismo, el programa no contempla seguimiento y refuerzo de los aprendizajes en las monitoras, por lo</w:t>
      </w:r>
      <w:r w:rsidR="00261D15" w:rsidRPr="00184470">
        <w:t xml:space="preserve"> tanto,</w:t>
      </w:r>
      <w:r w:rsidRPr="00184470">
        <w:t xml:space="preserve"> no es posible determinar si las personas capacitadas </w:t>
      </w:r>
      <w:r w:rsidR="00261D15" w:rsidRPr="00184470">
        <w:t>continúan</w:t>
      </w:r>
      <w:r w:rsidRPr="00184470">
        <w:t xml:space="preserve"> desarrollando actividades de prevención de violencia en sus comunidades, como tampoco es evaluable </w:t>
      </w:r>
      <w:r w:rsidR="004F1D4C" w:rsidRPr="00184470">
        <w:t>su calidad</w:t>
      </w:r>
      <w:r w:rsidRPr="00184470">
        <w:t>. Además, una falencia importante de</w:t>
      </w:r>
      <w:r w:rsidR="004F1D4C" w:rsidRPr="00184470">
        <w:t>l</w:t>
      </w:r>
      <w:r w:rsidRPr="00184470">
        <w:t xml:space="preserve"> programa es que no dan cuenta de la diversidad de la población de</w:t>
      </w:r>
      <w:r w:rsidR="004F1D4C" w:rsidRPr="00184470">
        <w:t>l</w:t>
      </w:r>
      <w:r w:rsidRPr="00184470">
        <w:t xml:space="preserve"> país, al no tener enfoque </w:t>
      </w:r>
      <w:r w:rsidR="00494E7B" w:rsidRPr="00184470">
        <w:t>territorial</w:t>
      </w:r>
      <w:r w:rsidRPr="00184470">
        <w:t xml:space="preserve">. </w:t>
      </w:r>
      <w:r w:rsidR="004F1D4C" w:rsidRPr="00184470">
        <w:t>Es decir,</w:t>
      </w:r>
      <w:r w:rsidRPr="00184470">
        <w:t xml:space="preserve"> el mismo contenido del programa es impartido en todas las regiones, sin considerar realidades diversas de las mujeres, tales como ruralidad, condición de mujeres indígenas, mujeres migrantes y mujeres </w:t>
      </w:r>
      <w:r w:rsidR="004F1D4C" w:rsidRPr="00184470">
        <w:t>LBTI</w:t>
      </w:r>
      <w:r w:rsidRPr="00184470">
        <w:t xml:space="preserve">. </w:t>
      </w:r>
      <w:r w:rsidR="00494E7B" w:rsidRPr="00184470">
        <w:t xml:space="preserve">Asimismo, preocupa al INDH la limitación de ciertos grupos de mujeres para acceder a dispositivos de atención, especialmente mujeres con discapacidad y de la diversidad sexual. </w:t>
      </w:r>
      <w:r w:rsidR="00D579B3" w:rsidRPr="00184470">
        <w:t>Respecto de este último grupo, preocupa que tribunales del país aún no reconocen</w:t>
      </w:r>
      <w:r w:rsidR="00D521D6" w:rsidRPr="00184470">
        <w:t>,</w:t>
      </w:r>
      <w:r w:rsidR="00D579B3" w:rsidRPr="00184470">
        <w:t xml:space="preserve"> </w:t>
      </w:r>
      <w:r w:rsidR="00D521D6" w:rsidRPr="00184470">
        <w:t xml:space="preserve">uniformemente, </w:t>
      </w:r>
      <w:r w:rsidR="00D579B3" w:rsidRPr="00184470">
        <w:t xml:space="preserve">la identidad de género de mujeres trans en sus sentencias en conformidad con la ley de identidad de género </w:t>
      </w:r>
      <w:r w:rsidR="00D579B3" w:rsidRPr="00184470">
        <w:lastRenderedPageBreak/>
        <w:t xml:space="preserve">vigente, como ocurrió en el caso del asesinato de la activista trans Claudia Díaz Pérez. </w:t>
      </w:r>
      <w:r w:rsidRPr="00184470">
        <w:t xml:space="preserve">El INDH recomendó al Ministerio de la Mujer reformular el programa de atención a víctimas de violencia de género, considerando el documento de la Comisión Interamericana de Derechos Humanos </w:t>
      </w:r>
      <w:r w:rsidR="004F1D4C" w:rsidRPr="00184470">
        <w:t>“</w:t>
      </w:r>
      <w:r w:rsidRPr="00184470">
        <w:t>Violencia y discriminación contra mujeres, niñas y adolescentes: Buenas prácticas y desafíos en América Latina y en el Caribe</w:t>
      </w:r>
      <w:r w:rsidR="004F1D4C" w:rsidRPr="00184470">
        <w:t>”,</w:t>
      </w:r>
      <w:r w:rsidRPr="00184470">
        <w:t xml:space="preserve"> y las determinaciones del Derecho Internacional de los Derechos Humanos, incluyendo la perspectiva de las víctimas en la formulación y evaluación de políticas. También recomendó al Ministerio de la Mujer reforzar la difusión de los canales de atención, apoyo e información para mujeres víctimas de violencia y medidas adoptadas para otorgar protección en casos urgentes.</w:t>
      </w:r>
      <w:r w:rsidR="00494E7B" w:rsidRPr="00184470">
        <w:t xml:space="preserve"> </w:t>
      </w:r>
    </w:p>
    <w:p w14:paraId="0AD4C471" w14:textId="41922EAA" w:rsidR="00811B93" w:rsidRPr="00184470" w:rsidRDefault="00811B93" w:rsidP="004E7033">
      <w:pPr>
        <w:pStyle w:val="Prrafodelista"/>
        <w:numPr>
          <w:ilvl w:val="0"/>
          <w:numId w:val="3"/>
        </w:numPr>
        <w:jc w:val="both"/>
        <w:rPr>
          <w:lang w:val="es-ES_tradnl"/>
        </w:rPr>
      </w:pPr>
      <w:r w:rsidRPr="00184470">
        <w:t>El INDH ha manifestado su preocupación por las denuncia</w:t>
      </w:r>
      <w:r w:rsidR="003C69D8">
        <w:t>s</w:t>
      </w:r>
      <w:r w:rsidRPr="00184470">
        <w:t xml:space="preserve"> de mujeres víctimas de violencia enfrenta una serie de dificultades, entre las cuales cabe destacar: los prejuicios de los funcionarios de Carabineros al momento de recibir la denuncia</w:t>
      </w:r>
      <w:r w:rsidR="004F1D4C" w:rsidRPr="00184470">
        <w:t>;</w:t>
      </w:r>
      <w:r w:rsidRPr="00184470">
        <w:t xml:space="preserve"> lentitud en tomar medidas frente a la denuncia</w:t>
      </w:r>
      <w:r w:rsidR="004F1D4C" w:rsidRPr="00184470">
        <w:t>;</w:t>
      </w:r>
      <w:r w:rsidRPr="00184470">
        <w:t xml:space="preserve"> escaso control y seguimiento de las medidas adoptadas para la protección de la víctima; así como las dificultades que enfrentan las mujeres rurales por la lejanía de retenes de Carabineros. Se suma a ello las dificultades de las mujeres indígenas –particularmente en la zona del conflicto mapuche–para denunciar, por la desconfianza que tienen hacia la institución de Carabineros de Chile (INDH, 2021</w:t>
      </w:r>
      <w:r w:rsidR="004E540F" w:rsidRPr="00184470">
        <w:t>-2018</w:t>
      </w:r>
      <w:r w:rsidRPr="00184470">
        <w:t>)</w:t>
      </w:r>
      <w:r w:rsidR="00494E7B" w:rsidRPr="00184470">
        <w:t>; y las dificultades de mujeres con discapacidad para denunciar y seguir el procedimiento.</w:t>
      </w:r>
      <w:r w:rsidRPr="00184470">
        <w:t xml:space="preserve"> El INDH ha recomendado al Ministerio de la Mujer mantener un trabajo de coordinación permanente con Carabineros y </w:t>
      </w:r>
      <w:proofErr w:type="gramStart"/>
      <w:r w:rsidR="004F1D4C" w:rsidRPr="00184470">
        <w:t>Fiscalía Nacional</w:t>
      </w:r>
      <w:proofErr w:type="gramEnd"/>
      <w:r w:rsidRPr="00184470">
        <w:t>, para abordar materias como la revisión de nudos críticos que enfrentan las mujeres al momento de denunciar y para trabajar en un plan de acción que garantice la protección de las víctimas y el acceso a la justicia.</w:t>
      </w:r>
    </w:p>
    <w:p w14:paraId="7FAD1B7B" w14:textId="31D59570" w:rsidR="001A63FE" w:rsidRPr="00184470" w:rsidRDefault="001A63FE" w:rsidP="00EF6E59">
      <w:pPr>
        <w:pStyle w:val="Prrafodelista"/>
        <w:numPr>
          <w:ilvl w:val="0"/>
          <w:numId w:val="3"/>
        </w:numPr>
        <w:ind w:left="1416" w:hanging="1056"/>
        <w:jc w:val="both"/>
        <w:rPr>
          <w:lang w:val="es-ES_tradnl"/>
        </w:rPr>
      </w:pPr>
      <w:r w:rsidRPr="00184470">
        <w:t xml:space="preserve">El 4 de marzo de 2020 entró en vigor la ley Nº21.212, que redefinió el concepto de femicidio en Chile, ampliando la figura a todo hombre que asesinare a una mujer que es o ha sido su cónyuge o conviviente, con quien hubiere tenido un hijo, o bien con quien haya tenido una relación de pareja de carácter sentimental o sexual, aun sin convivencia. </w:t>
      </w:r>
      <w:r w:rsidR="004F1D4C" w:rsidRPr="00184470">
        <w:t>Asimismo</w:t>
      </w:r>
      <w:r w:rsidRPr="00184470">
        <w:t xml:space="preserve">, se amplió la figura que, previamente, contemplaba exclusivamente los casos de matrimonio o convivencia. </w:t>
      </w:r>
    </w:p>
    <w:p w14:paraId="5CD099DB" w14:textId="77777777" w:rsidR="004E7033" w:rsidRPr="00184470" w:rsidRDefault="004E7033" w:rsidP="004E7033">
      <w:pPr>
        <w:rPr>
          <w:lang w:val="es-ES_tradnl"/>
        </w:rPr>
      </w:pPr>
    </w:p>
    <w:p w14:paraId="3AC2154B" w14:textId="7A1954CB" w:rsidR="0045207D" w:rsidRPr="00184470" w:rsidRDefault="00E84B63" w:rsidP="00196085">
      <w:pPr>
        <w:pStyle w:val="Prrafodelista"/>
        <w:numPr>
          <w:ilvl w:val="0"/>
          <w:numId w:val="2"/>
        </w:numPr>
        <w:rPr>
          <w:b/>
          <w:bCs/>
        </w:rPr>
      </w:pPr>
      <w:r w:rsidRPr="00184470">
        <w:rPr>
          <w:b/>
          <w:bCs/>
        </w:rPr>
        <w:t>Trata y explotación de la prostitución</w:t>
      </w:r>
      <w:r w:rsidR="00F93E89" w:rsidRPr="00184470">
        <w:rPr>
          <w:b/>
          <w:bCs/>
        </w:rPr>
        <w:t>:</w:t>
      </w:r>
    </w:p>
    <w:p w14:paraId="40CFE672" w14:textId="22789738" w:rsidR="00260EF1" w:rsidRPr="00184470" w:rsidRDefault="00260EF1" w:rsidP="00260EF1"/>
    <w:p w14:paraId="074DFED0" w14:textId="2ACF4B84" w:rsidR="00260EF1" w:rsidRPr="00184470" w:rsidRDefault="00260EF1" w:rsidP="00260EF1">
      <w:pPr>
        <w:pStyle w:val="Prrafodelista"/>
        <w:numPr>
          <w:ilvl w:val="0"/>
          <w:numId w:val="3"/>
        </w:numPr>
        <w:jc w:val="both"/>
      </w:pPr>
      <w:r w:rsidRPr="00184470">
        <w:t xml:space="preserve">Es preocupación del Instituto la baja dotación y recursos que tienen las unidades de las policías destinadas a combatir la trata de personas, como pudo constatar el INDH en una visita de observación a las regiones fronterizas del norte del país (INDH en Terreno en Frontera Norte, 2023). El Poder Ejecutivo debe elaborar e implementar con recursos suficientes una política pública de combate a la trata de personas que contemple, entre otras cuestiones, el acceso a la salud, permiso de residencia y educación para las víctimas. Asimismo, debe supervisar y evaluar continua y sistemáticamente la aplicación de la nueva legislación mediante recopilación y análisis de datos e investigación sobre la trata interna y transfronteriza. Se ha recomendado revisar su legislación penal en materia de trata de personas a fin de adecuarla a los estándares internacionales, en particular el Protocolo para prevenir, reprimir y sancionar la trata de personas, </w:t>
      </w:r>
      <w:r w:rsidRPr="00184470">
        <w:lastRenderedPageBreak/>
        <w:t>especialmente mujeres y niños, que complementa la Convención de las Naciones Unidas contra la Delincuencia Organizada y Transnacional.</w:t>
      </w:r>
    </w:p>
    <w:p w14:paraId="7DE0570D" w14:textId="7CACC40D" w:rsidR="00260EF1" w:rsidRPr="00184470" w:rsidRDefault="00260EF1" w:rsidP="00260EF1"/>
    <w:p w14:paraId="0AEA2A73" w14:textId="77777777" w:rsidR="00E84B63" w:rsidRPr="00184470" w:rsidRDefault="00E84B63" w:rsidP="00260EF1"/>
    <w:p w14:paraId="6C7B82CB" w14:textId="3D725DF8" w:rsidR="00260EF1" w:rsidRPr="00184470" w:rsidRDefault="00E84B63" w:rsidP="00196085">
      <w:pPr>
        <w:pStyle w:val="Prrafodelista"/>
        <w:numPr>
          <w:ilvl w:val="0"/>
          <w:numId w:val="2"/>
        </w:numPr>
        <w:rPr>
          <w:b/>
          <w:bCs/>
        </w:rPr>
      </w:pPr>
      <w:r w:rsidRPr="00184470">
        <w:rPr>
          <w:b/>
          <w:bCs/>
        </w:rPr>
        <w:t>Educación</w:t>
      </w:r>
      <w:r w:rsidR="00F93E89" w:rsidRPr="00184470">
        <w:rPr>
          <w:b/>
          <w:bCs/>
        </w:rPr>
        <w:t>:</w:t>
      </w:r>
    </w:p>
    <w:p w14:paraId="2B22B562" w14:textId="79E34622" w:rsidR="00E84B63" w:rsidRPr="00184470" w:rsidRDefault="00E84B63" w:rsidP="00E84B63"/>
    <w:p w14:paraId="495C89F4" w14:textId="7099D5E8" w:rsidR="00E84B63" w:rsidRPr="00184470" w:rsidRDefault="00E84B63" w:rsidP="00E84B63">
      <w:pPr>
        <w:pStyle w:val="Prrafodelista"/>
        <w:numPr>
          <w:ilvl w:val="0"/>
          <w:numId w:val="3"/>
        </w:numPr>
        <w:jc w:val="both"/>
      </w:pPr>
      <w:r w:rsidRPr="00184470">
        <w:t>En relación a la capacitación docente en temas de estereotipos de género, en 2020 el INDH determinó a través de un análisis de los cursos de la carrera de Pedagogía General Básica, en el que participaron 29 de 34 universidades que imparten la carrera, que sólo 15 universidades cuentan con formación en violencia de género, derechos de las mujeres, y perspectiva de género. Son 3.392 estudiantes los que tendrían que cursar estas asignaturas para obtener el título de profesional, equivalente al 42% de la matrícula en ese momento. Es decir, los docentes tampoco cuentan con la formación adecuada para abordar estas temáticas con los y las estudiantes</w:t>
      </w:r>
      <w:r w:rsidR="00494E7B" w:rsidRPr="00184470">
        <w:t>, lo que preocupa al Instituto</w:t>
      </w:r>
      <w:r w:rsidRPr="00184470">
        <w:t>. Es preocupante que la formación inicial de las y los futuros docentes. Si bien, el Estado indica medidas al respecto en el párr. 103 de CEDAW/C/CHL/8 estas pueden ser consideradas insuficientes, pues no hay progresión en la inclusión de los contenidos y los cursos que indican están disponibles solo para docentes en escuelas públicas, dejando fuera de esta posibilidad a 25.210 profesores y profesoras, a cargo de 324.860 estudiantes.</w:t>
      </w:r>
    </w:p>
    <w:p w14:paraId="58B01081" w14:textId="7A4F0A60" w:rsidR="00A47C6C" w:rsidRPr="00184470" w:rsidRDefault="00A47C6C" w:rsidP="00A47C6C">
      <w:pPr>
        <w:pStyle w:val="Prrafodelista"/>
        <w:numPr>
          <w:ilvl w:val="0"/>
          <w:numId w:val="3"/>
        </w:numPr>
        <w:jc w:val="both"/>
      </w:pPr>
      <w:r w:rsidRPr="00184470">
        <w:t>En 2019 se presentó un proyecto de ley que buscaba establecer la obligatoriedad de la educación sexual integral en los establecimientos educativos. De acuerdo con los autores del proyecto, éste tenía como objetivo generar “un marco normativo general en materia de educación sexual y afectiva, entendiendo que se trata de un derecho humano cuyo titular son los niños, niñas y adolescentes”. El proyecto fue votado en contra en su idea de legislar en octubre de 2020, por lo que fue archivado, no existiendo actualmente nuevas iniciativas sobre la materia en tramitación.</w:t>
      </w:r>
    </w:p>
    <w:p w14:paraId="1E08C7BA" w14:textId="2F4B32A6" w:rsidR="00E84B63" w:rsidRPr="00184470" w:rsidRDefault="00E84B63" w:rsidP="00E84B63"/>
    <w:p w14:paraId="72E2C3FF" w14:textId="77777777" w:rsidR="0027484B" w:rsidRPr="00184470" w:rsidRDefault="0027484B" w:rsidP="00E84B63"/>
    <w:p w14:paraId="0BD8B1F5" w14:textId="285E1C5A" w:rsidR="00E84B63" w:rsidRPr="00184470" w:rsidRDefault="00E84B63" w:rsidP="00196085">
      <w:pPr>
        <w:pStyle w:val="Prrafodelista"/>
        <w:numPr>
          <w:ilvl w:val="0"/>
          <w:numId w:val="2"/>
        </w:numPr>
        <w:rPr>
          <w:b/>
          <w:bCs/>
        </w:rPr>
      </w:pPr>
      <w:r w:rsidRPr="00184470">
        <w:rPr>
          <w:b/>
          <w:bCs/>
        </w:rPr>
        <w:t>Empleo</w:t>
      </w:r>
      <w:r w:rsidR="00F93E89" w:rsidRPr="00184470">
        <w:rPr>
          <w:b/>
          <w:bCs/>
        </w:rPr>
        <w:t>:</w:t>
      </w:r>
    </w:p>
    <w:p w14:paraId="1B7D2949" w14:textId="45EB9D79" w:rsidR="00E84B63" w:rsidRPr="00184470" w:rsidRDefault="00E84B63" w:rsidP="00E84B63"/>
    <w:p w14:paraId="7B04FD73" w14:textId="454E0DFE" w:rsidR="00E84B63" w:rsidRPr="00184470" w:rsidRDefault="00E84B63" w:rsidP="00E84B63">
      <w:pPr>
        <w:pStyle w:val="Prrafodelista"/>
        <w:numPr>
          <w:ilvl w:val="0"/>
          <w:numId w:val="3"/>
        </w:numPr>
        <w:jc w:val="both"/>
      </w:pPr>
      <w:r w:rsidRPr="00184470">
        <w:t xml:space="preserve">En el Informe Anual 2023, el INDH precisó dos secciones de discriminación contra las mujeres en el ámbito salarial: la discriminación salarial general, y la discriminación salarial por maternidad. Respecto de la primera, consiste en un tipo de discriminación económica existente cuando las diferencias salariales no se deben a las diferencias en capital humano ni a la productividad de quien trabaja. En este sentido, la brecha salarial de género es el porcentaje resultante de dividir la diferencia entre el salario de los hombres y las mujeres, entre el salario de los hombres. A partir de los datos de la Encuesta CASEN del periodo entre 1990 y 2017, el estudio Evolución y análisis de la discriminación salarial por género en Chile examinó la brecha de género en los salarios por hora de los trabajadores para determinar qué parte de esta brecha corresponde a discriminación salarial contra las mujeres. Sus resultados muestran que la brecha salarial favorece a los hombres y situó en 2017 en 49,7% relacionado con el favoritismo hacia los hombres y un 45,2% relacionado con la discriminación pura </w:t>
      </w:r>
      <w:r w:rsidRPr="00184470">
        <w:lastRenderedPageBreak/>
        <w:t>contra las mujeres. En 2017, los hombres con empleo tenían 8,9% años menos de estudios que las mujeres con empleo, dato que revela que, aunque las mujeres requieren más años de educación para obtener un empleo, reciben un salario menor que el de ellos. En esa línea, uno de los hallazgos importantes del estudio es que en el periodo entre 1990 y 2017, las mujeres empleadas, en promedio, tenía más años de educación que los hombres desempleados y empleados. Respecto a la discriminación salarial por maternidad, se identificó que las mujeres con hijos/as con las mismas características demográficas y el mismo nivel educacional que mujeres sin hijos, ganan un 7,7% menos por el hecho de ser madres.</w:t>
      </w:r>
    </w:p>
    <w:p w14:paraId="5E7BB2B2" w14:textId="231695CC" w:rsidR="00A47C6C" w:rsidRPr="00184470" w:rsidRDefault="00A47C6C" w:rsidP="00E84B63">
      <w:pPr>
        <w:pStyle w:val="Prrafodelista"/>
        <w:numPr>
          <w:ilvl w:val="0"/>
          <w:numId w:val="3"/>
        </w:numPr>
        <w:jc w:val="both"/>
      </w:pPr>
      <w:r w:rsidRPr="00184470">
        <w:t>Otra preocupación del INDH es el artículo 203 del Código del Trabajo que establece la obligación de sala cuna sólo para empresas que cuenten con 20 o más trabajadoras. Esta normativa ha sido criticada pues no fomenta la corresponsabilidad en el cuidado de hijos e hijas y supone que la responsable principal es la mujer y sólo en casos excepcionales le corresponde al padre este beneficio.</w:t>
      </w:r>
    </w:p>
    <w:p w14:paraId="0E12EAEF" w14:textId="5DFFAFBD" w:rsidR="00547765" w:rsidRPr="00184470" w:rsidRDefault="00547765" w:rsidP="00E84B63">
      <w:pPr>
        <w:pStyle w:val="Prrafodelista"/>
        <w:numPr>
          <w:ilvl w:val="0"/>
          <w:numId w:val="3"/>
        </w:numPr>
        <w:jc w:val="both"/>
      </w:pPr>
      <w:r w:rsidRPr="00184470">
        <w:t xml:space="preserve">Finalmente, la tasa de desocupación femenina sigue siendo mayor a la masculina, de acuerdo a cifras del Instituto Nacional de Estadística. </w:t>
      </w:r>
      <w:r w:rsidR="00D521D6" w:rsidRPr="00184470">
        <w:t>De acuerdo al último boletín estadístico de empleo trimestral, la tasa de desocupación femenina alcanzaba el 9% en el país, mientras que la masculina era de 8,1%.</w:t>
      </w:r>
    </w:p>
    <w:p w14:paraId="7A8F63C2" w14:textId="7000C6CC" w:rsidR="00E84B63" w:rsidRPr="00184470" w:rsidRDefault="00E84B63" w:rsidP="00E84B63"/>
    <w:p w14:paraId="68D78661" w14:textId="347D75CC" w:rsidR="0027484B" w:rsidRPr="00184470" w:rsidRDefault="0027484B" w:rsidP="00E84B63"/>
    <w:p w14:paraId="4C1CDFE9" w14:textId="77777777" w:rsidR="00A47C6C" w:rsidRPr="00184470" w:rsidRDefault="00A47C6C" w:rsidP="00E84B63"/>
    <w:p w14:paraId="26B7C1D2" w14:textId="7DE72AB3" w:rsidR="00E84B63" w:rsidRPr="00184470" w:rsidRDefault="0027484B" w:rsidP="00196085">
      <w:pPr>
        <w:pStyle w:val="Prrafodelista"/>
        <w:numPr>
          <w:ilvl w:val="0"/>
          <w:numId w:val="2"/>
        </w:numPr>
        <w:rPr>
          <w:b/>
          <w:bCs/>
        </w:rPr>
      </w:pPr>
      <w:r w:rsidRPr="00184470">
        <w:rPr>
          <w:b/>
          <w:bCs/>
        </w:rPr>
        <w:t>Salud</w:t>
      </w:r>
      <w:r w:rsidR="00F93E89" w:rsidRPr="00184470">
        <w:rPr>
          <w:b/>
          <w:bCs/>
        </w:rPr>
        <w:t>:</w:t>
      </w:r>
    </w:p>
    <w:p w14:paraId="5526B978" w14:textId="6EADFF39" w:rsidR="0027484B" w:rsidRPr="00184470" w:rsidRDefault="0027484B" w:rsidP="0027484B"/>
    <w:p w14:paraId="54FA0006" w14:textId="2A9526FC" w:rsidR="0027484B" w:rsidRPr="00184470" w:rsidRDefault="0027484B" w:rsidP="0027484B">
      <w:pPr>
        <w:pStyle w:val="Prrafodelista"/>
        <w:numPr>
          <w:ilvl w:val="0"/>
          <w:numId w:val="3"/>
        </w:numPr>
        <w:jc w:val="both"/>
      </w:pPr>
      <w:r w:rsidRPr="00184470">
        <w:t xml:space="preserve">Preocupa al INDH la existencia de barreras que dificultan la prestación del acceso a la interrupción voluntaria del embarazo en las causales de la ley Nº21.030, tales como insuficiencia en las capacitaciones dirigidas a equipos de salud para que brinden una atención adecuada a niñas y mujeres o la falta de información sobre la ley. Asimismo, y si bien la objeción de conciencia se desprende del derecho a la libertad de pensamiento, conciencia y religión; el Estado debe procurar proveer el acceso a la interrupción del embarazo de manera oportuna y eficaz en todo el territorio nacional, especialmente en aquellas regiones donde todo el personal sanitario, o su gran mayoría, ejerza dicha facultad. </w:t>
      </w:r>
    </w:p>
    <w:p w14:paraId="61A83FAD" w14:textId="4F2860DB" w:rsidR="0027484B" w:rsidRPr="00184470" w:rsidRDefault="0027484B" w:rsidP="0027484B">
      <w:pPr>
        <w:pStyle w:val="Prrafodelista"/>
        <w:numPr>
          <w:ilvl w:val="0"/>
          <w:numId w:val="3"/>
        </w:numPr>
        <w:jc w:val="both"/>
      </w:pPr>
      <w:r w:rsidRPr="00184470">
        <w:t xml:space="preserve">Respecto al marco jurídico vigente que permite la objeción de conciencia institucional, el Protocolo para la manifestación </w:t>
      </w:r>
      <w:r w:rsidR="00D66AE8" w:rsidRPr="00184470">
        <w:t xml:space="preserve">de </w:t>
      </w:r>
      <w:r w:rsidRPr="00184470">
        <w:t xml:space="preserve">objeción de conciencia personal y </w:t>
      </w:r>
      <w:r w:rsidR="00D66AE8" w:rsidRPr="00184470">
        <w:t>la</w:t>
      </w:r>
      <w:r w:rsidRPr="00184470">
        <w:t xml:space="preserve"> invocada por instituciones del año 2018, establece los principios de no discriminación, </w:t>
      </w:r>
      <w:r w:rsidR="00D50BC3" w:rsidRPr="00184470">
        <w:t xml:space="preserve">los </w:t>
      </w:r>
      <w:r w:rsidRPr="00184470">
        <w:t>casos en los que procede y no procede ejercer la objeción, el procedimiento para hacer efectiva la objeción en los establecimientos de salud, los efectos de la manifestación y finalmente las obligaciones del objetor. En un segundo apartado se detalla</w:t>
      </w:r>
      <w:r w:rsidR="00D50BC3" w:rsidRPr="00184470">
        <w:t>n</w:t>
      </w:r>
      <w:r w:rsidRPr="00184470">
        <w:t xml:space="preserve"> las obligaciones y procedimientos en los casos de objeción de conciencia de instituciones privadas de salud. Por último, se detalla</w:t>
      </w:r>
      <w:r w:rsidR="00D50BC3" w:rsidRPr="00184470">
        <w:t>n</w:t>
      </w:r>
      <w:r w:rsidRPr="00184470">
        <w:t xml:space="preserve"> en tres puntos los derechos de las mujeres respecto de los objetores de conciencia, estableciendo la obligación de las instituciones de salud a un trato digno, respetuoso, oportuno y sin dilataciones en el marco de las causales dispuestas en la </w:t>
      </w:r>
      <w:r w:rsidR="00D50BC3" w:rsidRPr="00184470">
        <w:t>l</w:t>
      </w:r>
      <w:r w:rsidRPr="00184470">
        <w:t xml:space="preserve">ey Nº21.030; </w:t>
      </w:r>
      <w:r w:rsidR="00D50BC3" w:rsidRPr="00184470">
        <w:t xml:space="preserve">a </w:t>
      </w:r>
      <w:r w:rsidRPr="00184470">
        <w:t xml:space="preserve">solicitar información de personal objetor o no objetor del establecimiento en el que se atiende en el marco de una de las </w:t>
      </w:r>
      <w:r w:rsidRPr="00184470">
        <w:lastRenderedPageBreak/>
        <w:t xml:space="preserve">circunstancias señaladas en el artículo 119 del </w:t>
      </w:r>
      <w:r w:rsidR="00D50BC3" w:rsidRPr="00184470">
        <w:t>C</w:t>
      </w:r>
      <w:r w:rsidRPr="00184470">
        <w:t xml:space="preserve">ódigo Sanitario; y ser reasignada o derivada en forma simple y oportuna en caso de que quien la estuviere atendiendo hubiere manifestado debidamente en forma previa su objeción. Debido a lo anterior, en su Informe Anual 2022, el INDH recomendó a los poderes colegisladores la revisión y modificación de la normativa y protocolo que autoriza la objeción de conciencia para instituciones de salud privadas en los casos de despenalización de la interrupción voluntaria del embarazo en tres causales, atendido que contraviene el estándar interamericano de derechos humanos en la materia, específicamente, respecto a la capacidad de las instituciones de ejercer la objeción de conciencia. </w:t>
      </w:r>
    </w:p>
    <w:p w14:paraId="0BB9454A" w14:textId="77777777" w:rsidR="00F93E89" w:rsidRPr="00184470" w:rsidRDefault="00F93E89" w:rsidP="00494E7B">
      <w:pPr>
        <w:jc w:val="both"/>
      </w:pPr>
    </w:p>
    <w:p w14:paraId="77421DB1" w14:textId="77777777" w:rsidR="00D93A53" w:rsidRPr="00184470" w:rsidRDefault="00D93A53" w:rsidP="00D93A53"/>
    <w:p w14:paraId="78216B9C" w14:textId="78B84CCC" w:rsidR="00D93A53" w:rsidRPr="00184470" w:rsidRDefault="00F93E89" w:rsidP="00196085">
      <w:pPr>
        <w:pStyle w:val="Prrafodelista"/>
        <w:numPr>
          <w:ilvl w:val="0"/>
          <w:numId w:val="2"/>
        </w:numPr>
        <w:rPr>
          <w:b/>
          <w:bCs/>
        </w:rPr>
      </w:pPr>
      <w:r w:rsidRPr="00184470">
        <w:rPr>
          <w:b/>
          <w:bCs/>
        </w:rPr>
        <w:t>Mujeres indígenas:</w:t>
      </w:r>
    </w:p>
    <w:p w14:paraId="4B0FFD6E" w14:textId="04C39EF0" w:rsidR="00F93E89" w:rsidRPr="00184470" w:rsidRDefault="00F93E89" w:rsidP="00F93E89"/>
    <w:p w14:paraId="034C325B" w14:textId="13B913AA" w:rsidR="00196085" w:rsidRPr="00184470" w:rsidRDefault="00F93E89" w:rsidP="00196085">
      <w:pPr>
        <w:pStyle w:val="Prrafodelista"/>
        <w:numPr>
          <w:ilvl w:val="0"/>
          <w:numId w:val="3"/>
        </w:numPr>
        <w:jc w:val="both"/>
      </w:pPr>
      <w:r w:rsidRPr="00184470">
        <w:t>Al INDH le preocupa que en las mujeres indígenas se ven agudizadas las vulnerabilidades a las que están expuestas las mujeres en Chile</w:t>
      </w:r>
      <w:r w:rsidR="004F0B02" w:rsidRPr="00184470">
        <w:t xml:space="preserve">, especialmente considerando </w:t>
      </w:r>
      <w:r w:rsidR="004F0B02" w:rsidRPr="00184470">
        <w:rPr>
          <w:lang w:val="es-ES_tradnl"/>
        </w:rPr>
        <w:t>la interseccionalidad de factores de desigualdad</w:t>
      </w:r>
      <w:r w:rsidR="00D521D6" w:rsidRPr="00184470">
        <w:rPr>
          <w:lang w:val="es-ES_tradnl"/>
        </w:rPr>
        <w:t>,</w:t>
      </w:r>
      <w:r w:rsidR="004F0B02" w:rsidRPr="00184470">
        <w:rPr>
          <w:lang w:val="es-ES_tradnl"/>
        </w:rPr>
        <w:t xml:space="preserve"> elementos que generan dicho efecto como pobreza, ruralidad, discapacidad,</w:t>
      </w:r>
      <w:r w:rsidRPr="00184470">
        <w:t xml:space="preserve"> </w:t>
      </w:r>
      <w:r w:rsidR="004F0B02" w:rsidRPr="00184470">
        <w:t xml:space="preserve">etc. </w:t>
      </w:r>
      <w:r w:rsidRPr="00184470">
        <w:t>El Estado dispone de limitadas estadísticas desagregadas que permitan dimensionar la situación de las mujeres indígenas en Chile. De acuerdo a la última Encuesta Casen (2022) se observa que</w:t>
      </w:r>
      <w:r w:rsidR="00184470">
        <w:t>,</w:t>
      </w:r>
      <w:r w:rsidRPr="00184470">
        <w:t xml:space="preserve"> respecto a la pobreza por ingresos, un 7% de las mujeres no indígenas es pobre, mientras que este porcentaje es de 9% para mujeres indígenas. Esta brecha se acrecienta al observar la pobreza multidimensional, donde el 19% de las mujeres que declaran pertenecer a un pueblo indígena se encuentran en situación de pobreza multidimensional, mientras que este porcentaje disminuye a 14% en mujeres no indígenas. Por otra parte, en el Informe Anual 2018 se observó una importante prevalencia de fenómenos de violencia en el marco de las relaciones intrafamiliares en las mujeres indígenas, como de violencia hacia la mujer indígena fuera de este contexto. El Estado viene desarrollando políticas hace más de 15 años para prevenir y erradicar la violencia intrafamiliar, sin embargo, estas políticas </w:t>
      </w:r>
      <w:r w:rsidR="00EF6E59" w:rsidRPr="00184470">
        <w:t>carecen</w:t>
      </w:r>
      <w:r w:rsidRPr="00184470">
        <w:t xml:space="preserve"> de pertinencia cultural y comunicacional, por lo que difícilmente cumplen con los criterios de disponibilidad, accesibilidad y aceptabilidad por las comunidades indígenas. La precaria inclusión de las mujeres indígenas en la definición de los marcos normativos, políticas y programas, determina que estas se muestren desde una visión monocultural de la violencia. El INDH ha recomendado que el Ministerio de la Mujer implemente políticas y programas de violencia (tanto de prevención como de tratamiento) hacia la mujer con pertinencia cultural que reconozca las especificidades de las mujeres de pueblos originarios y que considere la condición de ruralidad de las mujeres beneficiarias de estos programas</w:t>
      </w:r>
      <w:r w:rsidR="000F12D5" w:rsidRPr="00184470">
        <w:t>.</w:t>
      </w:r>
    </w:p>
    <w:sectPr w:rsidR="00196085" w:rsidRPr="00184470">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FB619" w14:textId="77777777" w:rsidR="000857DD" w:rsidRDefault="000857DD" w:rsidP="00BC524B">
      <w:r>
        <w:separator/>
      </w:r>
    </w:p>
  </w:endnote>
  <w:endnote w:type="continuationSeparator" w:id="0">
    <w:p w14:paraId="6CB09518" w14:textId="77777777" w:rsidR="000857DD" w:rsidRDefault="000857DD" w:rsidP="00BC5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1879890832"/>
      <w:docPartObj>
        <w:docPartGallery w:val="Page Numbers (Bottom of Page)"/>
        <w:docPartUnique/>
      </w:docPartObj>
    </w:sdtPr>
    <w:sdtContent>
      <w:p w14:paraId="389AF812" w14:textId="2164EDE1" w:rsidR="00494E7B" w:rsidRDefault="00494E7B" w:rsidP="0028237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E21FAB0" w14:textId="77777777" w:rsidR="00494E7B" w:rsidRDefault="00494E7B" w:rsidP="00494E7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973250072"/>
      <w:docPartObj>
        <w:docPartGallery w:val="Page Numbers (Bottom of Page)"/>
        <w:docPartUnique/>
      </w:docPartObj>
    </w:sdtPr>
    <w:sdtContent>
      <w:p w14:paraId="7CB2C6D2" w14:textId="597E071B" w:rsidR="00494E7B" w:rsidRDefault="00494E7B" w:rsidP="0028237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6C9A7621" w14:textId="77777777" w:rsidR="00494E7B" w:rsidRDefault="00494E7B" w:rsidP="00494E7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214D8" w14:textId="77777777" w:rsidR="000857DD" w:rsidRDefault="000857DD" w:rsidP="00BC524B">
      <w:r>
        <w:separator/>
      </w:r>
    </w:p>
  </w:footnote>
  <w:footnote w:type="continuationSeparator" w:id="0">
    <w:p w14:paraId="54810E70" w14:textId="77777777" w:rsidR="000857DD" w:rsidRDefault="000857DD" w:rsidP="00BC5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30E3F"/>
    <w:multiLevelType w:val="hybridMultilevel"/>
    <w:tmpl w:val="249E4386"/>
    <w:lvl w:ilvl="0" w:tplc="5C42CF44">
      <w:start w:val="27"/>
      <w:numFmt w:val="bullet"/>
      <w:lvlText w:val="-"/>
      <w:lvlJc w:val="left"/>
      <w:pPr>
        <w:ind w:left="1440" w:hanging="360"/>
      </w:pPr>
      <w:rPr>
        <w:rFonts w:ascii="Calibri" w:eastAsiaTheme="minorHAnsi" w:hAnsi="Calibri" w:cs="Calibri"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 w15:restartNumberingAfterBreak="0">
    <w:nsid w:val="1BC0500F"/>
    <w:multiLevelType w:val="hybridMultilevel"/>
    <w:tmpl w:val="5D4EF61A"/>
    <w:lvl w:ilvl="0" w:tplc="B82AAFBC">
      <w:start w:val="1"/>
      <w:numFmt w:val="upperRoman"/>
      <w:lvlText w:val="%1."/>
      <w:lvlJc w:val="left"/>
      <w:pPr>
        <w:ind w:left="720" w:hanging="72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3C3575D6"/>
    <w:multiLevelType w:val="hybridMultilevel"/>
    <w:tmpl w:val="19B0D9C6"/>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EB5258"/>
    <w:multiLevelType w:val="hybridMultilevel"/>
    <w:tmpl w:val="7F3ED52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057461287">
    <w:abstractNumId w:val="3"/>
  </w:num>
  <w:num w:numId="2" w16cid:durableId="1650086152">
    <w:abstractNumId w:val="1"/>
  </w:num>
  <w:num w:numId="3" w16cid:durableId="1338119359">
    <w:abstractNumId w:val="2"/>
  </w:num>
  <w:num w:numId="4" w16cid:durableId="197833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85"/>
    <w:rsid w:val="00041326"/>
    <w:rsid w:val="000857DD"/>
    <w:rsid w:val="000F12D5"/>
    <w:rsid w:val="001156A2"/>
    <w:rsid w:val="00184470"/>
    <w:rsid w:val="00196085"/>
    <w:rsid w:val="001A63FE"/>
    <w:rsid w:val="00212F84"/>
    <w:rsid w:val="00260EF1"/>
    <w:rsid w:val="00261D15"/>
    <w:rsid w:val="002727D5"/>
    <w:rsid w:val="0027484B"/>
    <w:rsid w:val="002C3AF2"/>
    <w:rsid w:val="00396F88"/>
    <w:rsid w:val="003A423C"/>
    <w:rsid w:val="003C69D8"/>
    <w:rsid w:val="0045207D"/>
    <w:rsid w:val="00482372"/>
    <w:rsid w:val="00482D99"/>
    <w:rsid w:val="00494A36"/>
    <w:rsid w:val="00494E7B"/>
    <w:rsid w:val="004A2521"/>
    <w:rsid w:val="004E540F"/>
    <w:rsid w:val="004E7033"/>
    <w:rsid w:val="004F0B02"/>
    <w:rsid w:val="004F1D4C"/>
    <w:rsid w:val="004F662C"/>
    <w:rsid w:val="00547765"/>
    <w:rsid w:val="005B65FA"/>
    <w:rsid w:val="005D05A4"/>
    <w:rsid w:val="007316F0"/>
    <w:rsid w:val="00811B93"/>
    <w:rsid w:val="00824C98"/>
    <w:rsid w:val="00A41D61"/>
    <w:rsid w:val="00A47C6C"/>
    <w:rsid w:val="00BC524B"/>
    <w:rsid w:val="00C76852"/>
    <w:rsid w:val="00D062A4"/>
    <w:rsid w:val="00D434A0"/>
    <w:rsid w:val="00D50BC3"/>
    <w:rsid w:val="00D521D6"/>
    <w:rsid w:val="00D579B3"/>
    <w:rsid w:val="00D66AE8"/>
    <w:rsid w:val="00D93A53"/>
    <w:rsid w:val="00E64A51"/>
    <w:rsid w:val="00E84B63"/>
    <w:rsid w:val="00EC0B03"/>
    <w:rsid w:val="00EF6E59"/>
    <w:rsid w:val="00F93E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87A9B"/>
  <w15:chartTrackingRefBased/>
  <w15:docId w15:val="{A3815DD6-B38A-A747-9A10-F0CE0447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F93E8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6085"/>
    <w:pPr>
      <w:ind w:left="720"/>
      <w:contextualSpacing/>
    </w:pPr>
  </w:style>
  <w:style w:type="paragraph" w:styleId="Textonotapie">
    <w:name w:val="footnote text"/>
    <w:basedOn w:val="Normal"/>
    <w:link w:val="TextonotapieCar"/>
    <w:uiPriority w:val="99"/>
    <w:semiHidden/>
    <w:unhideWhenUsed/>
    <w:rsid w:val="00BC524B"/>
    <w:rPr>
      <w:sz w:val="20"/>
      <w:szCs w:val="20"/>
    </w:rPr>
  </w:style>
  <w:style w:type="character" w:customStyle="1" w:styleId="TextonotapieCar">
    <w:name w:val="Texto nota pie Car"/>
    <w:basedOn w:val="Fuentedeprrafopredeter"/>
    <w:link w:val="Textonotapie"/>
    <w:uiPriority w:val="99"/>
    <w:semiHidden/>
    <w:rsid w:val="00BC524B"/>
    <w:rPr>
      <w:sz w:val="20"/>
      <w:szCs w:val="20"/>
    </w:rPr>
  </w:style>
  <w:style w:type="character" w:styleId="Refdenotaalpie">
    <w:name w:val="footnote reference"/>
    <w:basedOn w:val="Fuentedeprrafopredeter"/>
    <w:uiPriority w:val="99"/>
    <w:semiHidden/>
    <w:unhideWhenUsed/>
    <w:rsid w:val="00BC524B"/>
    <w:rPr>
      <w:vertAlign w:val="superscript"/>
    </w:rPr>
  </w:style>
  <w:style w:type="character" w:styleId="Hipervnculo">
    <w:name w:val="Hyperlink"/>
    <w:basedOn w:val="Fuentedeprrafopredeter"/>
    <w:uiPriority w:val="99"/>
    <w:unhideWhenUsed/>
    <w:rsid w:val="00BC524B"/>
    <w:rPr>
      <w:color w:val="0563C1" w:themeColor="hyperlink"/>
      <w:u w:val="single"/>
    </w:rPr>
  </w:style>
  <w:style w:type="character" w:styleId="Mencinsinresolver">
    <w:name w:val="Unresolved Mention"/>
    <w:basedOn w:val="Fuentedeprrafopredeter"/>
    <w:uiPriority w:val="99"/>
    <w:semiHidden/>
    <w:unhideWhenUsed/>
    <w:rsid w:val="00BC524B"/>
    <w:rPr>
      <w:color w:val="605E5C"/>
      <w:shd w:val="clear" w:color="auto" w:fill="E1DFDD"/>
    </w:rPr>
  </w:style>
  <w:style w:type="character" w:styleId="Hipervnculovisitado">
    <w:name w:val="FollowedHyperlink"/>
    <w:basedOn w:val="Fuentedeprrafopredeter"/>
    <w:uiPriority w:val="99"/>
    <w:semiHidden/>
    <w:unhideWhenUsed/>
    <w:rsid w:val="00BC524B"/>
    <w:rPr>
      <w:color w:val="954F72" w:themeColor="followedHyperlink"/>
      <w:u w:val="single"/>
    </w:rPr>
  </w:style>
  <w:style w:type="paragraph" w:customStyle="1" w:styleId="H23">
    <w:name w:val="_ H_2/3"/>
    <w:basedOn w:val="Normal"/>
    <w:next w:val="Normal"/>
    <w:qFormat/>
    <w:rsid w:val="00494A36"/>
    <w:pPr>
      <w:keepNext/>
      <w:keepLines/>
      <w:suppressAutoHyphens/>
      <w:spacing w:line="240" w:lineRule="exact"/>
      <w:outlineLvl w:val="1"/>
    </w:pPr>
    <w:rPr>
      <w:rFonts w:ascii="Times New Roman" w:hAnsi="Times New Roman" w:cs="Times New Roman"/>
      <w:b/>
      <w:spacing w:val="2"/>
      <w:w w:val="103"/>
      <w:kern w:val="14"/>
      <w:sz w:val="20"/>
      <w:szCs w:val="22"/>
      <w:lang w:val="es-ES"/>
    </w:rPr>
  </w:style>
  <w:style w:type="character" w:customStyle="1" w:styleId="Ttulo2Car">
    <w:name w:val="Título 2 Car"/>
    <w:basedOn w:val="Fuentedeprrafopredeter"/>
    <w:link w:val="Ttulo2"/>
    <w:uiPriority w:val="9"/>
    <w:semiHidden/>
    <w:rsid w:val="00F93E89"/>
    <w:rPr>
      <w:rFonts w:asciiTheme="majorHAnsi" w:eastAsiaTheme="majorEastAsia" w:hAnsiTheme="majorHAnsi" w:cstheme="majorBidi"/>
      <w:color w:val="2F5496" w:themeColor="accent1" w:themeShade="BF"/>
      <w:sz w:val="26"/>
      <w:szCs w:val="26"/>
    </w:rPr>
  </w:style>
  <w:style w:type="paragraph" w:styleId="Piedepgina">
    <w:name w:val="footer"/>
    <w:basedOn w:val="Normal"/>
    <w:link w:val="PiedepginaCar"/>
    <w:uiPriority w:val="99"/>
    <w:unhideWhenUsed/>
    <w:rsid w:val="00494E7B"/>
    <w:pPr>
      <w:tabs>
        <w:tab w:val="center" w:pos="4252"/>
        <w:tab w:val="right" w:pos="8504"/>
      </w:tabs>
    </w:pPr>
  </w:style>
  <w:style w:type="character" w:customStyle="1" w:styleId="PiedepginaCar">
    <w:name w:val="Pie de página Car"/>
    <w:basedOn w:val="Fuentedeprrafopredeter"/>
    <w:link w:val="Piedepgina"/>
    <w:uiPriority w:val="99"/>
    <w:rsid w:val="00494E7B"/>
  </w:style>
  <w:style w:type="character" w:styleId="Nmerodepgina">
    <w:name w:val="page number"/>
    <w:basedOn w:val="Fuentedeprrafopredeter"/>
    <w:uiPriority w:val="99"/>
    <w:semiHidden/>
    <w:unhideWhenUsed/>
    <w:rsid w:val="00494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970347">
      <w:bodyDiv w:val="1"/>
      <w:marLeft w:val="0"/>
      <w:marRight w:val="0"/>
      <w:marTop w:val="0"/>
      <w:marBottom w:val="0"/>
      <w:divBdr>
        <w:top w:val="none" w:sz="0" w:space="0" w:color="auto"/>
        <w:left w:val="none" w:sz="0" w:space="0" w:color="auto"/>
        <w:bottom w:val="none" w:sz="0" w:space="0" w:color="auto"/>
        <w:right w:val="none" w:sz="0" w:space="0" w:color="auto"/>
      </w:divBdr>
      <w:divsChild>
        <w:div w:id="1580216592">
          <w:marLeft w:val="0"/>
          <w:marRight w:val="0"/>
          <w:marTop w:val="0"/>
          <w:marBottom w:val="0"/>
          <w:divBdr>
            <w:top w:val="none" w:sz="0" w:space="0" w:color="auto"/>
            <w:left w:val="none" w:sz="0" w:space="0" w:color="auto"/>
            <w:bottom w:val="none" w:sz="0" w:space="0" w:color="auto"/>
            <w:right w:val="none" w:sz="0" w:space="0" w:color="auto"/>
          </w:divBdr>
          <w:divsChild>
            <w:div w:id="492794844">
              <w:marLeft w:val="0"/>
              <w:marRight w:val="0"/>
              <w:marTop w:val="0"/>
              <w:marBottom w:val="0"/>
              <w:divBdr>
                <w:top w:val="none" w:sz="0" w:space="0" w:color="auto"/>
                <w:left w:val="none" w:sz="0" w:space="0" w:color="auto"/>
                <w:bottom w:val="none" w:sz="0" w:space="0" w:color="auto"/>
                <w:right w:val="none" w:sz="0" w:space="0" w:color="auto"/>
              </w:divBdr>
              <w:divsChild>
                <w:div w:id="210775138">
                  <w:marLeft w:val="0"/>
                  <w:marRight w:val="0"/>
                  <w:marTop w:val="0"/>
                  <w:marBottom w:val="0"/>
                  <w:divBdr>
                    <w:top w:val="none" w:sz="0" w:space="0" w:color="auto"/>
                    <w:left w:val="none" w:sz="0" w:space="0" w:color="auto"/>
                    <w:bottom w:val="none" w:sz="0" w:space="0" w:color="auto"/>
                    <w:right w:val="none" w:sz="0" w:space="0" w:color="auto"/>
                  </w:divBdr>
                  <w:divsChild>
                    <w:div w:id="295378656">
                      <w:marLeft w:val="0"/>
                      <w:marRight w:val="0"/>
                      <w:marTop w:val="0"/>
                      <w:marBottom w:val="0"/>
                      <w:divBdr>
                        <w:top w:val="none" w:sz="0" w:space="0" w:color="auto"/>
                        <w:left w:val="none" w:sz="0" w:space="0" w:color="auto"/>
                        <w:bottom w:val="none" w:sz="0" w:space="0" w:color="auto"/>
                        <w:right w:val="none" w:sz="0" w:space="0" w:color="auto"/>
                      </w:divBdr>
                      <w:divsChild>
                        <w:div w:id="653799858">
                          <w:marLeft w:val="0"/>
                          <w:marRight w:val="0"/>
                          <w:marTop w:val="0"/>
                          <w:marBottom w:val="0"/>
                          <w:divBdr>
                            <w:top w:val="none" w:sz="0" w:space="0" w:color="auto"/>
                            <w:left w:val="none" w:sz="0" w:space="0" w:color="auto"/>
                            <w:bottom w:val="none" w:sz="0" w:space="0" w:color="auto"/>
                            <w:right w:val="none" w:sz="0" w:space="0" w:color="auto"/>
                          </w:divBdr>
                          <w:divsChild>
                            <w:div w:id="1741903078">
                              <w:marLeft w:val="0"/>
                              <w:marRight w:val="0"/>
                              <w:marTop w:val="0"/>
                              <w:marBottom w:val="0"/>
                              <w:divBdr>
                                <w:top w:val="none" w:sz="0" w:space="0" w:color="auto"/>
                                <w:left w:val="none" w:sz="0" w:space="0" w:color="auto"/>
                                <w:bottom w:val="none" w:sz="0" w:space="0" w:color="auto"/>
                                <w:right w:val="none" w:sz="0" w:space="0" w:color="auto"/>
                              </w:divBdr>
                              <w:divsChild>
                                <w:div w:id="1080981912">
                                  <w:marLeft w:val="0"/>
                                  <w:marRight w:val="0"/>
                                  <w:marTop w:val="0"/>
                                  <w:marBottom w:val="0"/>
                                  <w:divBdr>
                                    <w:top w:val="none" w:sz="0" w:space="0" w:color="auto"/>
                                    <w:left w:val="none" w:sz="0" w:space="0" w:color="auto"/>
                                    <w:bottom w:val="none" w:sz="0" w:space="0" w:color="auto"/>
                                    <w:right w:val="none" w:sz="0" w:space="0" w:color="auto"/>
                                  </w:divBdr>
                                  <w:divsChild>
                                    <w:div w:id="1013192530">
                                      <w:marLeft w:val="0"/>
                                      <w:marRight w:val="0"/>
                                      <w:marTop w:val="0"/>
                                      <w:marBottom w:val="0"/>
                                      <w:divBdr>
                                        <w:top w:val="none" w:sz="0" w:space="0" w:color="auto"/>
                                        <w:left w:val="none" w:sz="0" w:space="0" w:color="auto"/>
                                        <w:bottom w:val="none" w:sz="0" w:space="0" w:color="auto"/>
                                        <w:right w:val="none" w:sz="0" w:space="0" w:color="auto"/>
                                      </w:divBdr>
                                      <w:divsChild>
                                        <w:div w:id="194657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039517">
                  <w:marLeft w:val="0"/>
                  <w:marRight w:val="0"/>
                  <w:marTop w:val="0"/>
                  <w:marBottom w:val="0"/>
                  <w:divBdr>
                    <w:top w:val="none" w:sz="0" w:space="0" w:color="auto"/>
                    <w:left w:val="none" w:sz="0" w:space="0" w:color="auto"/>
                    <w:bottom w:val="none" w:sz="0" w:space="0" w:color="auto"/>
                    <w:right w:val="none" w:sz="0" w:space="0" w:color="auto"/>
                  </w:divBdr>
                  <w:divsChild>
                    <w:div w:id="1786731832">
                      <w:marLeft w:val="0"/>
                      <w:marRight w:val="0"/>
                      <w:marTop w:val="0"/>
                      <w:marBottom w:val="0"/>
                      <w:divBdr>
                        <w:top w:val="none" w:sz="0" w:space="0" w:color="auto"/>
                        <w:left w:val="none" w:sz="0" w:space="0" w:color="auto"/>
                        <w:bottom w:val="none" w:sz="0" w:space="0" w:color="auto"/>
                        <w:right w:val="none" w:sz="0" w:space="0" w:color="auto"/>
                      </w:divBdr>
                      <w:divsChild>
                        <w:div w:id="1824085768">
                          <w:marLeft w:val="0"/>
                          <w:marRight w:val="0"/>
                          <w:marTop w:val="0"/>
                          <w:marBottom w:val="0"/>
                          <w:divBdr>
                            <w:top w:val="none" w:sz="0" w:space="0" w:color="auto"/>
                            <w:left w:val="none" w:sz="0" w:space="0" w:color="auto"/>
                            <w:bottom w:val="none" w:sz="0" w:space="0" w:color="auto"/>
                            <w:right w:val="none" w:sz="0" w:space="0" w:color="auto"/>
                          </w:divBdr>
                          <w:divsChild>
                            <w:div w:id="1768698543">
                              <w:marLeft w:val="30"/>
                              <w:marRight w:val="30"/>
                              <w:marTop w:val="0"/>
                              <w:marBottom w:val="30"/>
                              <w:divBdr>
                                <w:top w:val="none" w:sz="0" w:space="0" w:color="auto"/>
                                <w:left w:val="none" w:sz="0" w:space="0" w:color="auto"/>
                                <w:bottom w:val="none" w:sz="0" w:space="0" w:color="auto"/>
                                <w:right w:val="none" w:sz="0" w:space="0" w:color="auto"/>
                              </w:divBdr>
                              <w:divsChild>
                                <w:div w:id="1374841012">
                                  <w:marLeft w:val="0"/>
                                  <w:marRight w:val="-15"/>
                                  <w:marTop w:val="0"/>
                                  <w:marBottom w:val="30"/>
                                  <w:divBdr>
                                    <w:top w:val="single" w:sz="6" w:space="0" w:color="E1E9F7"/>
                                    <w:left w:val="single" w:sz="6" w:space="8" w:color="E1E9F7"/>
                                    <w:bottom w:val="none" w:sz="0" w:space="0" w:color="auto"/>
                                    <w:right w:val="single" w:sz="6" w:space="4" w:color="E1E9F7"/>
                                  </w:divBdr>
                                  <w:divsChild>
                                    <w:div w:id="1251155445">
                                      <w:marLeft w:val="-15"/>
                                      <w:marRight w:val="-15"/>
                                      <w:marTop w:val="0"/>
                                      <w:marBottom w:val="0"/>
                                      <w:divBdr>
                                        <w:top w:val="none" w:sz="0" w:space="0" w:color="D8D8D8"/>
                                        <w:left w:val="none" w:sz="0" w:space="0" w:color="D8D8D8"/>
                                        <w:bottom w:val="none" w:sz="0" w:space="0" w:color="D8D8D8"/>
                                        <w:right w:val="none" w:sz="0" w:space="0" w:color="D8D8D8"/>
                                      </w:divBdr>
                                      <w:divsChild>
                                        <w:div w:id="128280578">
                                          <w:marLeft w:val="0"/>
                                          <w:marRight w:val="0"/>
                                          <w:marTop w:val="0"/>
                                          <w:marBottom w:val="0"/>
                                          <w:divBdr>
                                            <w:top w:val="none" w:sz="0" w:space="0" w:color="auto"/>
                                            <w:left w:val="none" w:sz="0" w:space="0" w:color="auto"/>
                                            <w:bottom w:val="none" w:sz="0" w:space="0" w:color="auto"/>
                                            <w:right w:val="none" w:sz="0" w:space="0" w:color="auto"/>
                                          </w:divBdr>
                                          <w:divsChild>
                                            <w:div w:id="132770585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908819">
                                  <w:marLeft w:val="0"/>
                                  <w:marRight w:val="-15"/>
                                  <w:marTop w:val="0"/>
                                  <w:marBottom w:val="30"/>
                                  <w:divBdr>
                                    <w:top w:val="single" w:sz="6" w:space="0" w:color="F9FBFD"/>
                                    <w:left w:val="single" w:sz="6" w:space="9" w:color="F9FBFD"/>
                                    <w:bottom w:val="none" w:sz="0" w:space="0" w:color="auto"/>
                                    <w:right w:val="single" w:sz="6" w:space="5" w:color="F9FBFD"/>
                                  </w:divBdr>
                                  <w:divsChild>
                                    <w:div w:id="15666063">
                                      <w:marLeft w:val="-15"/>
                                      <w:marRight w:val="-15"/>
                                      <w:marTop w:val="0"/>
                                      <w:marBottom w:val="0"/>
                                      <w:divBdr>
                                        <w:top w:val="none" w:sz="0" w:space="0" w:color="E4E4E4"/>
                                        <w:left w:val="none" w:sz="0" w:space="0" w:color="E4E4E4"/>
                                        <w:bottom w:val="none" w:sz="0" w:space="0" w:color="E4E4E4"/>
                                        <w:right w:val="none" w:sz="0" w:space="0" w:color="E4E4E4"/>
                                      </w:divBdr>
                                      <w:divsChild>
                                        <w:div w:id="125389966">
                                          <w:marLeft w:val="0"/>
                                          <w:marRight w:val="0"/>
                                          <w:marTop w:val="0"/>
                                          <w:marBottom w:val="0"/>
                                          <w:divBdr>
                                            <w:top w:val="none" w:sz="0" w:space="0" w:color="auto"/>
                                            <w:left w:val="none" w:sz="0" w:space="0" w:color="auto"/>
                                            <w:bottom w:val="none" w:sz="0" w:space="0" w:color="auto"/>
                                            <w:right w:val="none" w:sz="0" w:space="0" w:color="auto"/>
                                          </w:divBdr>
                                          <w:divsChild>
                                            <w:div w:id="201156607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25815268">
                                  <w:marLeft w:val="0"/>
                                  <w:marRight w:val="-15"/>
                                  <w:marTop w:val="0"/>
                                  <w:marBottom w:val="30"/>
                                  <w:divBdr>
                                    <w:top w:val="single" w:sz="6" w:space="0" w:color="F9FBFD"/>
                                    <w:left w:val="single" w:sz="6" w:space="9" w:color="F9FBFD"/>
                                    <w:bottom w:val="none" w:sz="0" w:space="0" w:color="auto"/>
                                    <w:right w:val="single" w:sz="6" w:space="5" w:color="F9FBFD"/>
                                  </w:divBdr>
                                  <w:divsChild>
                                    <w:div w:id="904536154">
                                      <w:marLeft w:val="-15"/>
                                      <w:marRight w:val="-15"/>
                                      <w:marTop w:val="0"/>
                                      <w:marBottom w:val="0"/>
                                      <w:divBdr>
                                        <w:top w:val="none" w:sz="0" w:space="0" w:color="E4E4E4"/>
                                        <w:left w:val="none" w:sz="0" w:space="0" w:color="E4E4E4"/>
                                        <w:bottom w:val="none" w:sz="0" w:space="0" w:color="E4E4E4"/>
                                        <w:right w:val="none" w:sz="0" w:space="0" w:color="E4E4E4"/>
                                      </w:divBdr>
                                      <w:divsChild>
                                        <w:div w:id="709569036">
                                          <w:marLeft w:val="0"/>
                                          <w:marRight w:val="0"/>
                                          <w:marTop w:val="0"/>
                                          <w:marBottom w:val="0"/>
                                          <w:divBdr>
                                            <w:top w:val="none" w:sz="0" w:space="0" w:color="auto"/>
                                            <w:left w:val="none" w:sz="0" w:space="0" w:color="auto"/>
                                            <w:bottom w:val="none" w:sz="0" w:space="0" w:color="auto"/>
                                            <w:right w:val="none" w:sz="0" w:space="0" w:color="auto"/>
                                          </w:divBdr>
                                          <w:divsChild>
                                            <w:div w:id="41038935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3920616">
          <w:marLeft w:val="0"/>
          <w:marRight w:val="0"/>
          <w:marTop w:val="0"/>
          <w:marBottom w:val="0"/>
          <w:divBdr>
            <w:top w:val="none" w:sz="0" w:space="0" w:color="auto"/>
            <w:left w:val="none" w:sz="0" w:space="0" w:color="auto"/>
            <w:bottom w:val="none" w:sz="0" w:space="0" w:color="auto"/>
            <w:right w:val="none" w:sz="0" w:space="0" w:color="auto"/>
          </w:divBdr>
          <w:divsChild>
            <w:div w:id="938148918">
              <w:marLeft w:val="0"/>
              <w:marRight w:val="0"/>
              <w:marTop w:val="0"/>
              <w:marBottom w:val="0"/>
              <w:divBdr>
                <w:top w:val="single" w:sz="12" w:space="0" w:color="0B57D0"/>
                <w:left w:val="single" w:sz="12" w:space="2" w:color="0B57D0"/>
                <w:bottom w:val="single" w:sz="12" w:space="0" w:color="0B57D0"/>
                <w:right w:val="single" w:sz="12" w:space="2" w:color="0B57D0"/>
              </w:divBdr>
              <w:divsChild>
                <w:div w:id="14343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789357">
      <w:bodyDiv w:val="1"/>
      <w:marLeft w:val="0"/>
      <w:marRight w:val="0"/>
      <w:marTop w:val="0"/>
      <w:marBottom w:val="0"/>
      <w:divBdr>
        <w:top w:val="none" w:sz="0" w:space="0" w:color="auto"/>
        <w:left w:val="none" w:sz="0" w:space="0" w:color="auto"/>
        <w:bottom w:val="none" w:sz="0" w:space="0" w:color="auto"/>
        <w:right w:val="none" w:sz="0" w:space="0" w:color="auto"/>
      </w:divBdr>
    </w:div>
    <w:div w:id="195331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B76F5-1AD5-A64B-BE29-BD96FEB4FAB7}">
  <ds:schemaRefs>
    <ds:schemaRef ds:uri="http://schemas.openxmlformats.org/officeDocument/2006/bibliography"/>
  </ds:schemaRefs>
</ds:datastoreItem>
</file>

<file path=customXml/itemProps2.xml><?xml version="1.0" encoding="utf-8"?>
<ds:datastoreItem xmlns:ds="http://schemas.openxmlformats.org/officeDocument/2006/customXml" ds:itemID="{BC74F4C3-1690-4A18-8697-A565C3C1541B}"/>
</file>

<file path=customXml/itemProps3.xml><?xml version="1.0" encoding="utf-8"?>
<ds:datastoreItem xmlns:ds="http://schemas.openxmlformats.org/officeDocument/2006/customXml" ds:itemID="{EF8667F4-A93F-45EF-9A38-3D07B56B7916}"/>
</file>

<file path=docProps/app.xml><?xml version="1.0" encoding="utf-8"?>
<Properties xmlns="http://schemas.openxmlformats.org/officeDocument/2006/extended-properties" xmlns:vt="http://schemas.openxmlformats.org/officeDocument/2006/docPropsVTypes">
  <Template>Normal</Template>
  <TotalTime>1</TotalTime>
  <Pages>7</Pages>
  <Words>3258</Words>
  <Characters>17924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Enrique Pi</dc:creator>
  <cp:keywords/>
  <dc:description/>
  <cp:lastModifiedBy>Juan Enrique Pi Arriagada</cp:lastModifiedBy>
  <cp:revision>3</cp:revision>
  <dcterms:created xsi:type="dcterms:W3CDTF">2024-09-03T15:43:00Z</dcterms:created>
  <dcterms:modified xsi:type="dcterms:W3CDTF">2024-09-03T15:44:00Z</dcterms:modified>
</cp:coreProperties>
</file>