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1D1614" w14:textId="2B41BF8A" w:rsidR="007D047A" w:rsidRDefault="00C51344" w:rsidP="002E67E0">
      <w:pPr>
        <w:jc w:val="center"/>
      </w:pPr>
      <w:r>
        <w:rPr>
          <w:b/>
          <w:bCs/>
          <w:sz w:val="32"/>
          <w:szCs w:val="32"/>
        </w:rPr>
        <w:br/>
      </w:r>
      <w:r w:rsidR="00400833" w:rsidRPr="00400833">
        <w:rPr>
          <w:b/>
          <w:bCs/>
          <w:sz w:val="32"/>
          <w:szCs w:val="32"/>
        </w:rPr>
        <w:t>Submission to the</w:t>
      </w:r>
      <w:r w:rsidR="007B013F">
        <w:rPr>
          <w:b/>
          <w:bCs/>
          <w:sz w:val="32"/>
          <w:szCs w:val="32"/>
        </w:rPr>
        <w:t xml:space="preserve"> Committee on the Elimination of All Forms </w:t>
      </w:r>
      <w:r w:rsidR="00A41849">
        <w:rPr>
          <w:b/>
          <w:bCs/>
          <w:sz w:val="32"/>
          <w:szCs w:val="32"/>
        </w:rPr>
        <w:t>of Discrimination Against Women</w:t>
      </w:r>
      <w:r w:rsidR="00400833" w:rsidRPr="00400833">
        <w:rPr>
          <w:b/>
          <w:bCs/>
          <w:sz w:val="32"/>
          <w:szCs w:val="32"/>
        </w:rPr>
        <w:t xml:space="preserve"> </w:t>
      </w:r>
      <w:r w:rsidR="00A41849">
        <w:rPr>
          <w:b/>
          <w:bCs/>
          <w:sz w:val="32"/>
          <w:szCs w:val="32"/>
        </w:rPr>
        <w:t>(</w:t>
      </w:r>
      <w:r w:rsidR="00400833" w:rsidRPr="00400833">
        <w:rPr>
          <w:b/>
          <w:bCs/>
          <w:sz w:val="32"/>
          <w:szCs w:val="32"/>
        </w:rPr>
        <w:t>CEDAW</w:t>
      </w:r>
      <w:r w:rsidR="00A41849">
        <w:rPr>
          <w:b/>
          <w:bCs/>
          <w:sz w:val="32"/>
          <w:szCs w:val="32"/>
        </w:rPr>
        <w:t xml:space="preserve">) </w:t>
      </w:r>
      <w:r w:rsidR="006C6A5F">
        <w:rPr>
          <w:b/>
          <w:bCs/>
          <w:sz w:val="32"/>
          <w:szCs w:val="32"/>
        </w:rPr>
        <w:t xml:space="preserve">on Saudi Arabia </w:t>
      </w:r>
      <w:r w:rsidR="007D047A">
        <w:rPr>
          <w:b/>
          <w:bCs/>
          <w:sz w:val="32"/>
          <w:szCs w:val="32"/>
        </w:rPr>
        <w:br/>
      </w:r>
      <w:r w:rsidR="00400833" w:rsidRPr="00C51344">
        <w:rPr>
          <w:b/>
          <w:bCs/>
          <w:sz w:val="32"/>
          <w:szCs w:val="32"/>
        </w:rPr>
        <w:t xml:space="preserve"> 89</w:t>
      </w:r>
      <w:r w:rsidR="00400833" w:rsidRPr="00C51344">
        <w:rPr>
          <w:b/>
          <w:bCs/>
          <w:sz w:val="32"/>
          <w:szCs w:val="32"/>
          <w:vertAlign w:val="superscript"/>
        </w:rPr>
        <w:t>th</w:t>
      </w:r>
      <w:r w:rsidR="00400833" w:rsidRPr="00C51344">
        <w:rPr>
          <w:b/>
          <w:bCs/>
          <w:sz w:val="32"/>
          <w:szCs w:val="32"/>
        </w:rPr>
        <w:t xml:space="preserve"> Session</w:t>
      </w:r>
    </w:p>
    <w:p w14:paraId="2D4B807E" w14:textId="140669FF" w:rsidR="00400833" w:rsidRPr="00400833" w:rsidRDefault="00400833" w:rsidP="00400833">
      <w:r w:rsidRPr="00400833">
        <w:t xml:space="preserve">We write in advance of the </w:t>
      </w:r>
      <w:r>
        <w:t>89</w:t>
      </w:r>
      <w:r w:rsidRPr="00400833">
        <w:rPr>
          <w:vertAlign w:val="superscript"/>
        </w:rPr>
        <w:t>th</w:t>
      </w:r>
      <w:r>
        <w:t xml:space="preserve"> </w:t>
      </w:r>
      <w:r w:rsidRPr="00400833">
        <w:t xml:space="preserve">Session of the Committee on the Elimination of Discrimination against Women and its review of </w:t>
      </w:r>
      <w:r>
        <w:t>Saudi Arabia</w:t>
      </w:r>
      <w:r w:rsidRPr="00400833">
        <w:t>’s compliance with the Convention on the Elimination of All Forms of Discrimination against Women (CEDAW</w:t>
      </w:r>
      <w:r w:rsidRPr="00A8108D">
        <w:t>). This submission addresses articles 1, 2, 3,</w:t>
      </w:r>
      <w:r w:rsidR="00246482" w:rsidRPr="00A8108D">
        <w:t xml:space="preserve"> 5,</w:t>
      </w:r>
      <w:r w:rsidRPr="00A8108D">
        <w:t xml:space="preserve"> 6, </w:t>
      </w:r>
      <w:r w:rsidR="00246482" w:rsidRPr="00A8108D">
        <w:t xml:space="preserve">10, </w:t>
      </w:r>
      <w:r w:rsidRPr="00A8108D">
        <w:t>11, 12, 14, 15, and 16 of the Convention.</w:t>
      </w:r>
    </w:p>
    <w:p w14:paraId="448D39F7" w14:textId="77777777" w:rsidR="00400833" w:rsidRPr="00400833" w:rsidRDefault="00400833" w:rsidP="00400833">
      <w:r w:rsidRPr="00400833">
        <w:t>This submission is based on information contained in Human Rights Watch publications and media reports.</w:t>
      </w:r>
    </w:p>
    <w:p w14:paraId="78F58A8D" w14:textId="5D8C5A38" w:rsidR="00400833" w:rsidRPr="00400833" w:rsidRDefault="00400833" w:rsidP="00400833">
      <w:pPr>
        <w:rPr>
          <w:b/>
          <w:bCs/>
        </w:rPr>
      </w:pPr>
      <w:r w:rsidRPr="00400833">
        <w:rPr>
          <w:b/>
          <w:bCs/>
        </w:rPr>
        <w:t xml:space="preserve">1. Discrimination </w:t>
      </w:r>
      <w:r w:rsidR="008C7D4B">
        <w:rPr>
          <w:b/>
          <w:bCs/>
        </w:rPr>
        <w:t>A</w:t>
      </w:r>
      <w:r w:rsidRPr="00400833">
        <w:rPr>
          <w:b/>
          <w:bCs/>
        </w:rPr>
        <w:t xml:space="preserve">gainst </w:t>
      </w:r>
      <w:r w:rsidR="00CA30ED">
        <w:rPr>
          <w:b/>
          <w:bCs/>
        </w:rPr>
        <w:t>W</w:t>
      </w:r>
      <w:r w:rsidRPr="00400833">
        <w:rPr>
          <w:b/>
          <w:bCs/>
        </w:rPr>
        <w:t xml:space="preserve">omen in </w:t>
      </w:r>
      <w:r w:rsidR="00CA30ED">
        <w:rPr>
          <w:b/>
          <w:bCs/>
        </w:rPr>
        <w:t>the</w:t>
      </w:r>
      <w:r w:rsidRPr="00400833">
        <w:rPr>
          <w:b/>
          <w:bCs/>
        </w:rPr>
        <w:t xml:space="preserve"> Personal Status Law (</w:t>
      </w:r>
      <w:r w:rsidRPr="00A8108D">
        <w:rPr>
          <w:b/>
          <w:bCs/>
        </w:rPr>
        <w:t xml:space="preserve">articles 1, 2, </w:t>
      </w:r>
      <w:r w:rsidR="00246482" w:rsidRPr="00A8108D">
        <w:rPr>
          <w:b/>
          <w:bCs/>
        </w:rPr>
        <w:t xml:space="preserve">10, </w:t>
      </w:r>
      <w:r w:rsidRPr="00A8108D">
        <w:rPr>
          <w:b/>
          <w:bCs/>
        </w:rPr>
        <w:t>11, 15, and 16)</w:t>
      </w:r>
    </w:p>
    <w:p w14:paraId="49FB5E19" w14:textId="4C04EDB5" w:rsidR="00EC10AB" w:rsidRDefault="00EC10AB" w:rsidP="00EC10AB">
      <w:r w:rsidRPr="00EC10AB">
        <w:t>The Personal Status Law, issued on March 8, 2022</w:t>
      </w:r>
      <w:r>
        <w:t>,</w:t>
      </w:r>
      <w:r w:rsidRPr="00EC10AB">
        <w:t xml:space="preserve"> codifies discriminatory practices and includes provisions that facilitate domestic violence and sexual abuse in marriage. The law also uses vague language that gives judges wide discretion when adjudicating cases, increasing the likelihood of inconsistent interpretations.</w:t>
      </w:r>
    </w:p>
    <w:p w14:paraId="008559C6" w14:textId="376FEC8E" w:rsidR="00826CA5" w:rsidRDefault="5712302E" w:rsidP="44EABBE8">
      <w:pPr>
        <w:rPr>
          <w:rStyle w:val="Hyperlink"/>
        </w:rPr>
      </w:pPr>
      <w:r>
        <w:t>M</w:t>
      </w:r>
      <w:r w:rsidR="3D0B335A">
        <w:t xml:space="preserve">ale guardianship in </w:t>
      </w:r>
      <w:r w:rsidR="1587050E">
        <w:t>Saudi</w:t>
      </w:r>
      <w:r w:rsidR="3D0B335A">
        <w:t xml:space="preserve"> law undermines women’s right to make autonomous decisions</w:t>
      </w:r>
      <w:r w:rsidR="001454A6">
        <w:t>,</w:t>
      </w:r>
      <w:r w:rsidR="6BC478D2">
        <w:t xml:space="preserve"> </w:t>
      </w:r>
      <w:r w:rsidR="001454A6">
        <w:t>including about</w:t>
      </w:r>
      <w:r w:rsidR="3D0B335A">
        <w:t xml:space="preserve"> marriage. </w:t>
      </w:r>
      <w:r w:rsidR="287BACE9">
        <w:t xml:space="preserve">Articles 13 and 15 </w:t>
      </w:r>
      <w:r w:rsidR="79A4E498">
        <w:t>require</w:t>
      </w:r>
      <w:r w:rsidR="3D0B335A">
        <w:t xml:space="preserve"> women</w:t>
      </w:r>
      <w:r w:rsidR="287BACE9">
        <w:t xml:space="preserve"> to</w:t>
      </w:r>
      <w:r w:rsidR="3D0B335A">
        <w:t xml:space="preserve"> </w:t>
      </w:r>
      <w:r w:rsidR="79A4E498">
        <w:t>obtain a male guardian’s permission to marry</w:t>
      </w:r>
      <w:r w:rsidR="3D0B335A">
        <w:t xml:space="preserve"> </w:t>
      </w:r>
      <w:r w:rsidR="287BACE9">
        <w:t xml:space="preserve">irrespective of her age or former marital status </w:t>
      </w:r>
      <w:r w:rsidR="3D0B335A">
        <w:t xml:space="preserve">while </w:t>
      </w:r>
      <w:r w:rsidR="79A4E498">
        <w:t xml:space="preserve">men do </w:t>
      </w:r>
      <w:r w:rsidR="001454A6">
        <w:t>not</w:t>
      </w:r>
      <w:r w:rsidR="79A4E498">
        <w:t xml:space="preserve"> need such permission and can</w:t>
      </w:r>
      <w:r w:rsidR="3D0B335A">
        <w:t xml:space="preserve"> </w:t>
      </w:r>
      <w:r w:rsidR="79A4E498">
        <w:t>have</w:t>
      </w:r>
      <w:r w:rsidR="3D0B335A">
        <w:t xml:space="preserve"> four wives at any one time.</w:t>
      </w:r>
      <w:r w:rsidR="001454A6">
        <w:rPr>
          <w:rStyle w:val="FootnoteReference"/>
        </w:rPr>
        <w:footnoteReference w:id="2"/>
      </w:r>
      <w:r w:rsidR="001454A6">
        <w:t xml:space="preserve"> </w:t>
      </w:r>
      <w:r w:rsidR="2FD39DC9">
        <w:t>Even if a woman’s guardian agrees to the marriage, the law allows other relatives up to the third degree to object to the marriage.</w:t>
      </w:r>
      <w:r w:rsidR="001454A6">
        <w:rPr>
          <w:rStyle w:val="FootnoteReference"/>
        </w:rPr>
        <w:footnoteReference w:id="3"/>
      </w:r>
      <w:r w:rsidR="04DE0C4F">
        <w:t xml:space="preserve"> Women can apply to court if the primary guardian prevents a marriage, and the judge can appoint another guardian or act as her guardian to execute the marriage contract. However, Human Rights Watch documented Saudi judges’ deferential treatment of a guardian’s opinion regarding the suitability of a marriage</w:t>
      </w:r>
      <w:r w:rsidR="001454A6">
        <w:t>.</w:t>
      </w:r>
      <w:r w:rsidR="001454A6">
        <w:rPr>
          <w:rStyle w:val="FootnoteReference"/>
        </w:rPr>
        <w:footnoteReference w:id="4"/>
      </w:r>
    </w:p>
    <w:p w14:paraId="53D589ED" w14:textId="330F3D5F" w:rsidR="0032158D" w:rsidRDefault="00513E44" w:rsidP="00EC10AB">
      <w:r>
        <w:lastRenderedPageBreak/>
        <w:t>Article 42</w:t>
      </w:r>
      <w:r w:rsidR="00400833" w:rsidRPr="00400833">
        <w:t xml:space="preserve"> requires </w:t>
      </w:r>
      <w:r w:rsidR="005857A0">
        <w:t>married women to obey their husbands in a “reasonable manner”</w:t>
      </w:r>
      <w:r>
        <w:t xml:space="preserve"> and breastfeed their children unless there is an impediment.</w:t>
      </w:r>
      <w:r w:rsidR="005857A0">
        <w:t xml:space="preserve"> </w:t>
      </w:r>
      <w:r w:rsidR="0032158D">
        <w:t>The same article prohibits spouses from abstaining from sexual relations or cohabitation without the other spouse’s consent, implying a marital right to intercourse.</w:t>
      </w:r>
      <w:r w:rsidR="0007306F">
        <w:rPr>
          <w:rStyle w:val="FootnoteReference"/>
        </w:rPr>
        <w:footnoteReference w:id="5"/>
      </w:r>
    </w:p>
    <w:p w14:paraId="395A2948" w14:textId="2F07F86B" w:rsidR="00400833" w:rsidRDefault="005857A0" w:rsidP="00EC10AB">
      <w:r>
        <w:t>Financial support by the husband is specifically contingent on the wife’s “obedience,” and she can lose her right to such support if she refuses without a “legitimate excuse” to have sex with him, move to or live in the marital home, or travel with him</w:t>
      </w:r>
      <w:r w:rsidR="00E63917">
        <w:t>, according to articles 45 and 55.</w:t>
      </w:r>
      <w:r w:rsidR="0007306F">
        <w:rPr>
          <w:rStyle w:val="FootnoteReference"/>
        </w:rPr>
        <w:footnoteReference w:id="6"/>
      </w:r>
    </w:p>
    <w:p w14:paraId="24FBBFBA" w14:textId="52D91B3D" w:rsidR="00020AED" w:rsidRPr="00400833" w:rsidRDefault="00020AED" w:rsidP="00EC10AB">
      <w:r>
        <w:t>Men can file cases for “disobedience” against their wives, daughters, or female relatives under their guardianship, which</w:t>
      </w:r>
      <w:r w:rsidR="006542E8">
        <w:t xml:space="preserve"> can</w:t>
      </w:r>
      <w:r>
        <w:t xml:space="preserve"> result in the arrest and forcible return to their male guardian’s home or imprisonment.</w:t>
      </w:r>
      <w:r w:rsidR="0007306F">
        <w:rPr>
          <w:rStyle w:val="FootnoteReference"/>
        </w:rPr>
        <w:footnoteReference w:id="7"/>
      </w:r>
      <w:r>
        <w:t xml:space="preserve"> Some Saudi law firms say that women can hire lawyers to contest these cases within 30 days, creating a financial barrier for women who cannot afford </w:t>
      </w:r>
      <w:r w:rsidR="00B81B46">
        <w:t>legal counsel</w:t>
      </w:r>
      <w:r>
        <w:t>.</w:t>
      </w:r>
      <w:r w:rsidR="0007306F">
        <w:rPr>
          <w:rStyle w:val="FootnoteReference"/>
        </w:rPr>
        <w:footnoteReference w:id="8"/>
      </w:r>
      <w:r w:rsidR="0007306F" w:rsidRPr="00400833">
        <w:t xml:space="preserve"> </w:t>
      </w:r>
    </w:p>
    <w:p w14:paraId="04841FED" w14:textId="520EB83D" w:rsidR="00E5664B" w:rsidRDefault="001A7A1C" w:rsidP="00E5664B">
      <w:r w:rsidRPr="001A7A1C">
        <w:t>Men can unilaterally divorce their wives while a woman can only petition a court to dissolve their marriage contract on limited grounds and must “establish [the] harm” that makes the continuation of marriage “impossible” within those grounds</w:t>
      </w:r>
      <w:r w:rsidR="000F6EF9">
        <w:t>, according to article 108</w:t>
      </w:r>
      <w:r w:rsidRPr="001A7A1C">
        <w:t xml:space="preserve">. </w:t>
      </w:r>
      <w:bookmarkStart w:id="0" w:name="_ftnref4"/>
      <w:r w:rsidR="00E5664B" w:rsidRPr="007A71CC">
        <w:t xml:space="preserve">However, the law does not </w:t>
      </w:r>
      <w:r w:rsidR="00E5664B">
        <w:t>have</w:t>
      </w:r>
      <w:r w:rsidR="00E5664B" w:rsidRPr="007A71CC">
        <w:t xml:space="preserve"> a threshold for what constitutes harm or what can be used to establish it, leaving these terms entirely at the discretion of the presiding judge. Saudi lawyers have noted that photos, voice notes, and text messages, which may be the only records of a husband’s abuse that women have, may not be accepted by judges, who often favor items such as medical and police records.</w:t>
      </w:r>
      <w:r w:rsidR="00E5664B">
        <w:t xml:space="preserve"> </w:t>
      </w:r>
      <w:r w:rsidR="00E5664B" w:rsidRPr="007A71CC">
        <w:t>Survivors of physical abuse often struggle to report incidents to the authorities or access social services or court action without a male relative, or because they are discouraged from reporting due to social stigma, especially if their spouse is also a cousin.</w:t>
      </w:r>
      <w:r w:rsidR="0007306F">
        <w:rPr>
          <w:rStyle w:val="FootnoteReference"/>
        </w:rPr>
        <w:footnoteReference w:id="9"/>
      </w:r>
      <w:r w:rsidR="0007306F">
        <w:t xml:space="preserve"> </w:t>
      </w:r>
    </w:p>
    <w:p w14:paraId="06DEE97A" w14:textId="1820DEA0" w:rsidR="00E5664B" w:rsidRPr="00400833" w:rsidRDefault="00E5664B" w:rsidP="00E5664B">
      <w:r>
        <w:t xml:space="preserve">According to Article 27, if a woman wishes to have the same right to unilaterally divorce her husband, the husband </w:t>
      </w:r>
      <w:r w:rsidR="00EF4DC5">
        <w:t>must</w:t>
      </w:r>
      <w:r>
        <w:t xml:space="preserve"> agree to it as a condition in the marriage contract at the time of stipulating their agreed marriage terms. However, this is uncommon, seen as shameful to include, or not allowed by marriage registrars who view this practice as un-Islamic.</w:t>
      </w:r>
      <w:r w:rsidR="00EF4DC5">
        <w:rPr>
          <w:rStyle w:val="FootnoteReference"/>
        </w:rPr>
        <w:footnoteReference w:id="10"/>
      </w:r>
      <w:r w:rsidR="00EF4DC5" w:rsidRPr="00400833">
        <w:t xml:space="preserve"> </w:t>
      </w:r>
    </w:p>
    <w:p w14:paraId="52EE82B3" w14:textId="5FF0F188" w:rsidR="00400833" w:rsidRDefault="002B12EC" w:rsidP="00E5664B">
      <w:pPr>
        <w:rPr>
          <w:rStyle w:val="Hyperlink"/>
          <w:color w:val="auto"/>
          <w:u w:val="none"/>
        </w:rPr>
      </w:pPr>
      <w:r w:rsidRPr="002B12EC">
        <w:rPr>
          <w:rFonts w:ascii="Georgia" w:hAnsi="Georgia"/>
          <w:color w:val="444444"/>
        </w:rPr>
        <w:lastRenderedPageBreak/>
        <w:t xml:space="preserve"> </w:t>
      </w:r>
      <w:r w:rsidRPr="002B12EC">
        <w:t xml:space="preserve">A woman can </w:t>
      </w:r>
      <w:r w:rsidR="00E5664B">
        <w:t xml:space="preserve">also </w:t>
      </w:r>
      <w:r w:rsidRPr="002B12EC">
        <w:t>request a divorce based on </w:t>
      </w:r>
      <w:proofErr w:type="spellStart"/>
      <w:r w:rsidRPr="002B12EC">
        <w:rPr>
          <w:i/>
          <w:iCs/>
        </w:rPr>
        <w:t>khul</w:t>
      </w:r>
      <w:proofErr w:type="spellEnd"/>
      <w:r w:rsidRPr="002B12EC">
        <w:t>', by which her husband consents to the divorce in exchange for compensation.</w:t>
      </w:r>
      <w:bookmarkEnd w:id="0"/>
      <w:r w:rsidR="00EF4DC5">
        <w:rPr>
          <w:rStyle w:val="FootnoteReference"/>
        </w:rPr>
        <w:footnoteReference w:id="11"/>
      </w:r>
      <w:r w:rsidR="000739EB">
        <w:rPr>
          <w:rStyle w:val="Hyperlink"/>
        </w:rPr>
        <w:t xml:space="preserve"> </w:t>
      </w:r>
      <w:r w:rsidR="000739EB" w:rsidRPr="000739EB">
        <w:rPr>
          <w:rStyle w:val="Hyperlink"/>
          <w:color w:val="auto"/>
          <w:u w:val="none"/>
        </w:rPr>
        <w:t>The compensation may be returning the money or goods given to her by the groom or his family at the time of marriage, or property of similar or equal value.</w:t>
      </w:r>
      <w:r w:rsidR="001376A6">
        <w:rPr>
          <w:rStyle w:val="Hyperlink"/>
          <w:color w:val="auto"/>
          <w:u w:val="none"/>
        </w:rPr>
        <w:t xml:space="preserve"> Similar payout requirements are not imposed on men who initiate a divorce.</w:t>
      </w:r>
    </w:p>
    <w:p w14:paraId="3C28CB76" w14:textId="60162A14" w:rsidR="000F6EF9" w:rsidRDefault="000F6EF9" w:rsidP="00E5664B">
      <w:r>
        <w:rPr>
          <w:rStyle w:val="Hyperlink"/>
          <w:color w:val="auto"/>
          <w:u w:val="none"/>
        </w:rPr>
        <w:t xml:space="preserve">If a woman is unable or unwilling to pay for a </w:t>
      </w:r>
      <w:proofErr w:type="spellStart"/>
      <w:r w:rsidR="008604BC" w:rsidRPr="002E67E0">
        <w:rPr>
          <w:rStyle w:val="Hyperlink"/>
          <w:i/>
          <w:iCs/>
          <w:color w:val="auto"/>
          <w:u w:val="none"/>
        </w:rPr>
        <w:t>k</w:t>
      </w:r>
      <w:r w:rsidRPr="002E67E0">
        <w:rPr>
          <w:rStyle w:val="Hyperlink"/>
          <w:i/>
          <w:iCs/>
          <w:color w:val="auto"/>
          <w:u w:val="none"/>
        </w:rPr>
        <w:t>hul</w:t>
      </w:r>
      <w:proofErr w:type="spellEnd"/>
      <w:r w:rsidR="00EF4DC5">
        <w:rPr>
          <w:rStyle w:val="Hyperlink"/>
          <w:i/>
          <w:iCs/>
          <w:color w:val="auto"/>
          <w:u w:val="none"/>
        </w:rPr>
        <w:t xml:space="preserve">’ </w:t>
      </w:r>
      <w:r w:rsidR="00E57FC8">
        <w:rPr>
          <w:rStyle w:val="Hyperlink"/>
          <w:color w:val="auto"/>
          <w:u w:val="none"/>
        </w:rPr>
        <w:t xml:space="preserve">divorce, </w:t>
      </w:r>
      <w:r>
        <w:rPr>
          <w:rStyle w:val="Hyperlink"/>
          <w:color w:val="auto"/>
          <w:u w:val="none"/>
        </w:rPr>
        <w:t>she can file for fault-based divorce on grounds prescribed in the law such as failure to provide financial support, the husband’s abandonment of the marital home for more than four months, or if the husband does not, or s</w:t>
      </w:r>
      <w:r w:rsidR="009D72DB">
        <w:rPr>
          <w:rStyle w:val="Hyperlink"/>
          <w:color w:val="auto"/>
          <w:u w:val="none"/>
        </w:rPr>
        <w:t>w</w:t>
      </w:r>
      <w:r>
        <w:rPr>
          <w:rStyle w:val="Hyperlink"/>
          <w:color w:val="auto"/>
          <w:u w:val="none"/>
        </w:rPr>
        <w:t>ears he will not, have sex with her for four months without a “legitimate excuse.”</w:t>
      </w:r>
      <w:r w:rsidR="003F6198">
        <w:rPr>
          <w:rStyle w:val="FootnoteReference"/>
        </w:rPr>
        <w:footnoteReference w:id="12"/>
      </w:r>
      <w:r w:rsidR="003F6198">
        <w:t xml:space="preserve"> </w:t>
      </w:r>
    </w:p>
    <w:p w14:paraId="1068A147" w14:textId="186F9814" w:rsidR="00400833" w:rsidRDefault="00400833" w:rsidP="002B12EC">
      <w:r w:rsidRPr="00400833">
        <w:t xml:space="preserve">Women also face discrimination regarding the status of children after divorce. </w:t>
      </w:r>
      <w:r w:rsidR="002B12EC" w:rsidRPr="00400833">
        <w:t xml:space="preserve">The law </w:t>
      </w:r>
      <w:r w:rsidR="002B12EC" w:rsidRPr="003239E3">
        <w:t>provides that following a divorce, children are to be cared for by a “custodian,” the default being the mother</w:t>
      </w:r>
      <w:r w:rsidR="002B12EC" w:rsidRPr="00400833">
        <w:t xml:space="preserve">, unless the court rules otherwise, but the law </w:t>
      </w:r>
      <w:r w:rsidR="002B12EC" w:rsidRPr="003239E3">
        <w:t xml:space="preserve">gives the father </w:t>
      </w:r>
      <w:r w:rsidR="002B12EC" w:rsidRPr="00400833">
        <w:t>all decision-making authority.</w:t>
      </w:r>
      <w:r w:rsidR="003F6198">
        <w:rPr>
          <w:rStyle w:val="FootnoteReference"/>
        </w:rPr>
        <w:footnoteReference w:id="13"/>
      </w:r>
      <w:r w:rsidR="002B12EC" w:rsidRPr="003239E3">
        <w:t xml:space="preserve"> Regardless of whether the court appoints a woman as “custodian” of her child, the law provides that the child’s father remains the default guardian. </w:t>
      </w:r>
      <w:r w:rsidRPr="00400833">
        <w:t>Children can also be removed from living with their mothers if their mothers re-marry.</w:t>
      </w:r>
      <w:r w:rsidR="003F6198">
        <w:rPr>
          <w:rStyle w:val="FootnoteReference"/>
        </w:rPr>
        <w:footnoteReference w:id="14"/>
      </w:r>
      <w:r w:rsidR="003F6198">
        <w:t xml:space="preserve"> </w:t>
      </w:r>
    </w:p>
    <w:p w14:paraId="3CF990B8" w14:textId="4D849BDD" w:rsidR="00FA2107" w:rsidRDefault="00FA2107" w:rsidP="002B12EC">
      <w:r>
        <w:t>Article 126 provides that a woman must not marry a man who is a stranger to a child in her custody unless it is in the child’s “best interest,” a term that is not defined in law. A father can seek to terminate the mother’s custody of the children on the grounds that she is no longer a “competent” custodian or because she remarried a man who is a stranger to the child. The law does not extend the mother the same right to contest custody if the father remarries.</w:t>
      </w:r>
    </w:p>
    <w:p w14:paraId="47F56EBA" w14:textId="1403D004" w:rsidR="004F3C0D" w:rsidRPr="00400833" w:rsidRDefault="004F3C0D" w:rsidP="004F3C0D">
      <w:bookmarkStart w:id="1" w:name="_ftnref5"/>
      <w:r>
        <w:t>Article 8</w:t>
      </w:r>
      <w:r w:rsidRPr="00BB1205">
        <w:t xml:space="preserve"> sets the legal age of marriage as 18. However, courts </w:t>
      </w:r>
      <w:r>
        <w:t>can</w:t>
      </w:r>
      <w:r w:rsidRPr="00BB1205">
        <w:t xml:space="preserve"> authorize the marriage of a child under 18 if they have “reached puberty” – which could be younger than 15 – and if the marriage provides an “established benefit” to the child.</w:t>
      </w:r>
      <w:r w:rsidR="003F6198">
        <w:rPr>
          <w:rStyle w:val="FootnoteReference"/>
        </w:rPr>
        <w:footnoteReference w:id="15"/>
      </w:r>
      <w:r w:rsidRPr="00BB1205">
        <w:t xml:space="preserve">The law does not define “puberty,” though in practice this is understood, for girls, to refer to her first menstruation. </w:t>
      </w:r>
      <w:bookmarkEnd w:id="1"/>
    </w:p>
    <w:p w14:paraId="18FFCF8D" w14:textId="33F23F36" w:rsidR="00400833" w:rsidRPr="001F439A" w:rsidRDefault="00400833" w:rsidP="00400833">
      <w:r w:rsidRPr="001F439A">
        <w:t xml:space="preserve">Under </w:t>
      </w:r>
      <w:r w:rsidR="001F439A" w:rsidRPr="001F439A">
        <w:t>article 215 of the law</w:t>
      </w:r>
      <w:r w:rsidRPr="001F439A">
        <w:t xml:space="preserve">, </w:t>
      </w:r>
      <w:r w:rsidR="001F439A" w:rsidRPr="001F439A">
        <w:t>daughters</w:t>
      </w:r>
      <w:r w:rsidRPr="001F439A">
        <w:t xml:space="preserve"> </w:t>
      </w:r>
      <w:r w:rsidR="001F439A" w:rsidRPr="001F439A">
        <w:t>inherit</w:t>
      </w:r>
      <w:r w:rsidRPr="001F439A">
        <w:t xml:space="preserve"> half </w:t>
      </w:r>
      <w:r w:rsidR="001F439A">
        <w:t xml:space="preserve">of the </w:t>
      </w:r>
      <w:r w:rsidRPr="001F439A">
        <w:t>amount their brothers get</w:t>
      </w:r>
      <w:r w:rsidR="001F439A">
        <w:t xml:space="preserve"> from either parent’s assets</w:t>
      </w:r>
      <w:r w:rsidRPr="001F439A">
        <w:t>.</w:t>
      </w:r>
      <w:r w:rsidR="001F439A" w:rsidRPr="001F439A">
        <w:t xml:space="preserve"> </w:t>
      </w:r>
      <w:r w:rsidR="00E2731E">
        <w:br/>
      </w:r>
      <w:r w:rsidR="00E2731E">
        <w:br/>
      </w:r>
    </w:p>
    <w:p w14:paraId="6B9018EF" w14:textId="5D61F6FC" w:rsidR="00400833" w:rsidRPr="00F170A0" w:rsidRDefault="00400833" w:rsidP="00400833">
      <w:pPr>
        <w:rPr>
          <w:b/>
          <w:bCs/>
        </w:rPr>
      </w:pPr>
      <w:r w:rsidRPr="00F170A0">
        <w:rPr>
          <w:b/>
          <w:bCs/>
        </w:rPr>
        <w:lastRenderedPageBreak/>
        <w:t xml:space="preserve">2. Discrimination </w:t>
      </w:r>
      <w:r w:rsidR="00CF7F5E">
        <w:rPr>
          <w:b/>
          <w:bCs/>
        </w:rPr>
        <w:t>A</w:t>
      </w:r>
      <w:r w:rsidRPr="00F170A0">
        <w:rPr>
          <w:b/>
          <w:bCs/>
        </w:rPr>
        <w:t xml:space="preserve">gainst </w:t>
      </w:r>
      <w:r w:rsidR="00CA30ED">
        <w:rPr>
          <w:b/>
          <w:bCs/>
        </w:rPr>
        <w:t>W</w:t>
      </w:r>
      <w:r w:rsidRPr="00F170A0">
        <w:rPr>
          <w:b/>
          <w:bCs/>
        </w:rPr>
        <w:t>omen in</w:t>
      </w:r>
      <w:r w:rsidR="00511C26">
        <w:rPr>
          <w:b/>
          <w:bCs/>
        </w:rPr>
        <w:t xml:space="preserve"> </w:t>
      </w:r>
      <w:r w:rsidR="00CA30ED">
        <w:rPr>
          <w:b/>
          <w:bCs/>
        </w:rPr>
        <w:t>O</w:t>
      </w:r>
      <w:r w:rsidR="00511C26">
        <w:rPr>
          <w:b/>
          <w:bCs/>
        </w:rPr>
        <w:t>ther</w:t>
      </w:r>
      <w:r w:rsidRPr="00F170A0">
        <w:rPr>
          <w:b/>
          <w:bCs/>
        </w:rPr>
        <w:t xml:space="preserve"> </w:t>
      </w:r>
      <w:r w:rsidR="00CA30ED">
        <w:rPr>
          <w:b/>
          <w:bCs/>
        </w:rPr>
        <w:t>L</w:t>
      </w:r>
      <w:r w:rsidRPr="00F170A0">
        <w:rPr>
          <w:b/>
          <w:bCs/>
        </w:rPr>
        <w:t>aw</w:t>
      </w:r>
      <w:r w:rsidR="00511C26">
        <w:rPr>
          <w:b/>
          <w:bCs/>
        </w:rPr>
        <w:t>s</w:t>
      </w:r>
      <w:r w:rsidR="00D6369C">
        <w:rPr>
          <w:b/>
          <w:bCs/>
        </w:rPr>
        <w:t xml:space="preserve"> and In Practice</w:t>
      </w:r>
      <w:r w:rsidRPr="00F170A0">
        <w:rPr>
          <w:b/>
          <w:bCs/>
        </w:rPr>
        <w:t xml:space="preserve"> (articles 1, 2, 5, </w:t>
      </w:r>
      <w:r w:rsidR="00246482">
        <w:rPr>
          <w:b/>
          <w:bCs/>
        </w:rPr>
        <w:t xml:space="preserve">12, </w:t>
      </w:r>
      <w:r w:rsidRPr="00F170A0">
        <w:rPr>
          <w:b/>
          <w:bCs/>
        </w:rPr>
        <w:t>and 15)</w:t>
      </w:r>
    </w:p>
    <w:p w14:paraId="12198C2D" w14:textId="281FC3E4" w:rsidR="00400833" w:rsidRDefault="00541703" w:rsidP="00400833">
      <w:r>
        <w:t>Saudi Arabia</w:t>
      </w:r>
      <w:r w:rsidR="00E555EC">
        <w:t xml:space="preserve"> does not have a penal code but applies its own interpretation of </w:t>
      </w:r>
      <w:r w:rsidR="00CF7F5E" w:rsidRPr="6E5116E7">
        <w:rPr>
          <w:i/>
          <w:iCs/>
        </w:rPr>
        <w:t>s</w:t>
      </w:r>
      <w:r w:rsidR="00E555EC" w:rsidRPr="6E5116E7">
        <w:rPr>
          <w:i/>
          <w:iCs/>
        </w:rPr>
        <w:t xml:space="preserve">haria </w:t>
      </w:r>
      <w:r w:rsidR="00E555EC">
        <w:t>(Islamic law) as its national law.</w:t>
      </w:r>
      <w:r>
        <w:t xml:space="preserve"> </w:t>
      </w:r>
      <w:r w:rsidR="00E555EC">
        <w:t>Saudi Arabia c</w:t>
      </w:r>
      <w:r>
        <w:t>riminalizes private consensual relations such</w:t>
      </w:r>
      <w:r w:rsidRPr="6E5116E7">
        <w:rPr>
          <w:i/>
          <w:iCs/>
        </w:rPr>
        <w:t xml:space="preserve"> </w:t>
      </w:r>
      <w:proofErr w:type="spellStart"/>
      <w:r w:rsidR="00E63228" w:rsidRPr="6E5116E7">
        <w:rPr>
          <w:i/>
          <w:iCs/>
        </w:rPr>
        <w:t>k</w:t>
      </w:r>
      <w:r w:rsidRPr="6E5116E7">
        <w:rPr>
          <w:i/>
          <w:iCs/>
        </w:rPr>
        <w:t>hilwa</w:t>
      </w:r>
      <w:proofErr w:type="spellEnd"/>
      <w:r w:rsidRPr="6E5116E7">
        <w:rPr>
          <w:i/>
          <w:iCs/>
        </w:rPr>
        <w:t xml:space="preserve"> </w:t>
      </w:r>
      <w:r>
        <w:t>(meeting of an unrelated man and woman, especially alone)</w:t>
      </w:r>
      <w:r w:rsidR="008A242C">
        <w:t>,</w:t>
      </w:r>
      <w:r w:rsidRPr="6E5116E7">
        <w:rPr>
          <w:i/>
          <w:iCs/>
        </w:rPr>
        <w:t xml:space="preserve"> </w:t>
      </w:r>
      <w:r w:rsidR="00E63228" w:rsidRPr="6E5116E7">
        <w:rPr>
          <w:i/>
          <w:iCs/>
        </w:rPr>
        <w:t>z</w:t>
      </w:r>
      <w:r w:rsidRPr="6E5116E7">
        <w:rPr>
          <w:i/>
          <w:iCs/>
        </w:rPr>
        <w:t xml:space="preserve">ina </w:t>
      </w:r>
      <w:r>
        <w:t>(extramarital sex</w:t>
      </w:r>
      <w:r w:rsidR="008A242C">
        <w:t>), and abortion</w:t>
      </w:r>
      <w:r>
        <w:t>.</w:t>
      </w:r>
      <w:r w:rsidR="00BB4EC9">
        <w:rPr>
          <w:rStyle w:val="FootnoteReference"/>
        </w:rPr>
        <w:footnoteReference w:id="16"/>
      </w:r>
      <w:r w:rsidR="00BB4EC9">
        <w:t xml:space="preserve"> </w:t>
      </w:r>
      <w:r>
        <w:t>Saudi courts have sentenced people to flogging for sex outside marriage and other offenses. Charges for consensual adult relationships disproportionately impact women, whose pregnancy serves as evidence of the so-called crime</w:t>
      </w:r>
      <w:r w:rsidR="008A242C">
        <w:t xml:space="preserve">. Rape </w:t>
      </w:r>
      <w:r w:rsidR="00AF2111">
        <w:t>survivors have</w:t>
      </w:r>
      <w:r w:rsidR="008A242C">
        <w:t xml:space="preserve"> faced prosecution when they report violence against them.</w:t>
      </w:r>
      <w:r w:rsidR="007061E9">
        <w:rPr>
          <w:rStyle w:val="FootnoteReference"/>
        </w:rPr>
        <w:footnoteReference w:id="17"/>
      </w:r>
      <w:r w:rsidR="008A242C">
        <w:t xml:space="preserve"> While rarely, if ever, carried out, stoning sentences have been issued for adultery. These and other “moral” offenses and associated punishments violate international human rights law.</w:t>
      </w:r>
    </w:p>
    <w:p w14:paraId="6C67E229" w14:textId="3F48809F" w:rsidR="008A242C" w:rsidRPr="008A242C" w:rsidRDefault="008A242C" w:rsidP="008A242C">
      <w:r w:rsidRPr="008A242C">
        <w:t>Saudi authorities also use flogging without a court sentence. Women detained in shelters, often for “</w:t>
      </w:r>
      <w:proofErr w:type="spellStart"/>
      <w:r w:rsidRPr="008A242C">
        <w:t>deviat</w:t>
      </w:r>
      <w:proofErr w:type="spellEnd"/>
      <w:r w:rsidRPr="008A242C">
        <w:t>[</w:t>
      </w:r>
      <w:proofErr w:type="spellStart"/>
      <w:r w:rsidRPr="008A242C">
        <w:t>ing</w:t>
      </w:r>
      <w:proofErr w:type="spellEnd"/>
      <w:r w:rsidRPr="008A242C">
        <w:t>] from the straight path” or disobeying the male guardians, have reported seeing shelter officials flog women for allegedly breaking the rules.</w:t>
      </w:r>
      <w:r w:rsidR="009A7D63">
        <w:rPr>
          <w:rStyle w:val="FootnoteReference"/>
        </w:rPr>
        <w:footnoteReference w:id="18"/>
      </w:r>
      <w:r w:rsidR="00114338" w:rsidRPr="00C82D4B">
        <w:rPr>
          <w:rFonts w:ascii="Calibri" w:hAnsi="Calibri" w:cs="Calibri"/>
        </w:rPr>
        <w:t>Women require male guardian permission to exit prison, even after completing their sentences, and to exit state-run domestic abuse shelters.</w:t>
      </w:r>
      <w:r w:rsidR="00114338" w:rsidRPr="00C82D4B">
        <w:rPr>
          <w:rStyle w:val="FootnoteReference"/>
          <w:rFonts w:ascii="Calibri" w:hAnsi="Calibri" w:cs="Calibri"/>
        </w:rPr>
        <w:footnoteReference w:id="19"/>
      </w:r>
      <w:r w:rsidR="00114338" w:rsidRPr="00C82D4B">
        <w:rPr>
          <w:rFonts w:ascii="Calibri" w:hAnsi="Calibri" w:cs="Calibri"/>
        </w:rPr>
        <w:t xml:space="preserve"> If a woman’s abuser is also her male guardian, this requirement increases the likelihood that she will remain in detention past her sentence or that she will be returned to an abusive situation. </w:t>
      </w:r>
    </w:p>
    <w:p w14:paraId="52007D21" w14:textId="6CE2B942" w:rsidR="00511C26" w:rsidRDefault="00126326" w:rsidP="00511C26">
      <w:pPr>
        <w:rPr>
          <w:rStyle w:val="Hyperlink"/>
          <w:color w:val="auto"/>
          <w:u w:val="none"/>
        </w:rPr>
      </w:pPr>
      <w:r>
        <w:t>Under article 22 of the Law of Practicing Healthcare Professions, a</w:t>
      </w:r>
      <w:r w:rsidR="00400833" w:rsidRPr="00126326">
        <w:t xml:space="preserve">bortion </w:t>
      </w:r>
      <w:r w:rsidR="00D148AF" w:rsidRPr="00126326">
        <w:t xml:space="preserve">is </w:t>
      </w:r>
      <w:r w:rsidR="00400833" w:rsidRPr="00126326">
        <w:t>illegal</w:t>
      </w:r>
      <w:r>
        <w:t xml:space="preserve"> </w:t>
      </w:r>
      <w:r w:rsidR="00400833" w:rsidRPr="00126326">
        <w:t xml:space="preserve">in </w:t>
      </w:r>
      <w:r w:rsidR="00757A97" w:rsidRPr="00126326">
        <w:t>Saudi</w:t>
      </w:r>
      <w:r w:rsidR="00400833" w:rsidRPr="00126326">
        <w:t xml:space="preserve"> </w:t>
      </w:r>
      <w:r w:rsidRPr="00126326">
        <w:t xml:space="preserve">Arabia </w:t>
      </w:r>
      <w:r w:rsidR="00400833" w:rsidRPr="00126326">
        <w:t xml:space="preserve">unless </w:t>
      </w:r>
      <w:r w:rsidRPr="00126326">
        <w:t>it is to save the woman’s life or risks her health</w:t>
      </w:r>
      <w:r w:rsidR="002B3D97">
        <w:t>,</w:t>
      </w:r>
      <w:r w:rsidRPr="00126326">
        <w:t xml:space="preserve"> provided the pregnancy is under fourth months old</w:t>
      </w:r>
      <w:r w:rsidR="00400833" w:rsidRPr="00126326">
        <w:t>.</w:t>
      </w:r>
      <w:r w:rsidR="009A7D63">
        <w:rPr>
          <w:rStyle w:val="FootnoteReference"/>
        </w:rPr>
        <w:footnoteReference w:id="20"/>
      </w:r>
      <w:r w:rsidR="00400833" w:rsidRPr="00126326">
        <w:t xml:space="preserve"> </w:t>
      </w:r>
      <w:r w:rsidR="00400833" w:rsidRPr="00A30724">
        <w:t xml:space="preserve">A </w:t>
      </w:r>
      <w:r w:rsidR="00A30724" w:rsidRPr="00A30724">
        <w:t>healthcare practitioner</w:t>
      </w:r>
      <w:r w:rsidR="00400833" w:rsidRPr="00A30724">
        <w:t xml:space="preserve"> who </w:t>
      </w:r>
      <w:r w:rsidR="00A30724" w:rsidRPr="00A30724">
        <w:t>administers</w:t>
      </w:r>
      <w:r w:rsidR="00400833" w:rsidRPr="00A30724">
        <w:t xml:space="preserve"> an abortion faces a penalty of up to </w:t>
      </w:r>
      <w:r w:rsidR="00A30724" w:rsidRPr="00A30724">
        <w:t xml:space="preserve">six months </w:t>
      </w:r>
      <w:r w:rsidR="00400833" w:rsidRPr="00A30724">
        <w:t>in prison</w:t>
      </w:r>
      <w:r w:rsidR="00757A97" w:rsidRPr="00A30724">
        <w:t xml:space="preserve"> and</w:t>
      </w:r>
      <w:r w:rsidR="00A30724" w:rsidRPr="00A30724">
        <w:t>/or</w:t>
      </w:r>
      <w:r w:rsidR="00757A97" w:rsidRPr="00A30724">
        <w:t xml:space="preserve"> a SAR </w:t>
      </w:r>
      <w:r w:rsidR="00A30724" w:rsidRPr="00A30724">
        <w:t>10</w:t>
      </w:r>
      <w:r w:rsidR="00757A97" w:rsidRPr="00A30724">
        <w:t xml:space="preserve">0,000 [approximately US$ </w:t>
      </w:r>
      <w:r w:rsidR="00A30724" w:rsidRPr="00A30724">
        <w:t>26,600</w:t>
      </w:r>
      <w:r w:rsidR="00757A97" w:rsidRPr="00A30724">
        <w:t xml:space="preserve">] </w:t>
      </w:r>
      <w:r w:rsidR="00757A97" w:rsidRPr="00A30724">
        <w:lastRenderedPageBreak/>
        <w:t>fine</w:t>
      </w:r>
      <w:r w:rsidR="00400833" w:rsidRPr="00A30724">
        <w:t>.</w:t>
      </w:r>
      <w:r w:rsidR="00873B75">
        <w:rPr>
          <w:rStyle w:val="FootnoteReference"/>
        </w:rPr>
        <w:footnoteReference w:id="21"/>
      </w:r>
      <w:r w:rsidR="00873B75">
        <w:t xml:space="preserve"> </w:t>
      </w:r>
      <w:r w:rsidR="00511C26">
        <w:rPr>
          <w:rStyle w:val="Hyperlink"/>
          <w:color w:val="auto"/>
          <w:u w:val="none"/>
        </w:rPr>
        <w:t>W</w:t>
      </w:r>
      <w:r w:rsidR="00511C26" w:rsidRPr="00511C26">
        <w:rPr>
          <w:rStyle w:val="Hyperlink"/>
          <w:color w:val="auto"/>
          <w:u w:val="none"/>
        </w:rPr>
        <w:t>omen</w:t>
      </w:r>
      <w:r w:rsidR="00511C26">
        <w:rPr>
          <w:rStyle w:val="Hyperlink"/>
          <w:color w:val="auto"/>
          <w:u w:val="none"/>
        </w:rPr>
        <w:t xml:space="preserve"> also</w:t>
      </w:r>
      <w:r w:rsidR="00511C26" w:rsidRPr="00511C26">
        <w:rPr>
          <w:rStyle w:val="Hyperlink"/>
          <w:color w:val="auto"/>
          <w:u w:val="none"/>
        </w:rPr>
        <w:t xml:space="preserve"> </w:t>
      </w:r>
      <w:r w:rsidR="00511C26">
        <w:rPr>
          <w:rStyle w:val="Hyperlink"/>
          <w:color w:val="auto"/>
          <w:u w:val="none"/>
        </w:rPr>
        <w:t>require male guardian permission to obtain some forms of sexual and reproductive health care</w:t>
      </w:r>
      <w:r w:rsidR="004622C8">
        <w:rPr>
          <w:rStyle w:val="Hyperlink"/>
          <w:color w:val="auto"/>
          <w:u w:val="none"/>
        </w:rPr>
        <w:t>, including an abortion</w:t>
      </w:r>
      <w:r w:rsidR="00511C26">
        <w:rPr>
          <w:rStyle w:val="Hyperlink"/>
          <w:color w:val="auto"/>
          <w:u w:val="none"/>
        </w:rPr>
        <w:t>.</w:t>
      </w:r>
      <w:r w:rsidR="005316C8">
        <w:rPr>
          <w:rStyle w:val="FootnoteReference"/>
        </w:rPr>
        <w:footnoteReference w:id="22"/>
      </w:r>
      <w:r w:rsidR="00873B75">
        <w:rPr>
          <w:rStyle w:val="Hyperlink"/>
          <w:color w:val="auto"/>
          <w:u w:val="none"/>
        </w:rPr>
        <w:t xml:space="preserve"> </w:t>
      </w:r>
    </w:p>
    <w:p w14:paraId="05A82618" w14:textId="1309D588" w:rsidR="00B7463D" w:rsidRDefault="00B7463D" w:rsidP="00B7463D">
      <w:pPr>
        <w:rPr>
          <w:rStyle w:val="Hyperlink"/>
        </w:rPr>
      </w:pPr>
      <w:r w:rsidRPr="00400833">
        <w:t>Single women under 2</w:t>
      </w:r>
      <w:r w:rsidRPr="00F5712D">
        <w:t>1</w:t>
      </w:r>
      <w:r w:rsidRPr="00400833">
        <w:t xml:space="preserve"> years of age must obtain their guardian’s permission to travel outside </w:t>
      </w:r>
      <w:r>
        <w:t>Saudi Arabia</w:t>
      </w:r>
      <w:r w:rsidRPr="00F5712D">
        <w:t xml:space="preserve"> unless they have government scholarship to study abroad or are employees participating in official trips abroad</w:t>
      </w:r>
      <w:r w:rsidRPr="00400833">
        <w:t>.</w:t>
      </w:r>
      <w:r w:rsidR="00B27278">
        <w:rPr>
          <w:rStyle w:val="FootnoteReference"/>
        </w:rPr>
        <w:footnoteReference w:id="23"/>
      </w:r>
      <w:r w:rsidRPr="00400833">
        <w:t xml:space="preserve"> Married women are entitled to travel without permission irrespective of their age. However, if a ma</w:t>
      </w:r>
      <w:r w:rsidRPr="00F5712D">
        <w:t>le guardian</w:t>
      </w:r>
      <w:r w:rsidRPr="00400833">
        <w:t xml:space="preserve"> does not want </w:t>
      </w:r>
      <w:r w:rsidRPr="00F5712D">
        <w:t>a woman under his guardianship</w:t>
      </w:r>
      <w:r w:rsidRPr="00400833">
        <w:t xml:space="preserve"> to travel, he can approach the competent court to </w:t>
      </w:r>
      <w:r w:rsidRPr="00F5712D">
        <w:t>issue a travel ban</w:t>
      </w:r>
      <w:r w:rsidRPr="00400833">
        <w:t>.</w:t>
      </w:r>
      <w:r w:rsidR="00E60ADD">
        <w:rPr>
          <w:rStyle w:val="FootnoteReference"/>
        </w:rPr>
        <w:footnoteReference w:id="24"/>
      </w:r>
      <w:r w:rsidRPr="00400833">
        <w:t> </w:t>
      </w:r>
      <w:r w:rsidRPr="001557E2">
        <w:t>A husband can file a complaint in court against his wife for disobedience for leaving the home, and as a result, a woman may be denied spousal financial support until she returns to the marital home.</w:t>
      </w:r>
      <w:r>
        <w:rPr>
          <w:rStyle w:val="Hyperlink"/>
        </w:rPr>
        <w:t xml:space="preserve"> </w:t>
      </w:r>
      <w:r w:rsidRPr="00BE06C7">
        <w:rPr>
          <w:rStyle w:val="Hyperlink"/>
          <w:color w:val="auto"/>
          <w:u w:val="none"/>
        </w:rPr>
        <w:t>Women attempting to flee abuse at home or report such abuse have faced months of detention under disobedience charges.</w:t>
      </w:r>
      <w:r w:rsidR="00E60ADD">
        <w:rPr>
          <w:rStyle w:val="FootnoteReference"/>
        </w:rPr>
        <w:footnoteReference w:id="25"/>
      </w:r>
    </w:p>
    <w:p w14:paraId="67A04A37" w14:textId="79FF4EA5" w:rsidR="00166640" w:rsidRDefault="00B7463D" w:rsidP="00511C26">
      <w:pPr>
        <w:rPr>
          <w:rStyle w:val="Hyperlink"/>
          <w:color w:val="auto"/>
          <w:u w:val="none"/>
        </w:rPr>
      </w:pPr>
      <w:r w:rsidRPr="00511C26">
        <w:rPr>
          <w:rStyle w:val="Hyperlink"/>
          <w:color w:val="auto"/>
          <w:u w:val="none"/>
        </w:rPr>
        <w:t>Women divorced from Saudi men told Human Rights Watch that husbands can withhold consent if a woman seeks higher education abroad.</w:t>
      </w:r>
      <w:r w:rsidR="00B64199">
        <w:rPr>
          <w:rStyle w:val="FootnoteReference"/>
        </w:rPr>
        <w:footnoteReference w:id="26"/>
      </w:r>
      <w:r>
        <w:rPr>
          <w:rStyle w:val="Hyperlink"/>
          <w:color w:val="auto"/>
          <w:u w:val="none"/>
        </w:rPr>
        <w:t xml:space="preserve"> </w:t>
      </w:r>
      <w:r w:rsidR="00166640">
        <w:rPr>
          <w:rStyle w:val="Hyperlink"/>
          <w:color w:val="auto"/>
          <w:u w:val="none"/>
        </w:rPr>
        <w:t>Non-Saudi female students on a scholarship are required to have a mahram (father or close male relative she cannot marry) accompany them for their studies in Saudi Arabia.</w:t>
      </w:r>
      <w:r w:rsidR="00E90591">
        <w:rPr>
          <w:rStyle w:val="FootnoteReference"/>
        </w:rPr>
        <w:footnoteReference w:id="27"/>
      </w:r>
      <w:r w:rsidR="00166640">
        <w:rPr>
          <w:rStyle w:val="Hyperlink"/>
          <w:color w:val="auto"/>
          <w:u w:val="none"/>
        </w:rPr>
        <w:t xml:space="preserve"> </w:t>
      </w:r>
    </w:p>
    <w:p w14:paraId="68A556E3" w14:textId="77777777" w:rsidR="00D6369C" w:rsidRPr="00511C26" w:rsidRDefault="00D6369C" w:rsidP="00511C26">
      <w:pPr>
        <w:rPr>
          <w:color w:val="467886" w:themeColor="hyperlink"/>
          <w:u w:val="single"/>
        </w:rPr>
      </w:pPr>
    </w:p>
    <w:p w14:paraId="63E0B40A" w14:textId="01903371" w:rsidR="00734157" w:rsidRDefault="00400833" w:rsidP="00734157">
      <w:pPr>
        <w:rPr>
          <w:b/>
          <w:bCs/>
        </w:rPr>
      </w:pPr>
      <w:r w:rsidRPr="00246482">
        <w:rPr>
          <w:b/>
          <w:bCs/>
        </w:rPr>
        <w:t xml:space="preserve">3. Violence </w:t>
      </w:r>
      <w:r w:rsidR="00CF7F5E">
        <w:rPr>
          <w:b/>
          <w:bCs/>
        </w:rPr>
        <w:t>A</w:t>
      </w:r>
      <w:r w:rsidRPr="00246482">
        <w:rPr>
          <w:b/>
          <w:bCs/>
        </w:rPr>
        <w:t xml:space="preserve">gainst </w:t>
      </w:r>
      <w:r w:rsidR="00CA30ED">
        <w:rPr>
          <w:b/>
          <w:bCs/>
        </w:rPr>
        <w:t>W</w:t>
      </w:r>
      <w:r w:rsidRPr="00246482">
        <w:rPr>
          <w:b/>
          <w:bCs/>
        </w:rPr>
        <w:t>omen (</w:t>
      </w:r>
      <w:r w:rsidR="00CA30ED">
        <w:rPr>
          <w:b/>
          <w:bCs/>
        </w:rPr>
        <w:t>a</w:t>
      </w:r>
      <w:r w:rsidRPr="00246482">
        <w:rPr>
          <w:b/>
          <w:bCs/>
        </w:rPr>
        <w:t>rticles 2, 3, and 16)</w:t>
      </w:r>
    </w:p>
    <w:p w14:paraId="497C283C" w14:textId="10F2AF2E" w:rsidR="00734157" w:rsidRPr="00734157" w:rsidRDefault="00734157" w:rsidP="00734157">
      <w:pPr>
        <w:rPr>
          <w:b/>
          <w:bCs/>
          <w:highlight w:val="yellow"/>
        </w:rPr>
      </w:pPr>
      <w:r>
        <w:t>While Saudi Arabia has a law on the protection from abuse, it does not fully protect women. The 2013 law defines abuse as “</w:t>
      </w:r>
      <w:r w:rsidRPr="00734157">
        <w:t xml:space="preserve">Any form of exploitation or physical, psychological, or sexual ill-treatment, or threat thereof, perpetrated by one person against another that exceeds the bounds of the guardianship.” </w:t>
      </w:r>
      <w:r>
        <w:t>The law does not clarify what actions are permissible within the bounds of guardianship and what exceeds it. S</w:t>
      </w:r>
      <w:r w:rsidR="006207A8" w:rsidRPr="000B6945">
        <w:t>audi Arabia</w:t>
      </w:r>
      <w:r w:rsidR="00400833" w:rsidRPr="000B6945">
        <w:t xml:space="preserve"> does not </w:t>
      </w:r>
      <w:r w:rsidR="00400833" w:rsidRPr="000B6945">
        <w:lastRenderedPageBreak/>
        <w:t xml:space="preserve">explicitly criminalize marital rape. </w:t>
      </w:r>
      <w:r>
        <w:t>Many activists have also said that Saudi authorities fail to implement the law.</w:t>
      </w:r>
    </w:p>
    <w:p w14:paraId="6E17E352" w14:textId="69B81AA4" w:rsidR="00400833" w:rsidRDefault="00513E44" w:rsidP="000B6945">
      <w:pPr>
        <w:rPr>
          <w:rStyle w:val="Hyperlink"/>
        </w:rPr>
      </w:pPr>
      <w:r>
        <w:t>Although t</w:t>
      </w:r>
      <w:r w:rsidR="000B6945" w:rsidRPr="000B6945">
        <w:t>he Personal Status Law</w:t>
      </w:r>
      <w:r>
        <w:t xml:space="preserve"> provides that spouses should treat each other with respect and kindness and not harm one another, the law</w:t>
      </w:r>
      <w:r w:rsidR="000B6945" w:rsidRPr="000B6945">
        <w:t xml:space="preserve"> codifies discriminatory practices and includes provisions that facilitate domestic violence and sexual abuse in marriage. The requirement to obtain consent from the other spouse to abstain from sexual relations, implying a marital right to intercourse, is incompatible with the human right to personal autonomy and can lead to women being subjected to sexual assault.</w:t>
      </w:r>
      <w:r w:rsidR="00BF4D95">
        <w:rPr>
          <w:rStyle w:val="FootnoteReference"/>
        </w:rPr>
        <w:footnoteReference w:id="28"/>
      </w:r>
    </w:p>
    <w:p w14:paraId="58580F1E" w14:textId="7DAA1048" w:rsidR="00602BDC" w:rsidRPr="00A51A9F" w:rsidRDefault="00602BDC" w:rsidP="00A51A9F">
      <w:r w:rsidRPr="00A51A9F">
        <w:rPr>
          <w:rStyle w:val="Hyperlink"/>
          <w:color w:val="auto"/>
          <w:u w:val="none"/>
        </w:rPr>
        <w:t>Human Rights Watch documented unlawful killings and excessive use of force by the Saudi border guard on the border with Yemen</w:t>
      </w:r>
      <w:r w:rsidR="00A51A9F">
        <w:rPr>
          <w:rStyle w:val="Hyperlink"/>
          <w:color w:val="auto"/>
          <w:u w:val="none"/>
        </w:rPr>
        <w:t xml:space="preserve"> against Ethiopian migrants</w:t>
      </w:r>
      <w:r w:rsidR="00972DEB">
        <w:rPr>
          <w:rStyle w:val="Hyperlink"/>
          <w:color w:val="auto"/>
          <w:u w:val="none"/>
        </w:rPr>
        <w:t xml:space="preserve"> and asylum seeker</w:t>
      </w:r>
      <w:r w:rsidR="00463CA4">
        <w:rPr>
          <w:rStyle w:val="Hyperlink"/>
          <w:color w:val="auto"/>
          <w:u w:val="none"/>
        </w:rPr>
        <w:t>s</w:t>
      </w:r>
      <w:r w:rsidR="00B22476">
        <w:rPr>
          <w:rStyle w:val="Hyperlink"/>
          <w:color w:val="auto"/>
          <w:u w:val="none"/>
        </w:rPr>
        <w:t>.</w:t>
      </w:r>
      <w:r w:rsidR="00701E18">
        <w:rPr>
          <w:rStyle w:val="Hyperlink"/>
          <w:color w:val="auto"/>
          <w:u w:val="none"/>
        </w:rPr>
        <w:t xml:space="preserve"> </w:t>
      </w:r>
      <w:r w:rsidR="00A51A9F" w:rsidRPr="00A51A9F">
        <w:rPr>
          <w:rStyle w:val="Hyperlink"/>
          <w:color w:val="auto"/>
          <w:u w:val="none"/>
        </w:rPr>
        <w:t>Saudi border guards have repeatedly fired on groups of unarmed migrants irregularly trying to cross the Yemen-Saudi border, often</w:t>
      </w:r>
      <w:r w:rsidR="00A51A9F">
        <w:rPr>
          <w:rStyle w:val="Hyperlink"/>
          <w:color w:val="auto"/>
          <w:u w:val="none"/>
        </w:rPr>
        <w:t xml:space="preserve"> comprising a large proportion of</w:t>
      </w:r>
      <w:r w:rsidR="00A51A9F" w:rsidRPr="00A51A9F">
        <w:rPr>
          <w:rStyle w:val="Hyperlink"/>
          <w:color w:val="auto"/>
          <w:u w:val="none"/>
        </w:rPr>
        <w:t xml:space="preserve"> women and children.</w:t>
      </w:r>
      <w:r w:rsidR="00BF4D95">
        <w:rPr>
          <w:rStyle w:val="FootnoteReference"/>
        </w:rPr>
        <w:footnoteReference w:id="29"/>
      </w:r>
      <w:r w:rsidR="00A51A9F">
        <w:rPr>
          <w:rStyle w:val="Hyperlink"/>
          <w:color w:val="auto"/>
          <w:u w:val="none"/>
        </w:rPr>
        <w:t xml:space="preserve"> </w:t>
      </w:r>
      <w:r w:rsidR="00A51A9F" w:rsidRPr="00A51A9F">
        <w:t>If committed as part of a Saudi government policy to murder migrants, these killings would be a crime against humanity</w:t>
      </w:r>
      <w:r w:rsidR="00A51A9F">
        <w:t>.</w:t>
      </w:r>
      <w:r w:rsidR="00701E18" w:rsidRPr="00701E18">
        <w:t xml:space="preserve"> </w:t>
      </w:r>
      <w:r w:rsidR="00701E18">
        <w:t>Human Rights Watch found that the proportion of women and girls traveling along this corridor has increased in recent years.</w:t>
      </w:r>
    </w:p>
    <w:p w14:paraId="2578B2E8" w14:textId="35F8B321" w:rsidR="00400833" w:rsidRPr="00246482" w:rsidRDefault="00400833" w:rsidP="00400833">
      <w:pPr>
        <w:rPr>
          <w:b/>
          <w:bCs/>
        </w:rPr>
      </w:pPr>
      <w:r w:rsidRPr="00246482">
        <w:rPr>
          <w:b/>
          <w:bCs/>
        </w:rPr>
        <w:t xml:space="preserve">4. Migrant </w:t>
      </w:r>
      <w:r w:rsidR="003B7A3F">
        <w:rPr>
          <w:b/>
          <w:bCs/>
        </w:rPr>
        <w:t>D</w:t>
      </w:r>
      <w:r w:rsidRPr="00246482">
        <w:rPr>
          <w:b/>
          <w:bCs/>
        </w:rPr>
        <w:t xml:space="preserve">omestic </w:t>
      </w:r>
      <w:r w:rsidR="003B7A3F">
        <w:rPr>
          <w:b/>
          <w:bCs/>
        </w:rPr>
        <w:t>W</w:t>
      </w:r>
      <w:r w:rsidRPr="00246482">
        <w:rPr>
          <w:b/>
          <w:bCs/>
        </w:rPr>
        <w:t>orkers (</w:t>
      </w:r>
      <w:r w:rsidR="003B7A3F">
        <w:rPr>
          <w:b/>
          <w:bCs/>
        </w:rPr>
        <w:t>a</w:t>
      </w:r>
      <w:r w:rsidRPr="00246482">
        <w:rPr>
          <w:b/>
          <w:bCs/>
        </w:rPr>
        <w:t>rticles 2, 3, 6, 11, and 15)</w:t>
      </w:r>
    </w:p>
    <w:p w14:paraId="22743A56" w14:textId="79CC1473" w:rsidR="00400833" w:rsidRPr="0096247A" w:rsidRDefault="00400833" w:rsidP="00400833">
      <w:pPr>
        <w:rPr>
          <w:lang w:bidi="ar-JO"/>
        </w:rPr>
      </w:pPr>
      <w:r w:rsidRPr="0096247A">
        <w:t xml:space="preserve">Human Rights Watch and other organizations have documented abuses of domestic workers in Gulf states, including in </w:t>
      </w:r>
      <w:r w:rsidR="0096247A" w:rsidRPr="0096247A">
        <w:t>Saudi Arabia</w:t>
      </w:r>
      <w:r w:rsidRPr="0096247A">
        <w:t>.</w:t>
      </w:r>
      <w:r w:rsidR="006B69DD">
        <w:rPr>
          <w:rStyle w:val="FootnoteReference"/>
        </w:rPr>
        <w:footnoteReference w:id="30"/>
      </w:r>
      <w:r w:rsidR="006B69DD">
        <w:t xml:space="preserve"> </w:t>
      </w:r>
      <w:r w:rsidR="00D0631C">
        <w:t xml:space="preserve">Migrant workers in Saudi are governed </w:t>
      </w:r>
      <w:r w:rsidR="00196626">
        <w:t>by</w:t>
      </w:r>
      <w:r w:rsidR="00D0631C">
        <w:t xml:space="preserve"> the Kafala (visa sponsorship) system that ties migrant workers’ legal status to their employers </w:t>
      </w:r>
      <w:r w:rsidR="00196626">
        <w:t>which</w:t>
      </w:r>
      <w:r w:rsidR="00D0631C">
        <w:t xml:space="preserve"> expose</w:t>
      </w:r>
      <w:r w:rsidR="00196626">
        <w:t>s</w:t>
      </w:r>
      <w:r w:rsidR="00D0631C">
        <w:t xml:space="preserve"> them to abuse, </w:t>
      </w:r>
      <w:r w:rsidRPr="0096247A">
        <w:t>includ</w:t>
      </w:r>
      <w:r w:rsidR="00D0631C">
        <w:t>ing</w:t>
      </w:r>
      <w:r w:rsidRPr="0096247A">
        <w:t xml:space="preserve"> long workdays with </w:t>
      </w:r>
      <w:r w:rsidR="0096247A">
        <w:t>rare</w:t>
      </w:r>
      <w:r w:rsidRPr="0096247A">
        <w:t xml:space="preserve"> days off, indebtedness from recruitment fees, confiscation of passports by employers, delayed and unpaid wages, confinement to the employer’s house, and in some cases, physical, verbal, </w:t>
      </w:r>
      <w:r w:rsidR="007E1898">
        <w:t>and</w:t>
      </w:r>
      <w:r w:rsidRPr="0096247A">
        <w:t xml:space="preserve"> sexual a</w:t>
      </w:r>
      <w:r w:rsidR="007E1898">
        <w:t>buse</w:t>
      </w:r>
      <w:r w:rsidR="00196626">
        <w:t>, with little access to redress.</w:t>
      </w:r>
    </w:p>
    <w:p w14:paraId="5FEEB6BA" w14:textId="1EE76B74" w:rsidR="00400833" w:rsidRPr="007E1898" w:rsidRDefault="00400833" w:rsidP="007E1898">
      <w:r w:rsidRPr="007E1898">
        <w:t>Th</w:t>
      </w:r>
      <w:r w:rsidR="0096247A" w:rsidRPr="007E1898">
        <w:t>e total</w:t>
      </w:r>
      <w:r w:rsidR="00F50439">
        <w:t xml:space="preserve"> number</w:t>
      </w:r>
      <w:r w:rsidR="0096247A" w:rsidRPr="007E1898">
        <w:t xml:space="preserve"> of domestic workers in Saudi Arabia is reportedly 3.8 million, 30% of which are women.</w:t>
      </w:r>
      <w:r w:rsidR="000451CD">
        <w:rPr>
          <w:rStyle w:val="FootnoteReference"/>
        </w:rPr>
        <w:footnoteReference w:id="31"/>
      </w:r>
      <w:r w:rsidR="0096247A" w:rsidRPr="007E1898">
        <w:t xml:space="preserve"> </w:t>
      </w:r>
      <w:r w:rsidR="007E1898" w:rsidRPr="007E1898">
        <w:t>The Labor Law and the recent reforms exclude domestic workers, who are among the least protected and most vulnerable</w:t>
      </w:r>
      <w:r w:rsidR="007E1898">
        <w:t xml:space="preserve"> to abuse</w:t>
      </w:r>
      <w:r w:rsidR="007E1898" w:rsidRPr="007E1898">
        <w:t xml:space="preserve">, denying them important </w:t>
      </w:r>
      <w:r w:rsidR="007E1898" w:rsidRPr="007E1898">
        <w:lastRenderedPageBreak/>
        <w:t>rights and protections.</w:t>
      </w:r>
      <w:r w:rsidR="00656A2B">
        <w:rPr>
          <w:rStyle w:val="FootnoteReference"/>
        </w:rPr>
        <w:footnoteReference w:id="32"/>
      </w:r>
      <w:r w:rsidR="00656A2B">
        <w:t xml:space="preserve"> </w:t>
      </w:r>
      <w:r w:rsidR="00D0631C">
        <w:t xml:space="preserve">The absence of these protections means that employers can deny domestic workers the ability to change jobs or leave the country. </w:t>
      </w:r>
    </w:p>
    <w:p w14:paraId="16801636" w14:textId="56BD4F57" w:rsidR="00774E23" w:rsidRDefault="009E567A" w:rsidP="00774E23">
      <w:pPr>
        <w:spacing w:after="0" w:line="240" w:lineRule="auto"/>
        <w:rPr>
          <w:rFonts w:ascii="Aptos Narrow" w:eastAsia="Times New Roman" w:hAnsi="Aptos Narrow" w:cs="Times New Roman"/>
          <w:color w:val="000000"/>
          <w:kern w:val="0"/>
          <w:sz w:val="22"/>
          <w:szCs w:val="22"/>
          <w14:ligatures w14:val="none"/>
        </w:rPr>
      </w:pPr>
      <w:r w:rsidRPr="009E567A">
        <w:t xml:space="preserve">According to </w:t>
      </w:r>
      <w:r w:rsidR="00240B95">
        <w:t xml:space="preserve">a </w:t>
      </w:r>
      <w:r w:rsidR="00AD2EFF">
        <w:t>new Domestic</w:t>
      </w:r>
      <w:r w:rsidR="00240B95">
        <w:t xml:space="preserve"> Worker Law</w:t>
      </w:r>
      <w:r w:rsidR="00774E23">
        <w:t xml:space="preserve"> that will come</w:t>
      </w:r>
      <w:r w:rsidR="00B1027C">
        <w:t xml:space="preserve"> to</w:t>
      </w:r>
      <w:r w:rsidR="00774E23">
        <w:t xml:space="preserve"> effect in September 2024</w:t>
      </w:r>
      <w:r w:rsidRPr="009E567A">
        <w:t xml:space="preserve">, domestic workers </w:t>
      </w:r>
      <w:r w:rsidR="0076768F">
        <w:t xml:space="preserve">should not work for more than 10 hours a day, </w:t>
      </w:r>
      <w:r w:rsidR="005E3E7B">
        <w:t xml:space="preserve">are </w:t>
      </w:r>
      <w:r w:rsidRPr="009E567A">
        <w:t xml:space="preserve">entitled to </w:t>
      </w:r>
      <w:r w:rsidR="001A1845">
        <w:t>breaks</w:t>
      </w:r>
      <w:r w:rsidR="00057BD5">
        <w:t xml:space="preserve"> and </w:t>
      </w:r>
      <w:r w:rsidR="00A328E8">
        <w:t xml:space="preserve">daily </w:t>
      </w:r>
      <w:r w:rsidR="00DD2553">
        <w:t xml:space="preserve">uninterrupted </w:t>
      </w:r>
      <w:r w:rsidR="00A328E8">
        <w:t>rest</w:t>
      </w:r>
      <w:r w:rsidR="00DD2553">
        <w:t xml:space="preserve"> of</w:t>
      </w:r>
      <w:r w:rsidR="00E2202C">
        <w:t xml:space="preserve"> at least 8 hours</w:t>
      </w:r>
      <w:r w:rsidR="002262EA">
        <w:t xml:space="preserve"> and </w:t>
      </w:r>
      <w:r w:rsidR="00FB19BF">
        <w:t>need to be at le</w:t>
      </w:r>
      <w:r w:rsidR="00936DCE">
        <w:t>ast 21 years of age.</w:t>
      </w:r>
      <w:r w:rsidR="00B94DB1">
        <w:rPr>
          <w:rStyle w:val="FootnoteReference"/>
        </w:rPr>
        <w:footnoteReference w:id="33"/>
      </w:r>
      <w:r w:rsidR="00936DCE">
        <w:t xml:space="preserve"> The law also explicitly prohibits passport confiscation, </w:t>
      </w:r>
      <w:r w:rsidR="00774E23">
        <w:t>physical and verbal abuse, discrimination and sexual harassment and has</w:t>
      </w:r>
      <w:r w:rsidRPr="009E567A">
        <w:t xml:space="preserve"> </w:t>
      </w:r>
      <w:r w:rsidR="00774E23" w:rsidRPr="002E67E0">
        <w:t>laid out conditions in which a domestic worker can terminate their contract</w:t>
      </w:r>
      <w:r w:rsidR="00774E23">
        <w:t xml:space="preserve">. However, </w:t>
      </w:r>
      <w:r w:rsidR="008F2D16">
        <w:t xml:space="preserve">despite the stronger provisions, </w:t>
      </w:r>
      <w:r w:rsidR="00774E23">
        <w:t xml:space="preserve">as with the current domestic worker regulations, </w:t>
      </w:r>
      <w:r w:rsidR="00774E23" w:rsidRPr="002E67E0">
        <w:t>its impact will boil down to implementation.</w:t>
      </w:r>
      <w:r w:rsidR="00774E23">
        <w:rPr>
          <w:rFonts w:ascii="Aptos Narrow" w:eastAsia="Times New Roman" w:hAnsi="Aptos Narrow" w:cs="Times New Roman"/>
          <w:color w:val="000000"/>
          <w:kern w:val="0"/>
          <w:sz w:val="22"/>
          <w:szCs w:val="22"/>
          <w14:ligatures w14:val="none"/>
        </w:rPr>
        <w:t xml:space="preserve"> </w:t>
      </w:r>
    </w:p>
    <w:p w14:paraId="58202B3F" w14:textId="179E3429" w:rsidR="00002D57" w:rsidRDefault="00002D57" w:rsidP="002E67E0">
      <w:pPr>
        <w:rPr>
          <w:rFonts w:ascii="Aptos Narrow" w:eastAsia="Times New Roman" w:hAnsi="Aptos Narrow" w:cs="Times New Roman"/>
          <w:color w:val="000000"/>
          <w:kern w:val="0"/>
          <w:sz w:val="22"/>
          <w:szCs w:val="22"/>
          <w14:ligatures w14:val="none"/>
        </w:rPr>
      </w:pPr>
    </w:p>
    <w:p w14:paraId="28E513A6" w14:textId="68FB84F2" w:rsidR="00002D57" w:rsidRDefault="00D2361F" w:rsidP="00002D57">
      <w:r w:rsidRPr="00D2361F">
        <w:t xml:space="preserve">Saudi Arabia has started including new migrant domestic </w:t>
      </w:r>
      <w:r w:rsidR="00806191" w:rsidRPr="00D2361F">
        <w:t>workers in</w:t>
      </w:r>
      <w:r w:rsidRPr="00D2361F">
        <w:t xml:space="preserve"> </w:t>
      </w:r>
      <w:r>
        <w:t>its</w:t>
      </w:r>
      <w:r w:rsidRPr="00D2361F">
        <w:t xml:space="preserve"> Wage Protection System </w:t>
      </w:r>
      <w:r>
        <w:t xml:space="preserve">(WPS) </w:t>
      </w:r>
      <w:r w:rsidRPr="00D2361F">
        <w:t>since July 2024 and plans to roll it out to all current domestic workers by January 2026.</w:t>
      </w:r>
      <w:r w:rsidR="003F21D6">
        <w:rPr>
          <w:rStyle w:val="FootnoteReference"/>
        </w:rPr>
        <w:footnoteReference w:id="34"/>
      </w:r>
      <w:r w:rsidR="003F21D6">
        <w:t xml:space="preserve"> </w:t>
      </w:r>
      <w:r w:rsidR="00271D64">
        <w:t>While a positive step, wage theft remains rampant in Saudi Arabia</w:t>
      </w:r>
      <w:r w:rsidR="00DF1CA1">
        <w:t xml:space="preserve"> including for private sector workers</w:t>
      </w:r>
      <w:r w:rsidR="00165538">
        <w:t>. T</w:t>
      </w:r>
      <w:r w:rsidR="00002D57">
        <w:t>he new law</w:t>
      </w:r>
      <w:r w:rsidR="00165538">
        <w:t xml:space="preserve"> also</w:t>
      </w:r>
      <w:r w:rsidR="00002D57">
        <w:t xml:space="preserve"> </w:t>
      </w:r>
      <w:r w:rsidR="00002D57" w:rsidRPr="00E95377">
        <w:t>do</w:t>
      </w:r>
      <w:r w:rsidR="00002D57">
        <w:t>es</w:t>
      </w:r>
      <w:r w:rsidR="00002D57" w:rsidRPr="00E95377">
        <w:t xml:space="preserve"> not provide a fixed minimum wage for domestic workers</w:t>
      </w:r>
      <w:r w:rsidR="00002D57">
        <w:t>.</w:t>
      </w:r>
      <w:r w:rsidR="004005FD">
        <w:t xml:space="preserve"> </w:t>
      </w:r>
    </w:p>
    <w:p w14:paraId="0BF358B5" w14:textId="33E4A3E2" w:rsidR="00400833" w:rsidRPr="00400833" w:rsidRDefault="00400833" w:rsidP="00400833">
      <w:pPr>
        <w:rPr>
          <w:highlight w:val="yellow"/>
        </w:rPr>
      </w:pPr>
      <w:r w:rsidRPr="004E3623">
        <w:t xml:space="preserve">Unless </w:t>
      </w:r>
      <w:r w:rsidR="00E95377" w:rsidRPr="004E3623">
        <w:t>Saudi Arabia</w:t>
      </w:r>
      <w:r w:rsidRPr="004E3623">
        <w:t xml:space="preserve"> abolishes th</w:t>
      </w:r>
      <w:r w:rsidR="004E3623" w:rsidRPr="004E3623">
        <w:t xml:space="preserve">e </w:t>
      </w:r>
      <w:r w:rsidR="00F50439">
        <w:rPr>
          <w:i/>
          <w:iCs/>
        </w:rPr>
        <w:t>k</w:t>
      </w:r>
      <w:r w:rsidR="004E3623" w:rsidRPr="004E3623">
        <w:rPr>
          <w:i/>
          <w:iCs/>
        </w:rPr>
        <w:t>afala</w:t>
      </w:r>
      <w:r w:rsidRPr="004E3623">
        <w:t xml:space="preserve"> system, it will remain difficult for domestic workers to </w:t>
      </w:r>
      <w:r w:rsidR="004E3623" w:rsidRPr="004E3623">
        <w:t>enjoy rights and protections</w:t>
      </w:r>
      <w:r w:rsidRPr="004E3623">
        <w:t xml:space="preserve"> as they can be arrested and deported for “absconding” if they flee their employer’s home.</w:t>
      </w:r>
      <w:r w:rsidR="004E3623" w:rsidRPr="004E3623">
        <w:t xml:space="preserve"> Despite recent reforms that include a two-month grace period to allow an “absconding” domestic worker to leave the country before their legal status becomes irregular, workers do not receive adequate notification from the relevant authorities about absconding cases filed against them, unknowingly pushing them into irregular status.</w:t>
      </w:r>
      <w:r w:rsidR="001B4274">
        <w:rPr>
          <w:rStyle w:val="FootnoteReference"/>
        </w:rPr>
        <w:footnoteReference w:id="35"/>
      </w:r>
      <w:r w:rsidR="001B4274" w:rsidRPr="00400833">
        <w:rPr>
          <w:highlight w:val="yellow"/>
        </w:rPr>
        <w:t xml:space="preserve"> </w:t>
      </w:r>
    </w:p>
    <w:p w14:paraId="119ECAA2" w14:textId="5C73F073" w:rsidR="00400833" w:rsidRPr="00942B6F" w:rsidRDefault="00400833" w:rsidP="00400833">
      <w:pPr>
        <w:rPr>
          <w:b/>
          <w:bCs/>
        </w:rPr>
      </w:pPr>
      <w:r w:rsidRPr="00942B6F">
        <w:rPr>
          <w:b/>
          <w:bCs/>
        </w:rPr>
        <w:t xml:space="preserve">5. Discrimination against </w:t>
      </w:r>
      <w:r w:rsidR="003B7A3F">
        <w:rPr>
          <w:b/>
          <w:bCs/>
        </w:rPr>
        <w:t>W</w:t>
      </w:r>
      <w:r w:rsidRPr="00942B6F">
        <w:rPr>
          <w:b/>
          <w:bCs/>
        </w:rPr>
        <w:t xml:space="preserve">omen in </w:t>
      </w:r>
      <w:r w:rsidR="00942B6F" w:rsidRPr="00942B6F">
        <w:rPr>
          <w:b/>
          <w:bCs/>
        </w:rPr>
        <w:t>Saudi Arabia</w:t>
      </w:r>
      <w:r w:rsidRPr="00942B6F">
        <w:rPr>
          <w:b/>
          <w:bCs/>
        </w:rPr>
        <w:t xml:space="preserve">’s </w:t>
      </w:r>
      <w:r w:rsidR="00942B6F" w:rsidRPr="00942B6F">
        <w:rPr>
          <w:b/>
          <w:bCs/>
        </w:rPr>
        <w:t>1954</w:t>
      </w:r>
      <w:r w:rsidRPr="00942B6F">
        <w:rPr>
          <w:b/>
          <w:bCs/>
        </w:rPr>
        <w:t xml:space="preserve"> Nationality Law (articles 1 and 9)</w:t>
      </w:r>
    </w:p>
    <w:p w14:paraId="684BCA21" w14:textId="38B2C0AC" w:rsidR="00400833" w:rsidRPr="00942B6F" w:rsidRDefault="00942B6F" w:rsidP="00942B6F">
      <w:r w:rsidRPr="00942B6F">
        <w:t>Saudi Arabia</w:t>
      </w:r>
      <w:r w:rsidR="00400833" w:rsidRPr="00942B6F">
        <w:t xml:space="preserve"> discriminates against women by not allowing them to pass nationality to their children on the same basis as men. </w:t>
      </w:r>
      <w:r w:rsidRPr="00942B6F">
        <w:t xml:space="preserve">However, in January 2023 Saudi authorities amended </w:t>
      </w:r>
      <w:r w:rsidRPr="00942B6F">
        <w:lastRenderedPageBreak/>
        <w:t>article 8 of the Saudi Arabian Nationality System granting the prime minister, currently Crown Prince Mohammed bin Salman, the authority to approve citizenship applications</w:t>
      </w:r>
      <w:hyperlink r:id="rId8" w:history="1">
        <w:r w:rsidRPr="00942B6F">
          <w:rPr>
            <w:rStyle w:val="Hyperlink"/>
          </w:rPr>
          <w:t>.[</w:t>
        </w:r>
        <w:r w:rsidR="006F4FFB">
          <w:rPr>
            <w:rStyle w:val="Hyperlink"/>
          </w:rPr>
          <w:t>3</w:t>
        </w:r>
        <w:r w:rsidR="00166640">
          <w:rPr>
            <w:rStyle w:val="Hyperlink"/>
          </w:rPr>
          <w:t>5</w:t>
        </w:r>
        <w:r w:rsidRPr="00942B6F">
          <w:rPr>
            <w:rStyle w:val="Hyperlink"/>
          </w:rPr>
          <w:t>]</w:t>
        </w:r>
      </w:hyperlink>
      <w:r w:rsidRPr="00942B6F">
        <w:t xml:space="preserve"> Children born to Saudi mothers and non-Saudi fathers now have an added barrier to the existing strict conditions that they have to fulfill to apply for citizenship after they turn 18. Children born to Saudi fathers are automatically granted citizenship at birth</w:t>
      </w:r>
      <w:hyperlink r:id="rId9" w:history="1">
        <w:r w:rsidRPr="00942B6F">
          <w:rPr>
            <w:rStyle w:val="Hyperlink"/>
          </w:rPr>
          <w:t>.[</w:t>
        </w:r>
        <w:r w:rsidR="006F4FFB">
          <w:rPr>
            <w:rStyle w:val="Hyperlink"/>
          </w:rPr>
          <w:t>3</w:t>
        </w:r>
        <w:r w:rsidR="00166640">
          <w:rPr>
            <w:rStyle w:val="Hyperlink"/>
          </w:rPr>
          <w:t>6</w:t>
        </w:r>
        <w:r w:rsidRPr="00942B6F">
          <w:rPr>
            <w:rStyle w:val="Hyperlink"/>
          </w:rPr>
          <w:t>]</w:t>
        </w:r>
      </w:hyperlink>
      <w:r>
        <w:t xml:space="preserve"> This </w:t>
      </w:r>
      <w:r w:rsidR="00400833" w:rsidRPr="00942B6F">
        <w:t>falls short of granting women equal rights to men in conferring nationality to their children and spouses.</w:t>
      </w:r>
      <w:r w:rsidRPr="00942B6F">
        <w:t xml:space="preserve"> </w:t>
      </w:r>
    </w:p>
    <w:p w14:paraId="3E963BEA" w14:textId="77777777" w:rsidR="00400833" w:rsidRPr="00246482" w:rsidRDefault="00400833" w:rsidP="00400833">
      <w:pPr>
        <w:rPr>
          <w:b/>
          <w:bCs/>
        </w:rPr>
      </w:pPr>
      <w:r w:rsidRPr="00246482">
        <w:rPr>
          <w:b/>
          <w:bCs/>
        </w:rPr>
        <w:t>Recommendations</w:t>
      </w:r>
    </w:p>
    <w:p w14:paraId="24855760" w14:textId="675243FC" w:rsidR="00400833" w:rsidRPr="00F170A0" w:rsidRDefault="00400833" w:rsidP="00400833">
      <w:r w:rsidRPr="00F170A0">
        <w:t xml:space="preserve">The CEDAW committee in its </w:t>
      </w:r>
      <w:r w:rsidRPr="00246482">
        <w:t>201</w:t>
      </w:r>
      <w:r w:rsidR="00246482" w:rsidRPr="00246482">
        <w:t>8</w:t>
      </w:r>
      <w:r w:rsidRPr="00F170A0">
        <w:t xml:space="preserve"> concluding observations made </w:t>
      </w:r>
      <w:proofErr w:type="gramStart"/>
      <w:r w:rsidRPr="00F170A0">
        <w:t>a number of</w:t>
      </w:r>
      <w:proofErr w:type="gramEnd"/>
      <w:r w:rsidRPr="00F170A0">
        <w:t xml:space="preserve"> recommendations that have not been implemented, including calls on </w:t>
      </w:r>
      <w:r w:rsidR="00E37C6E">
        <w:t>Saudi Arabia</w:t>
      </w:r>
      <w:r w:rsidRPr="00F170A0">
        <w:t xml:space="preserve"> to repeal or modify without delay discriminatory legislation, including provisions in the Personal Status Law, the Nationality Law, and </w:t>
      </w:r>
      <w:r w:rsidR="00E37C6E" w:rsidRPr="00E37C6E">
        <w:t>other laws</w:t>
      </w:r>
      <w:r w:rsidRPr="00E37C6E">
        <w:t>.</w:t>
      </w:r>
    </w:p>
    <w:p w14:paraId="2A75CFC6" w14:textId="30EFBA0F" w:rsidR="00400833" w:rsidRPr="00E37C6E" w:rsidRDefault="00400833" w:rsidP="00400833">
      <w:pPr>
        <w:rPr>
          <w:b/>
          <w:bCs/>
        </w:rPr>
      </w:pPr>
      <w:r w:rsidRPr="00E37C6E">
        <w:rPr>
          <w:b/>
          <w:bCs/>
        </w:rPr>
        <w:t xml:space="preserve">We encourage the Committee to make the following recommendations to the </w:t>
      </w:r>
      <w:r w:rsidR="00E37C6E" w:rsidRPr="00E37C6E">
        <w:rPr>
          <w:b/>
          <w:bCs/>
        </w:rPr>
        <w:t xml:space="preserve">Saudi </w:t>
      </w:r>
      <w:r w:rsidRPr="00E37C6E">
        <w:rPr>
          <w:b/>
          <w:bCs/>
        </w:rPr>
        <w:t>government:</w:t>
      </w:r>
    </w:p>
    <w:p w14:paraId="04B0A6DD" w14:textId="77777777" w:rsidR="00400833" w:rsidRPr="00E37C6E" w:rsidRDefault="00400833" w:rsidP="00400833">
      <w:pPr>
        <w:numPr>
          <w:ilvl w:val="0"/>
          <w:numId w:val="4"/>
        </w:numPr>
      </w:pPr>
      <w:r w:rsidRPr="00E37C6E">
        <w:t xml:space="preserve">Reform the Personal Status Law to provide women with equal rights in entering marriage, during marriage, and at its dissolution, including in all issues concerning children, </w:t>
      </w:r>
      <w:r w:rsidRPr="001F439A">
        <w:t>inheritance, and property rights.</w:t>
      </w:r>
    </w:p>
    <w:p w14:paraId="07FE2E27" w14:textId="0236EC19" w:rsidR="00400833" w:rsidRPr="00F1254D" w:rsidRDefault="00400833" w:rsidP="00400833">
      <w:pPr>
        <w:numPr>
          <w:ilvl w:val="0"/>
          <w:numId w:val="4"/>
        </w:numPr>
      </w:pPr>
      <w:r w:rsidRPr="00E37C6E">
        <w:t>Remove restrictions on women’s freedom to travel abroad including the requirement that women under 2</w:t>
      </w:r>
      <w:r w:rsidR="00E37C6E" w:rsidRPr="00E37C6E">
        <w:t>1</w:t>
      </w:r>
      <w:r w:rsidRPr="00E37C6E">
        <w:t xml:space="preserve"> need male guardian permission and the right of </w:t>
      </w:r>
      <w:r w:rsidRPr="00F1254D">
        <w:t>men to apply to courts to prohibit their wives from travelling abroad.</w:t>
      </w:r>
    </w:p>
    <w:p w14:paraId="3D3D34AE" w14:textId="3BC36F45" w:rsidR="00400833" w:rsidRPr="00F1254D" w:rsidRDefault="00F1254D" w:rsidP="00400833">
      <w:pPr>
        <w:numPr>
          <w:ilvl w:val="0"/>
          <w:numId w:val="4"/>
        </w:numPr>
      </w:pPr>
      <w:r w:rsidRPr="00F1254D">
        <w:t xml:space="preserve">Criminalize child marriage explicitly starting with removing the provision in the Personal Status Law that allows courts to authorize a marriage for a child under 18 if they have reached puberty and if the marriage provides an “established benefit” to the child. </w:t>
      </w:r>
    </w:p>
    <w:p w14:paraId="701ADEFC" w14:textId="5F3E8DB0" w:rsidR="00400833" w:rsidRDefault="00734157" w:rsidP="00400833">
      <w:pPr>
        <w:numPr>
          <w:ilvl w:val="0"/>
          <w:numId w:val="4"/>
        </w:numPr>
      </w:pPr>
      <w:r>
        <w:t>Amend</w:t>
      </w:r>
      <w:r w:rsidR="00400833" w:rsidRPr="00E37C6E">
        <w:t xml:space="preserve"> </w:t>
      </w:r>
      <w:r>
        <w:t xml:space="preserve">the Law of Protection from Abuse </w:t>
      </w:r>
      <w:r w:rsidR="00400833" w:rsidRPr="00E37C6E">
        <w:t>to make all forms of violence against women and girls, including domestic violence, a criminal offense. Explicitly criminalize marital rape. Ensure that legislative reform</w:t>
      </w:r>
      <w:r>
        <w:t>s are implemented.</w:t>
      </w:r>
    </w:p>
    <w:p w14:paraId="2577DE50" w14:textId="332EACC1" w:rsidR="00673B9E" w:rsidRDefault="00673B9E" w:rsidP="00400833">
      <w:pPr>
        <w:numPr>
          <w:ilvl w:val="0"/>
          <w:numId w:val="4"/>
        </w:numPr>
      </w:pPr>
      <w:r w:rsidRPr="00673B9E">
        <w:t>Immediately and urgently revoke any policy, whether explicit or de facto, targeting migrants</w:t>
      </w:r>
      <w:r w:rsidR="00BB406A">
        <w:t xml:space="preserve"> and asylum seekers</w:t>
      </w:r>
      <w:r w:rsidRPr="00673B9E">
        <w:t xml:space="preserve"> with explosive weapons and close-range attacks on civilian migrants on the border with Yemen.</w:t>
      </w:r>
    </w:p>
    <w:p w14:paraId="3D6F7B33" w14:textId="3B149AB9" w:rsidR="00A51A9F" w:rsidRPr="00E37C6E" w:rsidRDefault="00A51A9F" w:rsidP="00A51A9F">
      <w:pPr>
        <w:pStyle w:val="ListParagraph"/>
        <w:numPr>
          <w:ilvl w:val="0"/>
          <w:numId w:val="4"/>
        </w:numPr>
      </w:pPr>
      <w:r w:rsidRPr="00A51A9F">
        <w:t>Investigate and appropriately discipline or prosecute security personnel responsible for firing explosive weapons and shooting at close range of migrants at the Yemen border.</w:t>
      </w:r>
    </w:p>
    <w:p w14:paraId="51E95957" w14:textId="21BD77F6" w:rsidR="00400833" w:rsidRPr="00E37C6E" w:rsidRDefault="00400833" w:rsidP="00400833">
      <w:pPr>
        <w:numPr>
          <w:ilvl w:val="0"/>
          <w:numId w:val="4"/>
        </w:numPr>
      </w:pPr>
      <w:r w:rsidRPr="00E37C6E">
        <w:lastRenderedPageBreak/>
        <w:t>Decriminalize adult consensual sexual relations in private</w:t>
      </w:r>
      <w:r w:rsidR="00E37C6E" w:rsidRPr="00E37C6E">
        <w:t>.</w:t>
      </w:r>
    </w:p>
    <w:p w14:paraId="5AD47216" w14:textId="23AFBB49" w:rsidR="003C2E3B" w:rsidRDefault="00911F28" w:rsidP="00D373AA">
      <w:pPr>
        <w:numPr>
          <w:ilvl w:val="0"/>
          <w:numId w:val="4"/>
        </w:numPr>
      </w:pPr>
      <w:r>
        <w:t>Strengthen</w:t>
      </w:r>
      <w:r w:rsidR="00400833" w:rsidRPr="00F1254D">
        <w:t xml:space="preserve"> the </w:t>
      </w:r>
      <w:r w:rsidR="00E214B1">
        <w:t xml:space="preserve">implementation of the new </w:t>
      </w:r>
      <w:r w:rsidR="00062D48">
        <w:t xml:space="preserve">law </w:t>
      </w:r>
      <w:r w:rsidR="00062D48" w:rsidRPr="00F1254D">
        <w:t>on</w:t>
      </w:r>
      <w:r w:rsidR="00400833" w:rsidRPr="00F1254D">
        <w:t xml:space="preserve"> domestic workers, including by</w:t>
      </w:r>
      <w:r w:rsidR="000D1D61">
        <w:t xml:space="preserve"> raising awareness of the new provisions,</w:t>
      </w:r>
      <w:r w:rsidR="00E214B1">
        <w:t xml:space="preserve"> </w:t>
      </w:r>
      <w:r w:rsidR="00343A81">
        <w:t xml:space="preserve">strengthening </w:t>
      </w:r>
      <w:r w:rsidR="00B3204F">
        <w:t xml:space="preserve">monitoring and </w:t>
      </w:r>
      <w:r w:rsidR="00343A81">
        <w:t>complaints mechanisms,</w:t>
      </w:r>
      <w:r w:rsidR="00400833" w:rsidRPr="00F1254D">
        <w:t xml:space="preserve"> investigating and prosecuting allegations and complaints against employers and agents for violations.</w:t>
      </w:r>
    </w:p>
    <w:p w14:paraId="433CC0AF" w14:textId="7DA9089F" w:rsidR="00D4622D" w:rsidRPr="00F1254D" w:rsidRDefault="5E67C4E0" w:rsidP="00D4622D">
      <w:pPr>
        <w:numPr>
          <w:ilvl w:val="0"/>
          <w:numId w:val="4"/>
        </w:numPr>
      </w:pPr>
      <w:r>
        <w:t xml:space="preserve">Ensure that domestic workers benefit from minimum wage coverage, including an hourly minimum wage, under law and that compensation does not discriminate based on sex, </w:t>
      </w:r>
      <w:r w:rsidR="76C1B3F9">
        <w:t xml:space="preserve">gender, </w:t>
      </w:r>
      <w:r>
        <w:t>race, or national origin.</w:t>
      </w:r>
    </w:p>
    <w:p w14:paraId="0D56D9D4" w14:textId="2B010F97" w:rsidR="00D4622D" w:rsidRDefault="00D4622D" w:rsidP="00D4622D">
      <w:pPr>
        <w:numPr>
          <w:ilvl w:val="0"/>
          <w:numId w:val="4"/>
        </w:numPr>
      </w:pPr>
      <w:r w:rsidRPr="00E37C6E">
        <w:t>Ratify the ILO Domestic Workers Convention.</w:t>
      </w:r>
    </w:p>
    <w:p w14:paraId="5D994245" w14:textId="4161AA70" w:rsidR="00400833" w:rsidRPr="00E37C6E" w:rsidRDefault="00400833" w:rsidP="00400833">
      <w:pPr>
        <w:numPr>
          <w:ilvl w:val="0"/>
          <w:numId w:val="4"/>
        </w:numPr>
      </w:pPr>
      <w:r w:rsidRPr="00E37C6E">
        <w:t>Reform the </w:t>
      </w:r>
      <w:r w:rsidRPr="00E37C6E">
        <w:rPr>
          <w:i/>
          <w:iCs/>
        </w:rPr>
        <w:t>kafala</w:t>
      </w:r>
      <w:r w:rsidRPr="00E37C6E">
        <w:t> system to allow all migrant workers, including domestic workers, to leave or change employers at will, and without losing their legal status.</w:t>
      </w:r>
    </w:p>
    <w:p w14:paraId="15CEE34E" w14:textId="41E6AA26" w:rsidR="002D7E07" w:rsidRDefault="002D7E07"/>
    <w:sectPr w:rsidR="002D7E07" w:rsidSect="002E67E0">
      <w:headerReference w:type="default" r:id="rId10"/>
      <w:headerReference w:type="first" r:id="rId11"/>
      <w:foot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9C89EB" w14:textId="77777777" w:rsidR="00F11503" w:rsidRDefault="00F11503" w:rsidP="00621199">
      <w:pPr>
        <w:spacing w:after="0" w:line="240" w:lineRule="auto"/>
      </w:pPr>
      <w:r>
        <w:separator/>
      </w:r>
    </w:p>
  </w:endnote>
  <w:endnote w:type="continuationSeparator" w:id="0">
    <w:p w14:paraId="32453771" w14:textId="77777777" w:rsidR="00F11503" w:rsidRDefault="00F11503" w:rsidP="00621199">
      <w:pPr>
        <w:spacing w:after="0" w:line="240" w:lineRule="auto"/>
      </w:pPr>
      <w:r>
        <w:continuationSeparator/>
      </w:r>
    </w:p>
  </w:endnote>
  <w:endnote w:type="continuationNotice" w:id="1">
    <w:p w14:paraId="774885AD" w14:textId="77777777" w:rsidR="00F11503" w:rsidRDefault="00F1150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Narrow">
    <w:panose1 w:val="020B0004020202020204"/>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45255904"/>
      <w:docPartObj>
        <w:docPartGallery w:val="Page Numbers (Bottom of Page)"/>
        <w:docPartUnique/>
      </w:docPartObj>
    </w:sdtPr>
    <w:sdtContent>
      <w:p w14:paraId="79B2E945" w14:textId="003015D0" w:rsidR="00C51344" w:rsidRDefault="00C5134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8914E14" w14:textId="77777777" w:rsidR="00C51344" w:rsidRDefault="00C513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49EF45" w14:textId="77777777" w:rsidR="00F11503" w:rsidRDefault="00F11503" w:rsidP="00621199">
      <w:pPr>
        <w:spacing w:after="0" w:line="240" w:lineRule="auto"/>
      </w:pPr>
      <w:r>
        <w:separator/>
      </w:r>
    </w:p>
  </w:footnote>
  <w:footnote w:type="continuationSeparator" w:id="0">
    <w:p w14:paraId="41D1263A" w14:textId="77777777" w:rsidR="00F11503" w:rsidRDefault="00F11503" w:rsidP="00621199">
      <w:pPr>
        <w:spacing w:after="0" w:line="240" w:lineRule="auto"/>
      </w:pPr>
      <w:r>
        <w:continuationSeparator/>
      </w:r>
    </w:p>
  </w:footnote>
  <w:footnote w:type="continuationNotice" w:id="1">
    <w:p w14:paraId="1713D9AE" w14:textId="77777777" w:rsidR="00F11503" w:rsidRDefault="00F11503">
      <w:pPr>
        <w:spacing w:after="0" w:line="240" w:lineRule="auto"/>
      </w:pPr>
    </w:p>
  </w:footnote>
  <w:footnote w:id="2">
    <w:p w14:paraId="5FACC5B8" w14:textId="479FE241" w:rsidR="001454A6" w:rsidRPr="001454A6" w:rsidRDefault="001454A6">
      <w:pPr>
        <w:pStyle w:val="FootnoteText"/>
        <w:rPr>
          <w:rFonts w:ascii="Calibri" w:hAnsi="Calibri" w:cs="Calibri"/>
        </w:rPr>
      </w:pPr>
      <w:r>
        <w:rPr>
          <w:rStyle w:val="FootnoteReference"/>
        </w:rPr>
        <w:footnoteRef/>
      </w:r>
      <w:r>
        <w:t xml:space="preserve"> </w:t>
      </w:r>
      <w:r w:rsidRPr="00B31A2A">
        <w:rPr>
          <w:rFonts w:ascii="Calibri" w:hAnsi="Calibri" w:cs="Calibri"/>
        </w:rPr>
        <w:t xml:space="preserve">Human Rights Watch report, “Saudi Arabia: Law Enshrines Male Guardianship,” March 8, 2023, </w:t>
      </w:r>
      <w:hyperlink r:id="rId1" w:history="1">
        <w:r w:rsidRPr="00B31A2A">
          <w:rPr>
            <w:rStyle w:val="Hyperlink"/>
            <w:rFonts w:ascii="Calibri" w:hAnsi="Calibri" w:cs="Calibri"/>
          </w:rPr>
          <w:t>https://www.hrw.org/news/2023/03/08/saudi-arabia-law-enshrines-male-guardianship</w:t>
        </w:r>
      </w:hyperlink>
      <w:r w:rsidRPr="00B31A2A">
        <w:rPr>
          <w:rFonts w:ascii="Calibri" w:hAnsi="Calibri" w:cs="Calibri"/>
        </w:rPr>
        <w:t>.</w:t>
      </w:r>
    </w:p>
  </w:footnote>
  <w:footnote w:id="3">
    <w:p w14:paraId="107CFE7C" w14:textId="169E07DA" w:rsidR="001454A6" w:rsidRDefault="001454A6">
      <w:pPr>
        <w:pStyle w:val="FootnoteText"/>
      </w:pPr>
      <w:r>
        <w:rPr>
          <w:rStyle w:val="FootnoteReference"/>
        </w:rPr>
        <w:footnoteRef/>
      </w:r>
      <w:r>
        <w:t xml:space="preserve"> Ibid.</w:t>
      </w:r>
    </w:p>
  </w:footnote>
  <w:footnote w:id="4">
    <w:p w14:paraId="5BD2E0F2" w14:textId="16227043" w:rsidR="001454A6" w:rsidRDefault="001454A6">
      <w:pPr>
        <w:pStyle w:val="FootnoteText"/>
      </w:pPr>
      <w:r>
        <w:rPr>
          <w:rStyle w:val="FootnoteReference"/>
        </w:rPr>
        <w:footnoteRef/>
      </w:r>
      <w:r>
        <w:t xml:space="preserve"> </w:t>
      </w:r>
      <w:r w:rsidRPr="00B31A2A">
        <w:rPr>
          <w:rFonts w:ascii="Calibri" w:hAnsi="Calibri" w:cs="Calibri"/>
        </w:rPr>
        <w:t xml:space="preserve">Human Rights Watch report, “Boxed In: Women and Saudi Arabia’s Male Guardianship System,” July 16, 2016, </w:t>
      </w:r>
      <w:hyperlink r:id="rId2" w:history="1">
        <w:r w:rsidRPr="00B31A2A">
          <w:rPr>
            <w:rStyle w:val="Hyperlink"/>
            <w:rFonts w:ascii="Calibri" w:hAnsi="Calibri" w:cs="Calibri"/>
          </w:rPr>
          <w:t>https://www.hrw.org/report/2016/07/17/boxed/women-and-saudi-arabias-male-guardianship-system</w:t>
        </w:r>
      </w:hyperlink>
      <w:r w:rsidRPr="00B31A2A">
        <w:rPr>
          <w:rFonts w:ascii="Calibri" w:hAnsi="Calibri" w:cs="Calibri"/>
        </w:rPr>
        <w:t>.</w:t>
      </w:r>
    </w:p>
  </w:footnote>
  <w:footnote w:id="5">
    <w:p w14:paraId="6AB22CD7" w14:textId="758758C6" w:rsidR="0007306F" w:rsidRDefault="0007306F">
      <w:pPr>
        <w:pStyle w:val="FootnoteText"/>
      </w:pPr>
      <w:r>
        <w:rPr>
          <w:rStyle w:val="FootnoteReference"/>
        </w:rPr>
        <w:footnoteRef/>
      </w:r>
      <w:r>
        <w:t xml:space="preserve"> </w:t>
      </w:r>
      <w:r w:rsidRPr="00B31A2A">
        <w:rPr>
          <w:rFonts w:ascii="Calibri" w:hAnsi="Calibri" w:cs="Calibri"/>
        </w:rPr>
        <w:t>Human Rights Watch report, “Saudi Arabia: Law Enshrines Male Guardianship</w:t>
      </w:r>
      <w:r>
        <w:rPr>
          <w:rFonts w:ascii="Calibri" w:hAnsi="Calibri" w:cs="Calibri"/>
        </w:rPr>
        <w:t xml:space="preserve">.” </w:t>
      </w:r>
    </w:p>
  </w:footnote>
  <w:footnote w:id="6">
    <w:p w14:paraId="5FD1FBAF" w14:textId="53569035" w:rsidR="0007306F" w:rsidRDefault="0007306F">
      <w:pPr>
        <w:pStyle w:val="FootnoteText"/>
      </w:pPr>
      <w:r>
        <w:rPr>
          <w:rStyle w:val="FootnoteReference"/>
        </w:rPr>
        <w:footnoteRef/>
      </w:r>
      <w:r>
        <w:t xml:space="preserve"> Ibid.</w:t>
      </w:r>
    </w:p>
  </w:footnote>
  <w:footnote w:id="7">
    <w:p w14:paraId="0AB3726E" w14:textId="7ED4660D" w:rsidR="0007306F" w:rsidRDefault="0007306F">
      <w:pPr>
        <w:pStyle w:val="FootnoteText"/>
      </w:pPr>
      <w:r>
        <w:rPr>
          <w:rStyle w:val="FootnoteReference"/>
        </w:rPr>
        <w:footnoteRef/>
      </w:r>
      <w:r>
        <w:t xml:space="preserve"> Ibid. </w:t>
      </w:r>
    </w:p>
  </w:footnote>
  <w:footnote w:id="8">
    <w:p w14:paraId="6DF6E26D" w14:textId="534EBBE1" w:rsidR="0007306F" w:rsidRDefault="0007306F">
      <w:pPr>
        <w:pStyle w:val="FootnoteText"/>
      </w:pPr>
      <w:r>
        <w:rPr>
          <w:rStyle w:val="FootnoteReference"/>
        </w:rPr>
        <w:footnoteRef/>
      </w:r>
      <w:r>
        <w:t xml:space="preserve"> Ibid. </w:t>
      </w:r>
    </w:p>
  </w:footnote>
  <w:footnote w:id="9">
    <w:p w14:paraId="19BEEE81" w14:textId="771973A5" w:rsidR="0007306F" w:rsidRDefault="0007306F">
      <w:pPr>
        <w:pStyle w:val="FootnoteText"/>
      </w:pPr>
      <w:r>
        <w:rPr>
          <w:rStyle w:val="FootnoteReference"/>
        </w:rPr>
        <w:footnoteRef/>
      </w:r>
      <w:r>
        <w:t xml:space="preserve"> </w:t>
      </w:r>
      <w:proofErr w:type="gramStart"/>
      <w:r>
        <w:t>Ibid;</w:t>
      </w:r>
      <w:proofErr w:type="gramEnd"/>
      <w:r>
        <w:t xml:space="preserve"> </w:t>
      </w:r>
      <w:r w:rsidRPr="00B31A2A">
        <w:rPr>
          <w:rFonts w:ascii="Calibri" w:hAnsi="Calibri" w:cs="Calibri"/>
        </w:rPr>
        <w:t>Human Rights Watch report, “Boxed In: Women and Saudi Arabia’s Male Guardianship System</w:t>
      </w:r>
      <w:r>
        <w:rPr>
          <w:rFonts w:ascii="Calibri" w:hAnsi="Calibri" w:cs="Calibri"/>
        </w:rPr>
        <w:t>.</w:t>
      </w:r>
      <w:r w:rsidRPr="00B31A2A">
        <w:rPr>
          <w:rFonts w:ascii="Calibri" w:hAnsi="Calibri" w:cs="Calibri"/>
        </w:rPr>
        <w:t>”</w:t>
      </w:r>
    </w:p>
  </w:footnote>
  <w:footnote w:id="10">
    <w:p w14:paraId="40095480" w14:textId="6D570DD9" w:rsidR="00EF4DC5" w:rsidRDefault="00EF4DC5">
      <w:pPr>
        <w:pStyle w:val="FootnoteText"/>
      </w:pPr>
      <w:r>
        <w:rPr>
          <w:rStyle w:val="FootnoteReference"/>
        </w:rPr>
        <w:footnoteRef/>
      </w:r>
      <w:r>
        <w:t xml:space="preserve"> Ibid. </w:t>
      </w:r>
    </w:p>
  </w:footnote>
  <w:footnote w:id="11">
    <w:p w14:paraId="396ED489" w14:textId="1649FA8A" w:rsidR="00EF4DC5" w:rsidRDefault="00EF4DC5">
      <w:pPr>
        <w:pStyle w:val="FootnoteText"/>
      </w:pPr>
      <w:r>
        <w:rPr>
          <w:rStyle w:val="FootnoteReference"/>
        </w:rPr>
        <w:footnoteRef/>
      </w:r>
      <w:r>
        <w:t xml:space="preserve"> Ibid.</w:t>
      </w:r>
    </w:p>
  </w:footnote>
  <w:footnote w:id="12">
    <w:p w14:paraId="4D592299" w14:textId="66546D89" w:rsidR="003F6198" w:rsidRDefault="003F6198">
      <w:pPr>
        <w:pStyle w:val="FootnoteText"/>
      </w:pPr>
      <w:r>
        <w:rPr>
          <w:rStyle w:val="FootnoteReference"/>
        </w:rPr>
        <w:footnoteRef/>
      </w:r>
      <w:r>
        <w:t xml:space="preserve"> </w:t>
      </w:r>
      <w:r w:rsidRPr="00B31A2A">
        <w:rPr>
          <w:rFonts w:ascii="Calibri" w:hAnsi="Calibri" w:cs="Calibri"/>
        </w:rPr>
        <w:t>Human Rights Watch report, “Saudi Arabia: Law Enshrines Male Guardianship</w:t>
      </w:r>
      <w:r>
        <w:rPr>
          <w:rFonts w:ascii="Calibri" w:hAnsi="Calibri" w:cs="Calibri"/>
        </w:rPr>
        <w:t>.”</w:t>
      </w:r>
    </w:p>
  </w:footnote>
  <w:footnote w:id="13">
    <w:p w14:paraId="658C5684" w14:textId="41936371" w:rsidR="003F6198" w:rsidRDefault="003F6198">
      <w:pPr>
        <w:pStyle w:val="FootnoteText"/>
      </w:pPr>
      <w:r>
        <w:rPr>
          <w:rStyle w:val="FootnoteReference"/>
        </w:rPr>
        <w:footnoteRef/>
      </w:r>
      <w:r>
        <w:t xml:space="preserve"> Ibid.</w:t>
      </w:r>
    </w:p>
  </w:footnote>
  <w:footnote w:id="14">
    <w:p w14:paraId="0C29EF3E" w14:textId="1BC40DC6" w:rsidR="003F6198" w:rsidRDefault="003F6198">
      <w:pPr>
        <w:pStyle w:val="FootnoteText"/>
      </w:pPr>
      <w:r>
        <w:rPr>
          <w:rStyle w:val="FootnoteReference"/>
        </w:rPr>
        <w:footnoteRef/>
      </w:r>
      <w:r>
        <w:t xml:space="preserve"> Ibid.</w:t>
      </w:r>
    </w:p>
  </w:footnote>
  <w:footnote w:id="15">
    <w:p w14:paraId="714FE16C" w14:textId="6D7DB22D" w:rsidR="003F6198" w:rsidRDefault="003F6198">
      <w:pPr>
        <w:pStyle w:val="FootnoteText"/>
      </w:pPr>
      <w:r>
        <w:rPr>
          <w:rStyle w:val="FootnoteReference"/>
        </w:rPr>
        <w:footnoteRef/>
      </w:r>
      <w:r>
        <w:t xml:space="preserve"> Ibid. </w:t>
      </w:r>
    </w:p>
  </w:footnote>
  <w:footnote w:id="16">
    <w:p w14:paraId="39B7BE04" w14:textId="7B6CC23E" w:rsidR="00BB4EC9" w:rsidRDefault="00BB4EC9">
      <w:pPr>
        <w:pStyle w:val="FootnoteText"/>
      </w:pPr>
      <w:r>
        <w:rPr>
          <w:rStyle w:val="FootnoteReference"/>
        </w:rPr>
        <w:footnoteRef/>
      </w:r>
      <w:r>
        <w:t xml:space="preserve"> </w:t>
      </w:r>
      <w:r>
        <w:rPr>
          <w:rFonts w:ascii="Calibri" w:hAnsi="Calibri" w:cs="Calibri"/>
        </w:rPr>
        <w:t>N</w:t>
      </w:r>
      <w:r w:rsidRPr="00B31A2A">
        <w:rPr>
          <w:rFonts w:ascii="Calibri" w:hAnsi="Calibri" w:cs="Calibri"/>
        </w:rPr>
        <w:t xml:space="preserve">ews release, Human Rights Watch, “Saudi Arabia: Forthcoming Penal Code Should Protect Rights,” April 29, 2022, </w:t>
      </w:r>
      <w:hyperlink r:id="rId3" w:history="1">
        <w:r w:rsidRPr="00B31A2A">
          <w:rPr>
            <w:rStyle w:val="Hyperlink"/>
            <w:rFonts w:ascii="Calibri" w:hAnsi="Calibri" w:cs="Calibri"/>
          </w:rPr>
          <w:t>https://www.hrw.org/news/2022/04/29/saudi-arabia-forthcoming-penal-code-should-protect-rights</w:t>
        </w:r>
      </w:hyperlink>
      <w:r w:rsidRPr="00B31A2A">
        <w:rPr>
          <w:rFonts w:ascii="Calibri" w:hAnsi="Calibri" w:cs="Calibri"/>
        </w:rPr>
        <w:t>.</w:t>
      </w:r>
    </w:p>
  </w:footnote>
  <w:footnote w:id="17">
    <w:p w14:paraId="30869411" w14:textId="2C91C9F9" w:rsidR="007061E9" w:rsidRDefault="007061E9">
      <w:pPr>
        <w:pStyle w:val="FootnoteText"/>
      </w:pPr>
      <w:r>
        <w:rPr>
          <w:rStyle w:val="FootnoteReference"/>
        </w:rPr>
        <w:footnoteRef/>
      </w:r>
      <w:r>
        <w:t xml:space="preserve"> Human Rights Watch Submission to the Universal Periodic Review of the Kingdom of Saudi Arabia, July 20, 2023, </w:t>
      </w:r>
      <w:hyperlink r:id="rId4" w:history="1">
        <w:r w:rsidRPr="00FF142D">
          <w:rPr>
            <w:rStyle w:val="Hyperlink"/>
          </w:rPr>
          <w:t>https://www.hrw.org/news/2023/07/20/submission-universal-periodic-review-kingdom-saudi-arabia</w:t>
        </w:r>
      </w:hyperlink>
      <w:r>
        <w:t xml:space="preserve">. </w:t>
      </w:r>
    </w:p>
  </w:footnote>
  <w:footnote w:id="18">
    <w:p w14:paraId="5B7B2CDA" w14:textId="1A3D8B70" w:rsidR="009A7D63" w:rsidRDefault="009A7D63">
      <w:pPr>
        <w:pStyle w:val="FootnoteText"/>
      </w:pPr>
      <w:r>
        <w:rPr>
          <w:rStyle w:val="FootnoteReference"/>
        </w:rPr>
        <w:footnoteRef/>
      </w:r>
      <w:r>
        <w:t xml:space="preserve"> </w:t>
      </w:r>
      <w:r>
        <w:rPr>
          <w:rFonts w:ascii="Calibri" w:hAnsi="Calibri" w:cs="Calibri"/>
        </w:rPr>
        <w:t>N</w:t>
      </w:r>
      <w:r w:rsidRPr="00B31A2A">
        <w:rPr>
          <w:rFonts w:ascii="Calibri" w:hAnsi="Calibri" w:cs="Calibri"/>
        </w:rPr>
        <w:t>ews release, Human Rights Watch, “Saudi Arabia: Forthcoming Penal Code Should Protect Rights</w:t>
      </w:r>
      <w:r>
        <w:rPr>
          <w:rFonts w:ascii="Calibri" w:hAnsi="Calibri" w:cs="Calibri"/>
        </w:rPr>
        <w:t>.”</w:t>
      </w:r>
    </w:p>
  </w:footnote>
  <w:footnote w:id="19">
    <w:p w14:paraId="5313017B" w14:textId="3FF8DD21" w:rsidR="00114338" w:rsidRPr="00B31A2A" w:rsidRDefault="00114338" w:rsidP="00114338">
      <w:pPr>
        <w:pStyle w:val="FootnoteText"/>
        <w:rPr>
          <w:rFonts w:ascii="Calibri" w:hAnsi="Calibri" w:cs="Calibri"/>
        </w:rPr>
      </w:pPr>
      <w:r w:rsidRPr="00B31A2A">
        <w:rPr>
          <w:rStyle w:val="FootnoteReference"/>
          <w:rFonts w:ascii="Calibri" w:hAnsi="Calibri" w:cs="Calibri"/>
        </w:rPr>
        <w:footnoteRef/>
      </w:r>
      <w:r w:rsidRPr="00B31A2A">
        <w:rPr>
          <w:rFonts w:ascii="Calibri" w:hAnsi="Calibri" w:cs="Calibri"/>
        </w:rPr>
        <w:t xml:space="preserve"> </w:t>
      </w:r>
      <w:proofErr w:type="spellStart"/>
      <w:r w:rsidRPr="00B31A2A">
        <w:rPr>
          <w:rFonts w:ascii="Calibri" w:hAnsi="Calibri" w:cs="Calibri"/>
        </w:rPr>
        <w:t>Lynzy</w:t>
      </w:r>
      <w:proofErr w:type="spellEnd"/>
      <w:r w:rsidRPr="00B31A2A">
        <w:rPr>
          <w:rFonts w:ascii="Calibri" w:hAnsi="Calibri" w:cs="Calibri"/>
        </w:rPr>
        <w:t xml:space="preserve"> Billing, “Inside Saudi Arabia’s Secret Detention Facilities Where Women Disappear,” Elle Magazine, June 6, 2022, </w:t>
      </w:r>
      <w:hyperlink r:id="rId5" w:history="1">
        <w:r w:rsidRPr="00B31A2A">
          <w:rPr>
            <w:rStyle w:val="Hyperlink"/>
            <w:rFonts w:ascii="Calibri" w:hAnsi="Calibri" w:cs="Calibri"/>
          </w:rPr>
          <w:t>https://www.elle.com/culture/a39787294/inside-saudi-arabias-secret-detention-facilities-where-women-disappear/</w:t>
        </w:r>
      </w:hyperlink>
      <w:r w:rsidRPr="00B31A2A">
        <w:rPr>
          <w:rFonts w:ascii="Calibri" w:hAnsi="Calibri" w:cs="Calibri"/>
        </w:rPr>
        <w:t xml:space="preserve"> (accessed January 14, 2024); “Joint statement in support of Saudi women human rights defenders and their call for gender equality,” March 8, 2021, </w:t>
      </w:r>
      <w:hyperlink r:id="rId6" w:history="1">
        <w:r w:rsidRPr="00B31A2A">
          <w:rPr>
            <w:rStyle w:val="Hyperlink"/>
            <w:rFonts w:ascii="Calibri" w:hAnsi="Calibri" w:cs="Calibri"/>
          </w:rPr>
          <w:t>https://www.ernesturtasun.eu/wp-content/uploads/2021/03/Joint-statement-in-support-of-Saudi-WHRDs-and-their-call-for-gender-equality_final.pdf</w:t>
        </w:r>
      </w:hyperlink>
      <w:r w:rsidRPr="00B31A2A">
        <w:rPr>
          <w:rFonts w:ascii="Calibri" w:hAnsi="Calibri" w:cs="Calibri"/>
        </w:rPr>
        <w:t xml:space="preserve">; </w:t>
      </w:r>
      <w:r w:rsidR="004B611F">
        <w:rPr>
          <w:rFonts w:ascii="Calibri" w:hAnsi="Calibri" w:cs="Calibri"/>
        </w:rPr>
        <w:t xml:space="preserve">Human Rights Watch phone interviews </w:t>
      </w:r>
      <w:r w:rsidR="004C207F">
        <w:rPr>
          <w:rFonts w:ascii="Calibri" w:hAnsi="Calibri" w:cs="Calibri"/>
        </w:rPr>
        <w:t xml:space="preserve">with Saudi women activists on August 12, 2024 and August 19, 2024. </w:t>
      </w:r>
    </w:p>
  </w:footnote>
  <w:footnote w:id="20">
    <w:p w14:paraId="2F2A2F84" w14:textId="6212731F" w:rsidR="009A7D63" w:rsidRDefault="009A7D63">
      <w:pPr>
        <w:pStyle w:val="FootnoteText"/>
      </w:pPr>
      <w:r>
        <w:rPr>
          <w:rStyle w:val="FootnoteReference"/>
        </w:rPr>
        <w:footnoteRef/>
      </w:r>
      <w:r>
        <w:t xml:space="preserve"> Saudi Ministry of Health, “Law of Practicing Healthcare Professions,” </w:t>
      </w:r>
      <w:hyperlink r:id="rId7" w:history="1">
        <w:r w:rsidRPr="00FF142D">
          <w:rPr>
            <w:rStyle w:val="Hyperlink"/>
          </w:rPr>
          <w:t>https://www.moh.gov.sa/en/Ministry/Rules/Documents/Law-of-Practicing-Healthcare-Professions.pdf</w:t>
        </w:r>
      </w:hyperlink>
      <w:r>
        <w:t xml:space="preserve">. </w:t>
      </w:r>
    </w:p>
  </w:footnote>
  <w:footnote w:id="21">
    <w:p w14:paraId="11C200B1" w14:textId="0B490374" w:rsidR="00873B75" w:rsidRDefault="00873B75">
      <w:pPr>
        <w:pStyle w:val="FootnoteText"/>
      </w:pPr>
      <w:r>
        <w:rPr>
          <w:rStyle w:val="FootnoteReference"/>
        </w:rPr>
        <w:footnoteRef/>
      </w:r>
      <w:r>
        <w:t xml:space="preserve"> Ibid. </w:t>
      </w:r>
    </w:p>
  </w:footnote>
  <w:footnote w:id="22">
    <w:p w14:paraId="0FD11C98" w14:textId="08EE57C2" w:rsidR="005316C8" w:rsidRDefault="005316C8">
      <w:pPr>
        <w:pStyle w:val="FootnoteText"/>
      </w:pPr>
      <w:r>
        <w:rPr>
          <w:rStyle w:val="FootnoteReference"/>
        </w:rPr>
        <w:footnoteRef/>
      </w:r>
      <w:r>
        <w:t xml:space="preserve"> </w:t>
      </w:r>
      <w:r w:rsidRPr="00B31A2A">
        <w:rPr>
          <w:rFonts w:ascii="Calibri" w:hAnsi="Calibri" w:cs="Calibri"/>
        </w:rPr>
        <w:t xml:space="preserve">Saudi Ministry of Health, “الالئحة التنفيذية لنظام مزاولة املهن الصحية,” pg. 11, </w:t>
      </w:r>
      <w:hyperlink r:id="rId8" w:history="1">
        <w:r w:rsidRPr="00B31A2A">
          <w:rPr>
            <w:rStyle w:val="Hyperlink"/>
            <w:rFonts w:ascii="Calibri" w:hAnsi="Calibri" w:cs="Calibri"/>
          </w:rPr>
          <w:t>https://istitlaa.ncc.gov.sa/ar/health/moh/healthprofessions/Documents/%D9%85%D8%B4%D8%B1%D9%88%D8%B9%20%D8%AA%D8%B9%D8%AF%D9%8A%D9%84%20%D8%A7%D9%84%D9%84%D8%A7%D8%A6%D8%AD%D8%A9%20%D8%A7%D9%84%D8%AA%D9%86%D9%81%D9%8A%D8%B0%D9%8A%D8%A9%20%D9%84%D9%86%D8%B8%D8%A7%D9%85%20%D9%85%D8%B2%D8%A7%D9%88%D9%84%D8%A9%20%D8%A7%D9%84%D9%85%D9%87%D9%86%20%D8%A7%D9%84%D8%B5%D8%AD%D9%8A%D8%A9.pdf</w:t>
        </w:r>
      </w:hyperlink>
      <w:r w:rsidRPr="00B31A2A">
        <w:rPr>
          <w:rFonts w:ascii="Calibri" w:hAnsi="Calibri" w:cs="Calibri"/>
        </w:rPr>
        <w:t>.</w:t>
      </w:r>
    </w:p>
  </w:footnote>
  <w:footnote w:id="23">
    <w:p w14:paraId="1A4BD0AC" w14:textId="59308CE8" w:rsidR="00B27278" w:rsidRDefault="00B27278">
      <w:pPr>
        <w:pStyle w:val="FootnoteText"/>
      </w:pPr>
      <w:r>
        <w:rPr>
          <w:rStyle w:val="FootnoteReference"/>
        </w:rPr>
        <w:footnoteRef/>
      </w:r>
      <w:r>
        <w:t xml:space="preserve"> Human Rights Watch report, “Trapped: </w:t>
      </w:r>
      <w:r w:rsidR="0093482F">
        <w:t>How Male Guardianship Policies Restrict Women’s Travel and Mobility in the Middle East and North Africa</w:t>
      </w:r>
      <w:r>
        <w:t xml:space="preserve">,” July 18, 2023, </w:t>
      </w:r>
      <w:hyperlink r:id="rId9" w:history="1">
        <w:r w:rsidR="0093482F" w:rsidRPr="00FF142D">
          <w:rPr>
            <w:rStyle w:val="Hyperlink"/>
          </w:rPr>
          <w:t>https://www.hrw.org/report/2023/07/18/trapped/how-male-guardianship-policies-restrict-womens-travel-and-mobility-middle</w:t>
        </w:r>
      </w:hyperlink>
      <w:r w:rsidR="0093482F">
        <w:t xml:space="preserve">. </w:t>
      </w:r>
    </w:p>
  </w:footnote>
  <w:footnote w:id="24">
    <w:p w14:paraId="7F1C4292" w14:textId="0820272D" w:rsidR="00E60ADD" w:rsidRDefault="00E60ADD">
      <w:pPr>
        <w:pStyle w:val="FootnoteText"/>
      </w:pPr>
      <w:r>
        <w:rPr>
          <w:rStyle w:val="FootnoteReference"/>
        </w:rPr>
        <w:footnoteRef/>
      </w:r>
      <w:r>
        <w:t xml:space="preserve"> Ibid. </w:t>
      </w:r>
    </w:p>
  </w:footnote>
  <w:footnote w:id="25">
    <w:p w14:paraId="7B518AA2" w14:textId="55296C9F" w:rsidR="00E60ADD" w:rsidRDefault="00E60ADD">
      <w:pPr>
        <w:pStyle w:val="FootnoteText"/>
      </w:pPr>
      <w:r>
        <w:rPr>
          <w:rStyle w:val="FootnoteReference"/>
        </w:rPr>
        <w:footnoteRef/>
      </w:r>
      <w:r>
        <w:t xml:space="preserve"> Ibid. </w:t>
      </w:r>
    </w:p>
  </w:footnote>
  <w:footnote w:id="26">
    <w:p w14:paraId="5C25932C" w14:textId="7D471889" w:rsidR="00B64199" w:rsidRDefault="00B64199">
      <w:pPr>
        <w:pStyle w:val="FootnoteText"/>
      </w:pPr>
      <w:r>
        <w:rPr>
          <w:rStyle w:val="FootnoteReference"/>
        </w:rPr>
        <w:footnoteRef/>
      </w:r>
      <w:r>
        <w:t xml:space="preserve"> </w:t>
      </w:r>
      <w:r w:rsidRPr="00B31A2A">
        <w:rPr>
          <w:rFonts w:ascii="Calibri" w:hAnsi="Calibri" w:cs="Calibri"/>
        </w:rPr>
        <w:t>Human Rights Watch report, “Saudi Arabia: Law Enshrines Male Guardianship</w:t>
      </w:r>
      <w:r>
        <w:rPr>
          <w:rFonts w:ascii="Calibri" w:hAnsi="Calibri" w:cs="Calibri"/>
        </w:rPr>
        <w:t>.”</w:t>
      </w:r>
    </w:p>
  </w:footnote>
  <w:footnote w:id="27">
    <w:p w14:paraId="5278F924" w14:textId="28FFE422" w:rsidR="00E90591" w:rsidRDefault="00E90591">
      <w:pPr>
        <w:pStyle w:val="FootnoteText"/>
      </w:pPr>
      <w:r>
        <w:rPr>
          <w:rStyle w:val="FootnoteReference"/>
        </w:rPr>
        <w:footnoteRef/>
      </w:r>
      <w:r>
        <w:t xml:space="preserve"> Human Rights Watch report, “Trapped: How Male Guardianship Policies Restrict Women’s Travel and Mobility in the Middle East and North Africa.”</w:t>
      </w:r>
    </w:p>
  </w:footnote>
  <w:footnote w:id="28">
    <w:p w14:paraId="56E2F7D8" w14:textId="216A9291" w:rsidR="00BF4D95" w:rsidRDefault="00BF4D95">
      <w:pPr>
        <w:pStyle w:val="FootnoteText"/>
      </w:pPr>
      <w:r>
        <w:rPr>
          <w:rStyle w:val="FootnoteReference"/>
        </w:rPr>
        <w:footnoteRef/>
      </w:r>
      <w:r>
        <w:t xml:space="preserve"> </w:t>
      </w:r>
      <w:r w:rsidRPr="00B31A2A">
        <w:rPr>
          <w:rFonts w:ascii="Calibri" w:hAnsi="Calibri" w:cs="Calibri"/>
        </w:rPr>
        <w:t>Human Rights Watch report, “Saudi Arabia: Law Enshrines Male Guardianship</w:t>
      </w:r>
      <w:r>
        <w:rPr>
          <w:rFonts w:ascii="Calibri" w:hAnsi="Calibri" w:cs="Calibri"/>
        </w:rPr>
        <w:t>.”</w:t>
      </w:r>
    </w:p>
  </w:footnote>
  <w:footnote w:id="29">
    <w:p w14:paraId="003F86F5" w14:textId="69E0EE52" w:rsidR="00BF4D95" w:rsidRDefault="00BF4D95">
      <w:pPr>
        <w:pStyle w:val="FootnoteText"/>
      </w:pPr>
      <w:r>
        <w:rPr>
          <w:rStyle w:val="FootnoteReference"/>
        </w:rPr>
        <w:footnoteRef/>
      </w:r>
      <w:r>
        <w:t xml:space="preserve"> Human Rights Watch report, “ ‘They Fired on Us Like Rain’: Saudi Arabian Mass Killings of Ethiopian Migrants at the Yemen-Saudi Border,” August 21, 2023, </w:t>
      </w:r>
      <w:hyperlink r:id="rId10" w:history="1">
        <w:r w:rsidRPr="00FF142D">
          <w:rPr>
            <w:rStyle w:val="Hyperlink"/>
          </w:rPr>
          <w:t>https://www.hrw.org/report/2023/08/21/they-fired-us-rain/saudi-arabian-mass-killings-ethiopian-migrants-yemen-saudi</w:t>
        </w:r>
      </w:hyperlink>
      <w:r>
        <w:t xml:space="preserve">. </w:t>
      </w:r>
    </w:p>
  </w:footnote>
  <w:footnote w:id="30">
    <w:p w14:paraId="253985C0" w14:textId="3A1DF31E" w:rsidR="006B69DD" w:rsidRDefault="006B69DD">
      <w:pPr>
        <w:pStyle w:val="FootnoteText"/>
      </w:pPr>
      <w:r>
        <w:rPr>
          <w:rStyle w:val="FootnoteReference"/>
        </w:rPr>
        <w:footnoteRef/>
      </w:r>
      <w:r>
        <w:t xml:space="preserve"> Human Rights Watch Submission to the Universal Periodic Review of the Kingdom of Saudi Arabia, July 20, 2023, </w:t>
      </w:r>
      <w:hyperlink r:id="rId11" w:history="1">
        <w:r w:rsidRPr="00FF142D">
          <w:rPr>
            <w:rStyle w:val="Hyperlink"/>
          </w:rPr>
          <w:t>https://www.hrw.org/news/2023/07/20/submission-universal-periodic-review-kingdom-saudi-arabia</w:t>
        </w:r>
      </w:hyperlink>
      <w:r>
        <w:t>.</w:t>
      </w:r>
    </w:p>
  </w:footnote>
  <w:footnote w:id="31">
    <w:p w14:paraId="6FB680B2" w14:textId="60BDF144" w:rsidR="000451CD" w:rsidRDefault="000451CD">
      <w:pPr>
        <w:pStyle w:val="FootnoteText"/>
      </w:pPr>
      <w:r>
        <w:rPr>
          <w:rStyle w:val="FootnoteReference"/>
        </w:rPr>
        <w:footnoteRef/>
      </w:r>
      <w:r>
        <w:t xml:space="preserve"> Migrant Rights news release, “Saudi Arabia Extends Wage Protection System to Domestic Workers,” May 27, 2024, </w:t>
      </w:r>
      <w:hyperlink r:id="rId12" w:history="1">
        <w:r w:rsidRPr="00FF142D">
          <w:rPr>
            <w:rStyle w:val="Hyperlink"/>
          </w:rPr>
          <w:t>https://www.migrant-rights.org/2024/05/saudi-arabia-extends-wage-protection-system-to-domestic-workers/</w:t>
        </w:r>
      </w:hyperlink>
      <w:r>
        <w:t xml:space="preserve"> (accessed August 30, 2024).</w:t>
      </w:r>
    </w:p>
  </w:footnote>
  <w:footnote w:id="32">
    <w:p w14:paraId="2F11F48B" w14:textId="4726D496" w:rsidR="00656A2B" w:rsidRDefault="00656A2B">
      <w:pPr>
        <w:pStyle w:val="FootnoteText"/>
      </w:pPr>
      <w:r>
        <w:rPr>
          <w:rStyle w:val="FootnoteReference"/>
        </w:rPr>
        <w:footnoteRef/>
      </w:r>
      <w:r>
        <w:t xml:space="preserve"> Human Rights Watch news release, “Saudi Arabia: Labor Reforms Insufficient,” March 25, 2021, </w:t>
      </w:r>
      <w:hyperlink r:id="rId13" w:history="1">
        <w:r w:rsidRPr="00FF142D">
          <w:rPr>
            <w:rStyle w:val="Hyperlink"/>
          </w:rPr>
          <w:t>https://www.hrw.org/news/2021/03/25/saudi-arabia-labor-reforms-insufficient</w:t>
        </w:r>
      </w:hyperlink>
      <w:r>
        <w:t xml:space="preserve">. </w:t>
      </w:r>
    </w:p>
  </w:footnote>
  <w:footnote w:id="33">
    <w:p w14:paraId="37998E0E" w14:textId="3874A1A8" w:rsidR="00B94DB1" w:rsidRDefault="00B94DB1">
      <w:pPr>
        <w:pStyle w:val="FootnoteText"/>
      </w:pPr>
      <w:r>
        <w:rPr>
          <w:rStyle w:val="FootnoteReference"/>
        </w:rPr>
        <w:footnoteRef/>
      </w:r>
      <w:r>
        <w:t xml:space="preserve"> Migrant Rights</w:t>
      </w:r>
      <w:r w:rsidR="008207DD">
        <w:t xml:space="preserve"> news release</w:t>
      </w:r>
      <w:r>
        <w:t xml:space="preserve">, “An overview of Saudi’s new Domestic Workers Law,” October 17, 2023, </w:t>
      </w:r>
      <w:hyperlink r:id="rId14" w:history="1">
        <w:r w:rsidRPr="00FF142D">
          <w:rPr>
            <w:rStyle w:val="Hyperlink"/>
          </w:rPr>
          <w:t>https://www.migrant-rights.org/2023/10/an-overview-of-saudis-new-domestic-workers-law/</w:t>
        </w:r>
      </w:hyperlink>
      <w:r w:rsidR="008207DD">
        <w:t xml:space="preserve"> (accessed August 30, 2024).</w:t>
      </w:r>
    </w:p>
  </w:footnote>
  <w:footnote w:id="34">
    <w:p w14:paraId="30A0B2EF" w14:textId="431209BA" w:rsidR="003F21D6" w:rsidRDefault="003F21D6">
      <w:pPr>
        <w:pStyle w:val="FootnoteText"/>
      </w:pPr>
      <w:r>
        <w:rPr>
          <w:rStyle w:val="FootnoteReference"/>
        </w:rPr>
        <w:footnoteRef/>
      </w:r>
      <w:r>
        <w:t xml:space="preserve"> “Saudi HR ministry launches wage protection service for domestic workers,” May 13, 2024, </w:t>
      </w:r>
      <w:hyperlink r:id="rId15" w:history="1">
        <w:r w:rsidRPr="00FF142D">
          <w:rPr>
            <w:rStyle w:val="Hyperlink"/>
          </w:rPr>
          <w:t>https://www.arabnews.com/node/2509561/saudi-arabia</w:t>
        </w:r>
      </w:hyperlink>
      <w:r>
        <w:t xml:space="preserve"> (accessed August 30, 2024).</w:t>
      </w:r>
    </w:p>
  </w:footnote>
  <w:footnote w:id="35">
    <w:p w14:paraId="3A94C9F1" w14:textId="77777777" w:rsidR="001B4274" w:rsidRDefault="001B4274" w:rsidP="001B4274">
      <w:pPr>
        <w:pStyle w:val="FootnoteText"/>
      </w:pPr>
      <w:r>
        <w:rPr>
          <w:rStyle w:val="FootnoteReference"/>
        </w:rPr>
        <w:footnoteRef/>
      </w:r>
      <w:r>
        <w:t xml:space="preserve"> Saudi Ministry of Human Resources and Social Development, “</w:t>
      </w:r>
      <w:proofErr w:type="spellStart"/>
      <w:r>
        <w:rPr>
          <w:rFonts w:ascii="Arial" w:hAnsi="Arial" w:cs="Arial"/>
        </w:rPr>
        <w:t>ضوابط</w:t>
      </w:r>
      <w:proofErr w:type="spellEnd"/>
      <w:r>
        <w:t xml:space="preserve"> </w:t>
      </w:r>
      <w:proofErr w:type="spellStart"/>
      <w:r>
        <w:rPr>
          <w:rFonts w:ascii="Arial" w:hAnsi="Arial" w:cs="Arial"/>
        </w:rPr>
        <w:t>تحسين</w:t>
      </w:r>
      <w:proofErr w:type="spellEnd"/>
      <w:r>
        <w:t xml:space="preserve"> </w:t>
      </w:r>
      <w:proofErr w:type="spellStart"/>
      <w:r>
        <w:rPr>
          <w:rFonts w:ascii="Arial" w:hAnsi="Arial" w:cs="Arial"/>
        </w:rPr>
        <w:t>العالقة</w:t>
      </w:r>
      <w:proofErr w:type="spellEnd"/>
      <w:r>
        <w:t xml:space="preserve"> </w:t>
      </w:r>
      <w:proofErr w:type="spellStart"/>
      <w:r>
        <w:rPr>
          <w:rFonts w:ascii="Arial" w:hAnsi="Arial" w:cs="Arial"/>
        </w:rPr>
        <w:t>التعاقدية</w:t>
      </w:r>
      <w:proofErr w:type="spellEnd"/>
    </w:p>
    <w:p w14:paraId="656FEE57" w14:textId="37CD9FF8" w:rsidR="001B4274" w:rsidRDefault="001B4274" w:rsidP="001B4274">
      <w:pPr>
        <w:pStyle w:val="FootnoteText"/>
      </w:pPr>
      <w:proofErr w:type="spellStart"/>
      <w:r>
        <w:rPr>
          <w:rFonts w:ascii="Arial" w:hAnsi="Arial" w:cs="Arial"/>
        </w:rPr>
        <w:t>للعمالة</w:t>
      </w:r>
      <w:proofErr w:type="spellEnd"/>
      <w:r>
        <w:t xml:space="preserve"> </w:t>
      </w:r>
      <w:proofErr w:type="spellStart"/>
      <w:r>
        <w:rPr>
          <w:rFonts w:ascii="Arial" w:hAnsi="Arial" w:cs="Arial"/>
        </w:rPr>
        <w:t>المزنلية</w:t>
      </w:r>
      <w:proofErr w:type="spellEnd"/>
      <w:r>
        <w:t xml:space="preserve"> </w:t>
      </w:r>
      <w:proofErr w:type="spellStart"/>
      <w:r>
        <w:rPr>
          <w:rFonts w:ascii="Arial" w:hAnsi="Arial" w:cs="Arial"/>
        </w:rPr>
        <w:t>ومن</w:t>
      </w:r>
      <w:proofErr w:type="spellEnd"/>
      <w:r>
        <w:t xml:space="preserve"> </w:t>
      </w:r>
      <w:proofErr w:type="spellStart"/>
      <w:r>
        <w:rPr>
          <w:rFonts w:ascii="Arial" w:hAnsi="Arial" w:cs="Arial"/>
        </w:rPr>
        <w:t>في</w:t>
      </w:r>
      <w:proofErr w:type="spellEnd"/>
      <w:r>
        <w:t xml:space="preserve"> </w:t>
      </w:r>
      <w:proofErr w:type="spellStart"/>
      <w:r>
        <w:rPr>
          <w:rFonts w:ascii="Arial" w:hAnsi="Arial" w:cs="Arial"/>
        </w:rPr>
        <w:t>حكمهم</w:t>
      </w:r>
      <w:proofErr w:type="spellEnd"/>
      <w:r>
        <w:t xml:space="preserve">,” </w:t>
      </w:r>
      <w:hyperlink r:id="rId16" w:history="1">
        <w:r w:rsidR="00C64FC3" w:rsidRPr="00FF142D">
          <w:rPr>
            <w:rStyle w:val="Hyperlink"/>
          </w:rPr>
          <w:t>https://www.hrsd.gov.sa/sites/default/files/2024-04/%D8%B8%D9%88%D8%A7%D8%A8%D8%B7%20%D8%AA%D8%AD%D8%B3%D9%8A%D9%86%20%D8%A7%D9%84%D8%B9%D9%84%D8%A7%D9%82%D8%A9%20%D8%A7%D9%84%D8%AA%D8%B9%D8%A7%D9%82%D8%AF%D9%8A%D8%A9%20%D9%84%D9%84%D8%B9%D9%85%D8%A7%D9%84%D8%A9%20%D8%A7%D9%84%D9%85%D9%86%D8%B2%D9%84%D9%8A%D8%A9.pdf</w:t>
        </w:r>
      </w:hyperlink>
      <w:r w:rsidR="00C64FC3">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93E29B" w14:textId="7A999C78" w:rsidR="00C51344" w:rsidRDefault="00C51344" w:rsidP="002E67E0">
    <w:pPr>
      <w:pStyle w:val="Header"/>
      <w:tabs>
        <w:tab w:val="clear" w:pos="4680"/>
        <w:tab w:val="clear" w:pos="9360"/>
        <w:tab w:val="left" w:pos="3386"/>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E0164D" w14:textId="517D874D" w:rsidR="00C51344" w:rsidRDefault="00C51344" w:rsidP="002E67E0">
    <w:pPr>
      <w:pStyle w:val="Header"/>
      <w:jc w:val="center"/>
    </w:pPr>
    <w:r>
      <w:fldChar w:fldCharType="begin"/>
    </w:r>
    <w:r>
      <w:instrText xml:space="preserve"> INCLUDEPICTURE "https://attachments.office.net/owa/mena@hrw.org/service.svc/s/GetAttachmentThumbnail?id=AAMkADYwMmUzNTQwLWU0MjItNDkzNC1iMjY0LTRmYjgwYjA0YWY5YQBGAAAAAABdczN0wrXUR5BRAkIxZXmEBwAEILKGieWOSb%2BgrCde3xplAAAAAAEMAAAEILKGieWOSb%2BgrCde3xplAAbpiXwqAAABEgAQAMuvUpBwkdhAqEDY4A%2BwB9o%3D&amp;thumbnailType=2&amp;token=eyJhbGciOiJSUzI1NiIsImtpZCI6IkU1RDJGMEY4REE5M0I2NzA5QzQzQTlFOEE2MTQzQzAzRDYyRjlBODAiLCJ0eXAiOiJKV1QiLCJ4NXQiOiI1ZEx3LU5xVHRuQ2NRNm5vcGhROEE5WXZtb0EifQ.eyJvcmlnaW4iOiJodHRwczovL291dGxvb2sub2ZmaWNlLmNvbSIsInVjIjoiNjgyNTk2ZGM1Njg5NGQyMjk5MWY4ZmEyOTdiNTM2MzUiLCJzaWduaW5fc3RhdGUiOlsiZHZjX21uZ2QiLCJkdmNfY21wIiwia21zaSJdLCJ2ZXIiOiJFeGNoYW5nZS5DYWxsYmFjay5WMSIsImFwcGN0eHNlbmRlciI6Ik93YURvd25sb2FkQDJlYjc5ZGU0LWQ4MDQtNDI3My1hNmU2LTRiMzE4ODg1NWY2NiIsImlzc3JpbmciOiJXVyIsImFwcGN0eCI6IntcIm1zZXhjaHByb3RcIjpcIm93YVwiLFwicHVpZFwiOlwiMTE1MzgwMTExNTI4ODkyODE0MFwiLFwic2NvcGVcIjpcIk93YURvd25sb2FkXCIsXCJvaWRcIjpcIjQzMjMxNTI4LTFjNjctNDc4Ni1iMzBhLTExMmY3ZDhmNWU1NlwiLFwicHJpbWFyeXNpZFwiOlwiUy0xLTUtMjEtNDI0NTY4ODg0Mi0yNTIxMjEzMzIzLTE1OTExNjY3NTItMjQzMzU0NDFcIn0iLCJuYmYiOjE3MjQzNjU5NTIsImV4cCI6MTcyNDM2NjI1MiwiaXNzIjoiMDAwMDAwMDItMDAwMC0wZmYxLWNlMDAtMDAwMDAwMDAwMDAwQDJlYjc5ZGU0LWQ4MDQtNDI3My1hNmU2LTRiMzE4ODg1NWY2NiIsImF1ZCI6IjAwMDAwMDAyLTAwMDAtMGZmMS1jZTAwLTAwMDAwMDAwMDAwMC9hdHRhY2htZW50cy5vZmZpY2UubmV0QDJlYjc5ZGU0LWQ4MDQtNDI3My1hNmU2LTRiMzE4ODg1NWY2NiIsImhhcHAiOiJvd2EifQ.xAFUmCHUrP_tsB5OWuSXeS3bjRcTUGguEF4J4KNj2e8B2my92NCKLYt6s1c8zRIzoW-kHP7GyGfojDM1HtCxIHBwNnzkv9CFQYz3cPGeTcCDTBOLlqcIVZKrArF2DrOc6QX6U5HvAborZnkhl2DvS2B0KqfXP1YQ8PdTqIU2cteuaSwFyjt4j3XNjlY6HAhdQtJmPIX30w8UayPtksvzvEsqJoRF6iuFKOY4Q-29_DPaCBY_sRmV8FPJ9FEhub60OVKSa-v9biIpmO2IrFkzm9Li6FRODdrFmA2CyvDMA51FXI24ZuwY5K5Ri6YZSjYlSeOPI5_8ROTWawQG5USfDw&amp;X-OWA-CANARY=bdvoV_eRlWwAAAAAAAAAAGAA91P6wtwYs_Gc_SLoRmWXdTpbb6z5Ck66TmIuprH6b1MYBjRuNl0.&amp;owa=outlook.office.com&amp;scriptVer=20240809006.13&amp;clientId=9F9DF742E0354F4494FF0E91F54BE7BA&amp;animation=true" \* MERGEFORMATINET </w:instrText>
    </w:r>
    <w:r>
      <w:fldChar w:fldCharType="separate"/>
    </w:r>
    <w:r>
      <w:rPr>
        <w:noProof/>
      </w:rPr>
      <w:drawing>
        <wp:inline distT="0" distB="0" distL="0" distR="0" wp14:anchorId="57BC872A" wp14:editId="769A2933">
          <wp:extent cx="1070043" cy="1070043"/>
          <wp:effectExtent l="0" t="0" r="0" b="0"/>
          <wp:docPr id="1064526978" name="Picture 1"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125505" name="Picture 1" descr="A blue background with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9836" cy="1079836"/>
                  </a:xfrm>
                  <a:prstGeom prst="rect">
                    <a:avLst/>
                  </a:prstGeom>
                  <a:noFill/>
                  <a:ln>
                    <a:noFill/>
                  </a:ln>
                </pic:spPr>
              </pic:pic>
            </a:graphicData>
          </a:graphic>
        </wp:inline>
      </w:drawing>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 w15:restartNumberingAfterBreak="0">
    <w:nsid w:val="358439E0"/>
    <w:multiLevelType w:val="multilevel"/>
    <w:tmpl w:val="16DE9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3"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num w:numId="1" w16cid:durableId="640310992">
    <w:abstractNumId w:val="3"/>
  </w:num>
  <w:num w:numId="2" w16cid:durableId="1081833767">
    <w:abstractNumId w:val="0"/>
  </w:num>
  <w:num w:numId="3" w16cid:durableId="1922062998">
    <w:abstractNumId w:val="2"/>
  </w:num>
  <w:num w:numId="4" w16cid:durableId="13783532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E07"/>
    <w:rsid w:val="00002D57"/>
    <w:rsid w:val="000104BC"/>
    <w:rsid w:val="000117B8"/>
    <w:rsid w:val="00012591"/>
    <w:rsid w:val="00020AED"/>
    <w:rsid w:val="000337D7"/>
    <w:rsid w:val="000451CD"/>
    <w:rsid w:val="00057BD5"/>
    <w:rsid w:val="0006112F"/>
    <w:rsid w:val="00062D48"/>
    <w:rsid w:val="0007306F"/>
    <w:rsid w:val="000739EB"/>
    <w:rsid w:val="00075A34"/>
    <w:rsid w:val="00095080"/>
    <w:rsid w:val="000A0999"/>
    <w:rsid w:val="000B36B6"/>
    <w:rsid w:val="000B6945"/>
    <w:rsid w:val="000D1D61"/>
    <w:rsid w:val="000F0785"/>
    <w:rsid w:val="000F6EF9"/>
    <w:rsid w:val="0010298E"/>
    <w:rsid w:val="00106D41"/>
    <w:rsid w:val="00114338"/>
    <w:rsid w:val="001205BE"/>
    <w:rsid w:val="00126326"/>
    <w:rsid w:val="001376A6"/>
    <w:rsid w:val="001454A6"/>
    <w:rsid w:val="001557E2"/>
    <w:rsid w:val="00160E00"/>
    <w:rsid w:val="00165538"/>
    <w:rsid w:val="00166640"/>
    <w:rsid w:val="0016761D"/>
    <w:rsid w:val="00186FF7"/>
    <w:rsid w:val="00187019"/>
    <w:rsid w:val="00196626"/>
    <w:rsid w:val="001A1845"/>
    <w:rsid w:val="001A5EC8"/>
    <w:rsid w:val="001A7A1C"/>
    <w:rsid w:val="001B3955"/>
    <w:rsid w:val="001B4274"/>
    <w:rsid w:val="001E335D"/>
    <w:rsid w:val="001F439A"/>
    <w:rsid w:val="001F53DD"/>
    <w:rsid w:val="00206B48"/>
    <w:rsid w:val="002262EA"/>
    <w:rsid w:val="002302E0"/>
    <w:rsid w:val="002378F9"/>
    <w:rsid w:val="00240B95"/>
    <w:rsid w:val="00246482"/>
    <w:rsid w:val="00256975"/>
    <w:rsid w:val="00257489"/>
    <w:rsid w:val="00271D64"/>
    <w:rsid w:val="002815C7"/>
    <w:rsid w:val="002A73BA"/>
    <w:rsid w:val="002B12EC"/>
    <w:rsid w:val="002B3A5F"/>
    <w:rsid w:val="002B3D97"/>
    <w:rsid w:val="002D64B0"/>
    <w:rsid w:val="002D7E07"/>
    <w:rsid w:val="002E2FA6"/>
    <w:rsid w:val="002E67E0"/>
    <w:rsid w:val="002F2C12"/>
    <w:rsid w:val="002F709A"/>
    <w:rsid w:val="002F7531"/>
    <w:rsid w:val="0032158D"/>
    <w:rsid w:val="003239E3"/>
    <w:rsid w:val="00343A81"/>
    <w:rsid w:val="0034715B"/>
    <w:rsid w:val="00360C23"/>
    <w:rsid w:val="00365DE3"/>
    <w:rsid w:val="00384AD0"/>
    <w:rsid w:val="0039611C"/>
    <w:rsid w:val="003A70CB"/>
    <w:rsid w:val="003B15F4"/>
    <w:rsid w:val="003B2932"/>
    <w:rsid w:val="003B7A3F"/>
    <w:rsid w:val="003C2E3B"/>
    <w:rsid w:val="003D6AB6"/>
    <w:rsid w:val="003D6B68"/>
    <w:rsid w:val="003D75A2"/>
    <w:rsid w:val="003F21D6"/>
    <w:rsid w:val="003F6198"/>
    <w:rsid w:val="003F66C1"/>
    <w:rsid w:val="004005FD"/>
    <w:rsid w:val="00400833"/>
    <w:rsid w:val="0045223A"/>
    <w:rsid w:val="004622C8"/>
    <w:rsid w:val="00463CA4"/>
    <w:rsid w:val="004B166E"/>
    <w:rsid w:val="004B4AA4"/>
    <w:rsid w:val="004B611F"/>
    <w:rsid w:val="004C207F"/>
    <w:rsid w:val="004C580A"/>
    <w:rsid w:val="004E3623"/>
    <w:rsid w:val="004F055D"/>
    <w:rsid w:val="004F3C0D"/>
    <w:rsid w:val="004F5B31"/>
    <w:rsid w:val="00511C26"/>
    <w:rsid w:val="00513E44"/>
    <w:rsid w:val="005316C8"/>
    <w:rsid w:val="00541703"/>
    <w:rsid w:val="005733DE"/>
    <w:rsid w:val="00583A73"/>
    <w:rsid w:val="005857A0"/>
    <w:rsid w:val="005B4F1B"/>
    <w:rsid w:val="005C3977"/>
    <w:rsid w:val="005E3E7B"/>
    <w:rsid w:val="005F3A8D"/>
    <w:rsid w:val="00602BDC"/>
    <w:rsid w:val="00617526"/>
    <w:rsid w:val="006207A8"/>
    <w:rsid w:val="00621199"/>
    <w:rsid w:val="006251DB"/>
    <w:rsid w:val="006538E3"/>
    <w:rsid w:val="006542E8"/>
    <w:rsid w:val="00656A2B"/>
    <w:rsid w:val="00673B9E"/>
    <w:rsid w:val="00677CB0"/>
    <w:rsid w:val="006B4286"/>
    <w:rsid w:val="006B69DD"/>
    <w:rsid w:val="006C43D0"/>
    <w:rsid w:val="006C6A5F"/>
    <w:rsid w:val="006D4832"/>
    <w:rsid w:val="006E5B28"/>
    <w:rsid w:val="006F4FFB"/>
    <w:rsid w:val="00701E18"/>
    <w:rsid w:val="007061E9"/>
    <w:rsid w:val="00722BC4"/>
    <w:rsid w:val="00723FC9"/>
    <w:rsid w:val="00734157"/>
    <w:rsid w:val="00757A97"/>
    <w:rsid w:val="0076768F"/>
    <w:rsid w:val="00774E23"/>
    <w:rsid w:val="00775F28"/>
    <w:rsid w:val="007A71CC"/>
    <w:rsid w:val="007B013F"/>
    <w:rsid w:val="007D0147"/>
    <w:rsid w:val="007D047A"/>
    <w:rsid w:val="007E1898"/>
    <w:rsid w:val="007F4B75"/>
    <w:rsid w:val="007F6505"/>
    <w:rsid w:val="00806191"/>
    <w:rsid w:val="008207DD"/>
    <w:rsid w:val="00822DC9"/>
    <w:rsid w:val="00824EBB"/>
    <w:rsid w:val="00826CA5"/>
    <w:rsid w:val="0083533A"/>
    <w:rsid w:val="008430BB"/>
    <w:rsid w:val="0085241D"/>
    <w:rsid w:val="008604BC"/>
    <w:rsid w:val="00861BCF"/>
    <w:rsid w:val="00873B75"/>
    <w:rsid w:val="008875C0"/>
    <w:rsid w:val="008A0EA0"/>
    <w:rsid w:val="008A242C"/>
    <w:rsid w:val="008A4BAE"/>
    <w:rsid w:val="008B12C1"/>
    <w:rsid w:val="008C7D4B"/>
    <w:rsid w:val="008D2484"/>
    <w:rsid w:val="008D6226"/>
    <w:rsid w:val="008E70B7"/>
    <w:rsid w:val="008F2D16"/>
    <w:rsid w:val="008F3AEF"/>
    <w:rsid w:val="00911F28"/>
    <w:rsid w:val="0091347E"/>
    <w:rsid w:val="00917C73"/>
    <w:rsid w:val="0092155B"/>
    <w:rsid w:val="009228ED"/>
    <w:rsid w:val="009243B7"/>
    <w:rsid w:val="0093482F"/>
    <w:rsid w:val="00936DCE"/>
    <w:rsid w:val="00942B6F"/>
    <w:rsid w:val="00954A5F"/>
    <w:rsid w:val="0096247A"/>
    <w:rsid w:val="0096291F"/>
    <w:rsid w:val="00972DEB"/>
    <w:rsid w:val="0097793D"/>
    <w:rsid w:val="00983527"/>
    <w:rsid w:val="009A7D63"/>
    <w:rsid w:val="009B156B"/>
    <w:rsid w:val="009D097C"/>
    <w:rsid w:val="009D72DB"/>
    <w:rsid w:val="009E567A"/>
    <w:rsid w:val="00A13680"/>
    <w:rsid w:val="00A30724"/>
    <w:rsid w:val="00A328E8"/>
    <w:rsid w:val="00A41849"/>
    <w:rsid w:val="00A51A9F"/>
    <w:rsid w:val="00A57035"/>
    <w:rsid w:val="00A659F8"/>
    <w:rsid w:val="00A8108D"/>
    <w:rsid w:val="00AA4D3C"/>
    <w:rsid w:val="00AD2EFF"/>
    <w:rsid w:val="00AE0251"/>
    <w:rsid w:val="00AF2111"/>
    <w:rsid w:val="00B0226D"/>
    <w:rsid w:val="00B1027C"/>
    <w:rsid w:val="00B22476"/>
    <w:rsid w:val="00B27278"/>
    <w:rsid w:val="00B3204F"/>
    <w:rsid w:val="00B64199"/>
    <w:rsid w:val="00B7463D"/>
    <w:rsid w:val="00B81B46"/>
    <w:rsid w:val="00B94DB1"/>
    <w:rsid w:val="00B95FD7"/>
    <w:rsid w:val="00BA4965"/>
    <w:rsid w:val="00BB1205"/>
    <w:rsid w:val="00BB406A"/>
    <w:rsid w:val="00BB4EC9"/>
    <w:rsid w:val="00BE06C7"/>
    <w:rsid w:val="00BE77D9"/>
    <w:rsid w:val="00BF4D95"/>
    <w:rsid w:val="00C067BE"/>
    <w:rsid w:val="00C21EAB"/>
    <w:rsid w:val="00C26824"/>
    <w:rsid w:val="00C4006F"/>
    <w:rsid w:val="00C51344"/>
    <w:rsid w:val="00C63B7F"/>
    <w:rsid w:val="00C64FC3"/>
    <w:rsid w:val="00C86701"/>
    <w:rsid w:val="00CA24D3"/>
    <w:rsid w:val="00CA30ED"/>
    <w:rsid w:val="00CA7070"/>
    <w:rsid w:val="00CF7F5E"/>
    <w:rsid w:val="00D0631C"/>
    <w:rsid w:val="00D148AF"/>
    <w:rsid w:val="00D2361F"/>
    <w:rsid w:val="00D373AA"/>
    <w:rsid w:val="00D4134B"/>
    <w:rsid w:val="00D45EC3"/>
    <w:rsid w:val="00D4622D"/>
    <w:rsid w:val="00D6369C"/>
    <w:rsid w:val="00D914DA"/>
    <w:rsid w:val="00DA5876"/>
    <w:rsid w:val="00DB5D5E"/>
    <w:rsid w:val="00DD2553"/>
    <w:rsid w:val="00DD3FAA"/>
    <w:rsid w:val="00DD6255"/>
    <w:rsid w:val="00DF1CA1"/>
    <w:rsid w:val="00DF343B"/>
    <w:rsid w:val="00DF5299"/>
    <w:rsid w:val="00E20126"/>
    <w:rsid w:val="00E214B1"/>
    <w:rsid w:val="00E2202C"/>
    <w:rsid w:val="00E22A79"/>
    <w:rsid w:val="00E2731E"/>
    <w:rsid w:val="00E33B71"/>
    <w:rsid w:val="00E34D28"/>
    <w:rsid w:val="00E3725F"/>
    <w:rsid w:val="00E37C6E"/>
    <w:rsid w:val="00E408A8"/>
    <w:rsid w:val="00E46E71"/>
    <w:rsid w:val="00E555EC"/>
    <w:rsid w:val="00E5664B"/>
    <w:rsid w:val="00E57FC8"/>
    <w:rsid w:val="00E60ADD"/>
    <w:rsid w:val="00E612B6"/>
    <w:rsid w:val="00E63228"/>
    <w:rsid w:val="00E63917"/>
    <w:rsid w:val="00E90591"/>
    <w:rsid w:val="00E95377"/>
    <w:rsid w:val="00EA4A2C"/>
    <w:rsid w:val="00EB22AF"/>
    <w:rsid w:val="00EB6F5F"/>
    <w:rsid w:val="00EC10AB"/>
    <w:rsid w:val="00ED667A"/>
    <w:rsid w:val="00EF0A43"/>
    <w:rsid w:val="00EF4DC5"/>
    <w:rsid w:val="00EF5F38"/>
    <w:rsid w:val="00F10E1C"/>
    <w:rsid w:val="00F11503"/>
    <w:rsid w:val="00F1254D"/>
    <w:rsid w:val="00F170A0"/>
    <w:rsid w:val="00F371AA"/>
    <w:rsid w:val="00F423FA"/>
    <w:rsid w:val="00F50439"/>
    <w:rsid w:val="00F5610B"/>
    <w:rsid w:val="00F5712D"/>
    <w:rsid w:val="00F60A52"/>
    <w:rsid w:val="00F647C9"/>
    <w:rsid w:val="00F66FA5"/>
    <w:rsid w:val="00F676C9"/>
    <w:rsid w:val="00F751CB"/>
    <w:rsid w:val="00F82ECD"/>
    <w:rsid w:val="00F9085F"/>
    <w:rsid w:val="00F9274D"/>
    <w:rsid w:val="00F96743"/>
    <w:rsid w:val="00FA2107"/>
    <w:rsid w:val="00FB19BF"/>
    <w:rsid w:val="00FB5C81"/>
    <w:rsid w:val="00FB6741"/>
    <w:rsid w:val="00FD7FFD"/>
    <w:rsid w:val="00FE6CFA"/>
    <w:rsid w:val="04DE0C4F"/>
    <w:rsid w:val="15314B3A"/>
    <w:rsid w:val="1587050E"/>
    <w:rsid w:val="24AFBF5C"/>
    <w:rsid w:val="287BACE9"/>
    <w:rsid w:val="2FD39DC9"/>
    <w:rsid w:val="3319213E"/>
    <w:rsid w:val="3D0B335A"/>
    <w:rsid w:val="44EABBE8"/>
    <w:rsid w:val="5712302E"/>
    <w:rsid w:val="5E67C4E0"/>
    <w:rsid w:val="6BC478D2"/>
    <w:rsid w:val="6E5116E7"/>
    <w:rsid w:val="76C1B3F9"/>
    <w:rsid w:val="79A4E49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1BF1"/>
  <w15:chartTrackingRefBased/>
  <w15:docId w15:val="{038688EF-2761-46BF-8083-157A14624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7E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7E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7E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7E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7E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7E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7E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7E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7E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7E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7E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7E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7E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7E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7E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7E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7E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7E07"/>
    <w:rPr>
      <w:rFonts w:eastAsiaTheme="majorEastAsia" w:cstheme="majorBidi"/>
      <w:color w:val="272727" w:themeColor="text1" w:themeTint="D8"/>
    </w:rPr>
  </w:style>
  <w:style w:type="paragraph" w:styleId="Title">
    <w:name w:val="Title"/>
    <w:basedOn w:val="Normal"/>
    <w:next w:val="Normal"/>
    <w:link w:val="TitleChar"/>
    <w:uiPriority w:val="10"/>
    <w:qFormat/>
    <w:rsid w:val="002D7E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7E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7E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7E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7E07"/>
    <w:pPr>
      <w:spacing w:before="160"/>
      <w:jc w:val="center"/>
    </w:pPr>
    <w:rPr>
      <w:i/>
      <w:iCs/>
      <w:color w:val="404040" w:themeColor="text1" w:themeTint="BF"/>
    </w:rPr>
  </w:style>
  <w:style w:type="character" w:customStyle="1" w:styleId="QuoteChar">
    <w:name w:val="Quote Char"/>
    <w:basedOn w:val="DefaultParagraphFont"/>
    <w:link w:val="Quote"/>
    <w:uiPriority w:val="29"/>
    <w:rsid w:val="002D7E07"/>
    <w:rPr>
      <w:i/>
      <w:iCs/>
      <w:color w:val="404040" w:themeColor="text1" w:themeTint="BF"/>
    </w:rPr>
  </w:style>
  <w:style w:type="paragraph" w:styleId="ListParagraph">
    <w:name w:val="List Paragraph"/>
    <w:basedOn w:val="Normal"/>
    <w:uiPriority w:val="34"/>
    <w:qFormat/>
    <w:rsid w:val="002D7E07"/>
    <w:pPr>
      <w:ind w:left="720"/>
      <w:contextualSpacing/>
    </w:pPr>
  </w:style>
  <w:style w:type="character" w:styleId="IntenseEmphasis">
    <w:name w:val="Intense Emphasis"/>
    <w:basedOn w:val="DefaultParagraphFont"/>
    <w:uiPriority w:val="21"/>
    <w:qFormat/>
    <w:rsid w:val="002D7E07"/>
    <w:rPr>
      <w:i/>
      <w:iCs/>
      <w:color w:val="0F4761" w:themeColor="accent1" w:themeShade="BF"/>
    </w:rPr>
  </w:style>
  <w:style w:type="paragraph" w:styleId="IntenseQuote">
    <w:name w:val="Intense Quote"/>
    <w:basedOn w:val="Normal"/>
    <w:next w:val="Normal"/>
    <w:link w:val="IntenseQuoteChar"/>
    <w:uiPriority w:val="30"/>
    <w:qFormat/>
    <w:rsid w:val="002D7E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7E07"/>
    <w:rPr>
      <w:i/>
      <w:iCs/>
      <w:color w:val="0F4761" w:themeColor="accent1" w:themeShade="BF"/>
    </w:rPr>
  </w:style>
  <w:style w:type="character" w:styleId="IntenseReference">
    <w:name w:val="Intense Reference"/>
    <w:basedOn w:val="DefaultParagraphFont"/>
    <w:uiPriority w:val="32"/>
    <w:qFormat/>
    <w:rsid w:val="002D7E07"/>
    <w:rPr>
      <w:b/>
      <w:bCs/>
      <w:smallCaps/>
      <w:color w:val="0F4761" w:themeColor="accent1" w:themeShade="BF"/>
      <w:spacing w:val="5"/>
    </w:rPr>
  </w:style>
  <w:style w:type="character" w:styleId="Hyperlink">
    <w:name w:val="Hyperlink"/>
    <w:basedOn w:val="DefaultParagraphFont"/>
    <w:uiPriority w:val="99"/>
    <w:unhideWhenUsed/>
    <w:rsid w:val="00400833"/>
    <w:rPr>
      <w:color w:val="467886" w:themeColor="hyperlink"/>
      <w:u w:val="single"/>
    </w:rPr>
  </w:style>
  <w:style w:type="character" w:styleId="UnresolvedMention">
    <w:name w:val="Unresolved Mention"/>
    <w:basedOn w:val="DefaultParagraphFont"/>
    <w:uiPriority w:val="99"/>
    <w:semiHidden/>
    <w:unhideWhenUsed/>
    <w:rsid w:val="00400833"/>
    <w:rPr>
      <w:color w:val="605E5C"/>
      <w:shd w:val="clear" w:color="auto" w:fill="E1DFDD"/>
    </w:rPr>
  </w:style>
  <w:style w:type="character" w:styleId="CommentReference">
    <w:name w:val="annotation reference"/>
    <w:basedOn w:val="DefaultParagraphFont"/>
    <w:uiPriority w:val="99"/>
    <w:semiHidden/>
    <w:unhideWhenUsed/>
    <w:rsid w:val="00C86701"/>
    <w:rPr>
      <w:sz w:val="16"/>
      <w:szCs w:val="16"/>
    </w:rPr>
  </w:style>
  <w:style w:type="paragraph" w:styleId="CommentText">
    <w:name w:val="annotation text"/>
    <w:basedOn w:val="Normal"/>
    <w:link w:val="CommentTextChar"/>
    <w:uiPriority w:val="99"/>
    <w:unhideWhenUsed/>
    <w:rsid w:val="00C86701"/>
    <w:pPr>
      <w:spacing w:line="240" w:lineRule="auto"/>
    </w:pPr>
    <w:rPr>
      <w:sz w:val="20"/>
      <w:szCs w:val="20"/>
    </w:rPr>
  </w:style>
  <w:style w:type="character" w:customStyle="1" w:styleId="CommentTextChar">
    <w:name w:val="Comment Text Char"/>
    <w:basedOn w:val="DefaultParagraphFont"/>
    <w:link w:val="CommentText"/>
    <w:uiPriority w:val="99"/>
    <w:rsid w:val="00C86701"/>
    <w:rPr>
      <w:sz w:val="20"/>
      <w:szCs w:val="20"/>
    </w:rPr>
  </w:style>
  <w:style w:type="paragraph" w:styleId="CommentSubject">
    <w:name w:val="annotation subject"/>
    <w:basedOn w:val="CommentText"/>
    <w:next w:val="CommentText"/>
    <w:link w:val="CommentSubjectChar"/>
    <w:uiPriority w:val="99"/>
    <w:semiHidden/>
    <w:unhideWhenUsed/>
    <w:rsid w:val="00C86701"/>
    <w:rPr>
      <w:b/>
      <w:bCs/>
    </w:rPr>
  </w:style>
  <w:style w:type="character" w:customStyle="1" w:styleId="CommentSubjectChar">
    <w:name w:val="Comment Subject Char"/>
    <w:basedOn w:val="CommentTextChar"/>
    <w:link w:val="CommentSubject"/>
    <w:uiPriority w:val="99"/>
    <w:semiHidden/>
    <w:rsid w:val="00C86701"/>
    <w:rPr>
      <w:b/>
      <w:bCs/>
      <w:sz w:val="20"/>
      <w:szCs w:val="20"/>
    </w:rPr>
  </w:style>
  <w:style w:type="paragraph" w:styleId="Revision">
    <w:name w:val="Revision"/>
    <w:hidden/>
    <w:uiPriority w:val="99"/>
    <w:semiHidden/>
    <w:rsid w:val="002E2FA6"/>
    <w:pPr>
      <w:spacing w:after="0" w:line="240" w:lineRule="auto"/>
    </w:pPr>
  </w:style>
  <w:style w:type="character" w:styleId="FollowedHyperlink">
    <w:name w:val="FollowedHyperlink"/>
    <w:basedOn w:val="DefaultParagraphFont"/>
    <w:uiPriority w:val="99"/>
    <w:semiHidden/>
    <w:unhideWhenUsed/>
    <w:rsid w:val="00012591"/>
    <w:rPr>
      <w:color w:val="96607D" w:themeColor="followedHyperlink"/>
      <w:u w:val="single"/>
    </w:rPr>
  </w:style>
  <w:style w:type="paragraph" w:styleId="FootnoteText">
    <w:name w:val="footnote text"/>
    <w:basedOn w:val="Normal"/>
    <w:link w:val="FootnoteTextChar"/>
    <w:uiPriority w:val="99"/>
    <w:semiHidden/>
    <w:unhideWhenUsed/>
    <w:rsid w:val="0011433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14338"/>
    <w:rPr>
      <w:sz w:val="20"/>
      <w:szCs w:val="20"/>
    </w:rPr>
  </w:style>
  <w:style w:type="character" w:styleId="FootnoteReference">
    <w:name w:val="footnote reference"/>
    <w:basedOn w:val="DefaultParagraphFont"/>
    <w:uiPriority w:val="99"/>
    <w:semiHidden/>
    <w:unhideWhenUsed/>
    <w:rsid w:val="00114338"/>
    <w:rPr>
      <w:vertAlign w:val="superscript"/>
    </w:rPr>
  </w:style>
  <w:style w:type="paragraph" w:styleId="Header">
    <w:name w:val="header"/>
    <w:basedOn w:val="Normal"/>
    <w:link w:val="HeaderChar"/>
    <w:uiPriority w:val="99"/>
    <w:unhideWhenUsed/>
    <w:rsid w:val="005733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33DE"/>
  </w:style>
  <w:style w:type="paragraph" w:styleId="Footer">
    <w:name w:val="footer"/>
    <w:basedOn w:val="Normal"/>
    <w:link w:val="FooterChar"/>
    <w:uiPriority w:val="99"/>
    <w:unhideWhenUsed/>
    <w:rsid w:val="005733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33DE"/>
  </w:style>
  <w:style w:type="character" w:styleId="PageNumber">
    <w:name w:val="page number"/>
    <w:basedOn w:val="DefaultParagraphFont"/>
    <w:uiPriority w:val="99"/>
    <w:semiHidden/>
    <w:unhideWhenUsed/>
    <w:rsid w:val="00C51344"/>
  </w:style>
  <w:style w:type="paragraph" w:styleId="EndnoteText">
    <w:name w:val="endnote text"/>
    <w:basedOn w:val="Normal"/>
    <w:link w:val="EndnoteTextChar"/>
    <w:uiPriority w:val="99"/>
    <w:semiHidden/>
    <w:unhideWhenUsed/>
    <w:rsid w:val="0034715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4715B"/>
    <w:rPr>
      <w:sz w:val="20"/>
      <w:szCs w:val="20"/>
    </w:rPr>
  </w:style>
  <w:style w:type="character" w:styleId="EndnoteReference">
    <w:name w:val="endnote reference"/>
    <w:basedOn w:val="DefaultParagraphFont"/>
    <w:uiPriority w:val="99"/>
    <w:semiHidden/>
    <w:unhideWhenUsed/>
    <w:rsid w:val="0034715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6981671">
      <w:bodyDiv w:val="1"/>
      <w:marLeft w:val="0"/>
      <w:marRight w:val="0"/>
      <w:marTop w:val="0"/>
      <w:marBottom w:val="0"/>
      <w:divBdr>
        <w:top w:val="none" w:sz="0" w:space="0" w:color="auto"/>
        <w:left w:val="none" w:sz="0" w:space="0" w:color="auto"/>
        <w:bottom w:val="none" w:sz="0" w:space="0" w:color="auto"/>
        <w:right w:val="none" w:sz="0" w:space="0" w:color="auto"/>
      </w:divBdr>
    </w:div>
    <w:div w:id="755056269">
      <w:bodyDiv w:val="1"/>
      <w:marLeft w:val="0"/>
      <w:marRight w:val="0"/>
      <w:marTop w:val="0"/>
      <w:marBottom w:val="0"/>
      <w:divBdr>
        <w:top w:val="none" w:sz="0" w:space="0" w:color="auto"/>
        <w:left w:val="none" w:sz="0" w:space="0" w:color="auto"/>
        <w:bottom w:val="none" w:sz="0" w:space="0" w:color="auto"/>
        <w:right w:val="none" w:sz="0" w:space="0" w:color="auto"/>
      </w:divBdr>
    </w:div>
    <w:div w:id="987586789">
      <w:bodyDiv w:val="1"/>
      <w:marLeft w:val="0"/>
      <w:marRight w:val="0"/>
      <w:marTop w:val="0"/>
      <w:marBottom w:val="0"/>
      <w:divBdr>
        <w:top w:val="none" w:sz="0" w:space="0" w:color="auto"/>
        <w:left w:val="none" w:sz="0" w:space="0" w:color="auto"/>
        <w:bottom w:val="none" w:sz="0" w:space="0" w:color="auto"/>
        <w:right w:val="none" w:sz="0" w:space="0" w:color="auto"/>
      </w:divBdr>
      <w:divsChild>
        <w:div w:id="1030374449">
          <w:marLeft w:val="0"/>
          <w:marRight w:val="0"/>
          <w:marTop w:val="0"/>
          <w:marBottom w:val="0"/>
          <w:divBdr>
            <w:top w:val="single" w:sz="2" w:space="0" w:color="auto"/>
            <w:left w:val="single" w:sz="2" w:space="0" w:color="auto"/>
            <w:bottom w:val="single" w:sz="2" w:space="0" w:color="auto"/>
            <w:right w:val="single" w:sz="2" w:space="0" w:color="auto"/>
          </w:divBdr>
        </w:div>
      </w:divsChild>
    </w:div>
    <w:div w:id="1021009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rw.org/news/2023/03/08/saudi-arabia-law-enshrines-male-guardianshi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hrw.org/news/2023/03/08/saudi-arabia-law-enshrines-male-guardianship"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istitlaa.ncc.gov.sa/ar/health/moh/healthprofessions/Documents/%D9%85%D8%B4%D8%B1%D9%88%D8%B9%20%D8%AA%D8%B9%D8%AF%D9%8A%D9%84%20%D8%A7%D9%84%D9%84%D8%A7%D8%A6%D8%AD%D8%A9%20%D8%A7%D9%84%D8%AA%D9%86%D9%81%D9%8A%D8%B0%D9%8A%D8%A9%20%D9%84%D9%86%D8%B8%D8%A7%D9%85%20%D9%85%D8%B2%D8%A7%D9%88%D9%84%D8%A9%20%D8%A7%D9%84%D9%85%D9%87%D9%86%20%D8%A7%D9%84%D8%B5%D8%AD%D9%8A%D8%A9.pdf" TargetMode="External"/><Relationship Id="rId13" Type="http://schemas.openxmlformats.org/officeDocument/2006/relationships/hyperlink" Target="https://www.hrw.org/news/2021/03/25/saudi-arabia-labor-reforms-insufficient" TargetMode="External"/><Relationship Id="rId3" Type="http://schemas.openxmlformats.org/officeDocument/2006/relationships/hyperlink" Target="https://www.hrw.org/news/2022/04/29/saudi-arabia-forthcoming-penal-code-should-protect-rights" TargetMode="External"/><Relationship Id="rId7" Type="http://schemas.openxmlformats.org/officeDocument/2006/relationships/hyperlink" Target="https://www.moh.gov.sa/en/Ministry/Rules/Documents/Law-of-Practicing-Healthcare-Professions.pdf" TargetMode="External"/><Relationship Id="rId12" Type="http://schemas.openxmlformats.org/officeDocument/2006/relationships/hyperlink" Target="https://www.migrant-rights.org/2024/05/saudi-arabia-extends-wage-protection-system-to-domestic-workers/" TargetMode="External"/><Relationship Id="rId2" Type="http://schemas.openxmlformats.org/officeDocument/2006/relationships/hyperlink" Target="https://www.hrw.org/report/2016/07/17/boxed/women-and-saudi-arabias-male-guardianship-system" TargetMode="External"/><Relationship Id="rId16" Type="http://schemas.openxmlformats.org/officeDocument/2006/relationships/hyperlink" Target="https://www.hrsd.gov.sa/sites/default/files/2024-04/%D8%B8%D9%88%D8%A7%D8%A8%D8%B7%20%D8%AA%D8%AD%D8%B3%D9%8A%D9%86%20%D8%A7%D9%84%D8%B9%D9%84%D8%A7%D9%82%D8%A9%20%D8%A7%D9%84%D8%AA%D8%B9%D8%A7%D9%82%D8%AF%D9%8A%D8%A9%20%D9%84%D9%84%D8%B9%D9%85%D8%A7%D9%84%D8%A9%20%D8%A7%D9%84%D9%85%D9%86%D8%B2%D9%84%D9%8A%D8%A9.pdf" TargetMode="External"/><Relationship Id="rId1" Type="http://schemas.openxmlformats.org/officeDocument/2006/relationships/hyperlink" Target="https://www.hrw.org/news/2023/03/08/saudi-arabia-law-enshrines-male-guardianship" TargetMode="External"/><Relationship Id="rId6" Type="http://schemas.openxmlformats.org/officeDocument/2006/relationships/hyperlink" Target="https://www.ernesturtasun.eu/wp-content/uploads/2021/03/Joint-statement-in-support-of-Saudi-WHRDs-and-their-call-for-gender-equality_final.pdf" TargetMode="External"/><Relationship Id="rId11" Type="http://schemas.openxmlformats.org/officeDocument/2006/relationships/hyperlink" Target="https://www.hrw.org/news/2023/07/20/submission-universal-periodic-review-kingdom-saudi-arabia" TargetMode="External"/><Relationship Id="rId5" Type="http://schemas.openxmlformats.org/officeDocument/2006/relationships/hyperlink" Target="https://www.elle.com/culture/a39787294/inside-saudi-arabias-secret-detention-facilities-where-women-disappear/" TargetMode="External"/><Relationship Id="rId15" Type="http://schemas.openxmlformats.org/officeDocument/2006/relationships/hyperlink" Target="https://www.arabnews.com/node/2509561/saudi-arabia" TargetMode="External"/><Relationship Id="rId10" Type="http://schemas.openxmlformats.org/officeDocument/2006/relationships/hyperlink" Target="https://www.hrw.org/report/2023/08/21/they-fired-us-rain/saudi-arabian-mass-killings-ethiopian-migrants-yemen-saudi" TargetMode="External"/><Relationship Id="rId4" Type="http://schemas.openxmlformats.org/officeDocument/2006/relationships/hyperlink" Target="https://www.hrw.org/news/2023/07/20/submission-universal-periodic-review-kingdom-saudi-arabia" TargetMode="External"/><Relationship Id="rId9" Type="http://schemas.openxmlformats.org/officeDocument/2006/relationships/hyperlink" Target="https://www.hrw.org/report/2023/07/18/trapped/how-male-guardianship-policies-restrict-womens-travel-and-mobility-middle" TargetMode="External"/><Relationship Id="rId14" Type="http://schemas.openxmlformats.org/officeDocument/2006/relationships/hyperlink" Target="https://www.migrant-rights.org/2023/10/an-overview-of-saudis-new-domestic-workers-law/"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00E90D-618C-4AE7-A164-1CE6EEDF2C71}">
  <ds:schemaRefs>
    <ds:schemaRef ds:uri="http://schemas.openxmlformats.org/officeDocument/2006/bibliography"/>
  </ds:schemaRefs>
</ds:datastoreItem>
</file>

<file path=customXml/itemProps2.xml><?xml version="1.0" encoding="utf-8"?>
<ds:datastoreItem xmlns:ds="http://schemas.openxmlformats.org/officeDocument/2006/customXml" ds:itemID="{B26E824F-38C8-4DAD-8402-6B1994EE9466}"/>
</file>

<file path=customXml/itemProps3.xml><?xml version="1.0" encoding="utf-8"?>
<ds:datastoreItem xmlns:ds="http://schemas.openxmlformats.org/officeDocument/2006/customXml" ds:itemID="{F5C74434-DB4E-4C6D-BD7D-72E13AD3B21D}"/>
</file>

<file path=docProps/app.xml><?xml version="1.0" encoding="utf-8"?>
<Properties xmlns="http://schemas.openxmlformats.org/officeDocument/2006/extended-properties" xmlns:vt="http://schemas.openxmlformats.org/officeDocument/2006/docPropsVTypes">
  <Template>Normal.dotm</Template>
  <TotalTime>1</TotalTime>
  <Pages>9</Pages>
  <Words>2580</Words>
  <Characters>14452</Characters>
  <Application>Microsoft Office Word</Application>
  <DocSecurity>0</DocSecurity>
  <Lines>200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Leila Saad</dc:creator>
  <cp:keywords/>
  <dc:description/>
  <cp:lastModifiedBy>Asma Elgamal</cp:lastModifiedBy>
  <cp:revision>2</cp:revision>
  <dcterms:created xsi:type="dcterms:W3CDTF">2024-09-03T18:36:00Z</dcterms:created>
  <dcterms:modified xsi:type="dcterms:W3CDTF">2024-09-03T18:36:00Z</dcterms:modified>
</cp:coreProperties>
</file>