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88893" w14:textId="16F807AF" w:rsidR="00A5000B" w:rsidRDefault="00A5000B" w:rsidP="00552CB7">
      <w:pPr>
        <w:pStyle w:val="RTFrontcovermaintitle"/>
      </w:pPr>
      <w:r w:rsidRPr="00E07FAD">
        <w:t> </w:t>
      </w:r>
      <w:r w:rsidR="00F9742F">
        <w:t>SPAIN</w:t>
      </w:r>
      <w:r w:rsidR="00D614AE">
        <w:t xml:space="preserve"> </w:t>
      </w:r>
      <w:r w:rsidR="00BF6798" w:rsidRPr="009E171B">
        <w:t> </w:t>
      </w:r>
      <w:r w:rsidR="00D614AE" w:rsidRPr="00823FD3">
        <w:rPr>
          <w:rStyle w:val="PageNumber"/>
          <w:sz w:val="56"/>
          <w:szCs w:val="56"/>
          <w:lang w:val="es-ES" w:eastAsia="es-ES"/>
        </w:rPr>
        <w:drawing>
          <wp:anchor distT="0" distB="144145" distL="114300" distR="114300" simplePos="0" relativeHeight="251658241" behindDoc="0" locked="1" layoutInCell="1" allowOverlap="1" wp14:anchorId="61ABB244" wp14:editId="12E2C747">
            <wp:simplePos x="0" y="0"/>
            <wp:positionH relativeFrom="margin">
              <wp:posOffset>1915795</wp:posOffset>
            </wp:positionH>
            <wp:positionV relativeFrom="margin">
              <wp:posOffset>565150</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p>
    <w:p w14:paraId="2B7A3657" w14:textId="77777777" w:rsidR="00B2478A" w:rsidRPr="00B2478A" w:rsidRDefault="00B2478A" w:rsidP="00B2478A">
      <w:pPr>
        <w:pStyle w:val="RTSubheadinglightCAPS"/>
        <w:rPr>
          <w:bCs w:val="0"/>
        </w:rPr>
      </w:pPr>
      <w:r w:rsidRPr="00B2478A">
        <w:rPr>
          <w:bCs w:val="0"/>
        </w:rPr>
        <w:t>SUBMISSION THE UN COMMITTEE ON THE ELIMINATION OF DISCRIMINATION AGAINST WOMEN</w:t>
      </w:r>
    </w:p>
    <w:p w14:paraId="0A836341" w14:textId="65A82957" w:rsidR="00B2478A" w:rsidRPr="00B2478A" w:rsidRDefault="00B2478A" w:rsidP="00B2478A">
      <w:pPr>
        <w:pStyle w:val="RTSubheadinglightCAPS"/>
        <w:rPr>
          <w:bCs w:val="0"/>
        </w:rPr>
      </w:pPr>
      <w:r w:rsidRPr="00B2478A">
        <w:rPr>
          <w:bCs w:val="0"/>
        </w:rPr>
        <w:t>85</w:t>
      </w:r>
      <w:r w:rsidRPr="00B2478A">
        <w:rPr>
          <w:bCs w:val="0"/>
          <w:vertAlign w:val="superscript"/>
        </w:rPr>
        <w:t>th</w:t>
      </w:r>
      <w:r w:rsidRPr="00B2478A">
        <w:rPr>
          <w:bCs w:val="0"/>
        </w:rPr>
        <w:t xml:space="preserve"> SESSION, 8 - 26 May 2023</w:t>
      </w:r>
    </w:p>
    <w:p w14:paraId="65FB2D44" w14:textId="3A06EE28" w:rsidR="00A4794B" w:rsidRDefault="00A4794B" w:rsidP="00BE3975">
      <w:pPr>
        <w:pStyle w:val="RTSubheadinglightCAPS"/>
      </w:pPr>
    </w:p>
    <w:p w14:paraId="2825A7FB" w14:textId="6EE69192" w:rsidR="001079FA" w:rsidRPr="001079FA" w:rsidRDefault="00830FDE" w:rsidP="00CC0C23">
      <w:pPr>
        <w:pStyle w:val="RTMissionStatement"/>
      </w:pPr>
      <w:r>
        <w:rPr>
          <w:rStyle w:val="RTHighlightedtext"/>
        </w:rPr>
        <w:lastRenderedPageBreak/>
        <w:t> </w:t>
      </w:r>
      <w:r w:rsidR="00CC0C23" w:rsidRPr="002675AA">
        <w:rPr>
          <w:rStyle w:val="RTHighlightedtext"/>
        </w:rPr>
        <w:t>Amnesty International is a movement of 10 million people</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which mobilizes the humanity in everyone and campaigns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for change so we can all enjoy our human rights. Our vision</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is of a world where those in power keep their promises,</w:t>
      </w:r>
      <w:r w:rsidR="00CC0C23">
        <w:rPr>
          <w:rStyle w:val="RTHighlightedtext"/>
        </w:rPr>
        <w:t> </w:t>
      </w:r>
      <w:r w:rsidR="00CC0C23" w:rsidRPr="002675AA">
        <w:rPr>
          <w:rStyle w:val="RTHighlightedtext"/>
        </w:rPr>
        <w:t xml:space="preserve"> </w:t>
      </w:r>
      <w:r w:rsidR="00CC0C23">
        <w:rPr>
          <w:rStyle w:val="RTHighlightedtext"/>
        </w:rPr>
        <w:br/>
        <w:t> </w:t>
      </w:r>
      <w:r w:rsidR="00CC0C23" w:rsidRPr="002675AA">
        <w:rPr>
          <w:rStyle w:val="RTHighlightedtext"/>
        </w:rPr>
        <w:t>respect international law and are held to account. We are</w:t>
      </w:r>
      <w:r w:rsidR="00CC0C23">
        <w:rPr>
          <w:rStyle w:val="RTHighlightedtext"/>
        </w:rPr>
        <w:t> </w:t>
      </w:r>
      <w:r w:rsidR="00CC0C23">
        <w:rPr>
          <w:rStyle w:val="RTHighlightedtext"/>
        </w:rPr>
        <w:br/>
      </w:r>
      <w:r w:rsidR="00CC0C23" w:rsidRPr="002675AA">
        <w:rPr>
          <w:rStyle w:val="RTHighlightedtext"/>
        </w:rPr>
        <w:t xml:space="preserve"> independent of any government, political ideology, economic</w:t>
      </w:r>
      <w:r w:rsidR="00CC0C23">
        <w:rPr>
          <w:rStyle w:val="RTHighlightedtext"/>
        </w:rPr>
        <w:t> </w:t>
      </w:r>
      <w:r w:rsidR="00CC0C23">
        <w:rPr>
          <w:rStyle w:val="RTHighlightedtext"/>
        </w:rPr>
        <w:br/>
      </w:r>
      <w:r w:rsidR="00CC0C23" w:rsidRPr="002675AA">
        <w:rPr>
          <w:rStyle w:val="RTHighlightedtext"/>
        </w:rPr>
        <w:t xml:space="preserve"> interest or religion and are funded mainly by our membership</w:t>
      </w:r>
      <w:r w:rsidR="00CC0C23">
        <w:rPr>
          <w:rStyle w:val="RTHighlightedtext"/>
        </w:rPr>
        <w:t> </w:t>
      </w:r>
      <w:r w:rsidR="00CC0C23">
        <w:rPr>
          <w:rStyle w:val="RTHighlightedtext"/>
        </w:rPr>
        <w:br/>
      </w:r>
      <w:r w:rsidR="00CC0C23" w:rsidRPr="002675AA">
        <w:rPr>
          <w:rStyle w:val="RTHighlightedtext"/>
        </w:rPr>
        <w:t xml:space="preserve"> and individual donations. We believe that acting in solidarity</w:t>
      </w:r>
      <w:r w:rsidR="00CC0C23">
        <w:rPr>
          <w:rStyle w:val="RTHighlightedtext"/>
        </w:rPr>
        <w:t> </w:t>
      </w:r>
      <w:r w:rsidR="00CC0C23">
        <w:rPr>
          <w:rStyle w:val="RTHighlightedtext"/>
        </w:rPr>
        <w:br/>
      </w:r>
      <w:r w:rsidR="00CC0C23" w:rsidRPr="002675AA">
        <w:rPr>
          <w:rStyle w:val="RTHighlightedtext"/>
        </w:rPr>
        <w:t xml:space="preserve"> and compassion with people everywhere can change our</w:t>
      </w:r>
      <w:r w:rsidR="00CC0C23">
        <w:rPr>
          <w:rStyle w:val="RTHighlightedtext"/>
        </w:rPr>
        <w:t> </w:t>
      </w:r>
      <w:r w:rsidR="00CC0C23">
        <w:rPr>
          <w:rStyle w:val="RTHighlightedtext"/>
        </w:rPr>
        <w:br/>
      </w:r>
      <w:r w:rsidR="00CC0C23" w:rsidRPr="002675AA">
        <w:rPr>
          <w:rStyle w:val="RTHighlightedtext"/>
        </w:rPr>
        <w:t xml:space="preserve"> societies for the better.</w:t>
      </w:r>
      <w:r w:rsidR="00CC0C23">
        <w:rPr>
          <w:rStyle w:val="RTHighlightedtext"/>
        </w:rPr>
        <w:t> </w:t>
      </w:r>
    </w:p>
    <w:p w14:paraId="47AA1D9A" w14:textId="77777777" w:rsidR="001079FA" w:rsidRPr="001079FA" w:rsidRDefault="001079FA" w:rsidP="001079FA">
      <w:pPr>
        <w:rPr>
          <w:lang w:val="en-GB" w:eastAsia="en-GB"/>
        </w:rPr>
      </w:pPr>
    </w:p>
    <w:p w14:paraId="643E797B" w14:textId="77777777" w:rsidR="001079FA" w:rsidRPr="001079FA" w:rsidRDefault="001079FA" w:rsidP="001079FA">
      <w:pPr>
        <w:rPr>
          <w:lang w:val="en-GB" w:eastAsia="en-GB"/>
        </w:rPr>
      </w:pPr>
    </w:p>
    <w:p w14:paraId="4BC74A09" w14:textId="77777777" w:rsidR="001079FA" w:rsidRPr="001079FA" w:rsidRDefault="001079FA" w:rsidP="001079FA">
      <w:pPr>
        <w:rPr>
          <w:lang w:val="en-GB" w:eastAsia="en-GB"/>
        </w:rPr>
      </w:pPr>
    </w:p>
    <w:p w14:paraId="377019C1" w14:textId="77777777" w:rsidR="001079FA" w:rsidRPr="001079FA" w:rsidRDefault="001079FA" w:rsidP="001079FA">
      <w:pPr>
        <w:rPr>
          <w:lang w:val="en-GB" w:eastAsia="en-GB"/>
        </w:rPr>
      </w:pPr>
    </w:p>
    <w:p w14:paraId="6298DCD3" w14:textId="77777777" w:rsidR="001079FA" w:rsidRPr="001079FA" w:rsidRDefault="001079FA" w:rsidP="001079FA">
      <w:pPr>
        <w:rPr>
          <w:lang w:val="en-GB" w:eastAsia="en-GB"/>
        </w:rPr>
      </w:pPr>
    </w:p>
    <w:p w14:paraId="1D5C7115" w14:textId="77777777" w:rsidR="001079FA" w:rsidRPr="001079FA" w:rsidRDefault="001079FA" w:rsidP="001079FA">
      <w:pPr>
        <w:rPr>
          <w:lang w:val="en-GB" w:eastAsia="en-GB"/>
        </w:rPr>
      </w:pPr>
    </w:p>
    <w:p w14:paraId="7E6AF1B7" w14:textId="77777777" w:rsidR="001079FA" w:rsidRPr="001079FA" w:rsidRDefault="001079FA" w:rsidP="001079FA">
      <w:pPr>
        <w:rPr>
          <w:lang w:val="en-GB" w:eastAsia="en-GB"/>
        </w:rPr>
      </w:pPr>
    </w:p>
    <w:p w14:paraId="67C7F76F" w14:textId="77777777" w:rsidR="001079FA" w:rsidRPr="001079FA" w:rsidRDefault="001079FA" w:rsidP="001079FA">
      <w:pPr>
        <w:rPr>
          <w:lang w:val="en-GB" w:eastAsia="en-GB"/>
        </w:rPr>
      </w:pPr>
    </w:p>
    <w:p w14:paraId="7D6C4433" w14:textId="77777777" w:rsidR="001079FA" w:rsidRPr="001079FA" w:rsidRDefault="001079FA" w:rsidP="001079FA">
      <w:pPr>
        <w:rPr>
          <w:lang w:val="en-GB" w:eastAsia="en-GB"/>
        </w:rPr>
      </w:pPr>
    </w:p>
    <w:p w14:paraId="3D81416D" w14:textId="77777777" w:rsidR="001079FA" w:rsidRPr="001079FA" w:rsidRDefault="001079FA" w:rsidP="001079FA">
      <w:pPr>
        <w:rPr>
          <w:lang w:val="en-GB" w:eastAsia="en-GB"/>
        </w:rPr>
      </w:pPr>
    </w:p>
    <w:p w14:paraId="22B7D7D4" w14:textId="77777777" w:rsidR="001079FA" w:rsidRPr="001079FA" w:rsidRDefault="001079FA" w:rsidP="001079FA">
      <w:pPr>
        <w:rPr>
          <w:lang w:val="en-GB" w:eastAsia="en-GB"/>
        </w:rPr>
      </w:pPr>
    </w:p>
    <w:p w14:paraId="01DFA2B5" w14:textId="77777777" w:rsidR="00290B00" w:rsidRDefault="00290B00" w:rsidP="001079FA">
      <w:pPr>
        <w:rPr>
          <w:lang w:val="en-GB" w:eastAsia="en-GB"/>
        </w:rPr>
        <w:sectPr w:rsidR="00290B00" w:rsidSect="00290B00">
          <w:footerReference w:type="default" r:id="rId12"/>
          <w:footerReference w:type="first" r:id="rId13"/>
          <w:pgSz w:w="11900" w:h="16840"/>
          <w:pgMar w:top="1474" w:right="794" w:bottom="1418" w:left="794" w:header="709" w:footer="851" w:gutter="0"/>
          <w:cols w:space="708"/>
          <w:titlePg/>
          <w:docGrid w:linePitch="360"/>
        </w:sectPr>
      </w:pPr>
    </w:p>
    <w:p w14:paraId="7B71A030" w14:textId="77777777" w:rsidR="006C7C34" w:rsidRDefault="009800D2" w:rsidP="003C08D2">
      <w:pPr>
        <w:pStyle w:val="RTTitle-NonTOC"/>
      </w:pPr>
      <w:r>
        <w:lastRenderedPageBreak/>
        <w:t>contents</w:t>
      </w:r>
    </w:p>
    <w:p w14:paraId="54DF366F" w14:textId="7130D188" w:rsidR="00E41772" w:rsidRDefault="00A164C2">
      <w:pPr>
        <w:pStyle w:val="TOC1"/>
        <w:rPr>
          <w:rFonts w:asciiTheme="minorHAnsi" w:hAnsiTheme="minorHAnsi" w:cstheme="minorBidi"/>
          <w:b w:val="0"/>
          <w:bCs w:val="0"/>
          <w:caps w:val="0"/>
          <w:noProof/>
          <w:color w:val="auto"/>
          <w:sz w:val="24"/>
          <w:szCs w:val="24"/>
          <w:lang w:val="en-DE" w:eastAsia="en-GB"/>
        </w:rPr>
      </w:pPr>
      <w:r>
        <w:rPr>
          <w:b w:val="0"/>
        </w:rPr>
        <w:fldChar w:fldCharType="begin"/>
      </w:r>
      <w:r>
        <w:instrText xml:space="preserve"> TOC \h \z \t "RT Title (no numbers),1,RT Title (numbered),1,RT Numbered Heading,2,RT Heading (no numbers),2,RT Subheading (no numbers),3,RT Numbered Subheading,3" </w:instrText>
      </w:r>
      <w:r>
        <w:rPr>
          <w:b w:val="0"/>
        </w:rPr>
        <w:fldChar w:fldCharType="separate"/>
      </w:r>
      <w:hyperlink w:anchor="_Toc132453611" w:history="1">
        <w:r w:rsidR="00E41772" w:rsidRPr="00E30703">
          <w:rPr>
            <w:rStyle w:val="Hyperlink"/>
            <w:noProof/>
          </w:rPr>
          <w:t>Introduction</w:t>
        </w:r>
        <w:r w:rsidR="00E41772">
          <w:rPr>
            <w:noProof/>
            <w:webHidden/>
          </w:rPr>
          <w:tab/>
        </w:r>
        <w:r w:rsidR="00E41772">
          <w:rPr>
            <w:noProof/>
            <w:webHidden/>
          </w:rPr>
          <w:fldChar w:fldCharType="begin"/>
        </w:r>
        <w:r w:rsidR="00E41772">
          <w:rPr>
            <w:noProof/>
            <w:webHidden/>
          </w:rPr>
          <w:instrText xml:space="preserve"> PAGEREF _Toc132453611 \h </w:instrText>
        </w:r>
        <w:r w:rsidR="00E41772">
          <w:rPr>
            <w:noProof/>
            <w:webHidden/>
          </w:rPr>
        </w:r>
        <w:r w:rsidR="00E41772">
          <w:rPr>
            <w:noProof/>
            <w:webHidden/>
          </w:rPr>
          <w:fldChar w:fldCharType="separate"/>
        </w:r>
        <w:r w:rsidR="00E41772">
          <w:rPr>
            <w:noProof/>
            <w:webHidden/>
          </w:rPr>
          <w:t>4</w:t>
        </w:r>
        <w:r w:rsidR="00E41772">
          <w:rPr>
            <w:noProof/>
            <w:webHidden/>
          </w:rPr>
          <w:fldChar w:fldCharType="end"/>
        </w:r>
      </w:hyperlink>
    </w:p>
    <w:p w14:paraId="1238112D" w14:textId="2C902917" w:rsidR="00E41772" w:rsidRDefault="00E41772">
      <w:pPr>
        <w:pStyle w:val="TOC1"/>
        <w:rPr>
          <w:rFonts w:asciiTheme="minorHAnsi" w:hAnsiTheme="minorHAnsi" w:cstheme="minorBidi"/>
          <w:b w:val="0"/>
          <w:bCs w:val="0"/>
          <w:caps w:val="0"/>
          <w:noProof/>
          <w:color w:val="auto"/>
          <w:sz w:val="24"/>
          <w:szCs w:val="24"/>
          <w:lang w:val="en-DE" w:eastAsia="en-GB"/>
        </w:rPr>
      </w:pPr>
      <w:hyperlink w:anchor="_Toc132453612" w:history="1">
        <w:r w:rsidRPr="00E30703">
          <w:rPr>
            <w:rStyle w:val="Hyperlink"/>
            <w:noProof/>
          </w:rPr>
          <w:t>Gender-based violence by intimate partners or ex-partners and sexual violence (Article 2, GR 35 &amp; LOIPR paras. 9-10)</w:t>
        </w:r>
        <w:r>
          <w:rPr>
            <w:noProof/>
            <w:webHidden/>
          </w:rPr>
          <w:tab/>
        </w:r>
        <w:r>
          <w:rPr>
            <w:noProof/>
            <w:webHidden/>
          </w:rPr>
          <w:fldChar w:fldCharType="begin"/>
        </w:r>
        <w:r>
          <w:rPr>
            <w:noProof/>
            <w:webHidden/>
          </w:rPr>
          <w:instrText xml:space="preserve"> PAGEREF _Toc132453612 \h </w:instrText>
        </w:r>
        <w:r>
          <w:rPr>
            <w:noProof/>
            <w:webHidden/>
          </w:rPr>
        </w:r>
        <w:r>
          <w:rPr>
            <w:noProof/>
            <w:webHidden/>
          </w:rPr>
          <w:fldChar w:fldCharType="separate"/>
        </w:r>
        <w:r>
          <w:rPr>
            <w:noProof/>
            <w:webHidden/>
          </w:rPr>
          <w:t>4</w:t>
        </w:r>
        <w:r>
          <w:rPr>
            <w:noProof/>
            <w:webHidden/>
          </w:rPr>
          <w:fldChar w:fldCharType="end"/>
        </w:r>
      </w:hyperlink>
    </w:p>
    <w:p w14:paraId="0BF79E74" w14:textId="4970598A" w:rsidR="00E41772" w:rsidRDefault="00E41772">
      <w:pPr>
        <w:pStyle w:val="TOC2"/>
        <w:rPr>
          <w:rFonts w:cstheme="minorBidi"/>
          <w:caps w:val="0"/>
          <w:color w:val="auto"/>
          <w:sz w:val="24"/>
          <w:szCs w:val="24"/>
          <w:lang w:val="en-DE" w:eastAsia="en-GB"/>
        </w:rPr>
      </w:pPr>
      <w:hyperlink w:anchor="_Toc132453613" w:history="1">
        <w:r w:rsidRPr="00E30703">
          <w:rPr>
            <w:rStyle w:val="Hyperlink"/>
          </w:rPr>
          <w:t>Sexual violence: the state fails to act with "due diligence".</w:t>
        </w:r>
        <w:r>
          <w:rPr>
            <w:webHidden/>
          </w:rPr>
          <w:tab/>
        </w:r>
        <w:r>
          <w:rPr>
            <w:webHidden/>
          </w:rPr>
          <w:fldChar w:fldCharType="begin"/>
        </w:r>
        <w:r>
          <w:rPr>
            <w:webHidden/>
          </w:rPr>
          <w:instrText xml:space="preserve"> PAGEREF _Toc132453613 \h </w:instrText>
        </w:r>
        <w:r>
          <w:rPr>
            <w:webHidden/>
          </w:rPr>
        </w:r>
        <w:r>
          <w:rPr>
            <w:webHidden/>
          </w:rPr>
          <w:fldChar w:fldCharType="separate"/>
        </w:r>
        <w:r>
          <w:rPr>
            <w:webHidden/>
          </w:rPr>
          <w:t>5</w:t>
        </w:r>
        <w:r>
          <w:rPr>
            <w:webHidden/>
          </w:rPr>
          <w:fldChar w:fldCharType="end"/>
        </w:r>
      </w:hyperlink>
    </w:p>
    <w:p w14:paraId="358676F9" w14:textId="7AC23098" w:rsidR="00E41772" w:rsidRDefault="00E41772">
      <w:pPr>
        <w:pStyle w:val="TOC2"/>
        <w:rPr>
          <w:rFonts w:cstheme="minorBidi"/>
          <w:caps w:val="0"/>
          <w:color w:val="auto"/>
          <w:sz w:val="24"/>
          <w:szCs w:val="24"/>
          <w:lang w:val="en-DE" w:eastAsia="en-GB"/>
        </w:rPr>
      </w:pPr>
      <w:hyperlink w:anchor="_Toc132453614" w:history="1">
        <w:r w:rsidRPr="00E30703">
          <w:rPr>
            <w:rStyle w:val="Hyperlink"/>
          </w:rPr>
          <w:t>Barriers to justice and protection for survivors of gender-based violence and gender stereotypes (Article 5 (A) &amp; LOIPR paras. 7, 9-10)</w:t>
        </w:r>
        <w:r>
          <w:rPr>
            <w:webHidden/>
          </w:rPr>
          <w:tab/>
        </w:r>
        <w:r>
          <w:rPr>
            <w:webHidden/>
          </w:rPr>
          <w:fldChar w:fldCharType="begin"/>
        </w:r>
        <w:r>
          <w:rPr>
            <w:webHidden/>
          </w:rPr>
          <w:instrText xml:space="preserve"> PAGEREF _Toc132453614 \h </w:instrText>
        </w:r>
        <w:r>
          <w:rPr>
            <w:webHidden/>
          </w:rPr>
        </w:r>
        <w:r>
          <w:rPr>
            <w:webHidden/>
          </w:rPr>
          <w:fldChar w:fldCharType="separate"/>
        </w:r>
        <w:r>
          <w:rPr>
            <w:webHidden/>
          </w:rPr>
          <w:t>6</w:t>
        </w:r>
        <w:r>
          <w:rPr>
            <w:webHidden/>
          </w:rPr>
          <w:fldChar w:fldCharType="end"/>
        </w:r>
      </w:hyperlink>
    </w:p>
    <w:p w14:paraId="028EF618" w14:textId="60BDE45C" w:rsidR="00E41772" w:rsidRDefault="00E41772">
      <w:pPr>
        <w:pStyle w:val="TOC2"/>
        <w:rPr>
          <w:rFonts w:cstheme="minorBidi"/>
          <w:caps w:val="0"/>
          <w:color w:val="auto"/>
          <w:sz w:val="24"/>
          <w:szCs w:val="24"/>
          <w:lang w:val="en-DE" w:eastAsia="en-GB"/>
        </w:rPr>
      </w:pPr>
      <w:hyperlink w:anchor="_Toc132453615" w:history="1">
        <w:r w:rsidRPr="00E30703">
          <w:rPr>
            <w:rStyle w:val="Hyperlink"/>
          </w:rPr>
          <w:t>Lack of impact assessment of the Integral Law on Gender-Based Violence</w:t>
        </w:r>
        <w:r>
          <w:rPr>
            <w:webHidden/>
          </w:rPr>
          <w:tab/>
        </w:r>
        <w:r>
          <w:rPr>
            <w:webHidden/>
          </w:rPr>
          <w:fldChar w:fldCharType="begin"/>
        </w:r>
        <w:r>
          <w:rPr>
            <w:webHidden/>
          </w:rPr>
          <w:instrText xml:space="preserve"> PAGEREF _Toc132453615 \h </w:instrText>
        </w:r>
        <w:r>
          <w:rPr>
            <w:webHidden/>
          </w:rPr>
        </w:r>
        <w:r>
          <w:rPr>
            <w:webHidden/>
          </w:rPr>
          <w:fldChar w:fldCharType="separate"/>
        </w:r>
        <w:r>
          <w:rPr>
            <w:webHidden/>
          </w:rPr>
          <w:t>7</w:t>
        </w:r>
        <w:r>
          <w:rPr>
            <w:webHidden/>
          </w:rPr>
          <w:fldChar w:fldCharType="end"/>
        </w:r>
      </w:hyperlink>
    </w:p>
    <w:p w14:paraId="41839CB5" w14:textId="510D1983" w:rsidR="00E41772" w:rsidRDefault="00E41772">
      <w:pPr>
        <w:pStyle w:val="TOC1"/>
        <w:rPr>
          <w:rFonts w:asciiTheme="minorHAnsi" w:hAnsiTheme="minorHAnsi" w:cstheme="minorBidi"/>
          <w:b w:val="0"/>
          <w:bCs w:val="0"/>
          <w:caps w:val="0"/>
          <w:noProof/>
          <w:color w:val="auto"/>
          <w:sz w:val="24"/>
          <w:szCs w:val="24"/>
          <w:lang w:val="en-DE" w:eastAsia="en-GB"/>
        </w:rPr>
      </w:pPr>
      <w:hyperlink w:anchor="_Toc132453616" w:history="1">
        <w:r w:rsidRPr="00E30703">
          <w:rPr>
            <w:rStyle w:val="Hyperlink"/>
            <w:noProof/>
          </w:rPr>
          <w:t>Lack of protection of migrant and refugee women (LOIPR paras. 20-21)</w:t>
        </w:r>
        <w:r>
          <w:rPr>
            <w:noProof/>
            <w:webHidden/>
          </w:rPr>
          <w:tab/>
        </w:r>
        <w:r>
          <w:rPr>
            <w:noProof/>
            <w:webHidden/>
          </w:rPr>
          <w:fldChar w:fldCharType="begin"/>
        </w:r>
        <w:r>
          <w:rPr>
            <w:noProof/>
            <w:webHidden/>
          </w:rPr>
          <w:instrText xml:space="preserve"> PAGEREF _Toc132453616 \h </w:instrText>
        </w:r>
        <w:r>
          <w:rPr>
            <w:noProof/>
            <w:webHidden/>
          </w:rPr>
        </w:r>
        <w:r>
          <w:rPr>
            <w:noProof/>
            <w:webHidden/>
          </w:rPr>
          <w:fldChar w:fldCharType="separate"/>
        </w:r>
        <w:r>
          <w:rPr>
            <w:noProof/>
            <w:webHidden/>
          </w:rPr>
          <w:t>8</w:t>
        </w:r>
        <w:r>
          <w:rPr>
            <w:noProof/>
            <w:webHidden/>
          </w:rPr>
          <w:fldChar w:fldCharType="end"/>
        </w:r>
      </w:hyperlink>
    </w:p>
    <w:p w14:paraId="711FA91D" w14:textId="4670466C" w:rsidR="00E41772" w:rsidRDefault="00E41772">
      <w:pPr>
        <w:pStyle w:val="TOC1"/>
        <w:rPr>
          <w:rFonts w:asciiTheme="minorHAnsi" w:hAnsiTheme="minorHAnsi" w:cstheme="minorBidi"/>
          <w:b w:val="0"/>
          <w:bCs w:val="0"/>
          <w:caps w:val="0"/>
          <w:noProof/>
          <w:color w:val="auto"/>
          <w:sz w:val="24"/>
          <w:szCs w:val="24"/>
          <w:lang w:val="en-DE" w:eastAsia="en-GB"/>
        </w:rPr>
      </w:pPr>
      <w:hyperlink w:anchor="_Toc132453617" w:history="1">
        <w:r w:rsidRPr="00E30703">
          <w:rPr>
            <w:rStyle w:val="Hyperlink"/>
            <w:noProof/>
          </w:rPr>
          <w:t>Victims of Trafficking (Article 6, LOIPR paras. 11-12)</w:t>
        </w:r>
        <w:r>
          <w:rPr>
            <w:noProof/>
            <w:webHidden/>
          </w:rPr>
          <w:tab/>
        </w:r>
        <w:r>
          <w:rPr>
            <w:noProof/>
            <w:webHidden/>
          </w:rPr>
          <w:fldChar w:fldCharType="begin"/>
        </w:r>
        <w:r>
          <w:rPr>
            <w:noProof/>
            <w:webHidden/>
          </w:rPr>
          <w:instrText xml:space="preserve"> PAGEREF _Toc132453617 \h </w:instrText>
        </w:r>
        <w:r>
          <w:rPr>
            <w:noProof/>
            <w:webHidden/>
          </w:rPr>
        </w:r>
        <w:r>
          <w:rPr>
            <w:noProof/>
            <w:webHidden/>
          </w:rPr>
          <w:fldChar w:fldCharType="separate"/>
        </w:r>
        <w:r>
          <w:rPr>
            <w:noProof/>
            <w:webHidden/>
          </w:rPr>
          <w:t>8</w:t>
        </w:r>
        <w:r>
          <w:rPr>
            <w:noProof/>
            <w:webHidden/>
          </w:rPr>
          <w:fldChar w:fldCharType="end"/>
        </w:r>
      </w:hyperlink>
    </w:p>
    <w:p w14:paraId="66A7BAD0" w14:textId="54C3C620" w:rsidR="00E41772" w:rsidRDefault="00E41772">
      <w:pPr>
        <w:pStyle w:val="TOC1"/>
        <w:rPr>
          <w:rFonts w:asciiTheme="minorHAnsi" w:hAnsiTheme="minorHAnsi" w:cstheme="minorBidi"/>
          <w:b w:val="0"/>
          <w:bCs w:val="0"/>
          <w:caps w:val="0"/>
          <w:noProof/>
          <w:color w:val="auto"/>
          <w:sz w:val="24"/>
          <w:szCs w:val="24"/>
          <w:lang w:val="en-DE" w:eastAsia="en-GB"/>
        </w:rPr>
      </w:pPr>
      <w:hyperlink w:anchor="_Toc132453618" w:history="1">
        <w:r w:rsidRPr="00E30703">
          <w:rPr>
            <w:rStyle w:val="Hyperlink"/>
            <w:noProof/>
          </w:rPr>
          <w:t>Lack of disaggregated data on evictions and their impacts on women: protection of the right to housing (Article 2 and GR35)</w:t>
        </w:r>
        <w:r>
          <w:rPr>
            <w:noProof/>
            <w:webHidden/>
          </w:rPr>
          <w:tab/>
        </w:r>
        <w:r>
          <w:rPr>
            <w:noProof/>
            <w:webHidden/>
          </w:rPr>
          <w:fldChar w:fldCharType="begin"/>
        </w:r>
        <w:r>
          <w:rPr>
            <w:noProof/>
            <w:webHidden/>
          </w:rPr>
          <w:instrText xml:space="preserve"> PAGEREF _Toc132453618 \h </w:instrText>
        </w:r>
        <w:r>
          <w:rPr>
            <w:noProof/>
            <w:webHidden/>
          </w:rPr>
        </w:r>
        <w:r>
          <w:rPr>
            <w:noProof/>
            <w:webHidden/>
          </w:rPr>
          <w:fldChar w:fldCharType="separate"/>
        </w:r>
        <w:r>
          <w:rPr>
            <w:noProof/>
            <w:webHidden/>
          </w:rPr>
          <w:t>9</w:t>
        </w:r>
        <w:r>
          <w:rPr>
            <w:noProof/>
            <w:webHidden/>
          </w:rPr>
          <w:fldChar w:fldCharType="end"/>
        </w:r>
      </w:hyperlink>
    </w:p>
    <w:p w14:paraId="35998ECF" w14:textId="4BB6B260" w:rsidR="0033667F" w:rsidRPr="0033667F" w:rsidRDefault="00A164C2" w:rsidP="00D614AE">
      <w:pPr>
        <w:pStyle w:val="RTTitle-NonTOC"/>
      </w:pPr>
      <w:r>
        <w:fldChar w:fldCharType="end"/>
      </w:r>
    </w:p>
    <w:p w14:paraId="066825A8" w14:textId="77777777" w:rsidR="00C85C34" w:rsidRPr="00817F2C" w:rsidRDefault="00C85C34" w:rsidP="00817F2C">
      <w:pPr>
        <w:pStyle w:val="RTHeadingnonumbers"/>
        <w:rPr>
          <w:sz w:val="44"/>
          <w:szCs w:val="44"/>
        </w:rPr>
        <w:sectPr w:rsidR="00C85C34" w:rsidRPr="00817F2C" w:rsidSect="00E64E6F">
          <w:headerReference w:type="default" r:id="rId14"/>
          <w:footerReference w:type="default" r:id="rId15"/>
          <w:pgSz w:w="11900" w:h="16840"/>
          <w:pgMar w:top="1474" w:right="1814" w:bottom="1985" w:left="1814" w:header="709" w:footer="851" w:gutter="0"/>
          <w:cols w:space="708"/>
          <w:docGrid w:linePitch="360"/>
        </w:sectPr>
      </w:pPr>
      <w:bookmarkStart w:id="0" w:name="_Toc453761685"/>
      <w:bookmarkStart w:id="1" w:name="_Toc453763743"/>
    </w:p>
    <w:p w14:paraId="5F087D6E" w14:textId="77777777" w:rsidR="00704D0D" w:rsidRPr="00EC31BE" w:rsidRDefault="00704D0D" w:rsidP="00E41772">
      <w:pPr>
        <w:pStyle w:val="RTTitlenonumbers"/>
      </w:pPr>
      <w:bookmarkStart w:id="2" w:name="_Toc132406564"/>
      <w:bookmarkStart w:id="3" w:name="_Toc132453611"/>
      <w:r w:rsidRPr="00EC31BE">
        <w:lastRenderedPageBreak/>
        <w:t>Introduction</w:t>
      </w:r>
      <w:bookmarkEnd w:id="0"/>
      <w:bookmarkEnd w:id="1"/>
      <w:bookmarkEnd w:id="2"/>
      <w:bookmarkEnd w:id="3"/>
    </w:p>
    <w:p w14:paraId="24D9F946" w14:textId="467DC050" w:rsidR="00C265EC" w:rsidRPr="00C265EC" w:rsidRDefault="00C265EC" w:rsidP="00C265EC">
      <w:pPr>
        <w:pStyle w:val="RTBodyText"/>
        <w:rPr>
          <w:lang w:eastAsia="en-GB"/>
        </w:rPr>
      </w:pPr>
      <w:r w:rsidRPr="00C265EC">
        <w:rPr>
          <w:lang w:eastAsia="en-GB"/>
        </w:rPr>
        <w:t xml:space="preserve">Amnesty International presents this submission </w:t>
      </w:r>
      <w:r w:rsidR="0012067E">
        <w:rPr>
          <w:lang w:eastAsia="en-GB"/>
        </w:rPr>
        <w:t>in</w:t>
      </w:r>
      <w:r w:rsidRPr="00C265EC">
        <w:rPr>
          <w:lang w:eastAsia="en-GB"/>
        </w:rPr>
        <w:t xml:space="preserve"> advance of the review of Spain’s ninth periodic report on measures taken to implement the Convention on the Elimination of All Forms of Discrimination against Women. </w:t>
      </w:r>
      <w:r w:rsidR="0012067E">
        <w:rPr>
          <w:lang w:eastAsia="en-GB"/>
        </w:rPr>
        <w:t>It</w:t>
      </w:r>
      <w:r w:rsidRPr="00C265EC">
        <w:rPr>
          <w:lang w:eastAsia="en-GB"/>
        </w:rPr>
        <w:t xml:space="preserve"> </w:t>
      </w:r>
      <w:r w:rsidR="009C04A5">
        <w:rPr>
          <w:lang w:eastAsia="en-GB"/>
        </w:rPr>
        <w:t>focuses</w:t>
      </w:r>
      <w:r w:rsidRPr="00C265EC">
        <w:rPr>
          <w:lang w:eastAsia="en-GB"/>
        </w:rPr>
        <w:t xml:space="preserve"> on sexual and gender-based violence, including barriers to justice as well as discrimination against migrant and refugee women, including victims of trafficking and lack of protection of the right to adequate housing. It should not be seen as an exhaustive account of the organization’s concerns on the wider topic of discrimination against women.</w:t>
      </w:r>
      <w:r w:rsidR="00214655">
        <w:rPr>
          <w:lang w:eastAsia="en-GB"/>
        </w:rPr>
        <w:t xml:space="preserve"> </w:t>
      </w:r>
      <w:r w:rsidR="00214655" w:rsidRPr="00C265EC">
        <w:rPr>
          <w:lang w:eastAsia="en-GB"/>
        </w:rPr>
        <w:t>Amnesty International has also joined the European Coalition on Sex Worker’s Rights and Inclusion</w:t>
      </w:r>
      <w:r w:rsidR="00214655">
        <w:rPr>
          <w:lang w:eastAsia="en-GB"/>
        </w:rPr>
        <w:t>’s</w:t>
      </w:r>
      <w:r w:rsidR="00214655" w:rsidRPr="00C265EC">
        <w:rPr>
          <w:lang w:eastAsia="en-GB"/>
        </w:rPr>
        <w:t xml:space="preserve"> submission to the Committee.</w:t>
      </w:r>
      <w:r w:rsidR="00214655" w:rsidRPr="00C265EC">
        <w:rPr>
          <w:vertAlign w:val="superscript"/>
          <w:lang w:eastAsia="en-GB"/>
        </w:rPr>
        <w:footnoteReference w:id="2"/>
      </w:r>
      <w:r w:rsidRPr="00C265EC">
        <w:rPr>
          <w:lang w:eastAsia="en-GB"/>
        </w:rPr>
        <w:t xml:space="preserve">         </w:t>
      </w:r>
    </w:p>
    <w:p w14:paraId="24F910BA" w14:textId="77777777" w:rsidR="00C265EC" w:rsidRPr="00C265EC" w:rsidRDefault="00C265EC" w:rsidP="00C265EC">
      <w:pPr>
        <w:pStyle w:val="RTBodyText"/>
        <w:rPr>
          <w:lang w:eastAsia="en-GB"/>
        </w:rPr>
      </w:pPr>
      <w:r w:rsidRPr="00C265EC">
        <w:rPr>
          <w:lang w:eastAsia="en-GB"/>
        </w:rPr>
        <w:t>The Government continues to take small steps to raise awareness of the rights under the Convention, the Committee's recommendations, or information on access to individual complaints under the Optional Protocol. This is relevant given recent CEDAW Committee decisions for violations of articles 2(b), (c), (d) and (f), 3, 5 and 12 of the Convention for obstetric violence.</w:t>
      </w:r>
      <w:r w:rsidRPr="00C265EC">
        <w:rPr>
          <w:vertAlign w:val="superscript"/>
          <w:lang w:eastAsia="en-GB"/>
        </w:rPr>
        <w:footnoteReference w:id="3"/>
      </w:r>
      <w:r w:rsidRPr="00C265EC">
        <w:rPr>
          <w:lang w:eastAsia="en-GB"/>
        </w:rPr>
        <w:t xml:space="preserve">  </w:t>
      </w:r>
    </w:p>
    <w:p w14:paraId="5CB3B578" w14:textId="77777777" w:rsidR="00DD42F0" w:rsidRDefault="00DD42F0" w:rsidP="00831AFF">
      <w:pPr>
        <w:pStyle w:val="RTBodyText"/>
        <w:rPr>
          <w:lang w:eastAsia="en-GB"/>
        </w:rPr>
      </w:pPr>
    </w:p>
    <w:p w14:paraId="297C9C03" w14:textId="77777777" w:rsidR="00C265EC" w:rsidRPr="00EC31BE" w:rsidRDefault="00C265EC" w:rsidP="00E41772">
      <w:pPr>
        <w:pStyle w:val="RTTitlenonumbers"/>
      </w:pPr>
      <w:bookmarkStart w:id="4" w:name="_Toc132406565"/>
      <w:bookmarkStart w:id="5" w:name="_Toc132453612"/>
      <w:r w:rsidRPr="00EC31BE">
        <w:t>Gender-based violence by intimate partners or ex-partners and sexual vio</w:t>
      </w:r>
      <w:bookmarkStart w:id="6" w:name="_Toc131066088"/>
      <w:bookmarkEnd w:id="6"/>
      <w:r w:rsidRPr="00EC31BE">
        <w:t>lence (Article 2, GR 35 &amp; LOIPR paras. 9-10</w:t>
      </w:r>
      <w:bookmarkStart w:id="7" w:name="_Toc132280858"/>
      <w:bookmarkEnd w:id="7"/>
      <w:r w:rsidRPr="00EC31BE">
        <w:t>)</w:t>
      </w:r>
      <w:bookmarkEnd w:id="4"/>
      <w:bookmarkEnd w:id="5"/>
    </w:p>
    <w:p w14:paraId="2C79D663" w14:textId="77777777" w:rsidR="00C265EC" w:rsidRPr="00C265EC" w:rsidRDefault="00C265EC" w:rsidP="00C265EC">
      <w:pPr>
        <w:pStyle w:val="RTBodyText"/>
        <w:rPr>
          <w:lang w:eastAsia="en-GB"/>
        </w:rPr>
      </w:pPr>
      <w:r w:rsidRPr="00C265EC">
        <w:rPr>
          <w:lang w:eastAsia="en-GB"/>
        </w:rPr>
        <w:t>From 2003 to 11 April 2023, 1,196 women were murdered by their partners or ex-partners.</w:t>
      </w:r>
      <w:r w:rsidRPr="00C265EC">
        <w:rPr>
          <w:vertAlign w:val="superscript"/>
          <w:lang w:eastAsia="en-GB"/>
        </w:rPr>
        <w:footnoteReference w:id="4"/>
      </w:r>
      <w:r w:rsidRPr="00C265EC">
        <w:rPr>
          <w:lang w:eastAsia="en-GB"/>
        </w:rPr>
        <w:t xml:space="preserve"> According to data available since 2013, 49 children were killed by their fathers, and three by their mother's partner.</w:t>
      </w:r>
      <w:r w:rsidRPr="00C265EC">
        <w:rPr>
          <w:vertAlign w:val="superscript"/>
          <w:lang w:eastAsia="en-GB"/>
        </w:rPr>
        <w:footnoteReference w:id="5"/>
      </w:r>
      <w:r w:rsidRPr="00C265EC">
        <w:rPr>
          <w:vertAlign w:val="superscript"/>
          <w:lang w:eastAsia="en-GB"/>
        </w:rPr>
        <w:t xml:space="preserve"> </w:t>
      </w:r>
      <w:r w:rsidRPr="00C265EC">
        <w:rPr>
          <w:lang w:eastAsia="en-GB"/>
        </w:rPr>
        <w:t>According to the 2019 Government’s Macro-survey on Violence Against Women, 57.3% of women and girls over 16 have experienced gender-based violence during their lifetime.</w:t>
      </w:r>
      <w:r w:rsidRPr="00C265EC">
        <w:rPr>
          <w:lang w:eastAsia="en-GB"/>
        </w:rPr>
        <w:softHyphen/>
      </w:r>
      <w:r w:rsidRPr="00C265EC">
        <w:rPr>
          <w:vertAlign w:val="superscript"/>
          <w:lang w:eastAsia="en-GB"/>
        </w:rPr>
        <w:footnoteReference w:id="6"/>
      </w:r>
      <w:r w:rsidRPr="00C265EC">
        <w:rPr>
          <w:lang w:eastAsia="en-GB"/>
        </w:rPr>
        <w:t xml:space="preserve">    </w:t>
      </w:r>
    </w:p>
    <w:p w14:paraId="3CCDBDC0" w14:textId="77777777" w:rsidR="0040704A" w:rsidRDefault="00C265EC" w:rsidP="00E41772">
      <w:pPr>
        <w:pStyle w:val="RTHeadingnonumbers"/>
        <w:sectPr w:rsidR="0040704A" w:rsidSect="00E64E6F">
          <w:pgSz w:w="11900" w:h="16840"/>
          <w:pgMar w:top="1474" w:right="1814" w:bottom="1985" w:left="1814" w:header="709" w:footer="851" w:gutter="0"/>
          <w:cols w:space="708"/>
          <w:docGrid w:linePitch="360"/>
        </w:sectPr>
      </w:pPr>
      <w:bookmarkStart w:id="8" w:name="_Toc59524873111111"/>
      <w:bookmarkStart w:id="9" w:name="_Toc132280859"/>
      <w:bookmarkStart w:id="10" w:name="_Toc131066089"/>
      <w:bookmarkStart w:id="11" w:name="_Toc132383172"/>
      <w:bookmarkEnd w:id="8"/>
      <w:r w:rsidRPr="00C265EC">
        <w:t xml:space="preserve">                       </w:t>
      </w:r>
    </w:p>
    <w:p w14:paraId="3B9200A4" w14:textId="5FFCBAB3" w:rsidR="00C265EC" w:rsidRPr="00817F2C" w:rsidRDefault="00C265EC" w:rsidP="00E77D9C">
      <w:pPr>
        <w:pStyle w:val="RTHeadingnonumbers"/>
      </w:pPr>
      <w:bookmarkStart w:id="12" w:name="_Toc132406566"/>
      <w:bookmarkStart w:id="13" w:name="_Toc132453613"/>
      <w:r w:rsidRPr="00817F2C">
        <w:lastRenderedPageBreak/>
        <w:t>Sexual violence: the state fails to act with "due diligence"</w:t>
      </w:r>
      <w:bookmarkEnd w:id="9"/>
      <w:bookmarkEnd w:id="10"/>
      <w:bookmarkEnd w:id="11"/>
      <w:bookmarkEnd w:id="12"/>
      <w:r w:rsidR="00D46397">
        <w:t>.</w:t>
      </w:r>
      <w:bookmarkEnd w:id="13"/>
    </w:p>
    <w:p w14:paraId="1294556E" w14:textId="36B909E6" w:rsidR="00C265EC" w:rsidRPr="00C265EC" w:rsidRDefault="00C265EC" w:rsidP="00C265EC">
      <w:pPr>
        <w:pStyle w:val="RTBodyText"/>
        <w:rPr>
          <w:lang w:eastAsia="en-GB"/>
        </w:rPr>
      </w:pPr>
      <w:r w:rsidRPr="00C265EC">
        <w:rPr>
          <w:lang w:eastAsia="en-GB"/>
        </w:rPr>
        <w:t xml:space="preserve">According to the 2019 Government’s survey, more than 2.8 million women and girls in Spain over the age of 16 have suffered sexual </w:t>
      </w:r>
      <w:r w:rsidR="007A1AE2" w:rsidRPr="00C265EC">
        <w:rPr>
          <w:lang w:eastAsia="en-GB"/>
        </w:rPr>
        <w:t>violence that</w:t>
      </w:r>
      <w:r w:rsidRPr="00C265EC">
        <w:rPr>
          <w:lang w:eastAsia="en-GB"/>
        </w:rPr>
        <w:t xml:space="preserve"> is 13.7% of the total number of women and girls living in Spain</w:t>
      </w:r>
      <w:r w:rsidR="009155B3">
        <w:rPr>
          <w:lang w:eastAsia="en-GB"/>
        </w:rPr>
        <w:t>. O</w:t>
      </w:r>
      <w:r w:rsidRPr="00C265EC">
        <w:rPr>
          <w:lang w:eastAsia="en-GB"/>
        </w:rPr>
        <w:t>nly 8% of them, have reported it to the authorities.</w:t>
      </w:r>
      <w:bookmarkStart w:id="14" w:name="__DdeLink__1244_1702157823"/>
      <w:bookmarkEnd w:id="14"/>
      <w:r w:rsidRPr="00C265EC">
        <w:rPr>
          <w:vertAlign w:val="superscript"/>
          <w:lang w:eastAsia="en-GB"/>
        </w:rPr>
        <w:footnoteReference w:id="7"/>
      </w:r>
      <w:r w:rsidRPr="00C265EC">
        <w:rPr>
          <w:lang w:eastAsia="en-GB"/>
        </w:rPr>
        <w:t xml:space="preserve"> </w:t>
      </w:r>
    </w:p>
    <w:p w14:paraId="4EACE191" w14:textId="281C89B5" w:rsidR="00C265EC" w:rsidRPr="00C265EC" w:rsidRDefault="00C265EC" w:rsidP="00C265EC">
      <w:pPr>
        <w:pStyle w:val="RTBodyText"/>
        <w:rPr>
          <w:lang w:eastAsia="en-GB"/>
        </w:rPr>
      </w:pPr>
      <w:r w:rsidRPr="00C265EC">
        <w:rPr>
          <w:lang w:eastAsia="en-GB"/>
        </w:rPr>
        <w:t>Reported crimes of sexual violence have increased over the years:</w:t>
      </w:r>
      <w:r w:rsidR="00282751">
        <w:rPr>
          <w:lang w:eastAsia="en-GB"/>
        </w:rPr>
        <w:t xml:space="preserve"> </w:t>
      </w:r>
      <w:r w:rsidRPr="00C265EC">
        <w:rPr>
          <w:lang w:eastAsia="en-GB"/>
        </w:rPr>
        <w:t xml:space="preserve">in 2018, 9,381 and in 2019, 10,380; in 2020, 13,240; in 2021, 14,608. </w:t>
      </w:r>
      <w:r w:rsidR="00CD2014">
        <w:rPr>
          <w:lang w:eastAsia="en-GB"/>
        </w:rPr>
        <w:t xml:space="preserve">From </w:t>
      </w:r>
      <w:r w:rsidRPr="00C265EC">
        <w:rPr>
          <w:lang w:eastAsia="en-GB"/>
        </w:rPr>
        <w:t xml:space="preserve">January to September </w:t>
      </w:r>
      <w:r w:rsidR="00CD2014">
        <w:rPr>
          <w:lang w:eastAsia="en-GB"/>
        </w:rPr>
        <w:t>2022</w:t>
      </w:r>
      <w:r w:rsidRPr="00C265EC">
        <w:rPr>
          <w:lang w:eastAsia="en-GB"/>
        </w:rPr>
        <w:t>, 14,674 persons (the data is not disaggregated by gender or gender identity</w:t>
      </w:r>
      <w:r w:rsidR="00CD2014">
        <w:rPr>
          <w:lang w:eastAsia="en-GB"/>
        </w:rPr>
        <w:t>)</w:t>
      </w:r>
      <w:r w:rsidRPr="00C265EC">
        <w:rPr>
          <w:lang w:eastAsia="en-GB"/>
        </w:rPr>
        <w:t>.</w:t>
      </w:r>
      <w:r w:rsidRPr="00C265EC">
        <w:rPr>
          <w:vertAlign w:val="superscript"/>
          <w:lang w:eastAsia="en-GB"/>
        </w:rPr>
        <w:footnoteReference w:id="8"/>
      </w:r>
      <w:r w:rsidRPr="00C265EC">
        <w:rPr>
          <w:lang w:eastAsia="en-GB"/>
        </w:rPr>
        <w:t xml:space="preserve"> </w:t>
      </w:r>
    </w:p>
    <w:p w14:paraId="5DB05B93" w14:textId="038CF06F" w:rsidR="00C265EC" w:rsidRPr="00C265EC" w:rsidRDefault="00C265EC" w:rsidP="00C265EC">
      <w:pPr>
        <w:pStyle w:val="RTBodyText"/>
        <w:rPr>
          <w:lang w:eastAsia="en-GB"/>
        </w:rPr>
      </w:pPr>
      <w:r w:rsidRPr="00C265EC">
        <w:rPr>
          <w:lang w:eastAsia="en-GB"/>
        </w:rPr>
        <w:t>However, migrant women, domestic workers, women with disabilities or women victims of trafficking are particularly unprotected.</w:t>
      </w:r>
      <w:r w:rsidRPr="00C265EC">
        <w:rPr>
          <w:vertAlign w:val="superscript"/>
          <w:lang w:eastAsia="en-GB"/>
        </w:rPr>
        <w:footnoteReference w:id="9"/>
      </w:r>
      <w:r w:rsidRPr="00C265EC">
        <w:rPr>
          <w:lang w:eastAsia="en-GB"/>
        </w:rPr>
        <w:t xml:space="preserve"> According to the Ombudsman Office, girls in the protection system of public entities have reported to have been subjected to sexual abuse and exploitation.</w:t>
      </w:r>
      <w:r w:rsidRPr="00C265EC">
        <w:rPr>
          <w:vertAlign w:val="superscript"/>
          <w:lang w:eastAsia="en-GB"/>
        </w:rPr>
        <w:footnoteReference w:id="10"/>
      </w:r>
    </w:p>
    <w:p w14:paraId="6B50ADAF" w14:textId="6C06498C" w:rsidR="00C265EC" w:rsidRPr="00C265EC" w:rsidRDefault="00C265EC" w:rsidP="00C265EC">
      <w:pPr>
        <w:pStyle w:val="RTBodyText"/>
        <w:rPr>
          <w:lang w:eastAsia="en-GB"/>
        </w:rPr>
      </w:pPr>
      <w:r w:rsidRPr="00C265EC">
        <w:rPr>
          <w:lang w:eastAsia="en-GB"/>
        </w:rPr>
        <w:t>In September 2022, the Parliament passed</w:t>
      </w:r>
      <w:r w:rsidRPr="00C265EC">
        <w:rPr>
          <w:i/>
          <w:iCs/>
          <w:lang w:eastAsia="en-GB"/>
        </w:rPr>
        <w:t xml:space="preserve"> </w:t>
      </w:r>
      <w:r w:rsidRPr="00C265EC">
        <w:rPr>
          <w:lang w:eastAsia="en-GB"/>
        </w:rPr>
        <w:t>the</w:t>
      </w:r>
      <w:r w:rsidRPr="00C265EC">
        <w:rPr>
          <w:i/>
          <w:iCs/>
          <w:lang w:eastAsia="en-GB"/>
        </w:rPr>
        <w:t xml:space="preserve"> Organic Law on the Comprehensive Guarantee of Sexual Freedom,</w:t>
      </w:r>
      <w:r w:rsidRPr="00C265EC">
        <w:rPr>
          <w:vertAlign w:val="superscript"/>
          <w:lang w:eastAsia="en-GB"/>
        </w:rPr>
        <w:footnoteReference w:id="11"/>
      </w:r>
      <w:r w:rsidR="00025F78">
        <w:rPr>
          <w:iCs/>
          <w:lang w:eastAsia="en-GB"/>
        </w:rPr>
        <w:t xml:space="preserve"> (thereafter </w:t>
      </w:r>
      <w:r w:rsidR="00945196" w:rsidRPr="009C4F75">
        <w:rPr>
          <w:i/>
          <w:iCs/>
          <w:lang w:eastAsia="en-GB"/>
        </w:rPr>
        <w:t>OLCGS</w:t>
      </w:r>
      <w:r w:rsidR="00025F78">
        <w:rPr>
          <w:iCs/>
          <w:lang w:eastAsia="en-GB"/>
        </w:rPr>
        <w:t>)</w:t>
      </w:r>
      <w:r w:rsidRPr="00C265EC">
        <w:rPr>
          <w:lang w:eastAsia="en-GB"/>
        </w:rPr>
        <w:t xml:space="preserve"> with measures for the prevention, detection, investigation, prosecution</w:t>
      </w:r>
      <w:r w:rsidR="00783D49" w:rsidRPr="00C265EC">
        <w:rPr>
          <w:lang w:eastAsia="en-GB"/>
        </w:rPr>
        <w:t>,</w:t>
      </w:r>
      <w:r w:rsidRPr="00C265EC">
        <w:rPr>
          <w:lang w:eastAsia="en-GB"/>
        </w:rPr>
        <w:t xml:space="preserve"> and redress of sexual violence. The law provides for measures to ensure specialized and accessible comprehensive care services, specialized police forces and forensic examination, access to information and legal aid in the judicial process, an administrative programme for victim reparation and a fund for victim reparation. </w:t>
      </w:r>
    </w:p>
    <w:p w14:paraId="1124055E" w14:textId="22D55FFD" w:rsidR="00C265EC" w:rsidRPr="00C265EC" w:rsidRDefault="00C265EC" w:rsidP="00C265EC">
      <w:pPr>
        <w:pStyle w:val="RTBodyText"/>
        <w:rPr>
          <w:lang w:eastAsia="en-GB"/>
        </w:rPr>
      </w:pPr>
      <w:r w:rsidRPr="00C265EC">
        <w:rPr>
          <w:lang w:eastAsia="en-GB"/>
        </w:rPr>
        <w:t>The law amended the definition of rape in the penal code to make it consent-based in line with international human rights law and standards.</w:t>
      </w:r>
      <w:r w:rsidRPr="00C265EC">
        <w:rPr>
          <w:vertAlign w:val="superscript"/>
          <w:lang w:eastAsia="en-GB"/>
        </w:rPr>
        <w:footnoteReference w:id="12"/>
      </w:r>
      <w:r w:rsidRPr="00C265EC">
        <w:rPr>
          <w:lang w:eastAsia="en-GB"/>
        </w:rPr>
        <w:t xml:space="preserve"> With the new law, the fact that non-consensual sexual acts are committed by a current or former partner is considered aggravating circumstances of the crime of rape and sexual assault.</w:t>
      </w:r>
      <w:r w:rsidRPr="00C265EC">
        <w:rPr>
          <w:vertAlign w:val="superscript"/>
          <w:lang w:eastAsia="en-GB"/>
        </w:rPr>
        <w:footnoteReference w:id="13"/>
      </w:r>
      <w:r w:rsidRPr="00C265EC">
        <w:rPr>
          <w:lang w:eastAsia="en-GB"/>
        </w:rPr>
        <w:t xml:space="preserve"> The reform of the Penal Code does not define rape committed by or at the instigation of or with the consent or acquiescence of public officials torture</w:t>
      </w:r>
      <w:r w:rsidR="00C85C34">
        <w:rPr>
          <w:rFonts w:ascii="Arial" w:hAnsi="Arial"/>
          <w:lang w:eastAsia="en-GB"/>
        </w:rPr>
        <w:t>.</w:t>
      </w:r>
    </w:p>
    <w:p w14:paraId="5A35FD31" w14:textId="3F904518" w:rsidR="00C265EC" w:rsidRPr="00C265EC" w:rsidRDefault="00C265EC" w:rsidP="00C265EC">
      <w:pPr>
        <w:pStyle w:val="RTBodyText"/>
        <w:rPr>
          <w:lang w:eastAsia="en-GB"/>
        </w:rPr>
      </w:pPr>
      <w:r w:rsidRPr="00C265EC">
        <w:rPr>
          <w:lang w:eastAsia="en-GB"/>
        </w:rPr>
        <w:t>The law introduces</w:t>
      </w:r>
      <w:r w:rsidR="00920520">
        <w:rPr>
          <w:lang w:eastAsia="en-GB"/>
        </w:rPr>
        <w:t>,</w:t>
      </w:r>
      <w:r w:rsidRPr="00C265EC">
        <w:rPr>
          <w:lang w:eastAsia="en-GB"/>
        </w:rPr>
        <w:t xml:space="preserve"> in article 37</w:t>
      </w:r>
      <w:r w:rsidR="00025F78">
        <w:rPr>
          <w:lang w:eastAsia="en-GB"/>
        </w:rPr>
        <w:t xml:space="preserve">, which </w:t>
      </w:r>
      <w:r w:rsidR="00025F78" w:rsidRPr="00C265EC">
        <w:rPr>
          <w:lang w:eastAsia="en-GB"/>
        </w:rPr>
        <w:t>establishes the mechanisms of documentation of sexual violence linked to the recognition of victims’ rights and access to services established by the law</w:t>
      </w:r>
      <w:r w:rsidR="00025F78">
        <w:rPr>
          <w:lang w:eastAsia="en-GB"/>
        </w:rPr>
        <w:t>, introduces</w:t>
      </w:r>
      <w:r w:rsidRPr="00C265EC">
        <w:rPr>
          <w:lang w:eastAsia="en-GB"/>
        </w:rPr>
        <w:t xml:space="preserve"> administrative mechanisms to evidence sexual violence by authorities. However, in the final approved law, article 37 excluded the "judicial mechanisms", provided for in the preliminary bills. This means that victims that reported the violence and have a judicial conviction are not included under this provision.</w:t>
      </w:r>
      <w:r w:rsidRPr="00C265EC">
        <w:rPr>
          <w:vertAlign w:val="superscript"/>
          <w:lang w:eastAsia="en-GB"/>
        </w:rPr>
        <w:footnoteReference w:id="14"/>
      </w:r>
      <w:r w:rsidRPr="00C265EC">
        <w:rPr>
          <w:lang w:eastAsia="en-GB"/>
        </w:rPr>
        <w:t xml:space="preserve"> Given that many provisions refer to it, it could create important discrepancies between those whose attacker was convicted and those who have decided not to report the violence.                                                                                                                                        </w:t>
      </w:r>
    </w:p>
    <w:p w14:paraId="643F1D1C" w14:textId="29AC393D" w:rsidR="00C265EC" w:rsidRPr="00C265EC" w:rsidRDefault="00C265EC" w:rsidP="00C265EC">
      <w:pPr>
        <w:pStyle w:val="RTBodyText"/>
        <w:rPr>
          <w:lang w:eastAsia="en-GB"/>
        </w:rPr>
      </w:pPr>
      <w:r w:rsidRPr="00C265EC">
        <w:rPr>
          <w:lang w:eastAsia="en-GB"/>
        </w:rPr>
        <w:t>Despite important new measures in the law,</w:t>
      </w:r>
      <w:r w:rsidRPr="00C265EC">
        <w:rPr>
          <w:vertAlign w:val="superscript"/>
          <w:lang w:eastAsia="en-GB"/>
        </w:rPr>
        <w:footnoteReference w:id="15"/>
      </w:r>
      <w:r w:rsidRPr="00C265EC">
        <w:rPr>
          <w:lang w:eastAsia="en-GB"/>
        </w:rPr>
        <w:t xml:space="preserve"> including the provision of comprehensive, specialized and accessible care as one of the most important advances of the law, it requires resources and the development of implementation and coordination mechanisms, especially with the Autonomous Communities with devolved powers in areas such as health or justice in order to be effective. Some aspects that have entered into force</w:t>
      </w:r>
      <w:r w:rsidR="008A3002">
        <w:rPr>
          <w:lang w:eastAsia="en-GB"/>
        </w:rPr>
        <w:t>,</w:t>
      </w:r>
      <w:r w:rsidRPr="00C265EC">
        <w:rPr>
          <w:lang w:eastAsia="en-GB"/>
        </w:rPr>
        <w:t xml:space="preserve"> but have not been implemented yet</w:t>
      </w:r>
      <w:r w:rsidR="008A3002">
        <w:rPr>
          <w:lang w:eastAsia="en-GB"/>
        </w:rPr>
        <w:t>,</w:t>
      </w:r>
      <w:r w:rsidRPr="00C265EC">
        <w:rPr>
          <w:lang w:eastAsia="en-GB"/>
        </w:rPr>
        <w:t xml:space="preserve"> are: production of statistical and disaggregated data on a quarterly basis; specialized judges and prosecutors; guarantee of professional specialization through training in the teaching and educational field, health and social services sectors; law enforcement agencies; judicial and prosecutorial careers and all justice administration personnel.</w:t>
      </w:r>
    </w:p>
    <w:p w14:paraId="3CCCCDD7" w14:textId="2FAC32B0" w:rsidR="00C265EC" w:rsidRDefault="00C265EC" w:rsidP="00E124A7">
      <w:pPr>
        <w:pStyle w:val="RTBodyText"/>
        <w:rPr>
          <w:lang w:eastAsia="en-GB"/>
        </w:rPr>
      </w:pPr>
      <w:r w:rsidRPr="00C265EC">
        <w:rPr>
          <w:lang w:eastAsia="en-GB"/>
        </w:rPr>
        <w:t>Therefore, women still face serious obstacles due to the lack of implementation of public policies that comprehensively address sexual violence; lack of specialized assistance in key sectors such as health or justice, where WHO guidelines are not met neither for health personnel in emergency hospital care nor forensic personnel;</w:t>
      </w:r>
      <w:r w:rsidRPr="00C265EC">
        <w:rPr>
          <w:vertAlign w:val="superscript"/>
          <w:lang w:eastAsia="en-GB"/>
        </w:rPr>
        <w:footnoteReference w:id="16"/>
      </w:r>
      <w:r w:rsidRPr="00C265EC">
        <w:rPr>
          <w:lang w:eastAsia="en-GB"/>
        </w:rPr>
        <w:t xml:space="preserve"> lack of professional treatment of victims and a specialized judicial system with a gender responsive and human rights compliant approach.</w:t>
      </w:r>
      <w:bookmarkStart w:id="15" w:name="__RefHeading___Toc59227_146931321"/>
      <w:bookmarkEnd w:id="15"/>
    </w:p>
    <w:p w14:paraId="0EC91141" w14:textId="77777777" w:rsidR="00C265EC" w:rsidRPr="00C265EC" w:rsidRDefault="00C265EC" w:rsidP="00C265EC">
      <w:pPr>
        <w:pStyle w:val="RTBodyText"/>
        <w:rPr>
          <w:lang w:eastAsia="en-GB"/>
        </w:rPr>
      </w:pPr>
      <w:r w:rsidRPr="00C265EC">
        <w:rPr>
          <w:lang w:eastAsia="en-GB"/>
        </w:rPr>
        <w:lastRenderedPageBreak/>
        <w:t>Amnesty International recommends that Spain:</w:t>
      </w:r>
    </w:p>
    <w:p w14:paraId="01D35C44" w14:textId="1CB77792" w:rsidR="00C265EC" w:rsidRPr="00C265EC" w:rsidRDefault="00C265EC" w:rsidP="00C85C34">
      <w:pPr>
        <w:pStyle w:val="RTBulletText"/>
        <w:rPr>
          <w:lang w:eastAsia="en-GB"/>
        </w:rPr>
      </w:pPr>
      <w:r w:rsidRPr="00C265EC">
        <w:rPr>
          <w:lang w:eastAsia="en-GB"/>
        </w:rPr>
        <w:t>Ensure that a gender perspective (including based on the provision of disaggregated data) is integrated in the analysis of the impact of measures, especially those measures that disproportionately affect women and girls in vulnerable situations.</w:t>
      </w:r>
    </w:p>
    <w:p w14:paraId="2487555A" w14:textId="4572EB50" w:rsidR="00C265EC" w:rsidRPr="00C265EC" w:rsidRDefault="00C265EC" w:rsidP="00945196">
      <w:pPr>
        <w:pStyle w:val="RTBulletText"/>
        <w:rPr>
          <w:lang w:eastAsia="en-GB"/>
        </w:rPr>
      </w:pPr>
      <w:r w:rsidRPr="00C265EC">
        <w:rPr>
          <w:lang w:eastAsia="en-GB"/>
        </w:rPr>
        <w:t xml:space="preserve">Guarantee the implementation of the </w:t>
      </w:r>
      <w:r w:rsidR="00945196" w:rsidRPr="009C4F75">
        <w:rPr>
          <w:i/>
          <w:lang w:eastAsia="en-GB"/>
        </w:rPr>
        <w:t>OLCGS</w:t>
      </w:r>
      <w:r w:rsidR="00945196" w:rsidRPr="00945196" w:rsidDel="00945196">
        <w:rPr>
          <w:lang w:eastAsia="en-GB"/>
        </w:rPr>
        <w:t xml:space="preserve"> </w:t>
      </w:r>
      <w:r w:rsidRPr="00C265EC">
        <w:rPr>
          <w:lang w:eastAsia="en-GB"/>
        </w:rPr>
        <w:t>through adoption of a framework of comprehensive assistance and care services on a mandatory basis in all regions, with equal standards of availability, accessibility</w:t>
      </w:r>
      <w:r w:rsidR="00A05BE8" w:rsidRPr="00C265EC">
        <w:rPr>
          <w:lang w:eastAsia="en-GB"/>
        </w:rPr>
        <w:t>,</w:t>
      </w:r>
      <w:r w:rsidRPr="00C265EC">
        <w:rPr>
          <w:lang w:eastAsia="en-GB"/>
        </w:rPr>
        <w:t xml:space="preserve"> and non-discrimination to address sexual violence </w:t>
      </w:r>
    </w:p>
    <w:p w14:paraId="76E21D75" w14:textId="64BA3CA5" w:rsidR="00C265EC" w:rsidRPr="00C265EC" w:rsidRDefault="00C265EC" w:rsidP="00945196">
      <w:pPr>
        <w:pStyle w:val="RTBulletText"/>
        <w:rPr>
          <w:lang w:eastAsia="en-GB"/>
        </w:rPr>
      </w:pPr>
      <w:r w:rsidRPr="00C265EC">
        <w:rPr>
          <w:lang w:eastAsia="en-GB"/>
        </w:rPr>
        <w:t xml:space="preserve">Amend the </w:t>
      </w:r>
      <w:r w:rsidR="00945196" w:rsidRPr="009C4F75">
        <w:rPr>
          <w:i/>
          <w:lang w:eastAsia="en-GB"/>
        </w:rPr>
        <w:t>OLCGS</w:t>
      </w:r>
      <w:r w:rsidR="00945196" w:rsidRPr="00945196" w:rsidDel="00945196">
        <w:rPr>
          <w:lang w:eastAsia="en-GB"/>
        </w:rPr>
        <w:t xml:space="preserve"> </w:t>
      </w:r>
      <w:r w:rsidRPr="00C265EC">
        <w:rPr>
          <w:lang w:eastAsia="en-GB"/>
        </w:rPr>
        <w:t>Freedom to include the judicial certification mechanisms.</w:t>
      </w:r>
    </w:p>
    <w:p w14:paraId="5B911873" w14:textId="6428BF41" w:rsidR="00C265EC" w:rsidRPr="00C265EC" w:rsidRDefault="00C265EC" w:rsidP="00C85C34">
      <w:pPr>
        <w:pStyle w:val="RTBulletText"/>
        <w:rPr>
          <w:lang w:eastAsia="en-GB"/>
        </w:rPr>
      </w:pPr>
      <w:r w:rsidRPr="00C265EC">
        <w:rPr>
          <w:lang w:eastAsia="en-GB"/>
        </w:rPr>
        <w:t xml:space="preserve">Amend the Penal Code to </w:t>
      </w:r>
      <w:r w:rsidR="00B90681" w:rsidRPr="00C265EC">
        <w:rPr>
          <w:lang w:eastAsia="en-GB"/>
        </w:rPr>
        <w:t>recognize</w:t>
      </w:r>
      <w:r w:rsidRPr="00C265EC">
        <w:rPr>
          <w:lang w:eastAsia="en-GB"/>
        </w:rPr>
        <w:t xml:space="preserve"> rape as torture when it is committed by or at the instigation of or with the consent or acquiescence of public officials, in alignment with international human rights law and standards, and international criminal law.</w:t>
      </w:r>
      <w:r w:rsidRPr="00C265EC">
        <w:rPr>
          <w:vertAlign w:val="superscript"/>
          <w:lang w:eastAsia="en-GB"/>
        </w:rPr>
        <w:footnoteReference w:id="17"/>
      </w:r>
      <w:r w:rsidRPr="00C265EC">
        <w:rPr>
          <w:lang w:eastAsia="en-GB"/>
        </w:rPr>
        <w:t xml:space="preserve"> </w:t>
      </w:r>
    </w:p>
    <w:p w14:paraId="589D2F04" w14:textId="277870A2" w:rsidR="00C265EC" w:rsidRPr="00817F2C" w:rsidRDefault="00C265EC" w:rsidP="009C4F75">
      <w:pPr>
        <w:pStyle w:val="RTHeadingnonumbers"/>
      </w:pPr>
      <w:bookmarkStart w:id="16" w:name="_Toc59524874111111"/>
      <w:bookmarkStart w:id="17" w:name="_Toc131066091"/>
      <w:bookmarkStart w:id="18" w:name="_Toc132280860"/>
      <w:bookmarkStart w:id="19" w:name="_Toc132383174"/>
      <w:bookmarkStart w:id="20" w:name="_Toc132406568"/>
      <w:bookmarkStart w:id="21" w:name="_Toc132453614"/>
      <w:bookmarkEnd w:id="16"/>
      <w:r w:rsidRPr="00817F2C">
        <w:t>Barriers to justice and protection for survivors of gender-based violence and gender stereotypes</w:t>
      </w:r>
      <w:bookmarkEnd w:id="17"/>
      <w:r w:rsidRPr="00817F2C">
        <w:t xml:space="preserve"> (Article 5 (A) &amp; LOIPR paras. 7, 9-10)</w:t>
      </w:r>
      <w:bookmarkEnd w:id="18"/>
      <w:bookmarkEnd w:id="19"/>
      <w:bookmarkEnd w:id="20"/>
      <w:bookmarkEnd w:id="21"/>
    </w:p>
    <w:p w14:paraId="2444A286" w14:textId="4774718C" w:rsidR="00C265EC" w:rsidRPr="00C265EC" w:rsidRDefault="00C265EC" w:rsidP="00C265EC">
      <w:pPr>
        <w:pStyle w:val="RTBodyText"/>
        <w:rPr>
          <w:lang w:eastAsia="en-GB"/>
        </w:rPr>
      </w:pPr>
      <w:r w:rsidRPr="00C265EC">
        <w:rPr>
          <w:lang w:eastAsia="en-GB"/>
        </w:rPr>
        <w:t>Despite the provisions on a specialized justice system of Integral Law on Gender-based Violence, which entered into force in 2004, obstacles to protection and access to justice for victims of gender-based violence remain, including the following:</w:t>
      </w:r>
      <w:r w:rsidRPr="00C265EC">
        <w:rPr>
          <w:vertAlign w:val="superscript"/>
          <w:lang w:eastAsia="en-GB"/>
        </w:rPr>
        <w:footnoteReference w:id="18"/>
      </w:r>
      <w:r w:rsidRPr="00C265EC">
        <w:rPr>
          <w:lang w:eastAsia="en-GB"/>
        </w:rPr>
        <w:t xml:space="preserve"> </w:t>
      </w:r>
    </w:p>
    <w:p w14:paraId="781BA3BA" w14:textId="5847EACF" w:rsidR="00C265EC" w:rsidRPr="00C265EC" w:rsidRDefault="00C265EC" w:rsidP="00C265EC">
      <w:pPr>
        <w:pStyle w:val="RTBodyText"/>
        <w:numPr>
          <w:ilvl w:val="0"/>
          <w:numId w:val="27"/>
        </w:numPr>
        <w:rPr>
          <w:lang w:eastAsia="en-GB"/>
        </w:rPr>
      </w:pPr>
      <w:r w:rsidRPr="00C265EC">
        <w:rPr>
          <w:u w:val="single"/>
          <w:lang w:eastAsia="en-GB"/>
        </w:rPr>
        <w:t>Lack of "due diligence" in the investigation and prosecution of</w:t>
      </w:r>
      <w:r w:rsidRPr="00C265EC">
        <w:rPr>
          <w:lang w:eastAsia="en-GB"/>
        </w:rPr>
        <w:t xml:space="preserve"> these crimes, with a high number of dismissals and closure of cases by the judiciary due to lack of proper investigation; with an average of 42% (years 2017 to 2022).</w:t>
      </w:r>
      <w:r w:rsidRPr="00C265EC">
        <w:rPr>
          <w:vertAlign w:val="superscript"/>
          <w:lang w:eastAsia="en-GB"/>
        </w:rPr>
        <w:footnoteReference w:id="19"/>
      </w:r>
    </w:p>
    <w:p w14:paraId="5765077C" w14:textId="16ED8B8C" w:rsidR="00C265EC" w:rsidRPr="00C265EC" w:rsidRDefault="00C265EC" w:rsidP="00C265EC">
      <w:pPr>
        <w:pStyle w:val="RTBodyText"/>
        <w:numPr>
          <w:ilvl w:val="0"/>
          <w:numId w:val="27"/>
        </w:numPr>
        <w:rPr>
          <w:lang w:eastAsia="en-GB"/>
        </w:rPr>
      </w:pPr>
      <w:r w:rsidRPr="00A05BE8">
        <w:rPr>
          <w:u w:val="single"/>
          <w:lang w:eastAsia="en-GB"/>
        </w:rPr>
        <w:t>Deficits in the protection of victims/survivors.</w:t>
      </w:r>
      <w:r w:rsidRPr="00C265EC">
        <w:rPr>
          <w:lang w:eastAsia="en-GB"/>
        </w:rPr>
        <w:t xml:space="preserve"> The Comprehensive Forensic Assessment Units (CFAU)</w:t>
      </w:r>
      <w:r w:rsidRPr="00C265EC">
        <w:rPr>
          <w:vertAlign w:val="superscript"/>
          <w:lang w:eastAsia="en-GB"/>
        </w:rPr>
        <w:footnoteReference w:id="20"/>
      </w:r>
      <w:r w:rsidRPr="00C265EC">
        <w:rPr>
          <w:lang w:eastAsia="en-GB"/>
        </w:rPr>
        <w:t xml:space="preserve"> tasked with risk assessments, continue to be unevenly implemented.</w:t>
      </w:r>
      <w:r w:rsidRPr="00C265EC">
        <w:rPr>
          <w:vertAlign w:val="superscript"/>
          <w:lang w:eastAsia="en-GB"/>
        </w:rPr>
        <w:footnoteReference w:id="21"/>
      </w:r>
      <w:r w:rsidRPr="00C265EC">
        <w:rPr>
          <w:vertAlign w:val="superscript"/>
          <w:lang w:eastAsia="en-GB"/>
        </w:rPr>
        <w:t xml:space="preserve"> </w:t>
      </w:r>
      <w:r w:rsidRPr="00C265EC">
        <w:rPr>
          <w:lang w:eastAsia="en-GB"/>
        </w:rPr>
        <w:t xml:space="preserve"> In 2017, the Ministry of Justice acknowledged deficits in training, institutional coordination</w:t>
      </w:r>
      <w:r w:rsidR="00A05BE8" w:rsidRPr="00C265EC">
        <w:rPr>
          <w:lang w:eastAsia="en-GB"/>
        </w:rPr>
        <w:t>,</w:t>
      </w:r>
      <w:r w:rsidRPr="00C265EC">
        <w:rPr>
          <w:lang w:eastAsia="en-GB"/>
        </w:rPr>
        <w:t xml:space="preserve"> and human and material resources in the Crime Victims' Offices. No further reports are publicly available with updated information about the work of the offices.</w:t>
      </w:r>
      <w:r w:rsidRPr="00C265EC">
        <w:rPr>
          <w:vertAlign w:val="superscript"/>
          <w:lang w:eastAsia="en-GB"/>
        </w:rPr>
        <w:footnoteReference w:id="22"/>
      </w:r>
      <w:r w:rsidRPr="00C265EC">
        <w:rPr>
          <w:lang w:eastAsia="en-GB"/>
        </w:rPr>
        <w:t xml:space="preserve"> </w:t>
      </w:r>
    </w:p>
    <w:p w14:paraId="11A41A83" w14:textId="0551BECA" w:rsidR="00C265EC" w:rsidRPr="00C265EC" w:rsidRDefault="00C265EC" w:rsidP="00C265EC">
      <w:pPr>
        <w:pStyle w:val="RTBodyText"/>
        <w:rPr>
          <w:lang w:eastAsia="en-GB"/>
        </w:rPr>
      </w:pPr>
      <w:r w:rsidRPr="00C265EC">
        <w:rPr>
          <w:lang w:eastAsia="en-GB"/>
        </w:rPr>
        <w:t>In 2020, the State Attorney General's Office reported that the different resources by the Autonomous Regions to protect victims and survivors lead to differences among them "causing a certain unjustifiable inequality"</w:t>
      </w:r>
      <w:r w:rsidRPr="00C265EC">
        <w:rPr>
          <w:vertAlign w:val="superscript"/>
          <w:lang w:eastAsia="en-GB"/>
        </w:rPr>
        <w:footnoteReference w:id="23"/>
      </w:r>
      <w:r w:rsidRPr="00C265EC">
        <w:rPr>
          <w:lang w:eastAsia="en-GB"/>
        </w:rPr>
        <w:t xml:space="preserve"> and it is "worrying to note (...) the great contrasts in the number and composition of the offices and Forensic Assessment Units, which attacks the principle of equality of resources for victims who turn to the judicial system".</w:t>
      </w:r>
      <w:r w:rsidRPr="00C265EC">
        <w:rPr>
          <w:vertAlign w:val="superscript"/>
          <w:lang w:eastAsia="en-GB"/>
        </w:rPr>
        <w:footnoteReference w:id="24"/>
      </w:r>
      <w:r w:rsidRPr="00C265EC">
        <w:rPr>
          <w:lang w:eastAsia="en-GB"/>
        </w:rPr>
        <w:t xml:space="preserve"> For instance, in 2020, 28% of protection orders in cases of gender-based violence were denied,</w:t>
      </w:r>
      <w:r w:rsidRPr="00C265EC">
        <w:rPr>
          <w:vertAlign w:val="superscript"/>
          <w:lang w:eastAsia="en-GB"/>
        </w:rPr>
        <w:footnoteReference w:id="25"/>
      </w:r>
      <w:r w:rsidRPr="00C265EC">
        <w:rPr>
          <w:lang w:eastAsia="en-GB"/>
        </w:rPr>
        <w:t xml:space="preserve"> with significant differences between regions according to the Attorney General.</w:t>
      </w:r>
      <w:r w:rsidRPr="00C265EC">
        <w:rPr>
          <w:vertAlign w:val="superscript"/>
          <w:lang w:eastAsia="en-GB"/>
        </w:rPr>
        <w:footnoteReference w:id="26"/>
      </w:r>
      <w:r w:rsidRPr="00C265EC">
        <w:rPr>
          <w:lang w:eastAsia="en-GB"/>
        </w:rPr>
        <w:t xml:space="preserve"> Amnesty International considers that the lack of equal standards of protection among all regions may lead to some women being at higher continued risk and count with less protection simply due to the region where they live in.</w:t>
      </w:r>
    </w:p>
    <w:p w14:paraId="2CE64147" w14:textId="15C3A3F9" w:rsidR="00C265EC" w:rsidRPr="00C265EC" w:rsidRDefault="00C265EC" w:rsidP="00C265EC">
      <w:pPr>
        <w:pStyle w:val="RTBodyText"/>
        <w:rPr>
          <w:lang w:eastAsia="en-GB"/>
        </w:rPr>
      </w:pPr>
      <w:r w:rsidRPr="00C265EC">
        <w:rPr>
          <w:lang w:eastAsia="en-GB"/>
        </w:rPr>
        <w:t xml:space="preserve">According to the Ombudsman, incorrect risk assessments by personnel in charge such as forensic doctors, or even lack of application of the forensic protocol to issue protection orders, continue to negatively affect the </w:t>
      </w:r>
      <w:r w:rsidRPr="00C265EC">
        <w:rPr>
          <w:lang w:eastAsia="en-GB"/>
        </w:rPr>
        <w:lastRenderedPageBreak/>
        <w:t>protection of victims.</w:t>
      </w:r>
      <w:r w:rsidRPr="00C265EC">
        <w:rPr>
          <w:vertAlign w:val="superscript"/>
          <w:lang w:eastAsia="en-GB"/>
        </w:rPr>
        <w:footnoteReference w:id="27"/>
      </w:r>
      <w:r w:rsidRPr="00C265EC">
        <w:rPr>
          <w:lang w:eastAsia="en-GB"/>
        </w:rPr>
        <w:t xml:space="preserve"> In a report, the General Council of the Judiciary admits that in 261 cases of women killed (25%) of the 1,000 cases analysed, there was evidence of a prior complaint by the victim.</w:t>
      </w:r>
      <w:r w:rsidRPr="00C265EC">
        <w:rPr>
          <w:vertAlign w:val="superscript"/>
          <w:lang w:eastAsia="en-GB"/>
        </w:rPr>
        <w:footnoteReference w:id="28"/>
      </w:r>
    </w:p>
    <w:p w14:paraId="27EE44FB" w14:textId="60FB93EC" w:rsidR="00C265EC" w:rsidRPr="00C265EC" w:rsidRDefault="00C265EC" w:rsidP="00C265EC">
      <w:pPr>
        <w:pStyle w:val="RTBodyText"/>
        <w:rPr>
          <w:lang w:eastAsia="en-GB"/>
        </w:rPr>
      </w:pPr>
      <w:r w:rsidRPr="00C265EC">
        <w:rPr>
          <w:lang w:eastAsia="en-GB"/>
        </w:rPr>
        <w:t>Judges continue to manifest negative gender stereotypes in their assessment of evidence, and sexist notions of consent also persist in cases of rape.</w:t>
      </w:r>
      <w:r w:rsidRPr="00C265EC">
        <w:rPr>
          <w:vertAlign w:val="superscript"/>
          <w:lang w:eastAsia="en-GB"/>
        </w:rPr>
        <w:footnoteReference w:id="29"/>
      </w:r>
      <w:r w:rsidRPr="00C265EC">
        <w:rPr>
          <w:lang w:eastAsia="en-GB"/>
        </w:rPr>
        <w:t xml:space="preserve"> For instance, in the widely reported gang rape case "la </w:t>
      </w:r>
      <w:proofErr w:type="spellStart"/>
      <w:r w:rsidRPr="00C265EC">
        <w:rPr>
          <w:lang w:eastAsia="en-GB"/>
        </w:rPr>
        <w:t>Manada</w:t>
      </w:r>
      <w:proofErr w:type="spellEnd"/>
      <w:r w:rsidRPr="00C265EC">
        <w:rPr>
          <w:lang w:eastAsia="en-GB"/>
        </w:rPr>
        <w:t>", in 2019 judges in a lower court found there was lack of intimidation by the perpetrators due to the “lack of resistance” of the victim, which resulted in the crime being considered a sexual abuse -rather than aggression - carrying lower penalties.</w:t>
      </w:r>
      <w:r w:rsidRPr="00C265EC">
        <w:rPr>
          <w:vertAlign w:val="superscript"/>
          <w:lang w:eastAsia="en-GB"/>
        </w:rPr>
        <w:footnoteReference w:id="30"/>
      </w:r>
      <w:r w:rsidRPr="00C265EC">
        <w:rPr>
          <w:lang w:eastAsia="en-GB"/>
        </w:rPr>
        <w:t xml:space="preserve"> In another case, a judge asserted that</w:t>
      </w:r>
      <w:r w:rsidR="00995119">
        <w:rPr>
          <w:lang w:eastAsia="en-GB"/>
        </w:rPr>
        <w:t>,</w:t>
      </w:r>
      <w:r w:rsidRPr="00C265EC">
        <w:rPr>
          <w:lang w:eastAsia="en-GB"/>
        </w:rPr>
        <w:t xml:space="preserve"> when a woman consents to kissing, this implied consent to other sexual acts.</w:t>
      </w:r>
      <w:r w:rsidRPr="00C265EC">
        <w:rPr>
          <w:vertAlign w:val="superscript"/>
          <w:lang w:eastAsia="en-GB"/>
        </w:rPr>
        <w:footnoteReference w:id="31"/>
      </w:r>
      <w:r w:rsidRPr="00C265EC">
        <w:rPr>
          <w:lang w:eastAsia="en-GB"/>
        </w:rPr>
        <w:t xml:space="preserve">  </w:t>
      </w:r>
    </w:p>
    <w:p w14:paraId="75B3B51C" w14:textId="1030F37A" w:rsidR="00C265EC" w:rsidRPr="00C265EC" w:rsidRDefault="00C265EC" w:rsidP="00C265EC">
      <w:pPr>
        <w:pStyle w:val="RTBodyText"/>
        <w:rPr>
          <w:lang w:eastAsia="en-GB"/>
        </w:rPr>
      </w:pPr>
      <w:r w:rsidRPr="00C265EC">
        <w:rPr>
          <w:lang w:eastAsia="en-GB"/>
        </w:rPr>
        <w:t>There are insufficient measures for the protection of children victims of violence, including from violence perpetrated by a partner or ex</w:t>
      </w:r>
      <w:r w:rsidR="00995119" w:rsidRPr="00C265EC">
        <w:rPr>
          <w:lang w:eastAsia="en-GB"/>
        </w:rPr>
        <w:t>-</w:t>
      </w:r>
      <w:r w:rsidRPr="00C265EC">
        <w:rPr>
          <w:lang w:eastAsia="en-GB"/>
        </w:rPr>
        <w:t>partner of the mother against the children, with the aim of provoking extreme harm to the mother. In 2021, seven children were killed, in four of the cases the mothers made previous complaints. In 2022, two children were killed.</w:t>
      </w:r>
      <w:r w:rsidRPr="00C265EC">
        <w:rPr>
          <w:vertAlign w:val="superscript"/>
          <w:lang w:eastAsia="en-GB"/>
        </w:rPr>
        <w:footnoteReference w:id="32"/>
      </w:r>
      <w:r w:rsidRPr="00C265EC">
        <w:rPr>
          <w:lang w:eastAsia="en-GB"/>
        </w:rPr>
        <w:t xml:space="preserve"> </w:t>
      </w:r>
    </w:p>
    <w:p w14:paraId="20387359" w14:textId="6A1686A8" w:rsidR="00C265EC" w:rsidRPr="00C265EC" w:rsidRDefault="00C265EC" w:rsidP="00C265EC">
      <w:pPr>
        <w:pStyle w:val="RTBodyText"/>
        <w:rPr>
          <w:lang w:eastAsia="en-GB"/>
        </w:rPr>
      </w:pPr>
      <w:r w:rsidRPr="00C265EC">
        <w:rPr>
          <w:lang w:eastAsia="en-GB"/>
        </w:rPr>
        <w:t xml:space="preserve">In 2018, </w:t>
      </w:r>
      <w:proofErr w:type="spellStart"/>
      <w:r w:rsidRPr="00C265EC">
        <w:rPr>
          <w:lang w:eastAsia="en-GB"/>
        </w:rPr>
        <w:t>Nerea</w:t>
      </w:r>
      <w:proofErr w:type="spellEnd"/>
      <w:r w:rsidRPr="00C265EC">
        <w:rPr>
          <w:lang w:eastAsia="en-GB"/>
        </w:rPr>
        <w:t xml:space="preserve"> and Martina (two- and six-years old girls) were killed by their father during the visitation period. Previously, the mother</w:t>
      </w:r>
      <w:r w:rsidR="00F90F70">
        <w:rPr>
          <w:lang w:eastAsia="en-GB"/>
        </w:rPr>
        <w:t>,</w:t>
      </w:r>
      <w:r w:rsidRPr="00C265EC">
        <w:rPr>
          <w:lang w:eastAsia="en-GB"/>
        </w:rPr>
        <w:t xml:space="preserve"> who suffered gender-based violence, had requested protective measures for her and her daughters from the judge, including to suspend custody rights of their father, which were not granted, as the risk was considered low by the judge.</w:t>
      </w:r>
      <w:r w:rsidRPr="00C265EC">
        <w:rPr>
          <w:vertAlign w:val="superscript"/>
          <w:lang w:eastAsia="en-GB"/>
        </w:rPr>
        <w:footnoteReference w:id="33"/>
      </w:r>
      <w:r w:rsidRPr="00C265EC">
        <w:rPr>
          <w:lang w:eastAsia="en-GB"/>
        </w:rPr>
        <w:t xml:space="preserve"> </w:t>
      </w:r>
    </w:p>
    <w:p w14:paraId="25FBA3EE" w14:textId="0DB50A33" w:rsidR="00E124A7" w:rsidRPr="00817F2C" w:rsidRDefault="00C265EC" w:rsidP="00E124A7">
      <w:pPr>
        <w:pStyle w:val="RTBodyText"/>
        <w:rPr>
          <w:lang w:eastAsia="en-GB"/>
        </w:rPr>
      </w:pPr>
      <w:r w:rsidRPr="00C265EC">
        <w:rPr>
          <w:lang w:eastAsia="en-GB"/>
        </w:rPr>
        <w:t>In 2021, the Civil Code and the Criminal Procedure Act were amended to provide for the suspension of visits with children, in cases of criminal proceedings concerning crimes against the spouse or children or well-founded indications of gender-based violence or violence witnessed by the children.</w:t>
      </w:r>
      <w:r w:rsidRPr="00C265EC">
        <w:rPr>
          <w:vertAlign w:val="superscript"/>
          <w:lang w:eastAsia="en-GB"/>
        </w:rPr>
        <w:footnoteReference w:id="34"/>
      </w:r>
      <w:r w:rsidRPr="00C265EC">
        <w:rPr>
          <w:lang w:eastAsia="en-GB"/>
        </w:rPr>
        <w:t xml:space="preserve">     </w:t>
      </w:r>
    </w:p>
    <w:p w14:paraId="43A1BF84" w14:textId="77777777" w:rsidR="00C265EC" w:rsidRPr="00C265EC" w:rsidRDefault="00C265EC" w:rsidP="00C265EC">
      <w:pPr>
        <w:pStyle w:val="RTBodyText"/>
        <w:rPr>
          <w:lang w:eastAsia="en-GB"/>
        </w:rPr>
      </w:pPr>
      <w:r w:rsidRPr="00C265EC">
        <w:rPr>
          <w:lang w:eastAsia="en-GB"/>
        </w:rPr>
        <w:t>Amnesty International recommends that Spain:</w:t>
      </w:r>
    </w:p>
    <w:p w14:paraId="50612EC6" w14:textId="77777777" w:rsidR="00C265EC" w:rsidRPr="00C265EC" w:rsidRDefault="00C265EC" w:rsidP="00774FB3">
      <w:pPr>
        <w:pStyle w:val="RTBulletText"/>
        <w:rPr>
          <w:lang w:eastAsia="en-GB"/>
        </w:rPr>
      </w:pPr>
      <w:r w:rsidRPr="00C265EC">
        <w:rPr>
          <w:lang w:eastAsia="en-GB"/>
        </w:rPr>
        <w:t>Conduct a systematization of judicial data and continuous evaluation and introduce accountability mechanisms for quality assurance.</w:t>
      </w:r>
    </w:p>
    <w:p w14:paraId="7DCAC263" w14:textId="77777777" w:rsidR="00867A91" w:rsidRDefault="00C265EC" w:rsidP="00867A91">
      <w:pPr>
        <w:pStyle w:val="RTBulletText"/>
        <w:rPr>
          <w:lang w:eastAsia="en-GB"/>
        </w:rPr>
      </w:pPr>
      <w:r w:rsidRPr="00C265EC">
        <w:rPr>
          <w:lang w:eastAsia="en-GB"/>
        </w:rPr>
        <w:t>Guarantee specialization of the judiciary, prosecution and CFAU staff and training on consent and gender stereotypes.</w:t>
      </w:r>
    </w:p>
    <w:p w14:paraId="6453ECAA" w14:textId="231C8E85" w:rsidR="00C265EC" w:rsidRPr="00C265EC" w:rsidRDefault="00C265EC" w:rsidP="0040704A">
      <w:pPr>
        <w:pStyle w:val="RTBulletText"/>
        <w:rPr>
          <w:lang w:eastAsia="en-GB"/>
        </w:rPr>
      </w:pPr>
      <w:r w:rsidRPr="00C265EC">
        <w:rPr>
          <w:lang w:eastAsia="en-GB"/>
        </w:rPr>
        <w:t xml:space="preserve">Review of protection measures for survivors of gender-based violence to ensure their effective protection and of their </w:t>
      </w:r>
      <w:r w:rsidR="00867A91">
        <w:rPr>
          <w:lang w:eastAsia="en-GB"/>
        </w:rPr>
        <w:t>c</w:t>
      </w:r>
      <w:r w:rsidRPr="00C265EC">
        <w:rPr>
          <w:lang w:eastAsia="en-GB"/>
        </w:rPr>
        <w:t xml:space="preserve">hildren.                                                                                                                                               </w:t>
      </w:r>
    </w:p>
    <w:p w14:paraId="7ABE0D01" w14:textId="6D76E1C4" w:rsidR="00C265EC" w:rsidRPr="0040704A" w:rsidRDefault="00C265EC" w:rsidP="009C4F75">
      <w:pPr>
        <w:pStyle w:val="RTHeadingnonumbers"/>
      </w:pPr>
      <w:bookmarkStart w:id="22" w:name="_Toc131066092"/>
      <w:bookmarkStart w:id="23" w:name="_Toc59524877"/>
      <w:bookmarkStart w:id="24" w:name="_Toc132280862"/>
      <w:bookmarkStart w:id="25" w:name="_Toc132383176"/>
      <w:bookmarkStart w:id="26" w:name="_Toc132406570"/>
      <w:bookmarkStart w:id="27" w:name="_Toc132453615"/>
      <w:r w:rsidRPr="00817F2C">
        <w:t xml:space="preserve">Lack of </w:t>
      </w:r>
      <w:r w:rsidRPr="009C4F75">
        <w:t>impact</w:t>
      </w:r>
      <w:r w:rsidRPr="00817F2C">
        <w:t xml:space="preserve"> assessment of the Integral Law on Gender-Based Violence</w:t>
      </w:r>
      <w:bookmarkEnd w:id="22"/>
      <w:bookmarkEnd w:id="23"/>
      <w:bookmarkEnd w:id="24"/>
      <w:bookmarkEnd w:id="25"/>
      <w:bookmarkEnd w:id="26"/>
      <w:bookmarkEnd w:id="27"/>
    </w:p>
    <w:p w14:paraId="6805E184" w14:textId="77777777" w:rsidR="00C265EC" w:rsidRPr="00C265EC" w:rsidRDefault="00C265EC" w:rsidP="00C265EC">
      <w:pPr>
        <w:pStyle w:val="RTBodyText"/>
        <w:rPr>
          <w:lang w:eastAsia="en-GB"/>
        </w:rPr>
      </w:pPr>
      <w:r w:rsidRPr="00C265EC">
        <w:rPr>
          <w:lang w:eastAsia="en-GB"/>
        </w:rPr>
        <w:t>The Comprehensive Law of Gender-Based Violence does not have an evaluation strategy that incorporates the participation of survivors.</w:t>
      </w:r>
    </w:p>
    <w:p w14:paraId="31475C2D" w14:textId="080DB80F" w:rsidR="00C265EC" w:rsidRPr="00C265EC" w:rsidRDefault="00C265EC" w:rsidP="00C265EC">
      <w:pPr>
        <w:pStyle w:val="RTBodyText"/>
        <w:rPr>
          <w:lang w:eastAsia="en-GB"/>
        </w:rPr>
      </w:pPr>
      <w:r w:rsidRPr="00C265EC">
        <w:rPr>
          <w:lang w:eastAsia="en-GB"/>
        </w:rPr>
        <w:t>The State Agreement against Gender-based Violence incorporates mechanisms for the monitoring and evaluation of its implementation by the non-legislative Standing Committee of the Congress of Deputies.</w:t>
      </w:r>
      <w:r w:rsidRPr="00C265EC">
        <w:rPr>
          <w:vertAlign w:val="superscript"/>
          <w:lang w:eastAsia="en-GB"/>
        </w:rPr>
        <w:footnoteReference w:id="35"/>
      </w:r>
      <w:r w:rsidRPr="00C265EC">
        <w:rPr>
          <w:vertAlign w:val="superscript"/>
          <w:lang w:eastAsia="en-GB"/>
        </w:rPr>
        <w:t xml:space="preserve"> </w:t>
      </w:r>
      <w:r w:rsidRPr="00C265EC">
        <w:rPr>
          <w:lang w:eastAsia="en-GB"/>
        </w:rPr>
        <w:t xml:space="preserve">However, five years since its approval, in none of the twenty-two meetings of the </w:t>
      </w:r>
      <w:r w:rsidR="00966E76" w:rsidRPr="00C265EC">
        <w:rPr>
          <w:lang w:eastAsia="en-GB"/>
        </w:rPr>
        <w:t>Committee</w:t>
      </w:r>
      <w:r w:rsidRPr="00C265EC">
        <w:rPr>
          <w:lang w:eastAsia="en-GB"/>
        </w:rPr>
        <w:t xml:space="preserve"> held, </w:t>
      </w:r>
      <w:r w:rsidR="00643568">
        <w:rPr>
          <w:lang w:eastAsia="en-GB"/>
        </w:rPr>
        <w:t xml:space="preserve">has </w:t>
      </w:r>
      <w:r w:rsidRPr="00C265EC">
        <w:rPr>
          <w:lang w:eastAsia="en-GB"/>
        </w:rPr>
        <w:t>the agreement been evaluated using measurable criteria.</w:t>
      </w:r>
    </w:p>
    <w:p w14:paraId="5D8D38EB" w14:textId="77777777" w:rsidR="00C265EC" w:rsidRPr="00C265EC" w:rsidRDefault="00C265EC" w:rsidP="00C265EC">
      <w:pPr>
        <w:pStyle w:val="RTBodyText"/>
        <w:rPr>
          <w:lang w:eastAsia="en-GB"/>
        </w:rPr>
      </w:pPr>
      <w:r w:rsidRPr="00C265EC">
        <w:rPr>
          <w:lang w:eastAsia="en-GB"/>
        </w:rPr>
        <w:t xml:space="preserve">The Government Delegation against Gender-Based Violence has incorporated in a working document a mechanism for visualizing compliance by traffic light system without information on the indicators used to </w:t>
      </w:r>
      <w:r w:rsidRPr="00C265EC">
        <w:rPr>
          <w:lang w:eastAsia="en-GB"/>
        </w:rPr>
        <w:lastRenderedPageBreak/>
        <w:t>consider what measures have been implemented or are in a process of implementation. This document has not been updated since 2019.</w:t>
      </w:r>
      <w:r w:rsidRPr="00C265EC">
        <w:rPr>
          <w:vertAlign w:val="superscript"/>
          <w:lang w:eastAsia="en-GB"/>
        </w:rPr>
        <w:footnoteReference w:id="36"/>
      </w:r>
      <w:r w:rsidRPr="00C265EC">
        <w:rPr>
          <w:lang w:eastAsia="en-GB"/>
        </w:rPr>
        <w:t xml:space="preserve"> </w:t>
      </w:r>
    </w:p>
    <w:p w14:paraId="14036CC1" w14:textId="11C68D70" w:rsidR="00C265EC" w:rsidRDefault="00C265EC" w:rsidP="00E124A7">
      <w:pPr>
        <w:pStyle w:val="RTBodyText"/>
        <w:rPr>
          <w:lang w:eastAsia="en-GB"/>
        </w:rPr>
      </w:pPr>
      <w:r w:rsidRPr="00C265EC">
        <w:rPr>
          <w:lang w:eastAsia="en-GB"/>
        </w:rPr>
        <w:t>From 2016 to 2022 there was no National Strategy for the Eradication of Violence against Women. In November 2022, the Government approved the National Strategy to Combat Gender-Based Violence (2022-2025) which incorporates a strategic line on periodic evaluation, which has yet to be implemented.</w:t>
      </w:r>
      <w:r w:rsidRPr="00C265EC">
        <w:rPr>
          <w:vertAlign w:val="superscript"/>
          <w:lang w:eastAsia="en-GB"/>
        </w:rPr>
        <w:footnoteReference w:id="37"/>
      </w:r>
    </w:p>
    <w:p w14:paraId="7B27E06B" w14:textId="77777777" w:rsidR="00C265EC" w:rsidRPr="00C265EC" w:rsidRDefault="00C265EC" w:rsidP="00C265EC">
      <w:pPr>
        <w:pStyle w:val="RTBodyText"/>
        <w:rPr>
          <w:lang w:eastAsia="en-GB"/>
        </w:rPr>
      </w:pPr>
      <w:r w:rsidRPr="00C265EC">
        <w:rPr>
          <w:lang w:eastAsia="en-GB"/>
        </w:rPr>
        <w:t>Amnesty International recommends that Spain:</w:t>
      </w:r>
    </w:p>
    <w:p w14:paraId="04D23ACE" w14:textId="77777777" w:rsidR="00FF2133" w:rsidRDefault="00C265EC" w:rsidP="00C265EC">
      <w:pPr>
        <w:pStyle w:val="RTBodyText"/>
        <w:numPr>
          <w:ilvl w:val="0"/>
          <w:numId w:val="32"/>
        </w:numPr>
        <w:rPr>
          <w:lang w:eastAsia="en-GB"/>
        </w:rPr>
      </w:pPr>
      <w:r w:rsidRPr="00C265EC">
        <w:rPr>
          <w:lang w:eastAsia="en-GB"/>
        </w:rPr>
        <w:t xml:space="preserve">Periodically evaluate the Comprehensive Law through a participatory and transparent process and based on clear and measurable indicators.          </w:t>
      </w:r>
    </w:p>
    <w:p w14:paraId="063A9450" w14:textId="5138A301" w:rsidR="00C265EC" w:rsidRPr="00C265EC" w:rsidRDefault="00C265EC" w:rsidP="00FF2133">
      <w:pPr>
        <w:pStyle w:val="RTBodyText"/>
        <w:ind w:left="360"/>
        <w:rPr>
          <w:lang w:eastAsia="en-GB"/>
        </w:rPr>
      </w:pPr>
      <w:r w:rsidRPr="00C265EC">
        <w:rPr>
          <w:lang w:eastAsia="en-GB"/>
        </w:rPr>
        <w:t xml:space="preserve">         </w:t>
      </w:r>
    </w:p>
    <w:p w14:paraId="105875BE" w14:textId="77777777" w:rsidR="00C265EC" w:rsidRPr="00817F2C" w:rsidRDefault="00C265EC" w:rsidP="00E41772">
      <w:pPr>
        <w:pStyle w:val="RTTitlenonumbers"/>
      </w:pPr>
      <w:bookmarkStart w:id="28" w:name="_Toc132280864"/>
      <w:bookmarkStart w:id="29" w:name="_Toc132383178"/>
      <w:bookmarkStart w:id="30" w:name="_Toc132406572"/>
      <w:bookmarkStart w:id="31" w:name="_Toc131066093"/>
      <w:bookmarkStart w:id="32" w:name="_Toc132453616"/>
      <w:r w:rsidRPr="00817F2C">
        <w:t xml:space="preserve">Lack of </w:t>
      </w:r>
      <w:r w:rsidRPr="009C4F75">
        <w:t>protection</w:t>
      </w:r>
      <w:r w:rsidRPr="00817F2C">
        <w:t xml:space="preserve"> of migrant and refugee women (LOIPR paras. 20-21)</w:t>
      </w:r>
      <w:bookmarkEnd w:id="28"/>
      <w:bookmarkEnd w:id="29"/>
      <w:bookmarkEnd w:id="30"/>
      <w:bookmarkEnd w:id="32"/>
      <w:r w:rsidRPr="00817F2C">
        <w:t xml:space="preserve">   </w:t>
      </w:r>
      <w:bookmarkEnd w:id="31"/>
    </w:p>
    <w:p w14:paraId="02AE8D7B" w14:textId="77777777" w:rsidR="00C265EC" w:rsidRPr="00C265EC" w:rsidRDefault="00C265EC" w:rsidP="00C265EC">
      <w:pPr>
        <w:pStyle w:val="RTBodyText"/>
        <w:rPr>
          <w:lang w:eastAsia="en-GB"/>
        </w:rPr>
      </w:pPr>
      <w:r w:rsidRPr="00C265EC">
        <w:rPr>
          <w:lang w:eastAsia="en-GB"/>
        </w:rPr>
        <w:t xml:space="preserve">There is no comprehensive data on how poverty and gender-based violence </w:t>
      </w:r>
      <w:bookmarkStart w:id="33" w:name="_Int_ZwYNl18L"/>
      <w:r w:rsidRPr="00C265EC">
        <w:rPr>
          <w:lang w:eastAsia="en-GB"/>
        </w:rPr>
        <w:t>affect</w:t>
      </w:r>
      <w:bookmarkEnd w:id="33"/>
      <w:r w:rsidRPr="00C265EC">
        <w:rPr>
          <w:lang w:eastAsia="en-GB"/>
        </w:rPr>
        <w:t xml:space="preserve"> migrant women in Spain.</w:t>
      </w:r>
      <w:r w:rsidRPr="00C265EC">
        <w:rPr>
          <w:vertAlign w:val="superscript"/>
          <w:lang w:eastAsia="en-GB"/>
        </w:rPr>
        <w:footnoteReference w:id="38"/>
      </w:r>
      <w:r w:rsidRPr="00C265EC">
        <w:rPr>
          <w:lang w:eastAsia="en-GB"/>
        </w:rPr>
        <w:t xml:space="preserve"> There is no systematic collection of</w:t>
      </w:r>
      <w:r w:rsidRPr="00C265EC" w:rsidDel="00F27495">
        <w:rPr>
          <w:lang w:eastAsia="en-GB"/>
        </w:rPr>
        <w:t xml:space="preserve"> </w:t>
      </w:r>
      <w:r w:rsidRPr="00C265EC">
        <w:rPr>
          <w:lang w:eastAsia="en-GB"/>
        </w:rPr>
        <w:t>disaggregated data to detect and design policies aimed at combating discrimination affecting migrant women.</w:t>
      </w:r>
    </w:p>
    <w:p w14:paraId="5B97047D" w14:textId="6E1325B0" w:rsidR="00C265EC" w:rsidRDefault="00C265EC" w:rsidP="00E124A7">
      <w:pPr>
        <w:pStyle w:val="RTBodyText"/>
        <w:rPr>
          <w:lang w:eastAsia="en-GB"/>
        </w:rPr>
      </w:pPr>
      <w:r w:rsidRPr="00C265EC">
        <w:rPr>
          <w:lang w:eastAsia="en-GB"/>
        </w:rPr>
        <w:t>Migrant women in an irregular situation who report sexual violence or gender-based violence in the context of intimate partner or ex-partner violence are at risk of deportation, if the perpetrators are not prosecuted and convicted in criminal proceedings.</w:t>
      </w:r>
      <w:r w:rsidRPr="00C265EC">
        <w:rPr>
          <w:vertAlign w:val="superscript"/>
          <w:lang w:eastAsia="en-GB"/>
        </w:rPr>
        <w:footnoteReference w:id="39"/>
      </w:r>
    </w:p>
    <w:p w14:paraId="0C4D0A3B" w14:textId="77777777" w:rsidR="00C265EC" w:rsidRPr="00C265EC" w:rsidRDefault="00C265EC" w:rsidP="00C265EC">
      <w:pPr>
        <w:pStyle w:val="RTBodyText"/>
        <w:rPr>
          <w:lang w:eastAsia="en-GB"/>
        </w:rPr>
      </w:pPr>
      <w:r w:rsidRPr="00C265EC">
        <w:rPr>
          <w:lang w:eastAsia="en-GB"/>
        </w:rPr>
        <w:t>Amnesty International recommends that Spain:</w:t>
      </w:r>
    </w:p>
    <w:p w14:paraId="2551E1D1" w14:textId="77777777" w:rsidR="00C265EC" w:rsidRPr="00C265EC" w:rsidRDefault="00C265EC" w:rsidP="00774FB3">
      <w:pPr>
        <w:pStyle w:val="RTBulletText"/>
        <w:rPr>
          <w:lang w:eastAsia="en-GB"/>
        </w:rPr>
      </w:pPr>
      <w:r w:rsidRPr="00C265EC">
        <w:rPr>
          <w:lang w:eastAsia="en-GB"/>
        </w:rPr>
        <w:t xml:space="preserve">Ensure the protection of victims of all forms of violence against women, including sexual violence, without discrimination on the basis of migration status. Ensure that immigration enforcement is clearly separated from protection of survivors of gender-based violence, and refrain from initiating sanctioning and deportation procedures for irregular stay when migrant women report gender-based violence. </w:t>
      </w:r>
    </w:p>
    <w:p w14:paraId="5150CDCB" w14:textId="77777777" w:rsidR="00C265EC" w:rsidRPr="00C265EC" w:rsidRDefault="00C265EC" w:rsidP="00774FB3">
      <w:pPr>
        <w:pStyle w:val="RTBulletText"/>
        <w:rPr>
          <w:lang w:eastAsia="en-GB"/>
        </w:rPr>
      </w:pPr>
      <w:r w:rsidRPr="00C265EC">
        <w:rPr>
          <w:lang w:eastAsia="en-GB"/>
        </w:rPr>
        <w:t>Ensure refugee and migrant women and girls survivors of gender-based violence receive adequate information and access to protection mechanisms without discrimination.</w:t>
      </w:r>
    </w:p>
    <w:p w14:paraId="58DD926C" w14:textId="77777777" w:rsidR="00C265EC" w:rsidRPr="00C265EC" w:rsidRDefault="00C265EC" w:rsidP="00C265EC">
      <w:pPr>
        <w:pStyle w:val="RTBodyText"/>
        <w:rPr>
          <w:b/>
          <w:bCs/>
          <w:lang w:eastAsia="en-GB"/>
        </w:rPr>
      </w:pPr>
    </w:p>
    <w:p w14:paraId="47471ADE" w14:textId="77777777" w:rsidR="00C265EC" w:rsidRPr="005E2055" w:rsidRDefault="00C265EC" w:rsidP="00E41772">
      <w:pPr>
        <w:pStyle w:val="RTTitlenonumbers"/>
      </w:pPr>
      <w:bookmarkStart w:id="34" w:name="_Toc132280866"/>
      <w:bookmarkStart w:id="35" w:name="_Toc132383180"/>
      <w:bookmarkStart w:id="36" w:name="_Toc132406574"/>
      <w:bookmarkStart w:id="37" w:name="_Toc132453617"/>
      <w:r w:rsidRPr="009C4F75">
        <w:t>Victims</w:t>
      </w:r>
      <w:r w:rsidRPr="005E2055">
        <w:t xml:space="preserve"> of Trafficking (Article 6, LOIPR paras. 11-12)</w:t>
      </w:r>
      <w:bookmarkEnd w:id="34"/>
      <w:bookmarkEnd w:id="35"/>
      <w:bookmarkEnd w:id="36"/>
      <w:bookmarkEnd w:id="37"/>
      <w:r w:rsidRPr="005E2055">
        <w:t xml:space="preserve">                       </w:t>
      </w:r>
    </w:p>
    <w:p w14:paraId="3521080F" w14:textId="4E8403ED" w:rsidR="00C265EC" w:rsidRDefault="00C265EC" w:rsidP="00E124A7">
      <w:pPr>
        <w:pStyle w:val="RTBodyText"/>
        <w:rPr>
          <w:lang w:eastAsia="en-GB"/>
        </w:rPr>
      </w:pPr>
      <w:r w:rsidRPr="00C265EC">
        <w:rPr>
          <w:lang w:eastAsia="en-GB"/>
        </w:rPr>
        <w:t xml:space="preserve">Authorities do not adequately identify trafficked migrant women. Between 2016 to 2020, only 28 girls and </w:t>
      </w:r>
      <w:r w:rsidR="00BE762A">
        <w:rPr>
          <w:lang w:eastAsia="en-GB"/>
        </w:rPr>
        <w:t>one</w:t>
      </w:r>
      <w:r w:rsidRPr="00C265EC">
        <w:rPr>
          <w:lang w:eastAsia="en-GB"/>
        </w:rPr>
        <w:t xml:space="preserve"> boy were identified as victims of trafficking. There are important shortcomings in the training of the agents involved in the identification of victims of trafficking.</w:t>
      </w:r>
      <w:r w:rsidRPr="00C265EC">
        <w:rPr>
          <w:vertAlign w:val="superscript"/>
          <w:lang w:eastAsia="en-GB"/>
        </w:rPr>
        <w:footnoteReference w:id="40"/>
      </w:r>
      <w:r w:rsidRPr="00C265EC">
        <w:rPr>
          <w:lang w:eastAsia="en-GB"/>
        </w:rPr>
        <w:t xml:space="preserve"> The police continue to make the victim's protection conditional on their cooperation in the investigation.</w:t>
      </w:r>
      <w:r w:rsidRPr="00C265EC">
        <w:rPr>
          <w:vertAlign w:val="superscript"/>
          <w:lang w:eastAsia="en-GB"/>
        </w:rPr>
        <w:footnoteReference w:id="41"/>
      </w:r>
      <w:r w:rsidRPr="00C265EC">
        <w:rPr>
          <w:lang w:eastAsia="en-GB"/>
        </w:rPr>
        <w:t xml:space="preserve"> Despite trafficking indicators and support reports by NGOs and the UNHCR, asylum authorities do not always admit those as grounds for international protection.</w:t>
      </w:r>
      <w:r w:rsidRPr="00C265EC">
        <w:rPr>
          <w:vertAlign w:val="superscript"/>
          <w:lang w:eastAsia="en-GB"/>
        </w:rPr>
        <w:footnoteReference w:id="42"/>
      </w:r>
      <w:r w:rsidRPr="00C265EC">
        <w:rPr>
          <w:lang w:eastAsia="en-GB"/>
        </w:rPr>
        <w:t xml:space="preserve">  </w:t>
      </w:r>
    </w:p>
    <w:p w14:paraId="3F9FBFDD" w14:textId="77777777" w:rsidR="00C265EC" w:rsidRPr="00C265EC" w:rsidRDefault="00C265EC" w:rsidP="00C265EC">
      <w:pPr>
        <w:pStyle w:val="RTBodyText"/>
        <w:rPr>
          <w:lang w:eastAsia="en-GB"/>
        </w:rPr>
      </w:pPr>
      <w:r w:rsidRPr="00C265EC">
        <w:rPr>
          <w:lang w:eastAsia="en-GB"/>
        </w:rPr>
        <w:t>Amnesty International recommends that Spain:</w:t>
      </w:r>
    </w:p>
    <w:p w14:paraId="3485DAF8" w14:textId="77777777" w:rsidR="00C265EC" w:rsidRPr="00C265EC" w:rsidRDefault="00C265EC" w:rsidP="00774FB3">
      <w:pPr>
        <w:pStyle w:val="RTBulletText"/>
        <w:rPr>
          <w:lang w:eastAsia="en-GB"/>
        </w:rPr>
      </w:pPr>
      <w:r w:rsidRPr="00C265EC">
        <w:rPr>
          <w:lang w:eastAsia="en-GB"/>
        </w:rPr>
        <w:t xml:space="preserve">Ensure a human rights, gender and child rights perspective are integrated in the detection and identification of potential victims of trafficking and their assistance and protection. </w:t>
      </w:r>
    </w:p>
    <w:p w14:paraId="0E2E265A" w14:textId="77777777" w:rsidR="00C265EC" w:rsidRDefault="00C265EC" w:rsidP="00774FB3">
      <w:pPr>
        <w:pStyle w:val="RTBulletText"/>
        <w:rPr>
          <w:lang w:eastAsia="en-GB"/>
        </w:rPr>
      </w:pPr>
      <w:r w:rsidRPr="00C265EC">
        <w:rPr>
          <w:lang w:eastAsia="en-GB"/>
        </w:rPr>
        <w:lastRenderedPageBreak/>
        <w:t>Refrain from conditioning the protection of victims of trafficking upon their collaboration with the police investigation of an alleged trafficking case.</w:t>
      </w:r>
    </w:p>
    <w:p w14:paraId="53EF9234" w14:textId="77777777" w:rsidR="00774FB3" w:rsidRPr="00774FB3" w:rsidRDefault="00774FB3" w:rsidP="00774FB3">
      <w:pPr>
        <w:pStyle w:val="RTBodyText"/>
        <w:rPr>
          <w:lang w:eastAsia="en-GB"/>
        </w:rPr>
      </w:pPr>
    </w:p>
    <w:p w14:paraId="1B81FE66" w14:textId="1CBA235E" w:rsidR="00C265EC" w:rsidRPr="00817F2C" w:rsidRDefault="00C265EC" w:rsidP="00E41772">
      <w:pPr>
        <w:pStyle w:val="RTTitlenonumbers"/>
      </w:pPr>
      <w:bookmarkStart w:id="38" w:name="_Toc131066094"/>
      <w:bookmarkStart w:id="39" w:name="_Toc132383182"/>
      <w:bookmarkStart w:id="40" w:name="_Toc132406576"/>
      <w:bookmarkStart w:id="41" w:name="_Toc132453618"/>
      <w:r w:rsidRPr="00817F2C">
        <w:t xml:space="preserve">Lack of </w:t>
      </w:r>
      <w:r w:rsidRPr="009C4F75">
        <w:t>disaggregated</w:t>
      </w:r>
      <w:r w:rsidRPr="00817F2C">
        <w:t xml:space="preserve"> data on evictions and their impacts on women: protection of the right to housing </w:t>
      </w:r>
      <w:bookmarkEnd w:id="38"/>
      <w:r w:rsidRPr="00817F2C">
        <w:t>(Article 2 and GR35)</w:t>
      </w:r>
      <w:bookmarkStart w:id="42" w:name="_Toc132280868"/>
      <w:bookmarkEnd w:id="39"/>
      <w:bookmarkEnd w:id="40"/>
      <w:bookmarkEnd w:id="42"/>
      <w:bookmarkEnd w:id="41"/>
    </w:p>
    <w:p w14:paraId="06728312" w14:textId="57B564F3" w:rsidR="00C265EC" w:rsidRPr="00C265EC" w:rsidRDefault="00C265EC" w:rsidP="00C265EC">
      <w:pPr>
        <w:pStyle w:val="RTBodyText"/>
        <w:rPr>
          <w:lang w:eastAsia="en-GB"/>
        </w:rPr>
      </w:pPr>
      <w:r w:rsidRPr="00C265EC">
        <w:rPr>
          <w:lang w:eastAsia="en-GB"/>
        </w:rPr>
        <w:t>In Spain, the 2007 housing crisis is still ongoing.</w:t>
      </w:r>
      <w:r w:rsidRPr="00C265EC">
        <w:rPr>
          <w:vertAlign w:val="superscript"/>
          <w:lang w:eastAsia="en-GB"/>
        </w:rPr>
        <w:footnoteReference w:id="43"/>
      </w:r>
      <w:r w:rsidRPr="00C265EC">
        <w:rPr>
          <w:lang w:eastAsia="en-GB"/>
        </w:rPr>
        <w:t xml:space="preserve"> Since 2020 there have been 109,032 evictions.</w:t>
      </w:r>
      <w:r w:rsidRPr="00C265EC">
        <w:rPr>
          <w:vertAlign w:val="superscript"/>
          <w:lang w:eastAsia="en-GB"/>
        </w:rPr>
        <w:footnoteReference w:id="44"/>
      </w:r>
      <w:r w:rsidRPr="00C265EC">
        <w:rPr>
          <w:lang w:eastAsia="en-GB"/>
        </w:rPr>
        <w:t xml:space="preserve"> Since 2016 the price of rental housing has risen by 54% on average</w:t>
      </w:r>
      <w:r w:rsidRPr="00C265EC">
        <w:rPr>
          <w:vertAlign w:val="superscript"/>
          <w:lang w:eastAsia="en-GB"/>
        </w:rPr>
        <w:footnoteReference w:id="45"/>
      </w:r>
      <w:r w:rsidR="006E60EA">
        <w:rPr>
          <w:lang w:eastAsia="en-GB"/>
        </w:rPr>
        <w:t>,</w:t>
      </w:r>
      <w:r w:rsidRPr="00C265EC">
        <w:rPr>
          <w:lang w:eastAsia="en-GB"/>
        </w:rPr>
        <w:t xml:space="preserve"> without a corresponding increase in wages and with virtually no social housing stock.</w:t>
      </w:r>
      <w:r w:rsidRPr="00C265EC">
        <w:rPr>
          <w:vertAlign w:val="superscript"/>
          <w:lang w:eastAsia="en-GB"/>
        </w:rPr>
        <w:footnoteReference w:id="46"/>
      </w:r>
      <w:r w:rsidRPr="00C265EC">
        <w:rPr>
          <w:lang w:eastAsia="en-GB"/>
        </w:rPr>
        <w:t xml:space="preserve"> This situation will inevitably lead to an increasing number of households living in precarious and inadequate housing and even homelessness. It is particularly significant where women are at greater risk of poverty (28.9% compared to 26% for men), and where 54,3%</w:t>
      </w:r>
      <w:r w:rsidRPr="00C265EC">
        <w:rPr>
          <w:vertAlign w:val="superscript"/>
          <w:lang w:eastAsia="en-GB"/>
        </w:rPr>
        <w:footnoteReference w:id="47"/>
      </w:r>
      <w:r w:rsidRPr="00C265EC">
        <w:rPr>
          <w:lang w:eastAsia="en-GB"/>
        </w:rPr>
        <w:t xml:space="preserve"> of single-parent households are headed by 81% by women.</w:t>
      </w:r>
      <w:r w:rsidRPr="00C265EC">
        <w:rPr>
          <w:vertAlign w:val="superscript"/>
          <w:lang w:eastAsia="en-GB"/>
        </w:rPr>
        <w:footnoteReference w:id="48"/>
      </w:r>
      <w:r w:rsidRPr="00C265EC">
        <w:rPr>
          <w:lang w:eastAsia="en-GB"/>
        </w:rPr>
        <w:t xml:space="preserve"> In this context, there is no disaggregated data to show how many women and households with women as the single parent have lost their homes due to rising rents or are living in inadequate housing.    </w:t>
      </w:r>
    </w:p>
    <w:p w14:paraId="3C3B81A8" w14:textId="32205237" w:rsidR="00C265EC" w:rsidRDefault="00C265EC" w:rsidP="00E124A7">
      <w:pPr>
        <w:pStyle w:val="RTBodyText"/>
        <w:rPr>
          <w:lang w:eastAsia="en-GB"/>
        </w:rPr>
      </w:pPr>
      <w:r w:rsidRPr="00C265EC">
        <w:rPr>
          <w:lang w:eastAsia="en-GB"/>
        </w:rPr>
        <w:t>The Government passed a bill on the right to housing in February 2022 that it is still under discussion in Parliament. The bill emphasizes that public authorities must guarantee gender equality,</w:t>
      </w:r>
      <w:r w:rsidRPr="00C265EC">
        <w:rPr>
          <w:vertAlign w:val="superscript"/>
          <w:lang w:eastAsia="en-GB"/>
        </w:rPr>
        <w:footnoteReference w:id="49"/>
      </w:r>
      <w:r w:rsidRPr="00C265EC">
        <w:rPr>
          <w:lang w:eastAsia="en-GB"/>
        </w:rPr>
        <w:t xml:space="preserve"> but it does not contain concrete provisions that guarantee women's right to housing without discrimination.</w:t>
      </w:r>
      <w:r w:rsidRPr="00C265EC">
        <w:rPr>
          <w:vertAlign w:val="superscript"/>
          <w:lang w:eastAsia="en-GB"/>
        </w:rPr>
        <w:footnoteReference w:id="50"/>
      </w:r>
      <w:r w:rsidRPr="00C265EC">
        <w:rPr>
          <w:lang w:eastAsia="en-GB"/>
        </w:rPr>
        <w:t xml:space="preserve"> It also establishes that courts may assess social vulnerability and may consider that women victims of gender-based violence may be affected.</w:t>
      </w:r>
      <w:r w:rsidRPr="00C265EC">
        <w:rPr>
          <w:vertAlign w:val="superscript"/>
          <w:lang w:eastAsia="en-GB"/>
        </w:rPr>
        <w:footnoteReference w:id="51"/>
      </w:r>
      <w:r w:rsidRPr="00C265EC">
        <w:rPr>
          <w:lang w:eastAsia="en-GB"/>
        </w:rPr>
        <w:t xml:space="preserve"> Although currently vulnerability is considered a ground to suspend an eviction,</w:t>
      </w:r>
      <w:r w:rsidRPr="00C265EC">
        <w:rPr>
          <w:vertAlign w:val="superscript"/>
          <w:lang w:eastAsia="en-GB"/>
        </w:rPr>
        <w:footnoteReference w:id="52"/>
      </w:r>
      <w:r w:rsidRPr="00C265EC">
        <w:rPr>
          <w:lang w:eastAsia="en-GB"/>
        </w:rPr>
        <w:t xml:space="preserve"> in order to adequately protect the right to housing, the bill must also require courts to consider whether evictions are reasonable and proportionate, especially since they could result in homelessness, as the United Nations Committee on Economic, Social and Cultural Rights has requested.</w:t>
      </w:r>
      <w:r w:rsidRPr="00C265EC">
        <w:rPr>
          <w:vertAlign w:val="superscript"/>
          <w:lang w:eastAsia="en-GB"/>
        </w:rPr>
        <w:footnoteReference w:id="53"/>
      </w:r>
      <w:r w:rsidRPr="00C265EC">
        <w:rPr>
          <w:lang w:eastAsia="en-GB"/>
        </w:rPr>
        <w:t xml:space="preserve"> </w:t>
      </w:r>
    </w:p>
    <w:p w14:paraId="134545CB" w14:textId="77777777" w:rsidR="00C265EC" w:rsidRPr="00C265EC" w:rsidRDefault="00C265EC" w:rsidP="00C265EC">
      <w:pPr>
        <w:pStyle w:val="RTBodyText"/>
        <w:rPr>
          <w:b/>
          <w:bCs/>
          <w:lang w:eastAsia="en-GB"/>
        </w:rPr>
      </w:pPr>
      <w:r w:rsidRPr="00C265EC">
        <w:rPr>
          <w:lang w:eastAsia="en-GB"/>
        </w:rPr>
        <w:t>Amnesty International recommends that Spain:</w:t>
      </w:r>
    </w:p>
    <w:p w14:paraId="20D60A92" w14:textId="77777777" w:rsidR="00C265EC" w:rsidRPr="00C265EC" w:rsidRDefault="00C265EC" w:rsidP="00C85C34">
      <w:pPr>
        <w:pStyle w:val="RTBulletText"/>
        <w:rPr>
          <w:lang w:eastAsia="en-GB"/>
        </w:rPr>
      </w:pPr>
      <w:r w:rsidRPr="00C265EC">
        <w:rPr>
          <w:lang w:eastAsia="en-GB"/>
        </w:rPr>
        <w:t>Adopt a housing law with a gender perspective that contains a price control system for rental housing, a judicial obligation to analyse the reasonableness and proportionality of an eviction and the obligation to increase the social housing stock.</w:t>
      </w:r>
    </w:p>
    <w:p w14:paraId="4E604919" w14:textId="4A254A69" w:rsidR="00C265EC" w:rsidRPr="00C265EC" w:rsidRDefault="00C265EC" w:rsidP="00C85C34">
      <w:pPr>
        <w:pStyle w:val="RTBulletText"/>
        <w:rPr>
          <w:lang w:eastAsia="en-GB"/>
        </w:rPr>
      </w:pPr>
      <w:r w:rsidRPr="00C265EC">
        <w:rPr>
          <w:lang w:eastAsia="en-GB"/>
        </w:rPr>
        <w:t>Collect disaggregated data including according to the gender on the impacts of cost-of-living crisis on access to adequate and affordable housing</w:t>
      </w:r>
      <w:r w:rsidR="00C85C34">
        <w:rPr>
          <w:lang w:eastAsia="en-GB"/>
        </w:rPr>
        <w:t>.</w:t>
      </w:r>
    </w:p>
    <w:p w14:paraId="1019EB4D" w14:textId="0BDBAAA4" w:rsidR="00516EB4" w:rsidRDefault="00C265EC" w:rsidP="00D27ABF">
      <w:pPr>
        <w:pStyle w:val="RTBulletText"/>
        <w:rPr>
          <w:lang w:eastAsia="en-GB"/>
        </w:rPr>
        <w:sectPr w:rsidR="00516EB4" w:rsidSect="00E64E6F">
          <w:pgSz w:w="11900" w:h="16840"/>
          <w:pgMar w:top="1474" w:right="1814" w:bottom="1985" w:left="1814" w:header="709" w:footer="851" w:gutter="0"/>
          <w:cols w:space="708"/>
          <w:docGrid w:linePitch="360"/>
        </w:sectPr>
      </w:pPr>
      <w:r w:rsidRPr="00C265EC">
        <w:rPr>
          <w:lang w:eastAsia="en-GB"/>
        </w:rPr>
        <w:t>Ensure that the law on the right to housing has clear commitments to address discrimination including gender-based discrimination in access to housing; ensure that housing including rental housing is truly affordable; and build more social housing stock</w:t>
      </w:r>
      <w:r w:rsidR="00C85C34">
        <w:rPr>
          <w:lang w:eastAsia="en-GB"/>
        </w:rPr>
        <w:t>.</w:t>
      </w:r>
    </w:p>
    <w:p w14:paraId="5F3080AC" w14:textId="77777777" w:rsidR="000C4DE6" w:rsidRDefault="000C4DE6" w:rsidP="00E20D98">
      <w:pPr>
        <w:pStyle w:val="RTBodyText"/>
        <w:sectPr w:rsidR="000C4DE6" w:rsidSect="00E64E6F">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24A413C" w14:textId="77777777" w:rsidTr="00943638">
        <w:trPr>
          <w:trHeight w:val="4317"/>
        </w:trPr>
        <w:tc>
          <w:tcPr>
            <w:tcW w:w="8132" w:type="dxa"/>
          </w:tcPr>
          <w:p w14:paraId="62C53334"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35B5717D" w14:textId="77777777" w:rsidR="00186842" w:rsidRDefault="00186842" w:rsidP="00E20D98">
      <w:pPr>
        <w:pStyle w:val="RTBodyText"/>
      </w:pPr>
    </w:p>
    <w:p w14:paraId="0CCFA852" w14:textId="77777777" w:rsidR="00186842" w:rsidRPr="00F176CA" w:rsidRDefault="00186842" w:rsidP="00F176CA">
      <w:r w:rsidRPr="00F176CA">
        <w:br w:type="page"/>
      </w:r>
    </w:p>
    <w:p w14:paraId="15791873" w14:textId="77777777" w:rsidR="00186842" w:rsidRPr="009A517C" w:rsidRDefault="00FF33F9" w:rsidP="00F176CA">
      <w:pPr>
        <w:pStyle w:val="RTHighlightedHeading"/>
      </w:pPr>
      <w:r w:rsidRPr="00FF33F9">
        <w:rPr>
          <w:rStyle w:val="RTHighlightedtext"/>
          <w:noProof/>
          <w:lang w:val="es-ES" w:eastAsia="es-ES"/>
        </w:rPr>
        <w:lastRenderedPageBreak/>
        <mc:AlternateContent>
          <mc:Choice Requires="wps">
            <w:drawing>
              <wp:anchor distT="45720" distB="45720" distL="114300" distR="114300" simplePos="0" relativeHeight="251658240" behindDoc="0" locked="0" layoutInCell="1" allowOverlap="1" wp14:anchorId="2103A9D7" wp14:editId="249755AE">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B217A16" w14:textId="1177E6D7"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F9742F">
                              <w:rPr>
                                <w:rStyle w:val="RTHighlightedtext"/>
                                <w:rFonts w:ascii="Amnesty Trade Gothic Cn" w:hAnsi="Amnesty Trade Gothic Cn"/>
                                <w:b/>
                                <w:bCs/>
                                <w:caps/>
                                <w:sz w:val="56"/>
                                <w:szCs w:val="56"/>
                              </w:rPr>
                              <w:t>SPAIN</w:t>
                            </w:r>
                          </w:p>
                          <w:p w14:paraId="5F8770E1" w14:textId="77777777" w:rsidR="00956F15" w:rsidRPr="00062A4E" w:rsidRDefault="00956F15" w:rsidP="00956F15">
                            <w:pPr>
                              <w:rPr>
                                <w:rFonts w:ascii="Amnesty Trade Gothic Cn" w:hAnsi="Amnesty Trade Gothic Cn"/>
                                <w:caps/>
                                <w:sz w:val="28"/>
                                <w:szCs w:val="28"/>
                                <w:lang w:val="en-GB"/>
                              </w:rPr>
                            </w:pPr>
                            <w:r w:rsidRPr="00062A4E">
                              <w:rPr>
                                <w:rFonts w:ascii="Amnesty Trade Gothic Cn" w:hAnsi="Amnesty Trade Gothic Cn"/>
                                <w:caps/>
                                <w:sz w:val="28"/>
                                <w:szCs w:val="28"/>
                                <w:lang w:val="en-GB"/>
                              </w:rPr>
                              <w:t>SUBMISSION THE UN COMMITTEE ON THE ELIMINATION OF DISCRIMINATION AGAINST WOMEN</w:t>
                            </w:r>
                          </w:p>
                          <w:p w14:paraId="6A0242EC" w14:textId="3D88EC00" w:rsidR="00956F15" w:rsidRPr="00CE7A4C" w:rsidRDefault="00956F15" w:rsidP="00956F15">
                            <w:pPr>
                              <w:rPr>
                                <w:rFonts w:ascii="Amnesty Trade Gothic Cn" w:hAnsi="Amnesty Trade Gothic Cn"/>
                                <w:caps/>
                                <w:sz w:val="28"/>
                                <w:szCs w:val="28"/>
                                <w:lang w:val="en-GB"/>
                              </w:rPr>
                            </w:pPr>
                            <w:r w:rsidRPr="00CE7A4C">
                              <w:rPr>
                                <w:rFonts w:ascii="Amnesty Trade Gothic Cn" w:hAnsi="Amnesty Trade Gothic Cn"/>
                                <w:caps/>
                                <w:sz w:val="28"/>
                                <w:szCs w:val="28"/>
                                <w:lang w:val="en-GB"/>
                              </w:rPr>
                              <w:t>85</w:t>
                            </w:r>
                            <w:r w:rsidRPr="00CE7A4C">
                              <w:rPr>
                                <w:rFonts w:ascii="Amnesty Trade Gothic Cn" w:hAnsi="Amnesty Trade Gothic Cn"/>
                                <w:caps/>
                                <w:sz w:val="28"/>
                                <w:szCs w:val="28"/>
                                <w:vertAlign w:val="superscript"/>
                                <w:lang w:val="en-GB"/>
                              </w:rPr>
                              <w:t>th</w:t>
                            </w:r>
                            <w:r w:rsidRPr="00CE7A4C">
                              <w:rPr>
                                <w:rFonts w:ascii="Amnesty Trade Gothic Cn" w:hAnsi="Amnesty Trade Gothic Cn"/>
                                <w:caps/>
                                <w:sz w:val="28"/>
                                <w:szCs w:val="28"/>
                                <w:lang w:val="en-GB"/>
                              </w:rPr>
                              <w:t xml:space="preserve"> SESSION, 8 - 26 May 2023</w:t>
                            </w:r>
                          </w:p>
                          <w:p w14:paraId="382D4DC5" w14:textId="77777777" w:rsidR="00956F15" w:rsidRDefault="00956F15" w:rsidP="00956F15">
                            <w:pPr>
                              <w:rPr>
                                <w:rFonts w:asciiTheme="minorHAnsi" w:hAnsiTheme="minorHAnsi"/>
                                <w:sz w:val="24"/>
                                <w:szCs w:val="24"/>
                                <w:lang w:val="en-GB"/>
                              </w:rPr>
                            </w:pPr>
                          </w:p>
                          <w:p w14:paraId="7D26D375" w14:textId="3D55FE05" w:rsidR="008F39BD" w:rsidRPr="001903FA" w:rsidRDefault="00214655" w:rsidP="00214655">
                            <w:pPr>
                              <w:rPr>
                                <w:rFonts w:asciiTheme="minorHAnsi" w:hAnsiTheme="minorHAnsi"/>
                                <w:sz w:val="24"/>
                                <w:szCs w:val="24"/>
                                <w:lang w:val="en-GB"/>
                              </w:rPr>
                            </w:pPr>
                            <w:r w:rsidRPr="00214655">
                              <w:rPr>
                                <w:rFonts w:asciiTheme="minorHAnsi" w:hAnsiTheme="minorHAnsi"/>
                                <w:sz w:val="24"/>
                                <w:szCs w:val="24"/>
                              </w:rPr>
                              <w:t>Amnesty International presents this submission in advance of the review of Spain’s ninth periodic report on measures taken to implement the Convention on the Elimination of All Forms of Discrimination against Women (the Convention) in May 2023. The submission focuses on sexual and gender-based violence, including barriers to justice as well as discrimination against migrant and refugee women, including victims of trafficking and lack of protection of the right to adequate housing. It should not be seen as an exhaustive account of the organization’s concerns on the wider topic of discrimination against women.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03A9D7"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" strokecolor="white [3212]">
                <v:textbox>
                  <w:txbxContent>
                    <w:p w14:paraId="6B217A16" w14:textId="1177E6D7"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F9742F">
                        <w:rPr>
                          <w:rStyle w:val="RTHighlightedtext"/>
                          <w:rFonts w:ascii="Amnesty Trade Gothic Cn" w:hAnsi="Amnesty Trade Gothic Cn"/>
                          <w:b/>
                          <w:bCs/>
                          <w:caps/>
                          <w:sz w:val="56"/>
                          <w:szCs w:val="56"/>
                        </w:rPr>
                        <w:t>SPAIN</w:t>
                      </w:r>
                    </w:p>
                    <w:p w14:paraId="5F8770E1" w14:textId="77777777" w:rsidR="00956F15" w:rsidRPr="00062A4E" w:rsidRDefault="00956F15" w:rsidP="00956F15">
                      <w:pPr>
                        <w:rPr>
                          <w:rFonts w:ascii="Amnesty Trade Gothic Cn" w:hAnsi="Amnesty Trade Gothic Cn"/>
                          <w:caps/>
                          <w:sz w:val="28"/>
                          <w:szCs w:val="28"/>
                          <w:lang w:val="en-GB"/>
                        </w:rPr>
                      </w:pPr>
                      <w:r w:rsidRPr="00062A4E">
                        <w:rPr>
                          <w:rFonts w:ascii="Amnesty Trade Gothic Cn" w:hAnsi="Amnesty Trade Gothic Cn"/>
                          <w:caps/>
                          <w:sz w:val="28"/>
                          <w:szCs w:val="28"/>
                          <w:lang w:val="en-GB"/>
                        </w:rPr>
                        <w:t>SUBMISSION THE UN COMMITTEE ON THE ELIMINATION OF DISCRIMINATION AGAINST WOMEN</w:t>
                      </w:r>
                    </w:p>
                    <w:p w14:paraId="6A0242EC" w14:textId="3D88EC00" w:rsidR="00956F15" w:rsidRPr="00CE7A4C" w:rsidRDefault="00956F15" w:rsidP="00956F15">
                      <w:pPr>
                        <w:rPr>
                          <w:rFonts w:ascii="Amnesty Trade Gothic Cn" w:hAnsi="Amnesty Trade Gothic Cn"/>
                          <w:caps/>
                          <w:sz w:val="28"/>
                          <w:szCs w:val="28"/>
                          <w:lang w:val="en-GB"/>
                        </w:rPr>
                      </w:pPr>
                      <w:r w:rsidRPr="00CE7A4C">
                        <w:rPr>
                          <w:rFonts w:ascii="Amnesty Trade Gothic Cn" w:hAnsi="Amnesty Trade Gothic Cn"/>
                          <w:caps/>
                          <w:sz w:val="28"/>
                          <w:szCs w:val="28"/>
                          <w:lang w:val="en-GB"/>
                        </w:rPr>
                        <w:t>85</w:t>
                      </w:r>
                      <w:r w:rsidRPr="00CE7A4C">
                        <w:rPr>
                          <w:rFonts w:ascii="Amnesty Trade Gothic Cn" w:hAnsi="Amnesty Trade Gothic Cn"/>
                          <w:caps/>
                          <w:sz w:val="28"/>
                          <w:szCs w:val="28"/>
                          <w:vertAlign w:val="superscript"/>
                          <w:lang w:val="en-GB"/>
                        </w:rPr>
                        <w:t>th</w:t>
                      </w:r>
                      <w:r w:rsidRPr="00CE7A4C">
                        <w:rPr>
                          <w:rFonts w:ascii="Amnesty Trade Gothic Cn" w:hAnsi="Amnesty Trade Gothic Cn"/>
                          <w:caps/>
                          <w:sz w:val="28"/>
                          <w:szCs w:val="28"/>
                          <w:lang w:val="en-GB"/>
                        </w:rPr>
                        <w:t xml:space="preserve"> SESSION, 8 - 26 May 2023</w:t>
                      </w:r>
                    </w:p>
                    <w:p w14:paraId="382D4DC5" w14:textId="77777777" w:rsidR="00956F15" w:rsidRDefault="00956F15" w:rsidP="00956F15">
                      <w:pPr>
                        <w:rPr>
                          <w:rFonts w:asciiTheme="minorHAnsi" w:hAnsiTheme="minorHAnsi"/>
                          <w:sz w:val="24"/>
                          <w:szCs w:val="24"/>
                          <w:lang w:val="en-GB"/>
                        </w:rPr>
                      </w:pPr>
                    </w:p>
                    <w:p w14:paraId="7D26D375" w14:textId="3D55FE05" w:rsidR="008F39BD" w:rsidRPr="001903FA" w:rsidRDefault="00214655" w:rsidP="00214655">
                      <w:pPr>
                        <w:rPr>
                          <w:rFonts w:asciiTheme="minorHAnsi" w:hAnsiTheme="minorHAnsi"/>
                          <w:sz w:val="24"/>
                          <w:szCs w:val="24"/>
                          <w:lang w:val="en-GB"/>
                        </w:rPr>
                      </w:pPr>
                      <w:r w:rsidRPr="00214655">
                        <w:rPr>
                          <w:rFonts w:asciiTheme="minorHAnsi" w:hAnsiTheme="minorHAnsi"/>
                          <w:sz w:val="24"/>
                          <w:szCs w:val="24"/>
                        </w:rPr>
                        <w:t>Amnesty International presents this submission in advance of the review of Spain’s ninth periodic report on measures taken to implement the Convention on the Elimination of All Forms of Discrimination against Women (the Convention) in May 2023. The submission focuses on sexual and gender-based violence, including barriers to justice as well as discrimination against migrant and refugee women, including victims of trafficking and lack of protection of the right to adequate housing. It should not be seen as an exhaustive account of the organization’s concerns on the wider topic of discrimination against women.</w:t>
                      </w:r>
                    </w:p>
                  </w:txbxContent>
                </v:textbox>
                <w10:wrap type="square"/>
              </v:shape>
            </w:pict>
          </mc:Fallback>
        </mc:AlternateContent>
      </w:r>
    </w:p>
    <w:sectPr w:rsidR="00186842" w:rsidRPr="009A517C" w:rsidSect="009A517C">
      <w:footerReference w:type="default" r:id="rId16"/>
      <w:footerReference w:type="first" r:id="rId17"/>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79F21" w14:textId="77777777" w:rsidR="00330C9F" w:rsidRDefault="00330C9F" w:rsidP="00AE5E82">
      <w:r>
        <w:separator/>
      </w:r>
    </w:p>
  </w:endnote>
  <w:endnote w:type="continuationSeparator" w:id="0">
    <w:p w14:paraId="6BCEEF79" w14:textId="77777777" w:rsidR="00330C9F" w:rsidRDefault="00330C9F" w:rsidP="00AE5E82">
      <w:r>
        <w:continuationSeparator/>
      </w:r>
    </w:p>
  </w:endnote>
  <w:endnote w:type="continuationNotice" w:id="1">
    <w:p w14:paraId="50B15F32" w14:textId="77777777" w:rsidR="00330C9F" w:rsidRDefault="00330C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Segoe UI Symbol"/>
    <w:panose1 w:val="020B0604020202020204"/>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Segoe Script"/>
    <w:panose1 w:val="020B0403040303090004"/>
    <w:charset w:val="4D"/>
    <w:family w:val="swiss"/>
    <w:pitch w:val="variable"/>
    <w:sig w:usb0="800000AF" w:usb1="5000204A" w:usb2="00000000" w:usb3="00000000" w:csb0="0000009B" w:csb1="00000000"/>
  </w:font>
  <w:font w:name="Amnesty Trade Gothic Cn">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2040503050201020203"/>
    <w:charset w:val="4D"/>
    <w:family w:val="auto"/>
    <w:notTrueType/>
    <w:pitch w:val="default"/>
    <w:sig w:usb0="00000003" w:usb1="00000000" w:usb2="00000000" w:usb3="00000000" w:csb0="00000001" w:csb1="00000000"/>
  </w:font>
  <w:font w:name="AmnestyTradeGothic-Light">
    <w:altName w:val="Amnesty Trade Gothic Light"/>
    <w:panose1 w:val="020B0403040303020004"/>
    <w:charset w:val="4D"/>
    <w:family w:val="swiss"/>
    <w:notTrueType/>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Helvetica">
    <w:panose1 w:val="00000000000000000000"/>
    <w:charset w:val="00"/>
    <w:family w:val="swiss"/>
    <w:notTrueType/>
    <w:pitch w:val="variable"/>
    <w:sig w:usb0="00000003" w:usb1="00000000" w:usb2="00000000" w:usb3="00000000" w:csb0="00000001" w:csb1="00000000"/>
  </w:font>
  <w:font w:name="AmnestyTradeGothic-BdCn20">
    <w:altName w:val="Amnesty Trade Gothic Cn"/>
    <w:panose1 w:val="020B0806040303020004"/>
    <w:charset w:val="4D"/>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Oswald">
    <w:panose1 w:val="00000500000000000000"/>
    <w:charset w:val="00"/>
    <w:family w:val="auto"/>
    <w:pitch w:val="variable"/>
    <w:sig w:usb0="2000020F" w:usb1="00000000"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44B85D80" w14:textId="77777777" w:rsidTr="00847491">
      <w:trPr>
        <w:trHeight w:val="2414"/>
      </w:trPr>
      <w:tc>
        <w:tcPr>
          <w:tcW w:w="5277" w:type="dxa"/>
          <w:gridSpan w:val="2"/>
          <w:tcMar>
            <w:right w:w="397" w:type="dxa"/>
          </w:tcMar>
          <w:vAlign w:val="bottom"/>
        </w:tcPr>
        <w:p w14:paraId="171A8038" w14:textId="7C45F3A0" w:rsidR="008F39BD" w:rsidRPr="007F6F2D" w:rsidRDefault="008F39BD" w:rsidP="00847491">
          <w:pPr>
            <w:pStyle w:val="RTCaptionText"/>
            <w:rPr>
              <w:rFonts w:cs="Helvetica"/>
              <w:i w:val="0"/>
            </w:rPr>
          </w:pPr>
          <w:r>
            <w:rPr>
              <w:i w:val="0"/>
            </w:rPr>
            <w:t>© Amnesty International 20</w:t>
          </w:r>
          <w:r w:rsidR="00D614AE">
            <w:rPr>
              <w:i w:val="0"/>
            </w:rPr>
            <w:t>2</w:t>
          </w:r>
          <w:r w:rsidR="00F9742F">
            <w:rPr>
              <w:i w:val="0"/>
            </w:rPr>
            <w:t>3</w:t>
          </w:r>
        </w:p>
        <w:p w14:paraId="6EB5B171" w14:textId="77777777" w:rsidR="008F39BD" w:rsidRPr="007F6F2D" w:rsidRDefault="008F39BD"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4B6538BB"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r>
          <w:r w:rsidRPr="007F6F2D">
            <w:rPr>
              <w:i w:val="0"/>
              <w:color w:val="0000FF"/>
              <w:u w:val="single" w:color="0000FF"/>
            </w:rPr>
            <w:fldChar w:fldCharType="separate"/>
          </w:r>
          <w:r w:rsidRPr="007F6F2D">
            <w:rPr>
              <w:i w:val="0"/>
              <w:u w:color="0000FF"/>
            </w:rPr>
            <w:t>https://creativecommons.org/licenses/by-nc-nd/4.0/legalcode</w:t>
          </w:r>
        </w:p>
        <w:p w14:paraId="053E415E"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w:t>
          </w:r>
          <w:proofErr w:type="gramStart"/>
          <w:r w:rsidRPr="007F6F2D">
            <w:rPr>
              <w:i w:val="0"/>
            </w:rPr>
            <w:t>information</w:t>
          </w:r>
          <w:proofErr w:type="gramEnd"/>
          <w:r w:rsidRPr="007F6F2D">
            <w:rPr>
              <w:i w:val="0"/>
            </w:rPr>
            <w:t xml:space="preserve"> please visit the permissions page on our website: </w:t>
          </w:r>
          <w:hyperlink r:id="rId1" w:history="1">
            <w:r w:rsidRPr="007F6F2D">
              <w:rPr>
                <w:i w:val="0"/>
              </w:rPr>
              <w:t>www.amnesty.org</w:t>
            </w:r>
          </w:hyperlink>
        </w:p>
        <w:p w14:paraId="405E680C"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00CA7758" w14:textId="77777777" w:rsidR="008F39BD" w:rsidRDefault="008F39BD" w:rsidP="00847491">
          <w:pPr>
            <w:pStyle w:val="RTCaptionText"/>
          </w:pPr>
        </w:p>
        <w:p w14:paraId="72511C6B" w14:textId="77777777" w:rsidR="008F39BD" w:rsidRPr="003911AE" w:rsidRDefault="008F39BD" w:rsidP="00847491"/>
        <w:p w14:paraId="2CBC3095" w14:textId="77777777" w:rsidR="008F39BD" w:rsidRDefault="008F39BD" w:rsidP="00847491"/>
        <w:p w14:paraId="4AA07EF3" w14:textId="77777777" w:rsidR="008F39BD" w:rsidRPr="003911AE" w:rsidRDefault="008F39BD" w:rsidP="00847491"/>
        <w:p w14:paraId="0A32FA4F" w14:textId="77777777" w:rsidR="008F39BD" w:rsidRPr="003911AE" w:rsidRDefault="008F39BD" w:rsidP="00847491"/>
        <w:p w14:paraId="60B96DDB" w14:textId="77777777" w:rsidR="008F39BD" w:rsidRPr="003911AE" w:rsidRDefault="008F39BD" w:rsidP="00847491">
          <w:pPr>
            <w:pStyle w:val="RTCaptionText"/>
          </w:pPr>
        </w:p>
      </w:tc>
    </w:tr>
    <w:tr w:rsidR="008F39BD" w14:paraId="7A8A09F2" w14:textId="77777777" w:rsidTr="00847491">
      <w:tc>
        <w:tcPr>
          <w:tcW w:w="2694" w:type="dxa"/>
          <w:vAlign w:val="bottom"/>
        </w:tcPr>
        <w:p w14:paraId="6FE7C366" w14:textId="77AF5401" w:rsidR="008F39BD" w:rsidRDefault="008F39BD" w:rsidP="00847491">
          <w:pPr>
            <w:pStyle w:val="RTCaptionText"/>
            <w:rPr>
              <w:i w:val="0"/>
            </w:rPr>
          </w:pPr>
          <w:r w:rsidRPr="007F6F2D">
            <w:rPr>
              <w:i w:val="0"/>
            </w:rPr>
            <w:t xml:space="preserve">First published </w:t>
          </w:r>
          <w:r>
            <w:rPr>
              <w:i w:val="0"/>
            </w:rPr>
            <w:t>in 20</w:t>
          </w:r>
          <w:r w:rsidR="00D614AE">
            <w:rPr>
              <w:i w:val="0"/>
            </w:rPr>
            <w:t>2</w:t>
          </w:r>
          <w:r w:rsidR="00F9742F">
            <w:rPr>
              <w:i w:val="0"/>
            </w:rPr>
            <w:t>3</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29402055" w14:textId="77777777" w:rsidR="008F39BD" w:rsidRDefault="008F39BD" w:rsidP="00847491">
          <w:pPr>
            <w:pStyle w:val="RTCaptionText"/>
            <w:rPr>
              <w:i w:val="0"/>
            </w:rPr>
          </w:pPr>
        </w:p>
        <w:p w14:paraId="1C253586" w14:textId="1F94D474" w:rsidR="008F39BD" w:rsidRPr="00EA7215" w:rsidRDefault="008F39BD" w:rsidP="00847491">
          <w:pPr>
            <w:pStyle w:val="RTCaptionText"/>
            <w:rPr>
              <w:i w:val="0"/>
              <w:sz w:val="18"/>
              <w:szCs w:val="18"/>
            </w:rPr>
          </w:pPr>
          <w:r>
            <w:rPr>
              <w:b/>
              <w:i w:val="0"/>
              <w:sz w:val="18"/>
              <w:szCs w:val="18"/>
            </w:rPr>
            <w:t xml:space="preserve">Index: </w:t>
          </w:r>
          <w:r w:rsidR="00F9742F" w:rsidRPr="00F9742F">
            <w:rPr>
              <w:b/>
              <w:bCs/>
              <w:i w:val="0"/>
              <w:sz w:val="18"/>
              <w:szCs w:val="18"/>
            </w:rPr>
            <w:t>EUR 41/6683/2023</w:t>
          </w:r>
          <w:r w:rsidRPr="00EA7215">
            <w:rPr>
              <w:b/>
              <w:i w:val="0"/>
              <w:sz w:val="18"/>
              <w:szCs w:val="18"/>
            </w:rPr>
            <w:br/>
            <w:t>Original language: English</w:t>
          </w:r>
        </w:p>
      </w:tc>
      <w:tc>
        <w:tcPr>
          <w:tcW w:w="2583" w:type="dxa"/>
          <w:vAlign w:val="bottom"/>
        </w:tcPr>
        <w:p w14:paraId="5A830495" w14:textId="77777777" w:rsidR="008F39BD" w:rsidRPr="007F6F2D" w:rsidRDefault="008F39BD" w:rsidP="00847491">
          <w:pPr>
            <w:pStyle w:val="RTCaptionText"/>
            <w:rPr>
              <w:b/>
              <w:i w:val="0"/>
            </w:rPr>
          </w:pPr>
          <w:r w:rsidRPr="007F6F2D">
            <w:rPr>
              <w:b/>
              <w:i w:val="0"/>
            </w:rPr>
            <w:br/>
          </w:r>
        </w:p>
      </w:tc>
      <w:tc>
        <w:tcPr>
          <w:tcW w:w="5147" w:type="dxa"/>
          <w:vAlign w:val="bottom"/>
        </w:tcPr>
        <w:p w14:paraId="6F53BD17" w14:textId="4FE4CD0A" w:rsidR="008F39BD" w:rsidRPr="00886391" w:rsidRDefault="00F9742F" w:rsidP="00847491">
          <w:pPr>
            <w:pStyle w:val="Footer"/>
            <w:tabs>
              <w:tab w:val="left" w:pos="880"/>
            </w:tabs>
            <w:spacing w:line="240" w:lineRule="exact"/>
            <w:rPr>
              <w:rFonts w:ascii="Amnesty Trade Gothic Cn" w:hAnsi="Amnesty Trade Gothic Cn" w:cs="AmnestyTradeGothic-BdCn20"/>
              <w:bCs/>
              <w:szCs w:val="16"/>
            </w:rPr>
          </w:pPr>
          <w:r>
            <w:rPr>
              <w:noProof/>
              <w:lang w:val="es-ES" w:eastAsia="es-ES"/>
            </w:rPr>
            <w:drawing>
              <wp:anchor distT="0" distB="0" distL="114300" distR="114300" simplePos="0" relativeHeight="251658240" behindDoc="1" locked="0" layoutInCell="1" allowOverlap="1" wp14:anchorId="6029BF9E" wp14:editId="06E5BB44">
                <wp:simplePos x="0" y="0"/>
                <wp:positionH relativeFrom="column">
                  <wp:posOffset>1336675</wp:posOffset>
                </wp:positionH>
                <wp:positionV relativeFrom="paragraph">
                  <wp:posOffset>417830</wp:posOffset>
                </wp:positionV>
                <wp:extent cx="1468755" cy="626110"/>
                <wp:effectExtent l="0" t="0" r="0" b="0"/>
                <wp:wrapNone/>
                <wp:docPr id="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
                          <a:extLst>
                            <a:ext uri="{28A0092B-C50C-407E-A947-70E740481C1C}">
                              <a14:useLocalDpi xmlns:a14="http://schemas.microsoft.com/office/drawing/2010/main" val="0"/>
                            </a:ext>
                          </a:extLst>
                        </a:blip>
                        <a:stretch>
                          <a:fillRect/>
                        </a:stretch>
                      </pic:blipFill>
                      <pic:spPr>
                        <a:xfrm>
                          <a:off x="0" y="0"/>
                          <a:ext cx="1468755" cy="626110"/>
                        </a:xfrm>
                        <a:prstGeom prst="rect">
                          <a:avLst/>
                        </a:prstGeom>
                      </pic:spPr>
                    </pic:pic>
                  </a:graphicData>
                </a:graphic>
                <wp14:sizeRelH relativeFrom="page">
                  <wp14:pctWidth>0</wp14:pctWidth>
                </wp14:sizeRelH>
                <wp14:sizeRelV relativeFrom="page">
                  <wp14:pctHeight>0</wp14:pctHeight>
                </wp14:sizeRelV>
              </wp:anchor>
            </w:drawing>
          </w:r>
        </w:p>
      </w:tc>
    </w:tr>
    <w:tr w:rsidR="008F39BD" w14:paraId="22AA8EEC" w14:textId="77777777" w:rsidTr="00847491">
      <w:trPr>
        <w:trHeight w:val="412"/>
      </w:trPr>
      <w:tc>
        <w:tcPr>
          <w:tcW w:w="10424" w:type="dxa"/>
          <w:gridSpan w:val="3"/>
          <w:vAlign w:val="bottom"/>
        </w:tcPr>
        <w:p w14:paraId="1CAC8D04" w14:textId="5520718D" w:rsidR="008F39BD" w:rsidRDefault="008F39BD" w:rsidP="00847491">
          <w:pPr>
            <w:pStyle w:val="RTAmnestywebaddress"/>
          </w:pPr>
          <w:r>
            <w:t>a</w:t>
          </w:r>
          <w:r w:rsidRPr="00222A74">
            <w:t>mnesty.org</w:t>
          </w:r>
        </w:p>
      </w:tc>
    </w:tr>
  </w:tbl>
  <w:p w14:paraId="0439BD9E" w14:textId="77777777" w:rsidR="008F39BD" w:rsidRPr="00B179F3" w:rsidRDefault="008F39BD" w:rsidP="00290B00">
    <w:pPr>
      <w:pStyle w:val="Footer"/>
      <w:tabs>
        <w:tab w:val="left" w:pos="880"/>
      </w:tabs>
    </w:pPr>
  </w:p>
  <w:p w14:paraId="362C0D9F" w14:textId="36009870" w:rsidR="008F39BD" w:rsidRPr="00552CB7" w:rsidRDefault="008F39BD" w:rsidP="00552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5C49" w14:textId="77777777" w:rsidR="008F39BD" w:rsidRPr="00CB0FBD" w:rsidRDefault="008F39BD" w:rsidP="00CB0FBD">
    <w:r w:rsidRPr="00CB0FBD">
      <w:rPr>
        <w:noProof/>
        <w:lang w:val="es-ES" w:eastAsia="es-ES"/>
      </w:rPr>
      <w:drawing>
        <wp:anchor distT="0" distB="0" distL="114300" distR="114300" simplePos="0" relativeHeight="251660292" behindDoc="1" locked="1" layoutInCell="1" allowOverlap="1" wp14:anchorId="371518FF" wp14:editId="3F6CC6C1">
          <wp:simplePos x="0" y="0"/>
          <wp:positionH relativeFrom="page">
            <wp:posOffset>5584190</wp:posOffset>
          </wp:positionH>
          <wp:positionV relativeFrom="page">
            <wp:posOffset>9545955</wp:posOffset>
          </wp:positionV>
          <wp:extent cx="1468755" cy="624840"/>
          <wp:effectExtent l="0" t="0" r="4445" b="10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548171E" w14:textId="77777777" w:rsidR="008F39BD" w:rsidRPr="00CB0FBD" w:rsidRDefault="008F39BD" w:rsidP="00CB0FBD"/>
  <w:p w14:paraId="09AB8F07" w14:textId="77777777" w:rsidR="008F39BD" w:rsidRPr="00CB0FBD" w:rsidRDefault="008F39BD" w:rsidP="00CB0FBD"/>
  <w:p w14:paraId="159AAAB4"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C42AB" w14:textId="0DB7C153" w:rsidR="008F39BD" w:rsidRPr="00914551" w:rsidRDefault="008F39BD" w:rsidP="00914551">
    <w:pPr>
      <w:pStyle w:val="RTAmnestyfooter"/>
    </w:pPr>
    <w:r w:rsidRPr="00914551">
      <w:tab/>
    </w:r>
    <w:r>
      <w:fldChar w:fldCharType="begin"/>
    </w:r>
    <w:r>
      <w:instrText xml:space="preserve"> PAGE  \* Arabic  \* MERGEFORMAT </w:instrText>
    </w:r>
    <w:r>
      <w:fldChar w:fldCharType="separate"/>
    </w:r>
    <w:r w:rsidR="00176A58">
      <w:rPr>
        <w:noProof/>
      </w:rPr>
      <w:t>5</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D58E7" w14:textId="442B78BC" w:rsidR="008F39BD" w:rsidRPr="00706917" w:rsidRDefault="176FE6A3" w:rsidP="00886391">
    <w:pPr>
      <w:pStyle w:val="RTFooterText"/>
      <w:spacing w:after="0" w:line="180" w:lineRule="exact"/>
      <w:rPr>
        <w:szCs w:val="18"/>
      </w:rPr>
    </w:pPr>
    <w:r w:rsidRPr="00F9742F">
      <w:t xml:space="preserve">Index: </w:t>
    </w:r>
    <w:r w:rsidR="00F9742F" w:rsidRPr="00F9742F">
      <w:t>EUR 41/6683/2023</w:t>
    </w:r>
    <w:r w:rsidR="008F39BD" w:rsidRPr="00D614AE">
      <w:rPr>
        <w:szCs w:val="18"/>
        <w:highlight w:val="yellow"/>
      </w:rPr>
      <w:br/>
    </w:r>
    <w:r w:rsidR="008F39BD" w:rsidRPr="00D614AE">
      <w:rPr>
        <w:noProof/>
        <w:szCs w:val="18"/>
        <w:highlight w:val="yellow"/>
        <w:lang w:val="es-ES" w:eastAsia="es-ES"/>
      </w:rPr>
      <w:drawing>
        <wp:anchor distT="0" distB="0" distL="114300" distR="114300" simplePos="0" relativeHeight="251662340" behindDoc="0" locked="1" layoutInCell="1" allowOverlap="1" wp14:anchorId="4B11A4F7" wp14:editId="7EF2832D">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F9742F">
      <w:t>APRIL 2023</w:t>
    </w:r>
    <w:r w:rsidR="008F39BD" w:rsidRPr="00706917">
      <w:rPr>
        <w:szCs w:val="18"/>
      </w:rPr>
      <w:br/>
    </w:r>
    <w:r w:rsidRPr="176FE6A3">
      <w:t>Language: English</w:t>
    </w:r>
  </w:p>
  <w:p w14:paraId="1DE85D8D" w14:textId="77777777" w:rsidR="008F39BD" w:rsidRPr="0091768C" w:rsidRDefault="008F39BD" w:rsidP="00886391">
    <w:pPr>
      <w:pStyle w:val="RTAmnestywebaddress"/>
      <w:spacing w:before="0"/>
    </w:pPr>
    <w:r w:rsidRPr="004F5223">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8F39BD" w:rsidRPr="00472CD3" w14:paraId="4EA7EB28" w14:textId="77777777" w:rsidTr="176FE6A3">
      <w:tc>
        <w:tcPr>
          <w:tcW w:w="5264" w:type="dxa"/>
        </w:tcPr>
        <w:p w14:paraId="6ABE02C3"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167CD945"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16AF1BE4" w14:textId="77777777" w:rsidTr="176FE6A3">
      <w:tc>
        <w:tcPr>
          <w:tcW w:w="5264" w:type="dxa"/>
          <w:tcMar>
            <w:top w:w="113" w:type="dxa"/>
          </w:tcMar>
        </w:tcPr>
        <w:p w14:paraId="1AF53520" w14:textId="77777777" w:rsidR="008F39BD" w:rsidRDefault="008F39BD" w:rsidP="00E20D98">
          <w:pPr>
            <w:pStyle w:val="RTBodyText"/>
          </w:pPr>
          <w:r>
            <w:rPr>
              <w:noProof/>
              <w:lang w:val="es-ES" w:eastAsia="es-ES"/>
            </w:rPr>
            <w:drawing>
              <wp:anchor distT="0" distB="0" distL="114300" distR="114300" simplePos="0" relativeHeight="251664388" behindDoc="0" locked="0" layoutInCell="1" allowOverlap="1" wp14:anchorId="389F4152" wp14:editId="5099B6E3">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2" w:history="1">
            <w:r w:rsidR="176FE6A3" w:rsidRPr="00EA4C40">
              <w:t>info@amnesty.org</w:t>
            </w:r>
          </w:hyperlink>
        </w:p>
        <w:p w14:paraId="4C03CD10" w14:textId="77777777" w:rsidR="008F39BD" w:rsidRDefault="008F39BD" w:rsidP="00E20D98">
          <w:pPr>
            <w:pStyle w:val="RTBodyText"/>
          </w:pPr>
        </w:p>
        <w:p w14:paraId="48DEC0BE" w14:textId="77777777" w:rsidR="008F39BD" w:rsidRDefault="008F39BD" w:rsidP="00E20D98">
          <w:pPr>
            <w:pStyle w:val="RTBodyText"/>
          </w:pPr>
          <w:r>
            <w:t>+44 (0)20 7413 5500</w:t>
          </w:r>
        </w:p>
      </w:tc>
      <w:tc>
        <w:tcPr>
          <w:tcW w:w="5264" w:type="dxa"/>
          <w:tcMar>
            <w:top w:w="113" w:type="dxa"/>
          </w:tcMar>
        </w:tcPr>
        <w:p w14:paraId="24952260" w14:textId="77777777" w:rsidR="008F39BD" w:rsidRDefault="008F39BD" w:rsidP="00E20D98">
          <w:pPr>
            <w:pStyle w:val="RTBodyText"/>
          </w:pPr>
          <w:r>
            <w:rPr>
              <w:noProof/>
              <w:lang w:val="es-ES" w:eastAsia="es-ES"/>
            </w:rPr>
            <w:drawing>
              <wp:anchor distT="0" distB="0" distL="114300" distR="114300" simplePos="0" relativeHeight="251666436" behindDoc="0" locked="0" layoutInCell="1" allowOverlap="1" wp14:anchorId="340A02F9" wp14:editId="7F20E27F">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a14="http://schemas.microsoft.com/office/drawing/2010/main"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hyperlink r:id="rId4" w:history="1">
            <w:r w:rsidR="176FE6A3" w:rsidRPr="00EA4C40">
              <w:t>www.facebook.com/AmnestyGlobal</w:t>
            </w:r>
          </w:hyperlink>
        </w:p>
        <w:p w14:paraId="08547F31" w14:textId="77777777" w:rsidR="008F39BD" w:rsidRDefault="008F39BD" w:rsidP="00E20D98">
          <w:pPr>
            <w:pStyle w:val="RTBodyText"/>
          </w:pPr>
        </w:p>
        <w:p w14:paraId="2CA024C3" w14:textId="77777777" w:rsidR="008F39BD" w:rsidRDefault="008F39BD" w:rsidP="00731BC7">
          <w:pPr>
            <w:pStyle w:val="RTBodyText"/>
          </w:pPr>
          <w:r>
            <w:t>@Amnesty</w:t>
          </w:r>
        </w:p>
      </w:tc>
    </w:tr>
  </w:tbl>
  <w:p w14:paraId="56CDC581"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3DFFE" w14:textId="77777777" w:rsidR="00330C9F" w:rsidRPr="0049688D" w:rsidRDefault="00330C9F" w:rsidP="0049688D">
      <w:r>
        <w:continuationSeparator/>
      </w:r>
    </w:p>
  </w:footnote>
  <w:footnote w:type="continuationSeparator" w:id="0">
    <w:p w14:paraId="1114A7BD" w14:textId="77777777" w:rsidR="00330C9F" w:rsidRDefault="00330C9F" w:rsidP="00AE5E82">
      <w:r>
        <w:continuationSeparator/>
      </w:r>
    </w:p>
  </w:footnote>
  <w:footnote w:type="continuationNotice" w:id="1">
    <w:p w14:paraId="4FEC8E12" w14:textId="77777777" w:rsidR="00330C9F" w:rsidRDefault="00330C9F"/>
  </w:footnote>
  <w:footnote w:id="2">
    <w:p w14:paraId="629D2EBF" w14:textId="3BD7071D" w:rsidR="00214655" w:rsidRPr="007D0347" w:rsidRDefault="00214655" w:rsidP="00214655">
      <w:pPr>
        <w:pStyle w:val="FootnoteText"/>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sz w:val="16"/>
          <w:szCs w:val="16"/>
          <w:lang w:val="en-GB"/>
        </w:rPr>
        <w:t xml:space="preserve"> The European Coalition on Sex Workers’ Rights and Inclusion, </w:t>
      </w:r>
      <w:hyperlink r:id="rId1" w:history="1">
        <w:r w:rsidRPr="00114B79">
          <w:rPr>
            <w:rStyle w:val="Hyperlink"/>
            <w:rFonts w:asciiTheme="minorHAnsi" w:hAnsiTheme="minorHAnsi"/>
            <w:i/>
            <w:iCs/>
            <w:sz w:val="16"/>
            <w:szCs w:val="16"/>
            <w:lang w:val="en-GB"/>
          </w:rPr>
          <w:t>Spain: Submission to the United Nations Committee on the Elimination of Discrimination against Women</w:t>
        </w:r>
      </w:hyperlink>
      <w:r w:rsidRPr="007D0347">
        <w:rPr>
          <w:rFonts w:asciiTheme="minorHAnsi" w:hAnsiTheme="minorHAnsi"/>
          <w:sz w:val="16"/>
          <w:szCs w:val="16"/>
          <w:lang w:val="en-GB"/>
        </w:rPr>
        <w:t xml:space="preserve"> (EUR 41/3929/2023), 11 April 2023</w:t>
      </w:r>
      <w:r w:rsidR="00114B79">
        <w:rPr>
          <w:rFonts w:asciiTheme="minorHAnsi" w:hAnsiTheme="minorHAnsi"/>
          <w:sz w:val="16"/>
          <w:szCs w:val="16"/>
          <w:lang w:val="en-GB"/>
        </w:rPr>
        <w:t>.</w:t>
      </w:r>
    </w:p>
  </w:footnote>
  <w:footnote w:id="3">
    <w:p w14:paraId="31208FFA" w14:textId="77777777" w:rsidR="00C265EC" w:rsidRPr="007D0347" w:rsidRDefault="00C265EC" w:rsidP="00774FB3">
      <w:pPr>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sz w:val="16"/>
          <w:szCs w:val="16"/>
          <w:lang w:val="en-GB"/>
        </w:rPr>
        <w:t xml:space="preserve"> UN Committee on the Elimination of Discrimination against Women (CEDAW), </w:t>
      </w:r>
      <w:r w:rsidRPr="007D0347">
        <w:rPr>
          <w:rFonts w:asciiTheme="minorHAnsi" w:hAnsiTheme="minorHAnsi"/>
          <w:i/>
          <w:iCs/>
          <w:sz w:val="16"/>
          <w:szCs w:val="16"/>
          <w:lang w:val="en-GB"/>
        </w:rPr>
        <w:t>Views:</w:t>
      </w:r>
      <w:r w:rsidRPr="007D0347">
        <w:rPr>
          <w:rFonts w:asciiTheme="minorHAnsi" w:hAnsiTheme="minorHAnsi"/>
          <w:sz w:val="16"/>
          <w:szCs w:val="16"/>
          <w:lang w:val="en-GB"/>
        </w:rPr>
        <w:t xml:space="preserve"> </w:t>
      </w:r>
      <w:r w:rsidRPr="007D0347">
        <w:rPr>
          <w:rFonts w:asciiTheme="minorHAnsi" w:hAnsiTheme="minorHAnsi"/>
          <w:i/>
          <w:sz w:val="16"/>
          <w:szCs w:val="16"/>
          <w:lang w:val="en-GB"/>
        </w:rPr>
        <w:t xml:space="preserve">S.F.M. vs. Spain, </w:t>
      </w:r>
      <w:r w:rsidRPr="007D0347">
        <w:rPr>
          <w:rFonts w:asciiTheme="minorHAnsi" w:hAnsiTheme="minorHAnsi"/>
          <w:sz w:val="16"/>
          <w:szCs w:val="16"/>
          <w:lang w:val="en-GB"/>
        </w:rPr>
        <w:t xml:space="preserve">28 February 2020, UN Doc. </w:t>
      </w:r>
      <w:hyperlink r:id="rId2">
        <w:r w:rsidRPr="00DD6E70">
          <w:rPr>
            <w:rFonts w:asciiTheme="minorHAnsi" w:hAnsiTheme="minorHAnsi"/>
            <w:color w:val="auto"/>
            <w:sz w:val="16"/>
            <w:szCs w:val="16"/>
            <w:lang w:val="fr-FR"/>
          </w:rPr>
          <w:t>CEDAW/C/75/D/138/2018</w:t>
        </w:r>
      </w:hyperlink>
      <w:r w:rsidRPr="00DD6E70">
        <w:rPr>
          <w:rFonts w:asciiTheme="minorHAnsi" w:hAnsiTheme="minorHAnsi"/>
          <w:sz w:val="16"/>
          <w:szCs w:val="16"/>
          <w:lang w:val="fr-FR"/>
        </w:rPr>
        <w:t xml:space="preserve">; </w:t>
      </w:r>
      <w:r w:rsidRPr="00DD6E70">
        <w:rPr>
          <w:rFonts w:asciiTheme="minorHAnsi" w:hAnsiTheme="minorHAnsi"/>
          <w:i/>
          <w:iCs/>
          <w:sz w:val="16"/>
          <w:szCs w:val="16"/>
          <w:lang w:val="fr-FR"/>
        </w:rPr>
        <w:t>N.A.E. vs. Spain,</w:t>
      </w:r>
      <w:r w:rsidRPr="00DD6E70">
        <w:rPr>
          <w:rFonts w:asciiTheme="minorHAnsi" w:hAnsiTheme="minorHAnsi"/>
          <w:sz w:val="16"/>
          <w:szCs w:val="16"/>
          <w:lang w:val="fr-FR"/>
        </w:rPr>
        <w:t xml:space="preserve"> 27 June 2022, UN Doc. </w:t>
      </w:r>
      <w:hyperlink r:id="rId3">
        <w:r w:rsidRPr="007D0347">
          <w:rPr>
            <w:rFonts w:asciiTheme="minorHAnsi" w:hAnsiTheme="minorHAnsi"/>
            <w:color w:val="auto"/>
            <w:sz w:val="16"/>
            <w:szCs w:val="16"/>
            <w:lang w:val="en-GB"/>
          </w:rPr>
          <w:t>CEDAW/C/82/D/149/2019</w:t>
        </w:r>
      </w:hyperlink>
      <w:r w:rsidRPr="007D0347">
        <w:rPr>
          <w:rFonts w:asciiTheme="minorHAnsi" w:hAnsiTheme="minorHAnsi"/>
          <w:sz w:val="16"/>
          <w:szCs w:val="16"/>
          <w:lang w:val="en-GB"/>
        </w:rPr>
        <w:t xml:space="preserve">; </w:t>
      </w:r>
      <w:r w:rsidRPr="007D0347">
        <w:rPr>
          <w:rFonts w:asciiTheme="minorHAnsi" w:hAnsiTheme="minorHAnsi"/>
          <w:i/>
          <w:iCs/>
          <w:sz w:val="16"/>
          <w:szCs w:val="16"/>
          <w:lang w:val="en-GB"/>
        </w:rPr>
        <w:t xml:space="preserve">M. D. C. P. vs. Spain, </w:t>
      </w:r>
      <w:r w:rsidRPr="007D0347">
        <w:rPr>
          <w:rFonts w:asciiTheme="minorHAnsi" w:hAnsiTheme="minorHAnsi"/>
          <w:sz w:val="16"/>
          <w:szCs w:val="16"/>
          <w:lang w:val="en-GB"/>
        </w:rPr>
        <w:t>24 February 2023</w:t>
      </w:r>
      <w:r w:rsidRPr="007D0347">
        <w:rPr>
          <w:rFonts w:asciiTheme="minorHAnsi" w:hAnsiTheme="minorHAnsi"/>
          <w:i/>
          <w:iCs/>
          <w:sz w:val="16"/>
          <w:szCs w:val="16"/>
          <w:lang w:val="en-GB"/>
        </w:rPr>
        <w:t xml:space="preserve">, </w:t>
      </w:r>
      <w:r w:rsidRPr="007D0347">
        <w:rPr>
          <w:rFonts w:asciiTheme="minorHAnsi" w:hAnsiTheme="minorHAnsi"/>
          <w:sz w:val="16"/>
          <w:szCs w:val="16"/>
          <w:lang w:val="en-GB"/>
        </w:rPr>
        <w:t xml:space="preserve">UN Doc. </w:t>
      </w:r>
      <w:hyperlink r:id="rId4">
        <w:r w:rsidRPr="007D0347">
          <w:rPr>
            <w:rFonts w:asciiTheme="minorHAnsi" w:hAnsiTheme="minorHAnsi"/>
            <w:color w:val="auto"/>
            <w:sz w:val="16"/>
            <w:szCs w:val="16"/>
            <w:lang w:val="en-GB"/>
          </w:rPr>
          <w:t>CEDAW/C/84/D/154/2020</w:t>
        </w:r>
      </w:hyperlink>
      <w:r w:rsidRPr="007D0347">
        <w:rPr>
          <w:rFonts w:asciiTheme="minorHAnsi" w:hAnsiTheme="minorHAnsi"/>
          <w:sz w:val="16"/>
          <w:szCs w:val="16"/>
          <w:lang w:val="en-GB"/>
        </w:rPr>
        <w:t>.</w:t>
      </w:r>
    </w:p>
  </w:footnote>
  <w:footnote w:id="4">
    <w:p w14:paraId="59226FC0" w14:textId="5E494CF8" w:rsidR="00C265EC" w:rsidRPr="002E31BD" w:rsidRDefault="00C265EC" w:rsidP="00774FB3">
      <w:pPr>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sz w:val="16"/>
          <w:szCs w:val="16"/>
          <w:lang w:val="en-GB"/>
        </w:rPr>
        <w:t xml:space="preserve"> Government delegation against gender-based violence. </w:t>
      </w:r>
      <w:hyperlink r:id="rId5" w:history="1">
        <w:r w:rsidRPr="002E31BD">
          <w:rPr>
            <w:rStyle w:val="Hyperlink"/>
            <w:rFonts w:asciiTheme="minorHAnsi" w:hAnsiTheme="minorHAnsi"/>
            <w:sz w:val="16"/>
            <w:szCs w:val="16"/>
            <w:lang w:val="en-GB"/>
          </w:rPr>
          <w:t>Portal estadístico.</w:t>
        </w:r>
      </w:hyperlink>
      <w:r w:rsidRPr="002E31BD">
        <w:rPr>
          <w:rFonts w:asciiTheme="minorHAnsi" w:hAnsiTheme="minorHAnsi"/>
          <w:sz w:val="16"/>
          <w:szCs w:val="16"/>
          <w:lang w:val="en-GB"/>
        </w:rPr>
        <w:t xml:space="preserve"> </w:t>
      </w:r>
    </w:p>
  </w:footnote>
  <w:footnote w:id="5">
    <w:p w14:paraId="19260626" w14:textId="36067F1B" w:rsidR="00C265EC" w:rsidRPr="00C04926" w:rsidRDefault="00C265EC" w:rsidP="00774FB3">
      <w:pPr>
        <w:rPr>
          <w:rFonts w:asciiTheme="minorHAnsi" w:hAnsiTheme="minorHAnsi"/>
          <w:i/>
          <w:iCs/>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sz w:val="16"/>
          <w:szCs w:val="16"/>
          <w:lang w:val="en-GB"/>
        </w:rPr>
        <w:t xml:space="preserve"> Government delegation against gender-based violence. </w:t>
      </w:r>
      <w:r w:rsidR="00C04926" w:rsidRPr="00C04926">
        <w:rPr>
          <w:rFonts w:asciiTheme="minorHAnsi" w:hAnsiTheme="minorHAnsi"/>
          <w:i/>
          <w:iCs/>
          <w:sz w:val="16"/>
          <w:szCs w:val="16"/>
          <w:lang w:val="en-GB"/>
        </w:rPr>
        <w:t>P</w:t>
      </w:r>
      <w:r w:rsidR="00C04926">
        <w:rPr>
          <w:rFonts w:asciiTheme="minorHAnsi" w:hAnsiTheme="minorHAnsi"/>
          <w:i/>
          <w:iCs/>
          <w:sz w:val="16"/>
          <w:szCs w:val="16"/>
          <w:lang w:val="en-GB"/>
        </w:rPr>
        <w:t>reviously cited.</w:t>
      </w:r>
    </w:p>
  </w:footnote>
  <w:footnote w:id="6">
    <w:p w14:paraId="62C69AC5" w14:textId="77777777" w:rsidR="00C265EC" w:rsidRPr="007D0347" w:rsidRDefault="00C265EC" w:rsidP="00774FB3">
      <w:pPr>
        <w:pStyle w:val="FootnoteText"/>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sz w:val="16"/>
          <w:szCs w:val="16"/>
          <w:lang w:val="en-GB"/>
        </w:rPr>
        <w:t xml:space="preserve"> Ministry of Equality: </w:t>
      </w:r>
      <w:hyperlink r:id="rId6">
        <w:r w:rsidRPr="007D0347">
          <w:rPr>
            <w:rFonts w:asciiTheme="minorHAnsi" w:hAnsiTheme="minorHAnsi"/>
            <w:sz w:val="16"/>
            <w:szCs w:val="16"/>
            <w:lang w:val="en-GB"/>
          </w:rPr>
          <w:t>Executive Summary of the 2019 Macro-Survey on Violence Against Women</w:t>
        </w:r>
      </w:hyperlink>
      <w:r w:rsidRPr="007D0347">
        <w:rPr>
          <w:rFonts w:asciiTheme="minorHAnsi" w:hAnsiTheme="minorHAnsi"/>
          <w:sz w:val="16"/>
          <w:szCs w:val="16"/>
          <w:lang w:val="en-GB"/>
        </w:rPr>
        <w:t>, November, 2021</w:t>
      </w:r>
    </w:p>
  </w:footnote>
  <w:footnote w:id="7">
    <w:p w14:paraId="6F116907" w14:textId="046303A5" w:rsidR="00C265EC" w:rsidRPr="007D0347" w:rsidRDefault="00C265EC" w:rsidP="00774FB3">
      <w:pPr>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sz w:val="16"/>
          <w:szCs w:val="16"/>
          <w:lang w:val="en-GB"/>
        </w:rPr>
        <w:t xml:space="preserve"> </w:t>
      </w:r>
      <w:r w:rsidRPr="007D0347">
        <w:rPr>
          <w:rFonts w:asciiTheme="minorHAnsi" w:hAnsiTheme="minorHAnsi"/>
          <w:color w:val="auto"/>
          <w:sz w:val="16"/>
          <w:szCs w:val="16"/>
          <w:lang w:val="en-GB"/>
        </w:rPr>
        <w:t>Macro-survey on Violence Against Women</w:t>
      </w:r>
      <w:r w:rsidR="008E5D21">
        <w:rPr>
          <w:rFonts w:asciiTheme="minorHAnsi" w:hAnsiTheme="minorHAnsi"/>
          <w:color w:val="auto"/>
          <w:sz w:val="16"/>
          <w:szCs w:val="16"/>
          <w:lang w:val="en-GB"/>
        </w:rPr>
        <w:t>,</w:t>
      </w:r>
      <w:r w:rsidRPr="007D0347">
        <w:rPr>
          <w:rFonts w:asciiTheme="minorHAnsi" w:hAnsiTheme="minorHAnsi"/>
          <w:color w:val="auto"/>
          <w:sz w:val="16"/>
          <w:szCs w:val="16"/>
          <w:lang w:val="en-GB"/>
        </w:rPr>
        <w:t xml:space="preserve"> </w:t>
      </w:r>
      <w:r w:rsidRPr="008E5D21">
        <w:rPr>
          <w:rFonts w:asciiTheme="minorHAnsi" w:hAnsiTheme="minorHAnsi"/>
          <w:i/>
          <w:iCs/>
          <w:color w:val="auto"/>
          <w:sz w:val="16"/>
          <w:szCs w:val="16"/>
          <w:lang w:val="en-GB"/>
        </w:rPr>
        <w:t>previously cited</w:t>
      </w:r>
      <w:r w:rsidRPr="007D0347">
        <w:rPr>
          <w:rFonts w:asciiTheme="minorHAnsi" w:hAnsiTheme="minorHAnsi"/>
          <w:color w:val="auto"/>
          <w:sz w:val="16"/>
          <w:szCs w:val="16"/>
          <w:lang w:val="en-GB"/>
        </w:rPr>
        <w:t xml:space="preserve">, page. 3, </w:t>
      </w:r>
    </w:p>
  </w:footnote>
  <w:footnote w:id="8">
    <w:p w14:paraId="09F72CA7" w14:textId="77777777" w:rsidR="00C265EC" w:rsidRPr="007D0347" w:rsidRDefault="00C265EC" w:rsidP="00774FB3">
      <w:pPr>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sz w:val="16"/>
          <w:szCs w:val="16"/>
          <w:lang w:val="en-GB"/>
        </w:rPr>
        <w:t xml:space="preserve"> Ministry of Interior: </w:t>
      </w:r>
      <w:hyperlink r:id="rId7">
        <w:r w:rsidRPr="00AE054E">
          <w:rPr>
            <w:rFonts w:asciiTheme="minorHAnsi" w:hAnsiTheme="minorHAnsi"/>
            <w:sz w:val="16"/>
            <w:szCs w:val="16"/>
            <w:lang w:val="en-GB"/>
          </w:rPr>
          <w:t xml:space="preserve">Portal </w:t>
        </w:r>
        <w:proofErr w:type="spellStart"/>
        <w:r w:rsidRPr="00AE054E">
          <w:rPr>
            <w:rFonts w:asciiTheme="minorHAnsi" w:hAnsiTheme="minorHAnsi"/>
            <w:sz w:val="16"/>
            <w:szCs w:val="16"/>
            <w:lang w:val="en-GB"/>
          </w:rPr>
          <w:t>Estadístico</w:t>
        </w:r>
        <w:proofErr w:type="spellEnd"/>
        <w:r w:rsidRPr="00AE054E">
          <w:rPr>
            <w:rFonts w:asciiTheme="minorHAnsi" w:hAnsiTheme="minorHAnsi"/>
            <w:sz w:val="16"/>
            <w:szCs w:val="16"/>
            <w:lang w:val="en-GB"/>
          </w:rPr>
          <w:t xml:space="preserve"> de </w:t>
        </w:r>
        <w:proofErr w:type="spellStart"/>
        <w:r w:rsidRPr="00AE054E">
          <w:rPr>
            <w:rFonts w:asciiTheme="minorHAnsi" w:hAnsiTheme="minorHAnsi"/>
            <w:sz w:val="16"/>
            <w:szCs w:val="16"/>
            <w:lang w:val="en-GB"/>
          </w:rPr>
          <w:t>Criminalidad</w:t>
        </w:r>
        <w:proofErr w:type="spellEnd"/>
      </w:hyperlink>
      <w:r w:rsidRPr="007D0347">
        <w:rPr>
          <w:rFonts w:asciiTheme="minorHAnsi" w:hAnsiTheme="minorHAnsi"/>
          <w:sz w:val="16"/>
          <w:szCs w:val="16"/>
          <w:lang w:val="en-GB"/>
        </w:rPr>
        <w:t>.</w:t>
      </w:r>
    </w:p>
  </w:footnote>
  <w:footnote w:id="9">
    <w:p w14:paraId="6A78C6ED" w14:textId="05CD7A70" w:rsidR="00C265EC" w:rsidRPr="00E87258" w:rsidRDefault="00C265EC" w:rsidP="00774FB3">
      <w:pPr>
        <w:rPr>
          <w:rFonts w:asciiTheme="minorHAnsi" w:hAnsiTheme="minorHAnsi"/>
          <w:sz w:val="16"/>
          <w:szCs w:val="16"/>
          <w:lang w:val="es-ES"/>
        </w:rPr>
      </w:pPr>
      <w:r w:rsidRPr="007D0347">
        <w:rPr>
          <w:rFonts w:asciiTheme="minorHAnsi" w:hAnsiTheme="minorHAnsi"/>
          <w:sz w:val="16"/>
          <w:szCs w:val="16"/>
          <w:vertAlign w:val="superscript"/>
          <w:lang w:val="en-GB"/>
        </w:rPr>
        <w:footnoteRef/>
      </w:r>
      <w:r w:rsidRPr="007D0347">
        <w:rPr>
          <w:rFonts w:asciiTheme="minorHAnsi" w:hAnsiTheme="minorHAnsi" w:cs="Calibri"/>
          <w:sz w:val="16"/>
          <w:szCs w:val="16"/>
          <w:lang w:val="en-GB"/>
        </w:rPr>
        <w:t xml:space="preserve"> </w:t>
      </w:r>
      <w:hyperlink r:id="rId8">
        <w:r w:rsidRPr="007D0347">
          <w:rPr>
            <w:rFonts w:asciiTheme="minorHAnsi" w:eastAsia="Oswald" w:hAnsiTheme="minorHAnsi" w:cs="Calibri"/>
            <w:sz w:val="16"/>
            <w:szCs w:val="16"/>
            <w:lang w:val="en-GB"/>
          </w:rPr>
          <w:t xml:space="preserve">GREVIO’s (Baseline) Evaluation Report on Spain. </w:t>
        </w:r>
        <w:r w:rsidRPr="00893B9B">
          <w:rPr>
            <w:rFonts w:asciiTheme="minorHAnsi" w:eastAsia="Oswald" w:hAnsiTheme="minorHAnsi" w:cs="Calibri"/>
            <w:sz w:val="16"/>
            <w:szCs w:val="16"/>
            <w:lang w:val="es-ES"/>
          </w:rPr>
          <w:t>GREVIO/</w:t>
        </w:r>
        <w:proofErr w:type="spellStart"/>
        <w:proofErr w:type="gramStart"/>
        <w:r w:rsidRPr="00893B9B">
          <w:rPr>
            <w:rFonts w:asciiTheme="minorHAnsi" w:eastAsia="Oswald" w:hAnsiTheme="minorHAnsi" w:cs="Calibri"/>
            <w:sz w:val="16"/>
            <w:szCs w:val="16"/>
            <w:lang w:val="es-ES"/>
          </w:rPr>
          <w:t>Inf</w:t>
        </w:r>
        <w:proofErr w:type="spellEnd"/>
        <w:r w:rsidRPr="00893B9B">
          <w:rPr>
            <w:rFonts w:asciiTheme="minorHAnsi" w:eastAsia="Oswald" w:hAnsiTheme="minorHAnsi" w:cs="Calibri"/>
            <w:sz w:val="16"/>
            <w:szCs w:val="16"/>
            <w:lang w:val="es-ES"/>
          </w:rPr>
          <w:t>(</w:t>
        </w:r>
        <w:proofErr w:type="gramEnd"/>
        <w:r w:rsidRPr="00893B9B">
          <w:rPr>
            <w:rFonts w:asciiTheme="minorHAnsi" w:eastAsia="Oswald" w:hAnsiTheme="minorHAnsi" w:cs="Calibri"/>
            <w:sz w:val="16"/>
            <w:szCs w:val="16"/>
            <w:lang w:val="es-ES"/>
          </w:rPr>
          <w:t>2020)19,</w:t>
        </w:r>
      </w:hyperlink>
      <w:r w:rsidRPr="00893B9B">
        <w:rPr>
          <w:rFonts w:asciiTheme="minorHAnsi" w:eastAsia="Oswald" w:hAnsiTheme="minorHAnsi" w:cs="Calibri"/>
          <w:sz w:val="16"/>
          <w:szCs w:val="16"/>
          <w:lang w:val="es-ES"/>
        </w:rPr>
        <w:t xml:space="preserve"> </w:t>
      </w:r>
      <w:proofErr w:type="spellStart"/>
      <w:r w:rsidRPr="00893B9B">
        <w:rPr>
          <w:rFonts w:asciiTheme="minorHAnsi" w:eastAsia="Oswald" w:hAnsiTheme="minorHAnsi" w:cs="Calibri"/>
          <w:sz w:val="16"/>
          <w:szCs w:val="16"/>
          <w:lang w:val="es-ES"/>
        </w:rPr>
        <w:t>pag</w:t>
      </w:r>
      <w:r w:rsidR="00AE054E" w:rsidRPr="00893B9B">
        <w:rPr>
          <w:rFonts w:asciiTheme="minorHAnsi" w:eastAsia="Oswald" w:hAnsiTheme="minorHAnsi" w:cs="Calibri"/>
          <w:sz w:val="16"/>
          <w:szCs w:val="16"/>
          <w:lang w:val="es-ES"/>
        </w:rPr>
        <w:t>.</w:t>
      </w:r>
      <w:proofErr w:type="spellEnd"/>
      <w:r w:rsidRPr="00893B9B">
        <w:rPr>
          <w:rFonts w:asciiTheme="minorHAnsi" w:eastAsia="Oswald" w:hAnsiTheme="minorHAnsi" w:cs="Calibri"/>
          <w:sz w:val="16"/>
          <w:szCs w:val="16"/>
          <w:lang w:val="es-ES"/>
        </w:rPr>
        <w:t xml:space="preserve"> 14 to 16. </w:t>
      </w:r>
      <w:r w:rsidRPr="00DD6E70">
        <w:rPr>
          <w:rFonts w:asciiTheme="minorHAnsi" w:eastAsia="Oswald" w:hAnsiTheme="minorHAnsi" w:cs="Calibri"/>
          <w:sz w:val="16"/>
          <w:szCs w:val="16"/>
          <w:lang w:val="es-ES"/>
        </w:rPr>
        <w:t>Amnesty International</w:t>
      </w:r>
      <w:r w:rsidR="00893B9B">
        <w:rPr>
          <w:rFonts w:asciiTheme="minorHAnsi" w:eastAsia="Oswald" w:hAnsiTheme="minorHAnsi" w:cs="Calibri"/>
          <w:sz w:val="16"/>
          <w:szCs w:val="16"/>
          <w:lang w:val="es-ES"/>
        </w:rPr>
        <w:t xml:space="preserve">, </w:t>
      </w:r>
      <w:hyperlink r:id="rId9">
        <w:r w:rsidRPr="00893B9B">
          <w:rPr>
            <w:rFonts w:asciiTheme="minorHAnsi" w:eastAsia="Oswald" w:hAnsiTheme="minorHAnsi" w:cs="Calibri"/>
            <w:i/>
            <w:iCs/>
            <w:color w:val="222222"/>
            <w:sz w:val="16"/>
            <w:szCs w:val="16"/>
            <w:lang w:val="es-ES"/>
          </w:rPr>
          <w:t>Ya es hora de que me creas: Un sistema que cuestiona y desprotege a las víctimas</w:t>
        </w:r>
      </w:hyperlink>
      <w:r w:rsidR="00E87258">
        <w:rPr>
          <w:rFonts w:asciiTheme="minorHAnsi" w:eastAsia="Oswald" w:hAnsiTheme="minorHAnsi" w:cs="Calibri"/>
          <w:i/>
          <w:iCs/>
          <w:color w:val="222222"/>
          <w:sz w:val="16"/>
          <w:szCs w:val="16"/>
          <w:lang w:val="es-ES"/>
        </w:rPr>
        <w:t>,</w:t>
      </w:r>
      <w:r w:rsidRPr="00DD6E70">
        <w:rPr>
          <w:rFonts w:asciiTheme="minorHAnsi" w:eastAsia="Oswald" w:hAnsiTheme="minorHAnsi" w:cs="Calibri"/>
          <w:color w:val="222222"/>
          <w:sz w:val="16"/>
          <w:szCs w:val="16"/>
          <w:lang w:val="es-ES"/>
        </w:rPr>
        <w:t xml:space="preserve"> </w:t>
      </w:r>
      <w:proofErr w:type="spellStart"/>
      <w:r w:rsidRPr="00E87258">
        <w:rPr>
          <w:rFonts w:asciiTheme="minorHAnsi" w:eastAsia="Oswald" w:hAnsiTheme="minorHAnsi" w:cs="Calibri"/>
          <w:sz w:val="16"/>
          <w:szCs w:val="16"/>
          <w:lang w:val="es-ES"/>
        </w:rPr>
        <w:t>November</w:t>
      </w:r>
      <w:proofErr w:type="spellEnd"/>
      <w:r w:rsidRPr="00E87258">
        <w:rPr>
          <w:rFonts w:asciiTheme="minorHAnsi" w:eastAsia="Oswald" w:hAnsiTheme="minorHAnsi" w:cs="Calibri"/>
          <w:sz w:val="16"/>
          <w:szCs w:val="16"/>
          <w:lang w:val="es-ES"/>
        </w:rPr>
        <w:t xml:space="preserve"> 2018</w:t>
      </w:r>
      <w:r w:rsidR="00774FB3" w:rsidRPr="00E87258">
        <w:rPr>
          <w:rFonts w:asciiTheme="minorHAnsi" w:eastAsia="Oswald" w:hAnsiTheme="minorHAnsi" w:cs="Calibri"/>
          <w:sz w:val="16"/>
          <w:szCs w:val="16"/>
          <w:lang w:val="es-ES"/>
        </w:rPr>
        <w:t>.</w:t>
      </w:r>
    </w:p>
  </w:footnote>
  <w:footnote w:id="10">
    <w:p w14:paraId="36745E25" w14:textId="59D38D71" w:rsidR="00C265EC" w:rsidRPr="007D0347" w:rsidRDefault="00C265EC" w:rsidP="00774FB3">
      <w:pPr>
        <w:pStyle w:val="FootnoteText"/>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eastAsia="Oswald" w:hAnsiTheme="minorHAnsi" w:cs="Calibri"/>
          <w:color w:val="222222"/>
          <w:sz w:val="16"/>
          <w:szCs w:val="16"/>
          <w:lang w:val="en-GB"/>
        </w:rPr>
        <w:t xml:space="preserve"> Spanish Ombudsman, annual report, 2022, page 36.</w:t>
      </w:r>
    </w:p>
  </w:footnote>
  <w:footnote w:id="11">
    <w:p w14:paraId="294C886F" w14:textId="04D5F832" w:rsidR="00C265EC" w:rsidRPr="00D65A94" w:rsidRDefault="00C265EC" w:rsidP="00774FB3">
      <w:pPr>
        <w:pStyle w:val="FootnoteText"/>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D65A94">
        <w:rPr>
          <w:rFonts w:asciiTheme="minorHAnsi" w:eastAsia="Oswald" w:hAnsiTheme="minorHAnsi" w:cs="Calibri"/>
          <w:sz w:val="16"/>
          <w:szCs w:val="16"/>
          <w:lang w:val="en-GB"/>
        </w:rPr>
        <w:t xml:space="preserve"> </w:t>
      </w:r>
      <w:hyperlink r:id="rId10" w:history="1">
        <w:r w:rsidRPr="002F097F">
          <w:rPr>
            <w:rStyle w:val="Hyperlink"/>
            <w:rFonts w:asciiTheme="minorHAnsi" w:hAnsiTheme="minorHAnsi"/>
            <w:sz w:val="16"/>
            <w:szCs w:val="16"/>
            <w:lang w:val="en-GB"/>
          </w:rPr>
          <w:t>Organic Law 10/2022 on the Comprehensive Guarantee of Sexual Freedom</w:t>
        </w:r>
        <w:r w:rsidR="002F097F" w:rsidRPr="002F097F">
          <w:rPr>
            <w:rStyle w:val="Hyperlink"/>
            <w:rFonts w:asciiTheme="minorHAnsi" w:hAnsiTheme="minorHAnsi"/>
            <w:sz w:val="16"/>
            <w:szCs w:val="16"/>
            <w:lang w:val="en-GB"/>
          </w:rPr>
          <w:t>.</w:t>
        </w:r>
      </w:hyperlink>
    </w:p>
  </w:footnote>
  <w:footnote w:id="12">
    <w:p w14:paraId="781ADFBD" w14:textId="7BAA682B" w:rsidR="00C265EC" w:rsidRPr="007D0347" w:rsidRDefault="00C265EC" w:rsidP="00774FB3">
      <w:pPr>
        <w:pStyle w:val="FootnoteText"/>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color w:val="auto"/>
          <w:sz w:val="16"/>
          <w:szCs w:val="16"/>
          <w:lang w:val="en-GB"/>
        </w:rPr>
        <w:t xml:space="preserve"> </w:t>
      </w:r>
      <w:r w:rsidR="002F097F" w:rsidRPr="007D0347">
        <w:rPr>
          <w:rFonts w:asciiTheme="minorHAnsi" w:hAnsiTheme="minorHAnsi"/>
          <w:color w:val="auto"/>
          <w:sz w:val="16"/>
          <w:szCs w:val="16"/>
          <w:lang w:val="en-GB"/>
        </w:rPr>
        <w:t>Penal Code</w:t>
      </w:r>
      <w:r w:rsidR="002F097F">
        <w:rPr>
          <w:rFonts w:asciiTheme="minorHAnsi" w:hAnsiTheme="minorHAnsi"/>
          <w:color w:val="auto"/>
          <w:sz w:val="16"/>
          <w:szCs w:val="16"/>
          <w:lang w:val="en-GB"/>
        </w:rPr>
        <w:t xml:space="preserve">, </w:t>
      </w:r>
      <w:r w:rsidRPr="007D0347">
        <w:rPr>
          <w:rFonts w:asciiTheme="minorHAnsi" w:hAnsiTheme="minorHAnsi"/>
          <w:color w:val="auto"/>
          <w:sz w:val="16"/>
          <w:szCs w:val="16"/>
          <w:lang w:val="en-GB"/>
        </w:rPr>
        <w:t>Articles 178</w:t>
      </w:r>
      <w:r w:rsidR="00E87258">
        <w:rPr>
          <w:rFonts w:asciiTheme="minorHAnsi" w:hAnsiTheme="minorHAnsi"/>
          <w:color w:val="auto"/>
          <w:sz w:val="16"/>
          <w:szCs w:val="16"/>
          <w:lang w:val="en-GB"/>
        </w:rPr>
        <w:t>-179</w:t>
      </w:r>
      <w:r w:rsidR="002F097F">
        <w:rPr>
          <w:rFonts w:asciiTheme="minorHAnsi" w:hAnsiTheme="minorHAnsi"/>
          <w:color w:val="auto"/>
          <w:sz w:val="16"/>
          <w:szCs w:val="16"/>
          <w:lang w:val="en-GB"/>
        </w:rPr>
        <w:t>.</w:t>
      </w:r>
      <w:r w:rsidRPr="007D0347">
        <w:rPr>
          <w:rFonts w:asciiTheme="minorHAnsi" w:hAnsiTheme="minorHAnsi"/>
          <w:color w:val="auto"/>
          <w:sz w:val="16"/>
          <w:szCs w:val="16"/>
          <w:lang w:val="en-GB"/>
        </w:rPr>
        <w:t xml:space="preserve"> </w:t>
      </w:r>
    </w:p>
  </w:footnote>
  <w:footnote w:id="13">
    <w:p w14:paraId="3A065890" w14:textId="1A870ABA" w:rsidR="00C265EC" w:rsidRPr="002E31BD" w:rsidRDefault="00C265EC" w:rsidP="00774FB3">
      <w:pPr>
        <w:pStyle w:val="FootnoteText"/>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2E31BD">
        <w:rPr>
          <w:rFonts w:asciiTheme="minorHAnsi" w:hAnsiTheme="minorHAnsi"/>
          <w:color w:val="auto"/>
          <w:sz w:val="16"/>
          <w:szCs w:val="16"/>
          <w:lang w:val="en-GB"/>
        </w:rPr>
        <w:t xml:space="preserve"> Article 180(4)</w:t>
      </w:r>
      <w:r w:rsidR="00E87258" w:rsidRPr="002E31BD">
        <w:rPr>
          <w:rFonts w:asciiTheme="minorHAnsi" w:hAnsiTheme="minorHAnsi"/>
          <w:color w:val="auto"/>
          <w:sz w:val="16"/>
          <w:szCs w:val="16"/>
          <w:lang w:val="en-GB"/>
        </w:rPr>
        <w:t>.</w:t>
      </w:r>
    </w:p>
  </w:footnote>
  <w:footnote w:id="14">
    <w:p w14:paraId="20804C61" w14:textId="01FBBA87" w:rsidR="00C265EC" w:rsidRPr="002E31BD" w:rsidRDefault="00C265EC" w:rsidP="00774FB3">
      <w:pPr>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2E31BD">
        <w:rPr>
          <w:rFonts w:asciiTheme="minorHAnsi" w:hAnsiTheme="minorHAnsi"/>
          <w:sz w:val="16"/>
          <w:szCs w:val="16"/>
          <w:lang w:val="en-GB"/>
        </w:rPr>
        <w:t xml:space="preserve"> Article 37</w:t>
      </w:r>
      <w:r w:rsidR="0039733D" w:rsidRPr="002E31BD">
        <w:rPr>
          <w:rFonts w:asciiTheme="minorHAnsi" w:hAnsiTheme="minorHAnsi"/>
          <w:sz w:val="16"/>
          <w:szCs w:val="16"/>
          <w:lang w:val="en-GB"/>
        </w:rPr>
        <w:t>, Organic Law 10/2022.</w:t>
      </w:r>
    </w:p>
  </w:footnote>
  <w:footnote w:id="15">
    <w:p w14:paraId="74FEE453" w14:textId="5E7A32C1" w:rsidR="00C265EC" w:rsidRPr="00B90681" w:rsidRDefault="00C265EC" w:rsidP="00774FB3">
      <w:pPr>
        <w:pStyle w:val="FootnoteText"/>
        <w:rPr>
          <w:rFonts w:asciiTheme="minorHAnsi" w:hAnsiTheme="minorHAnsi"/>
          <w:sz w:val="16"/>
          <w:szCs w:val="16"/>
          <w:lang w:val="es-ES"/>
        </w:rPr>
      </w:pPr>
      <w:r w:rsidRPr="007D0347">
        <w:rPr>
          <w:rFonts w:asciiTheme="minorHAnsi" w:hAnsiTheme="minorHAnsi"/>
          <w:sz w:val="16"/>
          <w:szCs w:val="16"/>
          <w:vertAlign w:val="superscript"/>
          <w:lang w:val="en-GB"/>
        </w:rPr>
        <w:footnoteRef/>
      </w:r>
      <w:r w:rsidRPr="00DD6E70">
        <w:rPr>
          <w:rFonts w:asciiTheme="minorHAnsi" w:hAnsiTheme="minorHAnsi"/>
          <w:color w:val="auto"/>
          <w:sz w:val="16"/>
          <w:szCs w:val="16"/>
          <w:lang w:val="es-ES"/>
        </w:rPr>
        <w:t xml:space="preserve"> Amnistía Internacional, </w:t>
      </w:r>
      <w:hyperlink r:id="rId11">
        <w:r w:rsidRPr="00DD6E70">
          <w:rPr>
            <w:rFonts w:asciiTheme="minorHAnsi" w:hAnsiTheme="minorHAnsi"/>
            <w:i/>
            <w:iCs/>
            <w:color w:val="auto"/>
            <w:sz w:val="16"/>
            <w:szCs w:val="16"/>
            <w:lang w:val="es-ES"/>
          </w:rPr>
          <w:t>Comentarios</w:t>
        </w:r>
      </w:hyperlink>
      <w:hyperlink r:id="rId12">
        <w:r w:rsidRPr="00DD6E70">
          <w:rPr>
            <w:rFonts w:asciiTheme="minorHAnsi" w:hAnsiTheme="minorHAnsi"/>
            <w:i/>
            <w:iCs/>
            <w:color w:val="auto"/>
            <w:sz w:val="16"/>
            <w:szCs w:val="16"/>
            <w:lang w:val="es-ES"/>
          </w:rPr>
          <w:t xml:space="preserve"> al Proyecto de </w:t>
        </w:r>
      </w:hyperlink>
      <w:hyperlink r:id="rId13">
        <w:r w:rsidRPr="00DD6E70">
          <w:rPr>
            <w:rFonts w:asciiTheme="minorHAnsi" w:hAnsiTheme="minorHAnsi"/>
            <w:i/>
            <w:iCs/>
            <w:color w:val="auto"/>
            <w:sz w:val="16"/>
            <w:szCs w:val="16"/>
            <w:lang w:val="es-ES"/>
          </w:rPr>
          <w:t>Ley</w:t>
        </w:r>
      </w:hyperlink>
      <w:hyperlink r:id="rId14">
        <w:r w:rsidRPr="00DD6E70">
          <w:rPr>
            <w:rFonts w:asciiTheme="minorHAnsi" w:hAnsiTheme="minorHAnsi"/>
            <w:i/>
            <w:iCs/>
            <w:color w:val="auto"/>
            <w:sz w:val="16"/>
            <w:szCs w:val="16"/>
            <w:lang w:val="es-ES"/>
          </w:rPr>
          <w:t xml:space="preserve"> Orgánica de Garantía Integral de la </w:t>
        </w:r>
      </w:hyperlink>
      <w:hyperlink r:id="rId15">
        <w:r w:rsidRPr="00DD6E70">
          <w:rPr>
            <w:rFonts w:asciiTheme="minorHAnsi" w:hAnsiTheme="minorHAnsi"/>
            <w:i/>
            <w:iCs/>
            <w:color w:val="auto"/>
            <w:sz w:val="16"/>
            <w:szCs w:val="16"/>
            <w:lang w:val="es-ES"/>
          </w:rPr>
          <w:t>Libertad</w:t>
        </w:r>
      </w:hyperlink>
      <w:hyperlink r:id="rId16">
        <w:r w:rsidRPr="00DD6E70">
          <w:rPr>
            <w:rFonts w:asciiTheme="minorHAnsi" w:hAnsiTheme="minorHAnsi"/>
            <w:i/>
            <w:iCs/>
            <w:color w:val="auto"/>
            <w:sz w:val="16"/>
            <w:szCs w:val="16"/>
            <w:lang w:val="es-ES"/>
          </w:rPr>
          <w:t xml:space="preserve"> </w:t>
        </w:r>
      </w:hyperlink>
      <w:hyperlink r:id="rId17">
        <w:r w:rsidRPr="00DD6E70">
          <w:rPr>
            <w:rFonts w:asciiTheme="minorHAnsi" w:hAnsiTheme="minorHAnsi"/>
            <w:i/>
            <w:iCs/>
            <w:color w:val="auto"/>
            <w:sz w:val="16"/>
            <w:szCs w:val="16"/>
            <w:lang w:val="es-ES"/>
          </w:rPr>
          <w:t>Sexual</w:t>
        </w:r>
      </w:hyperlink>
      <w:r w:rsidR="00B90681">
        <w:rPr>
          <w:rFonts w:asciiTheme="minorHAnsi" w:hAnsiTheme="minorHAnsi"/>
          <w:i/>
          <w:iCs/>
          <w:color w:val="auto"/>
          <w:sz w:val="16"/>
          <w:szCs w:val="16"/>
          <w:lang w:val="es-ES"/>
        </w:rPr>
        <w:t xml:space="preserve">, </w:t>
      </w:r>
      <w:proofErr w:type="spellStart"/>
      <w:r w:rsidRPr="00D65A94">
        <w:rPr>
          <w:rFonts w:asciiTheme="minorHAnsi" w:hAnsiTheme="minorHAnsi"/>
          <w:color w:val="auto"/>
          <w:sz w:val="16"/>
          <w:szCs w:val="16"/>
          <w:lang w:val="es-ES"/>
        </w:rPr>
        <w:t>November</w:t>
      </w:r>
      <w:proofErr w:type="spellEnd"/>
      <w:r w:rsidRPr="00D65A94">
        <w:rPr>
          <w:rFonts w:asciiTheme="minorHAnsi" w:hAnsiTheme="minorHAnsi"/>
          <w:color w:val="auto"/>
          <w:sz w:val="16"/>
          <w:szCs w:val="16"/>
          <w:lang w:val="es-ES"/>
        </w:rPr>
        <w:t xml:space="preserve"> 2021 </w:t>
      </w:r>
      <w:r w:rsidRPr="00B90681">
        <w:rPr>
          <w:rFonts w:asciiTheme="minorHAnsi" w:hAnsiTheme="minorHAnsi"/>
          <w:color w:val="auto"/>
          <w:sz w:val="16"/>
          <w:szCs w:val="16"/>
          <w:lang w:val="es-ES"/>
        </w:rPr>
        <w:t>(</w:t>
      </w:r>
      <w:proofErr w:type="spellStart"/>
      <w:r w:rsidRPr="00B90681">
        <w:rPr>
          <w:rFonts w:asciiTheme="minorHAnsi" w:hAnsiTheme="minorHAnsi"/>
          <w:color w:val="auto"/>
          <w:sz w:val="16"/>
          <w:szCs w:val="16"/>
          <w:lang w:val="es-ES"/>
        </w:rPr>
        <w:t>Spanish</w:t>
      </w:r>
      <w:proofErr w:type="spellEnd"/>
      <w:r w:rsidRPr="00B90681">
        <w:rPr>
          <w:rFonts w:asciiTheme="minorHAnsi" w:hAnsiTheme="minorHAnsi"/>
          <w:color w:val="auto"/>
          <w:sz w:val="16"/>
          <w:szCs w:val="16"/>
          <w:lang w:val="es-ES"/>
        </w:rPr>
        <w:t xml:space="preserve"> </w:t>
      </w:r>
      <w:proofErr w:type="spellStart"/>
      <w:r w:rsidRPr="00B90681">
        <w:rPr>
          <w:rFonts w:asciiTheme="minorHAnsi" w:hAnsiTheme="minorHAnsi"/>
          <w:color w:val="auto"/>
          <w:sz w:val="16"/>
          <w:szCs w:val="16"/>
          <w:lang w:val="es-ES"/>
        </w:rPr>
        <w:t>only</w:t>
      </w:r>
      <w:proofErr w:type="spellEnd"/>
      <w:r w:rsidRPr="00B90681">
        <w:rPr>
          <w:rFonts w:asciiTheme="minorHAnsi" w:hAnsiTheme="minorHAnsi"/>
          <w:color w:val="auto"/>
          <w:sz w:val="16"/>
          <w:szCs w:val="16"/>
          <w:lang w:val="es-ES"/>
        </w:rPr>
        <w:t>)</w:t>
      </w:r>
      <w:r w:rsidR="00B90681" w:rsidRPr="00B90681">
        <w:rPr>
          <w:rFonts w:asciiTheme="minorHAnsi" w:hAnsiTheme="minorHAnsi"/>
          <w:color w:val="auto"/>
          <w:sz w:val="16"/>
          <w:szCs w:val="16"/>
          <w:lang w:val="es-ES"/>
        </w:rPr>
        <w:t>.</w:t>
      </w:r>
      <w:r w:rsidRPr="00B90681">
        <w:rPr>
          <w:rFonts w:asciiTheme="minorHAnsi" w:hAnsiTheme="minorHAnsi"/>
          <w:color w:val="auto"/>
          <w:sz w:val="16"/>
          <w:szCs w:val="16"/>
          <w:lang w:val="es-ES"/>
        </w:rPr>
        <w:t xml:space="preserve"> </w:t>
      </w:r>
      <w:r w:rsidRPr="00B90681">
        <w:rPr>
          <w:rFonts w:asciiTheme="minorHAnsi" w:hAnsiTheme="minorHAnsi"/>
          <w:sz w:val="16"/>
          <w:szCs w:val="16"/>
          <w:lang w:val="es-ES"/>
        </w:rPr>
        <w:t xml:space="preserve">               </w:t>
      </w:r>
    </w:p>
  </w:footnote>
  <w:footnote w:id="16">
    <w:p w14:paraId="718A421B" w14:textId="77777777" w:rsidR="00C265EC" w:rsidRPr="007D0347" w:rsidRDefault="00C265EC" w:rsidP="00774FB3">
      <w:pPr>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sz w:val="16"/>
          <w:szCs w:val="16"/>
          <w:vertAlign w:val="superscript"/>
          <w:lang w:val="en-GB"/>
        </w:rPr>
        <w:t xml:space="preserve">  </w:t>
      </w:r>
      <w:r w:rsidRPr="007D0347">
        <w:rPr>
          <w:rFonts w:asciiTheme="minorHAnsi" w:hAnsiTheme="minorHAnsi"/>
          <w:iCs/>
          <w:sz w:val="16"/>
          <w:szCs w:val="16"/>
          <w:lang w:val="en-GB"/>
        </w:rPr>
        <w:t xml:space="preserve">WHO requires that </w:t>
      </w:r>
      <w:r w:rsidRPr="007D0347">
        <w:rPr>
          <w:rFonts w:asciiTheme="minorHAnsi" w:hAnsiTheme="minorHAnsi"/>
          <w:i/>
          <w:iCs/>
          <w:sz w:val="16"/>
          <w:szCs w:val="16"/>
          <w:lang w:val="en-GB"/>
        </w:rPr>
        <w:t>Guidelines for medico-legal care for victims of sexual violence</w:t>
      </w:r>
      <w:r w:rsidRPr="007D0347">
        <w:rPr>
          <w:rFonts w:asciiTheme="minorHAnsi" w:hAnsiTheme="minorHAnsi"/>
          <w:sz w:val="16"/>
          <w:szCs w:val="16"/>
          <w:lang w:val="en-GB"/>
        </w:rPr>
        <w:t xml:space="preserve">. World Health Organization, 2003. </w:t>
      </w:r>
    </w:p>
  </w:footnote>
  <w:footnote w:id="17">
    <w:p w14:paraId="6016ECAF" w14:textId="1B4B0571" w:rsidR="00C265EC" w:rsidRPr="007D0347" w:rsidRDefault="00C265EC" w:rsidP="00774FB3">
      <w:pPr>
        <w:pStyle w:val="FootnoteText"/>
        <w:rPr>
          <w:rFonts w:asciiTheme="minorHAnsi" w:hAnsiTheme="minorHAnsi"/>
          <w:color w:val="auto"/>
          <w:sz w:val="16"/>
          <w:szCs w:val="16"/>
          <w:lang w:val="en-GB"/>
        </w:rPr>
      </w:pPr>
      <w:r w:rsidRPr="007D0347">
        <w:rPr>
          <w:rStyle w:val="FootnoteReference"/>
          <w:rFonts w:asciiTheme="minorHAnsi" w:hAnsiTheme="minorHAnsi"/>
          <w:sz w:val="16"/>
          <w:szCs w:val="16"/>
          <w:lang w:val="en-GB"/>
        </w:rPr>
        <w:footnoteRef/>
      </w:r>
      <w:r w:rsidRPr="007D0347">
        <w:rPr>
          <w:rFonts w:asciiTheme="minorHAnsi" w:hAnsiTheme="minorHAnsi"/>
          <w:sz w:val="16"/>
          <w:szCs w:val="16"/>
          <w:lang w:val="en-GB"/>
        </w:rPr>
        <w:t xml:space="preserve"> </w:t>
      </w:r>
      <w:r w:rsidRPr="0039733D">
        <w:rPr>
          <w:rFonts w:asciiTheme="minorHAnsi" w:eastAsia="Times New Roman" w:hAnsiTheme="minorHAnsi"/>
          <w:i/>
          <w:iCs/>
          <w:color w:val="auto"/>
          <w:sz w:val="16"/>
          <w:szCs w:val="16"/>
          <w:lang w:val="en-GB"/>
        </w:rPr>
        <w:t>Report of the Special Rapporteur on torture</w:t>
      </w:r>
      <w:r w:rsidRPr="007D0347">
        <w:rPr>
          <w:rFonts w:asciiTheme="minorHAnsi" w:hAnsiTheme="minorHAnsi"/>
          <w:color w:val="auto"/>
          <w:sz w:val="16"/>
          <w:szCs w:val="16"/>
          <w:lang w:val="en-GB"/>
        </w:rPr>
        <w:t xml:space="preserve">, 2016, A/HRC/31/57, para. 51. See also </w:t>
      </w:r>
      <w:r w:rsidRPr="0039733D">
        <w:rPr>
          <w:rFonts w:asciiTheme="minorHAnsi" w:hAnsiTheme="minorHAnsi"/>
          <w:i/>
          <w:iCs/>
          <w:color w:val="auto"/>
          <w:sz w:val="16"/>
          <w:szCs w:val="16"/>
          <w:lang w:val="en-GB"/>
        </w:rPr>
        <w:t>Report of the Special Rapporteur on torture</w:t>
      </w:r>
      <w:r w:rsidR="00B90681">
        <w:rPr>
          <w:rFonts w:asciiTheme="minorHAnsi" w:hAnsiTheme="minorHAnsi"/>
          <w:i/>
          <w:iCs/>
          <w:color w:val="auto"/>
          <w:sz w:val="16"/>
          <w:szCs w:val="16"/>
          <w:lang w:val="en-GB"/>
        </w:rPr>
        <w:t>,</w:t>
      </w:r>
      <w:r w:rsidRPr="007D0347">
        <w:rPr>
          <w:rFonts w:asciiTheme="minorHAnsi" w:hAnsiTheme="minorHAnsi"/>
          <w:color w:val="auto"/>
          <w:sz w:val="16"/>
          <w:szCs w:val="16"/>
          <w:lang w:val="en-GB"/>
        </w:rPr>
        <w:t xml:space="preserve"> </w:t>
      </w:r>
      <w:r w:rsidRPr="002B4A82">
        <w:rPr>
          <w:rFonts w:asciiTheme="minorHAnsi" w:hAnsiTheme="minorHAnsi"/>
          <w:sz w:val="16"/>
          <w:szCs w:val="16"/>
          <w:lang w:val="en-GB"/>
        </w:rPr>
        <w:t xml:space="preserve">2008, </w:t>
      </w:r>
      <w:r w:rsidRPr="002B4A82">
        <w:rPr>
          <w:rFonts w:asciiTheme="minorHAnsi" w:eastAsia="Verdana" w:hAnsiTheme="minorHAnsi" w:cs="Verdana"/>
          <w:sz w:val="16"/>
          <w:szCs w:val="16"/>
          <w:lang w:val="en-GB"/>
        </w:rPr>
        <w:t xml:space="preserve">A/HRC/7/3, para. 35. </w:t>
      </w:r>
      <w:r w:rsidRPr="007D0347">
        <w:rPr>
          <w:rFonts w:asciiTheme="minorHAnsi" w:hAnsiTheme="minorHAnsi"/>
          <w:color w:val="auto"/>
          <w:sz w:val="16"/>
          <w:szCs w:val="16"/>
          <w:lang w:val="en-GB"/>
        </w:rPr>
        <w:t xml:space="preserve">Committee against Torture decision </w:t>
      </w:r>
      <w:r w:rsidRPr="002B4A82">
        <w:rPr>
          <w:rFonts w:asciiTheme="minorHAnsi" w:hAnsiTheme="minorHAnsi"/>
          <w:i/>
          <w:color w:val="auto"/>
          <w:sz w:val="16"/>
          <w:szCs w:val="16"/>
          <w:lang w:val="en-GB"/>
        </w:rPr>
        <w:t>V.L. v. Switzerland</w:t>
      </w:r>
      <w:r w:rsidRPr="007D0347">
        <w:rPr>
          <w:rFonts w:asciiTheme="minorHAnsi" w:hAnsiTheme="minorHAnsi"/>
          <w:color w:val="auto"/>
          <w:sz w:val="16"/>
          <w:szCs w:val="16"/>
          <w:lang w:val="en-GB"/>
        </w:rPr>
        <w:t xml:space="preserve"> (CAT/C/37/D/262/2005) </w:t>
      </w:r>
      <w:r w:rsidR="0039733D">
        <w:rPr>
          <w:rFonts w:asciiTheme="minorHAnsi" w:hAnsiTheme="minorHAnsi"/>
          <w:color w:val="auto"/>
          <w:sz w:val="16"/>
          <w:szCs w:val="16"/>
          <w:lang w:val="en-GB"/>
        </w:rPr>
        <w:t>concluding that</w:t>
      </w:r>
      <w:r w:rsidRPr="007D0347">
        <w:rPr>
          <w:rFonts w:asciiTheme="minorHAnsi" w:hAnsiTheme="minorHAnsi"/>
          <w:color w:val="auto"/>
          <w:sz w:val="16"/>
          <w:szCs w:val="16"/>
          <w:lang w:val="en-GB"/>
        </w:rPr>
        <w:t xml:space="preserve"> “the sexual abuse by the police in this case constitutes torture even though it was perpetrated outside formal detention facilities”, para. </w:t>
      </w:r>
      <w:proofErr w:type="gramStart"/>
      <w:r w:rsidRPr="007D0347">
        <w:rPr>
          <w:rFonts w:asciiTheme="minorHAnsi" w:hAnsiTheme="minorHAnsi"/>
          <w:color w:val="auto"/>
          <w:sz w:val="16"/>
          <w:szCs w:val="16"/>
          <w:lang w:val="en-GB"/>
        </w:rPr>
        <w:t>8.10;.</w:t>
      </w:r>
      <w:proofErr w:type="gramEnd"/>
    </w:p>
  </w:footnote>
  <w:footnote w:id="18">
    <w:p w14:paraId="6A82DE8C" w14:textId="5761683B" w:rsidR="00C265EC" w:rsidRPr="00AD4377" w:rsidRDefault="00C265EC" w:rsidP="00774FB3">
      <w:pPr>
        <w:rPr>
          <w:rFonts w:asciiTheme="minorHAnsi" w:hAnsiTheme="minorHAnsi"/>
          <w:sz w:val="16"/>
          <w:szCs w:val="16"/>
          <w:lang w:val="es-ES"/>
        </w:rPr>
      </w:pPr>
      <w:r w:rsidRPr="007D0347">
        <w:rPr>
          <w:rFonts w:asciiTheme="minorHAnsi" w:hAnsiTheme="minorHAnsi"/>
          <w:sz w:val="16"/>
          <w:szCs w:val="16"/>
          <w:vertAlign w:val="superscript"/>
          <w:lang w:val="en-GB"/>
        </w:rPr>
        <w:footnoteRef/>
      </w:r>
      <w:r w:rsidRPr="00DD6E70">
        <w:rPr>
          <w:rFonts w:asciiTheme="minorHAnsi" w:eastAsia="Oswald" w:hAnsiTheme="minorHAnsi" w:cs="Calibri"/>
          <w:sz w:val="16"/>
          <w:szCs w:val="16"/>
          <w:lang w:val="es-ES"/>
        </w:rPr>
        <w:t xml:space="preserve"> </w:t>
      </w:r>
      <w:hyperlink r:id="rId18">
        <w:proofErr w:type="spellStart"/>
        <w:r w:rsidRPr="00DD6E70">
          <w:rPr>
            <w:rFonts w:asciiTheme="minorHAnsi" w:eastAsia="Oswald" w:hAnsiTheme="minorHAnsi" w:cs="Calibri"/>
            <w:sz w:val="16"/>
            <w:szCs w:val="16"/>
            <w:lang w:val="es-ES"/>
          </w:rPr>
          <w:t>Amnesty</w:t>
        </w:r>
        <w:proofErr w:type="spellEnd"/>
        <w:r w:rsidRPr="00DD6E70">
          <w:rPr>
            <w:rFonts w:asciiTheme="minorHAnsi" w:eastAsia="Oswald" w:hAnsiTheme="minorHAnsi" w:cs="Calibri"/>
            <w:sz w:val="16"/>
            <w:szCs w:val="16"/>
            <w:lang w:val="es-ES"/>
          </w:rPr>
          <w:t xml:space="preserve"> International</w:t>
        </w:r>
      </w:hyperlink>
      <w:r w:rsidR="00E15F6B" w:rsidRPr="00281C77">
        <w:rPr>
          <w:rFonts w:asciiTheme="minorHAnsi" w:eastAsia="Oswald" w:hAnsiTheme="minorHAnsi" w:cs="Calibri"/>
          <w:sz w:val="16"/>
          <w:szCs w:val="16"/>
          <w:lang w:val="es-ES"/>
        </w:rPr>
        <w:t xml:space="preserve">, </w:t>
      </w:r>
      <w:hyperlink r:id="rId19" w:history="1">
        <w:r w:rsidRPr="00AD4377">
          <w:rPr>
            <w:rStyle w:val="Hyperlink"/>
            <w:rFonts w:asciiTheme="minorHAnsi" w:eastAsia="Oswald" w:hAnsiTheme="minorHAnsi" w:cs="Calibri"/>
            <w:i/>
            <w:iCs/>
            <w:sz w:val="16"/>
            <w:szCs w:val="16"/>
            <w:lang w:val="es-ES"/>
          </w:rPr>
          <w:t>¿Que justicia especializada?</w:t>
        </w:r>
      </w:hyperlink>
      <w:r w:rsidR="00AD4377">
        <w:rPr>
          <w:rFonts w:asciiTheme="minorHAnsi" w:eastAsia="Oswald" w:hAnsiTheme="minorHAnsi" w:cs="Calibri"/>
          <w:i/>
          <w:iCs/>
          <w:sz w:val="16"/>
          <w:szCs w:val="16"/>
          <w:lang w:val="es-ES"/>
        </w:rPr>
        <w:t>,</w:t>
      </w:r>
      <w:r w:rsidRPr="00281C77">
        <w:rPr>
          <w:rFonts w:asciiTheme="minorHAnsi" w:eastAsia="Oswald" w:hAnsiTheme="minorHAnsi" w:cs="Calibri"/>
          <w:sz w:val="16"/>
          <w:szCs w:val="16"/>
          <w:lang w:val="es-ES"/>
        </w:rPr>
        <w:t xml:space="preserve"> </w:t>
      </w:r>
      <w:proofErr w:type="spellStart"/>
      <w:r w:rsidRPr="00AD4377">
        <w:rPr>
          <w:rFonts w:asciiTheme="minorHAnsi" w:eastAsia="Oswald" w:hAnsiTheme="minorHAnsi" w:cs="Calibri"/>
          <w:sz w:val="16"/>
          <w:szCs w:val="16"/>
          <w:lang w:val="es-ES"/>
        </w:rPr>
        <w:t>November</w:t>
      </w:r>
      <w:proofErr w:type="spellEnd"/>
      <w:r w:rsidRPr="00AD4377">
        <w:rPr>
          <w:rFonts w:asciiTheme="minorHAnsi" w:eastAsia="Oswald" w:hAnsiTheme="minorHAnsi" w:cs="Calibri"/>
          <w:i/>
          <w:sz w:val="16"/>
          <w:szCs w:val="16"/>
          <w:lang w:val="es-ES"/>
        </w:rPr>
        <w:t xml:space="preserve"> </w:t>
      </w:r>
      <w:r w:rsidRPr="00AD4377">
        <w:rPr>
          <w:rFonts w:asciiTheme="minorHAnsi" w:eastAsia="Oswald" w:hAnsiTheme="minorHAnsi" w:cs="Calibri"/>
          <w:sz w:val="16"/>
          <w:szCs w:val="16"/>
          <w:lang w:val="es-ES"/>
        </w:rPr>
        <w:t>2012</w:t>
      </w:r>
      <w:r w:rsidR="009A2D3D" w:rsidRPr="00AD4377">
        <w:rPr>
          <w:rFonts w:asciiTheme="minorHAnsi" w:eastAsia="Oswald" w:hAnsiTheme="minorHAnsi" w:cs="Calibri"/>
          <w:sz w:val="16"/>
          <w:szCs w:val="16"/>
          <w:lang w:val="es-ES"/>
        </w:rPr>
        <w:t xml:space="preserve">, </w:t>
      </w:r>
      <w:r w:rsidRPr="00AD4377">
        <w:rPr>
          <w:rFonts w:asciiTheme="minorHAnsi" w:eastAsia="Oswald" w:hAnsiTheme="minorHAnsi" w:cs="Calibri"/>
          <w:sz w:val="16"/>
          <w:szCs w:val="16"/>
          <w:lang w:val="es-ES"/>
        </w:rPr>
        <w:t>p. 11</w:t>
      </w:r>
      <w:r w:rsidR="00AD4377">
        <w:rPr>
          <w:rFonts w:asciiTheme="minorHAnsi" w:eastAsia="Oswald" w:hAnsiTheme="minorHAnsi" w:cs="Calibri"/>
          <w:sz w:val="16"/>
          <w:szCs w:val="16"/>
          <w:lang w:val="es-ES"/>
        </w:rPr>
        <w:t>.</w:t>
      </w:r>
      <w:hyperlink r:id="rId20"/>
    </w:p>
  </w:footnote>
  <w:footnote w:id="19">
    <w:p w14:paraId="39A08D0E" w14:textId="0E00C119" w:rsidR="00C265EC" w:rsidRPr="007D0347" w:rsidRDefault="00C265EC" w:rsidP="00774FB3">
      <w:pPr>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eastAsia="Oswald" w:hAnsiTheme="minorHAnsi" w:cs="Calibri"/>
          <w:sz w:val="16"/>
          <w:szCs w:val="16"/>
          <w:lang w:val="en-GB"/>
        </w:rPr>
        <w:t xml:space="preserve"> General Council of the Judiciary, </w:t>
      </w:r>
      <w:r w:rsidRPr="0027744C">
        <w:rPr>
          <w:rFonts w:asciiTheme="minorHAnsi" w:eastAsia="Oswald" w:hAnsiTheme="minorHAnsi" w:cs="Calibri"/>
          <w:i/>
          <w:sz w:val="16"/>
          <w:szCs w:val="16"/>
          <w:lang w:val="en-GB"/>
        </w:rPr>
        <w:t xml:space="preserve">Annual reports on gender violence: </w:t>
      </w:r>
      <w:proofErr w:type="spellStart"/>
      <w:r w:rsidRPr="0027744C">
        <w:rPr>
          <w:rFonts w:asciiTheme="minorHAnsi" w:eastAsia="Oswald" w:hAnsiTheme="minorHAnsi" w:cs="Calibri"/>
          <w:i/>
          <w:sz w:val="16"/>
          <w:szCs w:val="16"/>
          <w:lang w:val="en-GB"/>
        </w:rPr>
        <w:t>Datos</w:t>
      </w:r>
      <w:proofErr w:type="spellEnd"/>
      <w:r w:rsidRPr="0027744C">
        <w:rPr>
          <w:rFonts w:asciiTheme="minorHAnsi" w:eastAsia="Oswald" w:hAnsiTheme="minorHAnsi" w:cs="Calibri"/>
          <w:i/>
          <w:sz w:val="16"/>
          <w:szCs w:val="16"/>
          <w:lang w:val="en-GB"/>
        </w:rPr>
        <w:t xml:space="preserve"> </w:t>
      </w:r>
      <w:proofErr w:type="spellStart"/>
      <w:r w:rsidRPr="0027744C">
        <w:rPr>
          <w:rFonts w:asciiTheme="minorHAnsi" w:eastAsia="Oswald" w:hAnsiTheme="minorHAnsi" w:cs="Calibri"/>
          <w:i/>
          <w:sz w:val="16"/>
          <w:szCs w:val="16"/>
          <w:lang w:val="en-GB"/>
        </w:rPr>
        <w:t>estadísticos</w:t>
      </w:r>
      <w:proofErr w:type="spellEnd"/>
      <w:r w:rsidRPr="007D0347">
        <w:rPr>
          <w:rFonts w:asciiTheme="minorHAnsi" w:eastAsia="Oswald" w:hAnsiTheme="minorHAnsi" w:cs="Calibri"/>
          <w:sz w:val="16"/>
          <w:szCs w:val="16"/>
          <w:lang w:val="en-GB"/>
        </w:rPr>
        <w:t xml:space="preserve"> (including various years, Spanish only).</w:t>
      </w:r>
    </w:p>
  </w:footnote>
  <w:footnote w:id="20">
    <w:p w14:paraId="5F503703" w14:textId="77777777" w:rsidR="00C265EC" w:rsidRPr="00DD6E70" w:rsidRDefault="00C265EC" w:rsidP="00774FB3">
      <w:pPr>
        <w:rPr>
          <w:rFonts w:asciiTheme="minorHAnsi" w:hAnsiTheme="minorHAnsi"/>
          <w:sz w:val="16"/>
          <w:szCs w:val="16"/>
          <w:lang w:val="es-ES"/>
        </w:rPr>
      </w:pPr>
      <w:r w:rsidRPr="007D0347">
        <w:rPr>
          <w:rFonts w:asciiTheme="minorHAnsi" w:hAnsiTheme="minorHAnsi"/>
          <w:sz w:val="16"/>
          <w:szCs w:val="16"/>
          <w:vertAlign w:val="superscript"/>
          <w:lang w:val="en-GB"/>
        </w:rPr>
        <w:footnoteRef/>
      </w:r>
      <w:r w:rsidRPr="00DD6E70">
        <w:rPr>
          <w:rFonts w:asciiTheme="minorHAnsi" w:eastAsia="Oswald" w:hAnsiTheme="minorHAnsi" w:cs="Calibri"/>
          <w:sz w:val="16"/>
          <w:szCs w:val="16"/>
          <w:lang w:val="es-ES"/>
        </w:rPr>
        <w:t xml:space="preserve"> Ley 27/2003, de 31 de julio, reguladora de la Orden de protección de las víctimas de la violencia doméstica (</w:t>
      </w:r>
      <w:proofErr w:type="spellStart"/>
      <w:r w:rsidRPr="00DD6E70">
        <w:rPr>
          <w:rFonts w:asciiTheme="minorHAnsi" w:eastAsia="Oswald" w:hAnsiTheme="minorHAnsi" w:cs="Calibri"/>
          <w:sz w:val="16"/>
          <w:szCs w:val="16"/>
          <w:lang w:val="es-ES"/>
        </w:rPr>
        <w:t>Spanish</w:t>
      </w:r>
      <w:proofErr w:type="spellEnd"/>
      <w:r w:rsidRPr="00DD6E70">
        <w:rPr>
          <w:rFonts w:asciiTheme="minorHAnsi" w:eastAsia="Oswald" w:hAnsiTheme="minorHAnsi" w:cs="Calibri"/>
          <w:sz w:val="16"/>
          <w:szCs w:val="16"/>
          <w:lang w:val="es-ES"/>
        </w:rPr>
        <w:t xml:space="preserve"> </w:t>
      </w:r>
      <w:proofErr w:type="spellStart"/>
      <w:r w:rsidRPr="00DD6E70">
        <w:rPr>
          <w:rFonts w:asciiTheme="minorHAnsi" w:eastAsia="Oswald" w:hAnsiTheme="minorHAnsi" w:cs="Calibri"/>
          <w:sz w:val="16"/>
          <w:szCs w:val="16"/>
          <w:lang w:val="es-ES"/>
        </w:rPr>
        <w:t>only</w:t>
      </w:r>
      <w:proofErr w:type="spellEnd"/>
      <w:r w:rsidRPr="00DD6E70">
        <w:rPr>
          <w:rFonts w:asciiTheme="minorHAnsi" w:eastAsia="Oswald" w:hAnsiTheme="minorHAnsi" w:cs="Calibri"/>
          <w:sz w:val="16"/>
          <w:szCs w:val="16"/>
          <w:lang w:val="es-ES"/>
        </w:rPr>
        <w:t>).</w:t>
      </w:r>
    </w:p>
  </w:footnote>
  <w:footnote w:id="21">
    <w:p w14:paraId="235B61A2" w14:textId="2607FDA8" w:rsidR="00C265EC" w:rsidRPr="002E31BD" w:rsidRDefault="00C265EC" w:rsidP="00774FB3">
      <w:pPr>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eastAsia="Oswald" w:hAnsiTheme="minorHAnsi" w:cs="Calibri"/>
          <w:color w:val="000000"/>
          <w:sz w:val="16"/>
          <w:szCs w:val="16"/>
          <w:lang w:val="en-GB"/>
        </w:rPr>
        <w:t xml:space="preserve"> Attorney General Annual report</w:t>
      </w:r>
      <w:r w:rsidRPr="007D0347">
        <w:rPr>
          <w:rFonts w:asciiTheme="minorHAnsi" w:eastAsia="Oswald" w:hAnsiTheme="minorHAnsi" w:cs="Oswald"/>
          <w:sz w:val="16"/>
          <w:szCs w:val="16"/>
          <w:lang w:val="en-GB"/>
        </w:rPr>
        <w:t xml:space="preserve">s. </w:t>
      </w:r>
      <w:hyperlink r:id="rId21" w:history="1">
        <w:r w:rsidRPr="002E31BD">
          <w:rPr>
            <w:rStyle w:val="Hyperlink"/>
            <w:rFonts w:asciiTheme="minorHAnsi" w:eastAsia="Oswald" w:hAnsiTheme="minorHAnsi" w:cs="Oswald"/>
            <w:sz w:val="16"/>
            <w:szCs w:val="16"/>
            <w:lang w:val="en-GB"/>
          </w:rPr>
          <w:t>Years 2020 and 2021</w:t>
        </w:r>
        <w:r w:rsidR="00281038" w:rsidRPr="002E31BD">
          <w:rPr>
            <w:rStyle w:val="Hyperlink"/>
            <w:rFonts w:asciiTheme="minorHAnsi" w:eastAsia="Oswald" w:hAnsiTheme="minorHAnsi" w:cs="Oswald"/>
            <w:sz w:val="16"/>
            <w:szCs w:val="16"/>
            <w:lang w:val="en-GB"/>
          </w:rPr>
          <w:t>.</w:t>
        </w:r>
      </w:hyperlink>
      <w:r w:rsidR="00281038" w:rsidRPr="002E31BD">
        <w:rPr>
          <w:rFonts w:asciiTheme="minorHAnsi" w:eastAsia="Oswald" w:hAnsiTheme="minorHAnsi" w:cs="Oswald"/>
          <w:sz w:val="16"/>
          <w:szCs w:val="16"/>
          <w:lang w:val="en-GB"/>
        </w:rPr>
        <w:t xml:space="preserve"> </w:t>
      </w:r>
    </w:p>
  </w:footnote>
  <w:footnote w:id="22">
    <w:p w14:paraId="03BD3AC7" w14:textId="77777777" w:rsidR="00C265EC" w:rsidRPr="00DD6E70" w:rsidRDefault="00C265EC" w:rsidP="00774FB3">
      <w:pPr>
        <w:rPr>
          <w:rFonts w:asciiTheme="minorHAnsi" w:hAnsiTheme="minorHAnsi"/>
          <w:sz w:val="16"/>
          <w:szCs w:val="16"/>
          <w:lang w:val="es-ES"/>
        </w:rPr>
      </w:pPr>
      <w:r w:rsidRPr="007D0347">
        <w:rPr>
          <w:rFonts w:asciiTheme="minorHAnsi" w:hAnsiTheme="minorHAnsi"/>
          <w:sz w:val="16"/>
          <w:szCs w:val="16"/>
          <w:vertAlign w:val="superscript"/>
          <w:lang w:val="en-GB"/>
        </w:rPr>
        <w:footnoteRef/>
      </w:r>
      <w:r w:rsidRPr="00DD6E70">
        <w:rPr>
          <w:rFonts w:asciiTheme="minorHAnsi" w:hAnsiTheme="minorHAnsi" w:cs="Calibri"/>
          <w:sz w:val="16"/>
          <w:szCs w:val="16"/>
          <w:lang w:val="es-ES"/>
        </w:rPr>
        <w:t xml:space="preserve"> </w:t>
      </w:r>
      <w:proofErr w:type="spellStart"/>
      <w:r w:rsidRPr="00DD6E70">
        <w:rPr>
          <w:rFonts w:asciiTheme="minorHAnsi" w:hAnsiTheme="minorHAnsi" w:cs="Calibri"/>
          <w:sz w:val="16"/>
          <w:szCs w:val="16"/>
          <w:lang w:val="es-ES"/>
        </w:rPr>
        <w:t>Ministry</w:t>
      </w:r>
      <w:proofErr w:type="spellEnd"/>
      <w:r w:rsidRPr="00DD6E70">
        <w:rPr>
          <w:rFonts w:asciiTheme="minorHAnsi" w:hAnsiTheme="minorHAnsi" w:cs="Calibri"/>
          <w:sz w:val="16"/>
          <w:szCs w:val="16"/>
          <w:lang w:val="es-ES"/>
        </w:rPr>
        <w:t xml:space="preserve"> </w:t>
      </w:r>
      <w:proofErr w:type="spellStart"/>
      <w:r w:rsidRPr="00DD6E70">
        <w:rPr>
          <w:rFonts w:asciiTheme="minorHAnsi" w:hAnsiTheme="minorHAnsi" w:cs="Calibri"/>
          <w:sz w:val="16"/>
          <w:szCs w:val="16"/>
          <w:lang w:val="es-ES"/>
        </w:rPr>
        <w:t>of</w:t>
      </w:r>
      <w:proofErr w:type="spellEnd"/>
      <w:r w:rsidRPr="00DD6E70">
        <w:rPr>
          <w:rFonts w:asciiTheme="minorHAnsi" w:hAnsiTheme="minorHAnsi" w:cs="Calibri"/>
          <w:sz w:val="16"/>
          <w:szCs w:val="16"/>
          <w:lang w:val="es-ES"/>
        </w:rPr>
        <w:t xml:space="preserve"> </w:t>
      </w:r>
      <w:proofErr w:type="spellStart"/>
      <w:r w:rsidRPr="00DD6E70">
        <w:rPr>
          <w:rFonts w:asciiTheme="minorHAnsi" w:hAnsiTheme="minorHAnsi" w:cs="Calibri"/>
          <w:sz w:val="16"/>
          <w:szCs w:val="16"/>
          <w:lang w:val="es-ES"/>
        </w:rPr>
        <w:t>Justice</w:t>
      </w:r>
      <w:proofErr w:type="spellEnd"/>
      <w:r w:rsidRPr="00DD6E70">
        <w:rPr>
          <w:rFonts w:asciiTheme="minorHAnsi" w:hAnsiTheme="minorHAnsi" w:cs="Calibri"/>
          <w:sz w:val="16"/>
          <w:szCs w:val="16"/>
          <w:lang w:val="es-ES"/>
        </w:rPr>
        <w:t xml:space="preserve">, </w:t>
      </w:r>
      <w:r w:rsidRPr="00DD6E70">
        <w:rPr>
          <w:rFonts w:asciiTheme="minorHAnsi" w:eastAsia="Oswald" w:hAnsiTheme="minorHAnsi" w:cs="Calibri"/>
          <w:i/>
          <w:iCs/>
          <w:sz w:val="16"/>
          <w:szCs w:val="16"/>
          <w:lang w:val="es-ES"/>
        </w:rPr>
        <w:t xml:space="preserve">Informe sobre la evaluación periódica de atención a las víctimas del delito (2017), </w:t>
      </w:r>
      <w:r w:rsidRPr="00DD6E70">
        <w:rPr>
          <w:rFonts w:asciiTheme="minorHAnsi" w:eastAsia="Oswald" w:hAnsiTheme="minorHAnsi" w:cs="Calibri"/>
          <w:sz w:val="16"/>
          <w:szCs w:val="16"/>
          <w:lang w:val="es-ES"/>
        </w:rPr>
        <w:t>(</w:t>
      </w:r>
      <w:proofErr w:type="spellStart"/>
      <w:r w:rsidRPr="00DD6E70">
        <w:rPr>
          <w:rFonts w:asciiTheme="minorHAnsi" w:eastAsia="Oswald" w:hAnsiTheme="minorHAnsi" w:cs="Calibri"/>
          <w:sz w:val="16"/>
          <w:szCs w:val="16"/>
          <w:lang w:val="es-ES"/>
        </w:rPr>
        <w:t>Spanish</w:t>
      </w:r>
      <w:proofErr w:type="spellEnd"/>
      <w:r w:rsidRPr="00DD6E70">
        <w:rPr>
          <w:rFonts w:asciiTheme="minorHAnsi" w:eastAsia="Oswald" w:hAnsiTheme="minorHAnsi" w:cs="Calibri"/>
          <w:sz w:val="16"/>
          <w:szCs w:val="16"/>
          <w:lang w:val="es-ES"/>
        </w:rPr>
        <w:t xml:space="preserve"> </w:t>
      </w:r>
      <w:proofErr w:type="spellStart"/>
      <w:r w:rsidRPr="00DD6E70">
        <w:rPr>
          <w:rFonts w:asciiTheme="minorHAnsi" w:eastAsia="Oswald" w:hAnsiTheme="minorHAnsi" w:cs="Calibri"/>
          <w:sz w:val="16"/>
          <w:szCs w:val="16"/>
          <w:lang w:val="es-ES"/>
        </w:rPr>
        <w:t>only</w:t>
      </w:r>
      <w:proofErr w:type="spellEnd"/>
      <w:r w:rsidRPr="00DD6E70">
        <w:rPr>
          <w:rFonts w:asciiTheme="minorHAnsi" w:eastAsia="Oswald" w:hAnsiTheme="minorHAnsi" w:cs="Calibri"/>
          <w:sz w:val="16"/>
          <w:szCs w:val="16"/>
          <w:lang w:val="es-ES"/>
        </w:rPr>
        <w:t>)</w:t>
      </w:r>
      <w:r w:rsidRPr="00DD6E70">
        <w:rPr>
          <w:rFonts w:asciiTheme="minorHAnsi" w:eastAsia="Oswald" w:hAnsiTheme="minorHAnsi" w:cs="Calibri"/>
          <w:i/>
          <w:iCs/>
          <w:sz w:val="16"/>
          <w:szCs w:val="16"/>
          <w:lang w:val="es-ES"/>
        </w:rPr>
        <w:t>.</w:t>
      </w:r>
    </w:p>
  </w:footnote>
  <w:footnote w:id="23">
    <w:p w14:paraId="0D849D3E" w14:textId="239F1300" w:rsidR="00C265EC" w:rsidRPr="007D0347" w:rsidRDefault="00C265EC" w:rsidP="00774FB3">
      <w:pPr>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eastAsia="Oswald" w:hAnsiTheme="minorHAnsi" w:cs="Calibri"/>
          <w:sz w:val="16"/>
          <w:szCs w:val="16"/>
          <w:lang w:val="en-GB"/>
        </w:rPr>
        <w:t xml:space="preserve"> Attorney General report 2020, page 784.</w:t>
      </w:r>
    </w:p>
  </w:footnote>
  <w:footnote w:id="24">
    <w:p w14:paraId="339108CC" w14:textId="1F6C1BC8" w:rsidR="00C265EC" w:rsidRPr="002E31BD" w:rsidRDefault="00C265EC" w:rsidP="00774FB3">
      <w:pPr>
        <w:pStyle w:val="FootnoteText"/>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2E31BD">
        <w:rPr>
          <w:rFonts w:asciiTheme="minorHAnsi" w:hAnsiTheme="minorHAnsi"/>
          <w:sz w:val="16"/>
          <w:szCs w:val="16"/>
          <w:lang w:val="en-GB"/>
        </w:rPr>
        <w:t xml:space="preserve"> </w:t>
      </w:r>
      <w:r w:rsidRPr="002E31BD">
        <w:rPr>
          <w:rFonts w:asciiTheme="minorHAnsi" w:eastAsia="Oswald" w:hAnsiTheme="minorHAnsi" w:cs="Oswald"/>
          <w:sz w:val="16"/>
          <w:szCs w:val="16"/>
          <w:lang w:val="en-GB"/>
        </w:rPr>
        <w:t>Attorney General report 2021</w:t>
      </w:r>
      <w:r w:rsidR="00C3461C" w:rsidRPr="002E31BD">
        <w:rPr>
          <w:rFonts w:asciiTheme="minorHAnsi" w:eastAsia="Oswald" w:hAnsiTheme="minorHAnsi" w:cs="Oswald"/>
          <w:sz w:val="16"/>
          <w:szCs w:val="16"/>
          <w:lang w:val="en-GB"/>
        </w:rPr>
        <w:t>,</w:t>
      </w:r>
      <w:r w:rsidRPr="002E31BD">
        <w:rPr>
          <w:rFonts w:asciiTheme="minorHAnsi" w:eastAsia="Oswald" w:hAnsiTheme="minorHAnsi" w:cs="Oswald"/>
          <w:sz w:val="16"/>
          <w:szCs w:val="16"/>
          <w:lang w:val="en-GB"/>
        </w:rPr>
        <w:t xml:space="preserve"> page 728. </w:t>
      </w:r>
    </w:p>
  </w:footnote>
  <w:footnote w:id="25">
    <w:p w14:paraId="5E0B5991" w14:textId="0049362A" w:rsidR="00C265EC" w:rsidRPr="00C3461C" w:rsidRDefault="00C265EC" w:rsidP="00774FB3">
      <w:pPr>
        <w:rPr>
          <w:rFonts w:asciiTheme="minorHAnsi" w:hAnsiTheme="minorHAnsi"/>
          <w:sz w:val="16"/>
          <w:szCs w:val="16"/>
          <w:lang w:val="es-ES"/>
        </w:rPr>
      </w:pPr>
      <w:r w:rsidRPr="007D0347">
        <w:rPr>
          <w:rFonts w:asciiTheme="minorHAnsi" w:hAnsiTheme="minorHAnsi"/>
          <w:sz w:val="16"/>
          <w:szCs w:val="16"/>
          <w:vertAlign w:val="superscript"/>
          <w:lang w:val="en-GB"/>
        </w:rPr>
        <w:footnoteRef/>
      </w:r>
      <w:r w:rsidRPr="00DD6E70">
        <w:rPr>
          <w:rFonts w:asciiTheme="minorHAnsi" w:eastAsia="Oswald" w:hAnsiTheme="minorHAnsi" w:cs="Calibri"/>
          <w:sz w:val="16"/>
          <w:szCs w:val="16"/>
          <w:lang w:val="es-ES"/>
        </w:rPr>
        <w:t xml:space="preserve"> Delegación de Gobierno contra la Violencia de Género: </w:t>
      </w:r>
      <w:hyperlink r:id="rId22">
        <w:proofErr w:type="spellStart"/>
        <w:r w:rsidRPr="00DD6E70">
          <w:rPr>
            <w:rFonts w:asciiTheme="minorHAnsi" w:eastAsia="Oswald" w:hAnsiTheme="minorHAnsi" w:cs="Calibri"/>
            <w:sz w:val="16"/>
            <w:szCs w:val="16"/>
            <w:lang w:val="es-ES"/>
          </w:rPr>
          <w:t>Boletin</w:t>
        </w:r>
        <w:proofErr w:type="spellEnd"/>
        <w:r w:rsidRPr="00DD6E70">
          <w:rPr>
            <w:rFonts w:asciiTheme="minorHAnsi" w:eastAsia="Oswald" w:hAnsiTheme="minorHAnsi" w:cs="Calibri"/>
            <w:sz w:val="16"/>
            <w:szCs w:val="16"/>
            <w:lang w:val="es-ES"/>
          </w:rPr>
          <w:t xml:space="preserve"> estadístico anual</w:t>
        </w:r>
        <w:r w:rsidR="00C3461C">
          <w:rPr>
            <w:rFonts w:asciiTheme="minorHAnsi" w:eastAsia="Oswald" w:hAnsiTheme="minorHAnsi" w:cs="Calibri"/>
            <w:sz w:val="16"/>
            <w:szCs w:val="16"/>
            <w:lang w:val="es-ES"/>
          </w:rPr>
          <w:t xml:space="preserve">, </w:t>
        </w:r>
        <w:r w:rsidRPr="00C3461C">
          <w:rPr>
            <w:rFonts w:asciiTheme="minorHAnsi" w:eastAsia="Oswald" w:hAnsiTheme="minorHAnsi" w:cs="Calibri"/>
            <w:sz w:val="16"/>
            <w:szCs w:val="16"/>
            <w:lang w:val="es-ES"/>
          </w:rPr>
          <w:t>2020</w:t>
        </w:r>
      </w:hyperlink>
      <w:r w:rsidR="00C3461C" w:rsidRPr="00C3461C">
        <w:rPr>
          <w:rFonts w:asciiTheme="minorHAnsi" w:eastAsia="Oswald" w:hAnsiTheme="minorHAnsi" w:cs="Calibri"/>
          <w:sz w:val="16"/>
          <w:szCs w:val="16"/>
          <w:lang w:val="es-ES"/>
        </w:rPr>
        <w:t xml:space="preserve">, </w:t>
      </w:r>
      <w:r w:rsidR="00C3461C">
        <w:rPr>
          <w:rFonts w:asciiTheme="minorHAnsi" w:eastAsia="Oswald" w:hAnsiTheme="minorHAnsi" w:cs="Calibri"/>
          <w:sz w:val="16"/>
          <w:szCs w:val="16"/>
          <w:lang w:val="es-ES"/>
        </w:rPr>
        <w:t>p</w:t>
      </w:r>
      <w:r w:rsidRPr="00C3461C">
        <w:rPr>
          <w:rFonts w:asciiTheme="minorHAnsi" w:eastAsia="Oswald" w:hAnsiTheme="minorHAnsi" w:cs="Calibri"/>
          <w:sz w:val="16"/>
          <w:szCs w:val="16"/>
          <w:lang w:val="es-ES"/>
        </w:rPr>
        <w:t>age 77</w:t>
      </w:r>
      <w:r w:rsidR="00C3461C">
        <w:rPr>
          <w:rFonts w:asciiTheme="minorHAnsi" w:eastAsia="Oswald" w:hAnsiTheme="minorHAnsi" w:cs="Calibri"/>
          <w:sz w:val="16"/>
          <w:szCs w:val="16"/>
          <w:lang w:val="es-ES"/>
        </w:rPr>
        <w:t>.</w:t>
      </w:r>
    </w:p>
  </w:footnote>
  <w:footnote w:id="26">
    <w:p w14:paraId="7477F93F" w14:textId="081B3899" w:rsidR="00C265EC" w:rsidRPr="00C3461C" w:rsidRDefault="00C265EC" w:rsidP="00774FB3">
      <w:pPr>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sz w:val="16"/>
          <w:szCs w:val="16"/>
          <w:lang w:val="en-GB"/>
        </w:rPr>
        <w:t xml:space="preserve"> Attorney General report 2020, page </w:t>
      </w:r>
      <w:r w:rsidR="00867A91" w:rsidRPr="007D0347">
        <w:rPr>
          <w:rFonts w:asciiTheme="minorHAnsi" w:hAnsiTheme="minorHAnsi"/>
          <w:sz w:val="16"/>
          <w:szCs w:val="16"/>
          <w:lang w:val="en-GB"/>
        </w:rPr>
        <w:t>787; and</w:t>
      </w:r>
      <w:r w:rsidRPr="007D0347">
        <w:rPr>
          <w:rFonts w:asciiTheme="minorHAnsi" w:hAnsiTheme="minorHAnsi"/>
          <w:sz w:val="16"/>
          <w:szCs w:val="16"/>
          <w:lang w:val="en-GB"/>
        </w:rPr>
        <w:t xml:space="preserve"> Attorney General Report 2021</w:t>
      </w:r>
      <w:r w:rsidR="00C3461C">
        <w:rPr>
          <w:rFonts w:asciiTheme="minorHAnsi" w:hAnsiTheme="minorHAnsi"/>
          <w:sz w:val="16"/>
          <w:szCs w:val="16"/>
          <w:lang w:val="en-GB"/>
        </w:rPr>
        <w:t>, p</w:t>
      </w:r>
      <w:r w:rsidRPr="00C3461C">
        <w:rPr>
          <w:rFonts w:asciiTheme="minorHAnsi" w:hAnsiTheme="minorHAnsi"/>
          <w:sz w:val="16"/>
          <w:szCs w:val="16"/>
          <w:lang w:val="en-GB"/>
        </w:rPr>
        <w:t>age</w:t>
      </w:r>
      <w:r w:rsidR="00C3461C" w:rsidRPr="00C3461C">
        <w:rPr>
          <w:rFonts w:asciiTheme="minorHAnsi" w:hAnsiTheme="minorHAnsi"/>
          <w:sz w:val="16"/>
          <w:szCs w:val="16"/>
          <w:lang w:val="en-GB"/>
        </w:rPr>
        <w:t>,</w:t>
      </w:r>
      <w:r w:rsidRPr="00C3461C">
        <w:rPr>
          <w:rFonts w:asciiTheme="minorHAnsi" w:hAnsiTheme="minorHAnsi"/>
          <w:sz w:val="16"/>
          <w:szCs w:val="16"/>
          <w:lang w:val="en-GB"/>
        </w:rPr>
        <w:t xml:space="preserve"> 741.                                     </w:t>
      </w:r>
    </w:p>
  </w:footnote>
  <w:footnote w:id="27">
    <w:p w14:paraId="39A1E378" w14:textId="67CC2536" w:rsidR="00C265EC" w:rsidRPr="00DD6E70" w:rsidRDefault="00C265EC" w:rsidP="00774FB3">
      <w:pPr>
        <w:rPr>
          <w:rFonts w:asciiTheme="minorHAnsi" w:hAnsiTheme="minorHAnsi"/>
          <w:sz w:val="16"/>
          <w:szCs w:val="16"/>
          <w:lang w:val="fr-FR"/>
        </w:rPr>
      </w:pPr>
      <w:r w:rsidRPr="007D0347">
        <w:rPr>
          <w:rFonts w:asciiTheme="minorHAnsi" w:hAnsiTheme="minorHAnsi"/>
          <w:sz w:val="16"/>
          <w:szCs w:val="16"/>
          <w:vertAlign w:val="superscript"/>
          <w:lang w:val="en-GB"/>
        </w:rPr>
        <w:footnoteRef/>
      </w:r>
      <w:r w:rsidRPr="00DD6E70">
        <w:rPr>
          <w:rFonts w:asciiTheme="minorHAnsi" w:hAnsiTheme="minorHAnsi"/>
          <w:sz w:val="16"/>
          <w:szCs w:val="16"/>
          <w:lang w:val="fr-FR"/>
        </w:rPr>
        <w:t xml:space="preserve"> </w:t>
      </w:r>
      <w:hyperlink r:id="rId23">
        <w:r w:rsidRPr="00DD6E70">
          <w:rPr>
            <w:rFonts w:asciiTheme="minorHAnsi" w:hAnsiTheme="minorHAnsi"/>
            <w:color w:val="auto"/>
            <w:sz w:val="16"/>
            <w:szCs w:val="16"/>
            <w:lang w:val="fr-FR"/>
          </w:rPr>
          <w:t>https://www.defensordelpueblo.es/resoluciones/aplicar-el-protocolo-medico-forense-de-valoracion-elaborado-por-el-ministerio-de-justicia-en-2011-en-todos-los-casos-de-valoracion-de-riesgo-de-violencia-de-genero/</w:t>
        </w:r>
      </w:hyperlink>
      <w:r w:rsidRPr="00DD6E70">
        <w:rPr>
          <w:rFonts w:asciiTheme="minorHAnsi" w:hAnsiTheme="minorHAnsi"/>
          <w:sz w:val="16"/>
          <w:szCs w:val="16"/>
          <w:lang w:val="fr-FR"/>
        </w:rPr>
        <w:t xml:space="preserve"> </w:t>
      </w:r>
    </w:p>
  </w:footnote>
  <w:footnote w:id="28">
    <w:p w14:paraId="12A0368F" w14:textId="1F41570E" w:rsidR="00C265EC" w:rsidRPr="00FA2692" w:rsidRDefault="00C265EC" w:rsidP="00774FB3">
      <w:pPr>
        <w:rPr>
          <w:rFonts w:asciiTheme="minorHAnsi" w:hAnsiTheme="minorHAnsi"/>
          <w:sz w:val="16"/>
          <w:szCs w:val="16"/>
          <w:lang w:val="es-ES"/>
        </w:rPr>
      </w:pPr>
      <w:r w:rsidRPr="007D0347">
        <w:rPr>
          <w:rFonts w:asciiTheme="minorHAnsi" w:hAnsiTheme="minorHAnsi"/>
          <w:sz w:val="16"/>
          <w:szCs w:val="16"/>
          <w:vertAlign w:val="superscript"/>
          <w:lang w:val="en-GB"/>
        </w:rPr>
        <w:footnoteRef/>
      </w:r>
      <w:r w:rsidRPr="00DD6E70">
        <w:rPr>
          <w:rFonts w:asciiTheme="minorHAnsi" w:hAnsiTheme="minorHAnsi"/>
          <w:sz w:val="16"/>
          <w:szCs w:val="16"/>
          <w:lang w:val="es-ES"/>
        </w:rPr>
        <w:t xml:space="preserve"> </w:t>
      </w:r>
      <w:hyperlink r:id="rId24" w:history="1">
        <w:r w:rsidRPr="00FA2692">
          <w:rPr>
            <w:rStyle w:val="Hyperlink"/>
            <w:rFonts w:asciiTheme="minorHAnsi" w:eastAsia="Oswald" w:hAnsiTheme="minorHAnsi" w:cs="Calibri"/>
            <w:sz w:val="16"/>
            <w:szCs w:val="16"/>
            <w:lang w:val="es-ES"/>
          </w:rPr>
          <w:t xml:space="preserve">General Council </w:t>
        </w:r>
        <w:proofErr w:type="spellStart"/>
        <w:r w:rsidRPr="00FA2692">
          <w:rPr>
            <w:rStyle w:val="Hyperlink"/>
            <w:rFonts w:asciiTheme="minorHAnsi" w:eastAsia="Oswald" w:hAnsiTheme="minorHAnsi" w:cs="Calibri"/>
            <w:sz w:val="16"/>
            <w:szCs w:val="16"/>
            <w:lang w:val="es-ES"/>
          </w:rPr>
          <w:t>of</w:t>
        </w:r>
        <w:proofErr w:type="spellEnd"/>
        <w:r w:rsidRPr="00FA2692">
          <w:rPr>
            <w:rStyle w:val="Hyperlink"/>
            <w:rFonts w:asciiTheme="minorHAnsi" w:eastAsia="Oswald" w:hAnsiTheme="minorHAnsi" w:cs="Calibri"/>
            <w:sz w:val="16"/>
            <w:szCs w:val="16"/>
            <w:lang w:val="es-ES"/>
          </w:rPr>
          <w:t xml:space="preserve"> </w:t>
        </w:r>
        <w:proofErr w:type="spellStart"/>
        <w:r w:rsidRPr="00FA2692">
          <w:rPr>
            <w:rStyle w:val="Hyperlink"/>
            <w:rFonts w:asciiTheme="minorHAnsi" w:eastAsia="Oswald" w:hAnsiTheme="minorHAnsi" w:cs="Calibri"/>
            <w:sz w:val="16"/>
            <w:szCs w:val="16"/>
            <w:lang w:val="es-ES"/>
          </w:rPr>
          <w:t>the</w:t>
        </w:r>
        <w:proofErr w:type="spellEnd"/>
        <w:r w:rsidRPr="00FA2692">
          <w:rPr>
            <w:rStyle w:val="Hyperlink"/>
            <w:rFonts w:asciiTheme="minorHAnsi" w:eastAsia="Oswald" w:hAnsiTheme="minorHAnsi" w:cs="Calibri"/>
            <w:sz w:val="16"/>
            <w:szCs w:val="16"/>
            <w:lang w:val="es-ES"/>
          </w:rPr>
          <w:t xml:space="preserve"> </w:t>
        </w:r>
        <w:proofErr w:type="spellStart"/>
        <w:r w:rsidRPr="00FA2692">
          <w:rPr>
            <w:rStyle w:val="Hyperlink"/>
            <w:rFonts w:asciiTheme="minorHAnsi" w:eastAsia="Oswald" w:hAnsiTheme="minorHAnsi" w:cs="Calibri"/>
            <w:sz w:val="16"/>
            <w:szCs w:val="16"/>
            <w:lang w:val="es-ES"/>
          </w:rPr>
          <w:t>Judiciary</w:t>
        </w:r>
        <w:proofErr w:type="spellEnd"/>
        <w:r w:rsidRPr="00FA2692">
          <w:rPr>
            <w:rStyle w:val="Hyperlink"/>
            <w:rFonts w:asciiTheme="minorHAnsi" w:eastAsia="Oswald" w:hAnsiTheme="minorHAnsi" w:cs="Calibri"/>
            <w:sz w:val="16"/>
            <w:szCs w:val="16"/>
            <w:lang w:val="es-ES"/>
          </w:rPr>
          <w:t xml:space="preserve">, </w:t>
        </w:r>
        <w:proofErr w:type="spellStart"/>
        <w:r w:rsidRPr="00FA2692">
          <w:rPr>
            <w:rStyle w:val="Hyperlink"/>
            <w:rFonts w:asciiTheme="minorHAnsi" w:eastAsia="Oswald" w:hAnsiTheme="minorHAnsi" w:cs="Calibri"/>
            <w:sz w:val="16"/>
            <w:szCs w:val="16"/>
            <w:lang w:val="es-ES"/>
          </w:rPr>
          <w:t>Observatory</w:t>
        </w:r>
        <w:proofErr w:type="spellEnd"/>
        <w:r w:rsidRPr="00FA2692">
          <w:rPr>
            <w:rStyle w:val="Hyperlink"/>
            <w:rFonts w:asciiTheme="minorHAnsi" w:eastAsia="Oswald" w:hAnsiTheme="minorHAnsi" w:cs="Calibri"/>
            <w:sz w:val="16"/>
            <w:szCs w:val="16"/>
            <w:lang w:val="es-ES"/>
          </w:rPr>
          <w:t xml:space="preserve"> </w:t>
        </w:r>
        <w:proofErr w:type="spellStart"/>
        <w:r w:rsidRPr="00FA2692">
          <w:rPr>
            <w:rStyle w:val="Hyperlink"/>
            <w:rFonts w:asciiTheme="minorHAnsi" w:eastAsia="Oswald" w:hAnsiTheme="minorHAnsi" w:cs="Calibri"/>
            <w:sz w:val="16"/>
            <w:szCs w:val="16"/>
            <w:lang w:val="es-ES"/>
          </w:rPr>
          <w:t>against</w:t>
        </w:r>
        <w:proofErr w:type="spellEnd"/>
        <w:r w:rsidRPr="00FA2692">
          <w:rPr>
            <w:rStyle w:val="Hyperlink"/>
            <w:rFonts w:asciiTheme="minorHAnsi" w:eastAsia="Oswald" w:hAnsiTheme="minorHAnsi" w:cs="Calibri"/>
            <w:sz w:val="16"/>
            <w:szCs w:val="16"/>
            <w:lang w:val="es-ES"/>
          </w:rPr>
          <w:t xml:space="preserve"> </w:t>
        </w:r>
        <w:proofErr w:type="spellStart"/>
        <w:r w:rsidRPr="00FA2692">
          <w:rPr>
            <w:rStyle w:val="Hyperlink"/>
            <w:rFonts w:asciiTheme="minorHAnsi" w:eastAsia="Oswald" w:hAnsiTheme="minorHAnsi" w:cs="Calibri"/>
            <w:sz w:val="16"/>
            <w:szCs w:val="16"/>
            <w:lang w:val="es-ES"/>
          </w:rPr>
          <w:t>Domestic</w:t>
        </w:r>
        <w:proofErr w:type="spellEnd"/>
        <w:r w:rsidRPr="00FA2692">
          <w:rPr>
            <w:rStyle w:val="Hyperlink"/>
            <w:rFonts w:asciiTheme="minorHAnsi" w:eastAsia="Oswald" w:hAnsiTheme="minorHAnsi" w:cs="Calibri"/>
            <w:sz w:val="16"/>
            <w:szCs w:val="16"/>
            <w:lang w:val="es-ES"/>
          </w:rPr>
          <w:t xml:space="preserve"> and </w:t>
        </w:r>
        <w:proofErr w:type="spellStart"/>
        <w:r w:rsidRPr="00FA2692">
          <w:rPr>
            <w:rStyle w:val="Hyperlink"/>
            <w:rFonts w:asciiTheme="minorHAnsi" w:eastAsia="Oswald" w:hAnsiTheme="minorHAnsi" w:cs="Calibri"/>
            <w:sz w:val="16"/>
            <w:szCs w:val="16"/>
            <w:lang w:val="es-ES"/>
          </w:rPr>
          <w:t>Gender-Based</w:t>
        </w:r>
        <w:proofErr w:type="spellEnd"/>
        <w:r w:rsidRPr="00FA2692">
          <w:rPr>
            <w:rStyle w:val="Hyperlink"/>
            <w:rFonts w:asciiTheme="minorHAnsi" w:eastAsia="Oswald" w:hAnsiTheme="minorHAnsi" w:cs="Calibri"/>
            <w:sz w:val="16"/>
            <w:szCs w:val="16"/>
            <w:lang w:val="es-ES"/>
          </w:rPr>
          <w:t xml:space="preserve"> </w:t>
        </w:r>
        <w:proofErr w:type="spellStart"/>
        <w:r w:rsidRPr="00FA2692">
          <w:rPr>
            <w:rStyle w:val="Hyperlink"/>
            <w:rFonts w:asciiTheme="minorHAnsi" w:eastAsia="Oswald" w:hAnsiTheme="minorHAnsi" w:cs="Calibri"/>
            <w:sz w:val="16"/>
            <w:szCs w:val="16"/>
            <w:lang w:val="es-ES"/>
          </w:rPr>
          <w:t>Violence</w:t>
        </w:r>
        <w:proofErr w:type="spellEnd"/>
        <w:r w:rsidRPr="00FA2692">
          <w:rPr>
            <w:rStyle w:val="Hyperlink"/>
            <w:rFonts w:asciiTheme="minorHAnsi" w:eastAsia="Oswald" w:hAnsiTheme="minorHAnsi" w:cs="Calibri"/>
            <w:sz w:val="16"/>
            <w:szCs w:val="16"/>
            <w:lang w:val="es-ES"/>
          </w:rPr>
          <w:t>,</w:t>
        </w:r>
        <w:r w:rsidRPr="00FA2692">
          <w:rPr>
            <w:rStyle w:val="Hyperlink"/>
            <w:rFonts w:asciiTheme="minorHAnsi" w:hAnsiTheme="minorHAnsi"/>
            <w:sz w:val="16"/>
            <w:szCs w:val="16"/>
            <w:lang w:val="es-ES"/>
          </w:rPr>
          <w:t xml:space="preserve"> Informe sobre los 1000 primeros casos de víctimas mortales por violencia de género en el ámbito de la pareja o </w:t>
        </w:r>
        <w:r w:rsidR="00FA2692" w:rsidRPr="00FA2692">
          <w:rPr>
            <w:rStyle w:val="Hyperlink"/>
            <w:rFonts w:asciiTheme="minorHAnsi" w:hAnsiTheme="minorHAnsi"/>
            <w:sz w:val="16"/>
            <w:szCs w:val="16"/>
            <w:lang w:val="es-ES"/>
          </w:rPr>
          <w:t>expareja</w:t>
        </w:r>
      </w:hyperlink>
      <w:r w:rsidRPr="00DD6E70">
        <w:rPr>
          <w:rFonts w:asciiTheme="minorHAnsi" w:hAnsiTheme="minorHAnsi"/>
          <w:sz w:val="16"/>
          <w:szCs w:val="16"/>
          <w:lang w:val="es-ES"/>
        </w:rPr>
        <w:t xml:space="preserve">. </w:t>
      </w:r>
      <w:r w:rsidRPr="00FA2692">
        <w:rPr>
          <w:rFonts w:asciiTheme="minorHAnsi" w:hAnsiTheme="minorHAnsi"/>
          <w:sz w:val="16"/>
          <w:szCs w:val="16"/>
          <w:lang w:val="es-ES"/>
        </w:rPr>
        <w:t>May 2020 (</w:t>
      </w:r>
      <w:proofErr w:type="spellStart"/>
      <w:r w:rsidRPr="00FA2692">
        <w:rPr>
          <w:rFonts w:asciiTheme="minorHAnsi" w:hAnsiTheme="minorHAnsi"/>
          <w:sz w:val="16"/>
          <w:szCs w:val="16"/>
          <w:lang w:val="es-ES"/>
        </w:rPr>
        <w:t>Spanish</w:t>
      </w:r>
      <w:proofErr w:type="spellEnd"/>
      <w:r w:rsidRPr="00FA2692">
        <w:rPr>
          <w:rFonts w:asciiTheme="minorHAnsi" w:hAnsiTheme="minorHAnsi"/>
          <w:sz w:val="16"/>
          <w:szCs w:val="16"/>
          <w:lang w:val="es-ES"/>
        </w:rPr>
        <w:t xml:space="preserve"> </w:t>
      </w:r>
      <w:proofErr w:type="spellStart"/>
      <w:r w:rsidRPr="00FA2692">
        <w:rPr>
          <w:rFonts w:asciiTheme="minorHAnsi" w:hAnsiTheme="minorHAnsi"/>
          <w:sz w:val="16"/>
          <w:szCs w:val="16"/>
          <w:lang w:val="es-ES"/>
        </w:rPr>
        <w:t>only</w:t>
      </w:r>
      <w:proofErr w:type="spellEnd"/>
      <w:r w:rsidRPr="00FA2692">
        <w:rPr>
          <w:rFonts w:asciiTheme="minorHAnsi" w:hAnsiTheme="minorHAnsi"/>
          <w:sz w:val="16"/>
          <w:szCs w:val="16"/>
          <w:lang w:val="es-ES"/>
        </w:rPr>
        <w:t>)</w:t>
      </w:r>
      <w:r w:rsidR="00FA2692" w:rsidRPr="00FA2692">
        <w:rPr>
          <w:rFonts w:asciiTheme="minorHAnsi" w:hAnsiTheme="minorHAnsi"/>
          <w:sz w:val="16"/>
          <w:szCs w:val="16"/>
          <w:lang w:val="es-ES"/>
        </w:rPr>
        <w:t xml:space="preserve">, </w:t>
      </w:r>
    </w:p>
  </w:footnote>
  <w:footnote w:id="29">
    <w:p w14:paraId="2759B5C3" w14:textId="77777777" w:rsidR="00C265EC" w:rsidRPr="00DD6E70" w:rsidRDefault="00C265EC" w:rsidP="00774FB3">
      <w:pPr>
        <w:rPr>
          <w:rFonts w:asciiTheme="minorHAnsi" w:hAnsiTheme="minorHAnsi"/>
          <w:sz w:val="16"/>
          <w:szCs w:val="16"/>
          <w:lang w:val="es-ES"/>
        </w:rPr>
      </w:pPr>
      <w:r w:rsidRPr="007D0347">
        <w:rPr>
          <w:rFonts w:asciiTheme="minorHAnsi" w:hAnsiTheme="minorHAnsi"/>
          <w:sz w:val="16"/>
          <w:szCs w:val="16"/>
          <w:vertAlign w:val="superscript"/>
          <w:lang w:val="en-GB"/>
        </w:rPr>
        <w:footnoteRef/>
      </w:r>
      <w:r w:rsidRPr="00DD6E70">
        <w:rPr>
          <w:rFonts w:asciiTheme="minorHAnsi" w:hAnsiTheme="minorHAnsi"/>
          <w:sz w:val="16"/>
          <w:szCs w:val="16"/>
          <w:lang w:val="es-ES"/>
        </w:rPr>
        <w:t xml:space="preserve"> Sentencia n º14/2020 del Tribunal Superior de Justicia de Castilla y León. (</w:t>
      </w:r>
      <w:proofErr w:type="spellStart"/>
      <w:r w:rsidRPr="00DD6E70">
        <w:rPr>
          <w:rFonts w:asciiTheme="minorHAnsi" w:hAnsiTheme="minorHAnsi"/>
          <w:sz w:val="16"/>
          <w:szCs w:val="16"/>
          <w:lang w:val="es-ES"/>
        </w:rPr>
        <w:t>Spanish</w:t>
      </w:r>
      <w:proofErr w:type="spellEnd"/>
      <w:r w:rsidRPr="00DD6E70">
        <w:rPr>
          <w:rFonts w:asciiTheme="minorHAnsi" w:hAnsiTheme="minorHAnsi"/>
          <w:sz w:val="16"/>
          <w:szCs w:val="16"/>
          <w:lang w:val="es-ES"/>
        </w:rPr>
        <w:t xml:space="preserve"> </w:t>
      </w:r>
      <w:proofErr w:type="spellStart"/>
      <w:r w:rsidRPr="00DD6E70">
        <w:rPr>
          <w:rFonts w:asciiTheme="minorHAnsi" w:hAnsiTheme="minorHAnsi"/>
          <w:sz w:val="16"/>
          <w:szCs w:val="16"/>
          <w:lang w:val="es-ES"/>
        </w:rPr>
        <w:t>only</w:t>
      </w:r>
      <w:proofErr w:type="spellEnd"/>
      <w:r w:rsidRPr="00DD6E70">
        <w:rPr>
          <w:rFonts w:asciiTheme="minorHAnsi" w:hAnsiTheme="minorHAnsi"/>
          <w:sz w:val="16"/>
          <w:szCs w:val="16"/>
          <w:lang w:val="es-ES"/>
        </w:rPr>
        <w:t>).</w:t>
      </w:r>
    </w:p>
  </w:footnote>
  <w:footnote w:id="30">
    <w:p w14:paraId="379EBAF4" w14:textId="1D70EA63" w:rsidR="00C265EC" w:rsidRPr="007D0347" w:rsidRDefault="00C265EC" w:rsidP="00774FB3">
      <w:pPr>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DD6E70">
        <w:rPr>
          <w:rFonts w:asciiTheme="minorHAnsi" w:hAnsiTheme="minorHAnsi"/>
          <w:sz w:val="16"/>
          <w:szCs w:val="16"/>
          <w:lang w:val="es-ES"/>
        </w:rPr>
        <w:t xml:space="preserve"> </w:t>
      </w:r>
      <w:hyperlink r:id="rId25">
        <w:r w:rsidRPr="00DD6E70">
          <w:rPr>
            <w:rFonts w:asciiTheme="minorHAnsi" w:hAnsiTheme="minorHAnsi"/>
            <w:color w:val="auto"/>
            <w:sz w:val="16"/>
            <w:szCs w:val="16"/>
            <w:lang w:val="es-ES"/>
          </w:rPr>
          <w:t>STS núm. 344/2019</w:t>
        </w:r>
      </w:hyperlink>
      <w:r w:rsidRPr="00DD6E70">
        <w:rPr>
          <w:rFonts w:asciiTheme="minorHAnsi" w:hAnsiTheme="minorHAnsi"/>
          <w:sz w:val="16"/>
          <w:szCs w:val="16"/>
          <w:lang w:val="es-ES"/>
        </w:rPr>
        <w:t xml:space="preserve"> de la Sala Segunda de 4 de julio (conocida como el caso de “la Manada”).</w:t>
      </w:r>
      <w:r w:rsidR="00A40792">
        <w:rPr>
          <w:rFonts w:asciiTheme="minorHAnsi" w:hAnsiTheme="minorHAnsi"/>
          <w:sz w:val="16"/>
          <w:szCs w:val="16"/>
          <w:lang w:val="es-ES"/>
        </w:rPr>
        <w:t xml:space="preserve"> </w:t>
      </w:r>
      <w:r w:rsidRPr="002E31BD">
        <w:rPr>
          <w:rFonts w:asciiTheme="minorHAnsi" w:hAnsiTheme="minorHAnsi"/>
          <w:sz w:val="16"/>
          <w:szCs w:val="16"/>
          <w:lang w:val="en-GB"/>
        </w:rPr>
        <w:t xml:space="preserve">(FJco Quinto) (Spanish only). </w:t>
      </w:r>
      <w:r w:rsidRPr="007D0347">
        <w:rPr>
          <w:rFonts w:asciiTheme="minorHAnsi" w:hAnsiTheme="minorHAnsi"/>
          <w:sz w:val="16"/>
          <w:szCs w:val="16"/>
          <w:lang w:val="en-GB"/>
        </w:rPr>
        <w:t>The case was judged under the previous Penal Code that distinguished between the crimes of sexual assault or rape with intimidation and violence and sexual abuse.</w:t>
      </w:r>
    </w:p>
  </w:footnote>
  <w:footnote w:id="31">
    <w:p w14:paraId="5F76F68F" w14:textId="4E20A6D7" w:rsidR="00C265EC" w:rsidRPr="007D0347" w:rsidRDefault="00C265EC" w:rsidP="00774FB3">
      <w:pPr>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eastAsia="Oswald" w:hAnsiTheme="minorHAnsi" w:cs="Oswald"/>
          <w:sz w:val="16"/>
          <w:szCs w:val="16"/>
          <w:lang w:val="en-GB"/>
        </w:rPr>
        <w:t xml:space="preserve"> </w:t>
      </w:r>
      <w:hyperlink r:id="rId26">
        <w:r w:rsidRPr="00966E76">
          <w:rPr>
            <w:rFonts w:asciiTheme="minorHAnsi" w:eastAsia="Oswald" w:hAnsiTheme="minorHAnsi" w:cs="Oswald"/>
            <w:sz w:val="16"/>
            <w:szCs w:val="16"/>
            <w:lang w:val="en-GB"/>
          </w:rPr>
          <w:t xml:space="preserve">STS 147/2020 de la Sala </w:t>
        </w:r>
      </w:hyperlink>
      <w:r w:rsidRPr="007D0347">
        <w:rPr>
          <w:rFonts w:asciiTheme="minorHAnsi" w:eastAsia="Oswald" w:hAnsiTheme="minorHAnsi" w:cs="Oswald"/>
          <w:sz w:val="16"/>
          <w:szCs w:val="16"/>
          <w:lang w:val="en-GB"/>
        </w:rPr>
        <w:t>Segunda de 14 de mayo on the ruling of a lower court, (First Factual Background)</w:t>
      </w:r>
      <w:r w:rsidR="00966E76">
        <w:rPr>
          <w:rFonts w:asciiTheme="minorHAnsi" w:eastAsia="Oswald" w:hAnsiTheme="minorHAnsi" w:cs="Oswald"/>
          <w:sz w:val="16"/>
          <w:szCs w:val="16"/>
          <w:lang w:val="en-GB"/>
        </w:rPr>
        <w:t>.</w:t>
      </w:r>
    </w:p>
  </w:footnote>
  <w:footnote w:id="32">
    <w:p w14:paraId="71DDB692" w14:textId="76ED70BB" w:rsidR="00C265EC" w:rsidRPr="007D0347" w:rsidRDefault="00C265EC" w:rsidP="00774FB3">
      <w:pPr>
        <w:pStyle w:val="FootnoteText"/>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sz w:val="16"/>
          <w:szCs w:val="16"/>
          <w:lang w:val="en-GB"/>
        </w:rPr>
        <w:t xml:space="preserve"> </w:t>
      </w:r>
      <w:hyperlink r:id="rId27" w:history="1">
        <w:r w:rsidR="00966E76" w:rsidRPr="00A25FC7">
          <w:rPr>
            <w:rStyle w:val="Hyperlink"/>
            <w:rFonts w:asciiTheme="minorHAnsi" w:eastAsia="Oswald" w:hAnsiTheme="minorHAnsi" w:cs="Calibri"/>
            <w:sz w:val="16"/>
            <w:szCs w:val="16"/>
            <w:shd w:val="clear" w:color="auto" w:fill="FFFFFF"/>
            <w:lang w:val="en-GB"/>
          </w:rPr>
          <w:t>https://violenciagenero.igualdad.gob.es/violenciaEnCifras/victimasMortales/fichaMenores/home.htm</w:t>
        </w:r>
      </w:hyperlink>
      <w:r w:rsidR="00966E76">
        <w:rPr>
          <w:rFonts w:asciiTheme="minorHAnsi" w:eastAsia="Oswald" w:hAnsiTheme="minorHAnsi" w:cs="Calibri"/>
          <w:sz w:val="16"/>
          <w:szCs w:val="16"/>
          <w:shd w:val="clear" w:color="auto" w:fill="FFFFFF"/>
          <w:lang w:val="en-GB"/>
        </w:rPr>
        <w:t xml:space="preserve"> </w:t>
      </w:r>
      <w:r w:rsidRPr="007D0347">
        <w:rPr>
          <w:rFonts w:asciiTheme="minorHAnsi" w:eastAsia="Oswald" w:hAnsiTheme="minorHAnsi" w:cs="Calibri"/>
          <w:sz w:val="16"/>
          <w:szCs w:val="16"/>
          <w:shd w:val="clear" w:color="auto" w:fill="FFFFFF"/>
          <w:lang w:val="en-GB"/>
        </w:rPr>
        <w:t xml:space="preserve"> </w:t>
      </w:r>
    </w:p>
  </w:footnote>
  <w:footnote w:id="33">
    <w:p w14:paraId="61B1EB15" w14:textId="43E6EC74" w:rsidR="00C265EC" w:rsidRPr="007D0347" w:rsidRDefault="00C265EC" w:rsidP="00774FB3">
      <w:pPr>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eastAsia="Oswald" w:hAnsiTheme="minorHAnsi" w:cs="Calibri"/>
          <w:sz w:val="16"/>
          <w:szCs w:val="16"/>
          <w:lang w:val="en-GB"/>
        </w:rPr>
        <w:t xml:space="preserve"> </w:t>
      </w:r>
      <w:hyperlink r:id="rId28" w:history="1">
        <w:r w:rsidRPr="0081774F">
          <w:rPr>
            <w:rStyle w:val="Hyperlink"/>
            <w:rFonts w:asciiTheme="minorHAnsi" w:hAnsiTheme="minorHAnsi"/>
            <w:sz w:val="16"/>
            <w:szCs w:val="16"/>
            <w:lang w:val="en-GB"/>
          </w:rPr>
          <w:t>Spanish Ombudsman</w:t>
        </w:r>
        <w:r w:rsidR="0081774F" w:rsidRPr="0081774F">
          <w:rPr>
            <w:rStyle w:val="Hyperlink"/>
            <w:rFonts w:asciiTheme="minorHAnsi" w:hAnsiTheme="minorHAnsi"/>
            <w:sz w:val="16"/>
            <w:szCs w:val="16"/>
            <w:lang w:val="en-GB"/>
          </w:rPr>
          <w:t>.</w:t>
        </w:r>
      </w:hyperlink>
      <w:r w:rsidR="00966E76">
        <w:rPr>
          <w:rFonts w:asciiTheme="minorHAnsi" w:eastAsia="Oswald" w:hAnsiTheme="minorHAnsi" w:cs="Calibri"/>
          <w:color w:val="1155CC"/>
          <w:sz w:val="16"/>
          <w:szCs w:val="16"/>
          <w:lang w:val="en-GB"/>
        </w:rPr>
        <w:t xml:space="preserve"> </w:t>
      </w:r>
      <w:r w:rsidRPr="007D0347">
        <w:rPr>
          <w:rFonts w:asciiTheme="minorHAnsi" w:eastAsia="Oswald" w:hAnsiTheme="minorHAnsi" w:cs="Calibri"/>
          <w:sz w:val="16"/>
          <w:szCs w:val="16"/>
          <w:lang w:val="en-GB"/>
        </w:rPr>
        <w:t xml:space="preserve">  </w:t>
      </w:r>
    </w:p>
  </w:footnote>
  <w:footnote w:id="34">
    <w:p w14:paraId="01948223" w14:textId="218DC510" w:rsidR="00C265EC" w:rsidRPr="00D958EE" w:rsidRDefault="00C265EC" w:rsidP="00774FB3">
      <w:pPr>
        <w:pStyle w:val="FootnoteText"/>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D958EE">
        <w:rPr>
          <w:rFonts w:asciiTheme="minorHAnsi" w:hAnsiTheme="minorHAnsi"/>
          <w:sz w:val="16"/>
          <w:szCs w:val="16"/>
          <w:lang w:val="en-GB"/>
        </w:rPr>
        <w:t xml:space="preserve"> </w:t>
      </w:r>
      <w:r w:rsidRPr="00D958EE">
        <w:rPr>
          <w:rFonts w:asciiTheme="minorHAnsi" w:hAnsiTheme="minorHAnsi"/>
          <w:sz w:val="16"/>
          <w:szCs w:val="16"/>
          <w:shd w:val="clear" w:color="auto" w:fill="FFFFFF"/>
          <w:lang w:val="en-GB"/>
        </w:rPr>
        <w:t xml:space="preserve">Art 94, Civil Code, as amended by </w:t>
      </w:r>
      <w:hyperlink r:id="rId29">
        <w:r w:rsidRPr="00D958EE">
          <w:rPr>
            <w:rFonts w:asciiTheme="minorHAnsi" w:hAnsiTheme="minorHAnsi"/>
            <w:sz w:val="16"/>
            <w:szCs w:val="16"/>
            <w:highlight w:val="white"/>
            <w:lang w:val="en-GB"/>
          </w:rPr>
          <w:t>Ley 8/2021</w:t>
        </w:r>
        <w:r w:rsidR="00876D02" w:rsidRPr="00D958EE">
          <w:rPr>
            <w:rFonts w:asciiTheme="minorHAnsi" w:hAnsiTheme="minorHAnsi"/>
            <w:sz w:val="16"/>
            <w:szCs w:val="16"/>
            <w:highlight w:val="white"/>
            <w:lang w:val="en-GB"/>
          </w:rPr>
          <w:t>, 2 June</w:t>
        </w:r>
        <w:r w:rsidR="00D958EE" w:rsidRPr="00D958EE">
          <w:rPr>
            <w:rFonts w:asciiTheme="minorHAnsi" w:hAnsiTheme="minorHAnsi"/>
            <w:sz w:val="16"/>
            <w:szCs w:val="16"/>
            <w:highlight w:val="white"/>
            <w:lang w:val="en-GB"/>
          </w:rPr>
          <w:t xml:space="preserve"> 2021</w:t>
        </w:r>
      </w:hyperlink>
      <w:r w:rsidRPr="00D958EE">
        <w:rPr>
          <w:rFonts w:asciiTheme="minorHAnsi" w:hAnsiTheme="minorHAnsi"/>
          <w:sz w:val="16"/>
          <w:szCs w:val="16"/>
          <w:shd w:val="clear" w:color="auto" w:fill="FFFFFF"/>
          <w:lang w:val="en-GB"/>
        </w:rPr>
        <w:t xml:space="preserve"> and Article 544 </w:t>
      </w:r>
      <w:r w:rsidRPr="00D958EE">
        <w:rPr>
          <w:rFonts w:asciiTheme="minorHAnsi" w:hAnsiTheme="minorHAnsi"/>
          <w:i/>
          <w:iCs/>
          <w:sz w:val="16"/>
          <w:szCs w:val="16"/>
          <w:shd w:val="clear" w:color="auto" w:fill="FFFFFF"/>
          <w:lang w:val="en-GB"/>
        </w:rPr>
        <w:t xml:space="preserve">ter. </w:t>
      </w:r>
      <w:r w:rsidRPr="00D958EE">
        <w:rPr>
          <w:rFonts w:asciiTheme="minorHAnsi" w:hAnsiTheme="minorHAnsi"/>
          <w:sz w:val="16"/>
          <w:szCs w:val="16"/>
          <w:shd w:val="clear" w:color="auto" w:fill="FFFFFF"/>
          <w:lang w:val="en-GB"/>
        </w:rPr>
        <w:t xml:space="preserve">of Law on Criminal Proceedings as amended by </w:t>
      </w:r>
      <w:hyperlink r:id="rId30" w:anchor="df" w:history="1">
        <w:r w:rsidR="00D958EE" w:rsidRPr="00D958EE">
          <w:rPr>
            <w:rFonts w:asciiTheme="minorHAnsi" w:hAnsiTheme="minorHAnsi"/>
            <w:sz w:val="16"/>
            <w:szCs w:val="16"/>
            <w:highlight w:val="white"/>
            <w:lang w:val="en-GB"/>
          </w:rPr>
          <w:t>Organi</w:t>
        </w:r>
        <w:r w:rsidR="00D958EE">
          <w:rPr>
            <w:rFonts w:asciiTheme="minorHAnsi" w:hAnsiTheme="minorHAnsi"/>
            <w:sz w:val="16"/>
            <w:szCs w:val="16"/>
            <w:highlight w:val="white"/>
            <w:lang w:val="en-GB"/>
          </w:rPr>
          <w:t>c Law</w:t>
        </w:r>
        <w:r w:rsidRPr="00D958EE">
          <w:rPr>
            <w:rFonts w:asciiTheme="minorHAnsi" w:hAnsiTheme="minorHAnsi"/>
            <w:sz w:val="16"/>
            <w:szCs w:val="16"/>
            <w:highlight w:val="white"/>
            <w:lang w:val="en-GB"/>
          </w:rPr>
          <w:t xml:space="preserve"> 8/2021, 4 </w:t>
        </w:r>
        <w:r w:rsidR="00D958EE">
          <w:rPr>
            <w:rFonts w:asciiTheme="minorHAnsi" w:hAnsiTheme="minorHAnsi"/>
            <w:sz w:val="16"/>
            <w:szCs w:val="16"/>
            <w:highlight w:val="white"/>
            <w:lang w:val="en-GB"/>
          </w:rPr>
          <w:t xml:space="preserve">June. </w:t>
        </w:r>
      </w:hyperlink>
      <w:r w:rsidRPr="00D958EE">
        <w:rPr>
          <w:rFonts w:asciiTheme="minorHAnsi" w:hAnsiTheme="minorHAnsi"/>
          <w:i/>
          <w:iCs/>
          <w:sz w:val="16"/>
          <w:szCs w:val="16"/>
          <w:shd w:val="clear" w:color="auto" w:fill="FFE994"/>
          <w:lang w:val="en-GB"/>
        </w:rPr>
        <w:t xml:space="preserve">               </w:t>
      </w:r>
      <w:r w:rsidRPr="00D958EE">
        <w:rPr>
          <w:rFonts w:asciiTheme="minorHAnsi" w:hAnsiTheme="minorHAnsi"/>
          <w:sz w:val="16"/>
          <w:szCs w:val="16"/>
          <w:shd w:val="clear" w:color="auto" w:fill="FFE994"/>
          <w:lang w:val="en-GB"/>
        </w:rPr>
        <w:t xml:space="preserve">                                                                                                    </w:t>
      </w:r>
    </w:p>
  </w:footnote>
  <w:footnote w:id="35">
    <w:p w14:paraId="395135B5" w14:textId="62E73C92" w:rsidR="00C265EC" w:rsidRPr="007D0347" w:rsidRDefault="00C265EC" w:rsidP="00774FB3">
      <w:pPr>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cs="Calibri"/>
          <w:sz w:val="16"/>
          <w:szCs w:val="16"/>
          <w:lang w:val="en-GB"/>
        </w:rPr>
        <w:t xml:space="preserve"> </w:t>
      </w:r>
      <w:r w:rsidRPr="007D0347">
        <w:rPr>
          <w:rFonts w:asciiTheme="minorHAnsi" w:eastAsia="Oswald" w:hAnsiTheme="minorHAnsi" w:cs="Calibri"/>
          <w:sz w:val="16"/>
          <w:szCs w:val="16"/>
          <w:lang w:val="en-GB"/>
        </w:rPr>
        <w:t xml:space="preserve">Measures 282 to 290 of State Agreement against Gender-based Violence. </w:t>
      </w:r>
    </w:p>
  </w:footnote>
  <w:footnote w:id="36">
    <w:p w14:paraId="66ADFFEC" w14:textId="5720850C" w:rsidR="00C265EC" w:rsidRPr="005A422B" w:rsidRDefault="00C265EC" w:rsidP="00774FB3">
      <w:pPr>
        <w:pStyle w:val="FootnoteText"/>
        <w:rPr>
          <w:rFonts w:asciiTheme="minorHAnsi" w:hAnsiTheme="minorHAnsi"/>
          <w:sz w:val="16"/>
          <w:szCs w:val="16"/>
          <w:lang w:val="es-ES"/>
        </w:rPr>
      </w:pPr>
      <w:r w:rsidRPr="007D0347">
        <w:rPr>
          <w:rFonts w:asciiTheme="minorHAnsi" w:hAnsiTheme="minorHAnsi"/>
          <w:sz w:val="16"/>
          <w:szCs w:val="16"/>
          <w:vertAlign w:val="superscript"/>
          <w:lang w:val="en-GB"/>
        </w:rPr>
        <w:footnoteRef/>
      </w:r>
      <w:r w:rsidRPr="00643568">
        <w:rPr>
          <w:rFonts w:asciiTheme="minorHAnsi" w:hAnsiTheme="minorHAnsi"/>
          <w:sz w:val="16"/>
          <w:szCs w:val="16"/>
          <w:lang w:val="es-ES"/>
        </w:rPr>
        <w:t xml:space="preserve"> </w:t>
      </w:r>
      <w:proofErr w:type="spellStart"/>
      <w:r w:rsidRPr="00643568">
        <w:rPr>
          <w:rFonts w:asciiTheme="minorHAnsi" w:hAnsiTheme="minorHAnsi" w:cs="Calibri"/>
          <w:sz w:val="16"/>
          <w:szCs w:val="16"/>
          <w:lang w:val="es-ES"/>
        </w:rPr>
        <w:t>Ministry</w:t>
      </w:r>
      <w:proofErr w:type="spellEnd"/>
      <w:r w:rsidRPr="00643568">
        <w:rPr>
          <w:rFonts w:asciiTheme="minorHAnsi" w:hAnsiTheme="minorHAnsi" w:cs="Calibri"/>
          <w:sz w:val="16"/>
          <w:szCs w:val="16"/>
          <w:lang w:val="es-ES"/>
        </w:rPr>
        <w:t xml:space="preserve"> </w:t>
      </w:r>
      <w:proofErr w:type="spellStart"/>
      <w:r w:rsidRPr="00643568">
        <w:rPr>
          <w:rFonts w:asciiTheme="minorHAnsi" w:hAnsiTheme="minorHAnsi" w:cs="Calibri"/>
          <w:sz w:val="16"/>
          <w:szCs w:val="16"/>
          <w:lang w:val="es-ES"/>
        </w:rPr>
        <w:t>of</w:t>
      </w:r>
      <w:proofErr w:type="spellEnd"/>
      <w:r w:rsidRPr="00643568">
        <w:rPr>
          <w:rFonts w:asciiTheme="minorHAnsi" w:hAnsiTheme="minorHAnsi" w:cs="Calibri"/>
          <w:sz w:val="16"/>
          <w:szCs w:val="16"/>
          <w:lang w:val="es-ES"/>
        </w:rPr>
        <w:t xml:space="preserve"> </w:t>
      </w:r>
      <w:proofErr w:type="spellStart"/>
      <w:r w:rsidRPr="00643568">
        <w:rPr>
          <w:rFonts w:asciiTheme="minorHAnsi" w:hAnsiTheme="minorHAnsi" w:cs="Calibri"/>
          <w:sz w:val="16"/>
          <w:szCs w:val="16"/>
          <w:lang w:val="es-ES"/>
        </w:rPr>
        <w:t>Equality</w:t>
      </w:r>
      <w:proofErr w:type="spellEnd"/>
      <w:r w:rsidR="005A422B">
        <w:rPr>
          <w:rFonts w:asciiTheme="minorHAnsi" w:hAnsiTheme="minorHAnsi" w:cs="Calibri"/>
          <w:sz w:val="16"/>
          <w:szCs w:val="16"/>
          <w:lang w:val="es-ES"/>
        </w:rPr>
        <w:t>:</w:t>
      </w:r>
      <w:r w:rsidRPr="00643568">
        <w:rPr>
          <w:rFonts w:asciiTheme="minorHAnsi" w:hAnsiTheme="minorHAnsi" w:cs="Calibri"/>
          <w:sz w:val="16"/>
          <w:szCs w:val="16"/>
          <w:lang w:val="es-ES"/>
        </w:rPr>
        <w:t xml:space="preserve"> </w:t>
      </w:r>
      <w:hyperlink r:id="rId31">
        <w:r w:rsidRPr="00643568">
          <w:rPr>
            <w:rFonts w:asciiTheme="minorHAnsi" w:hAnsiTheme="minorHAnsi" w:cs="Calibri"/>
            <w:sz w:val="16"/>
            <w:szCs w:val="16"/>
            <w:lang w:val="es-ES"/>
          </w:rPr>
          <w:t>Pacto de Estado en materia de violencia de Género</w:t>
        </w:r>
      </w:hyperlink>
      <w:r w:rsidR="005A422B">
        <w:rPr>
          <w:rFonts w:asciiTheme="minorHAnsi" w:hAnsiTheme="minorHAnsi" w:cs="Calibri"/>
          <w:sz w:val="16"/>
          <w:szCs w:val="16"/>
          <w:lang w:val="es-ES"/>
        </w:rPr>
        <w:t>,</w:t>
      </w:r>
      <w:r w:rsidRPr="00643568">
        <w:rPr>
          <w:rFonts w:asciiTheme="minorHAnsi" w:hAnsiTheme="minorHAnsi" w:cs="Calibri"/>
          <w:sz w:val="16"/>
          <w:szCs w:val="16"/>
          <w:lang w:val="es-ES"/>
        </w:rPr>
        <w:t xml:space="preserve"> </w:t>
      </w:r>
      <w:r w:rsidRPr="005A422B">
        <w:rPr>
          <w:rFonts w:asciiTheme="minorHAnsi" w:hAnsiTheme="minorHAnsi" w:cs="Calibri"/>
          <w:sz w:val="16"/>
          <w:szCs w:val="16"/>
          <w:lang w:val="es-ES"/>
        </w:rPr>
        <w:t>May 2019, page 15 to 50</w:t>
      </w:r>
    </w:p>
  </w:footnote>
  <w:footnote w:id="37">
    <w:p w14:paraId="3C3FF699" w14:textId="77777777" w:rsidR="00C265EC" w:rsidRPr="007D0347" w:rsidRDefault="00C265EC" w:rsidP="00774FB3">
      <w:pPr>
        <w:pStyle w:val="FootnoteText"/>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cs="Calibri"/>
          <w:sz w:val="16"/>
          <w:szCs w:val="16"/>
          <w:lang w:val="en-GB"/>
        </w:rPr>
        <w:t xml:space="preserve"> Ministry of Equality: </w:t>
      </w:r>
      <w:hyperlink r:id="rId32">
        <w:proofErr w:type="spellStart"/>
        <w:r w:rsidRPr="007D0347">
          <w:rPr>
            <w:rFonts w:asciiTheme="minorHAnsi" w:hAnsiTheme="minorHAnsi" w:cs="Calibri"/>
            <w:sz w:val="16"/>
            <w:szCs w:val="16"/>
            <w:lang w:val="en-GB"/>
          </w:rPr>
          <w:t>Estrategia</w:t>
        </w:r>
        <w:proofErr w:type="spellEnd"/>
        <w:r w:rsidRPr="007D0347">
          <w:rPr>
            <w:rFonts w:asciiTheme="minorHAnsi" w:hAnsiTheme="minorHAnsi" w:cs="Calibri"/>
            <w:sz w:val="16"/>
            <w:szCs w:val="16"/>
            <w:lang w:val="en-GB"/>
          </w:rPr>
          <w:t xml:space="preserve"> </w:t>
        </w:r>
        <w:proofErr w:type="spellStart"/>
        <w:r w:rsidRPr="007D0347">
          <w:rPr>
            <w:rFonts w:asciiTheme="minorHAnsi" w:hAnsiTheme="minorHAnsi" w:cs="Calibri"/>
            <w:sz w:val="16"/>
            <w:szCs w:val="16"/>
            <w:lang w:val="en-GB"/>
          </w:rPr>
          <w:t>Estatal</w:t>
        </w:r>
        <w:proofErr w:type="spellEnd"/>
        <w:r w:rsidRPr="007D0347">
          <w:rPr>
            <w:rFonts w:asciiTheme="minorHAnsi" w:hAnsiTheme="minorHAnsi" w:cs="Calibri"/>
            <w:sz w:val="16"/>
            <w:szCs w:val="16"/>
            <w:lang w:val="en-GB"/>
          </w:rPr>
          <w:t xml:space="preserve"> para </w:t>
        </w:r>
        <w:proofErr w:type="spellStart"/>
        <w:r w:rsidRPr="007D0347">
          <w:rPr>
            <w:rFonts w:asciiTheme="minorHAnsi" w:hAnsiTheme="minorHAnsi" w:cs="Calibri"/>
            <w:sz w:val="16"/>
            <w:szCs w:val="16"/>
            <w:lang w:val="en-GB"/>
          </w:rPr>
          <w:t>combatir</w:t>
        </w:r>
        <w:proofErr w:type="spellEnd"/>
        <w:r w:rsidRPr="007D0347">
          <w:rPr>
            <w:rFonts w:asciiTheme="minorHAnsi" w:hAnsiTheme="minorHAnsi" w:cs="Calibri"/>
            <w:sz w:val="16"/>
            <w:szCs w:val="16"/>
            <w:lang w:val="en-GB"/>
          </w:rPr>
          <w:t xml:space="preserve"> las </w:t>
        </w:r>
        <w:proofErr w:type="spellStart"/>
        <w:r w:rsidRPr="007D0347">
          <w:rPr>
            <w:rFonts w:asciiTheme="minorHAnsi" w:hAnsiTheme="minorHAnsi" w:cs="Calibri"/>
            <w:sz w:val="16"/>
            <w:szCs w:val="16"/>
            <w:lang w:val="en-GB"/>
          </w:rPr>
          <w:t>violencias</w:t>
        </w:r>
        <w:proofErr w:type="spellEnd"/>
        <w:r w:rsidRPr="007D0347">
          <w:rPr>
            <w:rFonts w:asciiTheme="minorHAnsi" w:hAnsiTheme="minorHAnsi" w:cs="Calibri"/>
            <w:sz w:val="16"/>
            <w:szCs w:val="16"/>
            <w:lang w:val="en-GB"/>
          </w:rPr>
          <w:t xml:space="preserve"> </w:t>
        </w:r>
        <w:proofErr w:type="spellStart"/>
        <w:r w:rsidRPr="007D0347">
          <w:rPr>
            <w:rFonts w:asciiTheme="minorHAnsi" w:hAnsiTheme="minorHAnsi" w:cs="Calibri"/>
            <w:sz w:val="16"/>
            <w:szCs w:val="16"/>
            <w:lang w:val="en-GB"/>
          </w:rPr>
          <w:t>machistas</w:t>
        </w:r>
        <w:proofErr w:type="spellEnd"/>
      </w:hyperlink>
      <w:r w:rsidRPr="007D0347">
        <w:rPr>
          <w:rFonts w:asciiTheme="minorHAnsi" w:hAnsiTheme="minorHAnsi" w:cs="Calibri"/>
          <w:sz w:val="16"/>
          <w:szCs w:val="16"/>
          <w:lang w:val="en-GB"/>
        </w:rPr>
        <w:t>, 2022-2025 (Spanish only)</w:t>
      </w:r>
    </w:p>
  </w:footnote>
  <w:footnote w:id="38">
    <w:p w14:paraId="7CE41AB4" w14:textId="77777777" w:rsidR="00C265EC" w:rsidRPr="00DD6E70" w:rsidRDefault="00C265EC" w:rsidP="00774FB3">
      <w:pPr>
        <w:widowControl w:val="0"/>
        <w:rPr>
          <w:rFonts w:asciiTheme="minorHAnsi" w:hAnsiTheme="minorHAnsi"/>
          <w:sz w:val="16"/>
          <w:szCs w:val="16"/>
          <w:lang w:val="es-ES"/>
        </w:rPr>
      </w:pPr>
      <w:r w:rsidRPr="007D0347">
        <w:rPr>
          <w:rFonts w:asciiTheme="minorHAnsi" w:hAnsiTheme="minorHAnsi"/>
          <w:sz w:val="16"/>
          <w:szCs w:val="16"/>
          <w:vertAlign w:val="superscript"/>
          <w:lang w:val="en-GB"/>
        </w:rPr>
        <w:footnoteRef/>
      </w:r>
      <w:r w:rsidRPr="007D0347">
        <w:rPr>
          <w:rFonts w:asciiTheme="minorHAnsi" w:hAnsiTheme="minorHAnsi" w:cs="Calibri"/>
          <w:sz w:val="16"/>
          <w:szCs w:val="16"/>
          <w:lang w:val="en-GB"/>
        </w:rPr>
        <w:t xml:space="preserve"> CEDAW, </w:t>
      </w:r>
      <w:r w:rsidRPr="007D0347">
        <w:rPr>
          <w:rFonts w:asciiTheme="minorHAnsi" w:hAnsiTheme="minorHAnsi" w:cs="Calibri"/>
          <w:i/>
          <w:iCs/>
          <w:sz w:val="16"/>
          <w:szCs w:val="16"/>
          <w:lang w:val="en-GB"/>
        </w:rPr>
        <w:t>Concluding Observations: Spain</w:t>
      </w:r>
      <w:r w:rsidRPr="007D0347">
        <w:rPr>
          <w:rFonts w:asciiTheme="minorHAnsi" w:hAnsiTheme="minorHAnsi" w:cs="Calibri"/>
          <w:sz w:val="16"/>
          <w:szCs w:val="16"/>
          <w:lang w:val="en-GB"/>
        </w:rPr>
        <w:t xml:space="preserve">, 7 August 2009, UN Doc. </w:t>
      </w:r>
      <w:r w:rsidRPr="00DD6E70">
        <w:rPr>
          <w:rFonts w:asciiTheme="minorHAnsi" w:hAnsiTheme="minorHAnsi" w:cs="Calibri"/>
          <w:sz w:val="16"/>
          <w:szCs w:val="16"/>
          <w:lang w:val="es-ES"/>
        </w:rPr>
        <w:t xml:space="preserve">CEDAW /C/ESP/CO/6, para 31. </w:t>
      </w:r>
    </w:p>
  </w:footnote>
  <w:footnote w:id="39">
    <w:p w14:paraId="55E16466" w14:textId="5C0BAAFE" w:rsidR="00C265EC" w:rsidRPr="00DD6E70" w:rsidRDefault="00C265EC" w:rsidP="00774FB3">
      <w:pPr>
        <w:rPr>
          <w:rFonts w:asciiTheme="minorHAnsi" w:hAnsiTheme="minorHAnsi"/>
          <w:sz w:val="16"/>
          <w:szCs w:val="16"/>
          <w:lang w:val="es-ES"/>
        </w:rPr>
      </w:pPr>
      <w:r w:rsidRPr="007D0347">
        <w:rPr>
          <w:rFonts w:asciiTheme="minorHAnsi" w:hAnsiTheme="minorHAnsi"/>
          <w:sz w:val="16"/>
          <w:szCs w:val="16"/>
          <w:vertAlign w:val="superscript"/>
          <w:lang w:val="en-GB"/>
        </w:rPr>
        <w:footnoteRef/>
      </w:r>
      <w:r w:rsidRPr="007D0347">
        <w:rPr>
          <w:rFonts w:asciiTheme="minorHAnsi" w:hAnsiTheme="minorHAnsi" w:cs="Calibri"/>
          <w:sz w:val="16"/>
          <w:szCs w:val="16"/>
          <w:lang w:val="en-GB"/>
        </w:rPr>
        <w:t xml:space="preserve"> Organic Law 4/2000 on the Rights and Freedoms of Aliens in Spain and their Social Integration. n. art. 31 bis. 2 a 4. See also CERD, </w:t>
      </w:r>
      <w:r w:rsidRPr="007D0347">
        <w:rPr>
          <w:rFonts w:asciiTheme="minorHAnsi" w:hAnsiTheme="minorHAnsi" w:cs="Calibri"/>
          <w:i/>
          <w:iCs/>
          <w:sz w:val="16"/>
          <w:szCs w:val="16"/>
          <w:lang w:val="en-GB"/>
        </w:rPr>
        <w:t>Concluding Observations: Spain</w:t>
      </w:r>
      <w:r w:rsidRPr="007D0347">
        <w:rPr>
          <w:rFonts w:asciiTheme="minorHAnsi" w:hAnsiTheme="minorHAnsi" w:cs="Calibri"/>
          <w:sz w:val="16"/>
          <w:szCs w:val="16"/>
          <w:lang w:val="en-GB"/>
        </w:rPr>
        <w:t xml:space="preserve">, March 2011, UN </w:t>
      </w:r>
      <w:proofErr w:type="spellStart"/>
      <w:r w:rsidRPr="007D0347">
        <w:rPr>
          <w:rFonts w:asciiTheme="minorHAnsi" w:hAnsiTheme="minorHAnsi" w:cs="Calibri"/>
          <w:sz w:val="16"/>
          <w:szCs w:val="16"/>
          <w:lang w:val="en-GB"/>
        </w:rPr>
        <w:t>Doc.CERD</w:t>
      </w:r>
      <w:proofErr w:type="spellEnd"/>
      <w:r w:rsidRPr="007D0347">
        <w:rPr>
          <w:rFonts w:asciiTheme="minorHAnsi" w:hAnsiTheme="minorHAnsi" w:cs="Calibri"/>
          <w:sz w:val="16"/>
          <w:szCs w:val="16"/>
          <w:lang w:val="en-GB"/>
        </w:rPr>
        <w:t xml:space="preserve">/C/ESP/CO/18-20, para. </w:t>
      </w:r>
      <w:r w:rsidRPr="00DD6E70">
        <w:rPr>
          <w:rFonts w:asciiTheme="minorHAnsi" w:hAnsiTheme="minorHAnsi" w:cs="Calibri"/>
          <w:sz w:val="16"/>
          <w:szCs w:val="16"/>
          <w:lang w:val="es-ES"/>
        </w:rPr>
        <w:t>12</w:t>
      </w:r>
    </w:p>
  </w:footnote>
  <w:footnote w:id="40">
    <w:p w14:paraId="42D58462" w14:textId="54E2E8A9" w:rsidR="00C265EC" w:rsidRPr="00DD6E70" w:rsidRDefault="00C265EC" w:rsidP="00774FB3">
      <w:pPr>
        <w:pStyle w:val="FootnoteText"/>
        <w:rPr>
          <w:rFonts w:asciiTheme="minorHAnsi" w:hAnsiTheme="minorHAnsi"/>
          <w:sz w:val="16"/>
          <w:szCs w:val="16"/>
          <w:lang w:val="es-ES"/>
        </w:rPr>
      </w:pPr>
      <w:r w:rsidRPr="007D0347">
        <w:rPr>
          <w:rFonts w:asciiTheme="minorHAnsi" w:hAnsiTheme="minorHAnsi"/>
          <w:sz w:val="16"/>
          <w:szCs w:val="16"/>
          <w:vertAlign w:val="superscript"/>
          <w:lang w:val="en-GB"/>
        </w:rPr>
        <w:footnoteRef/>
      </w:r>
      <w:r w:rsidRPr="00DD6E70">
        <w:rPr>
          <w:rFonts w:asciiTheme="minorHAnsi" w:hAnsiTheme="minorHAnsi" w:cs="Calibri"/>
          <w:sz w:val="16"/>
          <w:szCs w:val="16"/>
          <w:lang w:val="es-ES"/>
        </w:rPr>
        <w:t xml:space="preserve"> </w:t>
      </w:r>
      <w:proofErr w:type="spellStart"/>
      <w:r w:rsidRPr="00DD6E70">
        <w:rPr>
          <w:rFonts w:asciiTheme="minorHAnsi" w:hAnsiTheme="minorHAnsi" w:cs="Calibri"/>
          <w:sz w:val="16"/>
          <w:szCs w:val="16"/>
          <w:lang w:val="es-ES"/>
        </w:rPr>
        <w:t>Ministry</w:t>
      </w:r>
      <w:proofErr w:type="spellEnd"/>
      <w:r w:rsidRPr="00DD6E70">
        <w:rPr>
          <w:rFonts w:asciiTheme="minorHAnsi" w:hAnsiTheme="minorHAnsi" w:cs="Calibri"/>
          <w:sz w:val="16"/>
          <w:szCs w:val="16"/>
          <w:lang w:val="es-ES"/>
        </w:rPr>
        <w:t xml:space="preserve"> </w:t>
      </w:r>
      <w:proofErr w:type="spellStart"/>
      <w:r w:rsidRPr="00DD6E70">
        <w:rPr>
          <w:rFonts w:asciiTheme="minorHAnsi" w:hAnsiTheme="minorHAnsi" w:cs="Calibri"/>
          <w:sz w:val="16"/>
          <w:szCs w:val="16"/>
          <w:lang w:val="es-ES"/>
        </w:rPr>
        <w:t>of</w:t>
      </w:r>
      <w:proofErr w:type="spellEnd"/>
      <w:r w:rsidRPr="00DD6E70">
        <w:rPr>
          <w:rFonts w:asciiTheme="minorHAnsi" w:hAnsiTheme="minorHAnsi" w:cs="Calibri"/>
          <w:sz w:val="16"/>
          <w:szCs w:val="16"/>
          <w:lang w:val="es-ES"/>
        </w:rPr>
        <w:t xml:space="preserve"> Interior: </w:t>
      </w:r>
      <w:hyperlink r:id="rId33">
        <w:r w:rsidRPr="00DD6E70">
          <w:rPr>
            <w:rFonts w:asciiTheme="minorHAnsi" w:hAnsiTheme="minorHAnsi" w:cs="Calibri"/>
            <w:sz w:val="16"/>
            <w:szCs w:val="16"/>
            <w:lang w:val="es-ES"/>
          </w:rPr>
          <w:t>Balance estadístico Ministerio del Interior 2016-2020</w:t>
        </w:r>
      </w:hyperlink>
      <w:r w:rsidRPr="00DD6E70">
        <w:rPr>
          <w:rFonts w:asciiTheme="minorHAnsi" w:hAnsiTheme="minorHAnsi" w:cs="Calibri"/>
          <w:sz w:val="16"/>
          <w:szCs w:val="16"/>
          <w:lang w:val="es-ES"/>
        </w:rPr>
        <w:t xml:space="preserve"> </w:t>
      </w:r>
      <w:r w:rsidRPr="00DD6E70">
        <w:rPr>
          <w:rFonts w:asciiTheme="minorHAnsi" w:eastAsia="Oswald" w:hAnsiTheme="minorHAnsi" w:cs="Calibri"/>
          <w:sz w:val="16"/>
          <w:szCs w:val="16"/>
          <w:lang w:val="es-ES"/>
        </w:rPr>
        <w:t>(</w:t>
      </w:r>
      <w:proofErr w:type="spellStart"/>
      <w:r w:rsidRPr="00DD6E70">
        <w:rPr>
          <w:rFonts w:asciiTheme="minorHAnsi" w:eastAsia="Oswald" w:hAnsiTheme="minorHAnsi" w:cs="Calibri"/>
          <w:sz w:val="16"/>
          <w:szCs w:val="16"/>
          <w:lang w:val="es-ES"/>
        </w:rPr>
        <w:t>Spanish</w:t>
      </w:r>
      <w:proofErr w:type="spellEnd"/>
      <w:r w:rsidR="00CC2773" w:rsidRPr="00281C77">
        <w:rPr>
          <w:rFonts w:asciiTheme="minorHAnsi" w:eastAsia="Oswald" w:hAnsiTheme="minorHAnsi" w:cs="Calibri"/>
          <w:sz w:val="16"/>
          <w:szCs w:val="16"/>
          <w:lang w:val="es-ES"/>
        </w:rPr>
        <w:t xml:space="preserve"> </w:t>
      </w:r>
      <w:proofErr w:type="spellStart"/>
      <w:r w:rsidR="00CC2773" w:rsidRPr="00281C77">
        <w:rPr>
          <w:rFonts w:asciiTheme="minorHAnsi" w:eastAsia="Oswald" w:hAnsiTheme="minorHAnsi" w:cs="Calibri"/>
          <w:sz w:val="16"/>
          <w:szCs w:val="16"/>
          <w:lang w:val="es-ES"/>
        </w:rPr>
        <w:t>only</w:t>
      </w:r>
      <w:proofErr w:type="spellEnd"/>
      <w:r w:rsidRPr="00DD6E70">
        <w:rPr>
          <w:rFonts w:asciiTheme="minorHAnsi" w:eastAsia="Oswald" w:hAnsiTheme="minorHAnsi" w:cs="Calibri"/>
          <w:sz w:val="16"/>
          <w:szCs w:val="16"/>
          <w:lang w:val="es-ES"/>
        </w:rPr>
        <w:t>)</w:t>
      </w:r>
      <w:r w:rsidR="007D0347" w:rsidRPr="00DD6E70">
        <w:rPr>
          <w:rFonts w:asciiTheme="minorHAnsi" w:eastAsia="Oswald" w:hAnsiTheme="minorHAnsi" w:cs="Calibri"/>
          <w:sz w:val="16"/>
          <w:szCs w:val="16"/>
          <w:lang w:val="es-ES"/>
        </w:rPr>
        <w:t>.</w:t>
      </w:r>
    </w:p>
  </w:footnote>
  <w:footnote w:id="41">
    <w:p w14:paraId="14446996" w14:textId="4877733F" w:rsidR="00C265EC" w:rsidRPr="00DD6E70" w:rsidRDefault="00C265EC" w:rsidP="00774FB3">
      <w:pPr>
        <w:pStyle w:val="FootnoteText"/>
        <w:rPr>
          <w:rFonts w:asciiTheme="minorHAnsi" w:hAnsiTheme="minorHAnsi"/>
          <w:sz w:val="16"/>
          <w:szCs w:val="16"/>
          <w:lang w:val="es-ES"/>
        </w:rPr>
      </w:pPr>
      <w:r w:rsidRPr="007D0347">
        <w:rPr>
          <w:rFonts w:asciiTheme="minorHAnsi" w:hAnsiTheme="minorHAnsi"/>
          <w:sz w:val="16"/>
          <w:szCs w:val="16"/>
          <w:vertAlign w:val="superscript"/>
          <w:lang w:val="en-GB"/>
        </w:rPr>
        <w:footnoteRef/>
      </w:r>
      <w:r w:rsidRPr="00DD6E70">
        <w:rPr>
          <w:rFonts w:asciiTheme="minorHAnsi" w:hAnsiTheme="minorHAnsi"/>
          <w:sz w:val="16"/>
          <w:szCs w:val="16"/>
          <w:highlight w:val="white"/>
          <w:lang w:val="es-ES"/>
        </w:rPr>
        <w:t xml:space="preserve"> </w:t>
      </w:r>
      <w:proofErr w:type="spellStart"/>
      <w:r w:rsidRPr="00DD6E70">
        <w:rPr>
          <w:rFonts w:asciiTheme="minorHAnsi" w:hAnsiTheme="minorHAnsi"/>
          <w:sz w:val="16"/>
          <w:szCs w:val="16"/>
          <w:lang w:val="es-ES"/>
        </w:rPr>
        <w:t>Amnesty</w:t>
      </w:r>
      <w:proofErr w:type="spellEnd"/>
      <w:r w:rsidRPr="00DD6E70">
        <w:rPr>
          <w:rFonts w:asciiTheme="minorHAnsi" w:hAnsiTheme="minorHAnsi"/>
          <w:sz w:val="16"/>
          <w:szCs w:val="16"/>
          <w:lang w:val="es-ES"/>
        </w:rPr>
        <w:t xml:space="preserve"> International, </w:t>
      </w:r>
      <w:hyperlink r:id="rId34">
        <w:r w:rsidRPr="00DD6E70">
          <w:rPr>
            <w:rFonts w:asciiTheme="minorHAnsi" w:hAnsiTheme="minorHAnsi"/>
            <w:i/>
            <w:iCs/>
            <w:sz w:val="16"/>
            <w:szCs w:val="16"/>
            <w:lang w:val="es-ES"/>
          </w:rPr>
          <w:t>Cadenas invisibles, identificación de víctimas de trata en España</w:t>
        </w:r>
      </w:hyperlink>
      <w:r w:rsidRPr="00DD6E70">
        <w:rPr>
          <w:rFonts w:asciiTheme="minorHAnsi" w:hAnsiTheme="minorHAnsi"/>
          <w:i/>
          <w:iCs/>
          <w:sz w:val="16"/>
          <w:szCs w:val="16"/>
          <w:lang w:val="es-ES"/>
        </w:rPr>
        <w:t xml:space="preserve"> </w:t>
      </w:r>
      <w:r w:rsidRPr="00DD6E70">
        <w:rPr>
          <w:rFonts w:asciiTheme="minorHAnsi" w:hAnsiTheme="minorHAnsi"/>
          <w:sz w:val="16"/>
          <w:szCs w:val="16"/>
          <w:lang w:val="es-ES"/>
        </w:rPr>
        <w:t>(</w:t>
      </w:r>
      <w:proofErr w:type="spellStart"/>
      <w:r w:rsidRPr="00DD6E70">
        <w:rPr>
          <w:rFonts w:asciiTheme="minorHAnsi" w:hAnsiTheme="minorHAnsi"/>
          <w:sz w:val="16"/>
          <w:szCs w:val="16"/>
          <w:lang w:val="es-ES"/>
        </w:rPr>
        <w:t>Spanish</w:t>
      </w:r>
      <w:proofErr w:type="spellEnd"/>
      <w:r w:rsidRPr="00DD6E70">
        <w:rPr>
          <w:rFonts w:asciiTheme="minorHAnsi" w:hAnsiTheme="minorHAnsi"/>
          <w:sz w:val="16"/>
          <w:szCs w:val="16"/>
          <w:lang w:val="es-ES"/>
        </w:rPr>
        <w:t xml:space="preserve"> </w:t>
      </w:r>
      <w:proofErr w:type="spellStart"/>
      <w:r w:rsidRPr="00DD6E70">
        <w:rPr>
          <w:rFonts w:asciiTheme="minorHAnsi" w:hAnsiTheme="minorHAnsi"/>
          <w:sz w:val="16"/>
          <w:szCs w:val="16"/>
          <w:lang w:val="es-ES"/>
        </w:rPr>
        <w:t>only</w:t>
      </w:r>
      <w:proofErr w:type="spellEnd"/>
      <w:r w:rsidRPr="00DD6E70">
        <w:rPr>
          <w:rFonts w:asciiTheme="minorHAnsi" w:hAnsiTheme="minorHAnsi"/>
          <w:sz w:val="16"/>
          <w:szCs w:val="16"/>
          <w:lang w:val="es-ES"/>
        </w:rPr>
        <w:t>)</w:t>
      </w:r>
      <w:r w:rsidR="007D0347" w:rsidRPr="00DD6E70">
        <w:rPr>
          <w:rFonts w:asciiTheme="minorHAnsi" w:hAnsiTheme="minorHAnsi"/>
          <w:sz w:val="16"/>
          <w:szCs w:val="16"/>
          <w:lang w:val="es-ES"/>
        </w:rPr>
        <w:t>.</w:t>
      </w:r>
    </w:p>
  </w:footnote>
  <w:footnote w:id="42">
    <w:p w14:paraId="1F936BFF" w14:textId="77777777" w:rsidR="00C265EC" w:rsidRPr="00DD6E70" w:rsidRDefault="00C265EC" w:rsidP="00774FB3">
      <w:pPr>
        <w:pStyle w:val="FootnoteText"/>
        <w:rPr>
          <w:rFonts w:asciiTheme="minorHAnsi" w:hAnsiTheme="minorHAnsi"/>
          <w:sz w:val="16"/>
          <w:szCs w:val="16"/>
          <w:lang w:val="es-ES"/>
        </w:rPr>
      </w:pPr>
      <w:r w:rsidRPr="007D0347">
        <w:rPr>
          <w:rFonts w:asciiTheme="minorHAnsi" w:hAnsiTheme="minorHAnsi"/>
          <w:sz w:val="16"/>
          <w:szCs w:val="16"/>
          <w:vertAlign w:val="superscript"/>
          <w:lang w:val="en-GB"/>
        </w:rPr>
        <w:footnoteRef/>
      </w:r>
      <w:r w:rsidRPr="00DD6E70">
        <w:rPr>
          <w:rFonts w:asciiTheme="minorHAnsi" w:hAnsiTheme="minorHAnsi"/>
          <w:sz w:val="16"/>
          <w:szCs w:val="16"/>
          <w:lang w:val="es-ES"/>
        </w:rPr>
        <w:t xml:space="preserve"> </w:t>
      </w:r>
      <w:r w:rsidRPr="00DD6E70">
        <w:rPr>
          <w:rFonts w:asciiTheme="minorHAnsi" w:hAnsiTheme="minorHAnsi" w:cs="Calibri"/>
          <w:sz w:val="16"/>
          <w:szCs w:val="16"/>
          <w:lang w:val="es-ES"/>
        </w:rPr>
        <w:t xml:space="preserve">Ombudsman </w:t>
      </w:r>
      <w:proofErr w:type="spellStart"/>
      <w:r w:rsidRPr="00DD6E70">
        <w:rPr>
          <w:rFonts w:asciiTheme="minorHAnsi" w:hAnsiTheme="minorHAnsi" w:cs="Calibri"/>
          <w:sz w:val="16"/>
          <w:szCs w:val="16"/>
          <w:lang w:val="es-ES"/>
        </w:rPr>
        <w:t>Annual</w:t>
      </w:r>
      <w:proofErr w:type="spellEnd"/>
      <w:r w:rsidRPr="00DD6E70">
        <w:rPr>
          <w:rFonts w:asciiTheme="minorHAnsi" w:hAnsiTheme="minorHAnsi" w:cs="Calibri"/>
          <w:sz w:val="16"/>
          <w:szCs w:val="16"/>
          <w:lang w:val="es-ES"/>
        </w:rPr>
        <w:t xml:space="preserve"> </w:t>
      </w:r>
      <w:proofErr w:type="spellStart"/>
      <w:r w:rsidRPr="00DD6E70">
        <w:rPr>
          <w:rFonts w:asciiTheme="minorHAnsi" w:hAnsiTheme="minorHAnsi" w:cs="Calibri"/>
          <w:sz w:val="16"/>
          <w:szCs w:val="16"/>
          <w:lang w:val="es-ES"/>
        </w:rPr>
        <w:t>Report</w:t>
      </w:r>
      <w:proofErr w:type="spellEnd"/>
      <w:r w:rsidRPr="00DD6E70">
        <w:rPr>
          <w:rFonts w:asciiTheme="minorHAnsi" w:hAnsiTheme="minorHAnsi" w:cs="Calibri"/>
          <w:sz w:val="16"/>
          <w:szCs w:val="16"/>
          <w:lang w:val="es-ES"/>
        </w:rPr>
        <w:t>, 2022, page 195.</w:t>
      </w:r>
    </w:p>
  </w:footnote>
  <w:footnote w:id="43">
    <w:p w14:paraId="75A2DA91" w14:textId="77777777" w:rsidR="00C265EC" w:rsidRPr="007D0347" w:rsidRDefault="00C265EC" w:rsidP="00774FB3">
      <w:pPr>
        <w:pStyle w:val="FootnoteText"/>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DD6E70">
        <w:rPr>
          <w:rFonts w:asciiTheme="minorHAnsi" w:hAnsiTheme="minorHAnsi"/>
          <w:sz w:val="16"/>
          <w:szCs w:val="16"/>
          <w:lang w:val="es-ES"/>
        </w:rPr>
        <w:t xml:space="preserve"> </w:t>
      </w:r>
      <w:hyperlink r:id="rId35">
        <w:proofErr w:type="spellStart"/>
        <w:r w:rsidRPr="00DD6E70">
          <w:rPr>
            <w:rFonts w:asciiTheme="minorHAnsi" w:hAnsiTheme="minorHAnsi" w:cs="Calibri"/>
            <w:sz w:val="16"/>
            <w:szCs w:val="16"/>
            <w:lang w:val="es-ES"/>
          </w:rPr>
          <w:t>Amnesty</w:t>
        </w:r>
        <w:proofErr w:type="spellEnd"/>
        <w:r w:rsidRPr="00DD6E70">
          <w:rPr>
            <w:rFonts w:asciiTheme="minorHAnsi" w:hAnsiTheme="minorHAnsi" w:cs="Calibri"/>
            <w:sz w:val="16"/>
            <w:szCs w:val="16"/>
            <w:lang w:val="es-ES"/>
          </w:rPr>
          <w:t xml:space="preserve"> International, </w:t>
        </w:r>
        <w:r w:rsidRPr="00393BD3">
          <w:rPr>
            <w:rFonts w:asciiTheme="minorHAnsi" w:hAnsiTheme="minorHAnsi" w:cs="Calibri"/>
            <w:i/>
            <w:iCs/>
            <w:sz w:val="16"/>
            <w:szCs w:val="16"/>
            <w:lang w:val="es-ES"/>
          </w:rPr>
          <w:t xml:space="preserve">La crisis de la vivienda no ha terminado </w:t>
        </w:r>
        <w:r w:rsidRPr="00DD6E70">
          <w:rPr>
            <w:rFonts w:asciiTheme="minorHAnsi" w:hAnsiTheme="minorHAnsi" w:cs="Calibri"/>
            <w:sz w:val="16"/>
            <w:szCs w:val="16"/>
            <w:lang w:val="es-ES"/>
          </w:rPr>
          <w:t>(2017).</w:t>
        </w:r>
      </w:hyperlink>
      <w:r w:rsidRPr="00DD6E70">
        <w:rPr>
          <w:rFonts w:asciiTheme="minorHAnsi" w:hAnsiTheme="minorHAnsi" w:cs="Calibri"/>
          <w:sz w:val="16"/>
          <w:szCs w:val="16"/>
          <w:lang w:val="es-ES"/>
        </w:rPr>
        <w:t xml:space="preserve"> </w:t>
      </w:r>
      <w:r w:rsidRPr="007D0347">
        <w:rPr>
          <w:rFonts w:asciiTheme="minorHAnsi" w:eastAsia="Oswald" w:hAnsiTheme="minorHAnsi" w:cs="Calibri"/>
          <w:sz w:val="16"/>
          <w:szCs w:val="16"/>
          <w:lang w:val="en-GB"/>
        </w:rPr>
        <w:t xml:space="preserve">(Spanish only) </w:t>
      </w:r>
    </w:p>
  </w:footnote>
  <w:footnote w:id="44">
    <w:p w14:paraId="03A7F114" w14:textId="4B27870D" w:rsidR="00C265EC" w:rsidRPr="007D0347" w:rsidRDefault="00C265EC" w:rsidP="00774FB3">
      <w:pPr>
        <w:pStyle w:val="FootnoteText"/>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sz w:val="16"/>
          <w:szCs w:val="16"/>
          <w:highlight w:val="white"/>
          <w:lang w:val="en-GB"/>
        </w:rPr>
        <w:t xml:space="preserve"> 77.671 evictions due to non-payment of the rent; 25.527 due to non-payment of the </w:t>
      </w:r>
      <w:r w:rsidR="00CC2773" w:rsidRPr="007D0347">
        <w:rPr>
          <w:rFonts w:asciiTheme="minorHAnsi" w:hAnsiTheme="minorHAnsi"/>
          <w:sz w:val="16"/>
          <w:szCs w:val="16"/>
          <w:highlight w:val="white"/>
          <w:lang w:val="en-GB"/>
        </w:rPr>
        <w:t>mortgage</w:t>
      </w:r>
      <w:r w:rsidRPr="007D0347">
        <w:rPr>
          <w:rFonts w:asciiTheme="minorHAnsi" w:hAnsiTheme="minorHAnsi"/>
          <w:sz w:val="16"/>
          <w:szCs w:val="16"/>
          <w:highlight w:val="white"/>
          <w:lang w:val="en-GB"/>
        </w:rPr>
        <w:t xml:space="preserve"> and 5.834 due to other reasons</w:t>
      </w:r>
      <w:r w:rsidR="0081774F">
        <w:rPr>
          <w:rFonts w:asciiTheme="minorHAnsi" w:hAnsiTheme="minorHAnsi"/>
          <w:sz w:val="16"/>
          <w:szCs w:val="16"/>
          <w:lang w:val="en-GB"/>
        </w:rPr>
        <w:t xml:space="preserve">, </w:t>
      </w:r>
      <w:hyperlink r:id="rId36">
        <w:r w:rsidR="0081774F" w:rsidRPr="007D0347">
          <w:rPr>
            <w:rFonts w:asciiTheme="minorHAnsi" w:hAnsiTheme="minorHAnsi"/>
            <w:sz w:val="16"/>
            <w:szCs w:val="16"/>
            <w:highlight w:val="white"/>
            <w:lang w:val="en-GB"/>
          </w:rPr>
          <w:t>https://www.poderjudicial.es/cgpj/es/Temas/Estadistica-Judicial/Estudios-e-Informes/Efecto-de-la-Crisis-en-los-organos-judiciales/</w:t>
        </w:r>
      </w:hyperlink>
    </w:p>
  </w:footnote>
  <w:footnote w:id="45">
    <w:p w14:paraId="5CD83E3E" w14:textId="77777777" w:rsidR="00C265EC" w:rsidRPr="007D0347" w:rsidRDefault="00C265EC" w:rsidP="00774FB3">
      <w:pPr>
        <w:pStyle w:val="FootnoteText"/>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sz w:val="16"/>
          <w:szCs w:val="16"/>
          <w:lang w:val="en-GB"/>
        </w:rPr>
        <w:t xml:space="preserve"> </w:t>
      </w:r>
      <w:hyperlink r:id="rId37">
        <w:r w:rsidRPr="007D0347">
          <w:rPr>
            <w:rFonts w:asciiTheme="minorHAnsi" w:hAnsiTheme="minorHAnsi"/>
            <w:sz w:val="16"/>
            <w:szCs w:val="16"/>
            <w:highlight w:val="white"/>
            <w:lang w:val="en-GB"/>
          </w:rPr>
          <w:t>https://www.idealista.com/sala-de-prensa/informes-precio-vivienda/alquiler/historico/</w:t>
        </w:r>
      </w:hyperlink>
      <w:r w:rsidRPr="007D0347">
        <w:rPr>
          <w:rFonts w:asciiTheme="minorHAnsi" w:hAnsiTheme="minorHAnsi"/>
          <w:color w:val="auto"/>
          <w:sz w:val="16"/>
          <w:szCs w:val="16"/>
          <w:highlight w:val="white"/>
          <w:lang w:val="en-GB"/>
        </w:rPr>
        <w:t xml:space="preserve">      </w:t>
      </w:r>
      <w:r w:rsidRPr="007D0347">
        <w:rPr>
          <w:rFonts w:asciiTheme="minorHAnsi" w:hAnsiTheme="minorHAnsi"/>
          <w:sz w:val="16"/>
          <w:szCs w:val="16"/>
          <w:lang w:val="en-GB"/>
        </w:rPr>
        <w:t xml:space="preserve"> </w:t>
      </w:r>
    </w:p>
  </w:footnote>
  <w:footnote w:id="46">
    <w:p w14:paraId="6ED8B047" w14:textId="77777777" w:rsidR="00C265EC" w:rsidRPr="007D0347" w:rsidRDefault="00C265EC" w:rsidP="00774FB3">
      <w:pPr>
        <w:pStyle w:val="FootnoteText"/>
        <w:rPr>
          <w:rFonts w:asciiTheme="minorHAnsi" w:hAnsiTheme="minorHAnsi"/>
          <w:sz w:val="16"/>
          <w:szCs w:val="16"/>
          <w:highlight w:val="white"/>
          <w:lang w:val="en-GB"/>
        </w:rPr>
      </w:pPr>
      <w:r w:rsidRPr="007D0347">
        <w:rPr>
          <w:rFonts w:asciiTheme="minorHAnsi" w:hAnsiTheme="minorHAnsi"/>
          <w:sz w:val="16"/>
          <w:szCs w:val="16"/>
          <w:vertAlign w:val="superscript"/>
          <w:lang w:val="en-GB"/>
        </w:rPr>
        <w:footnoteRef/>
      </w:r>
      <w:r w:rsidRPr="007D0347">
        <w:rPr>
          <w:rFonts w:asciiTheme="minorHAnsi" w:hAnsiTheme="minorHAnsi"/>
          <w:sz w:val="16"/>
          <w:szCs w:val="16"/>
          <w:lang w:val="en-GB"/>
        </w:rPr>
        <w:t xml:space="preserve"> </w:t>
      </w:r>
      <w:r w:rsidRPr="007D0347">
        <w:rPr>
          <w:rFonts w:asciiTheme="minorHAnsi" w:hAnsiTheme="minorHAnsi"/>
          <w:sz w:val="16"/>
          <w:szCs w:val="16"/>
          <w:highlight w:val="white"/>
          <w:lang w:val="en-GB"/>
        </w:rPr>
        <w:t>https://www.es.amnesty.org/en-que-estamos/espana/derecho-vivienda/</w:t>
      </w:r>
    </w:p>
  </w:footnote>
  <w:footnote w:id="47">
    <w:p w14:paraId="09EF993E" w14:textId="77777777" w:rsidR="00C265EC" w:rsidRPr="007D0347" w:rsidRDefault="00C265EC" w:rsidP="00774FB3">
      <w:pPr>
        <w:pStyle w:val="FootnoteText"/>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sz w:val="16"/>
          <w:szCs w:val="16"/>
          <w:lang w:val="en-GB"/>
        </w:rPr>
        <w:t xml:space="preserve"> </w:t>
      </w:r>
      <w:hyperlink r:id="rId38">
        <w:r w:rsidRPr="007D0347">
          <w:rPr>
            <w:rFonts w:asciiTheme="minorHAnsi" w:hAnsiTheme="minorHAnsi"/>
            <w:sz w:val="16"/>
            <w:szCs w:val="16"/>
            <w:highlight w:val="white"/>
            <w:lang w:val="en-GB"/>
          </w:rPr>
          <w:t>https://www.ine.es/jaxiT3/Datos.htm?t=52214</w:t>
        </w:r>
      </w:hyperlink>
    </w:p>
  </w:footnote>
  <w:footnote w:id="48">
    <w:p w14:paraId="47D6A655" w14:textId="11942810" w:rsidR="00C265EC" w:rsidRPr="002E31BD" w:rsidRDefault="00C265EC" w:rsidP="00774FB3">
      <w:pPr>
        <w:pStyle w:val="FootnoteText"/>
        <w:rPr>
          <w:rFonts w:asciiTheme="minorHAnsi" w:hAnsiTheme="minorHAnsi"/>
          <w:sz w:val="16"/>
          <w:szCs w:val="16"/>
          <w:lang w:val="es-ES"/>
        </w:rPr>
      </w:pPr>
      <w:r w:rsidRPr="007D0347">
        <w:rPr>
          <w:rFonts w:asciiTheme="minorHAnsi" w:hAnsiTheme="minorHAnsi"/>
          <w:sz w:val="16"/>
          <w:szCs w:val="16"/>
          <w:vertAlign w:val="superscript"/>
          <w:lang w:val="en-GB"/>
        </w:rPr>
        <w:footnoteRef/>
      </w:r>
      <w:r w:rsidRPr="002E31BD">
        <w:rPr>
          <w:rFonts w:asciiTheme="minorHAnsi" w:hAnsiTheme="minorHAnsi"/>
          <w:sz w:val="16"/>
          <w:szCs w:val="16"/>
          <w:lang w:val="es-ES"/>
        </w:rPr>
        <w:t xml:space="preserve"> </w:t>
      </w:r>
      <w:proofErr w:type="spellStart"/>
      <w:r w:rsidRPr="002E31BD">
        <w:rPr>
          <w:rFonts w:asciiTheme="minorHAnsi" w:hAnsiTheme="minorHAnsi"/>
          <w:sz w:val="16"/>
          <w:szCs w:val="16"/>
          <w:lang w:val="es-ES"/>
        </w:rPr>
        <w:t>National</w:t>
      </w:r>
      <w:proofErr w:type="spellEnd"/>
      <w:r w:rsidRPr="002E31BD">
        <w:rPr>
          <w:rFonts w:asciiTheme="minorHAnsi" w:hAnsiTheme="minorHAnsi"/>
          <w:sz w:val="16"/>
          <w:szCs w:val="16"/>
          <w:lang w:val="es-ES"/>
        </w:rPr>
        <w:t xml:space="preserve"> </w:t>
      </w:r>
      <w:proofErr w:type="spellStart"/>
      <w:r w:rsidRPr="002E31BD">
        <w:rPr>
          <w:rFonts w:asciiTheme="minorHAnsi" w:hAnsiTheme="minorHAnsi"/>
          <w:sz w:val="16"/>
          <w:szCs w:val="16"/>
          <w:lang w:val="es-ES"/>
        </w:rPr>
        <w:t>Institute</w:t>
      </w:r>
      <w:proofErr w:type="spellEnd"/>
      <w:r w:rsidRPr="002E31BD">
        <w:rPr>
          <w:rFonts w:asciiTheme="minorHAnsi" w:hAnsiTheme="minorHAnsi"/>
          <w:sz w:val="16"/>
          <w:szCs w:val="16"/>
          <w:lang w:val="es-ES"/>
        </w:rPr>
        <w:t xml:space="preserve"> </w:t>
      </w:r>
      <w:proofErr w:type="spellStart"/>
      <w:r w:rsidRPr="002E31BD">
        <w:rPr>
          <w:rFonts w:asciiTheme="minorHAnsi" w:hAnsiTheme="minorHAnsi"/>
          <w:sz w:val="16"/>
          <w:szCs w:val="16"/>
          <w:lang w:val="es-ES"/>
        </w:rPr>
        <w:t>of</w:t>
      </w:r>
      <w:proofErr w:type="spellEnd"/>
      <w:r w:rsidRPr="002E31BD">
        <w:rPr>
          <w:rFonts w:asciiTheme="minorHAnsi" w:hAnsiTheme="minorHAnsi"/>
          <w:sz w:val="16"/>
          <w:szCs w:val="16"/>
          <w:lang w:val="es-ES"/>
        </w:rPr>
        <w:t xml:space="preserve"> </w:t>
      </w:r>
      <w:proofErr w:type="spellStart"/>
      <w:r w:rsidRPr="002E31BD">
        <w:rPr>
          <w:rFonts w:asciiTheme="minorHAnsi" w:hAnsiTheme="minorHAnsi"/>
          <w:sz w:val="16"/>
          <w:szCs w:val="16"/>
          <w:lang w:val="es-ES"/>
        </w:rPr>
        <w:t>Statistics</w:t>
      </w:r>
      <w:proofErr w:type="spellEnd"/>
      <w:r w:rsidRPr="002E31BD">
        <w:rPr>
          <w:rFonts w:asciiTheme="minorHAnsi" w:hAnsiTheme="minorHAnsi"/>
          <w:sz w:val="16"/>
          <w:szCs w:val="16"/>
          <w:lang w:val="es-ES"/>
        </w:rPr>
        <w:t>,</w:t>
      </w:r>
      <w:r w:rsidR="00CC2773" w:rsidRPr="002E31BD">
        <w:rPr>
          <w:rFonts w:asciiTheme="minorHAnsi" w:hAnsiTheme="minorHAnsi"/>
          <w:sz w:val="16"/>
          <w:szCs w:val="16"/>
          <w:lang w:val="es-ES"/>
        </w:rPr>
        <w:t xml:space="preserve"> </w:t>
      </w:r>
      <w:hyperlink r:id="rId39">
        <w:r w:rsidRPr="002E31BD">
          <w:rPr>
            <w:rFonts w:asciiTheme="minorHAnsi" w:hAnsiTheme="minorHAnsi"/>
            <w:sz w:val="16"/>
            <w:szCs w:val="16"/>
            <w:lang w:val="es-ES"/>
          </w:rPr>
          <w:t>Encuesta continua de Hogares, 2020</w:t>
        </w:r>
      </w:hyperlink>
      <w:r w:rsidRPr="002E31BD">
        <w:rPr>
          <w:rFonts w:asciiTheme="minorHAnsi" w:hAnsiTheme="minorHAnsi"/>
          <w:sz w:val="16"/>
          <w:szCs w:val="16"/>
          <w:lang w:val="es-ES"/>
        </w:rPr>
        <w:t xml:space="preserve">. </w:t>
      </w:r>
    </w:p>
  </w:footnote>
  <w:footnote w:id="49">
    <w:p w14:paraId="10B7D74F" w14:textId="77777777" w:rsidR="00C265EC" w:rsidRPr="007D0347" w:rsidRDefault="00C265EC" w:rsidP="00774FB3">
      <w:pPr>
        <w:pStyle w:val="FootnoteText"/>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sz w:val="16"/>
          <w:szCs w:val="16"/>
          <w:lang w:val="en-GB"/>
        </w:rPr>
        <w:t xml:space="preserve"> Article 2. The preamble gives special attention to those who have lost their houses, especially single mothers and elderly women.     </w:t>
      </w:r>
    </w:p>
  </w:footnote>
  <w:footnote w:id="50">
    <w:p w14:paraId="77CBAFA9" w14:textId="69ADEF8B" w:rsidR="00C265EC" w:rsidRPr="007D0347" w:rsidRDefault="00C265EC" w:rsidP="00774FB3">
      <w:pPr>
        <w:pStyle w:val="FootnoteText"/>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DD6E70">
        <w:rPr>
          <w:rFonts w:asciiTheme="minorHAnsi" w:hAnsiTheme="minorHAnsi"/>
          <w:sz w:val="16"/>
          <w:szCs w:val="16"/>
          <w:lang w:val="es-ES"/>
        </w:rPr>
        <w:t xml:space="preserve"> Amnesty International, </w:t>
      </w:r>
      <w:hyperlink r:id="rId40">
        <w:r w:rsidRPr="00DD6E70">
          <w:rPr>
            <w:rFonts w:asciiTheme="minorHAnsi" w:hAnsiTheme="minorHAnsi"/>
            <w:i/>
            <w:iCs/>
            <w:color w:val="auto"/>
            <w:sz w:val="16"/>
            <w:szCs w:val="16"/>
            <w:lang w:val="es-ES"/>
          </w:rPr>
          <w:t xml:space="preserve">Proyecto de ley por el derecho a la vivienda. </w:t>
        </w:r>
        <w:proofErr w:type="spellStart"/>
        <w:r w:rsidRPr="007D0347">
          <w:rPr>
            <w:rFonts w:asciiTheme="minorHAnsi" w:hAnsiTheme="minorHAnsi"/>
            <w:i/>
            <w:iCs/>
            <w:color w:val="auto"/>
            <w:sz w:val="16"/>
            <w:szCs w:val="16"/>
            <w:lang w:val="en-GB"/>
          </w:rPr>
          <w:t>Comentarios</w:t>
        </w:r>
        <w:proofErr w:type="spellEnd"/>
        <w:r w:rsidRPr="007D0347">
          <w:rPr>
            <w:rFonts w:asciiTheme="minorHAnsi" w:hAnsiTheme="minorHAnsi"/>
            <w:i/>
            <w:iCs/>
            <w:color w:val="auto"/>
            <w:sz w:val="16"/>
            <w:szCs w:val="16"/>
            <w:lang w:val="en-GB"/>
          </w:rPr>
          <w:t xml:space="preserve"> de </w:t>
        </w:r>
        <w:proofErr w:type="spellStart"/>
        <w:r w:rsidRPr="007D0347">
          <w:rPr>
            <w:rFonts w:asciiTheme="minorHAnsi" w:hAnsiTheme="minorHAnsi"/>
            <w:i/>
            <w:iCs/>
            <w:color w:val="auto"/>
            <w:sz w:val="16"/>
            <w:szCs w:val="16"/>
            <w:lang w:val="en-GB"/>
          </w:rPr>
          <w:t>Amnistía</w:t>
        </w:r>
        <w:proofErr w:type="spellEnd"/>
        <w:r w:rsidRPr="007D0347">
          <w:rPr>
            <w:rFonts w:asciiTheme="minorHAnsi" w:hAnsiTheme="minorHAnsi"/>
            <w:i/>
            <w:iCs/>
            <w:color w:val="auto"/>
            <w:sz w:val="16"/>
            <w:szCs w:val="16"/>
            <w:lang w:val="en-GB"/>
          </w:rPr>
          <w:t xml:space="preserve"> </w:t>
        </w:r>
        <w:proofErr w:type="spellStart"/>
        <w:r w:rsidRPr="007D0347">
          <w:rPr>
            <w:rFonts w:asciiTheme="minorHAnsi" w:hAnsiTheme="minorHAnsi"/>
            <w:i/>
            <w:iCs/>
            <w:color w:val="auto"/>
            <w:sz w:val="16"/>
            <w:szCs w:val="16"/>
            <w:lang w:val="en-GB"/>
          </w:rPr>
          <w:t>Internacional</w:t>
        </w:r>
        <w:proofErr w:type="spellEnd"/>
        <w:r w:rsidRPr="007D0347">
          <w:rPr>
            <w:rFonts w:asciiTheme="minorHAnsi" w:hAnsiTheme="minorHAnsi"/>
            <w:i/>
            <w:iCs/>
            <w:color w:val="auto"/>
            <w:sz w:val="16"/>
            <w:szCs w:val="16"/>
            <w:lang w:val="en-GB"/>
          </w:rPr>
          <w:t xml:space="preserve">, </w:t>
        </w:r>
      </w:hyperlink>
      <w:r w:rsidRPr="007D0347">
        <w:rPr>
          <w:rFonts w:asciiTheme="minorHAnsi" w:hAnsiTheme="minorHAnsi"/>
          <w:sz w:val="16"/>
          <w:szCs w:val="16"/>
          <w:lang w:val="en-GB"/>
        </w:rPr>
        <w:t xml:space="preserve">2022 (Spanish only). </w:t>
      </w:r>
    </w:p>
  </w:footnote>
  <w:footnote w:id="51">
    <w:p w14:paraId="5C1EEEEA" w14:textId="77777777" w:rsidR="00C265EC" w:rsidRPr="007D0347" w:rsidRDefault="00C265EC" w:rsidP="00774FB3">
      <w:pPr>
        <w:pStyle w:val="FootnoteText"/>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sz w:val="16"/>
          <w:szCs w:val="16"/>
          <w:lang w:val="en-GB"/>
        </w:rPr>
        <w:t xml:space="preserve"> Additional Provisions 5 and 7 of the Bill.     </w:t>
      </w:r>
    </w:p>
  </w:footnote>
  <w:footnote w:id="52">
    <w:p w14:paraId="29C05F0D" w14:textId="25594C86" w:rsidR="00C265EC" w:rsidRPr="007D0347" w:rsidRDefault="00C265EC" w:rsidP="00774FB3">
      <w:pPr>
        <w:pStyle w:val="FootnoteText"/>
        <w:rPr>
          <w:rFonts w:asciiTheme="minorHAnsi" w:hAnsiTheme="minorHAnsi"/>
          <w:sz w:val="16"/>
          <w:szCs w:val="16"/>
          <w:lang w:val="en-GB"/>
        </w:rPr>
      </w:pPr>
      <w:r w:rsidRPr="007D0347">
        <w:rPr>
          <w:rFonts w:asciiTheme="minorHAnsi" w:hAnsiTheme="minorHAnsi"/>
          <w:sz w:val="16"/>
          <w:szCs w:val="16"/>
          <w:vertAlign w:val="superscript"/>
          <w:lang w:val="en-GB"/>
        </w:rPr>
        <w:footnoteRef/>
      </w:r>
      <w:r w:rsidRPr="007D0347">
        <w:rPr>
          <w:rFonts w:asciiTheme="minorHAnsi" w:hAnsiTheme="minorHAnsi"/>
          <w:sz w:val="16"/>
          <w:szCs w:val="16"/>
          <w:lang w:val="en-GB"/>
        </w:rPr>
        <w:t xml:space="preserve"> See art. 3 g) of Law 1/2013, of 14 May, on measures to reinforce protection of mortgage debtors, debt </w:t>
      </w:r>
      <w:r w:rsidR="00146F63" w:rsidRPr="007D0347">
        <w:rPr>
          <w:rFonts w:asciiTheme="minorHAnsi" w:hAnsiTheme="minorHAnsi"/>
          <w:sz w:val="16"/>
          <w:szCs w:val="16"/>
          <w:lang w:val="en-GB"/>
        </w:rPr>
        <w:t>restructuring</w:t>
      </w:r>
      <w:r w:rsidRPr="007D0347">
        <w:rPr>
          <w:rFonts w:asciiTheme="minorHAnsi" w:hAnsiTheme="minorHAnsi"/>
          <w:sz w:val="16"/>
          <w:szCs w:val="16"/>
          <w:lang w:val="en-GB"/>
        </w:rPr>
        <w:t xml:space="preserve"> and social housing, amended by Royal Law Decree 1/2015, 27 February on second chance mechanism, reduction of financial burden and other social measures, that extended the period of suspension of the eviction from 2 to 4 years. </w:t>
      </w:r>
    </w:p>
  </w:footnote>
  <w:footnote w:id="53">
    <w:p w14:paraId="540B399B" w14:textId="3A603672" w:rsidR="00C265EC" w:rsidRPr="007D0347" w:rsidRDefault="00C265EC" w:rsidP="00774FB3">
      <w:pPr>
        <w:pStyle w:val="FootnoteText"/>
        <w:rPr>
          <w:rFonts w:asciiTheme="minorHAnsi" w:hAnsiTheme="minorHAnsi"/>
          <w:sz w:val="16"/>
          <w:szCs w:val="16"/>
          <w:lang w:val="en-GB"/>
        </w:rPr>
      </w:pPr>
      <w:r w:rsidRPr="00DA6643">
        <w:rPr>
          <w:rFonts w:asciiTheme="minorHAnsi" w:hAnsiTheme="minorHAnsi"/>
          <w:sz w:val="16"/>
          <w:szCs w:val="16"/>
          <w:vertAlign w:val="superscript"/>
          <w:lang w:val="en-GB"/>
        </w:rPr>
        <w:footnoteRef/>
      </w:r>
      <w:r w:rsidRPr="00DA6643">
        <w:rPr>
          <w:rFonts w:asciiTheme="minorHAnsi" w:hAnsiTheme="minorHAnsi"/>
          <w:sz w:val="16"/>
          <w:szCs w:val="16"/>
          <w:vertAlign w:val="superscript"/>
          <w:lang w:val="en-GB"/>
        </w:rPr>
        <w:t xml:space="preserve"> </w:t>
      </w:r>
      <w:r w:rsidR="00DA6643">
        <w:rPr>
          <w:rFonts w:asciiTheme="minorHAnsi" w:hAnsiTheme="minorHAnsi"/>
          <w:sz w:val="16"/>
          <w:szCs w:val="16"/>
          <w:lang w:val="en-GB"/>
        </w:rPr>
        <w:t>CESCR</w:t>
      </w:r>
      <w:r w:rsidRPr="007D0347">
        <w:rPr>
          <w:rFonts w:asciiTheme="minorHAnsi" w:hAnsiTheme="minorHAnsi"/>
          <w:sz w:val="16"/>
          <w:szCs w:val="16"/>
          <w:lang w:val="en-GB"/>
        </w:rPr>
        <w:t xml:space="preserve">, </w:t>
      </w:r>
      <w:r w:rsidRPr="007D0347">
        <w:rPr>
          <w:rFonts w:asciiTheme="minorHAnsi" w:hAnsiTheme="minorHAnsi"/>
          <w:i/>
          <w:iCs/>
          <w:sz w:val="16"/>
          <w:szCs w:val="16"/>
          <w:lang w:val="en-GB"/>
        </w:rPr>
        <w:t>Concluding Observations</w:t>
      </w:r>
      <w:r w:rsidR="00DA6643">
        <w:rPr>
          <w:rFonts w:asciiTheme="minorHAnsi" w:hAnsiTheme="minorHAnsi"/>
          <w:i/>
          <w:iCs/>
          <w:sz w:val="16"/>
          <w:szCs w:val="16"/>
          <w:lang w:val="en-GB"/>
        </w:rPr>
        <w:t xml:space="preserve">: </w:t>
      </w:r>
      <w:r w:rsidRPr="007D0347">
        <w:rPr>
          <w:rFonts w:asciiTheme="minorHAnsi" w:hAnsiTheme="minorHAnsi"/>
          <w:i/>
          <w:iCs/>
          <w:sz w:val="16"/>
          <w:szCs w:val="16"/>
          <w:lang w:val="en-GB"/>
        </w:rPr>
        <w:t>Spain</w:t>
      </w:r>
      <w:r w:rsidRPr="007D0347">
        <w:rPr>
          <w:rFonts w:asciiTheme="minorHAnsi" w:hAnsiTheme="minorHAnsi"/>
          <w:sz w:val="16"/>
          <w:szCs w:val="16"/>
          <w:lang w:val="en-GB"/>
        </w:rPr>
        <w:t xml:space="preserve">, April 2018, UN Doc. </w:t>
      </w:r>
      <w:r w:rsidRPr="006F5059">
        <w:rPr>
          <w:rFonts w:asciiTheme="minorHAnsi" w:hAnsiTheme="minorHAnsi"/>
          <w:sz w:val="16"/>
          <w:szCs w:val="16"/>
          <w:lang w:val="es-ES"/>
        </w:rPr>
        <w:t>E/C.12/ESP/CO/6, paras</w:t>
      </w:r>
      <w:r w:rsidR="006F5059" w:rsidRPr="006F5059">
        <w:rPr>
          <w:rFonts w:asciiTheme="minorHAnsi" w:hAnsiTheme="minorHAnsi"/>
          <w:sz w:val="16"/>
          <w:szCs w:val="16"/>
          <w:lang w:val="es-ES"/>
        </w:rPr>
        <w:t>.</w:t>
      </w:r>
      <w:r w:rsidRPr="006F5059">
        <w:rPr>
          <w:rFonts w:asciiTheme="minorHAnsi" w:hAnsiTheme="minorHAnsi"/>
          <w:sz w:val="16"/>
          <w:szCs w:val="16"/>
          <w:lang w:val="es-ES"/>
        </w:rPr>
        <w:t xml:space="preserve"> </w:t>
      </w:r>
      <w:r w:rsidRPr="007D0347">
        <w:rPr>
          <w:rFonts w:asciiTheme="minorHAnsi" w:hAnsiTheme="minorHAnsi"/>
          <w:sz w:val="16"/>
          <w:szCs w:val="16"/>
          <w:lang w:val="en-GB"/>
        </w:rPr>
        <w:t xml:space="preserve">9-11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8E2EF"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0E8E0CD4"/>
    <w:multiLevelType w:val="multilevel"/>
    <w:tmpl w:val="9738A4E8"/>
    <w:lvl w:ilvl="0">
      <w:start w:val="1"/>
      <w:numFmt w:val="bullet"/>
      <w:lvlText w:val=""/>
      <w:lvlJc w:val="left"/>
      <w:pPr>
        <w:tabs>
          <w:tab w:val="num" w:pos="360"/>
        </w:tabs>
        <w:ind w:left="360" w:hanging="360"/>
      </w:pPr>
      <w:rPr>
        <w:rFonts w:ascii="Symbol" w:hAnsi="Symbol" w:cs="Symbol" w:hint="default"/>
        <w:sz w:val="18"/>
      </w:rPr>
    </w:lvl>
    <w:lvl w:ilvl="1">
      <w:start w:val="1"/>
      <w:numFmt w:val="bullet"/>
      <w:lvlText w:val="◦"/>
      <w:lvlJc w:val="left"/>
      <w:pPr>
        <w:tabs>
          <w:tab w:val="num" w:pos="720"/>
        </w:tabs>
        <w:ind w:left="720" w:hanging="360"/>
      </w:pPr>
      <w:rPr>
        <w:rFonts w:ascii="OpenSymbol" w:hAnsi="OpenSymbol" w:cs="OpenSymbol" w:hint="default"/>
      </w:rPr>
    </w:lvl>
    <w:lvl w:ilvl="2">
      <w:start w:val="1"/>
      <w:numFmt w:val="bullet"/>
      <w:lvlText w:val="▪"/>
      <w:lvlJc w:val="left"/>
      <w:pPr>
        <w:tabs>
          <w:tab w:val="num" w:pos="1080"/>
        </w:tabs>
        <w:ind w:left="1080" w:hanging="360"/>
      </w:pPr>
      <w:rPr>
        <w:rFonts w:ascii="OpenSymbol" w:hAnsi="OpenSymbol" w:cs="OpenSymbol" w:hint="default"/>
      </w:rPr>
    </w:lvl>
    <w:lvl w:ilvl="3">
      <w:start w:val="1"/>
      <w:numFmt w:val="bullet"/>
      <w:lvlText w:val=""/>
      <w:lvlJc w:val="left"/>
      <w:pPr>
        <w:tabs>
          <w:tab w:val="num" w:pos="1440"/>
        </w:tabs>
        <w:ind w:left="1440" w:hanging="360"/>
      </w:pPr>
      <w:rPr>
        <w:rFonts w:ascii="Symbol" w:hAnsi="Symbol" w:cs="Symbol" w:hint="default"/>
      </w:rPr>
    </w:lvl>
    <w:lvl w:ilvl="4">
      <w:start w:val="1"/>
      <w:numFmt w:val="bullet"/>
      <w:lvlText w:val="◦"/>
      <w:lvlJc w:val="left"/>
      <w:pPr>
        <w:tabs>
          <w:tab w:val="num" w:pos="1800"/>
        </w:tabs>
        <w:ind w:left="1800" w:hanging="360"/>
      </w:pPr>
      <w:rPr>
        <w:rFonts w:ascii="OpenSymbol" w:hAnsi="OpenSymbol" w:cs="OpenSymbol" w:hint="default"/>
      </w:rPr>
    </w:lvl>
    <w:lvl w:ilvl="5">
      <w:start w:val="1"/>
      <w:numFmt w:val="bullet"/>
      <w:lvlText w:val="▪"/>
      <w:lvlJc w:val="left"/>
      <w:pPr>
        <w:tabs>
          <w:tab w:val="num" w:pos="2160"/>
        </w:tabs>
        <w:ind w:left="2160" w:hanging="360"/>
      </w:pPr>
      <w:rPr>
        <w:rFonts w:ascii="OpenSymbol" w:hAnsi="OpenSymbol" w:cs="OpenSymbol" w:hint="default"/>
      </w:rPr>
    </w:lvl>
    <w:lvl w:ilvl="6">
      <w:start w:val="1"/>
      <w:numFmt w:val="bullet"/>
      <w:lvlText w:val=""/>
      <w:lvlJc w:val="left"/>
      <w:pPr>
        <w:tabs>
          <w:tab w:val="num" w:pos="2520"/>
        </w:tabs>
        <w:ind w:left="2520" w:hanging="360"/>
      </w:pPr>
      <w:rPr>
        <w:rFonts w:ascii="Symbol" w:hAnsi="Symbol" w:cs="Symbol" w:hint="default"/>
      </w:rPr>
    </w:lvl>
    <w:lvl w:ilvl="7">
      <w:start w:val="1"/>
      <w:numFmt w:val="bullet"/>
      <w:lvlText w:val="◦"/>
      <w:lvlJc w:val="left"/>
      <w:pPr>
        <w:tabs>
          <w:tab w:val="num" w:pos="2880"/>
        </w:tabs>
        <w:ind w:left="2880" w:hanging="360"/>
      </w:pPr>
      <w:rPr>
        <w:rFonts w:ascii="OpenSymbol" w:hAnsi="OpenSymbol" w:cs="OpenSymbol" w:hint="default"/>
      </w:rPr>
    </w:lvl>
    <w:lvl w:ilvl="8">
      <w:start w:val="1"/>
      <w:numFmt w:val="bullet"/>
      <w:lvlText w:val="▪"/>
      <w:lvlJc w:val="left"/>
      <w:pPr>
        <w:tabs>
          <w:tab w:val="num" w:pos="3240"/>
        </w:tabs>
        <w:ind w:left="3240" w:hanging="360"/>
      </w:pPr>
      <w:rPr>
        <w:rFonts w:ascii="OpenSymbol" w:hAnsi="OpenSymbol" w:cs="OpenSymbol" w:hint="default"/>
      </w:rPr>
    </w:lvl>
  </w:abstractNum>
  <w:abstractNum w:abstractNumId="13"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610A4F"/>
    <w:multiLevelType w:val="multilevel"/>
    <w:tmpl w:val="71C650F6"/>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7" w15:restartNumberingAfterBreak="0">
    <w:nsid w:val="2829789B"/>
    <w:multiLevelType w:val="hybridMultilevel"/>
    <w:tmpl w:val="E258EACA"/>
    <w:lvl w:ilvl="0" w:tplc="F89401F8">
      <w:start w:val="1"/>
      <w:numFmt w:val="bullet"/>
      <w:lvlText w:val=""/>
      <w:lvlJc w:val="left"/>
      <w:pPr>
        <w:ind w:left="720" w:hanging="360"/>
      </w:pPr>
      <w:rPr>
        <w:rFonts w:ascii="Symbol" w:hAnsi="Symbol" w:hint="default"/>
      </w:rPr>
    </w:lvl>
    <w:lvl w:ilvl="1" w:tplc="D54C6324">
      <w:start w:val="1"/>
      <w:numFmt w:val="bullet"/>
      <w:lvlText w:val="o"/>
      <w:lvlJc w:val="left"/>
      <w:pPr>
        <w:ind w:left="1440" w:hanging="360"/>
      </w:pPr>
      <w:rPr>
        <w:rFonts w:ascii="Courier New" w:hAnsi="Courier New" w:hint="default"/>
      </w:rPr>
    </w:lvl>
    <w:lvl w:ilvl="2" w:tplc="E41CB3F4">
      <w:start w:val="1"/>
      <w:numFmt w:val="bullet"/>
      <w:lvlText w:val=""/>
      <w:lvlJc w:val="left"/>
      <w:pPr>
        <w:ind w:left="2160" w:hanging="360"/>
      </w:pPr>
      <w:rPr>
        <w:rFonts w:ascii="Wingdings" w:hAnsi="Wingdings" w:hint="default"/>
      </w:rPr>
    </w:lvl>
    <w:lvl w:ilvl="3" w:tplc="43520C46">
      <w:start w:val="1"/>
      <w:numFmt w:val="bullet"/>
      <w:lvlText w:val=""/>
      <w:lvlJc w:val="left"/>
      <w:pPr>
        <w:ind w:left="2880" w:hanging="360"/>
      </w:pPr>
      <w:rPr>
        <w:rFonts w:ascii="Symbol" w:hAnsi="Symbol" w:hint="default"/>
      </w:rPr>
    </w:lvl>
    <w:lvl w:ilvl="4" w:tplc="571068FC">
      <w:start w:val="1"/>
      <w:numFmt w:val="bullet"/>
      <w:lvlText w:val="o"/>
      <w:lvlJc w:val="left"/>
      <w:pPr>
        <w:ind w:left="3600" w:hanging="360"/>
      </w:pPr>
      <w:rPr>
        <w:rFonts w:ascii="Courier New" w:hAnsi="Courier New" w:hint="default"/>
      </w:rPr>
    </w:lvl>
    <w:lvl w:ilvl="5" w:tplc="FCF85F38">
      <w:start w:val="1"/>
      <w:numFmt w:val="bullet"/>
      <w:lvlText w:val=""/>
      <w:lvlJc w:val="left"/>
      <w:pPr>
        <w:ind w:left="4320" w:hanging="360"/>
      </w:pPr>
      <w:rPr>
        <w:rFonts w:ascii="Wingdings" w:hAnsi="Wingdings" w:hint="default"/>
      </w:rPr>
    </w:lvl>
    <w:lvl w:ilvl="6" w:tplc="5A447BD0">
      <w:start w:val="1"/>
      <w:numFmt w:val="bullet"/>
      <w:lvlText w:val=""/>
      <w:lvlJc w:val="left"/>
      <w:pPr>
        <w:ind w:left="5040" w:hanging="360"/>
      </w:pPr>
      <w:rPr>
        <w:rFonts w:ascii="Symbol" w:hAnsi="Symbol" w:hint="default"/>
      </w:rPr>
    </w:lvl>
    <w:lvl w:ilvl="7" w:tplc="37F2B392">
      <w:start w:val="1"/>
      <w:numFmt w:val="bullet"/>
      <w:lvlText w:val="o"/>
      <w:lvlJc w:val="left"/>
      <w:pPr>
        <w:ind w:left="5760" w:hanging="360"/>
      </w:pPr>
      <w:rPr>
        <w:rFonts w:ascii="Courier New" w:hAnsi="Courier New" w:hint="default"/>
      </w:rPr>
    </w:lvl>
    <w:lvl w:ilvl="8" w:tplc="9CCE14DC">
      <w:start w:val="1"/>
      <w:numFmt w:val="bullet"/>
      <w:lvlText w:val=""/>
      <w:lvlJc w:val="left"/>
      <w:pPr>
        <w:ind w:left="6480" w:hanging="360"/>
      </w:pPr>
      <w:rPr>
        <w:rFonts w:ascii="Wingdings" w:hAnsi="Wingdings" w:hint="default"/>
      </w:rPr>
    </w:lvl>
  </w:abstractNum>
  <w:abstractNum w:abstractNumId="18"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A2A1A30"/>
    <w:multiLevelType w:val="multilevel"/>
    <w:tmpl w:val="C9903F3C"/>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21" w15:restartNumberingAfterBreak="0">
    <w:nsid w:val="3A976DD8"/>
    <w:multiLevelType w:val="hybridMultilevel"/>
    <w:tmpl w:val="15B878F6"/>
    <w:lvl w:ilvl="0" w:tplc="FE0216EE">
      <w:start w:val="1"/>
      <w:numFmt w:val="bullet"/>
      <w:lvlText w:val=""/>
      <w:lvlJc w:val="left"/>
      <w:pPr>
        <w:ind w:left="1080" w:hanging="360"/>
      </w:pPr>
      <w:rPr>
        <w:rFonts w:ascii="Symbol" w:hAnsi="Symbol" w:hint="default"/>
      </w:rPr>
    </w:lvl>
    <w:lvl w:ilvl="1" w:tplc="02444038">
      <w:start w:val="1"/>
      <w:numFmt w:val="bullet"/>
      <w:lvlText w:val="o"/>
      <w:lvlJc w:val="left"/>
      <w:pPr>
        <w:ind w:left="1800" w:hanging="360"/>
      </w:pPr>
      <w:rPr>
        <w:rFonts w:ascii="Courier New" w:hAnsi="Courier New" w:hint="default"/>
      </w:rPr>
    </w:lvl>
    <w:lvl w:ilvl="2" w:tplc="090EB7A4">
      <w:start w:val="1"/>
      <w:numFmt w:val="bullet"/>
      <w:lvlText w:val=""/>
      <w:lvlJc w:val="left"/>
      <w:pPr>
        <w:ind w:left="2520" w:hanging="360"/>
      </w:pPr>
      <w:rPr>
        <w:rFonts w:ascii="Wingdings" w:hAnsi="Wingdings" w:hint="default"/>
      </w:rPr>
    </w:lvl>
    <w:lvl w:ilvl="3" w:tplc="83C0D15A">
      <w:start w:val="1"/>
      <w:numFmt w:val="bullet"/>
      <w:lvlText w:val=""/>
      <w:lvlJc w:val="left"/>
      <w:pPr>
        <w:ind w:left="3240" w:hanging="360"/>
      </w:pPr>
      <w:rPr>
        <w:rFonts w:ascii="Symbol" w:hAnsi="Symbol" w:hint="default"/>
      </w:rPr>
    </w:lvl>
    <w:lvl w:ilvl="4" w:tplc="043E0902">
      <w:start w:val="1"/>
      <w:numFmt w:val="bullet"/>
      <w:lvlText w:val="o"/>
      <w:lvlJc w:val="left"/>
      <w:pPr>
        <w:ind w:left="3960" w:hanging="360"/>
      </w:pPr>
      <w:rPr>
        <w:rFonts w:ascii="Courier New" w:hAnsi="Courier New" w:hint="default"/>
      </w:rPr>
    </w:lvl>
    <w:lvl w:ilvl="5" w:tplc="170A2A5E">
      <w:start w:val="1"/>
      <w:numFmt w:val="bullet"/>
      <w:lvlText w:val=""/>
      <w:lvlJc w:val="left"/>
      <w:pPr>
        <w:ind w:left="4680" w:hanging="360"/>
      </w:pPr>
      <w:rPr>
        <w:rFonts w:ascii="Wingdings" w:hAnsi="Wingdings" w:hint="default"/>
      </w:rPr>
    </w:lvl>
    <w:lvl w:ilvl="6" w:tplc="DBB099B4">
      <w:start w:val="1"/>
      <w:numFmt w:val="bullet"/>
      <w:lvlText w:val=""/>
      <w:lvlJc w:val="left"/>
      <w:pPr>
        <w:ind w:left="5400" w:hanging="360"/>
      </w:pPr>
      <w:rPr>
        <w:rFonts w:ascii="Symbol" w:hAnsi="Symbol" w:hint="default"/>
      </w:rPr>
    </w:lvl>
    <w:lvl w:ilvl="7" w:tplc="1AE04D28">
      <w:start w:val="1"/>
      <w:numFmt w:val="bullet"/>
      <w:lvlText w:val="o"/>
      <w:lvlJc w:val="left"/>
      <w:pPr>
        <w:ind w:left="6120" w:hanging="360"/>
      </w:pPr>
      <w:rPr>
        <w:rFonts w:ascii="Courier New" w:hAnsi="Courier New" w:hint="default"/>
      </w:rPr>
    </w:lvl>
    <w:lvl w:ilvl="8" w:tplc="6E10DF1A">
      <w:start w:val="1"/>
      <w:numFmt w:val="bullet"/>
      <w:lvlText w:val=""/>
      <w:lvlJc w:val="left"/>
      <w:pPr>
        <w:ind w:left="6840" w:hanging="360"/>
      </w:pPr>
      <w:rPr>
        <w:rFonts w:ascii="Wingdings" w:hAnsi="Wingdings" w:hint="default"/>
      </w:rPr>
    </w:lvl>
  </w:abstractNum>
  <w:abstractNum w:abstractNumId="22"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6"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796E3484"/>
    <w:multiLevelType w:val="multilevel"/>
    <w:tmpl w:val="DBDAB4AA"/>
    <w:lvl w:ilvl="0">
      <w:start w:val="1"/>
      <w:numFmt w:val="bullet"/>
      <w:lvlText w:val=""/>
      <w:lvlJc w:val="left"/>
      <w:pPr>
        <w:tabs>
          <w:tab w:val="num" w:pos="720"/>
        </w:tabs>
        <w:ind w:left="720" w:hanging="360"/>
      </w:pPr>
      <w:rPr>
        <w:rFonts w:ascii="Symbol" w:hAnsi="Symbol" w:cs="Symbol" w:hint="default"/>
        <w:sz w:val="18"/>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1093665865">
    <w:abstractNumId w:val="26"/>
  </w:num>
  <w:num w:numId="2" w16cid:durableId="177472603">
    <w:abstractNumId w:val="11"/>
  </w:num>
  <w:num w:numId="3" w16cid:durableId="1027636284">
    <w:abstractNumId w:val="25"/>
  </w:num>
  <w:num w:numId="4" w16cid:durableId="672682605">
    <w:abstractNumId w:val="23"/>
  </w:num>
  <w:num w:numId="5" w16cid:durableId="2016305552">
    <w:abstractNumId w:val="18"/>
  </w:num>
  <w:num w:numId="6" w16cid:durableId="1264071198">
    <w:abstractNumId w:val="14"/>
  </w:num>
  <w:num w:numId="7" w16cid:durableId="1940718661">
    <w:abstractNumId w:val="23"/>
  </w:num>
  <w:num w:numId="8" w16cid:durableId="1254124440">
    <w:abstractNumId w:val="13"/>
  </w:num>
  <w:num w:numId="9" w16cid:durableId="1540125029">
    <w:abstractNumId w:val="24"/>
  </w:num>
  <w:num w:numId="10" w16cid:durableId="1384988629">
    <w:abstractNumId w:val="0"/>
  </w:num>
  <w:num w:numId="11" w16cid:durableId="1492137559">
    <w:abstractNumId w:val="19"/>
  </w:num>
  <w:num w:numId="12" w16cid:durableId="1384212008">
    <w:abstractNumId w:val="23"/>
  </w:num>
  <w:num w:numId="13" w16cid:durableId="1898782257">
    <w:abstractNumId w:val="23"/>
  </w:num>
  <w:num w:numId="14" w16cid:durableId="1084373977">
    <w:abstractNumId w:val="15"/>
  </w:num>
  <w:num w:numId="15" w16cid:durableId="2089764431">
    <w:abstractNumId w:val="22"/>
  </w:num>
  <w:num w:numId="16" w16cid:durableId="2024551691">
    <w:abstractNumId w:val="25"/>
  </w:num>
  <w:num w:numId="17" w16cid:durableId="1051463867">
    <w:abstractNumId w:val="10"/>
  </w:num>
  <w:num w:numId="18" w16cid:durableId="1862741073">
    <w:abstractNumId w:val="8"/>
  </w:num>
  <w:num w:numId="19" w16cid:durableId="824472153">
    <w:abstractNumId w:val="7"/>
  </w:num>
  <w:num w:numId="20" w16cid:durableId="279185665">
    <w:abstractNumId w:val="6"/>
  </w:num>
  <w:num w:numId="21" w16cid:durableId="2100785079">
    <w:abstractNumId w:val="5"/>
  </w:num>
  <w:num w:numId="22" w16cid:durableId="1353845868">
    <w:abstractNumId w:val="9"/>
  </w:num>
  <w:num w:numId="23" w16cid:durableId="1737390427">
    <w:abstractNumId w:val="4"/>
  </w:num>
  <w:num w:numId="24" w16cid:durableId="863443405">
    <w:abstractNumId w:val="3"/>
  </w:num>
  <w:num w:numId="25" w16cid:durableId="837386183">
    <w:abstractNumId w:val="2"/>
  </w:num>
  <w:num w:numId="26" w16cid:durableId="1714580216">
    <w:abstractNumId w:val="1"/>
  </w:num>
  <w:num w:numId="27" w16cid:durableId="192231786">
    <w:abstractNumId w:val="17"/>
  </w:num>
  <w:num w:numId="28" w16cid:durableId="710299901">
    <w:abstractNumId w:val="21"/>
  </w:num>
  <w:num w:numId="29" w16cid:durableId="193810706">
    <w:abstractNumId w:val="12"/>
  </w:num>
  <w:num w:numId="30" w16cid:durableId="634986620">
    <w:abstractNumId w:val="27"/>
  </w:num>
  <w:num w:numId="31" w16cid:durableId="507597956">
    <w:abstractNumId w:val="20"/>
  </w:num>
  <w:num w:numId="32" w16cid:durableId="471168917">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9"/>
  <w:proofState w:spelling="clean" w:grammar="clean"/>
  <w:styleLockTheme/>
  <w:styleLockQFSet/>
  <w:defaultTabStop w:val="720"/>
  <w:hyphenationZone w:val="425"/>
  <w:doNotShadeFormData/>
  <w:characterSpacingControl w:val="doNotCompress"/>
  <w:hdrShapeDefaults>
    <o:shapedefaults v:ext="edit" spidmax="4097"/>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9BD"/>
    <w:rsid w:val="00001E28"/>
    <w:rsid w:val="00020B73"/>
    <w:rsid w:val="000228E2"/>
    <w:rsid w:val="000232EF"/>
    <w:rsid w:val="00024FA1"/>
    <w:rsid w:val="00025F78"/>
    <w:rsid w:val="00041D51"/>
    <w:rsid w:val="00042BC6"/>
    <w:rsid w:val="000471E0"/>
    <w:rsid w:val="00050C97"/>
    <w:rsid w:val="0005440E"/>
    <w:rsid w:val="000552CE"/>
    <w:rsid w:val="00056B0F"/>
    <w:rsid w:val="00062A4E"/>
    <w:rsid w:val="00074BB7"/>
    <w:rsid w:val="00083118"/>
    <w:rsid w:val="0008692A"/>
    <w:rsid w:val="00091A13"/>
    <w:rsid w:val="0009319E"/>
    <w:rsid w:val="000A1F57"/>
    <w:rsid w:val="000A3D57"/>
    <w:rsid w:val="000A5A84"/>
    <w:rsid w:val="000A6E3C"/>
    <w:rsid w:val="000B045C"/>
    <w:rsid w:val="000B1543"/>
    <w:rsid w:val="000C1692"/>
    <w:rsid w:val="000C4DE6"/>
    <w:rsid w:val="000C643F"/>
    <w:rsid w:val="000D4AF3"/>
    <w:rsid w:val="000E3052"/>
    <w:rsid w:val="000E41E9"/>
    <w:rsid w:val="000F12A9"/>
    <w:rsid w:val="000F7193"/>
    <w:rsid w:val="00101D24"/>
    <w:rsid w:val="00102314"/>
    <w:rsid w:val="00104EBF"/>
    <w:rsid w:val="00106DFF"/>
    <w:rsid w:val="001070A5"/>
    <w:rsid w:val="001079FA"/>
    <w:rsid w:val="001122B7"/>
    <w:rsid w:val="00114B79"/>
    <w:rsid w:val="0011590D"/>
    <w:rsid w:val="001174C3"/>
    <w:rsid w:val="0012067E"/>
    <w:rsid w:val="0012413A"/>
    <w:rsid w:val="0014127F"/>
    <w:rsid w:val="00143477"/>
    <w:rsid w:val="001469C1"/>
    <w:rsid w:val="00146F63"/>
    <w:rsid w:val="00152840"/>
    <w:rsid w:val="001540E7"/>
    <w:rsid w:val="00163309"/>
    <w:rsid w:val="00171BE5"/>
    <w:rsid w:val="00175A91"/>
    <w:rsid w:val="00176A58"/>
    <w:rsid w:val="001853C3"/>
    <w:rsid w:val="00186842"/>
    <w:rsid w:val="0018775C"/>
    <w:rsid w:val="001903FA"/>
    <w:rsid w:val="00195BB5"/>
    <w:rsid w:val="00195E5B"/>
    <w:rsid w:val="001A1DC8"/>
    <w:rsid w:val="001A5C77"/>
    <w:rsid w:val="001B0115"/>
    <w:rsid w:val="001B1D28"/>
    <w:rsid w:val="001B36C0"/>
    <w:rsid w:val="001B6A71"/>
    <w:rsid w:val="001C35D2"/>
    <w:rsid w:val="001D7793"/>
    <w:rsid w:val="001D7DAE"/>
    <w:rsid w:val="001E0637"/>
    <w:rsid w:val="001E4B32"/>
    <w:rsid w:val="001E4CE0"/>
    <w:rsid w:val="001E5959"/>
    <w:rsid w:val="001E67CE"/>
    <w:rsid w:val="001F279D"/>
    <w:rsid w:val="001F2F4B"/>
    <w:rsid w:val="001F4A49"/>
    <w:rsid w:val="001F5197"/>
    <w:rsid w:val="00202875"/>
    <w:rsid w:val="002047AE"/>
    <w:rsid w:val="00205601"/>
    <w:rsid w:val="002075EA"/>
    <w:rsid w:val="00207EC9"/>
    <w:rsid w:val="00212A6C"/>
    <w:rsid w:val="00214655"/>
    <w:rsid w:val="00222A74"/>
    <w:rsid w:val="0023128F"/>
    <w:rsid w:val="0023291A"/>
    <w:rsid w:val="00233491"/>
    <w:rsid w:val="00237DB3"/>
    <w:rsid w:val="00241463"/>
    <w:rsid w:val="00243887"/>
    <w:rsid w:val="00243F99"/>
    <w:rsid w:val="002442B0"/>
    <w:rsid w:val="0025302C"/>
    <w:rsid w:val="0026153F"/>
    <w:rsid w:val="00262112"/>
    <w:rsid w:val="00267718"/>
    <w:rsid w:val="0027322B"/>
    <w:rsid w:val="002735ED"/>
    <w:rsid w:val="002752EA"/>
    <w:rsid w:val="00276127"/>
    <w:rsid w:val="0027744C"/>
    <w:rsid w:val="002808CF"/>
    <w:rsid w:val="00281038"/>
    <w:rsid w:val="002810A0"/>
    <w:rsid w:val="0028112E"/>
    <w:rsid w:val="00281C77"/>
    <w:rsid w:val="00282751"/>
    <w:rsid w:val="002908C3"/>
    <w:rsid w:val="00290B00"/>
    <w:rsid w:val="0029121E"/>
    <w:rsid w:val="002919C3"/>
    <w:rsid w:val="00293B3F"/>
    <w:rsid w:val="0029742D"/>
    <w:rsid w:val="002975C4"/>
    <w:rsid w:val="002A0A52"/>
    <w:rsid w:val="002A172F"/>
    <w:rsid w:val="002B38F9"/>
    <w:rsid w:val="002B4A82"/>
    <w:rsid w:val="002B6018"/>
    <w:rsid w:val="002C1EB5"/>
    <w:rsid w:val="002C2AE7"/>
    <w:rsid w:val="002C2DB2"/>
    <w:rsid w:val="002D0DBB"/>
    <w:rsid w:val="002D4B9D"/>
    <w:rsid w:val="002D7F94"/>
    <w:rsid w:val="002E16BE"/>
    <w:rsid w:val="002E31BD"/>
    <w:rsid w:val="002E6F00"/>
    <w:rsid w:val="002F097F"/>
    <w:rsid w:val="002F10AC"/>
    <w:rsid w:val="002F688D"/>
    <w:rsid w:val="002F7AD9"/>
    <w:rsid w:val="00312B7A"/>
    <w:rsid w:val="003146DE"/>
    <w:rsid w:val="00330C9F"/>
    <w:rsid w:val="00331D30"/>
    <w:rsid w:val="00333D05"/>
    <w:rsid w:val="00333FF2"/>
    <w:rsid w:val="0033582C"/>
    <w:rsid w:val="0033667F"/>
    <w:rsid w:val="00337B08"/>
    <w:rsid w:val="00344D87"/>
    <w:rsid w:val="00346DC4"/>
    <w:rsid w:val="00365FE4"/>
    <w:rsid w:val="00366DBF"/>
    <w:rsid w:val="00370820"/>
    <w:rsid w:val="00371005"/>
    <w:rsid w:val="003715C3"/>
    <w:rsid w:val="00374C63"/>
    <w:rsid w:val="00374CF4"/>
    <w:rsid w:val="003824EE"/>
    <w:rsid w:val="0038299B"/>
    <w:rsid w:val="0039063C"/>
    <w:rsid w:val="0039154C"/>
    <w:rsid w:val="00393942"/>
    <w:rsid w:val="00393BD3"/>
    <w:rsid w:val="00396A31"/>
    <w:rsid w:val="0039733D"/>
    <w:rsid w:val="003A1223"/>
    <w:rsid w:val="003A1373"/>
    <w:rsid w:val="003A31A1"/>
    <w:rsid w:val="003A70AD"/>
    <w:rsid w:val="003A78ED"/>
    <w:rsid w:val="003A7C7C"/>
    <w:rsid w:val="003B352A"/>
    <w:rsid w:val="003B3771"/>
    <w:rsid w:val="003B5467"/>
    <w:rsid w:val="003B70DA"/>
    <w:rsid w:val="003B7167"/>
    <w:rsid w:val="003C08D2"/>
    <w:rsid w:val="003C50E1"/>
    <w:rsid w:val="003C514F"/>
    <w:rsid w:val="003C5417"/>
    <w:rsid w:val="003D29C6"/>
    <w:rsid w:val="003D50EB"/>
    <w:rsid w:val="003D717F"/>
    <w:rsid w:val="003E12E3"/>
    <w:rsid w:val="003E3E74"/>
    <w:rsid w:val="003E4457"/>
    <w:rsid w:val="003E48D2"/>
    <w:rsid w:val="003E5F8D"/>
    <w:rsid w:val="003E6436"/>
    <w:rsid w:val="003E6CDA"/>
    <w:rsid w:val="003E750C"/>
    <w:rsid w:val="003F5AD3"/>
    <w:rsid w:val="0040704A"/>
    <w:rsid w:val="0041113E"/>
    <w:rsid w:val="0041288B"/>
    <w:rsid w:val="00413D53"/>
    <w:rsid w:val="00415290"/>
    <w:rsid w:val="00423357"/>
    <w:rsid w:val="00426C91"/>
    <w:rsid w:val="0043158B"/>
    <w:rsid w:val="00435420"/>
    <w:rsid w:val="00444156"/>
    <w:rsid w:val="00444FA5"/>
    <w:rsid w:val="00450DD5"/>
    <w:rsid w:val="00452547"/>
    <w:rsid w:val="00464A63"/>
    <w:rsid w:val="00467DA9"/>
    <w:rsid w:val="00467DAC"/>
    <w:rsid w:val="0047038B"/>
    <w:rsid w:val="00471EB5"/>
    <w:rsid w:val="00472CD3"/>
    <w:rsid w:val="00477B1D"/>
    <w:rsid w:val="00480D1E"/>
    <w:rsid w:val="00482F55"/>
    <w:rsid w:val="0048668A"/>
    <w:rsid w:val="004920DD"/>
    <w:rsid w:val="0049688D"/>
    <w:rsid w:val="00497B1B"/>
    <w:rsid w:val="004A0B27"/>
    <w:rsid w:val="004B1F21"/>
    <w:rsid w:val="004C3909"/>
    <w:rsid w:val="004C4591"/>
    <w:rsid w:val="004C45E5"/>
    <w:rsid w:val="004E0462"/>
    <w:rsid w:val="004E1533"/>
    <w:rsid w:val="004E5F02"/>
    <w:rsid w:val="004F0BAD"/>
    <w:rsid w:val="004F5223"/>
    <w:rsid w:val="004F6E65"/>
    <w:rsid w:val="004F74DF"/>
    <w:rsid w:val="00504542"/>
    <w:rsid w:val="00506982"/>
    <w:rsid w:val="0051664F"/>
    <w:rsid w:val="00516EB4"/>
    <w:rsid w:val="00516FC6"/>
    <w:rsid w:val="00516FE1"/>
    <w:rsid w:val="00517279"/>
    <w:rsid w:val="00517531"/>
    <w:rsid w:val="00520664"/>
    <w:rsid w:val="00522421"/>
    <w:rsid w:val="005250CE"/>
    <w:rsid w:val="005302EC"/>
    <w:rsid w:val="005375FE"/>
    <w:rsid w:val="00541766"/>
    <w:rsid w:val="00541B1B"/>
    <w:rsid w:val="00551B8D"/>
    <w:rsid w:val="00551C87"/>
    <w:rsid w:val="00552CB7"/>
    <w:rsid w:val="00554F19"/>
    <w:rsid w:val="00556B5A"/>
    <w:rsid w:val="00560F96"/>
    <w:rsid w:val="00561CA3"/>
    <w:rsid w:val="005745F5"/>
    <w:rsid w:val="005816FD"/>
    <w:rsid w:val="005844A9"/>
    <w:rsid w:val="005911DF"/>
    <w:rsid w:val="00593FB7"/>
    <w:rsid w:val="005A14A2"/>
    <w:rsid w:val="005A1AEA"/>
    <w:rsid w:val="005A422B"/>
    <w:rsid w:val="005A7E36"/>
    <w:rsid w:val="005B0318"/>
    <w:rsid w:val="005B144C"/>
    <w:rsid w:val="005B4DC5"/>
    <w:rsid w:val="005B7161"/>
    <w:rsid w:val="005B77B8"/>
    <w:rsid w:val="005B7C3C"/>
    <w:rsid w:val="005C1119"/>
    <w:rsid w:val="005C376D"/>
    <w:rsid w:val="005D0702"/>
    <w:rsid w:val="005D0A5D"/>
    <w:rsid w:val="005E17FA"/>
    <w:rsid w:val="005E2055"/>
    <w:rsid w:val="005E2166"/>
    <w:rsid w:val="005E2785"/>
    <w:rsid w:val="005E795C"/>
    <w:rsid w:val="005F19C5"/>
    <w:rsid w:val="005F23DC"/>
    <w:rsid w:val="005F2544"/>
    <w:rsid w:val="005F2CBE"/>
    <w:rsid w:val="005F4669"/>
    <w:rsid w:val="005F49FB"/>
    <w:rsid w:val="005F4BB2"/>
    <w:rsid w:val="005F58F2"/>
    <w:rsid w:val="005F618C"/>
    <w:rsid w:val="00600BDF"/>
    <w:rsid w:val="00600EFC"/>
    <w:rsid w:val="006068F7"/>
    <w:rsid w:val="00611B1F"/>
    <w:rsid w:val="00627D13"/>
    <w:rsid w:val="00631ACD"/>
    <w:rsid w:val="00642280"/>
    <w:rsid w:val="00643568"/>
    <w:rsid w:val="0064512A"/>
    <w:rsid w:val="00651887"/>
    <w:rsid w:val="0065267B"/>
    <w:rsid w:val="0065610A"/>
    <w:rsid w:val="006669DB"/>
    <w:rsid w:val="00670F20"/>
    <w:rsid w:val="0067671F"/>
    <w:rsid w:val="00676F54"/>
    <w:rsid w:val="0068273F"/>
    <w:rsid w:val="00684BFB"/>
    <w:rsid w:val="006856B0"/>
    <w:rsid w:val="00685F68"/>
    <w:rsid w:val="006867CA"/>
    <w:rsid w:val="00687604"/>
    <w:rsid w:val="00687C34"/>
    <w:rsid w:val="00687E66"/>
    <w:rsid w:val="006961D4"/>
    <w:rsid w:val="006A35AA"/>
    <w:rsid w:val="006A385D"/>
    <w:rsid w:val="006A5595"/>
    <w:rsid w:val="006A6973"/>
    <w:rsid w:val="006A7E5C"/>
    <w:rsid w:val="006B29BE"/>
    <w:rsid w:val="006B69DF"/>
    <w:rsid w:val="006C3DE5"/>
    <w:rsid w:val="006C3FEC"/>
    <w:rsid w:val="006C6AF7"/>
    <w:rsid w:val="006C7C34"/>
    <w:rsid w:val="006D0F3B"/>
    <w:rsid w:val="006D168F"/>
    <w:rsid w:val="006D6143"/>
    <w:rsid w:val="006E2007"/>
    <w:rsid w:val="006E47DD"/>
    <w:rsid w:val="006E60EA"/>
    <w:rsid w:val="006F0FA5"/>
    <w:rsid w:val="006F383E"/>
    <w:rsid w:val="006F4AE8"/>
    <w:rsid w:val="006F5059"/>
    <w:rsid w:val="006F6D77"/>
    <w:rsid w:val="006F7446"/>
    <w:rsid w:val="00704D0D"/>
    <w:rsid w:val="007058F0"/>
    <w:rsid w:val="00706917"/>
    <w:rsid w:val="007101C0"/>
    <w:rsid w:val="007103CB"/>
    <w:rsid w:val="00710AB3"/>
    <w:rsid w:val="00710E90"/>
    <w:rsid w:val="00717CF5"/>
    <w:rsid w:val="007212D9"/>
    <w:rsid w:val="007213A2"/>
    <w:rsid w:val="00731BC7"/>
    <w:rsid w:val="007341E6"/>
    <w:rsid w:val="00735AD1"/>
    <w:rsid w:val="00736F4C"/>
    <w:rsid w:val="00740129"/>
    <w:rsid w:val="0075218E"/>
    <w:rsid w:val="00753A14"/>
    <w:rsid w:val="00753EB0"/>
    <w:rsid w:val="00753EB4"/>
    <w:rsid w:val="007632BB"/>
    <w:rsid w:val="007703D9"/>
    <w:rsid w:val="00770B0C"/>
    <w:rsid w:val="00774FB3"/>
    <w:rsid w:val="00775EB8"/>
    <w:rsid w:val="00776BD6"/>
    <w:rsid w:val="00780C07"/>
    <w:rsid w:val="007821FE"/>
    <w:rsid w:val="00783D49"/>
    <w:rsid w:val="0078412F"/>
    <w:rsid w:val="00784D4B"/>
    <w:rsid w:val="00791153"/>
    <w:rsid w:val="007939F7"/>
    <w:rsid w:val="00797269"/>
    <w:rsid w:val="007A0F8F"/>
    <w:rsid w:val="007A1AE2"/>
    <w:rsid w:val="007A45C4"/>
    <w:rsid w:val="007A4B1D"/>
    <w:rsid w:val="007A5D8A"/>
    <w:rsid w:val="007A6F98"/>
    <w:rsid w:val="007B1F17"/>
    <w:rsid w:val="007B513A"/>
    <w:rsid w:val="007B5930"/>
    <w:rsid w:val="007B6B05"/>
    <w:rsid w:val="007C7E29"/>
    <w:rsid w:val="007D0347"/>
    <w:rsid w:val="007D58B1"/>
    <w:rsid w:val="007D6789"/>
    <w:rsid w:val="007E0540"/>
    <w:rsid w:val="007E1143"/>
    <w:rsid w:val="007F5176"/>
    <w:rsid w:val="00806B77"/>
    <w:rsid w:val="008110AF"/>
    <w:rsid w:val="00815A79"/>
    <w:rsid w:val="0081632D"/>
    <w:rsid w:val="008174EB"/>
    <w:rsid w:val="0081774F"/>
    <w:rsid w:val="00817F2C"/>
    <w:rsid w:val="00825BC5"/>
    <w:rsid w:val="00826627"/>
    <w:rsid w:val="00830FDE"/>
    <w:rsid w:val="00831AFF"/>
    <w:rsid w:val="008334E0"/>
    <w:rsid w:val="008369C2"/>
    <w:rsid w:val="008379B0"/>
    <w:rsid w:val="00842A18"/>
    <w:rsid w:val="008455B3"/>
    <w:rsid w:val="00847491"/>
    <w:rsid w:val="008474D0"/>
    <w:rsid w:val="00847900"/>
    <w:rsid w:val="008521DF"/>
    <w:rsid w:val="00864407"/>
    <w:rsid w:val="008663D8"/>
    <w:rsid w:val="00867A91"/>
    <w:rsid w:val="00870CB2"/>
    <w:rsid w:val="00875829"/>
    <w:rsid w:val="00876D02"/>
    <w:rsid w:val="00880463"/>
    <w:rsid w:val="00881163"/>
    <w:rsid w:val="00886391"/>
    <w:rsid w:val="008907B3"/>
    <w:rsid w:val="00891B14"/>
    <w:rsid w:val="00893B9B"/>
    <w:rsid w:val="008953D6"/>
    <w:rsid w:val="00897EE5"/>
    <w:rsid w:val="008A24AE"/>
    <w:rsid w:val="008A3002"/>
    <w:rsid w:val="008A6379"/>
    <w:rsid w:val="008A7D53"/>
    <w:rsid w:val="008B0809"/>
    <w:rsid w:val="008B337E"/>
    <w:rsid w:val="008B7A51"/>
    <w:rsid w:val="008C2989"/>
    <w:rsid w:val="008D2694"/>
    <w:rsid w:val="008E0E50"/>
    <w:rsid w:val="008E5D21"/>
    <w:rsid w:val="008F39BD"/>
    <w:rsid w:val="009003F2"/>
    <w:rsid w:val="00901746"/>
    <w:rsid w:val="00901EE3"/>
    <w:rsid w:val="00905643"/>
    <w:rsid w:val="0090732F"/>
    <w:rsid w:val="009107F4"/>
    <w:rsid w:val="009144E0"/>
    <w:rsid w:val="00914551"/>
    <w:rsid w:val="009155B3"/>
    <w:rsid w:val="00915B31"/>
    <w:rsid w:val="0091768C"/>
    <w:rsid w:val="00920520"/>
    <w:rsid w:val="009212CD"/>
    <w:rsid w:val="009234B3"/>
    <w:rsid w:val="00927963"/>
    <w:rsid w:val="00933607"/>
    <w:rsid w:val="00943638"/>
    <w:rsid w:val="00945196"/>
    <w:rsid w:val="00945D2D"/>
    <w:rsid w:val="0094683D"/>
    <w:rsid w:val="00954231"/>
    <w:rsid w:val="00956E93"/>
    <w:rsid w:val="00956F15"/>
    <w:rsid w:val="00961698"/>
    <w:rsid w:val="00966E76"/>
    <w:rsid w:val="00967B72"/>
    <w:rsid w:val="00967F64"/>
    <w:rsid w:val="00971FD8"/>
    <w:rsid w:val="00972618"/>
    <w:rsid w:val="009800D2"/>
    <w:rsid w:val="00980C0A"/>
    <w:rsid w:val="00982088"/>
    <w:rsid w:val="00982121"/>
    <w:rsid w:val="00985B97"/>
    <w:rsid w:val="009874C2"/>
    <w:rsid w:val="00995119"/>
    <w:rsid w:val="00996FEA"/>
    <w:rsid w:val="009A2470"/>
    <w:rsid w:val="009A2D3D"/>
    <w:rsid w:val="009A336F"/>
    <w:rsid w:val="009A517C"/>
    <w:rsid w:val="009A71B6"/>
    <w:rsid w:val="009B2D5B"/>
    <w:rsid w:val="009B53FB"/>
    <w:rsid w:val="009B5CD2"/>
    <w:rsid w:val="009C04A5"/>
    <w:rsid w:val="009C29CA"/>
    <w:rsid w:val="009C2ACB"/>
    <w:rsid w:val="009C4F75"/>
    <w:rsid w:val="009D5F04"/>
    <w:rsid w:val="009E171B"/>
    <w:rsid w:val="009E4AA8"/>
    <w:rsid w:val="009F163F"/>
    <w:rsid w:val="009F59CE"/>
    <w:rsid w:val="009F7038"/>
    <w:rsid w:val="009F751D"/>
    <w:rsid w:val="00A01BE9"/>
    <w:rsid w:val="00A02874"/>
    <w:rsid w:val="00A03CE1"/>
    <w:rsid w:val="00A059B9"/>
    <w:rsid w:val="00A05BE8"/>
    <w:rsid w:val="00A07D9B"/>
    <w:rsid w:val="00A10F3B"/>
    <w:rsid w:val="00A11810"/>
    <w:rsid w:val="00A1219D"/>
    <w:rsid w:val="00A12EDF"/>
    <w:rsid w:val="00A164C2"/>
    <w:rsid w:val="00A208E0"/>
    <w:rsid w:val="00A275A1"/>
    <w:rsid w:val="00A3131C"/>
    <w:rsid w:val="00A33B65"/>
    <w:rsid w:val="00A34975"/>
    <w:rsid w:val="00A34D36"/>
    <w:rsid w:val="00A35A96"/>
    <w:rsid w:val="00A40792"/>
    <w:rsid w:val="00A4414F"/>
    <w:rsid w:val="00A45321"/>
    <w:rsid w:val="00A4794B"/>
    <w:rsid w:val="00A5000B"/>
    <w:rsid w:val="00A56024"/>
    <w:rsid w:val="00A56815"/>
    <w:rsid w:val="00A60097"/>
    <w:rsid w:val="00A618E2"/>
    <w:rsid w:val="00A64E0B"/>
    <w:rsid w:val="00A6788C"/>
    <w:rsid w:val="00A70118"/>
    <w:rsid w:val="00A70C8F"/>
    <w:rsid w:val="00A74D7A"/>
    <w:rsid w:val="00A750EC"/>
    <w:rsid w:val="00A819E1"/>
    <w:rsid w:val="00A8217C"/>
    <w:rsid w:val="00A857B6"/>
    <w:rsid w:val="00A87047"/>
    <w:rsid w:val="00A934EC"/>
    <w:rsid w:val="00AA1EC8"/>
    <w:rsid w:val="00AA7802"/>
    <w:rsid w:val="00AB0927"/>
    <w:rsid w:val="00AB34C7"/>
    <w:rsid w:val="00AB36EC"/>
    <w:rsid w:val="00AB4CD9"/>
    <w:rsid w:val="00AB5A66"/>
    <w:rsid w:val="00AB6016"/>
    <w:rsid w:val="00AC4308"/>
    <w:rsid w:val="00AD1A81"/>
    <w:rsid w:val="00AD3096"/>
    <w:rsid w:val="00AD385D"/>
    <w:rsid w:val="00AD4377"/>
    <w:rsid w:val="00AD5359"/>
    <w:rsid w:val="00AD5DDE"/>
    <w:rsid w:val="00AD5EEA"/>
    <w:rsid w:val="00AE054E"/>
    <w:rsid w:val="00AE1EE7"/>
    <w:rsid w:val="00AE32A2"/>
    <w:rsid w:val="00AE5E82"/>
    <w:rsid w:val="00AE7596"/>
    <w:rsid w:val="00AF26E6"/>
    <w:rsid w:val="00AF618D"/>
    <w:rsid w:val="00B02795"/>
    <w:rsid w:val="00B0447E"/>
    <w:rsid w:val="00B05E79"/>
    <w:rsid w:val="00B06C92"/>
    <w:rsid w:val="00B07464"/>
    <w:rsid w:val="00B0775A"/>
    <w:rsid w:val="00B10AA1"/>
    <w:rsid w:val="00B11339"/>
    <w:rsid w:val="00B17362"/>
    <w:rsid w:val="00B179F3"/>
    <w:rsid w:val="00B2478A"/>
    <w:rsid w:val="00B33AA1"/>
    <w:rsid w:val="00B356D7"/>
    <w:rsid w:val="00B411BC"/>
    <w:rsid w:val="00B4313F"/>
    <w:rsid w:val="00B50646"/>
    <w:rsid w:val="00B50A65"/>
    <w:rsid w:val="00B52717"/>
    <w:rsid w:val="00B53110"/>
    <w:rsid w:val="00B63DE6"/>
    <w:rsid w:val="00B670E8"/>
    <w:rsid w:val="00B67C03"/>
    <w:rsid w:val="00B74213"/>
    <w:rsid w:val="00B74646"/>
    <w:rsid w:val="00B770CC"/>
    <w:rsid w:val="00B8113C"/>
    <w:rsid w:val="00B83D63"/>
    <w:rsid w:val="00B86728"/>
    <w:rsid w:val="00B87FD8"/>
    <w:rsid w:val="00B90681"/>
    <w:rsid w:val="00B91117"/>
    <w:rsid w:val="00B91A3E"/>
    <w:rsid w:val="00BA2ACD"/>
    <w:rsid w:val="00BA5DBA"/>
    <w:rsid w:val="00BA6F38"/>
    <w:rsid w:val="00BB1FCD"/>
    <w:rsid w:val="00BB723B"/>
    <w:rsid w:val="00BC6C34"/>
    <w:rsid w:val="00BC6DE3"/>
    <w:rsid w:val="00BD0A8E"/>
    <w:rsid w:val="00BD1452"/>
    <w:rsid w:val="00BD1F81"/>
    <w:rsid w:val="00BD60F7"/>
    <w:rsid w:val="00BE3975"/>
    <w:rsid w:val="00BE4154"/>
    <w:rsid w:val="00BE762A"/>
    <w:rsid w:val="00BE7844"/>
    <w:rsid w:val="00BF20B3"/>
    <w:rsid w:val="00BF6798"/>
    <w:rsid w:val="00BF6FBF"/>
    <w:rsid w:val="00BF7B35"/>
    <w:rsid w:val="00C04926"/>
    <w:rsid w:val="00C055A4"/>
    <w:rsid w:val="00C06FDF"/>
    <w:rsid w:val="00C07E5C"/>
    <w:rsid w:val="00C15300"/>
    <w:rsid w:val="00C15522"/>
    <w:rsid w:val="00C17D7E"/>
    <w:rsid w:val="00C20B22"/>
    <w:rsid w:val="00C20EE2"/>
    <w:rsid w:val="00C219F1"/>
    <w:rsid w:val="00C265EC"/>
    <w:rsid w:val="00C31E87"/>
    <w:rsid w:val="00C3461C"/>
    <w:rsid w:val="00C357FF"/>
    <w:rsid w:val="00C45125"/>
    <w:rsid w:val="00C50694"/>
    <w:rsid w:val="00C55E44"/>
    <w:rsid w:val="00C57CFC"/>
    <w:rsid w:val="00C6214E"/>
    <w:rsid w:val="00C6292E"/>
    <w:rsid w:val="00C6296B"/>
    <w:rsid w:val="00C62A67"/>
    <w:rsid w:val="00C635F5"/>
    <w:rsid w:val="00C728CB"/>
    <w:rsid w:val="00C755D9"/>
    <w:rsid w:val="00C81487"/>
    <w:rsid w:val="00C82629"/>
    <w:rsid w:val="00C85C34"/>
    <w:rsid w:val="00C864CD"/>
    <w:rsid w:val="00C93072"/>
    <w:rsid w:val="00CA36D6"/>
    <w:rsid w:val="00CA4057"/>
    <w:rsid w:val="00CA64ED"/>
    <w:rsid w:val="00CB0FBD"/>
    <w:rsid w:val="00CB3A9F"/>
    <w:rsid w:val="00CB55EE"/>
    <w:rsid w:val="00CC0C23"/>
    <w:rsid w:val="00CC2170"/>
    <w:rsid w:val="00CC2773"/>
    <w:rsid w:val="00CC2E1C"/>
    <w:rsid w:val="00CD2014"/>
    <w:rsid w:val="00CD3161"/>
    <w:rsid w:val="00CE1BD1"/>
    <w:rsid w:val="00CE4DD7"/>
    <w:rsid w:val="00CE6A29"/>
    <w:rsid w:val="00CE7654"/>
    <w:rsid w:val="00CE7A4C"/>
    <w:rsid w:val="00CF03DD"/>
    <w:rsid w:val="00CF12D7"/>
    <w:rsid w:val="00CF6131"/>
    <w:rsid w:val="00D029A9"/>
    <w:rsid w:val="00D05153"/>
    <w:rsid w:val="00D06923"/>
    <w:rsid w:val="00D0792D"/>
    <w:rsid w:val="00D22D12"/>
    <w:rsid w:val="00D24291"/>
    <w:rsid w:val="00D36B65"/>
    <w:rsid w:val="00D375F2"/>
    <w:rsid w:val="00D37A9F"/>
    <w:rsid w:val="00D4433D"/>
    <w:rsid w:val="00D46397"/>
    <w:rsid w:val="00D46DA3"/>
    <w:rsid w:val="00D614AE"/>
    <w:rsid w:val="00D65A94"/>
    <w:rsid w:val="00D67528"/>
    <w:rsid w:val="00D720E5"/>
    <w:rsid w:val="00D72FAE"/>
    <w:rsid w:val="00D76BCC"/>
    <w:rsid w:val="00D850D5"/>
    <w:rsid w:val="00D92584"/>
    <w:rsid w:val="00D92E97"/>
    <w:rsid w:val="00D9386E"/>
    <w:rsid w:val="00D958EE"/>
    <w:rsid w:val="00DA0ADF"/>
    <w:rsid w:val="00DA6643"/>
    <w:rsid w:val="00DB1471"/>
    <w:rsid w:val="00DB3D14"/>
    <w:rsid w:val="00DC4070"/>
    <w:rsid w:val="00DC4510"/>
    <w:rsid w:val="00DD1B61"/>
    <w:rsid w:val="00DD42F0"/>
    <w:rsid w:val="00DD5853"/>
    <w:rsid w:val="00DD6E70"/>
    <w:rsid w:val="00DD7A31"/>
    <w:rsid w:val="00DF01A4"/>
    <w:rsid w:val="00DF1BFB"/>
    <w:rsid w:val="00E019E2"/>
    <w:rsid w:val="00E05DAA"/>
    <w:rsid w:val="00E07FAD"/>
    <w:rsid w:val="00E124A7"/>
    <w:rsid w:val="00E13B14"/>
    <w:rsid w:val="00E145BC"/>
    <w:rsid w:val="00E15F6B"/>
    <w:rsid w:val="00E17C6E"/>
    <w:rsid w:val="00E20D98"/>
    <w:rsid w:val="00E22A16"/>
    <w:rsid w:val="00E26664"/>
    <w:rsid w:val="00E33163"/>
    <w:rsid w:val="00E33E58"/>
    <w:rsid w:val="00E41273"/>
    <w:rsid w:val="00E41772"/>
    <w:rsid w:val="00E51D10"/>
    <w:rsid w:val="00E51E9F"/>
    <w:rsid w:val="00E52AF8"/>
    <w:rsid w:val="00E54636"/>
    <w:rsid w:val="00E6005B"/>
    <w:rsid w:val="00E62038"/>
    <w:rsid w:val="00E64E6F"/>
    <w:rsid w:val="00E748ED"/>
    <w:rsid w:val="00E76365"/>
    <w:rsid w:val="00E76A70"/>
    <w:rsid w:val="00E77D9C"/>
    <w:rsid w:val="00E87258"/>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31BE"/>
    <w:rsid w:val="00EC52AE"/>
    <w:rsid w:val="00EC7C59"/>
    <w:rsid w:val="00ED1F3E"/>
    <w:rsid w:val="00ED5186"/>
    <w:rsid w:val="00ED6153"/>
    <w:rsid w:val="00ED7A2E"/>
    <w:rsid w:val="00ED7EA3"/>
    <w:rsid w:val="00EE1FB0"/>
    <w:rsid w:val="00EF3F04"/>
    <w:rsid w:val="00EF5AC5"/>
    <w:rsid w:val="00F022F8"/>
    <w:rsid w:val="00F02F36"/>
    <w:rsid w:val="00F03C5E"/>
    <w:rsid w:val="00F10AC5"/>
    <w:rsid w:val="00F10C8F"/>
    <w:rsid w:val="00F156E5"/>
    <w:rsid w:val="00F15E0F"/>
    <w:rsid w:val="00F176CA"/>
    <w:rsid w:val="00F1797E"/>
    <w:rsid w:val="00F20C83"/>
    <w:rsid w:val="00F2234F"/>
    <w:rsid w:val="00F23029"/>
    <w:rsid w:val="00F249C8"/>
    <w:rsid w:val="00F25DAE"/>
    <w:rsid w:val="00F37DEA"/>
    <w:rsid w:val="00F45CFF"/>
    <w:rsid w:val="00F55CE4"/>
    <w:rsid w:val="00F5616B"/>
    <w:rsid w:val="00F62B92"/>
    <w:rsid w:val="00F654BB"/>
    <w:rsid w:val="00F67D19"/>
    <w:rsid w:val="00F73607"/>
    <w:rsid w:val="00F8288D"/>
    <w:rsid w:val="00F85395"/>
    <w:rsid w:val="00F90F70"/>
    <w:rsid w:val="00F921FD"/>
    <w:rsid w:val="00F92A5D"/>
    <w:rsid w:val="00F94B5C"/>
    <w:rsid w:val="00F95A27"/>
    <w:rsid w:val="00F9742F"/>
    <w:rsid w:val="00FA04A0"/>
    <w:rsid w:val="00FA0784"/>
    <w:rsid w:val="00FA2692"/>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E6D3F"/>
    <w:rsid w:val="00FF0640"/>
    <w:rsid w:val="00FF2133"/>
    <w:rsid w:val="00FF33F9"/>
    <w:rsid w:val="176FE6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9EB432E"/>
  <w15:docId w15:val="{0115D8F2-B8EE-FA41-936F-4450C4B44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qFormat="1"/>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locked/>
    <w:rsid w:val="002F688D"/>
    <w:pPr>
      <w:numPr>
        <w:ilvl w:val="4"/>
      </w:numPr>
      <w:outlineLvl w:val="4"/>
    </w:pPr>
  </w:style>
  <w:style w:type="paragraph" w:styleId="Heading6">
    <w:name w:val="heading 6"/>
    <w:basedOn w:val="Heading5"/>
    <w:next w:val="Normal"/>
    <w:link w:val="Heading6Char"/>
    <w:uiPriority w:val="89"/>
    <w:locked/>
    <w:rsid w:val="002F688D"/>
    <w:pPr>
      <w:numPr>
        <w:ilvl w:val="5"/>
      </w:numPr>
      <w:outlineLvl w:val="5"/>
    </w:pPr>
  </w:style>
  <w:style w:type="paragraph" w:styleId="Heading7">
    <w:name w:val="heading 7"/>
    <w:basedOn w:val="Heading6"/>
    <w:next w:val="Normal"/>
    <w:link w:val="Heading7Char"/>
    <w:uiPriority w:val="89"/>
    <w:locked/>
    <w:rsid w:val="002F688D"/>
    <w:pPr>
      <w:numPr>
        <w:ilvl w:val="6"/>
      </w:numPr>
      <w:outlineLvl w:val="6"/>
    </w:pPr>
  </w:style>
  <w:style w:type="paragraph" w:styleId="Heading8">
    <w:name w:val="heading 8"/>
    <w:basedOn w:val="Heading7"/>
    <w:next w:val="Normal"/>
    <w:link w:val="Heading8Char"/>
    <w:uiPriority w:val="89"/>
    <w:locked/>
    <w:rsid w:val="002F688D"/>
    <w:pPr>
      <w:numPr>
        <w:ilvl w:val="7"/>
      </w:numPr>
      <w:outlineLvl w:val="7"/>
    </w:pPr>
  </w:style>
  <w:style w:type="paragraph" w:styleId="Heading9">
    <w:name w:val="heading 9"/>
    <w:basedOn w:val="Heading8"/>
    <w:next w:val="Normal"/>
    <w:link w:val="Heading9Char"/>
    <w:uiPriority w:val="89"/>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41772"/>
    <w:pPr>
      <w:suppressAutoHyphens/>
      <w:spacing w:before="100" w:after="120"/>
      <w:contextualSpacing/>
      <w:outlineLvl w:val="0"/>
    </w:pPr>
    <w:rPr>
      <w:rFonts w:ascii="Amnesty Trade Gothic Cn" w:hAnsi="Amnesty Trade Gothic Cn"/>
      <w:b/>
      <w:caps/>
      <w:noProof/>
      <w:sz w:val="44"/>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62112"/>
    <w:pPr>
      <w:keepNext/>
      <w:numPr>
        <w:numId w:val="3"/>
      </w:numPr>
      <w:tabs>
        <w:tab w:val="left" w:pos="851"/>
      </w:tabs>
      <w:ind w:left="0" w:firstLine="0"/>
    </w:p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E41772"/>
    <w:pPr>
      <w:numPr>
        <w:ilvl w:val="0"/>
        <w:numId w:val="0"/>
      </w:numPr>
      <w:tabs>
        <w:tab w:val="clear" w:pos="567"/>
      </w:tabs>
    </w:pPr>
    <w:rPr>
      <w:sz w:val="36"/>
    </w:r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customStyle="1" w:styleId="UnresolvedMention1">
    <w:name w:val="Unresolved Mention1"/>
    <w:basedOn w:val="DefaultParagraphFont"/>
    <w:uiPriority w:val="99"/>
    <w:semiHidden/>
    <w:unhideWhenUsed/>
    <w:rsid w:val="003939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72591552">
      <w:bodyDiv w:val="1"/>
      <w:marLeft w:val="0"/>
      <w:marRight w:val="0"/>
      <w:marTop w:val="0"/>
      <w:marBottom w:val="0"/>
      <w:divBdr>
        <w:top w:val="none" w:sz="0" w:space="0" w:color="auto"/>
        <w:left w:val="none" w:sz="0" w:space="0" w:color="auto"/>
        <w:bottom w:val="none" w:sz="0" w:space="0" w:color="auto"/>
        <w:right w:val="none" w:sz="0" w:space="0" w:color="auto"/>
      </w:divBdr>
    </w:div>
    <w:div w:id="904291339">
      <w:bodyDiv w:val="1"/>
      <w:marLeft w:val="0"/>
      <w:marRight w:val="0"/>
      <w:marTop w:val="0"/>
      <w:marBottom w:val="0"/>
      <w:divBdr>
        <w:top w:val="none" w:sz="0" w:space="0" w:color="auto"/>
        <w:left w:val="none" w:sz="0" w:space="0" w:color="auto"/>
        <w:bottom w:val="none" w:sz="0" w:space="0" w:color="auto"/>
        <w:right w:val="none" w:sz="0" w:space="0" w:color="auto"/>
      </w:divBdr>
    </w:div>
    <w:div w:id="1045177763">
      <w:bodyDiv w:val="1"/>
      <w:marLeft w:val="0"/>
      <w:marRight w:val="0"/>
      <w:marTop w:val="0"/>
      <w:marBottom w:val="0"/>
      <w:divBdr>
        <w:top w:val="none" w:sz="0" w:space="0" w:color="auto"/>
        <w:left w:val="none" w:sz="0" w:space="0" w:color="auto"/>
        <w:bottom w:val="none" w:sz="0" w:space="0" w:color="auto"/>
        <w:right w:val="none" w:sz="0" w:space="0" w:color="auto"/>
      </w:divBdr>
    </w:div>
    <w:div w:id="1378775975">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99171069">
      <w:bodyDiv w:val="1"/>
      <w:marLeft w:val="0"/>
      <w:marRight w:val="0"/>
      <w:marTop w:val="0"/>
      <w:marBottom w:val="0"/>
      <w:divBdr>
        <w:top w:val="none" w:sz="0" w:space="0" w:color="auto"/>
        <w:left w:val="none" w:sz="0" w:space="0" w:color="auto"/>
        <w:bottom w:val="none" w:sz="0" w:space="0" w:color="auto"/>
        <w:right w:val="none" w:sz="0" w:space="0" w:color="auto"/>
      </w:divBdr>
    </w:div>
    <w:div w:id="1692758793">
      <w:bodyDiv w:val="1"/>
      <w:marLeft w:val="0"/>
      <w:marRight w:val="0"/>
      <w:marTop w:val="0"/>
      <w:marBottom w:val="0"/>
      <w:divBdr>
        <w:top w:val="none" w:sz="0" w:space="0" w:color="auto"/>
        <w:left w:val="none" w:sz="0" w:space="0" w:color="auto"/>
        <w:bottom w:val="none" w:sz="0" w:space="0" w:color="auto"/>
        <w:right w:val="none" w:sz="0" w:space="0" w:color="auto"/>
      </w:divBdr>
    </w:div>
    <w:div w:id="1824927083">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doc.es.amnesty.org/ms-opac/doc?q=comentarios+ley+libertad+sexual&amp;start=0&amp;rows=1&amp;sort=fecha%20desc&amp;fq=norm&amp;fv=*&amp;fo=and&amp;fq=norm&amp;fv=*&amp;fo=and" TargetMode="External"/><Relationship Id="rId18" Type="http://schemas.openxmlformats.org/officeDocument/2006/relationships/hyperlink" Target="https://doc.es.amnesty.org/ms-opac/search?fq=mssearch_fld13&amp;fv=EUR4110412" TargetMode="External"/><Relationship Id="rId26" Type="http://schemas.openxmlformats.org/officeDocument/2006/relationships/hyperlink" Target="http://www.poderjudicial.es/search/AN/openDocument/31c7a04e9092690c/20200601" TargetMode="External"/><Relationship Id="rId39" Type="http://schemas.openxmlformats.org/officeDocument/2006/relationships/hyperlink" Target="https://www.ine.es/prensa/ech_2020.pdf" TargetMode="External"/><Relationship Id="rId21" Type="http://schemas.openxmlformats.org/officeDocument/2006/relationships/hyperlink" Target="http://www.fiscal.es" TargetMode="External"/><Relationship Id="rId34" Type="http://schemas.openxmlformats.org/officeDocument/2006/relationships/hyperlink" Target="https://doc.es.amnesty.org/ms-opac/recordmedia/1@000032723/object/43787/raw" TargetMode="External"/><Relationship Id="rId7" Type="http://schemas.openxmlformats.org/officeDocument/2006/relationships/hyperlink" Target="https://estadisticasdecriminalidad.ses.mir.es/publico/portalestadistico/" TargetMode="External"/><Relationship Id="rId12" Type="http://schemas.openxmlformats.org/officeDocument/2006/relationships/hyperlink" Target="https://doc.es.amnesty.org/ms-opac/doc?q=comentarios+ley+libertad+sexual&amp;start=0&amp;rows=1&amp;sort=fecha%20desc&amp;fq=norm&amp;fv=*&amp;fo=and&amp;fq=norm&amp;fv=*&amp;fo=and" TargetMode="External"/><Relationship Id="rId17" Type="http://schemas.openxmlformats.org/officeDocument/2006/relationships/hyperlink" Target="https://doc.es.amnesty.org/ms-opac/doc?q=comentarios+ley+libertad+sexual&amp;start=0&amp;rows=1&amp;sort=fecha%20desc&amp;fq=norm&amp;fv=*&amp;fo=and&amp;fq=norm&amp;fv=*&amp;fo=and" TargetMode="External"/><Relationship Id="rId25" Type="http://schemas.openxmlformats.org/officeDocument/2006/relationships/hyperlink" Target="http://www.poderjudicial.es/search/AN/openDocument/83c2e5bfb97cf31a/20190708" TargetMode="External"/><Relationship Id="rId33" Type="http://schemas.openxmlformats.org/officeDocument/2006/relationships/hyperlink" Target="https://www.interior.gob.es/opencms/pdf/prensa/balances-e-informes/2020/Balance-Ministerio-TSH-2016-2020.pdf" TargetMode="External"/><Relationship Id="rId38" Type="http://schemas.openxmlformats.org/officeDocument/2006/relationships/hyperlink" Target="https://www.ine.es/jaxiT3/Datos.htm?t=52214" TargetMode="External"/><Relationship Id="rId2" Type="http://schemas.openxmlformats.org/officeDocument/2006/relationships/hyperlink" Target="https://tbinternet.ohchr.org/_layouts/15/treatybodyexternal/Download.aspx?symbolno=CEDAW/C/75/D/138/2018&amp;Lang=en" TargetMode="External"/><Relationship Id="rId16" Type="http://schemas.openxmlformats.org/officeDocument/2006/relationships/hyperlink" Target="https://doc.es.amnesty.org/ms-opac/doc?q=comentarios+ley+libertad+sexual&amp;start=0&amp;rows=1&amp;sort=fecha%20desc&amp;fq=norm&amp;fv=*&amp;fo=and&amp;fq=norm&amp;fv=*&amp;fo=and" TargetMode="External"/><Relationship Id="rId20" Type="http://schemas.openxmlformats.org/officeDocument/2006/relationships/hyperlink" Target="https://doc.es.amnesty.org/ms-opac/search?fq=mssearch_fld13&amp;fv=EUR4110412" TargetMode="External"/><Relationship Id="rId29" Type="http://schemas.openxmlformats.org/officeDocument/2006/relationships/hyperlink" Target="https://www.boe.es/boe/dias/2021/06/03/pdfs/BOE-A-2021-9233.pdf" TargetMode="External"/><Relationship Id="rId1" Type="http://schemas.openxmlformats.org/officeDocument/2006/relationships/hyperlink" Target="https://www.amnesty.org/en/documents/eur41/3929/2023/en/" TargetMode="External"/><Relationship Id="rId6" Type="http://schemas.openxmlformats.org/officeDocument/2006/relationships/hyperlink" Target="https://violenciagenero.igualdad.gob.es/violenciaEnCifras/macroencuesta2015/pdf/RE__Macroencuesta2019__EN.pdf" TargetMode="External"/><Relationship Id="rId11" Type="http://schemas.openxmlformats.org/officeDocument/2006/relationships/hyperlink" Target="https://doc.es.amnesty.org/ms-opac/doc?q=comentarios+ley+libertad+sexual&amp;start=0&amp;rows=1&amp;sort=fecha%20desc&amp;fq=norm&amp;fv=*&amp;fo=and&amp;fq=norm&amp;fv=*&amp;fo=and" TargetMode="External"/><Relationship Id="rId24" Type="http://schemas.openxmlformats.org/officeDocument/2006/relationships/hyperlink" Target="http://www.poderjudicial.es/cgpj/es/Temas/Violencia-domestica-y-de-genero/Actividad-del-Observatorio/Informes-de-violencia-domestica-y-de-genero/Informe-sobre-los-1000-primeros-casos-de-victimas-mortales-por-violencia-de-genero-en-el-ambito-de-la-pareja-o-ex-pareja--Mayo-2020-" TargetMode="External"/><Relationship Id="rId32" Type="http://schemas.openxmlformats.org/officeDocument/2006/relationships/hyperlink" Target="https://violenciagenero.igualdad.gob.es/planActuacion/estrategiasEstatales/combatirViolenciaMachista/docs/EEVM_22-25.pdf" TargetMode="External"/><Relationship Id="rId37" Type="http://schemas.openxmlformats.org/officeDocument/2006/relationships/hyperlink" Target="https://www.idealista.com/sala-de-prensa/informes-precio-vivienda/alquiler/historico/" TargetMode="External"/><Relationship Id="rId40" Type="http://schemas.openxmlformats.org/officeDocument/2006/relationships/hyperlink" Target="https://doc.es.amnesty.org/ms-opac/search?fq=msstored_fld99&amp;fv=*&amp;doc-return=search&amp;advanced=true&amp;mandatoryTerms=&amp;mandatoryPhrase=&amp;optionalTerms=&amp;prohibitedTerms=&amp;fq=mssearch_geographics&amp;fv=&amp;msstored_mltgeographics=&amp;fq=mssearch_materials&amp;fv=&amp;msstored_materials=&amp;fq=mssearch_doctype&amp;fv=*&amp;fq=mssearch_typology&amp;fv=*&amp;dateFrom=&amp;dateTo=&amp;fq=mssearch_fld13&amp;fv=EUR41600022" TargetMode="External"/><Relationship Id="rId5" Type="http://schemas.openxmlformats.org/officeDocument/2006/relationships/hyperlink" Target="http://estadisticasviolenciagenero.igualdad.mpr.gob.es/" TargetMode="External"/><Relationship Id="rId15" Type="http://schemas.openxmlformats.org/officeDocument/2006/relationships/hyperlink" Target="https://doc.es.amnesty.org/ms-opac/doc?q=comentarios+ley+libertad+sexual&amp;start=0&amp;rows=1&amp;sort=fecha%20desc&amp;fq=norm&amp;fv=*&amp;fo=and&amp;fq=norm&amp;fv=*&amp;fo=and" TargetMode="External"/><Relationship Id="rId23" Type="http://schemas.openxmlformats.org/officeDocument/2006/relationships/hyperlink" Target="https://www.defensordelpueblo.es/resoluciones/aplicar-el-protocolo-medico-forense-de-valoracion-elaborado-por-el-ministerio-de-justicia-en-2011-en-todos-los-casos-de-valoracion-de-riesgo-de-violencia-de-genero/" TargetMode="External"/><Relationship Id="rId28" Type="http://schemas.openxmlformats.org/officeDocument/2006/relationships/hyperlink" Target="https://www.defensordelpueblo.es/noticias/defensor-del-pueblo-inicio-2018-una-actuacion-oficio-raiz-del-asesinato-dos-menores/" TargetMode="External"/><Relationship Id="rId36" Type="http://schemas.openxmlformats.org/officeDocument/2006/relationships/hyperlink" Target="https://www.poderjudicial.es/cgpj/es/Temas/Estadistica-Judicial/Estudios-e-Informes/Efecto-de-la-Crisis-en-los-organos-judiciales/" TargetMode="External"/><Relationship Id="rId10" Type="http://schemas.openxmlformats.org/officeDocument/2006/relationships/hyperlink" Target="https://www.boe.es/buscar/act.php?id=BOE-A-2022-14630" TargetMode="External"/><Relationship Id="rId19" Type="http://schemas.openxmlformats.org/officeDocument/2006/relationships/hyperlink" Target="https://doc.es.amnesty.org/ms-opac/search?fq=mssearch_fld13&amp;fv=EUR4110412" TargetMode="External"/><Relationship Id="rId31" Type="http://schemas.openxmlformats.org/officeDocument/2006/relationships/hyperlink" Target="https://violenciagenero.igualdad.gob.es/pactoEstado/docs/Documento_Refundido_PEVG_2.pdf" TargetMode="External"/><Relationship Id="rId4" Type="http://schemas.openxmlformats.org/officeDocument/2006/relationships/hyperlink" Target="https://tbinternet.ohchr.org/_layouts/15/treatybodyexternal/Download.aspx?symbolno=CEDAW%2FC%2F84%2FD%2F154%2F2020&amp;Lang=es" TargetMode="External"/><Relationship Id="rId9" Type="http://schemas.openxmlformats.org/officeDocument/2006/relationships/hyperlink" Target="https://doc.es.amnesty.org/ms-opac/doc?q=ya+es+hora+de+que+me+creas+violencia+sexual&amp;start=1&amp;rows=1&amp;sort=fecha%20desc&amp;fq=norm&amp;fv=*&amp;fo=and&amp;fq=norm&amp;fv=*&amp;fo=and" TargetMode="External"/><Relationship Id="rId14" Type="http://schemas.openxmlformats.org/officeDocument/2006/relationships/hyperlink" Target="https://doc.es.amnesty.org/ms-opac/doc?q=comentarios+ley+libertad+sexual&amp;start=0&amp;rows=1&amp;sort=fecha%20desc&amp;fq=norm&amp;fv=*&amp;fo=and&amp;fq=norm&amp;fv=*&amp;fo=and" TargetMode="External"/><Relationship Id="rId22" Type="http://schemas.openxmlformats.org/officeDocument/2006/relationships/hyperlink" Target="https://violenciagenero.igualdad.gob.es/violenciaEnCifras/boletines/boletinAnual/docs/Boletin_estadistico_anual_2020_df.pdf" TargetMode="External"/><Relationship Id="rId27" Type="http://schemas.openxmlformats.org/officeDocument/2006/relationships/hyperlink" Target="https://violenciagenero.igualdad.gob.es/violenciaEnCifras/victimasMortales/fichaMenores/home.htm" TargetMode="External"/><Relationship Id="rId30" Type="http://schemas.openxmlformats.org/officeDocument/2006/relationships/hyperlink" Target="https://www.boe.es/buscar/act.php?id=BOE-A-2021-9347" TargetMode="External"/><Relationship Id="rId35" Type="http://schemas.openxmlformats.org/officeDocument/2006/relationships/hyperlink" Target="https://doc.es.amnesty.org/ms-opac/doc?q=*%3A*&amp;start=0&amp;rows=1&amp;sort=fecha%20desc&amp;fq=norm&amp;fv=*&amp;fo=and&amp;fq=mssearch_fld13&amp;fv=\%22++EUR4110017\%22&amp;fo=and" TargetMode="External"/><Relationship Id="rId8" Type="http://schemas.openxmlformats.org/officeDocument/2006/relationships/hyperlink" Target="https://rm.coe.int/grevio-s-report-on-spain/1680a08a9f" TargetMode="External"/><Relationship Id="rId3" Type="http://schemas.openxmlformats.org/officeDocument/2006/relationships/hyperlink" Target="https://tbinternet.ohchr.org/_layouts/15/treatybodyexternal/Download.aspx?symbolno=CEDAW%2FC%2F82%2FD%2F149%2F2019&amp;Lang=en"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d065b6d14bf4819b4825b7ea273f457 xmlns="452d559c-49a4-47bc-8575-587a177a9f9b">
      <Terms xmlns="http://schemas.microsoft.com/office/infopath/2007/PartnerControls"/>
    </cd065b6d14bf4819b4825b7ea273f457>
    <AI_Language xmlns="452d559c-49a4-47bc-8575-587a177a9f9b" xsi:nil="true"/>
    <AI_Description xmlns="452d559c-49a4-47bc-8575-587a177a9f9b" xsi:nil="true"/>
    <gaf9ab527ad94abd96e0fb1c6ebb6b9b xmlns="452d559c-49a4-47bc-8575-587a177a9f9b">
      <Terms xmlns="http://schemas.microsoft.com/office/infopath/2007/PartnerControls"/>
    </gaf9ab527ad94abd96e0fb1c6ebb6b9b>
    <a23cdbb084134ded8072c8b606f1c91c xmlns="452d559c-49a4-47bc-8575-587a177a9f9b">
      <Terms xmlns="http://schemas.microsoft.com/office/infopath/2007/PartnerControls"/>
    </a23cdbb084134ded8072c8b606f1c91c>
    <AI_InternalSecurityClassification xmlns="452d559c-49a4-47bc-8575-587a177a9f9b">AI Members Only</AI_InternalSecurityClassification>
    <h9abb430673d4f48a3e446dc5cbebb0f xmlns="452d559c-49a4-47bc-8575-587a177a9f9b">
      <Terms xmlns="http://schemas.microsoft.com/office/infopath/2007/PartnerControls"/>
    </h9abb430673d4f48a3e446dc5cbebb0f>
    <TaxCatchAll xmlns="138e79af-97e9-467e-b691-fc96845a5065" xsi:nil="true"/>
    <AI_ReviewDate xmlns="452d559c-49a4-47bc-8575-587a177a9f9b" xsi:nil="true"/>
    <AI_Region xmlns="452d559c-49a4-47bc-8575-587a177a9f9b" xsi:nil="true"/>
    <AI_Year xmlns="452d559c-49a4-47bc-8575-587a177a9f9b" xsi:nil="true"/>
    <lcf76f155ced4ddcb4097134ff3c332f xmlns="5d6ee38f-307e-4220-a4f1-03f27cdc674d"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Guidance" ma:contentTypeID="0x010100557818C4D85AD5408687A3CAA8E2212B007FC54CBEFCBFB548AA4D485916CEB597" ma:contentTypeVersion="12" ma:contentTypeDescription="AI Guidance Content Type" ma:contentTypeScope="" ma:versionID="59e49b09371e87baac647cbe2ff0b668">
  <xsd:schema xmlns:xsd="http://www.w3.org/2001/XMLSchema" xmlns:xs="http://www.w3.org/2001/XMLSchema" xmlns:p="http://schemas.microsoft.com/office/2006/metadata/properties" xmlns:ns2="452d559c-49a4-47bc-8575-587a177a9f9b" xmlns:ns3="138e79af-97e9-467e-b691-fc96845a5065" xmlns:ns4="5d6ee38f-307e-4220-a4f1-03f27cdc674d" targetNamespace="http://schemas.microsoft.com/office/2006/metadata/properties" ma:root="true" ma:fieldsID="184de06106e3b371450c80f19d54aaa5" ns2:_="" ns3:_="" ns4:_="">
    <xsd:import namespace="452d559c-49a4-47bc-8575-587a177a9f9b"/>
    <xsd:import namespace="138e79af-97e9-467e-b691-fc96845a5065"/>
    <xsd:import namespace="5d6ee38f-307e-4220-a4f1-03f27cdc674d"/>
    <xsd:element name="properties">
      <xsd:complexType>
        <xsd:sequence>
          <xsd:element name="documentManagement">
            <xsd:complexType>
              <xsd:all>
                <xsd:element ref="ns2:AI_InternalSecurityClassification"/>
                <xsd:element ref="ns2:AI_Description" minOccurs="0"/>
                <xsd:element ref="ns2:cd065b6d14bf4819b4825b7ea273f457" minOccurs="0"/>
                <xsd:element ref="ns3:TaxCatchAll" minOccurs="0"/>
                <xsd:element ref="ns3:TaxCatchAllLabel" minOccurs="0"/>
                <xsd:element ref="ns2:a23cdbb084134ded8072c8b606f1c91c" minOccurs="0"/>
                <xsd:element ref="ns2:AI_Language" minOccurs="0"/>
                <xsd:element ref="ns2:gaf9ab527ad94abd96e0fb1c6ebb6b9b" minOccurs="0"/>
                <xsd:element ref="ns2:h9abb430673d4f48a3e446dc5cbebb0f" minOccurs="0"/>
                <xsd:element ref="ns2:AI_ReviewDate" minOccurs="0"/>
                <xsd:element ref="ns2:AI_Region" minOccurs="0"/>
                <xsd:element ref="ns2:AI_Year"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cd065b6d14bf4819b4825b7ea273f457" ma:index="10" nillable="true" ma:taxonomy="true" ma:internalName="cd065b6d14bf4819b4825b7ea273f457" ma:taxonomyFieldName="AI_EnterpriseKeywords" ma:displayName="Enterprise keywords" ma:fieldId="{cd065b6d-14bf-4819-b482-5b7ea273f457}"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a23cdbb084134ded8072c8b606f1c91c" ma:index="14" nillable="true" ma:taxonomy="true" ma:internalName="a23cdbb084134ded8072c8b606f1c91c" ma:taxonomyFieldName="AI_InternalKeywords" ma:displayName="Internal keywords" ma:fieldId="{a23cdbb0-8413-4ded-8072-c8b606f1c91c}"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6" nillable="true" ma:displayName="Language" ma:description="The language of the content" ma:indexed="true"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gaf9ab527ad94abd96e0fb1c6ebb6b9b" ma:index="17" nillable="true" ma:taxonomy="true" ma:internalName="gaf9ab527ad94abd96e0fb1c6ebb6b9b" ma:taxonomyFieldName="AI_Collection" ma:displayName="Collection" ma:fieldId="{0af9ab52-7ad9-4abd-96e0-fb1c6ebb6b9b}"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h9abb430673d4f48a3e446dc5cbebb0f" ma:index="19" nillable="true" ma:taxonomy="true" ma:internalName="h9abb430673d4f48a3e446dc5cbebb0f" ma:taxonomyFieldName="AI_Country" ma:displayName="Country/countries" ma:fieldId="{19abb430-673d-4f48-a3e4-46dc5cbebb0f}"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AI_ReviewDate" ma:index="21" nillable="true" ma:displayName="Review date" ma:description="The AI region of the country to which the content relates" ma:internalName="AI_ReviewDate">
      <xsd:simpleType>
        <xsd:restriction base="dms:DateTime"/>
      </xsd:simpleType>
    </xsd:element>
    <xsd:element name="AI_Region" ma:index="22"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AI_Year" ma:index="23" nillable="true" ma:displayName="Year" ma:internalName="AI_Year">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54aa7851-5e58-4809-8481-3b3002ef3438}"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54aa7851-5e58-4809-8481-3b3002ef3438}"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6ee38f-307e-4220-a4f1-03f27cdc674d" elementFormDefault="qualified">
    <xsd:import namespace="http://schemas.microsoft.com/office/2006/documentManagement/types"/>
    <xsd:import namespace="http://schemas.microsoft.com/office/infopath/2007/PartnerControls"/>
    <xsd:element name="lcf76f155ced4ddcb4097134ff3c332f" ma:index="24"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578117-AE86-4514-82D3-4A3226599DFF}">
  <ds:schemaRefs>
    <ds:schemaRef ds:uri="http://schemas.microsoft.com/sharepoint/v3/contenttype/forms"/>
  </ds:schemaRefs>
</ds:datastoreItem>
</file>

<file path=customXml/itemProps2.xml><?xml version="1.0" encoding="utf-8"?>
<ds:datastoreItem xmlns:ds="http://schemas.openxmlformats.org/officeDocument/2006/customXml" ds:itemID="{7CB88C05-473F-419C-9421-7B7573AEE417}">
  <ds:schemaRefs>
    <ds:schemaRef ds:uri="http://schemas.microsoft.com/office/2006/metadata/properties"/>
    <ds:schemaRef ds:uri="http://schemas.microsoft.com/office/infopath/2007/PartnerControls"/>
    <ds:schemaRef ds:uri="452d559c-49a4-47bc-8575-587a177a9f9b"/>
    <ds:schemaRef ds:uri="138e79af-97e9-467e-b691-fc96845a5065"/>
    <ds:schemaRef ds:uri="5d6ee38f-307e-4220-a4f1-03f27cdc674d"/>
  </ds:schemaRefs>
</ds:datastoreItem>
</file>

<file path=customXml/itemProps3.xml><?xml version="1.0" encoding="utf-8"?>
<ds:datastoreItem xmlns:ds="http://schemas.openxmlformats.org/officeDocument/2006/customXml" ds:itemID="{D5DEA937-8A94-47A5-B343-A8178C86800E}">
  <ds:schemaRefs>
    <ds:schemaRef ds:uri="http://schemas.openxmlformats.org/officeDocument/2006/bibliography"/>
  </ds:schemaRefs>
</ds:datastoreItem>
</file>

<file path=customXml/itemProps4.xml><?xml version="1.0" encoding="utf-8"?>
<ds:datastoreItem xmlns:ds="http://schemas.openxmlformats.org/officeDocument/2006/customXml" ds:itemID="{2DC6E7E3-9525-414B-9CBC-DDC17333A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5d6ee38f-307e-4220-a4f1-03f27cdc6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2870</Words>
  <Characters>16365</Characters>
  <Application>Microsoft Office Word</Application>
  <DocSecurity>2</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Amnesty International</Company>
  <LinksUpToDate>false</LinksUpToDate>
  <CharactersWithSpaces>19197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Swingler</dc:creator>
  <cp:keywords>Amnesty International Report</cp:keywords>
  <cp:lastModifiedBy>Anna-Karin Holmlund</cp:lastModifiedBy>
  <cp:revision>12</cp:revision>
  <cp:lastPrinted>2015-10-25T22:41:00Z</cp:lastPrinted>
  <dcterms:created xsi:type="dcterms:W3CDTF">2023-04-15T10:14:00Z</dcterms:created>
  <dcterms:modified xsi:type="dcterms:W3CDTF">2023-04-15T10:20:00Z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0x010100557818C4D85AD5408687A3CAA8E2212B007FC54CBEFCBFB548AA4D485916CEB597</vt:lpwstr>
  </property>
  <property fmtid="{D5CDD505-2E9C-101B-9397-08002B2CF9AE}" pid="3" name="Order">
    <vt:r8>880100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y fmtid="{D5CDD505-2E9C-101B-9397-08002B2CF9AE}" pid="17" name="MediaServiceImageTags">
    <vt:lpwstr/>
  </property>
  <property fmtid="{D5CDD505-2E9C-101B-9397-08002B2CF9AE}" pid="18" name="SharedWithUsers">
    <vt:lpwstr>458;#Doriane Lau;#17;#Anna-Karin Holmlund;#705;#Alkan Akad;#101;#Catherine Baber;#923;#Gwen Lee</vt:lpwstr>
  </property>
</Properties>
</file>