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79B9" w:rsidRPr="009C1E37" w:rsidRDefault="002702E2" w:rsidP="002279B9">
      <w:pPr>
        <w:jc w:val="center"/>
        <w:rPr>
          <w:b/>
          <w:sz w:val="28"/>
          <w:szCs w:val="28"/>
          <w:lang w:val="fr-FR"/>
        </w:rPr>
      </w:pPr>
      <w:r>
        <w:rPr>
          <w:b/>
          <w:sz w:val="28"/>
          <w:szCs w:val="28"/>
          <w:lang w:val="fr-FR"/>
        </w:rPr>
        <w:t>Annexe 1</w:t>
      </w:r>
      <w:r w:rsidR="002279B9" w:rsidRPr="009C1E37">
        <w:rPr>
          <w:b/>
          <w:sz w:val="28"/>
          <w:szCs w:val="28"/>
          <w:lang w:val="fr-FR"/>
        </w:rPr>
        <w:t xml:space="preserve"> - CAT question § 3</w:t>
      </w:r>
    </w:p>
    <w:p w:rsidR="009C1E37" w:rsidRDefault="009C1E37" w:rsidP="009C1E37">
      <w:pPr>
        <w:rPr>
          <w:b/>
          <w:sz w:val="28"/>
          <w:szCs w:val="28"/>
          <w:lang w:val="fr-FR"/>
        </w:rPr>
      </w:pPr>
    </w:p>
    <w:p w:rsidR="002279B9" w:rsidRPr="009C1E37" w:rsidRDefault="00534A4F" w:rsidP="00770DE3">
      <w:pPr>
        <w:jc w:val="both"/>
        <w:rPr>
          <w:b/>
          <w:sz w:val="28"/>
          <w:szCs w:val="28"/>
          <w:lang w:val="fr-FR"/>
        </w:rPr>
      </w:pPr>
      <w:r>
        <w:rPr>
          <w:b/>
          <w:sz w:val="28"/>
          <w:szCs w:val="28"/>
          <w:lang w:val="fr-FR"/>
        </w:rPr>
        <w:t>1)</w:t>
      </w:r>
      <w:r w:rsidR="009C1E37" w:rsidRPr="009C1E37">
        <w:rPr>
          <w:b/>
          <w:sz w:val="28"/>
          <w:szCs w:val="28"/>
          <w:lang w:val="fr-FR"/>
        </w:rPr>
        <w:t xml:space="preserve"> </w:t>
      </w:r>
      <w:r>
        <w:rPr>
          <w:b/>
          <w:sz w:val="28"/>
          <w:szCs w:val="28"/>
          <w:lang w:val="fr-FR"/>
        </w:rPr>
        <w:t xml:space="preserve">Service de la politique criminelle : </w:t>
      </w:r>
      <w:r w:rsidR="009C1E37" w:rsidRPr="009C1E37">
        <w:rPr>
          <w:b/>
          <w:sz w:val="28"/>
          <w:szCs w:val="28"/>
          <w:lang w:val="fr-FR"/>
        </w:rPr>
        <w:t>Condamnations</w:t>
      </w:r>
      <w:r w:rsidR="009C1E37">
        <w:rPr>
          <w:b/>
          <w:sz w:val="28"/>
          <w:szCs w:val="28"/>
          <w:lang w:val="fr-FR"/>
        </w:rPr>
        <w:t xml:space="preserve"> pour mau</w:t>
      </w:r>
      <w:r>
        <w:rPr>
          <w:b/>
          <w:sz w:val="28"/>
          <w:szCs w:val="28"/>
          <w:lang w:val="fr-FR"/>
        </w:rPr>
        <w:t>vais traitements de 2012 à 2015 (tableau 1)</w:t>
      </w:r>
      <w:r w:rsidR="009C1E37" w:rsidRPr="009C1E37">
        <w:rPr>
          <w:b/>
          <w:sz w:val="28"/>
          <w:szCs w:val="28"/>
          <w:lang w:val="fr-FR"/>
        </w:rPr>
        <w:t xml:space="preserve"> </w:t>
      </w:r>
    </w:p>
    <w:tbl>
      <w:tblPr>
        <w:tblW w:w="8640" w:type="dxa"/>
        <w:tblLook w:val="04A0" w:firstRow="1" w:lastRow="0" w:firstColumn="1" w:lastColumn="0" w:noHBand="0" w:noVBand="1"/>
      </w:tblPr>
      <w:tblGrid>
        <w:gridCol w:w="1433"/>
        <w:gridCol w:w="2344"/>
        <w:gridCol w:w="1397"/>
        <w:gridCol w:w="1072"/>
        <w:gridCol w:w="1301"/>
        <w:gridCol w:w="1093"/>
      </w:tblGrid>
      <w:tr w:rsidR="002279B9" w:rsidRPr="00770DE3" w:rsidTr="002279B9">
        <w:trPr>
          <w:trHeight w:val="1110"/>
        </w:trPr>
        <w:tc>
          <w:tcPr>
            <w:tcW w:w="8640" w:type="dxa"/>
            <w:gridSpan w:val="6"/>
            <w:tcBorders>
              <w:top w:val="single" w:sz="12" w:space="0" w:color="auto"/>
              <w:left w:val="single" w:sz="12" w:space="0" w:color="auto"/>
              <w:bottom w:val="single" w:sz="12" w:space="0" w:color="auto"/>
              <w:right w:val="single" w:sz="12" w:space="0" w:color="000000"/>
            </w:tcBorders>
            <w:shd w:val="clear" w:color="auto" w:fill="D9D9D9" w:themeFill="background1" w:themeFillShade="D9"/>
            <w:vAlign w:val="center"/>
            <w:hideMark/>
          </w:tcPr>
          <w:p w:rsidR="002279B9" w:rsidRPr="00B97C90" w:rsidRDefault="002279B9" w:rsidP="002702E2">
            <w:pPr>
              <w:spacing w:after="0" w:line="240" w:lineRule="auto"/>
              <w:jc w:val="center"/>
              <w:rPr>
                <w:rFonts w:eastAsia="Times New Roman" w:cs="Times New Roman"/>
                <w:b/>
                <w:bCs/>
                <w:lang w:val="fr-FR" w:eastAsia="en-GB"/>
              </w:rPr>
            </w:pPr>
            <w:r w:rsidRPr="00B97C90">
              <w:rPr>
                <w:rFonts w:eastAsia="Times New Roman" w:cs="Times New Roman"/>
                <w:b/>
                <w:bCs/>
                <w:lang w:val="fr-FR" w:eastAsia="en-GB"/>
              </w:rPr>
              <w:t>Nombre de Condamnations /An / Infraction</w:t>
            </w:r>
          </w:p>
        </w:tc>
      </w:tr>
      <w:tr w:rsidR="002279B9" w:rsidRPr="007B49A3" w:rsidTr="002279B9">
        <w:trPr>
          <w:trHeight w:val="330"/>
        </w:trPr>
        <w:tc>
          <w:tcPr>
            <w:tcW w:w="3777" w:type="dxa"/>
            <w:gridSpan w:val="2"/>
            <w:tcBorders>
              <w:top w:val="nil"/>
              <w:left w:val="single" w:sz="12" w:space="0" w:color="auto"/>
              <w:bottom w:val="single" w:sz="4" w:space="0" w:color="auto"/>
              <w:right w:val="single" w:sz="4" w:space="0" w:color="auto"/>
            </w:tcBorders>
            <w:shd w:val="clear" w:color="auto" w:fill="D9D9D9" w:themeFill="background1" w:themeFillShade="D9"/>
            <w:noWrap/>
            <w:vAlign w:val="center"/>
            <w:hideMark/>
          </w:tcPr>
          <w:p w:rsidR="002279B9" w:rsidRPr="00B97C90" w:rsidRDefault="002279B9" w:rsidP="002702E2">
            <w:pPr>
              <w:spacing w:after="0" w:line="240" w:lineRule="auto"/>
              <w:jc w:val="center"/>
              <w:rPr>
                <w:rFonts w:eastAsia="Times New Roman" w:cs="Times New Roman"/>
                <w:lang w:val="fr-FR" w:eastAsia="en-GB"/>
              </w:rPr>
            </w:pPr>
            <w:r w:rsidRPr="00B97C90">
              <w:rPr>
                <w:rFonts w:eastAsia="Times New Roman" w:cs="Times New Roman"/>
                <w:lang w:val="fr-FR" w:eastAsia="en-GB"/>
              </w:rPr>
              <w:t> </w:t>
            </w:r>
          </w:p>
        </w:tc>
        <w:tc>
          <w:tcPr>
            <w:tcW w:w="1397" w:type="dxa"/>
            <w:tcBorders>
              <w:top w:val="nil"/>
              <w:left w:val="nil"/>
              <w:bottom w:val="single" w:sz="12" w:space="0" w:color="auto"/>
              <w:right w:val="single" w:sz="4" w:space="0" w:color="auto"/>
            </w:tcBorders>
            <w:shd w:val="clear" w:color="auto" w:fill="D9D9D9" w:themeFill="background1" w:themeFillShade="D9"/>
            <w:noWrap/>
            <w:vAlign w:val="bottom"/>
            <w:hideMark/>
          </w:tcPr>
          <w:p w:rsidR="002279B9" w:rsidRPr="007B49A3" w:rsidRDefault="002279B9" w:rsidP="002702E2">
            <w:pPr>
              <w:spacing w:after="0" w:line="240" w:lineRule="auto"/>
              <w:jc w:val="right"/>
              <w:rPr>
                <w:rFonts w:eastAsia="Times New Roman" w:cs="Times New Roman"/>
                <w:b/>
                <w:bCs/>
                <w:lang w:eastAsia="en-GB"/>
              </w:rPr>
            </w:pPr>
            <w:r w:rsidRPr="007B49A3">
              <w:rPr>
                <w:rFonts w:eastAsia="Times New Roman" w:cs="Times New Roman"/>
                <w:b/>
                <w:bCs/>
                <w:lang w:eastAsia="en-GB"/>
              </w:rPr>
              <w:t>2015</w:t>
            </w:r>
          </w:p>
        </w:tc>
        <w:tc>
          <w:tcPr>
            <w:tcW w:w="1072" w:type="dxa"/>
            <w:tcBorders>
              <w:top w:val="nil"/>
              <w:left w:val="nil"/>
              <w:bottom w:val="single" w:sz="12" w:space="0" w:color="auto"/>
              <w:right w:val="single" w:sz="4" w:space="0" w:color="auto"/>
            </w:tcBorders>
            <w:shd w:val="clear" w:color="auto" w:fill="D9D9D9" w:themeFill="background1" w:themeFillShade="D9"/>
            <w:noWrap/>
            <w:vAlign w:val="bottom"/>
            <w:hideMark/>
          </w:tcPr>
          <w:p w:rsidR="002279B9" w:rsidRPr="007B49A3" w:rsidRDefault="002279B9" w:rsidP="002702E2">
            <w:pPr>
              <w:spacing w:after="0" w:line="240" w:lineRule="auto"/>
              <w:jc w:val="right"/>
              <w:rPr>
                <w:rFonts w:eastAsia="Times New Roman" w:cs="Times New Roman"/>
                <w:b/>
                <w:bCs/>
                <w:lang w:eastAsia="en-GB"/>
              </w:rPr>
            </w:pPr>
            <w:r w:rsidRPr="007B49A3">
              <w:rPr>
                <w:rFonts w:eastAsia="Times New Roman" w:cs="Times New Roman"/>
                <w:b/>
                <w:bCs/>
                <w:lang w:eastAsia="en-GB"/>
              </w:rPr>
              <w:t>2014</w:t>
            </w:r>
          </w:p>
        </w:tc>
        <w:tc>
          <w:tcPr>
            <w:tcW w:w="1301" w:type="dxa"/>
            <w:tcBorders>
              <w:top w:val="nil"/>
              <w:left w:val="nil"/>
              <w:bottom w:val="single" w:sz="12" w:space="0" w:color="auto"/>
              <w:right w:val="single" w:sz="4" w:space="0" w:color="auto"/>
            </w:tcBorders>
            <w:shd w:val="clear" w:color="auto" w:fill="D9D9D9" w:themeFill="background1" w:themeFillShade="D9"/>
            <w:noWrap/>
            <w:vAlign w:val="bottom"/>
            <w:hideMark/>
          </w:tcPr>
          <w:p w:rsidR="002279B9" w:rsidRPr="007B49A3" w:rsidRDefault="002279B9" w:rsidP="002702E2">
            <w:pPr>
              <w:spacing w:after="0" w:line="240" w:lineRule="auto"/>
              <w:jc w:val="right"/>
              <w:rPr>
                <w:rFonts w:eastAsia="Times New Roman" w:cs="Times New Roman"/>
                <w:b/>
                <w:bCs/>
                <w:lang w:eastAsia="en-GB"/>
              </w:rPr>
            </w:pPr>
            <w:r w:rsidRPr="007B49A3">
              <w:rPr>
                <w:rFonts w:eastAsia="Times New Roman" w:cs="Times New Roman"/>
                <w:b/>
                <w:bCs/>
                <w:lang w:eastAsia="en-GB"/>
              </w:rPr>
              <w:t>2013</w:t>
            </w:r>
          </w:p>
        </w:tc>
        <w:tc>
          <w:tcPr>
            <w:tcW w:w="1093" w:type="dxa"/>
            <w:tcBorders>
              <w:top w:val="nil"/>
              <w:left w:val="nil"/>
              <w:bottom w:val="single" w:sz="12" w:space="0" w:color="auto"/>
              <w:right w:val="single" w:sz="12" w:space="0" w:color="auto"/>
            </w:tcBorders>
            <w:shd w:val="clear" w:color="auto" w:fill="D9D9D9" w:themeFill="background1" w:themeFillShade="D9"/>
            <w:noWrap/>
            <w:vAlign w:val="bottom"/>
            <w:hideMark/>
          </w:tcPr>
          <w:p w:rsidR="002279B9" w:rsidRPr="007B49A3" w:rsidRDefault="002279B9" w:rsidP="002702E2">
            <w:pPr>
              <w:spacing w:after="0" w:line="240" w:lineRule="auto"/>
              <w:jc w:val="right"/>
              <w:rPr>
                <w:rFonts w:eastAsia="Times New Roman" w:cs="Times New Roman"/>
                <w:b/>
                <w:bCs/>
                <w:lang w:eastAsia="en-GB"/>
              </w:rPr>
            </w:pPr>
            <w:r w:rsidRPr="007B49A3">
              <w:rPr>
                <w:rFonts w:eastAsia="Times New Roman" w:cs="Times New Roman"/>
                <w:b/>
                <w:bCs/>
                <w:lang w:eastAsia="en-GB"/>
              </w:rPr>
              <w:t>2012</w:t>
            </w:r>
          </w:p>
        </w:tc>
      </w:tr>
      <w:tr w:rsidR="002279B9" w:rsidRPr="007B49A3" w:rsidTr="002279B9">
        <w:trPr>
          <w:trHeight w:val="465"/>
        </w:trPr>
        <w:tc>
          <w:tcPr>
            <w:tcW w:w="1433" w:type="dxa"/>
            <w:vMerge w:val="restart"/>
            <w:tcBorders>
              <w:top w:val="nil"/>
              <w:left w:val="single" w:sz="12" w:space="0" w:color="auto"/>
              <w:bottom w:val="single" w:sz="12" w:space="0" w:color="000000"/>
              <w:right w:val="single" w:sz="4" w:space="0" w:color="auto"/>
            </w:tcBorders>
            <w:shd w:val="clear" w:color="auto" w:fill="D9D9D9" w:themeFill="background1" w:themeFillShade="D9"/>
            <w:vAlign w:val="center"/>
            <w:hideMark/>
          </w:tcPr>
          <w:p w:rsidR="002279B9" w:rsidRPr="007B49A3" w:rsidRDefault="002279B9" w:rsidP="002702E2">
            <w:pPr>
              <w:spacing w:after="0" w:line="240" w:lineRule="auto"/>
              <w:jc w:val="center"/>
              <w:rPr>
                <w:rFonts w:eastAsia="Times New Roman" w:cs="Times New Roman"/>
                <w:b/>
                <w:bCs/>
                <w:lang w:val="fr-FR" w:eastAsia="en-GB"/>
              </w:rPr>
            </w:pPr>
            <w:r w:rsidRPr="007B49A3">
              <w:rPr>
                <w:rFonts w:eastAsia="Times New Roman" w:cs="Times New Roman"/>
                <w:b/>
                <w:bCs/>
                <w:lang w:val="fr-FR" w:eastAsia="en-GB"/>
              </w:rPr>
              <w:t>Torture, traitement inhumain et traitement dégradant</w:t>
            </w:r>
          </w:p>
        </w:tc>
        <w:tc>
          <w:tcPr>
            <w:tcW w:w="2344" w:type="dxa"/>
            <w:tcBorders>
              <w:top w:val="nil"/>
              <w:left w:val="nil"/>
              <w:bottom w:val="single" w:sz="4" w:space="0" w:color="auto"/>
              <w:right w:val="single" w:sz="12" w:space="0" w:color="auto"/>
            </w:tcBorders>
            <w:shd w:val="clear" w:color="auto" w:fill="auto"/>
            <w:vAlign w:val="center"/>
            <w:hideMark/>
          </w:tcPr>
          <w:p w:rsidR="002279B9" w:rsidRPr="007B49A3" w:rsidRDefault="002279B9" w:rsidP="002702E2">
            <w:pPr>
              <w:spacing w:after="0" w:line="240" w:lineRule="auto"/>
              <w:rPr>
                <w:rFonts w:eastAsia="Times New Roman" w:cs="Times New Roman"/>
                <w:lang w:val="fr-FR" w:eastAsia="en-GB"/>
              </w:rPr>
            </w:pPr>
            <w:r w:rsidRPr="007B49A3">
              <w:rPr>
                <w:rFonts w:eastAsia="Times New Roman" w:cs="Times New Roman"/>
                <w:lang w:val="fr-FR" w:eastAsia="en-GB"/>
              </w:rPr>
              <w:t>Torture, traitement inhumain et traitement dégradant</w:t>
            </w:r>
          </w:p>
        </w:tc>
        <w:tc>
          <w:tcPr>
            <w:tcW w:w="1397"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3</w:t>
            </w:r>
          </w:p>
        </w:tc>
        <w:tc>
          <w:tcPr>
            <w:tcW w:w="1072"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rPr>
                <w:rFonts w:eastAsia="Times New Roman" w:cs="Times New Roman"/>
                <w:lang w:eastAsia="en-GB"/>
              </w:rPr>
            </w:pPr>
            <w:r w:rsidRPr="007B49A3">
              <w:rPr>
                <w:rFonts w:eastAsia="Times New Roman" w:cs="Times New Roman"/>
                <w:lang w:eastAsia="en-GB"/>
              </w:rPr>
              <w:t>.</w:t>
            </w:r>
          </w:p>
        </w:tc>
        <w:tc>
          <w:tcPr>
            <w:tcW w:w="1301"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2</w:t>
            </w:r>
          </w:p>
        </w:tc>
        <w:tc>
          <w:tcPr>
            <w:tcW w:w="1093" w:type="dxa"/>
            <w:tcBorders>
              <w:top w:val="nil"/>
              <w:left w:val="nil"/>
              <w:bottom w:val="single" w:sz="4" w:space="0" w:color="auto"/>
              <w:right w:val="single" w:sz="12" w:space="0" w:color="auto"/>
            </w:tcBorders>
            <w:shd w:val="clear" w:color="auto" w:fill="auto"/>
            <w:vAlign w:val="center"/>
            <w:hideMark/>
          </w:tcPr>
          <w:p w:rsidR="002279B9" w:rsidRPr="007B49A3" w:rsidRDefault="002279B9" w:rsidP="002702E2">
            <w:pPr>
              <w:spacing w:after="0" w:line="240" w:lineRule="auto"/>
              <w:rPr>
                <w:rFonts w:eastAsia="Times New Roman" w:cs="Times New Roman"/>
                <w:lang w:eastAsia="en-GB"/>
              </w:rPr>
            </w:pPr>
            <w:r w:rsidRPr="007B49A3">
              <w:rPr>
                <w:rFonts w:eastAsia="Times New Roman" w:cs="Times New Roman"/>
                <w:lang w:eastAsia="en-GB"/>
              </w:rPr>
              <w:t>.</w:t>
            </w:r>
          </w:p>
        </w:tc>
      </w:tr>
      <w:tr w:rsidR="002279B9" w:rsidRPr="007B49A3" w:rsidTr="002279B9">
        <w:trPr>
          <w:trHeight w:val="300"/>
        </w:trPr>
        <w:tc>
          <w:tcPr>
            <w:tcW w:w="1433" w:type="dxa"/>
            <w:vMerge/>
            <w:tcBorders>
              <w:top w:val="nil"/>
              <w:left w:val="single" w:sz="12" w:space="0" w:color="auto"/>
              <w:bottom w:val="single" w:sz="12" w:space="0" w:color="000000"/>
              <w:right w:val="single" w:sz="4" w:space="0" w:color="auto"/>
            </w:tcBorders>
            <w:shd w:val="clear" w:color="auto" w:fill="D9D9D9" w:themeFill="background1" w:themeFillShade="D9"/>
            <w:vAlign w:val="center"/>
            <w:hideMark/>
          </w:tcPr>
          <w:p w:rsidR="002279B9" w:rsidRPr="007B49A3" w:rsidRDefault="002279B9" w:rsidP="002702E2">
            <w:pPr>
              <w:spacing w:after="0" w:line="240" w:lineRule="auto"/>
              <w:rPr>
                <w:rFonts w:eastAsia="Times New Roman" w:cs="Times New Roman"/>
                <w:b/>
                <w:bCs/>
                <w:lang w:eastAsia="en-GB"/>
              </w:rPr>
            </w:pPr>
          </w:p>
        </w:tc>
        <w:tc>
          <w:tcPr>
            <w:tcW w:w="2344" w:type="dxa"/>
            <w:tcBorders>
              <w:top w:val="nil"/>
              <w:left w:val="nil"/>
              <w:bottom w:val="single" w:sz="4" w:space="0" w:color="auto"/>
              <w:right w:val="single" w:sz="12" w:space="0" w:color="auto"/>
            </w:tcBorders>
            <w:shd w:val="clear" w:color="auto" w:fill="auto"/>
            <w:vAlign w:val="center"/>
            <w:hideMark/>
          </w:tcPr>
          <w:p w:rsidR="002279B9" w:rsidRPr="007B49A3" w:rsidRDefault="002279B9" w:rsidP="002702E2">
            <w:pPr>
              <w:spacing w:after="0" w:line="240" w:lineRule="auto"/>
              <w:rPr>
                <w:rFonts w:eastAsia="Times New Roman" w:cs="Times New Roman"/>
                <w:lang w:val="fr-FR" w:eastAsia="en-GB"/>
              </w:rPr>
            </w:pPr>
            <w:r w:rsidRPr="007B49A3">
              <w:rPr>
                <w:rFonts w:eastAsia="Times New Roman" w:cs="Times New Roman"/>
                <w:lang w:val="fr-FR" w:eastAsia="en-GB"/>
              </w:rPr>
              <w:t>Torture (art. 417ter du Code pénal)</w:t>
            </w:r>
          </w:p>
        </w:tc>
        <w:tc>
          <w:tcPr>
            <w:tcW w:w="1397"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10</w:t>
            </w:r>
          </w:p>
        </w:tc>
        <w:tc>
          <w:tcPr>
            <w:tcW w:w="1072"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12</w:t>
            </w:r>
          </w:p>
        </w:tc>
        <w:tc>
          <w:tcPr>
            <w:tcW w:w="1301"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8</w:t>
            </w:r>
          </w:p>
        </w:tc>
        <w:tc>
          <w:tcPr>
            <w:tcW w:w="1093" w:type="dxa"/>
            <w:tcBorders>
              <w:top w:val="nil"/>
              <w:left w:val="nil"/>
              <w:bottom w:val="single" w:sz="4" w:space="0" w:color="auto"/>
              <w:right w:val="single" w:sz="12"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19</w:t>
            </w:r>
          </w:p>
        </w:tc>
      </w:tr>
      <w:tr w:rsidR="002279B9" w:rsidRPr="007B49A3" w:rsidTr="002279B9">
        <w:trPr>
          <w:trHeight w:val="450"/>
        </w:trPr>
        <w:tc>
          <w:tcPr>
            <w:tcW w:w="1433" w:type="dxa"/>
            <w:vMerge/>
            <w:tcBorders>
              <w:top w:val="nil"/>
              <w:left w:val="single" w:sz="12" w:space="0" w:color="auto"/>
              <w:bottom w:val="single" w:sz="12" w:space="0" w:color="000000"/>
              <w:right w:val="single" w:sz="4" w:space="0" w:color="auto"/>
            </w:tcBorders>
            <w:shd w:val="clear" w:color="auto" w:fill="D9D9D9" w:themeFill="background1" w:themeFillShade="D9"/>
            <w:vAlign w:val="center"/>
            <w:hideMark/>
          </w:tcPr>
          <w:p w:rsidR="002279B9" w:rsidRPr="007B49A3" w:rsidRDefault="002279B9" w:rsidP="002702E2">
            <w:pPr>
              <w:spacing w:after="0" w:line="240" w:lineRule="auto"/>
              <w:rPr>
                <w:rFonts w:eastAsia="Times New Roman" w:cs="Times New Roman"/>
                <w:b/>
                <w:bCs/>
                <w:lang w:eastAsia="en-GB"/>
              </w:rPr>
            </w:pPr>
          </w:p>
        </w:tc>
        <w:tc>
          <w:tcPr>
            <w:tcW w:w="2344" w:type="dxa"/>
            <w:tcBorders>
              <w:top w:val="nil"/>
              <w:left w:val="nil"/>
              <w:bottom w:val="single" w:sz="4" w:space="0" w:color="auto"/>
              <w:right w:val="single" w:sz="12" w:space="0" w:color="auto"/>
            </w:tcBorders>
            <w:shd w:val="clear" w:color="auto" w:fill="auto"/>
            <w:vAlign w:val="center"/>
            <w:hideMark/>
          </w:tcPr>
          <w:p w:rsidR="002279B9" w:rsidRPr="007B49A3" w:rsidRDefault="002279B9" w:rsidP="002702E2">
            <w:pPr>
              <w:spacing w:after="0" w:line="240" w:lineRule="auto"/>
              <w:rPr>
                <w:rFonts w:eastAsia="Times New Roman" w:cs="Times New Roman"/>
                <w:lang w:val="fr-FR" w:eastAsia="en-GB"/>
              </w:rPr>
            </w:pPr>
            <w:r w:rsidRPr="007B49A3">
              <w:rPr>
                <w:rFonts w:eastAsia="Times New Roman" w:cs="Times New Roman"/>
                <w:lang w:val="fr-FR" w:eastAsia="en-GB"/>
              </w:rPr>
              <w:t>Traitement inhumain (art. 417quater du Code pénal)</w:t>
            </w:r>
          </w:p>
        </w:tc>
        <w:tc>
          <w:tcPr>
            <w:tcW w:w="1397"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34</w:t>
            </w:r>
          </w:p>
        </w:tc>
        <w:tc>
          <w:tcPr>
            <w:tcW w:w="1072"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37</w:t>
            </w:r>
          </w:p>
        </w:tc>
        <w:tc>
          <w:tcPr>
            <w:tcW w:w="1301" w:type="dxa"/>
            <w:tcBorders>
              <w:top w:val="nil"/>
              <w:left w:val="nil"/>
              <w:bottom w:val="single" w:sz="4"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40</w:t>
            </w:r>
          </w:p>
        </w:tc>
        <w:tc>
          <w:tcPr>
            <w:tcW w:w="1093" w:type="dxa"/>
            <w:tcBorders>
              <w:top w:val="nil"/>
              <w:left w:val="nil"/>
              <w:bottom w:val="single" w:sz="4" w:space="0" w:color="auto"/>
              <w:right w:val="single" w:sz="12"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23</w:t>
            </w:r>
          </w:p>
        </w:tc>
      </w:tr>
      <w:tr w:rsidR="002279B9" w:rsidRPr="007B49A3" w:rsidTr="002279B9">
        <w:trPr>
          <w:trHeight w:val="465"/>
        </w:trPr>
        <w:tc>
          <w:tcPr>
            <w:tcW w:w="1433" w:type="dxa"/>
            <w:vMerge/>
            <w:tcBorders>
              <w:top w:val="nil"/>
              <w:left w:val="single" w:sz="12" w:space="0" w:color="auto"/>
              <w:bottom w:val="single" w:sz="12" w:space="0" w:color="000000"/>
              <w:right w:val="single" w:sz="4" w:space="0" w:color="auto"/>
            </w:tcBorders>
            <w:shd w:val="clear" w:color="auto" w:fill="D9D9D9" w:themeFill="background1" w:themeFillShade="D9"/>
            <w:vAlign w:val="center"/>
            <w:hideMark/>
          </w:tcPr>
          <w:p w:rsidR="002279B9" w:rsidRPr="007B49A3" w:rsidRDefault="002279B9" w:rsidP="002702E2">
            <w:pPr>
              <w:spacing w:after="0" w:line="240" w:lineRule="auto"/>
              <w:rPr>
                <w:rFonts w:eastAsia="Times New Roman" w:cs="Times New Roman"/>
                <w:b/>
                <w:bCs/>
                <w:lang w:eastAsia="en-GB"/>
              </w:rPr>
            </w:pPr>
          </w:p>
        </w:tc>
        <w:tc>
          <w:tcPr>
            <w:tcW w:w="2344" w:type="dxa"/>
            <w:tcBorders>
              <w:top w:val="nil"/>
              <w:left w:val="nil"/>
              <w:bottom w:val="nil"/>
              <w:right w:val="single" w:sz="12" w:space="0" w:color="auto"/>
            </w:tcBorders>
            <w:shd w:val="clear" w:color="auto" w:fill="auto"/>
            <w:vAlign w:val="center"/>
            <w:hideMark/>
          </w:tcPr>
          <w:p w:rsidR="002279B9" w:rsidRPr="007B49A3" w:rsidRDefault="002279B9" w:rsidP="002702E2">
            <w:pPr>
              <w:spacing w:after="0" w:line="240" w:lineRule="auto"/>
              <w:rPr>
                <w:rFonts w:eastAsia="Times New Roman" w:cs="Times New Roman"/>
                <w:lang w:val="fr-FR" w:eastAsia="en-GB"/>
              </w:rPr>
            </w:pPr>
            <w:r w:rsidRPr="007B49A3">
              <w:rPr>
                <w:rFonts w:eastAsia="Times New Roman" w:cs="Times New Roman"/>
                <w:lang w:val="fr-FR" w:eastAsia="en-GB"/>
              </w:rPr>
              <w:t>Traitement dégradant (art. 417quinquies du Code pénal)</w:t>
            </w:r>
          </w:p>
        </w:tc>
        <w:tc>
          <w:tcPr>
            <w:tcW w:w="1397" w:type="dxa"/>
            <w:tcBorders>
              <w:top w:val="nil"/>
              <w:left w:val="nil"/>
              <w:bottom w:val="nil"/>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41</w:t>
            </w:r>
          </w:p>
        </w:tc>
        <w:tc>
          <w:tcPr>
            <w:tcW w:w="1072" w:type="dxa"/>
            <w:tcBorders>
              <w:top w:val="nil"/>
              <w:left w:val="nil"/>
              <w:bottom w:val="nil"/>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37</w:t>
            </w:r>
          </w:p>
        </w:tc>
        <w:tc>
          <w:tcPr>
            <w:tcW w:w="1301" w:type="dxa"/>
            <w:tcBorders>
              <w:top w:val="nil"/>
              <w:left w:val="nil"/>
              <w:bottom w:val="nil"/>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31</w:t>
            </w:r>
          </w:p>
        </w:tc>
        <w:tc>
          <w:tcPr>
            <w:tcW w:w="1093" w:type="dxa"/>
            <w:tcBorders>
              <w:top w:val="nil"/>
              <w:left w:val="nil"/>
              <w:bottom w:val="nil"/>
              <w:right w:val="single" w:sz="12"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lang w:eastAsia="en-GB"/>
              </w:rPr>
            </w:pPr>
            <w:r w:rsidRPr="007B49A3">
              <w:rPr>
                <w:rFonts w:eastAsia="Times New Roman" w:cs="Times New Roman"/>
                <w:lang w:eastAsia="en-GB"/>
              </w:rPr>
              <w:t>23</w:t>
            </w:r>
          </w:p>
        </w:tc>
      </w:tr>
      <w:tr w:rsidR="002279B9" w:rsidRPr="007B49A3" w:rsidTr="002279B9">
        <w:trPr>
          <w:trHeight w:val="330"/>
        </w:trPr>
        <w:tc>
          <w:tcPr>
            <w:tcW w:w="1433" w:type="dxa"/>
            <w:vMerge/>
            <w:tcBorders>
              <w:top w:val="nil"/>
              <w:left w:val="single" w:sz="12" w:space="0" w:color="auto"/>
              <w:bottom w:val="single" w:sz="12" w:space="0" w:color="000000"/>
              <w:right w:val="single" w:sz="4" w:space="0" w:color="auto"/>
            </w:tcBorders>
            <w:shd w:val="clear" w:color="auto" w:fill="D9D9D9" w:themeFill="background1" w:themeFillShade="D9"/>
            <w:vAlign w:val="center"/>
            <w:hideMark/>
          </w:tcPr>
          <w:p w:rsidR="002279B9" w:rsidRPr="007B49A3" w:rsidRDefault="002279B9" w:rsidP="002702E2">
            <w:pPr>
              <w:spacing w:after="0" w:line="240" w:lineRule="auto"/>
              <w:rPr>
                <w:rFonts w:eastAsia="Times New Roman" w:cs="Times New Roman"/>
                <w:b/>
                <w:bCs/>
                <w:lang w:eastAsia="en-GB"/>
              </w:rPr>
            </w:pPr>
          </w:p>
        </w:tc>
        <w:tc>
          <w:tcPr>
            <w:tcW w:w="2344" w:type="dxa"/>
            <w:tcBorders>
              <w:top w:val="single" w:sz="12" w:space="0" w:color="auto"/>
              <w:left w:val="nil"/>
              <w:bottom w:val="single" w:sz="12" w:space="0" w:color="auto"/>
              <w:right w:val="single" w:sz="4" w:space="0" w:color="auto"/>
            </w:tcBorders>
            <w:shd w:val="clear" w:color="auto" w:fill="auto"/>
            <w:vAlign w:val="center"/>
            <w:hideMark/>
          </w:tcPr>
          <w:p w:rsidR="002279B9" w:rsidRPr="007B49A3" w:rsidRDefault="002279B9" w:rsidP="002702E2">
            <w:pPr>
              <w:spacing w:after="0" w:line="240" w:lineRule="auto"/>
              <w:rPr>
                <w:rFonts w:eastAsia="Times New Roman" w:cs="Times New Roman"/>
                <w:b/>
                <w:bCs/>
                <w:i/>
                <w:iCs/>
                <w:lang w:eastAsia="en-GB"/>
              </w:rPr>
            </w:pPr>
            <w:r w:rsidRPr="007B49A3">
              <w:rPr>
                <w:rFonts w:eastAsia="Times New Roman" w:cs="Times New Roman"/>
                <w:b/>
                <w:bCs/>
                <w:i/>
                <w:iCs/>
                <w:lang w:eastAsia="en-GB"/>
              </w:rPr>
              <w:t>Total</w:t>
            </w:r>
          </w:p>
        </w:tc>
        <w:tc>
          <w:tcPr>
            <w:tcW w:w="1397" w:type="dxa"/>
            <w:tcBorders>
              <w:top w:val="single" w:sz="12" w:space="0" w:color="auto"/>
              <w:left w:val="nil"/>
              <w:bottom w:val="single" w:sz="12"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b/>
                <w:bCs/>
                <w:i/>
                <w:iCs/>
                <w:lang w:eastAsia="en-GB"/>
              </w:rPr>
            </w:pPr>
            <w:r w:rsidRPr="007B49A3">
              <w:rPr>
                <w:rFonts w:eastAsia="Times New Roman" w:cs="Times New Roman"/>
                <w:b/>
                <w:bCs/>
                <w:i/>
                <w:iCs/>
                <w:lang w:eastAsia="en-GB"/>
              </w:rPr>
              <w:t>88</w:t>
            </w:r>
          </w:p>
        </w:tc>
        <w:tc>
          <w:tcPr>
            <w:tcW w:w="1072" w:type="dxa"/>
            <w:tcBorders>
              <w:top w:val="single" w:sz="12" w:space="0" w:color="auto"/>
              <w:left w:val="nil"/>
              <w:bottom w:val="single" w:sz="12"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b/>
                <w:bCs/>
                <w:i/>
                <w:iCs/>
                <w:lang w:eastAsia="en-GB"/>
              </w:rPr>
            </w:pPr>
            <w:r w:rsidRPr="007B49A3">
              <w:rPr>
                <w:rFonts w:eastAsia="Times New Roman" w:cs="Times New Roman"/>
                <w:b/>
                <w:bCs/>
                <w:i/>
                <w:iCs/>
                <w:lang w:eastAsia="en-GB"/>
              </w:rPr>
              <w:t>86</w:t>
            </w:r>
          </w:p>
        </w:tc>
        <w:tc>
          <w:tcPr>
            <w:tcW w:w="1301" w:type="dxa"/>
            <w:tcBorders>
              <w:top w:val="single" w:sz="12" w:space="0" w:color="auto"/>
              <w:left w:val="nil"/>
              <w:bottom w:val="single" w:sz="12" w:space="0" w:color="auto"/>
              <w:right w:val="single" w:sz="4"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b/>
                <w:bCs/>
                <w:i/>
                <w:iCs/>
                <w:lang w:eastAsia="en-GB"/>
              </w:rPr>
            </w:pPr>
            <w:r w:rsidRPr="007B49A3">
              <w:rPr>
                <w:rFonts w:eastAsia="Times New Roman" w:cs="Times New Roman"/>
                <w:b/>
                <w:bCs/>
                <w:i/>
                <w:iCs/>
                <w:lang w:eastAsia="en-GB"/>
              </w:rPr>
              <w:t>81</w:t>
            </w:r>
          </w:p>
        </w:tc>
        <w:tc>
          <w:tcPr>
            <w:tcW w:w="1093" w:type="dxa"/>
            <w:tcBorders>
              <w:top w:val="single" w:sz="12" w:space="0" w:color="auto"/>
              <w:left w:val="nil"/>
              <w:bottom w:val="single" w:sz="12" w:space="0" w:color="auto"/>
              <w:right w:val="single" w:sz="12" w:space="0" w:color="auto"/>
            </w:tcBorders>
            <w:shd w:val="clear" w:color="auto" w:fill="auto"/>
            <w:vAlign w:val="center"/>
            <w:hideMark/>
          </w:tcPr>
          <w:p w:rsidR="002279B9" w:rsidRPr="007B49A3" w:rsidRDefault="002279B9" w:rsidP="002702E2">
            <w:pPr>
              <w:spacing w:after="0" w:line="240" w:lineRule="auto"/>
              <w:jc w:val="right"/>
              <w:rPr>
                <w:rFonts w:eastAsia="Times New Roman" w:cs="Times New Roman"/>
                <w:b/>
                <w:bCs/>
                <w:i/>
                <w:iCs/>
                <w:lang w:eastAsia="en-GB"/>
              </w:rPr>
            </w:pPr>
            <w:r w:rsidRPr="007B49A3">
              <w:rPr>
                <w:rFonts w:eastAsia="Times New Roman" w:cs="Times New Roman"/>
                <w:b/>
                <w:bCs/>
                <w:i/>
                <w:iCs/>
                <w:lang w:eastAsia="en-GB"/>
              </w:rPr>
              <w:t>65</w:t>
            </w:r>
          </w:p>
        </w:tc>
      </w:tr>
    </w:tbl>
    <w:p w:rsidR="002279B9" w:rsidRDefault="002279B9" w:rsidP="002279B9">
      <w:pPr>
        <w:pStyle w:val="Default"/>
        <w:jc w:val="both"/>
        <w:rPr>
          <w:rFonts w:asciiTheme="minorHAnsi" w:hAnsiTheme="minorHAnsi"/>
          <w:color w:val="auto"/>
          <w:sz w:val="22"/>
          <w:szCs w:val="22"/>
          <w:lang w:val="fr-FR"/>
        </w:rPr>
      </w:pPr>
    </w:p>
    <w:p w:rsidR="00770DE3" w:rsidRDefault="00770DE3" w:rsidP="00122581">
      <w:pPr>
        <w:pStyle w:val="Default"/>
        <w:spacing w:line="276" w:lineRule="auto"/>
        <w:jc w:val="both"/>
        <w:rPr>
          <w:rFonts w:asciiTheme="minorHAnsi" w:hAnsiTheme="minorHAnsi"/>
          <w:color w:val="auto"/>
          <w:sz w:val="22"/>
          <w:szCs w:val="22"/>
          <w:lang w:val="fr-FR"/>
        </w:rPr>
      </w:pPr>
      <w:r w:rsidRPr="00770DE3">
        <w:rPr>
          <w:rFonts w:asciiTheme="minorHAnsi" w:hAnsiTheme="minorHAnsi"/>
          <w:color w:val="auto"/>
          <w:sz w:val="22"/>
          <w:szCs w:val="22"/>
          <w:lang w:val="fr-FR"/>
        </w:rPr>
        <w:t>Cette banque de données contient tous les bulletins de condamnation enregistrés émanant des greffes des cours et tribunaux. Un bulletin de condamnation est établi par le greffe et se fonde toujours sur une décision passée en force de chose jugée. Les chiffres fournis doivent être interprétés avec une certaine prudence. Les chiffres de 2012 à 2015 sous-estiment la réalité en raison d'un arriéré d'enregistrement des bulletins de condamnation au Casier judiciaire central.</w:t>
      </w:r>
      <w:r w:rsidRPr="00770DE3">
        <w:rPr>
          <w:lang w:val="fr-BE"/>
        </w:rPr>
        <w:t xml:space="preserve"> </w:t>
      </w:r>
      <w:r w:rsidRPr="00770DE3">
        <w:rPr>
          <w:rFonts w:asciiTheme="minorHAnsi" w:hAnsiTheme="minorHAnsi"/>
          <w:color w:val="auto"/>
          <w:sz w:val="22"/>
          <w:szCs w:val="22"/>
          <w:lang w:val="fr-FR"/>
        </w:rPr>
        <w:t>Les chiffres relatifs à l’année passée et à l’année en cours ne</w:t>
      </w:r>
      <w:r>
        <w:rPr>
          <w:rFonts w:asciiTheme="minorHAnsi" w:hAnsiTheme="minorHAnsi"/>
          <w:color w:val="auto"/>
          <w:sz w:val="22"/>
          <w:szCs w:val="22"/>
          <w:lang w:val="fr-FR"/>
        </w:rPr>
        <w:t xml:space="preserve"> sont pas encore disponibles. </w:t>
      </w:r>
    </w:p>
    <w:p w:rsidR="00122581" w:rsidRPr="007B49A3" w:rsidRDefault="00122581" w:rsidP="00122581">
      <w:pPr>
        <w:pStyle w:val="Default"/>
        <w:spacing w:line="276" w:lineRule="auto"/>
        <w:jc w:val="both"/>
        <w:rPr>
          <w:rFonts w:asciiTheme="minorHAnsi" w:hAnsiTheme="minorHAnsi"/>
          <w:color w:val="auto"/>
          <w:sz w:val="22"/>
          <w:szCs w:val="22"/>
          <w:lang w:val="fr-FR"/>
        </w:rPr>
      </w:pPr>
      <w:r w:rsidRPr="00122581">
        <w:rPr>
          <w:rFonts w:asciiTheme="minorHAnsi" w:hAnsiTheme="minorHAnsi"/>
          <w:color w:val="auto"/>
          <w:sz w:val="22"/>
          <w:szCs w:val="22"/>
          <w:lang w:val="fr-FR"/>
        </w:rPr>
        <w:t>Soulignons que la banque de données du Casier judiciaire central, dont ces chiffres ont été extraits, ne rend pas compte de la nature des faits et des peines prononcées dans chaque affaire. Notons néanmoins que des informations peuvent être transmises à titre exemplatif. Ainsi, les tribunaux de première instance de Gand ont relevé cinq affaires ayant donné lieu à des condamnations pour mauvais traitement entre octobre et décembre 2016 ; les peines prononcées vont de 2 ans à 5 ans d’emprisonnement.</w:t>
      </w:r>
    </w:p>
    <w:p w:rsidR="009C1E37" w:rsidRDefault="009C1E37">
      <w:pPr>
        <w:rPr>
          <w:b/>
          <w:sz w:val="28"/>
          <w:szCs w:val="28"/>
          <w:lang w:val="fr-FR"/>
        </w:rPr>
      </w:pPr>
      <w:r>
        <w:rPr>
          <w:b/>
          <w:sz w:val="28"/>
          <w:szCs w:val="28"/>
          <w:lang w:val="fr-FR"/>
        </w:rPr>
        <w:br w:type="page"/>
      </w:r>
    </w:p>
    <w:p w:rsidR="00534A4F" w:rsidRDefault="00534A4F" w:rsidP="00321A66">
      <w:pPr>
        <w:jc w:val="both"/>
        <w:rPr>
          <w:b/>
          <w:sz w:val="28"/>
          <w:szCs w:val="28"/>
          <w:lang w:val="fr-FR"/>
        </w:rPr>
      </w:pPr>
      <w:r>
        <w:rPr>
          <w:b/>
          <w:sz w:val="28"/>
          <w:szCs w:val="28"/>
          <w:lang w:val="fr-FR"/>
        </w:rPr>
        <w:lastRenderedPageBreak/>
        <w:t>2) Comité P</w:t>
      </w:r>
    </w:p>
    <w:p w:rsidR="009C1E37" w:rsidRPr="009C1E37" w:rsidRDefault="009C1E37" w:rsidP="00321A66">
      <w:pPr>
        <w:jc w:val="both"/>
        <w:rPr>
          <w:b/>
          <w:sz w:val="28"/>
          <w:szCs w:val="28"/>
          <w:lang w:val="fr-FR"/>
        </w:rPr>
      </w:pPr>
      <w:r w:rsidRPr="009C1E37">
        <w:rPr>
          <w:b/>
          <w:sz w:val="28"/>
          <w:szCs w:val="28"/>
          <w:lang w:val="fr-FR"/>
        </w:rPr>
        <w:t xml:space="preserve">Condamnations </w:t>
      </w:r>
      <w:r>
        <w:rPr>
          <w:b/>
          <w:sz w:val="28"/>
          <w:szCs w:val="28"/>
          <w:lang w:val="fr-FR"/>
        </w:rPr>
        <w:t>pour mauvais traitements par de</w:t>
      </w:r>
      <w:r w:rsidRPr="009C1E37">
        <w:rPr>
          <w:b/>
          <w:sz w:val="28"/>
          <w:szCs w:val="28"/>
          <w:lang w:val="fr-FR"/>
        </w:rPr>
        <w:t>s</w:t>
      </w:r>
      <w:r>
        <w:rPr>
          <w:b/>
          <w:sz w:val="28"/>
          <w:szCs w:val="28"/>
          <w:lang w:val="fr-FR"/>
        </w:rPr>
        <w:t xml:space="preserve"> </w:t>
      </w:r>
      <w:r w:rsidRPr="009C1E37">
        <w:rPr>
          <w:b/>
          <w:sz w:val="28"/>
          <w:szCs w:val="28"/>
          <w:lang w:val="fr-FR"/>
        </w:rPr>
        <w:t>policiers de 2009 à 2014</w:t>
      </w:r>
      <w:r w:rsidR="00534A4F">
        <w:rPr>
          <w:b/>
          <w:sz w:val="28"/>
          <w:szCs w:val="28"/>
          <w:lang w:val="fr-FR"/>
        </w:rPr>
        <w:t xml:space="preserve"> (tableau 2)</w:t>
      </w:r>
    </w:p>
    <w:p w:rsidR="009C1E37" w:rsidRPr="009C1E37" w:rsidRDefault="009C1E37" w:rsidP="009C1E37">
      <w:pPr>
        <w:jc w:val="both"/>
        <w:rPr>
          <w:lang w:val="fr-FR"/>
        </w:rPr>
      </w:pPr>
      <w:r w:rsidRPr="009C1E37">
        <w:rPr>
          <w:lang w:val="fr-FR"/>
        </w:rPr>
        <w:t>Les chiffres ci-dessous rendent compte des condamnations pénales prononcées à l’encontre de policiers pour des actes de mauvais traitements pour la période 2009-2014, telles que communiquées au Comité P par les autorités judiciaires, en exécution de l’article 14, al. 1</w:t>
      </w:r>
      <w:r w:rsidRPr="009C1E37">
        <w:rPr>
          <w:vertAlign w:val="superscript"/>
          <w:lang w:val="fr-FR"/>
        </w:rPr>
        <w:t>er</w:t>
      </w:r>
      <w:r w:rsidRPr="009C1E37">
        <w:rPr>
          <w:lang w:val="fr-FR"/>
        </w:rPr>
        <w:t>, de la loi organique du 18 juillet 1991</w:t>
      </w:r>
    </w:p>
    <w:tbl>
      <w:tblPr>
        <w:tblW w:w="10632" w:type="dxa"/>
        <w:tblInd w:w="-459"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1418"/>
        <w:gridCol w:w="729"/>
        <w:gridCol w:w="448"/>
        <w:gridCol w:w="448"/>
        <w:gridCol w:w="448"/>
        <w:gridCol w:w="448"/>
        <w:gridCol w:w="448"/>
        <w:gridCol w:w="435"/>
        <w:gridCol w:w="435"/>
        <w:gridCol w:w="413"/>
        <w:gridCol w:w="426"/>
        <w:gridCol w:w="425"/>
        <w:gridCol w:w="425"/>
        <w:gridCol w:w="425"/>
        <w:gridCol w:w="426"/>
        <w:gridCol w:w="425"/>
        <w:gridCol w:w="425"/>
        <w:gridCol w:w="425"/>
        <w:gridCol w:w="425"/>
        <w:gridCol w:w="425"/>
        <w:gridCol w:w="425"/>
        <w:gridCol w:w="285"/>
      </w:tblGrid>
      <w:tr w:rsidR="009C1E37" w:rsidRPr="009C1E37" w:rsidTr="009C1E37">
        <w:trPr>
          <w:trHeight w:val="255"/>
        </w:trPr>
        <w:tc>
          <w:tcPr>
            <w:tcW w:w="1418" w:type="dxa"/>
            <w:shd w:val="clear" w:color="auto" w:fill="95B3D7" w:themeFill="accent1" w:themeFillTint="99"/>
            <w:noWrap/>
            <w:vAlign w:val="bottom"/>
            <w:hideMark/>
          </w:tcPr>
          <w:p w:rsidR="009C1E37" w:rsidRPr="009C1E37" w:rsidRDefault="009C1E37" w:rsidP="002702E2">
            <w:pPr>
              <w:spacing w:after="0" w:line="240" w:lineRule="auto"/>
              <w:rPr>
                <w:rFonts w:eastAsia="Times New Roman" w:cs="Times New Roman"/>
                <w:b/>
                <w:bCs/>
                <w:sz w:val="18"/>
                <w:szCs w:val="18"/>
              </w:rPr>
            </w:pPr>
            <w:proofErr w:type="spellStart"/>
            <w:r w:rsidRPr="009C1E37">
              <w:rPr>
                <w:rFonts w:eastAsia="Times New Roman" w:cstheme="minorHAnsi"/>
                <w:b/>
                <w:bCs/>
                <w:sz w:val="18"/>
                <w:szCs w:val="18"/>
              </w:rPr>
              <w:t>Condamnations</w:t>
            </w:r>
            <w:proofErr w:type="spellEnd"/>
            <w:r w:rsidRPr="009C1E37">
              <w:rPr>
                <w:rFonts w:eastAsia="Times New Roman" w:cstheme="minorHAnsi"/>
                <w:b/>
                <w:bCs/>
                <w:sz w:val="18"/>
                <w:szCs w:val="18"/>
              </w:rPr>
              <w:t xml:space="preserve"> </w:t>
            </w:r>
            <w:proofErr w:type="spellStart"/>
            <w:r w:rsidRPr="009C1E37">
              <w:rPr>
                <w:rFonts w:eastAsia="Times New Roman" w:cstheme="minorHAnsi"/>
                <w:b/>
                <w:bCs/>
                <w:sz w:val="18"/>
                <w:szCs w:val="18"/>
              </w:rPr>
              <w:t>pénales</w:t>
            </w:r>
            <w:proofErr w:type="spellEnd"/>
          </w:p>
        </w:tc>
        <w:tc>
          <w:tcPr>
            <w:tcW w:w="1177" w:type="dxa"/>
            <w:gridSpan w:val="2"/>
            <w:shd w:val="clear" w:color="auto" w:fill="FFC000"/>
            <w:noWrap/>
            <w:vAlign w:val="bottom"/>
            <w:hideMark/>
          </w:tcPr>
          <w:p w:rsidR="009C1E37" w:rsidRPr="009C1E37" w:rsidRDefault="009C1E37" w:rsidP="002702E2">
            <w:pPr>
              <w:spacing w:after="0" w:line="240" w:lineRule="auto"/>
              <w:jc w:val="center"/>
              <w:rPr>
                <w:rFonts w:eastAsia="Times New Roman" w:cstheme="minorHAnsi"/>
                <w:b/>
                <w:bCs/>
                <w:sz w:val="18"/>
                <w:szCs w:val="18"/>
              </w:rPr>
            </w:pPr>
            <w:r w:rsidRPr="009C1E37">
              <w:rPr>
                <w:rFonts w:eastAsia="Times New Roman" w:cstheme="minorHAnsi"/>
                <w:b/>
                <w:bCs/>
                <w:sz w:val="18"/>
                <w:szCs w:val="18"/>
              </w:rPr>
              <w:t>2009</w:t>
            </w:r>
          </w:p>
          <w:p w:rsidR="009C1E37" w:rsidRPr="009C1E37" w:rsidRDefault="009C1E37" w:rsidP="002702E2">
            <w:pPr>
              <w:spacing w:after="0" w:line="240" w:lineRule="auto"/>
              <w:jc w:val="center"/>
              <w:rPr>
                <w:rFonts w:eastAsia="Times New Roman" w:cstheme="minorHAnsi"/>
                <w:b/>
                <w:bCs/>
                <w:sz w:val="18"/>
                <w:szCs w:val="18"/>
              </w:rPr>
            </w:pPr>
          </w:p>
        </w:tc>
        <w:tc>
          <w:tcPr>
            <w:tcW w:w="896" w:type="dxa"/>
            <w:gridSpan w:val="2"/>
            <w:shd w:val="clear" w:color="auto" w:fill="FFC000"/>
            <w:noWrap/>
            <w:vAlign w:val="bottom"/>
            <w:hideMark/>
          </w:tcPr>
          <w:p w:rsidR="009C1E37" w:rsidRPr="009C1E37" w:rsidRDefault="009C1E37" w:rsidP="002702E2">
            <w:pPr>
              <w:spacing w:after="0" w:line="240" w:lineRule="auto"/>
              <w:jc w:val="center"/>
              <w:rPr>
                <w:rFonts w:eastAsia="Times New Roman" w:cstheme="minorHAnsi"/>
                <w:b/>
                <w:bCs/>
                <w:sz w:val="18"/>
                <w:szCs w:val="18"/>
              </w:rPr>
            </w:pPr>
            <w:r w:rsidRPr="009C1E37">
              <w:rPr>
                <w:rFonts w:eastAsia="Times New Roman" w:cstheme="minorHAnsi"/>
                <w:b/>
                <w:bCs/>
                <w:sz w:val="18"/>
                <w:szCs w:val="18"/>
              </w:rPr>
              <w:t>2010</w:t>
            </w:r>
          </w:p>
          <w:p w:rsidR="009C1E37" w:rsidRPr="009C1E37" w:rsidRDefault="009C1E37" w:rsidP="002702E2">
            <w:pPr>
              <w:spacing w:after="0" w:line="240" w:lineRule="auto"/>
              <w:jc w:val="center"/>
              <w:rPr>
                <w:rFonts w:eastAsia="Times New Roman" w:cstheme="minorHAnsi"/>
                <w:b/>
                <w:bCs/>
                <w:sz w:val="18"/>
                <w:szCs w:val="18"/>
              </w:rPr>
            </w:pPr>
          </w:p>
        </w:tc>
        <w:tc>
          <w:tcPr>
            <w:tcW w:w="896" w:type="dxa"/>
            <w:gridSpan w:val="2"/>
            <w:shd w:val="clear" w:color="auto" w:fill="FFC000"/>
          </w:tcPr>
          <w:p w:rsidR="009C1E37" w:rsidRPr="009C1E37" w:rsidRDefault="009C1E37" w:rsidP="002702E2">
            <w:pPr>
              <w:spacing w:after="0" w:line="240" w:lineRule="auto"/>
              <w:jc w:val="center"/>
              <w:rPr>
                <w:rFonts w:eastAsia="Times New Roman" w:cstheme="minorHAnsi"/>
                <w:b/>
                <w:bCs/>
                <w:sz w:val="18"/>
                <w:szCs w:val="18"/>
              </w:rPr>
            </w:pPr>
            <w:r w:rsidRPr="009C1E37">
              <w:rPr>
                <w:rFonts w:eastAsia="Times New Roman" w:cstheme="minorHAnsi"/>
                <w:b/>
                <w:bCs/>
                <w:sz w:val="18"/>
                <w:szCs w:val="18"/>
              </w:rPr>
              <w:t>2011</w:t>
            </w:r>
          </w:p>
          <w:p w:rsidR="009C1E37" w:rsidRPr="009C1E37" w:rsidRDefault="009C1E37" w:rsidP="002702E2">
            <w:pPr>
              <w:spacing w:after="0" w:line="240" w:lineRule="auto"/>
              <w:jc w:val="center"/>
              <w:rPr>
                <w:rFonts w:eastAsia="Times New Roman" w:cstheme="minorHAnsi"/>
                <w:b/>
                <w:bCs/>
                <w:sz w:val="18"/>
                <w:szCs w:val="18"/>
              </w:rPr>
            </w:pPr>
          </w:p>
        </w:tc>
        <w:tc>
          <w:tcPr>
            <w:tcW w:w="870" w:type="dxa"/>
            <w:gridSpan w:val="2"/>
            <w:shd w:val="clear" w:color="auto" w:fill="FFC000"/>
          </w:tcPr>
          <w:p w:rsidR="009C1E37" w:rsidRPr="009C1E37" w:rsidRDefault="009C1E37" w:rsidP="002702E2">
            <w:pPr>
              <w:spacing w:after="0" w:line="240" w:lineRule="auto"/>
              <w:jc w:val="center"/>
              <w:rPr>
                <w:rFonts w:eastAsia="Times New Roman" w:cstheme="minorHAnsi"/>
                <w:b/>
                <w:bCs/>
                <w:sz w:val="18"/>
                <w:szCs w:val="18"/>
              </w:rPr>
            </w:pPr>
            <w:r w:rsidRPr="009C1E37">
              <w:rPr>
                <w:rFonts w:eastAsia="Times New Roman" w:cstheme="minorHAnsi"/>
                <w:b/>
                <w:bCs/>
                <w:sz w:val="18"/>
                <w:szCs w:val="18"/>
              </w:rPr>
              <w:t>2012</w:t>
            </w:r>
          </w:p>
          <w:p w:rsidR="009C1E37" w:rsidRPr="009C1E37" w:rsidRDefault="009C1E37" w:rsidP="002702E2">
            <w:pPr>
              <w:spacing w:after="0" w:line="240" w:lineRule="auto"/>
              <w:jc w:val="center"/>
              <w:rPr>
                <w:rFonts w:eastAsia="Times New Roman" w:cstheme="minorHAnsi"/>
                <w:b/>
                <w:bCs/>
                <w:sz w:val="18"/>
                <w:szCs w:val="18"/>
              </w:rPr>
            </w:pPr>
          </w:p>
        </w:tc>
        <w:tc>
          <w:tcPr>
            <w:tcW w:w="839" w:type="dxa"/>
            <w:gridSpan w:val="2"/>
            <w:shd w:val="clear" w:color="auto" w:fill="FFC000"/>
          </w:tcPr>
          <w:p w:rsidR="009C1E37" w:rsidRPr="009C1E37" w:rsidRDefault="009C1E37" w:rsidP="002702E2">
            <w:pPr>
              <w:spacing w:after="0" w:line="240" w:lineRule="auto"/>
              <w:jc w:val="center"/>
              <w:rPr>
                <w:rFonts w:eastAsia="Times New Roman" w:cstheme="minorHAnsi"/>
                <w:b/>
                <w:bCs/>
                <w:sz w:val="18"/>
                <w:szCs w:val="18"/>
              </w:rPr>
            </w:pPr>
            <w:r w:rsidRPr="009C1E37">
              <w:rPr>
                <w:rFonts w:eastAsia="Times New Roman" w:cstheme="minorHAnsi"/>
                <w:b/>
                <w:bCs/>
                <w:sz w:val="18"/>
                <w:szCs w:val="18"/>
              </w:rPr>
              <w:t>2013</w:t>
            </w:r>
          </w:p>
        </w:tc>
        <w:tc>
          <w:tcPr>
            <w:tcW w:w="4536" w:type="dxa"/>
            <w:gridSpan w:val="11"/>
            <w:shd w:val="clear" w:color="auto" w:fill="FFC000"/>
          </w:tcPr>
          <w:p w:rsidR="009C1E37" w:rsidRPr="009C1E37" w:rsidRDefault="009C1E37" w:rsidP="002702E2">
            <w:pPr>
              <w:spacing w:after="0" w:line="240" w:lineRule="auto"/>
              <w:jc w:val="center"/>
              <w:rPr>
                <w:rFonts w:eastAsia="Times New Roman" w:cstheme="minorHAnsi"/>
                <w:b/>
                <w:bCs/>
                <w:sz w:val="18"/>
                <w:szCs w:val="18"/>
              </w:rPr>
            </w:pPr>
            <w:r w:rsidRPr="009C1E37">
              <w:rPr>
                <w:rFonts w:eastAsia="Times New Roman" w:cstheme="minorHAnsi"/>
                <w:b/>
                <w:bCs/>
                <w:sz w:val="18"/>
                <w:szCs w:val="18"/>
              </w:rPr>
              <w:t>2014</w:t>
            </w:r>
          </w:p>
        </w:tc>
      </w:tr>
      <w:tr w:rsidR="009C1E37" w:rsidRPr="009C1E37" w:rsidTr="009C1E37">
        <w:trPr>
          <w:trHeight w:val="2625"/>
        </w:trPr>
        <w:tc>
          <w:tcPr>
            <w:tcW w:w="1418" w:type="dxa"/>
            <w:shd w:val="clear" w:color="auto" w:fill="95B3D7" w:themeFill="accent1" w:themeFillTint="99"/>
            <w:noWrap/>
            <w:vAlign w:val="bottom"/>
            <w:hideMark/>
          </w:tcPr>
          <w:p w:rsidR="009C1E37" w:rsidRPr="009C1E37" w:rsidRDefault="009C1E37" w:rsidP="002702E2">
            <w:pPr>
              <w:spacing w:after="0" w:line="240" w:lineRule="auto"/>
              <w:rPr>
                <w:rFonts w:eastAsia="Times New Roman" w:cs="Times New Roman"/>
                <w:b/>
                <w:bCs/>
                <w:sz w:val="18"/>
                <w:szCs w:val="18"/>
              </w:rPr>
            </w:pPr>
          </w:p>
        </w:tc>
        <w:tc>
          <w:tcPr>
            <w:tcW w:w="729" w:type="dxa"/>
            <w:shd w:val="clear" w:color="000000" w:fill="FFFF99"/>
            <w:textDirection w:val="btLr"/>
            <w:vAlign w:val="bottom"/>
            <w:hideMark/>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 xml:space="preserve">Pas </w:t>
            </w:r>
            <w:proofErr w:type="spellStart"/>
            <w:r w:rsidRPr="009C1E37">
              <w:rPr>
                <w:rFonts w:eastAsia="Times New Roman" w:cs="Times New Roman"/>
                <w:sz w:val="18"/>
                <w:szCs w:val="18"/>
              </w:rPr>
              <w:t>établi</w:t>
            </w:r>
            <w:proofErr w:type="spellEnd"/>
          </w:p>
        </w:tc>
        <w:tc>
          <w:tcPr>
            <w:tcW w:w="448" w:type="dxa"/>
            <w:shd w:val="clear" w:color="auto" w:fill="auto"/>
            <w:textDirection w:val="btLr"/>
            <w:vAlign w:val="bottom"/>
            <w:hideMark/>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Etabli</w:t>
            </w:r>
            <w:proofErr w:type="spellEnd"/>
          </w:p>
        </w:tc>
        <w:tc>
          <w:tcPr>
            <w:tcW w:w="448" w:type="dxa"/>
            <w:shd w:val="clear" w:color="auto" w:fill="FFFF99"/>
            <w:textDirection w:val="btLr"/>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 xml:space="preserve">Pas </w:t>
            </w:r>
            <w:proofErr w:type="spellStart"/>
            <w:r w:rsidRPr="009C1E37">
              <w:rPr>
                <w:rFonts w:eastAsia="Times New Roman" w:cs="Times New Roman"/>
                <w:sz w:val="18"/>
                <w:szCs w:val="18"/>
              </w:rPr>
              <w:t>établi</w:t>
            </w:r>
            <w:proofErr w:type="spellEnd"/>
          </w:p>
        </w:tc>
        <w:tc>
          <w:tcPr>
            <w:tcW w:w="448" w:type="dxa"/>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Etabli</w:t>
            </w:r>
            <w:proofErr w:type="spellEnd"/>
          </w:p>
        </w:tc>
        <w:tc>
          <w:tcPr>
            <w:tcW w:w="448" w:type="dxa"/>
            <w:shd w:val="clear" w:color="auto" w:fill="FFFF99"/>
            <w:textDirection w:val="btLr"/>
            <w:vAlign w:val="bottom"/>
            <w:hideMark/>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 xml:space="preserve">Pas </w:t>
            </w:r>
            <w:proofErr w:type="spellStart"/>
            <w:r w:rsidRPr="009C1E37">
              <w:rPr>
                <w:rFonts w:eastAsia="Times New Roman" w:cs="Times New Roman"/>
                <w:sz w:val="18"/>
                <w:szCs w:val="18"/>
              </w:rPr>
              <w:t>établi</w:t>
            </w:r>
            <w:proofErr w:type="spellEnd"/>
          </w:p>
        </w:tc>
        <w:tc>
          <w:tcPr>
            <w:tcW w:w="448" w:type="dxa"/>
            <w:shd w:val="clear" w:color="auto" w:fill="auto"/>
            <w:textDirection w:val="btLr"/>
            <w:vAlign w:val="bottom"/>
            <w:hideMark/>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Etabli</w:t>
            </w:r>
            <w:proofErr w:type="spellEnd"/>
          </w:p>
        </w:tc>
        <w:tc>
          <w:tcPr>
            <w:tcW w:w="435" w:type="dxa"/>
            <w:shd w:val="clear" w:color="auto" w:fill="FFFF99"/>
            <w:textDirection w:val="btLr"/>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 xml:space="preserve">Pas </w:t>
            </w:r>
            <w:proofErr w:type="spellStart"/>
            <w:r w:rsidRPr="009C1E37">
              <w:rPr>
                <w:rFonts w:eastAsia="Times New Roman" w:cs="Times New Roman"/>
                <w:sz w:val="18"/>
                <w:szCs w:val="18"/>
              </w:rPr>
              <w:t>établi</w:t>
            </w:r>
            <w:proofErr w:type="spellEnd"/>
          </w:p>
        </w:tc>
        <w:tc>
          <w:tcPr>
            <w:tcW w:w="435" w:type="dxa"/>
            <w:shd w:val="clear" w:color="auto" w:fill="auto"/>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Etabli</w:t>
            </w:r>
            <w:proofErr w:type="spellEnd"/>
          </w:p>
        </w:tc>
        <w:tc>
          <w:tcPr>
            <w:tcW w:w="413" w:type="dxa"/>
            <w:shd w:val="clear" w:color="auto" w:fill="FFFF99"/>
            <w:textDirection w:val="btLr"/>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 xml:space="preserve">Pas </w:t>
            </w:r>
            <w:proofErr w:type="spellStart"/>
            <w:r w:rsidRPr="009C1E37">
              <w:rPr>
                <w:rFonts w:eastAsia="Times New Roman" w:cs="Times New Roman"/>
                <w:sz w:val="18"/>
                <w:szCs w:val="18"/>
              </w:rPr>
              <w:t>établi</w:t>
            </w:r>
            <w:proofErr w:type="spellEnd"/>
          </w:p>
        </w:tc>
        <w:tc>
          <w:tcPr>
            <w:tcW w:w="426"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Etabli</w:t>
            </w:r>
            <w:proofErr w:type="spellEnd"/>
          </w:p>
        </w:tc>
        <w:tc>
          <w:tcPr>
            <w:tcW w:w="425" w:type="dxa"/>
            <w:shd w:val="clear" w:color="auto" w:fill="FFFF99"/>
            <w:textDirection w:val="btLr"/>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Non-lieu – prescription</w:t>
            </w:r>
          </w:p>
        </w:tc>
        <w:tc>
          <w:tcPr>
            <w:tcW w:w="425" w:type="dxa"/>
            <w:shd w:val="clear" w:color="auto" w:fill="FFFF99"/>
            <w:textDirection w:val="btLr"/>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 xml:space="preserve">Non-lieu - </w:t>
            </w:r>
            <w:proofErr w:type="spellStart"/>
            <w:r w:rsidRPr="009C1E37">
              <w:rPr>
                <w:rFonts w:eastAsia="Times New Roman" w:cs="Times New Roman"/>
                <w:sz w:val="18"/>
                <w:szCs w:val="18"/>
              </w:rPr>
              <w:t>autres</w:t>
            </w:r>
            <w:proofErr w:type="spellEnd"/>
          </w:p>
        </w:tc>
        <w:tc>
          <w:tcPr>
            <w:tcW w:w="425" w:type="dxa"/>
            <w:shd w:val="clear" w:color="auto" w:fill="FFFF99"/>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Acquitement</w:t>
            </w:r>
            <w:proofErr w:type="spellEnd"/>
            <w:r w:rsidRPr="009C1E37">
              <w:rPr>
                <w:rFonts w:eastAsia="Times New Roman" w:cs="Times New Roman"/>
                <w:sz w:val="18"/>
                <w:szCs w:val="18"/>
              </w:rPr>
              <w:t xml:space="preserve"> - prescription</w:t>
            </w:r>
          </w:p>
        </w:tc>
        <w:tc>
          <w:tcPr>
            <w:tcW w:w="426" w:type="dxa"/>
            <w:shd w:val="clear" w:color="auto" w:fill="FFFF99"/>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Acquitement</w:t>
            </w:r>
            <w:proofErr w:type="spellEnd"/>
            <w:r w:rsidRPr="009C1E37">
              <w:rPr>
                <w:rFonts w:eastAsia="Times New Roman" w:cs="Times New Roman"/>
                <w:sz w:val="18"/>
                <w:szCs w:val="18"/>
              </w:rPr>
              <w:t xml:space="preserve"> - </w:t>
            </w:r>
            <w:proofErr w:type="spellStart"/>
            <w:r w:rsidRPr="009C1E37">
              <w:rPr>
                <w:rFonts w:eastAsia="Times New Roman" w:cs="Times New Roman"/>
                <w:sz w:val="18"/>
                <w:szCs w:val="18"/>
              </w:rPr>
              <w:t>autres</w:t>
            </w:r>
            <w:proofErr w:type="spellEnd"/>
          </w:p>
        </w:tc>
        <w:tc>
          <w:tcPr>
            <w:tcW w:w="425"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Mesure</w:t>
            </w:r>
            <w:proofErr w:type="spellEnd"/>
            <w:r w:rsidRPr="009C1E37">
              <w:rPr>
                <w:rFonts w:eastAsia="Times New Roman" w:cs="Times New Roman"/>
                <w:sz w:val="18"/>
                <w:szCs w:val="18"/>
              </w:rPr>
              <w:t xml:space="preserve"> de </w:t>
            </w:r>
            <w:proofErr w:type="spellStart"/>
            <w:r w:rsidRPr="009C1E37">
              <w:rPr>
                <w:rFonts w:eastAsia="Times New Roman" w:cs="Times New Roman"/>
                <w:sz w:val="18"/>
                <w:szCs w:val="18"/>
              </w:rPr>
              <w:t>défense</w:t>
            </w:r>
            <w:proofErr w:type="spellEnd"/>
            <w:r w:rsidRPr="009C1E37">
              <w:rPr>
                <w:rFonts w:eastAsia="Times New Roman" w:cs="Times New Roman"/>
                <w:sz w:val="18"/>
                <w:szCs w:val="18"/>
              </w:rPr>
              <w:t xml:space="preserve"> </w:t>
            </w:r>
            <w:proofErr w:type="spellStart"/>
            <w:r w:rsidRPr="009C1E37">
              <w:rPr>
                <w:rFonts w:eastAsia="Times New Roman" w:cs="Times New Roman"/>
                <w:sz w:val="18"/>
                <w:szCs w:val="18"/>
              </w:rPr>
              <w:t>sociale</w:t>
            </w:r>
            <w:proofErr w:type="spellEnd"/>
          </w:p>
        </w:tc>
        <w:tc>
          <w:tcPr>
            <w:tcW w:w="425"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 xml:space="preserve">Suspension du </w:t>
            </w:r>
            <w:proofErr w:type="spellStart"/>
            <w:r w:rsidRPr="009C1E37">
              <w:rPr>
                <w:rFonts w:eastAsia="Times New Roman" w:cs="Times New Roman"/>
                <w:sz w:val="18"/>
                <w:szCs w:val="18"/>
              </w:rPr>
              <w:t>prononcé</w:t>
            </w:r>
            <w:proofErr w:type="spellEnd"/>
          </w:p>
        </w:tc>
        <w:tc>
          <w:tcPr>
            <w:tcW w:w="425"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Déclaration</w:t>
            </w:r>
            <w:proofErr w:type="spellEnd"/>
            <w:r w:rsidRPr="009C1E37">
              <w:rPr>
                <w:rFonts w:eastAsia="Times New Roman" w:cs="Times New Roman"/>
                <w:sz w:val="18"/>
                <w:szCs w:val="18"/>
              </w:rPr>
              <w:t xml:space="preserve"> de </w:t>
            </w:r>
            <w:proofErr w:type="spellStart"/>
            <w:r w:rsidRPr="009C1E37">
              <w:rPr>
                <w:rFonts w:eastAsia="Times New Roman" w:cs="Times New Roman"/>
                <w:sz w:val="18"/>
                <w:szCs w:val="18"/>
              </w:rPr>
              <w:t>culpabilité</w:t>
            </w:r>
            <w:proofErr w:type="spellEnd"/>
          </w:p>
        </w:tc>
        <w:tc>
          <w:tcPr>
            <w:tcW w:w="425"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rPr>
            </w:pPr>
            <w:proofErr w:type="spellStart"/>
            <w:r w:rsidRPr="009C1E37">
              <w:rPr>
                <w:rFonts w:eastAsia="Times New Roman" w:cs="Times New Roman"/>
                <w:sz w:val="18"/>
                <w:szCs w:val="18"/>
              </w:rPr>
              <w:t>Peine</w:t>
            </w:r>
            <w:proofErr w:type="spellEnd"/>
            <w:r w:rsidRPr="009C1E37">
              <w:rPr>
                <w:rFonts w:eastAsia="Times New Roman" w:cs="Times New Roman"/>
                <w:sz w:val="18"/>
                <w:szCs w:val="18"/>
              </w:rPr>
              <w:t xml:space="preserve"> de travail</w:t>
            </w:r>
          </w:p>
        </w:tc>
        <w:tc>
          <w:tcPr>
            <w:tcW w:w="425"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lang w:val="fr-FR"/>
              </w:rPr>
            </w:pPr>
            <w:r w:rsidRPr="009C1E37">
              <w:rPr>
                <w:rFonts w:eastAsia="Times New Roman" w:cs="Times New Roman"/>
                <w:sz w:val="18"/>
                <w:szCs w:val="18"/>
                <w:lang w:val="fr-FR"/>
              </w:rPr>
              <w:t>Prison/amende avec sursis total</w:t>
            </w:r>
          </w:p>
        </w:tc>
        <w:tc>
          <w:tcPr>
            <w:tcW w:w="425"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lang w:val="fr-FR"/>
              </w:rPr>
            </w:pPr>
            <w:r w:rsidRPr="009C1E37">
              <w:rPr>
                <w:rFonts w:eastAsia="Times New Roman" w:cs="Times New Roman"/>
                <w:sz w:val="18"/>
                <w:szCs w:val="18"/>
                <w:lang w:val="fr-FR"/>
              </w:rPr>
              <w:t>Prison/amende avec sursis partiel</w:t>
            </w:r>
          </w:p>
        </w:tc>
        <w:tc>
          <w:tcPr>
            <w:tcW w:w="285" w:type="dxa"/>
            <w:shd w:val="clear" w:color="auto" w:fill="FFFFFF" w:themeFill="background1"/>
            <w:textDirection w:val="btLr"/>
          </w:tcPr>
          <w:p w:rsidR="009C1E37" w:rsidRPr="009C1E37" w:rsidRDefault="009C1E37" w:rsidP="002702E2">
            <w:pPr>
              <w:spacing w:after="0" w:line="240" w:lineRule="auto"/>
              <w:rPr>
                <w:rFonts w:eastAsia="Times New Roman" w:cs="Times New Roman"/>
                <w:sz w:val="18"/>
                <w:szCs w:val="18"/>
              </w:rPr>
            </w:pPr>
            <w:r w:rsidRPr="009C1E37">
              <w:rPr>
                <w:rFonts w:eastAsia="Times New Roman" w:cs="Times New Roman"/>
                <w:sz w:val="18"/>
                <w:szCs w:val="18"/>
              </w:rPr>
              <w:t>Prison/</w:t>
            </w:r>
            <w:proofErr w:type="spellStart"/>
            <w:r w:rsidRPr="009C1E37">
              <w:rPr>
                <w:rFonts w:eastAsia="Times New Roman" w:cs="Times New Roman"/>
                <w:sz w:val="18"/>
                <w:szCs w:val="18"/>
              </w:rPr>
              <w:t>amende</w:t>
            </w:r>
            <w:proofErr w:type="spellEnd"/>
          </w:p>
        </w:tc>
      </w:tr>
      <w:tr w:rsidR="009C1E37" w:rsidRPr="009C1E37" w:rsidTr="009C1E37">
        <w:trPr>
          <w:trHeight w:val="255"/>
        </w:trPr>
        <w:tc>
          <w:tcPr>
            <w:tcW w:w="1418" w:type="dxa"/>
            <w:shd w:val="clear" w:color="auto" w:fill="B8CCE4" w:themeFill="accent1" w:themeFillTint="66"/>
            <w:vAlign w:val="center"/>
            <w:hideMark/>
          </w:tcPr>
          <w:p w:rsidR="009C1E37" w:rsidRPr="009C1E37" w:rsidRDefault="009C1E37" w:rsidP="002702E2">
            <w:pPr>
              <w:spacing w:after="0" w:line="240" w:lineRule="auto"/>
              <w:rPr>
                <w:rFonts w:eastAsia="Times New Roman" w:cstheme="minorHAnsi"/>
                <w:sz w:val="18"/>
                <w:szCs w:val="18"/>
              </w:rPr>
            </w:pPr>
            <w:proofErr w:type="spellStart"/>
            <w:r w:rsidRPr="009C1E37">
              <w:rPr>
                <w:rFonts w:eastAsia="Times New Roman" w:cstheme="minorHAnsi"/>
                <w:sz w:val="18"/>
                <w:szCs w:val="18"/>
              </w:rPr>
              <w:t>Violences</w:t>
            </w:r>
            <w:proofErr w:type="spellEnd"/>
            <w:r w:rsidRPr="009C1E37">
              <w:rPr>
                <w:rFonts w:eastAsia="Times New Roman" w:cstheme="minorHAnsi"/>
                <w:sz w:val="18"/>
                <w:szCs w:val="18"/>
              </w:rPr>
              <w:t xml:space="preserve"> </w:t>
            </w:r>
            <w:proofErr w:type="spellStart"/>
            <w:r w:rsidRPr="009C1E37">
              <w:rPr>
                <w:rFonts w:eastAsia="Times New Roman" w:cstheme="minorHAnsi"/>
                <w:sz w:val="18"/>
                <w:szCs w:val="18"/>
              </w:rPr>
              <w:t>illégitimes</w:t>
            </w:r>
            <w:proofErr w:type="spellEnd"/>
          </w:p>
        </w:tc>
        <w:tc>
          <w:tcPr>
            <w:tcW w:w="729"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4</w:t>
            </w:r>
          </w:p>
        </w:tc>
        <w:tc>
          <w:tcPr>
            <w:tcW w:w="448" w:type="dxa"/>
            <w:shd w:val="clear" w:color="auto" w:fill="auto"/>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5</w:t>
            </w:r>
          </w:p>
        </w:tc>
        <w:tc>
          <w:tcPr>
            <w:tcW w:w="448"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18</w:t>
            </w:r>
          </w:p>
        </w:tc>
        <w:tc>
          <w:tcPr>
            <w:tcW w:w="448" w:type="dxa"/>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4</w:t>
            </w:r>
          </w:p>
        </w:tc>
        <w:tc>
          <w:tcPr>
            <w:tcW w:w="448"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9</w:t>
            </w:r>
          </w:p>
        </w:tc>
        <w:tc>
          <w:tcPr>
            <w:tcW w:w="448" w:type="dxa"/>
            <w:shd w:val="clear" w:color="auto" w:fill="auto"/>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7</w:t>
            </w:r>
          </w:p>
        </w:tc>
        <w:tc>
          <w:tcPr>
            <w:tcW w:w="435"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18</w:t>
            </w:r>
          </w:p>
        </w:tc>
        <w:tc>
          <w:tcPr>
            <w:tcW w:w="435" w:type="dxa"/>
            <w:shd w:val="clear" w:color="auto" w:fill="auto"/>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6</w:t>
            </w:r>
          </w:p>
        </w:tc>
        <w:tc>
          <w:tcPr>
            <w:tcW w:w="413"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45</w:t>
            </w:r>
          </w:p>
        </w:tc>
        <w:tc>
          <w:tcPr>
            <w:tcW w:w="426"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5</w:t>
            </w: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29</w:t>
            </w: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6"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10</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6</w:t>
            </w:r>
          </w:p>
        </w:tc>
        <w:tc>
          <w:tcPr>
            <w:tcW w:w="28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r>
      <w:tr w:rsidR="009C1E37" w:rsidRPr="009C1E37" w:rsidTr="009C1E37">
        <w:trPr>
          <w:trHeight w:val="255"/>
        </w:trPr>
        <w:tc>
          <w:tcPr>
            <w:tcW w:w="1418" w:type="dxa"/>
            <w:shd w:val="clear" w:color="auto" w:fill="B8CCE4" w:themeFill="accent1" w:themeFillTint="66"/>
            <w:vAlign w:val="center"/>
            <w:hideMark/>
          </w:tcPr>
          <w:p w:rsidR="009C1E37" w:rsidRPr="009C1E37" w:rsidRDefault="009C1E37" w:rsidP="002702E2">
            <w:pPr>
              <w:spacing w:after="0" w:line="240" w:lineRule="auto"/>
              <w:rPr>
                <w:rFonts w:eastAsia="Times New Roman" w:cstheme="minorHAnsi"/>
                <w:sz w:val="18"/>
                <w:szCs w:val="18"/>
              </w:rPr>
            </w:pPr>
            <w:r w:rsidRPr="009C1E37">
              <w:rPr>
                <w:rFonts w:eastAsia="Times New Roman" w:cstheme="minorHAnsi"/>
                <w:sz w:val="18"/>
                <w:szCs w:val="18"/>
              </w:rPr>
              <w:t xml:space="preserve">Coups et </w:t>
            </w:r>
            <w:proofErr w:type="spellStart"/>
            <w:r w:rsidRPr="009C1E37">
              <w:rPr>
                <w:rFonts w:eastAsia="Times New Roman" w:cstheme="minorHAnsi"/>
                <w:sz w:val="18"/>
                <w:szCs w:val="18"/>
              </w:rPr>
              <w:t>blessures</w:t>
            </w:r>
            <w:proofErr w:type="spellEnd"/>
          </w:p>
        </w:tc>
        <w:tc>
          <w:tcPr>
            <w:tcW w:w="729"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20</w:t>
            </w:r>
          </w:p>
        </w:tc>
        <w:tc>
          <w:tcPr>
            <w:tcW w:w="448" w:type="dxa"/>
            <w:shd w:val="clear" w:color="auto" w:fill="auto"/>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10</w:t>
            </w:r>
          </w:p>
        </w:tc>
        <w:tc>
          <w:tcPr>
            <w:tcW w:w="448"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31</w:t>
            </w:r>
          </w:p>
        </w:tc>
        <w:tc>
          <w:tcPr>
            <w:tcW w:w="448" w:type="dxa"/>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9</w:t>
            </w:r>
          </w:p>
        </w:tc>
        <w:tc>
          <w:tcPr>
            <w:tcW w:w="448"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25</w:t>
            </w:r>
          </w:p>
        </w:tc>
        <w:tc>
          <w:tcPr>
            <w:tcW w:w="448" w:type="dxa"/>
            <w:shd w:val="clear" w:color="auto" w:fill="auto"/>
            <w:noWrap/>
            <w:vAlign w:val="center"/>
            <w:hideMark/>
          </w:tcPr>
          <w:p w:rsidR="009C1E37" w:rsidRPr="009C1E37" w:rsidRDefault="009C1E37" w:rsidP="002702E2">
            <w:pPr>
              <w:spacing w:after="0" w:line="240" w:lineRule="auto"/>
              <w:rPr>
                <w:rFonts w:eastAsia="Times New Roman" w:cstheme="minorHAnsi"/>
                <w:sz w:val="18"/>
                <w:szCs w:val="18"/>
              </w:rPr>
            </w:pPr>
            <w:r w:rsidRPr="009C1E37">
              <w:rPr>
                <w:rFonts w:eastAsia="Times New Roman" w:cstheme="minorHAnsi"/>
                <w:sz w:val="18"/>
                <w:szCs w:val="18"/>
              </w:rPr>
              <w:t>18</w:t>
            </w:r>
          </w:p>
        </w:tc>
        <w:tc>
          <w:tcPr>
            <w:tcW w:w="435"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33</w:t>
            </w:r>
          </w:p>
        </w:tc>
        <w:tc>
          <w:tcPr>
            <w:tcW w:w="435" w:type="dxa"/>
            <w:shd w:val="clear" w:color="auto" w:fill="auto"/>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8</w:t>
            </w:r>
          </w:p>
        </w:tc>
        <w:tc>
          <w:tcPr>
            <w:tcW w:w="413"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25</w:t>
            </w:r>
          </w:p>
        </w:tc>
        <w:tc>
          <w:tcPr>
            <w:tcW w:w="426"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5</w:t>
            </w: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3</w:t>
            </w: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6"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5</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4</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w:t>
            </w:r>
          </w:p>
        </w:tc>
        <w:tc>
          <w:tcPr>
            <w:tcW w:w="28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r>
      <w:tr w:rsidR="009C1E37" w:rsidRPr="009C1E37" w:rsidTr="009C1E37">
        <w:trPr>
          <w:trHeight w:val="255"/>
        </w:trPr>
        <w:tc>
          <w:tcPr>
            <w:tcW w:w="1418" w:type="dxa"/>
            <w:shd w:val="clear" w:color="auto" w:fill="B8CCE4" w:themeFill="accent1" w:themeFillTint="66"/>
            <w:vAlign w:val="center"/>
            <w:hideMark/>
          </w:tcPr>
          <w:p w:rsidR="009C1E37" w:rsidRDefault="009C1E37" w:rsidP="002702E2">
            <w:pPr>
              <w:spacing w:after="0" w:line="240" w:lineRule="auto"/>
              <w:rPr>
                <w:rFonts w:eastAsia="Times New Roman" w:cstheme="minorHAnsi"/>
                <w:sz w:val="18"/>
                <w:szCs w:val="18"/>
              </w:rPr>
            </w:pPr>
            <w:proofErr w:type="spellStart"/>
            <w:r w:rsidRPr="009C1E37">
              <w:rPr>
                <w:rFonts w:eastAsia="Times New Roman" w:cstheme="minorHAnsi"/>
                <w:sz w:val="18"/>
                <w:szCs w:val="18"/>
              </w:rPr>
              <w:t>Meurtre</w:t>
            </w:r>
            <w:proofErr w:type="spellEnd"/>
            <w:r w:rsidRPr="009C1E37">
              <w:rPr>
                <w:rFonts w:eastAsia="Times New Roman" w:cstheme="minorHAnsi"/>
                <w:sz w:val="18"/>
                <w:szCs w:val="18"/>
              </w:rPr>
              <w:t>/</w:t>
            </w:r>
          </w:p>
          <w:p w:rsidR="009C1E37" w:rsidRPr="009C1E37" w:rsidRDefault="009C1E37" w:rsidP="002702E2">
            <w:pPr>
              <w:spacing w:after="0" w:line="240" w:lineRule="auto"/>
              <w:rPr>
                <w:rFonts w:eastAsia="Times New Roman" w:cstheme="minorHAnsi"/>
                <w:sz w:val="18"/>
                <w:szCs w:val="18"/>
              </w:rPr>
            </w:pPr>
            <w:r w:rsidRPr="009C1E37">
              <w:rPr>
                <w:rFonts w:eastAsia="Times New Roman" w:cstheme="minorHAnsi"/>
                <w:sz w:val="18"/>
                <w:szCs w:val="18"/>
              </w:rPr>
              <w:t>homicide</w:t>
            </w:r>
          </w:p>
        </w:tc>
        <w:tc>
          <w:tcPr>
            <w:tcW w:w="729"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w:t>
            </w:r>
          </w:p>
        </w:tc>
        <w:tc>
          <w:tcPr>
            <w:tcW w:w="448" w:type="dxa"/>
            <w:shd w:val="clear" w:color="auto" w:fill="auto"/>
            <w:noWrap/>
            <w:vAlign w:val="center"/>
            <w:hideMark/>
          </w:tcPr>
          <w:p w:rsidR="009C1E37" w:rsidRPr="009C1E37" w:rsidRDefault="009C1E37" w:rsidP="002702E2">
            <w:pPr>
              <w:spacing w:after="0" w:line="240" w:lineRule="auto"/>
              <w:jc w:val="center"/>
              <w:rPr>
                <w:rFonts w:eastAsia="Times New Roman" w:cstheme="minorHAnsi"/>
                <w:sz w:val="18"/>
                <w:szCs w:val="18"/>
              </w:rPr>
            </w:pPr>
          </w:p>
        </w:tc>
        <w:tc>
          <w:tcPr>
            <w:tcW w:w="448"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3</w:t>
            </w:r>
          </w:p>
        </w:tc>
        <w:tc>
          <w:tcPr>
            <w:tcW w:w="448" w:type="dxa"/>
          </w:tcPr>
          <w:p w:rsidR="009C1E37" w:rsidRPr="009C1E37" w:rsidRDefault="009C1E37" w:rsidP="002702E2">
            <w:pPr>
              <w:spacing w:after="0" w:line="240" w:lineRule="auto"/>
              <w:jc w:val="center"/>
              <w:rPr>
                <w:rFonts w:eastAsia="Times New Roman" w:cstheme="minorHAnsi"/>
                <w:sz w:val="18"/>
                <w:szCs w:val="18"/>
              </w:rPr>
            </w:pPr>
          </w:p>
        </w:tc>
        <w:tc>
          <w:tcPr>
            <w:tcW w:w="448"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48" w:type="dxa"/>
            <w:shd w:val="clear" w:color="auto" w:fill="auto"/>
            <w:noWrap/>
            <w:vAlign w:val="center"/>
            <w:hideMark/>
          </w:tcPr>
          <w:p w:rsidR="009C1E37" w:rsidRPr="009C1E37" w:rsidRDefault="009C1E37" w:rsidP="002702E2">
            <w:pPr>
              <w:spacing w:after="0" w:line="240" w:lineRule="auto"/>
              <w:jc w:val="center"/>
              <w:rPr>
                <w:rFonts w:eastAsia="Times New Roman" w:cstheme="minorHAnsi"/>
                <w:sz w:val="18"/>
                <w:szCs w:val="18"/>
              </w:rPr>
            </w:pPr>
          </w:p>
        </w:tc>
        <w:tc>
          <w:tcPr>
            <w:tcW w:w="435"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35" w:type="dxa"/>
            <w:shd w:val="clear" w:color="auto" w:fill="auto"/>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13"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w:t>
            </w:r>
          </w:p>
        </w:tc>
        <w:tc>
          <w:tcPr>
            <w:tcW w:w="426"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5</w:t>
            </w: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6"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28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w:t>
            </w:r>
          </w:p>
        </w:tc>
      </w:tr>
      <w:tr w:rsidR="009C1E37" w:rsidRPr="009C1E37" w:rsidTr="009C1E37">
        <w:trPr>
          <w:trHeight w:val="450"/>
        </w:trPr>
        <w:tc>
          <w:tcPr>
            <w:tcW w:w="1418" w:type="dxa"/>
            <w:shd w:val="clear" w:color="auto" w:fill="B8CCE4" w:themeFill="accent1" w:themeFillTint="66"/>
            <w:vAlign w:val="center"/>
            <w:hideMark/>
          </w:tcPr>
          <w:p w:rsidR="009C1E37" w:rsidRDefault="009C1E37" w:rsidP="002702E2">
            <w:pPr>
              <w:spacing w:after="0" w:line="240" w:lineRule="auto"/>
              <w:rPr>
                <w:rFonts w:eastAsia="Times New Roman" w:cstheme="minorHAnsi"/>
                <w:sz w:val="18"/>
                <w:szCs w:val="18"/>
              </w:rPr>
            </w:pPr>
            <w:proofErr w:type="spellStart"/>
            <w:r w:rsidRPr="009C1E37">
              <w:rPr>
                <w:rFonts w:eastAsia="Times New Roman" w:cstheme="minorHAnsi"/>
                <w:sz w:val="18"/>
                <w:szCs w:val="18"/>
              </w:rPr>
              <w:t>Traitement</w:t>
            </w:r>
            <w:proofErr w:type="spellEnd"/>
            <w:r w:rsidRPr="009C1E37">
              <w:rPr>
                <w:rFonts w:eastAsia="Times New Roman" w:cstheme="minorHAnsi"/>
                <w:sz w:val="18"/>
                <w:szCs w:val="18"/>
              </w:rPr>
              <w:t xml:space="preserve"> </w:t>
            </w:r>
            <w:proofErr w:type="spellStart"/>
            <w:r w:rsidRPr="009C1E37">
              <w:rPr>
                <w:rFonts w:eastAsia="Times New Roman" w:cstheme="minorHAnsi"/>
                <w:sz w:val="18"/>
                <w:szCs w:val="18"/>
              </w:rPr>
              <w:t>inhumain</w:t>
            </w:r>
            <w:proofErr w:type="spellEnd"/>
            <w:r w:rsidRPr="009C1E37">
              <w:rPr>
                <w:rFonts w:eastAsia="Times New Roman" w:cstheme="minorHAnsi"/>
                <w:sz w:val="18"/>
                <w:szCs w:val="18"/>
              </w:rPr>
              <w:t>/</w:t>
            </w:r>
          </w:p>
          <w:p w:rsidR="009C1E37" w:rsidRPr="009C1E37" w:rsidRDefault="009C1E37" w:rsidP="002702E2">
            <w:pPr>
              <w:spacing w:after="0" w:line="240" w:lineRule="auto"/>
              <w:rPr>
                <w:rFonts w:eastAsia="Times New Roman" w:cstheme="minorHAnsi"/>
                <w:sz w:val="18"/>
                <w:szCs w:val="18"/>
              </w:rPr>
            </w:pPr>
            <w:proofErr w:type="spellStart"/>
            <w:r w:rsidRPr="009C1E37">
              <w:rPr>
                <w:rFonts w:eastAsia="Times New Roman" w:cstheme="minorHAnsi"/>
                <w:sz w:val="18"/>
                <w:szCs w:val="18"/>
              </w:rPr>
              <w:t>dégradant</w:t>
            </w:r>
            <w:proofErr w:type="spellEnd"/>
          </w:p>
        </w:tc>
        <w:tc>
          <w:tcPr>
            <w:tcW w:w="729"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48" w:type="dxa"/>
            <w:shd w:val="clear" w:color="auto" w:fill="auto"/>
            <w:noWrap/>
            <w:vAlign w:val="center"/>
            <w:hideMark/>
          </w:tcPr>
          <w:p w:rsidR="009C1E37" w:rsidRPr="009C1E37" w:rsidRDefault="009C1E37" w:rsidP="002702E2">
            <w:pPr>
              <w:spacing w:after="0" w:line="240" w:lineRule="auto"/>
              <w:jc w:val="center"/>
              <w:rPr>
                <w:rFonts w:eastAsia="Times New Roman" w:cstheme="minorHAnsi"/>
                <w:sz w:val="18"/>
                <w:szCs w:val="18"/>
              </w:rPr>
            </w:pPr>
          </w:p>
        </w:tc>
        <w:tc>
          <w:tcPr>
            <w:tcW w:w="448" w:type="dxa"/>
            <w:shd w:val="clear" w:color="auto" w:fill="FFFF99"/>
            <w:vAlign w:val="center"/>
          </w:tcPr>
          <w:p w:rsidR="009C1E37" w:rsidRPr="009C1E37" w:rsidRDefault="009C1E37" w:rsidP="002702E2">
            <w:pPr>
              <w:spacing w:after="0" w:line="240" w:lineRule="auto"/>
              <w:jc w:val="center"/>
              <w:rPr>
                <w:rFonts w:eastAsia="Times New Roman" w:cstheme="minorHAnsi"/>
                <w:sz w:val="18"/>
                <w:szCs w:val="18"/>
              </w:rPr>
            </w:pPr>
          </w:p>
        </w:tc>
        <w:tc>
          <w:tcPr>
            <w:tcW w:w="448" w:type="dxa"/>
            <w:vAlign w:val="center"/>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2</w:t>
            </w:r>
          </w:p>
        </w:tc>
        <w:tc>
          <w:tcPr>
            <w:tcW w:w="448" w:type="dxa"/>
            <w:shd w:val="clear" w:color="000000" w:fill="FFFF99"/>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4</w:t>
            </w:r>
          </w:p>
        </w:tc>
        <w:tc>
          <w:tcPr>
            <w:tcW w:w="448" w:type="dxa"/>
            <w:shd w:val="clear" w:color="auto" w:fill="auto"/>
            <w:noWrap/>
            <w:vAlign w:val="center"/>
            <w:hideMark/>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35" w:type="dxa"/>
            <w:shd w:val="clear" w:color="auto" w:fill="FFFF99"/>
            <w:vAlign w:val="center"/>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15</w:t>
            </w:r>
          </w:p>
        </w:tc>
        <w:tc>
          <w:tcPr>
            <w:tcW w:w="435" w:type="dxa"/>
            <w:shd w:val="clear" w:color="auto" w:fill="auto"/>
            <w:vAlign w:val="center"/>
          </w:tcPr>
          <w:p w:rsidR="009C1E37" w:rsidRPr="009C1E37" w:rsidRDefault="009C1E37" w:rsidP="002702E2">
            <w:pPr>
              <w:spacing w:after="0" w:line="240" w:lineRule="auto"/>
              <w:jc w:val="center"/>
              <w:rPr>
                <w:rFonts w:eastAsia="Times New Roman" w:cstheme="minorHAnsi"/>
                <w:sz w:val="18"/>
                <w:szCs w:val="18"/>
              </w:rPr>
            </w:pPr>
          </w:p>
        </w:tc>
        <w:tc>
          <w:tcPr>
            <w:tcW w:w="413"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6"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7</w:t>
            </w:r>
          </w:p>
        </w:tc>
        <w:tc>
          <w:tcPr>
            <w:tcW w:w="425" w:type="dxa"/>
            <w:shd w:val="clear" w:color="auto" w:fill="FFFF99"/>
          </w:tcPr>
          <w:p w:rsidR="009C1E37" w:rsidRPr="009C1E37" w:rsidRDefault="009C1E37" w:rsidP="002702E2">
            <w:pPr>
              <w:spacing w:after="0" w:line="240" w:lineRule="auto"/>
              <w:jc w:val="center"/>
              <w:rPr>
                <w:rFonts w:eastAsia="Times New Roman" w:cstheme="minorHAnsi"/>
                <w:sz w:val="18"/>
                <w:szCs w:val="18"/>
              </w:rPr>
            </w:pPr>
          </w:p>
        </w:tc>
        <w:tc>
          <w:tcPr>
            <w:tcW w:w="426" w:type="dxa"/>
            <w:shd w:val="clear" w:color="auto" w:fill="FFFF99"/>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1</w:t>
            </w: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c>
          <w:tcPr>
            <w:tcW w:w="42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r w:rsidRPr="009C1E37">
              <w:rPr>
                <w:rFonts w:eastAsia="Times New Roman" w:cstheme="minorHAnsi"/>
                <w:sz w:val="18"/>
                <w:szCs w:val="18"/>
              </w:rPr>
              <w:t>5</w:t>
            </w:r>
          </w:p>
        </w:tc>
        <w:tc>
          <w:tcPr>
            <w:tcW w:w="285" w:type="dxa"/>
            <w:shd w:val="clear" w:color="auto" w:fill="FFFFFF" w:themeFill="background1"/>
          </w:tcPr>
          <w:p w:rsidR="009C1E37" w:rsidRPr="009C1E37" w:rsidRDefault="009C1E37" w:rsidP="002702E2">
            <w:pPr>
              <w:spacing w:after="0" w:line="240" w:lineRule="auto"/>
              <w:jc w:val="center"/>
              <w:rPr>
                <w:rFonts w:eastAsia="Times New Roman" w:cstheme="minorHAnsi"/>
                <w:sz w:val="18"/>
                <w:szCs w:val="18"/>
              </w:rPr>
            </w:pPr>
          </w:p>
        </w:tc>
      </w:tr>
    </w:tbl>
    <w:p w:rsidR="009C1E37" w:rsidRPr="009C1E37" w:rsidRDefault="009C1E37" w:rsidP="009C1E37">
      <w:pPr>
        <w:jc w:val="both"/>
        <w:rPr>
          <w:sz w:val="18"/>
          <w:szCs w:val="18"/>
          <w:u w:val="single"/>
          <w:lang w:val="fr-FR"/>
        </w:rPr>
      </w:pPr>
    </w:p>
    <w:p w:rsidR="00DC2C08" w:rsidRDefault="009C1E37" w:rsidP="009C1E37">
      <w:pPr>
        <w:jc w:val="both"/>
        <w:rPr>
          <w:lang w:val="fr-FR"/>
        </w:rPr>
      </w:pPr>
      <w:r>
        <w:rPr>
          <w:u w:val="single"/>
          <w:lang w:val="fr-FR"/>
        </w:rPr>
        <w:t>Remarques</w:t>
      </w:r>
      <w:r w:rsidRPr="009C1E37">
        <w:rPr>
          <w:u w:val="single"/>
          <w:lang w:val="fr-FR"/>
        </w:rPr>
        <w:t> :</w:t>
      </w:r>
      <w:r w:rsidRPr="009C1E37">
        <w:rPr>
          <w:lang w:val="fr-FR"/>
        </w:rPr>
        <w:t xml:space="preserve"> </w:t>
      </w:r>
      <w:r w:rsidRPr="009C1E37">
        <w:rPr>
          <w:lang w:val="fr-FR"/>
        </w:rPr>
        <w:tab/>
      </w:r>
    </w:p>
    <w:p w:rsidR="00DC2C08" w:rsidRDefault="00DC2C08" w:rsidP="00DC2C08">
      <w:pPr>
        <w:tabs>
          <w:tab w:val="left" w:pos="567"/>
        </w:tabs>
        <w:ind w:left="567" w:hanging="567"/>
        <w:jc w:val="both"/>
        <w:rPr>
          <w:lang w:val="fr-FR"/>
        </w:rPr>
      </w:pPr>
      <w:r>
        <w:rPr>
          <w:lang w:val="fr-FR"/>
        </w:rPr>
        <w:t xml:space="preserve">- </w:t>
      </w:r>
      <w:r>
        <w:rPr>
          <w:lang w:val="fr-FR"/>
        </w:rPr>
        <w:tab/>
      </w:r>
      <w:r w:rsidR="009C1E37" w:rsidRPr="009C1E37">
        <w:rPr>
          <w:lang w:val="fr-FR"/>
        </w:rPr>
        <w:t>Chaque membre de la police intégrée est considéré isolément dans chaque décision judiciaire.</w:t>
      </w:r>
    </w:p>
    <w:p w:rsidR="00DC2C08" w:rsidRDefault="009C1E37" w:rsidP="00DC2C08">
      <w:pPr>
        <w:tabs>
          <w:tab w:val="left" w:pos="567"/>
        </w:tabs>
        <w:ind w:left="567" w:hanging="567"/>
        <w:jc w:val="both"/>
        <w:rPr>
          <w:lang w:val="fr-FR"/>
        </w:rPr>
      </w:pPr>
      <w:r w:rsidRPr="009C1E37">
        <w:rPr>
          <w:lang w:val="fr-FR"/>
        </w:rPr>
        <w:t xml:space="preserve">- </w:t>
      </w:r>
      <w:r w:rsidR="00DC2C08">
        <w:rPr>
          <w:lang w:val="fr-FR"/>
        </w:rPr>
        <w:tab/>
      </w:r>
      <w:r w:rsidRPr="009C1E37">
        <w:rPr>
          <w:lang w:val="fr-FR"/>
        </w:rPr>
        <w:t>Chaque motif de poursuite à l’encontre d’un</w:t>
      </w:r>
      <w:r w:rsidRPr="0025213A">
        <w:rPr>
          <w:lang w:val="fr-FR"/>
        </w:rPr>
        <w:t xml:space="preserve"> membre de la police intégrée est considéré isolément.</w:t>
      </w:r>
    </w:p>
    <w:p w:rsidR="00DC2C08" w:rsidRDefault="009C1E37" w:rsidP="00DC2C08">
      <w:pPr>
        <w:tabs>
          <w:tab w:val="left" w:pos="567"/>
        </w:tabs>
        <w:ind w:left="567" w:hanging="567"/>
        <w:jc w:val="both"/>
        <w:rPr>
          <w:lang w:val="fr-FR"/>
        </w:rPr>
      </w:pPr>
      <w:r w:rsidRPr="0025213A">
        <w:rPr>
          <w:lang w:val="fr-FR"/>
        </w:rPr>
        <w:t xml:space="preserve">- </w:t>
      </w:r>
      <w:r w:rsidR="00DC2C08">
        <w:rPr>
          <w:lang w:val="fr-FR"/>
        </w:rPr>
        <w:tab/>
      </w:r>
      <w:r w:rsidRPr="0025213A">
        <w:rPr>
          <w:lang w:val="fr-FR"/>
        </w:rPr>
        <w:t>Lorsqu’un membre de la police intégrée est poursuivi, dans le même dossier, plusieurs fois pour le même motif, cela n’est pr</w:t>
      </w:r>
      <w:r>
        <w:rPr>
          <w:lang w:val="fr-FR"/>
        </w:rPr>
        <w:t xml:space="preserve">is en compte qu’une seule fois. </w:t>
      </w:r>
      <w:r w:rsidRPr="0025213A">
        <w:rPr>
          <w:lang w:val="fr-FR"/>
        </w:rPr>
        <w:t xml:space="preserve">Seule la sanction la plus </w:t>
      </w:r>
      <w:r>
        <w:rPr>
          <w:lang w:val="fr-FR"/>
        </w:rPr>
        <w:t>lourde</w:t>
      </w:r>
      <w:r w:rsidRPr="0025213A">
        <w:rPr>
          <w:lang w:val="fr-FR"/>
        </w:rPr>
        <w:t xml:space="preserve"> est encodée. </w:t>
      </w:r>
    </w:p>
    <w:p w:rsidR="009C1E37" w:rsidRDefault="009C1E37" w:rsidP="00DC2C08">
      <w:pPr>
        <w:tabs>
          <w:tab w:val="left" w:pos="567"/>
        </w:tabs>
        <w:ind w:left="567" w:hanging="567"/>
        <w:jc w:val="both"/>
        <w:rPr>
          <w:lang w:val="fr-FR"/>
        </w:rPr>
      </w:pPr>
      <w:r w:rsidRPr="00FA72A8">
        <w:rPr>
          <w:lang w:val="fr-FR"/>
        </w:rPr>
        <w:t>-</w:t>
      </w:r>
      <w:r w:rsidR="00DC2C08">
        <w:rPr>
          <w:lang w:val="fr-FR"/>
        </w:rPr>
        <w:tab/>
      </w:r>
      <w:r w:rsidRPr="00FA72A8">
        <w:rPr>
          <w:lang w:val="fr-FR"/>
        </w:rPr>
        <w:t xml:space="preserve"> La dernière mise à jour des données remonte au </w:t>
      </w:r>
      <w:r>
        <w:rPr>
          <w:lang w:val="fr-FR"/>
        </w:rPr>
        <w:t>5 mai 2015</w:t>
      </w:r>
      <w:r w:rsidRPr="00FA72A8">
        <w:rPr>
          <w:lang w:val="fr-FR"/>
        </w:rPr>
        <w:t xml:space="preserve">. </w:t>
      </w:r>
    </w:p>
    <w:p w:rsidR="009C1E37" w:rsidRDefault="009C1E37">
      <w:pPr>
        <w:rPr>
          <w:b/>
          <w:sz w:val="28"/>
          <w:szCs w:val="28"/>
          <w:lang w:val="fr-FR"/>
        </w:rPr>
      </w:pPr>
    </w:p>
    <w:p w:rsidR="009C1E37" w:rsidRPr="009C1E37" w:rsidRDefault="009C1E37" w:rsidP="009C1E37">
      <w:pPr>
        <w:jc w:val="both"/>
        <w:rPr>
          <w:b/>
          <w:sz w:val="28"/>
          <w:szCs w:val="28"/>
          <w:lang w:val="fr-FR"/>
        </w:rPr>
      </w:pPr>
      <w:r w:rsidRPr="009C1E37">
        <w:rPr>
          <w:b/>
          <w:sz w:val="28"/>
          <w:szCs w:val="28"/>
          <w:lang w:val="fr-FR"/>
        </w:rPr>
        <w:lastRenderedPageBreak/>
        <w:t>Enquêtes judiciaires effectuées par le Service d’enquêtes P concernant des allégations de mauvais traitements de la part de policiers, pour la période 2005-2015</w:t>
      </w:r>
      <w:r w:rsidRPr="00770DE3">
        <w:rPr>
          <w:vertAlign w:val="superscript"/>
          <w:lang w:val="fr-FR"/>
        </w:rPr>
        <w:footnoteReference w:id="1"/>
      </w:r>
      <w:r w:rsidR="00534A4F" w:rsidRPr="00770DE3">
        <w:rPr>
          <w:b/>
          <w:sz w:val="28"/>
          <w:szCs w:val="28"/>
          <w:lang w:val="fr-FR"/>
        </w:rPr>
        <w:t xml:space="preserve"> </w:t>
      </w:r>
      <w:r w:rsidR="00534A4F">
        <w:rPr>
          <w:b/>
          <w:sz w:val="28"/>
          <w:szCs w:val="28"/>
          <w:lang w:val="fr-FR"/>
        </w:rPr>
        <w:t>(tableau 3)</w:t>
      </w:r>
    </w:p>
    <w:tbl>
      <w:tblPr>
        <w:tblStyle w:val="Grilledutableau"/>
        <w:tblW w:w="0" w:type="auto"/>
        <w:tblInd w:w="108" w:type="dxa"/>
        <w:tblLook w:val="04A0" w:firstRow="1" w:lastRow="0" w:firstColumn="1" w:lastColumn="0" w:noHBand="0" w:noVBand="1"/>
      </w:tblPr>
      <w:tblGrid>
        <w:gridCol w:w="1601"/>
        <w:gridCol w:w="702"/>
        <w:gridCol w:w="701"/>
        <w:gridCol w:w="701"/>
        <w:gridCol w:w="702"/>
        <w:gridCol w:w="702"/>
        <w:gridCol w:w="683"/>
        <w:gridCol w:w="683"/>
        <w:gridCol w:w="670"/>
        <w:gridCol w:w="663"/>
        <w:gridCol w:w="663"/>
        <w:gridCol w:w="663"/>
      </w:tblGrid>
      <w:tr w:rsidR="009C1E37" w:rsidRPr="000015DC" w:rsidTr="002702E2">
        <w:trPr>
          <w:trHeight w:val="434"/>
        </w:trPr>
        <w:tc>
          <w:tcPr>
            <w:tcW w:w="1694" w:type="dxa"/>
            <w:shd w:val="clear" w:color="auto" w:fill="95B3D7" w:themeFill="accent1" w:themeFillTint="99"/>
          </w:tcPr>
          <w:p w:rsidR="009C1E37" w:rsidRPr="002D275D" w:rsidRDefault="009C1E37" w:rsidP="002702E2">
            <w:pPr>
              <w:spacing w:line="276" w:lineRule="auto"/>
              <w:rPr>
                <w:b/>
                <w:u w:val="single"/>
              </w:rPr>
            </w:pPr>
            <w:r w:rsidRPr="002D275D">
              <w:rPr>
                <w:b/>
                <w:u w:val="single"/>
              </w:rPr>
              <w:t xml:space="preserve">Enquêtes </w:t>
            </w:r>
            <w:proofErr w:type="spellStart"/>
            <w:r w:rsidRPr="002D275D">
              <w:rPr>
                <w:b/>
                <w:u w:val="single"/>
              </w:rPr>
              <w:t>jud.</w:t>
            </w:r>
            <w:proofErr w:type="spellEnd"/>
          </w:p>
        </w:tc>
        <w:tc>
          <w:tcPr>
            <w:tcW w:w="728" w:type="dxa"/>
            <w:shd w:val="clear" w:color="auto" w:fill="FFC000"/>
          </w:tcPr>
          <w:p w:rsidR="009C1E37" w:rsidRPr="00FA72A8" w:rsidRDefault="009C1E37" w:rsidP="002702E2">
            <w:pPr>
              <w:spacing w:line="276" w:lineRule="auto"/>
              <w:rPr>
                <w:b/>
              </w:rPr>
            </w:pPr>
            <w:r w:rsidRPr="00FA72A8">
              <w:rPr>
                <w:b/>
              </w:rPr>
              <w:t>2005</w:t>
            </w:r>
          </w:p>
        </w:tc>
        <w:tc>
          <w:tcPr>
            <w:tcW w:w="727" w:type="dxa"/>
            <w:shd w:val="clear" w:color="auto" w:fill="FFC000"/>
          </w:tcPr>
          <w:p w:rsidR="009C1E37" w:rsidRPr="00FA72A8" w:rsidRDefault="009C1E37" w:rsidP="002702E2">
            <w:pPr>
              <w:spacing w:line="276" w:lineRule="auto"/>
              <w:rPr>
                <w:b/>
              </w:rPr>
            </w:pPr>
            <w:r w:rsidRPr="00FA72A8">
              <w:rPr>
                <w:b/>
              </w:rPr>
              <w:t>2006</w:t>
            </w:r>
          </w:p>
        </w:tc>
        <w:tc>
          <w:tcPr>
            <w:tcW w:w="727" w:type="dxa"/>
            <w:shd w:val="clear" w:color="auto" w:fill="FFC000"/>
          </w:tcPr>
          <w:p w:rsidR="009C1E37" w:rsidRPr="00FA72A8" w:rsidRDefault="009C1E37" w:rsidP="002702E2">
            <w:pPr>
              <w:spacing w:line="276" w:lineRule="auto"/>
              <w:rPr>
                <w:b/>
              </w:rPr>
            </w:pPr>
            <w:r w:rsidRPr="00FA72A8">
              <w:rPr>
                <w:b/>
              </w:rPr>
              <w:t>2007</w:t>
            </w:r>
          </w:p>
        </w:tc>
        <w:tc>
          <w:tcPr>
            <w:tcW w:w="728" w:type="dxa"/>
            <w:shd w:val="clear" w:color="auto" w:fill="FFC000"/>
          </w:tcPr>
          <w:p w:rsidR="009C1E37" w:rsidRPr="00FA72A8" w:rsidRDefault="009C1E37" w:rsidP="002702E2">
            <w:pPr>
              <w:spacing w:line="276" w:lineRule="auto"/>
              <w:rPr>
                <w:b/>
              </w:rPr>
            </w:pPr>
            <w:r w:rsidRPr="00FA72A8">
              <w:rPr>
                <w:b/>
              </w:rPr>
              <w:t>2008</w:t>
            </w:r>
          </w:p>
        </w:tc>
        <w:tc>
          <w:tcPr>
            <w:tcW w:w="728" w:type="dxa"/>
            <w:shd w:val="clear" w:color="auto" w:fill="FFC000"/>
          </w:tcPr>
          <w:p w:rsidR="009C1E37" w:rsidRPr="00FA72A8" w:rsidRDefault="009C1E37" w:rsidP="002702E2">
            <w:pPr>
              <w:spacing w:line="276" w:lineRule="auto"/>
              <w:rPr>
                <w:b/>
              </w:rPr>
            </w:pPr>
            <w:r w:rsidRPr="00FA72A8">
              <w:rPr>
                <w:b/>
              </w:rPr>
              <w:t>2009</w:t>
            </w:r>
          </w:p>
        </w:tc>
        <w:tc>
          <w:tcPr>
            <w:tcW w:w="697" w:type="dxa"/>
            <w:shd w:val="clear" w:color="auto" w:fill="FFC000"/>
          </w:tcPr>
          <w:p w:rsidR="009C1E37" w:rsidRPr="00FA72A8" w:rsidRDefault="009C1E37" w:rsidP="002702E2">
            <w:pPr>
              <w:spacing w:line="276" w:lineRule="auto"/>
              <w:rPr>
                <w:b/>
              </w:rPr>
            </w:pPr>
            <w:r w:rsidRPr="00FA72A8">
              <w:rPr>
                <w:b/>
              </w:rPr>
              <w:t>2010</w:t>
            </w:r>
          </w:p>
        </w:tc>
        <w:tc>
          <w:tcPr>
            <w:tcW w:w="697" w:type="dxa"/>
            <w:shd w:val="clear" w:color="auto" w:fill="FFC000"/>
          </w:tcPr>
          <w:p w:rsidR="009C1E37" w:rsidRPr="00FA72A8" w:rsidRDefault="009C1E37" w:rsidP="002702E2">
            <w:pPr>
              <w:spacing w:line="276" w:lineRule="auto"/>
              <w:rPr>
                <w:b/>
              </w:rPr>
            </w:pPr>
            <w:r w:rsidRPr="00FA72A8">
              <w:rPr>
                <w:b/>
              </w:rPr>
              <w:t>2011</w:t>
            </w:r>
          </w:p>
        </w:tc>
        <w:tc>
          <w:tcPr>
            <w:tcW w:w="674" w:type="dxa"/>
            <w:shd w:val="clear" w:color="auto" w:fill="FFC000"/>
          </w:tcPr>
          <w:p w:rsidR="009C1E37" w:rsidRPr="00FA72A8" w:rsidRDefault="009C1E37" w:rsidP="002702E2">
            <w:pPr>
              <w:spacing w:line="276" w:lineRule="auto"/>
              <w:rPr>
                <w:b/>
              </w:rPr>
            </w:pPr>
            <w:r w:rsidRPr="00FA72A8">
              <w:rPr>
                <w:b/>
              </w:rPr>
              <w:t>2012</w:t>
            </w:r>
          </w:p>
        </w:tc>
        <w:tc>
          <w:tcPr>
            <w:tcW w:w="663" w:type="dxa"/>
            <w:shd w:val="clear" w:color="auto" w:fill="FFC000"/>
          </w:tcPr>
          <w:p w:rsidR="009C1E37" w:rsidRPr="00FA72A8" w:rsidRDefault="009C1E37" w:rsidP="002702E2">
            <w:pPr>
              <w:spacing w:line="276" w:lineRule="auto"/>
              <w:rPr>
                <w:b/>
              </w:rPr>
            </w:pPr>
            <w:r w:rsidRPr="00FA72A8">
              <w:rPr>
                <w:b/>
              </w:rPr>
              <w:t>2013</w:t>
            </w:r>
          </w:p>
        </w:tc>
        <w:tc>
          <w:tcPr>
            <w:tcW w:w="663" w:type="dxa"/>
            <w:shd w:val="clear" w:color="auto" w:fill="FFC000"/>
          </w:tcPr>
          <w:p w:rsidR="009C1E37" w:rsidRPr="002675E7" w:rsidRDefault="009C1E37" w:rsidP="002702E2">
            <w:pPr>
              <w:rPr>
                <w:b/>
              </w:rPr>
            </w:pPr>
            <w:r w:rsidRPr="002675E7">
              <w:rPr>
                <w:b/>
              </w:rPr>
              <w:t>2014</w:t>
            </w:r>
          </w:p>
        </w:tc>
        <w:tc>
          <w:tcPr>
            <w:tcW w:w="454" w:type="dxa"/>
            <w:shd w:val="clear" w:color="auto" w:fill="FFC000"/>
          </w:tcPr>
          <w:p w:rsidR="009C1E37" w:rsidRPr="000015DC" w:rsidRDefault="009C1E37" w:rsidP="002702E2">
            <w:pPr>
              <w:rPr>
                <w:b/>
              </w:rPr>
            </w:pPr>
            <w:r w:rsidRPr="000015DC">
              <w:rPr>
                <w:b/>
              </w:rPr>
              <w:t>2015</w:t>
            </w:r>
          </w:p>
        </w:tc>
      </w:tr>
      <w:tr w:rsidR="009C1E37" w:rsidRPr="000015DC" w:rsidTr="002702E2">
        <w:tc>
          <w:tcPr>
            <w:tcW w:w="1694" w:type="dxa"/>
            <w:shd w:val="clear" w:color="auto" w:fill="B8CCE4" w:themeFill="accent1" w:themeFillTint="66"/>
          </w:tcPr>
          <w:p w:rsidR="009C1E37" w:rsidRPr="009750B1" w:rsidRDefault="009C1E37" w:rsidP="002702E2">
            <w:pPr>
              <w:spacing w:line="276" w:lineRule="auto"/>
              <w:jc w:val="left"/>
              <w:rPr>
                <w:sz w:val="20"/>
              </w:rPr>
            </w:pPr>
            <w:proofErr w:type="spellStart"/>
            <w:r w:rsidRPr="009750B1">
              <w:rPr>
                <w:sz w:val="20"/>
              </w:rPr>
              <w:t>Torture</w:t>
            </w:r>
            <w:proofErr w:type="spellEnd"/>
          </w:p>
        </w:tc>
        <w:tc>
          <w:tcPr>
            <w:tcW w:w="728" w:type="dxa"/>
          </w:tcPr>
          <w:p w:rsidR="009C1E37" w:rsidRPr="002D275D" w:rsidRDefault="009C1E37" w:rsidP="002702E2">
            <w:pPr>
              <w:spacing w:line="276" w:lineRule="auto"/>
              <w:rPr>
                <w:u w:val="single"/>
              </w:rPr>
            </w:pPr>
            <w:r w:rsidRPr="002D275D">
              <w:rPr>
                <w:u w:val="single"/>
              </w:rPr>
              <w:t>0</w:t>
            </w:r>
          </w:p>
        </w:tc>
        <w:tc>
          <w:tcPr>
            <w:tcW w:w="727" w:type="dxa"/>
          </w:tcPr>
          <w:p w:rsidR="009C1E37" w:rsidRPr="002D275D" w:rsidRDefault="009C1E37" w:rsidP="002702E2">
            <w:pPr>
              <w:spacing w:line="276" w:lineRule="auto"/>
              <w:rPr>
                <w:u w:val="single"/>
              </w:rPr>
            </w:pPr>
            <w:r w:rsidRPr="002D275D">
              <w:rPr>
                <w:u w:val="single"/>
              </w:rPr>
              <w:t>0</w:t>
            </w:r>
          </w:p>
        </w:tc>
        <w:tc>
          <w:tcPr>
            <w:tcW w:w="727" w:type="dxa"/>
          </w:tcPr>
          <w:p w:rsidR="009C1E37" w:rsidRPr="002D275D" w:rsidRDefault="009C1E37" w:rsidP="002702E2">
            <w:pPr>
              <w:spacing w:line="276" w:lineRule="auto"/>
              <w:rPr>
                <w:u w:val="single"/>
              </w:rPr>
            </w:pPr>
            <w:r w:rsidRPr="002D275D">
              <w:rPr>
                <w:u w:val="single"/>
              </w:rPr>
              <w:t>0</w:t>
            </w:r>
          </w:p>
        </w:tc>
        <w:tc>
          <w:tcPr>
            <w:tcW w:w="728" w:type="dxa"/>
          </w:tcPr>
          <w:p w:rsidR="009C1E37" w:rsidRPr="002D275D" w:rsidRDefault="009C1E37" w:rsidP="002702E2">
            <w:pPr>
              <w:spacing w:line="276" w:lineRule="auto"/>
              <w:rPr>
                <w:u w:val="single"/>
              </w:rPr>
            </w:pPr>
            <w:r w:rsidRPr="002D275D">
              <w:rPr>
                <w:u w:val="single"/>
              </w:rPr>
              <w:t>1</w:t>
            </w:r>
          </w:p>
        </w:tc>
        <w:tc>
          <w:tcPr>
            <w:tcW w:w="728" w:type="dxa"/>
          </w:tcPr>
          <w:p w:rsidR="009C1E37" w:rsidRPr="002D275D" w:rsidRDefault="009C1E37" w:rsidP="002702E2">
            <w:pPr>
              <w:spacing w:line="276" w:lineRule="auto"/>
              <w:rPr>
                <w:u w:val="single"/>
              </w:rPr>
            </w:pPr>
            <w:r w:rsidRPr="002D275D">
              <w:rPr>
                <w:u w:val="single"/>
              </w:rPr>
              <w:t>0</w:t>
            </w:r>
          </w:p>
        </w:tc>
        <w:tc>
          <w:tcPr>
            <w:tcW w:w="697" w:type="dxa"/>
          </w:tcPr>
          <w:p w:rsidR="009C1E37" w:rsidRPr="002D275D" w:rsidRDefault="009C1E37" w:rsidP="002702E2">
            <w:pPr>
              <w:spacing w:line="276" w:lineRule="auto"/>
              <w:rPr>
                <w:u w:val="single"/>
              </w:rPr>
            </w:pPr>
            <w:r w:rsidRPr="002D275D">
              <w:rPr>
                <w:u w:val="single"/>
              </w:rPr>
              <w:t>0</w:t>
            </w:r>
          </w:p>
        </w:tc>
        <w:tc>
          <w:tcPr>
            <w:tcW w:w="697" w:type="dxa"/>
          </w:tcPr>
          <w:p w:rsidR="009C1E37" w:rsidRPr="002D275D" w:rsidRDefault="009C1E37" w:rsidP="002702E2">
            <w:pPr>
              <w:spacing w:line="276" w:lineRule="auto"/>
              <w:rPr>
                <w:u w:val="single"/>
              </w:rPr>
            </w:pPr>
            <w:r w:rsidRPr="002D275D">
              <w:rPr>
                <w:u w:val="single"/>
              </w:rPr>
              <w:t>0</w:t>
            </w:r>
          </w:p>
        </w:tc>
        <w:tc>
          <w:tcPr>
            <w:tcW w:w="674" w:type="dxa"/>
            <w:shd w:val="clear" w:color="auto" w:fill="FFFFFF" w:themeFill="background1"/>
          </w:tcPr>
          <w:p w:rsidR="009C1E37" w:rsidRPr="002D275D" w:rsidRDefault="009C1E37" w:rsidP="002702E2">
            <w:pPr>
              <w:spacing w:line="276" w:lineRule="auto"/>
              <w:rPr>
                <w:u w:val="single"/>
              </w:rPr>
            </w:pPr>
            <w:r w:rsidRPr="002D275D">
              <w:rPr>
                <w:u w:val="single"/>
              </w:rPr>
              <w:t>0</w:t>
            </w:r>
          </w:p>
        </w:tc>
        <w:tc>
          <w:tcPr>
            <w:tcW w:w="663" w:type="dxa"/>
            <w:shd w:val="clear" w:color="auto" w:fill="auto"/>
          </w:tcPr>
          <w:p w:rsidR="009C1E37" w:rsidRPr="002D275D" w:rsidRDefault="009C1E37" w:rsidP="002702E2">
            <w:pPr>
              <w:spacing w:line="276" w:lineRule="auto"/>
              <w:rPr>
                <w:u w:val="single"/>
              </w:rPr>
            </w:pPr>
            <w:r w:rsidRPr="002D275D">
              <w:rPr>
                <w:u w:val="single"/>
              </w:rPr>
              <w:t>2</w:t>
            </w:r>
          </w:p>
        </w:tc>
        <w:tc>
          <w:tcPr>
            <w:tcW w:w="663" w:type="dxa"/>
          </w:tcPr>
          <w:p w:rsidR="009C1E37" w:rsidRPr="002675E7" w:rsidRDefault="009C1E37" w:rsidP="002702E2">
            <w:pPr>
              <w:rPr>
                <w:u w:val="single"/>
              </w:rPr>
            </w:pPr>
            <w:r w:rsidRPr="002675E7">
              <w:rPr>
                <w:u w:val="single"/>
              </w:rPr>
              <w:t>0</w:t>
            </w:r>
          </w:p>
        </w:tc>
        <w:tc>
          <w:tcPr>
            <w:tcW w:w="454" w:type="dxa"/>
          </w:tcPr>
          <w:p w:rsidR="009C1E37" w:rsidRPr="000015DC" w:rsidRDefault="009C1E37" w:rsidP="002702E2">
            <w:pPr>
              <w:rPr>
                <w:u w:val="single"/>
              </w:rPr>
            </w:pPr>
            <w:r w:rsidRPr="000015DC">
              <w:rPr>
                <w:u w:val="single"/>
              </w:rPr>
              <w:t>0</w:t>
            </w:r>
          </w:p>
        </w:tc>
      </w:tr>
      <w:tr w:rsidR="009C1E37" w:rsidRPr="000015DC" w:rsidTr="002702E2">
        <w:tc>
          <w:tcPr>
            <w:tcW w:w="1694" w:type="dxa"/>
            <w:shd w:val="clear" w:color="auto" w:fill="B8CCE4" w:themeFill="accent1" w:themeFillTint="66"/>
          </w:tcPr>
          <w:p w:rsidR="009C1E37" w:rsidRPr="009750B1" w:rsidRDefault="009C1E37" w:rsidP="002702E2">
            <w:pPr>
              <w:spacing w:line="276" w:lineRule="auto"/>
              <w:jc w:val="left"/>
              <w:rPr>
                <w:sz w:val="20"/>
              </w:rPr>
            </w:pPr>
            <w:proofErr w:type="spellStart"/>
            <w:r w:rsidRPr="009750B1">
              <w:rPr>
                <w:sz w:val="20"/>
              </w:rPr>
              <w:t>Traitement</w:t>
            </w:r>
            <w:proofErr w:type="spellEnd"/>
            <w:r w:rsidRPr="009750B1">
              <w:rPr>
                <w:sz w:val="20"/>
              </w:rPr>
              <w:t xml:space="preserve"> </w:t>
            </w:r>
            <w:proofErr w:type="spellStart"/>
            <w:r w:rsidRPr="009750B1">
              <w:rPr>
                <w:sz w:val="20"/>
              </w:rPr>
              <w:t>inhumain</w:t>
            </w:r>
            <w:proofErr w:type="spellEnd"/>
          </w:p>
        </w:tc>
        <w:tc>
          <w:tcPr>
            <w:tcW w:w="728" w:type="dxa"/>
          </w:tcPr>
          <w:p w:rsidR="009C1E37" w:rsidRPr="002D275D" w:rsidRDefault="009C1E37" w:rsidP="002702E2">
            <w:pPr>
              <w:spacing w:line="276" w:lineRule="auto"/>
              <w:rPr>
                <w:u w:val="single"/>
              </w:rPr>
            </w:pPr>
            <w:r w:rsidRPr="002D275D">
              <w:rPr>
                <w:u w:val="single"/>
              </w:rPr>
              <w:t>1</w:t>
            </w:r>
          </w:p>
        </w:tc>
        <w:tc>
          <w:tcPr>
            <w:tcW w:w="727" w:type="dxa"/>
          </w:tcPr>
          <w:p w:rsidR="009C1E37" w:rsidRPr="002D275D" w:rsidRDefault="009C1E37" w:rsidP="002702E2">
            <w:pPr>
              <w:spacing w:line="276" w:lineRule="auto"/>
              <w:rPr>
                <w:u w:val="single"/>
              </w:rPr>
            </w:pPr>
            <w:r w:rsidRPr="002D275D">
              <w:rPr>
                <w:u w:val="single"/>
              </w:rPr>
              <w:t>2</w:t>
            </w:r>
          </w:p>
        </w:tc>
        <w:tc>
          <w:tcPr>
            <w:tcW w:w="727" w:type="dxa"/>
          </w:tcPr>
          <w:p w:rsidR="009C1E37" w:rsidRPr="002D275D" w:rsidRDefault="009C1E37" w:rsidP="002702E2">
            <w:pPr>
              <w:spacing w:line="276" w:lineRule="auto"/>
              <w:rPr>
                <w:u w:val="single"/>
              </w:rPr>
            </w:pPr>
            <w:r w:rsidRPr="002D275D">
              <w:rPr>
                <w:u w:val="single"/>
              </w:rPr>
              <w:t>1</w:t>
            </w:r>
          </w:p>
        </w:tc>
        <w:tc>
          <w:tcPr>
            <w:tcW w:w="728" w:type="dxa"/>
          </w:tcPr>
          <w:p w:rsidR="009C1E37" w:rsidRPr="002D275D" w:rsidRDefault="009C1E37" w:rsidP="002702E2">
            <w:pPr>
              <w:spacing w:line="276" w:lineRule="auto"/>
              <w:rPr>
                <w:u w:val="single"/>
              </w:rPr>
            </w:pPr>
            <w:r w:rsidRPr="002D275D">
              <w:rPr>
                <w:u w:val="single"/>
              </w:rPr>
              <w:t>0</w:t>
            </w:r>
          </w:p>
        </w:tc>
        <w:tc>
          <w:tcPr>
            <w:tcW w:w="728" w:type="dxa"/>
          </w:tcPr>
          <w:p w:rsidR="009C1E37" w:rsidRPr="002D275D" w:rsidRDefault="009C1E37" w:rsidP="002702E2">
            <w:pPr>
              <w:spacing w:line="276" w:lineRule="auto"/>
              <w:rPr>
                <w:u w:val="single"/>
              </w:rPr>
            </w:pPr>
            <w:r w:rsidRPr="002D275D">
              <w:rPr>
                <w:u w:val="single"/>
              </w:rPr>
              <w:t>6</w:t>
            </w:r>
          </w:p>
        </w:tc>
        <w:tc>
          <w:tcPr>
            <w:tcW w:w="697" w:type="dxa"/>
          </w:tcPr>
          <w:p w:rsidR="009C1E37" w:rsidRPr="002D275D" w:rsidRDefault="009C1E37" w:rsidP="002702E2">
            <w:pPr>
              <w:spacing w:line="276" w:lineRule="auto"/>
              <w:rPr>
                <w:u w:val="single"/>
              </w:rPr>
            </w:pPr>
            <w:r w:rsidRPr="002D275D">
              <w:rPr>
                <w:u w:val="single"/>
              </w:rPr>
              <w:t>4</w:t>
            </w:r>
          </w:p>
        </w:tc>
        <w:tc>
          <w:tcPr>
            <w:tcW w:w="697" w:type="dxa"/>
          </w:tcPr>
          <w:p w:rsidR="009C1E37" w:rsidRPr="002D275D" w:rsidRDefault="009C1E37" w:rsidP="002702E2">
            <w:pPr>
              <w:spacing w:line="276" w:lineRule="auto"/>
              <w:rPr>
                <w:u w:val="single"/>
              </w:rPr>
            </w:pPr>
            <w:r w:rsidRPr="002D275D">
              <w:rPr>
                <w:u w:val="single"/>
              </w:rPr>
              <w:t>3</w:t>
            </w:r>
          </w:p>
        </w:tc>
        <w:tc>
          <w:tcPr>
            <w:tcW w:w="674" w:type="dxa"/>
            <w:shd w:val="clear" w:color="auto" w:fill="FFFFFF" w:themeFill="background1"/>
          </w:tcPr>
          <w:p w:rsidR="009C1E37" w:rsidRPr="002D275D" w:rsidRDefault="009C1E37" w:rsidP="002702E2">
            <w:pPr>
              <w:spacing w:line="276" w:lineRule="auto"/>
              <w:rPr>
                <w:u w:val="single"/>
              </w:rPr>
            </w:pPr>
            <w:r w:rsidRPr="002D275D">
              <w:rPr>
                <w:u w:val="single"/>
              </w:rPr>
              <w:t>1</w:t>
            </w:r>
          </w:p>
        </w:tc>
        <w:tc>
          <w:tcPr>
            <w:tcW w:w="663" w:type="dxa"/>
            <w:shd w:val="clear" w:color="auto" w:fill="auto"/>
          </w:tcPr>
          <w:p w:rsidR="009C1E37" w:rsidRPr="002D275D" w:rsidRDefault="009C1E37" w:rsidP="002702E2">
            <w:pPr>
              <w:spacing w:line="276" w:lineRule="auto"/>
              <w:rPr>
                <w:u w:val="single"/>
              </w:rPr>
            </w:pPr>
            <w:r w:rsidRPr="002D275D">
              <w:rPr>
                <w:u w:val="single"/>
              </w:rPr>
              <w:t>1</w:t>
            </w:r>
          </w:p>
        </w:tc>
        <w:tc>
          <w:tcPr>
            <w:tcW w:w="663" w:type="dxa"/>
          </w:tcPr>
          <w:p w:rsidR="009C1E37" w:rsidRPr="002675E7" w:rsidRDefault="009C1E37" w:rsidP="002702E2">
            <w:pPr>
              <w:rPr>
                <w:u w:val="single"/>
              </w:rPr>
            </w:pPr>
            <w:r w:rsidRPr="002675E7">
              <w:rPr>
                <w:u w:val="single"/>
              </w:rPr>
              <w:t>6</w:t>
            </w:r>
          </w:p>
        </w:tc>
        <w:tc>
          <w:tcPr>
            <w:tcW w:w="454" w:type="dxa"/>
          </w:tcPr>
          <w:p w:rsidR="009C1E37" w:rsidRPr="000015DC" w:rsidRDefault="009C1E37" w:rsidP="002702E2">
            <w:pPr>
              <w:rPr>
                <w:u w:val="single"/>
              </w:rPr>
            </w:pPr>
            <w:r w:rsidRPr="000015DC">
              <w:rPr>
                <w:u w:val="single"/>
              </w:rPr>
              <w:t>5</w:t>
            </w:r>
          </w:p>
        </w:tc>
      </w:tr>
      <w:tr w:rsidR="009C1E37" w:rsidRPr="000015DC" w:rsidTr="002702E2">
        <w:tc>
          <w:tcPr>
            <w:tcW w:w="1694" w:type="dxa"/>
            <w:shd w:val="clear" w:color="auto" w:fill="B8CCE4" w:themeFill="accent1" w:themeFillTint="66"/>
          </w:tcPr>
          <w:p w:rsidR="009C1E37" w:rsidRPr="009C1E37" w:rsidRDefault="009C1E37" w:rsidP="002702E2">
            <w:pPr>
              <w:spacing w:line="276" w:lineRule="auto"/>
              <w:jc w:val="left"/>
              <w:rPr>
                <w:sz w:val="20"/>
                <w:lang w:val="fr-FR"/>
              </w:rPr>
            </w:pPr>
            <w:r w:rsidRPr="009C1E37">
              <w:rPr>
                <w:sz w:val="20"/>
                <w:lang w:val="fr-FR"/>
              </w:rPr>
              <w:t xml:space="preserve">Comportement inhumain, offensant, </w:t>
            </w:r>
            <w:r w:rsidRPr="009C1E37">
              <w:rPr>
                <w:i/>
                <w:sz w:val="20"/>
                <w:lang w:val="fr-FR"/>
              </w:rPr>
              <w:t>sensu lato</w:t>
            </w:r>
          </w:p>
        </w:tc>
        <w:tc>
          <w:tcPr>
            <w:tcW w:w="728" w:type="dxa"/>
          </w:tcPr>
          <w:p w:rsidR="009C1E37" w:rsidRPr="002D275D" w:rsidRDefault="009C1E37" w:rsidP="002702E2">
            <w:pPr>
              <w:spacing w:line="276" w:lineRule="auto"/>
              <w:rPr>
                <w:u w:val="single"/>
              </w:rPr>
            </w:pPr>
            <w:r w:rsidRPr="002D275D">
              <w:rPr>
                <w:u w:val="single"/>
              </w:rPr>
              <w:t>3</w:t>
            </w:r>
          </w:p>
        </w:tc>
        <w:tc>
          <w:tcPr>
            <w:tcW w:w="727" w:type="dxa"/>
          </w:tcPr>
          <w:p w:rsidR="009C1E37" w:rsidRPr="002D275D" w:rsidRDefault="009C1E37" w:rsidP="002702E2">
            <w:pPr>
              <w:spacing w:line="276" w:lineRule="auto"/>
              <w:rPr>
                <w:u w:val="single"/>
              </w:rPr>
            </w:pPr>
            <w:r w:rsidRPr="002D275D">
              <w:rPr>
                <w:u w:val="single"/>
              </w:rPr>
              <w:t>2</w:t>
            </w:r>
          </w:p>
        </w:tc>
        <w:tc>
          <w:tcPr>
            <w:tcW w:w="727" w:type="dxa"/>
          </w:tcPr>
          <w:p w:rsidR="009C1E37" w:rsidRPr="002D275D" w:rsidRDefault="009C1E37" w:rsidP="002702E2">
            <w:pPr>
              <w:spacing w:line="276" w:lineRule="auto"/>
              <w:rPr>
                <w:u w:val="single"/>
              </w:rPr>
            </w:pPr>
            <w:r w:rsidRPr="002D275D">
              <w:rPr>
                <w:u w:val="single"/>
              </w:rPr>
              <w:t>1</w:t>
            </w:r>
          </w:p>
        </w:tc>
        <w:tc>
          <w:tcPr>
            <w:tcW w:w="728" w:type="dxa"/>
          </w:tcPr>
          <w:p w:rsidR="009C1E37" w:rsidRPr="002D275D" w:rsidRDefault="009C1E37" w:rsidP="002702E2">
            <w:pPr>
              <w:spacing w:line="276" w:lineRule="auto"/>
              <w:rPr>
                <w:u w:val="single"/>
              </w:rPr>
            </w:pPr>
            <w:r w:rsidRPr="002D275D">
              <w:rPr>
                <w:u w:val="single"/>
              </w:rPr>
              <w:t>1</w:t>
            </w:r>
          </w:p>
        </w:tc>
        <w:tc>
          <w:tcPr>
            <w:tcW w:w="728" w:type="dxa"/>
          </w:tcPr>
          <w:p w:rsidR="009C1E37" w:rsidRPr="002D275D" w:rsidRDefault="009C1E37" w:rsidP="002702E2">
            <w:pPr>
              <w:spacing w:line="276" w:lineRule="auto"/>
              <w:rPr>
                <w:u w:val="single"/>
              </w:rPr>
            </w:pPr>
            <w:r w:rsidRPr="002D275D">
              <w:rPr>
                <w:u w:val="single"/>
              </w:rPr>
              <w:t>1</w:t>
            </w:r>
          </w:p>
        </w:tc>
        <w:tc>
          <w:tcPr>
            <w:tcW w:w="697" w:type="dxa"/>
          </w:tcPr>
          <w:p w:rsidR="009C1E37" w:rsidRPr="002D275D" w:rsidRDefault="009C1E37" w:rsidP="002702E2">
            <w:pPr>
              <w:spacing w:line="276" w:lineRule="auto"/>
              <w:rPr>
                <w:u w:val="single"/>
              </w:rPr>
            </w:pPr>
            <w:r w:rsidRPr="002D275D">
              <w:rPr>
                <w:u w:val="single"/>
              </w:rPr>
              <w:t>0</w:t>
            </w:r>
          </w:p>
        </w:tc>
        <w:tc>
          <w:tcPr>
            <w:tcW w:w="697" w:type="dxa"/>
          </w:tcPr>
          <w:p w:rsidR="009C1E37" w:rsidRPr="002D275D" w:rsidRDefault="009C1E37" w:rsidP="002702E2">
            <w:pPr>
              <w:spacing w:line="276" w:lineRule="auto"/>
              <w:rPr>
                <w:u w:val="single"/>
              </w:rPr>
            </w:pPr>
            <w:r w:rsidRPr="002D275D">
              <w:rPr>
                <w:u w:val="single"/>
              </w:rPr>
              <w:t>0</w:t>
            </w:r>
          </w:p>
        </w:tc>
        <w:tc>
          <w:tcPr>
            <w:tcW w:w="674" w:type="dxa"/>
            <w:shd w:val="clear" w:color="auto" w:fill="FFFFFF" w:themeFill="background1"/>
          </w:tcPr>
          <w:p w:rsidR="009C1E37" w:rsidRPr="002D275D" w:rsidRDefault="009C1E37" w:rsidP="002702E2">
            <w:pPr>
              <w:spacing w:line="276" w:lineRule="auto"/>
              <w:rPr>
                <w:u w:val="single"/>
              </w:rPr>
            </w:pPr>
            <w:r w:rsidRPr="002D275D">
              <w:rPr>
                <w:u w:val="single"/>
              </w:rPr>
              <w:t>0</w:t>
            </w:r>
          </w:p>
        </w:tc>
        <w:tc>
          <w:tcPr>
            <w:tcW w:w="663" w:type="dxa"/>
            <w:shd w:val="clear" w:color="auto" w:fill="auto"/>
          </w:tcPr>
          <w:p w:rsidR="009C1E37" w:rsidRPr="002D275D" w:rsidRDefault="009C1E37" w:rsidP="002702E2">
            <w:pPr>
              <w:spacing w:line="276" w:lineRule="auto"/>
              <w:rPr>
                <w:u w:val="single"/>
              </w:rPr>
            </w:pPr>
            <w:r w:rsidRPr="002D275D">
              <w:rPr>
                <w:u w:val="single"/>
              </w:rPr>
              <w:t>1</w:t>
            </w:r>
          </w:p>
        </w:tc>
        <w:tc>
          <w:tcPr>
            <w:tcW w:w="663" w:type="dxa"/>
          </w:tcPr>
          <w:p w:rsidR="009C1E37" w:rsidRPr="002675E7" w:rsidRDefault="009C1E37" w:rsidP="002702E2">
            <w:pPr>
              <w:rPr>
                <w:u w:val="single"/>
              </w:rPr>
            </w:pPr>
            <w:r w:rsidRPr="002675E7">
              <w:rPr>
                <w:u w:val="single"/>
              </w:rPr>
              <w:t>0</w:t>
            </w:r>
          </w:p>
        </w:tc>
        <w:tc>
          <w:tcPr>
            <w:tcW w:w="454" w:type="dxa"/>
          </w:tcPr>
          <w:p w:rsidR="009C1E37" w:rsidRPr="000015DC" w:rsidRDefault="009C1E37" w:rsidP="002702E2">
            <w:pPr>
              <w:rPr>
                <w:u w:val="single"/>
              </w:rPr>
            </w:pPr>
            <w:r w:rsidRPr="000015DC">
              <w:rPr>
                <w:u w:val="single"/>
              </w:rPr>
              <w:t>0</w:t>
            </w:r>
          </w:p>
        </w:tc>
      </w:tr>
      <w:tr w:rsidR="009C1E37" w:rsidRPr="000015DC" w:rsidTr="002702E2">
        <w:tc>
          <w:tcPr>
            <w:tcW w:w="1694" w:type="dxa"/>
            <w:shd w:val="clear" w:color="auto" w:fill="B8CCE4" w:themeFill="accent1" w:themeFillTint="66"/>
          </w:tcPr>
          <w:p w:rsidR="009C1E37" w:rsidRPr="009750B1" w:rsidRDefault="009C1E37" w:rsidP="002702E2">
            <w:pPr>
              <w:spacing w:line="276" w:lineRule="auto"/>
              <w:jc w:val="left"/>
              <w:rPr>
                <w:sz w:val="20"/>
              </w:rPr>
            </w:pPr>
            <w:proofErr w:type="spellStart"/>
            <w:r w:rsidRPr="009750B1">
              <w:rPr>
                <w:sz w:val="20"/>
              </w:rPr>
              <w:t>Traitement</w:t>
            </w:r>
            <w:proofErr w:type="spellEnd"/>
            <w:r w:rsidRPr="009750B1">
              <w:rPr>
                <w:sz w:val="20"/>
              </w:rPr>
              <w:t xml:space="preserve"> dégradant</w:t>
            </w:r>
          </w:p>
        </w:tc>
        <w:tc>
          <w:tcPr>
            <w:tcW w:w="728" w:type="dxa"/>
          </w:tcPr>
          <w:p w:rsidR="009C1E37" w:rsidRPr="002D275D" w:rsidRDefault="009C1E37" w:rsidP="002702E2">
            <w:pPr>
              <w:spacing w:line="276" w:lineRule="auto"/>
              <w:rPr>
                <w:u w:val="single"/>
              </w:rPr>
            </w:pPr>
            <w:r w:rsidRPr="002D275D">
              <w:rPr>
                <w:u w:val="single"/>
              </w:rPr>
              <w:t>1</w:t>
            </w:r>
          </w:p>
        </w:tc>
        <w:tc>
          <w:tcPr>
            <w:tcW w:w="727" w:type="dxa"/>
          </w:tcPr>
          <w:p w:rsidR="009C1E37" w:rsidRPr="002D275D" w:rsidRDefault="009C1E37" w:rsidP="002702E2">
            <w:pPr>
              <w:spacing w:line="276" w:lineRule="auto"/>
              <w:rPr>
                <w:u w:val="single"/>
              </w:rPr>
            </w:pPr>
            <w:r w:rsidRPr="002D275D">
              <w:rPr>
                <w:u w:val="single"/>
              </w:rPr>
              <w:t>2</w:t>
            </w:r>
          </w:p>
        </w:tc>
        <w:tc>
          <w:tcPr>
            <w:tcW w:w="727" w:type="dxa"/>
          </w:tcPr>
          <w:p w:rsidR="009C1E37" w:rsidRPr="002D275D" w:rsidRDefault="009C1E37" w:rsidP="002702E2">
            <w:pPr>
              <w:spacing w:line="276" w:lineRule="auto"/>
              <w:rPr>
                <w:u w:val="single"/>
              </w:rPr>
            </w:pPr>
            <w:r w:rsidRPr="002D275D">
              <w:rPr>
                <w:u w:val="single"/>
              </w:rPr>
              <w:t>0</w:t>
            </w:r>
          </w:p>
        </w:tc>
        <w:tc>
          <w:tcPr>
            <w:tcW w:w="728" w:type="dxa"/>
          </w:tcPr>
          <w:p w:rsidR="009C1E37" w:rsidRPr="002D275D" w:rsidRDefault="009C1E37" w:rsidP="002702E2">
            <w:pPr>
              <w:spacing w:line="276" w:lineRule="auto"/>
              <w:rPr>
                <w:u w:val="single"/>
              </w:rPr>
            </w:pPr>
            <w:r w:rsidRPr="002D275D">
              <w:rPr>
                <w:u w:val="single"/>
              </w:rPr>
              <w:t>1</w:t>
            </w:r>
          </w:p>
        </w:tc>
        <w:tc>
          <w:tcPr>
            <w:tcW w:w="728" w:type="dxa"/>
          </w:tcPr>
          <w:p w:rsidR="009C1E37" w:rsidRPr="002D275D" w:rsidRDefault="009C1E37" w:rsidP="002702E2">
            <w:pPr>
              <w:spacing w:line="276" w:lineRule="auto"/>
              <w:rPr>
                <w:u w:val="single"/>
              </w:rPr>
            </w:pPr>
            <w:r w:rsidRPr="002D275D">
              <w:rPr>
                <w:u w:val="single"/>
              </w:rPr>
              <w:t>1</w:t>
            </w:r>
          </w:p>
        </w:tc>
        <w:tc>
          <w:tcPr>
            <w:tcW w:w="697" w:type="dxa"/>
          </w:tcPr>
          <w:p w:rsidR="009C1E37" w:rsidRPr="002D275D" w:rsidRDefault="009C1E37" w:rsidP="002702E2">
            <w:pPr>
              <w:spacing w:line="276" w:lineRule="auto"/>
              <w:rPr>
                <w:u w:val="single"/>
              </w:rPr>
            </w:pPr>
            <w:r w:rsidRPr="002D275D">
              <w:rPr>
                <w:u w:val="single"/>
              </w:rPr>
              <w:t>0</w:t>
            </w:r>
          </w:p>
        </w:tc>
        <w:tc>
          <w:tcPr>
            <w:tcW w:w="697" w:type="dxa"/>
          </w:tcPr>
          <w:p w:rsidR="009C1E37" w:rsidRPr="002D275D" w:rsidRDefault="009C1E37" w:rsidP="002702E2">
            <w:pPr>
              <w:spacing w:line="276" w:lineRule="auto"/>
              <w:rPr>
                <w:u w:val="single"/>
              </w:rPr>
            </w:pPr>
            <w:r w:rsidRPr="002D275D">
              <w:rPr>
                <w:u w:val="single"/>
              </w:rPr>
              <w:t>0</w:t>
            </w:r>
          </w:p>
        </w:tc>
        <w:tc>
          <w:tcPr>
            <w:tcW w:w="674" w:type="dxa"/>
            <w:shd w:val="clear" w:color="auto" w:fill="FFFFFF" w:themeFill="background1"/>
          </w:tcPr>
          <w:p w:rsidR="009C1E37" w:rsidRPr="002D275D" w:rsidRDefault="009C1E37" w:rsidP="002702E2">
            <w:pPr>
              <w:spacing w:line="276" w:lineRule="auto"/>
              <w:rPr>
                <w:u w:val="single"/>
              </w:rPr>
            </w:pPr>
            <w:r w:rsidRPr="002D275D">
              <w:rPr>
                <w:u w:val="single"/>
              </w:rPr>
              <w:t>0</w:t>
            </w:r>
          </w:p>
        </w:tc>
        <w:tc>
          <w:tcPr>
            <w:tcW w:w="663" w:type="dxa"/>
            <w:shd w:val="clear" w:color="auto" w:fill="auto"/>
          </w:tcPr>
          <w:p w:rsidR="009C1E37" w:rsidRPr="002D275D" w:rsidRDefault="009C1E37" w:rsidP="002702E2">
            <w:pPr>
              <w:spacing w:line="276" w:lineRule="auto"/>
              <w:rPr>
                <w:u w:val="single"/>
              </w:rPr>
            </w:pPr>
            <w:r w:rsidRPr="002D275D">
              <w:rPr>
                <w:u w:val="single"/>
              </w:rPr>
              <w:t>1</w:t>
            </w:r>
          </w:p>
        </w:tc>
        <w:tc>
          <w:tcPr>
            <w:tcW w:w="663" w:type="dxa"/>
          </w:tcPr>
          <w:p w:rsidR="009C1E37" w:rsidRPr="002675E7" w:rsidRDefault="009C1E37" w:rsidP="002702E2">
            <w:pPr>
              <w:rPr>
                <w:u w:val="single"/>
              </w:rPr>
            </w:pPr>
            <w:r w:rsidRPr="002675E7">
              <w:rPr>
                <w:u w:val="single"/>
              </w:rPr>
              <w:t>0</w:t>
            </w:r>
          </w:p>
        </w:tc>
        <w:tc>
          <w:tcPr>
            <w:tcW w:w="454" w:type="dxa"/>
          </w:tcPr>
          <w:p w:rsidR="009C1E37" w:rsidRPr="000015DC" w:rsidRDefault="009C1E37" w:rsidP="002702E2">
            <w:pPr>
              <w:rPr>
                <w:u w:val="single"/>
              </w:rPr>
            </w:pPr>
            <w:r w:rsidRPr="000015DC">
              <w:rPr>
                <w:u w:val="single"/>
              </w:rPr>
              <w:t>0</w:t>
            </w:r>
          </w:p>
        </w:tc>
      </w:tr>
      <w:tr w:rsidR="009C1E37" w:rsidRPr="000015DC" w:rsidTr="002702E2">
        <w:tc>
          <w:tcPr>
            <w:tcW w:w="1694" w:type="dxa"/>
            <w:shd w:val="clear" w:color="auto" w:fill="B8CCE4" w:themeFill="accent1" w:themeFillTint="66"/>
          </w:tcPr>
          <w:p w:rsidR="009C1E37" w:rsidRPr="009750B1" w:rsidRDefault="009C1E37" w:rsidP="002702E2">
            <w:pPr>
              <w:spacing w:line="276" w:lineRule="auto"/>
              <w:jc w:val="left"/>
              <w:rPr>
                <w:sz w:val="20"/>
              </w:rPr>
            </w:pPr>
            <w:proofErr w:type="spellStart"/>
            <w:r w:rsidRPr="009750B1">
              <w:rPr>
                <w:sz w:val="20"/>
              </w:rPr>
              <w:t>Comportement</w:t>
            </w:r>
            <w:proofErr w:type="spellEnd"/>
            <w:r w:rsidRPr="009750B1">
              <w:rPr>
                <w:sz w:val="20"/>
              </w:rPr>
              <w:t xml:space="preserve"> humiliant</w:t>
            </w:r>
          </w:p>
        </w:tc>
        <w:tc>
          <w:tcPr>
            <w:tcW w:w="728" w:type="dxa"/>
          </w:tcPr>
          <w:p w:rsidR="009C1E37" w:rsidRPr="002D275D" w:rsidRDefault="009C1E37" w:rsidP="002702E2">
            <w:pPr>
              <w:spacing w:line="276" w:lineRule="auto"/>
              <w:rPr>
                <w:u w:val="single"/>
              </w:rPr>
            </w:pPr>
            <w:r w:rsidRPr="002D275D">
              <w:rPr>
                <w:u w:val="single"/>
              </w:rPr>
              <w:t>0</w:t>
            </w:r>
          </w:p>
        </w:tc>
        <w:tc>
          <w:tcPr>
            <w:tcW w:w="727" w:type="dxa"/>
          </w:tcPr>
          <w:p w:rsidR="009C1E37" w:rsidRPr="002D275D" w:rsidRDefault="009C1E37" w:rsidP="002702E2">
            <w:pPr>
              <w:spacing w:line="276" w:lineRule="auto"/>
              <w:rPr>
                <w:u w:val="single"/>
              </w:rPr>
            </w:pPr>
            <w:r w:rsidRPr="002D275D">
              <w:rPr>
                <w:u w:val="single"/>
              </w:rPr>
              <w:t>1</w:t>
            </w:r>
          </w:p>
        </w:tc>
        <w:tc>
          <w:tcPr>
            <w:tcW w:w="727" w:type="dxa"/>
          </w:tcPr>
          <w:p w:rsidR="009C1E37" w:rsidRPr="002D275D" w:rsidRDefault="009C1E37" w:rsidP="002702E2">
            <w:pPr>
              <w:spacing w:line="276" w:lineRule="auto"/>
              <w:rPr>
                <w:u w:val="single"/>
              </w:rPr>
            </w:pPr>
            <w:r w:rsidRPr="002D275D">
              <w:rPr>
                <w:u w:val="single"/>
              </w:rPr>
              <w:t>1</w:t>
            </w:r>
          </w:p>
        </w:tc>
        <w:tc>
          <w:tcPr>
            <w:tcW w:w="728" w:type="dxa"/>
          </w:tcPr>
          <w:p w:rsidR="009C1E37" w:rsidRPr="002D275D" w:rsidRDefault="009C1E37" w:rsidP="002702E2">
            <w:pPr>
              <w:spacing w:line="276" w:lineRule="auto"/>
              <w:rPr>
                <w:u w:val="single"/>
              </w:rPr>
            </w:pPr>
            <w:r w:rsidRPr="002D275D">
              <w:rPr>
                <w:u w:val="single"/>
              </w:rPr>
              <w:t>1</w:t>
            </w:r>
          </w:p>
        </w:tc>
        <w:tc>
          <w:tcPr>
            <w:tcW w:w="728" w:type="dxa"/>
          </w:tcPr>
          <w:p w:rsidR="009C1E37" w:rsidRPr="002D275D" w:rsidRDefault="009C1E37" w:rsidP="002702E2">
            <w:pPr>
              <w:spacing w:line="276" w:lineRule="auto"/>
              <w:rPr>
                <w:u w:val="single"/>
              </w:rPr>
            </w:pPr>
            <w:r w:rsidRPr="002D275D">
              <w:rPr>
                <w:u w:val="single"/>
              </w:rPr>
              <w:t>0</w:t>
            </w:r>
          </w:p>
        </w:tc>
        <w:tc>
          <w:tcPr>
            <w:tcW w:w="697" w:type="dxa"/>
          </w:tcPr>
          <w:p w:rsidR="009C1E37" w:rsidRPr="002D275D" w:rsidRDefault="009C1E37" w:rsidP="002702E2">
            <w:pPr>
              <w:spacing w:line="276" w:lineRule="auto"/>
              <w:rPr>
                <w:u w:val="single"/>
              </w:rPr>
            </w:pPr>
            <w:r w:rsidRPr="002D275D">
              <w:rPr>
                <w:u w:val="single"/>
              </w:rPr>
              <w:t>0</w:t>
            </w:r>
          </w:p>
        </w:tc>
        <w:tc>
          <w:tcPr>
            <w:tcW w:w="697" w:type="dxa"/>
          </w:tcPr>
          <w:p w:rsidR="009C1E37" w:rsidRPr="002D275D" w:rsidRDefault="009C1E37" w:rsidP="002702E2">
            <w:pPr>
              <w:spacing w:line="276" w:lineRule="auto"/>
              <w:rPr>
                <w:u w:val="single"/>
              </w:rPr>
            </w:pPr>
            <w:r w:rsidRPr="002D275D">
              <w:rPr>
                <w:u w:val="single"/>
              </w:rPr>
              <w:t>0</w:t>
            </w:r>
          </w:p>
        </w:tc>
        <w:tc>
          <w:tcPr>
            <w:tcW w:w="674" w:type="dxa"/>
            <w:shd w:val="clear" w:color="auto" w:fill="FFFFFF" w:themeFill="background1"/>
          </w:tcPr>
          <w:p w:rsidR="009C1E37" w:rsidRPr="002D275D" w:rsidRDefault="009C1E37" w:rsidP="002702E2">
            <w:pPr>
              <w:spacing w:line="276" w:lineRule="auto"/>
              <w:rPr>
                <w:u w:val="single"/>
              </w:rPr>
            </w:pPr>
            <w:r w:rsidRPr="002D275D">
              <w:rPr>
                <w:u w:val="single"/>
              </w:rPr>
              <w:t>0</w:t>
            </w:r>
          </w:p>
        </w:tc>
        <w:tc>
          <w:tcPr>
            <w:tcW w:w="663" w:type="dxa"/>
            <w:shd w:val="clear" w:color="auto" w:fill="auto"/>
          </w:tcPr>
          <w:p w:rsidR="009C1E37" w:rsidRPr="002D275D" w:rsidRDefault="009C1E37" w:rsidP="002702E2">
            <w:pPr>
              <w:spacing w:line="276" w:lineRule="auto"/>
              <w:rPr>
                <w:u w:val="single"/>
              </w:rPr>
            </w:pPr>
            <w:r w:rsidRPr="002D275D">
              <w:rPr>
                <w:u w:val="single"/>
              </w:rPr>
              <w:t>0</w:t>
            </w:r>
          </w:p>
        </w:tc>
        <w:tc>
          <w:tcPr>
            <w:tcW w:w="663" w:type="dxa"/>
          </w:tcPr>
          <w:p w:rsidR="009C1E37" w:rsidRPr="002675E7" w:rsidRDefault="009C1E37" w:rsidP="002702E2">
            <w:pPr>
              <w:rPr>
                <w:u w:val="single"/>
              </w:rPr>
            </w:pPr>
            <w:r w:rsidRPr="002675E7">
              <w:rPr>
                <w:u w:val="single"/>
              </w:rPr>
              <w:t>0</w:t>
            </w:r>
          </w:p>
        </w:tc>
        <w:tc>
          <w:tcPr>
            <w:tcW w:w="454" w:type="dxa"/>
          </w:tcPr>
          <w:p w:rsidR="009C1E37" w:rsidRPr="000015DC" w:rsidRDefault="009C1E37" w:rsidP="002702E2">
            <w:pPr>
              <w:rPr>
                <w:u w:val="single"/>
              </w:rPr>
            </w:pPr>
            <w:r w:rsidRPr="000015DC">
              <w:rPr>
                <w:u w:val="single"/>
              </w:rPr>
              <w:t>0</w:t>
            </w:r>
          </w:p>
        </w:tc>
      </w:tr>
      <w:tr w:rsidR="009C1E37" w:rsidRPr="000015DC" w:rsidTr="002702E2">
        <w:tc>
          <w:tcPr>
            <w:tcW w:w="1694" w:type="dxa"/>
            <w:shd w:val="clear" w:color="auto" w:fill="B8CCE4" w:themeFill="accent1" w:themeFillTint="66"/>
          </w:tcPr>
          <w:p w:rsidR="009C1E37" w:rsidRPr="009C1E37" w:rsidRDefault="009C1E37" w:rsidP="002702E2">
            <w:pPr>
              <w:spacing w:line="276" w:lineRule="auto"/>
              <w:jc w:val="left"/>
              <w:rPr>
                <w:sz w:val="20"/>
                <w:lang w:val="fr-FR"/>
              </w:rPr>
            </w:pPr>
            <w:r w:rsidRPr="009C1E37">
              <w:rPr>
                <w:sz w:val="20"/>
                <w:lang w:val="fr-FR"/>
              </w:rPr>
              <w:t>Violence policière contre des personnes OU des biens</w:t>
            </w:r>
          </w:p>
        </w:tc>
        <w:tc>
          <w:tcPr>
            <w:tcW w:w="728" w:type="dxa"/>
          </w:tcPr>
          <w:p w:rsidR="009C1E37" w:rsidRPr="002D275D" w:rsidRDefault="009C1E37" w:rsidP="002702E2">
            <w:pPr>
              <w:spacing w:line="276" w:lineRule="auto"/>
              <w:rPr>
                <w:u w:val="single"/>
              </w:rPr>
            </w:pPr>
            <w:r w:rsidRPr="002D275D">
              <w:rPr>
                <w:u w:val="single"/>
              </w:rPr>
              <w:t>242</w:t>
            </w:r>
          </w:p>
        </w:tc>
        <w:tc>
          <w:tcPr>
            <w:tcW w:w="727" w:type="dxa"/>
          </w:tcPr>
          <w:p w:rsidR="009C1E37" w:rsidRPr="002D275D" w:rsidRDefault="009C1E37" w:rsidP="002702E2">
            <w:pPr>
              <w:spacing w:line="276" w:lineRule="auto"/>
              <w:rPr>
                <w:u w:val="single"/>
              </w:rPr>
            </w:pPr>
            <w:r w:rsidRPr="002D275D">
              <w:rPr>
                <w:u w:val="single"/>
              </w:rPr>
              <w:t>155</w:t>
            </w:r>
          </w:p>
        </w:tc>
        <w:tc>
          <w:tcPr>
            <w:tcW w:w="727" w:type="dxa"/>
          </w:tcPr>
          <w:p w:rsidR="009C1E37" w:rsidRPr="002D275D" w:rsidRDefault="009C1E37" w:rsidP="002702E2">
            <w:pPr>
              <w:spacing w:line="276" w:lineRule="auto"/>
              <w:rPr>
                <w:u w:val="single"/>
              </w:rPr>
            </w:pPr>
            <w:r w:rsidRPr="002D275D">
              <w:rPr>
                <w:u w:val="single"/>
              </w:rPr>
              <w:t>81</w:t>
            </w:r>
          </w:p>
        </w:tc>
        <w:tc>
          <w:tcPr>
            <w:tcW w:w="728" w:type="dxa"/>
          </w:tcPr>
          <w:p w:rsidR="009C1E37" w:rsidRPr="002D275D" w:rsidRDefault="009C1E37" w:rsidP="002702E2">
            <w:pPr>
              <w:spacing w:line="276" w:lineRule="auto"/>
              <w:rPr>
                <w:u w:val="single"/>
              </w:rPr>
            </w:pPr>
            <w:r w:rsidRPr="002D275D">
              <w:rPr>
                <w:u w:val="single"/>
              </w:rPr>
              <w:t>48</w:t>
            </w:r>
          </w:p>
        </w:tc>
        <w:tc>
          <w:tcPr>
            <w:tcW w:w="728" w:type="dxa"/>
          </w:tcPr>
          <w:p w:rsidR="009C1E37" w:rsidRPr="002D275D" w:rsidRDefault="009C1E37" w:rsidP="002702E2">
            <w:pPr>
              <w:spacing w:line="276" w:lineRule="auto"/>
              <w:rPr>
                <w:u w:val="single"/>
              </w:rPr>
            </w:pPr>
            <w:r w:rsidRPr="002D275D">
              <w:rPr>
                <w:u w:val="single"/>
              </w:rPr>
              <w:t>51</w:t>
            </w:r>
          </w:p>
        </w:tc>
        <w:tc>
          <w:tcPr>
            <w:tcW w:w="697" w:type="dxa"/>
          </w:tcPr>
          <w:p w:rsidR="009C1E37" w:rsidRPr="002D275D" w:rsidRDefault="009C1E37" w:rsidP="002702E2">
            <w:pPr>
              <w:spacing w:line="276" w:lineRule="auto"/>
              <w:rPr>
                <w:u w:val="single"/>
              </w:rPr>
            </w:pPr>
            <w:r w:rsidRPr="002D275D">
              <w:rPr>
                <w:u w:val="single"/>
              </w:rPr>
              <w:t>46</w:t>
            </w:r>
          </w:p>
        </w:tc>
        <w:tc>
          <w:tcPr>
            <w:tcW w:w="697" w:type="dxa"/>
          </w:tcPr>
          <w:p w:rsidR="009C1E37" w:rsidRPr="002D275D" w:rsidRDefault="009C1E37" w:rsidP="002702E2">
            <w:pPr>
              <w:spacing w:line="276" w:lineRule="auto"/>
              <w:rPr>
                <w:u w:val="single"/>
              </w:rPr>
            </w:pPr>
            <w:r w:rsidRPr="002D275D">
              <w:rPr>
                <w:u w:val="single"/>
              </w:rPr>
              <w:t>45</w:t>
            </w:r>
          </w:p>
        </w:tc>
        <w:tc>
          <w:tcPr>
            <w:tcW w:w="674" w:type="dxa"/>
            <w:shd w:val="clear" w:color="auto" w:fill="FFFFFF" w:themeFill="background1"/>
          </w:tcPr>
          <w:p w:rsidR="009C1E37" w:rsidRPr="002D275D" w:rsidRDefault="009C1E37" w:rsidP="002702E2">
            <w:pPr>
              <w:spacing w:line="276" w:lineRule="auto"/>
              <w:rPr>
                <w:u w:val="single"/>
              </w:rPr>
            </w:pPr>
            <w:r w:rsidRPr="002D275D">
              <w:rPr>
                <w:u w:val="single"/>
              </w:rPr>
              <w:t>26</w:t>
            </w:r>
          </w:p>
        </w:tc>
        <w:tc>
          <w:tcPr>
            <w:tcW w:w="663" w:type="dxa"/>
            <w:shd w:val="clear" w:color="auto" w:fill="auto"/>
          </w:tcPr>
          <w:p w:rsidR="009C1E37" w:rsidRPr="002D275D" w:rsidRDefault="009C1E37" w:rsidP="002702E2">
            <w:pPr>
              <w:spacing w:line="276" w:lineRule="auto"/>
              <w:rPr>
                <w:u w:val="single"/>
              </w:rPr>
            </w:pPr>
            <w:r w:rsidRPr="002D275D">
              <w:rPr>
                <w:u w:val="single"/>
              </w:rPr>
              <w:t>30</w:t>
            </w:r>
          </w:p>
        </w:tc>
        <w:tc>
          <w:tcPr>
            <w:tcW w:w="663" w:type="dxa"/>
          </w:tcPr>
          <w:p w:rsidR="009C1E37" w:rsidRPr="002675E7" w:rsidRDefault="009C1E37" w:rsidP="002702E2">
            <w:pPr>
              <w:rPr>
                <w:u w:val="single"/>
              </w:rPr>
            </w:pPr>
            <w:r w:rsidRPr="002675E7">
              <w:rPr>
                <w:u w:val="single"/>
              </w:rPr>
              <w:t>37</w:t>
            </w:r>
          </w:p>
        </w:tc>
        <w:tc>
          <w:tcPr>
            <w:tcW w:w="454" w:type="dxa"/>
          </w:tcPr>
          <w:p w:rsidR="009C1E37" w:rsidRPr="000015DC" w:rsidRDefault="009C1E37" w:rsidP="002702E2">
            <w:pPr>
              <w:rPr>
                <w:u w:val="single"/>
              </w:rPr>
            </w:pPr>
            <w:r w:rsidRPr="000015DC">
              <w:rPr>
                <w:u w:val="single"/>
              </w:rPr>
              <w:t>30</w:t>
            </w:r>
          </w:p>
        </w:tc>
      </w:tr>
      <w:tr w:rsidR="009C1E37" w:rsidRPr="000015DC" w:rsidTr="002702E2">
        <w:tc>
          <w:tcPr>
            <w:tcW w:w="1694" w:type="dxa"/>
            <w:shd w:val="clear" w:color="auto" w:fill="365F91" w:themeFill="accent1" w:themeFillShade="BF"/>
          </w:tcPr>
          <w:p w:rsidR="009C1E37" w:rsidRPr="009C1E37" w:rsidRDefault="009C1E37" w:rsidP="002702E2">
            <w:pPr>
              <w:spacing w:line="276" w:lineRule="auto"/>
              <w:jc w:val="left"/>
              <w:rPr>
                <w:color w:val="FFFFFF" w:themeColor="background1"/>
                <w:sz w:val="20"/>
                <w:lang w:val="fr-FR"/>
              </w:rPr>
            </w:pPr>
            <w:r w:rsidRPr="009C1E37">
              <w:rPr>
                <w:color w:val="FFFFFF" w:themeColor="background1"/>
                <w:sz w:val="20"/>
                <w:lang w:val="fr-FR"/>
              </w:rPr>
              <w:t>Nombre total d’enquêtes judiciaires effectuées par le Service d’enquêtes P</w:t>
            </w:r>
          </w:p>
        </w:tc>
        <w:tc>
          <w:tcPr>
            <w:tcW w:w="728" w:type="dxa"/>
          </w:tcPr>
          <w:p w:rsidR="009C1E37" w:rsidRPr="002D275D" w:rsidRDefault="009C1E37" w:rsidP="002702E2">
            <w:pPr>
              <w:spacing w:line="276" w:lineRule="auto"/>
              <w:rPr>
                <w:u w:val="single"/>
              </w:rPr>
            </w:pPr>
            <w:r w:rsidRPr="002D275D">
              <w:rPr>
                <w:u w:val="single"/>
              </w:rPr>
              <w:t>592</w:t>
            </w:r>
          </w:p>
        </w:tc>
        <w:tc>
          <w:tcPr>
            <w:tcW w:w="727" w:type="dxa"/>
          </w:tcPr>
          <w:p w:rsidR="009C1E37" w:rsidRPr="002D275D" w:rsidRDefault="009C1E37" w:rsidP="002702E2">
            <w:pPr>
              <w:spacing w:line="276" w:lineRule="auto"/>
              <w:rPr>
                <w:u w:val="single"/>
              </w:rPr>
            </w:pPr>
            <w:r w:rsidRPr="002D275D">
              <w:rPr>
                <w:u w:val="single"/>
              </w:rPr>
              <w:t>444</w:t>
            </w:r>
          </w:p>
        </w:tc>
        <w:tc>
          <w:tcPr>
            <w:tcW w:w="727" w:type="dxa"/>
          </w:tcPr>
          <w:p w:rsidR="009C1E37" w:rsidRPr="002D275D" w:rsidRDefault="009C1E37" w:rsidP="002702E2">
            <w:pPr>
              <w:spacing w:line="276" w:lineRule="auto"/>
              <w:rPr>
                <w:u w:val="single"/>
              </w:rPr>
            </w:pPr>
            <w:r w:rsidRPr="002D275D">
              <w:rPr>
                <w:u w:val="single"/>
              </w:rPr>
              <w:t>281</w:t>
            </w:r>
          </w:p>
        </w:tc>
        <w:tc>
          <w:tcPr>
            <w:tcW w:w="728" w:type="dxa"/>
          </w:tcPr>
          <w:p w:rsidR="009C1E37" w:rsidRPr="002D275D" w:rsidRDefault="009C1E37" w:rsidP="002702E2">
            <w:pPr>
              <w:spacing w:line="276" w:lineRule="auto"/>
              <w:rPr>
                <w:u w:val="single"/>
              </w:rPr>
            </w:pPr>
            <w:r w:rsidRPr="002D275D">
              <w:rPr>
                <w:u w:val="single"/>
              </w:rPr>
              <w:t>279</w:t>
            </w:r>
          </w:p>
        </w:tc>
        <w:tc>
          <w:tcPr>
            <w:tcW w:w="728" w:type="dxa"/>
          </w:tcPr>
          <w:p w:rsidR="009C1E37" w:rsidRPr="002D275D" w:rsidRDefault="009C1E37" w:rsidP="002702E2">
            <w:pPr>
              <w:spacing w:line="276" w:lineRule="auto"/>
              <w:rPr>
                <w:u w:val="single"/>
              </w:rPr>
            </w:pPr>
            <w:r w:rsidRPr="002D275D">
              <w:rPr>
                <w:u w:val="single"/>
              </w:rPr>
              <w:t>259</w:t>
            </w:r>
          </w:p>
        </w:tc>
        <w:tc>
          <w:tcPr>
            <w:tcW w:w="697" w:type="dxa"/>
          </w:tcPr>
          <w:p w:rsidR="009C1E37" w:rsidRPr="002D275D" w:rsidRDefault="009C1E37" w:rsidP="002702E2">
            <w:pPr>
              <w:spacing w:line="276" w:lineRule="auto"/>
              <w:rPr>
                <w:u w:val="single"/>
              </w:rPr>
            </w:pPr>
            <w:r w:rsidRPr="002D275D">
              <w:rPr>
                <w:u w:val="single"/>
              </w:rPr>
              <w:t>281</w:t>
            </w:r>
          </w:p>
        </w:tc>
        <w:tc>
          <w:tcPr>
            <w:tcW w:w="697" w:type="dxa"/>
          </w:tcPr>
          <w:p w:rsidR="009C1E37" w:rsidRPr="002D275D" w:rsidRDefault="009C1E37" w:rsidP="002702E2">
            <w:pPr>
              <w:spacing w:line="276" w:lineRule="auto"/>
              <w:rPr>
                <w:u w:val="single"/>
              </w:rPr>
            </w:pPr>
            <w:r w:rsidRPr="002D275D">
              <w:rPr>
                <w:u w:val="single"/>
              </w:rPr>
              <w:t>224</w:t>
            </w:r>
          </w:p>
        </w:tc>
        <w:tc>
          <w:tcPr>
            <w:tcW w:w="674" w:type="dxa"/>
            <w:shd w:val="clear" w:color="auto" w:fill="FFFFFF" w:themeFill="background1"/>
          </w:tcPr>
          <w:p w:rsidR="009C1E37" w:rsidRPr="002D275D" w:rsidRDefault="009C1E37" w:rsidP="002702E2">
            <w:pPr>
              <w:spacing w:line="276" w:lineRule="auto"/>
              <w:rPr>
                <w:u w:val="single"/>
              </w:rPr>
            </w:pPr>
            <w:r w:rsidRPr="002D275D">
              <w:rPr>
                <w:u w:val="single"/>
              </w:rPr>
              <w:t>118</w:t>
            </w:r>
          </w:p>
        </w:tc>
        <w:tc>
          <w:tcPr>
            <w:tcW w:w="663" w:type="dxa"/>
            <w:shd w:val="clear" w:color="auto" w:fill="auto"/>
          </w:tcPr>
          <w:p w:rsidR="009C1E37" w:rsidRPr="002D275D" w:rsidRDefault="009C1E37" w:rsidP="002702E2">
            <w:pPr>
              <w:spacing w:line="276" w:lineRule="auto"/>
              <w:rPr>
                <w:u w:val="single"/>
              </w:rPr>
            </w:pPr>
            <w:r w:rsidRPr="002D275D">
              <w:rPr>
                <w:u w:val="single"/>
              </w:rPr>
              <w:t>128</w:t>
            </w:r>
          </w:p>
        </w:tc>
        <w:tc>
          <w:tcPr>
            <w:tcW w:w="663" w:type="dxa"/>
          </w:tcPr>
          <w:p w:rsidR="009C1E37" w:rsidRPr="002675E7" w:rsidRDefault="009C1E37" w:rsidP="002702E2">
            <w:pPr>
              <w:rPr>
                <w:u w:val="single"/>
              </w:rPr>
            </w:pPr>
            <w:r w:rsidRPr="002675E7">
              <w:rPr>
                <w:u w:val="single"/>
              </w:rPr>
              <w:t>113</w:t>
            </w:r>
          </w:p>
        </w:tc>
        <w:tc>
          <w:tcPr>
            <w:tcW w:w="454" w:type="dxa"/>
          </w:tcPr>
          <w:p w:rsidR="009C1E37" w:rsidRPr="000015DC" w:rsidRDefault="009C1E37" w:rsidP="002702E2">
            <w:pPr>
              <w:rPr>
                <w:u w:val="single"/>
              </w:rPr>
            </w:pPr>
            <w:r w:rsidRPr="000015DC">
              <w:rPr>
                <w:u w:val="single"/>
              </w:rPr>
              <w:t>132</w:t>
            </w:r>
          </w:p>
        </w:tc>
      </w:tr>
    </w:tbl>
    <w:p w:rsidR="009C1E37" w:rsidRPr="002D275D" w:rsidRDefault="009C1E37" w:rsidP="009C1E37">
      <w:pPr>
        <w:rPr>
          <w:u w:val="single"/>
        </w:rPr>
      </w:pPr>
    </w:p>
    <w:p w:rsidR="002279B9" w:rsidRDefault="002279B9" w:rsidP="002279B9">
      <w:pPr>
        <w:pStyle w:val="Default"/>
        <w:jc w:val="both"/>
        <w:rPr>
          <w:rFonts w:asciiTheme="minorHAnsi" w:hAnsiTheme="minorHAnsi"/>
          <w:b/>
          <w:color w:val="auto"/>
          <w:sz w:val="22"/>
          <w:szCs w:val="22"/>
          <w:lang w:val="fr-FR"/>
        </w:rPr>
      </w:pPr>
    </w:p>
    <w:p w:rsidR="002279B9" w:rsidRDefault="002279B9" w:rsidP="002279B9">
      <w:pPr>
        <w:pStyle w:val="Default"/>
        <w:jc w:val="both"/>
        <w:rPr>
          <w:rFonts w:asciiTheme="minorHAnsi" w:hAnsiTheme="minorHAnsi"/>
          <w:b/>
          <w:color w:val="auto"/>
          <w:sz w:val="22"/>
          <w:szCs w:val="22"/>
          <w:lang w:val="fr-FR"/>
        </w:rPr>
      </w:pPr>
    </w:p>
    <w:p w:rsidR="00534A4F" w:rsidRDefault="00534A4F">
      <w:pPr>
        <w:rPr>
          <w:lang w:val="nl-BE"/>
        </w:rPr>
      </w:pPr>
      <w:r>
        <w:rPr>
          <w:lang w:val="nl-BE"/>
        </w:rPr>
        <w:br w:type="page"/>
      </w:r>
    </w:p>
    <w:p w:rsidR="00534A4F" w:rsidRDefault="00534A4F" w:rsidP="00534A4F">
      <w:pPr>
        <w:jc w:val="both"/>
        <w:rPr>
          <w:b/>
          <w:sz w:val="28"/>
          <w:szCs w:val="28"/>
          <w:lang w:val="fr-FR"/>
        </w:rPr>
      </w:pPr>
      <w:r>
        <w:rPr>
          <w:b/>
          <w:sz w:val="28"/>
          <w:szCs w:val="28"/>
          <w:lang w:val="fr-FR"/>
        </w:rPr>
        <w:t>3) Collège des procureurs généraux</w:t>
      </w:r>
    </w:p>
    <w:p w:rsidR="00122581" w:rsidRPr="00122581" w:rsidRDefault="00122581" w:rsidP="00122581">
      <w:pPr>
        <w:pStyle w:val="Default"/>
        <w:spacing w:before="120" w:after="120" w:line="276" w:lineRule="auto"/>
        <w:jc w:val="both"/>
        <w:rPr>
          <w:rFonts w:asciiTheme="minorHAnsi" w:hAnsiTheme="minorHAnsi"/>
          <w:lang w:val="fr-BE"/>
        </w:rPr>
      </w:pPr>
      <w:r w:rsidRPr="00122581">
        <w:rPr>
          <w:rFonts w:asciiTheme="minorHAnsi" w:hAnsiTheme="minorHAnsi"/>
          <w:lang w:val="fr-FR"/>
        </w:rPr>
        <w:t>Les analystes statistiques ont été en mesure d’en extraire le nombre d’affaires de torture, traitement inhumain ou dégradant entrées dans les parquets correctionnels entre le 1er janvier 2011 et le 31 décembre 2016. Notons que le paysage judiciaire belge compte, depuis la réforme entrée en vigueur le 1er avril 2014, 15 parquets de « premier degré ». Les chiffres présentés dans le tableau ci-dessous couvrent 14 d’entre eux, le parquet d’Eupen n’enregistrant pas encore ses données dans le système informatique en place. Précisons également que le tableau ci-dessous utilise l’affaire pénale comme unité de compte, une même affaire pouvant compter un ou plusieurs prévenus.</w:t>
      </w:r>
    </w:p>
    <w:p w:rsidR="00534A4F" w:rsidRPr="002702E2" w:rsidRDefault="00534A4F" w:rsidP="00534A4F">
      <w:pPr>
        <w:jc w:val="both"/>
        <w:rPr>
          <w:b/>
          <w:bCs/>
          <w:sz w:val="28"/>
          <w:szCs w:val="28"/>
          <w:lang w:val="fr-BE"/>
        </w:rPr>
      </w:pPr>
      <w:r w:rsidRPr="002702E2">
        <w:rPr>
          <w:b/>
          <w:bCs/>
          <w:sz w:val="28"/>
          <w:szCs w:val="28"/>
          <w:lang w:val="fr-BE"/>
        </w:rPr>
        <w:t>Nombre d’affaires de torture, traitement inhumain ou dégradant entrées dans les parquets correctionnels de Belgique, entre le 1</w:t>
      </w:r>
      <w:r w:rsidRPr="002702E2">
        <w:rPr>
          <w:b/>
          <w:bCs/>
          <w:sz w:val="28"/>
          <w:szCs w:val="28"/>
          <w:vertAlign w:val="superscript"/>
          <w:lang w:val="fr-BE"/>
        </w:rPr>
        <w:t>er</w:t>
      </w:r>
      <w:r w:rsidRPr="002702E2">
        <w:rPr>
          <w:b/>
          <w:bCs/>
          <w:sz w:val="28"/>
          <w:szCs w:val="28"/>
          <w:lang w:val="fr-BE"/>
        </w:rPr>
        <w:t xml:space="preserve"> janvier 2012 et le 31 décembre 2016</w:t>
      </w:r>
      <w:r>
        <w:rPr>
          <w:b/>
          <w:bCs/>
          <w:sz w:val="28"/>
          <w:szCs w:val="28"/>
          <w:lang w:val="fr-BE"/>
        </w:rPr>
        <w:t xml:space="preserve"> (tableau 4)</w:t>
      </w:r>
      <w:r w:rsidRPr="002702E2">
        <w:rPr>
          <w:b/>
          <w:bCs/>
          <w:sz w:val="28"/>
          <w:szCs w:val="28"/>
          <w:lang w:val="fr-BE"/>
        </w:rPr>
        <w:t>.</w:t>
      </w:r>
    </w:p>
    <w:p w:rsidR="00534A4F" w:rsidRPr="002702E2" w:rsidRDefault="00534A4F" w:rsidP="00534A4F">
      <w:pPr>
        <w:jc w:val="both"/>
        <w:rPr>
          <w:b/>
          <w:sz w:val="28"/>
          <w:szCs w:val="28"/>
          <w:lang w:val="fr-BE"/>
        </w:rPr>
      </w:pPr>
    </w:p>
    <w:tbl>
      <w:tblPr>
        <w:tblW w:w="0" w:type="auto"/>
        <w:jc w:val="center"/>
        <w:tblLayout w:type="fixed"/>
        <w:tblCellMar>
          <w:left w:w="0" w:type="dxa"/>
          <w:right w:w="0" w:type="dxa"/>
        </w:tblCellMar>
        <w:tblLook w:val="0000" w:firstRow="0" w:lastRow="0" w:firstColumn="0" w:lastColumn="0" w:noHBand="0" w:noVBand="0"/>
      </w:tblPr>
      <w:tblGrid>
        <w:gridCol w:w="680"/>
        <w:gridCol w:w="581"/>
        <w:gridCol w:w="605"/>
        <w:gridCol w:w="721"/>
        <w:gridCol w:w="721"/>
        <w:gridCol w:w="717"/>
        <w:gridCol w:w="717"/>
        <w:gridCol w:w="378"/>
        <w:gridCol w:w="605"/>
      </w:tblGrid>
      <w:tr w:rsidR="00534A4F" w:rsidRPr="002702E2" w:rsidTr="00534A4F">
        <w:trPr>
          <w:cantSplit/>
          <w:tblHeader/>
          <w:jc w:val="center"/>
        </w:trPr>
        <w:tc>
          <w:tcPr>
            <w:tcW w:w="680"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534A4F" w:rsidRPr="002702E2" w:rsidRDefault="00534A4F" w:rsidP="00534A4F">
            <w:pPr>
              <w:pStyle w:val="Default"/>
              <w:jc w:val="both"/>
              <w:rPr>
                <w:b/>
                <w:lang w:val="fr-BE"/>
              </w:rPr>
            </w:pPr>
          </w:p>
        </w:tc>
        <w:tc>
          <w:tcPr>
            <w:tcW w:w="1186"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43F - Torture</w:t>
            </w:r>
          </w:p>
        </w:tc>
        <w:tc>
          <w:tcPr>
            <w:tcW w:w="1442"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43G - Traitement inhumain</w:t>
            </w:r>
          </w:p>
        </w:tc>
        <w:tc>
          <w:tcPr>
            <w:tcW w:w="1434"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43H - Traitement dégradant</w:t>
            </w:r>
          </w:p>
        </w:tc>
        <w:tc>
          <w:tcPr>
            <w:tcW w:w="983"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TOTAL</w:t>
            </w:r>
          </w:p>
        </w:tc>
      </w:tr>
      <w:tr w:rsidR="00534A4F" w:rsidRPr="002702E2" w:rsidTr="00534A4F">
        <w:trPr>
          <w:cantSplit/>
          <w:tblHeader/>
          <w:jc w:val="center"/>
        </w:trPr>
        <w:tc>
          <w:tcPr>
            <w:tcW w:w="680"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534A4F" w:rsidRPr="002702E2" w:rsidRDefault="00534A4F" w:rsidP="00534A4F">
            <w:pPr>
              <w:pStyle w:val="Default"/>
              <w:jc w:val="both"/>
              <w:rPr>
                <w:b/>
                <w:lang w:val="fr-BE"/>
              </w:rPr>
            </w:pPr>
          </w:p>
        </w:tc>
        <w:tc>
          <w:tcPr>
            <w:tcW w:w="581"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w:t>
            </w:r>
          </w:p>
        </w:tc>
        <w:tc>
          <w:tcPr>
            <w:tcW w:w="721"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n</w:t>
            </w:r>
          </w:p>
        </w:tc>
        <w:tc>
          <w:tcPr>
            <w:tcW w:w="721"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w:t>
            </w:r>
          </w:p>
        </w:tc>
        <w:tc>
          <w:tcPr>
            <w:tcW w:w="717"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n</w:t>
            </w:r>
          </w:p>
        </w:tc>
        <w:tc>
          <w:tcPr>
            <w:tcW w:w="717"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rsidR="00534A4F" w:rsidRPr="002702E2" w:rsidRDefault="00534A4F" w:rsidP="00534A4F">
            <w:pPr>
              <w:pStyle w:val="Default"/>
              <w:jc w:val="both"/>
              <w:rPr>
                <w:b/>
                <w:lang w:val="fr-BE"/>
              </w:rPr>
            </w:pPr>
            <w:r w:rsidRPr="002702E2">
              <w:rPr>
                <w:b/>
                <w:lang w:val="fr-BE"/>
              </w:rPr>
              <w:t>%</w:t>
            </w:r>
          </w:p>
        </w:tc>
      </w:tr>
      <w:tr w:rsidR="00534A4F" w:rsidRPr="002702E2" w:rsidTr="00534A4F">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rsidR="00534A4F" w:rsidRPr="002702E2" w:rsidRDefault="00534A4F" w:rsidP="00534A4F">
            <w:pPr>
              <w:pStyle w:val="Default"/>
              <w:jc w:val="both"/>
              <w:rPr>
                <w:b/>
                <w:bCs/>
                <w:lang w:val="fr-BE"/>
              </w:rPr>
            </w:pPr>
            <w:r w:rsidRPr="002702E2">
              <w:rPr>
                <w:b/>
                <w:bCs/>
                <w:lang w:val="fr-BE"/>
              </w:rPr>
              <w:t>2012</w:t>
            </w:r>
          </w:p>
        </w:tc>
        <w:tc>
          <w:tcPr>
            <w:tcW w:w="58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17,82</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88</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16,64</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54</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16,72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160</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16,79</w:t>
            </w:r>
          </w:p>
        </w:tc>
      </w:tr>
      <w:tr w:rsidR="00534A4F" w:rsidRPr="002702E2" w:rsidTr="00534A4F">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rsidR="00534A4F" w:rsidRPr="002702E2" w:rsidRDefault="00534A4F" w:rsidP="00534A4F">
            <w:pPr>
              <w:pStyle w:val="Default"/>
              <w:jc w:val="both"/>
              <w:rPr>
                <w:b/>
                <w:bCs/>
                <w:lang w:val="fr-BE"/>
              </w:rPr>
            </w:pPr>
            <w:r w:rsidRPr="002702E2">
              <w:rPr>
                <w:b/>
                <w:bCs/>
                <w:lang w:val="fr-BE"/>
              </w:rPr>
              <w:t>2013</w:t>
            </w:r>
          </w:p>
        </w:tc>
        <w:tc>
          <w:tcPr>
            <w:tcW w:w="58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16,83</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101</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19,09</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65</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20,12</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183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19,20</w:t>
            </w:r>
          </w:p>
        </w:tc>
      </w:tr>
      <w:tr w:rsidR="00534A4F" w:rsidRPr="002702E2" w:rsidTr="00534A4F">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rsidR="00534A4F" w:rsidRPr="002702E2" w:rsidRDefault="00534A4F" w:rsidP="00534A4F">
            <w:pPr>
              <w:pStyle w:val="Default"/>
              <w:jc w:val="both"/>
              <w:rPr>
                <w:b/>
                <w:bCs/>
                <w:lang w:val="fr-BE"/>
              </w:rPr>
            </w:pPr>
            <w:r w:rsidRPr="002702E2">
              <w:rPr>
                <w:b/>
                <w:bCs/>
                <w:lang w:val="fr-BE"/>
              </w:rPr>
              <w:t>2014</w:t>
            </w:r>
          </w:p>
        </w:tc>
        <w:tc>
          <w:tcPr>
            <w:tcW w:w="58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13,86</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108</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20,42</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60</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18,58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182</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19,10</w:t>
            </w:r>
          </w:p>
        </w:tc>
      </w:tr>
      <w:tr w:rsidR="00534A4F" w:rsidRPr="002702E2" w:rsidTr="00534A4F">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rsidR="00534A4F" w:rsidRPr="002702E2" w:rsidRDefault="00534A4F" w:rsidP="00534A4F">
            <w:pPr>
              <w:pStyle w:val="Default"/>
              <w:jc w:val="both"/>
              <w:rPr>
                <w:b/>
                <w:bCs/>
                <w:lang w:val="fr-BE"/>
              </w:rPr>
            </w:pPr>
            <w:r w:rsidRPr="002702E2">
              <w:rPr>
                <w:b/>
                <w:bCs/>
                <w:lang w:val="fr-BE"/>
              </w:rPr>
              <w:t>2015</w:t>
            </w:r>
          </w:p>
        </w:tc>
        <w:tc>
          <w:tcPr>
            <w:tcW w:w="58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23,76</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108</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20,42</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71</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21,98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203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21,30</w:t>
            </w:r>
          </w:p>
        </w:tc>
      </w:tr>
      <w:tr w:rsidR="00534A4F" w:rsidRPr="002702E2" w:rsidTr="00534A4F">
        <w:trPr>
          <w:cantSplit/>
          <w:jc w:val="center"/>
        </w:trPr>
        <w:tc>
          <w:tcPr>
            <w:tcW w:w="680" w:type="dxa"/>
            <w:tcBorders>
              <w:top w:val="nil"/>
              <w:left w:val="single" w:sz="15" w:space="0" w:color="E6E6E6"/>
              <w:bottom w:val="single" w:sz="4" w:space="0" w:color="E6E6E6"/>
              <w:right w:val="nil"/>
            </w:tcBorders>
            <w:shd w:val="clear" w:color="auto" w:fill="FFFFFF"/>
            <w:tcMar>
              <w:left w:w="48" w:type="dxa"/>
              <w:right w:w="48" w:type="dxa"/>
            </w:tcMar>
          </w:tcPr>
          <w:p w:rsidR="00534A4F" w:rsidRPr="002702E2" w:rsidRDefault="00534A4F" w:rsidP="00534A4F">
            <w:pPr>
              <w:pStyle w:val="Default"/>
              <w:jc w:val="both"/>
              <w:rPr>
                <w:b/>
                <w:bCs/>
                <w:lang w:val="fr-BE"/>
              </w:rPr>
            </w:pPr>
            <w:r w:rsidRPr="002702E2">
              <w:rPr>
                <w:b/>
                <w:bCs/>
                <w:lang w:val="fr-BE"/>
              </w:rPr>
              <w:t>2016</w:t>
            </w:r>
          </w:p>
        </w:tc>
        <w:tc>
          <w:tcPr>
            <w:tcW w:w="58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27,72</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124</w:t>
            </w:r>
          </w:p>
        </w:tc>
        <w:tc>
          <w:tcPr>
            <w:tcW w:w="721"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23,44</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73</w:t>
            </w:r>
          </w:p>
        </w:tc>
        <w:tc>
          <w:tcPr>
            <w:tcW w:w="717"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22,60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225</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23,61</w:t>
            </w:r>
          </w:p>
        </w:tc>
      </w:tr>
      <w:tr w:rsidR="00534A4F" w:rsidRPr="002702E2" w:rsidTr="00534A4F">
        <w:trPr>
          <w:cantSplit/>
          <w:jc w:val="center"/>
        </w:trPr>
        <w:tc>
          <w:tcPr>
            <w:tcW w:w="680" w:type="dxa"/>
            <w:tcBorders>
              <w:top w:val="nil"/>
              <w:left w:val="single" w:sz="15" w:space="0" w:color="E6E6E6"/>
              <w:bottom w:val="single" w:sz="15" w:space="0" w:color="E6E6E6"/>
              <w:right w:val="nil"/>
            </w:tcBorders>
            <w:shd w:val="clear" w:color="auto" w:fill="FFFFFF"/>
            <w:tcMar>
              <w:left w:w="48" w:type="dxa"/>
              <w:right w:w="48" w:type="dxa"/>
            </w:tcMar>
          </w:tcPr>
          <w:p w:rsidR="00534A4F" w:rsidRPr="002702E2" w:rsidRDefault="00534A4F" w:rsidP="00534A4F">
            <w:pPr>
              <w:pStyle w:val="Default"/>
              <w:jc w:val="both"/>
              <w:rPr>
                <w:b/>
                <w:bCs/>
                <w:lang w:val="fr-BE"/>
              </w:rPr>
            </w:pPr>
            <w:r w:rsidRPr="002702E2">
              <w:rPr>
                <w:b/>
                <w:bCs/>
                <w:lang w:val="fr-BE"/>
              </w:rPr>
              <w:t>TOTAL</w:t>
            </w:r>
          </w:p>
        </w:tc>
        <w:tc>
          <w:tcPr>
            <w:tcW w:w="581"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101</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100,00</w:t>
            </w:r>
          </w:p>
        </w:tc>
        <w:tc>
          <w:tcPr>
            <w:tcW w:w="721"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529</w:t>
            </w:r>
          </w:p>
        </w:tc>
        <w:tc>
          <w:tcPr>
            <w:tcW w:w="721"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100,00</w:t>
            </w:r>
          </w:p>
        </w:tc>
        <w:tc>
          <w:tcPr>
            <w:tcW w:w="717"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323</w:t>
            </w:r>
          </w:p>
        </w:tc>
        <w:tc>
          <w:tcPr>
            <w:tcW w:w="717"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953</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534A4F" w:rsidRPr="002702E2" w:rsidRDefault="00534A4F" w:rsidP="00534A4F">
            <w:pPr>
              <w:pStyle w:val="Default"/>
              <w:jc w:val="both"/>
              <w:rPr>
                <w:b/>
                <w:lang w:val="fr-BE"/>
              </w:rPr>
            </w:pPr>
            <w:r w:rsidRPr="002702E2">
              <w:rPr>
                <w:b/>
                <w:lang w:val="fr-BE"/>
              </w:rPr>
              <w:t>100,00</w:t>
            </w:r>
          </w:p>
        </w:tc>
      </w:tr>
    </w:tbl>
    <w:p w:rsidR="00534A4F" w:rsidRDefault="00534A4F" w:rsidP="00534A4F">
      <w:pPr>
        <w:pStyle w:val="Default"/>
        <w:jc w:val="both"/>
        <w:rPr>
          <w:b/>
          <w:i/>
          <w:lang w:val="fr-BE"/>
        </w:rPr>
      </w:pPr>
    </w:p>
    <w:p w:rsidR="00534A4F" w:rsidRPr="002702E2" w:rsidRDefault="00534A4F" w:rsidP="00534A4F">
      <w:pPr>
        <w:pStyle w:val="Default"/>
        <w:jc w:val="both"/>
        <w:rPr>
          <w:b/>
          <w:i/>
          <w:lang w:val="fr-BE"/>
        </w:rPr>
      </w:pPr>
      <w:r w:rsidRPr="002702E2">
        <w:rPr>
          <w:b/>
          <w:i/>
          <w:lang w:val="fr-BE"/>
        </w:rPr>
        <w:t>Source : banque de données du Collège des procureurs généraux – Analystes statistiques.</w:t>
      </w:r>
    </w:p>
    <w:p w:rsidR="00534A4F" w:rsidRPr="002702E2" w:rsidRDefault="00534A4F" w:rsidP="00534A4F">
      <w:pPr>
        <w:pStyle w:val="Default"/>
        <w:spacing w:before="120" w:after="120" w:line="276" w:lineRule="auto"/>
        <w:jc w:val="both"/>
        <w:rPr>
          <w:rFonts w:asciiTheme="minorHAnsi" w:hAnsiTheme="minorHAnsi"/>
          <w:b/>
          <w:color w:val="auto"/>
          <w:sz w:val="22"/>
          <w:szCs w:val="22"/>
          <w:lang w:val="fr-BE"/>
        </w:rPr>
      </w:pPr>
    </w:p>
    <w:p w:rsidR="00534A4F" w:rsidRPr="002702E2" w:rsidRDefault="00534A4F" w:rsidP="00534A4F">
      <w:pPr>
        <w:pStyle w:val="Default"/>
        <w:spacing w:before="120" w:after="120" w:line="276" w:lineRule="auto"/>
        <w:jc w:val="both"/>
        <w:rPr>
          <w:rFonts w:asciiTheme="minorHAnsi" w:hAnsiTheme="minorHAnsi"/>
          <w:lang w:val="fr-BE"/>
        </w:rPr>
      </w:pPr>
      <w:r w:rsidRPr="002702E2">
        <w:rPr>
          <w:rFonts w:asciiTheme="minorHAnsi" w:hAnsiTheme="minorHAnsi"/>
          <w:lang w:val="fr-BE"/>
        </w:rPr>
        <w:t>Le tableau  présente le nombre d’affaires de torture, traitement inhumain ou dégradant entrées dans les parquets correctionnels entre le 1</w:t>
      </w:r>
      <w:r w:rsidRPr="002702E2">
        <w:rPr>
          <w:rFonts w:asciiTheme="minorHAnsi" w:hAnsiTheme="minorHAnsi"/>
          <w:vertAlign w:val="superscript"/>
          <w:lang w:val="fr-BE"/>
        </w:rPr>
        <w:t>er</w:t>
      </w:r>
      <w:r w:rsidRPr="002702E2">
        <w:rPr>
          <w:rFonts w:asciiTheme="minorHAnsi" w:hAnsiTheme="minorHAnsi"/>
          <w:lang w:val="fr-BE"/>
        </w:rPr>
        <w:t xml:space="preserve"> janvier 2012 et le 31 décembre 2016 en répartissant les données selon l’année d’entrée de l’affaire au parquet et le code de prévention. </w:t>
      </w:r>
    </w:p>
    <w:p w:rsidR="00534A4F" w:rsidRPr="002702E2" w:rsidRDefault="00534A4F" w:rsidP="00534A4F">
      <w:pPr>
        <w:pStyle w:val="Default"/>
        <w:spacing w:before="120" w:after="120" w:line="276" w:lineRule="auto"/>
        <w:jc w:val="both"/>
        <w:rPr>
          <w:rFonts w:asciiTheme="minorHAnsi" w:hAnsiTheme="minorHAnsi"/>
          <w:lang w:val="fr-BE"/>
        </w:rPr>
      </w:pPr>
      <w:r w:rsidRPr="002702E2">
        <w:rPr>
          <w:rFonts w:asciiTheme="minorHAnsi" w:hAnsiTheme="minorHAnsi"/>
          <w:lang w:val="fr-BE"/>
        </w:rPr>
        <w:t xml:space="preserve">Au cours de la période étudiée, 953 dossiers sont recensés. C’est en 2016 que l’on a recensé le plus de dossiers avec 225 unités. </w:t>
      </w:r>
    </w:p>
    <w:p w:rsidR="00534A4F" w:rsidRPr="002702E2" w:rsidRDefault="00534A4F" w:rsidP="00534A4F">
      <w:pPr>
        <w:pStyle w:val="Default"/>
        <w:spacing w:before="120" w:after="120" w:line="276" w:lineRule="auto"/>
        <w:jc w:val="both"/>
        <w:rPr>
          <w:rFonts w:asciiTheme="minorHAnsi" w:hAnsiTheme="minorHAnsi"/>
          <w:lang w:val="fr-BE"/>
        </w:rPr>
      </w:pPr>
      <w:r w:rsidRPr="002702E2">
        <w:rPr>
          <w:rFonts w:asciiTheme="minorHAnsi" w:hAnsiTheme="minorHAnsi"/>
          <w:lang w:val="fr-BE"/>
        </w:rPr>
        <w:t>Avec 529 affaires, le code de prévention « 43G – traitement inhumain » est le plus fréquemment rencontré. Le code de prévention « 43H – Traitement dégradant » concerne quant à lui 323 affaires alors que le code « 43F – Torture » apparait dans 101 dossiers.</w:t>
      </w:r>
    </w:p>
    <w:p w:rsidR="00534A4F" w:rsidRPr="002702E2" w:rsidRDefault="00534A4F" w:rsidP="00534A4F">
      <w:pPr>
        <w:pStyle w:val="Default"/>
        <w:spacing w:before="120" w:after="120" w:line="276" w:lineRule="auto"/>
        <w:jc w:val="both"/>
        <w:rPr>
          <w:rFonts w:asciiTheme="minorHAnsi" w:hAnsiTheme="minorHAnsi"/>
          <w:lang w:val="fr-BE"/>
        </w:rPr>
      </w:pPr>
      <w:r w:rsidRPr="002702E2">
        <w:rPr>
          <w:rFonts w:asciiTheme="minorHAnsi" w:hAnsiTheme="minorHAnsi"/>
          <w:lang w:val="fr-BE"/>
        </w:rPr>
        <w:t>Il est important de préciser que si un dossier fait référence à plus d’un des codes de prévention retenu dans cette analyse, seul le code de prévention principal sera pris en compte (ex. si les code de prévention 43G et 43H sont renseignés comme code de prévention principal et secondaire dans une affaire, cette dernière sera comptabilisée dans la colonne 43G uniquement).</w:t>
      </w:r>
    </w:p>
    <w:p w:rsidR="00534A4F" w:rsidRPr="002702E2" w:rsidRDefault="00534A4F" w:rsidP="00534A4F">
      <w:pPr>
        <w:pStyle w:val="Default"/>
        <w:jc w:val="both"/>
        <w:rPr>
          <w:rFonts w:asciiTheme="minorHAnsi" w:hAnsiTheme="minorHAnsi"/>
          <w:lang w:val="fr-BE"/>
        </w:rPr>
      </w:pPr>
    </w:p>
    <w:p w:rsidR="00534A4F" w:rsidRPr="00534A4F" w:rsidRDefault="00534A4F" w:rsidP="00534A4F">
      <w:pPr>
        <w:jc w:val="both"/>
        <w:rPr>
          <w:b/>
          <w:bCs/>
          <w:sz w:val="28"/>
          <w:szCs w:val="28"/>
          <w:lang w:val="fr-BE"/>
        </w:rPr>
      </w:pPr>
      <w:r w:rsidRPr="00534A4F">
        <w:rPr>
          <w:b/>
          <w:bCs/>
          <w:sz w:val="28"/>
          <w:szCs w:val="28"/>
          <w:lang w:val="fr-BE"/>
        </w:rPr>
        <w:t>Etat d’avancement, arrêté à la date d’extraction, des affaires de torture, traitement inhumain ou dégradant entrées dans les parquets correctionnels entre le 1er janvier 2012 et le 31 décembre 2016. Données présentées par ann</w:t>
      </w:r>
      <w:r>
        <w:rPr>
          <w:b/>
          <w:bCs/>
          <w:sz w:val="28"/>
          <w:szCs w:val="28"/>
          <w:lang w:val="fr-BE"/>
        </w:rPr>
        <w:t>ée d’entrée (n et % en colonne) (tableau 5)</w:t>
      </w:r>
    </w:p>
    <w:tbl>
      <w:tblPr>
        <w:tblW w:w="0" w:type="auto"/>
        <w:jc w:val="center"/>
        <w:tblLayout w:type="fixed"/>
        <w:tblCellMar>
          <w:left w:w="0" w:type="dxa"/>
          <w:right w:w="0" w:type="dxa"/>
        </w:tblCellMar>
        <w:tblLook w:val="0000" w:firstRow="0" w:lastRow="0" w:firstColumn="0" w:lastColumn="0" w:noHBand="0" w:noVBand="0"/>
      </w:tblPr>
      <w:tblGrid>
        <w:gridCol w:w="1955"/>
        <w:gridCol w:w="378"/>
        <w:gridCol w:w="605"/>
        <w:gridCol w:w="378"/>
        <w:gridCol w:w="605"/>
        <w:gridCol w:w="378"/>
        <w:gridCol w:w="605"/>
        <w:gridCol w:w="378"/>
        <w:gridCol w:w="605"/>
        <w:gridCol w:w="378"/>
        <w:gridCol w:w="605"/>
        <w:gridCol w:w="378"/>
        <w:gridCol w:w="605"/>
      </w:tblGrid>
      <w:tr w:rsidR="00534A4F" w:rsidRPr="00534A4F" w:rsidTr="00534A4F">
        <w:trPr>
          <w:cantSplit/>
          <w:tblHeader/>
          <w:jc w:val="center"/>
        </w:trPr>
        <w:tc>
          <w:tcPr>
            <w:tcW w:w="1955"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534A4F" w:rsidRPr="00534A4F" w:rsidRDefault="00534A4F" w:rsidP="00534A4F">
            <w:pPr>
              <w:pStyle w:val="Default"/>
              <w:jc w:val="both"/>
              <w:rPr>
                <w:lang w:val="fr-BE"/>
              </w:rPr>
            </w:pP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2012</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2013</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2014</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2015</w:t>
            </w:r>
          </w:p>
        </w:tc>
        <w:tc>
          <w:tcPr>
            <w:tcW w:w="98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2016</w:t>
            </w:r>
          </w:p>
        </w:tc>
        <w:tc>
          <w:tcPr>
            <w:tcW w:w="983"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TOTAL</w:t>
            </w:r>
          </w:p>
        </w:tc>
      </w:tr>
      <w:tr w:rsidR="00534A4F" w:rsidRPr="00534A4F" w:rsidTr="00534A4F">
        <w:trPr>
          <w:cantSplit/>
          <w:tblHeader/>
          <w:jc w:val="center"/>
        </w:trPr>
        <w:tc>
          <w:tcPr>
            <w:tcW w:w="1955"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534A4F" w:rsidRPr="00534A4F" w:rsidRDefault="00534A4F" w:rsidP="00534A4F">
            <w:pPr>
              <w:pStyle w:val="Default"/>
              <w:jc w:val="both"/>
              <w:rPr>
                <w:lang w:val="fr-BE"/>
              </w:rPr>
            </w:pP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n</w:t>
            </w:r>
          </w:p>
        </w:tc>
        <w:tc>
          <w:tcPr>
            <w:tcW w:w="605"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n</w:t>
            </w:r>
          </w:p>
        </w:tc>
        <w:tc>
          <w:tcPr>
            <w:tcW w:w="605"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information</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3,30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5,91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15,11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56</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5,88</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signalement de l’auteur</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1,88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0,55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0,55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1,48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1,33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1,15</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sans suite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63,75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66,67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58,24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57,64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50,67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561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58,87</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pour disposition</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11,88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16</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8,74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15,38</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13,30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12,00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117</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12,28</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probation prétorienne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0,99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1,33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9</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0,94</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médiation pénale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0,63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0,55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0,49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0,31</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instruction</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0,63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0,55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6,04</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13</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6,40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24</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10,67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50</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5,25</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chambre du conseil</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3,13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6,01</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4,40</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9</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4,43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3,56</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41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4,30</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citation &amp; suite</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25</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15,63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27</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14,75</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12,09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18</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8,87</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12</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5,33</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104</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10,91</w:t>
            </w:r>
          </w:p>
        </w:tc>
      </w:tr>
      <w:tr w:rsidR="00534A4F" w:rsidRPr="00534A4F" w:rsidTr="00534A4F">
        <w:trPr>
          <w:cantSplit/>
          <w:jc w:val="center"/>
        </w:trPr>
        <w:tc>
          <w:tcPr>
            <w:tcW w:w="1955" w:type="dxa"/>
            <w:tcBorders>
              <w:top w:val="nil"/>
              <w:left w:val="single" w:sz="15" w:space="0" w:color="E6E6E6"/>
              <w:bottom w:val="single" w:sz="4"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inconnu/erreur</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0,49</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605"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w:t>
            </w:r>
          </w:p>
        </w:tc>
        <w:tc>
          <w:tcPr>
            <w:tcW w:w="378" w:type="dxa"/>
            <w:tcBorders>
              <w:top w:val="nil"/>
              <w:left w:val="single" w:sz="4" w:space="0" w:color="E6E6E6"/>
              <w:bottom w:val="single" w:sz="4"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w:t>
            </w:r>
          </w:p>
        </w:tc>
        <w:tc>
          <w:tcPr>
            <w:tcW w:w="605"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0,10</w:t>
            </w:r>
          </w:p>
        </w:tc>
      </w:tr>
      <w:tr w:rsidR="00534A4F" w:rsidRPr="00534A4F" w:rsidTr="00534A4F">
        <w:trPr>
          <w:cantSplit/>
          <w:jc w:val="center"/>
        </w:trPr>
        <w:tc>
          <w:tcPr>
            <w:tcW w:w="1955" w:type="dxa"/>
            <w:tcBorders>
              <w:top w:val="nil"/>
              <w:left w:val="single" w:sz="15" w:space="0" w:color="E6E6E6"/>
              <w:bottom w:val="single" w:sz="15" w:space="0" w:color="E6E6E6"/>
              <w:right w:val="nil"/>
            </w:tcBorders>
            <w:shd w:val="clear" w:color="auto" w:fill="FFFFFF"/>
            <w:tcMar>
              <w:left w:w="48" w:type="dxa"/>
              <w:right w:w="48" w:type="dxa"/>
            </w:tcMar>
          </w:tcPr>
          <w:p w:rsidR="00534A4F" w:rsidRPr="00534A4F" w:rsidRDefault="00534A4F" w:rsidP="00534A4F">
            <w:pPr>
              <w:pStyle w:val="Default"/>
              <w:jc w:val="both"/>
              <w:rPr>
                <w:b/>
                <w:bCs/>
                <w:lang w:val="fr-BE"/>
              </w:rPr>
            </w:pPr>
            <w:r w:rsidRPr="00534A4F">
              <w:rPr>
                <w:b/>
                <w:bCs/>
                <w:lang w:val="fr-BE"/>
              </w:rPr>
              <w:t>TOTAL</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160</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183</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182</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203</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225</w:t>
            </w:r>
          </w:p>
        </w:tc>
        <w:tc>
          <w:tcPr>
            <w:tcW w:w="605"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100,00</w:t>
            </w:r>
          </w:p>
        </w:tc>
        <w:tc>
          <w:tcPr>
            <w:tcW w:w="378" w:type="dxa"/>
            <w:tcBorders>
              <w:top w:val="nil"/>
              <w:left w:val="single" w:sz="4" w:space="0" w:color="E6E6E6"/>
              <w:bottom w:val="single" w:sz="15" w:space="0" w:color="E6E6E6"/>
              <w:right w:val="nil"/>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953</w:t>
            </w:r>
          </w:p>
        </w:tc>
        <w:tc>
          <w:tcPr>
            <w:tcW w:w="605" w:type="dxa"/>
            <w:tcBorders>
              <w:top w:val="nil"/>
              <w:left w:val="single" w:sz="4" w:space="0" w:color="E6E6E6"/>
              <w:bottom w:val="single" w:sz="15" w:space="0" w:color="E6E6E6"/>
              <w:right w:val="single" w:sz="15" w:space="0" w:color="E6E6E6"/>
            </w:tcBorders>
            <w:shd w:val="clear" w:color="auto" w:fill="FFFFFF"/>
            <w:tcMar>
              <w:left w:w="48" w:type="dxa"/>
              <w:right w:w="48" w:type="dxa"/>
            </w:tcMar>
            <w:vAlign w:val="bottom"/>
          </w:tcPr>
          <w:p w:rsidR="00534A4F" w:rsidRPr="00534A4F" w:rsidRDefault="00534A4F" w:rsidP="00534A4F">
            <w:pPr>
              <w:pStyle w:val="Default"/>
              <w:jc w:val="both"/>
              <w:rPr>
                <w:lang w:val="fr-BE"/>
              </w:rPr>
            </w:pPr>
            <w:r w:rsidRPr="00534A4F">
              <w:rPr>
                <w:lang w:val="fr-BE"/>
              </w:rPr>
              <w:t>100,00</w:t>
            </w:r>
          </w:p>
        </w:tc>
      </w:tr>
    </w:tbl>
    <w:p w:rsidR="00534A4F" w:rsidRPr="002702E2" w:rsidRDefault="00534A4F" w:rsidP="00534A4F">
      <w:pPr>
        <w:pStyle w:val="Default"/>
        <w:jc w:val="both"/>
        <w:rPr>
          <w:rFonts w:asciiTheme="minorHAnsi" w:hAnsiTheme="minorHAnsi"/>
          <w:color w:val="auto"/>
          <w:sz w:val="22"/>
          <w:szCs w:val="22"/>
          <w:lang w:val="fr-BE"/>
        </w:rPr>
      </w:pPr>
    </w:p>
    <w:p w:rsidR="00534A4F" w:rsidRPr="00534A4F" w:rsidRDefault="00534A4F" w:rsidP="00534A4F">
      <w:pPr>
        <w:pStyle w:val="Default"/>
        <w:spacing w:before="120" w:after="120" w:line="276" w:lineRule="auto"/>
        <w:jc w:val="both"/>
        <w:rPr>
          <w:rFonts w:asciiTheme="minorHAnsi" w:hAnsiTheme="minorHAnsi"/>
          <w:lang w:val="fr-BE"/>
        </w:rPr>
      </w:pPr>
      <w:r w:rsidRPr="00534A4F">
        <w:rPr>
          <w:rFonts w:asciiTheme="minorHAnsi" w:hAnsiTheme="minorHAnsi"/>
          <w:lang w:val="fr-BE"/>
        </w:rPr>
        <w:t xml:space="preserve">Le tableau </w:t>
      </w:r>
      <w:r>
        <w:rPr>
          <w:rFonts w:asciiTheme="minorHAnsi" w:hAnsiTheme="minorHAnsi"/>
          <w:lang w:val="fr-BE"/>
        </w:rPr>
        <w:t>5</w:t>
      </w:r>
      <w:r w:rsidRPr="00534A4F">
        <w:rPr>
          <w:rFonts w:asciiTheme="minorHAnsi" w:hAnsiTheme="minorHAnsi"/>
          <w:lang w:val="fr-BE"/>
        </w:rPr>
        <w:t xml:space="preserve"> indique les différents états d’avancement des affaires de torture, traitement inhumain ou dégradant entrées dans les parquets correctionnels entre le 1er janvier 2012 et le 31 décembre 2016. </w:t>
      </w:r>
    </w:p>
    <w:p w:rsidR="00534A4F" w:rsidRPr="00534A4F" w:rsidRDefault="00534A4F" w:rsidP="00534A4F">
      <w:pPr>
        <w:pStyle w:val="Default"/>
        <w:spacing w:before="120" w:after="120" w:line="276" w:lineRule="auto"/>
        <w:jc w:val="both"/>
        <w:rPr>
          <w:rFonts w:asciiTheme="minorHAnsi" w:hAnsiTheme="minorHAnsi"/>
          <w:lang w:val="fr-BE"/>
        </w:rPr>
      </w:pPr>
      <w:r w:rsidRPr="00534A4F">
        <w:rPr>
          <w:rFonts w:asciiTheme="minorHAnsi" w:hAnsiTheme="minorHAnsi"/>
          <w:lang w:val="fr-BE"/>
        </w:rPr>
        <w:t xml:space="preserve">Parmi l’ensemble de ces affaires, à la date d’extraction, 561 (58,87%) sont classées sans suite; 117 sont envoyées pour disposition vers une autre instance (12,28%), tandis que 3 dossiers sont dans l’état d’avancement « médiation pénale ». Quant aux poursuites, 195 en font l’objet (instruction, chambre du conseil, citation &amp; suite – 20,46%). Les motifs de classement sans suite sont exposés dans le tableau </w:t>
      </w:r>
      <w:r>
        <w:rPr>
          <w:rFonts w:asciiTheme="minorHAnsi" w:hAnsiTheme="minorHAnsi"/>
          <w:lang w:val="fr-BE"/>
        </w:rPr>
        <w:t>6</w:t>
      </w:r>
      <w:r w:rsidRPr="00534A4F">
        <w:rPr>
          <w:rFonts w:asciiTheme="minorHAnsi" w:hAnsiTheme="minorHAnsi"/>
          <w:lang w:val="fr-BE"/>
        </w:rPr>
        <w:t>.</w:t>
      </w:r>
    </w:p>
    <w:p w:rsidR="00534A4F" w:rsidRPr="00534A4F" w:rsidRDefault="00534A4F" w:rsidP="00534A4F">
      <w:pPr>
        <w:pStyle w:val="Default"/>
        <w:spacing w:before="120" w:after="120" w:line="276" w:lineRule="auto"/>
        <w:jc w:val="both"/>
        <w:rPr>
          <w:rFonts w:asciiTheme="minorHAnsi" w:hAnsiTheme="minorHAnsi"/>
          <w:lang w:val="fr-BE"/>
        </w:rPr>
      </w:pPr>
      <w:r w:rsidRPr="00534A4F">
        <w:rPr>
          <w:rFonts w:asciiTheme="minorHAnsi" w:hAnsiTheme="minorHAnsi"/>
          <w:lang w:val="fr-BE"/>
        </w:rPr>
        <w:t>Depuis l’entrée en vigueur de la circulaire COL 16/2014 portant sur la loi du 12 mars 1998, relative à l’amélioration de la procédure pénale au stade de l’information et de l’instruction judiciaire, le signalement de l’auteur, la probation prétorienne et la sanction administrative sont devenus de nouveaux états d’avancement alors qu’il s’agissait précédemment de motifs de classement sans suite. Au moment de l’extraction de données, nous constatons que la probation prétorienne est le dernier état d’avancement pour 9 affaires et qu’un signalement de l’auteur a été lancé dans le cadre de 11 dossiers.</w:t>
      </w:r>
    </w:p>
    <w:p w:rsidR="00534A4F" w:rsidRPr="00534A4F" w:rsidRDefault="00534A4F" w:rsidP="00534A4F">
      <w:pPr>
        <w:pStyle w:val="Default"/>
        <w:spacing w:before="120" w:after="120" w:line="276" w:lineRule="auto"/>
        <w:jc w:val="both"/>
        <w:rPr>
          <w:rFonts w:asciiTheme="minorHAnsi" w:hAnsiTheme="minorHAnsi"/>
          <w:lang w:val="fr-BE"/>
        </w:rPr>
      </w:pPr>
      <w:r w:rsidRPr="00534A4F">
        <w:rPr>
          <w:rFonts w:asciiTheme="minorHAnsi" w:hAnsiTheme="minorHAnsi"/>
          <w:lang w:val="fr-BE"/>
        </w:rPr>
        <w:t xml:space="preserve">Ajoutons que pour une meilleure interprétation des statistiques, il est aussi nécessaire de tenir compte de l’âge de la cohorte présentée. En effet, selon la date d’extraction, les données quantitatives exposées correspondent à des dossiers dont l’âge varie entre 8 mois (+8 jours) et 68 mois (+8 jours) à la date de l’extraction. De ce fait, certains dossiers peuvent encore évoluer vers un autre état d’avancement. </w:t>
      </w:r>
    </w:p>
    <w:p w:rsidR="00534A4F" w:rsidRPr="00534A4F" w:rsidRDefault="00534A4F" w:rsidP="00534A4F">
      <w:pPr>
        <w:pStyle w:val="Default"/>
        <w:spacing w:before="120" w:after="120" w:line="276" w:lineRule="auto"/>
        <w:jc w:val="both"/>
        <w:rPr>
          <w:rFonts w:asciiTheme="minorHAnsi" w:hAnsiTheme="minorHAnsi"/>
          <w:lang w:val="fr-BE"/>
        </w:rPr>
      </w:pPr>
      <w:r w:rsidRPr="00534A4F">
        <w:rPr>
          <w:rFonts w:asciiTheme="minorHAnsi" w:hAnsiTheme="minorHAnsi"/>
          <w:lang w:val="fr-BE"/>
        </w:rPr>
        <w:t>Il est également important de signaler que lorsqu’une affaire est mise à disposition d’un autre parquet/division, les analystes statistiques comptabilisent deux fois cette affaire : une fois dans le parquet/division initial et une autre dans le parquet/division destinataire, à condition que l’affaire soit rentrée dans le parquet/division initial au cours de la période de référence et qu’elle ait été mise à disposition d’un autre parquet/division au cours de cette même période.</w:t>
      </w:r>
    </w:p>
    <w:p w:rsidR="00534A4F" w:rsidRDefault="00534A4F" w:rsidP="00534A4F">
      <w:pPr>
        <w:pStyle w:val="Default"/>
        <w:spacing w:before="120" w:after="120" w:line="276" w:lineRule="auto"/>
        <w:jc w:val="both"/>
        <w:rPr>
          <w:rFonts w:asciiTheme="minorHAnsi" w:hAnsiTheme="minorHAnsi"/>
          <w:lang w:val="fr-BE"/>
        </w:rPr>
      </w:pPr>
      <w:r w:rsidRPr="00534A4F">
        <w:rPr>
          <w:rFonts w:asciiTheme="minorHAnsi" w:hAnsiTheme="minorHAnsi"/>
          <w:lang w:val="fr-BE"/>
        </w:rPr>
        <w:t>Les affaires dont l’état d’avancement est « jonction » ont été examinées afin de ne garder que l’état d’avancement de l’affaire « mère ». Sur la période étudiée, 130 affaires ont fait l’objet d’une jonction. En cas de jonction entre deux affaires, la gestion de l’affaire-fille est opérée via l’affaire-mère. Pour cette raison, l’état d’avancement de l’affaire-fille est assimilé à celui de l’affaire-mère dans le tableau ci-dessus. Une jonction est réalisée lorsqu’un lien existe entre deux dossiers (ex. mêmes faits, même auteur, etc.).</w:t>
      </w:r>
    </w:p>
    <w:p w:rsidR="00534A4F" w:rsidRDefault="00534A4F" w:rsidP="00534A4F">
      <w:pPr>
        <w:pStyle w:val="Default"/>
        <w:spacing w:before="120" w:after="120" w:line="276" w:lineRule="auto"/>
        <w:jc w:val="both"/>
        <w:rPr>
          <w:rFonts w:asciiTheme="minorHAnsi" w:hAnsiTheme="minorHAnsi"/>
          <w:color w:val="auto"/>
          <w:sz w:val="22"/>
          <w:szCs w:val="22"/>
          <w:lang w:val="fr-BE"/>
        </w:rPr>
      </w:pPr>
    </w:p>
    <w:p w:rsidR="00534A4F" w:rsidRDefault="00534A4F" w:rsidP="00534A4F">
      <w:pPr>
        <w:rPr>
          <w:b/>
          <w:sz w:val="28"/>
          <w:szCs w:val="28"/>
          <w:lang w:val="fr-FR"/>
        </w:rPr>
        <w:sectPr w:rsidR="00534A4F">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pPr>
    </w:p>
    <w:p w:rsidR="002279B9" w:rsidRDefault="00534A4F" w:rsidP="00534A4F">
      <w:pPr>
        <w:jc w:val="both"/>
        <w:rPr>
          <w:b/>
          <w:bCs/>
          <w:sz w:val="28"/>
          <w:szCs w:val="28"/>
          <w:lang w:val="fr-BE"/>
        </w:rPr>
      </w:pPr>
      <w:r w:rsidRPr="00534A4F">
        <w:rPr>
          <w:b/>
          <w:bCs/>
          <w:sz w:val="28"/>
          <w:szCs w:val="28"/>
          <w:lang w:val="fr-BE"/>
        </w:rPr>
        <w:t>Nombre d’affaires de torture, traitement inhumain ou dégradant entrées dans les parquets correctionnels entre le 1er janvier 2012 et le 31 décembre 2016 et classées sans suite à la date d’extraction. Données présentées en fonction de la catégorie de classement sans suite enregistrée et par année d’entrée  (n &amp; % en colonne)</w:t>
      </w:r>
      <w:r w:rsidR="00770DE3">
        <w:rPr>
          <w:b/>
          <w:bCs/>
          <w:sz w:val="28"/>
          <w:szCs w:val="28"/>
          <w:lang w:val="fr-BE"/>
        </w:rPr>
        <w:t xml:space="preserve"> (tableau </w:t>
      </w:r>
      <w:bookmarkStart w:id="0" w:name="_GoBack"/>
      <w:bookmarkEnd w:id="0"/>
      <w:r w:rsidR="00770DE3">
        <w:rPr>
          <w:b/>
          <w:bCs/>
          <w:sz w:val="28"/>
          <w:szCs w:val="28"/>
          <w:lang w:val="fr-BE"/>
        </w:rPr>
        <w:t>6)</w:t>
      </w:r>
      <w:r w:rsidRPr="00534A4F">
        <w:rPr>
          <w:b/>
          <w:bCs/>
          <w:sz w:val="28"/>
          <w:szCs w:val="28"/>
          <w:lang w:val="fr-BE"/>
        </w:rPr>
        <w:t>.</w:t>
      </w:r>
    </w:p>
    <w:tbl>
      <w:tblPr>
        <w:tblW w:w="0" w:type="auto"/>
        <w:jc w:val="center"/>
        <w:tblLayout w:type="fixed"/>
        <w:tblCellMar>
          <w:left w:w="0" w:type="dxa"/>
          <w:right w:w="0" w:type="dxa"/>
        </w:tblCellMar>
        <w:tblLook w:val="0000" w:firstRow="0" w:lastRow="0" w:firstColumn="0" w:lastColumn="0" w:noHBand="0" w:noVBand="0"/>
      </w:tblPr>
      <w:tblGrid>
        <w:gridCol w:w="5678"/>
        <w:gridCol w:w="693"/>
        <w:gridCol w:w="650"/>
        <w:gridCol w:w="693"/>
        <w:gridCol w:w="650"/>
        <w:gridCol w:w="693"/>
        <w:gridCol w:w="650"/>
        <w:gridCol w:w="693"/>
        <w:gridCol w:w="650"/>
        <w:gridCol w:w="693"/>
        <w:gridCol w:w="650"/>
        <w:gridCol w:w="693"/>
        <w:gridCol w:w="650"/>
      </w:tblGrid>
      <w:tr w:rsidR="00122581" w:rsidRPr="00122581" w:rsidTr="008B7663">
        <w:trPr>
          <w:cantSplit/>
          <w:tblHeader/>
          <w:jc w:val="center"/>
        </w:trPr>
        <w:tc>
          <w:tcPr>
            <w:tcW w:w="5678" w:type="dxa"/>
            <w:vMerge w:val="restart"/>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2012</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2013</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2014</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2015</w:t>
            </w:r>
          </w:p>
        </w:tc>
        <w:tc>
          <w:tcPr>
            <w:tcW w:w="1343" w:type="dxa"/>
            <w:gridSpan w:val="2"/>
            <w:tcBorders>
              <w:top w:val="single" w:sz="15" w:space="0" w:color="E6E6E6"/>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2016</w:t>
            </w:r>
          </w:p>
        </w:tc>
        <w:tc>
          <w:tcPr>
            <w:tcW w:w="1343" w:type="dxa"/>
            <w:gridSpan w:val="2"/>
            <w:tcBorders>
              <w:top w:val="single" w:sz="15" w:space="0" w:color="E6E6E6"/>
              <w:left w:val="single" w:sz="4" w:space="0" w:color="E6E6E6"/>
              <w:bottom w:val="single" w:sz="4" w:space="0" w:color="E6E6E6"/>
              <w:right w:val="single" w:sz="15" w:space="0" w:color="E6E6E6"/>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TOTAL</w:t>
            </w:r>
          </w:p>
        </w:tc>
      </w:tr>
      <w:tr w:rsidR="00122581" w:rsidRPr="00122581" w:rsidTr="008B7663">
        <w:trPr>
          <w:cantSplit/>
          <w:tblHeader/>
          <w:jc w:val="center"/>
        </w:trPr>
        <w:tc>
          <w:tcPr>
            <w:tcW w:w="5678" w:type="dxa"/>
            <w:vMerge/>
            <w:tcBorders>
              <w:top w:val="single" w:sz="15" w:space="0" w:color="E6E6E6"/>
              <w:left w:val="single" w:sz="15" w:space="0" w:color="E6E6E6"/>
              <w:bottom w:val="single" w:sz="4" w:space="0" w:color="E6E6E6"/>
              <w:right w:val="nil"/>
            </w:tcBorders>
            <w:shd w:val="clear" w:color="auto" w:fill="7483AE"/>
            <w:tcMar>
              <w:left w:w="48" w:type="dxa"/>
              <w:right w:w="48" w:type="dxa"/>
            </w:tcMar>
            <w:vAlign w:val="center"/>
          </w:tcPr>
          <w:p w:rsidR="00122581" w:rsidRPr="00122581" w:rsidRDefault="00122581" w:rsidP="00122581">
            <w:pPr>
              <w:adjustRightInd w:val="0"/>
              <w:spacing w:after="0" w:line="240" w:lineRule="auto"/>
              <w:rPr>
                <w:rFonts w:ascii="Times New Roman" w:eastAsia="Times New Roman" w:hAnsi="Times New Roman" w:cs="Times New Roman"/>
                <w:sz w:val="24"/>
                <w:szCs w:val="24"/>
                <w:lang w:val="fr-BE"/>
              </w:rPr>
            </w:pP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n</w:t>
            </w:r>
          </w:p>
        </w:tc>
        <w:tc>
          <w:tcPr>
            <w:tcW w:w="650"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w:t>
            </w:r>
          </w:p>
        </w:tc>
        <w:tc>
          <w:tcPr>
            <w:tcW w:w="693" w:type="dxa"/>
            <w:tcBorders>
              <w:top w:val="nil"/>
              <w:left w:val="single" w:sz="4" w:space="0" w:color="E6E6E6"/>
              <w:bottom w:val="single" w:sz="4" w:space="0" w:color="E6E6E6"/>
              <w:right w:val="nil"/>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n</w:t>
            </w:r>
          </w:p>
        </w:tc>
        <w:tc>
          <w:tcPr>
            <w:tcW w:w="650" w:type="dxa"/>
            <w:tcBorders>
              <w:top w:val="nil"/>
              <w:left w:val="single" w:sz="4" w:space="0" w:color="E6E6E6"/>
              <w:bottom w:val="single" w:sz="4" w:space="0" w:color="E6E6E6"/>
              <w:right w:val="single" w:sz="15" w:space="0" w:color="E6E6E6"/>
            </w:tcBorders>
            <w:shd w:val="clear" w:color="auto" w:fill="7483AE"/>
            <w:tcMar>
              <w:left w:w="48" w:type="dxa"/>
              <w:right w:w="48" w:type="dxa"/>
            </w:tcMar>
            <w:vAlign w:val="bottom"/>
          </w:tcPr>
          <w:p w:rsidR="00122581" w:rsidRPr="00122581" w:rsidRDefault="00122581" w:rsidP="00122581">
            <w:pPr>
              <w:adjustRightInd w:val="0"/>
              <w:spacing w:before="48" w:after="48" w:line="240" w:lineRule="auto"/>
              <w:jc w:val="center"/>
              <w:rPr>
                <w:rFonts w:ascii="Arial" w:eastAsia="Times New Roman" w:hAnsi="Arial" w:cs="Arial"/>
                <w:color w:val="FFFFFF"/>
                <w:sz w:val="16"/>
                <w:szCs w:val="16"/>
                <w:lang w:val="fr-BE"/>
              </w:rPr>
            </w:pPr>
            <w:r w:rsidRPr="00122581">
              <w:rPr>
                <w:rFonts w:ascii="Arial" w:eastAsia="Times New Roman" w:hAnsi="Arial" w:cs="Arial"/>
                <w:color w:val="FFFFFF"/>
                <w:sz w:val="16"/>
                <w:szCs w:val="16"/>
                <w:lang w:val="fr-BE"/>
              </w:rPr>
              <w:t>%</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Classement de nature technique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78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76,47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90</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73,77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82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77,36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93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79,49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86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75,44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429</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76,47</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absence d'infraction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21,57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19,67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19,81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20,51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21,93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116</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20,68</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charges insuffisantes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48,04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48,36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53,77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64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54,70</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46,49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282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50,27</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extinction de l'action publique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0,98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0,82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0,94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3,51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1,25</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prescription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0,98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0,94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4</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0,71</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décès de l'auteur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2,63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0,53</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irrecevabilité de l'action publique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1,64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0,85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0,53</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autorité de la chose jugée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1,64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0,36</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cause d'excuse absolutoire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0,18</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auteur(s) inconnu(s)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5,88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3,28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2,83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3,42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3,51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21</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3,74</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Classement sans suite pour motifs d'opportunité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23,53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32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26,23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22,64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18,80</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24,56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130</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23,17</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motifs propres à la nature des faits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16,67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18,03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7,55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12,82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9,65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13,01</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répercussion sociale limitée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1,96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0,36</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situation régularisée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12,75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16</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13,11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7,55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10</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8,55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10</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8,77</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57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10,16</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infraction à caractère relationnel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1,71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0,53</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préjudice peu important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1,64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1,71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4</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0,71</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dépassement du délai raisonnable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1,96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3,28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1,25</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motifs propres à la personnalité de l'auteur ou de la victime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2,94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5,74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13,21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5,98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9</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7,89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40</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7,13</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absence d'antécédents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1,64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0,94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4</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0,71</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faits occasionnels-circonstances spécifiques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0,98</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1,89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1,75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1,25</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conséquences disproportionnées-trouble social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1,96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10</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9,43</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3,42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5</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4,39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3,92</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comportement de la victime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2,46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0,94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0,85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1,75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1,25</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politique criminelle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3,92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2,46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1,89</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8</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7,02</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17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i/>
                <w:iCs/>
                <w:color w:val="000000"/>
                <w:sz w:val="16"/>
                <w:szCs w:val="16"/>
                <w:lang w:val="fr-BE"/>
              </w:rPr>
            </w:pPr>
            <w:r w:rsidRPr="00122581">
              <w:rPr>
                <w:rFonts w:ascii="Arial" w:eastAsia="Times New Roman" w:hAnsi="Arial" w:cs="Arial"/>
                <w:b/>
                <w:bCs/>
                <w:i/>
                <w:iCs/>
                <w:color w:val="000000"/>
                <w:sz w:val="16"/>
                <w:szCs w:val="16"/>
                <w:lang w:val="fr-BE"/>
              </w:rPr>
              <w:t xml:space="preserve">   3,03</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capacité d'enquête insuffisante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1,96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0,94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4</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3,51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7</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1,25</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autres priorités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1,96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3</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2,46</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0,94</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1,75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8</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1,43</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priorité à la voie disciplinaire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1,75</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color w:val="000000"/>
                <w:sz w:val="16"/>
                <w:szCs w:val="16"/>
                <w:lang w:val="fr-BE"/>
              </w:rPr>
            </w:pPr>
            <w:r w:rsidRPr="00122581">
              <w:rPr>
                <w:rFonts w:ascii="Arial" w:eastAsia="Times New Roman" w:hAnsi="Arial" w:cs="Arial"/>
                <w:color w:val="000000"/>
                <w:sz w:val="16"/>
                <w:szCs w:val="16"/>
                <w:lang w:val="fr-BE"/>
              </w:rPr>
              <w:t xml:space="preserve">   0,36</w:t>
            </w:r>
          </w:p>
        </w:tc>
      </w:tr>
      <w:tr w:rsidR="00122581" w:rsidRPr="00122581" w:rsidTr="008B7663">
        <w:trPr>
          <w:cantSplit/>
          <w:jc w:val="center"/>
        </w:trPr>
        <w:tc>
          <w:tcPr>
            <w:tcW w:w="5678" w:type="dxa"/>
            <w:tcBorders>
              <w:top w:val="nil"/>
              <w:left w:val="single" w:sz="15" w:space="0" w:color="E6E6E6"/>
              <w:bottom w:val="single" w:sz="4" w:space="0" w:color="E6E6E6"/>
              <w:right w:val="nil"/>
            </w:tcBorders>
            <w:shd w:val="clear" w:color="auto" w:fill="FFFFFF"/>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Inconnu/erreur                                                                    </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1,71</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50"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w:t>
            </w:r>
          </w:p>
        </w:tc>
        <w:tc>
          <w:tcPr>
            <w:tcW w:w="693" w:type="dxa"/>
            <w:tcBorders>
              <w:top w:val="nil"/>
              <w:left w:val="single" w:sz="4" w:space="0" w:color="E6E6E6"/>
              <w:bottom w:val="single" w:sz="4" w:space="0" w:color="E6E6E6"/>
              <w:right w:val="nil"/>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2</w:t>
            </w:r>
          </w:p>
        </w:tc>
        <w:tc>
          <w:tcPr>
            <w:tcW w:w="650" w:type="dxa"/>
            <w:tcBorders>
              <w:top w:val="nil"/>
              <w:left w:val="single" w:sz="4" w:space="0" w:color="E6E6E6"/>
              <w:bottom w:val="single" w:sz="4" w:space="0" w:color="E6E6E6"/>
              <w:right w:val="single" w:sz="15" w:space="0" w:color="E6E6E6"/>
            </w:tcBorders>
            <w:shd w:val="clear" w:color="auto" w:fill="FFFFFF"/>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0,36</w:t>
            </w:r>
          </w:p>
        </w:tc>
      </w:tr>
      <w:tr w:rsidR="00122581" w:rsidRPr="00122581" w:rsidTr="008B7663">
        <w:trPr>
          <w:cantSplit/>
          <w:jc w:val="center"/>
        </w:trPr>
        <w:tc>
          <w:tcPr>
            <w:tcW w:w="5678" w:type="dxa"/>
            <w:tcBorders>
              <w:top w:val="nil"/>
              <w:left w:val="single" w:sz="15" w:space="0" w:color="E6E6E6"/>
              <w:bottom w:val="single" w:sz="15" w:space="0" w:color="E6E6E6"/>
              <w:right w:val="nil"/>
            </w:tcBorders>
            <w:shd w:val="clear" w:color="auto" w:fill="808080"/>
            <w:tcMar>
              <w:left w:w="48" w:type="dxa"/>
              <w:right w:w="48" w:type="dxa"/>
            </w:tcMar>
          </w:tcPr>
          <w:p w:rsidR="00122581" w:rsidRPr="00122581" w:rsidRDefault="00122581" w:rsidP="00122581">
            <w:pPr>
              <w:adjustRightInd w:val="0"/>
              <w:spacing w:before="48" w:after="48" w:line="240" w:lineRule="auto"/>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TOTAL                                                                             </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102</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122</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106</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117</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114</w:t>
            </w:r>
          </w:p>
        </w:tc>
        <w:tc>
          <w:tcPr>
            <w:tcW w:w="650"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100,00</w:t>
            </w:r>
          </w:p>
        </w:tc>
        <w:tc>
          <w:tcPr>
            <w:tcW w:w="693" w:type="dxa"/>
            <w:tcBorders>
              <w:top w:val="nil"/>
              <w:left w:val="single" w:sz="4" w:space="0" w:color="E6E6E6"/>
              <w:bottom w:val="single" w:sz="15" w:space="0" w:color="E6E6E6"/>
              <w:right w:val="nil"/>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561</w:t>
            </w:r>
          </w:p>
        </w:tc>
        <w:tc>
          <w:tcPr>
            <w:tcW w:w="650" w:type="dxa"/>
            <w:tcBorders>
              <w:top w:val="nil"/>
              <w:left w:val="single" w:sz="4" w:space="0" w:color="E6E6E6"/>
              <w:bottom w:val="single" w:sz="15" w:space="0" w:color="E6E6E6"/>
              <w:right w:val="single" w:sz="15" w:space="0" w:color="E6E6E6"/>
            </w:tcBorders>
            <w:shd w:val="clear" w:color="auto" w:fill="808080"/>
            <w:tcMar>
              <w:left w:w="48" w:type="dxa"/>
              <w:right w:w="48" w:type="dxa"/>
            </w:tcMar>
            <w:vAlign w:val="bottom"/>
          </w:tcPr>
          <w:p w:rsidR="00122581" w:rsidRPr="00122581" w:rsidRDefault="00122581" w:rsidP="00122581">
            <w:pPr>
              <w:adjustRightInd w:val="0"/>
              <w:spacing w:before="48" w:after="48" w:line="240" w:lineRule="auto"/>
              <w:jc w:val="right"/>
              <w:rPr>
                <w:rFonts w:ascii="Arial" w:eastAsia="Times New Roman" w:hAnsi="Arial" w:cs="Arial"/>
                <w:b/>
                <w:bCs/>
                <w:color w:val="000000"/>
                <w:sz w:val="16"/>
                <w:szCs w:val="16"/>
                <w:lang w:val="fr-BE"/>
              </w:rPr>
            </w:pPr>
            <w:r w:rsidRPr="00122581">
              <w:rPr>
                <w:rFonts w:ascii="Arial" w:eastAsia="Times New Roman" w:hAnsi="Arial" w:cs="Arial"/>
                <w:b/>
                <w:bCs/>
                <w:color w:val="000000"/>
                <w:sz w:val="16"/>
                <w:szCs w:val="16"/>
                <w:lang w:val="fr-BE"/>
              </w:rPr>
              <w:t xml:space="preserve"> 100,00</w:t>
            </w:r>
          </w:p>
        </w:tc>
      </w:tr>
    </w:tbl>
    <w:p w:rsidR="00122581" w:rsidRPr="00122581" w:rsidRDefault="00122581" w:rsidP="00122581">
      <w:pPr>
        <w:pStyle w:val="Default"/>
        <w:spacing w:before="120" w:after="120" w:line="276" w:lineRule="auto"/>
        <w:jc w:val="both"/>
        <w:rPr>
          <w:rFonts w:asciiTheme="minorHAnsi" w:hAnsiTheme="minorHAnsi"/>
          <w:lang w:val="fr-BE"/>
        </w:rPr>
      </w:pPr>
      <w:r w:rsidRPr="00122581">
        <w:rPr>
          <w:rFonts w:asciiTheme="minorHAnsi" w:hAnsiTheme="minorHAnsi"/>
          <w:lang w:val="fr-BE"/>
        </w:rPr>
        <w:t xml:space="preserve">Le tableau </w:t>
      </w:r>
      <w:r>
        <w:rPr>
          <w:rFonts w:asciiTheme="minorHAnsi" w:hAnsiTheme="minorHAnsi"/>
          <w:lang w:val="fr-BE"/>
        </w:rPr>
        <w:t>6</w:t>
      </w:r>
      <w:r w:rsidRPr="00122581">
        <w:rPr>
          <w:rFonts w:asciiTheme="minorHAnsi" w:hAnsiTheme="minorHAnsi"/>
          <w:lang w:val="fr-BE"/>
        </w:rPr>
        <w:t xml:space="preserve"> précise les motifs des classements sans suite pour les affaires de torture, traitement inhumain ou dégradant entrées dans les parquets correctionnels entre le 1er janvier 2012 et le 31 décembre 2016 et classées sans suite à la date d’extraction. </w:t>
      </w:r>
    </w:p>
    <w:p w:rsidR="00122581" w:rsidRPr="00122581" w:rsidRDefault="00122581" w:rsidP="00122581">
      <w:pPr>
        <w:pStyle w:val="Default"/>
        <w:spacing w:before="120" w:after="120" w:line="276" w:lineRule="auto"/>
        <w:jc w:val="both"/>
        <w:rPr>
          <w:rFonts w:asciiTheme="minorHAnsi" w:hAnsiTheme="minorHAnsi"/>
          <w:lang w:val="fr-BE"/>
        </w:rPr>
      </w:pPr>
      <w:r w:rsidRPr="00122581">
        <w:rPr>
          <w:rFonts w:asciiTheme="minorHAnsi" w:hAnsiTheme="minorHAnsi"/>
          <w:lang w:val="fr-BE"/>
        </w:rPr>
        <w:t xml:space="preserve">Le classement sans suite constitue une renonciation provisoire aux poursuites, mettant fin à l'information. Tant que l'action publique n'est pas éteinte, l'affaire peut être rouverte.  </w:t>
      </w:r>
    </w:p>
    <w:p w:rsidR="00122581" w:rsidRPr="00122581" w:rsidRDefault="00122581" w:rsidP="00122581">
      <w:pPr>
        <w:pStyle w:val="Default"/>
        <w:spacing w:before="120" w:after="120" w:line="276" w:lineRule="auto"/>
        <w:jc w:val="both"/>
        <w:rPr>
          <w:rFonts w:asciiTheme="minorHAnsi" w:hAnsiTheme="minorHAnsi"/>
          <w:lang w:val="fr-BE"/>
        </w:rPr>
      </w:pPr>
      <w:r w:rsidRPr="00122581">
        <w:rPr>
          <w:rFonts w:asciiTheme="minorHAnsi" w:hAnsiTheme="minorHAnsi"/>
          <w:lang w:val="fr-BE"/>
        </w:rPr>
        <w:t xml:space="preserve">Les parquets disposent d'une catégorisation affinée des motifs de classement sans suite qui a été formalisée et uniformisée suite à la réforme </w:t>
      </w:r>
      <w:proofErr w:type="spellStart"/>
      <w:r w:rsidRPr="00122581">
        <w:rPr>
          <w:rFonts w:asciiTheme="minorHAnsi" w:hAnsiTheme="minorHAnsi"/>
          <w:lang w:val="fr-BE"/>
        </w:rPr>
        <w:t>Franchimont</w:t>
      </w:r>
      <w:proofErr w:type="spellEnd"/>
      <w:r w:rsidRPr="00122581">
        <w:rPr>
          <w:rFonts w:asciiTheme="minorHAnsi" w:hAnsiTheme="minorHAnsi"/>
          <w:lang w:val="fr-BE"/>
        </w:rPr>
        <w:t>.</w:t>
      </w:r>
    </w:p>
    <w:p w:rsidR="00122581" w:rsidRPr="00122581" w:rsidRDefault="00122581" w:rsidP="00122581">
      <w:pPr>
        <w:pStyle w:val="Default"/>
        <w:spacing w:before="120" w:after="120" w:line="276" w:lineRule="auto"/>
        <w:jc w:val="both"/>
        <w:rPr>
          <w:rFonts w:asciiTheme="minorHAnsi" w:hAnsiTheme="minorHAnsi"/>
          <w:lang w:val="fr-BE"/>
        </w:rPr>
      </w:pPr>
      <w:r w:rsidRPr="00122581">
        <w:rPr>
          <w:rFonts w:asciiTheme="minorHAnsi" w:hAnsiTheme="minorHAnsi"/>
          <w:lang w:val="fr-BE"/>
        </w:rPr>
        <w:t>Pour les 561 dossiers entrés au sein des parquets correctionnels de Belgique et classés sans suite au moment de l’extraction de données, nous constatons que 429 d’</w:t>
      </w:r>
      <w:proofErr w:type="spellStart"/>
      <w:r w:rsidRPr="00122581">
        <w:rPr>
          <w:rFonts w:asciiTheme="minorHAnsi" w:hAnsiTheme="minorHAnsi"/>
          <w:lang w:val="fr-BE"/>
        </w:rPr>
        <w:t>entre-eux</w:t>
      </w:r>
      <w:proofErr w:type="spellEnd"/>
      <w:r w:rsidRPr="00122581">
        <w:rPr>
          <w:rFonts w:asciiTheme="minorHAnsi" w:hAnsiTheme="minorHAnsi"/>
          <w:lang w:val="fr-BE"/>
        </w:rPr>
        <w:t xml:space="preserve"> (soit 76,47%) l’ont été pour un motif technique. Les motifs techniques sont utilisés lorsqu’un ou plusieurs éléments rendent les poursuites impossibles. C’est le cas notamment lorsqu’aucune infraction n’est constatée ou encore lorsque des preuves suffisantes n’ont pas pu être réunies. Nous constatons une prépondérance des affaires classées au motif de « charges insuffisantes » et « absence d’infraction » avec 282 et 116 affaires. Pour 130 dossiers (soit 23,17%), il est question d’un classement sans suite pour un motif d’opportunité dont le plus récurrent est celui de « situation régularisée» (57 dossiers – 10,16%).</w:t>
      </w:r>
    </w:p>
    <w:p w:rsidR="00122581" w:rsidRPr="00122581" w:rsidRDefault="00122581" w:rsidP="00122581">
      <w:pPr>
        <w:pStyle w:val="Default"/>
        <w:spacing w:before="120" w:after="120" w:line="276" w:lineRule="auto"/>
        <w:jc w:val="both"/>
        <w:rPr>
          <w:rFonts w:asciiTheme="minorHAnsi" w:hAnsiTheme="minorHAnsi"/>
          <w:lang w:val="fr-BE"/>
        </w:rPr>
      </w:pPr>
    </w:p>
    <w:p w:rsidR="00122581" w:rsidRPr="00122581" w:rsidRDefault="00122581" w:rsidP="00122581">
      <w:pPr>
        <w:pStyle w:val="Default"/>
        <w:spacing w:before="120" w:after="120" w:line="276" w:lineRule="auto"/>
        <w:jc w:val="both"/>
        <w:rPr>
          <w:rFonts w:asciiTheme="minorHAnsi" w:hAnsiTheme="minorHAnsi"/>
          <w:lang w:val="fr-BE"/>
        </w:rPr>
      </w:pPr>
    </w:p>
    <w:sectPr w:rsidR="00122581" w:rsidRPr="00122581" w:rsidSect="0012258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4A4F" w:rsidRDefault="00534A4F" w:rsidP="009C1E37">
      <w:pPr>
        <w:spacing w:after="0" w:line="240" w:lineRule="auto"/>
      </w:pPr>
      <w:r>
        <w:separator/>
      </w:r>
    </w:p>
  </w:endnote>
  <w:endnote w:type="continuationSeparator" w:id="0">
    <w:p w:rsidR="00534A4F" w:rsidRDefault="00534A4F" w:rsidP="009C1E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7B4" w:rsidRDefault="00A867B4">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977807"/>
      <w:docPartObj>
        <w:docPartGallery w:val="Page Numbers (Bottom of Page)"/>
        <w:docPartUnique/>
      </w:docPartObj>
    </w:sdtPr>
    <w:sdtEndPr/>
    <w:sdtContent>
      <w:p w:rsidR="00A867B4" w:rsidRDefault="00A867B4">
        <w:pPr>
          <w:pStyle w:val="Pieddepage"/>
          <w:jc w:val="right"/>
        </w:pPr>
        <w:r>
          <w:fldChar w:fldCharType="begin"/>
        </w:r>
        <w:r>
          <w:instrText>PAGE   \* MERGEFORMAT</w:instrText>
        </w:r>
        <w:r>
          <w:fldChar w:fldCharType="separate"/>
        </w:r>
        <w:r w:rsidR="00770DE3" w:rsidRPr="00770DE3">
          <w:rPr>
            <w:noProof/>
            <w:lang w:val="fr-FR"/>
          </w:rPr>
          <w:t>7</w:t>
        </w:r>
        <w:r>
          <w:fldChar w:fldCharType="end"/>
        </w:r>
      </w:p>
    </w:sdtContent>
  </w:sdt>
  <w:p w:rsidR="00A867B4" w:rsidRDefault="00A867B4">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7B4" w:rsidRDefault="00A867B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4A4F" w:rsidRDefault="00534A4F" w:rsidP="009C1E37">
      <w:pPr>
        <w:spacing w:after="0" w:line="240" w:lineRule="auto"/>
      </w:pPr>
      <w:r>
        <w:separator/>
      </w:r>
    </w:p>
  </w:footnote>
  <w:footnote w:type="continuationSeparator" w:id="0">
    <w:p w:rsidR="00534A4F" w:rsidRDefault="00534A4F" w:rsidP="009C1E37">
      <w:pPr>
        <w:spacing w:after="0" w:line="240" w:lineRule="auto"/>
      </w:pPr>
      <w:r>
        <w:continuationSeparator/>
      </w:r>
    </w:p>
  </w:footnote>
  <w:footnote w:id="1">
    <w:p w:rsidR="00534A4F" w:rsidRPr="000015DC" w:rsidRDefault="00534A4F" w:rsidP="009C1E37">
      <w:pPr>
        <w:pStyle w:val="Notedebasdepage"/>
        <w:rPr>
          <w:rFonts w:cstheme="minorHAnsi"/>
          <w:sz w:val="18"/>
          <w:szCs w:val="18"/>
        </w:rPr>
      </w:pPr>
      <w:r w:rsidRPr="00770DE3">
        <w:rPr>
          <w:rStyle w:val="Appelnotedebasdep"/>
          <w:rFonts w:cstheme="minorHAnsi"/>
          <w:sz w:val="18"/>
          <w:szCs w:val="18"/>
        </w:rPr>
        <w:footnoteRef/>
      </w:r>
      <w:r w:rsidRPr="00770DE3">
        <w:rPr>
          <w:rFonts w:cstheme="minorHAnsi"/>
          <w:sz w:val="18"/>
          <w:szCs w:val="18"/>
        </w:rPr>
        <w:t xml:space="preserve"> L</w:t>
      </w:r>
      <w:r w:rsidRPr="000015DC">
        <w:rPr>
          <w:rFonts w:cstheme="minorHAnsi"/>
          <w:sz w:val="18"/>
          <w:szCs w:val="18"/>
        </w:rPr>
        <w:t>’année de référence renvoie à l’année au cours de laquelle le dossier a été ouvert au niveau du Comité P.</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7B4" w:rsidRDefault="00A867B4">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7B4" w:rsidRDefault="00A867B4">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4A4F" w:rsidRDefault="00534A4F" w:rsidP="00534A4F">
    <w:pPr>
      <w:pStyle w:val="En-tte"/>
      <w:tabs>
        <w:tab w:val="clear" w:pos="4536"/>
        <w:tab w:val="clear" w:pos="9072"/>
        <w:tab w:val="left" w:pos="3225"/>
      </w:tabs>
    </w:pPr>
    <w:r>
      <w:tab/>
    </w:r>
  </w:p>
  <w:p w:rsidR="00534A4F" w:rsidRDefault="00534A4F" w:rsidP="00534A4F">
    <w:pPr>
      <w:pStyle w:val="En-tte"/>
    </w:pPr>
    <w:r>
      <w:rPr>
        <w:noProof/>
        <w:lang w:eastAsia="en-GB"/>
      </w:rPr>
      <w:drawing>
        <wp:anchor distT="0" distB="0" distL="114300" distR="114300" simplePos="0" relativeHeight="251659264" behindDoc="1" locked="1" layoutInCell="1" allowOverlap="1" wp14:anchorId="5CC8824C" wp14:editId="133B8C95">
          <wp:simplePos x="0" y="0"/>
          <wp:positionH relativeFrom="page">
            <wp:posOffset>925195</wp:posOffset>
          </wp:positionH>
          <wp:positionV relativeFrom="page">
            <wp:posOffset>360045</wp:posOffset>
          </wp:positionV>
          <wp:extent cx="718820" cy="540385"/>
          <wp:effectExtent l="0" t="0" r="5080" b="0"/>
          <wp:wrapNone/>
          <wp:docPr id="2" name="Image 2" descr="logo_OM_f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logo_OM_f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8820" cy="5403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34A4F" w:rsidRPr="00B6445D" w:rsidRDefault="00534A4F" w:rsidP="00534A4F">
    <w:pPr>
      <w:pStyle w:val="En-tt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79B9"/>
    <w:rsid w:val="00122581"/>
    <w:rsid w:val="002279B9"/>
    <w:rsid w:val="002702E2"/>
    <w:rsid w:val="00321A66"/>
    <w:rsid w:val="00534A4F"/>
    <w:rsid w:val="00770DE3"/>
    <w:rsid w:val="009C1E37"/>
    <w:rsid w:val="00A867B4"/>
    <w:rsid w:val="00B9662D"/>
    <w:rsid w:val="00D05F49"/>
    <w:rsid w:val="00DC2C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279B9"/>
    <w:pPr>
      <w:autoSpaceDE w:val="0"/>
      <w:autoSpaceDN w:val="0"/>
      <w:adjustRightInd w:val="0"/>
      <w:spacing w:after="0" w:line="240" w:lineRule="auto"/>
    </w:pPr>
    <w:rPr>
      <w:rFonts w:ascii="Times New Roman" w:hAnsi="Times New Roman" w:cs="Times New Roman"/>
      <w:color w:val="000000"/>
      <w:sz w:val="24"/>
      <w:szCs w:val="24"/>
    </w:rPr>
  </w:style>
  <w:style w:type="paragraph" w:styleId="Notedebasdepage">
    <w:name w:val="footnote text"/>
    <w:basedOn w:val="Normal"/>
    <w:link w:val="NotedebasdepageCar"/>
    <w:uiPriority w:val="99"/>
    <w:unhideWhenUsed/>
    <w:rsid w:val="009C1E37"/>
    <w:pPr>
      <w:spacing w:after="0" w:line="240" w:lineRule="auto"/>
      <w:jc w:val="both"/>
    </w:pPr>
    <w:rPr>
      <w:sz w:val="20"/>
      <w:szCs w:val="20"/>
      <w:lang w:val="fr-BE"/>
    </w:rPr>
  </w:style>
  <w:style w:type="character" w:customStyle="1" w:styleId="NotedebasdepageCar">
    <w:name w:val="Note de bas de page Car"/>
    <w:basedOn w:val="Policepardfaut"/>
    <w:link w:val="Notedebasdepage"/>
    <w:uiPriority w:val="99"/>
    <w:rsid w:val="009C1E37"/>
    <w:rPr>
      <w:sz w:val="20"/>
      <w:szCs w:val="20"/>
      <w:lang w:val="fr-BE"/>
    </w:rPr>
  </w:style>
  <w:style w:type="character" w:styleId="Appelnotedebasdep">
    <w:name w:val="footnote reference"/>
    <w:aliases w:val="Footnote Refernece,4_G,bkVoetnootmarkering"/>
    <w:basedOn w:val="Policepardfaut"/>
    <w:uiPriority w:val="99"/>
    <w:unhideWhenUsed/>
    <w:rsid w:val="009C1E37"/>
    <w:rPr>
      <w:vertAlign w:val="superscript"/>
    </w:rPr>
  </w:style>
  <w:style w:type="table" w:styleId="Grilledutableau">
    <w:name w:val="Table Grid"/>
    <w:basedOn w:val="TableauNormal"/>
    <w:uiPriority w:val="59"/>
    <w:rsid w:val="009C1E37"/>
    <w:pPr>
      <w:spacing w:after="0" w:line="240" w:lineRule="auto"/>
      <w:jc w:val="both"/>
    </w:pPr>
    <w:rPr>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DC2C08"/>
    <w:pPr>
      <w:ind w:left="720"/>
      <w:contextualSpacing/>
    </w:pPr>
  </w:style>
  <w:style w:type="paragraph" w:styleId="En-tte">
    <w:name w:val="header"/>
    <w:basedOn w:val="Normal"/>
    <w:link w:val="En-tteCar"/>
    <w:uiPriority w:val="99"/>
    <w:unhideWhenUsed/>
    <w:rsid w:val="00534A4F"/>
    <w:pPr>
      <w:tabs>
        <w:tab w:val="center" w:pos="4536"/>
        <w:tab w:val="right" w:pos="9072"/>
      </w:tabs>
      <w:spacing w:after="0" w:line="240" w:lineRule="auto"/>
    </w:pPr>
  </w:style>
  <w:style w:type="character" w:customStyle="1" w:styleId="En-tteCar">
    <w:name w:val="En-tête Car"/>
    <w:basedOn w:val="Policepardfaut"/>
    <w:link w:val="En-tte"/>
    <w:uiPriority w:val="99"/>
    <w:rsid w:val="00534A4F"/>
  </w:style>
  <w:style w:type="paragraph" w:styleId="Pieddepage">
    <w:name w:val="footer"/>
    <w:basedOn w:val="Normal"/>
    <w:link w:val="PieddepageCar"/>
    <w:uiPriority w:val="99"/>
    <w:unhideWhenUsed/>
    <w:rsid w:val="00A867B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867B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Default">
    <w:name w:val="Default"/>
    <w:rsid w:val="002279B9"/>
    <w:pPr>
      <w:autoSpaceDE w:val="0"/>
      <w:autoSpaceDN w:val="0"/>
      <w:adjustRightInd w:val="0"/>
      <w:spacing w:after="0" w:line="240" w:lineRule="auto"/>
    </w:pPr>
    <w:rPr>
      <w:rFonts w:ascii="Times New Roman" w:hAnsi="Times New Roman" w:cs="Times New Roman"/>
      <w:color w:val="000000"/>
      <w:sz w:val="24"/>
      <w:szCs w:val="24"/>
    </w:rPr>
  </w:style>
  <w:style w:type="paragraph" w:styleId="Notedebasdepage">
    <w:name w:val="footnote text"/>
    <w:basedOn w:val="Normal"/>
    <w:link w:val="NotedebasdepageCar"/>
    <w:uiPriority w:val="99"/>
    <w:unhideWhenUsed/>
    <w:rsid w:val="009C1E37"/>
    <w:pPr>
      <w:spacing w:after="0" w:line="240" w:lineRule="auto"/>
      <w:jc w:val="both"/>
    </w:pPr>
    <w:rPr>
      <w:sz w:val="20"/>
      <w:szCs w:val="20"/>
      <w:lang w:val="fr-BE"/>
    </w:rPr>
  </w:style>
  <w:style w:type="character" w:customStyle="1" w:styleId="NotedebasdepageCar">
    <w:name w:val="Note de bas de page Car"/>
    <w:basedOn w:val="Policepardfaut"/>
    <w:link w:val="Notedebasdepage"/>
    <w:uiPriority w:val="99"/>
    <w:rsid w:val="009C1E37"/>
    <w:rPr>
      <w:sz w:val="20"/>
      <w:szCs w:val="20"/>
      <w:lang w:val="fr-BE"/>
    </w:rPr>
  </w:style>
  <w:style w:type="character" w:styleId="Appelnotedebasdep">
    <w:name w:val="footnote reference"/>
    <w:aliases w:val="Footnote Refernece,4_G,bkVoetnootmarkering"/>
    <w:basedOn w:val="Policepardfaut"/>
    <w:uiPriority w:val="99"/>
    <w:unhideWhenUsed/>
    <w:rsid w:val="009C1E37"/>
    <w:rPr>
      <w:vertAlign w:val="superscript"/>
    </w:rPr>
  </w:style>
  <w:style w:type="table" w:styleId="Grilledutableau">
    <w:name w:val="Table Grid"/>
    <w:basedOn w:val="TableauNormal"/>
    <w:uiPriority w:val="59"/>
    <w:rsid w:val="009C1E37"/>
    <w:pPr>
      <w:spacing w:after="0" w:line="240" w:lineRule="auto"/>
      <w:jc w:val="both"/>
    </w:pPr>
    <w:rPr>
      <w:lang w:val="nl-B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DC2C08"/>
    <w:pPr>
      <w:ind w:left="720"/>
      <w:contextualSpacing/>
    </w:pPr>
  </w:style>
  <w:style w:type="paragraph" w:styleId="En-tte">
    <w:name w:val="header"/>
    <w:basedOn w:val="Normal"/>
    <w:link w:val="En-tteCar"/>
    <w:uiPriority w:val="99"/>
    <w:unhideWhenUsed/>
    <w:rsid w:val="00534A4F"/>
    <w:pPr>
      <w:tabs>
        <w:tab w:val="center" w:pos="4536"/>
        <w:tab w:val="right" w:pos="9072"/>
      </w:tabs>
      <w:spacing w:after="0" w:line="240" w:lineRule="auto"/>
    </w:pPr>
  </w:style>
  <w:style w:type="character" w:customStyle="1" w:styleId="En-tteCar">
    <w:name w:val="En-tête Car"/>
    <w:basedOn w:val="Policepardfaut"/>
    <w:link w:val="En-tte"/>
    <w:uiPriority w:val="99"/>
    <w:rsid w:val="00534A4F"/>
  </w:style>
  <w:style w:type="paragraph" w:styleId="Pieddepage">
    <w:name w:val="footer"/>
    <w:basedOn w:val="Normal"/>
    <w:link w:val="PieddepageCar"/>
    <w:uiPriority w:val="99"/>
    <w:unhideWhenUsed/>
    <w:rsid w:val="00A867B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A867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customXml" Target="../customXml/item4.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5EB3887-7E52-476C-8BCF-DB5A0C9E561D}"/>
</file>

<file path=customXml/itemProps2.xml><?xml version="1.0" encoding="utf-8"?>
<ds:datastoreItem xmlns:ds="http://schemas.openxmlformats.org/officeDocument/2006/customXml" ds:itemID="{6C62B5DE-8D79-4FCD-A75C-71EB714CD7F7}"/>
</file>

<file path=customXml/itemProps3.xml><?xml version="1.0" encoding="utf-8"?>
<ds:datastoreItem xmlns:ds="http://schemas.openxmlformats.org/officeDocument/2006/customXml" ds:itemID="{AB0030BC-6777-499C-89DE-B25107296BC0}"/>
</file>

<file path=customXml/itemProps4.xml><?xml version="1.0" encoding="utf-8"?>
<ds:datastoreItem xmlns:ds="http://schemas.openxmlformats.org/officeDocument/2006/customXml" ds:itemID="{8F121B87-499A-4754-B595-653379B18259}"/>
</file>

<file path=docProps/app.xml><?xml version="1.0" encoding="utf-8"?>
<Properties xmlns="http://schemas.openxmlformats.org/officeDocument/2006/extended-properties" xmlns:vt="http://schemas.openxmlformats.org/officeDocument/2006/docPropsVTypes">
  <Template>C4EF131B.dotm</Template>
  <TotalTime>0</TotalTime>
  <Pages>8</Pages>
  <Words>2475</Words>
  <Characters>14110</Characters>
  <Application>Microsoft Office Word</Application>
  <DocSecurity>0</DocSecurity>
  <Lines>117</Lines>
  <Paragraphs>33</Paragraphs>
  <ScaleCrop>false</ScaleCrop>
  <HeadingPairs>
    <vt:vector size="2" baseType="variant">
      <vt:variant>
        <vt:lpstr>Titre</vt:lpstr>
      </vt:variant>
      <vt:variant>
        <vt:i4>1</vt:i4>
      </vt:variant>
    </vt:vector>
  </HeadingPairs>
  <TitlesOfParts>
    <vt:vector size="1" baseType="lpstr">
      <vt:lpstr/>
    </vt:vector>
  </TitlesOfParts>
  <Company>FOD Justitie / SPF Justice</Company>
  <LinksUpToDate>false</LinksUpToDate>
  <CharactersWithSpaces>16552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 Baldovin</dc:creator>
  <cp:lastModifiedBy>Leclercq Isabelle</cp:lastModifiedBy>
  <cp:revision>4</cp:revision>
  <dcterms:created xsi:type="dcterms:W3CDTF">2017-12-07T15:36:00Z</dcterms:created>
  <dcterms:modified xsi:type="dcterms:W3CDTF">2017-12-18T13:39:00Z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