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4396"/>
        <w:rPr>
          <w:sz w:val="20"/>
        </w:rPr>
      </w:pPr>
      <w:r>
        <w:rPr>
          <w:sz w:val="20"/>
        </w:rPr>
        <w:drawing>
          <wp:inline distT="0" distB="0" distL="0" distR="0">
            <wp:extent cx="368981" cy="466344"/>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68981" cy="466344"/>
                    </a:xfrm>
                    <a:prstGeom prst="rect">
                      <a:avLst/>
                    </a:prstGeom>
                  </pic:spPr>
                </pic:pic>
              </a:graphicData>
            </a:graphic>
          </wp:inline>
        </w:drawing>
      </w:r>
      <w:r>
        <w:rPr>
          <w:sz w:val="20"/>
        </w:rPr>
      </w:r>
    </w:p>
    <w:p>
      <w:pPr>
        <w:pStyle w:val="BodyText"/>
        <w:spacing w:before="4"/>
        <w:rPr>
          <w:sz w:val="24"/>
        </w:rPr>
      </w:pPr>
    </w:p>
    <w:p>
      <w:pPr>
        <w:pStyle w:val="Heading1"/>
        <w:ind w:left="1897"/>
      </w:pPr>
      <w:r>
        <w:rPr>
          <w:color w:val="151515"/>
          <w:w w:val="105"/>
        </w:rPr>
        <w:t>LYGil) GALIMYBil) KONTROLIERIAUS TARNYBA</w:t>
      </w:r>
    </w:p>
    <w:p>
      <w:pPr>
        <w:pStyle w:val="BodyText"/>
        <w:spacing w:before="9"/>
        <w:rPr>
          <w:b/>
          <w:sz w:val="19"/>
        </w:rPr>
      </w:pPr>
    </w:p>
    <w:p>
      <w:pPr>
        <w:spacing w:before="0"/>
        <w:ind w:left="1518" w:right="0" w:firstLine="0"/>
        <w:jc w:val="left"/>
        <w:rPr>
          <w:b/>
          <w:sz w:val="22"/>
        </w:rPr>
      </w:pPr>
      <w:r>
        <w:rPr>
          <w:b/>
          <w:color w:val="151515"/>
          <w:sz w:val="22"/>
        </w:rPr>
        <w:t>OFFICE OF THE EQUAL OPPORTUNITIES OMBUDSPERSON</w:t>
      </w:r>
    </w:p>
    <w:p>
      <w:pPr>
        <w:spacing w:line="256" w:lineRule="auto" w:before="101"/>
        <w:ind w:left="1072" w:right="942" w:firstLine="0"/>
        <w:jc w:val="center"/>
        <w:rPr>
          <w:sz w:val="16"/>
        </w:rPr>
      </w:pPr>
      <w:r>
        <w:rPr>
          <w:color w:val="262626"/>
          <w:w w:val="105"/>
          <w:sz w:val="16"/>
        </w:rPr>
        <w:t>Budgetary institution, </w:t>
      </w:r>
      <w:r>
        <w:rPr>
          <w:color w:val="151515"/>
          <w:w w:val="105"/>
          <w:sz w:val="16"/>
        </w:rPr>
        <w:t>Gediminas </w:t>
      </w:r>
      <w:r>
        <w:rPr>
          <w:color w:val="262626"/>
          <w:w w:val="105"/>
          <w:sz w:val="16"/>
        </w:rPr>
        <w:t>ave</w:t>
      </w:r>
      <w:r>
        <w:rPr>
          <w:color w:val="4D4D4D"/>
          <w:w w:val="105"/>
          <w:sz w:val="16"/>
        </w:rPr>
        <w:t>. </w:t>
      </w:r>
      <w:r>
        <w:rPr>
          <w:color w:val="151515"/>
          <w:w w:val="105"/>
          <w:sz w:val="16"/>
        </w:rPr>
        <w:t>11 </w:t>
      </w:r>
      <w:r>
        <w:rPr>
          <w:color w:val="4D4D4D"/>
          <w:w w:val="105"/>
          <w:sz w:val="16"/>
        </w:rPr>
        <w:t>, </w:t>
      </w:r>
      <w:r>
        <w:rPr>
          <w:color w:val="151515"/>
          <w:w w:val="105"/>
          <w:sz w:val="16"/>
        </w:rPr>
        <w:t>LT-01103 </w:t>
      </w:r>
      <w:r>
        <w:rPr>
          <w:color w:val="262626"/>
          <w:w w:val="105"/>
          <w:sz w:val="16"/>
        </w:rPr>
        <w:t>Vilnius </w:t>
      </w:r>
      <w:r>
        <w:rPr>
          <w:color w:val="4D4D4D"/>
          <w:w w:val="105"/>
          <w:sz w:val="16"/>
        </w:rPr>
        <w:t>, </w:t>
      </w:r>
      <w:r>
        <w:rPr>
          <w:color w:val="151515"/>
          <w:w w:val="105"/>
          <w:sz w:val="16"/>
        </w:rPr>
        <w:t>tel. </w:t>
      </w:r>
      <w:r>
        <w:rPr>
          <w:color w:val="262626"/>
          <w:w w:val="105"/>
          <w:sz w:val="16"/>
        </w:rPr>
        <w:t>+370 </w:t>
      </w:r>
      <w:r>
        <w:rPr>
          <w:color w:val="151515"/>
          <w:w w:val="105"/>
          <w:sz w:val="16"/>
        </w:rPr>
        <w:t>706 63899</w:t>
      </w:r>
      <w:r>
        <w:rPr>
          <w:color w:val="38383A"/>
          <w:w w:val="105"/>
          <w:sz w:val="16"/>
        </w:rPr>
        <w:t>, </w:t>
      </w:r>
      <w:r>
        <w:rPr>
          <w:color w:val="262626"/>
          <w:w w:val="105"/>
          <w:sz w:val="16"/>
        </w:rPr>
        <w:t>e-mail </w:t>
      </w:r>
      <w:r>
        <w:rPr>
          <w:color w:val="151515"/>
          <w:w w:val="105"/>
          <w:sz w:val="16"/>
        </w:rPr>
        <w:t>lygy be</w:t>
      </w:r>
      <w:r>
        <w:rPr>
          <w:color w:val="38383A"/>
          <w:w w:val="105"/>
          <w:sz w:val="16"/>
        </w:rPr>
        <w:t>@</w:t>
      </w:r>
      <w:r>
        <w:rPr>
          <w:color w:val="151515"/>
          <w:w w:val="105"/>
          <w:sz w:val="16"/>
        </w:rPr>
        <w:t>lygy be.lt Data is collected </w:t>
      </w:r>
      <w:r>
        <w:rPr>
          <w:color w:val="262626"/>
          <w:w w:val="105"/>
          <w:sz w:val="16"/>
        </w:rPr>
        <w:t>and stored </w:t>
      </w:r>
      <w:r>
        <w:rPr>
          <w:color w:val="151515"/>
          <w:w w:val="105"/>
          <w:sz w:val="16"/>
        </w:rPr>
        <w:t>in the Register </w:t>
      </w:r>
      <w:r>
        <w:rPr>
          <w:color w:val="262626"/>
          <w:w w:val="105"/>
          <w:sz w:val="16"/>
        </w:rPr>
        <w:t>of Legal Entities, code </w:t>
      </w:r>
      <w:r>
        <w:rPr>
          <w:color w:val="151515"/>
          <w:w w:val="105"/>
          <w:sz w:val="16"/>
        </w:rPr>
        <w:t>188735591</w:t>
      </w:r>
    </w:p>
    <w:p>
      <w:pPr>
        <w:pStyle w:val="BodyText"/>
        <w:spacing w:before="7"/>
        <w:rPr>
          <w:sz w:val="9"/>
        </w:rPr>
      </w:pPr>
      <w:r>
        <w:rPr/>
        <w:pict>
          <v:line style="position:absolute;mso-position-horizontal-relative:page;mso-position-vertical-relative:paragraph;z-index:-1024;mso-wrap-distance-left:0;mso-wrap-distance-right:0" from="95.193298pt,7.754781pt" to="550.005739pt,7.754781pt" stroked="true" strokeweight=".480548pt" strokecolor="#000000">
            <v:stroke dashstyle="solid"/>
            <w10:wrap type="topAndBottom"/>
          </v:line>
        </w:pict>
      </w:r>
    </w:p>
    <w:p>
      <w:pPr>
        <w:spacing w:after="0"/>
        <w:rPr>
          <w:sz w:val="9"/>
        </w:rPr>
        <w:sectPr>
          <w:type w:val="continuous"/>
          <w:pgSz w:w="11910" w:h="16840"/>
          <w:pgMar w:top="1100" w:bottom="280" w:left="1680" w:right="780"/>
        </w:sectPr>
      </w:pPr>
    </w:p>
    <w:p>
      <w:pPr>
        <w:pStyle w:val="BodyText"/>
        <w:spacing w:before="77"/>
        <w:ind w:left="230"/>
      </w:pPr>
      <w:r>
        <w:rPr>
          <w:color w:val="151515"/>
          <w:w w:val="105"/>
        </w:rPr>
        <w:t>CEDAW Secretariat</w:t>
      </w:r>
    </w:p>
    <w:p>
      <w:pPr>
        <w:pStyle w:val="BodyText"/>
        <w:spacing w:before="18"/>
        <w:ind w:left="238"/>
      </w:pPr>
      <w:r>
        <w:rPr>
          <w:color w:val="151515"/>
          <w:w w:val="105"/>
        </w:rPr>
        <w:t>E-mail: </w:t>
      </w:r>
      <w:hyperlink r:id="rId6">
        <w:r>
          <w:rPr>
            <w:color w:val="151515"/>
            <w:w w:val="105"/>
            <w:u w:val="thick" w:color="151515"/>
          </w:rPr>
          <w:t>cedaw@ohchr.org</w:t>
        </w:r>
      </w:hyperlink>
    </w:p>
    <w:p>
      <w:pPr>
        <w:pStyle w:val="BodyText"/>
        <w:spacing w:before="72"/>
        <w:ind w:left="230"/>
      </w:pPr>
      <w:r>
        <w:rPr/>
        <w:br w:type="column"/>
      </w:r>
      <w:r>
        <w:rPr>
          <w:color w:val="151515"/>
          <w:w w:val="105"/>
        </w:rPr>
        <w:t>2019-09-30 No. (1.4)S-592</w:t>
      </w:r>
    </w:p>
    <w:p>
      <w:pPr>
        <w:spacing w:after="0"/>
        <w:sectPr>
          <w:type w:val="continuous"/>
          <w:pgSz w:w="11910" w:h="16840"/>
          <w:pgMar w:top="1100" w:bottom="280" w:left="1680" w:right="780"/>
          <w:cols w:num="2" w:equalWidth="0">
            <w:col w:w="2675" w:space="3790"/>
            <w:col w:w="2985"/>
          </w:cols>
        </w:sectPr>
      </w:pPr>
    </w:p>
    <w:p>
      <w:pPr>
        <w:pStyle w:val="BodyText"/>
        <w:rPr>
          <w:sz w:val="20"/>
        </w:rPr>
      </w:pPr>
    </w:p>
    <w:p>
      <w:pPr>
        <w:pStyle w:val="BodyText"/>
        <w:rPr>
          <w:sz w:val="20"/>
        </w:rPr>
      </w:pPr>
    </w:p>
    <w:p>
      <w:pPr>
        <w:pStyle w:val="BodyText"/>
        <w:rPr>
          <w:sz w:val="20"/>
        </w:rPr>
      </w:pPr>
    </w:p>
    <w:p>
      <w:pPr>
        <w:pStyle w:val="BodyText"/>
        <w:spacing w:before="4"/>
        <w:rPr>
          <w:sz w:val="24"/>
        </w:rPr>
      </w:pPr>
    </w:p>
    <w:p>
      <w:pPr>
        <w:pStyle w:val="Heading1"/>
      </w:pPr>
      <w:r>
        <w:rPr>
          <w:color w:val="151515"/>
        </w:rPr>
        <w:t>ADDITIONAL INFORMATION ON THE LIST OF ISSUES (CEDAW/C/LTU/Q/6)</w:t>
      </w:r>
    </w:p>
    <w:p>
      <w:pPr>
        <w:pStyle w:val="BodyText"/>
        <w:rPr>
          <w:b/>
          <w:sz w:val="24"/>
        </w:rPr>
      </w:pPr>
    </w:p>
    <w:p>
      <w:pPr>
        <w:pStyle w:val="BodyText"/>
        <w:spacing w:before="6"/>
        <w:rPr>
          <w:b/>
          <w:sz w:val="22"/>
        </w:rPr>
      </w:pPr>
    </w:p>
    <w:p>
      <w:pPr>
        <w:pStyle w:val="BodyText"/>
        <w:ind w:left="227"/>
      </w:pPr>
      <w:r>
        <w:rPr>
          <w:color w:val="151515"/>
          <w:w w:val="105"/>
        </w:rPr>
        <w:t>To Whom It May Concern:</w:t>
      </w:r>
    </w:p>
    <w:p>
      <w:pPr>
        <w:pStyle w:val="BodyText"/>
        <w:rPr>
          <w:sz w:val="22"/>
        </w:rPr>
      </w:pPr>
    </w:p>
    <w:p>
      <w:pPr>
        <w:pStyle w:val="BodyText"/>
        <w:rPr>
          <w:sz w:val="22"/>
        </w:rPr>
      </w:pPr>
    </w:p>
    <w:p>
      <w:pPr>
        <w:pStyle w:val="BodyText"/>
        <w:spacing w:line="388" w:lineRule="auto" w:before="142"/>
        <w:ind w:left="230" w:right="101" w:hanging="3"/>
        <w:jc w:val="both"/>
      </w:pPr>
      <w:r>
        <w:rPr>
          <w:color w:val="151515"/>
          <w:w w:val="105"/>
        </w:rPr>
        <w:t>Thereby the Office of the Equal Opportunities Ombudsperson of the Republic of Lithuania provides additional information on the list of issues and questions in relation to the sixth periodic report of Lithuania (CEDA W</w:t>
      </w:r>
      <w:r>
        <w:rPr>
          <w:color w:val="262626"/>
          <w:w w:val="105"/>
        </w:rPr>
        <w:t>/C/L</w:t>
      </w:r>
      <w:r>
        <w:rPr>
          <w:color w:val="151515"/>
          <w:w w:val="105"/>
        </w:rPr>
        <w:t>TU/Q/6). This submission is developed in the spirit of the para. 7 of the Statement by the Committee on the Elimination of Discrimination against Women on its relationship with national human rights institutions (E/CN.6/2008/CRP.1).</w:t>
      </w:r>
    </w:p>
    <w:p>
      <w:pPr>
        <w:pStyle w:val="BodyText"/>
        <w:spacing w:before="110"/>
        <w:ind w:left="227"/>
        <w:jc w:val="both"/>
      </w:pPr>
      <w:r>
        <w:rPr>
          <w:color w:val="151515"/>
          <w:w w:val="105"/>
        </w:rPr>
        <w:t>The submission can be posted freely on the CEDAW website for public information purposes.</w:t>
      </w:r>
    </w:p>
    <w:p>
      <w:pPr>
        <w:pStyle w:val="BodyText"/>
        <w:rPr>
          <w:sz w:val="22"/>
        </w:rPr>
      </w:pPr>
    </w:p>
    <w:p>
      <w:pPr>
        <w:pStyle w:val="BodyText"/>
        <w:rPr>
          <w:sz w:val="22"/>
        </w:rPr>
      </w:pPr>
    </w:p>
    <w:p>
      <w:pPr>
        <w:pStyle w:val="BodyText"/>
        <w:spacing w:before="11"/>
      </w:pPr>
    </w:p>
    <w:p>
      <w:pPr>
        <w:pStyle w:val="BodyText"/>
        <w:ind w:left="227"/>
        <w:jc w:val="both"/>
      </w:pPr>
      <w:r>
        <w:rPr>
          <w:color w:val="151515"/>
          <w:w w:val="105"/>
        </w:rPr>
        <w:t>ATTACHED. Additional Information on the List of Issues</w:t>
      </w:r>
      <w:r>
        <w:rPr>
          <w:color w:val="38383A"/>
          <w:w w:val="105"/>
        </w:rPr>
        <w:t>, </w:t>
      </w:r>
      <w:r>
        <w:rPr>
          <w:color w:val="151515"/>
          <w:w w:val="105"/>
        </w:rPr>
        <w:t>9 pages.</w:t>
      </w:r>
    </w:p>
    <w:p>
      <w:pPr>
        <w:pStyle w:val="BodyText"/>
        <w:rPr>
          <w:sz w:val="22"/>
        </w:rPr>
      </w:pPr>
    </w:p>
    <w:p>
      <w:pPr>
        <w:pStyle w:val="BodyText"/>
        <w:rPr>
          <w:sz w:val="22"/>
        </w:rPr>
      </w:pPr>
    </w:p>
    <w:p>
      <w:pPr>
        <w:pStyle w:val="BodyText"/>
        <w:spacing w:before="146"/>
        <w:ind w:left="225"/>
        <w:jc w:val="both"/>
      </w:pPr>
      <w:r>
        <w:rPr>
          <w:color w:val="151515"/>
        </w:rPr>
        <w:t>Sincerely </w:t>
      </w:r>
      <w:r>
        <w:rPr>
          <w:color w:val="38383A"/>
        </w:rPr>
        <w:t>,</w:t>
      </w:r>
    </w:p>
    <w:p>
      <w:pPr>
        <w:pStyle w:val="BodyText"/>
        <w:rPr>
          <w:sz w:val="22"/>
        </w:rPr>
      </w:pPr>
    </w:p>
    <w:p>
      <w:pPr>
        <w:pStyle w:val="BodyText"/>
        <w:tabs>
          <w:tab w:pos="2704" w:val="left" w:leader="none"/>
        </w:tabs>
        <w:spacing w:before="163"/>
        <w:ind w:left="230"/>
        <w:jc w:val="both"/>
      </w:pPr>
      <w:r>
        <w:rPr>
          <w:color w:val="151515"/>
          <w:w w:val="105"/>
        </w:rPr>
        <w:t>Milda</w:t>
      </w:r>
      <w:r>
        <w:rPr>
          <w:color w:val="151515"/>
          <w:spacing w:val="17"/>
          <w:w w:val="105"/>
        </w:rPr>
        <w:t> </w:t>
      </w:r>
      <w:r>
        <w:rPr>
          <w:color w:val="151515"/>
          <w:w w:val="105"/>
        </w:rPr>
        <w:t>Vainiute</w:t>
        <w:tab/>
      </w:r>
      <w:r>
        <w:rPr>
          <w:color w:val="151515"/>
          <w:position w:val="-2"/>
        </w:rPr>
        <w:drawing>
          <wp:inline distT="0" distB="0" distL="0" distR="0">
            <wp:extent cx="686906" cy="222757"/>
            <wp:effectExtent l="0" t="0" r="0" b="0"/>
            <wp:docPr id="3" name="image2.jpeg" descr=""/>
            <wp:cNvGraphicFramePr>
              <a:graphicFrameLocks noChangeAspect="1"/>
            </wp:cNvGraphicFramePr>
            <a:graphic>
              <a:graphicData uri="http://schemas.openxmlformats.org/drawingml/2006/picture">
                <pic:pic>
                  <pic:nvPicPr>
                    <pic:cNvPr id="4" name="image2.jpeg"/>
                    <pic:cNvPicPr/>
                  </pic:nvPicPr>
                  <pic:blipFill>
                    <a:blip r:embed="rId7" cstate="print"/>
                    <a:stretch>
                      <a:fillRect/>
                    </a:stretch>
                  </pic:blipFill>
                  <pic:spPr>
                    <a:xfrm>
                      <a:off x="0" y="0"/>
                      <a:ext cx="686906" cy="222757"/>
                    </a:xfrm>
                    <a:prstGeom prst="rect">
                      <a:avLst/>
                    </a:prstGeom>
                  </pic:spPr>
                </pic:pic>
              </a:graphicData>
            </a:graphic>
          </wp:inline>
        </w:drawing>
      </w:r>
      <w:r>
        <w:rPr>
          <w:color w:val="151515"/>
          <w:position w:val="-2"/>
        </w:rPr>
      </w:r>
    </w:p>
    <w:p>
      <w:pPr>
        <w:pStyle w:val="BodyText"/>
        <w:spacing w:before="148"/>
        <w:ind w:left="225"/>
        <w:jc w:val="both"/>
      </w:pPr>
      <w:r>
        <w:rPr>
          <w:color w:val="151515"/>
          <w:w w:val="105"/>
        </w:rPr>
        <w:t>Seimas Ombudsperson, substituting the Equal Opportunities Ombudsperson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0"/>
        </w:rPr>
      </w:pPr>
    </w:p>
    <w:p>
      <w:pPr>
        <w:pStyle w:val="BodyText"/>
        <w:spacing w:before="92"/>
        <w:ind w:left="222"/>
      </w:pPr>
      <w:r>
        <w:rPr>
          <w:color w:val="151515"/>
          <w:w w:val="105"/>
        </w:rPr>
        <w:t>Tomas Vytautas Raskevic ius</w:t>
      </w:r>
      <w:r>
        <w:rPr>
          <w:color w:val="38383A"/>
          <w:w w:val="105"/>
        </w:rPr>
        <w:t>, </w:t>
      </w:r>
      <w:r>
        <w:rPr>
          <w:color w:val="151515"/>
          <w:w w:val="105"/>
        </w:rPr>
        <w:t>tel. +370 706 63768, e-mail </w:t>
      </w:r>
      <w:hyperlink r:id="rId8">
        <w:r>
          <w:rPr>
            <w:color w:val="151515"/>
            <w:w w:val="105"/>
            <w:u w:val="thick" w:color="151515"/>
          </w:rPr>
          <w:t>tomas.raskevicius@lygybe.lt</w:t>
        </w:r>
      </w:hyperlink>
    </w:p>
    <w:sectPr>
      <w:type w:val="continuous"/>
      <w:pgSz w:w="11910" w:h="16840"/>
      <w:pgMar w:top="1100" w:bottom="280" w:left="1680" w:right="7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1"/>
      <w:szCs w:val="21"/>
    </w:rPr>
  </w:style>
  <w:style w:styleId="Heading1" w:type="paragraph">
    <w:name w:val="Heading 1"/>
    <w:basedOn w:val="Normal"/>
    <w:uiPriority w:val="1"/>
    <w:qFormat/>
    <w:pPr>
      <w:spacing w:before="91"/>
      <w:ind w:left="231"/>
      <w:outlineLvl w:val="1"/>
    </w:pPr>
    <w:rPr>
      <w:rFonts w:ascii="Times New Roman" w:hAnsi="Times New Roman" w:eastAsia="Times New Roman" w:cs="Times New Roman"/>
      <w:b/>
      <w:bCs/>
      <w:sz w:val="22"/>
      <w:szCs w:val="22"/>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8" Type="http://schemas.openxmlformats.org/officeDocument/2006/relationships/hyperlink" Target="mailto:tomas.raskevicius@lygybe.lt" TargetMode="External"/><Relationship Id="rId3"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cedaw@ohchr.org"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568DC0-DDDE-44C8-B69B-95CF9CEE7E73}"/>
</file>

<file path=customXml/itemProps2.xml><?xml version="1.0" encoding="utf-8"?>
<ds:datastoreItem xmlns:ds="http://schemas.openxmlformats.org/officeDocument/2006/customXml" ds:itemID="{81FBC9C7-0E5D-4FAA-8491-2DA3BE0913BA}"/>
</file>

<file path=customXml/itemProps3.xml><?xml version="1.0" encoding="utf-8"?>
<ds:datastoreItem xmlns:ds="http://schemas.openxmlformats.org/officeDocument/2006/customXml" ds:itemID="{C2741AC1-9ADA-468E-A832-D44D6F91A962}"/>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2019-10-04T18:15:23Z</dcterms:created>
  <dcterms:modified xsi:type="dcterms:W3CDTF">2019-10-04T18:15:23Z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2019-09-26T00:00:00Z</vt:filetime>
  </property>
  <property fmtid="{D5CDD505-2E9C-101B-9397-08002B2CF9AE}" pid="3" name="LastSaved">
    <vt:filetime>2019-09-26T00:00:00Z</vt:filetime>
  </property>
  <property fmtid="{D5CDD505-2E9C-101B-9397-08002B2CF9AE}" pid="4" name="ContentTypeId">
    <vt:lpwstr>0x010100F397614B75B84E4C841CE911BA0CCB9D</vt:lpwstr>
  </property>
</Properties>
</file>