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B7F45" w14:textId="3574EF50" w:rsidR="009D4F4E" w:rsidRDefault="00666C46" w:rsidP="00666C46">
      <w:pPr>
        <w:rPr>
          <w:rFonts w:ascii="Calibri" w:eastAsia="Calibri" w:hAnsi="Calibri" w:cs="Calibri"/>
          <w:b/>
          <w:bCs/>
          <w:sz w:val="22"/>
          <w:szCs w:val="22"/>
        </w:rPr>
      </w:pPr>
      <w:r>
        <w:rPr>
          <w:noProof/>
        </w:rPr>
        <w:drawing>
          <wp:inline distT="0" distB="0" distL="0" distR="0" wp14:anchorId="620DB36A" wp14:editId="71AD0A34">
            <wp:extent cx="2074168" cy="694945"/>
            <wp:effectExtent l="0" t="0" r="2540" b="0"/>
            <wp:docPr id="1502526306" name="Picture 1" descr="A yellow and black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40073" name="Picture 1" descr="A yellow and black sign with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4168" cy="694945"/>
                    </a:xfrm>
                    <a:prstGeom prst="rect">
                      <a:avLst/>
                    </a:prstGeom>
                  </pic:spPr>
                </pic:pic>
              </a:graphicData>
            </a:graphic>
          </wp:inline>
        </w:drawing>
      </w:r>
    </w:p>
    <w:p w14:paraId="74A13BBF" w14:textId="77777777" w:rsidR="000A62BE" w:rsidRDefault="000A62BE" w:rsidP="004B625A">
      <w:pPr>
        <w:rPr>
          <w:rFonts w:ascii="Calibri" w:eastAsia="Calibri" w:hAnsi="Calibri" w:cs="Calibri"/>
          <w:b/>
          <w:bCs/>
          <w:sz w:val="22"/>
          <w:szCs w:val="22"/>
        </w:rPr>
      </w:pPr>
    </w:p>
    <w:p w14:paraId="50211823" w14:textId="316728F8" w:rsidR="73129C78" w:rsidRDefault="73129C78" w:rsidP="27BCFCC7">
      <w:pPr>
        <w:jc w:val="center"/>
        <w:rPr>
          <w:rFonts w:ascii="Calibri" w:eastAsia="Calibri" w:hAnsi="Calibri" w:cs="Calibri"/>
          <w:b/>
          <w:bCs/>
          <w:sz w:val="22"/>
          <w:szCs w:val="22"/>
        </w:rPr>
      </w:pPr>
      <w:r w:rsidRPr="7FC661B2">
        <w:rPr>
          <w:rFonts w:ascii="Calibri" w:eastAsia="Calibri" w:hAnsi="Calibri" w:cs="Calibri"/>
          <w:b/>
          <w:bCs/>
          <w:sz w:val="22"/>
          <w:szCs w:val="22"/>
        </w:rPr>
        <w:t>Submission to the United Nations Committee against Torture regarding the Periodic Review of Lithuania</w:t>
      </w:r>
    </w:p>
    <w:p w14:paraId="2A88AFDD" w14:textId="65333E69" w:rsidR="73129C78" w:rsidRDefault="73129C78" w:rsidP="27BCFCC7">
      <w:pPr>
        <w:jc w:val="center"/>
        <w:rPr>
          <w:rFonts w:ascii="Calibri" w:eastAsia="Calibri" w:hAnsi="Calibri" w:cs="Calibri"/>
          <w:b/>
          <w:bCs/>
          <w:sz w:val="22"/>
          <w:szCs w:val="22"/>
        </w:rPr>
      </w:pPr>
      <w:r w:rsidRPr="7FC661B2">
        <w:rPr>
          <w:rFonts w:ascii="Calibri" w:eastAsia="Calibri" w:hAnsi="Calibri" w:cs="Calibri"/>
          <w:b/>
          <w:bCs/>
          <w:sz w:val="22"/>
          <w:szCs w:val="22"/>
        </w:rPr>
        <w:t>List of Issues Prior to Reporting (LOIPR)</w:t>
      </w:r>
    </w:p>
    <w:p w14:paraId="19A9FF39" w14:textId="4198E672" w:rsidR="73129C78" w:rsidRDefault="000A62BE" w:rsidP="27BCFCC7">
      <w:pPr>
        <w:jc w:val="center"/>
        <w:rPr>
          <w:rFonts w:ascii="Calibri" w:eastAsia="Calibri" w:hAnsi="Calibri" w:cs="Calibri"/>
          <w:sz w:val="22"/>
          <w:szCs w:val="22"/>
        </w:rPr>
      </w:pPr>
      <w:r w:rsidRPr="004B625A">
        <w:rPr>
          <w:rFonts w:ascii="Calibri" w:eastAsia="Calibri" w:hAnsi="Calibri" w:cs="Calibri"/>
          <w:b/>
          <w:bCs/>
          <w:sz w:val="22"/>
          <w:szCs w:val="22"/>
        </w:rPr>
        <w:t>14</w:t>
      </w:r>
      <w:r w:rsidR="73129C78" w:rsidRPr="7FC661B2">
        <w:rPr>
          <w:rFonts w:ascii="Calibri" w:eastAsia="Calibri" w:hAnsi="Calibri" w:cs="Calibri"/>
          <w:b/>
          <w:bCs/>
          <w:sz w:val="22"/>
          <w:szCs w:val="22"/>
        </w:rPr>
        <w:t xml:space="preserve"> June 2024</w:t>
      </w:r>
    </w:p>
    <w:p w14:paraId="08C0A147" w14:textId="75FA6872" w:rsidR="38E3E180" w:rsidRDefault="38E3E180" w:rsidP="00723DB8">
      <w:pPr>
        <w:pStyle w:val="ListParagraph"/>
        <w:numPr>
          <w:ilvl w:val="0"/>
          <w:numId w:val="1"/>
        </w:numPr>
        <w:spacing w:after="0"/>
        <w:jc w:val="both"/>
        <w:rPr>
          <w:rFonts w:ascii="Calibri" w:eastAsia="Calibri" w:hAnsi="Calibri" w:cs="Calibri"/>
          <w:sz w:val="22"/>
          <w:szCs w:val="22"/>
        </w:rPr>
      </w:pPr>
      <w:r w:rsidRPr="27BCFCC7">
        <w:rPr>
          <w:rFonts w:ascii="Calibri" w:eastAsia="Calibri" w:hAnsi="Calibri" w:cs="Calibri"/>
          <w:sz w:val="22"/>
          <w:szCs w:val="22"/>
        </w:rPr>
        <w:t>REDRESS</w:t>
      </w:r>
      <w:r w:rsidRPr="27BCFCC7">
        <w:rPr>
          <w:rStyle w:val="FootnoteReference"/>
          <w:rFonts w:ascii="Calibri" w:eastAsia="Calibri" w:hAnsi="Calibri" w:cs="Calibri"/>
          <w:sz w:val="22"/>
          <w:szCs w:val="22"/>
        </w:rPr>
        <w:footnoteReference w:id="2"/>
      </w:r>
      <w:r w:rsidRPr="27BCFCC7">
        <w:rPr>
          <w:rFonts w:ascii="Calibri" w:eastAsia="Calibri" w:hAnsi="Calibri" w:cs="Calibri"/>
          <w:sz w:val="22"/>
          <w:szCs w:val="22"/>
        </w:rPr>
        <w:t xml:space="preserve"> writes to bring to the attention of the Committee against Torture </w:t>
      </w:r>
      <w:r w:rsidR="362DABE3" w:rsidRPr="27BCFCC7">
        <w:rPr>
          <w:rFonts w:ascii="Calibri" w:eastAsia="Calibri" w:hAnsi="Calibri" w:cs="Calibri"/>
          <w:sz w:val="22"/>
          <w:szCs w:val="22"/>
        </w:rPr>
        <w:t>(</w:t>
      </w:r>
      <w:r w:rsidR="362DABE3" w:rsidRPr="27BCFCC7">
        <w:rPr>
          <w:rFonts w:ascii="Calibri" w:eastAsia="Calibri" w:hAnsi="Calibri" w:cs="Calibri"/>
          <w:b/>
          <w:bCs/>
          <w:sz w:val="22"/>
          <w:szCs w:val="22"/>
        </w:rPr>
        <w:t>the Committee</w:t>
      </w:r>
      <w:r w:rsidR="362DABE3" w:rsidRPr="27BCFCC7">
        <w:rPr>
          <w:rFonts w:ascii="Calibri" w:eastAsia="Calibri" w:hAnsi="Calibri" w:cs="Calibri"/>
          <w:sz w:val="22"/>
          <w:szCs w:val="22"/>
        </w:rPr>
        <w:t xml:space="preserve">) </w:t>
      </w:r>
      <w:proofErr w:type="gramStart"/>
      <w:r w:rsidRPr="27BCFCC7">
        <w:rPr>
          <w:rFonts w:ascii="Calibri" w:eastAsia="Calibri" w:hAnsi="Calibri" w:cs="Calibri"/>
          <w:sz w:val="22"/>
          <w:szCs w:val="22"/>
        </w:rPr>
        <w:t>a number of</w:t>
      </w:r>
      <w:proofErr w:type="gramEnd"/>
      <w:r w:rsidRPr="27BCFCC7">
        <w:rPr>
          <w:rFonts w:ascii="Calibri" w:eastAsia="Calibri" w:hAnsi="Calibri" w:cs="Calibri"/>
          <w:sz w:val="22"/>
          <w:szCs w:val="22"/>
        </w:rPr>
        <w:t xml:space="preserve"> key concerns in relation to Lithuania’s compliance with its obligations under the Convention against Torture and Other Cruel, Inhuman or Degrading Treatment or Punishment (</w:t>
      </w:r>
      <w:r w:rsidR="005B3222" w:rsidRPr="003C741F">
        <w:rPr>
          <w:rFonts w:ascii="Calibri" w:eastAsia="Calibri" w:hAnsi="Calibri" w:cs="Calibri"/>
          <w:b/>
          <w:bCs/>
          <w:sz w:val="22"/>
          <w:szCs w:val="22"/>
        </w:rPr>
        <w:t>UN</w:t>
      </w:r>
      <w:r w:rsidRPr="27BCFCC7">
        <w:rPr>
          <w:rFonts w:ascii="Calibri" w:eastAsia="Calibri" w:hAnsi="Calibri" w:cs="Calibri"/>
          <w:b/>
          <w:bCs/>
          <w:sz w:val="22"/>
          <w:szCs w:val="22"/>
        </w:rPr>
        <w:t>CAT</w:t>
      </w:r>
      <w:r w:rsidRPr="27BCFCC7">
        <w:rPr>
          <w:rFonts w:ascii="Calibri" w:eastAsia="Calibri" w:hAnsi="Calibri" w:cs="Calibri"/>
          <w:sz w:val="22"/>
          <w:szCs w:val="22"/>
        </w:rPr>
        <w:t>) in advance of the adoption of the List of Issues Prior to Reporting (</w:t>
      </w:r>
      <w:r w:rsidRPr="27BCFCC7">
        <w:rPr>
          <w:rFonts w:ascii="Calibri" w:eastAsia="Calibri" w:hAnsi="Calibri" w:cs="Calibri"/>
          <w:b/>
          <w:bCs/>
          <w:sz w:val="22"/>
          <w:szCs w:val="22"/>
        </w:rPr>
        <w:t>LOIPR</w:t>
      </w:r>
      <w:r w:rsidRPr="27BCFCC7">
        <w:rPr>
          <w:rFonts w:ascii="Calibri" w:eastAsia="Calibri" w:hAnsi="Calibri" w:cs="Calibri"/>
          <w:sz w:val="22"/>
          <w:szCs w:val="22"/>
        </w:rPr>
        <w:t xml:space="preserve">) at the </w:t>
      </w:r>
      <w:r w:rsidR="25756A34" w:rsidRPr="27BCFCC7">
        <w:rPr>
          <w:rFonts w:ascii="Calibri" w:eastAsia="Calibri" w:hAnsi="Calibri" w:cs="Calibri"/>
          <w:sz w:val="22"/>
          <w:szCs w:val="22"/>
        </w:rPr>
        <w:t>81st</w:t>
      </w:r>
      <w:r w:rsidRPr="27BCFCC7">
        <w:rPr>
          <w:rFonts w:ascii="Calibri" w:eastAsia="Calibri" w:hAnsi="Calibri" w:cs="Calibri"/>
          <w:sz w:val="22"/>
          <w:szCs w:val="22"/>
        </w:rPr>
        <w:t xml:space="preserve"> Session of the Committee to be held from </w:t>
      </w:r>
      <w:r w:rsidR="287389B5" w:rsidRPr="27BCFCC7">
        <w:rPr>
          <w:rFonts w:ascii="Calibri" w:eastAsia="Calibri" w:hAnsi="Calibri" w:cs="Calibri"/>
          <w:sz w:val="22"/>
          <w:szCs w:val="22"/>
        </w:rPr>
        <w:t>28 Oct 2024 - 22 Nov 2024</w:t>
      </w:r>
      <w:r w:rsidRPr="27BCFCC7">
        <w:rPr>
          <w:rFonts w:ascii="Calibri" w:eastAsia="Calibri" w:hAnsi="Calibri" w:cs="Calibri"/>
          <w:sz w:val="22"/>
          <w:szCs w:val="22"/>
        </w:rPr>
        <w:t>.</w:t>
      </w:r>
    </w:p>
    <w:p w14:paraId="1FFA2CB1" w14:textId="14CAB9D6" w:rsidR="27BCFCC7" w:rsidRDefault="27BCFCC7" w:rsidP="00723DB8">
      <w:pPr>
        <w:spacing w:after="0"/>
        <w:jc w:val="both"/>
        <w:rPr>
          <w:rFonts w:ascii="Calibri" w:eastAsia="Calibri" w:hAnsi="Calibri" w:cs="Calibri"/>
          <w:sz w:val="22"/>
          <w:szCs w:val="22"/>
        </w:rPr>
      </w:pPr>
    </w:p>
    <w:p w14:paraId="44FC805D" w14:textId="0FC6F070" w:rsidR="6F77D5AC" w:rsidRDefault="6F77D5AC" w:rsidP="00723DB8">
      <w:pPr>
        <w:jc w:val="both"/>
        <w:rPr>
          <w:rFonts w:ascii="Calibri" w:eastAsia="Calibri" w:hAnsi="Calibri" w:cs="Calibri"/>
          <w:b/>
          <w:bCs/>
          <w:sz w:val="22"/>
          <w:szCs w:val="22"/>
        </w:rPr>
      </w:pPr>
      <w:r w:rsidRPr="7FC661B2">
        <w:rPr>
          <w:rFonts w:ascii="Calibri" w:eastAsia="Calibri" w:hAnsi="Calibri" w:cs="Calibri"/>
          <w:b/>
          <w:bCs/>
          <w:sz w:val="22"/>
          <w:szCs w:val="22"/>
        </w:rPr>
        <w:t xml:space="preserve">Investigation in the context of the involvement in the extraordinary rendition and secret detention </w:t>
      </w:r>
      <w:proofErr w:type="spellStart"/>
      <w:r w:rsidRPr="7FC661B2">
        <w:rPr>
          <w:rFonts w:ascii="Calibri" w:eastAsia="Calibri" w:hAnsi="Calibri" w:cs="Calibri"/>
          <w:b/>
          <w:bCs/>
          <w:sz w:val="22"/>
          <w:szCs w:val="22"/>
        </w:rPr>
        <w:t>programme</w:t>
      </w:r>
      <w:proofErr w:type="spellEnd"/>
      <w:r w:rsidRPr="7FC661B2">
        <w:rPr>
          <w:rFonts w:ascii="Calibri" w:eastAsia="Calibri" w:hAnsi="Calibri" w:cs="Calibri"/>
          <w:b/>
          <w:bCs/>
          <w:sz w:val="22"/>
          <w:szCs w:val="22"/>
        </w:rPr>
        <w:t xml:space="preserve">: </w:t>
      </w:r>
      <w:r w:rsidR="6E45640E" w:rsidRPr="7FC661B2">
        <w:rPr>
          <w:rFonts w:ascii="Calibri" w:eastAsia="Calibri" w:hAnsi="Calibri" w:cs="Calibri"/>
          <w:b/>
          <w:bCs/>
          <w:sz w:val="22"/>
          <w:szCs w:val="22"/>
        </w:rPr>
        <w:t>i</w:t>
      </w:r>
      <w:r w:rsidRPr="7FC661B2">
        <w:rPr>
          <w:rFonts w:ascii="Calibri" w:eastAsia="Calibri" w:hAnsi="Calibri" w:cs="Calibri"/>
          <w:b/>
          <w:bCs/>
          <w:sz w:val="22"/>
          <w:szCs w:val="22"/>
        </w:rPr>
        <w:t>mpunity for torture, lack of effective access to complaint mechanisms</w:t>
      </w:r>
      <w:r w:rsidR="5D202732" w:rsidRPr="7FC661B2">
        <w:rPr>
          <w:rFonts w:ascii="Calibri" w:eastAsia="Calibri" w:hAnsi="Calibri" w:cs="Calibri"/>
          <w:b/>
          <w:bCs/>
          <w:sz w:val="22"/>
          <w:szCs w:val="22"/>
        </w:rPr>
        <w:t>,</w:t>
      </w:r>
      <w:r w:rsidRPr="7FC661B2">
        <w:rPr>
          <w:rFonts w:ascii="Calibri" w:eastAsia="Calibri" w:hAnsi="Calibri" w:cs="Calibri"/>
          <w:b/>
          <w:bCs/>
          <w:sz w:val="22"/>
          <w:szCs w:val="22"/>
        </w:rPr>
        <w:t xml:space="preserve"> and adequate investigations for victims of torture and cruel, inhuman or degrading treatment</w:t>
      </w:r>
    </w:p>
    <w:p w14:paraId="2DD24A19" w14:textId="33852D8E" w:rsidR="50CAB8E4" w:rsidRDefault="50CAB8E4" w:rsidP="00723DB8">
      <w:pPr>
        <w:pStyle w:val="ListParagraph"/>
        <w:numPr>
          <w:ilvl w:val="0"/>
          <w:numId w:val="1"/>
        </w:numPr>
        <w:spacing w:after="0"/>
        <w:jc w:val="both"/>
        <w:rPr>
          <w:rFonts w:ascii="Calibri" w:eastAsia="Calibri" w:hAnsi="Calibri" w:cs="Calibri"/>
          <w:sz w:val="22"/>
          <w:szCs w:val="22"/>
        </w:rPr>
      </w:pPr>
      <w:r w:rsidRPr="7FC661B2">
        <w:rPr>
          <w:rFonts w:ascii="Calibri" w:eastAsia="Calibri" w:hAnsi="Calibri" w:cs="Calibri"/>
          <w:sz w:val="22"/>
          <w:szCs w:val="22"/>
        </w:rPr>
        <w:t xml:space="preserve">In </w:t>
      </w:r>
      <w:r w:rsidR="0427EBE9" w:rsidRPr="7FC661B2">
        <w:rPr>
          <w:rFonts w:ascii="Calibri" w:eastAsia="Calibri" w:hAnsi="Calibri" w:cs="Calibri"/>
          <w:sz w:val="22"/>
          <w:szCs w:val="22"/>
        </w:rPr>
        <w:t xml:space="preserve">the </w:t>
      </w:r>
      <w:r w:rsidRPr="7FC661B2">
        <w:rPr>
          <w:rFonts w:ascii="Calibri" w:eastAsia="Calibri" w:hAnsi="Calibri" w:cs="Calibri"/>
          <w:sz w:val="22"/>
          <w:szCs w:val="22"/>
        </w:rPr>
        <w:t>2021 Concluding Observations on the fourth periodic report of Lithuania, th</w:t>
      </w:r>
      <w:r w:rsidR="4D3BECB0" w:rsidRPr="7FC661B2">
        <w:rPr>
          <w:rFonts w:ascii="Calibri" w:eastAsia="Calibri" w:hAnsi="Calibri" w:cs="Calibri"/>
          <w:sz w:val="22"/>
          <w:szCs w:val="22"/>
        </w:rPr>
        <w:t>e</w:t>
      </w:r>
      <w:r w:rsidRPr="7FC661B2">
        <w:rPr>
          <w:rFonts w:ascii="Calibri" w:eastAsia="Calibri" w:hAnsi="Calibri" w:cs="Calibri"/>
          <w:sz w:val="22"/>
          <w:szCs w:val="22"/>
        </w:rPr>
        <w:t xml:space="preserve"> Comm</w:t>
      </w:r>
      <w:r w:rsidR="4D57E86F" w:rsidRPr="7FC661B2">
        <w:rPr>
          <w:rFonts w:ascii="Calibri" w:eastAsia="Calibri" w:hAnsi="Calibri" w:cs="Calibri"/>
          <w:sz w:val="22"/>
          <w:szCs w:val="22"/>
        </w:rPr>
        <w:t>ittee</w:t>
      </w:r>
      <w:r w:rsidRPr="7FC661B2">
        <w:rPr>
          <w:rFonts w:ascii="Calibri" w:eastAsia="Calibri" w:hAnsi="Calibri" w:cs="Calibri"/>
          <w:sz w:val="22"/>
          <w:szCs w:val="22"/>
        </w:rPr>
        <w:t xml:space="preserve"> expressed regret that, despite </w:t>
      </w:r>
      <w:r w:rsidR="60CC8130" w:rsidRPr="7FC661B2">
        <w:rPr>
          <w:rFonts w:ascii="Calibri" w:eastAsia="Calibri" w:hAnsi="Calibri" w:cs="Calibri"/>
          <w:sz w:val="22"/>
          <w:szCs w:val="22"/>
        </w:rPr>
        <w:t>concerns</w:t>
      </w:r>
      <w:r w:rsidR="65A8AF8C" w:rsidRPr="7FC661B2">
        <w:rPr>
          <w:rFonts w:ascii="Calibri" w:eastAsia="Calibri" w:hAnsi="Calibri" w:cs="Calibri"/>
          <w:sz w:val="22"/>
          <w:szCs w:val="22"/>
        </w:rPr>
        <w:t xml:space="preserve"> </w:t>
      </w:r>
      <w:r w:rsidR="60CC8130" w:rsidRPr="7FC661B2">
        <w:rPr>
          <w:rFonts w:ascii="Calibri" w:eastAsia="Calibri" w:hAnsi="Calibri" w:cs="Calibri"/>
          <w:sz w:val="22"/>
          <w:szCs w:val="22"/>
        </w:rPr>
        <w:t>raised by</w:t>
      </w:r>
      <w:r w:rsidR="400210EC" w:rsidRPr="7FC661B2">
        <w:rPr>
          <w:rFonts w:ascii="Calibri" w:eastAsia="Calibri" w:hAnsi="Calibri" w:cs="Calibri"/>
          <w:sz w:val="22"/>
          <w:szCs w:val="22"/>
        </w:rPr>
        <w:t xml:space="preserve"> the Committee</w:t>
      </w:r>
      <w:r w:rsidR="3D31C131" w:rsidRPr="7FC661B2">
        <w:rPr>
          <w:rFonts w:ascii="Calibri" w:eastAsia="Calibri" w:hAnsi="Calibri" w:cs="Calibri"/>
          <w:sz w:val="22"/>
          <w:szCs w:val="22"/>
        </w:rPr>
        <w:t xml:space="preserve">, </w:t>
      </w:r>
      <w:r w:rsidRPr="7FC661B2">
        <w:rPr>
          <w:rFonts w:ascii="Calibri" w:eastAsia="Calibri" w:hAnsi="Calibri" w:cs="Calibri"/>
          <w:sz w:val="22"/>
          <w:szCs w:val="22"/>
        </w:rPr>
        <w:t>the Human Rights Committee</w:t>
      </w:r>
      <w:r w:rsidR="2AD37CB2" w:rsidRPr="7FC661B2">
        <w:rPr>
          <w:rFonts w:ascii="Calibri" w:eastAsia="Calibri" w:hAnsi="Calibri" w:cs="Calibri"/>
          <w:sz w:val="22"/>
          <w:szCs w:val="22"/>
        </w:rPr>
        <w:t>,</w:t>
      </w:r>
      <w:r w:rsidRPr="7FC661B2">
        <w:rPr>
          <w:rFonts w:ascii="Calibri" w:eastAsia="Calibri" w:hAnsi="Calibri" w:cs="Calibri"/>
          <w:sz w:val="22"/>
          <w:szCs w:val="22"/>
        </w:rPr>
        <w:t xml:space="preserve"> and the Committee on Enforced Disappearances in </w:t>
      </w:r>
      <w:r w:rsidR="1E01DE5E" w:rsidRPr="7FC661B2">
        <w:rPr>
          <w:rFonts w:ascii="Calibri" w:eastAsia="Calibri" w:hAnsi="Calibri" w:cs="Calibri"/>
          <w:sz w:val="22"/>
          <w:szCs w:val="22"/>
        </w:rPr>
        <w:t>pre</w:t>
      </w:r>
      <w:r w:rsidR="628AF5E7" w:rsidRPr="7FC661B2">
        <w:rPr>
          <w:rFonts w:ascii="Calibri" w:eastAsia="Calibri" w:hAnsi="Calibri" w:cs="Calibri"/>
          <w:sz w:val="22"/>
          <w:szCs w:val="22"/>
        </w:rPr>
        <w:t>vious</w:t>
      </w:r>
      <w:r w:rsidR="1E01DE5E" w:rsidRPr="7FC661B2">
        <w:rPr>
          <w:rFonts w:ascii="Calibri" w:eastAsia="Calibri" w:hAnsi="Calibri" w:cs="Calibri"/>
          <w:sz w:val="22"/>
          <w:szCs w:val="22"/>
        </w:rPr>
        <w:t xml:space="preserve"> </w:t>
      </w:r>
      <w:r w:rsidRPr="7FC661B2">
        <w:rPr>
          <w:rFonts w:ascii="Calibri" w:eastAsia="Calibri" w:hAnsi="Calibri" w:cs="Calibri"/>
          <w:sz w:val="22"/>
          <w:szCs w:val="22"/>
        </w:rPr>
        <w:t>concluding observations, t</w:t>
      </w:r>
      <w:r w:rsidR="62B5F6F0" w:rsidRPr="7FC661B2">
        <w:rPr>
          <w:rFonts w:ascii="Calibri" w:eastAsia="Calibri" w:hAnsi="Calibri" w:cs="Calibri"/>
          <w:sz w:val="22"/>
          <w:szCs w:val="22"/>
        </w:rPr>
        <w:t>here ha</w:t>
      </w:r>
      <w:r w:rsidR="3ECD847B" w:rsidRPr="7FC661B2">
        <w:rPr>
          <w:rFonts w:ascii="Calibri" w:eastAsia="Calibri" w:hAnsi="Calibri" w:cs="Calibri"/>
          <w:sz w:val="22"/>
          <w:szCs w:val="22"/>
        </w:rPr>
        <w:t>d</w:t>
      </w:r>
      <w:r w:rsidR="62B5F6F0" w:rsidRPr="7FC661B2">
        <w:rPr>
          <w:rFonts w:ascii="Calibri" w:eastAsia="Calibri" w:hAnsi="Calibri" w:cs="Calibri"/>
          <w:sz w:val="22"/>
          <w:szCs w:val="22"/>
        </w:rPr>
        <w:t xml:space="preserve"> been little</w:t>
      </w:r>
      <w:r w:rsidRPr="7FC661B2">
        <w:rPr>
          <w:rFonts w:ascii="Calibri" w:eastAsia="Calibri" w:hAnsi="Calibri" w:cs="Calibri"/>
          <w:sz w:val="22"/>
          <w:szCs w:val="22"/>
        </w:rPr>
        <w:t xml:space="preserve"> progress in the investigation </w:t>
      </w:r>
      <w:r w:rsidR="12E9857F" w:rsidRPr="7FC661B2">
        <w:rPr>
          <w:rFonts w:ascii="Calibri" w:eastAsia="Calibri" w:hAnsi="Calibri" w:cs="Calibri"/>
          <w:sz w:val="22"/>
          <w:szCs w:val="22"/>
        </w:rPr>
        <w:t xml:space="preserve">regarding Lithuania’s involvement in the </w:t>
      </w:r>
      <w:r w:rsidR="000D2FC8">
        <w:rPr>
          <w:rFonts w:ascii="Calibri" w:eastAsia="Calibri" w:hAnsi="Calibri" w:cs="Calibri"/>
          <w:sz w:val="22"/>
          <w:szCs w:val="22"/>
        </w:rPr>
        <w:t>US</w:t>
      </w:r>
      <w:r w:rsidR="12E9857F" w:rsidRPr="7FC661B2">
        <w:rPr>
          <w:rFonts w:ascii="Calibri" w:eastAsia="Calibri" w:hAnsi="Calibri" w:cs="Calibri"/>
          <w:sz w:val="22"/>
          <w:szCs w:val="22"/>
        </w:rPr>
        <w:t xml:space="preserve"> Central Intelligence Agency’s</w:t>
      </w:r>
      <w:r w:rsidRPr="7FC661B2">
        <w:rPr>
          <w:rFonts w:ascii="Calibri" w:eastAsia="Calibri" w:hAnsi="Calibri" w:cs="Calibri"/>
          <w:sz w:val="22"/>
          <w:szCs w:val="22"/>
        </w:rPr>
        <w:t xml:space="preserve"> extraordinary rendition and secret detention </w:t>
      </w:r>
      <w:proofErr w:type="spellStart"/>
      <w:r w:rsidRPr="7FC661B2">
        <w:rPr>
          <w:rFonts w:ascii="Calibri" w:eastAsia="Calibri" w:hAnsi="Calibri" w:cs="Calibri"/>
          <w:sz w:val="22"/>
          <w:szCs w:val="22"/>
        </w:rPr>
        <w:t>programme</w:t>
      </w:r>
      <w:proofErr w:type="spellEnd"/>
      <w:r w:rsidRPr="7FC661B2">
        <w:rPr>
          <w:rFonts w:ascii="Calibri" w:eastAsia="Calibri" w:hAnsi="Calibri" w:cs="Calibri"/>
          <w:sz w:val="22"/>
          <w:szCs w:val="22"/>
        </w:rPr>
        <w:t>, in particular in relation to Abu Zubaydah and Mustafa Ahmed al-Hawsawi.</w:t>
      </w:r>
      <w:r w:rsidRPr="7FC661B2">
        <w:rPr>
          <w:rStyle w:val="FootnoteReference"/>
          <w:rFonts w:ascii="Calibri" w:eastAsia="Calibri" w:hAnsi="Calibri" w:cs="Calibri"/>
          <w:sz w:val="22"/>
          <w:szCs w:val="22"/>
        </w:rPr>
        <w:footnoteReference w:id="3"/>
      </w:r>
      <w:r w:rsidRPr="7FC661B2">
        <w:rPr>
          <w:rFonts w:ascii="Calibri" w:eastAsia="Calibri" w:hAnsi="Calibri" w:cs="Calibri"/>
          <w:sz w:val="22"/>
          <w:szCs w:val="22"/>
        </w:rPr>
        <w:t xml:space="preserve"> </w:t>
      </w:r>
    </w:p>
    <w:p w14:paraId="55DCC9C6" w14:textId="09BDDC28" w:rsidR="7FC661B2" w:rsidRDefault="7FC661B2" w:rsidP="00723DB8">
      <w:pPr>
        <w:spacing w:after="0"/>
        <w:jc w:val="both"/>
        <w:rPr>
          <w:rFonts w:ascii="Calibri" w:eastAsia="Calibri" w:hAnsi="Calibri" w:cs="Calibri"/>
          <w:sz w:val="22"/>
          <w:szCs w:val="22"/>
        </w:rPr>
      </w:pPr>
    </w:p>
    <w:p w14:paraId="4F717D62" w14:textId="43DF8988" w:rsidR="45974A97" w:rsidRPr="00220296" w:rsidRDefault="45974A97" w:rsidP="00723DB8">
      <w:pPr>
        <w:pStyle w:val="ListParagraph"/>
        <w:numPr>
          <w:ilvl w:val="0"/>
          <w:numId w:val="1"/>
        </w:numPr>
        <w:spacing w:after="0"/>
        <w:jc w:val="both"/>
        <w:rPr>
          <w:rFonts w:ascii="Calibri" w:eastAsia="Calibri" w:hAnsi="Calibri" w:cs="Calibri"/>
          <w:i/>
          <w:iCs/>
          <w:sz w:val="22"/>
          <w:szCs w:val="22"/>
        </w:rPr>
      </w:pPr>
      <w:r w:rsidRPr="7FC661B2">
        <w:rPr>
          <w:rFonts w:ascii="Calibri" w:eastAsia="Calibri" w:hAnsi="Calibri" w:cs="Calibri"/>
          <w:sz w:val="22"/>
          <w:szCs w:val="22"/>
        </w:rPr>
        <w:t>Accordingly, the Committee urged Lithuania to “</w:t>
      </w:r>
      <w:r w:rsidR="50CAB8E4" w:rsidRPr="7FC661B2">
        <w:rPr>
          <w:rFonts w:ascii="Calibri" w:eastAsia="Calibri" w:hAnsi="Calibri" w:cs="Calibri"/>
          <w:i/>
          <w:iCs/>
          <w:sz w:val="22"/>
          <w:szCs w:val="22"/>
        </w:rPr>
        <w:t xml:space="preserve">complete the investigation within a reasonable time and hold perpetrators to account, ensuring transparency and a sufficient degree of public </w:t>
      </w:r>
      <w:r w:rsidR="50CAB8E4" w:rsidRPr="7FC661B2">
        <w:rPr>
          <w:rFonts w:ascii="Calibri" w:eastAsia="Calibri" w:hAnsi="Calibri" w:cs="Calibri"/>
          <w:i/>
          <w:iCs/>
          <w:sz w:val="22"/>
          <w:szCs w:val="22"/>
        </w:rPr>
        <w:lastRenderedPageBreak/>
        <w:t>scrutiny of the process, as well as providing appropriate redress and reparation to victims</w:t>
      </w:r>
      <w:r w:rsidR="50CAB8E4" w:rsidRPr="7FC661B2">
        <w:rPr>
          <w:rFonts w:ascii="Calibri" w:eastAsia="Calibri" w:hAnsi="Calibri" w:cs="Calibri"/>
          <w:sz w:val="22"/>
          <w:szCs w:val="22"/>
        </w:rPr>
        <w:t>.</w:t>
      </w:r>
      <w:r w:rsidR="69D2C5C2" w:rsidRPr="7FC661B2">
        <w:rPr>
          <w:rFonts w:ascii="Calibri" w:eastAsia="Calibri" w:hAnsi="Calibri" w:cs="Calibri"/>
          <w:sz w:val="22"/>
          <w:szCs w:val="22"/>
        </w:rPr>
        <w:t>”</w:t>
      </w:r>
      <w:r w:rsidRPr="7FC661B2">
        <w:rPr>
          <w:rStyle w:val="FootnoteReference"/>
          <w:rFonts w:ascii="Calibri" w:eastAsia="Calibri" w:hAnsi="Calibri" w:cs="Calibri"/>
          <w:sz w:val="22"/>
          <w:szCs w:val="22"/>
        </w:rPr>
        <w:footnoteReference w:id="4"/>
      </w:r>
      <w:r w:rsidR="50CAB8E4" w:rsidRPr="7FC661B2">
        <w:rPr>
          <w:rFonts w:ascii="Calibri" w:eastAsia="Calibri" w:hAnsi="Calibri" w:cs="Calibri"/>
          <w:b/>
          <w:bCs/>
          <w:sz w:val="22"/>
          <w:szCs w:val="22"/>
        </w:rPr>
        <w:t xml:space="preserve"> </w:t>
      </w:r>
      <w:r w:rsidR="0E3E07F9" w:rsidRPr="7FC661B2">
        <w:rPr>
          <w:rFonts w:ascii="Calibri" w:eastAsia="Calibri" w:hAnsi="Calibri" w:cs="Calibri"/>
          <w:sz w:val="22"/>
          <w:szCs w:val="22"/>
        </w:rPr>
        <w:t xml:space="preserve">The Committee further requested that Lithuania </w:t>
      </w:r>
      <w:r w:rsidR="06DE5864" w:rsidRPr="7FC661B2">
        <w:rPr>
          <w:rFonts w:ascii="Calibri" w:eastAsia="Calibri" w:hAnsi="Calibri" w:cs="Calibri"/>
          <w:i/>
          <w:iCs/>
          <w:sz w:val="22"/>
          <w:szCs w:val="22"/>
        </w:rPr>
        <w:t>“provide it with updated information on the findings of the investigation and, if appropriate, sanctions for those responsible.”</w:t>
      </w:r>
      <w:r w:rsidRPr="7FC661B2">
        <w:rPr>
          <w:rStyle w:val="FootnoteReference"/>
          <w:rFonts w:ascii="Calibri" w:eastAsia="Calibri" w:hAnsi="Calibri" w:cs="Calibri"/>
          <w:sz w:val="22"/>
          <w:szCs w:val="22"/>
        </w:rPr>
        <w:footnoteReference w:id="5"/>
      </w:r>
    </w:p>
    <w:p w14:paraId="44A77267" w14:textId="0444DD5A" w:rsidR="7FC661B2" w:rsidRPr="00220296" w:rsidRDefault="7FC661B2" w:rsidP="00723DB8">
      <w:pPr>
        <w:spacing w:after="0"/>
        <w:jc w:val="both"/>
        <w:rPr>
          <w:rFonts w:ascii="Calibri" w:eastAsia="Calibri" w:hAnsi="Calibri" w:cs="Calibri"/>
          <w:sz w:val="22"/>
          <w:szCs w:val="22"/>
        </w:rPr>
      </w:pPr>
    </w:p>
    <w:p w14:paraId="53201242" w14:textId="23228B4F" w:rsidR="6F6CBCD2" w:rsidRPr="00EB731C" w:rsidRDefault="5E076A21" w:rsidP="00723DB8">
      <w:pPr>
        <w:pStyle w:val="ListParagraph"/>
        <w:numPr>
          <w:ilvl w:val="0"/>
          <w:numId w:val="1"/>
        </w:numPr>
        <w:spacing w:after="0"/>
        <w:jc w:val="both"/>
      </w:pPr>
      <w:r w:rsidRPr="00220296">
        <w:rPr>
          <w:rFonts w:ascii="Calibri" w:eastAsia="Calibri" w:hAnsi="Calibri" w:cs="Calibri"/>
          <w:sz w:val="22"/>
          <w:szCs w:val="22"/>
        </w:rPr>
        <w:t xml:space="preserve">Even so, </w:t>
      </w:r>
      <w:r w:rsidR="00CA8AAD" w:rsidRPr="00220296">
        <w:rPr>
          <w:rFonts w:ascii="Calibri" w:eastAsia="Calibri" w:hAnsi="Calibri" w:cs="Calibri"/>
          <w:sz w:val="22"/>
          <w:szCs w:val="22"/>
        </w:rPr>
        <w:t xml:space="preserve">few developments </w:t>
      </w:r>
      <w:r w:rsidR="14C1DBDC" w:rsidRPr="00220296">
        <w:rPr>
          <w:rFonts w:ascii="Calibri" w:eastAsia="Calibri" w:hAnsi="Calibri" w:cs="Calibri"/>
          <w:sz w:val="22"/>
          <w:szCs w:val="22"/>
        </w:rPr>
        <w:t>ha</w:t>
      </w:r>
      <w:r w:rsidR="1770513A" w:rsidRPr="00220296">
        <w:rPr>
          <w:rFonts w:ascii="Calibri" w:eastAsia="Calibri" w:hAnsi="Calibri" w:cs="Calibri"/>
          <w:sz w:val="22"/>
          <w:szCs w:val="22"/>
        </w:rPr>
        <w:t>ve</w:t>
      </w:r>
      <w:r w:rsidR="14C1DBDC" w:rsidRPr="00220296">
        <w:rPr>
          <w:rFonts w:ascii="Calibri" w:eastAsia="Calibri" w:hAnsi="Calibri" w:cs="Calibri"/>
          <w:sz w:val="22"/>
          <w:szCs w:val="22"/>
        </w:rPr>
        <w:t xml:space="preserve"> </w:t>
      </w:r>
      <w:r w:rsidR="080DAA76" w:rsidRPr="00220296">
        <w:rPr>
          <w:rFonts w:ascii="Calibri" w:eastAsia="Calibri" w:hAnsi="Calibri" w:cs="Calibri"/>
          <w:sz w:val="22"/>
          <w:szCs w:val="22"/>
        </w:rPr>
        <w:t xml:space="preserve">taken place </w:t>
      </w:r>
      <w:r w:rsidR="14C1DBDC" w:rsidRPr="00220296">
        <w:rPr>
          <w:rFonts w:ascii="Calibri" w:eastAsia="Calibri" w:hAnsi="Calibri" w:cs="Calibri"/>
          <w:sz w:val="22"/>
          <w:szCs w:val="22"/>
        </w:rPr>
        <w:t xml:space="preserve">in the investigation </w:t>
      </w:r>
      <w:r w:rsidR="08BB2587" w:rsidRPr="00220296">
        <w:rPr>
          <w:rFonts w:ascii="Calibri" w:eastAsia="Calibri" w:hAnsi="Calibri" w:cs="Calibri"/>
          <w:sz w:val="22"/>
          <w:szCs w:val="22"/>
        </w:rPr>
        <w:t>since</w:t>
      </w:r>
      <w:r w:rsidR="14C1DBDC" w:rsidRPr="00220296">
        <w:rPr>
          <w:rFonts w:ascii="Calibri" w:eastAsia="Calibri" w:hAnsi="Calibri" w:cs="Calibri"/>
          <w:sz w:val="22"/>
          <w:szCs w:val="22"/>
        </w:rPr>
        <w:t xml:space="preserve"> the 2021 Concluding Observations</w:t>
      </w:r>
      <w:r w:rsidR="5C9BE0D8" w:rsidRPr="00220296">
        <w:rPr>
          <w:rFonts w:ascii="Calibri" w:eastAsia="Calibri" w:hAnsi="Calibri" w:cs="Calibri"/>
          <w:sz w:val="22"/>
          <w:szCs w:val="22"/>
        </w:rPr>
        <w:t>, or indeed since the</w:t>
      </w:r>
      <w:r w:rsidR="5E5CC420" w:rsidRPr="00220296">
        <w:rPr>
          <w:rFonts w:ascii="Calibri" w:eastAsia="Calibri" w:hAnsi="Calibri" w:cs="Calibri"/>
          <w:sz w:val="22"/>
          <w:szCs w:val="22"/>
        </w:rPr>
        <w:t xml:space="preserve"> </w:t>
      </w:r>
      <w:r w:rsidR="0FDD0197" w:rsidRPr="00220296">
        <w:rPr>
          <w:rFonts w:ascii="Calibri" w:eastAsia="Calibri" w:hAnsi="Calibri" w:cs="Calibri"/>
          <w:sz w:val="22"/>
          <w:szCs w:val="22"/>
        </w:rPr>
        <w:t xml:space="preserve">Lithuanian </w:t>
      </w:r>
      <w:r w:rsidR="0FDD0197" w:rsidRPr="00723DB8">
        <w:rPr>
          <w:rFonts w:ascii="Calibri" w:eastAsia="Calibri" w:hAnsi="Calibri" w:cs="Calibri"/>
          <w:sz w:val="22"/>
          <w:szCs w:val="22"/>
        </w:rPr>
        <w:t xml:space="preserve">Prosecutor General’s Office </w:t>
      </w:r>
      <w:r w:rsidR="096BB046" w:rsidRPr="00723DB8">
        <w:rPr>
          <w:rFonts w:ascii="Calibri" w:eastAsia="Calibri" w:hAnsi="Calibri" w:cs="Calibri"/>
          <w:sz w:val="22"/>
          <w:szCs w:val="22"/>
        </w:rPr>
        <w:t xml:space="preserve">initiated a </w:t>
      </w:r>
      <w:r w:rsidR="70D0F315" w:rsidRPr="00220296">
        <w:rPr>
          <w:rFonts w:ascii="Calibri" w:eastAsia="Calibri" w:hAnsi="Calibri" w:cs="Calibri"/>
          <w:sz w:val="22"/>
          <w:szCs w:val="22"/>
        </w:rPr>
        <w:t xml:space="preserve">pre-trial </w:t>
      </w:r>
      <w:r w:rsidR="5C9BE0D8" w:rsidRPr="00220296">
        <w:rPr>
          <w:rFonts w:ascii="Calibri" w:eastAsia="Calibri" w:hAnsi="Calibri" w:cs="Calibri"/>
          <w:sz w:val="22"/>
          <w:szCs w:val="22"/>
        </w:rPr>
        <w:t>investigation</w:t>
      </w:r>
      <w:r w:rsidR="3A35A3D7" w:rsidRPr="00220296">
        <w:rPr>
          <w:rFonts w:ascii="Calibri" w:eastAsia="Calibri" w:hAnsi="Calibri" w:cs="Calibri"/>
          <w:sz w:val="22"/>
          <w:szCs w:val="22"/>
        </w:rPr>
        <w:t xml:space="preserve"> i</w:t>
      </w:r>
      <w:r w:rsidR="3A35A3D7" w:rsidRPr="00723DB8">
        <w:rPr>
          <w:rFonts w:ascii="Calibri" w:eastAsia="Calibri" w:hAnsi="Calibri" w:cs="Calibri"/>
          <w:sz w:val="22"/>
          <w:szCs w:val="22"/>
        </w:rPr>
        <w:t xml:space="preserve">nto the crimes of unlawful transportation of persons across the State border and abuse of office by State officials </w:t>
      </w:r>
      <w:r w:rsidR="36A86DDA" w:rsidRPr="00723DB8">
        <w:rPr>
          <w:rFonts w:ascii="Calibri" w:eastAsia="Calibri" w:hAnsi="Calibri" w:cs="Calibri"/>
          <w:sz w:val="22"/>
          <w:szCs w:val="22"/>
        </w:rPr>
        <w:t>in February 2014.</w:t>
      </w:r>
      <w:r w:rsidR="5C9BE0D8" w:rsidRPr="00174F64">
        <w:rPr>
          <w:rFonts w:ascii="Calibri" w:eastAsia="Calibri" w:hAnsi="Calibri" w:cs="Calibri"/>
          <w:sz w:val="22"/>
          <w:szCs w:val="22"/>
          <w:vertAlign w:val="superscript"/>
        </w:rPr>
        <w:t xml:space="preserve"> </w:t>
      </w:r>
      <w:r w:rsidR="009856E6">
        <w:rPr>
          <w:rStyle w:val="FootnoteReference"/>
          <w:rFonts w:ascii="Calibri" w:eastAsia="Calibri" w:hAnsi="Calibri" w:cs="Calibri"/>
          <w:sz w:val="22"/>
          <w:szCs w:val="22"/>
        </w:rPr>
        <w:footnoteReference w:id="6"/>
      </w:r>
    </w:p>
    <w:p w14:paraId="277FC548" w14:textId="198FA721" w:rsidR="6C1BE287" w:rsidRPr="00220296" w:rsidRDefault="6C1BE287" w:rsidP="00723DB8">
      <w:pPr>
        <w:pStyle w:val="ListParagraph"/>
        <w:spacing w:after="0"/>
        <w:jc w:val="both"/>
        <w:rPr>
          <w:rStyle w:val="FootnoteReference"/>
          <w:rFonts w:ascii="Calibri" w:eastAsia="Calibri" w:hAnsi="Calibri" w:cs="Calibri"/>
          <w:color w:val="000000" w:themeColor="text1"/>
          <w:sz w:val="22"/>
          <w:szCs w:val="22"/>
        </w:rPr>
      </w:pPr>
    </w:p>
    <w:p w14:paraId="70DD7E7C" w14:textId="053F7176" w:rsidR="5C9BE0D8" w:rsidRDefault="5C9BE0D8" w:rsidP="00723DB8">
      <w:pPr>
        <w:pStyle w:val="ListParagraph"/>
        <w:numPr>
          <w:ilvl w:val="0"/>
          <w:numId w:val="1"/>
        </w:numPr>
        <w:spacing w:after="0"/>
        <w:jc w:val="both"/>
        <w:rPr>
          <w:rFonts w:ascii="Calibri" w:eastAsia="Calibri" w:hAnsi="Calibri" w:cs="Calibri"/>
          <w:sz w:val="22"/>
          <w:szCs w:val="22"/>
        </w:rPr>
      </w:pPr>
      <w:r w:rsidRPr="7FC661B2">
        <w:rPr>
          <w:rFonts w:ascii="Calibri" w:eastAsia="Calibri" w:hAnsi="Calibri" w:cs="Calibri"/>
          <w:sz w:val="22"/>
          <w:szCs w:val="22"/>
        </w:rPr>
        <w:t xml:space="preserve">Following the ECtHR judgment in </w:t>
      </w:r>
      <w:r w:rsidRPr="004B625A">
        <w:rPr>
          <w:rFonts w:ascii="Calibri" w:eastAsia="Calibri" w:hAnsi="Calibri" w:cs="Calibri"/>
          <w:i/>
          <w:iCs/>
          <w:sz w:val="22"/>
          <w:szCs w:val="22"/>
        </w:rPr>
        <w:t>Abu Zubaydah v. Lithuania</w:t>
      </w:r>
      <w:r w:rsidRPr="7FC661B2">
        <w:rPr>
          <w:rFonts w:ascii="Calibri" w:eastAsia="Calibri" w:hAnsi="Calibri" w:cs="Calibri"/>
          <w:sz w:val="22"/>
          <w:szCs w:val="22"/>
        </w:rPr>
        <w:t xml:space="preserve"> on 6 December 2018, the Committee </w:t>
      </w:r>
      <w:r w:rsidR="3107D4D8" w:rsidRPr="7FC661B2">
        <w:rPr>
          <w:rFonts w:ascii="Calibri" w:eastAsia="Calibri" w:hAnsi="Calibri" w:cs="Calibri"/>
          <w:sz w:val="22"/>
          <w:szCs w:val="22"/>
        </w:rPr>
        <w:t xml:space="preserve">of Ministers </w:t>
      </w:r>
      <w:r w:rsidR="214558EA" w:rsidRPr="7FC661B2">
        <w:rPr>
          <w:rFonts w:ascii="Calibri" w:eastAsia="Calibri" w:hAnsi="Calibri" w:cs="Calibri"/>
          <w:sz w:val="22"/>
          <w:szCs w:val="22"/>
        </w:rPr>
        <w:t>of the Council of Europe (</w:t>
      </w:r>
      <w:r w:rsidR="214558EA" w:rsidRPr="7FC661B2">
        <w:rPr>
          <w:rFonts w:ascii="Calibri" w:eastAsia="Calibri" w:hAnsi="Calibri" w:cs="Calibri"/>
          <w:b/>
          <w:bCs/>
          <w:sz w:val="22"/>
          <w:szCs w:val="22"/>
        </w:rPr>
        <w:t>the Committee of Ministers</w:t>
      </w:r>
      <w:r w:rsidR="214558EA" w:rsidRPr="7FC661B2">
        <w:rPr>
          <w:rFonts w:ascii="Calibri" w:eastAsia="Calibri" w:hAnsi="Calibri" w:cs="Calibri"/>
          <w:sz w:val="22"/>
          <w:szCs w:val="22"/>
        </w:rPr>
        <w:t xml:space="preserve">) </w:t>
      </w:r>
      <w:r w:rsidRPr="7FC661B2">
        <w:rPr>
          <w:rFonts w:ascii="Calibri" w:eastAsia="Calibri" w:hAnsi="Calibri" w:cs="Calibri"/>
          <w:sz w:val="22"/>
          <w:szCs w:val="22"/>
        </w:rPr>
        <w:t>urged Lithuanian authorities to “</w:t>
      </w:r>
      <w:r w:rsidRPr="0C95F74E">
        <w:rPr>
          <w:rFonts w:ascii="Calibri" w:eastAsia="Calibri" w:hAnsi="Calibri" w:cs="Calibri"/>
          <w:i/>
          <w:iCs/>
          <w:sz w:val="22"/>
          <w:szCs w:val="22"/>
        </w:rPr>
        <w:t>take without delay the necessary steps to reactivate and advance the pending criminal investigation to elucidate further the circumstances and conditions under which the applicant was brought into Lithuania, treated there and subsequently removed from the State, so as to enable the identification and, where appropriate, punishment of those responsible</w:t>
      </w:r>
      <w:r w:rsidRPr="7FC661B2">
        <w:rPr>
          <w:rFonts w:ascii="Calibri" w:eastAsia="Calibri" w:hAnsi="Calibri" w:cs="Calibri"/>
          <w:sz w:val="22"/>
          <w:szCs w:val="22"/>
        </w:rPr>
        <w:t>”.</w:t>
      </w:r>
      <w:r w:rsidRPr="7FC661B2">
        <w:rPr>
          <w:rStyle w:val="FootnoteReference"/>
          <w:rFonts w:ascii="Calibri" w:eastAsia="Calibri" w:hAnsi="Calibri" w:cs="Calibri"/>
          <w:sz w:val="22"/>
          <w:szCs w:val="22"/>
        </w:rPr>
        <w:footnoteReference w:id="7"/>
      </w:r>
    </w:p>
    <w:p w14:paraId="3BE6EB6F" w14:textId="70AC0774" w:rsidR="7FC661B2" w:rsidRDefault="7FC661B2" w:rsidP="00723DB8">
      <w:pPr>
        <w:spacing w:after="0"/>
        <w:jc w:val="both"/>
        <w:rPr>
          <w:rFonts w:ascii="Calibri" w:eastAsia="Calibri" w:hAnsi="Calibri" w:cs="Calibri"/>
          <w:sz w:val="22"/>
          <w:szCs w:val="22"/>
        </w:rPr>
      </w:pPr>
    </w:p>
    <w:p w14:paraId="6EB62138" w14:textId="27C85946" w:rsidR="5C9BE0D8" w:rsidRDefault="5C9BE0D8" w:rsidP="00723DB8">
      <w:pPr>
        <w:pStyle w:val="ListParagraph"/>
        <w:numPr>
          <w:ilvl w:val="0"/>
          <w:numId w:val="1"/>
        </w:numPr>
        <w:spacing w:after="0"/>
        <w:jc w:val="both"/>
        <w:rPr>
          <w:rFonts w:ascii="Calibri" w:eastAsia="Calibri" w:hAnsi="Calibri" w:cs="Calibri"/>
          <w:color w:val="333333"/>
          <w:sz w:val="22"/>
          <w:szCs w:val="22"/>
        </w:rPr>
      </w:pPr>
      <w:r w:rsidRPr="7FC661B2">
        <w:rPr>
          <w:rFonts w:ascii="Calibri" w:eastAsia="Calibri" w:hAnsi="Calibri" w:cs="Calibri"/>
          <w:color w:val="333333"/>
          <w:sz w:val="22"/>
          <w:szCs w:val="22"/>
        </w:rPr>
        <w:t>Lithuania submitted its action plan for the implementation of the judgment on 15 January 2019, which stated that “</w:t>
      </w:r>
      <w:r w:rsidRPr="0C95F74E">
        <w:rPr>
          <w:rFonts w:ascii="Calibri" w:eastAsia="Calibri" w:hAnsi="Calibri" w:cs="Calibri"/>
          <w:i/>
          <w:iCs/>
          <w:color w:val="333333"/>
          <w:sz w:val="22"/>
          <w:szCs w:val="22"/>
        </w:rPr>
        <w:t>[d]</w:t>
      </w:r>
      <w:proofErr w:type="spellStart"/>
      <w:r w:rsidRPr="0C95F74E">
        <w:rPr>
          <w:rFonts w:ascii="Calibri" w:eastAsia="Calibri" w:hAnsi="Calibri" w:cs="Calibri"/>
          <w:i/>
          <w:iCs/>
          <w:color w:val="333333"/>
          <w:sz w:val="22"/>
          <w:szCs w:val="22"/>
        </w:rPr>
        <w:t>ue</w:t>
      </w:r>
      <w:proofErr w:type="spellEnd"/>
      <w:r w:rsidRPr="0C95F74E">
        <w:rPr>
          <w:rFonts w:ascii="Calibri" w:eastAsia="Calibri" w:hAnsi="Calibri" w:cs="Calibri"/>
          <w:i/>
          <w:iCs/>
          <w:color w:val="333333"/>
          <w:sz w:val="22"/>
          <w:szCs w:val="22"/>
        </w:rPr>
        <w:t xml:space="preserve"> to confidentiality of the pre-trial investigation material at this stage it is not possible to provide exhaustive information about all the procedural activities taken and planned in order to reactivate the pending criminal investigation</w:t>
      </w:r>
      <w:r w:rsidRPr="7FC661B2">
        <w:rPr>
          <w:rFonts w:ascii="Calibri" w:eastAsia="Calibri" w:hAnsi="Calibri" w:cs="Calibri"/>
          <w:color w:val="333333"/>
          <w:sz w:val="22"/>
          <w:szCs w:val="22"/>
        </w:rPr>
        <w:t>.”</w:t>
      </w:r>
      <w:r w:rsidRPr="7FC661B2">
        <w:rPr>
          <w:rStyle w:val="FootnoteReference"/>
          <w:rFonts w:ascii="Calibri" w:eastAsia="Calibri" w:hAnsi="Calibri" w:cs="Calibri"/>
          <w:sz w:val="22"/>
          <w:szCs w:val="22"/>
        </w:rPr>
        <w:footnoteReference w:id="8"/>
      </w:r>
    </w:p>
    <w:p w14:paraId="787A132E" w14:textId="03FF3A08" w:rsidR="7FC661B2" w:rsidRDefault="7FC661B2" w:rsidP="00723DB8">
      <w:pPr>
        <w:spacing w:after="0"/>
        <w:jc w:val="both"/>
        <w:rPr>
          <w:rFonts w:ascii="Calibri" w:eastAsia="Calibri" w:hAnsi="Calibri" w:cs="Calibri"/>
          <w:sz w:val="22"/>
          <w:szCs w:val="22"/>
        </w:rPr>
      </w:pPr>
    </w:p>
    <w:p w14:paraId="52EFE97D" w14:textId="27A028C5" w:rsidR="5C9BE0D8" w:rsidRDefault="5C9BE0D8" w:rsidP="00723DB8">
      <w:pPr>
        <w:pStyle w:val="ListParagraph"/>
        <w:numPr>
          <w:ilvl w:val="0"/>
          <w:numId w:val="1"/>
        </w:numPr>
        <w:spacing w:after="0"/>
        <w:jc w:val="both"/>
        <w:rPr>
          <w:rFonts w:ascii="Calibri" w:eastAsia="Calibri" w:hAnsi="Calibri" w:cs="Calibri"/>
          <w:sz w:val="22"/>
          <w:szCs w:val="22"/>
        </w:rPr>
      </w:pPr>
      <w:r w:rsidRPr="7FC661B2">
        <w:rPr>
          <w:rFonts w:ascii="Calibri" w:eastAsia="Calibri" w:hAnsi="Calibri" w:cs="Calibri"/>
          <w:sz w:val="22"/>
          <w:szCs w:val="22"/>
        </w:rPr>
        <w:t xml:space="preserve">Updated action plans since January 2020 have demonstrated </w:t>
      </w:r>
      <w:r w:rsidR="764065AD" w:rsidRPr="7FC661B2">
        <w:rPr>
          <w:rFonts w:ascii="Calibri" w:eastAsia="Calibri" w:hAnsi="Calibri" w:cs="Calibri"/>
          <w:sz w:val="22"/>
          <w:szCs w:val="22"/>
        </w:rPr>
        <w:t>minimal progress</w:t>
      </w:r>
      <w:r w:rsidRPr="7FC661B2">
        <w:rPr>
          <w:rFonts w:ascii="Calibri" w:eastAsia="Calibri" w:hAnsi="Calibri" w:cs="Calibri"/>
          <w:sz w:val="22"/>
          <w:szCs w:val="22"/>
        </w:rPr>
        <w:t xml:space="preserve">, with Lithuania repeatedly citing the complexities in collecting evidence from foreign jurisdictions, namely the US, to justify its </w:t>
      </w:r>
      <w:r w:rsidR="004F4295">
        <w:rPr>
          <w:rFonts w:ascii="Calibri" w:eastAsia="Calibri" w:hAnsi="Calibri" w:cs="Calibri"/>
          <w:sz w:val="22"/>
          <w:szCs w:val="22"/>
        </w:rPr>
        <w:t>in</w:t>
      </w:r>
      <w:r w:rsidR="004F4295" w:rsidRPr="7FC661B2">
        <w:rPr>
          <w:rFonts w:ascii="Calibri" w:eastAsia="Calibri" w:hAnsi="Calibri" w:cs="Calibri"/>
          <w:sz w:val="22"/>
          <w:szCs w:val="22"/>
        </w:rPr>
        <w:t>action</w:t>
      </w:r>
      <w:r w:rsidRPr="7FC661B2">
        <w:rPr>
          <w:rFonts w:ascii="Calibri" w:eastAsia="Calibri" w:hAnsi="Calibri" w:cs="Calibri"/>
          <w:sz w:val="22"/>
          <w:szCs w:val="22"/>
        </w:rPr>
        <w:t>.</w:t>
      </w:r>
      <w:r w:rsidRPr="7FC661B2">
        <w:rPr>
          <w:rStyle w:val="FootnoteReference"/>
          <w:rFonts w:ascii="Calibri" w:eastAsia="Calibri" w:hAnsi="Calibri" w:cs="Calibri"/>
          <w:sz w:val="22"/>
          <w:szCs w:val="22"/>
        </w:rPr>
        <w:footnoteReference w:id="9"/>
      </w:r>
      <w:r w:rsidRPr="7FC661B2">
        <w:rPr>
          <w:rFonts w:ascii="Calibri" w:eastAsia="Calibri" w:hAnsi="Calibri" w:cs="Calibri"/>
          <w:sz w:val="22"/>
          <w:szCs w:val="22"/>
        </w:rPr>
        <w:t xml:space="preserve"> The most recent update from Lithuania on 16 June 2023 admitted that “</w:t>
      </w:r>
      <w:r w:rsidRPr="0C95F74E">
        <w:rPr>
          <w:rFonts w:ascii="Calibri" w:eastAsia="Calibri" w:hAnsi="Calibri" w:cs="Calibri"/>
          <w:i/>
          <w:iCs/>
          <w:sz w:val="22"/>
          <w:szCs w:val="22"/>
        </w:rPr>
        <w:t xml:space="preserve">[s]o far, no tangible results have been achieved in result of the previous initiatives to establish </w:t>
      </w:r>
      <w:r w:rsidRPr="0C95F74E">
        <w:rPr>
          <w:rFonts w:ascii="Calibri" w:eastAsia="Calibri" w:hAnsi="Calibri" w:cs="Calibri"/>
          <w:i/>
          <w:iCs/>
          <w:sz w:val="22"/>
          <w:szCs w:val="22"/>
        </w:rPr>
        <w:lastRenderedPageBreak/>
        <w:t>international co-operation</w:t>
      </w:r>
      <w:r w:rsidRPr="7FC661B2">
        <w:rPr>
          <w:rFonts w:ascii="Calibri" w:eastAsia="Calibri" w:hAnsi="Calibri" w:cs="Calibri"/>
          <w:sz w:val="22"/>
          <w:szCs w:val="22"/>
        </w:rPr>
        <w:t xml:space="preserve">" but assured </w:t>
      </w:r>
      <w:r w:rsidR="00A7618F">
        <w:rPr>
          <w:rFonts w:ascii="Calibri" w:eastAsia="Calibri" w:hAnsi="Calibri" w:cs="Calibri"/>
          <w:sz w:val="22"/>
          <w:szCs w:val="22"/>
        </w:rPr>
        <w:t>the Committee of</w:t>
      </w:r>
      <w:r w:rsidR="0030337D">
        <w:rPr>
          <w:rFonts w:ascii="Calibri" w:eastAsia="Calibri" w:hAnsi="Calibri" w:cs="Calibri"/>
          <w:sz w:val="22"/>
          <w:szCs w:val="22"/>
        </w:rPr>
        <w:t xml:space="preserve"> Ministers </w:t>
      </w:r>
      <w:r w:rsidRPr="7FC661B2">
        <w:rPr>
          <w:rFonts w:ascii="Calibri" w:eastAsia="Calibri" w:hAnsi="Calibri" w:cs="Calibri"/>
          <w:sz w:val="22"/>
          <w:szCs w:val="22"/>
        </w:rPr>
        <w:t>that, following the US’ rejection of Lithuanian prosecuting authorities’ request for information under the mutual legal assistance procedure, it would continue consultations with the US Department of State to identify other potential procedures for further cooperation.</w:t>
      </w:r>
      <w:r w:rsidRPr="7FC661B2">
        <w:rPr>
          <w:rStyle w:val="FootnoteReference"/>
          <w:rFonts w:ascii="Calibri" w:eastAsia="Calibri" w:hAnsi="Calibri" w:cs="Calibri"/>
          <w:sz w:val="22"/>
          <w:szCs w:val="22"/>
        </w:rPr>
        <w:footnoteReference w:id="10"/>
      </w:r>
      <w:r w:rsidR="000908C6">
        <w:rPr>
          <w:rFonts w:ascii="Calibri" w:eastAsia="Calibri" w:hAnsi="Calibri" w:cs="Calibri"/>
          <w:sz w:val="22"/>
          <w:szCs w:val="22"/>
        </w:rPr>
        <w:t xml:space="preserve"> </w:t>
      </w:r>
      <w:r w:rsidR="00A41371">
        <w:rPr>
          <w:rFonts w:ascii="Calibri" w:eastAsia="Calibri" w:hAnsi="Calibri" w:cs="Calibri"/>
          <w:sz w:val="22"/>
          <w:szCs w:val="22"/>
        </w:rPr>
        <w:t>O</w:t>
      </w:r>
      <w:r w:rsidR="00A41371" w:rsidRPr="00A41371">
        <w:rPr>
          <w:rFonts w:ascii="Calibri" w:eastAsia="Calibri" w:hAnsi="Calibri" w:cs="Calibri"/>
          <w:sz w:val="22"/>
          <w:szCs w:val="22"/>
        </w:rPr>
        <w:t xml:space="preserve">ther than to refer to the lack of cooperation from the US authorities, Lithuania has </w:t>
      </w:r>
      <w:r w:rsidR="000307BD">
        <w:rPr>
          <w:rFonts w:ascii="Calibri" w:eastAsia="Calibri" w:hAnsi="Calibri" w:cs="Calibri"/>
          <w:sz w:val="22"/>
          <w:szCs w:val="22"/>
        </w:rPr>
        <w:t xml:space="preserve">apparently </w:t>
      </w:r>
      <w:r w:rsidR="00A41371" w:rsidRPr="00A41371">
        <w:rPr>
          <w:rFonts w:ascii="Calibri" w:eastAsia="Calibri" w:hAnsi="Calibri" w:cs="Calibri"/>
          <w:sz w:val="22"/>
          <w:szCs w:val="22"/>
        </w:rPr>
        <w:t xml:space="preserve">taken </w:t>
      </w:r>
      <w:r w:rsidR="00F344DA">
        <w:rPr>
          <w:rFonts w:ascii="Calibri" w:eastAsia="Calibri" w:hAnsi="Calibri" w:cs="Calibri"/>
          <w:sz w:val="22"/>
          <w:szCs w:val="22"/>
        </w:rPr>
        <w:t xml:space="preserve">few </w:t>
      </w:r>
      <w:r w:rsidR="00415EE0">
        <w:rPr>
          <w:rFonts w:ascii="Calibri" w:eastAsia="Calibri" w:hAnsi="Calibri" w:cs="Calibri"/>
          <w:sz w:val="22"/>
          <w:szCs w:val="22"/>
        </w:rPr>
        <w:t xml:space="preserve">(if any) </w:t>
      </w:r>
      <w:r w:rsidR="00C47C06">
        <w:rPr>
          <w:rFonts w:ascii="Calibri" w:eastAsia="Calibri" w:hAnsi="Calibri" w:cs="Calibri"/>
          <w:sz w:val="22"/>
          <w:szCs w:val="22"/>
        </w:rPr>
        <w:t xml:space="preserve">substantive </w:t>
      </w:r>
      <w:r w:rsidR="00A41371" w:rsidRPr="00A41371">
        <w:rPr>
          <w:rFonts w:ascii="Calibri" w:eastAsia="Calibri" w:hAnsi="Calibri" w:cs="Calibri"/>
          <w:sz w:val="22"/>
          <w:szCs w:val="22"/>
        </w:rPr>
        <w:t>steps to investigate the responsibility of Lithuanian State actors on the CIA rendition program</w:t>
      </w:r>
      <w:r w:rsidR="00C47C06">
        <w:rPr>
          <w:rFonts w:ascii="Calibri" w:eastAsia="Calibri" w:hAnsi="Calibri" w:cs="Calibri"/>
          <w:sz w:val="22"/>
          <w:szCs w:val="22"/>
        </w:rPr>
        <w:t xml:space="preserve"> since the investigation was </w:t>
      </w:r>
      <w:r w:rsidR="00BB1615">
        <w:rPr>
          <w:rFonts w:ascii="Calibri" w:eastAsia="Calibri" w:hAnsi="Calibri" w:cs="Calibri"/>
          <w:sz w:val="22"/>
          <w:szCs w:val="22"/>
        </w:rPr>
        <w:t>re-opened in 2015</w:t>
      </w:r>
      <w:r w:rsidR="00A41371" w:rsidRPr="00A41371">
        <w:rPr>
          <w:rFonts w:ascii="Calibri" w:eastAsia="Calibri" w:hAnsi="Calibri" w:cs="Calibri"/>
          <w:sz w:val="22"/>
          <w:szCs w:val="22"/>
        </w:rPr>
        <w:t>, despite all the evidence being in control of the State and accessible.</w:t>
      </w:r>
      <w:r w:rsidR="00AC566F">
        <w:rPr>
          <w:rStyle w:val="FootnoteReference"/>
          <w:rFonts w:ascii="Calibri" w:eastAsia="Calibri" w:hAnsi="Calibri" w:cs="Calibri"/>
          <w:sz w:val="22"/>
          <w:szCs w:val="22"/>
        </w:rPr>
        <w:footnoteReference w:id="11"/>
      </w:r>
      <w:r w:rsidR="00A41371" w:rsidRPr="00A41371">
        <w:rPr>
          <w:rFonts w:ascii="Calibri" w:eastAsia="Calibri" w:hAnsi="Calibri" w:cs="Calibri"/>
          <w:sz w:val="22"/>
          <w:szCs w:val="22"/>
        </w:rPr>
        <w:t xml:space="preserve"> </w:t>
      </w:r>
      <w:r w:rsidR="001D1684">
        <w:rPr>
          <w:rFonts w:ascii="Calibri" w:eastAsia="Calibri" w:hAnsi="Calibri" w:cs="Calibri"/>
          <w:sz w:val="22"/>
          <w:szCs w:val="22"/>
        </w:rPr>
        <w:t xml:space="preserve">The </w:t>
      </w:r>
      <w:r w:rsidR="002223D1">
        <w:rPr>
          <w:rFonts w:ascii="Calibri" w:eastAsia="Calibri" w:hAnsi="Calibri" w:cs="Calibri"/>
          <w:sz w:val="22"/>
          <w:szCs w:val="22"/>
        </w:rPr>
        <w:t>ECtHR in fact concludes that the lack of US cooperation</w:t>
      </w:r>
      <w:r w:rsidR="00FE01F7">
        <w:rPr>
          <w:rFonts w:ascii="Calibri" w:eastAsia="Calibri" w:hAnsi="Calibri" w:cs="Calibri"/>
          <w:sz w:val="22"/>
          <w:szCs w:val="22"/>
        </w:rPr>
        <w:t xml:space="preserve"> “</w:t>
      </w:r>
      <w:r w:rsidR="00FE01F7" w:rsidRPr="00E042A9">
        <w:rPr>
          <w:rFonts w:ascii="Calibri" w:eastAsia="Calibri" w:hAnsi="Calibri" w:cs="Calibri"/>
          <w:i/>
          <w:iCs/>
          <w:sz w:val="22"/>
          <w:szCs w:val="22"/>
        </w:rPr>
        <w:t>cannot justify the apparent lack of any substantial progress in the investigation…</w:t>
      </w:r>
      <w:r w:rsidR="00FE01F7">
        <w:rPr>
          <w:rFonts w:ascii="Calibri" w:eastAsia="Calibri" w:hAnsi="Calibri" w:cs="Calibri"/>
          <w:sz w:val="22"/>
          <w:szCs w:val="22"/>
        </w:rPr>
        <w:t>”</w:t>
      </w:r>
      <w:r w:rsidR="00FE01F7">
        <w:rPr>
          <w:rStyle w:val="FootnoteReference"/>
          <w:rFonts w:ascii="Calibri" w:eastAsia="Calibri" w:hAnsi="Calibri" w:cs="Calibri"/>
          <w:sz w:val="22"/>
          <w:szCs w:val="22"/>
        </w:rPr>
        <w:footnoteReference w:id="12"/>
      </w:r>
      <w:r w:rsidR="002223D1">
        <w:rPr>
          <w:rFonts w:ascii="Calibri" w:eastAsia="Calibri" w:hAnsi="Calibri" w:cs="Calibri"/>
          <w:sz w:val="22"/>
          <w:szCs w:val="22"/>
        </w:rPr>
        <w:t xml:space="preserve"> </w:t>
      </w:r>
      <w:r w:rsidR="008B4EA4">
        <w:rPr>
          <w:rFonts w:ascii="Calibri" w:eastAsia="Calibri" w:hAnsi="Calibri" w:cs="Calibri"/>
          <w:sz w:val="22"/>
          <w:szCs w:val="22"/>
        </w:rPr>
        <w:t xml:space="preserve">The lack of progress </w:t>
      </w:r>
      <w:r w:rsidR="00590F64">
        <w:rPr>
          <w:rFonts w:ascii="Calibri" w:eastAsia="Calibri" w:hAnsi="Calibri" w:cs="Calibri"/>
          <w:sz w:val="22"/>
          <w:szCs w:val="22"/>
        </w:rPr>
        <w:t>appears to d</w:t>
      </w:r>
      <w:r w:rsidR="00A94A24">
        <w:rPr>
          <w:rFonts w:ascii="Calibri" w:eastAsia="Calibri" w:hAnsi="Calibri" w:cs="Calibri"/>
          <w:sz w:val="22"/>
          <w:szCs w:val="22"/>
        </w:rPr>
        <w:t>emonstrate</w:t>
      </w:r>
      <w:r w:rsidR="00A41371" w:rsidRPr="00A41371">
        <w:rPr>
          <w:rFonts w:ascii="Calibri" w:eastAsia="Calibri" w:hAnsi="Calibri" w:cs="Calibri"/>
          <w:sz w:val="22"/>
          <w:szCs w:val="22"/>
        </w:rPr>
        <w:t xml:space="preserve"> a lack of political will to investigate and prosecute those responsible within Lithuania.</w:t>
      </w:r>
    </w:p>
    <w:p w14:paraId="47631CF3" w14:textId="66740925" w:rsidR="7FC661B2" w:rsidRDefault="7FC661B2" w:rsidP="00723DB8">
      <w:pPr>
        <w:spacing w:after="0"/>
        <w:jc w:val="both"/>
        <w:rPr>
          <w:rFonts w:ascii="Calibri" w:eastAsia="Calibri" w:hAnsi="Calibri" w:cs="Calibri"/>
          <w:sz w:val="22"/>
          <w:szCs w:val="22"/>
          <w:vertAlign w:val="superscript"/>
        </w:rPr>
      </w:pPr>
    </w:p>
    <w:p w14:paraId="2C5D0149" w14:textId="5EE15F3F" w:rsidR="5C6D021A" w:rsidRDefault="6071BABB" w:rsidP="00723DB8">
      <w:pPr>
        <w:pStyle w:val="ListParagraph"/>
        <w:numPr>
          <w:ilvl w:val="0"/>
          <w:numId w:val="1"/>
        </w:numPr>
        <w:spacing w:after="0"/>
        <w:jc w:val="both"/>
        <w:rPr>
          <w:rFonts w:ascii="Calibri" w:eastAsia="Calibri" w:hAnsi="Calibri" w:cs="Calibri"/>
          <w:color w:val="000000" w:themeColor="text1"/>
          <w:sz w:val="22"/>
          <w:szCs w:val="22"/>
          <w:lang w:val="en-GB"/>
        </w:rPr>
      </w:pPr>
      <w:r w:rsidRPr="7FC661B2">
        <w:rPr>
          <w:rFonts w:ascii="Calibri" w:eastAsia="Calibri" w:hAnsi="Calibri" w:cs="Calibri"/>
          <w:sz w:val="22"/>
          <w:szCs w:val="22"/>
        </w:rPr>
        <w:t>O</w:t>
      </w:r>
      <w:r w:rsidR="2076AD11" w:rsidRPr="7FC661B2">
        <w:rPr>
          <w:rFonts w:ascii="Calibri" w:eastAsia="Calibri" w:hAnsi="Calibri" w:cs="Calibri"/>
          <w:sz w:val="22"/>
          <w:szCs w:val="22"/>
        </w:rPr>
        <w:t>n</w:t>
      </w:r>
      <w:r w:rsidR="36D2FC89" w:rsidRPr="7FC661B2">
        <w:rPr>
          <w:rFonts w:ascii="Calibri" w:eastAsia="Calibri" w:hAnsi="Calibri" w:cs="Calibri"/>
          <w:sz w:val="22"/>
          <w:szCs w:val="22"/>
        </w:rPr>
        <w:t xml:space="preserve"> 16 January 2024</w:t>
      </w:r>
      <w:r w:rsidR="503062CF" w:rsidRPr="7FC661B2">
        <w:rPr>
          <w:rFonts w:ascii="Calibri" w:eastAsia="Calibri" w:hAnsi="Calibri" w:cs="Calibri"/>
          <w:sz w:val="22"/>
          <w:szCs w:val="22"/>
        </w:rPr>
        <w:t xml:space="preserve">, the </w:t>
      </w:r>
      <w:r w:rsidR="003820EC">
        <w:rPr>
          <w:rFonts w:ascii="Calibri" w:eastAsia="Calibri" w:hAnsi="Calibri" w:cs="Calibri"/>
          <w:sz w:val="22"/>
          <w:szCs w:val="22"/>
        </w:rPr>
        <w:t>ECtHR</w:t>
      </w:r>
      <w:r w:rsidR="168D261E" w:rsidRPr="7FC661B2">
        <w:rPr>
          <w:rFonts w:ascii="Calibri" w:eastAsia="Calibri" w:hAnsi="Calibri" w:cs="Calibri"/>
          <w:sz w:val="22"/>
          <w:szCs w:val="22"/>
        </w:rPr>
        <w:t xml:space="preserve"> </w:t>
      </w:r>
      <w:r w:rsidR="5EAFB8B4" w:rsidRPr="7FC661B2">
        <w:rPr>
          <w:rFonts w:ascii="Calibri" w:eastAsia="Calibri" w:hAnsi="Calibri" w:cs="Calibri"/>
          <w:sz w:val="22"/>
          <w:szCs w:val="22"/>
        </w:rPr>
        <w:t xml:space="preserve">issued its judgment </w:t>
      </w:r>
      <w:r w:rsidR="168D261E" w:rsidRPr="7FC661B2">
        <w:rPr>
          <w:rFonts w:ascii="Calibri" w:eastAsia="Calibri" w:hAnsi="Calibri" w:cs="Calibri"/>
          <w:sz w:val="22"/>
          <w:szCs w:val="22"/>
        </w:rPr>
        <w:t>in the case of</w:t>
      </w:r>
      <w:r w:rsidR="3CB392C0" w:rsidRPr="7FC661B2">
        <w:rPr>
          <w:rFonts w:ascii="Calibri" w:eastAsia="Calibri" w:hAnsi="Calibri" w:cs="Calibri"/>
          <w:sz w:val="22"/>
          <w:szCs w:val="22"/>
        </w:rPr>
        <w:t xml:space="preserve"> </w:t>
      </w:r>
      <w:r w:rsidR="68D73184" w:rsidRPr="00E042A9">
        <w:rPr>
          <w:rFonts w:ascii="Calibri" w:eastAsia="Calibri" w:hAnsi="Calibri" w:cs="Calibri"/>
          <w:i/>
          <w:iCs/>
          <w:sz w:val="22"/>
          <w:szCs w:val="22"/>
        </w:rPr>
        <w:t>a</w:t>
      </w:r>
      <w:r w:rsidR="103ADB10" w:rsidRPr="00E042A9">
        <w:rPr>
          <w:rFonts w:ascii="Calibri" w:eastAsia="Calibri" w:hAnsi="Calibri" w:cs="Calibri"/>
          <w:i/>
          <w:iCs/>
          <w:sz w:val="22"/>
          <w:szCs w:val="22"/>
        </w:rPr>
        <w:t>l-</w:t>
      </w:r>
      <w:r w:rsidR="103ADB10" w:rsidRPr="00E042A9">
        <w:rPr>
          <w:rFonts w:ascii="Calibri" w:eastAsia="Calibri" w:hAnsi="Calibri" w:cs="Calibri"/>
          <w:i/>
          <w:iCs/>
          <w:sz w:val="22"/>
          <w:szCs w:val="22"/>
          <w:lang w:val="en-GB"/>
        </w:rPr>
        <w:t>Hawsawi v. Lithuania</w:t>
      </w:r>
      <w:r w:rsidR="6305D5B3" w:rsidRPr="7FC661B2">
        <w:rPr>
          <w:rFonts w:ascii="Calibri" w:eastAsia="Calibri" w:hAnsi="Calibri" w:cs="Calibri"/>
          <w:sz w:val="22"/>
          <w:szCs w:val="22"/>
          <w:lang w:val="en-GB"/>
        </w:rPr>
        <w:t xml:space="preserve">, </w:t>
      </w:r>
      <w:r w:rsidR="4640B921" w:rsidRPr="7FC661B2">
        <w:rPr>
          <w:rFonts w:ascii="Calibri" w:eastAsia="Calibri" w:hAnsi="Calibri" w:cs="Calibri"/>
          <w:sz w:val="22"/>
          <w:szCs w:val="22"/>
          <w:lang w:val="en-GB"/>
        </w:rPr>
        <w:t>finding</w:t>
      </w:r>
      <w:r w:rsidR="0030337D">
        <w:rPr>
          <w:rFonts w:ascii="Calibri" w:eastAsia="Calibri" w:hAnsi="Calibri" w:cs="Calibri"/>
          <w:sz w:val="22"/>
          <w:szCs w:val="22"/>
          <w:lang w:val="en-GB"/>
        </w:rPr>
        <w:t xml:space="preserve"> </w:t>
      </w:r>
      <w:r w:rsidR="0030337D" w:rsidRPr="00E042A9">
        <w:rPr>
          <w:rFonts w:ascii="Calibri" w:eastAsia="Calibri" w:hAnsi="Calibri" w:cs="Calibri"/>
          <w:i/>
          <w:iCs/>
          <w:sz w:val="22"/>
          <w:szCs w:val="22"/>
          <w:lang w:val="en-GB"/>
        </w:rPr>
        <w:t>(</w:t>
      </w:r>
      <w:r w:rsidR="0030337D">
        <w:rPr>
          <w:rFonts w:ascii="Calibri" w:eastAsia="Calibri" w:hAnsi="Calibri" w:cs="Calibri"/>
          <w:i/>
          <w:iCs/>
          <w:sz w:val="22"/>
          <w:szCs w:val="22"/>
          <w:lang w:val="en-GB"/>
        </w:rPr>
        <w:t>inter alia)</w:t>
      </w:r>
      <w:r w:rsidR="4640B921" w:rsidRPr="7FC661B2">
        <w:rPr>
          <w:rFonts w:ascii="Calibri" w:eastAsia="Calibri" w:hAnsi="Calibri" w:cs="Calibri"/>
          <w:sz w:val="22"/>
          <w:szCs w:val="22"/>
          <w:lang w:val="en-GB"/>
        </w:rPr>
        <w:t xml:space="preserve"> that </w:t>
      </w:r>
      <w:r w:rsidR="103ADB10" w:rsidRPr="7FC661B2">
        <w:rPr>
          <w:rFonts w:ascii="Calibri" w:eastAsia="Calibri" w:hAnsi="Calibri" w:cs="Calibri"/>
          <w:sz w:val="22"/>
          <w:szCs w:val="22"/>
          <w:lang w:val="en-GB"/>
        </w:rPr>
        <w:t xml:space="preserve">Lithuania had violated the substantive and procedural aspects of Article 3 of the </w:t>
      </w:r>
      <w:r w:rsidR="78DAF7B4" w:rsidRPr="7FC661B2">
        <w:rPr>
          <w:rFonts w:ascii="Calibri" w:eastAsia="Calibri" w:hAnsi="Calibri" w:cs="Calibri"/>
          <w:sz w:val="22"/>
          <w:szCs w:val="22"/>
          <w:lang w:val="en-GB"/>
        </w:rPr>
        <w:t xml:space="preserve">European </w:t>
      </w:r>
      <w:r w:rsidR="103ADB10" w:rsidRPr="7FC661B2">
        <w:rPr>
          <w:rFonts w:ascii="Calibri" w:eastAsia="Calibri" w:hAnsi="Calibri" w:cs="Calibri"/>
          <w:sz w:val="22"/>
          <w:szCs w:val="22"/>
          <w:lang w:val="en-GB"/>
        </w:rPr>
        <w:t>Convention</w:t>
      </w:r>
      <w:r w:rsidR="1939CF2F" w:rsidRPr="7FC661B2">
        <w:rPr>
          <w:rFonts w:ascii="Calibri" w:eastAsia="Calibri" w:hAnsi="Calibri" w:cs="Calibri"/>
          <w:sz w:val="22"/>
          <w:szCs w:val="22"/>
          <w:lang w:val="en-GB"/>
        </w:rPr>
        <w:t xml:space="preserve"> on Human Rights</w:t>
      </w:r>
      <w:r w:rsidR="103ADB10" w:rsidRPr="7FC661B2">
        <w:rPr>
          <w:rFonts w:ascii="Calibri" w:eastAsia="Calibri" w:hAnsi="Calibri" w:cs="Calibri"/>
          <w:sz w:val="22"/>
          <w:szCs w:val="22"/>
          <w:lang w:val="en-GB"/>
        </w:rPr>
        <w:t>, on account of its “</w:t>
      </w:r>
      <w:r w:rsidR="103ADB10" w:rsidRPr="7695AF84">
        <w:rPr>
          <w:rFonts w:ascii="Calibri" w:eastAsia="Calibri" w:hAnsi="Calibri" w:cs="Calibri"/>
          <w:i/>
          <w:iCs/>
          <w:sz w:val="22"/>
          <w:szCs w:val="22"/>
          <w:lang w:val="en-GB"/>
        </w:rPr>
        <w:t>complicity in the CIA High-Value Detainee Programme, in that it enabled the US authorities to subject the applicant to inhuman treatment on Lithuanian territory and to transfer him from that territory in spite of a real risk that he would be subjected to treatment contrary to Article 3</w:t>
      </w:r>
      <w:r w:rsidR="103ADB10" w:rsidRPr="7FC661B2">
        <w:rPr>
          <w:rFonts w:ascii="Calibri" w:eastAsia="Calibri" w:hAnsi="Calibri" w:cs="Calibri"/>
          <w:sz w:val="22"/>
          <w:szCs w:val="22"/>
          <w:lang w:val="en-GB"/>
        </w:rPr>
        <w:t>”</w:t>
      </w:r>
      <w:r w:rsidR="5C6D021A" w:rsidRPr="7FC661B2">
        <w:rPr>
          <w:rStyle w:val="FootnoteReference"/>
          <w:rFonts w:ascii="Calibri" w:eastAsia="Calibri" w:hAnsi="Calibri" w:cs="Calibri"/>
          <w:sz w:val="22"/>
          <w:szCs w:val="22"/>
          <w:lang w:val="en-GB"/>
        </w:rPr>
        <w:footnoteReference w:id="13"/>
      </w:r>
      <w:r w:rsidR="103ADB10" w:rsidRPr="7FC661B2">
        <w:rPr>
          <w:rFonts w:ascii="Calibri" w:eastAsia="Calibri" w:hAnsi="Calibri" w:cs="Calibri"/>
          <w:sz w:val="22"/>
          <w:szCs w:val="22"/>
          <w:lang w:val="en-GB"/>
        </w:rPr>
        <w:t xml:space="preserve"> and its “</w:t>
      </w:r>
      <w:r w:rsidR="103ADB10" w:rsidRPr="7695AF84">
        <w:rPr>
          <w:rFonts w:ascii="Calibri" w:eastAsia="Calibri" w:hAnsi="Calibri" w:cs="Calibri"/>
          <w:i/>
          <w:iCs/>
          <w:color w:val="000000" w:themeColor="text1"/>
          <w:sz w:val="22"/>
          <w:szCs w:val="22"/>
          <w:lang w:val="en-GB"/>
        </w:rPr>
        <w:t>failure to carry out an effective investigation into the applicant’s allegations of serious violations of the Convention, including inhuman treatment and undisclosed detention</w:t>
      </w:r>
      <w:r w:rsidR="103ADB10" w:rsidRPr="7FC661B2">
        <w:rPr>
          <w:rFonts w:ascii="Calibri" w:eastAsia="Calibri" w:hAnsi="Calibri" w:cs="Calibri"/>
          <w:color w:val="000000" w:themeColor="text1"/>
          <w:sz w:val="22"/>
          <w:szCs w:val="22"/>
          <w:lang w:val="en-GB"/>
        </w:rPr>
        <w:t>.”</w:t>
      </w:r>
      <w:r w:rsidR="5C6D021A" w:rsidRPr="7FC661B2">
        <w:rPr>
          <w:rStyle w:val="FootnoteReference"/>
          <w:rFonts w:ascii="Calibri" w:eastAsia="Calibri" w:hAnsi="Calibri" w:cs="Calibri"/>
          <w:color w:val="000000" w:themeColor="text1"/>
          <w:sz w:val="22"/>
          <w:szCs w:val="22"/>
          <w:lang w:val="en-GB"/>
        </w:rPr>
        <w:footnoteReference w:id="14"/>
      </w:r>
    </w:p>
    <w:p w14:paraId="32916880" w14:textId="6F832E7F" w:rsidR="7FC661B2" w:rsidRDefault="7FC661B2" w:rsidP="00723DB8">
      <w:pPr>
        <w:spacing w:after="0"/>
        <w:jc w:val="both"/>
        <w:rPr>
          <w:rFonts w:ascii="Calibri" w:eastAsia="Calibri" w:hAnsi="Calibri" w:cs="Calibri"/>
          <w:color w:val="000000" w:themeColor="text1"/>
          <w:sz w:val="22"/>
          <w:szCs w:val="22"/>
          <w:lang w:val="en-GB"/>
        </w:rPr>
      </w:pPr>
    </w:p>
    <w:p w14:paraId="7B038F39" w14:textId="255F399D" w:rsidR="482B1F6B" w:rsidRDefault="482B1F6B" w:rsidP="00723DB8">
      <w:pPr>
        <w:pStyle w:val="ListParagraph"/>
        <w:numPr>
          <w:ilvl w:val="0"/>
          <w:numId w:val="1"/>
        </w:numPr>
        <w:spacing w:after="0"/>
        <w:jc w:val="both"/>
        <w:rPr>
          <w:rFonts w:ascii="Calibri" w:eastAsia="Calibri" w:hAnsi="Calibri" w:cs="Calibri"/>
          <w:color w:val="000000" w:themeColor="text1"/>
          <w:sz w:val="22"/>
          <w:szCs w:val="22"/>
        </w:rPr>
      </w:pPr>
      <w:r w:rsidRPr="7FC661B2">
        <w:rPr>
          <w:rFonts w:ascii="Calibri" w:eastAsia="Calibri" w:hAnsi="Calibri" w:cs="Calibri"/>
          <w:color w:val="000000" w:themeColor="text1"/>
          <w:sz w:val="22"/>
          <w:szCs w:val="22"/>
        </w:rPr>
        <w:t>Consequently</w:t>
      </w:r>
      <w:r w:rsidR="103ADB10" w:rsidRPr="7FC661B2">
        <w:rPr>
          <w:rFonts w:ascii="Calibri" w:eastAsia="Calibri" w:hAnsi="Calibri" w:cs="Calibri"/>
          <w:color w:val="000000" w:themeColor="text1"/>
          <w:sz w:val="22"/>
          <w:szCs w:val="22"/>
        </w:rPr>
        <w:t xml:space="preserve">, </w:t>
      </w:r>
      <w:r w:rsidR="764AD304" w:rsidRPr="7FC661B2">
        <w:rPr>
          <w:rFonts w:ascii="Calibri" w:eastAsia="Calibri" w:hAnsi="Calibri" w:cs="Calibri"/>
          <w:color w:val="000000" w:themeColor="text1"/>
          <w:sz w:val="22"/>
          <w:szCs w:val="22"/>
        </w:rPr>
        <w:t>t</w:t>
      </w:r>
      <w:r w:rsidR="103ADB10" w:rsidRPr="7FC661B2">
        <w:rPr>
          <w:rFonts w:ascii="Calibri" w:eastAsia="Calibri" w:hAnsi="Calibri" w:cs="Calibri"/>
          <w:color w:val="000000" w:themeColor="text1"/>
          <w:sz w:val="22"/>
          <w:szCs w:val="22"/>
        </w:rPr>
        <w:t>he ECtHR found that Lithuania was required to take without delay “</w:t>
      </w:r>
      <w:r w:rsidR="103ADB10" w:rsidRPr="0C95F74E">
        <w:rPr>
          <w:rFonts w:ascii="Calibri" w:eastAsia="Calibri" w:hAnsi="Calibri" w:cs="Calibri"/>
          <w:i/>
          <w:iCs/>
          <w:color w:val="000000" w:themeColor="text1"/>
          <w:sz w:val="22"/>
          <w:szCs w:val="22"/>
        </w:rPr>
        <w:t>all necessary steps to reactivate and advance the still pending criminal investigation</w:t>
      </w:r>
      <w:r w:rsidR="103ADB10" w:rsidRPr="7FC661B2">
        <w:rPr>
          <w:rFonts w:ascii="Calibri" w:eastAsia="Calibri" w:hAnsi="Calibri" w:cs="Calibri"/>
          <w:color w:val="000000" w:themeColor="text1"/>
          <w:sz w:val="22"/>
          <w:szCs w:val="22"/>
        </w:rPr>
        <w:t>.</w:t>
      </w:r>
      <w:r w:rsidR="103ADB10" w:rsidRPr="000D2FC8">
        <w:rPr>
          <w:rFonts w:ascii="Calibri" w:eastAsia="Calibri" w:hAnsi="Calibri" w:cs="Calibri"/>
          <w:i/>
          <w:iCs/>
          <w:color w:val="000000" w:themeColor="text1"/>
          <w:sz w:val="22"/>
          <w:szCs w:val="22"/>
        </w:rPr>
        <w:t>"</w:t>
      </w:r>
      <w:r w:rsidRPr="7FC661B2">
        <w:rPr>
          <w:rStyle w:val="FootnoteReference"/>
          <w:rFonts w:ascii="Calibri" w:eastAsia="Calibri" w:hAnsi="Calibri" w:cs="Calibri"/>
          <w:color w:val="000000" w:themeColor="text1"/>
          <w:sz w:val="22"/>
          <w:szCs w:val="22"/>
        </w:rPr>
        <w:footnoteReference w:id="15"/>
      </w:r>
      <w:r w:rsidR="103ADB10" w:rsidRPr="7FC661B2">
        <w:rPr>
          <w:rFonts w:ascii="Calibri" w:eastAsia="Calibri" w:hAnsi="Calibri" w:cs="Calibri"/>
          <w:color w:val="000000" w:themeColor="text1"/>
          <w:sz w:val="22"/>
          <w:szCs w:val="22"/>
        </w:rPr>
        <w:t xml:space="preserve"> It further found that “</w:t>
      </w:r>
      <w:r w:rsidR="103ADB10" w:rsidRPr="0C95F74E">
        <w:rPr>
          <w:rFonts w:ascii="Calibri" w:eastAsia="Calibri" w:hAnsi="Calibri" w:cs="Calibri"/>
          <w:i/>
          <w:iCs/>
          <w:color w:val="000000" w:themeColor="text1"/>
          <w:sz w:val="22"/>
          <w:szCs w:val="22"/>
        </w:rPr>
        <w:t>the criminal investigation should be brought to a close as soon as possible, once, in so far as this proves feasible, the circumstances and conditions under which the applicant was brought into Lithuania, treated in Lithuania and thereafter removed from Lithuania have been elucidated further, so as to enable the identification, accountability and, where appropriate, punishment of those responsible</w:t>
      </w:r>
      <w:r w:rsidR="103ADB10" w:rsidRPr="7FC661B2">
        <w:rPr>
          <w:rFonts w:ascii="Calibri" w:eastAsia="Calibri" w:hAnsi="Calibri" w:cs="Calibri"/>
          <w:color w:val="000000" w:themeColor="text1"/>
          <w:sz w:val="22"/>
          <w:szCs w:val="22"/>
        </w:rPr>
        <w:t>.”</w:t>
      </w:r>
      <w:r w:rsidRPr="7FC661B2">
        <w:rPr>
          <w:rStyle w:val="FootnoteReference"/>
          <w:rFonts w:ascii="Calibri" w:eastAsia="Calibri" w:hAnsi="Calibri" w:cs="Calibri"/>
          <w:color w:val="000000" w:themeColor="text1"/>
          <w:sz w:val="22"/>
          <w:szCs w:val="22"/>
        </w:rPr>
        <w:footnoteReference w:id="16"/>
      </w:r>
    </w:p>
    <w:p w14:paraId="33E6C331" w14:textId="457D6367" w:rsidR="7FC661B2" w:rsidRDefault="7FC661B2" w:rsidP="00723DB8">
      <w:pPr>
        <w:spacing w:after="0"/>
        <w:jc w:val="both"/>
        <w:rPr>
          <w:rFonts w:ascii="Calibri" w:eastAsia="Calibri" w:hAnsi="Calibri" w:cs="Calibri"/>
          <w:color w:val="000000" w:themeColor="text1"/>
          <w:sz w:val="22"/>
          <w:szCs w:val="22"/>
        </w:rPr>
      </w:pPr>
    </w:p>
    <w:p w14:paraId="6E11EA38" w14:textId="2E22312A" w:rsidR="00CE4517" w:rsidRDefault="72D2B66F" w:rsidP="00723DB8">
      <w:pPr>
        <w:pStyle w:val="ListParagraph"/>
        <w:numPr>
          <w:ilvl w:val="0"/>
          <w:numId w:val="1"/>
        </w:numPr>
        <w:spacing w:after="0"/>
        <w:jc w:val="both"/>
        <w:rPr>
          <w:rFonts w:ascii="Calibri" w:eastAsia="Calibri" w:hAnsi="Calibri" w:cs="Calibri"/>
          <w:color w:val="000000" w:themeColor="text1"/>
          <w:sz w:val="22"/>
          <w:szCs w:val="22"/>
        </w:rPr>
      </w:pPr>
      <w:r w:rsidRPr="0C95F74E">
        <w:rPr>
          <w:rFonts w:ascii="Calibri" w:eastAsia="Calibri" w:hAnsi="Calibri" w:cs="Calibri"/>
          <w:color w:val="000000" w:themeColor="text1"/>
          <w:sz w:val="22"/>
          <w:szCs w:val="22"/>
        </w:rPr>
        <w:t>However, to date the criminal investigation</w:t>
      </w:r>
      <w:r w:rsidR="007E14F9">
        <w:rPr>
          <w:rFonts w:ascii="Calibri" w:eastAsia="Calibri" w:hAnsi="Calibri" w:cs="Calibri"/>
          <w:color w:val="000000" w:themeColor="text1"/>
          <w:sz w:val="22"/>
          <w:szCs w:val="22"/>
        </w:rPr>
        <w:t xml:space="preserve"> </w:t>
      </w:r>
      <w:r w:rsidR="00FE25AF">
        <w:rPr>
          <w:rFonts w:ascii="Calibri" w:eastAsia="Calibri" w:hAnsi="Calibri" w:cs="Calibri"/>
          <w:color w:val="000000" w:themeColor="text1"/>
          <w:sz w:val="22"/>
          <w:szCs w:val="22"/>
        </w:rPr>
        <w:t>–</w:t>
      </w:r>
      <w:r w:rsidR="007E14F9">
        <w:rPr>
          <w:rFonts w:ascii="Calibri" w:eastAsia="Calibri" w:hAnsi="Calibri" w:cs="Calibri"/>
          <w:color w:val="000000" w:themeColor="text1"/>
          <w:sz w:val="22"/>
          <w:szCs w:val="22"/>
        </w:rPr>
        <w:t xml:space="preserve"> </w:t>
      </w:r>
      <w:r w:rsidR="00FE25AF">
        <w:rPr>
          <w:rFonts w:ascii="Calibri" w:eastAsia="Calibri" w:hAnsi="Calibri" w:cs="Calibri"/>
          <w:color w:val="000000" w:themeColor="text1"/>
          <w:sz w:val="22"/>
          <w:szCs w:val="22"/>
        </w:rPr>
        <w:t>which</w:t>
      </w:r>
      <w:r w:rsidR="00CF3FA3">
        <w:rPr>
          <w:rFonts w:ascii="Calibri" w:eastAsia="Calibri" w:hAnsi="Calibri" w:cs="Calibri"/>
          <w:color w:val="000000" w:themeColor="text1"/>
          <w:sz w:val="22"/>
          <w:szCs w:val="22"/>
        </w:rPr>
        <w:t xml:space="preserve"> </w:t>
      </w:r>
      <w:r w:rsidR="00FE25AF">
        <w:rPr>
          <w:rFonts w:ascii="Calibri" w:eastAsia="Calibri" w:hAnsi="Calibri" w:cs="Calibri"/>
          <w:color w:val="000000" w:themeColor="text1"/>
          <w:sz w:val="22"/>
          <w:szCs w:val="22"/>
        </w:rPr>
        <w:t>is the same investigation as for Abu Zubaydah</w:t>
      </w:r>
      <w:r w:rsidR="00B90A0B">
        <w:rPr>
          <w:rStyle w:val="FootnoteReference"/>
          <w:rFonts w:ascii="Calibri" w:eastAsia="Calibri" w:hAnsi="Calibri" w:cs="Calibri"/>
          <w:color w:val="000000" w:themeColor="text1"/>
          <w:sz w:val="22"/>
          <w:szCs w:val="22"/>
        </w:rPr>
        <w:footnoteReference w:id="17"/>
      </w:r>
      <w:r w:rsidR="00FE25AF">
        <w:rPr>
          <w:rFonts w:ascii="Calibri" w:eastAsia="Calibri" w:hAnsi="Calibri" w:cs="Calibri"/>
          <w:color w:val="000000" w:themeColor="text1"/>
          <w:sz w:val="22"/>
          <w:szCs w:val="22"/>
        </w:rPr>
        <w:t xml:space="preserve"> </w:t>
      </w:r>
      <w:r w:rsidR="00E042A9">
        <w:rPr>
          <w:rFonts w:ascii="Calibri" w:eastAsia="Calibri" w:hAnsi="Calibri" w:cs="Calibri"/>
          <w:color w:val="000000" w:themeColor="text1"/>
          <w:sz w:val="22"/>
          <w:szCs w:val="22"/>
        </w:rPr>
        <w:t>–</w:t>
      </w:r>
      <w:r w:rsidRPr="0C95F74E">
        <w:rPr>
          <w:rFonts w:ascii="Calibri" w:eastAsia="Calibri" w:hAnsi="Calibri" w:cs="Calibri"/>
          <w:color w:val="000000" w:themeColor="text1"/>
          <w:sz w:val="22"/>
          <w:szCs w:val="22"/>
        </w:rPr>
        <w:t xml:space="preserve"> remains ongoing and has yet to result in any </w:t>
      </w:r>
      <w:r w:rsidR="100971EB" w:rsidRPr="0C95F74E">
        <w:rPr>
          <w:rFonts w:ascii="Calibri" w:eastAsia="Calibri" w:hAnsi="Calibri" w:cs="Calibri"/>
          <w:color w:val="000000" w:themeColor="text1"/>
          <w:sz w:val="22"/>
          <w:szCs w:val="22"/>
        </w:rPr>
        <w:t xml:space="preserve">criminal </w:t>
      </w:r>
      <w:r w:rsidR="005E6AC3">
        <w:rPr>
          <w:rFonts w:ascii="Calibri" w:eastAsia="Calibri" w:hAnsi="Calibri" w:cs="Calibri"/>
          <w:color w:val="000000" w:themeColor="text1"/>
          <w:sz w:val="22"/>
          <w:szCs w:val="22"/>
        </w:rPr>
        <w:t xml:space="preserve">charges or </w:t>
      </w:r>
      <w:r w:rsidRPr="0C95F74E">
        <w:rPr>
          <w:rFonts w:ascii="Calibri" w:eastAsia="Calibri" w:hAnsi="Calibri" w:cs="Calibri"/>
          <w:color w:val="000000" w:themeColor="text1"/>
          <w:sz w:val="22"/>
          <w:szCs w:val="22"/>
        </w:rPr>
        <w:t xml:space="preserve">convictions. </w:t>
      </w:r>
      <w:r w:rsidR="24E2C301" w:rsidRPr="0C95F74E">
        <w:rPr>
          <w:rFonts w:ascii="Calibri" w:eastAsia="Calibri" w:hAnsi="Calibri" w:cs="Calibri"/>
          <w:color w:val="000000" w:themeColor="text1"/>
          <w:sz w:val="22"/>
          <w:szCs w:val="22"/>
        </w:rPr>
        <w:t xml:space="preserve">We are concerned that this joint investigation, which has now been </w:t>
      </w:r>
      <w:r w:rsidR="60F7ED90" w:rsidRPr="0C95F74E">
        <w:rPr>
          <w:rFonts w:ascii="Calibri" w:eastAsia="Calibri" w:hAnsi="Calibri" w:cs="Calibri"/>
          <w:color w:val="000000" w:themeColor="text1"/>
          <w:sz w:val="22"/>
          <w:szCs w:val="22"/>
        </w:rPr>
        <w:t xml:space="preserve">ongoing for nearly a decade, has </w:t>
      </w:r>
      <w:r w:rsidR="1312A39C" w:rsidRPr="0C95F74E">
        <w:rPr>
          <w:rFonts w:ascii="Calibri" w:eastAsia="Calibri" w:hAnsi="Calibri" w:cs="Calibri"/>
          <w:color w:val="000000" w:themeColor="text1"/>
          <w:sz w:val="22"/>
          <w:szCs w:val="22"/>
        </w:rPr>
        <w:lastRenderedPageBreak/>
        <w:t>progressed very little</w:t>
      </w:r>
      <w:r w:rsidR="60F7ED90" w:rsidRPr="0C95F74E">
        <w:rPr>
          <w:rFonts w:ascii="Calibri" w:eastAsia="Calibri" w:hAnsi="Calibri" w:cs="Calibri"/>
          <w:color w:val="000000" w:themeColor="text1"/>
          <w:sz w:val="22"/>
          <w:szCs w:val="22"/>
        </w:rPr>
        <w:t>.</w:t>
      </w:r>
      <w:r w:rsidR="495F5C07" w:rsidRPr="0C95F74E">
        <w:rPr>
          <w:rFonts w:ascii="Calibri" w:eastAsia="Calibri" w:hAnsi="Calibri" w:cs="Calibri"/>
          <w:color w:val="000000" w:themeColor="text1"/>
          <w:sz w:val="22"/>
          <w:szCs w:val="22"/>
        </w:rPr>
        <w:t xml:space="preserve"> The joint investigation </w:t>
      </w:r>
      <w:r w:rsidR="00C648F6">
        <w:rPr>
          <w:rFonts w:ascii="Calibri" w:eastAsia="Calibri" w:hAnsi="Calibri" w:cs="Calibri"/>
          <w:color w:val="000000" w:themeColor="text1"/>
          <w:sz w:val="22"/>
          <w:szCs w:val="22"/>
        </w:rPr>
        <w:t xml:space="preserve">clearly </w:t>
      </w:r>
      <w:r w:rsidR="495F5C07" w:rsidRPr="0C95F74E">
        <w:rPr>
          <w:rFonts w:ascii="Calibri" w:eastAsia="Calibri" w:hAnsi="Calibri" w:cs="Calibri"/>
          <w:color w:val="000000" w:themeColor="text1"/>
          <w:sz w:val="22"/>
          <w:szCs w:val="22"/>
        </w:rPr>
        <w:t xml:space="preserve">does not meet the </w:t>
      </w:r>
      <w:r w:rsidR="00D95057">
        <w:rPr>
          <w:rFonts w:ascii="Calibri" w:eastAsia="Calibri" w:hAnsi="Calibri" w:cs="Calibri"/>
          <w:color w:val="000000" w:themeColor="text1"/>
          <w:sz w:val="22"/>
          <w:szCs w:val="22"/>
        </w:rPr>
        <w:t>UNCAT</w:t>
      </w:r>
      <w:r w:rsidR="00852C0F">
        <w:rPr>
          <w:rFonts w:ascii="Calibri" w:eastAsia="Calibri" w:hAnsi="Calibri" w:cs="Calibri"/>
          <w:color w:val="000000" w:themeColor="text1"/>
          <w:sz w:val="22"/>
          <w:szCs w:val="22"/>
        </w:rPr>
        <w:t xml:space="preserve"> </w:t>
      </w:r>
      <w:r w:rsidR="495F5C07" w:rsidRPr="0C95F74E">
        <w:rPr>
          <w:rFonts w:ascii="Calibri" w:eastAsia="Calibri" w:hAnsi="Calibri" w:cs="Calibri"/>
          <w:color w:val="000000" w:themeColor="text1"/>
          <w:sz w:val="22"/>
          <w:szCs w:val="22"/>
        </w:rPr>
        <w:t>Article 12 requirement of promptness</w:t>
      </w:r>
      <w:r w:rsidR="00C648F6">
        <w:rPr>
          <w:rFonts w:ascii="Calibri" w:eastAsia="Calibri" w:hAnsi="Calibri" w:cs="Calibri"/>
          <w:color w:val="000000" w:themeColor="text1"/>
          <w:sz w:val="22"/>
          <w:szCs w:val="22"/>
        </w:rPr>
        <w:t>,</w:t>
      </w:r>
      <w:r w:rsidR="495F5C07" w:rsidRPr="0C95F74E">
        <w:rPr>
          <w:rFonts w:ascii="Calibri" w:eastAsia="Calibri" w:hAnsi="Calibri" w:cs="Calibri"/>
          <w:color w:val="000000" w:themeColor="text1"/>
          <w:sz w:val="22"/>
          <w:szCs w:val="22"/>
        </w:rPr>
        <w:t xml:space="preserve"> </w:t>
      </w:r>
      <w:r w:rsidR="571FE1DA" w:rsidRPr="0C95F74E">
        <w:rPr>
          <w:rFonts w:ascii="Calibri" w:eastAsia="Calibri" w:hAnsi="Calibri" w:cs="Calibri"/>
          <w:color w:val="000000" w:themeColor="text1"/>
          <w:sz w:val="22"/>
          <w:szCs w:val="22"/>
        </w:rPr>
        <w:t xml:space="preserve">and serious questions remain unanswered in relation to the effectiveness of the investigation process. </w:t>
      </w:r>
    </w:p>
    <w:p w14:paraId="40536B1E" w14:textId="77777777" w:rsidR="00CE4517" w:rsidRPr="00E042A9" w:rsidRDefault="00CE4517" w:rsidP="00013463">
      <w:pPr>
        <w:pStyle w:val="ListParagraph"/>
        <w:jc w:val="both"/>
        <w:rPr>
          <w:rFonts w:ascii="Calibri" w:eastAsia="Calibri" w:hAnsi="Calibri" w:cs="Calibri"/>
          <w:color w:val="000000" w:themeColor="text1"/>
          <w:sz w:val="22"/>
          <w:szCs w:val="22"/>
        </w:rPr>
      </w:pPr>
    </w:p>
    <w:p w14:paraId="09559554" w14:textId="1745192A" w:rsidR="72D2B66F" w:rsidRDefault="00CE4517" w:rsidP="00E042A9">
      <w:pPr>
        <w:pStyle w:val="ListParagraph"/>
        <w:numPr>
          <w:ilvl w:val="0"/>
          <w:numId w:val="1"/>
        </w:numPr>
        <w:spacing w:after="0"/>
        <w:jc w:val="both"/>
        <w:rPr>
          <w:rFonts w:ascii="Calibri" w:eastAsia="Calibri" w:hAnsi="Calibri" w:cs="Calibri"/>
          <w:color w:val="000000" w:themeColor="text1"/>
          <w:sz w:val="22"/>
          <w:szCs w:val="22"/>
        </w:rPr>
      </w:pPr>
      <w:r>
        <w:rPr>
          <w:rFonts w:ascii="Calibri" w:eastAsia="Calibri" w:hAnsi="Calibri" w:cs="Calibri"/>
          <w:color w:val="000000" w:themeColor="text1"/>
          <w:sz w:val="22"/>
          <w:szCs w:val="22"/>
        </w:rPr>
        <w:t xml:space="preserve">In addition, </w:t>
      </w:r>
      <w:r w:rsidR="002159D7">
        <w:rPr>
          <w:rFonts w:ascii="Calibri" w:eastAsia="Calibri" w:hAnsi="Calibri" w:cs="Calibri"/>
          <w:color w:val="000000" w:themeColor="text1"/>
          <w:sz w:val="22"/>
          <w:szCs w:val="22"/>
        </w:rPr>
        <w:t>Mr</w:t>
      </w:r>
      <w:r w:rsidR="00EF33B9">
        <w:rPr>
          <w:rFonts w:ascii="Calibri" w:eastAsia="Calibri" w:hAnsi="Calibri" w:cs="Calibri"/>
          <w:color w:val="000000" w:themeColor="text1"/>
          <w:sz w:val="22"/>
          <w:szCs w:val="22"/>
        </w:rPr>
        <w:t>. al-Hawsawi has never been granted victim status in that investigation</w:t>
      </w:r>
      <w:r w:rsidR="00F54AE5">
        <w:rPr>
          <w:rFonts w:ascii="Calibri" w:eastAsia="Calibri" w:hAnsi="Calibri" w:cs="Calibri"/>
          <w:color w:val="000000" w:themeColor="text1"/>
          <w:sz w:val="22"/>
          <w:szCs w:val="22"/>
        </w:rPr>
        <w:t xml:space="preserve">, thus </w:t>
      </w:r>
      <w:r w:rsidR="00772266">
        <w:rPr>
          <w:rFonts w:ascii="Calibri" w:eastAsia="Calibri" w:hAnsi="Calibri" w:cs="Calibri"/>
          <w:color w:val="000000" w:themeColor="text1"/>
          <w:sz w:val="22"/>
          <w:szCs w:val="22"/>
        </w:rPr>
        <w:t>preventing him (or his representatives) from accessing information about the investigation.</w:t>
      </w:r>
      <w:r w:rsidR="00F14E80">
        <w:rPr>
          <w:rStyle w:val="FootnoteReference"/>
          <w:rFonts w:ascii="Calibri" w:eastAsia="Calibri" w:hAnsi="Calibri" w:cs="Calibri"/>
          <w:color w:val="000000" w:themeColor="text1"/>
          <w:sz w:val="22"/>
          <w:szCs w:val="22"/>
        </w:rPr>
        <w:footnoteReference w:id="18"/>
      </w:r>
      <w:r w:rsidR="00772266">
        <w:rPr>
          <w:rFonts w:ascii="Calibri" w:eastAsia="Calibri" w:hAnsi="Calibri" w:cs="Calibri"/>
          <w:color w:val="000000" w:themeColor="text1"/>
          <w:sz w:val="22"/>
          <w:szCs w:val="22"/>
        </w:rPr>
        <w:t xml:space="preserve"> </w:t>
      </w:r>
      <w:r w:rsidR="00A76465">
        <w:rPr>
          <w:rFonts w:ascii="Calibri" w:eastAsia="Calibri" w:hAnsi="Calibri" w:cs="Calibri"/>
          <w:color w:val="000000" w:themeColor="text1"/>
          <w:sz w:val="22"/>
          <w:szCs w:val="22"/>
        </w:rPr>
        <w:t>In terms of</w:t>
      </w:r>
      <w:r w:rsidR="005A1030" w:rsidRPr="00E042A9">
        <w:rPr>
          <w:rFonts w:ascii="Calibri" w:eastAsia="Calibri" w:hAnsi="Calibri" w:cs="Calibri"/>
          <w:color w:val="000000" w:themeColor="text1"/>
          <w:sz w:val="22"/>
          <w:szCs w:val="22"/>
        </w:rPr>
        <w:t xml:space="preserve"> the State’s duty to conduct prompt, impartial, independent, effective</w:t>
      </w:r>
      <w:r w:rsidR="001771FC">
        <w:rPr>
          <w:rFonts w:ascii="Calibri" w:eastAsia="Calibri" w:hAnsi="Calibri" w:cs="Calibri"/>
          <w:color w:val="000000" w:themeColor="text1"/>
          <w:sz w:val="22"/>
          <w:szCs w:val="22"/>
        </w:rPr>
        <w:t>,</w:t>
      </w:r>
      <w:r w:rsidR="005A1030" w:rsidRPr="00E042A9">
        <w:rPr>
          <w:rFonts w:ascii="Calibri" w:eastAsia="Calibri" w:hAnsi="Calibri" w:cs="Calibri"/>
          <w:color w:val="000000" w:themeColor="text1"/>
          <w:sz w:val="22"/>
          <w:szCs w:val="22"/>
        </w:rPr>
        <w:t xml:space="preserve"> and thorough investigations, the Istanbul Protocol states that such investigations should be “conducted transparently”</w:t>
      </w:r>
      <w:r w:rsidR="00B90A0B">
        <w:rPr>
          <w:rStyle w:val="FootnoteReference"/>
          <w:rFonts w:ascii="Calibri" w:eastAsia="Calibri" w:hAnsi="Calibri" w:cs="Calibri"/>
          <w:color w:val="000000" w:themeColor="text1"/>
          <w:sz w:val="22"/>
          <w:szCs w:val="22"/>
        </w:rPr>
        <w:footnoteReference w:id="19"/>
      </w:r>
      <w:r w:rsidR="005A1030" w:rsidRPr="00E042A9">
        <w:rPr>
          <w:rFonts w:ascii="Calibri" w:eastAsia="Calibri" w:hAnsi="Calibri" w:cs="Calibri"/>
          <w:color w:val="000000" w:themeColor="text1"/>
          <w:sz w:val="22"/>
          <w:szCs w:val="22"/>
          <w:vertAlign w:val="superscript"/>
        </w:rPr>
        <w:t xml:space="preserve"> </w:t>
      </w:r>
      <w:r w:rsidR="005A1030" w:rsidRPr="00E042A9">
        <w:rPr>
          <w:rFonts w:ascii="Calibri" w:eastAsia="Calibri" w:hAnsi="Calibri" w:cs="Calibri"/>
          <w:color w:val="000000" w:themeColor="text1"/>
          <w:sz w:val="22"/>
          <w:szCs w:val="22"/>
        </w:rPr>
        <w:t>and that victims have a right to participate during all phases of the investigations.</w:t>
      </w:r>
      <w:r w:rsidR="00B90A0B">
        <w:rPr>
          <w:rStyle w:val="FootnoteReference"/>
          <w:rFonts w:ascii="Calibri" w:eastAsia="Calibri" w:hAnsi="Calibri" w:cs="Calibri"/>
          <w:color w:val="000000" w:themeColor="text1"/>
          <w:sz w:val="22"/>
          <w:szCs w:val="22"/>
        </w:rPr>
        <w:footnoteReference w:id="20"/>
      </w:r>
      <w:r w:rsidR="005A1030" w:rsidRPr="00E042A9">
        <w:rPr>
          <w:rFonts w:cstheme="minorHAnsi"/>
          <w:vertAlign w:val="superscript"/>
          <w:lang w:val="en-GB"/>
        </w:rPr>
        <w:t xml:space="preserve"> </w:t>
      </w:r>
      <w:r w:rsidR="00B90A0B">
        <w:rPr>
          <w:rFonts w:cstheme="minorHAnsi"/>
          <w:vertAlign w:val="superscript"/>
          <w:lang w:val="en-GB"/>
        </w:rPr>
        <w:t xml:space="preserve"> </w:t>
      </w:r>
      <w:r w:rsidR="0023363F">
        <w:rPr>
          <w:rFonts w:ascii="Calibri" w:eastAsia="Calibri" w:hAnsi="Calibri" w:cs="Calibri"/>
          <w:color w:val="000000" w:themeColor="text1"/>
          <w:sz w:val="22"/>
          <w:szCs w:val="22"/>
        </w:rPr>
        <w:t>T</w:t>
      </w:r>
      <w:r w:rsidR="00024904" w:rsidRPr="00024904">
        <w:rPr>
          <w:rFonts w:ascii="Calibri" w:eastAsia="Calibri" w:hAnsi="Calibri" w:cs="Calibri"/>
          <w:color w:val="000000" w:themeColor="text1"/>
          <w:sz w:val="22"/>
          <w:szCs w:val="22"/>
        </w:rPr>
        <w:t>he UN Principles on Effective Investigation and Documentation of Torture and Other Cruel, Inhuman or Degrading Treatment or Punishment state that “</w:t>
      </w:r>
      <w:r w:rsidR="00024904" w:rsidRPr="00D95057">
        <w:rPr>
          <w:rFonts w:ascii="Calibri" w:eastAsia="Calibri" w:hAnsi="Calibri" w:cs="Calibri"/>
          <w:i/>
          <w:iCs/>
          <w:color w:val="000000" w:themeColor="text1"/>
          <w:sz w:val="22"/>
          <w:szCs w:val="22"/>
        </w:rPr>
        <w:t>[a]</w:t>
      </w:r>
      <w:proofErr w:type="spellStart"/>
      <w:r w:rsidR="00024904" w:rsidRPr="00D95057">
        <w:rPr>
          <w:rFonts w:ascii="Calibri" w:eastAsia="Calibri" w:hAnsi="Calibri" w:cs="Calibri"/>
          <w:i/>
          <w:iCs/>
          <w:color w:val="000000" w:themeColor="text1"/>
          <w:sz w:val="22"/>
          <w:szCs w:val="22"/>
        </w:rPr>
        <w:t>lleged</w:t>
      </w:r>
      <w:proofErr w:type="spellEnd"/>
      <w:r w:rsidR="00024904" w:rsidRPr="00D95057">
        <w:rPr>
          <w:rFonts w:ascii="Calibri" w:eastAsia="Calibri" w:hAnsi="Calibri" w:cs="Calibri"/>
          <w:i/>
          <w:iCs/>
          <w:color w:val="000000" w:themeColor="text1"/>
          <w:sz w:val="22"/>
          <w:szCs w:val="22"/>
        </w:rPr>
        <w:t xml:space="preserve"> victims of torture or ill-treatment and their legal representatives shall be informed of, and have access to…all information relevant to the investigation, and shall be entitled to present other evidence</w:t>
      </w:r>
      <w:r w:rsidR="00024904" w:rsidRPr="00024904">
        <w:rPr>
          <w:rFonts w:ascii="Calibri" w:eastAsia="Calibri" w:hAnsi="Calibri" w:cs="Calibri"/>
          <w:color w:val="000000" w:themeColor="text1"/>
          <w:sz w:val="22"/>
          <w:szCs w:val="22"/>
        </w:rPr>
        <w:t>.”</w:t>
      </w:r>
      <w:r w:rsidR="001F54E4">
        <w:rPr>
          <w:rStyle w:val="FootnoteReference"/>
          <w:rFonts w:ascii="Calibri" w:eastAsia="Calibri" w:hAnsi="Calibri" w:cs="Calibri"/>
          <w:color w:val="000000" w:themeColor="text1"/>
          <w:sz w:val="22"/>
          <w:szCs w:val="22"/>
        </w:rPr>
        <w:footnoteReference w:id="21"/>
      </w:r>
      <w:r w:rsidR="00024904" w:rsidRPr="00024904">
        <w:rPr>
          <w:rFonts w:ascii="Calibri" w:eastAsia="Calibri" w:hAnsi="Calibri" w:cs="Calibri"/>
          <w:color w:val="000000" w:themeColor="text1"/>
          <w:sz w:val="22"/>
          <w:szCs w:val="22"/>
        </w:rPr>
        <w:t xml:space="preserve">    </w:t>
      </w:r>
    </w:p>
    <w:p w14:paraId="0ED8042A" w14:textId="7622EDA3" w:rsidR="7FC661B2" w:rsidRDefault="7FC661B2" w:rsidP="00E042A9">
      <w:pPr>
        <w:spacing w:after="0"/>
        <w:jc w:val="both"/>
        <w:rPr>
          <w:rFonts w:ascii="Calibri" w:eastAsia="Calibri" w:hAnsi="Calibri" w:cs="Calibri"/>
          <w:color w:val="000000" w:themeColor="text1"/>
          <w:sz w:val="22"/>
          <w:szCs w:val="22"/>
        </w:rPr>
      </w:pPr>
    </w:p>
    <w:p w14:paraId="53855CE6" w14:textId="39C936CD" w:rsidR="12AF21E7" w:rsidRDefault="12AF21E7" w:rsidP="00E042A9">
      <w:pPr>
        <w:pStyle w:val="ListParagraph"/>
        <w:numPr>
          <w:ilvl w:val="0"/>
          <w:numId w:val="1"/>
        </w:numPr>
        <w:spacing w:after="0"/>
        <w:jc w:val="both"/>
        <w:rPr>
          <w:rFonts w:ascii="Calibri" w:eastAsia="Calibri" w:hAnsi="Calibri" w:cs="Calibri"/>
          <w:color w:val="000000" w:themeColor="text1"/>
          <w:sz w:val="22"/>
          <w:szCs w:val="22"/>
        </w:rPr>
      </w:pPr>
      <w:r w:rsidRPr="0C95F74E">
        <w:rPr>
          <w:rFonts w:ascii="Calibri" w:eastAsia="Calibri" w:hAnsi="Calibri" w:cs="Calibri"/>
          <w:color w:val="000000" w:themeColor="text1"/>
          <w:sz w:val="22"/>
          <w:szCs w:val="22"/>
        </w:rPr>
        <w:t xml:space="preserve">Finally, Mr. </w:t>
      </w:r>
      <w:r w:rsidR="77C3CBC5" w:rsidRPr="0C95F74E">
        <w:rPr>
          <w:rFonts w:ascii="Calibri" w:eastAsia="Calibri" w:hAnsi="Calibri" w:cs="Calibri"/>
          <w:color w:val="000000" w:themeColor="text1"/>
          <w:sz w:val="22"/>
          <w:szCs w:val="22"/>
        </w:rPr>
        <w:t>a</w:t>
      </w:r>
      <w:r w:rsidRPr="0C95F74E">
        <w:rPr>
          <w:rFonts w:ascii="Calibri" w:eastAsia="Calibri" w:hAnsi="Calibri" w:cs="Calibri"/>
          <w:color w:val="000000" w:themeColor="text1"/>
          <w:sz w:val="22"/>
          <w:szCs w:val="22"/>
        </w:rPr>
        <w:t>l-Hawsawi remains in detention in Guantanamo Bay where he is denied the right to a fair trial, fac</w:t>
      </w:r>
      <w:r w:rsidR="003F5777">
        <w:rPr>
          <w:rFonts w:ascii="Calibri" w:eastAsia="Calibri" w:hAnsi="Calibri" w:cs="Calibri"/>
          <w:color w:val="000000" w:themeColor="text1"/>
          <w:sz w:val="22"/>
          <w:szCs w:val="22"/>
        </w:rPr>
        <w:t>es</w:t>
      </w:r>
      <w:r w:rsidRPr="0C95F74E">
        <w:rPr>
          <w:rFonts w:ascii="Calibri" w:eastAsia="Calibri" w:hAnsi="Calibri" w:cs="Calibri"/>
          <w:color w:val="000000" w:themeColor="text1"/>
          <w:sz w:val="22"/>
          <w:szCs w:val="22"/>
        </w:rPr>
        <w:t xml:space="preserve"> the death penalty, and does not have access to adequate medical care to treat the injuries he sustain</w:t>
      </w:r>
      <w:r w:rsidR="00637915">
        <w:rPr>
          <w:rFonts w:ascii="Calibri" w:eastAsia="Calibri" w:hAnsi="Calibri" w:cs="Calibri"/>
          <w:color w:val="000000" w:themeColor="text1"/>
          <w:sz w:val="22"/>
          <w:szCs w:val="22"/>
        </w:rPr>
        <w:t>s</w:t>
      </w:r>
      <w:r w:rsidRPr="0C95F74E">
        <w:rPr>
          <w:rFonts w:ascii="Calibri" w:eastAsia="Calibri" w:hAnsi="Calibri" w:cs="Calibri"/>
          <w:color w:val="000000" w:themeColor="text1"/>
          <w:sz w:val="22"/>
          <w:szCs w:val="22"/>
        </w:rPr>
        <w:t xml:space="preserve"> </w:t>
      </w:r>
      <w:proofErr w:type="gramStart"/>
      <w:r w:rsidR="0AE01DAD" w:rsidRPr="0C95F74E">
        <w:rPr>
          <w:rFonts w:ascii="Calibri" w:eastAsia="Calibri" w:hAnsi="Calibri" w:cs="Calibri"/>
          <w:color w:val="000000" w:themeColor="text1"/>
          <w:sz w:val="22"/>
          <w:szCs w:val="22"/>
        </w:rPr>
        <w:t>as a result of</w:t>
      </w:r>
      <w:proofErr w:type="gramEnd"/>
      <w:r w:rsidR="0AE01DAD" w:rsidRPr="0C95F74E">
        <w:rPr>
          <w:rFonts w:ascii="Calibri" w:eastAsia="Calibri" w:hAnsi="Calibri" w:cs="Calibri"/>
          <w:color w:val="000000" w:themeColor="text1"/>
          <w:sz w:val="22"/>
          <w:szCs w:val="22"/>
        </w:rPr>
        <w:t xml:space="preserve"> the treatment he was subjected to. </w:t>
      </w:r>
      <w:r w:rsidR="000B111A">
        <w:rPr>
          <w:rFonts w:ascii="Calibri" w:eastAsia="Calibri" w:hAnsi="Calibri" w:cs="Calibri"/>
          <w:color w:val="000000" w:themeColor="text1"/>
          <w:sz w:val="22"/>
          <w:szCs w:val="22"/>
        </w:rPr>
        <w:t>Mr. al-</w:t>
      </w:r>
      <w:r w:rsidR="00C104E6">
        <w:rPr>
          <w:rFonts w:ascii="Calibri" w:eastAsia="Calibri" w:hAnsi="Calibri" w:cs="Calibri"/>
          <w:color w:val="000000" w:themeColor="text1"/>
          <w:sz w:val="22"/>
          <w:szCs w:val="22"/>
        </w:rPr>
        <w:t xml:space="preserve">Hawsawi </w:t>
      </w:r>
      <w:r w:rsidR="00285A98">
        <w:rPr>
          <w:rFonts w:ascii="Calibri" w:eastAsia="Calibri" w:hAnsi="Calibri" w:cs="Calibri"/>
          <w:color w:val="000000" w:themeColor="text1"/>
          <w:sz w:val="22"/>
          <w:szCs w:val="22"/>
        </w:rPr>
        <w:t xml:space="preserve">has been in pre-trial detention </w:t>
      </w:r>
      <w:r w:rsidR="00872FCF">
        <w:rPr>
          <w:rFonts w:ascii="Calibri" w:eastAsia="Calibri" w:hAnsi="Calibri" w:cs="Calibri"/>
          <w:color w:val="000000" w:themeColor="text1"/>
          <w:sz w:val="22"/>
          <w:szCs w:val="22"/>
        </w:rPr>
        <w:t>at</w:t>
      </w:r>
      <w:r w:rsidR="00285A98">
        <w:rPr>
          <w:rFonts w:ascii="Calibri" w:eastAsia="Calibri" w:hAnsi="Calibri" w:cs="Calibri"/>
          <w:color w:val="000000" w:themeColor="text1"/>
          <w:sz w:val="22"/>
          <w:szCs w:val="22"/>
        </w:rPr>
        <w:t xml:space="preserve"> Guantanamo</w:t>
      </w:r>
      <w:r w:rsidR="00872FCF">
        <w:rPr>
          <w:rFonts w:ascii="Calibri" w:eastAsia="Calibri" w:hAnsi="Calibri" w:cs="Calibri"/>
          <w:color w:val="000000" w:themeColor="text1"/>
          <w:sz w:val="22"/>
          <w:szCs w:val="22"/>
        </w:rPr>
        <w:t xml:space="preserve"> Bay</w:t>
      </w:r>
      <w:r w:rsidR="00285A98">
        <w:rPr>
          <w:rFonts w:ascii="Calibri" w:eastAsia="Calibri" w:hAnsi="Calibri" w:cs="Calibri"/>
          <w:color w:val="000000" w:themeColor="text1"/>
          <w:sz w:val="22"/>
          <w:szCs w:val="22"/>
        </w:rPr>
        <w:t xml:space="preserve"> </w:t>
      </w:r>
      <w:r w:rsidR="00592110">
        <w:rPr>
          <w:rFonts w:ascii="Calibri" w:eastAsia="Calibri" w:hAnsi="Calibri" w:cs="Calibri"/>
          <w:color w:val="000000" w:themeColor="text1"/>
          <w:sz w:val="22"/>
          <w:szCs w:val="22"/>
        </w:rPr>
        <w:t xml:space="preserve">for over 12 years </w:t>
      </w:r>
      <w:r w:rsidR="00674914">
        <w:rPr>
          <w:rFonts w:ascii="Calibri" w:eastAsia="Calibri" w:hAnsi="Calibri" w:cs="Calibri"/>
          <w:color w:val="000000" w:themeColor="text1"/>
          <w:sz w:val="22"/>
          <w:szCs w:val="22"/>
        </w:rPr>
        <w:t>since being formally charged in 2012</w:t>
      </w:r>
      <w:r w:rsidR="0087605F">
        <w:rPr>
          <w:rFonts w:ascii="Calibri" w:eastAsia="Calibri" w:hAnsi="Calibri" w:cs="Calibri"/>
          <w:color w:val="000000" w:themeColor="text1"/>
          <w:sz w:val="22"/>
          <w:szCs w:val="22"/>
        </w:rPr>
        <w:t xml:space="preserve"> </w:t>
      </w:r>
      <w:r w:rsidR="00F35FA2">
        <w:rPr>
          <w:rFonts w:ascii="Calibri" w:eastAsia="Calibri" w:hAnsi="Calibri" w:cs="Calibri"/>
          <w:color w:val="000000" w:themeColor="text1"/>
          <w:sz w:val="22"/>
          <w:szCs w:val="22"/>
        </w:rPr>
        <w:t xml:space="preserve">(and </w:t>
      </w:r>
      <w:r w:rsidR="006A7AC5">
        <w:rPr>
          <w:rFonts w:ascii="Calibri" w:eastAsia="Calibri" w:hAnsi="Calibri" w:cs="Calibri"/>
          <w:color w:val="000000" w:themeColor="text1"/>
          <w:sz w:val="22"/>
          <w:szCs w:val="22"/>
        </w:rPr>
        <w:t xml:space="preserve">has been in detention for </w:t>
      </w:r>
      <w:r w:rsidR="00F35FA2">
        <w:rPr>
          <w:rFonts w:ascii="Calibri" w:eastAsia="Calibri" w:hAnsi="Calibri" w:cs="Calibri"/>
          <w:color w:val="000000" w:themeColor="text1"/>
          <w:sz w:val="22"/>
          <w:szCs w:val="22"/>
        </w:rPr>
        <w:t xml:space="preserve">over 21 years since his initial </w:t>
      </w:r>
      <w:r w:rsidR="006A7AC5">
        <w:rPr>
          <w:rFonts w:ascii="Calibri" w:eastAsia="Calibri" w:hAnsi="Calibri" w:cs="Calibri"/>
          <w:color w:val="000000" w:themeColor="text1"/>
          <w:sz w:val="22"/>
          <w:szCs w:val="22"/>
        </w:rPr>
        <w:t>capture</w:t>
      </w:r>
      <w:r w:rsidR="00F35FA2">
        <w:rPr>
          <w:rFonts w:ascii="Calibri" w:eastAsia="Calibri" w:hAnsi="Calibri" w:cs="Calibri"/>
          <w:color w:val="000000" w:themeColor="text1"/>
          <w:sz w:val="22"/>
          <w:szCs w:val="22"/>
        </w:rPr>
        <w:t xml:space="preserve"> by US forces)</w:t>
      </w:r>
      <w:r w:rsidR="0087605F">
        <w:rPr>
          <w:rFonts w:ascii="Calibri" w:eastAsia="Calibri" w:hAnsi="Calibri" w:cs="Calibri"/>
          <w:color w:val="000000" w:themeColor="text1"/>
          <w:sz w:val="22"/>
          <w:szCs w:val="22"/>
        </w:rPr>
        <w:t xml:space="preserve"> a situation that </w:t>
      </w:r>
      <w:r w:rsidR="00632CC0">
        <w:rPr>
          <w:rFonts w:ascii="Calibri" w:eastAsia="Calibri" w:hAnsi="Calibri" w:cs="Calibri"/>
          <w:color w:val="000000" w:themeColor="text1"/>
          <w:sz w:val="22"/>
          <w:szCs w:val="22"/>
        </w:rPr>
        <w:t xml:space="preserve">contravenes the most fundamental norms of due process and </w:t>
      </w:r>
      <w:r w:rsidR="00447D78">
        <w:rPr>
          <w:rFonts w:ascii="Calibri" w:eastAsia="Calibri" w:hAnsi="Calibri" w:cs="Calibri"/>
          <w:color w:val="000000" w:themeColor="text1"/>
          <w:sz w:val="22"/>
          <w:szCs w:val="22"/>
        </w:rPr>
        <w:t>human dignity.</w:t>
      </w:r>
      <w:r w:rsidR="00285A98">
        <w:rPr>
          <w:rFonts w:ascii="Calibri" w:eastAsia="Calibri" w:hAnsi="Calibri" w:cs="Calibri"/>
          <w:color w:val="000000" w:themeColor="text1"/>
          <w:sz w:val="22"/>
          <w:szCs w:val="22"/>
        </w:rPr>
        <w:t xml:space="preserve"> </w:t>
      </w:r>
      <w:r w:rsidR="0AE01DAD" w:rsidRPr="0C95F74E">
        <w:rPr>
          <w:rFonts w:ascii="Calibri" w:eastAsia="Calibri" w:hAnsi="Calibri" w:cs="Calibri"/>
          <w:color w:val="000000" w:themeColor="text1"/>
          <w:sz w:val="22"/>
          <w:szCs w:val="22"/>
        </w:rPr>
        <w:t>Despite these ongoing violations, the Lithuanian Government has taken no actions to ensure the provision of redress and rehabilitation (</w:t>
      </w:r>
      <w:r w:rsidR="0016172E">
        <w:rPr>
          <w:rFonts w:ascii="Calibri" w:eastAsia="Calibri" w:hAnsi="Calibri" w:cs="Calibri"/>
          <w:color w:val="000000" w:themeColor="text1"/>
          <w:sz w:val="22"/>
          <w:szCs w:val="22"/>
        </w:rPr>
        <w:t xml:space="preserve">UNCAT, </w:t>
      </w:r>
      <w:r w:rsidR="0AE01DAD" w:rsidRPr="0C95F74E">
        <w:rPr>
          <w:rFonts w:ascii="Calibri" w:eastAsia="Calibri" w:hAnsi="Calibri" w:cs="Calibri"/>
          <w:color w:val="000000" w:themeColor="text1"/>
          <w:sz w:val="22"/>
          <w:szCs w:val="22"/>
        </w:rPr>
        <w:t xml:space="preserve">Article 14) or </w:t>
      </w:r>
      <w:r w:rsidR="004D6AF3">
        <w:rPr>
          <w:rFonts w:ascii="Calibri" w:eastAsia="Calibri" w:hAnsi="Calibri" w:cs="Calibri"/>
          <w:color w:val="000000" w:themeColor="text1"/>
          <w:sz w:val="22"/>
          <w:szCs w:val="22"/>
        </w:rPr>
        <w:t xml:space="preserve">(as far as we are aware) </w:t>
      </w:r>
      <w:r w:rsidR="0AE01DAD" w:rsidRPr="0C95F74E">
        <w:rPr>
          <w:rFonts w:ascii="Calibri" w:eastAsia="Calibri" w:hAnsi="Calibri" w:cs="Calibri"/>
          <w:color w:val="000000" w:themeColor="text1"/>
          <w:sz w:val="22"/>
          <w:szCs w:val="22"/>
        </w:rPr>
        <w:t xml:space="preserve">to seek assurances in relation to Mr. </w:t>
      </w:r>
      <w:r w:rsidR="2199D454" w:rsidRPr="0C95F74E">
        <w:rPr>
          <w:rFonts w:ascii="Calibri" w:eastAsia="Calibri" w:hAnsi="Calibri" w:cs="Calibri"/>
          <w:color w:val="000000" w:themeColor="text1"/>
          <w:sz w:val="22"/>
          <w:szCs w:val="22"/>
        </w:rPr>
        <w:t>a</w:t>
      </w:r>
      <w:r w:rsidR="0AE01DAD" w:rsidRPr="0C95F74E">
        <w:rPr>
          <w:rFonts w:ascii="Calibri" w:eastAsia="Calibri" w:hAnsi="Calibri" w:cs="Calibri"/>
          <w:color w:val="000000" w:themeColor="text1"/>
          <w:sz w:val="22"/>
          <w:szCs w:val="22"/>
        </w:rPr>
        <w:t>l-</w:t>
      </w:r>
      <w:proofErr w:type="spellStart"/>
      <w:r w:rsidR="0AE01DAD" w:rsidRPr="0C95F74E">
        <w:rPr>
          <w:rFonts w:ascii="Calibri" w:eastAsia="Calibri" w:hAnsi="Calibri" w:cs="Calibri"/>
          <w:color w:val="000000" w:themeColor="text1"/>
          <w:sz w:val="22"/>
          <w:szCs w:val="22"/>
        </w:rPr>
        <w:t>Hawsawi's</w:t>
      </w:r>
      <w:proofErr w:type="spellEnd"/>
      <w:r w:rsidR="0AE01DAD" w:rsidRPr="0C95F74E">
        <w:rPr>
          <w:rFonts w:ascii="Calibri" w:eastAsia="Calibri" w:hAnsi="Calibri" w:cs="Calibri"/>
          <w:color w:val="000000" w:themeColor="text1"/>
          <w:sz w:val="22"/>
          <w:szCs w:val="22"/>
        </w:rPr>
        <w:t xml:space="preserve"> treatment </w:t>
      </w:r>
      <w:r w:rsidR="47C3E37D" w:rsidRPr="0C95F74E">
        <w:rPr>
          <w:rFonts w:ascii="Calibri" w:eastAsia="Calibri" w:hAnsi="Calibri" w:cs="Calibri"/>
          <w:color w:val="000000" w:themeColor="text1"/>
          <w:sz w:val="22"/>
          <w:szCs w:val="22"/>
        </w:rPr>
        <w:t>(</w:t>
      </w:r>
      <w:r w:rsidR="00CC549A">
        <w:rPr>
          <w:rFonts w:ascii="Calibri" w:eastAsia="Calibri" w:hAnsi="Calibri" w:cs="Calibri"/>
          <w:color w:val="000000" w:themeColor="text1"/>
          <w:sz w:val="22"/>
          <w:szCs w:val="22"/>
        </w:rPr>
        <w:t xml:space="preserve">UNCAT, </w:t>
      </w:r>
      <w:r w:rsidR="47C3E37D" w:rsidRPr="0C95F74E">
        <w:rPr>
          <w:rFonts w:ascii="Calibri" w:eastAsia="Calibri" w:hAnsi="Calibri" w:cs="Calibri"/>
          <w:color w:val="000000" w:themeColor="text1"/>
          <w:sz w:val="22"/>
          <w:szCs w:val="22"/>
        </w:rPr>
        <w:t xml:space="preserve">Article 3). </w:t>
      </w:r>
    </w:p>
    <w:p w14:paraId="7764DAB1" w14:textId="594B1321" w:rsidR="7FC661B2" w:rsidRDefault="7FC661B2" w:rsidP="00E042A9">
      <w:pPr>
        <w:spacing w:after="0"/>
        <w:jc w:val="both"/>
        <w:rPr>
          <w:rFonts w:ascii="Calibri" w:eastAsia="Calibri" w:hAnsi="Calibri" w:cs="Calibri"/>
          <w:sz w:val="22"/>
          <w:szCs w:val="22"/>
        </w:rPr>
      </w:pPr>
    </w:p>
    <w:p w14:paraId="5DDEA26D" w14:textId="45DF1E39" w:rsidR="0D83AF24" w:rsidRDefault="0D83AF24" w:rsidP="00E042A9">
      <w:pPr>
        <w:pStyle w:val="ListParagraph"/>
        <w:numPr>
          <w:ilvl w:val="0"/>
          <w:numId w:val="1"/>
        </w:numPr>
        <w:spacing w:after="0"/>
        <w:jc w:val="both"/>
        <w:rPr>
          <w:rFonts w:ascii="Calibri" w:eastAsia="Calibri" w:hAnsi="Calibri" w:cs="Calibri"/>
          <w:sz w:val="22"/>
          <w:szCs w:val="22"/>
        </w:rPr>
      </w:pPr>
      <w:r w:rsidRPr="7695AF84">
        <w:rPr>
          <w:rFonts w:ascii="Calibri" w:eastAsia="Calibri" w:hAnsi="Calibri" w:cs="Calibri"/>
          <w:sz w:val="22"/>
          <w:szCs w:val="22"/>
        </w:rPr>
        <w:t xml:space="preserve">Recalling its recommendations </w:t>
      </w:r>
      <w:r w:rsidR="006C3C90">
        <w:rPr>
          <w:rFonts w:ascii="Calibri" w:eastAsia="Calibri" w:hAnsi="Calibri" w:cs="Calibri"/>
          <w:sz w:val="22"/>
          <w:szCs w:val="22"/>
        </w:rPr>
        <w:t>in</w:t>
      </w:r>
      <w:r w:rsidRPr="7695AF84">
        <w:rPr>
          <w:rFonts w:ascii="Calibri" w:eastAsia="Calibri" w:hAnsi="Calibri" w:cs="Calibri"/>
          <w:sz w:val="22"/>
          <w:szCs w:val="22"/>
        </w:rPr>
        <w:t xml:space="preserve"> its 2021 Concluding Observations on the fourth periodic report of Lithuania</w:t>
      </w:r>
      <w:r w:rsidR="006C3C90">
        <w:rPr>
          <w:rFonts w:ascii="Calibri" w:eastAsia="Calibri" w:hAnsi="Calibri" w:cs="Calibri"/>
          <w:sz w:val="22"/>
          <w:szCs w:val="22"/>
        </w:rPr>
        <w:t xml:space="preserve"> (para. 20)</w:t>
      </w:r>
      <w:r w:rsidRPr="7695AF84">
        <w:rPr>
          <w:rFonts w:ascii="Calibri" w:eastAsia="Calibri" w:hAnsi="Calibri" w:cs="Calibri"/>
          <w:sz w:val="22"/>
          <w:szCs w:val="22"/>
        </w:rPr>
        <w:t xml:space="preserve">, we urge the Committee in </w:t>
      </w:r>
      <w:r w:rsidR="6FADC532" w:rsidRPr="7695AF84">
        <w:rPr>
          <w:rFonts w:ascii="Calibri" w:eastAsia="Calibri" w:hAnsi="Calibri" w:cs="Calibri"/>
          <w:sz w:val="22"/>
          <w:szCs w:val="22"/>
        </w:rPr>
        <w:t>its</w:t>
      </w:r>
      <w:r w:rsidRPr="7695AF84">
        <w:rPr>
          <w:rFonts w:ascii="Calibri" w:eastAsia="Calibri" w:hAnsi="Calibri" w:cs="Calibri"/>
          <w:sz w:val="22"/>
          <w:szCs w:val="22"/>
        </w:rPr>
        <w:t xml:space="preserve"> LOIPR to request the State to provide information regarding the measures it has taken to investigate the operation of the CIA’s Rendition, Detention and Interrogation </w:t>
      </w:r>
      <w:proofErr w:type="spellStart"/>
      <w:r w:rsidRPr="7695AF84">
        <w:rPr>
          <w:rFonts w:ascii="Calibri" w:eastAsia="Calibri" w:hAnsi="Calibri" w:cs="Calibri"/>
          <w:sz w:val="22"/>
          <w:szCs w:val="22"/>
        </w:rPr>
        <w:t>Programme</w:t>
      </w:r>
      <w:proofErr w:type="spellEnd"/>
      <w:r w:rsidRPr="7695AF84">
        <w:rPr>
          <w:rFonts w:ascii="Calibri" w:eastAsia="Calibri" w:hAnsi="Calibri" w:cs="Calibri"/>
          <w:sz w:val="22"/>
          <w:szCs w:val="22"/>
        </w:rPr>
        <w:t xml:space="preserve"> in Lithuania, to prosecute perpetrators of alleged torture and other ill-treatment</w:t>
      </w:r>
      <w:r w:rsidR="264708E2" w:rsidRPr="7695AF84">
        <w:rPr>
          <w:rFonts w:ascii="Calibri" w:eastAsia="Calibri" w:hAnsi="Calibri" w:cs="Calibri"/>
          <w:sz w:val="22"/>
          <w:szCs w:val="22"/>
        </w:rPr>
        <w:t>,</w:t>
      </w:r>
      <w:r w:rsidRPr="7695AF84">
        <w:rPr>
          <w:rFonts w:ascii="Calibri" w:eastAsia="Calibri" w:hAnsi="Calibri" w:cs="Calibri"/>
          <w:sz w:val="22"/>
          <w:szCs w:val="22"/>
        </w:rPr>
        <w:t xml:space="preserve"> and to prevent future violations. </w:t>
      </w:r>
      <w:r w:rsidR="008A0BB2">
        <w:rPr>
          <w:rFonts w:ascii="Calibri" w:eastAsia="Calibri" w:hAnsi="Calibri" w:cs="Calibri"/>
          <w:sz w:val="22"/>
          <w:szCs w:val="22"/>
        </w:rPr>
        <w:t>Given the lack of prior compliance</w:t>
      </w:r>
      <w:r w:rsidR="2064A4A0" w:rsidRPr="7695AF84">
        <w:rPr>
          <w:rFonts w:ascii="Calibri" w:eastAsia="Calibri" w:hAnsi="Calibri" w:cs="Calibri"/>
          <w:sz w:val="22"/>
          <w:szCs w:val="22"/>
        </w:rPr>
        <w:t>,</w:t>
      </w:r>
      <w:r w:rsidRPr="7695AF84">
        <w:rPr>
          <w:rFonts w:ascii="Calibri" w:eastAsia="Calibri" w:hAnsi="Calibri" w:cs="Calibri"/>
          <w:sz w:val="22"/>
          <w:szCs w:val="22"/>
        </w:rPr>
        <w:t xml:space="preserve"> we urge the Committee to ask the State party to provide detailed information regarding:</w:t>
      </w:r>
    </w:p>
    <w:p w14:paraId="247C2A06" w14:textId="26200116" w:rsidR="0D83AF24" w:rsidRDefault="0D83AF24" w:rsidP="00E042A9">
      <w:pPr>
        <w:pStyle w:val="ListParagraph"/>
        <w:numPr>
          <w:ilvl w:val="1"/>
          <w:numId w:val="1"/>
        </w:numPr>
        <w:spacing w:after="0"/>
        <w:jc w:val="both"/>
        <w:rPr>
          <w:rFonts w:ascii="Calibri" w:eastAsia="Calibri" w:hAnsi="Calibri" w:cs="Calibri"/>
          <w:color w:val="000000" w:themeColor="text1"/>
          <w:sz w:val="22"/>
          <w:szCs w:val="22"/>
        </w:rPr>
      </w:pPr>
      <w:r w:rsidRPr="7695AF84">
        <w:rPr>
          <w:rFonts w:ascii="Calibri" w:eastAsia="Calibri" w:hAnsi="Calibri" w:cs="Calibri"/>
          <w:color w:val="000000" w:themeColor="text1"/>
          <w:sz w:val="22"/>
          <w:szCs w:val="22"/>
        </w:rPr>
        <w:lastRenderedPageBreak/>
        <w:t>The s</w:t>
      </w:r>
      <w:r w:rsidR="77D9FC27" w:rsidRPr="7695AF84">
        <w:rPr>
          <w:rFonts w:ascii="Calibri" w:eastAsia="Calibri" w:hAnsi="Calibri" w:cs="Calibri"/>
          <w:color w:val="000000" w:themeColor="text1"/>
          <w:sz w:val="22"/>
          <w:szCs w:val="22"/>
        </w:rPr>
        <w:t>tatus</w:t>
      </w:r>
      <w:r w:rsidRPr="7695AF84">
        <w:rPr>
          <w:rFonts w:ascii="Calibri" w:eastAsia="Calibri" w:hAnsi="Calibri" w:cs="Calibri"/>
          <w:color w:val="000000" w:themeColor="text1"/>
          <w:sz w:val="22"/>
          <w:szCs w:val="22"/>
        </w:rPr>
        <w:t xml:space="preserve"> of the ongoing investigation regarding </w:t>
      </w:r>
      <w:r w:rsidR="004F5C15">
        <w:rPr>
          <w:rFonts w:ascii="Calibri" w:eastAsia="Calibri" w:hAnsi="Calibri" w:cs="Calibri"/>
          <w:color w:val="000000" w:themeColor="text1"/>
          <w:sz w:val="22"/>
          <w:szCs w:val="22"/>
        </w:rPr>
        <w:t>Mr</w:t>
      </w:r>
      <w:r w:rsidR="00556B93">
        <w:rPr>
          <w:rFonts w:ascii="Calibri" w:eastAsia="Calibri" w:hAnsi="Calibri" w:cs="Calibri"/>
          <w:color w:val="000000" w:themeColor="text1"/>
          <w:sz w:val="22"/>
          <w:szCs w:val="22"/>
        </w:rPr>
        <w:t xml:space="preserve">. Zubaydah and </w:t>
      </w:r>
      <w:r w:rsidRPr="7695AF84">
        <w:rPr>
          <w:rFonts w:ascii="Calibri" w:eastAsia="Calibri" w:hAnsi="Calibri" w:cs="Calibri"/>
          <w:color w:val="000000" w:themeColor="text1"/>
          <w:sz w:val="22"/>
          <w:szCs w:val="22"/>
        </w:rPr>
        <w:t xml:space="preserve">Mr. al-Hawsawi and actions that have been taken to carry out an impartial and effective investigation regarding the alleged violations of </w:t>
      </w:r>
      <w:r w:rsidR="00556B93">
        <w:rPr>
          <w:rFonts w:ascii="Calibri" w:eastAsia="Calibri" w:hAnsi="Calibri" w:cs="Calibri"/>
          <w:color w:val="000000" w:themeColor="text1"/>
          <w:sz w:val="22"/>
          <w:szCs w:val="22"/>
        </w:rPr>
        <w:t>their</w:t>
      </w:r>
      <w:r w:rsidRPr="7695AF84">
        <w:rPr>
          <w:rFonts w:ascii="Calibri" w:eastAsia="Calibri" w:hAnsi="Calibri" w:cs="Calibri"/>
          <w:color w:val="000000" w:themeColor="text1"/>
          <w:sz w:val="22"/>
          <w:szCs w:val="22"/>
        </w:rPr>
        <w:t xml:space="preserve"> rights in Lithuania</w:t>
      </w:r>
      <w:r w:rsidR="00AA7F62">
        <w:rPr>
          <w:rFonts w:ascii="Calibri" w:eastAsia="Calibri" w:hAnsi="Calibri" w:cs="Calibri"/>
          <w:color w:val="000000" w:themeColor="text1"/>
          <w:sz w:val="22"/>
          <w:szCs w:val="22"/>
        </w:rPr>
        <w:t xml:space="preserve"> by Lithuanian State </w:t>
      </w:r>
      <w:proofErr w:type="gramStart"/>
      <w:r w:rsidR="00AA7F62">
        <w:rPr>
          <w:rFonts w:ascii="Calibri" w:eastAsia="Calibri" w:hAnsi="Calibri" w:cs="Calibri"/>
          <w:color w:val="000000" w:themeColor="text1"/>
          <w:sz w:val="22"/>
          <w:szCs w:val="22"/>
        </w:rPr>
        <w:t>officials</w:t>
      </w:r>
      <w:r w:rsidRPr="7695AF84">
        <w:rPr>
          <w:rFonts w:ascii="Calibri" w:eastAsia="Calibri" w:hAnsi="Calibri" w:cs="Calibri"/>
          <w:color w:val="000000" w:themeColor="text1"/>
          <w:sz w:val="22"/>
          <w:szCs w:val="22"/>
        </w:rPr>
        <w:t>;</w:t>
      </w:r>
      <w:proofErr w:type="gramEnd"/>
    </w:p>
    <w:p w14:paraId="01D45158" w14:textId="2CAF9B78" w:rsidR="3F0F35AD" w:rsidRDefault="3F0F35AD" w:rsidP="00E042A9">
      <w:pPr>
        <w:pStyle w:val="ListParagraph"/>
        <w:numPr>
          <w:ilvl w:val="1"/>
          <w:numId w:val="1"/>
        </w:numPr>
        <w:spacing w:before="240" w:after="240"/>
        <w:jc w:val="both"/>
        <w:rPr>
          <w:rFonts w:ascii="Calibri" w:eastAsia="Calibri" w:hAnsi="Calibri" w:cs="Calibri"/>
          <w:color w:val="000000" w:themeColor="text1"/>
          <w:sz w:val="22"/>
          <w:szCs w:val="22"/>
        </w:rPr>
      </w:pPr>
      <w:r w:rsidRPr="0C95F74E">
        <w:rPr>
          <w:rFonts w:ascii="Calibri" w:eastAsia="Calibri" w:hAnsi="Calibri" w:cs="Calibri"/>
          <w:color w:val="000000" w:themeColor="text1"/>
          <w:sz w:val="22"/>
          <w:szCs w:val="22"/>
        </w:rPr>
        <w:t>A</w:t>
      </w:r>
      <w:r w:rsidR="0D83AF24" w:rsidRPr="0C95F74E">
        <w:rPr>
          <w:rFonts w:ascii="Calibri" w:eastAsia="Calibri" w:hAnsi="Calibri" w:cs="Calibri"/>
          <w:color w:val="000000" w:themeColor="text1"/>
          <w:sz w:val="22"/>
          <w:szCs w:val="22"/>
        </w:rPr>
        <w:t xml:space="preserve">ctions taken to carry out an impartial and effective investigation in relation to the operation of the CIA’s Rendition, Detention and Interrogation </w:t>
      </w:r>
      <w:proofErr w:type="spellStart"/>
      <w:r w:rsidR="0D83AF24" w:rsidRPr="0C95F74E">
        <w:rPr>
          <w:rFonts w:ascii="Calibri" w:eastAsia="Calibri" w:hAnsi="Calibri" w:cs="Calibri"/>
          <w:color w:val="000000" w:themeColor="text1"/>
          <w:sz w:val="22"/>
          <w:szCs w:val="22"/>
        </w:rPr>
        <w:t>Programme</w:t>
      </w:r>
      <w:proofErr w:type="spellEnd"/>
      <w:r w:rsidR="0D83AF24" w:rsidRPr="0C95F74E">
        <w:rPr>
          <w:rFonts w:ascii="Calibri" w:eastAsia="Calibri" w:hAnsi="Calibri" w:cs="Calibri"/>
          <w:color w:val="000000" w:themeColor="text1"/>
          <w:sz w:val="22"/>
          <w:szCs w:val="22"/>
        </w:rPr>
        <w:t xml:space="preserve"> in </w:t>
      </w:r>
      <w:proofErr w:type="gramStart"/>
      <w:r w:rsidR="0D83AF24" w:rsidRPr="0C95F74E">
        <w:rPr>
          <w:rFonts w:ascii="Calibri" w:eastAsia="Calibri" w:hAnsi="Calibri" w:cs="Calibri"/>
          <w:color w:val="000000" w:themeColor="text1"/>
          <w:sz w:val="22"/>
          <w:szCs w:val="22"/>
        </w:rPr>
        <w:t>Lithuania;</w:t>
      </w:r>
      <w:proofErr w:type="gramEnd"/>
    </w:p>
    <w:p w14:paraId="5D9FD643" w14:textId="7F24F7DB" w:rsidR="0D83AF24" w:rsidRDefault="0D83AF24" w:rsidP="00E042A9">
      <w:pPr>
        <w:pStyle w:val="ListParagraph"/>
        <w:numPr>
          <w:ilvl w:val="1"/>
          <w:numId w:val="1"/>
        </w:numPr>
        <w:spacing w:before="240" w:after="240"/>
        <w:jc w:val="both"/>
        <w:rPr>
          <w:rFonts w:ascii="Calibri" w:eastAsia="Calibri" w:hAnsi="Calibri" w:cs="Calibri"/>
          <w:color w:val="000000" w:themeColor="text1"/>
          <w:sz w:val="22"/>
          <w:szCs w:val="22"/>
        </w:rPr>
      </w:pPr>
      <w:r w:rsidRPr="7FC661B2">
        <w:rPr>
          <w:rFonts w:ascii="Calibri" w:eastAsia="Calibri" w:hAnsi="Calibri" w:cs="Calibri"/>
          <w:color w:val="000000" w:themeColor="text1"/>
          <w:sz w:val="22"/>
          <w:szCs w:val="22"/>
        </w:rPr>
        <w:t xml:space="preserve">The provision of information to the public and the actions taken to ensure that the investigation process is </w:t>
      </w:r>
      <w:proofErr w:type="gramStart"/>
      <w:r w:rsidRPr="7FC661B2">
        <w:rPr>
          <w:rFonts w:ascii="Calibri" w:eastAsia="Calibri" w:hAnsi="Calibri" w:cs="Calibri"/>
          <w:color w:val="000000" w:themeColor="text1"/>
          <w:sz w:val="22"/>
          <w:szCs w:val="22"/>
        </w:rPr>
        <w:t>transparent;</w:t>
      </w:r>
      <w:proofErr w:type="gramEnd"/>
    </w:p>
    <w:p w14:paraId="7F0A77BD" w14:textId="729879E2" w:rsidR="0D83AF24" w:rsidRDefault="0D83AF24" w:rsidP="00E042A9">
      <w:pPr>
        <w:pStyle w:val="ListParagraph"/>
        <w:numPr>
          <w:ilvl w:val="1"/>
          <w:numId w:val="1"/>
        </w:numPr>
        <w:spacing w:before="240" w:after="240"/>
        <w:jc w:val="both"/>
        <w:rPr>
          <w:rFonts w:ascii="Calibri" w:eastAsia="Calibri" w:hAnsi="Calibri" w:cs="Calibri"/>
          <w:color w:val="000000" w:themeColor="text1"/>
          <w:sz w:val="22"/>
          <w:szCs w:val="22"/>
        </w:rPr>
      </w:pPr>
      <w:r w:rsidRPr="0C95F74E">
        <w:rPr>
          <w:rFonts w:ascii="Calibri" w:eastAsia="Calibri" w:hAnsi="Calibri" w:cs="Calibri"/>
          <w:color w:val="000000" w:themeColor="text1"/>
          <w:sz w:val="22"/>
          <w:szCs w:val="22"/>
        </w:rPr>
        <w:t xml:space="preserve">The participation of victims and/or their representatives in the investigation </w:t>
      </w:r>
      <w:proofErr w:type="gramStart"/>
      <w:r w:rsidRPr="0C95F74E">
        <w:rPr>
          <w:rFonts w:ascii="Calibri" w:eastAsia="Calibri" w:hAnsi="Calibri" w:cs="Calibri"/>
          <w:color w:val="000000" w:themeColor="text1"/>
          <w:sz w:val="22"/>
          <w:szCs w:val="22"/>
        </w:rPr>
        <w:t>process;</w:t>
      </w:r>
      <w:proofErr w:type="gramEnd"/>
    </w:p>
    <w:p w14:paraId="6AE23A0A" w14:textId="469E7C3B" w:rsidR="0E0E83CA" w:rsidRDefault="0E0E83CA" w:rsidP="00E042A9">
      <w:pPr>
        <w:pStyle w:val="ListParagraph"/>
        <w:numPr>
          <w:ilvl w:val="1"/>
          <w:numId w:val="1"/>
        </w:numPr>
        <w:spacing w:before="240" w:after="240"/>
        <w:jc w:val="both"/>
        <w:rPr>
          <w:rFonts w:ascii="Calibri" w:eastAsia="Calibri" w:hAnsi="Calibri" w:cs="Calibri"/>
          <w:color w:val="000000" w:themeColor="text1"/>
          <w:sz w:val="22"/>
          <w:szCs w:val="22"/>
        </w:rPr>
      </w:pPr>
      <w:r w:rsidRPr="0C95F74E">
        <w:rPr>
          <w:rFonts w:ascii="Calibri" w:eastAsia="Calibri" w:hAnsi="Calibri" w:cs="Calibri"/>
          <w:color w:val="000000" w:themeColor="text1"/>
          <w:sz w:val="22"/>
          <w:szCs w:val="22"/>
        </w:rPr>
        <w:t>Actions taken to seek assurances in relation to Mr. al-</w:t>
      </w:r>
      <w:proofErr w:type="spellStart"/>
      <w:r w:rsidRPr="0C95F74E">
        <w:rPr>
          <w:rFonts w:ascii="Calibri" w:eastAsia="Calibri" w:hAnsi="Calibri" w:cs="Calibri"/>
          <w:color w:val="000000" w:themeColor="text1"/>
          <w:sz w:val="22"/>
          <w:szCs w:val="22"/>
        </w:rPr>
        <w:t>Hawsawi's</w:t>
      </w:r>
      <w:proofErr w:type="spellEnd"/>
      <w:r w:rsidRPr="0C95F74E">
        <w:rPr>
          <w:rFonts w:ascii="Calibri" w:eastAsia="Calibri" w:hAnsi="Calibri" w:cs="Calibri"/>
          <w:color w:val="000000" w:themeColor="text1"/>
          <w:sz w:val="22"/>
          <w:szCs w:val="22"/>
        </w:rPr>
        <w:t xml:space="preserve"> treatment</w:t>
      </w:r>
      <w:r w:rsidR="00ED0336">
        <w:rPr>
          <w:rFonts w:ascii="Calibri" w:eastAsia="Calibri" w:hAnsi="Calibri" w:cs="Calibri"/>
          <w:color w:val="000000" w:themeColor="text1"/>
          <w:sz w:val="22"/>
          <w:szCs w:val="22"/>
        </w:rPr>
        <w:t xml:space="preserve"> and basic rights</w:t>
      </w:r>
      <w:r w:rsidR="00D607B9">
        <w:rPr>
          <w:rFonts w:ascii="Calibri" w:eastAsia="Calibri" w:hAnsi="Calibri" w:cs="Calibri"/>
          <w:color w:val="000000" w:themeColor="text1"/>
          <w:sz w:val="22"/>
          <w:szCs w:val="22"/>
        </w:rPr>
        <w:t>, including</w:t>
      </w:r>
      <w:r w:rsidR="00F327DE">
        <w:rPr>
          <w:rFonts w:ascii="Calibri" w:eastAsia="Calibri" w:hAnsi="Calibri" w:cs="Calibri"/>
          <w:color w:val="000000" w:themeColor="text1"/>
          <w:sz w:val="22"/>
          <w:szCs w:val="22"/>
        </w:rPr>
        <w:t xml:space="preserve"> that he will not be subject to the death </w:t>
      </w:r>
      <w:proofErr w:type="gramStart"/>
      <w:r w:rsidR="00F327DE">
        <w:rPr>
          <w:rFonts w:ascii="Calibri" w:eastAsia="Calibri" w:hAnsi="Calibri" w:cs="Calibri"/>
          <w:color w:val="000000" w:themeColor="text1"/>
          <w:sz w:val="22"/>
          <w:szCs w:val="22"/>
        </w:rPr>
        <w:t>penalty</w:t>
      </w:r>
      <w:r w:rsidRPr="0C95F74E">
        <w:rPr>
          <w:rFonts w:ascii="Calibri" w:eastAsia="Calibri" w:hAnsi="Calibri" w:cs="Calibri"/>
          <w:color w:val="000000" w:themeColor="text1"/>
          <w:sz w:val="22"/>
          <w:szCs w:val="22"/>
        </w:rPr>
        <w:t>;</w:t>
      </w:r>
      <w:proofErr w:type="gramEnd"/>
    </w:p>
    <w:p w14:paraId="231F3712" w14:textId="4C411C47" w:rsidR="0C95F74E" w:rsidRDefault="0D83AF24" w:rsidP="00013463">
      <w:pPr>
        <w:pStyle w:val="ListParagraph"/>
        <w:numPr>
          <w:ilvl w:val="1"/>
          <w:numId w:val="1"/>
        </w:numPr>
        <w:spacing w:before="240" w:after="240"/>
        <w:jc w:val="both"/>
        <w:rPr>
          <w:rFonts w:ascii="Calibri" w:eastAsia="Calibri" w:hAnsi="Calibri" w:cs="Calibri"/>
          <w:color w:val="000000" w:themeColor="text1"/>
          <w:sz w:val="22"/>
          <w:szCs w:val="22"/>
        </w:rPr>
      </w:pPr>
      <w:r w:rsidRPr="00FC74C3">
        <w:rPr>
          <w:rFonts w:ascii="Calibri" w:eastAsia="Calibri" w:hAnsi="Calibri" w:cs="Calibri"/>
          <w:color w:val="000000" w:themeColor="text1"/>
          <w:sz w:val="22"/>
          <w:szCs w:val="22"/>
        </w:rPr>
        <w:t xml:space="preserve">Cooperation with relevant authorities in the </w:t>
      </w:r>
      <w:r w:rsidR="004B3574">
        <w:rPr>
          <w:rFonts w:ascii="Calibri" w:eastAsia="Calibri" w:hAnsi="Calibri" w:cs="Calibri"/>
          <w:color w:val="000000" w:themeColor="text1"/>
          <w:sz w:val="22"/>
          <w:szCs w:val="22"/>
        </w:rPr>
        <w:t>US</w:t>
      </w:r>
      <w:r w:rsidRPr="00FC74C3">
        <w:rPr>
          <w:rFonts w:ascii="Calibri" w:eastAsia="Calibri" w:hAnsi="Calibri" w:cs="Calibri"/>
          <w:color w:val="000000" w:themeColor="text1"/>
          <w:sz w:val="22"/>
          <w:szCs w:val="22"/>
        </w:rPr>
        <w:t xml:space="preserve"> as well as in European countries, pursuant to </w:t>
      </w:r>
      <w:r w:rsidR="00AD3606" w:rsidRPr="00FC74C3">
        <w:rPr>
          <w:rFonts w:ascii="Calibri" w:eastAsia="Calibri" w:hAnsi="Calibri" w:cs="Calibri"/>
          <w:color w:val="000000" w:themeColor="text1"/>
          <w:sz w:val="22"/>
          <w:szCs w:val="22"/>
        </w:rPr>
        <w:t>UN</w:t>
      </w:r>
      <w:r w:rsidRPr="00FC74C3">
        <w:rPr>
          <w:rFonts w:ascii="Calibri" w:eastAsia="Calibri" w:hAnsi="Calibri" w:cs="Calibri"/>
          <w:color w:val="000000" w:themeColor="text1"/>
          <w:sz w:val="22"/>
          <w:szCs w:val="22"/>
        </w:rPr>
        <w:t>CAT Article 9.</w:t>
      </w:r>
    </w:p>
    <w:sectPr w:rsidR="0C95F74E" w:rsidSect="004B625A">
      <w:footerReference w:type="default" r:id="rId12"/>
      <w:pgSz w:w="12240" w:h="15840"/>
      <w:pgMar w:top="1702" w:right="1440" w:bottom="1440" w:left="1440" w:header="68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D1861" w14:textId="77777777" w:rsidR="00750C19" w:rsidRDefault="00750C19">
      <w:pPr>
        <w:spacing w:after="0" w:line="240" w:lineRule="auto"/>
      </w:pPr>
      <w:r>
        <w:separator/>
      </w:r>
    </w:p>
  </w:endnote>
  <w:endnote w:type="continuationSeparator" w:id="0">
    <w:p w14:paraId="7CA3F1E5" w14:textId="77777777" w:rsidR="00750C19" w:rsidRDefault="00750C19">
      <w:pPr>
        <w:spacing w:after="0" w:line="240" w:lineRule="auto"/>
      </w:pPr>
      <w:r>
        <w:continuationSeparator/>
      </w:r>
    </w:p>
  </w:endnote>
  <w:endnote w:type="continuationNotice" w:id="1">
    <w:p w14:paraId="3487AAFE" w14:textId="77777777" w:rsidR="00750C19" w:rsidRDefault="00750C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4667914"/>
      <w:docPartObj>
        <w:docPartGallery w:val="Page Numbers (Bottom of Page)"/>
        <w:docPartUnique/>
      </w:docPartObj>
    </w:sdtPr>
    <w:sdtEndPr>
      <w:rPr>
        <w:noProof/>
      </w:rPr>
    </w:sdtEndPr>
    <w:sdtContent>
      <w:p w14:paraId="443D64F4" w14:textId="122241A4" w:rsidR="00F56006" w:rsidRDefault="00F560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C7266" w14:textId="37F7C2DD" w:rsidR="7B3FF2AB" w:rsidRPr="007E3F0D" w:rsidRDefault="7B3FF2AB" w:rsidP="004158AF">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58856" w14:textId="77777777" w:rsidR="00750C19" w:rsidRDefault="00750C19">
      <w:pPr>
        <w:spacing w:after="0" w:line="240" w:lineRule="auto"/>
      </w:pPr>
      <w:r>
        <w:separator/>
      </w:r>
    </w:p>
  </w:footnote>
  <w:footnote w:type="continuationSeparator" w:id="0">
    <w:p w14:paraId="4D3AA998" w14:textId="77777777" w:rsidR="00750C19" w:rsidRDefault="00750C19">
      <w:pPr>
        <w:spacing w:after="0" w:line="240" w:lineRule="auto"/>
      </w:pPr>
      <w:r>
        <w:continuationSeparator/>
      </w:r>
    </w:p>
  </w:footnote>
  <w:footnote w:type="continuationNotice" w:id="1">
    <w:p w14:paraId="4A163AFB" w14:textId="77777777" w:rsidR="00750C19" w:rsidRDefault="00750C19">
      <w:pPr>
        <w:spacing w:after="0" w:line="240" w:lineRule="auto"/>
      </w:pPr>
    </w:p>
  </w:footnote>
  <w:footnote w:id="2">
    <w:p w14:paraId="264F2D83" w14:textId="2BD3AA0A" w:rsidR="27BCFCC7" w:rsidRDefault="27BCFCC7" w:rsidP="7FC661B2">
      <w:pPr>
        <w:pStyle w:val="FootnoteText"/>
        <w:rPr>
          <w:rFonts w:ascii="Calibri" w:eastAsia="Calibri" w:hAnsi="Calibri" w:cs="Calibri"/>
        </w:rPr>
      </w:pPr>
      <w:r w:rsidRPr="7FC661B2">
        <w:rPr>
          <w:rStyle w:val="FootnoteReference"/>
          <w:rFonts w:ascii="Calibri" w:eastAsia="Calibri" w:hAnsi="Calibri" w:cs="Calibri"/>
        </w:rPr>
        <w:footnoteRef/>
      </w:r>
      <w:r w:rsidR="7FC661B2" w:rsidRPr="7FC661B2">
        <w:rPr>
          <w:rFonts w:ascii="Calibri" w:eastAsia="Calibri" w:hAnsi="Calibri" w:cs="Calibri"/>
        </w:rPr>
        <w:t xml:space="preserve"> REDRESS is an international human rights NGO based in the United Kingdom with a mandate to assist torture survivors to seek justice and other forms of reparation, hold accountable the governments and individuals who perpetrate torture, and develop the means of ensuring compliance with international standards and securing remedies for victims. REDRESS represents Mr. Mustafa al-Hawsawi in relation to his claims outside the United States of America arising from his torture and enforced disappearance in the CIA’s Rendition, Detention and Interrogation </w:t>
      </w:r>
      <w:proofErr w:type="spellStart"/>
      <w:r w:rsidR="7FC661B2" w:rsidRPr="7FC661B2">
        <w:rPr>
          <w:rFonts w:ascii="Calibri" w:eastAsia="Calibri" w:hAnsi="Calibri" w:cs="Calibri"/>
        </w:rPr>
        <w:t>Programme</w:t>
      </w:r>
      <w:proofErr w:type="spellEnd"/>
      <w:r w:rsidR="7FC661B2" w:rsidRPr="7FC661B2">
        <w:rPr>
          <w:rFonts w:ascii="Calibri" w:eastAsia="Calibri" w:hAnsi="Calibri" w:cs="Calibri"/>
        </w:rPr>
        <w:t>.</w:t>
      </w:r>
    </w:p>
  </w:footnote>
  <w:footnote w:id="3">
    <w:p w14:paraId="23FF0206" w14:textId="7C8AE40F" w:rsidR="7FC661B2" w:rsidRDefault="7FC661B2" w:rsidP="7FC661B2">
      <w:pPr>
        <w:pStyle w:val="FootnoteText"/>
        <w:rPr>
          <w:sz w:val="22"/>
          <w:szCs w:val="22"/>
        </w:rPr>
      </w:pPr>
      <w:r w:rsidRPr="7FC661B2">
        <w:rPr>
          <w:rStyle w:val="FootnoteReference"/>
          <w:rFonts w:ascii="Calibri" w:eastAsia="Calibri" w:hAnsi="Calibri" w:cs="Calibri"/>
        </w:rPr>
        <w:footnoteRef/>
      </w:r>
      <w:r w:rsidR="7695AF84" w:rsidRPr="7FC661B2">
        <w:rPr>
          <w:rFonts w:ascii="Calibri" w:eastAsia="Calibri" w:hAnsi="Calibri" w:cs="Calibri"/>
        </w:rPr>
        <w:t xml:space="preserve"> CAT, </w:t>
      </w:r>
      <w:r w:rsidR="7695AF84" w:rsidRPr="004158AF">
        <w:rPr>
          <w:rFonts w:ascii="Calibri" w:eastAsia="Calibri" w:hAnsi="Calibri" w:cs="Calibri"/>
          <w:i/>
          <w:iCs/>
        </w:rPr>
        <w:t>Concluding observations on the fourth periodic report of Lithuania</w:t>
      </w:r>
      <w:r w:rsidR="7695AF84" w:rsidRPr="7FC661B2">
        <w:rPr>
          <w:rFonts w:ascii="Calibri" w:eastAsia="Calibri" w:hAnsi="Calibri" w:cs="Calibri"/>
        </w:rPr>
        <w:t xml:space="preserve">, </w:t>
      </w:r>
      <w:hyperlink r:id="rId1">
        <w:r w:rsidR="7695AF84" w:rsidRPr="7695AF84">
          <w:rPr>
            <w:rStyle w:val="Hyperlink"/>
            <w:rFonts w:ascii="Calibri" w:eastAsia="Calibri" w:hAnsi="Calibri" w:cs="Calibri"/>
          </w:rPr>
          <w:t>CAT/C/LTU/CO/4,</w:t>
        </w:r>
      </w:hyperlink>
      <w:r w:rsidR="7695AF84" w:rsidRPr="7FC661B2">
        <w:rPr>
          <w:rFonts w:ascii="Calibri" w:eastAsia="Calibri" w:hAnsi="Calibri" w:cs="Calibri"/>
        </w:rPr>
        <w:t xml:space="preserve"> 21 December 202</w:t>
      </w:r>
      <w:r w:rsidR="003C2522">
        <w:rPr>
          <w:rFonts w:ascii="Calibri" w:eastAsia="Calibri" w:hAnsi="Calibri" w:cs="Calibri"/>
        </w:rPr>
        <w:t>1</w:t>
      </w:r>
      <w:r w:rsidR="7695AF84" w:rsidRPr="7FC661B2">
        <w:rPr>
          <w:rFonts w:ascii="Calibri" w:eastAsia="Calibri" w:hAnsi="Calibri" w:cs="Calibri"/>
        </w:rPr>
        <w:t xml:space="preserve">, para. 19. </w:t>
      </w:r>
      <w:r w:rsidR="00425AEB">
        <w:rPr>
          <w:rFonts w:ascii="Calibri" w:eastAsia="Calibri" w:hAnsi="Calibri" w:cs="Calibri"/>
        </w:rPr>
        <w:t>Further details of the</w:t>
      </w:r>
      <w:r w:rsidR="009A1D41">
        <w:rPr>
          <w:rFonts w:ascii="Calibri" w:eastAsia="Calibri" w:hAnsi="Calibri" w:cs="Calibri"/>
        </w:rPr>
        <w:t xml:space="preserve"> background to the </w:t>
      </w:r>
      <w:proofErr w:type="spellStart"/>
      <w:r w:rsidR="009A1D41">
        <w:rPr>
          <w:rFonts w:ascii="Calibri" w:eastAsia="Calibri" w:hAnsi="Calibri" w:cs="Calibri"/>
        </w:rPr>
        <w:t>programme</w:t>
      </w:r>
      <w:proofErr w:type="spellEnd"/>
      <w:r w:rsidR="009A1D41">
        <w:rPr>
          <w:rFonts w:ascii="Calibri" w:eastAsia="Calibri" w:hAnsi="Calibri" w:cs="Calibri"/>
        </w:rPr>
        <w:t xml:space="preserve"> and the facts </w:t>
      </w:r>
      <w:r w:rsidR="002A2599">
        <w:rPr>
          <w:rFonts w:ascii="Calibri" w:eastAsia="Calibri" w:hAnsi="Calibri" w:cs="Calibri"/>
        </w:rPr>
        <w:t xml:space="preserve">in relation to Mr al-Hawsawi and Lithuania are given in </w:t>
      </w:r>
      <w:r w:rsidR="002A7CA9">
        <w:rPr>
          <w:rFonts w:ascii="Calibri" w:eastAsia="Calibri" w:hAnsi="Calibri" w:cs="Calibri"/>
        </w:rPr>
        <w:t xml:space="preserve">(1) </w:t>
      </w:r>
      <w:r w:rsidR="002A2599">
        <w:rPr>
          <w:rFonts w:ascii="Calibri" w:eastAsia="Calibri" w:hAnsi="Calibri" w:cs="Calibri"/>
        </w:rPr>
        <w:t xml:space="preserve">the </w:t>
      </w:r>
      <w:r w:rsidR="001D6924" w:rsidRPr="001D6924">
        <w:rPr>
          <w:rFonts w:ascii="Calibri" w:eastAsia="Calibri" w:hAnsi="Calibri" w:cs="Calibri"/>
        </w:rPr>
        <w:t xml:space="preserve">redacted </w:t>
      </w:r>
      <w:hyperlink r:id="rId2" w:history="1">
        <w:r w:rsidR="001D6924" w:rsidRPr="004158AF">
          <w:rPr>
            <w:rStyle w:val="Hyperlink"/>
            <w:rFonts w:ascii="Calibri" w:eastAsia="Calibri" w:hAnsi="Calibri" w:cs="Calibri"/>
            <w:i/>
            <w:iCs/>
          </w:rPr>
          <w:t xml:space="preserve">Executive Summary of the Senate Select Committee on Intelligence’s Study of the Central Intelligence Agency’s Detention and Interrogation </w:t>
        </w:r>
        <w:proofErr w:type="spellStart"/>
        <w:r w:rsidR="001D6924" w:rsidRPr="004158AF">
          <w:rPr>
            <w:rStyle w:val="Hyperlink"/>
            <w:rFonts w:ascii="Calibri" w:eastAsia="Calibri" w:hAnsi="Calibri" w:cs="Calibri"/>
            <w:i/>
            <w:iCs/>
          </w:rPr>
          <w:t>Programme</w:t>
        </w:r>
        <w:proofErr w:type="spellEnd"/>
      </w:hyperlink>
      <w:r w:rsidR="001D6924" w:rsidRPr="001D6924">
        <w:rPr>
          <w:rFonts w:ascii="Calibri" w:eastAsia="Calibri" w:hAnsi="Calibri" w:cs="Calibri"/>
        </w:rPr>
        <w:t>, which was released in December 2014</w:t>
      </w:r>
      <w:r w:rsidR="002A7CA9">
        <w:rPr>
          <w:rFonts w:ascii="Calibri" w:eastAsia="Calibri" w:hAnsi="Calibri" w:cs="Calibri"/>
        </w:rPr>
        <w:t xml:space="preserve">, and (2) </w:t>
      </w:r>
      <w:r w:rsidR="00A31323">
        <w:rPr>
          <w:rFonts w:ascii="Calibri" w:eastAsia="Calibri" w:hAnsi="Calibri" w:cs="Calibri"/>
        </w:rPr>
        <w:t xml:space="preserve">the judgment of the </w:t>
      </w:r>
      <w:r w:rsidR="002A7CA9">
        <w:rPr>
          <w:rFonts w:ascii="Calibri" w:eastAsia="Calibri" w:hAnsi="Calibri" w:cs="Calibri"/>
        </w:rPr>
        <w:t>European Court of Human Rights</w:t>
      </w:r>
      <w:r w:rsidR="00951CAF">
        <w:rPr>
          <w:rFonts w:ascii="Calibri" w:eastAsia="Calibri" w:hAnsi="Calibri" w:cs="Calibri"/>
        </w:rPr>
        <w:t xml:space="preserve"> (</w:t>
      </w:r>
      <w:r w:rsidR="003820EC">
        <w:rPr>
          <w:rFonts w:ascii="Calibri" w:eastAsia="Calibri" w:hAnsi="Calibri" w:cs="Calibri"/>
          <w:b/>
          <w:bCs/>
        </w:rPr>
        <w:t>ECtHR)</w:t>
      </w:r>
      <w:r w:rsidR="00A31323">
        <w:rPr>
          <w:rFonts w:ascii="Calibri" w:eastAsia="Calibri" w:hAnsi="Calibri" w:cs="Calibri"/>
        </w:rPr>
        <w:t xml:space="preserve"> in</w:t>
      </w:r>
      <w:r w:rsidR="002A7CA9">
        <w:rPr>
          <w:rFonts w:ascii="Calibri" w:eastAsia="Calibri" w:hAnsi="Calibri" w:cs="Calibri"/>
        </w:rPr>
        <w:t xml:space="preserve"> </w:t>
      </w:r>
      <w:hyperlink r:id="rId3">
        <w:r w:rsidR="002A7CA9" w:rsidRPr="00754A8E">
          <w:rPr>
            <w:rStyle w:val="Hyperlink"/>
            <w:rFonts w:ascii="Calibri" w:eastAsia="Calibri" w:hAnsi="Calibri" w:cs="Calibri"/>
            <w:i/>
            <w:iCs/>
          </w:rPr>
          <w:t>Al-Hawsawi v. Lithuania</w:t>
        </w:r>
        <w:r w:rsidR="002A7CA9" w:rsidRPr="00E85026">
          <w:rPr>
            <w:rStyle w:val="Hyperlink"/>
            <w:rFonts w:ascii="Calibri" w:eastAsia="Calibri" w:hAnsi="Calibri" w:cs="Calibri"/>
          </w:rPr>
          <w:t xml:space="preserve"> (Application no. 6383/17)</w:t>
        </w:r>
      </w:hyperlink>
      <w:r w:rsidR="002A7CA9" w:rsidRPr="00E85026">
        <w:rPr>
          <w:rFonts w:ascii="Calibri" w:eastAsia="Calibri" w:hAnsi="Calibri" w:cs="Calibri"/>
        </w:rPr>
        <w:t>, 16 January 2024</w:t>
      </w:r>
      <w:r w:rsidR="00A35A64">
        <w:rPr>
          <w:rFonts w:ascii="Calibri" w:eastAsia="Calibri" w:hAnsi="Calibri" w:cs="Calibri"/>
        </w:rPr>
        <w:t xml:space="preserve">, </w:t>
      </w:r>
      <w:r w:rsidR="009B2C5C">
        <w:rPr>
          <w:rFonts w:ascii="Calibri" w:eastAsia="Calibri" w:hAnsi="Calibri" w:cs="Calibri"/>
        </w:rPr>
        <w:t xml:space="preserve">including at </w:t>
      </w:r>
      <w:r w:rsidR="00A35A64">
        <w:rPr>
          <w:rFonts w:ascii="Calibri" w:eastAsia="Calibri" w:hAnsi="Calibri" w:cs="Calibri"/>
        </w:rPr>
        <w:t>paras. 8-106</w:t>
      </w:r>
      <w:r w:rsidR="00D74987">
        <w:rPr>
          <w:rFonts w:ascii="Calibri" w:eastAsia="Calibri" w:hAnsi="Calibri" w:cs="Calibri"/>
        </w:rPr>
        <w:t>, 139-156.</w:t>
      </w:r>
    </w:p>
  </w:footnote>
  <w:footnote w:id="4">
    <w:p w14:paraId="4D83B952" w14:textId="6E15BCCA" w:rsidR="7FC661B2" w:rsidRDefault="7FC661B2" w:rsidP="7FC661B2">
      <w:pPr>
        <w:pStyle w:val="FootnoteText"/>
      </w:pPr>
      <w:r w:rsidRPr="7FC661B2">
        <w:rPr>
          <w:rStyle w:val="FootnoteReference"/>
          <w:rFonts w:ascii="Calibri" w:eastAsia="Calibri" w:hAnsi="Calibri" w:cs="Calibri"/>
        </w:rPr>
        <w:footnoteRef/>
      </w:r>
      <w:r w:rsidRPr="7FC661B2">
        <w:rPr>
          <w:rFonts w:ascii="Calibri" w:eastAsia="Calibri" w:hAnsi="Calibri" w:cs="Calibri"/>
        </w:rPr>
        <w:t xml:space="preserve"> </w:t>
      </w:r>
      <w:r w:rsidR="00A54C98" w:rsidRPr="7FC661B2">
        <w:rPr>
          <w:rFonts w:ascii="Calibri" w:eastAsia="Calibri" w:hAnsi="Calibri" w:cs="Calibri"/>
        </w:rPr>
        <w:t xml:space="preserve">CAT, </w:t>
      </w:r>
      <w:r w:rsidR="00A54C98" w:rsidRPr="004158AF">
        <w:rPr>
          <w:rFonts w:ascii="Calibri" w:eastAsia="Calibri" w:hAnsi="Calibri" w:cs="Calibri"/>
          <w:i/>
          <w:iCs/>
        </w:rPr>
        <w:t>Concluding observations on the fourth periodic report of Lithuania</w:t>
      </w:r>
      <w:r w:rsidR="00A54C98">
        <w:rPr>
          <w:rFonts w:ascii="Calibri" w:eastAsia="Calibri" w:hAnsi="Calibri" w:cs="Calibri"/>
        </w:rPr>
        <w:t>, i</w:t>
      </w:r>
      <w:r w:rsidR="00D1696C">
        <w:rPr>
          <w:rFonts w:ascii="Calibri" w:eastAsia="Calibri" w:hAnsi="Calibri" w:cs="Calibri"/>
        </w:rPr>
        <w:t>bi</w:t>
      </w:r>
      <w:r w:rsidRPr="7FC661B2">
        <w:rPr>
          <w:rFonts w:ascii="Calibri" w:eastAsia="Calibri" w:hAnsi="Calibri" w:cs="Calibri"/>
        </w:rPr>
        <w:t xml:space="preserve">d. at para. 20. </w:t>
      </w:r>
    </w:p>
  </w:footnote>
  <w:footnote w:id="5">
    <w:p w14:paraId="3BEAF2F1" w14:textId="02CD09DF" w:rsidR="7FC661B2" w:rsidRDefault="7FC661B2" w:rsidP="7FC661B2">
      <w:pPr>
        <w:pStyle w:val="FootnoteText"/>
      </w:pPr>
      <w:r w:rsidRPr="7FC661B2">
        <w:rPr>
          <w:rStyle w:val="FootnoteReference"/>
          <w:rFonts w:ascii="Calibri" w:eastAsia="Calibri" w:hAnsi="Calibri" w:cs="Calibri"/>
        </w:rPr>
        <w:footnoteRef/>
      </w:r>
      <w:r w:rsidRPr="7FC661B2">
        <w:rPr>
          <w:rFonts w:ascii="Calibri" w:eastAsia="Calibri" w:hAnsi="Calibri" w:cs="Calibri"/>
        </w:rPr>
        <w:t xml:space="preserve"> Ibid. </w:t>
      </w:r>
    </w:p>
  </w:footnote>
  <w:footnote w:id="6">
    <w:p w14:paraId="74AF140F" w14:textId="28D485A5" w:rsidR="009856E6" w:rsidRPr="00013463" w:rsidRDefault="009856E6">
      <w:pPr>
        <w:pStyle w:val="FootnoteText"/>
        <w:rPr>
          <w:lang w:val="en-GB"/>
        </w:rPr>
      </w:pPr>
      <w:r>
        <w:rPr>
          <w:rStyle w:val="FootnoteReference"/>
        </w:rPr>
        <w:footnoteRef/>
      </w:r>
      <w:r w:rsidRPr="004158AF">
        <w:rPr>
          <w:lang w:val="en-GB"/>
        </w:rPr>
        <w:t xml:space="preserve"> </w:t>
      </w:r>
      <w:r w:rsidRPr="004158AF">
        <w:rPr>
          <w:rFonts w:ascii="Calibri" w:hAnsi="Calibri" w:cs="Calibri"/>
          <w:i/>
          <w:iCs/>
          <w:lang w:val="en-GB"/>
        </w:rPr>
        <w:t>Al-Hawsawi v Lithuania</w:t>
      </w:r>
      <w:r w:rsidRPr="004158AF">
        <w:rPr>
          <w:rFonts w:ascii="Calibri" w:hAnsi="Calibri" w:cs="Calibri"/>
          <w:lang w:val="en-GB"/>
        </w:rPr>
        <w:t>, ibid.</w:t>
      </w:r>
      <w:r w:rsidRPr="004158AF">
        <w:rPr>
          <w:rFonts w:ascii="Calibri" w:eastAsia="Calibri" w:hAnsi="Calibri" w:cs="Calibri"/>
          <w:lang w:val="en-GB"/>
        </w:rPr>
        <w:t xml:space="preserve">, para. </w:t>
      </w:r>
      <w:r w:rsidRPr="00E85026">
        <w:rPr>
          <w:rFonts w:ascii="Calibri" w:eastAsia="Calibri" w:hAnsi="Calibri" w:cs="Calibri"/>
        </w:rPr>
        <w:t xml:space="preserve">92. </w:t>
      </w:r>
      <w:r w:rsidRPr="00D27E5D">
        <w:rPr>
          <w:rFonts w:ascii="Calibri" w:hAnsi="Calibri" w:cs="Calibri"/>
        </w:rPr>
        <w:t>The investigation into al-</w:t>
      </w:r>
      <w:proofErr w:type="spellStart"/>
      <w:r w:rsidRPr="00D27E5D">
        <w:rPr>
          <w:rFonts w:ascii="Calibri" w:hAnsi="Calibri" w:cs="Calibri"/>
        </w:rPr>
        <w:t>Hawsawi's</w:t>
      </w:r>
      <w:proofErr w:type="spellEnd"/>
      <w:r w:rsidRPr="00D27E5D">
        <w:rPr>
          <w:rFonts w:ascii="Calibri" w:hAnsi="Calibri" w:cs="Calibri"/>
        </w:rPr>
        <w:t xml:space="preserve"> allegations was joined with the investigation concerning Abu Zubaydah on 6 February 2015</w:t>
      </w:r>
      <w:r>
        <w:rPr>
          <w:rFonts w:ascii="Calibri" w:hAnsi="Calibri" w:cs="Calibri"/>
        </w:rPr>
        <w:t xml:space="preserve"> under reference no. </w:t>
      </w:r>
      <w:r w:rsidRPr="00D27E5D">
        <w:rPr>
          <w:rFonts w:ascii="Calibri" w:hAnsi="Calibri" w:cs="Calibri"/>
        </w:rPr>
        <w:t>01-2-00015-14 (para. 96)</w:t>
      </w:r>
      <w:r>
        <w:rPr>
          <w:rFonts w:ascii="Calibri" w:hAnsi="Calibri" w:cs="Calibri"/>
        </w:rPr>
        <w:t>.</w:t>
      </w:r>
    </w:p>
  </w:footnote>
  <w:footnote w:id="7">
    <w:p w14:paraId="2D7C58BA" w14:textId="45B2949D" w:rsidR="7FC661B2" w:rsidRPr="003017BB" w:rsidRDefault="7FC661B2" w:rsidP="00E85026">
      <w:pPr>
        <w:pStyle w:val="FootnoteText"/>
        <w:rPr>
          <w:rFonts w:ascii="Calibri" w:eastAsia="Calibri" w:hAnsi="Calibri" w:cs="Calibri"/>
          <w:color w:val="171717" w:themeColor="background2" w:themeShade="1A"/>
        </w:rPr>
      </w:pPr>
      <w:r w:rsidRPr="00013463">
        <w:rPr>
          <w:rStyle w:val="FootnoteReference"/>
          <w:rFonts w:ascii="Calibri" w:hAnsi="Calibri" w:cs="Calibri"/>
        </w:rPr>
        <w:footnoteRef/>
      </w:r>
      <w:r w:rsidR="0C95F74E" w:rsidRPr="00013463">
        <w:rPr>
          <w:rFonts w:ascii="Calibri" w:hAnsi="Calibri" w:cs="Calibri"/>
        </w:rPr>
        <w:t xml:space="preserve"> </w:t>
      </w:r>
      <w:r w:rsidR="0C95F74E" w:rsidRPr="003017BB">
        <w:rPr>
          <w:rFonts w:ascii="Calibri" w:eastAsia="Calibri" w:hAnsi="Calibri" w:cs="Calibri"/>
        </w:rPr>
        <w:t xml:space="preserve">Committee of Ministers, </w:t>
      </w:r>
      <w:hyperlink r:id="rId4" w:history="1">
        <w:r w:rsidR="0C95F74E" w:rsidRPr="004158AF">
          <w:rPr>
            <w:rStyle w:val="Hyperlink"/>
            <w:rFonts w:ascii="Calibri" w:eastAsia="Calibri" w:hAnsi="Calibri" w:cs="Calibri"/>
            <w:i/>
            <w:iCs/>
          </w:rPr>
          <w:t>H46-36 Abu Zubaydah v. Lithuania (Application No. 46454/11)</w:t>
        </w:r>
        <w:r w:rsidR="0C95F74E" w:rsidRPr="001209BD">
          <w:rPr>
            <w:rStyle w:val="Hyperlink"/>
            <w:rFonts w:ascii="Calibri" w:eastAsia="Calibri" w:hAnsi="Calibri" w:cs="Calibri"/>
          </w:rPr>
          <w:t>,</w:t>
        </w:r>
      </w:hyperlink>
      <w:r w:rsidR="0C95F74E" w:rsidRPr="003017BB">
        <w:rPr>
          <w:rFonts w:ascii="Calibri" w:eastAsia="Calibri" w:hAnsi="Calibri" w:cs="Calibri"/>
          <w:color w:val="171717" w:themeColor="background2" w:themeShade="1A"/>
        </w:rPr>
        <w:t xml:space="preserve"> CM/Del/</w:t>
      </w:r>
      <w:proofErr w:type="gramStart"/>
      <w:r w:rsidR="0C95F74E" w:rsidRPr="003017BB">
        <w:rPr>
          <w:rFonts w:ascii="Calibri" w:eastAsia="Calibri" w:hAnsi="Calibri" w:cs="Calibri"/>
          <w:color w:val="171717" w:themeColor="background2" w:themeShade="1A"/>
        </w:rPr>
        <w:t>Dec(</w:t>
      </w:r>
      <w:proofErr w:type="gramEnd"/>
      <w:r w:rsidR="0C95F74E" w:rsidRPr="003017BB">
        <w:rPr>
          <w:rFonts w:ascii="Calibri" w:eastAsia="Calibri" w:hAnsi="Calibri" w:cs="Calibri"/>
          <w:color w:val="171717" w:themeColor="background2" w:themeShade="1A"/>
        </w:rPr>
        <w:t xml:space="preserve">2018)1331/H46-36, 6 December 2018, para 4. </w:t>
      </w:r>
    </w:p>
  </w:footnote>
  <w:footnote w:id="8">
    <w:p w14:paraId="68743B6E" w14:textId="0913B9C8" w:rsidR="7FC661B2" w:rsidRPr="00E85026" w:rsidRDefault="7FC661B2" w:rsidP="00013463">
      <w:pPr>
        <w:spacing w:after="0" w:line="240" w:lineRule="auto"/>
      </w:pPr>
      <w:r w:rsidRPr="003017BB">
        <w:rPr>
          <w:rStyle w:val="FootnoteReference"/>
          <w:rFonts w:ascii="Calibri" w:hAnsi="Calibri" w:cs="Calibri"/>
          <w:sz w:val="20"/>
          <w:szCs w:val="20"/>
        </w:rPr>
        <w:footnoteRef/>
      </w:r>
      <w:r w:rsidR="0C95F74E" w:rsidRPr="003017BB">
        <w:rPr>
          <w:rFonts w:ascii="Calibri" w:hAnsi="Calibri" w:cs="Calibri"/>
          <w:sz w:val="20"/>
          <w:szCs w:val="20"/>
        </w:rPr>
        <w:t xml:space="preserve"> </w:t>
      </w:r>
      <w:r w:rsidR="0C95F74E" w:rsidRPr="003017BB">
        <w:rPr>
          <w:rFonts w:ascii="Calibri" w:eastAsia="Calibri" w:hAnsi="Calibri" w:cs="Calibri"/>
          <w:sz w:val="20"/>
          <w:szCs w:val="20"/>
        </w:rPr>
        <w:t xml:space="preserve">Committee of Ministers, </w:t>
      </w:r>
      <w:hyperlink r:id="rId5">
        <w:r w:rsidR="0C95F74E" w:rsidRPr="004158AF">
          <w:rPr>
            <w:rStyle w:val="Hyperlink"/>
            <w:rFonts w:ascii="Calibri" w:eastAsia="Calibri" w:hAnsi="Calibri" w:cs="Calibri"/>
            <w:i/>
            <w:iCs/>
            <w:sz w:val="20"/>
            <w:szCs w:val="20"/>
          </w:rPr>
          <w:t>Communication from Lithuania concerning the case of Abu Zubaydah v. Lithuania (Application No. 46454/11)</w:t>
        </w:r>
      </w:hyperlink>
      <w:r w:rsidR="0C95F74E" w:rsidRPr="003017BB">
        <w:rPr>
          <w:rFonts w:ascii="Calibri" w:eastAsia="Calibri" w:hAnsi="Calibri" w:cs="Calibri"/>
          <w:sz w:val="20"/>
          <w:szCs w:val="20"/>
        </w:rPr>
        <w:t>, DH-</w:t>
      </w:r>
      <w:proofErr w:type="gramStart"/>
      <w:r w:rsidR="0C95F74E" w:rsidRPr="003017BB">
        <w:rPr>
          <w:rFonts w:ascii="Calibri" w:eastAsia="Calibri" w:hAnsi="Calibri" w:cs="Calibri"/>
          <w:sz w:val="20"/>
          <w:szCs w:val="20"/>
        </w:rPr>
        <w:t>DD(</w:t>
      </w:r>
      <w:proofErr w:type="gramEnd"/>
      <w:r w:rsidR="0C95F74E" w:rsidRPr="003017BB">
        <w:rPr>
          <w:rFonts w:ascii="Calibri" w:eastAsia="Calibri" w:hAnsi="Calibri" w:cs="Calibri"/>
          <w:sz w:val="20"/>
          <w:szCs w:val="20"/>
        </w:rPr>
        <w:t xml:space="preserve">2019)59, 16 January 2019. </w:t>
      </w:r>
    </w:p>
  </w:footnote>
  <w:footnote w:id="9">
    <w:p w14:paraId="7C3955C1" w14:textId="24088CA3" w:rsidR="7FC661B2" w:rsidRDefault="7FC661B2" w:rsidP="00AA767B">
      <w:pPr>
        <w:spacing w:after="0" w:line="240" w:lineRule="auto"/>
        <w:rPr>
          <w:rFonts w:ascii="Calibri" w:eastAsia="Calibri" w:hAnsi="Calibri" w:cs="Calibri"/>
          <w:sz w:val="20"/>
          <w:szCs w:val="20"/>
          <w:lang w:val="en-GB"/>
        </w:rPr>
      </w:pPr>
      <w:r w:rsidRPr="00013463">
        <w:rPr>
          <w:rStyle w:val="FootnoteReference"/>
          <w:rFonts w:ascii="Calibri" w:hAnsi="Calibri" w:cs="Calibri"/>
          <w:sz w:val="20"/>
          <w:szCs w:val="20"/>
        </w:rPr>
        <w:footnoteRef/>
      </w:r>
      <w:r w:rsidR="0C95F74E" w:rsidRPr="00013463">
        <w:rPr>
          <w:rFonts w:ascii="Calibri" w:hAnsi="Calibri" w:cs="Calibri"/>
          <w:sz w:val="20"/>
          <w:szCs w:val="20"/>
        </w:rPr>
        <w:t xml:space="preserve"> </w:t>
      </w:r>
      <w:r w:rsidR="0C95F74E" w:rsidRPr="00013463">
        <w:rPr>
          <w:rFonts w:ascii="Calibri" w:hAnsi="Calibri" w:cs="Calibri"/>
          <w:i/>
          <w:iCs/>
          <w:sz w:val="20"/>
          <w:szCs w:val="20"/>
          <w:lang w:val="en-GB"/>
        </w:rPr>
        <w:t xml:space="preserve">See </w:t>
      </w:r>
      <w:r w:rsidR="0C95F74E" w:rsidRPr="00E85026">
        <w:rPr>
          <w:rFonts w:ascii="Calibri" w:eastAsia="Calibri" w:hAnsi="Calibri" w:cs="Calibri"/>
          <w:sz w:val="20"/>
          <w:szCs w:val="20"/>
          <w:lang w:val="en-GB"/>
        </w:rPr>
        <w:t>Committee of Ministers</w:t>
      </w:r>
      <w:r w:rsidR="0C95F74E" w:rsidRPr="004158AF">
        <w:rPr>
          <w:rFonts w:ascii="Calibri" w:eastAsia="Calibri" w:hAnsi="Calibri" w:cs="Calibri"/>
          <w:i/>
          <w:iCs/>
          <w:sz w:val="20"/>
          <w:szCs w:val="20"/>
          <w:lang w:val="en-GB"/>
        </w:rPr>
        <w:t>,</w:t>
      </w:r>
      <w:r w:rsidR="00AA767B" w:rsidRPr="004158AF">
        <w:rPr>
          <w:i/>
          <w:iCs/>
        </w:rPr>
        <w:t xml:space="preserve"> </w:t>
      </w:r>
      <w:hyperlink r:id="rId6" w:history="1">
        <w:r w:rsidR="00AA767B" w:rsidRPr="004158AF">
          <w:rPr>
            <w:rStyle w:val="Hyperlink"/>
            <w:rFonts w:ascii="Calibri" w:eastAsia="Calibri" w:hAnsi="Calibri" w:cs="Calibri"/>
            <w:i/>
            <w:iCs/>
            <w:sz w:val="20"/>
            <w:szCs w:val="20"/>
          </w:rPr>
          <w:t>Communication from the authorities (15/09/2022) concerning the case of Abu Zubaydah v. Lithuania (Application No. 46454/11)</w:t>
        </w:r>
      </w:hyperlink>
      <w:r w:rsidR="0C95F74E" w:rsidRPr="00E85026">
        <w:rPr>
          <w:rFonts w:ascii="Calibri" w:eastAsia="Calibri" w:hAnsi="Calibri" w:cs="Calibri"/>
          <w:sz w:val="20"/>
          <w:szCs w:val="20"/>
          <w:lang w:val="en-GB"/>
        </w:rPr>
        <w:t xml:space="preserve">, DH-DD(2022)1014, 27 September 2022; Committee of Ministers, </w:t>
      </w:r>
      <w:hyperlink r:id="rId7">
        <w:r w:rsidR="0C95F74E" w:rsidRPr="004158AF">
          <w:rPr>
            <w:rStyle w:val="Hyperlink"/>
            <w:rFonts w:ascii="Calibri" w:eastAsia="Calibri" w:hAnsi="Calibri" w:cs="Calibri"/>
            <w:i/>
            <w:iCs/>
            <w:sz w:val="20"/>
            <w:szCs w:val="20"/>
            <w:lang w:val="en-GB"/>
          </w:rPr>
          <w:t>Communication from Lithuania concerning the case of Abu Zubaydah v. Lithuania (Application No. 46454/11)</w:t>
        </w:r>
      </w:hyperlink>
      <w:r w:rsidR="0C95F74E" w:rsidRPr="00E85026">
        <w:rPr>
          <w:rFonts w:ascii="Calibri" w:eastAsia="Calibri" w:hAnsi="Calibri" w:cs="Calibri"/>
          <w:sz w:val="20"/>
          <w:szCs w:val="20"/>
          <w:lang w:val="en-GB"/>
        </w:rPr>
        <w:t>, DH-DD(2021)1357, 16 December 2021; Committee of Ministers</w:t>
      </w:r>
      <w:r w:rsidR="0C95F74E" w:rsidRPr="004158AF">
        <w:rPr>
          <w:rFonts w:ascii="Calibri" w:eastAsia="Calibri" w:hAnsi="Calibri" w:cs="Calibri"/>
          <w:i/>
          <w:iCs/>
          <w:sz w:val="20"/>
          <w:szCs w:val="20"/>
          <w:lang w:val="en-GB"/>
        </w:rPr>
        <w:t xml:space="preserve">, </w:t>
      </w:r>
      <w:hyperlink r:id="rId8">
        <w:r w:rsidR="0C95F74E" w:rsidRPr="004158AF">
          <w:rPr>
            <w:rStyle w:val="Hyperlink"/>
            <w:rFonts w:ascii="Calibri" w:eastAsia="Calibri" w:hAnsi="Calibri" w:cs="Calibri"/>
            <w:i/>
            <w:iCs/>
            <w:sz w:val="20"/>
            <w:szCs w:val="20"/>
            <w:lang w:val="en-GB"/>
          </w:rPr>
          <w:t>Communication from the authorities (09/09/2021) in the case of Abu Zubaydah v. Lithuania (Application No. 46454/11)</w:t>
        </w:r>
      </w:hyperlink>
      <w:r w:rsidR="0C95F74E" w:rsidRPr="00E85026">
        <w:rPr>
          <w:rFonts w:ascii="Calibri" w:eastAsia="Calibri" w:hAnsi="Calibri" w:cs="Calibri"/>
          <w:sz w:val="20"/>
          <w:szCs w:val="20"/>
          <w:lang w:val="en-GB"/>
        </w:rPr>
        <w:t xml:space="preserve">, DH-DD(2021)896, 9 September 2021; Committee of Ministers, </w:t>
      </w:r>
      <w:hyperlink r:id="rId9">
        <w:r w:rsidR="0C95F74E" w:rsidRPr="004158AF">
          <w:rPr>
            <w:rStyle w:val="Hyperlink"/>
            <w:rFonts w:ascii="Calibri" w:eastAsia="Calibri" w:hAnsi="Calibri" w:cs="Calibri"/>
            <w:i/>
            <w:iCs/>
            <w:sz w:val="20"/>
            <w:szCs w:val="20"/>
            <w:lang w:val="en-GB"/>
          </w:rPr>
          <w:t>Communication from the authorities (01/07/2021) concerning the case of Abu Zubaydah v. Lithuania (Application No. 46454/11)</w:t>
        </w:r>
      </w:hyperlink>
      <w:r w:rsidR="0C95F74E" w:rsidRPr="00E85026">
        <w:rPr>
          <w:rFonts w:ascii="Calibri" w:eastAsia="Calibri" w:hAnsi="Calibri" w:cs="Calibri"/>
          <w:sz w:val="20"/>
          <w:szCs w:val="20"/>
          <w:lang w:val="en-GB"/>
        </w:rPr>
        <w:t xml:space="preserve">, DH-DD(2021)678, 6 July 2021; Committee of Ministers, </w:t>
      </w:r>
      <w:hyperlink r:id="rId10">
        <w:r w:rsidR="0C95F74E" w:rsidRPr="004158AF">
          <w:rPr>
            <w:rStyle w:val="Hyperlink"/>
            <w:rFonts w:ascii="Calibri" w:eastAsia="Calibri" w:hAnsi="Calibri" w:cs="Calibri"/>
            <w:i/>
            <w:iCs/>
            <w:sz w:val="20"/>
            <w:szCs w:val="20"/>
            <w:lang w:val="en-GB"/>
          </w:rPr>
          <w:t>Communication from the authorities (30/09/2020) in the case of Abu Zubaydah v. Lithuania (Application No. 46454/11)</w:t>
        </w:r>
      </w:hyperlink>
      <w:r w:rsidR="0C95F74E" w:rsidRPr="00E85026">
        <w:rPr>
          <w:rFonts w:ascii="Calibri" w:eastAsia="Calibri" w:hAnsi="Calibri" w:cs="Calibri"/>
          <w:sz w:val="20"/>
          <w:szCs w:val="20"/>
          <w:lang w:val="en-GB"/>
        </w:rPr>
        <w:t xml:space="preserve">, DH-DD(2020)853, 5 October 2020; Committee of Ministers, </w:t>
      </w:r>
      <w:hyperlink r:id="rId11">
        <w:r w:rsidR="0C95F74E" w:rsidRPr="004158AF">
          <w:rPr>
            <w:rStyle w:val="Hyperlink"/>
            <w:rFonts w:ascii="Calibri" w:eastAsia="Calibri" w:hAnsi="Calibri" w:cs="Calibri"/>
            <w:i/>
            <w:iCs/>
            <w:sz w:val="20"/>
            <w:szCs w:val="20"/>
            <w:lang w:val="en-GB"/>
          </w:rPr>
          <w:t>Communication from Lithuania concerning the case of Abu Zubaydah v. Lithuania (Application No. 46454/11)</w:t>
        </w:r>
      </w:hyperlink>
      <w:r w:rsidR="0C95F74E" w:rsidRPr="00E85026">
        <w:rPr>
          <w:rFonts w:ascii="Calibri" w:eastAsia="Calibri" w:hAnsi="Calibri" w:cs="Calibri"/>
          <w:sz w:val="20"/>
          <w:szCs w:val="20"/>
          <w:lang w:val="en-GB"/>
        </w:rPr>
        <w:t xml:space="preserve">, </w:t>
      </w:r>
      <w:r w:rsidR="0C95F74E" w:rsidRPr="00E85026">
        <w:rPr>
          <w:rFonts w:ascii="Calibri" w:eastAsia="Calibri" w:hAnsi="Calibri" w:cs="Calibri"/>
          <w:color w:val="171717" w:themeColor="background2" w:themeShade="1A"/>
          <w:sz w:val="20"/>
          <w:szCs w:val="20"/>
          <w:lang w:val="en-GB"/>
        </w:rPr>
        <w:t>DH-DD(2020)6-rev, 27 January 2020.</w:t>
      </w:r>
      <w:r w:rsidR="0C95F74E" w:rsidRPr="0C95F74E">
        <w:rPr>
          <w:rFonts w:ascii="Calibri" w:eastAsia="Calibri" w:hAnsi="Calibri" w:cs="Calibri"/>
          <w:color w:val="171717" w:themeColor="background2" w:themeShade="1A"/>
          <w:sz w:val="20"/>
          <w:szCs w:val="20"/>
          <w:lang w:val="en-GB"/>
        </w:rPr>
        <w:t xml:space="preserve"> </w:t>
      </w:r>
    </w:p>
  </w:footnote>
  <w:footnote w:id="10">
    <w:p w14:paraId="5306A167" w14:textId="7909B8B6" w:rsidR="7FC661B2" w:rsidRDefault="7FC661B2" w:rsidP="7FC661B2">
      <w:pPr>
        <w:pStyle w:val="FootnoteText"/>
      </w:pPr>
      <w:r w:rsidRPr="7FC661B2">
        <w:rPr>
          <w:rStyle w:val="FootnoteReference"/>
        </w:rPr>
        <w:footnoteRef/>
      </w:r>
      <w:r w:rsidR="0C95F74E">
        <w:t xml:space="preserve"> </w:t>
      </w:r>
      <w:r w:rsidR="0C95F74E" w:rsidRPr="0C95F74E">
        <w:rPr>
          <w:rFonts w:ascii="Calibri" w:eastAsia="Calibri" w:hAnsi="Calibri" w:cs="Calibri"/>
        </w:rPr>
        <w:t xml:space="preserve">Committee of Ministers, </w:t>
      </w:r>
      <w:hyperlink r:id="rId12">
        <w:r w:rsidR="0C95F74E" w:rsidRPr="004158AF">
          <w:rPr>
            <w:rStyle w:val="Hyperlink"/>
            <w:rFonts w:ascii="Calibri" w:eastAsia="Calibri" w:hAnsi="Calibri" w:cs="Calibri"/>
            <w:i/>
            <w:iCs/>
          </w:rPr>
          <w:t>Communication from the authorities (15/06/2023) concerning the case of Abu Zubaydah v. Lithuania (Application No. 46454/11</w:t>
        </w:r>
        <w:r w:rsidR="0C95F74E" w:rsidRPr="0C95F74E">
          <w:rPr>
            <w:rStyle w:val="Hyperlink"/>
            <w:rFonts w:ascii="Calibri" w:eastAsia="Calibri" w:hAnsi="Calibri" w:cs="Calibri"/>
          </w:rPr>
          <w:t>)</w:t>
        </w:r>
      </w:hyperlink>
      <w:r w:rsidR="0C95F74E" w:rsidRPr="0C95F74E">
        <w:rPr>
          <w:rFonts w:ascii="Calibri" w:eastAsia="Calibri" w:hAnsi="Calibri" w:cs="Calibri"/>
        </w:rPr>
        <w:t>, DH-</w:t>
      </w:r>
      <w:proofErr w:type="gramStart"/>
      <w:r w:rsidR="0C95F74E" w:rsidRPr="0C95F74E">
        <w:rPr>
          <w:rFonts w:ascii="Calibri" w:eastAsia="Calibri" w:hAnsi="Calibri" w:cs="Calibri"/>
        </w:rPr>
        <w:t>DD(</w:t>
      </w:r>
      <w:proofErr w:type="gramEnd"/>
      <w:r w:rsidR="0C95F74E" w:rsidRPr="0C95F74E">
        <w:rPr>
          <w:rFonts w:ascii="Calibri" w:eastAsia="Calibri" w:hAnsi="Calibri" w:cs="Calibri"/>
        </w:rPr>
        <w:t xml:space="preserve">2023)734, 16 June 2023. </w:t>
      </w:r>
    </w:p>
  </w:footnote>
  <w:footnote w:id="11">
    <w:p w14:paraId="65597F58" w14:textId="45B41092" w:rsidR="00AC566F" w:rsidRPr="003539BF" w:rsidRDefault="00AC566F">
      <w:pPr>
        <w:pStyle w:val="FootnoteText"/>
        <w:rPr>
          <w:rFonts w:ascii="Calibri" w:hAnsi="Calibri" w:cs="Calibri"/>
          <w:lang w:val="en-GB"/>
        </w:rPr>
      </w:pPr>
      <w:r w:rsidRPr="003539BF">
        <w:rPr>
          <w:rStyle w:val="FootnoteReference"/>
          <w:rFonts w:ascii="Calibri" w:hAnsi="Calibri" w:cs="Calibri"/>
        </w:rPr>
        <w:footnoteRef/>
      </w:r>
      <w:r w:rsidRPr="003539BF">
        <w:rPr>
          <w:rFonts w:ascii="Calibri" w:hAnsi="Calibri" w:cs="Calibri"/>
        </w:rPr>
        <w:t xml:space="preserve"> </w:t>
      </w:r>
      <w:r w:rsidR="00581FC4" w:rsidRPr="003539BF">
        <w:rPr>
          <w:rFonts w:ascii="Calibri" w:hAnsi="Calibri" w:cs="Calibri"/>
          <w:lang w:val="en-GB"/>
        </w:rPr>
        <w:t xml:space="preserve">The ECtHR’s assessment of the investigative process is contained in </w:t>
      </w:r>
      <w:r w:rsidR="004A028B" w:rsidRPr="003539BF">
        <w:rPr>
          <w:rFonts w:ascii="Calibri" w:hAnsi="Calibri" w:cs="Calibri"/>
          <w:i/>
          <w:iCs/>
          <w:lang w:val="en-GB"/>
        </w:rPr>
        <w:t>Al-Hawsawi v Lithuania</w:t>
      </w:r>
      <w:r w:rsidR="004A028B" w:rsidRPr="003539BF">
        <w:rPr>
          <w:rFonts w:ascii="Calibri" w:hAnsi="Calibri" w:cs="Calibri"/>
          <w:lang w:val="en-GB"/>
        </w:rPr>
        <w:t>, ibid., paras.</w:t>
      </w:r>
      <w:r w:rsidR="00002B66" w:rsidRPr="003539BF">
        <w:rPr>
          <w:rFonts w:ascii="Calibri" w:hAnsi="Calibri" w:cs="Calibri"/>
          <w:lang w:val="en-GB"/>
        </w:rPr>
        <w:t xml:space="preserve"> 188-195.</w:t>
      </w:r>
    </w:p>
  </w:footnote>
  <w:footnote w:id="12">
    <w:p w14:paraId="66305AEF" w14:textId="01EBA98F" w:rsidR="00FE01F7" w:rsidRPr="003539BF" w:rsidRDefault="00FE01F7">
      <w:pPr>
        <w:pStyle w:val="FootnoteText"/>
        <w:rPr>
          <w:lang w:val="en-GB"/>
        </w:rPr>
      </w:pPr>
      <w:r w:rsidRPr="003539BF">
        <w:rPr>
          <w:rStyle w:val="FootnoteReference"/>
          <w:rFonts w:ascii="Calibri" w:hAnsi="Calibri" w:cs="Calibri"/>
        </w:rPr>
        <w:footnoteRef/>
      </w:r>
      <w:r w:rsidRPr="003539BF">
        <w:rPr>
          <w:rFonts w:ascii="Calibri" w:hAnsi="Calibri" w:cs="Calibri"/>
        </w:rPr>
        <w:t xml:space="preserve"> </w:t>
      </w:r>
      <w:r w:rsidRPr="003539BF">
        <w:rPr>
          <w:rFonts w:ascii="Calibri" w:hAnsi="Calibri" w:cs="Calibri"/>
          <w:lang w:val="en-GB"/>
        </w:rPr>
        <w:t xml:space="preserve">Ibid. </w:t>
      </w:r>
      <w:r w:rsidR="000B4A44" w:rsidRPr="003539BF">
        <w:rPr>
          <w:rFonts w:ascii="Calibri" w:hAnsi="Calibri" w:cs="Calibri"/>
          <w:lang w:val="en-GB"/>
        </w:rPr>
        <w:t>at para. 192.</w:t>
      </w:r>
    </w:p>
  </w:footnote>
  <w:footnote w:id="13">
    <w:p w14:paraId="75DBC1CB" w14:textId="45BBD490" w:rsidR="7FC661B2" w:rsidRDefault="7FC661B2" w:rsidP="7FC661B2">
      <w:pPr>
        <w:pStyle w:val="FootnoteText"/>
        <w:rPr>
          <w:sz w:val="22"/>
          <w:szCs w:val="22"/>
        </w:rPr>
      </w:pPr>
      <w:r w:rsidRPr="7FC661B2">
        <w:rPr>
          <w:rStyle w:val="FootnoteReference"/>
          <w:rFonts w:ascii="Calibri" w:eastAsia="Calibri" w:hAnsi="Calibri" w:cs="Calibri"/>
        </w:rPr>
        <w:footnoteRef/>
      </w:r>
      <w:r w:rsidRPr="003539BF">
        <w:rPr>
          <w:rFonts w:ascii="Calibri" w:eastAsia="Calibri" w:hAnsi="Calibri" w:cs="Calibri"/>
          <w:lang w:val="en-GB"/>
        </w:rPr>
        <w:t xml:space="preserve"> </w:t>
      </w:r>
      <w:r w:rsidR="004A028B" w:rsidRPr="003539BF">
        <w:t>I</w:t>
      </w:r>
      <w:r w:rsidR="00E00ADD" w:rsidRPr="00013463">
        <w:rPr>
          <w:rFonts w:ascii="Calibri" w:eastAsia="Calibri" w:hAnsi="Calibri" w:cs="Calibri"/>
          <w:lang w:val="en-GB"/>
        </w:rPr>
        <w:t>bid.</w:t>
      </w:r>
      <w:r w:rsidRPr="00013463">
        <w:rPr>
          <w:rFonts w:ascii="Calibri" w:eastAsia="Calibri" w:hAnsi="Calibri" w:cs="Calibri"/>
          <w:lang w:val="en-GB"/>
        </w:rPr>
        <w:t xml:space="preserve"> </w:t>
      </w:r>
      <w:r w:rsidR="00DD24BA" w:rsidRPr="00013463">
        <w:rPr>
          <w:rFonts w:ascii="Calibri" w:eastAsia="Calibri" w:hAnsi="Calibri" w:cs="Calibri"/>
          <w:lang w:val="en-GB"/>
        </w:rPr>
        <w:t xml:space="preserve">at </w:t>
      </w:r>
      <w:r w:rsidRPr="00013463">
        <w:rPr>
          <w:rFonts w:ascii="Calibri" w:eastAsia="Calibri" w:hAnsi="Calibri" w:cs="Calibri"/>
          <w:lang w:val="en-GB"/>
        </w:rPr>
        <w:t xml:space="preserve">para. </w:t>
      </w:r>
      <w:r w:rsidRPr="7FC661B2">
        <w:rPr>
          <w:rFonts w:ascii="Calibri" w:eastAsia="Calibri" w:hAnsi="Calibri" w:cs="Calibri"/>
        </w:rPr>
        <w:t xml:space="preserve">4. </w:t>
      </w:r>
    </w:p>
  </w:footnote>
  <w:footnote w:id="14">
    <w:p w14:paraId="45AB9284" w14:textId="15E0FD14" w:rsidR="7FC661B2" w:rsidRDefault="7FC661B2" w:rsidP="00013463">
      <w:pPr>
        <w:spacing w:after="0" w:line="240" w:lineRule="auto"/>
        <w:ind w:left="-23" w:right="-23"/>
        <w:jc w:val="both"/>
        <w:rPr>
          <w:sz w:val="22"/>
          <w:szCs w:val="22"/>
        </w:rPr>
      </w:pPr>
      <w:r w:rsidRPr="7FC661B2">
        <w:rPr>
          <w:rStyle w:val="FootnoteReference"/>
          <w:rFonts w:ascii="Calibri" w:eastAsia="Calibri" w:hAnsi="Calibri" w:cs="Calibri"/>
          <w:sz w:val="20"/>
          <w:szCs w:val="20"/>
        </w:rPr>
        <w:footnoteRef/>
      </w:r>
      <w:r w:rsidRPr="7FC661B2">
        <w:rPr>
          <w:rFonts w:ascii="Calibri" w:eastAsia="Calibri" w:hAnsi="Calibri" w:cs="Calibri"/>
          <w:sz w:val="20"/>
          <w:szCs w:val="20"/>
        </w:rPr>
        <w:t xml:space="preserve"> I</w:t>
      </w:r>
      <w:r w:rsidR="006725A7">
        <w:rPr>
          <w:rFonts w:ascii="Calibri" w:eastAsia="Calibri" w:hAnsi="Calibri" w:cs="Calibri"/>
          <w:sz w:val="20"/>
          <w:szCs w:val="20"/>
        </w:rPr>
        <w:t>bi</w:t>
      </w:r>
      <w:r w:rsidRPr="7FC661B2">
        <w:rPr>
          <w:rFonts w:ascii="Calibri" w:eastAsia="Calibri" w:hAnsi="Calibri" w:cs="Calibri"/>
          <w:sz w:val="20"/>
          <w:szCs w:val="20"/>
        </w:rPr>
        <w:t xml:space="preserve">d. at para. 3. </w:t>
      </w:r>
    </w:p>
  </w:footnote>
  <w:footnote w:id="15">
    <w:p w14:paraId="24DC6CB7" w14:textId="694801BD" w:rsidR="7FC661B2" w:rsidRDefault="7FC661B2" w:rsidP="7FC661B2">
      <w:pPr>
        <w:pStyle w:val="FootnoteText"/>
      </w:pPr>
      <w:r w:rsidRPr="7FC661B2">
        <w:rPr>
          <w:rStyle w:val="FootnoteReference"/>
          <w:rFonts w:ascii="Calibri" w:eastAsia="Calibri" w:hAnsi="Calibri" w:cs="Calibri"/>
        </w:rPr>
        <w:footnoteRef/>
      </w:r>
      <w:r w:rsidRPr="7FC661B2">
        <w:rPr>
          <w:rFonts w:ascii="Calibri" w:eastAsia="Calibri" w:hAnsi="Calibri" w:cs="Calibri"/>
        </w:rPr>
        <w:t xml:space="preserve"> I</w:t>
      </w:r>
      <w:r w:rsidR="006725A7">
        <w:rPr>
          <w:rFonts w:ascii="Calibri" w:eastAsia="Calibri" w:hAnsi="Calibri" w:cs="Calibri"/>
        </w:rPr>
        <w:t>bi</w:t>
      </w:r>
      <w:r w:rsidRPr="7FC661B2">
        <w:rPr>
          <w:rFonts w:ascii="Calibri" w:eastAsia="Calibri" w:hAnsi="Calibri" w:cs="Calibri"/>
        </w:rPr>
        <w:t xml:space="preserve">d. at para 279. </w:t>
      </w:r>
    </w:p>
  </w:footnote>
  <w:footnote w:id="16">
    <w:p w14:paraId="6E33E754" w14:textId="19534C27" w:rsidR="7FC661B2" w:rsidRDefault="7FC661B2" w:rsidP="7FC661B2">
      <w:pPr>
        <w:pStyle w:val="FootnoteText"/>
      </w:pPr>
      <w:r w:rsidRPr="7FC661B2">
        <w:rPr>
          <w:rStyle w:val="FootnoteReference"/>
          <w:rFonts w:ascii="Calibri" w:eastAsia="Calibri" w:hAnsi="Calibri" w:cs="Calibri"/>
        </w:rPr>
        <w:footnoteRef/>
      </w:r>
      <w:r w:rsidRPr="7FC661B2">
        <w:rPr>
          <w:rFonts w:ascii="Calibri" w:eastAsia="Calibri" w:hAnsi="Calibri" w:cs="Calibri"/>
        </w:rPr>
        <w:t xml:space="preserve"> Ibid. </w:t>
      </w:r>
    </w:p>
  </w:footnote>
  <w:footnote w:id="17">
    <w:p w14:paraId="1018ADC0" w14:textId="334BFE29" w:rsidR="00B90A0B" w:rsidRPr="00B90A0B" w:rsidRDefault="00B90A0B">
      <w:pPr>
        <w:pStyle w:val="FootnoteText"/>
        <w:rPr>
          <w:lang w:val="en-GB"/>
        </w:rPr>
      </w:pPr>
      <w:r>
        <w:rPr>
          <w:rStyle w:val="FootnoteReference"/>
        </w:rPr>
        <w:footnoteRef/>
      </w:r>
      <w:r>
        <w:t xml:space="preserve"> </w:t>
      </w:r>
      <w:r w:rsidRPr="00F23FB0">
        <w:rPr>
          <w:rFonts w:ascii="Calibri" w:hAnsi="Calibri" w:cs="Calibri"/>
          <w:i/>
          <w:iCs/>
          <w:lang w:val="en-GB"/>
        </w:rPr>
        <w:t>See</w:t>
      </w:r>
      <w:r w:rsidRPr="00B4652A">
        <w:rPr>
          <w:rFonts w:ascii="Calibri" w:hAnsi="Calibri" w:cs="Calibri"/>
          <w:lang w:val="en-GB"/>
        </w:rPr>
        <w:t xml:space="preserve"> footnote 5.</w:t>
      </w:r>
    </w:p>
  </w:footnote>
  <w:footnote w:id="18">
    <w:p w14:paraId="196B502F" w14:textId="4E9B21E4" w:rsidR="00F14E80" w:rsidRPr="00B4652A" w:rsidRDefault="00F14E80">
      <w:pPr>
        <w:pStyle w:val="FootnoteText"/>
        <w:rPr>
          <w:rFonts w:ascii="Calibri" w:hAnsi="Calibri" w:cs="Calibri"/>
          <w:lang w:val="en-GB"/>
        </w:rPr>
      </w:pPr>
      <w:r w:rsidRPr="00B4652A">
        <w:rPr>
          <w:rStyle w:val="FootnoteReference"/>
          <w:rFonts w:ascii="Calibri" w:hAnsi="Calibri" w:cs="Calibri"/>
        </w:rPr>
        <w:footnoteRef/>
      </w:r>
      <w:r w:rsidRPr="00B4652A">
        <w:rPr>
          <w:rFonts w:ascii="Calibri" w:hAnsi="Calibri" w:cs="Calibri"/>
          <w:lang w:val="en-GB"/>
        </w:rPr>
        <w:t xml:space="preserve"> </w:t>
      </w:r>
      <w:r w:rsidR="00884E05" w:rsidRPr="00B4652A">
        <w:rPr>
          <w:rFonts w:ascii="Calibri" w:hAnsi="Calibri" w:cs="Calibri"/>
          <w:i/>
          <w:iCs/>
          <w:lang w:val="en-GB"/>
        </w:rPr>
        <w:t>Al-Hawsawi v Lithuania</w:t>
      </w:r>
      <w:r w:rsidR="00884E05" w:rsidRPr="00B4652A">
        <w:rPr>
          <w:rFonts w:ascii="Calibri" w:hAnsi="Calibri" w:cs="Calibri"/>
          <w:lang w:val="en-GB"/>
        </w:rPr>
        <w:t>, ibid., para. 193.</w:t>
      </w:r>
    </w:p>
  </w:footnote>
  <w:footnote w:id="19">
    <w:p w14:paraId="0E16D821" w14:textId="38C7C3B4" w:rsidR="00B90A0B" w:rsidRPr="00B4652A" w:rsidRDefault="00B90A0B" w:rsidP="00B90A0B">
      <w:pPr>
        <w:pStyle w:val="FootnoteText"/>
        <w:rPr>
          <w:rFonts w:ascii="Calibri" w:hAnsi="Calibri" w:cs="Calibri"/>
        </w:rPr>
      </w:pPr>
      <w:r w:rsidRPr="00B4652A">
        <w:rPr>
          <w:rStyle w:val="FootnoteReference"/>
          <w:rFonts w:ascii="Calibri" w:hAnsi="Calibri" w:cs="Calibri"/>
        </w:rPr>
        <w:footnoteRef/>
      </w:r>
      <w:r w:rsidRPr="00B4652A">
        <w:rPr>
          <w:rFonts w:ascii="Calibri" w:hAnsi="Calibri" w:cs="Calibri"/>
        </w:rPr>
        <w:t xml:space="preserve"> UN Office of the High Commissioner for Human Rights (OHCHR), </w:t>
      </w:r>
      <w:hyperlink r:id="rId13" w:history="1">
        <w:r w:rsidR="00E64016" w:rsidRPr="003C741F">
          <w:rPr>
            <w:rStyle w:val="Hyperlink"/>
            <w:rFonts w:ascii="Calibri" w:hAnsi="Calibri" w:cs="Calibri"/>
            <w:i/>
            <w:iCs/>
          </w:rPr>
          <w:t>Manual on the Effective Investigation and Documentation of Torture and Other Cruel, Inhuman or Degrading Treatment or Punishment</w:t>
        </w:r>
      </w:hyperlink>
      <w:r w:rsidRPr="00B4652A">
        <w:rPr>
          <w:rFonts w:ascii="Calibri" w:hAnsi="Calibri" w:cs="Calibri"/>
        </w:rPr>
        <w:t xml:space="preserve"> (“Istanbul Protocol”) (2022) HR/P/PT/8/Rev. 2, para. 193.</w:t>
      </w:r>
    </w:p>
  </w:footnote>
  <w:footnote w:id="20">
    <w:p w14:paraId="50ED484B" w14:textId="73A4EA66" w:rsidR="00B90A0B" w:rsidRPr="00B4652A" w:rsidRDefault="00B90A0B" w:rsidP="00B90A0B">
      <w:pPr>
        <w:pStyle w:val="FootnoteText"/>
        <w:rPr>
          <w:rFonts w:ascii="Calibri" w:hAnsi="Calibri" w:cs="Calibri"/>
          <w:lang w:val="en-GB"/>
        </w:rPr>
      </w:pPr>
      <w:r w:rsidRPr="00B4652A">
        <w:rPr>
          <w:rStyle w:val="FootnoteReference"/>
          <w:rFonts w:ascii="Calibri" w:hAnsi="Calibri" w:cs="Calibri"/>
        </w:rPr>
        <w:footnoteRef/>
      </w:r>
      <w:r w:rsidRPr="00B4652A">
        <w:rPr>
          <w:rFonts w:ascii="Calibri" w:hAnsi="Calibri" w:cs="Calibri"/>
        </w:rPr>
        <w:t xml:space="preserve"> Ibid, paras. 186, 660. See also UN Committee against Torture, </w:t>
      </w:r>
      <w:r w:rsidRPr="004B625A">
        <w:rPr>
          <w:rFonts w:ascii="Calibri" w:hAnsi="Calibri" w:cs="Calibri"/>
          <w:i/>
          <w:iCs/>
        </w:rPr>
        <w:t>General Comment No. 3</w:t>
      </w:r>
      <w:r w:rsidRPr="00B4652A">
        <w:rPr>
          <w:rFonts w:ascii="Calibri" w:hAnsi="Calibri" w:cs="Calibri"/>
        </w:rPr>
        <w:t xml:space="preserve"> (2012) CAT/C/GC/3 paras. 29-30.  </w:t>
      </w:r>
    </w:p>
  </w:footnote>
  <w:footnote w:id="21">
    <w:p w14:paraId="139130D9" w14:textId="1A520ED8" w:rsidR="001F54E4" w:rsidRPr="00B90A0B" w:rsidRDefault="001F54E4">
      <w:pPr>
        <w:pStyle w:val="FootnoteText"/>
        <w:rPr>
          <w:lang w:val="en-GB"/>
        </w:rPr>
      </w:pPr>
      <w:r w:rsidRPr="00B4652A">
        <w:rPr>
          <w:rStyle w:val="FootnoteReference"/>
          <w:rFonts w:ascii="Calibri" w:hAnsi="Calibri" w:cs="Calibri"/>
        </w:rPr>
        <w:footnoteRef/>
      </w:r>
      <w:r w:rsidRPr="00B4652A">
        <w:rPr>
          <w:rFonts w:ascii="Calibri" w:hAnsi="Calibri" w:cs="Calibri"/>
        </w:rPr>
        <w:t xml:space="preserve"> </w:t>
      </w:r>
      <w:r w:rsidR="00A65205" w:rsidRPr="00B4652A">
        <w:rPr>
          <w:rFonts w:ascii="Calibri" w:eastAsia="Calibri" w:hAnsi="Calibri" w:cs="Calibri"/>
        </w:rPr>
        <w:t>UNGA</w:t>
      </w:r>
      <w:r w:rsidR="005D502B">
        <w:rPr>
          <w:rFonts w:ascii="Calibri" w:eastAsia="Calibri" w:hAnsi="Calibri" w:cs="Calibri"/>
        </w:rPr>
        <w:t xml:space="preserve">, </w:t>
      </w:r>
      <w:r w:rsidR="00A65205" w:rsidRPr="004B625A">
        <w:rPr>
          <w:rFonts w:ascii="Calibri" w:eastAsia="Calibri" w:hAnsi="Calibri" w:cs="Calibri"/>
          <w:i/>
          <w:iCs/>
        </w:rPr>
        <w:t>Principles on the Effective Investigation and Documentation of Torture and Other Cruel, Inhuman or Degrading Treatment or Punishment</w:t>
      </w:r>
      <w:r w:rsidR="00A65205" w:rsidRPr="00B4652A">
        <w:rPr>
          <w:rFonts w:ascii="Calibri" w:eastAsia="Calibri" w:hAnsi="Calibri" w:cs="Calibri"/>
        </w:rPr>
        <w:t xml:space="preserve"> (2002), Recommended by GA resolution 55/89 of 4 December 2000.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E8F61"/>
    <w:multiLevelType w:val="hybridMultilevel"/>
    <w:tmpl w:val="E4C2957A"/>
    <w:lvl w:ilvl="0" w:tplc="FC085514">
      <w:start w:val="82"/>
      <w:numFmt w:val="decimal"/>
      <w:lvlText w:val="%1."/>
      <w:lvlJc w:val="left"/>
      <w:pPr>
        <w:ind w:left="720" w:hanging="360"/>
      </w:pPr>
      <w:rPr>
        <w:rFonts w:ascii="Calibri" w:hAnsi="Calibri" w:hint="default"/>
      </w:rPr>
    </w:lvl>
    <w:lvl w:ilvl="1" w:tplc="3CF86A00">
      <w:start w:val="1"/>
      <w:numFmt w:val="lowerLetter"/>
      <w:lvlText w:val="%2."/>
      <w:lvlJc w:val="left"/>
      <w:pPr>
        <w:ind w:left="1440" w:hanging="360"/>
      </w:pPr>
    </w:lvl>
    <w:lvl w:ilvl="2" w:tplc="E49008F2">
      <w:start w:val="1"/>
      <w:numFmt w:val="lowerRoman"/>
      <w:lvlText w:val="%3."/>
      <w:lvlJc w:val="right"/>
      <w:pPr>
        <w:ind w:left="2160" w:hanging="180"/>
      </w:pPr>
    </w:lvl>
    <w:lvl w:ilvl="3" w:tplc="A1747FC4">
      <w:start w:val="1"/>
      <w:numFmt w:val="decimal"/>
      <w:lvlText w:val="%4."/>
      <w:lvlJc w:val="left"/>
      <w:pPr>
        <w:ind w:left="2880" w:hanging="360"/>
      </w:pPr>
    </w:lvl>
    <w:lvl w:ilvl="4" w:tplc="0F58F2AA">
      <w:start w:val="1"/>
      <w:numFmt w:val="lowerLetter"/>
      <w:lvlText w:val="%5."/>
      <w:lvlJc w:val="left"/>
      <w:pPr>
        <w:ind w:left="3600" w:hanging="360"/>
      </w:pPr>
    </w:lvl>
    <w:lvl w:ilvl="5" w:tplc="0AE2BCB2">
      <w:start w:val="1"/>
      <w:numFmt w:val="lowerRoman"/>
      <w:lvlText w:val="%6."/>
      <w:lvlJc w:val="right"/>
      <w:pPr>
        <w:ind w:left="4320" w:hanging="180"/>
      </w:pPr>
    </w:lvl>
    <w:lvl w:ilvl="6" w:tplc="7AEE6064">
      <w:start w:val="1"/>
      <w:numFmt w:val="decimal"/>
      <w:lvlText w:val="%7."/>
      <w:lvlJc w:val="left"/>
      <w:pPr>
        <w:ind w:left="5040" w:hanging="360"/>
      </w:pPr>
    </w:lvl>
    <w:lvl w:ilvl="7" w:tplc="3724D744">
      <w:start w:val="1"/>
      <w:numFmt w:val="lowerLetter"/>
      <w:lvlText w:val="%8."/>
      <w:lvlJc w:val="left"/>
      <w:pPr>
        <w:ind w:left="5760" w:hanging="360"/>
      </w:pPr>
    </w:lvl>
    <w:lvl w:ilvl="8" w:tplc="D4042000">
      <w:start w:val="1"/>
      <w:numFmt w:val="lowerRoman"/>
      <w:lvlText w:val="%9."/>
      <w:lvlJc w:val="right"/>
      <w:pPr>
        <w:ind w:left="6480" w:hanging="180"/>
      </w:pPr>
    </w:lvl>
  </w:abstractNum>
  <w:abstractNum w:abstractNumId="1" w15:restartNumberingAfterBreak="0">
    <w:nsid w:val="11A5AFD6"/>
    <w:multiLevelType w:val="hybridMultilevel"/>
    <w:tmpl w:val="092C4BC2"/>
    <w:lvl w:ilvl="0" w:tplc="DDEEA07C">
      <w:start w:val="83"/>
      <w:numFmt w:val="decimal"/>
      <w:lvlText w:val="%1."/>
      <w:lvlJc w:val="left"/>
      <w:pPr>
        <w:ind w:left="720" w:hanging="360"/>
      </w:pPr>
      <w:rPr>
        <w:rFonts w:ascii="Calibri" w:hAnsi="Calibri" w:hint="default"/>
      </w:rPr>
    </w:lvl>
    <w:lvl w:ilvl="1" w:tplc="55809B84">
      <w:start w:val="1"/>
      <w:numFmt w:val="lowerLetter"/>
      <w:lvlText w:val="%2."/>
      <w:lvlJc w:val="left"/>
      <w:pPr>
        <w:ind w:left="1440" w:hanging="360"/>
      </w:pPr>
    </w:lvl>
    <w:lvl w:ilvl="2" w:tplc="A9907368">
      <w:start w:val="1"/>
      <w:numFmt w:val="lowerRoman"/>
      <w:lvlText w:val="%3."/>
      <w:lvlJc w:val="right"/>
      <w:pPr>
        <w:ind w:left="2160" w:hanging="180"/>
      </w:pPr>
    </w:lvl>
    <w:lvl w:ilvl="3" w:tplc="D1FEB828">
      <w:start w:val="1"/>
      <w:numFmt w:val="decimal"/>
      <w:lvlText w:val="%4."/>
      <w:lvlJc w:val="left"/>
      <w:pPr>
        <w:ind w:left="2880" w:hanging="360"/>
      </w:pPr>
    </w:lvl>
    <w:lvl w:ilvl="4" w:tplc="5C160F66">
      <w:start w:val="1"/>
      <w:numFmt w:val="lowerLetter"/>
      <w:lvlText w:val="%5."/>
      <w:lvlJc w:val="left"/>
      <w:pPr>
        <w:ind w:left="3600" w:hanging="360"/>
      </w:pPr>
    </w:lvl>
    <w:lvl w:ilvl="5" w:tplc="04AA55FC">
      <w:start w:val="1"/>
      <w:numFmt w:val="lowerRoman"/>
      <w:lvlText w:val="%6."/>
      <w:lvlJc w:val="right"/>
      <w:pPr>
        <w:ind w:left="4320" w:hanging="180"/>
      </w:pPr>
    </w:lvl>
    <w:lvl w:ilvl="6" w:tplc="2F36A1E4">
      <w:start w:val="1"/>
      <w:numFmt w:val="decimal"/>
      <w:lvlText w:val="%7."/>
      <w:lvlJc w:val="left"/>
      <w:pPr>
        <w:ind w:left="5040" w:hanging="360"/>
      </w:pPr>
    </w:lvl>
    <w:lvl w:ilvl="7" w:tplc="42AE70D6">
      <w:start w:val="1"/>
      <w:numFmt w:val="lowerLetter"/>
      <w:lvlText w:val="%8."/>
      <w:lvlJc w:val="left"/>
      <w:pPr>
        <w:ind w:left="5760" w:hanging="360"/>
      </w:pPr>
    </w:lvl>
    <w:lvl w:ilvl="8" w:tplc="59E41850">
      <w:start w:val="1"/>
      <w:numFmt w:val="lowerRoman"/>
      <w:lvlText w:val="%9."/>
      <w:lvlJc w:val="right"/>
      <w:pPr>
        <w:ind w:left="6480" w:hanging="180"/>
      </w:pPr>
    </w:lvl>
  </w:abstractNum>
  <w:abstractNum w:abstractNumId="2" w15:restartNumberingAfterBreak="0">
    <w:nsid w:val="14B08FE4"/>
    <w:multiLevelType w:val="hybridMultilevel"/>
    <w:tmpl w:val="6EAE84C4"/>
    <w:lvl w:ilvl="0" w:tplc="E15655A0">
      <w:start w:val="1"/>
      <w:numFmt w:val="decimal"/>
      <w:lvlText w:val="%1."/>
      <w:lvlJc w:val="left"/>
      <w:pPr>
        <w:ind w:left="720" w:hanging="360"/>
      </w:pPr>
    </w:lvl>
    <w:lvl w:ilvl="1" w:tplc="3662BC2E">
      <w:start w:val="1"/>
      <w:numFmt w:val="lowerLetter"/>
      <w:lvlText w:val="%2."/>
      <w:lvlJc w:val="left"/>
      <w:pPr>
        <w:ind w:left="1440" w:hanging="360"/>
      </w:pPr>
    </w:lvl>
    <w:lvl w:ilvl="2" w:tplc="DA8A82BC">
      <w:start w:val="1"/>
      <w:numFmt w:val="lowerRoman"/>
      <w:lvlText w:val="%3."/>
      <w:lvlJc w:val="right"/>
      <w:pPr>
        <w:ind w:left="2160" w:hanging="180"/>
      </w:pPr>
    </w:lvl>
    <w:lvl w:ilvl="3" w:tplc="D632C3F0">
      <w:start w:val="1"/>
      <w:numFmt w:val="decimal"/>
      <w:lvlText w:val="%4."/>
      <w:lvlJc w:val="left"/>
      <w:pPr>
        <w:ind w:left="2880" w:hanging="360"/>
      </w:pPr>
    </w:lvl>
    <w:lvl w:ilvl="4" w:tplc="6CCAF75A">
      <w:start w:val="1"/>
      <w:numFmt w:val="lowerLetter"/>
      <w:lvlText w:val="%5."/>
      <w:lvlJc w:val="left"/>
      <w:pPr>
        <w:ind w:left="3600" w:hanging="360"/>
      </w:pPr>
    </w:lvl>
    <w:lvl w:ilvl="5" w:tplc="CEAAD62E">
      <w:start w:val="1"/>
      <w:numFmt w:val="lowerRoman"/>
      <w:lvlText w:val="%6."/>
      <w:lvlJc w:val="right"/>
      <w:pPr>
        <w:ind w:left="4320" w:hanging="180"/>
      </w:pPr>
    </w:lvl>
    <w:lvl w:ilvl="6" w:tplc="20F47C62">
      <w:start w:val="1"/>
      <w:numFmt w:val="decimal"/>
      <w:lvlText w:val="%7."/>
      <w:lvlJc w:val="left"/>
      <w:pPr>
        <w:ind w:left="5040" w:hanging="360"/>
      </w:pPr>
    </w:lvl>
    <w:lvl w:ilvl="7" w:tplc="4AB68C84">
      <w:start w:val="1"/>
      <w:numFmt w:val="lowerLetter"/>
      <w:lvlText w:val="%8."/>
      <w:lvlJc w:val="left"/>
      <w:pPr>
        <w:ind w:left="5760" w:hanging="360"/>
      </w:pPr>
    </w:lvl>
    <w:lvl w:ilvl="8" w:tplc="2188BB60">
      <w:start w:val="1"/>
      <w:numFmt w:val="lowerRoman"/>
      <w:lvlText w:val="%9."/>
      <w:lvlJc w:val="right"/>
      <w:pPr>
        <w:ind w:left="6480" w:hanging="180"/>
      </w:pPr>
    </w:lvl>
  </w:abstractNum>
  <w:abstractNum w:abstractNumId="3" w15:restartNumberingAfterBreak="0">
    <w:nsid w:val="191AEE6E"/>
    <w:multiLevelType w:val="hybridMultilevel"/>
    <w:tmpl w:val="AA1C754A"/>
    <w:lvl w:ilvl="0" w:tplc="24D21134">
      <w:start w:val="76"/>
      <w:numFmt w:val="decimal"/>
      <w:lvlText w:val="%1."/>
      <w:lvlJc w:val="left"/>
      <w:pPr>
        <w:ind w:left="720" w:hanging="360"/>
      </w:pPr>
      <w:rPr>
        <w:rFonts w:ascii="Calibri" w:hAnsi="Calibri" w:hint="default"/>
      </w:rPr>
    </w:lvl>
    <w:lvl w:ilvl="1" w:tplc="732E48A8">
      <w:start w:val="1"/>
      <w:numFmt w:val="lowerLetter"/>
      <w:lvlText w:val="%2."/>
      <w:lvlJc w:val="left"/>
      <w:pPr>
        <w:ind w:left="1440" w:hanging="360"/>
      </w:pPr>
    </w:lvl>
    <w:lvl w:ilvl="2" w:tplc="E22EA9FA">
      <w:start w:val="1"/>
      <w:numFmt w:val="lowerRoman"/>
      <w:lvlText w:val="%3."/>
      <w:lvlJc w:val="right"/>
      <w:pPr>
        <w:ind w:left="2160" w:hanging="180"/>
      </w:pPr>
    </w:lvl>
    <w:lvl w:ilvl="3" w:tplc="59D492C8">
      <w:start w:val="1"/>
      <w:numFmt w:val="decimal"/>
      <w:lvlText w:val="%4."/>
      <w:lvlJc w:val="left"/>
      <w:pPr>
        <w:ind w:left="2880" w:hanging="360"/>
      </w:pPr>
    </w:lvl>
    <w:lvl w:ilvl="4" w:tplc="AFD63262">
      <w:start w:val="1"/>
      <w:numFmt w:val="lowerLetter"/>
      <w:lvlText w:val="%5."/>
      <w:lvlJc w:val="left"/>
      <w:pPr>
        <w:ind w:left="3600" w:hanging="360"/>
      </w:pPr>
    </w:lvl>
    <w:lvl w:ilvl="5" w:tplc="24A63CC0">
      <w:start w:val="1"/>
      <w:numFmt w:val="lowerRoman"/>
      <w:lvlText w:val="%6."/>
      <w:lvlJc w:val="right"/>
      <w:pPr>
        <w:ind w:left="4320" w:hanging="180"/>
      </w:pPr>
    </w:lvl>
    <w:lvl w:ilvl="6" w:tplc="05BE9020">
      <w:start w:val="1"/>
      <w:numFmt w:val="decimal"/>
      <w:lvlText w:val="%7."/>
      <w:lvlJc w:val="left"/>
      <w:pPr>
        <w:ind w:left="5040" w:hanging="360"/>
      </w:pPr>
    </w:lvl>
    <w:lvl w:ilvl="7" w:tplc="84F8A0A8">
      <w:start w:val="1"/>
      <w:numFmt w:val="lowerLetter"/>
      <w:lvlText w:val="%8."/>
      <w:lvlJc w:val="left"/>
      <w:pPr>
        <w:ind w:left="5760" w:hanging="360"/>
      </w:pPr>
    </w:lvl>
    <w:lvl w:ilvl="8" w:tplc="B7408B6A">
      <w:start w:val="1"/>
      <w:numFmt w:val="lowerRoman"/>
      <w:lvlText w:val="%9."/>
      <w:lvlJc w:val="right"/>
      <w:pPr>
        <w:ind w:left="6480" w:hanging="180"/>
      </w:pPr>
    </w:lvl>
  </w:abstractNum>
  <w:abstractNum w:abstractNumId="4" w15:restartNumberingAfterBreak="0">
    <w:nsid w:val="1C8A688C"/>
    <w:multiLevelType w:val="hybridMultilevel"/>
    <w:tmpl w:val="C64871B4"/>
    <w:lvl w:ilvl="0" w:tplc="90347FAC">
      <w:start w:val="51"/>
      <w:numFmt w:val="decimal"/>
      <w:lvlText w:val="%1."/>
      <w:lvlJc w:val="left"/>
      <w:pPr>
        <w:ind w:left="720" w:hanging="360"/>
      </w:pPr>
      <w:rPr>
        <w:rFonts w:ascii="Calibri" w:hAnsi="Calibri" w:hint="default"/>
      </w:rPr>
    </w:lvl>
    <w:lvl w:ilvl="1" w:tplc="6478BE8E">
      <w:start w:val="1"/>
      <w:numFmt w:val="lowerLetter"/>
      <w:lvlText w:val="%2."/>
      <w:lvlJc w:val="left"/>
      <w:pPr>
        <w:ind w:left="1440" w:hanging="360"/>
      </w:pPr>
    </w:lvl>
    <w:lvl w:ilvl="2" w:tplc="EBDC1166">
      <w:start w:val="1"/>
      <w:numFmt w:val="lowerRoman"/>
      <w:lvlText w:val="%3."/>
      <w:lvlJc w:val="right"/>
      <w:pPr>
        <w:ind w:left="2160" w:hanging="180"/>
      </w:pPr>
    </w:lvl>
    <w:lvl w:ilvl="3" w:tplc="B2F03308">
      <w:start w:val="1"/>
      <w:numFmt w:val="decimal"/>
      <w:lvlText w:val="%4."/>
      <w:lvlJc w:val="left"/>
      <w:pPr>
        <w:ind w:left="2880" w:hanging="360"/>
      </w:pPr>
    </w:lvl>
    <w:lvl w:ilvl="4" w:tplc="33E8C264">
      <w:start w:val="1"/>
      <w:numFmt w:val="lowerLetter"/>
      <w:lvlText w:val="%5."/>
      <w:lvlJc w:val="left"/>
      <w:pPr>
        <w:ind w:left="3600" w:hanging="360"/>
      </w:pPr>
    </w:lvl>
    <w:lvl w:ilvl="5" w:tplc="E7E4A3A0">
      <w:start w:val="1"/>
      <w:numFmt w:val="lowerRoman"/>
      <w:lvlText w:val="%6."/>
      <w:lvlJc w:val="right"/>
      <w:pPr>
        <w:ind w:left="4320" w:hanging="180"/>
      </w:pPr>
    </w:lvl>
    <w:lvl w:ilvl="6" w:tplc="BAD291BE">
      <w:start w:val="1"/>
      <w:numFmt w:val="decimal"/>
      <w:lvlText w:val="%7."/>
      <w:lvlJc w:val="left"/>
      <w:pPr>
        <w:ind w:left="5040" w:hanging="360"/>
      </w:pPr>
    </w:lvl>
    <w:lvl w:ilvl="7" w:tplc="B308BC3A">
      <w:start w:val="1"/>
      <w:numFmt w:val="lowerLetter"/>
      <w:lvlText w:val="%8."/>
      <w:lvlJc w:val="left"/>
      <w:pPr>
        <w:ind w:left="5760" w:hanging="360"/>
      </w:pPr>
    </w:lvl>
    <w:lvl w:ilvl="8" w:tplc="8D6A8348">
      <w:start w:val="1"/>
      <w:numFmt w:val="lowerRoman"/>
      <w:lvlText w:val="%9."/>
      <w:lvlJc w:val="right"/>
      <w:pPr>
        <w:ind w:left="6480" w:hanging="180"/>
      </w:pPr>
    </w:lvl>
  </w:abstractNum>
  <w:abstractNum w:abstractNumId="5" w15:restartNumberingAfterBreak="0">
    <w:nsid w:val="21B0D3F7"/>
    <w:multiLevelType w:val="hybridMultilevel"/>
    <w:tmpl w:val="E30857BA"/>
    <w:lvl w:ilvl="0" w:tplc="CCD81662">
      <w:start w:val="73"/>
      <w:numFmt w:val="decimal"/>
      <w:lvlText w:val="%1."/>
      <w:lvlJc w:val="left"/>
      <w:pPr>
        <w:ind w:left="720" w:hanging="360"/>
      </w:pPr>
      <w:rPr>
        <w:rFonts w:ascii="Calibri" w:hAnsi="Calibri" w:hint="default"/>
      </w:rPr>
    </w:lvl>
    <w:lvl w:ilvl="1" w:tplc="011E3116">
      <w:start w:val="1"/>
      <w:numFmt w:val="lowerLetter"/>
      <w:lvlText w:val="%2."/>
      <w:lvlJc w:val="left"/>
      <w:pPr>
        <w:ind w:left="1440" w:hanging="360"/>
      </w:pPr>
    </w:lvl>
    <w:lvl w:ilvl="2" w:tplc="656E9C98">
      <w:start w:val="1"/>
      <w:numFmt w:val="lowerRoman"/>
      <w:lvlText w:val="%3."/>
      <w:lvlJc w:val="right"/>
      <w:pPr>
        <w:ind w:left="2160" w:hanging="180"/>
      </w:pPr>
    </w:lvl>
    <w:lvl w:ilvl="3" w:tplc="08AC186E">
      <w:start w:val="1"/>
      <w:numFmt w:val="decimal"/>
      <w:lvlText w:val="%4."/>
      <w:lvlJc w:val="left"/>
      <w:pPr>
        <w:ind w:left="2880" w:hanging="360"/>
      </w:pPr>
    </w:lvl>
    <w:lvl w:ilvl="4" w:tplc="B5BA3CC4">
      <w:start w:val="1"/>
      <w:numFmt w:val="lowerLetter"/>
      <w:lvlText w:val="%5."/>
      <w:lvlJc w:val="left"/>
      <w:pPr>
        <w:ind w:left="3600" w:hanging="360"/>
      </w:pPr>
    </w:lvl>
    <w:lvl w:ilvl="5" w:tplc="7870C978">
      <w:start w:val="1"/>
      <w:numFmt w:val="lowerRoman"/>
      <w:lvlText w:val="%6."/>
      <w:lvlJc w:val="right"/>
      <w:pPr>
        <w:ind w:left="4320" w:hanging="180"/>
      </w:pPr>
    </w:lvl>
    <w:lvl w:ilvl="6" w:tplc="741CF1E4">
      <w:start w:val="1"/>
      <w:numFmt w:val="decimal"/>
      <w:lvlText w:val="%7."/>
      <w:lvlJc w:val="left"/>
      <w:pPr>
        <w:ind w:left="5040" w:hanging="360"/>
      </w:pPr>
    </w:lvl>
    <w:lvl w:ilvl="7" w:tplc="3CC4BCD8">
      <w:start w:val="1"/>
      <w:numFmt w:val="lowerLetter"/>
      <w:lvlText w:val="%8."/>
      <w:lvlJc w:val="left"/>
      <w:pPr>
        <w:ind w:left="5760" w:hanging="360"/>
      </w:pPr>
    </w:lvl>
    <w:lvl w:ilvl="8" w:tplc="2FFC26AC">
      <w:start w:val="1"/>
      <w:numFmt w:val="lowerRoman"/>
      <w:lvlText w:val="%9."/>
      <w:lvlJc w:val="right"/>
      <w:pPr>
        <w:ind w:left="6480" w:hanging="180"/>
      </w:pPr>
    </w:lvl>
  </w:abstractNum>
  <w:abstractNum w:abstractNumId="6" w15:restartNumberingAfterBreak="0">
    <w:nsid w:val="2485A75F"/>
    <w:multiLevelType w:val="hybridMultilevel"/>
    <w:tmpl w:val="F594E51A"/>
    <w:lvl w:ilvl="0" w:tplc="91840718">
      <w:start w:val="74"/>
      <w:numFmt w:val="decimal"/>
      <w:lvlText w:val="%1."/>
      <w:lvlJc w:val="left"/>
      <w:pPr>
        <w:ind w:left="720" w:hanging="360"/>
      </w:pPr>
      <w:rPr>
        <w:rFonts w:ascii="Calibri" w:hAnsi="Calibri" w:hint="default"/>
      </w:rPr>
    </w:lvl>
    <w:lvl w:ilvl="1" w:tplc="A328B948">
      <w:start w:val="1"/>
      <w:numFmt w:val="lowerLetter"/>
      <w:lvlText w:val="%2."/>
      <w:lvlJc w:val="left"/>
      <w:pPr>
        <w:ind w:left="1440" w:hanging="360"/>
      </w:pPr>
    </w:lvl>
    <w:lvl w:ilvl="2" w:tplc="ADEE04CE">
      <w:start w:val="1"/>
      <w:numFmt w:val="lowerRoman"/>
      <w:lvlText w:val="%3."/>
      <w:lvlJc w:val="right"/>
      <w:pPr>
        <w:ind w:left="2160" w:hanging="180"/>
      </w:pPr>
    </w:lvl>
    <w:lvl w:ilvl="3" w:tplc="B4C8E480">
      <w:start w:val="1"/>
      <w:numFmt w:val="decimal"/>
      <w:lvlText w:val="%4."/>
      <w:lvlJc w:val="left"/>
      <w:pPr>
        <w:ind w:left="2880" w:hanging="360"/>
      </w:pPr>
    </w:lvl>
    <w:lvl w:ilvl="4" w:tplc="B45CB65A">
      <w:start w:val="1"/>
      <w:numFmt w:val="lowerLetter"/>
      <w:lvlText w:val="%5."/>
      <w:lvlJc w:val="left"/>
      <w:pPr>
        <w:ind w:left="3600" w:hanging="360"/>
      </w:pPr>
    </w:lvl>
    <w:lvl w:ilvl="5" w:tplc="0AF47FEC">
      <w:start w:val="1"/>
      <w:numFmt w:val="lowerRoman"/>
      <w:lvlText w:val="%6."/>
      <w:lvlJc w:val="right"/>
      <w:pPr>
        <w:ind w:left="4320" w:hanging="180"/>
      </w:pPr>
    </w:lvl>
    <w:lvl w:ilvl="6" w:tplc="22CA1B02">
      <w:start w:val="1"/>
      <w:numFmt w:val="decimal"/>
      <w:lvlText w:val="%7."/>
      <w:lvlJc w:val="left"/>
      <w:pPr>
        <w:ind w:left="5040" w:hanging="360"/>
      </w:pPr>
    </w:lvl>
    <w:lvl w:ilvl="7" w:tplc="816EFB32">
      <w:start w:val="1"/>
      <w:numFmt w:val="lowerLetter"/>
      <w:lvlText w:val="%8."/>
      <w:lvlJc w:val="left"/>
      <w:pPr>
        <w:ind w:left="5760" w:hanging="360"/>
      </w:pPr>
    </w:lvl>
    <w:lvl w:ilvl="8" w:tplc="6E901EA0">
      <w:start w:val="1"/>
      <w:numFmt w:val="lowerRoman"/>
      <w:lvlText w:val="%9."/>
      <w:lvlJc w:val="right"/>
      <w:pPr>
        <w:ind w:left="6480" w:hanging="180"/>
      </w:pPr>
    </w:lvl>
  </w:abstractNum>
  <w:abstractNum w:abstractNumId="7" w15:restartNumberingAfterBreak="0">
    <w:nsid w:val="2967235A"/>
    <w:multiLevelType w:val="hybridMultilevel"/>
    <w:tmpl w:val="2B5E2B42"/>
    <w:lvl w:ilvl="0" w:tplc="EDF4506A">
      <w:start w:val="77"/>
      <w:numFmt w:val="decimal"/>
      <w:lvlText w:val="%1."/>
      <w:lvlJc w:val="left"/>
      <w:pPr>
        <w:ind w:left="720" w:hanging="360"/>
      </w:pPr>
      <w:rPr>
        <w:rFonts w:ascii="Calibri" w:hAnsi="Calibri" w:hint="default"/>
      </w:rPr>
    </w:lvl>
    <w:lvl w:ilvl="1" w:tplc="655CEF2C">
      <w:start w:val="1"/>
      <w:numFmt w:val="lowerLetter"/>
      <w:lvlText w:val="%2."/>
      <w:lvlJc w:val="left"/>
      <w:pPr>
        <w:ind w:left="1440" w:hanging="360"/>
      </w:pPr>
    </w:lvl>
    <w:lvl w:ilvl="2" w:tplc="3014B9AC">
      <w:start w:val="1"/>
      <w:numFmt w:val="lowerRoman"/>
      <w:lvlText w:val="%3."/>
      <w:lvlJc w:val="right"/>
      <w:pPr>
        <w:ind w:left="2160" w:hanging="180"/>
      </w:pPr>
    </w:lvl>
    <w:lvl w:ilvl="3" w:tplc="7F601BF4">
      <w:start w:val="1"/>
      <w:numFmt w:val="decimal"/>
      <w:lvlText w:val="%4."/>
      <w:lvlJc w:val="left"/>
      <w:pPr>
        <w:ind w:left="2880" w:hanging="360"/>
      </w:pPr>
    </w:lvl>
    <w:lvl w:ilvl="4" w:tplc="C342764A">
      <w:start w:val="1"/>
      <w:numFmt w:val="lowerLetter"/>
      <w:lvlText w:val="%5."/>
      <w:lvlJc w:val="left"/>
      <w:pPr>
        <w:ind w:left="3600" w:hanging="360"/>
      </w:pPr>
    </w:lvl>
    <w:lvl w:ilvl="5" w:tplc="58701508">
      <w:start w:val="1"/>
      <w:numFmt w:val="lowerRoman"/>
      <w:lvlText w:val="%6."/>
      <w:lvlJc w:val="right"/>
      <w:pPr>
        <w:ind w:left="4320" w:hanging="180"/>
      </w:pPr>
    </w:lvl>
    <w:lvl w:ilvl="6" w:tplc="2DD005CE">
      <w:start w:val="1"/>
      <w:numFmt w:val="decimal"/>
      <w:lvlText w:val="%7."/>
      <w:lvlJc w:val="left"/>
      <w:pPr>
        <w:ind w:left="5040" w:hanging="360"/>
      </w:pPr>
    </w:lvl>
    <w:lvl w:ilvl="7" w:tplc="24263C60">
      <w:start w:val="1"/>
      <w:numFmt w:val="lowerLetter"/>
      <w:lvlText w:val="%8."/>
      <w:lvlJc w:val="left"/>
      <w:pPr>
        <w:ind w:left="5760" w:hanging="360"/>
      </w:pPr>
    </w:lvl>
    <w:lvl w:ilvl="8" w:tplc="ACD86A86">
      <w:start w:val="1"/>
      <w:numFmt w:val="lowerRoman"/>
      <w:lvlText w:val="%9."/>
      <w:lvlJc w:val="right"/>
      <w:pPr>
        <w:ind w:left="6480" w:hanging="180"/>
      </w:pPr>
    </w:lvl>
  </w:abstractNum>
  <w:abstractNum w:abstractNumId="8" w15:restartNumberingAfterBreak="0">
    <w:nsid w:val="2C965409"/>
    <w:multiLevelType w:val="hybridMultilevel"/>
    <w:tmpl w:val="2A0EA132"/>
    <w:lvl w:ilvl="0" w:tplc="6AE6562A">
      <w:start w:val="1"/>
      <w:numFmt w:val="bullet"/>
      <w:lvlText w:val="-"/>
      <w:lvlJc w:val="left"/>
      <w:pPr>
        <w:ind w:left="720" w:hanging="360"/>
      </w:pPr>
      <w:rPr>
        <w:rFonts w:ascii="Aptos" w:hAnsi="Aptos" w:hint="default"/>
      </w:rPr>
    </w:lvl>
    <w:lvl w:ilvl="1" w:tplc="E232132C">
      <w:start w:val="1"/>
      <w:numFmt w:val="bullet"/>
      <w:lvlText w:val="o"/>
      <w:lvlJc w:val="left"/>
      <w:pPr>
        <w:ind w:left="1440" w:hanging="360"/>
      </w:pPr>
      <w:rPr>
        <w:rFonts w:ascii="Courier New" w:hAnsi="Courier New" w:hint="default"/>
      </w:rPr>
    </w:lvl>
    <w:lvl w:ilvl="2" w:tplc="FFD8C988">
      <w:start w:val="1"/>
      <w:numFmt w:val="bullet"/>
      <w:lvlText w:val=""/>
      <w:lvlJc w:val="left"/>
      <w:pPr>
        <w:ind w:left="2160" w:hanging="360"/>
      </w:pPr>
      <w:rPr>
        <w:rFonts w:ascii="Wingdings" w:hAnsi="Wingdings" w:hint="default"/>
      </w:rPr>
    </w:lvl>
    <w:lvl w:ilvl="3" w:tplc="EB8864F2">
      <w:start w:val="1"/>
      <w:numFmt w:val="bullet"/>
      <w:lvlText w:val=""/>
      <w:lvlJc w:val="left"/>
      <w:pPr>
        <w:ind w:left="2880" w:hanging="360"/>
      </w:pPr>
      <w:rPr>
        <w:rFonts w:ascii="Symbol" w:hAnsi="Symbol" w:hint="default"/>
      </w:rPr>
    </w:lvl>
    <w:lvl w:ilvl="4" w:tplc="28FCD010">
      <w:start w:val="1"/>
      <w:numFmt w:val="bullet"/>
      <w:lvlText w:val="o"/>
      <w:lvlJc w:val="left"/>
      <w:pPr>
        <w:ind w:left="3600" w:hanging="360"/>
      </w:pPr>
      <w:rPr>
        <w:rFonts w:ascii="Courier New" w:hAnsi="Courier New" w:hint="default"/>
      </w:rPr>
    </w:lvl>
    <w:lvl w:ilvl="5" w:tplc="9432CAE2">
      <w:start w:val="1"/>
      <w:numFmt w:val="bullet"/>
      <w:lvlText w:val=""/>
      <w:lvlJc w:val="left"/>
      <w:pPr>
        <w:ind w:left="4320" w:hanging="360"/>
      </w:pPr>
      <w:rPr>
        <w:rFonts w:ascii="Wingdings" w:hAnsi="Wingdings" w:hint="default"/>
      </w:rPr>
    </w:lvl>
    <w:lvl w:ilvl="6" w:tplc="BCB02EE4">
      <w:start w:val="1"/>
      <w:numFmt w:val="bullet"/>
      <w:lvlText w:val=""/>
      <w:lvlJc w:val="left"/>
      <w:pPr>
        <w:ind w:left="5040" w:hanging="360"/>
      </w:pPr>
      <w:rPr>
        <w:rFonts w:ascii="Symbol" w:hAnsi="Symbol" w:hint="default"/>
      </w:rPr>
    </w:lvl>
    <w:lvl w:ilvl="7" w:tplc="39C8FDAC">
      <w:start w:val="1"/>
      <w:numFmt w:val="bullet"/>
      <w:lvlText w:val="o"/>
      <w:lvlJc w:val="left"/>
      <w:pPr>
        <w:ind w:left="5760" w:hanging="360"/>
      </w:pPr>
      <w:rPr>
        <w:rFonts w:ascii="Courier New" w:hAnsi="Courier New" w:hint="default"/>
      </w:rPr>
    </w:lvl>
    <w:lvl w:ilvl="8" w:tplc="61764E0E">
      <w:start w:val="1"/>
      <w:numFmt w:val="bullet"/>
      <w:lvlText w:val=""/>
      <w:lvlJc w:val="left"/>
      <w:pPr>
        <w:ind w:left="6480" w:hanging="360"/>
      </w:pPr>
      <w:rPr>
        <w:rFonts w:ascii="Wingdings" w:hAnsi="Wingdings" w:hint="default"/>
      </w:rPr>
    </w:lvl>
  </w:abstractNum>
  <w:abstractNum w:abstractNumId="9" w15:restartNumberingAfterBreak="0">
    <w:nsid w:val="2F3504BD"/>
    <w:multiLevelType w:val="hybridMultilevel"/>
    <w:tmpl w:val="0AB4E902"/>
    <w:lvl w:ilvl="0" w:tplc="818C756C">
      <w:start w:val="75"/>
      <w:numFmt w:val="decimal"/>
      <w:lvlText w:val="%1."/>
      <w:lvlJc w:val="left"/>
      <w:pPr>
        <w:ind w:left="720" w:hanging="360"/>
      </w:pPr>
      <w:rPr>
        <w:rFonts w:ascii="Calibri" w:hAnsi="Calibri" w:hint="default"/>
      </w:rPr>
    </w:lvl>
    <w:lvl w:ilvl="1" w:tplc="12E424D0">
      <w:start w:val="1"/>
      <w:numFmt w:val="lowerLetter"/>
      <w:lvlText w:val="%2."/>
      <w:lvlJc w:val="left"/>
      <w:pPr>
        <w:ind w:left="1440" w:hanging="360"/>
      </w:pPr>
    </w:lvl>
    <w:lvl w:ilvl="2" w:tplc="C8DADD14">
      <w:start w:val="1"/>
      <w:numFmt w:val="lowerRoman"/>
      <w:lvlText w:val="%3."/>
      <w:lvlJc w:val="right"/>
      <w:pPr>
        <w:ind w:left="2160" w:hanging="180"/>
      </w:pPr>
    </w:lvl>
    <w:lvl w:ilvl="3" w:tplc="DACE908E">
      <w:start w:val="1"/>
      <w:numFmt w:val="decimal"/>
      <w:lvlText w:val="%4."/>
      <w:lvlJc w:val="left"/>
      <w:pPr>
        <w:ind w:left="2880" w:hanging="360"/>
      </w:pPr>
    </w:lvl>
    <w:lvl w:ilvl="4" w:tplc="FC280E6A">
      <w:start w:val="1"/>
      <w:numFmt w:val="lowerLetter"/>
      <w:lvlText w:val="%5."/>
      <w:lvlJc w:val="left"/>
      <w:pPr>
        <w:ind w:left="3600" w:hanging="360"/>
      </w:pPr>
    </w:lvl>
    <w:lvl w:ilvl="5" w:tplc="5FEEB972">
      <w:start w:val="1"/>
      <w:numFmt w:val="lowerRoman"/>
      <w:lvlText w:val="%6."/>
      <w:lvlJc w:val="right"/>
      <w:pPr>
        <w:ind w:left="4320" w:hanging="180"/>
      </w:pPr>
    </w:lvl>
    <w:lvl w:ilvl="6" w:tplc="CB1C82D0">
      <w:start w:val="1"/>
      <w:numFmt w:val="decimal"/>
      <w:lvlText w:val="%7."/>
      <w:lvlJc w:val="left"/>
      <w:pPr>
        <w:ind w:left="5040" w:hanging="360"/>
      </w:pPr>
    </w:lvl>
    <w:lvl w:ilvl="7" w:tplc="E86628EE">
      <w:start w:val="1"/>
      <w:numFmt w:val="lowerLetter"/>
      <w:lvlText w:val="%8."/>
      <w:lvlJc w:val="left"/>
      <w:pPr>
        <w:ind w:left="5760" w:hanging="360"/>
      </w:pPr>
    </w:lvl>
    <w:lvl w:ilvl="8" w:tplc="9D4AB3A4">
      <w:start w:val="1"/>
      <w:numFmt w:val="lowerRoman"/>
      <w:lvlText w:val="%9."/>
      <w:lvlJc w:val="right"/>
      <w:pPr>
        <w:ind w:left="6480" w:hanging="180"/>
      </w:pPr>
    </w:lvl>
  </w:abstractNum>
  <w:abstractNum w:abstractNumId="10" w15:restartNumberingAfterBreak="0">
    <w:nsid w:val="35F56FDE"/>
    <w:multiLevelType w:val="hybridMultilevel"/>
    <w:tmpl w:val="B2001894"/>
    <w:lvl w:ilvl="0" w:tplc="3894F526">
      <w:start w:val="80"/>
      <w:numFmt w:val="decimal"/>
      <w:lvlText w:val="%1."/>
      <w:lvlJc w:val="left"/>
      <w:pPr>
        <w:ind w:left="720" w:hanging="360"/>
      </w:pPr>
      <w:rPr>
        <w:rFonts w:ascii="Calibri" w:hAnsi="Calibri" w:hint="default"/>
      </w:rPr>
    </w:lvl>
    <w:lvl w:ilvl="1" w:tplc="7BEC93FE">
      <w:start w:val="1"/>
      <w:numFmt w:val="lowerLetter"/>
      <w:lvlText w:val="%2."/>
      <w:lvlJc w:val="left"/>
      <w:pPr>
        <w:ind w:left="1440" w:hanging="360"/>
      </w:pPr>
    </w:lvl>
    <w:lvl w:ilvl="2" w:tplc="176AC714">
      <w:start w:val="1"/>
      <w:numFmt w:val="lowerRoman"/>
      <w:lvlText w:val="%3."/>
      <w:lvlJc w:val="right"/>
      <w:pPr>
        <w:ind w:left="2160" w:hanging="180"/>
      </w:pPr>
    </w:lvl>
    <w:lvl w:ilvl="3" w:tplc="C76068CE">
      <w:start w:val="1"/>
      <w:numFmt w:val="decimal"/>
      <w:lvlText w:val="%4."/>
      <w:lvlJc w:val="left"/>
      <w:pPr>
        <w:ind w:left="2880" w:hanging="360"/>
      </w:pPr>
    </w:lvl>
    <w:lvl w:ilvl="4" w:tplc="2428799A">
      <w:start w:val="1"/>
      <w:numFmt w:val="lowerLetter"/>
      <w:lvlText w:val="%5."/>
      <w:lvlJc w:val="left"/>
      <w:pPr>
        <w:ind w:left="3600" w:hanging="360"/>
      </w:pPr>
    </w:lvl>
    <w:lvl w:ilvl="5" w:tplc="88EA084A">
      <w:start w:val="1"/>
      <w:numFmt w:val="lowerRoman"/>
      <w:lvlText w:val="%6."/>
      <w:lvlJc w:val="right"/>
      <w:pPr>
        <w:ind w:left="4320" w:hanging="180"/>
      </w:pPr>
    </w:lvl>
    <w:lvl w:ilvl="6" w:tplc="6A604EC6">
      <w:start w:val="1"/>
      <w:numFmt w:val="decimal"/>
      <w:lvlText w:val="%7."/>
      <w:lvlJc w:val="left"/>
      <w:pPr>
        <w:ind w:left="5040" w:hanging="360"/>
      </w:pPr>
    </w:lvl>
    <w:lvl w:ilvl="7" w:tplc="8E00F896">
      <w:start w:val="1"/>
      <w:numFmt w:val="lowerLetter"/>
      <w:lvlText w:val="%8."/>
      <w:lvlJc w:val="left"/>
      <w:pPr>
        <w:ind w:left="5760" w:hanging="360"/>
      </w:pPr>
    </w:lvl>
    <w:lvl w:ilvl="8" w:tplc="45FEA222">
      <w:start w:val="1"/>
      <w:numFmt w:val="lowerRoman"/>
      <w:lvlText w:val="%9."/>
      <w:lvlJc w:val="right"/>
      <w:pPr>
        <w:ind w:left="6480" w:hanging="180"/>
      </w:pPr>
    </w:lvl>
  </w:abstractNum>
  <w:abstractNum w:abstractNumId="11" w15:restartNumberingAfterBreak="0">
    <w:nsid w:val="3C9A98B4"/>
    <w:multiLevelType w:val="hybridMultilevel"/>
    <w:tmpl w:val="2F507A14"/>
    <w:lvl w:ilvl="0" w:tplc="D3727BA4">
      <w:start w:val="1"/>
      <w:numFmt w:val="bullet"/>
      <w:lvlText w:val="-"/>
      <w:lvlJc w:val="left"/>
      <w:pPr>
        <w:ind w:left="720" w:hanging="360"/>
      </w:pPr>
      <w:rPr>
        <w:rFonts w:ascii="Aptos" w:hAnsi="Aptos" w:hint="default"/>
      </w:rPr>
    </w:lvl>
    <w:lvl w:ilvl="1" w:tplc="C8224586">
      <w:start w:val="1"/>
      <w:numFmt w:val="bullet"/>
      <w:lvlText w:val="o"/>
      <w:lvlJc w:val="left"/>
      <w:pPr>
        <w:ind w:left="1440" w:hanging="360"/>
      </w:pPr>
      <w:rPr>
        <w:rFonts w:ascii="Courier New" w:hAnsi="Courier New" w:hint="default"/>
      </w:rPr>
    </w:lvl>
    <w:lvl w:ilvl="2" w:tplc="7F345546">
      <w:start w:val="1"/>
      <w:numFmt w:val="bullet"/>
      <w:lvlText w:val=""/>
      <w:lvlJc w:val="left"/>
      <w:pPr>
        <w:ind w:left="2160" w:hanging="360"/>
      </w:pPr>
      <w:rPr>
        <w:rFonts w:ascii="Wingdings" w:hAnsi="Wingdings" w:hint="default"/>
      </w:rPr>
    </w:lvl>
    <w:lvl w:ilvl="3" w:tplc="C1E63532">
      <w:start w:val="1"/>
      <w:numFmt w:val="bullet"/>
      <w:lvlText w:val=""/>
      <w:lvlJc w:val="left"/>
      <w:pPr>
        <w:ind w:left="2880" w:hanging="360"/>
      </w:pPr>
      <w:rPr>
        <w:rFonts w:ascii="Symbol" w:hAnsi="Symbol" w:hint="default"/>
      </w:rPr>
    </w:lvl>
    <w:lvl w:ilvl="4" w:tplc="3758A286">
      <w:start w:val="1"/>
      <w:numFmt w:val="bullet"/>
      <w:lvlText w:val="o"/>
      <w:lvlJc w:val="left"/>
      <w:pPr>
        <w:ind w:left="3600" w:hanging="360"/>
      </w:pPr>
      <w:rPr>
        <w:rFonts w:ascii="Courier New" w:hAnsi="Courier New" w:hint="default"/>
      </w:rPr>
    </w:lvl>
    <w:lvl w:ilvl="5" w:tplc="6B840404">
      <w:start w:val="1"/>
      <w:numFmt w:val="bullet"/>
      <w:lvlText w:val=""/>
      <w:lvlJc w:val="left"/>
      <w:pPr>
        <w:ind w:left="4320" w:hanging="360"/>
      </w:pPr>
      <w:rPr>
        <w:rFonts w:ascii="Wingdings" w:hAnsi="Wingdings" w:hint="default"/>
      </w:rPr>
    </w:lvl>
    <w:lvl w:ilvl="6" w:tplc="6FA69FAA">
      <w:start w:val="1"/>
      <w:numFmt w:val="bullet"/>
      <w:lvlText w:val=""/>
      <w:lvlJc w:val="left"/>
      <w:pPr>
        <w:ind w:left="5040" w:hanging="360"/>
      </w:pPr>
      <w:rPr>
        <w:rFonts w:ascii="Symbol" w:hAnsi="Symbol" w:hint="default"/>
      </w:rPr>
    </w:lvl>
    <w:lvl w:ilvl="7" w:tplc="A2C85292">
      <w:start w:val="1"/>
      <w:numFmt w:val="bullet"/>
      <w:lvlText w:val="o"/>
      <w:lvlJc w:val="left"/>
      <w:pPr>
        <w:ind w:left="5760" w:hanging="360"/>
      </w:pPr>
      <w:rPr>
        <w:rFonts w:ascii="Courier New" w:hAnsi="Courier New" w:hint="default"/>
      </w:rPr>
    </w:lvl>
    <w:lvl w:ilvl="8" w:tplc="20360028">
      <w:start w:val="1"/>
      <w:numFmt w:val="bullet"/>
      <w:lvlText w:val=""/>
      <w:lvlJc w:val="left"/>
      <w:pPr>
        <w:ind w:left="6480" w:hanging="360"/>
      </w:pPr>
      <w:rPr>
        <w:rFonts w:ascii="Wingdings" w:hAnsi="Wingdings" w:hint="default"/>
      </w:rPr>
    </w:lvl>
  </w:abstractNum>
  <w:abstractNum w:abstractNumId="12" w15:restartNumberingAfterBreak="0">
    <w:nsid w:val="40C48FA9"/>
    <w:multiLevelType w:val="hybridMultilevel"/>
    <w:tmpl w:val="3D8C9B46"/>
    <w:lvl w:ilvl="0" w:tplc="746CC154">
      <w:start w:val="50"/>
      <w:numFmt w:val="decimal"/>
      <w:lvlText w:val="%1."/>
      <w:lvlJc w:val="left"/>
      <w:pPr>
        <w:ind w:left="720" w:hanging="360"/>
      </w:pPr>
      <w:rPr>
        <w:rFonts w:ascii="Calibri" w:hAnsi="Calibri" w:hint="default"/>
      </w:rPr>
    </w:lvl>
    <w:lvl w:ilvl="1" w:tplc="567072FA">
      <w:start w:val="1"/>
      <w:numFmt w:val="lowerLetter"/>
      <w:lvlText w:val="%2."/>
      <w:lvlJc w:val="left"/>
      <w:pPr>
        <w:ind w:left="1440" w:hanging="360"/>
      </w:pPr>
    </w:lvl>
    <w:lvl w:ilvl="2" w:tplc="80CA59AC">
      <w:start w:val="1"/>
      <w:numFmt w:val="lowerRoman"/>
      <w:lvlText w:val="%3."/>
      <w:lvlJc w:val="right"/>
      <w:pPr>
        <w:ind w:left="2160" w:hanging="180"/>
      </w:pPr>
    </w:lvl>
    <w:lvl w:ilvl="3" w:tplc="83F267BC">
      <w:start w:val="1"/>
      <w:numFmt w:val="decimal"/>
      <w:lvlText w:val="%4."/>
      <w:lvlJc w:val="left"/>
      <w:pPr>
        <w:ind w:left="2880" w:hanging="360"/>
      </w:pPr>
    </w:lvl>
    <w:lvl w:ilvl="4" w:tplc="0890EAB6">
      <w:start w:val="1"/>
      <w:numFmt w:val="lowerLetter"/>
      <w:lvlText w:val="%5."/>
      <w:lvlJc w:val="left"/>
      <w:pPr>
        <w:ind w:left="3600" w:hanging="360"/>
      </w:pPr>
    </w:lvl>
    <w:lvl w:ilvl="5" w:tplc="CB9CAA20">
      <w:start w:val="1"/>
      <w:numFmt w:val="lowerRoman"/>
      <w:lvlText w:val="%6."/>
      <w:lvlJc w:val="right"/>
      <w:pPr>
        <w:ind w:left="4320" w:hanging="180"/>
      </w:pPr>
    </w:lvl>
    <w:lvl w:ilvl="6" w:tplc="2DA47B92">
      <w:start w:val="1"/>
      <w:numFmt w:val="decimal"/>
      <w:lvlText w:val="%7."/>
      <w:lvlJc w:val="left"/>
      <w:pPr>
        <w:ind w:left="5040" w:hanging="360"/>
      </w:pPr>
    </w:lvl>
    <w:lvl w:ilvl="7" w:tplc="330CD91A">
      <w:start w:val="1"/>
      <w:numFmt w:val="lowerLetter"/>
      <w:lvlText w:val="%8."/>
      <w:lvlJc w:val="left"/>
      <w:pPr>
        <w:ind w:left="5760" w:hanging="360"/>
      </w:pPr>
    </w:lvl>
    <w:lvl w:ilvl="8" w:tplc="55EEEAAC">
      <w:start w:val="1"/>
      <w:numFmt w:val="lowerRoman"/>
      <w:lvlText w:val="%9."/>
      <w:lvlJc w:val="right"/>
      <w:pPr>
        <w:ind w:left="6480" w:hanging="180"/>
      </w:pPr>
    </w:lvl>
  </w:abstractNum>
  <w:abstractNum w:abstractNumId="13" w15:restartNumberingAfterBreak="0">
    <w:nsid w:val="53962171"/>
    <w:multiLevelType w:val="hybridMultilevel"/>
    <w:tmpl w:val="5072C04E"/>
    <w:lvl w:ilvl="0" w:tplc="1F045298">
      <w:start w:val="52"/>
      <w:numFmt w:val="decimal"/>
      <w:lvlText w:val="%1."/>
      <w:lvlJc w:val="left"/>
      <w:pPr>
        <w:ind w:left="720" w:hanging="360"/>
      </w:pPr>
      <w:rPr>
        <w:rFonts w:ascii="Calibri" w:hAnsi="Calibri" w:hint="default"/>
      </w:rPr>
    </w:lvl>
    <w:lvl w:ilvl="1" w:tplc="0396C964">
      <w:start w:val="1"/>
      <w:numFmt w:val="lowerLetter"/>
      <w:lvlText w:val="%2."/>
      <w:lvlJc w:val="left"/>
      <w:pPr>
        <w:ind w:left="1440" w:hanging="360"/>
      </w:pPr>
    </w:lvl>
    <w:lvl w:ilvl="2" w:tplc="B3AA1D98">
      <w:start w:val="1"/>
      <w:numFmt w:val="lowerRoman"/>
      <w:lvlText w:val="%3."/>
      <w:lvlJc w:val="right"/>
      <w:pPr>
        <w:ind w:left="2160" w:hanging="180"/>
      </w:pPr>
    </w:lvl>
    <w:lvl w:ilvl="3" w:tplc="BF049BF6">
      <w:start w:val="1"/>
      <w:numFmt w:val="decimal"/>
      <w:lvlText w:val="%4."/>
      <w:lvlJc w:val="left"/>
      <w:pPr>
        <w:ind w:left="2880" w:hanging="360"/>
      </w:pPr>
    </w:lvl>
    <w:lvl w:ilvl="4" w:tplc="97AE6A46">
      <w:start w:val="1"/>
      <w:numFmt w:val="lowerLetter"/>
      <w:lvlText w:val="%5."/>
      <w:lvlJc w:val="left"/>
      <w:pPr>
        <w:ind w:left="3600" w:hanging="360"/>
      </w:pPr>
    </w:lvl>
    <w:lvl w:ilvl="5" w:tplc="84ECCDF0">
      <w:start w:val="1"/>
      <w:numFmt w:val="lowerRoman"/>
      <w:lvlText w:val="%6."/>
      <w:lvlJc w:val="right"/>
      <w:pPr>
        <w:ind w:left="4320" w:hanging="180"/>
      </w:pPr>
    </w:lvl>
    <w:lvl w:ilvl="6" w:tplc="F0CEC7C6">
      <w:start w:val="1"/>
      <w:numFmt w:val="decimal"/>
      <w:lvlText w:val="%7."/>
      <w:lvlJc w:val="left"/>
      <w:pPr>
        <w:ind w:left="5040" w:hanging="360"/>
      </w:pPr>
    </w:lvl>
    <w:lvl w:ilvl="7" w:tplc="969C5774">
      <w:start w:val="1"/>
      <w:numFmt w:val="lowerLetter"/>
      <w:lvlText w:val="%8."/>
      <w:lvlJc w:val="left"/>
      <w:pPr>
        <w:ind w:left="5760" w:hanging="360"/>
      </w:pPr>
    </w:lvl>
    <w:lvl w:ilvl="8" w:tplc="80E2EA36">
      <w:start w:val="1"/>
      <w:numFmt w:val="lowerRoman"/>
      <w:lvlText w:val="%9."/>
      <w:lvlJc w:val="right"/>
      <w:pPr>
        <w:ind w:left="6480" w:hanging="180"/>
      </w:pPr>
    </w:lvl>
  </w:abstractNum>
  <w:abstractNum w:abstractNumId="14" w15:restartNumberingAfterBreak="0">
    <w:nsid w:val="552E38CB"/>
    <w:multiLevelType w:val="hybridMultilevel"/>
    <w:tmpl w:val="1114AA80"/>
    <w:lvl w:ilvl="0" w:tplc="9FF85482">
      <w:start w:val="81"/>
      <w:numFmt w:val="decimal"/>
      <w:lvlText w:val="%1."/>
      <w:lvlJc w:val="left"/>
      <w:pPr>
        <w:ind w:left="720" w:hanging="360"/>
      </w:pPr>
      <w:rPr>
        <w:rFonts w:ascii="Calibri" w:hAnsi="Calibri" w:hint="default"/>
      </w:rPr>
    </w:lvl>
    <w:lvl w:ilvl="1" w:tplc="8ECC9730">
      <w:start w:val="1"/>
      <w:numFmt w:val="lowerLetter"/>
      <w:lvlText w:val="%2."/>
      <w:lvlJc w:val="left"/>
      <w:pPr>
        <w:ind w:left="1440" w:hanging="360"/>
      </w:pPr>
    </w:lvl>
    <w:lvl w:ilvl="2" w:tplc="8DEE4834">
      <w:start w:val="1"/>
      <w:numFmt w:val="lowerRoman"/>
      <w:lvlText w:val="%3."/>
      <w:lvlJc w:val="right"/>
      <w:pPr>
        <w:ind w:left="2160" w:hanging="180"/>
      </w:pPr>
    </w:lvl>
    <w:lvl w:ilvl="3" w:tplc="85B889EE">
      <w:start w:val="1"/>
      <w:numFmt w:val="decimal"/>
      <w:lvlText w:val="%4."/>
      <w:lvlJc w:val="left"/>
      <w:pPr>
        <w:ind w:left="2880" w:hanging="360"/>
      </w:pPr>
    </w:lvl>
    <w:lvl w:ilvl="4" w:tplc="190AEF08">
      <w:start w:val="1"/>
      <w:numFmt w:val="lowerLetter"/>
      <w:lvlText w:val="%5."/>
      <w:lvlJc w:val="left"/>
      <w:pPr>
        <w:ind w:left="3600" w:hanging="360"/>
      </w:pPr>
    </w:lvl>
    <w:lvl w:ilvl="5" w:tplc="CAA8160A">
      <w:start w:val="1"/>
      <w:numFmt w:val="lowerRoman"/>
      <w:lvlText w:val="%6."/>
      <w:lvlJc w:val="right"/>
      <w:pPr>
        <w:ind w:left="4320" w:hanging="180"/>
      </w:pPr>
    </w:lvl>
    <w:lvl w:ilvl="6" w:tplc="E15890B8">
      <w:start w:val="1"/>
      <w:numFmt w:val="decimal"/>
      <w:lvlText w:val="%7."/>
      <w:lvlJc w:val="left"/>
      <w:pPr>
        <w:ind w:left="5040" w:hanging="360"/>
      </w:pPr>
    </w:lvl>
    <w:lvl w:ilvl="7" w:tplc="4B9E791A">
      <w:start w:val="1"/>
      <w:numFmt w:val="lowerLetter"/>
      <w:lvlText w:val="%8."/>
      <w:lvlJc w:val="left"/>
      <w:pPr>
        <w:ind w:left="5760" w:hanging="360"/>
      </w:pPr>
    </w:lvl>
    <w:lvl w:ilvl="8" w:tplc="78CEE546">
      <w:start w:val="1"/>
      <w:numFmt w:val="lowerRoman"/>
      <w:lvlText w:val="%9."/>
      <w:lvlJc w:val="right"/>
      <w:pPr>
        <w:ind w:left="6480" w:hanging="180"/>
      </w:pPr>
    </w:lvl>
  </w:abstractNum>
  <w:abstractNum w:abstractNumId="15" w15:restartNumberingAfterBreak="0">
    <w:nsid w:val="584C292A"/>
    <w:multiLevelType w:val="hybridMultilevel"/>
    <w:tmpl w:val="59F0CCB8"/>
    <w:lvl w:ilvl="0" w:tplc="61C8A514">
      <w:start w:val="1"/>
      <w:numFmt w:val="bullet"/>
      <w:lvlText w:val="-"/>
      <w:lvlJc w:val="left"/>
      <w:pPr>
        <w:ind w:left="720" w:hanging="360"/>
      </w:pPr>
      <w:rPr>
        <w:rFonts w:ascii="Aptos" w:hAnsi="Aptos" w:hint="default"/>
      </w:rPr>
    </w:lvl>
    <w:lvl w:ilvl="1" w:tplc="61601B9E">
      <w:start w:val="1"/>
      <w:numFmt w:val="bullet"/>
      <w:lvlText w:val="o"/>
      <w:lvlJc w:val="left"/>
      <w:pPr>
        <w:ind w:left="1440" w:hanging="360"/>
      </w:pPr>
      <w:rPr>
        <w:rFonts w:ascii="Courier New" w:hAnsi="Courier New" w:hint="default"/>
      </w:rPr>
    </w:lvl>
    <w:lvl w:ilvl="2" w:tplc="D736C9BC">
      <w:start w:val="1"/>
      <w:numFmt w:val="bullet"/>
      <w:lvlText w:val=""/>
      <w:lvlJc w:val="left"/>
      <w:pPr>
        <w:ind w:left="2160" w:hanging="360"/>
      </w:pPr>
      <w:rPr>
        <w:rFonts w:ascii="Wingdings" w:hAnsi="Wingdings" w:hint="default"/>
      </w:rPr>
    </w:lvl>
    <w:lvl w:ilvl="3" w:tplc="E266F428">
      <w:start w:val="1"/>
      <w:numFmt w:val="bullet"/>
      <w:lvlText w:val=""/>
      <w:lvlJc w:val="left"/>
      <w:pPr>
        <w:ind w:left="2880" w:hanging="360"/>
      </w:pPr>
      <w:rPr>
        <w:rFonts w:ascii="Symbol" w:hAnsi="Symbol" w:hint="default"/>
      </w:rPr>
    </w:lvl>
    <w:lvl w:ilvl="4" w:tplc="5E881088">
      <w:start w:val="1"/>
      <w:numFmt w:val="bullet"/>
      <w:lvlText w:val="o"/>
      <w:lvlJc w:val="left"/>
      <w:pPr>
        <w:ind w:left="3600" w:hanging="360"/>
      </w:pPr>
      <w:rPr>
        <w:rFonts w:ascii="Courier New" w:hAnsi="Courier New" w:hint="default"/>
      </w:rPr>
    </w:lvl>
    <w:lvl w:ilvl="5" w:tplc="AD728EF0">
      <w:start w:val="1"/>
      <w:numFmt w:val="bullet"/>
      <w:lvlText w:val=""/>
      <w:lvlJc w:val="left"/>
      <w:pPr>
        <w:ind w:left="4320" w:hanging="360"/>
      </w:pPr>
      <w:rPr>
        <w:rFonts w:ascii="Wingdings" w:hAnsi="Wingdings" w:hint="default"/>
      </w:rPr>
    </w:lvl>
    <w:lvl w:ilvl="6" w:tplc="21F03B96">
      <w:start w:val="1"/>
      <w:numFmt w:val="bullet"/>
      <w:lvlText w:val=""/>
      <w:lvlJc w:val="left"/>
      <w:pPr>
        <w:ind w:left="5040" w:hanging="360"/>
      </w:pPr>
      <w:rPr>
        <w:rFonts w:ascii="Symbol" w:hAnsi="Symbol" w:hint="default"/>
      </w:rPr>
    </w:lvl>
    <w:lvl w:ilvl="7" w:tplc="52A4E8E4">
      <w:start w:val="1"/>
      <w:numFmt w:val="bullet"/>
      <w:lvlText w:val="o"/>
      <w:lvlJc w:val="left"/>
      <w:pPr>
        <w:ind w:left="5760" w:hanging="360"/>
      </w:pPr>
      <w:rPr>
        <w:rFonts w:ascii="Courier New" w:hAnsi="Courier New" w:hint="default"/>
      </w:rPr>
    </w:lvl>
    <w:lvl w:ilvl="8" w:tplc="28DABA2A">
      <w:start w:val="1"/>
      <w:numFmt w:val="bullet"/>
      <w:lvlText w:val=""/>
      <w:lvlJc w:val="left"/>
      <w:pPr>
        <w:ind w:left="6480" w:hanging="360"/>
      </w:pPr>
      <w:rPr>
        <w:rFonts w:ascii="Wingdings" w:hAnsi="Wingdings" w:hint="default"/>
      </w:rPr>
    </w:lvl>
  </w:abstractNum>
  <w:abstractNum w:abstractNumId="16" w15:restartNumberingAfterBreak="0">
    <w:nsid w:val="5D065CCF"/>
    <w:multiLevelType w:val="hybridMultilevel"/>
    <w:tmpl w:val="60FE5456"/>
    <w:lvl w:ilvl="0" w:tplc="DE4CA8E6">
      <w:start w:val="1"/>
      <w:numFmt w:val="bullet"/>
      <w:lvlText w:val="-"/>
      <w:lvlJc w:val="left"/>
      <w:pPr>
        <w:ind w:left="720" w:hanging="360"/>
      </w:pPr>
      <w:rPr>
        <w:rFonts w:ascii="Aptos" w:hAnsi="Aptos" w:hint="default"/>
      </w:rPr>
    </w:lvl>
    <w:lvl w:ilvl="1" w:tplc="1172B1D8">
      <w:start w:val="1"/>
      <w:numFmt w:val="bullet"/>
      <w:lvlText w:val="o"/>
      <w:lvlJc w:val="left"/>
      <w:pPr>
        <w:ind w:left="1440" w:hanging="360"/>
      </w:pPr>
      <w:rPr>
        <w:rFonts w:ascii="Courier New" w:hAnsi="Courier New" w:hint="default"/>
      </w:rPr>
    </w:lvl>
    <w:lvl w:ilvl="2" w:tplc="3648C2F8">
      <w:start w:val="1"/>
      <w:numFmt w:val="bullet"/>
      <w:lvlText w:val=""/>
      <w:lvlJc w:val="left"/>
      <w:pPr>
        <w:ind w:left="2160" w:hanging="360"/>
      </w:pPr>
      <w:rPr>
        <w:rFonts w:ascii="Wingdings" w:hAnsi="Wingdings" w:hint="default"/>
      </w:rPr>
    </w:lvl>
    <w:lvl w:ilvl="3" w:tplc="2C44715A">
      <w:start w:val="1"/>
      <w:numFmt w:val="bullet"/>
      <w:lvlText w:val=""/>
      <w:lvlJc w:val="left"/>
      <w:pPr>
        <w:ind w:left="2880" w:hanging="360"/>
      </w:pPr>
      <w:rPr>
        <w:rFonts w:ascii="Symbol" w:hAnsi="Symbol" w:hint="default"/>
      </w:rPr>
    </w:lvl>
    <w:lvl w:ilvl="4" w:tplc="F5DC8C7C">
      <w:start w:val="1"/>
      <w:numFmt w:val="bullet"/>
      <w:lvlText w:val="o"/>
      <w:lvlJc w:val="left"/>
      <w:pPr>
        <w:ind w:left="3600" w:hanging="360"/>
      </w:pPr>
      <w:rPr>
        <w:rFonts w:ascii="Courier New" w:hAnsi="Courier New" w:hint="default"/>
      </w:rPr>
    </w:lvl>
    <w:lvl w:ilvl="5" w:tplc="1076DE24">
      <w:start w:val="1"/>
      <w:numFmt w:val="bullet"/>
      <w:lvlText w:val=""/>
      <w:lvlJc w:val="left"/>
      <w:pPr>
        <w:ind w:left="4320" w:hanging="360"/>
      </w:pPr>
      <w:rPr>
        <w:rFonts w:ascii="Wingdings" w:hAnsi="Wingdings" w:hint="default"/>
      </w:rPr>
    </w:lvl>
    <w:lvl w:ilvl="6" w:tplc="C8F056D2">
      <w:start w:val="1"/>
      <w:numFmt w:val="bullet"/>
      <w:lvlText w:val=""/>
      <w:lvlJc w:val="left"/>
      <w:pPr>
        <w:ind w:left="5040" w:hanging="360"/>
      </w:pPr>
      <w:rPr>
        <w:rFonts w:ascii="Symbol" w:hAnsi="Symbol" w:hint="default"/>
      </w:rPr>
    </w:lvl>
    <w:lvl w:ilvl="7" w:tplc="52504F12">
      <w:start w:val="1"/>
      <w:numFmt w:val="bullet"/>
      <w:lvlText w:val="o"/>
      <w:lvlJc w:val="left"/>
      <w:pPr>
        <w:ind w:left="5760" w:hanging="360"/>
      </w:pPr>
      <w:rPr>
        <w:rFonts w:ascii="Courier New" w:hAnsi="Courier New" w:hint="default"/>
      </w:rPr>
    </w:lvl>
    <w:lvl w:ilvl="8" w:tplc="D9CE53C4">
      <w:start w:val="1"/>
      <w:numFmt w:val="bullet"/>
      <w:lvlText w:val=""/>
      <w:lvlJc w:val="left"/>
      <w:pPr>
        <w:ind w:left="6480" w:hanging="360"/>
      </w:pPr>
      <w:rPr>
        <w:rFonts w:ascii="Wingdings" w:hAnsi="Wingdings" w:hint="default"/>
      </w:rPr>
    </w:lvl>
  </w:abstractNum>
  <w:abstractNum w:abstractNumId="17" w15:restartNumberingAfterBreak="0">
    <w:nsid w:val="63515102"/>
    <w:multiLevelType w:val="hybridMultilevel"/>
    <w:tmpl w:val="587E4470"/>
    <w:lvl w:ilvl="0" w:tplc="D23000F0">
      <w:start w:val="78"/>
      <w:numFmt w:val="decimal"/>
      <w:lvlText w:val="%1."/>
      <w:lvlJc w:val="left"/>
      <w:pPr>
        <w:ind w:left="720" w:hanging="360"/>
      </w:pPr>
      <w:rPr>
        <w:rFonts w:ascii="Calibri" w:hAnsi="Calibri" w:hint="default"/>
      </w:rPr>
    </w:lvl>
    <w:lvl w:ilvl="1" w:tplc="6AC6C8DA">
      <w:start w:val="1"/>
      <w:numFmt w:val="lowerLetter"/>
      <w:lvlText w:val="%2."/>
      <w:lvlJc w:val="left"/>
      <w:pPr>
        <w:ind w:left="1440" w:hanging="360"/>
      </w:pPr>
    </w:lvl>
    <w:lvl w:ilvl="2" w:tplc="EA14B4DC">
      <w:start w:val="1"/>
      <w:numFmt w:val="lowerRoman"/>
      <w:lvlText w:val="%3."/>
      <w:lvlJc w:val="right"/>
      <w:pPr>
        <w:ind w:left="2160" w:hanging="180"/>
      </w:pPr>
    </w:lvl>
    <w:lvl w:ilvl="3" w:tplc="F496A002">
      <w:start w:val="1"/>
      <w:numFmt w:val="decimal"/>
      <w:lvlText w:val="%4."/>
      <w:lvlJc w:val="left"/>
      <w:pPr>
        <w:ind w:left="2880" w:hanging="360"/>
      </w:pPr>
    </w:lvl>
    <w:lvl w:ilvl="4" w:tplc="16A04916">
      <w:start w:val="1"/>
      <w:numFmt w:val="lowerLetter"/>
      <w:lvlText w:val="%5."/>
      <w:lvlJc w:val="left"/>
      <w:pPr>
        <w:ind w:left="3600" w:hanging="360"/>
      </w:pPr>
    </w:lvl>
    <w:lvl w:ilvl="5" w:tplc="44EEB152">
      <w:start w:val="1"/>
      <w:numFmt w:val="lowerRoman"/>
      <w:lvlText w:val="%6."/>
      <w:lvlJc w:val="right"/>
      <w:pPr>
        <w:ind w:left="4320" w:hanging="180"/>
      </w:pPr>
    </w:lvl>
    <w:lvl w:ilvl="6" w:tplc="16C4B4D8">
      <w:start w:val="1"/>
      <w:numFmt w:val="decimal"/>
      <w:lvlText w:val="%7."/>
      <w:lvlJc w:val="left"/>
      <w:pPr>
        <w:ind w:left="5040" w:hanging="360"/>
      </w:pPr>
    </w:lvl>
    <w:lvl w:ilvl="7" w:tplc="398405D4">
      <w:start w:val="1"/>
      <w:numFmt w:val="lowerLetter"/>
      <w:lvlText w:val="%8."/>
      <w:lvlJc w:val="left"/>
      <w:pPr>
        <w:ind w:left="5760" w:hanging="360"/>
      </w:pPr>
    </w:lvl>
    <w:lvl w:ilvl="8" w:tplc="E34207C0">
      <w:start w:val="1"/>
      <w:numFmt w:val="lowerRoman"/>
      <w:lvlText w:val="%9."/>
      <w:lvlJc w:val="right"/>
      <w:pPr>
        <w:ind w:left="6480" w:hanging="180"/>
      </w:pPr>
    </w:lvl>
  </w:abstractNum>
  <w:abstractNum w:abstractNumId="18" w15:restartNumberingAfterBreak="0">
    <w:nsid w:val="66F8E7ED"/>
    <w:multiLevelType w:val="hybridMultilevel"/>
    <w:tmpl w:val="3FDAEB3C"/>
    <w:lvl w:ilvl="0" w:tplc="DC6CCBF0">
      <w:start w:val="79"/>
      <w:numFmt w:val="decimal"/>
      <w:lvlText w:val="%1."/>
      <w:lvlJc w:val="left"/>
      <w:pPr>
        <w:ind w:left="720" w:hanging="360"/>
      </w:pPr>
      <w:rPr>
        <w:rFonts w:ascii="Calibri" w:hAnsi="Calibri" w:hint="default"/>
      </w:rPr>
    </w:lvl>
    <w:lvl w:ilvl="1" w:tplc="43A0DBE8">
      <w:start w:val="1"/>
      <w:numFmt w:val="lowerLetter"/>
      <w:lvlText w:val="%2."/>
      <w:lvlJc w:val="left"/>
      <w:pPr>
        <w:ind w:left="1440" w:hanging="360"/>
      </w:pPr>
    </w:lvl>
    <w:lvl w:ilvl="2" w:tplc="13F2B224">
      <w:start w:val="1"/>
      <w:numFmt w:val="lowerRoman"/>
      <w:lvlText w:val="%3."/>
      <w:lvlJc w:val="right"/>
      <w:pPr>
        <w:ind w:left="2160" w:hanging="180"/>
      </w:pPr>
    </w:lvl>
    <w:lvl w:ilvl="3" w:tplc="A7C6D2CE">
      <w:start w:val="1"/>
      <w:numFmt w:val="decimal"/>
      <w:lvlText w:val="%4."/>
      <w:lvlJc w:val="left"/>
      <w:pPr>
        <w:ind w:left="2880" w:hanging="360"/>
      </w:pPr>
    </w:lvl>
    <w:lvl w:ilvl="4" w:tplc="A0B4B0DA">
      <w:start w:val="1"/>
      <w:numFmt w:val="lowerLetter"/>
      <w:lvlText w:val="%5."/>
      <w:lvlJc w:val="left"/>
      <w:pPr>
        <w:ind w:left="3600" w:hanging="360"/>
      </w:pPr>
    </w:lvl>
    <w:lvl w:ilvl="5" w:tplc="4D80BAD2">
      <w:start w:val="1"/>
      <w:numFmt w:val="lowerRoman"/>
      <w:lvlText w:val="%6."/>
      <w:lvlJc w:val="right"/>
      <w:pPr>
        <w:ind w:left="4320" w:hanging="180"/>
      </w:pPr>
    </w:lvl>
    <w:lvl w:ilvl="6" w:tplc="8E6E83FC">
      <w:start w:val="1"/>
      <w:numFmt w:val="decimal"/>
      <w:lvlText w:val="%7."/>
      <w:lvlJc w:val="left"/>
      <w:pPr>
        <w:ind w:left="5040" w:hanging="360"/>
      </w:pPr>
    </w:lvl>
    <w:lvl w:ilvl="7" w:tplc="FDC8664A">
      <w:start w:val="1"/>
      <w:numFmt w:val="lowerLetter"/>
      <w:lvlText w:val="%8."/>
      <w:lvlJc w:val="left"/>
      <w:pPr>
        <w:ind w:left="5760" w:hanging="360"/>
      </w:pPr>
    </w:lvl>
    <w:lvl w:ilvl="8" w:tplc="BE2421E0">
      <w:start w:val="1"/>
      <w:numFmt w:val="lowerRoman"/>
      <w:lvlText w:val="%9."/>
      <w:lvlJc w:val="right"/>
      <w:pPr>
        <w:ind w:left="6480" w:hanging="180"/>
      </w:pPr>
    </w:lvl>
  </w:abstractNum>
  <w:abstractNum w:abstractNumId="19" w15:restartNumberingAfterBreak="0">
    <w:nsid w:val="6965FCDF"/>
    <w:multiLevelType w:val="hybridMultilevel"/>
    <w:tmpl w:val="47061DDC"/>
    <w:lvl w:ilvl="0" w:tplc="017A15B4">
      <w:start w:val="1"/>
      <w:numFmt w:val="bullet"/>
      <w:lvlText w:val="-"/>
      <w:lvlJc w:val="left"/>
      <w:pPr>
        <w:ind w:left="720" w:hanging="360"/>
      </w:pPr>
      <w:rPr>
        <w:rFonts w:ascii="Aptos" w:hAnsi="Aptos" w:hint="default"/>
      </w:rPr>
    </w:lvl>
    <w:lvl w:ilvl="1" w:tplc="E8C204F2">
      <w:start w:val="1"/>
      <w:numFmt w:val="bullet"/>
      <w:lvlText w:val="o"/>
      <w:lvlJc w:val="left"/>
      <w:pPr>
        <w:ind w:left="1440" w:hanging="360"/>
      </w:pPr>
      <w:rPr>
        <w:rFonts w:ascii="Courier New" w:hAnsi="Courier New" w:hint="default"/>
      </w:rPr>
    </w:lvl>
    <w:lvl w:ilvl="2" w:tplc="1BF014A0">
      <w:start w:val="1"/>
      <w:numFmt w:val="bullet"/>
      <w:lvlText w:val=""/>
      <w:lvlJc w:val="left"/>
      <w:pPr>
        <w:ind w:left="2160" w:hanging="360"/>
      </w:pPr>
      <w:rPr>
        <w:rFonts w:ascii="Wingdings" w:hAnsi="Wingdings" w:hint="default"/>
      </w:rPr>
    </w:lvl>
    <w:lvl w:ilvl="3" w:tplc="940E572E">
      <w:start w:val="1"/>
      <w:numFmt w:val="bullet"/>
      <w:lvlText w:val=""/>
      <w:lvlJc w:val="left"/>
      <w:pPr>
        <w:ind w:left="2880" w:hanging="360"/>
      </w:pPr>
      <w:rPr>
        <w:rFonts w:ascii="Symbol" w:hAnsi="Symbol" w:hint="default"/>
      </w:rPr>
    </w:lvl>
    <w:lvl w:ilvl="4" w:tplc="DC6CD072">
      <w:start w:val="1"/>
      <w:numFmt w:val="bullet"/>
      <w:lvlText w:val="o"/>
      <w:lvlJc w:val="left"/>
      <w:pPr>
        <w:ind w:left="3600" w:hanging="360"/>
      </w:pPr>
      <w:rPr>
        <w:rFonts w:ascii="Courier New" w:hAnsi="Courier New" w:hint="default"/>
      </w:rPr>
    </w:lvl>
    <w:lvl w:ilvl="5" w:tplc="62802F26">
      <w:start w:val="1"/>
      <w:numFmt w:val="bullet"/>
      <w:lvlText w:val=""/>
      <w:lvlJc w:val="left"/>
      <w:pPr>
        <w:ind w:left="4320" w:hanging="360"/>
      </w:pPr>
      <w:rPr>
        <w:rFonts w:ascii="Wingdings" w:hAnsi="Wingdings" w:hint="default"/>
      </w:rPr>
    </w:lvl>
    <w:lvl w:ilvl="6" w:tplc="0FE6680E">
      <w:start w:val="1"/>
      <w:numFmt w:val="bullet"/>
      <w:lvlText w:val=""/>
      <w:lvlJc w:val="left"/>
      <w:pPr>
        <w:ind w:left="5040" w:hanging="360"/>
      </w:pPr>
      <w:rPr>
        <w:rFonts w:ascii="Symbol" w:hAnsi="Symbol" w:hint="default"/>
      </w:rPr>
    </w:lvl>
    <w:lvl w:ilvl="7" w:tplc="3E1ADA68">
      <w:start w:val="1"/>
      <w:numFmt w:val="bullet"/>
      <w:lvlText w:val="o"/>
      <w:lvlJc w:val="left"/>
      <w:pPr>
        <w:ind w:left="5760" w:hanging="360"/>
      </w:pPr>
      <w:rPr>
        <w:rFonts w:ascii="Courier New" w:hAnsi="Courier New" w:hint="default"/>
      </w:rPr>
    </w:lvl>
    <w:lvl w:ilvl="8" w:tplc="5630C8A0">
      <w:start w:val="1"/>
      <w:numFmt w:val="bullet"/>
      <w:lvlText w:val=""/>
      <w:lvlJc w:val="left"/>
      <w:pPr>
        <w:ind w:left="6480" w:hanging="360"/>
      </w:pPr>
      <w:rPr>
        <w:rFonts w:ascii="Wingdings" w:hAnsi="Wingdings" w:hint="default"/>
      </w:rPr>
    </w:lvl>
  </w:abstractNum>
  <w:abstractNum w:abstractNumId="20" w15:restartNumberingAfterBreak="0">
    <w:nsid w:val="696DCAB1"/>
    <w:multiLevelType w:val="hybridMultilevel"/>
    <w:tmpl w:val="AB4ADCA8"/>
    <w:lvl w:ilvl="0" w:tplc="BD4E08A6">
      <w:start w:val="54"/>
      <w:numFmt w:val="decimal"/>
      <w:lvlText w:val="%1."/>
      <w:lvlJc w:val="left"/>
      <w:pPr>
        <w:ind w:left="720" w:hanging="360"/>
      </w:pPr>
      <w:rPr>
        <w:rFonts w:ascii="Calibri" w:hAnsi="Calibri" w:hint="default"/>
      </w:rPr>
    </w:lvl>
    <w:lvl w:ilvl="1" w:tplc="13842402">
      <w:start w:val="1"/>
      <w:numFmt w:val="lowerLetter"/>
      <w:lvlText w:val="%2."/>
      <w:lvlJc w:val="left"/>
      <w:pPr>
        <w:ind w:left="1440" w:hanging="360"/>
      </w:pPr>
    </w:lvl>
    <w:lvl w:ilvl="2" w:tplc="CB2ABC44">
      <w:start w:val="1"/>
      <w:numFmt w:val="lowerRoman"/>
      <w:lvlText w:val="%3."/>
      <w:lvlJc w:val="right"/>
      <w:pPr>
        <w:ind w:left="2160" w:hanging="180"/>
      </w:pPr>
    </w:lvl>
    <w:lvl w:ilvl="3" w:tplc="134ED96C">
      <w:start w:val="1"/>
      <w:numFmt w:val="decimal"/>
      <w:lvlText w:val="%4."/>
      <w:lvlJc w:val="left"/>
      <w:pPr>
        <w:ind w:left="2880" w:hanging="360"/>
      </w:pPr>
    </w:lvl>
    <w:lvl w:ilvl="4" w:tplc="AB6A8F3C">
      <w:start w:val="1"/>
      <w:numFmt w:val="lowerLetter"/>
      <w:lvlText w:val="%5."/>
      <w:lvlJc w:val="left"/>
      <w:pPr>
        <w:ind w:left="3600" w:hanging="360"/>
      </w:pPr>
    </w:lvl>
    <w:lvl w:ilvl="5" w:tplc="709448F2">
      <w:start w:val="1"/>
      <w:numFmt w:val="lowerRoman"/>
      <w:lvlText w:val="%6."/>
      <w:lvlJc w:val="right"/>
      <w:pPr>
        <w:ind w:left="4320" w:hanging="180"/>
      </w:pPr>
    </w:lvl>
    <w:lvl w:ilvl="6" w:tplc="D654EC56">
      <w:start w:val="1"/>
      <w:numFmt w:val="decimal"/>
      <w:lvlText w:val="%7."/>
      <w:lvlJc w:val="left"/>
      <w:pPr>
        <w:ind w:left="5040" w:hanging="360"/>
      </w:pPr>
    </w:lvl>
    <w:lvl w:ilvl="7" w:tplc="23F86B32">
      <w:start w:val="1"/>
      <w:numFmt w:val="lowerLetter"/>
      <w:lvlText w:val="%8."/>
      <w:lvlJc w:val="left"/>
      <w:pPr>
        <w:ind w:left="5760" w:hanging="360"/>
      </w:pPr>
    </w:lvl>
    <w:lvl w:ilvl="8" w:tplc="D124ED62">
      <w:start w:val="1"/>
      <w:numFmt w:val="lowerRoman"/>
      <w:lvlText w:val="%9."/>
      <w:lvlJc w:val="right"/>
      <w:pPr>
        <w:ind w:left="6480" w:hanging="180"/>
      </w:pPr>
    </w:lvl>
  </w:abstractNum>
  <w:num w:numId="1" w16cid:durableId="690883570">
    <w:abstractNumId w:val="2"/>
  </w:num>
  <w:num w:numId="2" w16cid:durableId="2140411692">
    <w:abstractNumId w:val="13"/>
  </w:num>
  <w:num w:numId="3" w16cid:durableId="1597864885">
    <w:abstractNumId w:val="4"/>
  </w:num>
  <w:num w:numId="4" w16cid:durableId="1607078012">
    <w:abstractNumId w:val="12"/>
  </w:num>
  <w:num w:numId="5" w16cid:durableId="143395641">
    <w:abstractNumId w:val="20"/>
  </w:num>
  <w:num w:numId="6" w16cid:durableId="1664430849">
    <w:abstractNumId w:val="1"/>
  </w:num>
  <w:num w:numId="7" w16cid:durableId="1877310929">
    <w:abstractNumId w:val="0"/>
  </w:num>
  <w:num w:numId="8" w16cid:durableId="733503001">
    <w:abstractNumId w:val="14"/>
  </w:num>
  <w:num w:numId="9" w16cid:durableId="192690026">
    <w:abstractNumId w:val="10"/>
  </w:num>
  <w:num w:numId="10" w16cid:durableId="465242389">
    <w:abstractNumId w:val="18"/>
  </w:num>
  <w:num w:numId="11" w16cid:durableId="492645495">
    <w:abstractNumId w:val="17"/>
  </w:num>
  <w:num w:numId="12" w16cid:durableId="235865063">
    <w:abstractNumId w:val="7"/>
  </w:num>
  <w:num w:numId="13" w16cid:durableId="1844710392">
    <w:abstractNumId w:val="3"/>
  </w:num>
  <w:num w:numId="14" w16cid:durableId="1004553465">
    <w:abstractNumId w:val="9"/>
  </w:num>
  <w:num w:numId="15" w16cid:durableId="2137598896">
    <w:abstractNumId w:val="6"/>
  </w:num>
  <w:num w:numId="16" w16cid:durableId="878859167">
    <w:abstractNumId w:val="5"/>
  </w:num>
  <w:num w:numId="17" w16cid:durableId="973023367">
    <w:abstractNumId w:val="16"/>
  </w:num>
  <w:num w:numId="18" w16cid:durableId="2059351039">
    <w:abstractNumId w:val="11"/>
  </w:num>
  <w:num w:numId="19" w16cid:durableId="430585857">
    <w:abstractNumId w:val="8"/>
  </w:num>
  <w:num w:numId="20" w16cid:durableId="1211958632">
    <w:abstractNumId w:val="19"/>
  </w:num>
  <w:num w:numId="21" w16cid:durableId="8024268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9BFA47"/>
    <w:rsid w:val="00002B66"/>
    <w:rsid w:val="00013463"/>
    <w:rsid w:val="00024904"/>
    <w:rsid w:val="000307BD"/>
    <w:rsid w:val="00075EBA"/>
    <w:rsid w:val="000905BB"/>
    <w:rsid w:val="000908C6"/>
    <w:rsid w:val="000A62BE"/>
    <w:rsid w:val="000B111A"/>
    <w:rsid w:val="000B4A44"/>
    <w:rsid w:val="000C5EA0"/>
    <w:rsid w:val="000D2FC8"/>
    <w:rsid w:val="000F0604"/>
    <w:rsid w:val="00111865"/>
    <w:rsid w:val="001209BD"/>
    <w:rsid w:val="00157209"/>
    <w:rsid w:val="0016172E"/>
    <w:rsid w:val="00174F64"/>
    <w:rsid w:val="001771FC"/>
    <w:rsid w:val="0018F4DA"/>
    <w:rsid w:val="001D1684"/>
    <w:rsid w:val="001D6924"/>
    <w:rsid w:val="001E37CC"/>
    <w:rsid w:val="001F304D"/>
    <w:rsid w:val="001F54E4"/>
    <w:rsid w:val="00204129"/>
    <w:rsid w:val="00211691"/>
    <w:rsid w:val="002159D7"/>
    <w:rsid w:val="00220296"/>
    <w:rsid w:val="002223D1"/>
    <w:rsid w:val="002227C8"/>
    <w:rsid w:val="00232E40"/>
    <w:rsid w:val="0023363F"/>
    <w:rsid w:val="00285A98"/>
    <w:rsid w:val="00292D70"/>
    <w:rsid w:val="002A2599"/>
    <w:rsid w:val="002A7CA9"/>
    <w:rsid w:val="002D640A"/>
    <w:rsid w:val="002E1FDC"/>
    <w:rsid w:val="002F6B9F"/>
    <w:rsid w:val="003017BB"/>
    <w:rsid w:val="0030337D"/>
    <w:rsid w:val="00352B72"/>
    <w:rsid w:val="003539BF"/>
    <w:rsid w:val="00380CC0"/>
    <w:rsid w:val="003820EC"/>
    <w:rsid w:val="003971E5"/>
    <w:rsid w:val="003C2522"/>
    <w:rsid w:val="003C49AC"/>
    <w:rsid w:val="003C741F"/>
    <w:rsid w:val="003E19D8"/>
    <w:rsid w:val="003F5777"/>
    <w:rsid w:val="003F738D"/>
    <w:rsid w:val="00410A3E"/>
    <w:rsid w:val="004158AF"/>
    <w:rsid w:val="00415EE0"/>
    <w:rsid w:val="00425492"/>
    <w:rsid w:val="00425AEB"/>
    <w:rsid w:val="00437355"/>
    <w:rsid w:val="00446E3F"/>
    <w:rsid w:val="00447D78"/>
    <w:rsid w:val="004546C2"/>
    <w:rsid w:val="00457809"/>
    <w:rsid w:val="00471D6D"/>
    <w:rsid w:val="0048130A"/>
    <w:rsid w:val="00482A47"/>
    <w:rsid w:val="004A028B"/>
    <w:rsid w:val="004B3574"/>
    <w:rsid w:val="004B625A"/>
    <w:rsid w:val="004B727E"/>
    <w:rsid w:val="004D6AF3"/>
    <w:rsid w:val="004F4295"/>
    <w:rsid w:val="004F5C15"/>
    <w:rsid w:val="00520842"/>
    <w:rsid w:val="00556B93"/>
    <w:rsid w:val="00581FC4"/>
    <w:rsid w:val="00590F64"/>
    <w:rsid w:val="00592110"/>
    <w:rsid w:val="00596A47"/>
    <w:rsid w:val="005A1030"/>
    <w:rsid w:val="005B3222"/>
    <w:rsid w:val="005D502B"/>
    <w:rsid w:val="005D6A3D"/>
    <w:rsid w:val="005E6AC3"/>
    <w:rsid w:val="005F1116"/>
    <w:rsid w:val="00632CC0"/>
    <w:rsid w:val="00637915"/>
    <w:rsid w:val="00666C46"/>
    <w:rsid w:val="006725A7"/>
    <w:rsid w:val="00674914"/>
    <w:rsid w:val="006A7AC5"/>
    <w:rsid w:val="006C3C90"/>
    <w:rsid w:val="00723DB8"/>
    <w:rsid w:val="00723F40"/>
    <w:rsid w:val="00750C19"/>
    <w:rsid w:val="00754A8E"/>
    <w:rsid w:val="00772266"/>
    <w:rsid w:val="007860BC"/>
    <w:rsid w:val="00793E1D"/>
    <w:rsid w:val="007A208E"/>
    <w:rsid w:val="007A6B84"/>
    <w:rsid w:val="007E14F9"/>
    <w:rsid w:val="007E3F0D"/>
    <w:rsid w:val="007F115A"/>
    <w:rsid w:val="00800A74"/>
    <w:rsid w:val="00812F14"/>
    <w:rsid w:val="008259B9"/>
    <w:rsid w:val="0084593B"/>
    <w:rsid w:val="00852C0F"/>
    <w:rsid w:val="00861123"/>
    <w:rsid w:val="00872FCF"/>
    <w:rsid w:val="0087605F"/>
    <w:rsid w:val="00884E05"/>
    <w:rsid w:val="008A0BB2"/>
    <w:rsid w:val="008B4EA4"/>
    <w:rsid w:val="008B6D0E"/>
    <w:rsid w:val="008C44E8"/>
    <w:rsid w:val="008D2884"/>
    <w:rsid w:val="008E1795"/>
    <w:rsid w:val="008E2395"/>
    <w:rsid w:val="0090797C"/>
    <w:rsid w:val="00932225"/>
    <w:rsid w:val="00932A49"/>
    <w:rsid w:val="00951CAF"/>
    <w:rsid w:val="009856E6"/>
    <w:rsid w:val="009A1D41"/>
    <w:rsid w:val="009B2C5C"/>
    <w:rsid w:val="009D4F4E"/>
    <w:rsid w:val="00A1086C"/>
    <w:rsid w:val="00A31323"/>
    <w:rsid w:val="00A35A64"/>
    <w:rsid w:val="00A41371"/>
    <w:rsid w:val="00A54C98"/>
    <w:rsid w:val="00A65205"/>
    <w:rsid w:val="00A7589C"/>
    <w:rsid w:val="00A7618F"/>
    <w:rsid w:val="00A76465"/>
    <w:rsid w:val="00A852E1"/>
    <w:rsid w:val="00A85956"/>
    <w:rsid w:val="00A94A24"/>
    <w:rsid w:val="00AA4492"/>
    <w:rsid w:val="00AA767B"/>
    <w:rsid w:val="00AA7F62"/>
    <w:rsid w:val="00AC566F"/>
    <w:rsid w:val="00AC7029"/>
    <w:rsid w:val="00AD3606"/>
    <w:rsid w:val="00AD5AC6"/>
    <w:rsid w:val="00B0766F"/>
    <w:rsid w:val="00B114F4"/>
    <w:rsid w:val="00B4652A"/>
    <w:rsid w:val="00B500A4"/>
    <w:rsid w:val="00B90A0B"/>
    <w:rsid w:val="00B93F70"/>
    <w:rsid w:val="00B9661C"/>
    <w:rsid w:val="00B97DDE"/>
    <w:rsid w:val="00BB1615"/>
    <w:rsid w:val="00BB6F7F"/>
    <w:rsid w:val="00BD4C37"/>
    <w:rsid w:val="00C104E6"/>
    <w:rsid w:val="00C47C06"/>
    <w:rsid w:val="00C501B6"/>
    <w:rsid w:val="00C648F6"/>
    <w:rsid w:val="00C70C99"/>
    <w:rsid w:val="00C84DB1"/>
    <w:rsid w:val="00CA44C2"/>
    <w:rsid w:val="00CA8AAD"/>
    <w:rsid w:val="00CC549A"/>
    <w:rsid w:val="00CD25A7"/>
    <w:rsid w:val="00CE4517"/>
    <w:rsid w:val="00CF3FA3"/>
    <w:rsid w:val="00D016CA"/>
    <w:rsid w:val="00D1696C"/>
    <w:rsid w:val="00D607B9"/>
    <w:rsid w:val="00D74987"/>
    <w:rsid w:val="00D95057"/>
    <w:rsid w:val="00DCDB47"/>
    <w:rsid w:val="00DD24BA"/>
    <w:rsid w:val="00DF625F"/>
    <w:rsid w:val="00E00ADD"/>
    <w:rsid w:val="00E03F75"/>
    <w:rsid w:val="00E042A9"/>
    <w:rsid w:val="00E506D6"/>
    <w:rsid w:val="00E64016"/>
    <w:rsid w:val="00E85026"/>
    <w:rsid w:val="00EA2110"/>
    <w:rsid w:val="00EB731C"/>
    <w:rsid w:val="00EB8B85"/>
    <w:rsid w:val="00ED0336"/>
    <w:rsid w:val="00EF33B9"/>
    <w:rsid w:val="00EF4B63"/>
    <w:rsid w:val="00F14E80"/>
    <w:rsid w:val="00F23FB0"/>
    <w:rsid w:val="00F327DE"/>
    <w:rsid w:val="00F344DA"/>
    <w:rsid w:val="00F35FA2"/>
    <w:rsid w:val="00F54AE5"/>
    <w:rsid w:val="00F56006"/>
    <w:rsid w:val="00F62E4C"/>
    <w:rsid w:val="00F65A7A"/>
    <w:rsid w:val="00FA2829"/>
    <w:rsid w:val="00FC638B"/>
    <w:rsid w:val="00FC74C3"/>
    <w:rsid w:val="00FE01F7"/>
    <w:rsid w:val="00FE25AF"/>
    <w:rsid w:val="00FE5E1C"/>
    <w:rsid w:val="00FF7C1A"/>
    <w:rsid w:val="011BE316"/>
    <w:rsid w:val="012632D1"/>
    <w:rsid w:val="013466DA"/>
    <w:rsid w:val="0150E19D"/>
    <w:rsid w:val="0266B83B"/>
    <w:rsid w:val="02C0F587"/>
    <w:rsid w:val="03FAF71E"/>
    <w:rsid w:val="0427EBE9"/>
    <w:rsid w:val="04A6EB06"/>
    <w:rsid w:val="04F4C1EA"/>
    <w:rsid w:val="05517F17"/>
    <w:rsid w:val="05B7FD4A"/>
    <w:rsid w:val="05F1FD77"/>
    <w:rsid w:val="06DE5864"/>
    <w:rsid w:val="076A7BB2"/>
    <w:rsid w:val="080DAA76"/>
    <w:rsid w:val="08553DB1"/>
    <w:rsid w:val="0865061A"/>
    <w:rsid w:val="08ADBE91"/>
    <w:rsid w:val="08BB2587"/>
    <w:rsid w:val="08D00734"/>
    <w:rsid w:val="08D5F9BF"/>
    <w:rsid w:val="08FA1B1B"/>
    <w:rsid w:val="096BB046"/>
    <w:rsid w:val="0A34C5B8"/>
    <w:rsid w:val="0A512E96"/>
    <w:rsid w:val="0AE01DAD"/>
    <w:rsid w:val="0B9D7CEB"/>
    <w:rsid w:val="0C4A996F"/>
    <w:rsid w:val="0C95F74E"/>
    <w:rsid w:val="0CE57750"/>
    <w:rsid w:val="0D0C4C4B"/>
    <w:rsid w:val="0D83AF24"/>
    <w:rsid w:val="0E0E83CA"/>
    <w:rsid w:val="0E3E07F9"/>
    <w:rsid w:val="0FDD0197"/>
    <w:rsid w:val="100971EB"/>
    <w:rsid w:val="103ADB10"/>
    <w:rsid w:val="116EF2ED"/>
    <w:rsid w:val="129C8F7B"/>
    <w:rsid w:val="12AF21E7"/>
    <w:rsid w:val="12E9857F"/>
    <w:rsid w:val="1309C3A7"/>
    <w:rsid w:val="1312A39C"/>
    <w:rsid w:val="13DED3C1"/>
    <w:rsid w:val="13FB4A91"/>
    <w:rsid w:val="14C1DBDC"/>
    <w:rsid w:val="14CB1F0D"/>
    <w:rsid w:val="1504E57B"/>
    <w:rsid w:val="15B6C93B"/>
    <w:rsid w:val="16573E3E"/>
    <w:rsid w:val="168B79BC"/>
    <w:rsid w:val="168D261E"/>
    <w:rsid w:val="169B6255"/>
    <w:rsid w:val="174D2356"/>
    <w:rsid w:val="1770513A"/>
    <w:rsid w:val="18468514"/>
    <w:rsid w:val="1939CF2F"/>
    <w:rsid w:val="199D149C"/>
    <w:rsid w:val="19C78268"/>
    <w:rsid w:val="19DBBCF4"/>
    <w:rsid w:val="1AF83A1F"/>
    <w:rsid w:val="1B5DB611"/>
    <w:rsid w:val="1BA335E6"/>
    <w:rsid w:val="1C0A20A6"/>
    <w:rsid w:val="1C3315B8"/>
    <w:rsid w:val="1C53B60B"/>
    <w:rsid w:val="1D571C37"/>
    <w:rsid w:val="1D928BCF"/>
    <w:rsid w:val="1E01DE5E"/>
    <w:rsid w:val="1E0C30CA"/>
    <w:rsid w:val="1F1108A5"/>
    <w:rsid w:val="1F1901D0"/>
    <w:rsid w:val="1F4FF099"/>
    <w:rsid w:val="1F78A1C6"/>
    <w:rsid w:val="1FB1A216"/>
    <w:rsid w:val="2013A09B"/>
    <w:rsid w:val="2064A4A0"/>
    <w:rsid w:val="2076AD11"/>
    <w:rsid w:val="20C85D5A"/>
    <w:rsid w:val="20DF2EAC"/>
    <w:rsid w:val="214558EA"/>
    <w:rsid w:val="2165ECAB"/>
    <w:rsid w:val="2199D454"/>
    <w:rsid w:val="21BB9B20"/>
    <w:rsid w:val="21D8553D"/>
    <w:rsid w:val="22AFD4C7"/>
    <w:rsid w:val="232E8898"/>
    <w:rsid w:val="23A9E9BD"/>
    <w:rsid w:val="24E2C301"/>
    <w:rsid w:val="24EF4EFD"/>
    <w:rsid w:val="255E6E7D"/>
    <w:rsid w:val="25756A34"/>
    <w:rsid w:val="25C1AF82"/>
    <w:rsid w:val="25EDB91F"/>
    <w:rsid w:val="264708E2"/>
    <w:rsid w:val="26B3F011"/>
    <w:rsid w:val="273F5717"/>
    <w:rsid w:val="27BB9D83"/>
    <w:rsid w:val="27BCFCC7"/>
    <w:rsid w:val="287389B5"/>
    <w:rsid w:val="293B8C16"/>
    <w:rsid w:val="29A159DF"/>
    <w:rsid w:val="2A160B9A"/>
    <w:rsid w:val="2AD37CB2"/>
    <w:rsid w:val="2AD4EB35"/>
    <w:rsid w:val="2BB3562A"/>
    <w:rsid w:val="2C069393"/>
    <w:rsid w:val="2CAECA02"/>
    <w:rsid w:val="2DA263F4"/>
    <w:rsid w:val="2DDDE762"/>
    <w:rsid w:val="2E5C43D7"/>
    <w:rsid w:val="2E9B364A"/>
    <w:rsid w:val="2F2EBEEB"/>
    <w:rsid w:val="2FB9EBE3"/>
    <w:rsid w:val="30442859"/>
    <w:rsid w:val="3070D719"/>
    <w:rsid w:val="3107D4D8"/>
    <w:rsid w:val="310BBCFD"/>
    <w:rsid w:val="3255B581"/>
    <w:rsid w:val="33CECF00"/>
    <w:rsid w:val="34C0EAF6"/>
    <w:rsid w:val="35B73364"/>
    <w:rsid w:val="362DABE3"/>
    <w:rsid w:val="36A86DDA"/>
    <w:rsid w:val="36D2FC89"/>
    <w:rsid w:val="371E1B40"/>
    <w:rsid w:val="3739AD86"/>
    <w:rsid w:val="387C51C5"/>
    <w:rsid w:val="389BFA47"/>
    <w:rsid w:val="38E11D30"/>
    <w:rsid w:val="38E3E180"/>
    <w:rsid w:val="3964819E"/>
    <w:rsid w:val="39D804AD"/>
    <w:rsid w:val="3A14C1E4"/>
    <w:rsid w:val="3A35A3D7"/>
    <w:rsid w:val="3A639F3F"/>
    <w:rsid w:val="3B22960B"/>
    <w:rsid w:val="3B5929D0"/>
    <w:rsid w:val="3BAB1CFB"/>
    <w:rsid w:val="3BBDED72"/>
    <w:rsid w:val="3BC29B72"/>
    <w:rsid w:val="3BF4D12B"/>
    <w:rsid w:val="3C3ABA25"/>
    <w:rsid w:val="3C674849"/>
    <w:rsid w:val="3CB392C0"/>
    <w:rsid w:val="3CBA024F"/>
    <w:rsid w:val="3D2DC592"/>
    <w:rsid w:val="3D31C131"/>
    <w:rsid w:val="3D73A5D1"/>
    <w:rsid w:val="3D9CF7E4"/>
    <w:rsid w:val="3E1453C2"/>
    <w:rsid w:val="3E6822C2"/>
    <w:rsid w:val="3ECD847B"/>
    <w:rsid w:val="3F0F35AD"/>
    <w:rsid w:val="3F15D9C5"/>
    <w:rsid w:val="3F5E3F8C"/>
    <w:rsid w:val="3F7D1ECD"/>
    <w:rsid w:val="3FB9DB88"/>
    <w:rsid w:val="3FF13BAF"/>
    <w:rsid w:val="400210EC"/>
    <w:rsid w:val="40637638"/>
    <w:rsid w:val="40A17406"/>
    <w:rsid w:val="428C2BB2"/>
    <w:rsid w:val="42B4BF8F"/>
    <w:rsid w:val="434466BC"/>
    <w:rsid w:val="43907678"/>
    <w:rsid w:val="44219277"/>
    <w:rsid w:val="4517FF65"/>
    <w:rsid w:val="45974A97"/>
    <w:rsid w:val="45EC6051"/>
    <w:rsid w:val="461B0D8D"/>
    <w:rsid w:val="4640B921"/>
    <w:rsid w:val="47C3E37D"/>
    <w:rsid w:val="482B1F6B"/>
    <w:rsid w:val="482C4A5D"/>
    <w:rsid w:val="486BBCE1"/>
    <w:rsid w:val="48F5F650"/>
    <w:rsid w:val="495F5C07"/>
    <w:rsid w:val="4992FE83"/>
    <w:rsid w:val="4A03BD63"/>
    <w:rsid w:val="4AC79D21"/>
    <w:rsid w:val="4B2ECEE4"/>
    <w:rsid w:val="4BEADD1D"/>
    <w:rsid w:val="4C19E59B"/>
    <w:rsid w:val="4C1FF227"/>
    <w:rsid w:val="4C50359E"/>
    <w:rsid w:val="4C58AD78"/>
    <w:rsid w:val="4C9E2E57"/>
    <w:rsid w:val="4CE72A7E"/>
    <w:rsid w:val="4CEB01FC"/>
    <w:rsid w:val="4D3BECB0"/>
    <w:rsid w:val="4D57E86F"/>
    <w:rsid w:val="4E389EF4"/>
    <w:rsid w:val="4E8AAC7B"/>
    <w:rsid w:val="4F311959"/>
    <w:rsid w:val="4F70CFC6"/>
    <w:rsid w:val="4FADA95C"/>
    <w:rsid w:val="4FDD0303"/>
    <w:rsid w:val="4FE8CF0B"/>
    <w:rsid w:val="503062CF"/>
    <w:rsid w:val="505CA803"/>
    <w:rsid w:val="508DCD5C"/>
    <w:rsid w:val="50CAB8E4"/>
    <w:rsid w:val="51345FDF"/>
    <w:rsid w:val="516DBF28"/>
    <w:rsid w:val="5190D349"/>
    <w:rsid w:val="522E2FC9"/>
    <w:rsid w:val="52466781"/>
    <w:rsid w:val="525F926F"/>
    <w:rsid w:val="52C3F783"/>
    <w:rsid w:val="533D8EE2"/>
    <w:rsid w:val="53456D69"/>
    <w:rsid w:val="54FC9912"/>
    <w:rsid w:val="55D654B8"/>
    <w:rsid w:val="55E66761"/>
    <w:rsid w:val="561B18A6"/>
    <w:rsid w:val="56F6470E"/>
    <w:rsid w:val="571FE1DA"/>
    <w:rsid w:val="57B10644"/>
    <w:rsid w:val="57B9E52A"/>
    <w:rsid w:val="581D8C80"/>
    <w:rsid w:val="58D682DB"/>
    <w:rsid w:val="59597E1D"/>
    <w:rsid w:val="59A3F214"/>
    <w:rsid w:val="59C22375"/>
    <w:rsid w:val="5A14BF73"/>
    <w:rsid w:val="5A8402F2"/>
    <w:rsid w:val="5ACECF36"/>
    <w:rsid w:val="5B6CD765"/>
    <w:rsid w:val="5C6D021A"/>
    <w:rsid w:val="5C787D71"/>
    <w:rsid w:val="5C847767"/>
    <w:rsid w:val="5C9BE0D8"/>
    <w:rsid w:val="5CB651C5"/>
    <w:rsid w:val="5CE41799"/>
    <w:rsid w:val="5D202732"/>
    <w:rsid w:val="5D2C6E4D"/>
    <w:rsid w:val="5D61FA19"/>
    <w:rsid w:val="5E076A21"/>
    <w:rsid w:val="5E339E7C"/>
    <w:rsid w:val="5E5CC420"/>
    <w:rsid w:val="5E809A60"/>
    <w:rsid w:val="5EAFB8B4"/>
    <w:rsid w:val="5F3BE05D"/>
    <w:rsid w:val="6071BABB"/>
    <w:rsid w:val="60992393"/>
    <w:rsid w:val="60CC8130"/>
    <w:rsid w:val="60F7ED90"/>
    <w:rsid w:val="624423EF"/>
    <w:rsid w:val="62585124"/>
    <w:rsid w:val="628AF5E7"/>
    <w:rsid w:val="62B5F6F0"/>
    <w:rsid w:val="62CB33E7"/>
    <w:rsid w:val="6305D5B3"/>
    <w:rsid w:val="632E62CB"/>
    <w:rsid w:val="635E22D4"/>
    <w:rsid w:val="63BBA1B9"/>
    <w:rsid w:val="648896F2"/>
    <w:rsid w:val="649CC66B"/>
    <w:rsid w:val="65A8AF8C"/>
    <w:rsid w:val="6666038D"/>
    <w:rsid w:val="668BF4CB"/>
    <w:rsid w:val="66CE1335"/>
    <w:rsid w:val="66DC26DE"/>
    <w:rsid w:val="673DFBE1"/>
    <w:rsid w:val="67D4A679"/>
    <w:rsid w:val="6877F73F"/>
    <w:rsid w:val="68D73184"/>
    <w:rsid w:val="693CED59"/>
    <w:rsid w:val="69ACCADA"/>
    <w:rsid w:val="69ADC84E"/>
    <w:rsid w:val="69D2C5C2"/>
    <w:rsid w:val="6A13F182"/>
    <w:rsid w:val="6AC2C9C9"/>
    <w:rsid w:val="6AFF13ED"/>
    <w:rsid w:val="6B06B856"/>
    <w:rsid w:val="6B91F2BA"/>
    <w:rsid w:val="6C0BA1D3"/>
    <w:rsid w:val="6C1BE287"/>
    <w:rsid w:val="6D0A4F63"/>
    <w:rsid w:val="6DD9F723"/>
    <w:rsid w:val="6E3E5918"/>
    <w:rsid w:val="6E45640E"/>
    <w:rsid w:val="6EAA5C3F"/>
    <w:rsid w:val="6ECB46DF"/>
    <w:rsid w:val="6F6CBCD2"/>
    <w:rsid w:val="6F77D5AC"/>
    <w:rsid w:val="6FADC532"/>
    <w:rsid w:val="7046BB7A"/>
    <w:rsid w:val="70A93BAF"/>
    <w:rsid w:val="70D0F315"/>
    <w:rsid w:val="710E05FB"/>
    <w:rsid w:val="7219D868"/>
    <w:rsid w:val="721E59DF"/>
    <w:rsid w:val="723DE2A8"/>
    <w:rsid w:val="727350AC"/>
    <w:rsid w:val="728E99F8"/>
    <w:rsid w:val="72BF864D"/>
    <w:rsid w:val="72D2B66F"/>
    <w:rsid w:val="73129C78"/>
    <w:rsid w:val="73313925"/>
    <w:rsid w:val="737554E9"/>
    <w:rsid w:val="738359B2"/>
    <w:rsid w:val="73A115E4"/>
    <w:rsid w:val="7575836A"/>
    <w:rsid w:val="757772D0"/>
    <w:rsid w:val="758E838E"/>
    <w:rsid w:val="7636846B"/>
    <w:rsid w:val="764065AD"/>
    <w:rsid w:val="764AD304"/>
    <w:rsid w:val="7687D073"/>
    <w:rsid w:val="7691911F"/>
    <w:rsid w:val="7695AF84"/>
    <w:rsid w:val="76FA23AC"/>
    <w:rsid w:val="774CCCB7"/>
    <w:rsid w:val="77A33409"/>
    <w:rsid w:val="77A741D9"/>
    <w:rsid w:val="77C327B3"/>
    <w:rsid w:val="77C3CBC5"/>
    <w:rsid w:val="77D9FC27"/>
    <w:rsid w:val="77FB87AD"/>
    <w:rsid w:val="789F2DC5"/>
    <w:rsid w:val="78A96EBE"/>
    <w:rsid w:val="78DAF7B4"/>
    <w:rsid w:val="79A2F8EB"/>
    <w:rsid w:val="79B2C0ED"/>
    <w:rsid w:val="7A08DE66"/>
    <w:rsid w:val="7A2A3421"/>
    <w:rsid w:val="7A83261B"/>
    <w:rsid w:val="7AA9BEC0"/>
    <w:rsid w:val="7B3FF2AB"/>
    <w:rsid w:val="7B5DA99C"/>
    <w:rsid w:val="7B6FD19D"/>
    <w:rsid w:val="7BCDD664"/>
    <w:rsid w:val="7BEC9970"/>
    <w:rsid w:val="7C360260"/>
    <w:rsid w:val="7CB093EC"/>
    <w:rsid w:val="7D540A99"/>
    <w:rsid w:val="7DE2380B"/>
    <w:rsid w:val="7DF9AEF0"/>
    <w:rsid w:val="7F512509"/>
    <w:rsid w:val="7FA61AE0"/>
    <w:rsid w:val="7FC661B2"/>
    <w:rsid w:val="7FDBD8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94CFF"/>
  <w15:chartTrackingRefBased/>
  <w15:docId w15:val="{A06889F4-F2BA-4077-AD9C-A48067DEA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FootnoteReference">
    <w:name w:val="footnote reference"/>
    <w:aliases w:val="Footnotes refss,Style 10"/>
    <w:basedOn w:val="DefaultParagraphFont"/>
    <w:semiHidden/>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character" w:customStyle="1" w:styleId="FootnoteTextChar">
    <w:name w:val="Footnote Text Char"/>
    <w:basedOn w:val="DefaultParagraphFont"/>
    <w:link w:val="FootnoteText"/>
    <w:semiHidden/>
    <w:rPr>
      <w:sz w:val="20"/>
      <w:szCs w:val="20"/>
    </w:rPr>
  </w:style>
  <w:style w:type="paragraph" w:styleId="FootnoteText">
    <w:name w:val="footnote text"/>
    <w:basedOn w:val="Normal"/>
    <w:link w:val="FootnoteTextChar"/>
    <w:semiHidden/>
    <w:unhideWhenUsed/>
    <w:pPr>
      <w:spacing w:after="0" w:line="240" w:lineRule="auto"/>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8D2884"/>
    <w:rPr>
      <w:color w:val="96607D" w:themeColor="followedHyperlink"/>
      <w:u w:val="single"/>
    </w:rPr>
  </w:style>
  <w:style w:type="paragraph" w:styleId="Revision">
    <w:name w:val="Revision"/>
    <w:hidden/>
    <w:uiPriority w:val="99"/>
    <w:semiHidden/>
    <w:rsid w:val="00D1696C"/>
    <w:pPr>
      <w:spacing w:after="0" w:line="240" w:lineRule="auto"/>
    </w:pPr>
  </w:style>
  <w:style w:type="character" w:styleId="UnresolvedMention">
    <w:name w:val="Unresolved Mention"/>
    <w:basedOn w:val="DefaultParagraphFont"/>
    <w:uiPriority w:val="99"/>
    <w:semiHidden/>
    <w:unhideWhenUsed/>
    <w:rsid w:val="00437355"/>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97DDE"/>
    <w:rPr>
      <w:b/>
      <w:bCs/>
    </w:rPr>
  </w:style>
  <w:style w:type="character" w:customStyle="1" w:styleId="CommentSubjectChar">
    <w:name w:val="Comment Subject Char"/>
    <w:basedOn w:val="CommentTextChar"/>
    <w:link w:val="CommentSubject"/>
    <w:uiPriority w:val="99"/>
    <w:semiHidden/>
    <w:rsid w:val="00B97DDE"/>
    <w:rPr>
      <w:b/>
      <w:bCs/>
      <w:sz w:val="20"/>
      <w:szCs w:val="20"/>
    </w:rPr>
  </w:style>
  <w:style w:type="character" w:styleId="Mention">
    <w:name w:val="Mention"/>
    <w:basedOn w:val="DefaultParagraphFont"/>
    <w:uiPriority w:val="99"/>
    <w:unhideWhenUsed/>
    <w:rsid w:val="00B97DDE"/>
    <w:rPr>
      <w:color w:val="2B579A"/>
      <w:shd w:val="clear" w:color="auto" w:fill="E1DFDD"/>
    </w:rPr>
  </w:style>
  <w:style w:type="paragraph" w:styleId="Header">
    <w:name w:val="header"/>
    <w:basedOn w:val="Normal"/>
    <w:link w:val="HeaderChar"/>
    <w:uiPriority w:val="99"/>
    <w:unhideWhenUsed/>
    <w:rsid w:val="009D4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F4E"/>
  </w:style>
  <w:style w:type="paragraph" w:styleId="Footer">
    <w:name w:val="footer"/>
    <w:basedOn w:val="Normal"/>
    <w:link w:val="FooterChar"/>
    <w:uiPriority w:val="99"/>
    <w:unhideWhenUsed/>
    <w:rsid w:val="009D4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F4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174F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74F64"/>
    <w:rPr>
      <w:sz w:val="20"/>
      <w:szCs w:val="20"/>
    </w:rPr>
  </w:style>
  <w:style w:type="character" w:styleId="EndnoteReference">
    <w:name w:val="endnote reference"/>
    <w:basedOn w:val="DefaultParagraphFont"/>
    <w:uiPriority w:val="99"/>
    <w:semiHidden/>
    <w:unhideWhenUsed/>
    <w:rsid w:val="00174F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46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earch.coe.int/cm?i=0900001680a3c56f" TargetMode="External"/><Relationship Id="rId13" Type="http://schemas.openxmlformats.org/officeDocument/2006/relationships/hyperlink" Target="https://www.ohchr.org/sites/default/files/documents/publications/2022-06-29/Istanbul-Protocol_Rev2_EN.pdf" TargetMode="External"/><Relationship Id="rId3" Type="http://schemas.openxmlformats.org/officeDocument/2006/relationships/hyperlink" Target="https://hudoc.echr.coe.int/eng?i=001-230250" TargetMode="External"/><Relationship Id="rId7" Type="http://schemas.openxmlformats.org/officeDocument/2006/relationships/hyperlink" Target="https://search.coe.int/cm?i=0900001680a4e4fe" TargetMode="External"/><Relationship Id="rId12" Type="http://schemas.openxmlformats.org/officeDocument/2006/relationships/hyperlink" Target="https://search.coe.int/cm?i=0900001680aba149" TargetMode="External"/><Relationship Id="rId2" Type="http://schemas.openxmlformats.org/officeDocument/2006/relationships/hyperlink" Target="https://www.congress.gov/congressional-report/113th-congress/senate-report/288" TargetMode="External"/><Relationship Id="rId1" Type="http://schemas.openxmlformats.org/officeDocument/2006/relationships/hyperlink" Target="https://undocs.org/Home/Mobile?FinalSymbol=CAT%2FC%2FLTU%2FCO%2F4&amp;Language=E&amp;DeviceType=Desktop&amp;LangRequested=False" TargetMode="External"/><Relationship Id="rId6" Type="http://schemas.openxmlformats.org/officeDocument/2006/relationships/hyperlink" Target="https://search.coe.int/cm?i=0900001680a84255" TargetMode="External"/><Relationship Id="rId11" Type="http://schemas.openxmlformats.org/officeDocument/2006/relationships/hyperlink" Target="https://search.coe.int/cm?i=090000168099677a" TargetMode="External"/><Relationship Id="rId5" Type="http://schemas.openxmlformats.org/officeDocument/2006/relationships/hyperlink" Target="https://search.coe.int/cm?i=0900001680909676" TargetMode="External"/><Relationship Id="rId10" Type="http://schemas.openxmlformats.org/officeDocument/2006/relationships/hyperlink" Target="https://search.coe.int/cm?i=09000016809fd6b9" TargetMode="External"/><Relationship Id="rId4" Type="http://schemas.openxmlformats.org/officeDocument/2006/relationships/hyperlink" Target="https://search.coe.int/cm?i=09000016808fde07" TargetMode="External"/><Relationship Id="rId9" Type="http://schemas.openxmlformats.org/officeDocument/2006/relationships/hyperlink" Target="https://search.coe.int/cm?i=0900001680a318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2024-08-19T16:09:22+00:00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2024-08-19T16:09:22+00:00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2024-08-19T16:09:22+00:00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22C691-5CF2-4FB8-B15E-E2E763435757}"/>
</file>

<file path=customXml/itemProps2.xml><?xml version="1.0" encoding="utf-8"?>
<ds:datastoreItem xmlns:ds="http://schemas.openxmlformats.org/officeDocument/2006/customXml" ds:itemID="{D7DCF47E-4281-4E52-82A6-B581A4BABAD1}">
  <ds:schemaRefs>
    <ds:schemaRef ds:uri="http://schemas.openxmlformats.org/officeDocument/2006/bibliography"/>
  </ds:schemaRefs>
</ds:datastoreItem>
</file>

<file path=customXml/itemProps3.xml><?xml version="1.0" encoding="utf-8"?>
<ds:datastoreItem xmlns:ds="http://schemas.openxmlformats.org/officeDocument/2006/customXml" ds:itemID="{7F788AE7-C314-4F05-ADDB-52D508B82DBF}">
  <ds:schemaRefs>
    <ds:schemaRef ds:uri="http://schemas.microsoft.com/office/2006/metadata/properties"/>
    <ds:schemaRef ds:uri="http://schemas.microsoft.com/office/infopath/2007/PartnerControls"/>
    <ds:schemaRef ds:uri="3ca8ec79-61db-4d0a-8def-ed02265cbf64"/>
    <ds:schemaRef ds:uri="fb4bf39c-ebd2-47e5-8cf7-3addc12ccbf5"/>
  </ds:schemaRefs>
</ds:datastoreItem>
</file>

<file path=customXml/itemProps4.xml><?xml version="1.0" encoding="utf-8"?>
<ds:datastoreItem xmlns:ds="http://schemas.openxmlformats.org/officeDocument/2006/customXml" ds:itemID="{A28D60F0-A6E3-4E5D-97F3-909C6E8437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1410</Words>
  <Characters>8038</Characters>
  <Application>Microsoft Office Word</Application>
  <DocSecurity>0</DocSecurity>
  <Lines>66</Lines>
  <Paragraphs>18</Paragraphs>
  <ScaleCrop>false</ScaleCrop>
  <Company/>
  <LinksUpToDate>false</LinksUpToDate>
  <CharactersWithSpaces>9430</CharactersWithSpaces>
  <SharedDoc>false</SharedDoc>
  <HLinks>
    <vt:vector size="84" baseType="variant">
      <vt:variant>
        <vt:i4>6815804</vt:i4>
      </vt:variant>
      <vt:variant>
        <vt:i4>36</vt:i4>
      </vt:variant>
      <vt:variant>
        <vt:i4>0</vt:i4>
      </vt:variant>
      <vt:variant>
        <vt:i4>5</vt:i4>
      </vt:variant>
      <vt:variant>
        <vt:lpwstr>https://www.ohchr.org/sites/default/files/documents/publications/2022-06-29/Istanbul-Protocol_Rev2_EN.pdf</vt:lpwstr>
      </vt:variant>
      <vt:variant>
        <vt:lpwstr/>
      </vt:variant>
      <vt:variant>
        <vt:i4>4259862</vt:i4>
      </vt:variant>
      <vt:variant>
        <vt:i4>33</vt:i4>
      </vt:variant>
      <vt:variant>
        <vt:i4>0</vt:i4>
      </vt:variant>
      <vt:variant>
        <vt:i4>5</vt:i4>
      </vt:variant>
      <vt:variant>
        <vt:lpwstr>https://search.coe.int/cm?i=0900001680aba149</vt:lpwstr>
      </vt:variant>
      <vt:variant>
        <vt:lpwstr/>
      </vt:variant>
      <vt:variant>
        <vt:i4>4456474</vt:i4>
      </vt:variant>
      <vt:variant>
        <vt:i4>30</vt:i4>
      </vt:variant>
      <vt:variant>
        <vt:i4>0</vt:i4>
      </vt:variant>
      <vt:variant>
        <vt:i4>5</vt:i4>
      </vt:variant>
      <vt:variant>
        <vt:lpwstr>https://search.coe.int/cm?i=090000168099677a</vt:lpwstr>
      </vt:variant>
      <vt:variant>
        <vt:lpwstr/>
      </vt:variant>
      <vt:variant>
        <vt:i4>4325405</vt:i4>
      </vt:variant>
      <vt:variant>
        <vt:i4>27</vt:i4>
      </vt:variant>
      <vt:variant>
        <vt:i4>0</vt:i4>
      </vt:variant>
      <vt:variant>
        <vt:i4>5</vt:i4>
      </vt:variant>
      <vt:variant>
        <vt:lpwstr>https://search.coe.int/cm?i=09000016809fd6b9</vt:lpwstr>
      </vt:variant>
      <vt:variant>
        <vt:lpwstr/>
      </vt:variant>
      <vt:variant>
        <vt:i4>1048599</vt:i4>
      </vt:variant>
      <vt:variant>
        <vt:i4>24</vt:i4>
      </vt:variant>
      <vt:variant>
        <vt:i4>0</vt:i4>
      </vt:variant>
      <vt:variant>
        <vt:i4>5</vt:i4>
      </vt:variant>
      <vt:variant>
        <vt:lpwstr>https://search.coe.int/cm?i=0900001680a318e0</vt:lpwstr>
      </vt:variant>
      <vt:variant>
        <vt:lpwstr/>
      </vt:variant>
      <vt:variant>
        <vt:i4>4915222</vt:i4>
      </vt:variant>
      <vt:variant>
        <vt:i4>21</vt:i4>
      </vt:variant>
      <vt:variant>
        <vt:i4>0</vt:i4>
      </vt:variant>
      <vt:variant>
        <vt:i4>5</vt:i4>
      </vt:variant>
      <vt:variant>
        <vt:lpwstr>https://search.coe.int/cm?i=0900001680a3c56f</vt:lpwstr>
      </vt:variant>
      <vt:variant>
        <vt:lpwstr/>
      </vt:variant>
      <vt:variant>
        <vt:i4>5111872</vt:i4>
      </vt:variant>
      <vt:variant>
        <vt:i4>18</vt:i4>
      </vt:variant>
      <vt:variant>
        <vt:i4>0</vt:i4>
      </vt:variant>
      <vt:variant>
        <vt:i4>5</vt:i4>
      </vt:variant>
      <vt:variant>
        <vt:lpwstr>https://search.coe.int/cm?i=0900001680a4e4fe</vt:lpwstr>
      </vt:variant>
      <vt:variant>
        <vt:lpwstr/>
      </vt:variant>
      <vt:variant>
        <vt:i4>1310786</vt:i4>
      </vt:variant>
      <vt:variant>
        <vt:i4>15</vt:i4>
      </vt:variant>
      <vt:variant>
        <vt:i4>0</vt:i4>
      </vt:variant>
      <vt:variant>
        <vt:i4>5</vt:i4>
      </vt:variant>
      <vt:variant>
        <vt:lpwstr>https://search.coe.int/cm?i=0900001680a84255</vt:lpwstr>
      </vt:variant>
      <vt:variant>
        <vt:lpwstr/>
      </vt:variant>
      <vt:variant>
        <vt:i4>1769493</vt:i4>
      </vt:variant>
      <vt:variant>
        <vt:i4>12</vt:i4>
      </vt:variant>
      <vt:variant>
        <vt:i4>0</vt:i4>
      </vt:variant>
      <vt:variant>
        <vt:i4>5</vt:i4>
      </vt:variant>
      <vt:variant>
        <vt:lpwstr>https://search.coe.int/cm?i=0900001680909676</vt:lpwstr>
      </vt:variant>
      <vt:variant>
        <vt:lpwstr/>
      </vt:variant>
      <vt:variant>
        <vt:i4>2818102</vt:i4>
      </vt:variant>
      <vt:variant>
        <vt:i4>9</vt:i4>
      </vt:variant>
      <vt:variant>
        <vt:i4>0</vt:i4>
      </vt:variant>
      <vt:variant>
        <vt:i4>5</vt:i4>
      </vt:variant>
      <vt:variant>
        <vt:lpwstr>https://search.coe.int/cm</vt:lpwstr>
      </vt:variant>
      <vt:variant>
        <vt:lpwstr>{%22sort%22:[%22CoEValidationDate%20Descending%22],%22CoECollection%22:[%22CM_DOC%22,%22CM_SG%22],%22fulltext%22:[%22zubaydah%22],%22CoEObjectId%22:[%2209000016808fde07%22]}</vt:lpwstr>
      </vt:variant>
      <vt:variant>
        <vt:i4>7471228</vt:i4>
      </vt:variant>
      <vt:variant>
        <vt:i4>6</vt:i4>
      </vt:variant>
      <vt:variant>
        <vt:i4>0</vt:i4>
      </vt:variant>
      <vt:variant>
        <vt:i4>5</vt:i4>
      </vt:variant>
      <vt:variant>
        <vt:lpwstr>https://hudoc.echr.coe.int/eng?i=001-230250</vt:lpwstr>
      </vt:variant>
      <vt:variant>
        <vt:lpwstr/>
      </vt:variant>
      <vt:variant>
        <vt:i4>3735598</vt:i4>
      </vt:variant>
      <vt:variant>
        <vt:i4>3</vt:i4>
      </vt:variant>
      <vt:variant>
        <vt:i4>0</vt:i4>
      </vt:variant>
      <vt:variant>
        <vt:i4>5</vt:i4>
      </vt:variant>
      <vt:variant>
        <vt:lpwstr>https://www.congress.gov/congressional-report/113th-congress/senate-report/288</vt:lpwstr>
      </vt:variant>
      <vt:variant>
        <vt:lpwstr/>
      </vt:variant>
      <vt:variant>
        <vt:i4>3080319</vt:i4>
      </vt:variant>
      <vt:variant>
        <vt:i4>0</vt:i4>
      </vt:variant>
      <vt:variant>
        <vt:i4>0</vt:i4>
      </vt:variant>
      <vt:variant>
        <vt:i4>5</vt:i4>
      </vt:variant>
      <vt:variant>
        <vt:lpwstr>https://undocs.org/Home/Mobile?FinalSymbol=CAT%2FC%2FLTU%2FCO%2F4&amp;Language=E&amp;DeviceType=Desktop&amp;LangRequested=False</vt:lpwstr>
      </vt:variant>
      <vt:variant>
        <vt:lpwstr/>
      </vt:variant>
      <vt:variant>
        <vt:i4>655400</vt:i4>
      </vt:variant>
      <vt:variant>
        <vt:i4>0</vt:i4>
      </vt:variant>
      <vt:variant>
        <vt:i4>0</vt:i4>
      </vt:variant>
      <vt:variant>
        <vt:i4>5</vt:i4>
      </vt:variant>
      <vt:variant>
        <vt:lpwstr>mailto:Alejandra@redress.org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Terranova</dc:creator>
  <cp:keywords/>
  <dc:description/>
  <cp:lastModifiedBy>Chris Esdaile</cp:lastModifiedBy>
  <cp:revision>31</cp:revision>
  <dcterms:created xsi:type="dcterms:W3CDTF">2024-06-14T08:11:00Z</dcterms:created>
  <dcterms:modified xsi:type="dcterms:W3CDTF">2024-06-14T08:47:00Z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