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10102FA" w:rsidR="00767639" w:rsidRDefault="00E24EB5" w:rsidP="00F94B42">
      <w:pPr>
        <w:rPr>
          <w:b/>
          <w:sz w:val="28"/>
          <w:szCs w:val="28"/>
          <w:u w:val="single"/>
        </w:rPr>
      </w:pPr>
      <w:r w:rsidRPr="00FE1332">
        <w:rPr>
          <w:b/>
          <w:sz w:val="28"/>
          <w:szCs w:val="28"/>
        </w:rPr>
        <w:t>BRIEFING ON</w:t>
      </w:r>
      <w:r w:rsidR="007837E1">
        <w:rPr>
          <w:b/>
          <w:sz w:val="28"/>
          <w:szCs w:val="28"/>
        </w:rPr>
        <w:t xml:space="preserve"> THE</w:t>
      </w:r>
      <w:r w:rsidR="00B36535">
        <w:rPr>
          <w:b/>
          <w:sz w:val="28"/>
          <w:szCs w:val="28"/>
        </w:rPr>
        <w:t xml:space="preserve"> </w:t>
      </w:r>
      <w:r w:rsidR="007837E1">
        <w:rPr>
          <w:b/>
          <w:sz w:val="28"/>
          <w:szCs w:val="28"/>
          <w:u w:val="single"/>
        </w:rPr>
        <w:t>MALDIVES</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3343AA4F"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509905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5099050"/>
                        </a:xfrm>
                        <a:prstGeom prst="rect">
                          <a:avLst/>
                        </a:prstGeom>
                        <a:noFill/>
                        <a:ln w="9525">
                          <a:solidFill>
                            <a:srgbClr val="000000"/>
                          </a:solidFill>
                          <a:miter lim="800000"/>
                          <a:headEnd/>
                          <a:tailEnd/>
                        </a:ln>
                      </wps:spPr>
                      <wps:txbx>
                        <w:txbxContent>
                          <w:p w14:paraId="1504B5FD" w14:textId="5DF1788F" w:rsidR="00CE6DDC" w:rsidRPr="006F1904" w:rsidRDefault="00CE6DDC" w:rsidP="001C0859">
                            <w:pPr>
                              <w:spacing w:after="120"/>
                              <w:rPr>
                                <w:b/>
                                <w:iCs/>
                                <w:sz w:val="26"/>
                                <w:szCs w:val="26"/>
                              </w:rPr>
                            </w:pPr>
                            <w:r w:rsidRPr="006F1904">
                              <w:rPr>
                                <w:b/>
                                <w:sz w:val="26"/>
                                <w:szCs w:val="26"/>
                              </w:rPr>
                              <w:t>This briefing describes the law relating to cor</w:t>
                            </w:r>
                            <w:r>
                              <w:rPr>
                                <w:b/>
                                <w:sz w:val="26"/>
                                <w:szCs w:val="26"/>
                              </w:rPr>
                              <w:t xml:space="preserve">poral punishment of children in the </w:t>
                            </w:r>
                            <w:r w:rsidRPr="006F1904">
                              <w:rPr>
                                <w:b/>
                                <w:sz w:val="26"/>
                                <w:szCs w:val="26"/>
                              </w:rPr>
                              <w:t>Maldives. In light of the Committee’s General Comment No. 8 on “The right of the child to protection from corporal punishment and other cruel or degrading forms of punishment”, its previous recommendations on the issue and the recommendations made by other treaty bodies and during the Universal Periodic Review, the importance of eradicating this form of violence given by the UN Secretary General’s Study on Violence against Children, the Government’s stated commitment to prohibition in all settings and the opportunities for achieving prohibition presented by current law reform processes in the Maldives, w</w:t>
                            </w:r>
                            <w:r w:rsidRPr="006F1904">
                              <w:rPr>
                                <w:b/>
                                <w:iCs/>
                                <w:sz w:val="26"/>
                                <w:szCs w:val="26"/>
                              </w:rPr>
                              <w:t>e hope the Committee will:</w:t>
                            </w:r>
                          </w:p>
                          <w:p w14:paraId="70C670F7" w14:textId="50E6D795" w:rsidR="00CE6DDC" w:rsidRPr="006F1904" w:rsidRDefault="00CE6DDC" w:rsidP="001C0859">
                            <w:pPr>
                              <w:numPr>
                                <w:ilvl w:val="0"/>
                                <w:numId w:val="8"/>
                              </w:numPr>
                              <w:spacing w:after="120"/>
                              <w:rPr>
                                <w:b/>
                                <w:iCs/>
                                <w:sz w:val="26"/>
                                <w:szCs w:val="26"/>
                              </w:rPr>
                            </w:pPr>
                            <w:proofErr w:type="gramStart"/>
                            <w:r w:rsidRPr="006F1904">
                              <w:rPr>
                                <w:b/>
                                <w:iCs/>
                                <w:sz w:val="26"/>
                                <w:szCs w:val="26"/>
                              </w:rPr>
                              <w:t>in</w:t>
                            </w:r>
                            <w:proofErr w:type="gramEnd"/>
                            <w:r w:rsidRPr="006F1904">
                              <w:rPr>
                                <w:b/>
                                <w:iCs/>
                                <w:sz w:val="26"/>
                                <w:szCs w:val="26"/>
                              </w:rPr>
                              <w:t xml:space="preserve"> its List of Issues for the Maldives, raise the issue of corporal punishment of children, in particular asking how does the Government intend to ensure it fulfils its obligations under the Convention on the Rights of the Child to prohibit corporal punishment in all settings, including in the home and as a sentence for crime?</w:t>
                            </w:r>
                          </w:p>
                          <w:p w14:paraId="07E8AD91" w14:textId="2F675D35" w:rsidR="00CE6DDC" w:rsidRPr="006F1904" w:rsidRDefault="00CE6DDC" w:rsidP="004D5541">
                            <w:pPr>
                              <w:numPr>
                                <w:ilvl w:val="0"/>
                                <w:numId w:val="8"/>
                              </w:numPr>
                              <w:spacing w:after="120"/>
                              <w:rPr>
                                <w:b/>
                                <w:sz w:val="26"/>
                                <w:szCs w:val="26"/>
                              </w:rPr>
                            </w:pPr>
                            <w:proofErr w:type="gramStart"/>
                            <w:r w:rsidRPr="006F1904">
                              <w:rPr>
                                <w:b/>
                                <w:iCs/>
                                <w:sz w:val="26"/>
                                <w:szCs w:val="26"/>
                              </w:rPr>
                              <w:t>in</w:t>
                            </w:r>
                            <w:proofErr w:type="gramEnd"/>
                            <w:r w:rsidRPr="006F1904">
                              <w:rPr>
                                <w:b/>
                                <w:iCs/>
                                <w:sz w:val="26"/>
                                <w:szCs w:val="26"/>
                              </w:rPr>
                              <w:t xml:space="preserve"> its concluding observations on the fourth/fifth report of the Maldives, (</w:t>
                            </w:r>
                            <w:proofErr w:type="spellStart"/>
                            <w:r w:rsidRPr="006F1904">
                              <w:rPr>
                                <w:b/>
                                <w:iCs/>
                                <w:sz w:val="26"/>
                                <w:szCs w:val="26"/>
                              </w:rPr>
                              <w:t>i</w:t>
                            </w:r>
                            <w:proofErr w:type="spellEnd"/>
                            <w:r w:rsidRPr="006F1904">
                              <w:rPr>
                                <w:b/>
                                <w:iCs/>
                                <w:sz w:val="26"/>
                                <w:szCs w:val="26"/>
                              </w:rPr>
                              <w:t xml:space="preserve">) </w:t>
                            </w:r>
                            <w:r w:rsidRPr="006F1904">
                              <w:rPr>
                                <w:b/>
                                <w:sz w:val="26"/>
                                <w:szCs w:val="26"/>
                              </w:rPr>
                              <w:t>welcome the Government’s commitment to law reform, (ii) emphasise that the Convention on the Rights of the Child requires complete prohibition of corporal punishment in law, with no exceptions by way of defences for its use in childrearing or as a sentence under Shari’a law, however high the evidential standards may be, and (iii) recommend that the child bills currently under discussion include clear prohibition of corporal punishment in all settings, including the home and as a sentence of the courts, and explicit repeal of all provisions allowing the use of force in childrearing and expressly authorising judicial corporal punishment for offenders under 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401.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" filled="f">
                <v:textbox style="mso-fit-shape-to-text:t">
                  <w:txbxContent>
                    <w:p w14:paraId="1504B5FD" w14:textId="5DF1788F" w:rsidR="00CE6DDC" w:rsidRPr="006F1904" w:rsidRDefault="00CE6DDC" w:rsidP="001C0859">
                      <w:pPr>
                        <w:spacing w:after="120"/>
                        <w:rPr>
                          <w:b/>
                          <w:iCs/>
                          <w:sz w:val="26"/>
                          <w:szCs w:val="26"/>
                        </w:rPr>
                      </w:pPr>
                      <w:r w:rsidRPr="006F1904">
                        <w:rPr>
                          <w:b/>
                          <w:sz w:val="26"/>
                          <w:szCs w:val="26"/>
                        </w:rPr>
                        <w:t>This briefing describes the law relating to cor</w:t>
                      </w:r>
                      <w:r>
                        <w:rPr>
                          <w:b/>
                          <w:sz w:val="26"/>
                          <w:szCs w:val="26"/>
                        </w:rPr>
                        <w:t xml:space="preserve">poral punishment of children in the </w:t>
                      </w:r>
                      <w:r w:rsidRPr="006F1904">
                        <w:rPr>
                          <w:b/>
                          <w:sz w:val="26"/>
                          <w:szCs w:val="26"/>
                        </w:rPr>
                        <w:t>Maldives. In light of the Committee’s General Comment No. 8 on “The right of the child to protection from corporal punishment and other cruel or degrading forms of punishment”, its previous recommendations on the issue and the recommendations made by other treaty bodies and during the Universal Periodic Review, the importance of eradicating this form of violence given by the UN Secretary General’s Study on Violence against Children, the Government’s stated commitment to prohibition in all settings and the opportunities for achieving prohibition presented by current law reform processes in the Maldives, w</w:t>
                      </w:r>
                      <w:r w:rsidRPr="006F1904">
                        <w:rPr>
                          <w:b/>
                          <w:iCs/>
                          <w:sz w:val="26"/>
                          <w:szCs w:val="26"/>
                        </w:rPr>
                        <w:t>e hope the Committee will:</w:t>
                      </w:r>
                    </w:p>
                    <w:p w14:paraId="70C670F7" w14:textId="50E6D795" w:rsidR="00CE6DDC" w:rsidRPr="006F1904" w:rsidRDefault="00CE6DDC" w:rsidP="001C0859">
                      <w:pPr>
                        <w:numPr>
                          <w:ilvl w:val="0"/>
                          <w:numId w:val="8"/>
                        </w:numPr>
                        <w:spacing w:after="120"/>
                        <w:rPr>
                          <w:b/>
                          <w:iCs/>
                          <w:sz w:val="26"/>
                          <w:szCs w:val="26"/>
                        </w:rPr>
                      </w:pPr>
                      <w:proofErr w:type="gramStart"/>
                      <w:r w:rsidRPr="006F1904">
                        <w:rPr>
                          <w:b/>
                          <w:iCs/>
                          <w:sz w:val="26"/>
                          <w:szCs w:val="26"/>
                        </w:rPr>
                        <w:t>in</w:t>
                      </w:r>
                      <w:proofErr w:type="gramEnd"/>
                      <w:r w:rsidRPr="006F1904">
                        <w:rPr>
                          <w:b/>
                          <w:iCs/>
                          <w:sz w:val="26"/>
                          <w:szCs w:val="26"/>
                        </w:rPr>
                        <w:t xml:space="preserve"> its List of Issues for the Maldives, raise the issue of corporal punishment of children, in particular asking how does the Government intend to ensure it fulfils its obligations under the Convention on the Rights of the Child to prohibit corporal punishment in all settings, including in the home and as a sentence for crime?</w:t>
                      </w:r>
                    </w:p>
                    <w:p w14:paraId="07E8AD91" w14:textId="2F675D35" w:rsidR="00CE6DDC" w:rsidRPr="006F1904" w:rsidRDefault="00CE6DDC" w:rsidP="004D5541">
                      <w:pPr>
                        <w:numPr>
                          <w:ilvl w:val="0"/>
                          <w:numId w:val="8"/>
                        </w:numPr>
                        <w:spacing w:after="120"/>
                        <w:rPr>
                          <w:b/>
                          <w:sz w:val="26"/>
                          <w:szCs w:val="26"/>
                        </w:rPr>
                      </w:pPr>
                      <w:proofErr w:type="gramStart"/>
                      <w:r w:rsidRPr="006F1904">
                        <w:rPr>
                          <w:b/>
                          <w:iCs/>
                          <w:sz w:val="26"/>
                          <w:szCs w:val="26"/>
                        </w:rPr>
                        <w:t>in</w:t>
                      </w:r>
                      <w:proofErr w:type="gramEnd"/>
                      <w:r w:rsidRPr="006F1904">
                        <w:rPr>
                          <w:b/>
                          <w:iCs/>
                          <w:sz w:val="26"/>
                          <w:szCs w:val="26"/>
                        </w:rPr>
                        <w:t xml:space="preserve"> its concluding observations on the fourth/fifth report of the Maldives, (</w:t>
                      </w:r>
                      <w:proofErr w:type="spellStart"/>
                      <w:r w:rsidRPr="006F1904">
                        <w:rPr>
                          <w:b/>
                          <w:iCs/>
                          <w:sz w:val="26"/>
                          <w:szCs w:val="26"/>
                        </w:rPr>
                        <w:t>i</w:t>
                      </w:r>
                      <w:proofErr w:type="spellEnd"/>
                      <w:r w:rsidRPr="006F1904">
                        <w:rPr>
                          <w:b/>
                          <w:iCs/>
                          <w:sz w:val="26"/>
                          <w:szCs w:val="26"/>
                        </w:rPr>
                        <w:t xml:space="preserve">) </w:t>
                      </w:r>
                      <w:r w:rsidRPr="006F1904">
                        <w:rPr>
                          <w:b/>
                          <w:sz w:val="26"/>
                          <w:szCs w:val="26"/>
                        </w:rPr>
                        <w:t>welcome the Government’s commitment to law reform, (ii) emphasise that the Convention on the Rights of the Child requires complete prohibition of corporal punishment in law, with no exceptions by way of defences for its use in childrearing or as a sentence under Shari’a law, however high the evidential standards may be, and (iii) recommend that the child bills currently under discussion include clear prohibition of corporal punishment in all settings, including the home and as a sentence of the courts, and explicit repeal of all provisions allowing the use of force in childrearing and expressly authorising judicial corporal punishment for offenders under 18.</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9161B9D" w:rsidR="008B273F" w:rsidRPr="006F1904" w:rsidRDefault="00B9701A" w:rsidP="006F1904">
      <w:pPr>
        <w:spacing w:after="120"/>
        <w:ind w:left="482" w:hanging="482"/>
        <w:rPr>
          <w:b/>
          <w:sz w:val="28"/>
          <w:szCs w:val="28"/>
        </w:rPr>
      </w:pPr>
      <w:r w:rsidRPr="006F1904">
        <w:rPr>
          <w:b/>
          <w:sz w:val="28"/>
          <w:szCs w:val="28"/>
        </w:rPr>
        <w:t xml:space="preserve">1 </w:t>
      </w:r>
      <w:r w:rsidR="00E520EF" w:rsidRPr="006F1904">
        <w:rPr>
          <w:b/>
          <w:sz w:val="28"/>
          <w:szCs w:val="28"/>
        </w:rPr>
        <w:t>The</w:t>
      </w:r>
      <w:r w:rsidR="00721E73" w:rsidRPr="006F1904">
        <w:rPr>
          <w:b/>
          <w:sz w:val="28"/>
          <w:szCs w:val="28"/>
        </w:rPr>
        <w:t xml:space="preserve"> </w:t>
      </w:r>
      <w:r w:rsidR="008B273F" w:rsidRPr="006F1904">
        <w:rPr>
          <w:b/>
          <w:sz w:val="28"/>
          <w:szCs w:val="28"/>
        </w:rPr>
        <w:t xml:space="preserve">report </w:t>
      </w:r>
      <w:r w:rsidR="00E520EF" w:rsidRPr="006F1904">
        <w:rPr>
          <w:b/>
          <w:sz w:val="28"/>
          <w:szCs w:val="28"/>
        </w:rPr>
        <w:t xml:space="preserve">of </w:t>
      </w:r>
      <w:r w:rsidR="007837E1" w:rsidRPr="006F1904">
        <w:rPr>
          <w:b/>
          <w:sz w:val="28"/>
          <w:szCs w:val="28"/>
        </w:rPr>
        <w:t>the Maldives</w:t>
      </w:r>
      <w:r w:rsidR="00E520EF" w:rsidRPr="006F1904">
        <w:rPr>
          <w:b/>
          <w:sz w:val="28"/>
          <w:szCs w:val="28"/>
        </w:rPr>
        <w:t xml:space="preserve"> </w:t>
      </w:r>
      <w:r w:rsidR="008B273F" w:rsidRPr="006F1904">
        <w:rPr>
          <w:b/>
          <w:sz w:val="28"/>
          <w:szCs w:val="28"/>
        </w:rPr>
        <w:t>to the Committee on the Rights of the Child</w:t>
      </w:r>
    </w:p>
    <w:p w14:paraId="0025A586" w14:textId="628A9307" w:rsidR="007837E1" w:rsidRPr="006F1904" w:rsidRDefault="007A73E1" w:rsidP="006F1904">
      <w:pPr>
        <w:pStyle w:val="Header"/>
        <w:numPr>
          <w:ilvl w:val="1"/>
          <w:numId w:val="12"/>
        </w:numPr>
        <w:spacing w:after="120"/>
        <w:ind w:left="482" w:hanging="482"/>
        <w:rPr>
          <w:rFonts w:eastAsiaTheme="minorHAnsi"/>
        </w:rPr>
      </w:pPr>
      <w:r w:rsidRPr="006F1904">
        <w:t>In its</w:t>
      </w:r>
      <w:r w:rsidR="00B36535" w:rsidRPr="006F1904">
        <w:t xml:space="preserve"> </w:t>
      </w:r>
      <w:r w:rsidR="007837E1" w:rsidRPr="006F1904">
        <w:t>fourth/fifth</w:t>
      </w:r>
      <w:r w:rsidR="00E520EF" w:rsidRPr="006F1904">
        <w:t xml:space="preserve"> </w:t>
      </w:r>
      <w:r w:rsidR="00B36535" w:rsidRPr="006F1904">
        <w:t>report</w:t>
      </w:r>
      <w:r w:rsidR="007837E1" w:rsidRPr="006F1904">
        <w:rPr>
          <w:rStyle w:val="FootnoteReference"/>
        </w:rPr>
        <w:footnoteReference w:id="1"/>
      </w:r>
      <w:r w:rsidR="00B36535" w:rsidRPr="006F1904">
        <w:t xml:space="preserve"> </w:t>
      </w:r>
      <w:r w:rsidRPr="006F1904">
        <w:t xml:space="preserve">to the Committee on the Rights of the Child, the Government </w:t>
      </w:r>
      <w:r w:rsidR="00B36535" w:rsidRPr="006F1904">
        <w:t xml:space="preserve">of </w:t>
      </w:r>
      <w:r w:rsidR="007837E1" w:rsidRPr="006F1904">
        <w:t xml:space="preserve">the Maldives refers to the Committee’s previous comments in relation to the provisions in the </w:t>
      </w:r>
      <w:r w:rsidR="00AA46EF" w:rsidRPr="006F1904">
        <w:t>(</w:t>
      </w:r>
      <w:r w:rsidR="007837E1" w:rsidRPr="006F1904">
        <w:t>then draft</w:t>
      </w:r>
      <w:r w:rsidR="00AA46EF" w:rsidRPr="006F1904">
        <w:t>)</w:t>
      </w:r>
      <w:r w:rsidR="007837E1" w:rsidRPr="006F1904">
        <w:t xml:space="preserve"> new Penal Code allowing the use of force in childrearing</w:t>
      </w:r>
      <w:r w:rsidR="00AA46EF" w:rsidRPr="006F1904">
        <w:t xml:space="preserve">, and attempts to justify the inclusion of this provision with reference to the “very high standard of proof” required in order to ascertain that the force used was “necessary” and, if so, was not liable to cause or threaten to cause “mental distress or humiliation”. The Government argues that this means the new law in effect “amount[s] to a </w:t>
      </w:r>
      <w:r w:rsidR="00AA46EF" w:rsidRPr="006F1904">
        <w:rPr>
          <w:i/>
        </w:rPr>
        <w:t>de facto</w:t>
      </w:r>
      <w:r w:rsidR="00AA46EF" w:rsidRPr="006F1904">
        <w:t xml:space="preserve"> ban” on corporal punishment.</w:t>
      </w:r>
      <w:r w:rsidR="00AA46EF" w:rsidRPr="006F1904">
        <w:rPr>
          <w:rStyle w:val="FootnoteReference"/>
        </w:rPr>
        <w:footnoteReference w:id="2"/>
      </w:r>
      <w:r w:rsidR="00E50921" w:rsidRPr="006F1904">
        <w:t xml:space="preserve"> The Government also reports that it </w:t>
      </w:r>
      <w:r w:rsidR="00E50921" w:rsidRPr="006F1904">
        <w:lastRenderedPageBreak/>
        <w:t xml:space="preserve">has “identified </w:t>
      </w:r>
      <w:r w:rsidR="00E50921" w:rsidRPr="006F1904">
        <w:rPr>
          <w:color w:val="000000"/>
          <w:lang w:val="en-US"/>
        </w:rPr>
        <w:t>the actions and measures needed to prohibit all forms of corporal punishment of children in all settings”.</w:t>
      </w:r>
      <w:r w:rsidR="00E50921" w:rsidRPr="006F1904">
        <w:rPr>
          <w:rStyle w:val="FootnoteReference"/>
          <w:color w:val="000000"/>
          <w:lang w:val="en-US"/>
        </w:rPr>
        <w:footnoteReference w:id="3"/>
      </w:r>
      <w:r w:rsidR="00D43660" w:rsidRPr="006F1904">
        <w:rPr>
          <w:color w:val="000000"/>
          <w:lang w:val="en-US"/>
        </w:rPr>
        <w:t xml:space="preserve"> It states that the </w:t>
      </w:r>
      <w:r w:rsidR="00D43660" w:rsidRPr="006F1904">
        <w:t xml:space="preserve">Child Rights, Child Care and Child Protection Bill will bring the law into full compliance with the Convention on the Rights of the Child, but </w:t>
      </w:r>
      <w:r w:rsidR="00CE6DDC">
        <w:t xml:space="preserve">it </w:t>
      </w:r>
      <w:r w:rsidR="00D43660" w:rsidRPr="006F1904">
        <w:t>does not refer specifically to corporal punishment in this context.</w:t>
      </w:r>
      <w:r w:rsidR="00D43660" w:rsidRPr="006F1904">
        <w:rPr>
          <w:rStyle w:val="FootnoteReference"/>
        </w:rPr>
        <w:footnoteReference w:id="4"/>
      </w:r>
    </w:p>
    <w:p w14:paraId="1F4D3567" w14:textId="6B07787C" w:rsidR="00E50921" w:rsidRPr="00FF1DBB" w:rsidRDefault="00AA46EF" w:rsidP="00FF1DBB">
      <w:pPr>
        <w:pStyle w:val="Header"/>
        <w:numPr>
          <w:ilvl w:val="1"/>
          <w:numId w:val="12"/>
        </w:numPr>
        <w:spacing w:after="120"/>
        <w:ind w:left="482" w:hanging="482"/>
        <w:rPr>
          <w:rFonts w:eastAsiaTheme="minorHAnsi"/>
        </w:rPr>
      </w:pPr>
      <w:r w:rsidRPr="006F1904">
        <w:rPr>
          <w:rFonts w:eastAsiaTheme="minorHAnsi"/>
        </w:rPr>
        <w:t>The report describes current law on sentencing</w:t>
      </w:r>
      <w:r w:rsidR="00E50921" w:rsidRPr="006F1904">
        <w:rPr>
          <w:rFonts w:eastAsiaTheme="minorHAnsi"/>
        </w:rPr>
        <w:t xml:space="preserve"> children found guilty of a crime to corporal punishment, noting that in practice this is not common, and en</w:t>
      </w:r>
      <w:r w:rsidR="00CE6DDC">
        <w:rPr>
          <w:rFonts w:eastAsiaTheme="minorHAnsi"/>
        </w:rPr>
        <w:t>forcement is often delayed until</w:t>
      </w:r>
      <w:r w:rsidR="00E50921" w:rsidRPr="006F1904">
        <w:rPr>
          <w:rFonts w:eastAsiaTheme="minorHAnsi"/>
        </w:rPr>
        <w:t xml:space="preserve"> the child turns 18. It notes that one effect of the Special Measures Act 2009 has reduced the likelihood of children being convicted of </w:t>
      </w:r>
      <w:proofErr w:type="spellStart"/>
      <w:r w:rsidR="00E50921" w:rsidRPr="006F1904">
        <w:rPr>
          <w:rFonts w:eastAsiaTheme="minorHAnsi"/>
          <w:i/>
        </w:rPr>
        <w:t>zina</w:t>
      </w:r>
      <w:proofErr w:type="spellEnd"/>
      <w:r w:rsidR="00E50921" w:rsidRPr="006F1904">
        <w:rPr>
          <w:rFonts w:eastAsiaTheme="minorHAnsi"/>
        </w:rPr>
        <w:t>, the crime most commonly resulting in being sentenced to corporal punishm</w:t>
      </w:r>
      <w:r w:rsidR="00CE6DDC">
        <w:rPr>
          <w:rFonts w:eastAsiaTheme="minorHAnsi"/>
        </w:rPr>
        <w:t xml:space="preserve">ent. The Government states </w:t>
      </w:r>
      <w:r w:rsidR="00E50921" w:rsidRPr="006F1904">
        <w:rPr>
          <w:rFonts w:eastAsiaTheme="minorHAnsi"/>
        </w:rPr>
        <w:t>it is aware of the Committee’s definition of corporal punishment but nevertheless proceeds to distinguish corporal punishment under Shari’a law from that imposed under secular law in other countries. The Juvenile Justice Bill is said to prohibit any court sentencing a juvenile to corporal punishment.</w:t>
      </w:r>
      <w:r w:rsidR="00E50921" w:rsidRPr="006F1904">
        <w:rPr>
          <w:rStyle w:val="FootnoteReference"/>
          <w:rFonts w:eastAsiaTheme="minorHAnsi"/>
        </w:rPr>
        <w:footnoteReference w:id="5"/>
      </w:r>
      <w:r w:rsidR="00FF1DBB">
        <w:rPr>
          <w:rFonts w:eastAsiaTheme="minorHAnsi"/>
        </w:rPr>
        <w:t xml:space="preserve"> </w:t>
      </w:r>
      <w:r w:rsidR="00E50921" w:rsidRPr="00FF1DBB">
        <w:rPr>
          <w:rFonts w:eastAsiaTheme="minorHAnsi"/>
        </w:rPr>
        <w:t>With regard to schools, the Government refers to policy against corporal punishment but acknowledges the lack of prohibition in law. The Education Bill in its current form would prohibit corporal punishment in schools.</w:t>
      </w:r>
      <w:r w:rsidR="00E50921" w:rsidRPr="006F1904">
        <w:rPr>
          <w:rStyle w:val="FootnoteReference"/>
          <w:rFonts w:eastAsiaTheme="minorHAnsi"/>
        </w:rPr>
        <w:footnoteReference w:id="6"/>
      </w:r>
    </w:p>
    <w:p w14:paraId="5592389D" w14:textId="39A19012" w:rsidR="00D43660" w:rsidRPr="006F1904" w:rsidRDefault="00D43660" w:rsidP="006F1904">
      <w:pPr>
        <w:pStyle w:val="Header"/>
        <w:numPr>
          <w:ilvl w:val="1"/>
          <w:numId w:val="12"/>
        </w:numPr>
        <w:spacing w:after="120"/>
        <w:ind w:left="482" w:hanging="482"/>
      </w:pPr>
      <w:r w:rsidRPr="006F1904">
        <w:t>The Government of the Maldives has long stated its commitment to prohibiting corporal punishment of children in all settings. 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the Maldives.</w:t>
      </w:r>
      <w:r w:rsidRPr="006F1904">
        <w:rPr>
          <w:rStyle w:val="FootnoteReference"/>
        </w:rPr>
        <w:footnoteReference w:id="7"/>
      </w:r>
      <w:r w:rsidR="00CE6DDC">
        <w:t xml:space="preserve"> A second report was published in 2014.</w:t>
      </w:r>
      <w:r w:rsidR="00CE6DDC">
        <w:rPr>
          <w:rStyle w:val="FootnoteReference"/>
        </w:rPr>
        <w:footnoteReference w:id="8"/>
      </w:r>
    </w:p>
    <w:p w14:paraId="76A29099" w14:textId="3697AABE" w:rsidR="00D43660" w:rsidRPr="006F1904" w:rsidRDefault="00D43660" w:rsidP="006F1904">
      <w:pPr>
        <w:pStyle w:val="Header"/>
        <w:numPr>
          <w:ilvl w:val="1"/>
          <w:numId w:val="12"/>
        </w:numPr>
        <w:spacing w:after="120"/>
        <w:ind w:left="482" w:hanging="482"/>
      </w:pPr>
      <w:r w:rsidRPr="006F1904">
        <w:t xml:space="preserve">The Government’s commitment to legislating against corporal punishment of children is to be welcomed, but its enactment of the new Penal Code in 2014 appears to undermine this commitment in providing a legal defence for corporal punishment in childrearing and possibly as a sentence for crime (see below). </w:t>
      </w:r>
      <w:r w:rsidRPr="006F1904">
        <w:rPr>
          <w:b/>
        </w:rPr>
        <w:t>We hope the Committee will welcome the Maldivian Government’s commitment to law reform but emphasise that the Convention on the Rights of the Child requires complete prohibition of corporal punishment in law, with no exceptions by way of defences for its use in childrearing or</w:t>
      </w:r>
      <w:r w:rsidR="004D5541" w:rsidRPr="006F1904">
        <w:rPr>
          <w:b/>
        </w:rPr>
        <w:t xml:space="preserve"> as a sentence under Shari’a law, however high the evidential standards may be. We hope the Committee will recommend that the child bills currently under discussion include clear prohibition of corporal punishment in all settings, including the home and as a sentence of the courts, and explicit repeal of all provisions allowing the use of force in childrearing and expressly authorising judicial corporal punishment for offenders under 18.</w:t>
      </w:r>
    </w:p>
    <w:p w14:paraId="4CC229DA" w14:textId="77777777" w:rsidR="00803681" w:rsidRPr="006F1904" w:rsidRDefault="00803681" w:rsidP="006F1904">
      <w:pPr>
        <w:spacing w:after="120"/>
        <w:ind w:left="482" w:hanging="482"/>
        <w:rPr>
          <w:b/>
          <w:sz w:val="28"/>
          <w:szCs w:val="28"/>
        </w:rPr>
      </w:pPr>
    </w:p>
    <w:p w14:paraId="001C6B0F" w14:textId="6F3894ED" w:rsidR="008B273F" w:rsidRPr="006F1904" w:rsidRDefault="003E489B" w:rsidP="006F1904">
      <w:pPr>
        <w:spacing w:after="120"/>
        <w:ind w:left="482" w:hanging="482"/>
        <w:rPr>
          <w:sz w:val="28"/>
          <w:szCs w:val="28"/>
        </w:rPr>
      </w:pPr>
      <w:r w:rsidRPr="006F1904">
        <w:rPr>
          <w:b/>
          <w:sz w:val="28"/>
          <w:szCs w:val="28"/>
        </w:rPr>
        <w:t>2 The legality</w:t>
      </w:r>
      <w:r w:rsidR="00DB56A9" w:rsidRPr="006F1904">
        <w:rPr>
          <w:b/>
          <w:sz w:val="28"/>
          <w:szCs w:val="28"/>
        </w:rPr>
        <w:t xml:space="preserve"> </w:t>
      </w:r>
      <w:r w:rsidR="008B273F" w:rsidRPr="006F1904">
        <w:rPr>
          <w:b/>
          <w:sz w:val="28"/>
          <w:szCs w:val="28"/>
        </w:rPr>
        <w:t xml:space="preserve">of corporal punishment of children in </w:t>
      </w:r>
      <w:r w:rsidR="004D5541" w:rsidRPr="006F1904">
        <w:rPr>
          <w:b/>
          <w:sz w:val="28"/>
          <w:szCs w:val="28"/>
        </w:rPr>
        <w:t>the Maldives</w:t>
      </w:r>
    </w:p>
    <w:p w14:paraId="00E1D2B1" w14:textId="7286CF20" w:rsidR="006054C5" w:rsidRPr="006F1904" w:rsidRDefault="006054C5" w:rsidP="006F1904">
      <w:pPr>
        <w:spacing w:after="120"/>
        <w:ind w:left="482" w:hanging="482"/>
      </w:pPr>
      <w:r w:rsidRPr="006F1904">
        <w:t xml:space="preserve">2.1 </w:t>
      </w:r>
      <w:r w:rsidRPr="006F1904">
        <w:rPr>
          <w:b/>
          <w:i/>
        </w:rPr>
        <w:t>Summary:</w:t>
      </w:r>
      <w:r w:rsidRPr="006F1904">
        <w:t xml:space="preserve"> In </w:t>
      </w:r>
      <w:r w:rsidR="004D5541" w:rsidRPr="006F1904">
        <w:t xml:space="preserve">the Maldives, corporal punishment of children is lawful in all settings – the home, alternative care settings, day care, schools, penal institutions and as a sentence for crime. A number of bills are under </w:t>
      </w:r>
      <w:r w:rsidR="00FF1DBB">
        <w:t>consideration</w:t>
      </w:r>
      <w:r w:rsidR="004D5541" w:rsidRPr="006F1904">
        <w:t xml:space="preserve"> which provide key opportunities for prohibiting corporal punishment.</w:t>
      </w:r>
    </w:p>
    <w:p w14:paraId="785388A5" w14:textId="3160D779" w:rsidR="004D5541" w:rsidRPr="006F1904" w:rsidRDefault="006054C5" w:rsidP="006F1904">
      <w:pPr>
        <w:spacing w:after="120"/>
        <w:ind w:left="482" w:hanging="482"/>
      </w:pPr>
      <w:r w:rsidRPr="006F1904">
        <w:lastRenderedPageBreak/>
        <w:t xml:space="preserve">2.2 </w:t>
      </w:r>
      <w:r w:rsidRPr="006F1904">
        <w:rPr>
          <w:b/>
          <w:i/>
        </w:rPr>
        <w:t>Home (</w:t>
      </w:r>
      <w:r w:rsidRPr="006F1904">
        <w:rPr>
          <w:b/>
          <w:i/>
          <w:u w:val="single"/>
        </w:rPr>
        <w:t>lawful</w:t>
      </w:r>
      <w:r w:rsidRPr="006F1904">
        <w:rPr>
          <w:b/>
          <w:i/>
        </w:rPr>
        <w:t>):</w:t>
      </w:r>
      <w:r w:rsidRPr="006F1904">
        <w:rPr>
          <w:i/>
        </w:rPr>
        <w:t xml:space="preserve"> </w:t>
      </w:r>
      <w:r w:rsidR="004D5541" w:rsidRPr="006F1904">
        <w:t>T</w:t>
      </w:r>
      <w:r w:rsidR="00CE6DDC">
        <w:t>here is no legal defence for the</w:t>
      </w:r>
      <w:r w:rsidR="004D5541" w:rsidRPr="006F1904">
        <w:t xml:space="preserve"> use </w:t>
      </w:r>
      <w:r w:rsidR="00CE6DDC">
        <w:t xml:space="preserve">of corporal punishment </w:t>
      </w:r>
      <w:r w:rsidR="004D5541" w:rsidRPr="006F1904">
        <w:t>by parents in the Penal Code 1968 (amended 2002), but legal provisions against violence and abuse – including in the Domestic Violence Act 2012 – are not interpreted as prohibiting corporal punishment of children. In information provided to the Human Rights Committee in 2012, the Government asserted that the Law on the Protection of the Rights of the Child 1991 “prohibits corporal punishment in homes, schools and the penal system of any person under the age of 18”.</w:t>
      </w:r>
      <w:r w:rsidR="004D5541" w:rsidRPr="006F1904">
        <w:rPr>
          <w:rStyle w:val="FootnoteReference"/>
        </w:rPr>
        <w:footnoteReference w:id="9"/>
      </w:r>
      <w:r w:rsidR="004D5541" w:rsidRPr="006F1904">
        <w:t xml:space="preserve"> In fact, article 18 of the Law prohibits only punishment of a degree which is considered to harm the child: “No child shall, even as a measure of discipline, be subjected to punishment which may cause physical injury or which may be detrimental to the health of the child.” Furthermore, at the same time as stating that all corporal punishment is prohibited the Government confirmed that it had “identified the actions and measures to prohibit all corporal punishment in all settings including law reform and an anti-corporal punishment campaign is planned for 2013”.</w:t>
      </w:r>
      <w:r w:rsidR="004D5541" w:rsidRPr="006F1904">
        <w:rPr>
          <w:rStyle w:val="FootnoteReference"/>
        </w:rPr>
        <w:footnoteReference w:id="10"/>
      </w:r>
    </w:p>
    <w:p w14:paraId="12A5FAEB" w14:textId="1FFEE855" w:rsidR="004D5541" w:rsidRPr="006F1904" w:rsidRDefault="006F1904" w:rsidP="006F1904">
      <w:pPr>
        <w:pStyle w:val="Default"/>
        <w:spacing w:after="120"/>
        <w:ind w:left="482" w:hanging="482"/>
        <w:rPr>
          <w:rFonts w:ascii="Times New Roman" w:hAnsi="Times New Roman"/>
        </w:rPr>
      </w:pPr>
      <w:r>
        <w:rPr>
          <w:rFonts w:ascii="Times New Roman" w:hAnsi="Times New Roman"/>
        </w:rPr>
        <w:t xml:space="preserve">2.3 </w:t>
      </w:r>
      <w:r w:rsidR="004D5541" w:rsidRPr="006F1904">
        <w:rPr>
          <w:rFonts w:ascii="Times New Roman" w:hAnsi="Times New Roman"/>
        </w:rPr>
        <w:t>In April 2014, a new Penal Code was adopted, which is expected to come into force in April 2015. We have yet to see the final full text, but in its draft form it introduced a legal defence for the use of corporal punishment in the home and other settings. Section 44(a) of the draft states that “a parent, legal guardian, teacher or other person similarly responsible for the care or supervision of a minor, or a person acting at the request of a person with such responsibility” may justifiably use force on a child for the “prevention or punishment of his misconduct”, provided that the force used “</w:t>
      </w:r>
      <w:r w:rsidR="004D5541" w:rsidRPr="006F1904">
        <w:rPr>
          <w:rFonts w:ascii="Times New Roman" w:hAnsi="Times New Roman"/>
          <w:lang w:eastAsia="en-GB"/>
        </w:rPr>
        <w:t>does not create a substantial risk of causing death, serious bodily injury, extreme or unnecessary pain or mental distress, or humiliation”</w:t>
      </w:r>
      <w:r w:rsidR="004D5541" w:rsidRPr="006F1904">
        <w:rPr>
          <w:rFonts w:ascii="Times New Roman" w:hAnsi="Times New Roman"/>
        </w:rPr>
        <w:t>.</w:t>
      </w:r>
    </w:p>
    <w:p w14:paraId="31B05563" w14:textId="0BB1026F" w:rsidR="006054C5" w:rsidRPr="006F1904" w:rsidRDefault="006054C5" w:rsidP="006F1904">
      <w:pPr>
        <w:autoSpaceDE w:val="0"/>
        <w:autoSpaceDN w:val="0"/>
        <w:adjustRightInd w:val="0"/>
        <w:spacing w:after="120"/>
        <w:ind w:left="482" w:hanging="482"/>
      </w:pPr>
      <w:r w:rsidRPr="006F1904">
        <w:t>2.</w:t>
      </w:r>
      <w:r w:rsidR="00454CC3">
        <w:t>4</w:t>
      </w:r>
      <w:r w:rsidRPr="006F1904">
        <w:t xml:space="preserve"> </w:t>
      </w:r>
      <w:r w:rsidRPr="006F1904">
        <w:rPr>
          <w:b/>
          <w:i/>
        </w:rPr>
        <w:t>Alternative care settings</w:t>
      </w:r>
      <w:r w:rsidR="00616D0F" w:rsidRPr="006F1904">
        <w:rPr>
          <w:b/>
          <w:i/>
        </w:rPr>
        <w:t xml:space="preserve"> (</w:t>
      </w:r>
      <w:r w:rsidR="008D41B9" w:rsidRPr="006F1904">
        <w:rPr>
          <w:b/>
          <w:i/>
          <w:u w:val="single"/>
        </w:rPr>
        <w:t>lawful</w:t>
      </w:r>
      <w:r w:rsidRPr="006F1904">
        <w:rPr>
          <w:b/>
          <w:i/>
        </w:rPr>
        <w:t>):</w:t>
      </w:r>
      <w:r w:rsidR="00BF7291" w:rsidRPr="006F1904">
        <w:rPr>
          <w:b/>
          <w:i/>
        </w:rPr>
        <w:t xml:space="preserve"> </w:t>
      </w:r>
      <w:r w:rsidR="004D5541" w:rsidRPr="006F1904">
        <w:t xml:space="preserve">In its draft form, the new Penal Code would provide a legal defence for the use of force to punish children in institutions and other care settings (see </w:t>
      </w:r>
      <w:proofErr w:type="spellStart"/>
      <w:r w:rsidR="00454CC3">
        <w:t>para</w:t>
      </w:r>
      <w:proofErr w:type="spellEnd"/>
      <w:r w:rsidR="00454CC3">
        <w:t>. 2.3, above</w:t>
      </w:r>
      <w:r w:rsidR="004D5541" w:rsidRPr="006F1904">
        <w:t>).</w:t>
      </w:r>
    </w:p>
    <w:p w14:paraId="54C8729B" w14:textId="2D0AD8EF" w:rsidR="006054C5" w:rsidRPr="006F1904" w:rsidRDefault="006054C5" w:rsidP="006F1904">
      <w:pPr>
        <w:spacing w:after="120"/>
        <w:ind w:left="482" w:hanging="482"/>
      </w:pPr>
      <w:r w:rsidRPr="006F1904">
        <w:t>2.</w:t>
      </w:r>
      <w:r w:rsidR="00454CC3">
        <w:t>5</w:t>
      </w:r>
      <w:r w:rsidRPr="006F1904">
        <w:t xml:space="preserve"> </w:t>
      </w:r>
      <w:r w:rsidRPr="006F1904">
        <w:rPr>
          <w:b/>
          <w:i/>
        </w:rPr>
        <w:t>Day care</w:t>
      </w:r>
      <w:r w:rsidR="00616D0F" w:rsidRPr="006F1904">
        <w:rPr>
          <w:b/>
          <w:i/>
        </w:rPr>
        <w:t xml:space="preserve"> (</w:t>
      </w:r>
      <w:r w:rsidR="004D5541" w:rsidRPr="006F1904">
        <w:rPr>
          <w:b/>
          <w:i/>
          <w:u w:val="single"/>
        </w:rPr>
        <w:t>lawful</w:t>
      </w:r>
      <w:r w:rsidRPr="006F1904">
        <w:rPr>
          <w:b/>
          <w:i/>
        </w:rPr>
        <w:t>):</w:t>
      </w:r>
      <w:r w:rsidRPr="006F1904">
        <w:t xml:space="preserve"> </w:t>
      </w:r>
      <w:r w:rsidR="004D5541" w:rsidRPr="006F1904">
        <w:t xml:space="preserve">There is no explicit prohibition of corporal punishment in early childhood care or in day care for older children. In its draft form, the new Penal Code would provide a legal defence for the use of force to punish children in day care settings (see </w:t>
      </w:r>
      <w:proofErr w:type="spellStart"/>
      <w:r w:rsidR="00454CC3">
        <w:t>para</w:t>
      </w:r>
      <w:proofErr w:type="spellEnd"/>
      <w:r w:rsidR="00454CC3">
        <w:t>. 2.3, above</w:t>
      </w:r>
      <w:r w:rsidR="004D5541" w:rsidRPr="006F1904">
        <w:t>).</w:t>
      </w:r>
    </w:p>
    <w:p w14:paraId="710FA2AD" w14:textId="38C080D2" w:rsidR="006054C5" w:rsidRPr="006F1904" w:rsidRDefault="006054C5" w:rsidP="006F1904">
      <w:pPr>
        <w:spacing w:after="120"/>
        <w:ind w:left="482" w:hanging="482"/>
      </w:pPr>
      <w:r w:rsidRPr="006F1904">
        <w:t>2.</w:t>
      </w:r>
      <w:r w:rsidR="00454CC3">
        <w:t>6</w:t>
      </w:r>
      <w:r w:rsidRPr="006F1904">
        <w:t xml:space="preserve"> </w:t>
      </w:r>
      <w:r w:rsidRPr="006F1904">
        <w:rPr>
          <w:b/>
          <w:i/>
        </w:rPr>
        <w:t>Schools (</w:t>
      </w:r>
      <w:r w:rsidR="00C42A73" w:rsidRPr="006F1904">
        <w:rPr>
          <w:b/>
          <w:i/>
          <w:u w:val="single"/>
        </w:rPr>
        <w:t>lawful</w:t>
      </w:r>
      <w:r w:rsidRPr="006F1904">
        <w:rPr>
          <w:b/>
          <w:i/>
        </w:rPr>
        <w:t>):</w:t>
      </w:r>
      <w:r w:rsidRPr="006F1904">
        <w:t xml:space="preserve"> </w:t>
      </w:r>
      <w:bookmarkStart w:id="0" w:name="hit1"/>
      <w:bookmarkStart w:id="1" w:name="hit2"/>
      <w:bookmarkStart w:id="2" w:name="hit4"/>
      <w:bookmarkEnd w:id="0"/>
      <w:bookmarkEnd w:id="1"/>
      <w:bookmarkEnd w:id="2"/>
      <w:r w:rsidR="004D5541" w:rsidRPr="006F1904">
        <w:t xml:space="preserve">There is no explicit prohibition of all corporal punishment in schools. Article 10 of the Law on the Protection of the Rights of the Child 1991 states that punishment in school “must be appropriate to the age of the child and should not be physically or psychologically harmful to the child”. The Ministry of Education has stated that corporal punishment should not be used, but in its draft form the new Penal Code would introduce a legal defence for the use of corporal punishment by teachers (see </w:t>
      </w:r>
      <w:r w:rsidR="00454CC3">
        <w:t>above</w:t>
      </w:r>
      <w:r w:rsidR="004D5541" w:rsidRPr="006F1904">
        <w:t>). An Education Bill has been under discussion since 2009: it was reviewed by the Committee on National Development in 2012 and recommendations for further amendments made but we have no detailed information on the proposed provisions.</w:t>
      </w:r>
    </w:p>
    <w:p w14:paraId="7FE0BDE8" w14:textId="109F4F99" w:rsidR="006054C5" w:rsidRPr="006F1904" w:rsidRDefault="006054C5" w:rsidP="006F1904">
      <w:pPr>
        <w:spacing w:after="120"/>
        <w:ind w:left="482" w:hanging="482"/>
      </w:pPr>
      <w:r w:rsidRPr="006F1904">
        <w:t>2.</w:t>
      </w:r>
      <w:r w:rsidR="00454CC3">
        <w:t>7</w:t>
      </w:r>
      <w:r w:rsidRPr="006F1904">
        <w:t xml:space="preserve"> </w:t>
      </w:r>
      <w:r w:rsidRPr="006F1904">
        <w:rPr>
          <w:b/>
          <w:i/>
        </w:rPr>
        <w:t>Penal institutions (</w:t>
      </w:r>
      <w:r w:rsidRPr="006F1904">
        <w:rPr>
          <w:b/>
          <w:i/>
          <w:u w:val="single"/>
        </w:rPr>
        <w:t>lawful</w:t>
      </w:r>
      <w:r w:rsidRPr="006F1904">
        <w:rPr>
          <w:b/>
          <w:i/>
        </w:rPr>
        <w:t>)</w:t>
      </w:r>
      <w:r w:rsidRPr="006F1904">
        <w:t xml:space="preserve">: </w:t>
      </w:r>
      <w:r w:rsidR="004D5541" w:rsidRPr="006F1904">
        <w:t xml:space="preserve">There is no explicit prohibition of corporal punishment as a disciplinary measure in penal institutions. The draft Penal Code would legalise corporal punishment in institutions (see </w:t>
      </w:r>
      <w:r w:rsidR="00454CC3">
        <w:t>above</w:t>
      </w:r>
      <w:r w:rsidR="004D5541" w:rsidRPr="006F1904">
        <w:t>). The Prisons and Parole Act 2013 was adopted in December 2013: we have yet to see the final text. In its draft form, the Bill included explicit prohibition of corporal punishment (art. 163) but it appeared to apply to adults only. We are not aware of comparable legislation being drafted in relation to children in detention.</w:t>
      </w:r>
    </w:p>
    <w:p w14:paraId="2D52D6EA" w14:textId="4ABD4E83" w:rsidR="004D5541" w:rsidRPr="006F1904" w:rsidRDefault="006054C5" w:rsidP="006F1904">
      <w:pPr>
        <w:spacing w:after="120"/>
        <w:ind w:left="482" w:hanging="482"/>
      </w:pPr>
      <w:r w:rsidRPr="006F1904">
        <w:t>2.</w:t>
      </w:r>
      <w:r w:rsidR="00454CC3">
        <w:t>8</w:t>
      </w:r>
      <w:r w:rsidRPr="006F1904">
        <w:t xml:space="preserve"> </w:t>
      </w:r>
      <w:r w:rsidRPr="006F1904">
        <w:rPr>
          <w:b/>
          <w:i/>
        </w:rPr>
        <w:t>Sentence for crime (</w:t>
      </w:r>
      <w:r w:rsidRPr="006F1904">
        <w:rPr>
          <w:b/>
          <w:i/>
          <w:u w:val="single"/>
        </w:rPr>
        <w:t>lawful</w:t>
      </w:r>
      <w:r w:rsidRPr="006F1904">
        <w:rPr>
          <w:b/>
          <w:i/>
        </w:rPr>
        <w:t>):</w:t>
      </w:r>
      <w:r w:rsidRPr="006F1904">
        <w:t xml:space="preserve"> </w:t>
      </w:r>
      <w:r w:rsidR="004D5541" w:rsidRPr="006F1904">
        <w:t xml:space="preserve">The Law on the Protection of the Rights of the Child 1991 prohibits cruel and degrading punishment on children, and the current Penal Code does not authorise judicial corporal punishment. However, the Penal Code does not apply to offences under Shari’a law or to certain other offences. The Regulation on Conducting Trials, Investigations and Sentencing Fairly for Offences Committed by Minors 2006 states that children from the age of puberty may be held criminally responsible for committing apostasy, revolution against the state, fornication, falsely accusing a person of fornication, consumption of alcohol, unlawful intentional </w:t>
      </w:r>
      <w:r w:rsidR="004D5541" w:rsidRPr="006F1904">
        <w:lastRenderedPageBreak/>
        <w:t xml:space="preserve">killing and other offences relating to homicide (arts. 4 and 5). These are offences for which </w:t>
      </w:r>
      <w:proofErr w:type="spellStart"/>
      <w:r w:rsidR="004D5541" w:rsidRPr="006F1904">
        <w:rPr>
          <w:i/>
        </w:rPr>
        <w:t>hadd</w:t>
      </w:r>
      <w:proofErr w:type="spellEnd"/>
      <w:r w:rsidR="004D5541" w:rsidRPr="006F1904">
        <w:t xml:space="preserve"> is prescribed in Islam, including flogging. From the age of 15, children can be convicted of a wider range of offences under Shari’a</w:t>
      </w:r>
      <w:r w:rsidR="004D5541" w:rsidRPr="006F1904">
        <w:rPr>
          <w:i/>
        </w:rPr>
        <w:t xml:space="preserve"> </w:t>
      </w:r>
      <w:r w:rsidR="004D5541" w:rsidRPr="006F1904">
        <w:t>law. The Disobedience Law provides for corporal punishment as a sentence but we have no further information.</w:t>
      </w:r>
    </w:p>
    <w:p w14:paraId="5E0BA673" w14:textId="63C3FA91" w:rsidR="004D5541" w:rsidRPr="006F1904" w:rsidRDefault="00454CC3" w:rsidP="006F1904">
      <w:pPr>
        <w:spacing w:after="120"/>
        <w:ind w:left="482" w:hanging="482"/>
      </w:pPr>
      <w:r>
        <w:t>2.9</w:t>
      </w:r>
      <w:r w:rsidR="006F1904">
        <w:t xml:space="preserve"> </w:t>
      </w:r>
      <w:r w:rsidR="004D5541" w:rsidRPr="006F1904">
        <w:t>In 2012, the Government stated to the Human Rights Committee that flogging is available as a sentence under Shari’a law only for persons over 18 but also that it had identified the necessary law reform to prohibit corporal punishment in a report published by the South Asia Initiative to End Violence Against Children (SAIEVAC).</w:t>
      </w:r>
      <w:r w:rsidR="004D5541" w:rsidRPr="006F1904">
        <w:rPr>
          <w:rStyle w:val="FootnoteReference"/>
        </w:rPr>
        <w:footnoteReference w:id="11"/>
      </w:r>
      <w:r w:rsidR="004D5541" w:rsidRPr="006F1904">
        <w:t xml:space="preserve"> The report confirms that corporal punishment is lawful as a sentence for crime for children as described above.</w:t>
      </w:r>
      <w:r w:rsidR="004D5541" w:rsidRPr="006F1904">
        <w:rPr>
          <w:rStyle w:val="FootnoteReference"/>
        </w:rPr>
        <w:footnoteReference w:id="12"/>
      </w:r>
    </w:p>
    <w:p w14:paraId="7FFD62A4" w14:textId="5899B6C9" w:rsidR="004D5541" w:rsidRPr="006F1904" w:rsidRDefault="00454CC3" w:rsidP="006F1904">
      <w:pPr>
        <w:spacing w:after="120"/>
        <w:ind w:left="482" w:hanging="482"/>
      </w:pPr>
      <w:r>
        <w:t>2.10</w:t>
      </w:r>
      <w:r w:rsidR="006F1904">
        <w:t xml:space="preserve"> </w:t>
      </w:r>
      <w:r w:rsidR="004D5541" w:rsidRPr="006F1904">
        <w:t>A review commissioned by the Attorney General recommended the abolition of flogging,</w:t>
      </w:r>
      <w:r w:rsidR="004D5541" w:rsidRPr="006F1904">
        <w:rPr>
          <w:rStyle w:val="FootnoteReference"/>
        </w:rPr>
        <w:footnoteReference w:id="13"/>
      </w:r>
      <w:r w:rsidR="004D5541" w:rsidRPr="006F1904">
        <w:t xml:space="preserve"> but in its draft form the new Penal Code authorised lashes for certain offences (arts. 411, 413, 612 and 616), and in April 2013 was further amended to provide for Shari’a punishments including amputations: we are seeking confirmation that these provisions are also </w:t>
      </w:r>
      <w:r>
        <w:t>in the Code as adopted in A</w:t>
      </w:r>
      <w:r w:rsidR="004D5541" w:rsidRPr="006F1904">
        <w:t>2014. Another review recommended the drafting of a new Juvenile Justice Act and foresaw the abolition of flogging for juveniles and adults.</w:t>
      </w:r>
      <w:r w:rsidR="004D5541" w:rsidRPr="006F1904">
        <w:rPr>
          <w:rStyle w:val="FootnoteReference"/>
        </w:rPr>
        <w:footnoteReference w:id="14"/>
      </w:r>
      <w:r w:rsidR="004D5541" w:rsidRPr="006F1904">
        <w:t xml:space="preserve"> A Juvenile Justice Bill has long been under discussion: we have no details of its provisions. The failure to pass this and other legislation was noted by the Government in a media statement it issued on 28 February 2013 in response to a 15 year old girl being sentenced by the Juvenile Court to flogging. The Government expressed “deep concern”, referred to the Convention on the Rights of the Child and announced the establishment of a Committee to review existing child protection mechanisms, particularly legislation. </w:t>
      </w:r>
    </w:p>
    <w:p w14:paraId="2A3D024B" w14:textId="77777777" w:rsidR="00BF44E8" w:rsidRPr="006F1904" w:rsidRDefault="00BF44E8" w:rsidP="006F1904">
      <w:pPr>
        <w:autoSpaceDE w:val="0"/>
        <w:autoSpaceDN w:val="0"/>
        <w:adjustRightInd w:val="0"/>
        <w:spacing w:after="120"/>
        <w:rPr>
          <w:rFonts w:eastAsiaTheme="minorHAnsi"/>
        </w:rPr>
      </w:pPr>
    </w:p>
    <w:p w14:paraId="157746B7" w14:textId="74FBC432" w:rsidR="008B273F" w:rsidRPr="006F1904" w:rsidRDefault="006E6740" w:rsidP="006F1904">
      <w:pPr>
        <w:spacing w:after="120"/>
        <w:ind w:left="482" w:hanging="482"/>
        <w:rPr>
          <w:b/>
          <w:sz w:val="28"/>
          <w:szCs w:val="28"/>
        </w:rPr>
      </w:pPr>
      <w:r w:rsidRPr="006F1904">
        <w:rPr>
          <w:b/>
          <w:sz w:val="28"/>
          <w:szCs w:val="28"/>
        </w:rPr>
        <w:t>3</w:t>
      </w:r>
      <w:r w:rsidR="008B273F" w:rsidRPr="006F1904">
        <w:rPr>
          <w:b/>
          <w:sz w:val="28"/>
          <w:szCs w:val="28"/>
        </w:rPr>
        <w:t xml:space="preserve"> Recommendations by human rights treaty bodies</w:t>
      </w:r>
      <w:r w:rsidR="002F0ECE" w:rsidRPr="006F1904">
        <w:rPr>
          <w:b/>
          <w:sz w:val="28"/>
          <w:szCs w:val="28"/>
        </w:rPr>
        <w:t xml:space="preserve"> and during the UPR</w:t>
      </w:r>
    </w:p>
    <w:p w14:paraId="4A706F79" w14:textId="39D432EE" w:rsidR="008D41B9" w:rsidRPr="006F1904" w:rsidRDefault="006054C5" w:rsidP="006F190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6F1904">
        <w:rPr>
          <w:szCs w:val="26"/>
        </w:rPr>
        <w:t xml:space="preserve">3.1 </w:t>
      </w:r>
      <w:r w:rsidRPr="006F1904">
        <w:rPr>
          <w:b/>
          <w:i/>
          <w:szCs w:val="26"/>
        </w:rPr>
        <w:t>CRC:</w:t>
      </w:r>
      <w:r w:rsidRPr="006F1904">
        <w:rPr>
          <w:szCs w:val="26"/>
        </w:rPr>
        <w:t xml:space="preserve"> </w:t>
      </w:r>
      <w:r w:rsidR="002C0267" w:rsidRPr="006F1904">
        <w:rPr>
          <w:szCs w:val="26"/>
        </w:rPr>
        <w:t>The Committee made detailed recommendations on corporal punishment in the Maldives in its concluding observations on the second/third report in 2007, particularly concerning the draft new Penal Code and provisions allowing corporal punishment under Shari’a law. The Committee recommended prohibition of corporal punishment in all settings.</w:t>
      </w:r>
      <w:r w:rsidR="002C0267" w:rsidRPr="006F1904">
        <w:rPr>
          <w:rStyle w:val="FootnoteReference"/>
          <w:szCs w:val="26"/>
        </w:rPr>
        <w:footnoteReference w:id="15"/>
      </w:r>
    </w:p>
    <w:p w14:paraId="331E3EE8" w14:textId="5C36EB8F" w:rsidR="00297E64" w:rsidRPr="006F1904" w:rsidRDefault="00F94B42" w:rsidP="006F1904">
      <w:pPr>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6F1904">
        <w:rPr>
          <w:bCs/>
          <w:szCs w:val="26"/>
        </w:rPr>
        <w:t>3.2</w:t>
      </w:r>
      <w:r w:rsidR="00BF7291" w:rsidRPr="006F1904">
        <w:rPr>
          <w:bCs/>
          <w:szCs w:val="26"/>
        </w:rPr>
        <w:t xml:space="preserve"> </w:t>
      </w:r>
      <w:r w:rsidR="00BF7291" w:rsidRPr="006F1904">
        <w:rPr>
          <w:b/>
          <w:bCs/>
          <w:i/>
          <w:szCs w:val="26"/>
        </w:rPr>
        <w:t>HRC:</w:t>
      </w:r>
      <w:r w:rsidR="00BF7291" w:rsidRPr="006F1904">
        <w:rPr>
          <w:bCs/>
          <w:szCs w:val="26"/>
        </w:rPr>
        <w:t xml:space="preserve"> </w:t>
      </w:r>
      <w:r w:rsidR="002C0267" w:rsidRPr="006F1904">
        <w:rPr>
          <w:bCs/>
          <w:szCs w:val="26"/>
        </w:rPr>
        <w:t xml:space="preserve">In 2012, the Human Rights Committee recommended the abolition of flogging under Shari’a law and in all institutions in the Maldives. </w:t>
      </w:r>
      <w:r w:rsidR="002C0267" w:rsidRPr="006F1904">
        <w:rPr>
          <w:rStyle w:val="FootnoteReference"/>
          <w:bCs/>
          <w:szCs w:val="26"/>
        </w:rPr>
        <w:footnoteReference w:id="16"/>
      </w:r>
    </w:p>
    <w:p w14:paraId="03C14031" w14:textId="250C00AC" w:rsidR="002C0267" w:rsidRPr="006F1904" w:rsidRDefault="002C0267" w:rsidP="006F1904">
      <w:pPr>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6F1904">
        <w:rPr>
          <w:bCs/>
          <w:szCs w:val="26"/>
        </w:rPr>
        <w:t xml:space="preserve">3.3 </w:t>
      </w:r>
      <w:r w:rsidRPr="006F1904">
        <w:rPr>
          <w:b/>
          <w:bCs/>
          <w:i/>
          <w:szCs w:val="26"/>
        </w:rPr>
        <w:t>SPT:</w:t>
      </w:r>
      <w:r w:rsidRPr="006F1904">
        <w:rPr>
          <w:bCs/>
          <w:szCs w:val="26"/>
        </w:rPr>
        <w:t xml:space="preserve"> In its 2009 report on the first visit to the Maldives, the Subcommittee on Prevention of Torture expressed concern that the draft Penal Code would legalise corporal punishment of children in schools and institutions and at flogging in the penal system. The Subcommittee recommended prohibition of corporal punishment as a sentence for crime and for disciplinary purposes.</w:t>
      </w:r>
      <w:r w:rsidRPr="006F1904">
        <w:rPr>
          <w:rStyle w:val="FootnoteReference"/>
          <w:bCs/>
          <w:szCs w:val="26"/>
        </w:rPr>
        <w:footnoteReference w:id="17"/>
      </w:r>
    </w:p>
    <w:p w14:paraId="7AAAC497" w14:textId="69986868" w:rsidR="001F63D6" w:rsidRPr="006F1904" w:rsidRDefault="006F1904" w:rsidP="006F1904">
      <w:pPr>
        <w:autoSpaceDE w:val="0"/>
        <w:autoSpaceDN w:val="0"/>
        <w:adjustRightInd w:val="0"/>
        <w:spacing w:after="120"/>
        <w:ind w:left="482" w:hanging="482"/>
        <w:rPr>
          <w:bCs/>
        </w:rPr>
      </w:pPr>
      <w:r>
        <w:rPr>
          <w:szCs w:val="26"/>
        </w:rPr>
        <w:t>3.4</w:t>
      </w:r>
      <w:r w:rsidR="006054C5" w:rsidRPr="006F1904">
        <w:rPr>
          <w:szCs w:val="26"/>
        </w:rPr>
        <w:t xml:space="preserve"> </w:t>
      </w:r>
      <w:r w:rsidR="006054C5" w:rsidRPr="006F1904">
        <w:rPr>
          <w:b/>
          <w:i/>
          <w:szCs w:val="26"/>
        </w:rPr>
        <w:t>UPR:</w:t>
      </w:r>
      <w:r w:rsidR="001F63D6" w:rsidRPr="006F1904">
        <w:rPr>
          <w:szCs w:val="26"/>
        </w:rPr>
        <w:t xml:space="preserve"> </w:t>
      </w:r>
      <w:r w:rsidR="004D5541" w:rsidRPr="006F1904">
        <w:rPr>
          <w:szCs w:val="26"/>
        </w:rPr>
        <w:t xml:space="preserve">During the Universal Periodic Review of the Maldives in 2010, the Government </w:t>
      </w:r>
      <w:r w:rsidR="004D5541" w:rsidRPr="006F1904">
        <w:rPr>
          <w:bCs/>
        </w:rPr>
        <w:t>stated it had no plans to abolish flogging under Shari’a law but was conc</w:t>
      </w:r>
      <w:r w:rsidR="001A3AAE">
        <w:rPr>
          <w:bCs/>
        </w:rPr>
        <w:t>erned</w:t>
      </w:r>
      <w:r w:rsidR="004D5541" w:rsidRPr="006F1904">
        <w:rPr>
          <w:bCs/>
        </w:rPr>
        <w:t xml:space="preserve"> it was being imposed in a discriminatory way against women and a moratorium was being considered.</w:t>
      </w:r>
      <w:r w:rsidR="004D5541" w:rsidRPr="006F1904">
        <w:rPr>
          <w:rStyle w:val="FootnoteReference"/>
          <w:bCs/>
        </w:rPr>
        <w:footnoteReference w:id="18"/>
      </w:r>
      <w:r w:rsidR="004D5541" w:rsidRPr="006F1904">
        <w:rPr>
          <w:bCs/>
        </w:rPr>
        <w:t xml:space="preserve"> The Government partially accepted recommendations to prohibit judicial corporal punishment.</w:t>
      </w:r>
      <w:r w:rsidR="004D5541" w:rsidRPr="006F1904">
        <w:rPr>
          <w:rStyle w:val="FootnoteReference"/>
          <w:bCs/>
        </w:rPr>
        <w:footnoteReference w:id="19"/>
      </w:r>
      <w:r w:rsidR="004D5541" w:rsidRPr="006F1904">
        <w:rPr>
          <w:bCs/>
        </w:rPr>
        <w:t xml:space="preserve"> It stated: “</w:t>
      </w:r>
      <w:r w:rsidR="004D5541" w:rsidRPr="006F1904">
        <w:rPr>
          <w:rFonts w:eastAsia="Calibri"/>
        </w:rPr>
        <w:t xml:space="preserve">The new draft Penal Code currently before the People's </w:t>
      </w:r>
      <w:proofErr w:type="spellStart"/>
      <w:r w:rsidR="004D5541" w:rsidRPr="006F1904">
        <w:rPr>
          <w:rFonts w:eastAsia="Calibri"/>
        </w:rPr>
        <w:t>Majlis</w:t>
      </w:r>
      <w:proofErr w:type="spellEnd"/>
      <w:r w:rsidR="004D5541" w:rsidRPr="006F1904">
        <w:rPr>
          <w:rFonts w:eastAsia="Calibri"/>
        </w:rPr>
        <w:t xml:space="preserve"> is the first of its kind, designed to combine </w:t>
      </w:r>
      <w:proofErr w:type="spellStart"/>
      <w:r w:rsidR="004D5541" w:rsidRPr="006F1904">
        <w:rPr>
          <w:rFonts w:eastAsia="Calibri"/>
        </w:rPr>
        <w:t>Shariah</w:t>
      </w:r>
      <w:proofErr w:type="spellEnd"/>
      <w:r w:rsidR="004D5541" w:rsidRPr="006F1904">
        <w:rPr>
          <w:rFonts w:eastAsia="Calibri"/>
        </w:rPr>
        <w:t xml:space="preserve"> law with international human rights law and best practice. Notwithstanding, the </w:t>
      </w:r>
      <w:r w:rsidR="004D5541" w:rsidRPr="006F1904">
        <w:rPr>
          <w:rFonts w:eastAsia="Calibri"/>
        </w:rPr>
        <w:lastRenderedPageBreak/>
        <w:t>new draft Penal Code does include provisions on corporal punishment.”</w:t>
      </w:r>
      <w:r w:rsidR="004D5541" w:rsidRPr="006F1904">
        <w:rPr>
          <w:rStyle w:val="FootnoteReference"/>
          <w:rFonts w:eastAsia="Calibri"/>
        </w:rPr>
        <w:footnoteReference w:id="20"/>
      </w:r>
      <w:r w:rsidR="004D5541" w:rsidRPr="006F1904">
        <w:rPr>
          <w:rFonts w:eastAsia="Calibri"/>
        </w:rPr>
        <w:t xml:space="preserve"> </w:t>
      </w:r>
      <w:r w:rsidR="002C0267" w:rsidRPr="006F1904">
        <w:rPr>
          <w:rFonts w:eastAsia="Calibri"/>
        </w:rPr>
        <w:t>It also stated its intention to hold consultations on the issue</w:t>
      </w:r>
      <w:r w:rsidR="004D5541" w:rsidRPr="006F1904">
        <w:rPr>
          <w:rFonts w:eastAsia="Calibri"/>
        </w:rPr>
        <w:t>.</w:t>
      </w:r>
      <w:bookmarkStart w:id="3" w:name="_GoBack"/>
      <w:bookmarkEnd w:id="3"/>
      <w:r w:rsidR="004D5541" w:rsidRPr="006F1904">
        <w:rPr>
          <w:rStyle w:val="FootnoteReference"/>
          <w:rFonts w:eastAsia="Calibri"/>
        </w:rPr>
        <w:footnoteReference w:id="21"/>
      </w:r>
    </w:p>
    <w:p w14:paraId="752724AB" w14:textId="77777777" w:rsidR="006054C5" w:rsidRPr="006F1904" w:rsidRDefault="006054C5" w:rsidP="006F1904">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E6DDC"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60817C4D" w:rsidR="00C901EC" w:rsidRPr="001C0859" w:rsidRDefault="00CE6DDC"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CE6DDC" w:rsidRDefault="00CE6DDC">
      <w:r>
        <w:separator/>
      </w:r>
    </w:p>
  </w:endnote>
  <w:endnote w:type="continuationSeparator" w:id="0">
    <w:p w14:paraId="099F8A8B" w14:textId="77777777" w:rsidR="00CE6DDC" w:rsidRDefault="00CE6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CE6DDC" w:rsidRDefault="00CE6D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E6DDC" w:rsidRDefault="00CE6DD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CE6DDC" w:rsidRDefault="00CE6DDC">
    <w:pPr>
      <w:pStyle w:val="Footer"/>
      <w:jc w:val="center"/>
    </w:pPr>
    <w:r>
      <w:fldChar w:fldCharType="begin"/>
    </w:r>
    <w:r>
      <w:instrText xml:space="preserve"> PAGE   \* MERGEFORMAT </w:instrText>
    </w:r>
    <w:r>
      <w:fldChar w:fldCharType="separate"/>
    </w:r>
    <w:r w:rsidR="001A3AAE">
      <w:rPr>
        <w:noProof/>
      </w:rPr>
      <w:t>5</w:t>
    </w:r>
    <w:r>
      <w:rPr>
        <w:noProof/>
      </w:rPr>
      <w:fldChar w:fldCharType="end"/>
    </w:r>
  </w:p>
  <w:p w14:paraId="44F681E0" w14:textId="77777777" w:rsidR="00CE6DDC" w:rsidRDefault="00CE6DD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CE6DDC" w:rsidRDefault="00CE6D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CE6DDC" w:rsidRDefault="00CE6DDC">
      <w:r>
        <w:separator/>
      </w:r>
    </w:p>
  </w:footnote>
  <w:footnote w:type="continuationSeparator" w:id="0">
    <w:p w14:paraId="0E4CCE60" w14:textId="77777777" w:rsidR="00CE6DDC" w:rsidRDefault="00CE6DDC">
      <w:r>
        <w:continuationSeparator/>
      </w:r>
    </w:p>
  </w:footnote>
  <w:footnote w:id="1">
    <w:p w14:paraId="032B7C1C" w14:textId="596E8712" w:rsidR="00CE6DDC" w:rsidRPr="006F1904" w:rsidRDefault="00CE6DDC">
      <w:pPr>
        <w:pStyle w:val="FootnoteText"/>
        <w:rPr>
          <w:lang w:val="en-US"/>
        </w:rPr>
      </w:pPr>
      <w:r w:rsidRPr="006F1904">
        <w:rPr>
          <w:rStyle w:val="FootnoteReference"/>
        </w:rPr>
        <w:footnoteRef/>
      </w:r>
      <w:r w:rsidRPr="006F1904">
        <w:t xml:space="preserve"> </w:t>
      </w:r>
      <w:r w:rsidRPr="006F1904">
        <w:rPr>
          <w:color w:val="000000"/>
          <w:lang w:val="en-US"/>
        </w:rPr>
        <w:t xml:space="preserve">CRC/C/MDV/4-5 Unedited Version, Fourth/fifth state party report, </w:t>
      </w:r>
      <w:proofErr w:type="spellStart"/>
      <w:r w:rsidRPr="006F1904">
        <w:rPr>
          <w:color w:val="000000"/>
          <w:lang w:val="en-US"/>
        </w:rPr>
        <w:t>paras</w:t>
      </w:r>
      <w:proofErr w:type="spellEnd"/>
      <w:r w:rsidRPr="006F1904">
        <w:rPr>
          <w:color w:val="000000"/>
          <w:lang w:val="en-US"/>
        </w:rPr>
        <w:t>. 102-113, 279</w:t>
      </w:r>
    </w:p>
  </w:footnote>
  <w:footnote w:id="2">
    <w:p w14:paraId="3A326B41" w14:textId="7B5FA516" w:rsidR="00CE6DDC" w:rsidRPr="006F1904" w:rsidRDefault="00CE6DDC">
      <w:pPr>
        <w:pStyle w:val="FootnoteText"/>
        <w:rPr>
          <w:lang w:val="en-US"/>
        </w:rPr>
      </w:pPr>
      <w:r w:rsidRPr="006F1904">
        <w:rPr>
          <w:rStyle w:val="FootnoteReference"/>
        </w:rPr>
        <w:footnoteRef/>
      </w:r>
      <w:r w:rsidRPr="006F1904">
        <w:t xml:space="preserve"> </w:t>
      </w:r>
      <w:proofErr w:type="gramStart"/>
      <w:r w:rsidRPr="006F1904">
        <w:rPr>
          <w:lang w:val="en-US"/>
        </w:rPr>
        <w:t>ibid</w:t>
      </w:r>
      <w:proofErr w:type="gramEnd"/>
      <w:r w:rsidRPr="006F1904">
        <w:rPr>
          <w:lang w:val="en-US"/>
        </w:rPr>
        <w:t xml:space="preserve">., </w:t>
      </w:r>
      <w:proofErr w:type="spellStart"/>
      <w:r w:rsidRPr="006F1904">
        <w:rPr>
          <w:lang w:val="en-US"/>
        </w:rPr>
        <w:t>paras</w:t>
      </w:r>
      <w:proofErr w:type="spellEnd"/>
      <w:r w:rsidRPr="006F1904">
        <w:rPr>
          <w:lang w:val="en-US"/>
        </w:rPr>
        <w:t>. 103-105</w:t>
      </w:r>
    </w:p>
  </w:footnote>
  <w:footnote w:id="3">
    <w:p w14:paraId="40BB46D8" w14:textId="12CEA865" w:rsidR="00CE6DDC" w:rsidRPr="006F1904" w:rsidRDefault="00CE6DDC">
      <w:pPr>
        <w:pStyle w:val="FootnoteText"/>
        <w:rPr>
          <w:lang w:val="en-US"/>
        </w:rPr>
      </w:pPr>
      <w:r w:rsidRPr="006F1904">
        <w:rPr>
          <w:rStyle w:val="FootnoteReference"/>
        </w:rPr>
        <w:footnoteRef/>
      </w:r>
      <w:r w:rsidRPr="006F1904">
        <w:t xml:space="preserve"> </w:t>
      </w:r>
      <w:r w:rsidRPr="006F1904">
        <w:rPr>
          <w:lang w:val="en-US"/>
        </w:rPr>
        <w:t>ibid</w:t>
      </w:r>
      <w:proofErr w:type="gramStart"/>
      <w:r w:rsidRPr="006F1904">
        <w:rPr>
          <w:lang w:val="en-US"/>
        </w:rPr>
        <w:t>.,</w:t>
      </w:r>
      <w:proofErr w:type="gramEnd"/>
      <w:r w:rsidRPr="006F1904">
        <w:rPr>
          <w:lang w:val="en-US"/>
        </w:rPr>
        <w:t xml:space="preserve"> </w:t>
      </w:r>
      <w:proofErr w:type="spellStart"/>
      <w:r w:rsidRPr="006F1904">
        <w:rPr>
          <w:lang w:val="en-US"/>
        </w:rPr>
        <w:t>para</w:t>
      </w:r>
      <w:proofErr w:type="spellEnd"/>
      <w:r w:rsidRPr="006F1904">
        <w:rPr>
          <w:lang w:val="en-US"/>
        </w:rPr>
        <w:t>. 111</w:t>
      </w:r>
    </w:p>
  </w:footnote>
  <w:footnote w:id="4">
    <w:p w14:paraId="7D635AD8" w14:textId="55AD5CF0" w:rsidR="00CE6DDC" w:rsidRPr="006F1904" w:rsidRDefault="00CE6DDC">
      <w:pPr>
        <w:pStyle w:val="FootnoteText"/>
        <w:rPr>
          <w:lang w:val="en-US"/>
        </w:rPr>
      </w:pPr>
      <w:r w:rsidRPr="006F1904">
        <w:rPr>
          <w:rStyle w:val="FootnoteReference"/>
        </w:rPr>
        <w:footnoteRef/>
      </w:r>
      <w:r w:rsidRPr="006F1904">
        <w:t xml:space="preserve"> </w:t>
      </w:r>
      <w:r w:rsidRPr="006F1904">
        <w:rPr>
          <w:lang w:val="en-US"/>
        </w:rPr>
        <w:t>ibid</w:t>
      </w:r>
      <w:proofErr w:type="gramStart"/>
      <w:r w:rsidRPr="006F1904">
        <w:rPr>
          <w:lang w:val="en-US"/>
        </w:rPr>
        <w:t>.,</w:t>
      </w:r>
      <w:proofErr w:type="gramEnd"/>
      <w:r w:rsidRPr="006F1904">
        <w:rPr>
          <w:lang w:val="en-US"/>
        </w:rPr>
        <w:t xml:space="preserve"> </w:t>
      </w:r>
      <w:proofErr w:type="spellStart"/>
      <w:r w:rsidRPr="006F1904">
        <w:rPr>
          <w:lang w:val="en-US"/>
        </w:rPr>
        <w:t>para</w:t>
      </w:r>
      <w:proofErr w:type="spellEnd"/>
      <w:r w:rsidRPr="006F1904">
        <w:rPr>
          <w:lang w:val="en-US"/>
        </w:rPr>
        <w:t>. 19</w:t>
      </w:r>
    </w:p>
  </w:footnote>
  <w:footnote w:id="5">
    <w:p w14:paraId="6303377A" w14:textId="7006865C" w:rsidR="00CE6DDC" w:rsidRPr="006F1904" w:rsidRDefault="00CE6DDC">
      <w:pPr>
        <w:pStyle w:val="FootnoteText"/>
        <w:rPr>
          <w:lang w:val="en-US"/>
        </w:rPr>
      </w:pPr>
      <w:r w:rsidRPr="006F1904">
        <w:rPr>
          <w:rStyle w:val="FootnoteReference"/>
        </w:rPr>
        <w:footnoteRef/>
      </w:r>
      <w:r w:rsidRPr="006F1904">
        <w:t xml:space="preserve"> </w:t>
      </w:r>
      <w:r w:rsidRPr="006F1904">
        <w:rPr>
          <w:lang w:val="en-US"/>
        </w:rPr>
        <w:t>ibid</w:t>
      </w:r>
      <w:proofErr w:type="gramStart"/>
      <w:r w:rsidRPr="006F1904">
        <w:rPr>
          <w:lang w:val="en-US"/>
        </w:rPr>
        <w:t>.,</w:t>
      </w:r>
      <w:proofErr w:type="gramEnd"/>
      <w:r w:rsidRPr="006F1904">
        <w:rPr>
          <w:lang w:val="en-US"/>
        </w:rPr>
        <w:t xml:space="preserve"> </w:t>
      </w:r>
      <w:proofErr w:type="spellStart"/>
      <w:r w:rsidRPr="006F1904">
        <w:rPr>
          <w:lang w:val="en-US"/>
        </w:rPr>
        <w:t>paras</w:t>
      </w:r>
      <w:proofErr w:type="spellEnd"/>
      <w:r w:rsidRPr="006F1904">
        <w:rPr>
          <w:lang w:val="en-US"/>
        </w:rPr>
        <w:t>. 106-109</w:t>
      </w:r>
      <w:proofErr w:type="gramStart"/>
      <w:r w:rsidRPr="006F1904">
        <w:rPr>
          <w:lang w:val="en-US"/>
        </w:rPr>
        <w:t>;</w:t>
      </w:r>
      <w:proofErr w:type="gramEnd"/>
      <w:r w:rsidRPr="006F1904">
        <w:rPr>
          <w:lang w:val="en-US"/>
        </w:rPr>
        <w:t xml:space="preserve"> see also </w:t>
      </w:r>
      <w:proofErr w:type="spellStart"/>
      <w:r w:rsidRPr="006F1904">
        <w:rPr>
          <w:lang w:val="en-US"/>
        </w:rPr>
        <w:t>para</w:t>
      </w:r>
      <w:proofErr w:type="spellEnd"/>
      <w:r w:rsidRPr="006F1904">
        <w:rPr>
          <w:lang w:val="en-US"/>
        </w:rPr>
        <w:t>. 279</w:t>
      </w:r>
    </w:p>
  </w:footnote>
  <w:footnote w:id="6">
    <w:p w14:paraId="6DA17560" w14:textId="3782F6EE" w:rsidR="00CE6DDC" w:rsidRPr="006F1904" w:rsidRDefault="00CE6DDC">
      <w:pPr>
        <w:pStyle w:val="FootnoteText"/>
        <w:rPr>
          <w:lang w:val="en-US"/>
        </w:rPr>
      </w:pPr>
      <w:r w:rsidRPr="006F1904">
        <w:rPr>
          <w:rStyle w:val="FootnoteReference"/>
        </w:rPr>
        <w:footnoteRef/>
      </w:r>
      <w:r w:rsidRPr="006F1904">
        <w:t xml:space="preserve"> </w:t>
      </w:r>
      <w:r w:rsidRPr="006F1904">
        <w:rPr>
          <w:lang w:val="en-US"/>
        </w:rPr>
        <w:t>ibid</w:t>
      </w:r>
      <w:proofErr w:type="gramStart"/>
      <w:r w:rsidRPr="006F1904">
        <w:rPr>
          <w:lang w:val="en-US"/>
        </w:rPr>
        <w:t>.,</w:t>
      </w:r>
      <w:proofErr w:type="gramEnd"/>
      <w:r w:rsidRPr="006F1904">
        <w:rPr>
          <w:lang w:val="en-US"/>
        </w:rPr>
        <w:t xml:space="preserve"> </w:t>
      </w:r>
      <w:proofErr w:type="spellStart"/>
      <w:r w:rsidRPr="006F1904">
        <w:rPr>
          <w:lang w:val="en-US"/>
        </w:rPr>
        <w:t>para</w:t>
      </w:r>
      <w:proofErr w:type="spellEnd"/>
      <w:r w:rsidRPr="006F1904">
        <w:rPr>
          <w:lang w:val="en-US"/>
        </w:rPr>
        <w:t>. 110</w:t>
      </w:r>
    </w:p>
  </w:footnote>
  <w:footnote w:id="7">
    <w:p w14:paraId="6592C2C3" w14:textId="77777777" w:rsidR="00CE6DDC" w:rsidRPr="006F1904" w:rsidRDefault="00CE6DDC" w:rsidP="00D43660">
      <w:pPr>
        <w:pStyle w:val="FootnoteText"/>
        <w:rPr>
          <w:lang w:val="en-US"/>
        </w:rPr>
      </w:pPr>
      <w:r w:rsidRPr="006F1904">
        <w:rPr>
          <w:rStyle w:val="FootnoteReference"/>
        </w:rPr>
        <w:footnoteRef/>
      </w:r>
      <w:r w:rsidRPr="006F1904">
        <w:t xml:space="preserve"> SAIEVAC (2011), </w:t>
      </w:r>
      <w:r w:rsidRPr="006F1904">
        <w:rPr>
          <w:i/>
        </w:rPr>
        <w:t>Prohibition of corporal punishment of children in South Asia: a progress review</w:t>
      </w:r>
    </w:p>
  </w:footnote>
  <w:footnote w:id="8">
    <w:p w14:paraId="0620C587" w14:textId="77777777" w:rsidR="00CE6DDC" w:rsidRPr="00FF4F74" w:rsidRDefault="00CE6DDC" w:rsidP="00CE6DDC">
      <w:pPr>
        <w:pStyle w:val="FootnoteText"/>
        <w:rPr>
          <w:i/>
          <w:lang w:val="en-US"/>
        </w:rPr>
      </w:pPr>
      <w:r>
        <w:rPr>
          <w:rStyle w:val="FootnoteReference"/>
        </w:rPr>
        <w:footnoteRef/>
      </w:r>
      <w:r>
        <w:t xml:space="preserve"> </w:t>
      </w:r>
      <w:r>
        <w:rPr>
          <w:lang w:val="en-US"/>
        </w:rPr>
        <w:t xml:space="preserve">SAIEVAC (2014), </w:t>
      </w:r>
      <w:r>
        <w:rPr>
          <w:i/>
          <w:lang w:val="en-US"/>
        </w:rPr>
        <w:t>Prohibition of corporal punishment of children in South Asia: progress and proposals for reform 2014</w:t>
      </w:r>
    </w:p>
  </w:footnote>
  <w:footnote w:id="9">
    <w:p w14:paraId="6D02CF95" w14:textId="77777777" w:rsidR="00CE6DDC" w:rsidRPr="006F1904" w:rsidRDefault="00CE6DDC" w:rsidP="004D5541">
      <w:pPr>
        <w:pStyle w:val="FootnoteText"/>
        <w:rPr>
          <w:lang w:val="en-US"/>
        </w:rPr>
      </w:pPr>
      <w:r w:rsidRPr="006F1904">
        <w:rPr>
          <w:rStyle w:val="FootnoteReference"/>
        </w:rPr>
        <w:footnoteRef/>
      </w:r>
      <w:r w:rsidRPr="006F1904">
        <w:t xml:space="preserve"> 5 July 2012, CCPR/C/MDV/Q/1/Add.1, Written replies to the Human Rights Committee, </w:t>
      </w:r>
      <w:proofErr w:type="spellStart"/>
      <w:r w:rsidRPr="006F1904">
        <w:t>para</w:t>
      </w:r>
      <w:proofErr w:type="spellEnd"/>
      <w:r w:rsidRPr="006F1904">
        <w:t>. 73</w:t>
      </w:r>
    </w:p>
  </w:footnote>
  <w:footnote w:id="10">
    <w:p w14:paraId="1FE288FB" w14:textId="6D6103BD" w:rsidR="00CE6DDC" w:rsidRPr="006F1904" w:rsidRDefault="00CE6DDC" w:rsidP="004D5541">
      <w:pPr>
        <w:pStyle w:val="FootnoteText"/>
        <w:rPr>
          <w:lang w:val="en-US"/>
        </w:rPr>
      </w:pPr>
      <w:r w:rsidRPr="006F1904">
        <w:rPr>
          <w:rStyle w:val="FootnoteReference"/>
        </w:rPr>
        <w:footnoteRef/>
      </w:r>
      <w:r w:rsidRPr="006F1904">
        <w:t xml:space="preserve"> </w:t>
      </w:r>
      <w:r>
        <w:t>ibid</w:t>
      </w:r>
      <w:proofErr w:type="gramStart"/>
      <w:r>
        <w:t>.</w:t>
      </w:r>
      <w:r w:rsidRPr="006F1904">
        <w:t>,</w:t>
      </w:r>
      <w:proofErr w:type="gramEnd"/>
      <w:r w:rsidRPr="006F1904">
        <w:t xml:space="preserve"> </w:t>
      </w:r>
      <w:proofErr w:type="spellStart"/>
      <w:r w:rsidRPr="006F1904">
        <w:t>para</w:t>
      </w:r>
      <w:proofErr w:type="spellEnd"/>
      <w:r w:rsidRPr="006F1904">
        <w:t>. 74</w:t>
      </w:r>
    </w:p>
  </w:footnote>
  <w:footnote w:id="11">
    <w:p w14:paraId="36BE17C1" w14:textId="77777777" w:rsidR="00CE6DDC" w:rsidRPr="006F1904" w:rsidRDefault="00CE6DDC" w:rsidP="004D5541">
      <w:pPr>
        <w:pStyle w:val="FootnoteText"/>
        <w:rPr>
          <w:lang w:val="en-US"/>
        </w:rPr>
      </w:pPr>
      <w:r w:rsidRPr="006F1904">
        <w:rPr>
          <w:rStyle w:val="FootnoteReference"/>
        </w:rPr>
        <w:footnoteRef/>
      </w:r>
      <w:r w:rsidRPr="006F1904">
        <w:t xml:space="preserve"> 5 July 2012, CCPR/C/MDV/Q/1/Add.1, Written replies to the Human Rights Committee, </w:t>
      </w:r>
      <w:proofErr w:type="spellStart"/>
      <w:r w:rsidRPr="006F1904">
        <w:t>para</w:t>
      </w:r>
      <w:proofErr w:type="spellEnd"/>
      <w:r w:rsidRPr="006F1904">
        <w:t>. 74</w:t>
      </w:r>
    </w:p>
  </w:footnote>
  <w:footnote w:id="12">
    <w:p w14:paraId="35A2096D" w14:textId="77777777" w:rsidR="00CE6DDC" w:rsidRPr="006F1904" w:rsidRDefault="00CE6DDC" w:rsidP="004D5541">
      <w:pPr>
        <w:pStyle w:val="FootnoteText"/>
        <w:rPr>
          <w:lang w:val="en-US"/>
        </w:rPr>
      </w:pPr>
      <w:r w:rsidRPr="006F1904">
        <w:rPr>
          <w:rStyle w:val="FootnoteReference"/>
        </w:rPr>
        <w:footnoteRef/>
      </w:r>
      <w:r w:rsidRPr="006F1904">
        <w:t xml:space="preserve"> SAIEVAC with the Global Initiative and Save the Children Sweden (2011), </w:t>
      </w:r>
      <w:r w:rsidRPr="006F1904">
        <w:rPr>
          <w:i/>
        </w:rPr>
        <w:t>Prohibition of Corporal Punishment of Children in South Asia: a progress review</w:t>
      </w:r>
      <w:r w:rsidRPr="006F1904">
        <w:t>, p. 21</w:t>
      </w:r>
    </w:p>
  </w:footnote>
  <w:footnote w:id="13">
    <w:p w14:paraId="24506AEC" w14:textId="77777777" w:rsidR="00CE6DDC" w:rsidRPr="006F1904" w:rsidRDefault="00CE6DDC" w:rsidP="004D5541">
      <w:pPr>
        <w:pStyle w:val="FootnoteText"/>
        <w:rPr>
          <w:lang w:val="en-US"/>
        </w:rPr>
      </w:pPr>
      <w:r w:rsidRPr="006F1904">
        <w:rPr>
          <w:rStyle w:val="FootnoteReference"/>
        </w:rPr>
        <w:footnoteRef/>
      </w:r>
      <w:r w:rsidRPr="006F1904">
        <w:t xml:space="preserve"> Robinson, Paul H. &amp; Diver, C. S. (2004), </w:t>
      </w:r>
      <w:r w:rsidRPr="006F1904">
        <w:rPr>
          <w:i/>
        </w:rPr>
        <w:t>Report on the Criminal Justice System of the Republic of Maldives: Proposals for Reform</w:t>
      </w:r>
      <w:r w:rsidRPr="006F1904">
        <w:t xml:space="preserve">, </w:t>
      </w:r>
      <w:proofErr w:type="spellStart"/>
      <w:r w:rsidRPr="006F1904">
        <w:t>para</w:t>
      </w:r>
      <w:proofErr w:type="spellEnd"/>
      <w:r w:rsidRPr="006F1904">
        <w:t>. 6.4</w:t>
      </w:r>
    </w:p>
  </w:footnote>
  <w:footnote w:id="14">
    <w:p w14:paraId="3C22AEC9" w14:textId="77777777" w:rsidR="00CE6DDC" w:rsidRPr="006F1904" w:rsidRDefault="00CE6DDC" w:rsidP="004D5541">
      <w:pPr>
        <w:pStyle w:val="FootnoteText"/>
        <w:rPr>
          <w:lang w:val="en-US"/>
        </w:rPr>
      </w:pPr>
      <w:r w:rsidRPr="006F1904">
        <w:rPr>
          <w:rStyle w:val="FootnoteReference"/>
        </w:rPr>
        <w:footnoteRef/>
      </w:r>
      <w:r w:rsidRPr="006F1904">
        <w:t xml:space="preserve"> Alder, C. &amp; Polk, K. (2004), </w:t>
      </w:r>
      <w:r w:rsidRPr="006F1904">
        <w:rPr>
          <w:i/>
        </w:rPr>
        <w:t>Strategic Plan for the Reform of the Juvenile Justice System</w:t>
      </w:r>
      <w:r w:rsidRPr="006F1904">
        <w:t>, p.7</w:t>
      </w:r>
    </w:p>
  </w:footnote>
  <w:footnote w:id="15">
    <w:p w14:paraId="1CB29C05" w14:textId="1E9159A2" w:rsidR="00CE6DDC" w:rsidRPr="006F1904" w:rsidRDefault="00CE6DDC">
      <w:pPr>
        <w:pStyle w:val="FootnoteText"/>
        <w:rPr>
          <w:lang w:val="en-US"/>
        </w:rPr>
      </w:pPr>
      <w:r w:rsidRPr="006F1904">
        <w:rPr>
          <w:rStyle w:val="FootnoteReference"/>
        </w:rPr>
        <w:footnoteRef/>
      </w:r>
      <w:r w:rsidRPr="006F1904">
        <w:t xml:space="preserve"> 13 July 2007, CRC/CDV/CO/3, Concluding observations on second/third report, </w:t>
      </w:r>
      <w:proofErr w:type="spellStart"/>
      <w:r w:rsidRPr="006F1904">
        <w:t>paras</w:t>
      </w:r>
      <w:proofErr w:type="spellEnd"/>
      <w:r w:rsidRPr="006F1904">
        <w:t>. 55, 56, 62, 63, 98 and 99</w:t>
      </w:r>
    </w:p>
  </w:footnote>
  <w:footnote w:id="16">
    <w:p w14:paraId="41F7B3E4" w14:textId="52362F4B" w:rsidR="00CE6DDC" w:rsidRPr="006F1904" w:rsidRDefault="00CE6DDC">
      <w:pPr>
        <w:pStyle w:val="FootnoteText"/>
        <w:rPr>
          <w:lang w:val="en-US"/>
        </w:rPr>
      </w:pPr>
      <w:r w:rsidRPr="006F1904">
        <w:rPr>
          <w:rStyle w:val="FootnoteReference"/>
        </w:rPr>
        <w:footnoteRef/>
      </w:r>
      <w:r w:rsidRPr="006F1904">
        <w:t xml:space="preserve"> </w:t>
      </w:r>
      <w:r w:rsidRPr="006F1904">
        <w:rPr>
          <w:rFonts w:eastAsia="Calibri"/>
          <w:bCs/>
        </w:rPr>
        <w:t xml:space="preserve">31 August 2012, CCPR/C/MDV/CO/1, Concluding observations on initial report, </w:t>
      </w:r>
      <w:proofErr w:type="spellStart"/>
      <w:r w:rsidRPr="006F1904">
        <w:rPr>
          <w:rFonts w:eastAsia="Calibri"/>
          <w:bCs/>
        </w:rPr>
        <w:t>para</w:t>
      </w:r>
      <w:proofErr w:type="spellEnd"/>
      <w:r w:rsidRPr="006F1904">
        <w:rPr>
          <w:rFonts w:eastAsia="Calibri"/>
          <w:bCs/>
        </w:rPr>
        <w:t>. 16</w:t>
      </w:r>
    </w:p>
  </w:footnote>
  <w:footnote w:id="17">
    <w:p w14:paraId="58829F20" w14:textId="719F31F9" w:rsidR="00CE6DDC" w:rsidRPr="006F1904" w:rsidRDefault="00CE6DDC">
      <w:pPr>
        <w:pStyle w:val="FootnoteText"/>
        <w:rPr>
          <w:lang w:val="en-US"/>
        </w:rPr>
      </w:pPr>
      <w:r w:rsidRPr="006F1904">
        <w:rPr>
          <w:rStyle w:val="FootnoteReference"/>
        </w:rPr>
        <w:footnoteRef/>
      </w:r>
      <w:r w:rsidRPr="006F1904">
        <w:t xml:space="preserve"> </w:t>
      </w:r>
      <w:proofErr w:type="gramStart"/>
      <w:r w:rsidRPr="006F1904">
        <w:t xml:space="preserve">26 February 2009, CAT/OP/MDV/1, Report on first periodic visit, </w:t>
      </w:r>
      <w:proofErr w:type="spellStart"/>
      <w:r w:rsidRPr="006F1904">
        <w:t>para</w:t>
      </w:r>
      <w:proofErr w:type="spellEnd"/>
      <w:r w:rsidRPr="006F1904">
        <w:t>.</w:t>
      </w:r>
      <w:proofErr w:type="gramEnd"/>
      <w:r w:rsidRPr="006F1904">
        <w:t xml:space="preserve"> 26, 27, 28, 29, 192, 194, 195, 196, 207 and 248</w:t>
      </w:r>
    </w:p>
  </w:footnote>
  <w:footnote w:id="18">
    <w:p w14:paraId="56F91F3B" w14:textId="77777777" w:rsidR="00CE6DDC" w:rsidRPr="006F1904" w:rsidRDefault="00CE6DDC" w:rsidP="004D5541">
      <w:pPr>
        <w:pStyle w:val="FootnoteText"/>
        <w:rPr>
          <w:lang w:val="en-US"/>
        </w:rPr>
      </w:pPr>
      <w:r w:rsidRPr="006F1904">
        <w:rPr>
          <w:rStyle w:val="FootnoteReference"/>
        </w:rPr>
        <w:footnoteRef/>
      </w:r>
      <w:r w:rsidRPr="006F1904">
        <w:t xml:space="preserve"> </w:t>
      </w:r>
      <w:proofErr w:type="gramStart"/>
      <w:r w:rsidRPr="006F1904">
        <w:rPr>
          <w:bCs/>
        </w:rPr>
        <w:t xml:space="preserve">4 January 2011, A/HRC/16/7, Report of the working group, </w:t>
      </w:r>
      <w:proofErr w:type="spellStart"/>
      <w:r w:rsidRPr="006F1904">
        <w:rPr>
          <w:bCs/>
        </w:rPr>
        <w:t>paras</w:t>
      </w:r>
      <w:proofErr w:type="spellEnd"/>
      <w:r w:rsidRPr="006F1904">
        <w:rPr>
          <w:bCs/>
        </w:rPr>
        <w:t>.</w:t>
      </w:r>
      <w:proofErr w:type="gramEnd"/>
      <w:r w:rsidRPr="006F1904">
        <w:rPr>
          <w:bCs/>
        </w:rPr>
        <w:t xml:space="preserve"> 33 and 68</w:t>
      </w:r>
    </w:p>
  </w:footnote>
  <w:footnote w:id="19">
    <w:p w14:paraId="2E2FF1A7" w14:textId="77777777" w:rsidR="00CE6DDC" w:rsidRPr="006F1904" w:rsidRDefault="00CE6DDC" w:rsidP="004D5541">
      <w:pPr>
        <w:pStyle w:val="FootnoteText"/>
        <w:rPr>
          <w:lang w:val="en-US"/>
        </w:rPr>
      </w:pPr>
      <w:r w:rsidRPr="006F1904">
        <w:rPr>
          <w:rStyle w:val="FootnoteReference"/>
        </w:rPr>
        <w:footnoteRef/>
      </w:r>
      <w:r w:rsidRPr="006F1904">
        <w:t xml:space="preserve"> </w:t>
      </w:r>
      <w:proofErr w:type="gramStart"/>
      <w:r w:rsidRPr="006F1904">
        <w:rPr>
          <w:bCs/>
        </w:rPr>
        <w:t xml:space="preserve">4 January 2011, A/HRC/16/7, Report of the working group, </w:t>
      </w:r>
      <w:proofErr w:type="spellStart"/>
      <w:r w:rsidRPr="006F1904">
        <w:rPr>
          <w:bCs/>
        </w:rPr>
        <w:t>paras</w:t>
      </w:r>
      <w:proofErr w:type="spellEnd"/>
      <w:r w:rsidRPr="006F1904">
        <w:rPr>
          <w:bCs/>
        </w:rPr>
        <w:t>.</w:t>
      </w:r>
      <w:proofErr w:type="gramEnd"/>
      <w:r w:rsidRPr="006F1904">
        <w:rPr>
          <w:bCs/>
        </w:rPr>
        <w:t xml:space="preserve"> 100(55) and 100(58)</w:t>
      </w:r>
    </w:p>
  </w:footnote>
  <w:footnote w:id="20">
    <w:p w14:paraId="005657A2" w14:textId="77777777" w:rsidR="00CE6DDC" w:rsidRPr="006F1904" w:rsidRDefault="00CE6DDC" w:rsidP="004D5541">
      <w:pPr>
        <w:pStyle w:val="FootnoteText"/>
        <w:rPr>
          <w:lang w:val="en-US"/>
        </w:rPr>
      </w:pPr>
      <w:r w:rsidRPr="006F1904">
        <w:rPr>
          <w:rStyle w:val="FootnoteReference"/>
        </w:rPr>
        <w:footnoteRef/>
      </w:r>
      <w:r w:rsidRPr="006F1904">
        <w:t xml:space="preserve"> </w:t>
      </w:r>
      <w:r w:rsidRPr="006F1904">
        <w:rPr>
          <w:bCs/>
        </w:rPr>
        <w:t xml:space="preserve">14 March 2011, </w:t>
      </w:r>
      <w:r w:rsidRPr="006F1904">
        <w:t xml:space="preserve">A/HRC/16/7/Add.1, </w:t>
      </w:r>
      <w:r w:rsidRPr="006F1904">
        <w:rPr>
          <w:bCs/>
        </w:rPr>
        <w:t>Report of the Working Group: Addendum</w:t>
      </w:r>
      <w:r w:rsidRPr="006F1904">
        <w:t xml:space="preserve">, </w:t>
      </w:r>
      <w:proofErr w:type="spellStart"/>
      <w:r w:rsidRPr="006F1904">
        <w:t>para</w:t>
      </w:r>
      <w:proofErr w:type="spellEnd"/>
      <w:r w:rsidRPr="006F1904">
        <w:t>. 100(55)</w:t>
      </w:r>
    </w:p>
  </w:footnote>
  <w:footnote w:id="21">
    <w:p w14:paraId="0B6C8BAA" w14:textId="77777777" w:rsidR="00CE6DDC" w:rsidRPr="006F1904" w:rsidRDefault="00CE6DDC" w:rsidP="004D5541">
      <w:pPr>
        <w:pStyle w:val="FootnoteText"/>
        <w:rPr>
          <w:lang w:val="en-US"/>
        </w:rPr>
      </w:pPr>
      <w:r w:rsidRPr="006F1904">
        <w:rPr>
          <w:rStyle w:val="FootnoteReference"/>
        </w:rPr>
        <w:footnoteRef/>
      </w:r>
      <w:r w:rsidRPr="006F1904">
        <w:t xml:space="preserve"> </w:t>
      </w:r>
      <w:proofErr w:type="gramStart"/>
      <w:r w:rsidRPr="006F1904">
        <w:rPr>
          <w:bCs/>
        </w:rPr>
        <w:t xml:space="preserve">4 January 2011, A/HRC/16/7, Report of the working group, </w:t>
      </w:r>
      <w:proofErr w:type="spellStart"/>
      <w:r w:rsidRPr="006F1904">
        <w:t>para</w:t>
      </w:r>
      <w:proofErr w:type="spellEnd"/>
      <w:r w:rsidRPr="006F1904">
        <w:t>.</w:t>
      </w:r>
      <w:proofErr w:type="gramEnd"/>
      <w:r w:rsidRPr="006F1904">
        <w:t xml:space="preserve"> 100(58)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36846142" w:rsidR="00CE6DDC" w:rsidRDefault="00CE6DD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3AD32D8" w:rsidR="00CE6DDC" w:rsidRDefault="00CE6DD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0F94042F" w:rsidR="00CE6DDC" w:rsidRDefault="00CE6DD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0CA1"/>
    <w:rsid w:val="0014488F"/>
    <w:rsid w:val="00147F85"/>
    <w:rsid w:val="00150855"/>
    <w:rsid w:val="00162F5A"/>
    <w:rsid w:val="0016480A"/>
    <w:rsid w:val="00170DED"/>
    <w:rsid w:val="00186346"/>
    <w:rsid w:val="00187E2A"/>
    <w:rsid w:val="001A3AAE"/>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638C7"/>
    <w:rsid w:val="00264AF9"/>
    <w:rsid w:val="00272F68"/>
    <w:rsid w:val="00297E64"/>
    <w:rsid w:val="002A01E3"/>
    <w:rsid w:val="002A06FC"/>
    <w:rsid w:val="002A7206"/>
    <w:rsid w:val="002C0267"/>
    <w:rsid w:val="002D6FD4"/>
    <w:rsid w:val="002E09C9"/>
    <w:rsid w:val="002E4E5B"/>
    <w:rsid w:val="002E70F4"/>
    <w:rsid w:val="002F0EC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B3498"/>
    <w:rsid w:val="003C2A68"/>
    <w:rsid w:val="003C3A5C"/>
    <w:rsid w:val="003C4086"/>
    <w:rsid w:val="003D6807"/>
    <w:rsid w:val="003E0B57"/>
    <w:rsid w:val="003E489B"/>
    <w:rsid w:val="003F1015"/>
    <w:rsid w:val="003F32FA"/>
    <w:rsid w:val="00414428"/>
    <w:rsid w:val="0041580B"/>
    <w:rsid w:val="00425F3B"/>
    <w:rsid w:val="00437B2C"/>
    <w:rsid w:val="00441CD3"/>
    <w:rsid w:val="00443601"/>
    <w:rsid w:val="00443BCD"/>
    <w:rsid w:val="0044549C"/>
    <w:rsid w:val="00452298"/>
    <w:rsid w:val="00454CC3"/>
    <w:rsid w:val="00463C10"/>
    <w:rsid w:val="004720C4"/>
    <w:rsid w:val="004737EE"/>
    <w:rsid w:val="00490379"/>
    <w:rsid w:val="00496A97"/>
    <w:rsid w:val="004C053B"/>
    <w:rsid w:val="004C3E11"/>
    <w:rsid w:val="004D02E1"/>
    <w:rsid w:val="004D0FF8"/>
    <w:rsid w:val="004D3399"/>
    <w:rsid w:val="004D4BCC"/>
    <w:rsid w:val="004D5541"/>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B49FC"/>
    <w:rsid w:val="005C4DDD"/>
    <w:rsid w:val="005D6FD0"/>
    <w:rsid w:val="005E2DC2"/>
    <w:rsid w:val="005E35E7"/>
    <w:rsid w:val="005E665A"/>
    <w:rsid w:val="005E7FE5"/>
    <w:rsid w:val="005F41DC"/>
    <w:rsid w:val="006054C5"/>
    <w:rsid w:val="00605D18"/>
    <w:rsid w:val="00607DA1"/>
    <w:rsid w:val="006101B1"/>
    <w:rsid w:val="0061376B"/>
    <w:rsid w:val="0061399F"/>
    <w:rsid w:val="00616D0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6F1904"/>
    <w:rsid w:val="00714F5D"/>
    <w:rsid w:val="00716CCE"/>
    <w:rsid w:val="00721E73"/>
    <w:rsid w:val="00723CE2"/>
    <w:rsid w:val="0072545C"/>
    <w:rsid w:val="00737E41"/>
    <w:rsid w:val="00745160"/>
    <w:rsid w:val="00745D1B"/>
    <w:rsid w:val="00757C2A"/>
    <w:rsid w:val="007604D4"/>
    <w:rsid w:val="00766D98"/>
    <w:rsid w:val="00767639"/>
    <w:rsid w:val="0077355C"/>
    <w:rsid w:val="007837E1"/>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0F35"/>
    <w:rsid w:val="008D41B9"/>
    <w:rsid w:val="008D4985"/>
    <w:rsid w:val="008D4A87"/>
    <w:rsid w:val="008D5519"/>
    <w:rsid w:val="008E2F21"/>
    <w:rsid w:val="008E4894"/>
    <w:rsid w:val="00902C77"/>
    <w:rsid w:val="00916713"/>
    <w:rsid w:val="00921E92"/>
    <w:rsid w:val="00923377"/>
    <w:rsid w:val="00924C1F"/>
    <w:rsid w:val="0095599E"/>
    <w:rsid w:val="00963DD6"/>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A46EF"/>
    <w:rsid w:val="00AB131E"/>
    <w:rsid w:val="00AB1753"/>
    <w:rsid w:val="00AD5E1A"/>
    <w:rsid w:val="00AE43FB"/>
    <w:rsid w:val="00AF1CFF"/>
    <w:rsid w:val="00AF4016"/>
    <w:rsid w:val="00B076C1"/>
    <w:rsid w:val="00B1020E"/>
    <w:rsid w:val="00B14123"/>
    <w:rsid w:val="00B15915"/>
    <w:rsid w:val="00B2447D"/>
    <w:rsid w:val="00B33244"/>
    <w:rsid w:val="00B36535"/>
    <w:rsid w:val="00B36E76"/>
    <w:rsid w:val="00B37CB8"/>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E6DDC"/>
    <w:rsid w:val="00CF3C9D"/>
    <w:rsid w:val="00CF6F86"/>
    <w:rsid w:val="00CF7A18"/>
    <w:rsid w:val="00D04D81"/>
    <w:rsid w:val="00D146FD"/>
    <w:rsid w:val="00D14AE4"/>
    <w:rsid w:val="00D26C40"/>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092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 w:val="00FF1D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ED2C6E-5A6F-4844-BB84-9EAEC0E7FB5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5C591A6D-C831-4B0F-AA50-95BE5352ECC8}"/>
</file>

<file path=docProps/app.xml><?xml version="1.0" encoding="utf-8"?>
<Properties xmlns="http://schemas.openxmlformats.org/officeDocument/2006/extended-properties" xmlns:vt="http://schemas.openxmlformats.org/officeDocument/2006/docPropsVTypes">
  <Template>Normal.dotm</Template>
  <TotalTime>60</TotalTime>
  <Pages>5</Pages>
  <Words>1879</Words>
  <Characters>10711</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12565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7</cp:revision>
  <cp:lastPrinted>2005-01-04T09:45:00Z</cp:lastPrinted>
  <dcterms:created xsi:type="dcterms:W3CDTF">2015-01-14T11:08:00Z</dcterms:created>
  <dcterms:modified xsi:type="dcterms:W3CDTF">2015-02-23T14:55:00Z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