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notes.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ingleTxt"/>
        <w:jc w:val="center"/>
        <w:rPr>
          <w:rFonts w:eastAsia="Liberation Serif"/>
          <w:b/>
          <w:bCs/>
        </w:rPr>
      </w:pPr>
      <w:r>
        <w:rPr>
          <w:rFonts w:eastAsia="Liberation Serif"/>
          <w:b/>
          <w:bCs/>
        </w:rPr>
      </w:r>
    </w:p>
    <w:p>
      <w:pPr>
        <w:pStyle w:val="SingleTxt"/>
        <w:jc w:val="center"/>
        <w:rPr>
          <w:sz w:val="42"/>
          <w:szCs w:val="42"/>
        </w:rPr>
      </w:pPr>
      <w:r>
        <w:rPr>
          <w:rFonts w:eastAsia="Liberation Serif"/>
          <w:b/>
          <w:bCs/>
          <w:sz w:val="42"/>
          <w:szCs w:val="42"/>
        </w:rPr>
        <w:t xml:space="preserve">Civil &amp; Political Rights in </w:t>
      </w:r>
    </w:p>
    <w:p>
      <w:pPr>
        <w:pStyle w:val="SingleTxt"/>
        <w:jc w:val="center"/>
        <w:rPr>
          <w:sz w:val="42"/>
          <w:szCs w:val="42"/>
        </w:rPr>
      </w:pPr>
      <w:r>
        <w:rPr>
          <w:rFonts w:eastAsia="Liberation Serif"/>
          <w:b/>
          <w:bCs/>
          <w:sz w:val="42"/>
          <w:szCs w:val="42"/>
        </w:rPr>
        <w:t xml:space="preserve">the United Kingdom of </w:t>
      </w:r>
    </w:p>
    <w:p>
      <w:pPr>
        <w:pStyle w:val="SingleTxt"/>
        <w:jc w:val="center"/>
        <w:rPr>
          <w:sz w:val="42"/>
          <w:szCs w:val="42"/>
        </w:rPr>
      </w:pPr>
      <w:r>
        <w:rPr>
          <w:rFonts w:eastAsia="Liberation Serif"/>
          <w:b/>
          <w:bCs/>
          <w:sz w:val="42"/>
          <w:szCs w:val="42"/>
        </w:rPr>
        <w:t>Great Britain</w:t>
      </w:r>
    </w:p>
    <w:p>
      <w:pPr>
        <w:pStyle w:val="SingleTxt"/>
        <w:jc w:val="center"/>
        <w:rPr>
          <w:sz w:val="42"/>
          <w:szCs w:val="42"/>
        </w:rPr>
      </w:pPr>
      <w:r>
        <w:rPr>
          <w:rFonts w:eastAsia="Liberation Serif"/>
          <w:b/>
          <w:bCs/>
          <w:sz w:val="42"/>
          <w:szCs w:val="42"/>
        </w:rPr>
        <w:t>and Northern Ireland</w:t>
      </w:r>
    </w:p>
    <w:p>
      <w:pPr>
        <w:pStyle w:val="SingleTxt"/>
        <w:jc w:val="center"/>
        <w:rPr>
          <w:sz w:val="22"/>
          <w:szCs w:val="22"/>
        </w:rPr>
      </w:pPr>
      <w:r>
        <w:rPr>
          <w:rFonts w:eastAsia="Liberation Serif"/>
          <w:sz w:val="22"/>
          <w:szCs w:val="22"/>
        </w:rPr>
        <w:t>(Submission for the 140</w:t>
      </w:r>
      <w:r>
        <w:rPr>
          <w:rFonts w:eastAsia="Liberation Serif"/>
          <w:sz w:val="22"/>
          <w:szCs w:val="22"/>
          <w:vertAlign w:val="superscript"/>
        </w:rPr>
        <w:t>th</w:t>
      </w:r>
      <w:r>
        <w:rPr>
          <w:rFonts w:eastAsia="Liberation Serif"/>
          <w:sz w:val="22"/>
          <w:szCs w:val="22"/>
        </w:rPr>
        <w:t xml:space="preserve"> Session of </w:t>
      </w:r>
    </w:p>
    <w:p>
      <w:pPr>
        <w:pStyle w:val="SingleTxt"/>
        <w:jc w:val="center"/>
        <w:rPr>
          <w:sz w:val="22"/>
          <w:szCs w:val="22"/>
        </w:rPr>
      </w:pPr>
      <w:r>
        <w:rPr>
          <w:rFonts w:eastAsia="Liberation Serif"/>
          <w:sz w:val="22"/>
          <w:szCs w:val="22"/>
        </w:rPr>
        <w:t>the International Covenant on Civil and Political Rights Committee)</w:t>
      </w:r>
    </w:p>
    <w:p>
      <w:pPr>
        <w:pStyle w:val="SingleTxt"/>
        <w:jc w:val="center"/>
        <w:rPr>
          <w:sz w:val="22"/>
          <w:szCs w:val="22"/>
        </w:rPr>
      </w:pPr>
      <w:r>
        <w:rPr>
          <w:rFonts w:eastAsia="Liberation Serif"/>
          <w:sz w:val="22"/>
          <w:szCs w:val="22"/>
          <w:u w:val="single"/>
        </w:rPr>
        <w:t>Submitted on 17 January, 2024</w:t>
      </w:r>
    </w:p>
    <w:p>
      <w:pPr>
        <w:pStyle w:val="SingleTxt"/>
        <w:jc w:val="center"/>
        <w:rPr>
          <w:rFonts w:eastAsia="Liberation Serif"/>
          <w:b/>
          <w:bCs/>
          <w:sz w:val="10"/>
          <w:szCs w:val="10"/>
        </w:rPr>
      </w:pPr>
      <w:r>
        <w:rPr>
          <w:rFonts w:eastAsia="Liberation Serif"/>
          <w:b/>
          <w:bCs/>
          <w:sz w:val="10"/>
          <w:szCs w:val="10"/>
        </w:rPr>
      </w:r>
    </w:p>
    <w:p>
      <w:pPr>
        <w:pStyle w:val="SingleTxt"/>
        <w:jc w:val="center"/>
        <w:rPr>
          <w:sz w:val="20"/>
          <w:szCs w:val="20"/>
        </w:rPr>
      </w:pPr>
      <w:r>
        <w:rPr/>
        <w:t>⁎</w:t>
      </w:r>
    </w:p>
    <w:p>
      <w:pPr>
        <w:pStyle w:val="SingleTxt"/>
        <w:jc w:val="center"/>
        <w:rPr>
          <w:rFonts w:eastAsia="Liberation Serif"/>
          <w:b/>
          <w:bCs/>
          <w:sz w:val="10"/>
          <w:szCs w:val="10"/>
        </w:rPr>
      </w:pPr>
      <w:r>
        <w:rPr>
          <w:rFonts w:eastAsia="Liberation Serif"/>
          <w:b/>
          <w:bCs/>
          <w:sz w:val="10"/>
          <w:szCs w:val="10"/>
        </w:rPr>
      </w:r>
    </w:p>
    <w:p>
      <w:pPr>
        <w:pStyle w:val="SingleTxt"/>
        <w:jc w:val="center"/>
        <w:rPr>
          <w:sz w:val="42"/>
          <w:szCs w:val="42"/>
        </w:rPr>
      </w:pPr>
      <w:r>
        <w:rPr>
          <w:rFonts w:eastAsia="Liberation Serif"/>
          <w:b/>
          <w:bCs/>
          <w:sz w:val="42"/>
          <w:szCs w:val="42"/>
        </w:rPr>
        <w:t xml:space="preserve">International Probono </w:t>
      </w:r>
    </w:p>
    <w:p>
      <w:pPr>
        <w:pStyle w:val="SingleTxt"/>
        <w:jc w:val="center"/>
        <w:rPr>
          <w:sz w:val="42"/>
          <w:szCs w:val="42"/>
        </w:rPr>
      </w:pPr>
      <w:r>
        <w:rPr>
          <w:rFonts w:eastAsia="Liberation Serif"/>
          <w:b/>
          <w:bCs/>
          <w:sz w:val="42"/>
          <w:szCs w:val="42"/>
        </w:rPr>
        <w:t xml:space="preserve">Legal Services Association </w:t>
      </w:r>
    </w:p>
    <w:p>
      <w:pPr>
        <w:pStyle w:val="SingleTxt"/>
        <w:rPr>
          <w:sz w:val="20"/>
          <w:szCs w:val="20"/>
        </w:rPr>
      </w:pPr>
      <w:r>
        <w:rPr>
          <w:rFonts w:eastAsia="Liberation Serif"/>
          <w:sz w:val="20"/>
          <w:szCs w:val="20"/>
        </w:rPr>
        <w:t xml:space="preserve">The International Probono Legal Services Association Limited (“IPLSA”) is a non-profit organization that aims to improve access to justice for those in need. With the vision of facilitating and promoting cross-jurisdictional pro bono legal services, IPLSA provides both pro bono legal services, and training for local legal practitioners and those from overseas, working towards its goal of enhancing access to justice for all. </w:t>
      </w:r>
    </w:p>
    <w:p>
      <w:pPr>
        <w:pStyle w:val="SingleTxt"/>
        <w:rPr>
          <w:rFonts w:eastAsia="Liberation Serif"/>
          <w:sz w:val="12"/>
          <w:szCs w:val="12"/>
        </w:rPr>
      </w:pPr>
      <w:r>
        <w:rPr>
          <w:rFonts w:eastAsia="Liberation Serif"/>
          <w:sz w:val="12"/>
          <w:szCs w:val="12"/>
        </w:rPr>
      </w:r>
    </w:p>
    <w:tbl>
      <w:tblPr>
        <w:tblW w:w="5000" w:type="pct"/>
        <w:jc w:val="left"/>
        <w:tblInd w:w="55" w:type="dxa"/>
        <w:tblLayout w:type="fixed"/>
        <w:tblCellMar>
          <w:top w:w="55" w:type="dxa"/>
          <w:left w:w="55" w:type="dxa"/>
          <w:bottom w:w="55" w:type="dxa"/>
          <w:right w:w="55" w:type="dxa"/>
        </w:tblCellMar>
      </w:tblPr>
      <w:tblGrid>
        <w:gridCol w:w="1914"/>
        <w:gridCol w:w="1297"/>
        <w:gridCol w:w="644"/>
        <w:gridCol w:w="1921"/>
        <w:gridCol w:w="639"/>
        <w:gridCol w:w="1294"/>
        <w:gridCol w:w="1929"/>
      </w:tblGrid>
      <w:tr>
        <w:trPr/>
        <w:tc>
          <w:tcPr>
            <w:tcW w:w="1914" w:type="dxa"/>
            <w:tcBorders/>
            <w:shd w:fill="39B540" w:val="clear"/>
            <w:vAlign w:val="center"/>
          </w:tcPr>
          <w:p>
            <w:pPr>
              <w:pStyle w:val="TableContents"/>
              <w:widowControl w:val="false"/>
              <w:spacing w:lineRule="auto" w:line="360"/>
              <w:jc w:val="center"/>
              <w:rPr>
                <w:rFonts w:eastAsia="Liberation Serif"/>
              </w:rPr>
            </w:pPr>
            <w:r>
              <w:rPr>
                <w:rFonts w:eastAsia="Liberation Serif"/>
              </w:rPr>
            </w:r>
          </w:p>
        </w:tc>
        <w:tc>
          <w:tcPr>
            <w:tcW w:w="1941" w:type="dxa"/>
            <w:gridSpan w:val="2"/>
            <w:tcBorders/>
            <w:shd w:fill="27AAE1" w:val="clear"/>
            <w:vAlign w:val="center"/>
          </w:tcPr>
          <w:p>
            <w:pPr>
              <w:pStyle w:val="TableContents"/>
              <w:widowControl w:val="false"/>
              <w:spacing w:lineRule="auto" w:line="360"/>
              <w:jc w:val="center"/>
              <w:rPr>
                <w:rFonts w:eastAsia="Liberation Serif"/>
              </w:rPr>
            </w:pPr>
            <w:r>
              <w:rPr>
                <w:rFonts w:eastAsia="Liberation Serif"/>
              </w:rPr>
            </w:r>
          </w:p>
        </w:tc>
        <w:tc>
          <w:tcPr>
            <w:tcW w:w="1921" w:type="dxa"/>
            <w:tcBorders/>
            <w:shd w:fill="92278F" w:val="clear"/>
            <w:vAlign w:val="center"/>
          </w:tcPr>
          <w:p>
            <w:pPr>
              <w:pStyle w:val="TableContents"/>
              <w:widowControl w:val="false"/>
              <w:spacing w:lineRule="auto" w:line="360"/>
              <w:jc w:val="center"/>
              <w:rPr>
                <w:rFonts w:eastAsia="Liberation Serif"/>
              </w:rPr>
            </w:pPr>
            <w:r>
              <w:rPr>
                <w:rFonts w:eastAsia="Liberation Serif"/>
              </w:rPr>
            </w:r>
          </w:p>
        </w:tc>
        <w:tc>
          <w:tcPr>
            <w:tcW w:w="1933" w:type="dxa"/>
            <w:gridSpan w:val="2"/>
            <w:tcBorders/>
            <w:shd w:fill="EC008C" w:val="clear"/>
            <w:vAlign w:val="center"/>
          </w:tcPr>
          <w:p>
            <w:pPr>
              <w:pStyle w:val="TableContents"/>
              <w:widowControl w:val="false"/>
              <w:spacing w:lineRule="auto" w:line="360"/>
              <w:jc w:val="center"/>
              <w:rPr>
                <w:rFonts w:eastAsia="Liberation Serif"/>
              </w:rPr>
            </w:pPr>
            <w:r>
              <w:rPr>
                <w:rFonts w:eastAsia="Liberation Serif"/>
              </w:rPr>
            </w:r>
          </w:p>
        </w:tc>
        <w:tc>
          <w:tcPr>
            <w:tcW w:w="1929" w:type="dxa"/>
            <w:tcBorders/>
            <w:shd w:fill="F7941D" w:val="clear"/>
            <w:vAlign w:val="center"/>
          </w:tcPr>
          <w:p>
            <w:pPr>
              <w:pStyle w:val="TableContents"/>
              <w:widowControl w:val="false"/>
              <w:spacing w:lineRule="auto" w:line="360"/>
              <w:jc w:val="center"/>
              <w:rPr>
                <w:rFonts w:eastAsia="Liberation Serif"/>
              </w:rPr>
            </w:pPr>
            <w:r>
              <w:rPr>
                <w:rFonts w:eastAsia="Liberation Serif"/>
              </w:rPr>
            </w:r>
          </w:p>
        </w:tc>
      </w:tr>
      <w:tr>
        <w:trPr/>
        <w:tc>
          <w:tcPr>
            <w:tcW w:w="3211" w:type="dxa"/>
            <w:gridSpan w:val="2"/>
            <w:tcBorders/>
            <w:vAlign w:val="center"/>
          </w:tcPr>
          <w:p>
            <w:pPr>
              <w:pStyle w:val="LO-normal"/>
              <w:widowControl w:val="false"/>
              <w:spacing w:before="114" w:after="114"/>
              <w:jc w:val="center"/>
              <w:rPr>
                <w:rFonts w:ascii="Times New Roman" w:hAnsi="Times New Roman" w:eastAsia="Garamond" w:cs="Garamond"/>
                <w:b/>
                <w:bCs/>
                <w:i/>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 xml:space="preserve">   </w:t>
            </w:r>
            <w:r>
              <w:rPr>
                <w:rFonts w:eastAsia="Liberation Serif" w:cs="Garamond"/>
                <w:b/>
                <w:bCs/>
                <w:i/>
                <w:iCs/>
                <w:color w:val="000000"/>
                <w:sz w:val="18"/>
                <w:szCs w:val="18"/>
              </w:rPr>
              <w:t xml:space="preserve">E-mail: </w:t>
            </w:r>
            <w:hyperlink r:id="rId2">
              <w:r>
                <w:rPr>
                  <w:rStyle w:val="InternetLink"/>
                  <w:rFonts w:eastAsia="Liberation Serif" w:cs="Garamond"/>
                  <w:b/>
                  <w:bCs/>
                  <w:i/>
                  <w:iCs/>
                  <w:color w:val="000000"/>
                  <w:sz w:val="18"/>
                  <w:szCs w:val="18"/>
                  <w:u w:val="none"/>
                </w:rPr>
                <w:t>info@iplsa.net</w:t>
              </w:r>
            </w:hyperlink>
          </w:p>
        </w:tc>
        <w:tc>
          <w:tcPr>
            <w:tcW w:w="3204" w:type="dxa"/>
            <w:gridSpan w:val="3"/>
            <w:tcBorders/>
            <w:vAlign w:val="center"/>
          </w:tcPr>
          <w:p>
            <w:pPr>
              <w:pStyle w:val="LO-normal"/>
              <w:widowControl w:val="false"/>
              <w:spacing w:before="114" w:after="114"/>
              <w:jc w:val="center"/>
              <w:rPr>
                <w:rFonts w:eastAsia="Liberation Serif" w:cs="Garamond"/>
                <w:b/>
                <w:bCs/>
                <w:i/>
                <w:i/>
                <w:iCs/>
                <w:color w:val="000000"/>
                <w:sz w:val="18"/>
                <w:szCs w:val="18"/>
              </w:rPr>
            </w:pPr>
            <w:r>
              <w:rPr>
                <w:rFonts w:eastAsia="Liberation Serif" w:cs="Garamond"/>
                <w:b/>
                <w:bCs/>
                <w:i/>
                <w:iCs/>
                <w:color w:val="000000"/>
                <w:sz w:val="18"/>
                <w:szCs w:val="18"/>
              </w:rPr>
              <w:t>G2, Kai Wong Commercial Building, No. 222 Queen’s Road Central, Hong Kong</w:t>
            </w:r>
          </w:p>
        </w:tc>
        <w:tc>
          <w:tcPr>
            <w:tcW w:w="3223" w:type="dxa"/>
            <w:gridSpan w:val="2"/>
            <w:tcBorders/>
            <w:vAlign w:val="center"/>
          </w:tcPr>
          <w:p>
            <w:pPr>
              <w:pStyle w:val="LO-normal"/>
              <w:widowControl w:val="false"/>
              <w:spacing w:before="114" w:after="114"/>
              <w:jc w:val="center"/>
              <w:rPr>
                <w:rFonts w:eastAsia="Liberation Serif" w:cs="Garamond"/>
                <w:b/>
                <w:bCs/>
                <w:i/>
                <w:i/>
                <w:iCs/>
                <w:color w:val="000000"/>
                <w:sz w:val="18"/>
                <w:szCs w:val="18"/>
              </w:rPr>
            </w:pPr>
            <w:r>
              <w:rPr>
                <w:rFonts w:eastAsia="Liberation Serif" w:cs="Garamond"/>
                <w:b/>
                <w:bCs/>
                <w:color w:val="000000"/>
                <w:sz w:val="18"/>
                <w:szCs w:val="18"/>
              </w:rPr>
              <w:t xml:space="preserve">🕿   </w:t>
            </w:r>
            <w:r>
              <w:rPr>
                <w:rFonts w:eastAsia="Liberation Serif" w:cs="Garamond"/>
                <w:b/>
                <w:bCs/>
                <w:i/>
                <w:iCs/>
                <w:color w:val="000000"/>
                <w:sz w:val="18"/>
                <w:szCs w:val="18"/>
              </w:rPr>
              <w:t>Tel.: +852 5448 8415</w:t>
            </w:r>
          </w:p>
        </w:tc>
      </w:tr>
    </w:tbl>
    <w:p>
      <w:pPr>
        <w:pStyle w:val="Heading1"/>
        <w:spacing w:lineRule="auto" w:line="360"/>
        <w:ind w:left="0" w:right="2381" w:hanging="0"/>
        <w:rPr>
          <w:rFonts w:eastAsia="Liberation Serif" w:cs="Times New Roman"/>
          <w:b/>
          <w:bCs/>
          <w:u w:val="single"/>
        </w:rPr>
      </w:pPr>
      <w:r>
        <w:br w:type="page"/>
      </w:r>
      <w:r>
        <w:rPr>
          <w:rFonts w:eastAsia="Liberation Serif" w:cs="Times New Roman"/>
          <w:b/>
          <w:bCs/>
          <w:u w:val="single"/>
        </w:rPr>
        <w:t>Introduction</w:t>
      </w:r>
    </w:p>
    <w:p>
      <w:pPr>
        <w:pStyle w:val="LO-normal"/>
        <w:numPr>
          <w:ilvl w:val="0"/>
          <w:numId w:val="1"/>
        </w:numPr>
        <w:rPr/>
      </w:pPr>
      <w:r>
        <w:rPr/>
        <w:t>This report raises awareness regarding how the United Kingdom of Great Britain and Northern Ireland (“UK”) is systematically benefiting from the aftermath of the riots that spanned between 2019-2020 in the Hong Kong SAR through the spread of misinformation to garner favourable geopolitical optics on the international world stage, as well as benefiting financially from the implementation of the recently expanded British National (Overseas) (“BN(O)”) visa scheme.</w:t>
      </w:r>
    </w:p>
    <w:p>
      <w:pPr>
        <w:pStyle w:val="LO-normal"/>
        <w:numPr>
          <w:ilvl w:val="0"/>
          <w:numId w:val="1"/>
        </w:numPr>
        <w:rPr/>
      </w:pPr>
      <w:r>
        <w:rPr/>
        <w:t>This report also addresses the UK’s violation of Articles 7, 8, and 17 of the International Covenant on Civil and Political Rights (“ICCPR”) in its implementation of the expanded BN(O) visa scheme, under which nearly two hundred thousand Hong Kongers have already applied under, and in relation to Chinese and Hong Kong SAR passport holders who are not eligible for the BN(O) scheme but are seeking asylum in the UK.  The report calls for further attention to cases in which children or young adults (aged between 18-29) who have fled to the UK seeking asylum after having participated in the Extradition Riots as a result of British encouragement.</w:t>
      </w:r>
    </w:p>
    <w:p>
      <w:pPr>
        <w:pStyle w:val="LO-normal"/>
        <w:numPr>
          <w:ilvl w:val="0"/>
          <w:numId w:val="1"/>
        </w:numPr>
        <w:rPr/>
      </w:pPr>
      <w:r>
        <w:rPr/>
        <w:t>The remainder of this report expands on the points outlined in Paras. 1 and 2 in four distinct sections.  The first section summarises the background to the Extradition Riots, the National Security Law, and the documented utterances and statements made by UK officials which exacerbated the already volatile situation in Hong Kong.  The second section details out how the UK sought to leverage the aftermath of the Riots both politically and financially through their morally questionable BN(O) visa scheme, which bears a resemblance to another infamous episode in British history, the Windrush Scandal</w:t>
      </w:r>
      <w:r>
        <w:rPr>
          <w:rStyle w:val="FootnoteAnchor"/>
        </w:rPr>
        <w:footnoteReference w:id="2"/>
      </w:r>
      <w:r>
        <w:rPr/>
        <w:t xml:space="preserve"> – especially in the context of the UK’s post-Brexit economic situation.  The third section examines how the BN(O) visa scheme opens up many vulnerabilities for both Hong Kongers looking to emigrate to the UK under the scheme, and those asylum seekers (from either the Hong Kong SAR or People’s Republic of China) who do not qualify for the scheme.  In some cases, individuals in the latter group are mistreated while ostensibly under the care of the British government, which is tantamount to a violation of Articles 7, 8, and 17 of the ICCPR.  In the fourth and final section, the report concludes its findings and offers suggestions to both the Committee and the State Party of the ways in which the violations examined herein should be effectively remedied in conformity with Article 2(3) of the ICCPR.</w:t>
      </w:r>
      <w:r>
        <w:br w:type="page"/>
      </w:r>
    </w:p>
    <w:p>
      <w:pPr>
        <w:pStyle w:val="Heading1"/>
        <w:keepNext w:val="true"/>
        <w:widowControl/>
        <w:suppressAutoHyphens w:val="true"/>
        <w:bidi w:val="0"/>
        <w:spacing w:lineRule="auto" w:line="360" w:before="240" w:after="120"/>
        <w:ind w:left="0" w:right="170" w:hanging="0"/>
        <w:jc w:val="left"/>
        <w:rPr>
          <w:rFonts w:eastAsia="Liberation Serif"/>
          <w:u w:val="single"/>
        </w:rPr>
      </w:pPr>
      <w:r>
        <w:rPr>
          <w:rFonts w:eastAsia="Liberation Serif"/>
          <w:u w:val="single"/>
        </w:rPr>
        <w:t>Section 1 – Background of the Extradition Riots and the National Security Law</w:t>
      </w:r>
    </w:p>
    <w:p>
      <w:pPr>
        <w:pStyle w:val="LO-normal"/>
        <w:numPr>
          <w:ilvl w:val="0"/>
          <w:numId w:val="1"/>
        </w:numPr>
        <w:rPr/>
      </w:pPr>
      <w:r>
        <w:rPr/>
        <w:t xml:space="preserve">In </w:t>
      </w:r>
      <w:r>
        <w:rPr/>
        <w:t xml:space="preserve">the </w:t>
      </w:r>
      <w:r>
        <w:rPr/>
        <w:t xml:space="preserve">early 2018, a Hong Kong permanent resident was suspected to have murdered another Hong Kong permanent resident whilst the two were on holiday in Taiwan.  The suspect returned to Hong Kong and, since Hong Kong and Taiwan did not have a formal extradition agreement, the suspect could not be surrendered to Taiwan.  This case revealed two pertinent problems in Hong Kong’s </w:t>
      </w:r>
      <w:r>
        <w:rPr>
          <w:b/>
          <w:bCs/>
          <w:u w:val="none"/>
        </w:rPr>
        <w:t>Cap. 503 Fugitive Offenders Ordinance</w:t>
      </w:r>
      <w:r>
        <w:rPr>
          <w:rStyle w:val="FootnoteAnchor"/>
          <w:b w:val="false"/>
          <w:bCs w:val="false"/>
        </w:rPr>
        <w:footnoteReference w:id="3"/>
      </w:r>
      <w:r>
        <w:rPr/>
        <w:t xml:space="preserve"> (“FOO”) and </w:t>
      </w:r>
      <w:r>
        <w:rPr>
          <w:b/>
          <w:bCs/>
          <w:u w:val="none"/>
        </w:rPr>
        <w:t>Cap. 525 Mutual Legal Assistance Ordinance</w:t>
      </w:r>
      <w:r>
        <w:rPr>
          <w:rStyle w:val="FootnoteAnchor"/>
          <w:b w:val="false"/>
          <w:bCs w:val="false"/>
        </w:rPr>
        <w:footnoteReference w:id="4"/>
      </w:r>
      <w:r>
        <w:rPr/>
        <w:t xml:space="preserve"> (“MLAO”):-</w:t>
      </w:r>
    </w:p>
    <w:p>
      <w:pPr>
        <w:pStyle w:val="LO-normal"/>
        <w:numPr>
          <w:ilvl w:val="1"/>
          <w:numId w:val="1"/>
        </w:numPr>
        <w:rPr/>
      </w:pPr>
      <w:r>
        <w:rPr/>
        <w:t xml:space="preserve">to surrender a suspect, under the FOO, the Legislative Council of Hong Kong was required to debate each case prior to its approval; this meant that details of the case may be publicly disclosed and alarm the suspect, which risked him/her fleeing the city before the Legislative Council reached its decision; and </w:t>
      </w:r>
    </w:p>
    <w:p>
      <w:pPr>
        <w:pStyle w:val="LO-normal"/>
        <w:numPr>
          <w:ilvl w:val="1"/>
          <w:numId w:val="1"/>
        </w:numPr>
        <w:rPr/>
      </w:pPr>
      <w:r>
        <w:rPr/>
        <w:t>due to geographical restrictions imbedded in clause 3(1) of the MLAO,</w:t>
      </w:r>
      <w:r>
        <w:rPr>
          <w:rStyle w:val="FootnoteAnchor"/>
        </w:rPr>
        <w:footnoteReference w:id="5"/>
      </w:r>
      <w:r>
        <w:rPr/>
        <w:t xml:space="preserve"> Hong Kong was not able to handle cases where suspects from the Mainland, Macau or Taiwan were able to flee to Hong Kong;  fugitives could make use of this legal loophole to seek refuge in Hong Kong without having to face any legal repercussions.</w:t>
      </w:r>
    </w:p>
    <w:p>
      <w:pPr>
        <w:pStyle w:val="LO-normal"/>
        <w:numPr>
          <w:ilvl w:val="0"/>
          <w:numId w:val="1"/>
        </w:numPr>
        <w:rPr/>
      </w:pPr>
      <w:r>
        <w:rPr/>
        <w:t>In response, the Hong Kong SAR government sought to amend the FOO and MLAO, in March 2019, to plug the above-mentioned loopholes by:-</w:t>
      </w:r>
    </w:p>
    <w:p>
      <w:pPr>
        <w:pStyle w:val="LO-normal"/>
        <w:numPr>
          <w:ilvl w:val="1"/>
          <w:numId w:val="1"/>
        </w:numPr>
        <w:rPr/>
      </w:pPr>
      <w:r>
        <w:rPr/>
        <w:t>creating a new class of ‘special surrender arrangements’ for cases where there are no applicable long-term surrender arrangements with the concerned jurisdiction; and</w:t>
      </w:r>
    </w:p>
    <w:p>
      <w:pPr>
        <w:pStyle w:val="LO-normal"/>
        <w:numPr>
          <w:ilvl w:val="1"/>
          <w:numId w:val="1"/>
        </w:numPr>
        <w:rPr/>
      </w:pPr>
      <w:r>
        <w:rPr/>
        <w:t>lifting the geographical restrictions stipulated in clause 3(1) of the MLAO.</w:t>
      </w:r>
      <w:r>
        <w:br w:type="page"/>
      </w:r>
    </w:p>
    <w:p>
      <w:pPr>
        <w:pStyle w:val="LO-normal"/>
        <w:numPr>
          <w:ilvl w:val="0"/>
          <w:numId w:val="1"/>
        </w:numPr>
        <w:rPr/>
      </w:pPr>
      <w:r>
        <w:rPr/>
        <w:t>These amendments were to be made whilst maintaining respect for preserving critical procedural safeguards, including but not limited to:-</w:t>
      </w:r>
    </w:p>
    <w:p>
      <w:pPr>
        <w:pStyle w:val="LO-normal"/>
        <w:numPr>
          <w:ilvl w:val="1"/>
          <w:numId w:val="1"/>
        </w:numPr>
        <w:rPr/>
      </w:pPr>
      <w:r>
        <w:rPr/>
        <w:t xml:space="preserve">the right to apply for </w:t>
      </w:r>
      <w:r>
        <w:rPr>
          <w:i/>
          <w:iCs/>
        </w:rPr>
        <w:t>habeas corpus</w:t>
      </w:r>
      <w:r>
        <w:rPr/>
        <w:t>;</w:t>
      </w:r>
    </w:p>
    <w:p>
      <w:pPr>
        <w:pStyle w:val="LO-normal"/>
        <w:numPr>
          <w:ilvl w:val="1"/>
          <w:numId w:val="1"/>
        </w:numPr>
        <w:rPr/>
      </w:pPr>
      <w:r>
        <w:rPr/>
        <w:t>judicial review of the Chief Executive’s decision to initiate a special surrender arrangement;</w:t>
      </w:r>
    </w:p>
    <w:p>
      <w:pPr>
        <w:pStyle w:val="LO-normal"/>
        <w:numPr>
          <w:ilvl w:val="1"/>
          <w:numId w:val="1"/>
        </w:numPr>
        <w:rPr/>
      </w:pPr>
      <w:r>
        <w:rPr/>
        <w:t>compatibility with human rights laws as stipulated in Article 39</w:t>
      </w:r>
      <w:r>
        <w:rPr>
          <w:rStyle w:val="FootnoteAnchor"/>
        </w:rPr>
        <w:footnoteReference w:id="6"/>
      </w:r>
      <w:r>
        <w:rPr/>
        <w:t xml:space="preserve"> of the Basic Law of the HKSAR; in addition to,</w:t>
      </w:r>
    </w:p>
    <w:p>
      <w:pPr>
        <w:pStyle w:val="LO-normal"/>
        <w:numPr>
          <w:ilvl w:val="1"/>
          <w:numId w:val="1"/>
        </w:numPr>
        <w:rPr/>
      </w:pPr>
      <w:r>
        <w:rPr/>
        <w:t>limiting the scope of offences considered for case-based surrender to the most serious crimes (e.g., murder, inflicting grievous wounds, rape, gross indecency with a child, kidnapping, criminal intimidation, and so forth).</w:t>
      </w:r>
      <w:r>
        <w:rPr>
          <w:rStyle w:val="FootnoteAnchor"/>
        </w:rPr>
        <w:footnoteReference w:id="7"/>
      </w:r>
    </w:p>
    <w:p>
      <w:pPr>
        <w:pStyle w:val="LO-normal"/>
        <w:numPr>
          <w:ilvl w:val="0"/>
          <w:numId w:val="1"/>
        </w:numPr>
        <w:rPr/>
      </w:pPr>
      <w:r>
        <w:rPr/>
        <w:t>In the remainder of this paper, the planned amendments to the FOO and MLAO shall be referred to as either “the Bill” or the “Extradition Bill”.</w:t>
      </w:r>
      <w:r>
        <w:br w:type="page"/>
      </w:r>
    </w:p>
    <w:p>
      <w:pPr>
        <w:pStyle w:val="LO-normal"/>
        <w:numPr>
          <w:ilvl w:val="0"/>
          <w:numId w:val="1"/>
        </w:numPr>
        <w:rPr/>
      </w:pPr>
      <w:r>
        <w:rPr/>
        <w:t>The then Chief Executive-in-Council endorsed the submission of the Bill on 26 March, 2019, and scheduled the Bill’s first reading to commence on 3 April, 2019.</w:t>
      </w:r>
      <w:r>
        <w:rPr>
          <w:rStyle w:val="FootnoteAnchor"/>
        </w:rPr>
        <w:footnoteReference w:id="8"/>
      </w:r>
      <w:r>
        <w:rPr/>
        <w:t xml:space="preserve">  However, attempts to hold meetings to debate the Bill during April and May were generally unsuccessful owing to a series of inappropriate</w:t>
      </w:r>
      <w:r>
        <w:rPr>
          <w:rStyle w:val="FootnoteAnchor"/>
        </w:rPr>
        <w:footnoteReference w:id="9"/>
      </w:r>
      <w:r>
        <w:rPr/>
        <w:t xml:space="preserve"> and unusual strategies</w:t>
      </w:r>
      <w:r>
        <w:rPr>
          <w:rStyle w:val="FootnoteAnchor"/>
        </w:rPr>
        <w:footnoteReference w:id="10"/>
      </w:r>
      <w:r>
        <w:rPr/>
        <w:t xml:space="preserve"> executed by local politicians belonging to the Anti-Extradition bloc.</w:t>
      </w:r>
      <w:r>
        <w:rPr>
          <w:rStyle w:val="FootnoteAnchor"/>
        </w:rPr>
        <w:footnoteReference w:id="11"/>
      </w:r>
      <w:r>
        <w:rPr/>
        <w:t xml:space="preserve">  This led the then Secretary for Security, John Lee, to bring forward the second reading of the Bill to 12 June, 2019.</w:t>
      </w:r>
    </w:p>
    <w:p>
      <w:pPr>
        <w:pStyle w:val="LO-normal"/>
        <w:numPr>
          <w:ilvl w:val="0"/>
          <w:numId w:val="1"/>
        </w:numPr>
        <w:rPr/>
      </w:pPr>
      <w:r>
        <w:rPr/>
        <w:t>The UK’s response to the Bill was critical, which exacerbated alarm and fear over the Bill in Hong Kong.  On 30 May, 2019, the UK and Canadian governments made a joint statement criticising the Extradition Bill, claiming that it would affect business confidence in Hong Kong as well as negatively impact on the rights and freedoms protected in the 1984 Sino-British Joint Declaration.</w:t>
      </w:r>
      <w:r>
        <w:rPr>
          <w:rStyle w:val="FootnoteAnchor"/>
        </w:rPr>
        <w:footnoteReference w:id="12"/>
      </w:r>
      <w:r>
        <w:rPr/>
        <w:t xml:space="preserve"> </w:t>
      </w:r>
      <w:r>
        <w:br w:type="page"/>
      </w:r>
    </w:p>
    <w:p>
      <w:pPr>
        <w:pStyle w:val="LO-normal"/>
        <w:numPr>
          <w:ilvl w:val="0"/>
          <w:numId w:val="1"/>
        </w:numPr>
        <w:rPr/>
      </w:pPr>
      <w:r>
        <w:rPr/>
        <w:t>Following the joint statement described in Para. 9, Members of the Parliament (“MPs”) and other UK government officials made a series of similar claims in response to both protests and riots that had emerged in Hong Kong between March and December of 2019.  Some examples are listed below:-</w:t>
      </w:r>
    </w:p>
    <w:p>
      <w:pPr>
        <w:pStyle w:val="LO-normal"/>
        <w:numPr>
          <w:ilvl w:val="1"/>
          <w:numId w:val="1"/>
        </w:numPr>
        <w:rPr/>
      </w:pPr>
      <w:r>
        <w:rPr/>
        <w:t>MP Helen Goodman suggested that the Bill constituted “not just an erosion but a fundamental breach” of the Joint Declaration and that it “threaten[ed] the judiciary of Hong Kong”;</w:t>
      </w:r>
      <w:r>
        <w:rPr>
          <w:rStyle w:val="FootnoteAnchor"/>
        </w:rPr>
        <w:footnoteReference w:id="13"/>
      </w:r>
    </w:p>
    <w:p>
      <w:pPr>
        <w:pStyle w:val="LO-normal"/>
        <w:numPr>
          <w:ilvl w:val="1"/>
          <w:numId w:val="1"/>
        </w:numPr>
        <w:rPr/>
      </w:pPr>
      <w:r>
        <w:rPr/>
        <w:t xml:space="preserve">Mark Field, </w:t>
      </w:r>
      <w:r>
        <w:rPr/>
        <w:t xml:space="preserve">the then </w:t>
      </w:r>
      <w:r>
        <w:rPr/>
        <w:t>Minister for Asia and the Pacific, when discussing wider concerns about the erosion of civil and political freedoms in Hong Kong, said: “It is clear that these events are becoming close to breaching not just the spirit but the letter of the joint declaration [</w:t>
      </w:r>
      <w:r>
        <w:rPr>
          <w:i/>
          <w:iCs/>
        </w:rPr>
        <w:t>sic</w:t>
      </w:r>
      <w:r>
        <w:rPr/>
        <w:t>]”;</w:t>
      </w:r>
      <w:r>
        <w:rPr>
          <w:rStyle w:val="FootnoteAnchor"/>
        </w:rPr>
        <w:footnoteReference w:id="14"/>
      </w:r>
    </w:p>
    <w:p>
      <w:pPr>
        <w:pStyle w:val="LO-normal"/>
        <w:numPr>
          <w:ilvl w:val="1"/>
          <w:numId w:val="1"/>
        </w:numPr>
        <w:rPr/>
      </w:pPr>
      <w:r>
        <w:rPr/>
        <w:t>Catherine West MP claimed that the Bill would “significantly compromise the [judicial] firewall that separates the sharply different systems” between Hong Kong and the People’s Republic of China;</w:t>
      </w:r>
      <w:r>
        <w:rPr>
          <w:rStyle w:val="FootnoteAnchor"/>
        </w:rPr>
        <w:footnoteReference w:id="15"/>
      </w:r>
    </w:p>
    <w:p>
      <w:pPr>
        <w:pStyle w:val="LO-normal"/>
        <w:numPr>
          <w:ilvl w:val="1"/>
          <w:numId w:val="1"/>
        </w:numPr>
        <w:rPr/>
      </w:pPr>
      <w:r>
        <w:rPr/>
        <w:t>Sir Geoffrey Clifton-Brown MP described the Extradition Bill as “one of the worst threats” to Hong Kong’s legal system.</w:t>
      </w:r>
      <w:r>
        <w:rPr>
          <w:rStyle w:val="FootnoteAnchor"/>
        </w:rPr>
        <w:footnoteReference w:id="16"/>
      </w:r>
    </w:p>
    <w:p>
      <w:pPr>
        <w:pStyle w:val="LO-normal"/>
        <w:numPr>
          <w:ilvl w:val="1"/>
          <w:numId w:val="1"/>
        </w:numPr>
        <w:rPr/>
      </w:pPr>
      <w:r>
        <w:rPr/>
        <w:t>Emily Thornberry MP called on the UK government to be firmer in their response to Chinese breaches of the Joint Declaration;  Thornberry’s sentiments were echoed by Hannah Bardell MP;</w:t>
      </w:r>
      <w:r>
        <w:rPr>
          <w:rStyle w:val="FootnoteAnchor"/>
        </w:rPr>
        <w:footnoteReference w:id="17"/>
      </w:r>
      <w:r>
        <w:br w:type="page"/>
      </w:r>
    </w:p>
    <w:p>
      <w:pPr>
        <w:pStyle w:val="LO-normal"/>
        <w:numPr>
          <w:ilvl w:val="1"/>
          <w:numId w:val="1"/>
        </w:numPr>
        <w:rPr/>
      </w:pPr>
      <w:r>
        <w:rPr/>
        <w:t>Dominic Raab, the then Secretary of State for Foreign, Commonwealth and Development Affairs, suggested that China was moving away from the ‘one country, two systems’ approach and towards ‘one country, one system’; he further said: “The preservation of both the letter and the spirit of the Joint Declaration is crucial to Hong Kong’s economic and business success, and the UK has both a legal right and a moral obligation to monitor the implementation of the principles established in the treaty”;</w:t>
      </w:r>
      <w:r>
        <w:rPr>
          <w:rStyle w:val="FootnoteAnchor"/>
        </w:rPr>
        <w:footnoteReference w:id="18"/>
      </w:r>
    </w:p>
    <w:p>
      <w:pPr>
        <w:pStyle w:val="LO-normal"/>
        <w:numPr>
          <w:ilvl w:val="1"/>
          <w:numId w:val="1"/>
        </w:numPr>
        <w:rPr/>
      </w:pPr>
      <w:r>
        <w:rPr/>
        <w:t xml:space="preserve">On 30 June, 2019, </w:t>
      </w:r>
      <w:r>
        <w:rPr/>
        <w:t xml:space="preserve">the then </w:t>
      </w:r>
      <w:r>
        <w:rPr/>
        <w:t>Foreign Secretary Jeremy Hunt MP said: “Recent protests in Hong Kong make it even more important on the anniversary of the handover to reiterate that the UK government’s commitment to the Sino-British Joint Declaration is unwavering […] We remain committed to strengthening our rich and wide-ranging relationship with Hong Kong […] We will continue to closely monitor events in Hong Kong”;</w:t>
      </w:r>
      <w:r>
        <w:rPr>
          <w:rStyle w:val="FootnoteAnchor"/>
        </w:rPr>
        <w:footnoteReference w:id="19"/>
      </w:r>
    </w:p>
    <w:p>
      <w:pPr>
        <w:pStyle w:val="LO-normal"/>
        <w:numPr>
          <w:ilvl w:val="1"/>
          <w:numId w:val="1"/>
        </w:numPr>
        <w:rPr/>
      </w:pPr>
      <w:r>
        <w:rPr/>
        <w:t>On 1 July, 2019,</w:t>
      </w:r>
      <w:r>
        <w:rPr>
          <w:rStyle w:val="FootnoteAnchor"/>
        </w:rPr>
        <w:footnoteReference w:id="20"/>
      </w:r>
      <w:r>
        <w:rPr/>
        <w:t xml:space="preserve"> </w:t>
      </w:r>
      <w:r>
        <w:rPr/>
        <w:t xml:space="preserve">the then </w:t>
      </w:r>
      <w:r>
        <w:rPr/>
        <w:t>Foreign Secretary Jeremy Hunt MP tweeted: “UK support for Hong Kong and its freedoms is UNWAVERING [</w:t>
      </w:r>
      <w:r>
        <w:rPr>
          <w:i/>
          <w:iCs/>
        </w:rPr>
        <w:t>sic</w:t>
      </w:r>
      <w:r>
        <w:rPr/>
        <w:t>] on this anniversary day. No violence is acceptable but HK people MUST preserve right to peaceful protest exercised within the law, as hundreds of thousands of brave people showed today”.</w:t>
      </w:r>
      <w:r>
        <w:rPr>
          <w:rStyle w:val="FootnoteAnchor"/>
        </w:rPr>
        <w:footnoteReference w:id="21"/>
      </w:r>
      <w:r>
        <w:br w:type="page"/>
      </w:r>
    </w:p>
    <w:p>
      <w:pPr>
        <w:pStyle w:val="LO-normal"/>
        <w:numPr>
          <w:ilvl w:val="0"/>
          <w:numId w:val="1"/>
        </w:numPr>
        <w:rPr/>
      </w:pPr>
      <w:r>
        <w:rPr/>
        <w:t>Rioting and protesting began in June 2019 and continued well into May 2020.  This prompted China’s legislature, the National People’s Congress, to consider enacting a National Security Law for Hong Kong.  During this period, the then Chief Executive Carrie Lam took steps to address the concerns of both the anti-government and anti-Extradition Bill factions in Hong Kong.  On 15 June, 2019, she suspended the Bill, and on 9 July, 2019, she unequivocally stated that the Bill was “dead”.</w:t>
      </w:r>
      <w:r>
        <w:rPr>
          <w:rStyle w:val="FootnoteAnchor"/>
        </w:rPr>
        <w:footnoteReference w:id="22"/>
      </w:r>
      <w:r>
        <w:rPr/>
        <w:t xml:space="preserve">  Despite these clear actions by the then Chief Executive, there was no decline in rioting or protesting, which compelled the government of the People's Republic of China to enact the Law of the People's Republic of China on Safeguarding National Security in the Hong Kong Special Administrative Region (the "National Security Law") on 30 June, 2020, as a final resort to deter rioters from the further desecration of the city.</w:t>
      </w:r>
    </w:p>
    <w:p>
      <w:pPr>
        <w:pStyle w:val="LO-normal"/>
        <w:numPr>
          <w:ilvl w:val="0"/>
          <w:numId w:val="1"/>
        </w:numPr>
        <w:rPr/>
      </w:pPr>
      <w:r>
        <w:rPr/>
        <w:t xml:space="preserve">In May 2020, in response to the National People's Congress considering the enactment of a National Security Law for Hong Kong, the then Prime Minister of the UK, Boris Johnson, published an op-ed in the </w:t>
      </w:r>
      <w:r>
        <w:rPr>
          <w:b w:val="false"/>
          <w:bCs w:val="false"/>
          <w:i/>
          <w:iCs/>
        </w:rPr>
        <w:t>South China Morning Post</w:t>
      </w:r>
      <w:r>
        <w:rPr/>
        <w:t>.  Johnson asserted that if China were to proceed with implementing the National Security Law, the law “would be in direct conflict with [China’s] obligations under the Joint Declaration, a legally binding treaty registered with the United Nations.” Johnson continued that as a demonstration of “Britain’s […] ties of history and friendship with the people of Hong Kong […] the British government will change its immigration rules and allow any holder of [BN(O) passports] from Hong Kong to come to the UK […] and be given further immigration rights, including the right to work, [… and] a route to citizenship.”</w:t>
      </w:r>
      <w:r>
        <w:rPr>
          <w:rStyle w:val="FootnoteAnchor"/>
        </w:rPr>
        <w:footnoteReference w:id="23"/>
      </w:r>
      <w:r>
        <w:br w:type="page"/>
      </w:r>
    </w:p>
    <w:p>
      <w:pPr>
        <w:pStyle w:val="LO-normal"/>
        <w:numPr>
          <w:ilvl w:val="0"/>
          <w:numId w:val="1"/>
        </w:numPr>
        <w:rPr/>
      </w:pPr>
      <w:r>
        <w:rPr/>
        <w:t>Similar statements and sentiments were expressed by the then Secretary of State for Foreign Affairs, Dominic Raab, on 1 July, 2020, in his address to Parliament.  Raab claimed that “the enactment of [the National Security Law…] constitutes a clear and serious breach of the Joint Declaration.”  He further emphasised that the new proposed law was “in direct conflict with Article 23</w:t>
      </w:r>
      <w:r>
        <w:rPr>
          <w:rStyle w:val="FootnoteAnchor"/>
        </w:rPr>
        <w:footnoteReference w:id="24"/>
      </w:r>
      <w:r>
        <w:rPr/>
        <w:t xml:space="preserve"> of China’s own Basic Law”, and that “if China follows through with its proposed legislation, [the UK government] will put in place new arrangements to allow BN(O)s to come to the UK […] enabling them […] a pathway to citizenship”.</w:t>
      </w:r>
      <w:r>
        <w:rPr>
          <w:rStyle w:val="FootnoteAnchor"/>
        </w:rPr>
        <w:footnoteReference w:id="25"/>
      </w:r>
    </w:p>
    <w:p>
      <w:pPr>
        <w:pStyle w:val="LO-normal"/>
        <w:widowControl w:val="false"/>
        <w:numPr>
          <w:ilvl w:val="0"/>
          <w:numId w:val="0"/>
        </w:numPr>
        <w:suppressAutoHyphens w:val="true"/>
        <w:overflowPunct w:val="false"/>
        <w:spacing w:lineRule="auto" w:line="360"/>
        <w:ind w:left="0" w:hanging="0"/>
        <w:jc w:val="both"/>
        <w:rPr/>
      </w:pPr>
      <w:r>
        <w:rPr/>
      </w:r>
      <w:r>
        <w:br w:type="page"/>
      </w:r>
    </w:p>
    <w:p>
      <w:pPr>
        <w:pStyle w:val="LO-normal"/>
        <w:numPr>
          <w:ilvl w:val="0"/>
          <w:numId w:val="1"/>
        </w:numPr>
        <w:rPr/>
      </w:pPr>
      <w:r>
        <w:rPr/>
        <w:t>Whilst some of the statements made by UK MPs, members of Cabinet, and other UK government officials were intended for the general public, some of which were explicitly directed to the people of Hong Kong.  Those statements in particular had a detrimental impact on the perception, trust, and confidence of Hong Kong residents in their government, and as a result encouraged more people to protest.  This was demonstrated most infamously on 1 July, 2019, which marked the 22</w:t>
      </w:r>
      <w:r>
        <w:rPr>
          <w:vertAlign w:val="superscript"/>
        </w:rPr>
        <w:t>nd</w:t>
      </w:r>
      <w:r>
        <w:rPr/>
        <w:t xml:space="preserve"> anniversary of the city’s return to China, when tens of thousands gathered around the Legislative Council Complex to protest against the Bill, and later on, hundreds stormed, ransacked,</w:t>
      </w:r>
      <w:r>
        <w:rPr>
          <w:rStyle w:val="FootnoteAnchor"/>
        </w:rPr>
        <w:footnoteReference w:id="26"/>
      </w:r>
      <w:r>
        <w:rPr/>
        <w:t xml:space="preserve"> and vandalised</w:t>
      </w:r>
      <w:r>
        <w:rPr>
          <w:rStyle w:val="FootnoteAnchor"/>
        </w:rPr>
        <w:footnoteReference w:id="27"/>
      </w:r>
      <w:r>
        <w:rPr/>
        <w:t xml:space="preserve"> the main conference hall of the Legislative Council Complex all the while flying the flag of colonial Hong Kong.</w:t>
      </w:r>
      <w:r>
        <w:rPr>
          <w:rStyle w:val="FootnoteAnchor"/>
        </w:rPr>
        <w:footnoteReference w:id="28"/>
      </w:r>
      <w:r>
        <w:rPr/>
        <w:t xml:space="preserve">  In addition to instances of Hong Kongers waving the British and colonial flags, some Hong Kongers also sang ‘God Save the Queen’</w:t>
      </w:r>
      <w:r>
        <w:rPr>
          <w:rStyle w:val="FootnoteAnchor"/>
        </w:rPr>
        <w:footnoteReference w:id="29"/>
      </w:r>
      <w:r>
        <w:rPr/>
        <w:t xml:space="preserve"> outside the British Consulate of Hong Kong</w:t>
      </w:r>
      <w:r>
        <w:rPr>
          <w:rStyle w:val="FootnoteAnchor"/>
        </w:rPr>
        <w:footnoteReference w:id="30"/>
      </w:r>
      <w:r>
        <w:rPr/>
        <w:t xml:space="preserve"> to show their support for UK Parliamentarians who had propagated propaganda about the Bill.</w:t>
      </w:r>
    </w:p>
    <w:p>
      <w:pPr>
        <w:pStyle w:val="LO-normal"/>
        <w:ind w:left="720" w:right="0" w:hanging="0"/>
        <w:rPr/>
      </w:pPr>
      <w:r>
        <w:rPr/>
      </w:r>
      <w:r>
        <w:br w:type="page"/>
      </w:r>
    </w:p>
    <w:p>
      <w:pPr>
        <w:pStyle w:val="Heading1"/>
        <w:spacing w:lineRule="auto" w:line="360"/>
        <w:ind w:left="0" w:right="2381" w:hanging="0"/>
        <w:rPr>
          <w:rFonts w:eastAsia="Liberation Serif"/>
          <w:b/>
          <w:bCs/>
          <w:u w:val="single"/>
        </w:rPr>
      </w:pPr>
      <w:r>
        <w:rPr>
          <w:rFonts w:eastAsia="Liberation Serif"/>
          <w:b/>
          <w:bCs/>
          <w:u w:val="single"/>
        </w:rPr>
        <w:t>Section 2 – British Propaganda and Opportunism</w:t>
      </w:r>
    </w:p>
    <w:p>
      <w:pPr>
        <w:pStyle w:val="LO-normal"/>
        <w:numPr>
          <w:ilvl w:val="0"/>
          <w:numId w:val="1"/>
        </w:numPr>
        <w:rPr/>
      </w:pPr>
      <w:r>
        <w:rPr/>
        <w:t>The changes that the UK announced, described in Paras. 12 and 13, sought to win further favour for the UK in the eyes of the Hong Kong public and the world.  Yet this forgets the embattled history of the BN(O) scheme itself.  Scholars affiliated with UK universities have accessed recently declassified UK government files to reveal how, in the past, British officials sought to exclude Hong Kong as much as possible.  In the early 1980s, the British government planned to divide citizenship into two camps – British nationals and everybody else; many Hong Kong people objected to these plans, arguing that this disrespected the unique links between Britain and Hong Kong as a British colony; as a result of backlash, a third category was created – British Dependent Territories Citizenship (“BDTC”).</w:t>
      </w:r>
      <w:r>
        <w:rPr>
          <w:rStyle w:val="FootnoteAnchor"/>
        </w:rPr>
        <w:footnoteReference w:id="31"/>
      </w:r>
      <w:r>
        <w:rPr/>
        <w:t xml:space="preserve">  Still, </w:t>
      </w:r>
      <w:r>
        <w:rPr/>
        <w:t xml:space="preserve">the </w:t>
      </w:r>
      <w:r>
        <w:rPr/>
        <w:t>BDTC remained a contentious category of citizenship and declassified files show that the then Home Secretary, William Whitelaw, said “a principal feature” of the Nationality Act of 1981 “was to ensure that the bulk of the Hong Kong population had no automatic right of abode in the United Kingdom.”</w:t>
      </w:r>
      <w:r>
        <w:rPr>
          <w:rStyle w:val="FootnoteAnchor"/>
        </w:rPr>
        <w:footnoteReference w:id="32"/>
      </w:r>
      <w:r>
        <w:rPr/>
        <w:t xml:space="preserve"> Such recent scholarly work has confirmed long-held suspicions in the academic community that, as one American scholar put it, the 1981 Nationality Act was “inherently racist in nature”</w:t>
      </w:r>
      <w:r>
        <w:rPr>
          <w:rStyle w:val="FootnoteAnchor"/>
        </w:rPr>
        <w:footnoteReference w:id="33"/>
      </w:r>
      <w:r>
        <w:rPr/>
        <w:t xml:space="preserve"> and designed to keep Chinese-looking members of the empire out of the metropole.  Only a few years after the 1981 Nationality Act, the 1985 Hong Kong Act codified the British National (Overseas) status which, ahead of reversion to China, again placed stringent stipulations on what Hong Kong people could and could not do with regards to the United Kingdom. </w:t>
      </w:r>
      <w:r>
        <w:br w:type="page"/>
      </w:r>
    </w:p>
    <w:p>
      <w:pPr>
        <w:pStyle w:val="LO-normal"/>
        <w:numPr>
          <w:ilvl w:val="0"/>
          <w:numId w:val="1"/>
        </w:numPr>
        <w:rPr/>
      </w:pPr>
      <w:r>
        <w:rPr/>
        <w:t>This was also revealed in the now declassified</w:t>
      </w:r>
      <w:r>
        <w:rPr>
          <w:rStyle w:val="FootnoteAnchor"/>
        </w:rPr>
        <w:footnoteReference w:id="34"/>
      </w:r>
      <w:r>
        <w:rPr/>
        <w:t xml:space="preserve"> letter titled “Future of Hong Kong”, dated 9 March 1984, addressed to then Prime Minister of the UK, Margaret Thatcher, by the then Secretary for Foreign and Commonwealth Office, Geoffrey Howe.  In the letter, it was stated that the UK government “is strongly of the view that” future Hong Kong citizenship (whether BDTC, BN(O) or any other form it takes) must remain and “subject[ed] to immigration control into the UK”.</w:t>
      </w:r>
      <w:r>
        <w:rPr>
          <w:rStyle w:val="FootnoteAnchor"/>
        </w:rPr>
        <w:footnoteReference w:id="35"/>
      </w:r>
    </w:p>
    <w:p>
      <w:pPr>
        <w:pStyle w:val="LO-normal"/>
        <w:numPr>
          <w:ilvl w:val="0"/>
          <w:numId w:val="1"/>
        </w:numPr>
        <w:rPr/>
      </w:pPr>
      <w:r>
        <w:rPr/>
        <w:t xml:space="preserve">In other words, the creation of BN(O) nationality was designed to prevent both statelessness </w:t>
      </w:r>
      <w:r>
        <w:rPr>
          <w:i/>
          <w:iCs/>
        </w:rPr>
        <w:t>and</w:t>
      </w:r>
      <w:r>
        <w:rPr/>
        <w:t xml:space="preserve"> to alienate future BN(O) passport holders from emigrating to the UK.  This was achieved by limiting the rights associated with BN(O) status to such an extent that the BN(O) status became practically indistinguishable from any other nationality insofar as obtaining British citizenship was concerned.  In 1985, the UK government was also concerned with Portugal providing an estimation of 85,000 Portuguese passports for dissidents from Macau:  the British feared that Hong Kong BDTC holders might attempt “to obtain Portuguese passports [in advance] by whatever means in order to gain a right of entry to the United Kingdom”, especially before the BDTC status was transformed into the BN(O) status by the end of 1997, as stipulated in the Hong Kong Act 1985.</w:t>
      </w:r>
      <w:r>
        <w:rPr>
          <w:rStyle w:val="FootnoteAnchor"/>
        </w:rPr>
        <w:footnoteReference w:id="36"/>
      </w:r>
      <w:r>
        <w:rPr/>
        <w:t xml:space="preserve">  It is for this reason that London specifically requested the Portuguese to “tighten up the criteria for granting Portuguese nationality to Macau residents”.</w:t>
      </w:r>
      <w:r>
        <w:rPr>
          <w:rStyle w:val="FootnoteAnchor"/>
        </w:rPr>
        <w:footnoteReference w:id="37"/>
      </w:r>
      <w:r>
        <w:br w:type="page"/>
      </w:r>
    </w:p>
    <w:p>
      <w:pPr>
        <w:pStyle w:val="LO-normal"/>
        <w:numPr>
          <w:ilvl w:val="0"/>
          <w:numId w:val="1"/>
        </w:numPr>
        <w:rPr/>
      </w:pPr>
      <w:r>
        <w:rPr/>
        <w:t>Given the nature and origins of BN(O) status, outlined in Paras. 15-17, the introduction of the revised BN(O) visa scheme, described in Paras. 12 and 13, was inconsistent with the UK’s historical stance on the rights and citizenship status of Hong Kong people.  This suggests that the UK government harboured an ulterior motive for these extraordinary changes.  In light of the aforementioned factors, the revised BN(O) visa scheme warrants scrutiny from all perspectives, particularly in the context of the UK’s ever tightening immigration policy since the 2016 referendum on the UK’s membership of the European Union (“EU”) and its subsequent exit.</w:t>
      </w:r>
    </w:p>
    <w:p>
      <w:pPr>
        <w:pStyle w:val="LO-normal"/>
        <w:numPr>
          <w:ilvl w:val="0"/>
          <w:numId w:val="1"/>
        </w:numPr>
        <w:rPr/>
      </w:pPr>
      <w:r>
        <w:rPr/>
        <w:t xml:space="preserve">Furthermore, the majority of statements that UK Officials and MPs made about the Bill, as recounted in Para. 10(a)-(h) and 12-13, insinuated that if the Legislative Council passed the Bill in 2019, the Bill would violate the obligations to the UK under the 1984 Sino-British Joint Declaration.  </w:t>
      </w:r>
      <w:r>
        <w:rPr>
          <w:b w:val="false"/>
          <w:i w:val="false"/>
          <w:strike w:val="false"/>
          <w:dstrike w:val="false"/>
          <w:outline w:val="false"/>
          <w:shadow w:val="false"/>
          <w:color w:val="auto"/>
          <w:spacing w:val="0"/>
          <w:kern w:val="2"/>
          <w:sz w:val="24"/>
          <w:u w:val="none"/>
          <w:em w:val="none"/>
        </w:rPr>
        <w:t>However, these statements are easily refuted with reference both to the careful safeguards in the Bill, as described in Para. 6(a)-(d), and by the fact that there was nothing in the Bill that would impact the way of life or systems of Hong Kong, which are protected by the Joint Declaration.</w:t>
      </w:r>
    </w:p>
    <w:p>
      <w:pPr>
        <w:pStyle w:val="LO-normal"/>
        <w:numPr>
          <w:ilvl w:val="0"/>
          <w:numId w:val="1"/>
        </w:numPr>
        <w:rPr/>
      </w:pPr>
      <w:r>
        <w:rPr/>
        <w:t>In a debate on 11 June, 2019, members of the UK’s upper house, the House of Lords stated that “there is nothing in the draft legislation [i.e., the Extradition Bill] which offends against either the joint declaration [</w:t>
      </w:r>
      <w:r>
        <w:rPr>
          <w:i/>
          <w:iCs/>
        </w:rPr>
        <w:t>sic</w:t>
      </w:r>
      <w:r>
        <w:rPr/>
        <w:t>] between [the UK] and China on the future of Hong Kong or the Basic Law” and there was nothing in the Bill that “offend[ed] against the independence of the judiciary in Hong Kong.”</w:t>
      </w:r>
      <w:r>
        <w:rPr>
          <w:rStyle w:val="FootnoteAnchor"/>
        </w:rPr>
        <w:footnoteReference w:id="38"/>
      </w:r>
      <w:r>
        <w:rPr/>
        <w:t xml:space="preserve">  This indicates that UK officials, during all material times in 2019, consistently made false claims about the Bill and its implications upon both Hong Kong and the 1984 Sino-British Joint Declaration.</w:t>
      </w:r>
      <w:r>
        <w:br w:type="page"/>
      </w:r>
    </w:p>
    <w:p>
      <w:pPr>
        <w:pStyle w:val="LO-normal"/>
        <w:numPr>
          <w:ilvl w:val="0"/>
          <w:numId w:val="1"/>
        </w:numPr>
        <w:rPr/>
      </w:pPr>
      <w:r>
        <w:rPr/>
        <w:t xml:space="preserve">In contrast to UK MPs and other UK official’s misinformation on the 1984 Joint Declaration, Article 3(2) of the Joint Declaration explicitly that “The Hong Kong Special Administrative Region will enjoy a high degree of autonomy, </w:t>
      </w:r>
      <w:r>
        <w:rPr>
          <w:i/>
          <w:iCs/>
        </w:rPr>
        <w:t>except in foreign and defence affairs</w:t>
      </w:r>
      <w:r>
        <w:rPr>
          <w:rStyle w:val="FootnoteAnchor"/>
          <w:i/>
          <w:iCs/>
        </w:rPr>
        <w:footnoteReference w:id="39"/>
      </w:r>
      <w:r>
        <w:rPr/>
        <w:t xml:space="preserve"> which are the responsibilities of the Central People's Government.”  It is worth noting that the Joint Declaration was signed by both the People’s Republic of China and the UK – i.e. the UK agreed that HKSAR’s foreign and defence affairs should be handled by China.   Additionally, Article 18 of the Basic Law of the HKSAR stipulates that “National laws shall not be applied in the Hong Kong Special Administrative Region except for those listed in Annex III […] the Standing Committee of the National People's Congress may add […] from the list of laws in Annex III [… as long as the] Laws listed in Annex III [… are related] to defence and foreign affairs as well as other matters outside the limits of the autonomy of the Region as specified by this Law.”</w:t>
      </w:r>
      <w:r>
        <w:rPr>
          <w:rStyle w:val="FootnoteAnchor"/>
        </w:rPr>
        <w:footnoteReference w:id="40"/>
      </w:r>
      <w:r>
        <w:rPr/>
        <w:t xml:space="preserve">  </w:t>
      </w:r>
    </w:p>
    <w:p>
      <w:pPr>
        <w:pStyle w:val="LO-normal"/>
        <w:numPr>
          <w:ilvl w:val="0"/>
          <w:numId w:val="1"/>
        </w:numPr>
        <w:rPr/>
      </w:pPr>
      <w:r>
        <w:rPr/>
        <w:t>Para. 21 is notwithstanding the absence of a National Security Law in Hong Kong which runs contrary to the constitutional duty of the HKSAR government to enact such a law per Article 23 of the Basic Law.</w:t>
      </w:r>
      <w:r>
        <w:rPr>
          <w:rStyle w:val="FootnoteAnchor"/>
        </w:rPr>
        <w:footnoteReference w:id="41"/>
      </w:r>
      <w:r>
        <w:rPr/>
        <w:t xml:space="preserve">  The HKSAR government has failed to enact a security law for the past 27 years since the return of Hong Kong to China in 1997.</w:t>
      </w:r>
    </w:p>
    <w:p>
      <w:pPr>
        <w:pStyle w:val="LO-normal"/>
        <w:numPr>
          <w:ilvl w:val="0"/>
          <w:numId w:val="1"/>
        </w:numPr>
        <w:rPr/>
      </w:pPr>
      <w:r>
        <w:rPr/>
        <w:t xml:space="preserve">It is undeniable that the enactment of the Law of the People's Republic of China on Safeguarding National Security in the Hong Kong Special Administrative Region by the National People's Congress is legally valid and sound:  it is within the scope of both the Basic Law and the Joint Declaration, which was signed by both China and the UK.  Therefore, the statements made by UK officials claiming that the Extradition Bill and the National Security Law </w:t>
      </w:r>
      <w:r>
        <w:rPr/>
        <w:t xml:space="preserve">would </w:t>
      </w:r>
      <w:r>
        <w:rPr/>
        <w:t>violate the commitments of the 1984 Joint Declaration are patent falsehoods.  These statements have been effectively used as part of a propaganda campaign against both the government of the People's Republic of China and the government of the HKSAR.</w:t>
      </w:r>
      <w:r>
        <w:br w:type="page"/>
      </w:r>
    </w:p>
    <w:p>
      <w:pPr>
        <w:pStyle w:val="LO-normal"/>
        <w:numPr>
          <w:ilvl w:val="0"/>
          <w:numId w:val="1"/>
        </w:numPr>
        <w:rPr/>
      </w:pPr>
      <w:r>
        <w:rPr/>
        <w:t>This leads us to the final point: opportunism.  The implementation of the new BN(O) visa scheme effectively addresses the challenges that the UK is currently facing due to Brexit and the aftermath of the Windrush Scandal in 2018.  These challenges can be broadly categorised into three areas: 1) labour deficit, 2) financial deficit, and 3) moral-political deficit.  By embracing Hong Kong residents through this new pathway to British citizenship, the UK can effectively address these three deficits by encouraging 1') an influx of willing migrant workers, 2') an infusion of Chinese capital, and 3') demonstrating virtue and signalling the UK’s commitment to human rights and democratic values.   Paras. 26-37 give more detail of these three challenges and how the UK has used changes to the BN(O) to address them.</w:t>
      </w:r>
    </w:p>
    <w:p>
      <w:pPr>
        <w:pStyle w:val="LO-normal"/>
        <w:numPr>
          <w:ilvl w:val="0"/>
          <w:numId w:val="1"/>
        </w:numPr>
        <w:rPr/>
      </w:pPr>
      <w:r>
        <w:rPr/>
        <w:t>The UK has experienced significant economic losses since the decision to leave the EU through Brexit.  According to the Mayor of London, Sadiq Khan, the move to leave the EU “has reduced the size of [UK’s] economy by 6%”, which roughly equates to £140bn in losses per annum.</w:t>
      </w:r>
      <w:r>
        <w:rPr>
          <w:rStyle w:val="FootnoteAnchor"/>
        </w:rPr>
        <w:footnoteReference w:id="42"/>
      </w:r>
      <w:r>
        <w:rPr/>
        <w:t xml:space="preserve">  Various factors have contributed to these losses, including labour shortages due to restricted freedom of movement between the EU and the UK, the reallocation of assets away from the UK to mitigate trade restrictions, and the diminished influence of the UK on geopolitical matters, such as shaping EU policies. </w:t>
      </w:r>
    </w:p>
    <w:p>
      <w:pPr>
        <w:pStyle w:val="LO-normal"/>
        <w:numPr>
          <w:ilvl w:val="0"/>
          <w:numId w:val="1"/>
        </w:numPr>
        <w:rPr/>
      </w:pPr>
      <w:r>
        <w:rPr/>
        <w:t>On labour shortages, it has been estimated that Brexit “led to a shortfall of 330,000 people in the labour force [… for] low-skilled economy”</w:t>
      </w:r>
      <w:r>
        <w:rPr>
          <w:rStyle w:val="FootnoteAnchor"/>
        </w:rPr>
        <w:footnoteReference w:id="43"/>
      </w:r>
      <w:r>
        <w:rPr/>
        <w:t xml:space="preserve"> according to a report published by the Centre for European Reform in 2023.</w:t>
      </w:r>
      <w:r>
        <w:rPr>
          <w:rStyle w:val="FootnoteAnchor"/>
        </w:rPr>
        <w:footnoteReference w:id="44"/>
      </w:r>
      <w:r>
        <w:rPr/>
        <w:t xml:space="preserve">  As far as the moral and political standing of the UK is concerned, post-Brexit and the 2018 Windrush Scandal have intensified allegations of British racism persisting today.</w:t>
      </w:r>
      <w:r>
        <w:rPr>
          <w:rStyle w:val="FootnoteAnchor"/>
        </w:rPr>
        <w:footnoteReference w:id="45"/>
      </w:r>
      <w:r>
        <w:rPr/>
        <w:t xml:space="preserve">  This includes both the people who voted for Brexit and systemic racism embedded in the British government’s immigration policies, as discussed in the previous section.  UK MPs’ resistance to the Bill and the Nationality Security Law in Hong Kong should not be thought of as being based on duties stipulated by the Joint Declaration or colonial guilt stemming from the Opium Wars and China's Century of Humiliation, but instead as an attempt to avoid “a reputational risk to the UK if the government </w:t>
      </w:r>
      <w:r>
        <w:rPr>
          <w:i/>
          <w:iCs/>
        </w:rPr>
        <w:t>inadvertently appears</w:t>
      </w:r>
      <w:r>
        <w:rPr>
          <w:rStyle w:val="FootnoteAnchor"/>
          <w:i w:val="false"/>
          <w:iCs w:val="false"/>
        </w:rPr>
        <w:footnoteReference w:id="46"/>
      </w:r>
      <w:r>
        <w:rPr/>
        <w:t xml:space="preserve"> complicit in supporting and participating in a system that is undermining the rule of law.”</w:t>
      </w:r>
      <w:r>
        <w:rPr>
          <w:rStyle w:val="FootnoteAnchor"/>
        </w:rPr>
        <w:footnoteReference w:id="47"/>
      </w:r>
      <w:r>
        <w:rPr/>
        <w:t xml:space="preserve">  This was highlighted in a report published on 5 November, 2019, by the authority of the House of Commons.</w:t>
      </w:r>
      <w:r>
        <w:rPr>
          <w:rStyle w:val="FootnoteAnchor"/>
        </w:rPr>
        <w:footnoteReference w:id="48"/>
      </w:r>
      <w:r>
        <w:rPr/>
        <w:t xml:space="preserve">  This is compounded by the fact that the UK's reputation has been further jeopardized by Brexit and the frequent turnover of Prime Ministers within a short span of six years, leading to diminished confidence from the EU and the rest of the world.  As a result, the UK cannot afford to put its reputation at further risk, especially as one of the most prominent geopolitical leaders by virtue of its permanent membership in the United Nations Security Council, its participation in the Five Eyes Alliance, G7, and other international organisations. </w:t>
      </w:r>
    </w:p>
    <w:p>
      <w:pPr>
        <w:pStyle w:val="LO-normal"/>
        <w:numPr>
          <w:ilvl w:val="0"/>
          <w:numId w:val="1"/>
        </w:numPr>
        <w:rPr/>
      </w:pPr>
      <w:r>
        <w:rPr/>
        <w:t xml:space="preserve">The recently opened route to British citizenship for Hong Kong residents under the BN(O) visa scheme addresses these issues by injecting Hong Kong Chinese capital into the British economy, attracting a significant number of young and willing Hong Kongers into the British labour force, and presenting positive political and moral optics by welcoming migrants who are portrayed as having endured oppression under Chinese rule. </w:t>
      </w:r>
    </w:p>
    <w:p>
      <w:pPr>
        <w:pStyle w:val="LO-normal"/>
        <w:numPr>
          <w:ilvl w:val="0"/>
          <w:numId w:val="1"/>
        </w:numPr>
        <w:rPr/>
      </w:pPr>
      <w:r>
        <w:rPr>
          <w:rFonts w:eastAsia="Liberation Serif" w:cs="Times New Roman"/>
          <w:b w:val="false"/>
          <w:bCs w:val="false"/>
          <w:u w:val="none"/>
        </w:rPr>
        <w:t>The UK Home Office estimated that between 258,000 and 322,400 BN(O) status holders and their dependents would arrive in the UK over a five-year period from the inception of the new scheme in 2021.  Based on this estimation, the UK government believed that the net benefit to the country would be between £2.4 and £2.9 billion over five years.</w:t>
      </w:r>
      <w:r>
        <w:rPr>
          <w:rStyle w:val="FootnoteAnchor"/>
          <w:rFonts w:eastAsia="Liberation Serif" w:cs="Times New Roman"/>
          <w:b w:val="false"/>
          <w:bCs w:val="false"/>
          <w:u w:val="none"/>
        </w:rPr>
        <w:footnoteReference w:id="49"/>
      </w:r>
      <w:r>
        <w:br w:type="page"/>
      </w:r>
    </w:p>
    <w:p>
      <w:pPr>
        <w:pStyle w:val="LO-normal"/>
        <w:numPr>
          <w:ilvl w:val="0"/>
          <w:numId w:val="1"/>
        </w:numPr>
        <w:rPr/>
      </w:pPr>
      <w:r>
        <w:rPr>
          <w:rFonts w:eastAsia="Liberation Serif" w:cs="Times New Roman"/>
          <w:b w:val="false"/>
          <w:bCs w:val="false"/>
          <w:u w:val="none"/>
        </w:rPr>
        <w:t>In practice, in the course of three years since the scheme’s implementation, a total of 191,000 applicants have applied for the BN(O) visa.  Out of these applicants, 135,400 have arrived in the UK under the scheme.  Of the total applications, 154,078 were granted when the applicant was residing outside of the UK (most of the time, those applicants were in Hong Kong), 30,622 were granted to applicants either already in the UK or at port, and 6,300 applicants were unsuccessful.</w:t>
      </w:r>
      <w:r>
        <w:rPr>
          <w:rStyle w:val="FootnoteAnchor"/>
          <w:rFonts w:eastAsia="Liberation Serif" w:cs="Times New Roman"/>
          <w:b w:val="false"/>
          <w:bCs w:val="false"/>
          <w:u w:val="none"/>
        </w:rPr>
        <w:footnoteReference w:id="50"/>
      </w:r>
    </w:p>
    <w:p>
      <w:pPr>
        <w:pStyle w:val="LO-normal"/>
        <w:numPr>
          <w:ilvl w:val="0"/>
          <w:numId w:val="1"/>
        </w:numPr>
        <w:rPr/>
      </w:pPr>
      <w:r>
        <w:rPr>
          <w:rFonts w:eastAsia="Liberation Serif" w:cs="Times New Roman"/>
          <w:b w:val="false"/>
          <w:bCs w:val="false"/>
          <w:u w:val="none"/>
        </w:rPr>
        <w:t>Assuming that, on average, applicants have spent around £3,000 on their applications, the UK would have earned a total income of at least £554 million</w:t>
      </w:r>
      <w:r>
        <w:rPr>
          <w:rStyle w:val="FootnoteAnchor"/>
          <w:rFonts w:eastAsia="Liberation Serif" w:cs="Times New Roman"/>
          <w:b w:val="false"/>
          <w:bCs w:val="false"/>
          <w:u w:val="none"/>
        </w:rPr>
        <w:footnoteReference w:id="51"/>
      </w:r>
      <w:r>
        <w:rPr>
          <w:rFonts w:eastAsia="Liberation Serif" w:cs="Times New Roman"/>
          <w:b w:val="false"/>
          <w:bCs w:val="false"/>
          <w:u w:val="none"/>
        </w:rPr>
        <w:t xml:space="preserve"> solely from receiving applications forms from Hong Kongers.  This is a conservative estimation based on the application fees for the BN(O) visa, which range from £1,740 for a 2.5-year visa to £3,370 for a five-year visa for each adult and respectively £1,455 to £2,600 for each child, including the mandatory health surcharge.</w:t>
      </w:r>
      <w:r>
        <w:rPr>
          <w:rStyle w:val="FootnoteAnchor"/>
          <w:rFonts w:eastAsia="Liberation Serif" w:cs="Times New Roman"/>
          <w:b w:val="false"/>
          <w:bCs w:val="false"/>
          <w:u w:val="none"/>
        </w:rPr>
        <w:footnoteReference w:id="52"/>
      </w:r>
    </w:p>
    <w:p>
      <w:pPr>
        <w:pStyle w:val="LO-normal"/>
        <w:numPr>
          <w:ilvl w:val="0"/>
          <w:numId w:val="1"/>
        </w:numPr>
        <w:rPr/>
      </w:pPr>
      <w:r>
        <w:rPr>
          <w:rFonts w:eastAsia="Liberation Serif" w:cs="Times New Roman"/>
          <w:b w:val="false"/>
          <w:bCs w:val="false"/>
          <w:u w:val="none"/>
        </w:rPr>
        <w:t>In addition to the cost for visa application, applicants must also demonstrate to have at least six months of funds in order to support themselves, with the required amount varying based on the number of applicants and familial circumstances.  Thus we can estimate the minimum amount of capital an ordinary applicant will inject into the British economy based on their choice of destinations in the UK.</w:t>
      </w:r>
      <w:r>
        <w:br w:type="page"/>
      </w:r>
    </w:p>
    <w:p>
      <w:pPr>
        <w:pStyle w:val="LO-normal"/>
        <w:numPr>
          <w:ilvl w:val="0"/>
          <w:numId w:val="1"/>
        </w:numPr>
        <w:rPr/>
      </w:pPr>
      <w:r>
        <w:rPr>
          <w:rFonts w:eastAsia="Liberation Serif" w:cs="Times New Roman"/>
          <w:b w:val="false"/>
          <w:bCs w:val="false"/>
          <w:u w:val="none"/>
          <w:shd w:fill="auto" w:val="clear"/>
        </w:rPr>
        <w:t>In terms of destination choices, London was the most common with 18% of successful applicants settling in the capital, followed by Greater Manchester at 12.4%; by region and nations, South East at 19%, West Midlands at 12%, East Midlands at 8%, North West (excluding Manchester) at 7.6%, East of England at 6%, Yorkshire and the Humber at 5%, Scotland at 4%, Wales at 1% and Northern Ireland at 1%, with the remaining 6% dispersed throughout the rest of the UK.</w:t>
      </w:r>
      <w:r>
        <w:rPr>
          <w:rStyle w:val="FootnoteAnchor"/>
        </w:rPr>
        <w:footnoteReference w:id="53"/>
      </w:r>
      <w:r>
        <w:rPr>
          <w:rFonts w:eastAsia="Liberation Serif" w:cs="Times New Roman"/>
          <w:b w:val="false"/>
          <w:bCs w:val="false"/>
          <w:u w:val="none"/>
          <w:shd w:fill="auto" w:val="clear"/>
        </w:rPr>
        <w:t xml:space="preserve">  Based on average rent prices in the UK as of September 2022,</w:t>
      </w:r>
      <w:r>
        <w:rPr>
          <w:rStyle w:val="FootnoteAnchor"/>
          <w:rFonts w:eastAsia="Liberation Serif" w:cs="Times New Roman"/>
          <w:b w:val="false"/>
          <w:bCs w:val="false"/>
          <w:u w:val="none"/>
          <w:shd w:fill="auto" w:val="clear"/>
        </w:rPr>
        <w:footnoteReference w:id="54"/>
      </w:r>
      <w:r>
        <w:rPr>
          <w:rFonts w:eastAsia="Liberation Serif" w:cs="Times New Roman"/>
          <w:b w:val="false"/>
          <w:bCs w:val="false"/>
          <w:u w:val="none"/>
          <w:shd w:fill="auto" w:val="clear"/>
        </w:rPr>
        <w:t xml:space="preserve"> it is estimated that those who arrived in London and the South East would have spent a total of £411 million</w:t>
      </w:r>
      <w:r>
        <w:rPr>
          <w:rStyle w:val="FootnoteAnchor"/>
          <w:rFonts w:eastAsia="Liberation Serif" w:cs="Times New Roman"/>
          <w:b w:val="false"/>
          <w:bCs w:val="false"/>
          <w:u w:val="none"/>
          <w:shd w:fill="auto" w:val="clear"/>
        </w:rPr>
        <w:footnoteReference w:id="55"/>
      </w:r>
      <w:r>
        <w:rPr>
          <w:rFonts w:eastAsia="Liberation Serif" w:cs="Times New Roman"/>
          <w:b w:val="false"/>
          <w:bCs w:val="false"/>
          <w:u w:val="none"/>
          <w:shd w:fill="auto" w:val="clear"/>
        </w:rPr>
        <w:t xml:space="preserve"> over six months in rent, £136.4 million in the North West (including Manchester),</w:t>
      </w:r>
      <w:r>
        <w:rPr>
          <w:rStyle w:val="FootnoteAnchor"/>
          <w:rFonts w:eastAsia="Liberation Serif" w:cs="Times New Roman"/>
          <w:b w:val="false"/>
          <w:bCs w:val="false"/>
          <w:u w:val="none"/>
          <w:shd w:fill="auto" w:val="clear"/>
        </w:rPr>
        <w:footnoteReference w:id="56"/>
      </w:r>
      <w:r>
        <w:rPr>
          <w:rFonts w:eastAsia="Liberation Serif" w:cs="Times New Roman"/>
          <w:b w:val="false"/>
          <w:bCs w:val="false"/>
          <w:u w:val="none"/>
          <w:shd w:fill="auto" w:val="clear"/>
        </w:rPr>
        <w:t xml:space="preserve"> £116.7 million in the East and West Midlands,</w:t>
      </w:r>
      <w:r>
        <w:rPr>
          <w:rStyle w:val="FootnoteAnchor"/>
          <w:rFonts w:eastAsia="Liberation Serif" w:cs="Times New Roman"/>
          <w:b w:val="false"/>
          <w:bCs w:val="false"/>
          <w:u w:val="none"/>
          <w:shd w:fill="auto" w:val="clear"/>
        </w:rPr>
        <w:footnoteReference w:id="57"/>
      </w:r>
      <w:r>
        <w:rPr>
          <w:rFonts w:eastAsia="Liberation Serif" w:cs="Times New Roman"/>
          <w:b w:val="false"/>
          <w:bCs w:val="false"/>
          <w:u w:val="none"/>
          <w:shd w:fill="auto" w:val="clear"/>
        </w:rPr>
        <w:t xml:space="preserve"> £46.9 million in East of England,</w:t>
      </w:r>
      <w:r>
        <w:rPr>
          <w:rStyle w:val="FootnoteAnchor"/>
          <w:rFonts w:eastAsia="Liberation Serif" w:cs="Times New Roman"/>
          <w:b w:val="false"/>
          <w:bCs w:val="false"/>
          <w:u w:val="none"/>
          <w:shd w:fill="auto" w:val="clear"/>
        </w:rPr>
        <w:footnoteReference w:id="58"/>
      </w:r>
      <w:r>
        <w:rPr>
          <w:rFonts w:eastAsia="Liberation Serif" w:cs="Times New Roman"/>
          <w:b w:val="false"/>
          <w:bCs w:val="false"/>
          <w:u w:val="none"/>
          <w:shd w:fill="auto" w:val="clear"/>
        </w:rPr>
        <w:t xml:space="preserve"> £27.6 million in Yorkshire and Humber,</w:t>
      </w:r>
      <w:r>
        <w:rPr>
          <w:rStyle w:val="FootnoteAnchor"/>
          <w:rFonts w:eastAsia="Liberation Serif" w:cs="Times New Roman"/>
          <w:b w:val="false"/>
          <w:bCs w:val="false"/>
          <w:u w:val="none"/>
          <w:shd w:fill="auto" w:val="clear"/>
        </w:rPr>
        <w:footnoteReference w:id="59"/>
      </w:r>
      <w:r>
        <w:rPr>
          <w:rFonts w:eastAsia="Liberation Serif" w:cs="Times New Roman"/>
          <w:b w:val="false"/>
          <w:bCs w:val="false"/>
          <w:u w:val="none"/>
          <w:shd w:fill="auto" w:val="clear"/>
        </w:rPr>
        <w:t xml:space="preserve"> £25.3 million in Scotland,</w:t>
      </w:r>
      <w:r>
        <w:rPr>
          <w:rStyle w:val="FootnoteAnchor"/>
          <w:rFonts w:eastAsia="Liberation Serif" w:cs="Times New Roman"/>
          <w:b w:val="false"/>
          <w:bCs w:val="false"/>
          <w:u w:val="none"/>
          <w:shd w:fill="auto" w:val="clear"/>
        </w:rPr>
        <w:footnoteReference w:id="60"/>
      </w:r>
      <w:r>
        <w:rPr>
          <w:rFonts w:eastAsia="Liberation Serif" w:cs="Times New Roman"/>
          <w:b w:val="false"/>
          <w:bCs w:val="false"/>
          <w:u w:val="none"/>
          <w:shd w:fill="auto" w:val="clear"/>
        </w:rPr>
        <w:t xml:space="preserve"> £4.56 million in Wales,</w:t>
      </w:r>
      <w:r>
        <w:rPr>
          <w:rStyle w:val="FootnoteAnchor"/>
          <w:rFonts w:eastAsia="Liberation Serif" w:cs="Times New Roman"/>
          <w:b w:val="false"/>
          <w:bCs w:val="false"/>
          <w:u w:val="none"/>
          <w:shd w:fill="auto" w:val="clear"/>
        </w:rPr>
        <w:footnoteReference w:id="61"/>
      </w:r>
      <w:r>
        <w:rPr>
          <w:rFonts w:eastAsia="Liberation Serif" w:cs="Times New Roman"/>
          <w:b w:val="false"/>
          <w:bCs w:val="false"/>
          <w:u w:val="none"/>
          <w:shd w:fill="auto" w:val="clear"/>
        </w:rPr>
        <w:t xml:space="preserve"> £6.2 million in Northern Ireland,</w:t>
      </w:r>
      <w:r>
        <w:rPr>
          <w:rStyle w:val="FootnoteAnchor"/>
          <w:rFonts w:eastAsia="Liberation Serif" w:cs="Times New Roman"/>
          <w:b w:val="false"/>
          <w:bCs w:val="false"/>
          <w:u w:val="none"/>
          <w:shd w:fill="auto" w:val="clear"/>
        </w:rPr>
        <w:footnoteReference w:id="62"/>
      </w:r>
      <w:r>
        <w:rPr>
          <w:rFonts w:eastAsia="Liberation Serif" w:cs="Times New Roman"/>
          <w:b w:val="false"/>
          <w:bCs w:val="false"/>
          <w:u w:val="none"/>
          <w:shd w:fill="auto" w:val="clear"/>
        </w:rPr>
        <w:t xml:space="preserve"> and £43.7 million</w:t>
      </w:r>
      <w:r>
        <w:rPr>
          <w:rStyle w:val="FootnoteAnchor"/>
          <w:rFonts w:eastAsia="Liberation Serif" w:cs="Times New Roman"/>
          <w:b w:val="false"/>
          <w:bCs w:val="false"/>
          <w:u w:val="none"/>
          <w:shd w:fill="auto" w:val="clear"/>
        </w:rPr>
        <w:footnoteReference w:id="63"/>
      </w:r>
      <w:r>
        <w:rPr>
          <w:rFonts w:eastAsia="Liberation Serif" w:cs="Times New Roman"/>
          <w:b w:val="false"/>
          <w:bCs w:val="false"/>
          <w:u w:val="none"/>
          <w:shd w:fill="auto" w:val="clear"/>
        </w:rPr>
        <w:t xml:space="preserve"> in other parts of the UK.</w:t>
      </w:r>
    </w:p>
    <w:p>
      <w:pPr>
        <w:pStyle w:val="LO-normal"/>
        <w:numPr>
          <w:ilvl w:val="0"/>
          <w:numId w:val="1"/>
        </w:numPr>
        <w:rPr>
          <w:highlight w:val="none"/>
          <w:shd w:fill="auto" w:val="clear"/>
        </w:rPr>
      </w:pPr>
      <w:r>
        <w:rPr>
          <w:rFonts w:eastAsia="Liberation Serif" w:cs="Times New Roman"/>
          <w:b w:val="false"/>
          <w:bCs w:val="false"/>
          <w:u w:val="none"/>
          <w:shd w:fill="auto" w:val="clear"/>
        </w:rPr>
        <w:t>Summing the income from visa applications and six months of rent together arrives at a conservative estimation of £1.372 billion of income from Hong Kongers.  This figure neither includes the additional income from early adopters of the BN(O) scheme, which opened on 31 January, 2021, nor does it factor in those who have opted to purchase properties rather than rent, which further contributes to both the UK economy and to the UK Treasury through taxes.  It is worth noting that the UK's goal of £2.9 billion, as cited in Para. 28, could potentially have been achieved within a three-year period (2021-2023) rather than a five-year period through both application fees and the economic benefits to the UK economy derived from the cost of more than six months of rent and other costs of living.  The BN(O) visa scheme, therefore, has become one of the fastest-growing and most popular schemes to have directly benefited the UK, which is why the UK has extended the BN(O) visa scheme to allow young Hong Kong residents to apply independently of their parents.</w:t>
      </w:r>
      <w:r>
        <w:rPr>
          <w:rStyle w:val="FootnoteAnchor"/>
          <w:rFonts w:eastAsia="Liberation Serif" w:cs="Times New Roman"/>
          <w:b w:val="false"/>
          <w:bCs w:val="false"/>
          <w:u w:val="none"/>
          <w:shd w:fill="auto" w:val="clear"/>
        </w:rPr>
        <w:footnoteReference w:id="64"/>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Similarly, the BN(O) visa scheme presents an opportunity for the UK to address its labour shortage in the aftermath of Brexit.  The upper estimate of Hong Kongers expected to come to the UK through the scheme is 322,400 over a five-year period;</w:t>
      </w:r>
      <w:r>
        <w:rPr>
          <w:rStyle w:val="FootnoteAnchor"/>
          <w:rFonts w:eastAsia="Liberation Serif" w:cs="Times New Roman"/>
          <w:b w:val="false"/>
          <w:bCs w:val="false"/>
          <w:u w:val="none"/>
        </w:rPr>
        <w:footnoteReference w:id="65"/>
      </w:r>
      <w:r>
        <w:rPr>
          <w:rFonts w:eastAsia="Liberation Serif" w:cs="Times New Roman"/>
          <w:b w:val="false"/>
          <w:bCs w:val="false"/>
          <w:u w:val="none"/>
        </w:rPr>
        <w:t xml:space="preserve"> this is almost exactly the same number of the estimated labour force shortage resulting from Brexit of 330,000, most of which is in low-skilled positions.</w:t>
      </w:r>
      <w:r>
        <w:rPr>
          <w:rStyle w:val="FootnoteAnchor"/>
          <w:rFonts w:eastAsia="Liberation Serif" w:cs="Times New Roman"/>
          <w:b w:val="false"/>
          <w:bCs w:val="false"/>
          <w:u w:val="none"/>
        </w:rPr>
        <w:footnoteReference w:id="66"/>
      </w:r>
      <w:r>
        <w:rPr>
          <w:rFonts w:eastAsia="Liberation Serif" w:cs="Times New Roman"/>
          <w:b w:val="false"/>
          <w:bCs w:val="false"/>
          <w:u w:val="none"/>
        </w:rPr>
        <w:t xml:space="preserve">  </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 xml:space="preserve">As more successful BN(O) applicants relocate to the UK in the coming years, a significant portion of the UK’s labour shortages problem can be alleviated, although additional efforts will be required to meet the actual demands of the UK's labour market. </w:t>
      </w:r>
    </w:p>
    <w:p>
      <w:pPr>
        <w:pStyle w:val="LO-normal"/>
        <w:numPr>
          <w:ilvl w:val="0"/>
          <w:numId w:val="1"/>
        </w:numPr>
        <w:rPr>
          <w:highlight w:val="none"/>
          <w:shd w:fill="auto" w:val="clear"/>
        </w:rPr>
      </w:pPr>
      <w:r>
        <w:rPr>
          <w:rFonts w:eastAsia="Liberation Serif" w:cs="Times New Roman"/>
          <w:b w:val="false"/>
          <w:bCs w:val="false"/>
          <w:u w:val="none"/>
          <w:shd w:fill="auto" w:val="clear"/>
        </w:rPr>
        <w:t>Based on a survey conducted by the Welcoming Committee for Hong Kongers,</w:t>
      </w:r>
      <w:r>
        <w:rPr>
          <w:rStyle w:val="FootnoteAnchor"/>
          <w:rFonts w:eastAsia="Liberation Serif" w:cs="Times New Roman"/>
          <w:b w:val="false"/>
          <w:bCs w:val="false"/>
          <w:u w:val="none"/>
          <w:shd w:fill="auto" w:val="clear"/>
        </w:rPr>
        <w:footnoteReference w:id="67"/>
      </w:r>
      <w:r>
        <w:rPr>
          <w:rFonts w:eastAsia="Liberation Serif" w:cs="Times New Roman"/>
          <w:b w:val="false"/>
          <w:bCs w:val="false"/>
          <w:u w:val="none"/>
          <w:shd w:fill="auto" w:val="clear"/>
        </w:rPr>
        <w:t xml:space="preserve"> it was revealed that nearly half of the working BN(O) migrants surveyed encountered difficulties in finding employment that aligned with their skills and previous professional experiences in Hong Kong.  The respondents identified their limited proficiency in the English language and the fact that their local qualifications were not recognized by prospective British employers as key factors contributing to the challenges they are currently facing.</w:t>
      </w:r>
      <w:r>
        <w:rPr>
          <w:rStyle w:val="FootnoteAnchor"/>
          <w:rFonts w:eastAsia="Liberation Serif" w:cs="Times New Roman"/>
          <w:b w:val="false"/>
          <w:bCs w:val="false"/>
          <w:u w:val="none"/>
          <w:shd w:fill="auto" w:val="clear"/>
        </w:rPr>
        <w:footnoteReference w:id="68"/>
      </w:r>
      <w:r>
        <w:rPr>
          <w:rFonts w:eastAsia="Liberation Serif" w:cs="Times New Roman"/>
          <w:b w:val="false"/>
          <w:bCs w:val="false"/>
          <w:u w:val="none"/>
          <w:shd w:fill="auto" w:val="clear"/>
        </w:rPr>
        <w:t xml:space="preserve">  As a result, these migrants are having to resort to working in low-skilled positions, despite the fact that an overwhelming majority of BN(O) migrants possess a graduate or postgraduate degree.</w:t>
      </w:r>
      <w:r>
        <w:rPr>
          <w:rStyle w:val="FootnoteAnchor"/>
          <w:rFonts w:eastAsia="Liberation Serif" w:cs="Times New Roman"/>
          <w:b w:val="false"/>
          <w:bCs w:val="false"/>
          <w:u w:val="none"/>
          <w:shd w:fill="auto" w:val="clear"/>
        </w:rPr>
        <w:footnoteReference w:id="69"/>
      </w:r>
      <w:r>
        <w:rPr>
          <w:rFonts w:eastAsia="Liberation Serif" w:cs="Times New Roman"/>
          <w:b w:val="false"/>
          <w:bCs w:val="false"/>
          <w:u w:val="none"/>
          <w:shd w:fill="auto" w:val="clear"/>
        </w:rPr>
        <w:t xml:space="preserve">  In contrast, those BN(O) migrants who have located themselves in the most expensive regions of the UK – the South East, East of England and London have better rate of success in finding jobs that match their skill-set.</w:t>
      </w:r>
      <w:r>
        <w:rPr>
          <w:rStyle w:val="FootnoteAnchor"/>
          <w:rFonts w:eastAsia="Liberation Serif" w:cs="Times New Roman"/>
          <w:b w:val="false"/>
          <w:bCs w:val="false"/>
          <w:u w:val="none"/>
          <w:shd w:fill="auto" w:val="clear"/>
        </w:rPr>
        <w:footnoteReference w:id="70"/>
      </w:r>
      <w:r>
        <w:rPr>
          <w:rFonts w:eastAsia="Liberation Serif" w:cs="Times New Roman"/>
          <w:b w:val="false"/>
          <w:bCs w:val="false"/>
          <w:u w:val="none"/>
          <w:shd w:fill="auto" w:val="clear"/>
        </w:rPr>
        <w:t xml:space="preserve">  This can be attributed to factors such as their existing wealth and Westernized background,</w:t>
      </w:r>
      <w:r>
        <w:rPr>
          <w:rStyle w:val="FootnoteAnchor"/>
          <w:rFonts w:eastAsia="Liberation Serif" w:cs="Times New Roman"/>
          <w:b w:val="false"/>
          <w:bCs w:val="false"/>
          <w:u w:val="none"/>
          <w:shd w:fill="auto" w:val="clear"/>
        </w:rPr>
        <w:footnoteReference w:id="71"/>
      </w:r>
      <w:r>
        <w:rPr>
          <w:rFonts w:eastAsia="Liberation Serif" w:cs="Times New Roman"/>
          <w:b w:val="false"/>
          <w:bCs w:val="false"/>
          <w:u w:val="none"/>
          <w:shd w:fill="auto" w:val="clear"/>
        </w:rPr>
        <w:t xml:space="preserve"> including already possessing a Western education, and greater time and freedom to find similar work to the </w:t>
      </w:r>
      <w:r>
        <w:rPr>
          <w:rFonts w:eastAsia="Liberation Serif" w:cs="Times New Roman"/>
          <w:b w:val="false"/>
          <w:bCs w:val="false"/>
          <w:u w:val="none"/>
          <w:shd w:fill="auto" w:val="clear"/>
        </w:rPr>
        <w:t>careers</w:t>
      </w:r>
      <w:r>
        <w:rPr>
          <w:rFonts w:eastAsia="Liberation Serif" w:cs="Times New Roman"/>
          <w:b w:val="false"/>
          <w:bCs w:val="false"/>
          <w:u w:val="none"/>
          <w:shd w:fill="auto" w:val="clear"/>
        </w:rPr>
        <w:t xml:space="preserve"> they had held while in Hong Kong. </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A large portion of BN(O) migrants are directly supplementing the low-skilled labour deficit, as mentioned in Para. 26, while only a minority of BN(O) migrants are able to fully utilise the advantages that come with the new visa scheme.  However, the former group becomes increasingly vulnerable as they near the end of their five-year visa period, with the cost of living continuing to rise and little support provided by the UK government.  On top of which, their citizenship may still not be guaranteed, as will be discussed in the next section, putting potentially one-third of BN(O) migrants at risk of removal or being stuck in a perpetual limbo trying to renew their BN(O) visa.</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With regards to the UK’s often-repeated claim of “historic and moral commitments”</w:t>
      </w:r>
      <w:r>
        <w:rPr>
          <w:rStyle w:val="FootnoteAnchor"/>
          <w:rFonts w:eastAsia="Liberation Serif" w:cs="Times New Roman"/>
          <w:b w:val="false"/>
          <w:bCs w:val="false"/>
          <w:u w:val="none"/>
        </w:rPr>
        <w:footnoteReference w:id="72"/>
      </w:r>
      <w:r>
        <w:rPr>
          <w:rFonts w:eastAsia="Liberation Serif" w:cs="Times New Roman"/>
          <w:b w:val="false"/>
          <w:bCs w:val="false"/>
          <w:u w:val="none"/>
        </w:rPr>
        <w:t xml:space="preserve"> to the people of Hong Kong, it was always questionable to what extent this was true.  Revisions to the BN(O) scheme were made under the false pretences, as demonstrated in Paras. 18-20; the BN(O) scheme was not revised due to a sense of commitment to Hong Kongers but instead demonstrably out of a desire by UK officials to address the UK’s economic, labour and image problems.  Moreover, the UK’s commitments to Hong Kong effectively and legally ended on 1 June, 1997, when the Hong Kong Act 1985 was deemed “Spent”, meaning that that the Act in question was “exhausted in operation by the accomplishment of the purposes for which it was enacted”,</w:t>
      </w:r>
      <w:r>
        <w:rPr>
          <w:rStyle w:val="FootnoteAnchor"/>
          <w:rFonts w:eastAsia="Liberation Serif" w:cs="Times New Roman"/>
          <w:b w:val="false"/>
          <w:bCs w:val="false"/>
          <w:u w:val="none"/>
        </w:rPr>
        <w:footnoteReference w:id="73"/>
      </w:r>
      <w:r>
        <w:rPr>
          <w:rFonts w:eastAsia="Liberation Serif" w:cs="Times New Roman"/>
          <w:b w:val="false"/>
          <w:bCs w:val="false"/>
          <w:u w:val="none"/>
        </w:rPr>
        <w:t xml:space="preserve"> and sovereignty over Hong Kong was formally recognised as belonging to the People’s Republic of China and no longer to Britain.  This is also why BN(O) holders have been excluded from fast-track UK border channels since the early 2010s while non-British citizens from countries like Australia, Canada, Japan, New Zealand and the US are eligible:</w:t>
      </w:r>
      <w:r>
        <w:rPr>
          <w:rStyle w:val="FootnoteAnchor"/>
          <w:rFonts w:eastAsia="Liberation Serif" w:cs="Times New Roman"/>
          <w:b w:val="false"/>
          <w:bCs w:val="false"/>
          <w:u w:val="none"/>
        </w:rPr>
        <w:footnoteReference w:id="74"/>
      </w:r>
      <w:r>
        <w:rPr>
          <w:rFonts w:eastAsia="Liberation Serif" w:cs="Times New Roman"/>
          <w:b w:val="false"/>
          <w:bCs w:val="false"/>
          <w:u w:val="none"/>
        </w:rPr>
        <w:t xml:space="preserve"> the UK considers those countries to be a part of the global Western community, whereas Hong Kongers are considered ‘oriental’.</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 xml:space="preserve">Granting exceptional rights to Hong Kongers brings with it a duty on the part of the UK to provide exceptional care to Hong Kongers who have emigrated or who are planning to emigrate.  However, the UK government has been negligent in this respect.  There is no support for Hong Kongers who do not possess the financial means to emigrate or even to lodge an application for the BN(O) scheme; as detailed in Para. 30, the UK government makes a healthy income from such application fees but not everyone can afford to pay them. Moreover, of those Hong Kongers who have the means to apply and come to the UK, many report struggling to support themselves of the five-year period granted under the scheme. </w:t>
      </w:r>
      <w:r>
        <w:rPr>
          <w:rFonts w:eastAsia="Liberation Serif" w:cs="Times New Roman"/>
          <w:b w:val="false"/>
          <w:bCs w:val="false"/>
          <w:u w:val="none"/>
          <w:shd w:fill="auto" w:val="clear"/>
        </w:rPr>
        <w:t xml:space="preserve"> Little support has been provided for struggling Hong Kongers, such as access to benefits, including housing, healthcare, and employment support.  Apart from an initial “dedicated support package”</w:t>
      </w:r>
      <w:r>
        <w:rPr>
          <w:rStyle w:val="FootnoteAnchor"/>
          <w:rFonts w:eastAsia="Liberation Serif" w:cs="Times New Roman"/>
          <w:b w:val="false"/>
          <w:bCs w:val="false"/>
          <w:u w:val="none"/>
          <w:shd w:fill="auto" w:val="clear"/>
        </w:rPr>
        <w:footnoteReference w:id="75"/>
      </w:r>
      <w:r>
        <w:rPr>
          <w:rFonts w:eastAsia="Liberation Serif" w:cs="Times New Roman"/>
          <w:b w:val="false"/>
          <w:bCs w:val="false"/>
          <w:u w:val="none"/>
          <w:shd w:fill="auto" w:val="clear"/>
        </w:rPr>
        <w:t xml:space="preserve"> of £43 million in 2021, the years following has seen meagre levels of support: £6.6 million in 2022</w:t>
      </w:r>
      <w:r>
        <w:rPr>
          <w:rStyle w:val="FootnoteAnchor"/>
          <w:rFonts w:eastAsia="Liberation Serif" w:cs="Times New Roman"/>
          <w:b w:val="false"/>
          <w:bCs w:val="false"/>
          <w:u w:val="none"/>
          <w:shd w:fill="auto" w:val="clear"/>
        </w:rPr>
        <w:footnoteReference w:id="76"/>
      </w:r>
      <w:r>
        <w:rPr>
          <w:rFonts w:eastAsia="Liberation Serif" w:cs="Times New Roman"/>
          <w:b w:val="false"/>
          <w:bCs w:val="false"/>
          <w:u w:val="none"/>
          <w:shd w:fill="auto" w:val="clear"/>
        </w:rPr>
        <w:t xml:space="preserve"> reduced to only £2.6 million in 2023.</w:t>
      </w:r>
      <w:r>
        <w:rPr>
          <w:rStyle w:val="FootnoteAnchor"/>
          <w:rFonts w:eastAsia="Liberation Serif" w:cs="Times New Roman"/>
          <w:b w:val="false"/>
          <w:bCs w:val="false"/>
          <w:u w:val="none"/>
          <w:shd w:fill="auto" w:val="clear"/>
        </w:rPr>
        <w:footnoteReference w:id="77"/>
      </w:r>
      <w:r>
        <w:rPr>
          <w:rFonts w:eastAsia="Liberation Serif" w:cs="Times New Roman"/>
          <w:b w:val="false"/>
          <w:bCs w:val="false"/>
          <w:u w:val="none"/>
          <w:shd w:fill="auto" w:val="clear"/>
        </w:rPr>
        <w:t xml:space="preserve">  The allocated funds contribute to a Welcome Programme designed for BN(O) status holders and their families. Even with the assumption of generous grants amounting to £5 million per subsequent years in 2024 and 2025, taking into account the decreasing trend of funding, the total amount assigned equates to less than £193</w:t>
      </w:r>
      <w:r>
        <w:rPr>
          <w:rStyle w:val="FootnoteAnchor"/>
          <w:rFonts w:eastAsia="Liberation Serif" w:cs="Times New Roman"/>
          <w:b w:val="false"/>
          <w:bCs w:val="false"/>
          <w:u w:val="none"/>
          <w:shd w:fill="auto" w:val="clear"/>
        </w:rPr>
        <w:footnoteReference w:id="78"/>
      </w:r>
      <w:r>
        <w:rPr>
          <w:rFonts w:eastAsia="Liberation Serif" w:cs="Times New Roman"/>
          <w:b w:val="false"/>
          <w:bCs w:val="false"/>
          <w:u w:val="none"/>
          <w:shd w:fill="auto" w:val="clear"/>
        </w:rPr>
        <w:t xml:space="preserve"> per BN(O) migrant.</w:t>
      </w:r>
      <w:r>
        <w:rPr>
          <w:rStyle w:val="FootnoteAnchor"/>
          <w:rFonts w:eastAsia="Liberation Serif" w:cs="Times New Roman"/>
          <w:b w:val="false"/>
          <w:bCs w:val="false"/>
          <w:u w:val="none"/>
          <w:shd w:fill="auto" w:val="clear"/>
        </w:rPr>
        <w:footnoteReference w:id="79"/>
      </w:r>
      <w:r>
        <w:br w:type="page"/>
      </w:r>
    </w:p>
    <w:p>
      <w:pPr>
        <w:pStyle w:val="LO-normal"/>
        <w:numPr>
          <w:ilvl w:val="0"/>
          <w:numId w:val="1"/>
        </w:numPr>
        <w:rPr>
          <w:rFonts w:eastAsia="Liberation Serif" w:cs="Times New Roman"/>
        </w:rPr>
      </w:pPr>
      <w:r>
        <w:rPr>
          <w:rFonts w:eastAsia="Liberation Serif" w:cs="Times New Roman"/>
          <w:b w:val="false"/>
          <w:bCs w:val="false"/>
          <w:u w:val="none"/>
        </w:rPr>
        <w:t>The UK’s change in its immigration policies cannot be simply explained by the UK government suddenly developing a moral conscience regarding Hong Kong.  Clinging onto this as an explanation undermines the dignity of the many victims who have suffered as a result of harsh immigration policies throughout British colonial history, inside and outside of Hong Kong, as for instance exemplified by the Windrush Scandal.  The primary reason for inviting Hong Kongers under such exceptional circumstances in recent years can only be that the UK, recognising its ever-weakening position in the world, stands to benefit from Hong Kongers economically, politically and in terms of labour.  Yet support for those Hong Kongers is not forthcoming, and many find life in the UK difficult and report that the jobs market fails to match their skills.  From 2019 onwards, the UK exploited healthy debates within the remit of HKSAR’s internal matters to ignite a climate of fear in Hong Kong; the UK then followed this by making self-motivated changes to its immigration policy that has proven detrimental to many Hong Kong people but lucrative to the UK itself.</w:t>
      </w:r>
      <w:r>
        <w:br w:type="page"/>
      </w:r>
    </w:p>
    <w:p>
      <w:pPr>
        <w:pStyle w:val="Heading1"/>
        <w:spacing w:lineRule="auto" w:line="360"/>
        <w:ind w:left="0" w:right="2381" w:hanging="0"/>
        <w:rPr>
          <w:rFonts w:eastAsia="Liberation Serif"/>
          <w:u w:val="single"/>
        </w:rPr>
      </w:pPr>
      <w:r>
        <w:rPr>
          <w:rFonts w:eastAsia="Liberation Serif"/>
          <w:u w:val="single"/>
        </w:rPr>
        <w:t>Section 3 – Vulnerable Hong Kongers</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There are essentially two main ‘classes’ of Hong Kongers amongst the 135,400 BN(O) migrants who have travelled to the UK.  The first class of Hong Kongers consists of the wealthy and sufficiently Westernised who are taking advantage of the BN(O) scheme’s five-year shortcut to eligibility for British citizenship; this is a much shorter period of time as compared to the usual requirement of ten years for permanent residency of the UK.  The second class, however, comprises of Hong Kongers who have moved to the UK out of desperation; they are generally not financially stable enough to undertake the economical and cultural challenges that the BN(O) visa scheme presents.</w:t>
      </w:r>
    </w:p>
    <w:p>
      <w:pPr>
        <w:pStyle w:val="LO-normal"/>
        <w:numPr>
          <w:ilvl w:val="0"/>
          <w:numId w:val="1"/>
        </w:numPr>
        <w:rPr>
          <w:rFonts w:eastAsia="Liberation Serif" w:cs="Times New Roman"/>
          <w:b w:val="false"/>
          <w:bCs w:val="false"/>
          <w:u w:val="none"/>
        </w:rPr>
      </w:pPr>
      <w:r>
        <w:rPr>
          <w:rFonts w:eastAsia="Liberation Serif" w:cs="Times New Roman"/>
          <w:b w:val="false"/>
          <w:bCs w:val="false"/>
          <w:u w:val="none"/>
        </w:rPr>
        <w:t xml:space="preserve">Outside of these two main classes of BN(O) migrants, there is also a lesser discussed and smaller third class:  Hong Kong asylum seekers.  This class, like the second, may consist of individuals who have travelled to the UK because of the erroneous belief, in part created by false statements by UK MPs and other officials, that Hong Kong has deteriorated.  But unlike the other two classes, those of the third class might have criminal convictions or would have criminal convictions as a result of having participated in the Extradition Riots but avoided conviction.  Which meant that they will be more likely to be viewed as having been engaged in behaviours which the UK may, ironically, deem unconducive to the public good, or might for other reasons be ineligible for the BN(O) scheme. </w:t>
      </w:r>
    </w:p>
    <w:p>
      <w:pPr>
        <w:pStyle w:val="LO-normal"/>
        <w:numPr>
          <w:ilvl w:val="0"/>
          <w:numId w:val="1"/>
        </w:numPr>
        <w:rPr>
          <w:rFonts w:eastAsia="Liberation Serif" w:cs="Times New Roman"/>
        </w:rPr>
      </w:pPr>
      <w:r>
        <w:rPr>
          <w:rFonts w:eastAsia="Liberation Serif" w:cs="Times New Roman"/>
          <w:b w:val="false"/>
          <w:bCs w:val="false"/>
          <w:u w:val="none"/>
        </w:rPr>
        <w:t>Both the second and third classes of Hong Kongers are considered vulnerable, albeit for different reasons.  The second class are vulnerable because they do not possess the financial means to ensure they can meet the requirement of five years of continuous stay in the UK under the BN(O) visa in order to secure residency after that period.  To attain UK permanent residency, BN(O) visa holders must fulfil three essential requirements:  firstly, they must maintain continuous residence in the UK for five years, with no more than 180 days spent outside the country within any 12-month period;</w:t>
      </w:r>
      <w:r>
        <w:rPr>
          <w:rStyle w:val="FootnoteAnchor"/>
          <w:rFonts w:eastAsia="Liberation Serif" w:cs="Times New Roman"/>
          <w:b w:val="false"/>
          <w:bCs w:val="false"/>
          <w:u w:val="none"/>
        </w:rPr>
        <w:footnoteReference w:id="80"/>
      </w:r>
      <w:r>
        <w:rPr>
          <w:rFonts w:eastAsia="Liberation Serif" w:cs="Times New Roman"/>
          <w:b w:val="false"/>
          <w:bCs w:val="false"/>
          <w:u w:val="none"/>
        </w:rPr>
        <w:t xml:space="preserve"> secondly, applicants must be able to demonstrate their proficiency in the English language either by possessing an academic degree in English or attaining a level of B1 of the Common European Framework of Reference for Languages (“CEFR”);</w:t>
      </w:r>
      <w:r>
        <w:rPr>
          <w:rStyle w:val="FootnoteAnchor"/>
          <w:rFonts w:eastAsia="Liberation Serif" w:cs="Times New Roman"/>
          <w:b w:val="false"/>
          <w:bCs w:val="false"/>
          <w:u w:val="none"/>
        </w:rPr>
        <w:footnoteReference w:id="81"/>
      </w:r>
      <w:r>
        <w:rPr>
          <w:rFonts w:eastAsia="Liberation Serif" w:cs="Times New Roman"/>
          <w:b w:val="false"/>
          <w:bCs w:val="false"/>
          <w:u w:val="none"/>
        </w:rPr>
        <w:t xml:space="preserve"> and lastly, applicants must also pass the ‘Life in the UK’ test, which incurs a cost of £50 per test</w:t>
      </w:r>
      <w:r>
        <w:rPr>
          <w:rStyle w:val="FootnoteAnchor"/>
          <w:rFonts w:eastAsia="Liberation Serif" w:cs="Times New Roman"/>
          <w:b w:val="false"/>
          <w:bCs w:val="false"/>
          <w:u w:val="none"/>
        </w:rPr>
        <w:footnoteReference w:id="82"/>
      </w:r>
      <w:r>
        <w:rPr>
          <w:rFonts w:eastAsia="Liberation Serif" w:cs="Times New Roman"/>
          <w:b w:val="false"/>
          <w:bCs w:val="false"/>
          <w:u w:val="none"/>
        </w:rPr>
        <w:t xml:space="preserve"> plus purchasing textbooks and study materials.  These requirements can impose significant burdens in terms of time, money and other resources which the second class of BN(O) visa holders may not possess, especially given that the myriad challenges of daily living in a foreign country they are already facing.  Failure to meet any of these requirements within the five year time-frame could result in any of three undesirable outcomes for second class BN(O) migrants: </w:t>
      </w:r>
    </w:p>
    <w:p>
      <w:pPr>
        <w:pStyle w:val="LO-normal"/>
        <w:numPr>
          <w:ilvl w:val="1"/>
          <w:numId w:val="1"/>
        </w:numPr>
        <w:rPr>
          <w:rFonts w:eastAsia="Liberation Serif" w:cs="Times New Roman"/>
          <w:b w:val="false"/>
          <w:bCs w:val="false"/>
          <w:u w:val="none"/>
        </w:rPr>
      </w:pPr>
      <w:r>
        <w:rPr>
          <w:rFonts w:eastAsia="Liberation Serif" w:cs="Times New Roman"/>
          <w:b w:val="false"/>
          <w:bCs w:val="false"/>
          <w:u w:val="none"/>
        </w:rPr>
        <w:t>having to repeat the entire five-year visa process or explore alternative pathways to citizenship;</w:t>
      </w:r>
    </w:p>
    <w:p>
      <w:pPr>
        <w:pStyle w:val="LO-normal"/>
        <w:numPr>
          <w:ilvl w:val="1"/>
          <w:numId w:val="1"/>
        </w:numPr>
        <w:rPr>
          <w:rFonts w:eastAsia="Liberation Serif" w:cs="Times New Roman"/>
          <w:b w:val="false"/>
          <w:bCs w:val="false"/>
          <w:u w:val="none"/>
        </w:rPr>
      </w:pPr>
      <w:r>
        <w:rPr>
          <w:rFonts w:eastAsia="Liberation Serif" w:cs="Times New Roman"/>
          <w:b w:val="false"/>
          <w:bCs w:val="false"/>
          <w:u w:val="none"/>
        </w:rPr>
        <w:t xml:space="preserve">applying for asylum; or </w:t>
      </w:r>
    </w:p>
    <w:p>
      <w:pPr>
        <w:pStyle w:val="LO-normal"/>
        <w:numPr>
          <w:ilvl w:val="1"/>
          <w:numId w:val="1"/>
        </w:numPr>
        <w:rPr>
          <w:rFonts w:eastAsia="Liberation Serif" w:cs="Times New Roman"/>
          <w:b w:val="false"/>
          <w:bCs w:val="false"/>
          <w:u w:val="none"/>
        </w:rPr>
      </w:pPr>
      <w:r>
        <w:rPr>
          <w:rFonts w:eastAsia="Liberation Serif" w:cs="Times New Roman"/>
          <w:b w:val="false"/>
          <w:bCs w:val="false"/>
          <w:u w:val="none"/>
        </w:rPr>
        <w:t xml:space="preserve">risking their willing or forced return to Hong Kong after depleting their savings and time invested in the UK. </w:t>
      </w:r>
    </w:p>
    <w:p>
      <w:pPr>
        <w:pStyle w:val="LO-normal"/>
        <w:numPr>
          <w:ilvl w:val="0"/>
          <w:numId w:val="1"/>
        </w:numPr>
        <w:rPr>
          <w:rFonts w:eastAsia="Liberation Serif" w:cs="Times New Roman"/>
          <w:b w:val="false"/>
          <w:bCs w:val="false"/>
          <w:u w:val="none"/>
        </w:rPr>
      </w:pPr>
      <w:r>
        <w:rPr/>
        <w:t>None of these outcomes are favourable.  While outcome (a) is relatively more manageable, the prospects of outcomes (b) and (c) may generate significant anxiety for the second class of BN(O) migrants.  The required five years of stay in the UK becomes a race against time for these individuals who lack sufficient support from the UK.  The so-called ‘moral’ obligations owed to these migrants are essentially being neglected.</w:t>
      </w:r>
    </w:p>
    <w:p>
      <w:pPr>
        <w:pStyle w:val="LO-normal"/>
        <w:numPr>
          <w:ilvl w:val="0"/>
          <w:numId w:val="1"/>
        </w:numPr>
        <w:rPr>
          <w:rFonts w:eastAsia="Liberation Serif" w:cs="Times New Roman"/>
        </w:rPr>
      </w:pPr>
      <w:r>
        <w:rPr/>
        <w:t>Moreover, the report published by the Welcoming Committee for Hong Kongers</w:t>
      </w:r>
      <w:r>
        <w:rPr>
          <w:rStyle w:val="FootnoteAnchor"/>
        </w:rPr>
        <w:footnoteReference w:id="83"/>
      </w:r>
      <w:r>
        <w:rPr/>
        <w:t xml:space="preserve"> highlights other challenges faced by BN(O) migrants of the second class.  It reveals that nearly one in eight Hong Kongers feel isolated at work and one in twenty has experienced discrimination from colleagues.</w:t>
      </w:r>
      <w:r>
        <w:rPr>
          <w:rStyle w:val="FootnoteAnchor"/>
        </w:rPr>
        <w:footnoteReference w:id="84"/>
      </w:r>
      <w:r>
        <w:rPr/>
        <w:t xml:space="preserve">  The racial discrimination they have encountered further compounds the difficulties they face, particularly so for those already grappling with the cultural and linguistic challenges of living in a foreign country. </w:t>
      </w:r>
    </w:p>
    <w:p>
      <w:pPr>
        <w:pStyle w:val="LO-normal"/>
        <w:numPr>
          <w:ilvl w:val="0"/>
          <w:numId w:val="1"/>
        </w:numPr>
        <w:rPr>
          <w:rFonts w:eastAsia="Liberation Serif" w:cs="Times New Roman"/>
        </w:rPr>
      </w:pPr>
      <w:r>
        <w:rPr/>
        <w:t>The situation becomes more concerning when considering that many individuals in the second class of migrants find themselves working in low-skilled positions or jobs that do not align with their expertise.</w:t>
      </w:r>
      <w:r>
        <w:rPr>
          <w:rStyle w:val="FootnoteAnchor"/>
        </w:rPr>
        <w:footnoteReference w:id="85"/>
      </w:r>
      <w:r>
        <w:rPr/>
        <w:t xml:space="preserve">  As a result, they are unable to effectively utilise their skills and qualifications, which can have long-term implications for their career prospects and overall life opportunities.  Moreover, they are prone to feeling that their full potential is not being recognised and thus add on to their stress.</w:t>
      </w:r>
    </w:p>
    <w:p>
      <w:pPr>
        <w:pStyle w:val="LO-normal"/>
        <w:numPr>
          <w:ilvl w:val="0"/>
          <w:numId w:val="1"/>
        </w:numPr>
        <w:rPr>
          <w:rFonts w:eastAsia="Liberation Serif" w:cs="Times New Roman"/>
        </w:rPr>
      </w:pPr>
      <w:r>
        <w:rPr/>
        <w:t>Financial well-being is another area of concern within the BN(O) community.  One in ten individuals rate their financial well-being below five out of ten.  Additionally, more than one in five respondents state that they are living beyond their means and nearly one in ten report that they have no savings to rely on.  For younger individuals, the most significant financial issue is finding employment, underscoring the urgency of addressing the employment challenges outlined above.</w:t>
      </w:r>
      <w:r>
        <w:rPr>
          <w:rStyle w:val="FootnoteAnchor"/>
        </w:rPr>
        <w:footnoteReference w:id="86"/>
      </w:r>
      <w:r>
        <w:rPr/>
        <w:t xml:space="preserve"> </w:t>
      </w:r>
    </w:p>
    <w:p>
      <w:pPr>
        <w:pStyle w:val="LO-normal"/>
        <w:numPr>
          <w:ilvl w:val="0"/>
          <w:numId w:val="1"/>
        </w:numPr>
        <w:rPr/>
      </w:pPr>
      <w:r>
        <w:rPr/>
        <w:t>Overall, the survey of 2,000 BN(O) migrants reveals that 55% are financially worse off after coming to the UK, with 29% report being emotionally worse off, and 15% saying they are physically worse off.</w:t>
      </w:r>
      <w:r>
        <w:rPr>
          <w:rStyle w:val="FootnoteAnchor"/>
        </w:rPr>
        <w:footnoteReference w:id="87"/>
      </w:r>
      <w:r>
        <w:rPr/>
        <w:t xml:space="preserve">  These findings underscore the multifaceted difficulties and negative impacts experienced by the second class BN(O) migrants.</w:t>
      </w:r>
    </w:p>
    <w:p>
      <w:pPr>
        <w:pStyle w:val="LO-normal"/>
        <w:numPr>
          <w:ilvl w:val="0"/>
          <w:numId w:val="1"/>
        </w:numPr>
        <w:rPr/>
      </w:pPr>
      <w:r>
        <w:rPr>
          <w:rFonts w:eastAsia="Liberation Serif" w:cs="Times New Roman"/>
          <w:b w:val="false"/>
          <w:bCs w:val="false"/>
          <w:u w:val="none"/>
        </w:rPr>
        <w:t>Moreover, the situation for the third class of Hong Kongers is significantly more severe and urgent because not only are asylum seekers ineligible to receive the already small amount of support that the UK offers to Hong Kong BN(O) nationals, a staggering 77% of asylum applications end in failure (which includes both declined and withdrawn applications).</w:t>
      </w:r>
      <w:r>
        <w:rPr>
          <w:rStyle w:val="FootnoteAnchor"/>
          <w:rFonts w:eastAsia="Liberation Serif" w:cs="Times New Roman"/>
          <w:b w:val="false"/>
          <w:bCs w:val="false"/>
          <w:u w:val="none"/>
        </w:rPr>
        <w:footnoteReference w:id="88"/>
      </w:r>
      <w:r>
        <w:rPr>
          <w:rFonts w:eastAsia="Liberation Serif" w:cs="Times New Roman"/>
          <w:b w:val="false"/>
          <w:bCs w:val="false"/>
          <w:u w:val="none"/>
        </w:rPr>
        <w:t xml:space="preserve"> Consequently, these individuals are left with the difficult choice of either seeking asylum in other countries – which brings with it a drain on resources (time, cost, etc.) and further negative impacts on emotional well-being – or being wilfully or forcibly returned to Hong Kong. </w:t>
      </w:r>
      <w:r>
        <w:br w:type="page"/>
      </w:r>
    </w:p>
    <w:p>
      <w:pPr>
        <w:pStyle w:val="LO-normal"/>
        <w:numPr>
          <w:ilvl w:val="0"/>
          <w:numId w:val="1"/>
        </w:numPr>
        <w:rPr/>
      </w:pPr>
      <w:r>
        <w:rPr/>
        <w:t>As of Q3 2023, approximately 148</w:t>
      </w:r>
      <w:r>
        <w:rPr>
          <w:rStyle w:val="FootnoteAnchor"/>
        </w:rPr>
        <w:footnoteReference w:id="89"/>
      </w:r>
      <w:r>
        <w:rPr/>
        <w:t xml:space="preserve"> Hong Kongers are still awaiting a decision on their asylum application, a process which typically takes 1-2 years.  Out of the 318 Hong Kongers who applied for asylum between Q3 2019 and Q3 2023, 15 were unaccompanied asylum-seeking children.  The majority of asylum seekers (135 or 42%) were aged between 18 and 29.  Those aged 30-49 comprised 88 individuals (28%), ages 50-69 accounted for 44 individuals (14%), and there were three applicants above the age of 70.</w:t>
      </w:r>
      <w:r>
        <w:rPr>
          <w:rStyle w:val="FootnoteAnchor"/>
        </w:rPr>
        <w:footnoteReference w:id="90"/>
      </w:r>
    </w:p>
    <w:p>
      <w:pPr>
        <w:pStyle w:val="LO-normal"/>
        <w:numPr>
          <w:ilvl w:val="0"/>
          <w:numId w:val="1"/>
        </w:numPr>
        <w:rPr/>
      </w:pPr>
      <w:r>
        <w:rPr/>
        <w:t>Many of the asylum seekers applied at ports, indicating an urgent departure from Hong Kong, likely due to their involvement in violent riots and the potential legal consequences they faced if detained and prosecuted.  The rushed circumstances of their flight from Hong Kong means they may have limited access to the necessary funds</w:t>
      </w:r>
      <w:r>
        <w:rPr>
          <w:rStyle w:val="FootnoteAnchor"/>
        </w:rPr>
        <w:footnoteReference w:id="91"/>
      </w:r>
      <w:r>
        <w:rPr/>
        <w:t xml:space="preserve"> to sustain themselves during the waiting period for a decision on their application.  Additionally, they must endure at least one year without employment before they are granted the right to work.</w:t>
      </w:r>
      <w:r>
        <w:rPr>
          <w:rStyle w:val="FootnoteAnchor"/>
        </w:rPr>
        <w:footnoteReference w:id="92"/>
      </w:r>
    </w:p>
    <w:p>
      <w:pPr>
        <w:pStyle w:val="LO-normal"/>
        <w:numPr>
          <w:ilvl w:val="0"/>
          <w:numId w:val="1"/>
        </w:numPr>
        <w:rPr/>
      </w:pPr>
      <w:r>
        <w:rPr/>
        <w:t xml:space="preserve">This level of desperation renders these particular Hong Kongers exceptionally vulnerable, therefore increasing the likelihood of exploitation and the violation of their civil and political rights.  The UK newspaper </w:t>
      </w:r>
      <w:r>
        <w:rPr>
          <w:i/>
          <w:iCs/>
        </w:rPr>
        <w:t>The Guardian</w:t>
      </w:r>
      <w:r>
        <w:rPr/>
        <w:t xml:space="preserve"> has reported that many asylum seekers without immediate accommodation end up in “safe houses” provided by fellow Hong Kongers or volunteer hosts.</w:t>
      </w:r>
      <w:r>
        <w:rPr>
          <w:rStyle w:val="FootnoteAnchor"/>
        </w:rPr>
        <w:footnoteReference w:id="93"/>
      </w:r>
      <w:r>
        <w:rPr/>
        <w:t xml:space="preserve">  However, since these arrangements are provided free of charge, asylum seekers are entirely reliant on the goodwill of their hosts.</w:t>
      </w:r>
      <w:r>
        <w:rPr>
          <w:rStyle w:val="FootnoteAnchor"/>
        </w:rPr>
        <w:footnoteReference w:id="94"/>
      </w:r>
      <w:r>
        <w:rPr/>
        <w:t xml:space="preserve">  Consequently, they can have this accommodation removed at any time and often find themselves in highly uncomfortable situations where they are expected to perform domestic tasks in exchange for accommodation.  Even more distressingly, some individuals have described instances of “emotional blackmail” where hosts shout at or physically abuse them,</w:t>
      </w:r>
      <w:r>
        <w:rPr>
          <w:rStyle w:val="FootnoteAnchor"/>
        </w:rPr>
        <w:footnoteReference w:id="95"/>
      </w:r>
      <w:r>
        <w:rPr/>
        <w:t xml:space="preserve"> and it can be assumed that any act of retaliation against such mistreatment is deterred because it could result in homelessness in an unfamiliar environment that they have yet to acclimate to.</w:t>
      </w:r>
    </w:p>
    <w:p>
      <w:pPr>
        <w:pStyle w:val="LO-normal"/>
        <w:numPr>
          <w:ilvl w:val="0"/>
          <w:numId w:val="1"/>
        </w:numPr>
        <w:rPr/>
      </w:pPr>
      <w:r>
        <w:rPr/>
        <w:t>In stark contrast to Nathan Law's experience of seeking asylum in the UK in 2021, many Hong Kongers seeking asylum in the UK have undoubtedly had their civil and political rights violated throughout the process.  It is as Law himself has argued, the maltreatment of these asylum seekers must be exposed and addressed.</w:t>
      </w:r>
      <w:r>
        <w:rPr>
          <w:rStyle w:val="FootnoteAnchor"/>
        </w:rPr>
        <w:footnoteReference w:id="96"/>
      </w:r>
      <w:r>
        <w:rPr/>
        <w:t xml:space="preserve"> </w:t>
      </w:r>
    </w:p>
    <w:p>
      <w:pPr>
        <w:pStyle w:val="LO-normal"/>
        <w:numPr>
          <w:ilvl w:val="0"/>
          <w:numId w:val="1"/>
        </w:numPr>
        <w:rPr/>
      </w:pPr>
      <w:r>
        <w:rPr/>
        <w:t>Numerous individuals have endured similar trauma, to list but a few examples:-</w:t>
      </w:r>
    </w:p>
    <w:p>
      <w:pPr>
        <w:pStyle w:val="LO-normal"/>
        <w:numPr>
          <w:ilvl w:val="1"/>
          <w:numId w:val="1"/>
        </w:numPr>
        <w:rPr/>
      </w:pPr>
      <w:r>
        <w:rPr/>
        <w:t>An 18-year-old who fled to London in November 2020 and resided in government-sponsored accommodation reported instances of hotel staff entering his room without warning.</w:t>
      </w:r>
      <w:r>
        <w:rPr>
          <w:rStyle w:val="FootnoteAnchor"/>
        </w:rPr>
        <w:footnoteReference w:id="97"/>
      </w:r>
      <w:r>
        <w:rPr/>
        <w:t xml:space="preserve">  Additionally, during his stay at the UK Home Office’s asylum dormitory, staff frequently conducted intrusive searches of his belongings under the pretence of suspicion of illegal activities.  These experiences triggered severe panic attacks, requiring him to seek emergency medical treatment.</w:t>
      </w:r>
      <w:r>
        <w:rPr>
          <w:rStyle w:val="FootnoteAnchor"/>
        </w:rPr>
        <w:footnoteReference w:id="98"/>
      </w:r>
    </w:p>
    <w:p>
      <w:pPr>
        <w:pStyle w:val="LO-normal"/>
        <w:numPr>
          <w:ilvl w:val="1"/>
          <w:numId w:val="1"/>
        </w:numPr>
        <w:rPr/>
      </w:pPr>
      <w:r>
        <w:rPr/>
        <w:t>Another 18-year-old who arrived in March 2021 recounted being exploited and physically assaulted following an argument with his hosts, who threatened to send him to a refugee camp as punishment for disobedience.</w:t>
      </w:r>
      <w:r>
        <w:rPr>
          <w:rStyle w:val="FootnoteAnchor"/>
        </w:rPr>
        <w:footnoteReference w:id="99"/>
      </w:r>
    </w:p>
    <w:p>
      <w:pPr>
        <w:pStyle w:val="LO-normal"/>
        <w:numPr>
          <w:ilvl w:val="1"/>
          <w:numId w:val="1"/>
        </w:numPr>
        <w:rPr/>
      </w:pPr>
      <w:r>
        <w:rPr/>
        <w:t>Another asylum applicant, who had participated in the riots at the Polytechnic University in Hong Kong in 2019, alleged that security officers at the immigration centre threatened to cancel his asylum application if he used his phone while waiting to meet other officials.  The prohibition on phone use was never clearly explained to him, causing significant stress throughout the asylum application process.</w:t>
      </w:r>
      <w:r>
        <w:rPr>
          <w:rStyle w:val="FootnoteAnchor"/>
        </w:rPr>
        <w:footnoteReference w:id="100"/>
      </w:r>
    </w:p>
    <w:p>
      <w:pPr>
        <w:pStyle w:val="LO-normal"/>
        <w:numPr>
          <w:ilvl w:val="0"/>
          <w:numId w:val="1"/>
        </w:numPr>
        <w:rPr/>
      </w:pPr>
      <w:r>
        <w:rPr/>
        <w:t>These are just a few examples of the traumatic experiences endured by some asylum seekers from Hong Kong. Some have faced even more cruel, inhumane, or degrading treatment and have been subjected to forced labour, while others have experienced arbitrary interference with their privacy.  Such violations of civil and political rights constitute a breach of Articles 7, 8, and 17 of the International Covenant on Civil and Political Rights (ICCPR), to which the UK is a party. The more concerning aspect, however, is that Hong Kongers lacking wealth, expertise, and English proficiency are increasingly vulnerable to further infringements upon their civil and political liberties. This is particularly concerning considering that many BN(O) migrants, especially those in the ‘second-class’ category, may find themselves in a similar situation as their ‘third-class’ counterparts if they are unsuccessful in their BN(O) visa applications and are forced to explore alternatives such as seeking asylum in the UK.</w:t>
      </w:r>
    </w:p>
    <w:p>
      <w:pPr>
        <w:pStyle w:val="LO-normal"/>
        <w:numPr>
          <w:ilvl w:val="0"/>
          <w:numId w:val="1"/>
        </w:numPr>
        <w:rPr/>
      </w:pPr>
      <w:r>
        <w:rPr>
          <w:rFonts w:eastAsia="Liberation Serif" w:cs="Times New Roman"/>
        </w:rPr>
        <w:t>Therefore, the UK government must be prepared and fully committed to the implementation of its BN(O) scheme, taking all necessary steps not only to facilitate the flourishing of BN(O) status holders in the UK but also to address and improve the ongoing treatment of vulnerable individuals, including those from Hong Kong seeking asylum.  The fact that the UK has so far provided very little resources for this scheme and that it was established not out of a moral duty but mostly for financial gain has the consequence that tens of thousands of Hong Kongers are being materially disadvantaged and experiencing violations of their rights on British soil.</w:t>
      </w:r>
      <w:r>
        <w:br w:type="page"/>
      </w:r>
    </w:p>
    <w:p>
      <w:pPr>
        <w:pStyle w:val="Heading1"/>
        <w:keepNext w:val="true"/>
        <w:widowControl/>
        <w:suppressAutoHyphens w:val="true"/>
        <w:bidi w:val="0"/>
        <w:spacing w:lineRule="auto" w:line="360" w:before="240" w:after="120"/>
        <w:ind w:left="0" w:right="2381" w:hanging="0"/>
        <w:jc w:val="left"/>
        <w:rPr>
          <w:u w:val="single"/>
        </w:rPr>
      </w:pPr>
      <w:r>
        <w:rPr>
          <w:u w:val="single"/>
        </w:rPr>
        <w:t>Section 4 – Recommendations to the CCPR Committee and the United Kingdom of Great Britain and Northern Ireland</w:t>
      </w:r>
    </w:p>
    <w:p>
      <w:pPr>
        <w:pStyle w:val="LO-normal"/>
        <w:numPr>
          <w:ilvl w:val="0"/>
          <w:numId w:val="1"/>
        </w:numPr>
        <w:spacing w:before="114" w:after="114"/>
        <w:rPr/>
      </w:pPr>
      <w:r>
        <w:rPr>
          <w:rFonts w:eastAsia="Liberation Serif" w:cs="Times New Roman"/>
          <w:b w:val="false"/>
          <w:bCs w:val="false"/>
          <w:u w:val="none"/>
        </w:rPr>
        <w:t>In summary, the United Kingdom initiated a propaganda campaign in 2019 targeting Hong Kong residents and ha</w:t>
      </w:r>
      <w:r>
        <w:rPr>
          <w:rFonts w:eastAsia="Liberation Serif" w:cs="Times New Roman"/>
          <w:b w:val="false"/>
          <w:bCs w:val="false"/>
          <w:u w:val="none"/>
        </w:rPr>
        <w:t>s</w:t>
      </w:r>
      <w:r>
        <w:rPr>
          <w:rFonts w:eastAsia="Liberation Serif" w:cs="Times New Roman"/>
          <w:b w:val="false"/>
          <w:bCs w:val="false"/>
          <w:u w:val="none"/>
        </w:rPr>
        <w:t xml:space="preserve"> successfully fostered a belief among many that their city has deteriorated due to the enactment of the National Security Law by the People's Republic of China government in Hong Kong in 2021.  Subsequently, the UK introduced a specially tailored visa program</w:t>
      </w:r>
      <w:r>
        <w:rPr>
          <w:rFonts w:eastAsia="Liberation Serif" w:cs="Times New Roman"/>
          <w:b w:val="false"/>
          <w:bCs w:val="false"/>
          <w:u w:val="none"/>
        </w:rPr>
        <w:t>me</w:t>
      </w:r>
      <w:r>
        <w:rPr>
          <w:rFonts w:eastAsia="Liberation Serif" w:cs="Times New Roman"/>
          <w:b w:val="false"/>
          <w:bCs w:val="false"/>
          <w:u w:val="none"/>
        </w:rPr>
        <w:t xml:space="preserve"> for BN(O) passport holders, allowing them to qualify for British citizenship within a shorter period of five years, in contrast to the typical ten-year requirement for attaining indefinite leave to remain (ILR) status in the UK.  However, it has come to light that the scheme was established on false pretences.  Declassified British documents have confirmed the long-held suspicions that British immigration policies possess racist undertones, and that the UK's historical position on the rights and citizenship status of the Hong Kong people since the 1980s was intended to alienate them from the rest of Britain. </w:t>
      </w:r>
    </w:p>
    <w:p>
      <w:pPr>
        <w:pStyle w:val="LO-normal"/>
        <w:numPr>
          <w:ilvl w:val="0"/>
          <w:numId w:val="1"/>
        </w:numPr>
        <w:spacing w:before="114" w:after="114"/>
        <w:rPr/>
      </w:pPr>
      <w:r>
        <w:rPr>
          <w:rFonts w:eastAsia="Liberation Serif" w:cs="Times New Roman"/>
          <w:b w:val="false"/>
          <w:bCs w:val="false"/>
          <w:u w:val="none"/>
        </w:rPr>
        <w:t>Instead, the current BN(O) scheme, which has seen the arrival of 135,400 migrants, aims to exploit the capital and labour potential of Hong Kongers while providing minimal support to them.  This approach seeks to maximize the income derived from Hong Kongers while simultaneously addressing the various deficits that the UK is experiencing as a consequence of Brexit and other factors.  Moreover, the implementation of the BN(O) scheme means that individuals who are not already prepared to undertake the challenges associated with acquiring British citizenship, even without the new visa program</w:t>
      </w:r>
      <w:r>
        <w:rPr>
          <w:rFonts w:eastAsia="Liberation Serif" w:cs="Times New Roman"/>
          <w:b w:val="false"/>
          <w:bCs w:val="false"/>
          <w:u w:val="none"/>
        </w:rPr>
        <w:t>me</w:t>
      </w:r>
      <w:r>
        <w:rPr>
          <w:rFonts w:eastAsia="Liberation Serif" w:cs="Times New Roman"/>
          <w:b w:val="false"/>
          <w:bCs w:val="false"/>
          <w:u w:val="none"/>
        </w:rPr>
        <w:t xml:space="preserve">, are likely to struggle with the cultural, financial, and linguistic challenges they will encounter in the UK.  Failing to endure the five-year process will not only leave them in a worse-off position compared to if they had not immigrated under the scheme, but will also render them increasingly vulnerable, almost to the same extent as Hong Kong asylum seekers, who have already endured numerous violations of their civil and political rights. </w:t>
      </w:r>
      <w:r>
        <w:br w:type="page"/>
      </w:r>
    </w:p>
    <w:p>
      <w:pPr>
        <w:pStyle w:val="LO-normal"/>
        <w:numPr>
          <w:ilvl w:val="0"/>
          <w:numId w:val="1"/>
        </w:numPr>
        <w:spacing w:before="114" w:after="114"/>
        <w:rPr/>
      </w:pPr>
      <w:r>
        <w:rPr/>
        <w:t>In view of the above, IPLSA recommends the following actions for the State Party:-</w:t>
      </w:r>
    </w:p>
    <w:p>
      <w:pPr>
        <w:pStyle w:val="LO-normal"/>
        <w:numPr>
          <w:ilvl w:val="1"/>
          <w:numId w:val="1"/>
        </w:numPr>
        <w:spacing w:before="114" w:after="114"/>
        <w:rPr/>
      </w:pPr>
      <w:r>
        <w:rPr/>
        <w:t>to provide Hong Kong residents with increased funding, resources, and integration support, such as initiatives like the Welcome Programme;</w:t>
      </w:r>
    </w:p>
    <w:p>
      <w:pPr>
        <w:pStyle w:val="LO-normal"/>
        <w:numPr>
          <w:ilvl w:val="1"/>
          <w:numId w:val="1"/>
        </w:numPr>
        <w:spacing w:before="114" w:after="114"/>
        <w:rPr/>
      </w:pPr>
      <w:r>
        <w:rPr/>
        <w:t>to ensure the protection of civil and political liberties for all asylum seekers, irrespective of their place of origin, in accordance with the United Kingdom's commitment to the ICCPR.  Instances of violations of these rights should be addressed with effective remedies in accordance with Article 2(3) of the ICCPR;</w:t>
      </w:r>
    </w:p>
    <w:p>
      <w:pPr>
        <w:pStyle w:val="LO-normal"/>
        <w:numPr>
          <w:ilvl w:val="1"/>
          <w:numId w:val="1"/>
        </w:numPr>
        <w:spacing w:before="114" w:after="114"/>
        <w:rPr/>
      </w:pPr>
      <w:r>
        <w:rPr/>
        <w:t>to issue a formal apology to the people and government of Hong Kong for having misled the public regarding the relationship between the Extradition Bill, the National Security Law, and the 1984 Sino-British Joint Declaration; and</w:t>
      </w:r>
    </w:p>
    <w:p>
      <w:pPr>
        <w:pStyle w:val="LO-normal"/>
        <w:numPr>
          <w:ilvl w:val="1"/>
          <w:numId w:val="1"/>
        </w:numPr>
        <w:spacing w:before="114" w:after="114"/>
        <w:rPr/>
      </w:pPr>
      <w:r>
        <w:rPr/>
        <w:t xml:space="preserve">to </w:t>
      </w:r>
      <w:r>
        <w:rPr/>
        <w:t xml:space="preserve">repair the UK’s international credibility and uphold its ability to honour international commitments; it is vital for the UK to align its actions and policies with </w:t>
      </w:r>
      <w:r>
        <w:rPr/>
        <w:t xml:space="preserve">international agreements, including the Sino-British Joint Declaration.  </w:t>
      </w:r>
      <w:r>
        <w:rPr/>
        <w:t xml:space="preserve">This can be achieved by allowing </w:t>
      </w:r>
      <w:r>
        <w:rPr/>
        <w:t>China to exercise its right to manage Hong Kong's foreign and defence affairs without undue interference.</w:t>
      </w:r>
    </w:p>
    <w:p>
      <w:pPr>
        <w:pStyle w:val="LO-normal"/>
        <w:numPr>
          <w:ilvl w:val="0"/>
          <w:numId w:val="1"/>
        </w:numPr>
        <w:spacing w:before="114" w:after="114"/>
        <w:rPr/>
      </w:pPr>
      <w:r>
        <w:rPr/>
        <w:t>IPLSA recommends the following for the Human Rights Committee:-</w:t>
      </w:r>
    </w:p>
    <w:p>
      <w:pPr>
        <w:pStyle w:val="LO-normal"/>
        <w:numPr>
          <w:ilvl w:val="1"/>
          <w:numId w:val="1"/>
        </w:numPr>
        <w:spacing w:before="114" w:after="114"/>
        <w:rPr/>
      </w:pPr>
      <w:r>
        <w:rPr/>
        <w:t>to play a crucial role as a neutral mediator between Hong Kong (China) and the United Kingdom, facilitating dialogue and negotiations to establish common ground and address grievances; and</w:t>
      </w:r>
    </w:p>
    <w:p>
      <w:pPr>
        <w:pStyle w:val="LO-normal"/>
        <w:numPr>
          <w:ilvl w:val="1"/>
          <w:numId w:val="1"/>
        </w:numPr>
        <w:spacing w:before="114" w:after="114"/>
        <w:rPr/>
      </w:pPr>
      <w:r>
        <w:rPr/>
        <w:t>to closely monitor the situation of Hong Kong BN(O) migrants in the UK, documenting any human rights violations or breaches of international agreements and providing impartial reports to the international community to prevent a recurrence of incidents akin to the Windrush Scandal.</w:t>
      </w:r>
    </w:p>
    <w:sectPr>
      <w:headerReference w:type="default" r:id="rId3"/>
      <w:footerReference w:type="default" r:id="rId4"/>
      <w:footnotePr>
        <w:numFmt w:val="decimal"/>
      </w:footnotePr>
      <w:type w:val="nextPage"/>
      <w:pgSz w:w="11906" w:h="16838"/>
      <w:pgMar w:left="1134" w:right="1134" w:gutter="0" w:header="1134" w:top="3061" w:footer="1134" w:bottom="1693"/>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Mono">
    <w:altName w:val="Courier New"/>
    <w:charset w:val="00"/>
    <w:family w:val="roman"/>
    <w:pitch w:val="variable"/>
  </w:font>
  <w:font w:name="Liberation Sans">
    <w:altName w:val="Arial"/>
    <w:charset w:val="00"/>
    <w:family w:val="roman"/>
    <w:pitch w:val="variable"/>
  </w:font>
  <w:font w:name="..">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31</w:t>
    </w:r>
    <w:r>
      <w:rP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
        <w:rPr/>
      </w:pPr>
      <w:r>
        <w:rPr>
          <w:rStyle w:val="FootnoteCharacters"/>
        </w:rPr>
        <w:footnoteRef/>
      </w:r>
      <w:r>
        <w:rPr/>
        <w:tab/>
        <w:t xml:space="preserve">The Windrush scandal originated from the destruction of thousands of landing cards, which were vital in proving the arrival dates of Windrush migrants to the UK. This had significant consequences for the affected migrants due to the implementation of the Hostile Environment policy in May 2012. The policy aimed to create obstacles for irregular migrants by imposing stringent documentation requirements to establish their right to reside and work in the UK. However, numerous members of the Windrush generation, who had resided and worked in the UK for many years, were unable to present the necessary paperwork to verify their immigration status. Consequently, the Home Office, responsible for immigration matters, adopted a rigid and bureaucratic approach, resulting in wrongful detentions, deportations, denial of healthcare, and the denial of fundamental rights and services to individuals who were, in fact, lawful residents. </w:t>
      </w:r>
    </w:p>
  </w:footnote>
  <w:footnote w:id="3">
    <w:p>
      <w:pPr>
        <w:pStyle w:val="Footnote"/>
        <w:rPr/>
      </w:pPr>
      <w:r>
        <w:rPr>
          <w:rStyle w:val="FootnoteCharacters"/>
        </w:rPr>
        <w:footnoteRef/>
      </w:r>
      <w:r>
        <w:rPr/>
        <w:tab/>
        <w:t xml:space="preserve">Available at: </w:t>
      </w:r>
      <w:hyperlink r:id="rId1">
        <w:r>
          <w:rPr>
            <w:rStyle w:val="InternetLink"/>
          </w:rPr>
          <w:t>https://www.elegislation.gov.hk/hk/cap503</w:t>
        </w:r>
      </w:hyperlink>
      <w:r>
        <w:rPr/>
        <w:t xml:space="preserve"> </w:t>
      </w:r>
    </w:p>
  </w:footnote>
  <w:footnote w:id="4">
    <w:p>
      <w:pPr>
        <w:pStyle w:val="Footnote"/>
        <w:rPr/>
      </w:pPr>
      <w:r>
        <w:rPr>
          <w:rStyle w:val="FootnoteCharacters"/>
        </w:rPr>
        <w:footnoteRef/>
      </w:r>
      <w:r>
        <w:rPr/>
        <w:tab/>
        <w:t xml:space="preserve">Available at: </w:t>
      </w:r>
      <w:hyperlink r:id="rId2">
        <w:r>
          <w:rPr>
            <w:rStyle w:val="InternetLink"/>
          </w:rPr>
          <w:t>https://www.elegislation.gov.hk/hk/cap525</w:t>
        </w:r>
      </w:hyperlink>
      <w:r>
        <w:rPr/>
        <w:t xml:space="preserve"> </w:t>
      </w:r>
    </w:p>
  </w:footnote>
  <w:footnote w:id="5">
    <w:p>
      <w:pPr>
        <w:pStyle w:val="Footnote"/>
        <w:jc w:val="both"/>
        <w:rPr/>
      </w:pPr>
      <w:r>
        <w:rPr>
          <w:rStyle w:val="FootnoteCharacters"/>
        </w:rPr>
        <w:footnoteRef/>
      </w:r>
      <w:r>
        <w:rPr/>
        <w:tab/>
        <w:t xml:space="preserve">Clause 3(1) states that the MLAO “shall not apply to the provision or obtaining of assistance in criminal matters between Hong Kong and any other part of the People’s Republic of China” (Amended 71 of 1999 s. 3), </w:t>
      </w:r>
      <w:r>
        <w:rPr>
          <w:i/>
          <w:iCs/>
        </w:rPr>
        <w:t>op. cit</w:t>
      </w:r>
      <w:r>
        <w:rPr/>
        <w:t>.</w:t>
      </w:r>
    </w:p>
  </w:footnote>
  <w:footnote w:id="6">
    <w:p>
      <w:pPr>
        <w:pStyle w:val="Footnote"/>
        <w:jc w:val="both"/>
        <w:rPr/>
      </w:pPr>
      <w:r>
        <w:rPr>
          <w:rStyle w:val="FootnoteCharacters"/>
        </w:rPr>
        <w:footnoteRef/>
      </w:r>
      <w:r>
        <w:rPr/>
        <w:tab/>
        <w:t xml:space="preserve">Available at: </w:t>
      </w:r>
      <w:hyperlink r:id="rId3">
        <w:r>
          <w:rPr>
            <w:rStyle w:val="InternetLink"/>
          </w:rPr>
          <w:t>https://www.basiclaw.gov.hk/en/basiclaw/chapter3.html</w:t>
        </w:r>
      </w:hyperlink>
      <w:r>
        <w:rPr/>
        <w:t xml:space="preserve"> </w:t>
      </w:r>
    </w:p>
  </w:footnote>
  <w:footnote w:id="7">
    <w:p>
      <w:pPr>
        <w:pStyle w:val="Footnote"/>
        <w:rPr/>
      </w:pPr>
      <w:r>
        <w:rPr>
          <w:rStyle w:val="FootnoteCharacters"/>
        </w:rPr>
        <w:footnoteRef/>
      </w:r>
      <w:r>
        <w:rPr/>
        <w:tab/>
        <w:t xml:space="preserve">Available at: </w:t>
      </w:r>
      <w:hyperlink r:id="rId4">
        <w:r>
          <w:rPr>
            <w:rStyle w:val="InternetLink"/>
          </w:rPr>
          <w:t>https://www.legco.gov.hk/yr18-19/english/bills/brief/b201903291_brf.pdf</w:t>
        </w:r>
      </w:hyperlink>
      <w:r>
        <w:rPr/>
        <w:t xml:space="preserve"> </w:t>
      </w:r>
    </w:p>
  </w:footnote>
  <w:footnote w:id="8">
    <w:p>
      <w:pPr>
        <w:pStyle w:val="Footnote"/>
        <w:rPr/>
      </w:pPr>
      <w:r>
        <w:rPr>
          <w:rStyle w:val="FootnoteCharacters"/>
        </w:rPr>
        <w:footnoteRef/>
      </w:r>
      <w:r>
        <w:rPr>
          <w:rStyle w:val="InternetLink"/>
          <w:b w:val="false"/>
          <w:bCs w:val="false"/>
          <w:color w:val="000000"/>
          <w:u w:val="none"/>
        </w:rPr>
        <w:tab/>
        <w:t xml:space="preserve">HKSAR, (2019). 'Fugitive Offenders and Mutual Legal Assistance in Criminal Matters Legislation (Amendment) Bill 2019 to be submitted to LegCo.' Government Information Centre, Hong Kong. Accessed 3 January, 2024. Available at: </w:t>
      </w:r>
      <w:hyperlink r:id="rId5">
        <w:r>
          <w:rPr>
            <w:rStyle w:val="InternetLink"/>
            <w:b w:val="false"/>
            <w:bCs w:val="false"/>
            <w:color w:val="000000"/>
            <w:u w:val="none"/>
          </w:rPr>
          <w:t>https://www.info.gov.hk/gia/general/201903/26/P2019032600708.htm</w:t>
        </w:r>
      </w:hyperlink>
      <w:r>
        <w:rPr>
          <w:rStyle w:val="InternetLink"/>
          <w:b w:val="false"/>
          <w:bCs w:val="false"/>
          <w:color w:val="000000"/>
          <w:u w:val="none"/>
        </w:rPr>
        <w:t xml:space="preserve"> </w:t>
      </w:r>
      <w:r>
        <w:rPr>
          <w:b w:val="false"/>
          <w:bCs w:val="false"/>
          <w:color w:val="000000"/>
          <w:u w:val="none"/>
        </w:rPr>
        <w:t xml:space="preserve"> </w:t>
      </w:r>
    </w:p>
  </w:footnote>
  <w:footnote w:id="9">
    <w:p>
      <w:pPr>
        <w:pStyle w:val="Footnote"/>
        <w:rPr/>
      </w:pPr>
      <w:r>
        <w:rPr>
          <w:rStyle w:val="FootnoteCharacters"/>
        </w:rPr>
        <w:footnoteRef/>
      </w:r>
      <w:r>
        <w:rPr/>
        <w:tab/>
        <w:t xml:space="preserve">See, for instance, </w:t>
      </w:r>
      <w:r>
        <w:rPr>
          <w:i/>
          <w:iCs/>
        </w:rPr>
        <w:t>The Telegraph</w:t>
      </w:r>
      <w:r>
        <w:rPr/>
        <w:t xml:space="preserve">, (2020). “Hong Kong Lawmaker Hurls Homemade Stink Bomb in Legislative Council”  </w:t>
      </w:r>
      <w:hyperlink r:id="rId6">
        <w:r>
          <w:rPr>
            <w:rStyle w:val="InternetLink"/>
          </w:rPr>
          <w:t>https://www.youtube.com/watch?v=Bt4Kyh4Fuj0</w:t>
        </w:r>
      </w:hyperlink>
      <w:r>
        <w:rPr>
          <w:rStyle w:val="InternetLink"/>
          <w:u w:val="none"/>
        </w:rPr>
        <w:t xml:space="preserve">; </w:t>
      </w:r>
      <w:r>
        <w:rPr>
          <w:rStyle w:val="InternetLink"/>
          <w:color w:val="000000"/>
          <w:u w:val="none"/>
        </w:rPr>
        <w:t xml:space="preserve">and </w:t>
      </w:r>
      <w:r>
        <w:rPr>
          <w:rStyle w:val="InternetLink"/>
          <w:i/>
          <w:iCs/>
          <w:color w:val="000000"/>
          <w:u w:val="none"/>
        </w:rPr>
        <w:t>Global News</w:t>
      </w:r>
      <w:r>
        <w:rPr>
          <w:rStyle w:val="InternetLink"/>
          <w:color w:val="000000"/>
          <w:u w:val="none"/>
        </w:rPr>
        <w:t xml:space="preserve">, (2019). “Fight Breaks out in Hong Kong’s Legislature over Extradition Law”. </w:t>
      </w:r>
      <w:r>
        <w:rPr>
          <w:rStyle w:val="InternetLink"/>
          <w:b w:val="false"/>
          <w:bCs w:val="false"/>
          <w:color w:val="000000"/>
          <w:u w:val="none"/>
        </w:rPr>
        <w:t>Accessed 3 January, 2024.  Available at:</w:t>
      </w:r>
      <w:r>
        <w:rPr/>
        <w:t xml:space="preserve"> </w:t>
      </w:r>
      <w:hyperlink r:id="rId7">
        <w:r>
          <w:rPr>
            <w:rStyle w:val="InternetLink"/>
          </w:rPr>
          <w:t>https://www.youtube.com/watch?v=mki_XrL3sJU</w:t>
        </w:r>
      </w:hyperlink>
      <w:r>
        <w:rPr/>
        <w:t>.</w:t>
      </w:r>
    </w:p>
  </w:footnote>
  <w:footnote w:id="10">
    <w:p>
      <w:pPr>
        <w:pStyle w:val="Footnote"/>
        <w:rPr/>
      </w:pPr>
      <w:r>
        <w:rPr>
          <w:rStyle w:val="FootnoteCharacters"/>
        </w:rPr>
        <w:footnoteRef/>
      </w:r>
      <w:r>
        <w:rPr/>
        <w:tab/>
        <w:t xml:space="preserve">See, for instance, </w:t>
      </w:r>
      <w:r>
        <w:rPr>
          <w:i/>
          <w:iCs/>
        </w:rPr>
        <w:t>Guardian News</w:t>
      </w:r>
      <w:r>
        <w:rPr/>
        <w:t xml:space="preserve">, (2020). “Brawl Erupts between Hong Kong Politicians in Fight for Chair” </w:t>
      </w:r>
      <w:r>
        <w:rPr>
          <w:rStyle w:val="InternetLink"/>
          <w:b w:val="false"/>
          <w:bCs w:val="false"/>
          <w:color w:val="000000"/>
          <w:u w:val="none"/>
        </w:rPr>
        <w:t>Accessed 3 January, 2024. Available at:</w:t>
      </w:r>
      <w:r>
        <w:rPr/>
        <w:t xml:space="preserve"> </w:t>
      </w:r>
      <w:hyperlink r:id="rId8">
        <w:r>
          <w:rPr>
            <w:rStyle w:val="InternetLink"/>
          </w:rPr>
          <w:t>https://www.youtube.com/watch?v=p6yIsQyvgTQ</w:t>
        </w:r>
      </w:hyperlink>
      <w:r>
        <w:rPr/>
        <w:t xml:space="preserve">; </w:t>
      </w:r>
      <w:r>
        <w:rPr>
          <w:i/>
          <w:iCs/>
        </w:rPr>
        <w:t>Reuters</w:t>
      </w:r>
      <w:r>
        <w:rPr/>
        <w:t xml:space="preserve">, (2020). “Protesting Lawmakers Yanked from Hong Kong Legislature” </w:t>
      </w:r>
      <w:r>
        <w:rPr>
          <w:rStyle w:val="InternetLink"/>
          <w:b w:val="false"/>
          <w:bCs w:val="false"/>
          <w:color w:val="000000"/>
          <w:u w:val="none"/>
        </w:rPr>
        <w:t>Accessed 3 January, 2024.  Available at:</w:t>
      </w:r>
      <w:r>
        <w:rPr/>
        <w:t xml:space="preserve"> </w:t>
      </w:r>
      <w:hyperlink r:id="rId9">
        <w:r>
          <w:rPr>
            <w:rStyle w:val="InternetLink"/>
          </w:rPr>
          <w:t>https://www.youtube.com/watch?v=SBdxW40G-88</w:t>
        </w:r>
      </w:hyperlink>
      <w:r>
        <w:rPr/>
        <w:t xml:space="preserve">; and </w:t>
      </w:r>
      <w:r>
        <w:rPr>
          <w:i w:val="false"/>
          <w:iCs w:val="false"/>
        </w:rPr>
        <w:t>Sum</w:t>
      </w:r>
      <w:r>
        <w:rPr/>
        <w:t xml:space="preserve">, L., Su, X., &amp; Lum, A. (2019). “Hong Kong government condemns ‘disorderly and uncontrollable conditions’ after Legco chaos halts meeting of committee reviewing extradition bill” </w:t>
      </w:r>
      <w:r>
        <w:rPr>
          <w:i/>
          <w:iCs/>
        </w:rPr>
        <w:t>South China Morning Post</w:t>
      </w:r>
      <w:r>
        <w:rPr/>
        <w:t xml:space="preserve">. </w:t>
      </w:r>
      <w:r>
        <w:rPr>
          <w:rStyle w:val="InternetLink"/>
          <w:b w:val="false"/>
          <w:bCs w:val="false"/>
          <w:color w:val="000000"/>
          <w:u w:val="none"/>
        </w:rPr>
        <w:t>Accessed 3 January, 2024.  Available at:</w:t>
      </w:r>
      <w:r>
        <w:rPr/>
        <w:t xml:space="preserve"> </w:t>
      </w:r>
      <w:hyperlink r:id="rId10">
        <w:r>
          <w:rPr>
            <w:rStyle w:val="InternetLink"/>
          </w:rPr>
          <w:t>https://www.scmp.com/news/hong-kong/politics/article/3009821/lawmaker-injured-legislative-council-clash-battle-over</w:t>
        </w:r>
      </w:hyperlink>
      <w:r>
        <w:rPr/>
        <w:t>.</w:t>
      </w:r>
    </w:p>
  </w:footnote>
  <w:footnote w:id="11">
    <w:p>
      <w:pPr>
        <w:pStyle w:val="Footnote"/>
        <w:rPr/>
      </w:pPr>
      <w:r>
        <w:rPr>
          <w:rStyle w:val="FootnoteCharacters"/>
        </w:rPr>
        <w:footnoteRef/>
      </w:r>
      <w:r>
        <w:rPr/>
        <w:tab/>
        <w:t>Members comprised of delegates from the Labour Party, Civic Party (members of which are famous for their staunch stance against the enactment of Article 23 of the Basic Law), Democratic Alliance, Democratic Party, HK First, Hong Kong Association for Democracy and People’s Livelihood, League of Social Democrats, Neighbourhood and Worker’s Service Centre, Neo Democrats, and the Professional Commons.</w:t>
      </w:r>
    </w:p>
  </w:footnote>
  <w:footnote w:id="12">
    <w:p>
      <w:pPr>
        <w:pStyle w:val="Footnote"/>
        <w:rPr/>
      </w:pPr>
      <w:r>
        <w:rPr>
          <w:rStyle w:val="FootnoteCharacters"/>
        </w:rPr>
        <w:footnoteRef/>
      </w:r>
      <w:r>
        <w:rPr>
          <w:rStyle w:val="InternetLink"/>
          <w:color w:val="000000"/>
          <w:u w:val="none"/>
        </w:rPr>
        <w:tab/>
        <w:t xml:space="preserve">Hunt, J. (2019). “Proposed extradition law changes in Hong Kong: UK and Canada joint statement” </w:t>
      </w:r>
      <w:r>
        <w:rPr>
          <w:rStyle w:val="InternetLink"/>
          <w:b w:val="false"/>
          <w:bCs w:val="false"/>
          <w:color w:val="000000"/>
          <w:u w:val="none"/>
        </w:rPr>
        <w:t xml:space="preserve">Accessed 3 January, 2024. Available at: </w:t>
      </w:r>
      <w:hyperlink r:id="rId11">
        <w:r>
          <w:rPr>
            <w:rStyle w:val="InternetLink"/>
            <w:u w:val="none"/>
          </w:rPr>
          <w:t>https://www.gov.uk/government/news/uk-and-canada-joint-statement-on-hong-kong</w:t>
        </w:r>
      </w:hyperlink>
      <w:r>
        <w:rPr>
          <w:rStyle w:val="InternetLink"/>
          <w:u w:val="none"/>
        </w:rPr>
        <w:t xml:space="preserve"> </w:t>
      </w:r>
    </w:p>
  </w:footnote>
  <w:footnote w:id="13">
    <w:p>
      <w:pPr>
        <w:pStyle w:val="Footnote"/>
        <w:rPr/>
      </w:pPr>
      <w:r>
        <w:rPr>
          <w:rStyle w:val="FootnoteCharacters"/>
        </w:rPr>
        <w:footnoteRef/>
      </w:r>
      <w:r>
        <w:rPr>
          <w:rStyle w:val="InternetLink"/>
          <w:b w:val="false"/>
          <w:bCs w:val="false"/>
          <w:color w:val="000000"/>
          <w:u w:val="none"/>
        </w:rPr>
        <w:tab/>
        <w:t xml:space="preserve">UK Parliament, (2019). “Hong Kong – Volume 661: debated on Monday 10 June 2019” Accessed 3 January, 2024. Available at: </w:t>
      </w:r>
      <w:r>
        <w:fldChar w:fldCharType="begin"/>
      </w:r>
      <w:r>
        <w:rPr>
          <w:rStyle w:val="InternetLink"/>
          <w:u w:val="none"/>
          <w:b w:val="false"/>
          <w:bCs w:val="false"/>
          <w:color w:val="000000"/>
        </w:rPr>
        <w:instrText xml:space="preserve"> HYPERLINK "https://hansard.parliament.uk/commons/2019-06-10/debates/2C515D59-45D4-40A4-8C25-E449609AA909/HongKong" \l "contribution-A2ED4B66-BE60-4982-A2E9-ECB42E6EC571"</w:instrText>
      </w:r>
      <w:r>
        <w:rPr>
          <w:rStyle w:val="InternetLink"/>
          <w:u w:val="none"/>
          <w:b w:val="false"/>
          <w:bCs w:val="false"/>
          <w:color w:val="000000"/>
        </w:rPr>
        <w:fldChar w:fldCharType="separate"/>
      </w:r>
      <w:r>
        <w:rPr>
          <w:rStyle w:val="InternetLink"/>
          <w:b w:val="false"/>
          <w:bCs w:val="false"/>
          <w:color w:val="000000"/>
          <w:u w:val="none"/>
        </w:rPr>
        <w:t>https://hansard.parliament.uk/commons/2019-06-10/debates/2C515D59-45D4-40A4-8C25-E449609AA909/HongKong#contribution-A2ED4B66-BE60-4982-A2E9-ECB42E6EC571</w:t>
      </w:r>
      <w:r>
        <w:rPr>
          <w:rStyle w:val="InternetLink"/>
          <w:u w:val="none"/>
          <w:b w:val="false"/>
          <w:bCs w:val="false"/>
          <w:color w:val="000000"/>
        </w:rPr>
        <w:fldChar w:fldCharType="end"/>
      </w:r>
      <w:r>
        <w:rPr>
          <w:rStyle w:val="InternetLink"/>
          <w:b w:val="false"/>
          <w:bCs w:val="false"/>
          <w:color w:val="000000"/>
          <w:u w:val="none"/>
        </w:rPr>
        <w:t xml:space="preserve"> </w:t>
      </w:r>
    </w:p>
  </w:footnote>
  <w:footnote w:id="14">
    <w:p>
      <w:pPr>
        <w:pStyle w:val="Footnote"/>
        <w:rPr/>
      </w:pPr>
      <w:r>
        <w:rPr>
          <w:rStyle w:val="FootnoteCharacters"/>
        </w:rPr>
        <w:footnoteRef/>
      </w:r>
      <w:r>
        <w:rPr/>
        <w:tab/>
        <w:t>Ibid.</w:t>
      </w:r>
    </w:p>
  </w:footnote>
  <w:footnote w:id="15">
    <w:p>
      <w:pPr>
        <w:pStyle w:val="Footnote"/>
        <w:rPr/>
      </w:pPr>
      <w:r>
        <w:rPr>
          <w:rStyle w:val="FootnoteCharacters"/>
        </w:rPr>
        <w:footnoteRef/>
      </w:r>
      <w:r>
        <w:rPr/>
        <w:tab/>
        <w:t>Ibid.</w:t>
      </w:r>
    </w:p>
  </w:footnote>
  <w:footnote w:id="16">
    <w:p>
      <w:pPr>
        <w:pStyle w:val="Footnote"/>
        <w:rPr/>
      </w:pPr>
      <w:r>
        <w:rPr>
          <w:rStyle w:val="FootnoteCharacters"/>
        </w:rPr>
        <w:footnoteRef/>
      </w:r>
      <w:r>
        <w:rPr>
          <w:rStyle w:val="InternetLink"/>
          <w:b w:val="false"/>
          <w:bCs w:val="false"/>
          <w:color w:val="000000"/>
          <w:u w:val="none"/>
        </w:rPr>
        <w:tab/>
        <w:t xml:space="preserve">UK Parliament, (2019).  “UK Foreign Policy: China and Hong Kong – Volume 661: debated on Monday 10 June 2019” Accessed 3 January, 2024. Available at: </w:t>
      </w:r>
      <w:hyperlink r:id="rId12">
        <w:r>
          <w:rPr>
            <w:rStyle w:val="InternetLink"/>
          </w:rPr>
          <w:t>https://hansard.parliament.uk/Commons/2019-06-10/debates/06B2EDB4-6993-418C-9094-072BA088ABE9/UKForeignPolicyChinaAndHongKong</w:t>
        </w:r>
      </w:hyperlink>
      <w:r>
        <w:rPr/>
        <w:t xml:space="preserve"> </w:t>
      </w:r>
    </w:p>
  </w:footnote>
  <w:footnote w:id="17">
    <w:p>
      <w:pPr>
        <w:pStyle w:val="Footnote"/>
        <w:rPr/>
      </w:pPr>
      <w:r>
        <w:rPr>
          <w:rStyle w:val="FootnoteCharacters"/>
        </w:rPr>
        <w:footnoteRef/>
      </w:r>
      <w:r>
        <w:rPr>
          <w:rStyle w:val="InternetLink"/>
          <w:b w:val="false"/>
          <w:bCs w:val="false"/>
          <w:color w:val="000000"/>
          <w:u w:val="none"/>
        </w:rPr>
        <w:tab/>
        <w:t xml:space="preserve">UK Parliament, (2019). “Hong Kong – Volume 661: debated on Thursday 13 June 2019” Accessed 3 January, 2024. Available at: </w:t>
      </w:r>
      <w:hyperlink r:id="rId13">
        <w:r>
          <w:rPr>
            <w:rStyle w:val="InternetLink"/>
          </w:rPr>
          <w:t>https://hansard.parliament.uk/commons/2019-06-13/debates/AFB8711A-8CB2-4A56-89C3-DEA4EE0A10A0/HongKong</w:t>
        </w:r>
      </w:hyperlink>
      <w:r>
        <w:rPr/>
        <w:t xml:space="preserve"> </w:t>
      </w:r>
    </w:p>
  </w:footnote>
  <w:footnote w:id="18">
    <w:p>
      <w:pPr>
        <w:pStyle w:val="Footnote"/>
        <w:rPr/>
      </w:pPr>
      <w:r>
        <w:rPr>
          <w:rStyle w:val="FootnoteCharacters"/>
        </w:rPr>
        <w:footnoteRef/>
      </w:r>
      <w:r>
        <w:rPr>
          <w:rStyle w:val="InternetLink"/>
          <w:b w:val="false"/>
          <w:bCs w:val="false"/>
          <w:color w:val="000000"/>
          <w:u w:val="none"/>
        </w:rPr>
        <w:tab/>
        <w:t xml:space="preserve">UK Parliament, (2019).  “The UK’s reaction to protests in Hong Kong” Accessed 3 January, 2024. Available at: </w:t>
      </w:r>
      <w:hyperlink r:id="rId14">
        <w:r>
          <w:rPr>
            <w:rStyle w:val="InternetLink"/>
          </w:rPr>
          <w:t>https://commonslibrary.parliament.uk/the-uks-reaction-to-protests-in-hong-kong/</w:t>
        </w:r>
      </w:hyperlink>
      <w:r>
        <w:rPr/>
        <w:t xml:space="preserve"> </w:t>
      </w:r>
    </w:p>
  </w:footnote>
  <w:footnote w:id="19">
    <w:p>
      <w:pPr>
        <w:pStyle w:val="Footnote"/>
        <w:rPr/>
      </w:pPr>
      <w:r>
        <w:rPr>
          <w:rStyle w:val="FootnoteCharacters"/>
        </w:rPr>
        <w:footnoteRef/>
      </w:r>
      <w:r>
        <w:rPr>
          <w:rStyle w:val="InternetLink"/>
          <w:b w:val="false"/>
          <w:bCs w:val="false"/>
          <w:color w:val="000000"/>
          <w:u w:val="none"/>
        </w:rPr>
        <w:tab/>
        <w:t xml:space="preserve">Hunt, J. (2019). “Anniversary of the handover of Hong Kong: Foreign Secretary statement” Accessed 3 January, 2024. Available at: </w:t>
      </w:r>
      <w:hyperlink r:id="rId15">
        <w:r>
          <w:rPr>
            <w:rStyle w:val="InternetLink"/>
          </w:rPr>
          <w:t>https://www.gov.uk/government/news/foreign-secretary-statement-on-the-anniversary-of-the-handover-of-hong-kong</w:t>
        </w:r>
      </w:hyperlink>
    </w:p>
  </w:footnote>
  <w:footnote w:id="20">
    <w:p>
      <w:pPr>
        <w:pStyle w:val="Footnote"/>
        <w:rPr/>
      </w:pPr>
      <w:r>
        <w:rPr>
          <w:rStyle w:val="FootnoteCharacters"/>
        </w:rPr>
        <w:footnoteRef/>
      </w:r>
      <w:r>
        <w:rPr/>
        <w:tab/>
        <w:t>Note: 1 July, 2019, marks the 22</w:t>
      </w:r>
      <w:r>
        <w:rPr>
          <w:vertAlign w:val="superscript"/>
        </w:rPr>
        <w:t>nd</w:t>
      </w:r>
      <w:r>
        <w:rPr/>
        <w:t xml:space="preserve"> anniversary of the handover of Hong Kong.</w:t>
      </w:r>
    </w:p>
  </w:footnote>
  <w:footnote w:id="21">
    <w:p>
      <w:pPr>
        <w:pStyle w:val="Footnote"/>
        <w:rPr/>
      </w:pPr>
      <w:r>
        <w:rPr>
          <w:rStyle w:val="FootnoteCharacters"/>
        </w:rPr>
        <w:footnoteRef/>
      </w:r>
      <w:r>
        <w:rPr>
          <w:rStyle w:val="InternetLink"/>
          <w:b w:val="false"/>
          <w:bCs w:val="false"/>
          <w:color w:val="000000"/>
          <w:u w:val="none"/>
        </w:rPr>
        <w:tab/>
        <w:t xml:space="preserve">Hunt, J. [@Jeremy_Hunt] (2019) [Tweet] </w:t>
      </w:r>
      <w:hyperlink r:id="rId16">
        <w:r>
          <w:rPr>
            <w:rStyle w:val="InternetLink"/>
          </w:rPr>
          <w:t>https://twitter.com/Jeremy_Hunt/status/1145697957058101248</w:t>
        </w:r>
      </w:hyperlink>
    </w:p>
  </w:footnote>
  <w:footnote w:id="22">
    <w:p>
      <w:pPr>
        <w:pStyle w:val="Footnote"/>
        <w:rPr/>
      </w:pPr>
      <w:r>
        <w:rPr>
          <w:rStyle w:val="FootnoteCharacters"/>
        </w:rPr>
        <w:footnoteRef/>
      </w:r>
      <w:r>
        <w:rPr>
          <w:rStyle w:val="InternetLink"/>
          <w:b w:val="false"/>
          <w:bCs w:val="false"/>
          <w:color w:val="000000"/>
          <w:u w:val="none"/>
        </w:rPr>
        <w:tab/>
        <w:t>Lum, A., Chung, K., &amp; Lam, J. (2019). “Hong Kong’s ‘dead’ extradition bill finally buried as government formally withdraws it”</w:t>
      </w:r>
      <w:r>
        <w:rPr>
          <w:rStyle w:val="InternetLink"/>
          <w:b w:val="false"/>
          <w:bCs w:val="false"/>
          <w:i/>
          <w:iCs/>
          <w:color w:val="000000"/>
          <w:u w:val="none"/>
        </w:rPr>
        <w:t xml:space="preserve"> South China Morning Post</w:t>
      </w:r>
      <w:r>
        <w:rPr>
          <w:rStyle w:val="InternetLink"/>
          <w:b w:val="false"/>
          <w:bCs w:val="false"/>
          <w:i w:val="false"/>
          <w:iCs w:val="false"/>
          <w:color w:val="000000"/>
          <w:u w:val="none"/>
        </w:rPr>
        <w:t>.</w:t>
      </w:r>
      <w:r>
        <w:rPr>
          <w:rStyle w:val="InternetLink"/>
          <w:b w:val="false"/>
          <w:bCs w:val="false"/>
          <w:i/>
          <w:iCs/>
          <w:color w:val="000000"/>
          <w:u w:val="none"/>
        </w:rPr>
        <w:t xml:space="preserve"> </w:t>
      </w:r>
      <w:r>
        <w:rPr>
          <w:rStyle w:val="InternetLink"/>
          <w:b w:val="false"/>
          <w:bCs w:val="false"/>
          <w:color w:val="000000"/>
          <w:u w:val="none"/>
        </w:rPr>
        <w:t xml:space="preserve">Accessed 3 January, 2024. Available at: </w:t>
      </w:r>
      <w:hyperlink r:id="rId17">
        <w:r>
          <w:rPr>
            <w:rStyle w:val="InternetLink"/>
          </w:rPr>
          <w:t>https://www.scmp.com/news/hong-kong/politics/article/3034263/hong-kong-government-officially-withdraws-extradition-bill</w:t>
        </w:r>
      </w:hyperlink>
    </w:p>
  </w:footnote>
  <w:footnote w:id="23">
    <w:p>
      <w:pPr>
        <w:pStyle w:val="Footnote"/>
        <w:rPr/>
      </w:pPr>
      <w:r>
        <w:rPr>
          <w:rStyle w:val="FootnoteCharacters"/>
        </w:rPr>
        <w:footnoteRef/>
      </w:r>
      <w:r>
        <w:rPr>
          <w:rStyle w:val="InternetLink"/>
          <w:b w:val="false"/>
          <w:bCs w:val="false"/>
          <w:color w:val="000000"/>
          <w:u w:val="none"/>
        </w:rPr>
        <w:tab/>
        <w:t xml:space="preserve">Johnson, B., (2020).  “For Hongkongers fearing for their way of life, Britain will provide an alternative” </w:t>
      </w:r>
      <w:r>
        <w:rPr>
          <w:rStyle w:val="InternetLink"/>
          <w:b w:val="false"/>
          <w:bCs w:val="false"/>
          <w:i/>
          <w:iCs/>
          <w:color w:val="000000"/>
          <w:u w:val="none"/>
        </w:rPr>
        <w:t xml:space="preserve">South China Morning Post. </w:t>
      </w:r>
      <w:r>
        <w:rPr>
          <w:rStyle w:val="InternetLink"/>
          <w:b w:val="false"/>
          <w:bCs w:val="false"/>
          <w:color w:val="000000"/>
          <w:u w:val="none"/>
        </w:rPr>
        <w:t xml:space="preserve">Accessed 3 January, 2024. Available at: </w:t>
      </w:r>
      <w:hyperlink r:id="rId18">
        <w:r>
          <w:rPr>
            <w:rStyle w:val="InternetLink"/>
          </w:rPr>
          <w:t>https://www.scmp.com/comment/opinion/article/3087252/hongkongers-fearing-their-way-life-britain-will-provide-alternative</w:t>
        </w:r>
      </w:hyperlink>
    </w:p>
  </w:footnote>
  <w:footnote w:id="24">
    <w:p>
      <w:pPr>
        <w:pStyle w:val="Footnote"/>
        <w:rPr/>
      </w:pPr>
      <w:r>
        <w:rPr>
          <w:rStyle w:val="FootnoteCharacters"/>
        </w:rPr>
        <w:footnoteRef/>
      </w:r>
      <w:r>
        <w:rPr/>
        <w:tab/>
        <w:t xml:space="preserve">Available at: </w:t>
      </w:r>
      <w:hyperlink r:id="rId19">
        <w:r>
          <w:rPr>
            <w:rStyle w:val="InternetLink"/>
          </w:rPr>
          <w:t>https://www.basiclaw.gov.hk/en/basiclaw/chapter2.html</w:t>
        </w:r>
      </w:hyperlink>
      <w:r>
        <w:rPr/>
        <w:t xml:space="preserve"> </w:t>
      </w:r>
    </w:p>
  </w:footnote>
  <w:footnote w:id="25">
    <w:p>
      <w:pPr>
        <w:pStyle w:val="Footnote"/>
        <w:rPr/>
      </w:pPr>
      <w:r>
        <w:rPr>
          <w:rStyle w:val="FootnoteCharacters"/>
        </w:rPr>
        <w:footnoteRef/>
      </w:r>
      <w:r>
        <w:rPr>
          <w:rStyle w:val="InternetLink"/>
          <w:b w:val="false"/>
          <w:bCs w:val="false"/>
          <w:color w:val="000000"/>
          <w:u w:val="none"/>
        </w:rPr>
        <w:tab/>
        <w:t xml:space="preserve">Raab, D., (2020). “National security legislation in Hong Kong: Foreign Secretary's statement in Parliament” Accessed 3 January, 2024. Available at: </w:t>
      </w:r>
      <w:hyperlink r:id="rId20">
        <w:r>
          <w:rPr>
            <w:rStyle w:val="InternetLink"/>
          </w:rPr>
          <w:t>https://www.gov.uk/government/speeches/foreign-secretary-statement-on-national-security-legislation-in-hong-kong</w:t>
        </w:r>
      </w:hyperlink>
    </w:p>
  </w:footnote>
  <w:footnote w:id="26">
    <w:p>
      <w:pPr>
        <w:pStyle w:val="Footnote"/>
        <w:rPr/>
      </w:pPr>
      <w:r>
        <w:rPr>
          <w:rStyle w:val="FootnoteCharacters"/>
        </w:rPr>
        <w:footnoteRef/>
      </w:r>
      <w:r>
        <w:rPr>
          <w:rStyle w:val="InternetLink"/>
          <w:b w:val="false"/>
          <w:bCs w:val="false"/>
          <w:i/>
          <w:iCs/>
          <w:color w:val="000000"/>
          <w:u w:val="none"/>
        </w:rPr>
        <w:tab/>
        <w:t>Agence France-Presse</w:t>
      </w:r>
      <w:r>
        <w:rPr>
          <w:rStyle w:val="InternetLink"/>
          <w:b w:val="false"/>
          <w:bCs w:val="false"/>
          <w:color w:val="000000"/>
          <w:u w:val="none"/>
        </w:rPr>
        <w:t xml:space="preserve">, (2023). “Hong Kong: 13 go on trial over 2019 storming of legislature by pro-democracy protesters” Accessed 3 January, 2024. Available at: </w:t>
      </w:r>
      <w:hyperlink r:id="rId21">
        <w:r>
          <w:rPr>
            <w:rStyle w:val="InternetLink"/>
          </w:rPr>
          <w:t>https://www.theguardian.com/world/2023/may/29/hong-kong-13-go-on-trial-over-2019-storming-of-legislature-by-pro-democracy-protesters</w:t>
        </w:r>
      </w:hyperlink>
    </w:p>
  </w:footnote>
  <w:footnote w:id="27">
    <w:p>
      <w:pPr>
        <w:pStyle w:val="Footnote"/>
        <w:rPr/>
      </w:pPr>
      <w:r>
        <w:rPr>
          <w:rStyle w:val="FootnoteCharacters"/>
        </w:rPr>
        <w:footnoteRef/>
      </w:r>
      <w:r>
        <w:rPr>
          <w:rStyle w:val="InternetLink"/>
          <w:b w:val="false"/>
          <w:bCs w:val="false"/>
          <w:color w:val="000000"/>
          <w:u w:val="none"/>
        </w:rPr>
        <w:tab/>
        <w:t>Zhang, K., Su, X., Lau, C., Siu, P., Sum, &amp; L., Lum, A. (2019).  “Protesters storm and vandalise Legislative Council as anarchy and violence engulf Hong Kong government centre”</w:t>
      </w:r>
      <w:r>
        <w:rPr>
          <w:rStyle w:val="InternetLink"/>
          <w:b w:val="false"/>
          <w:bCs w:val="false"/>
          <w:i/>
          <w:iCs/>
          <w:color w:val="000000"/>
          <w:u w:val="none"/>
        </w:rPr>
        <w:t xml:space="preserve"> South China Morning Post</w:t>
      </w:r>
      <w:r>
        <w:rPr>
          <w:rStyle w:val="InternetLink"/>
          <w:b w:val="false"/>
          <w:bCs w:val="false"/>
          <w:i w:val="false"/>
          <w:iCs w:val="false"/>
          <w:color w:val="000000"/>
          <w:u w:val="none"/>
        </w:rPr>
        <w:t>.</w:t>
      </w:r>
      <w:r>
        <w:rPr>
          <w:rStyle w:val="InternetLink"/>
          <w:b w:val="false"/>
          <w:bCs w:val="false"/>
          <w:i/>
          <w:iCs/>
          <w:color w:val="000000"/>
          <w:u w:val="none"/>
        </w:rPr>
        <w:t xml:space="preserve"> </w:t>
      </w:r>
      <w:r>
        <w:rPr>
          <w:rStyle w:val="InternetLink"/>
          <w:b w:val="false"/>
          <w:bCs w:val="false"/>
          <w:color w:val="000000"/>
          <w:u w:val="none"/>
        </w:rPr>
        <w:t xml:space="preserve">Accessed 3 January, 2024. Available at: </w:t>
      </w:r>
      <w:hyperlink r:id="rId22">
        <w:r>
          <w:rPr>
            <w:rStyle w:val="InternetLink"/>
          </w:rPr>
          <w:t>https://www.scmp.com/news/hong-kong/politics/article/3016839/protesters-storm-and-vandalise-legislative-council-anarchy</w:t>
        </w:r>
      </w:hyperlink>
    </w:p>
  </w:footnote>
  <w:footnote w:id="28">
    <w:p>
      <w:pPr>
        <w:pStyle w:val="Footnote"/>
        <w:rPr/>
      </w:pPr>
      <w:r>
        <w:rPr>
          <w:rStyle w:val="FootnoteCharacters"/>
        </w:rPr>
        <w:footnoteRef/>
      </w:r>
      <w:r>
        <w:rPr>
          <w:rStyle w:val="InternetLink"/>
          <w:b w:val="false"/>
          <w:bCs w:val="false"/>
          <w:color w:val="000000"/>
          <w:u w:val="none"/>
        </w:rPr>
        <w:tab/>
        <w:t xml:space="preserve">Westcott, B., Yeung, J., Griffiths, J., Hollingsworth, J., George, S., &amp; Marsh, J., (2019). “Hong Kong protesters storm government building over China extradition bill” </w:t>
      </w:r>
      <w:r>
        <w:rPr>
          <w:rStyle w:val="InternetLink"/>
          <w:b w:val="false"/>
          <w:bCs w:val="false"/>
          <w:i/>
          <w:iCs/>
          <w:color w:val="000000"/>
          <w:u w:val="none"/>
        </w:rPr>
        <w:t>Cable News Network</w:t>
      </w:r>
      <w:r>
        <w:rPr>
          <w:rStyle w:val="InternetLink"/>
          <w:b w:val="false"/>
          <w:bCs w:val="false"/>
          <w:i w:val="false"/>
          <w:iCs w:val="false"/>
          <w:color w:val="000000"/>
          <w:u w:val="none"/>
        </w:rPr>
        <w:t>. Accessed</w:t>
      </w:r>
      <w:r>
        <w:rPr>
          <w:rStyle w:val="InternetLink"/>
          <w:b w:val="false"/>
          <w:bCs w:val="false"/>
          <w:color w:val="000000"/>
          <w:u w:val="none"/>
        </w:rPr>
        <w:t xml:space="preserve"> 3 January, 2024. Available at: </w:t>
      </w:r>
      <w:hyperlink r:id="rId23">
        <w:r>
          <w:rPr>
            <w:rStyle w:val="InternetLink"/>
          </w:rPr>
          <w:t>https://edition.cnn.com/asia/live-news/hong-kong-july-1-protests-intl-hnk/h_ef01ddc561fb18a5d33932051d80efa1</w:t>
        </w:r>
      </w:hyperlink>
      <w:r>
        <w:rPr/>
        <w:t xml:space="preserve"> </w:t>
      </w:r>
    </w:p>
  </w:footnote>
  <w:footnote w:id="29">
    <w:p>
      <w:pPr>
        <w:pStyle w:val="Footnote"/>
        <w:rPr/>
      </w:pPr>
      <w:r>
        <w:rPr>
          <w:rStyle w:val="FootnoteCharacters"/>
        </w:rPr>
        <w:footnoteRef/>
      </w:r>
      <w:r>
        <w:rPr>
          <w:rStyle w:val="InternetLink"/>
          <w:b w:val="false"/>
          <w:bCs w:val="false"/>
          <w:color w:val="000000"/>
          <w:u w:val="none"/>
        </w:rPr>
        <w:tab/>
        <w:t xml:space="preserve">Sitbon, S., (2019).  “Hong Kong protesters sing 'God Save the Queen', call for UK support”  </w:t>
      </w:r>
      <w:r>
        <w:rPr>
          <w:rStyle w:val="InternetLink"/>
          <w:b w:val="false"/>
          <w:bCs w:val="false"/>
          <w:i/>
          <w:iCs/>
          <w:color w:val="000000"/>
          <w:u w:val="none"/>
        </w:rPr>
        <w:t>France 24</w:t>
      </w:r>
      <w:r>
        <w:rPr>
          <w:rStyle w:val="InternetLink"/>
          <w:b w:val="false"/>
          <w:bCs w:val="false"/>
          <w:i w:val="false"/>
          <w:iCs w:val="false"/>
          <w:color w:val="000000"/>
          <w:u w:val="none"/>
        </w:rPr>
        <w:t>.  Accessed</w:t>
      </w:r>
      <w:r>
        <w:rPr>
          <w:rStyle w:val="InternetLink"/>
          <w:b w:val="false"/>
          <w:bCs w:val="false"/>
          <w:color w:val="000000"/>
          <w:u w:val="none"/>
        </w:rPr>
        <w:t xml:space="preserve"> 3 January, 2024. Available at: </w:t>
      </w:r>
      <w:hyperlink r:id="rId24">
        <w:r>
          <w:rPr>
            <w:rStyle w:val="InternetLink"/>
          </w:rPr>
          <w:t>https://www.france24.com/en/20190915-hong-kong-protesters-sing-god-save-queen-call-uk-support</w:t>
        </w:r>
      </w:hyperlink>
    </w:p>
  </w:footnote>
  <w:footnote w:id="30">
    <w:p>
      <w:pPr>
        <w:pStyle w:val="Footnote"/>
        <w:rPr/>
      </w:pPr>
      <w:r>
        <w:rPr>
          <w:rStyle w:val="FootnoteCharacters"/>
        </w:rPr>
        <w:footnoteRef/>
      </w:r>
      <w:r>
        <w:rPr>
          <w:rStyle w:val="InternetLink"/>
          <w:b w:val="false"/>
          <w:bCs w:val="false"/>
          <w:i/>
          <w:iCs/>
          <w:color w:val="000000"/>
          <w:u w:val="none"/>
        </w:rPr>
        <w:tab/>
        <w:t>Associated Press</w:t>
      </w:r>
      <w:r>
        <w:rPr>
          <w:rStyle w:val="InternetLink"/>
          <w:b w:val="false"/>
          <w:bCs w:val="false"/>
          <w:color w:val="000000"/>
          <w:u w:val="none"/>
        </w:rPr>
        <w:t xml:space="preserve">, (2019). “The Latest: Hong Kong protesters rally at British Consulate” Accessed 3 January, 2024. Available at: </w:t>
      </w:r>
      <w:hyperlink r:id="rId25">
        <w:r>
          <w:rPr>
            <w:rStyle w:val="InternetLink"/>
          </w:rPr>
          <w:t>https://news.yahoo.com/latest-hong-kong-government-withdraws-071000702.html</w:t>
        </w:r>
      </w:hyperlink>
    </w:p>
  </w:footnote>
  <w:footnote w:id="31">
    <w:p>
      <w:pPr>
        <w:pStyle w:val="Footnote"/>
        <w:rPr/>
      </w:pPr>
      <w:r>
        <w:rPr>
          <w:rStyle w:val="FootnoteCharacters"/>
        </w:rPr>
        <w:footnoteRef/>
      </w:r>
      <w:r>
        <w:rPr/>
        <w:tab/>
        <w:t xml:space="preserve">Mark, C., (2020). “Decolonising Britishness? The 1981 British Nationality Act and the Identity Crisis of Hong Kong Elites”, </w:t>
      </w:r>
      <w:r>
        <w:rPr>
          <w:i/>
          <w:iCs/>
        </w:rPr>
        <w:t>The Journal of Imperial and Commonwealth History</w:t>
      </w:r>
      <w:r>
        <w:rPr/>
        <w:t xml:space="preserve">, 48:3, 565-590, DOI: 10.1080/03086534.2019.1638619 </w:t>
      </w:r>
    </w:p>
  </w:footnote>
  <w:footnote w:id="32">
    <w:p>
      <w:pPr>
        <w:pStyle w:val="Footnote"/>
        <w:rPr/>
      </w:pPr>
      <w:r>
        <w:rPr>
          <w:rStyle w:val="FootnoteCharacters"/>
        </w:rPr>
        <w:footnoteRef/>
      </w:r>
      <w:r>
        <w:rPr/>
        <w:tab/>
        <w:t xml:space="preserve">Hurst, M., (2022). “Britain’s Approach to the Negotiations over the Future of Hong Kong, 1979–1982”, </w:t>
      </w:r>
      <w:r>
        <w:rPr>
          <w:i/>
          <w:iCs/>
        </w:rPr>
        <w:t>The International History Review</w:t>
      </w:r>
      <w:r>
        <w:rPr/>
        <w:t>, 44:6, 1386-1401, DOI: 10.1080/07075332.2021.2024588</w:t>
      </w:r>
    </w:p>
  </w:footnote>
  <w:footnote w:id="33">
    <w:p>
      <w:pPr>
        <w:pStyle w:val="Footnote"/>
        <w:rPr/>
      </w:pPr>
      <w:r>
        <w:rPr>
          <w:rStyle w:val="FootnoteCharacters"/>
        </w:rPr>
        <w:footnoteRef/>
      </w:r>
      <w:r>
        <w:rPr/>
        <w:tab/>
        <w:t xml:space="preserve">Baum, R., (1999). “Britain's ‘betrayal’ of Hong Kong: A second look”, </w:t>
      </w:r>
      <w:r>
        <w:rPr>
          <w:i/>
          <w:iCs/>
        </w:rPr>
        <w:t>Journal of Contemporary China</w:t>
      </w:r>
      <w:r>
        <w:rPr/>
        <w:t>, 8:20, 9-28, DOI: 10.1080/10670569908724333</w:t>
      </w:r>
    </w:p>
  </w:footnote>
  <w:footnote w:id="34">
    <w:p>
      <w:pPr>
        <w:pStyle w:val="Footnote"/>
        <w:rPr/>
      </w:pPr>
      <w:r>
        <w:rPr>
          <w:rStyle w:val="FootnoteCharacters"/>
        </w:rPr>
        <w:footnoteRef/>
      </w:r>
      <w:r>
        <w:rPr>
          <w:rStyle w:val="InternetLink"/>
          <w:b w:val="false"/>
          <w:bCs w:val="false"/>
          <w:color w:val="000000"/>
          <w:u w:val="none"/>
        </w:rPr>
        <w:tab/>
        <w:t xml:space="preserve">Margaret Thatcher Foundation, (2014). “Hong Kong: Howe minute to MT ("Future of Hong Kong: working paper on Nationality, Citizenship, Right of Abode, Freedom of Travel, Emigration and Immigration") [declassified 2014]” Accessed 3 January, 2024. Available at: </w:t>
      </w:r>
      <w:hyperlink r:id="rId26">
        <w:r>
          <w:rPr>
            <w:rStyle w:val="InternetLink"/>
          </w:rPr>
          <w:t>https://www.margaretthatcher.org/document/139919</w:t>
        </w:r>
      </w:hyperlink>
      <w:r>
        <w:rPr>
          <w:rStyle w:val="InternetLink"/>
        </w:rPr>
        <w:t xml:space="preserve"> </w:t>
      </w:r>
    </w:p>
  </w:footnote>
  <w:footnote w:id="35">
    <w:p>
      <w:pPr>
        <w:pStyle w:val="Footnote"/>
        <w:rPr/>
      </w:pPr>
      <w:r>
        <w:rPr>
          <w:rStyle w:val="FootnoteCharacters"/>
        </w:rPr>
        <w:footnoteRef/>
      </w:r>
      <w:r>
        <w:rPr/>
        <w:tab/>
        <w:t>Ibid.</w:t>
      </w:r>
    </w:p>
  </w:footnote>
  <w:footnote w:id="36">
    <w:p>
      <w:pPr>
        <w:pStyle w:val="Footnote"/>
        <w:rPr/>
      </w:pPr>
      <w:r>
        <w:rPr>
          <w:rStyle w:val="FootnoteCharacters"/>
        </w:rPr>
        <w:footnoteRef/>
      </w:r>
      <w:r>
        <w:rPr>
          <w:rStyle w:val="InternetLink"/>
          <w:color w:val="000000"/>
          <w:u w:val="none"/>
        </w:rPr>
        <w:tab/>
        <w:t xml:space="preserve">Available at: </w:t>
      </w:r>
      <w:hyperlink r:id="rId27">
        <w:r>
          <w:rPr>
            <w:rStyle w:val="InternetLink"/>
            <w:color w:val="000000"/>
            <w:u w:val="none"/>
          </w:rPr>
          <w:t>https://www.legislation.gov.uk/ukpga/1985/15/data.htm</w:t>
        </w:r>
      </w:hyperlink>
    </w:p>
  </w:footnote>
  <w:footnote w:id="37">
    <w:p>
      <w:pPr>
        <w:pStyle w:val="Footnote"/>
        <w:rPr/>
      </w:pPr>
      <w:r>
        <w:rPr>
          <w:rStyle w:val="FootnoteCharacters"/>
        </w:rPr>
        <w:footnoteRef/>
      </w:r>
      <w:r>
        <w:rPr>
          <w:rStyle w:val="InternetLink"/>
          <w:b w:val="false"/>
          <w:bCs w:val="false"/>
          <w:color w:val="000000"/>
          <w:u w:val="none"/>
        </w:rPr>
        <w:tab/>
        <w:t xml:space="preserve">Margaret Thatcher Foundation, (2018). “European Policy: Hurd minute for Howe ("Macau") [Portugese passport holders' special status vis-a-vis EC] [declassified Jul 2018].” Accessed 3 January, 2024. Available at: </w:t>
      </w:r>
      <w:hyperlink r:id="rId28">
        <w:r>
          <w:rPr>
            <w:rStyle w:val="InternetLink"/>
          </w:rPr>
          <w:t>https://www.margaretthatcher.org/document/237203</w:t>
        </w:r>
      </w:hyperlink>
      <w:r>
        <w:rPr/>
        <w:t xml:space="preserve"> </w:t>
      </w:r>
    </w:p>
  </w:footnote>
  <w:footnote w:id="38">
    <w:p>
      <w:pPr>
        <w:pStyle w:val="Footnote"/>
        <w:rPr/>
      </w:pPr>
      <w:r>
        <w:rPr>
          <w:rStyle w:val="FootnoteCharacters"/>
        </w:rPr>
        <w:footnoteRef/>
      </w:r>
      <w:r>
        <w:rPr>
          <w:rStyle w:val="InternetLink"/>
          <w:b w:val="false"/>
          <w:bCs w:val="false"/>
          <w:color w:val="000000"/>
          <w:u w:val="none"/>
        </w:rPr>
        <w:tab/>
        <w:t xml:space="preserve">UK Parliament, (2019). “Hong Kong Extradition Bill – Volume 798: debated on Tuesday 11 June 2019” Accessed 3 January, 2024. Available at: </w:t>
      </w:r>
      <w:hyperlink r:id="rId29">
        <w:r>
          <w:rPr>
            <w:rStyle w:val="InternetLink"/>
          </w:rPr>
          <w:t>https://hansard.parliament.uk/Lords/2019-06-11/debates/0F5F4B78-17FE-4189-8D51-A8785DC6E7FE/</w:t>
        </w:r>
      </w:hyperlink>
      <w:r>
        <w:fldChar w:fldCharType="begin"/>
      </w:r>
      <w:r>
        <w:rPr>
          <w:rStyle w:val="InternetLink"/>
        </w:rPr>
        <w:instrText xml:space="preserve"> HYPERLINK "https://hansard.parliament.uk/Lords/2019-06-11/debates/0F5F4B78-17FE-4189-8D51-A8785DC6E7FE/HongKongExtraditionBill" \l "contribution-0319B5D9-035C-4090-8D11-2A2C9A057FF9"</w:instrText>
      </w:r>
      <w:r>
        <w:rPr>
          <w:rStyle w:val="InternetLink"/>
        </w:rPr>
        <w:fldChar w:fldCharType="separate"/>
      </w:r>
      <w:r>
        <w:rPr>
          <w:rStyle w:val="InternetLink"/>
        </w:rPr>
        <w:t xml:space="preserve"> HongKongExtraditionBill#contribution-0319B5D9-035C-4090-8D11-2A2C9A057FF9</w:t>
      </w:r>
      <w:r>
        <w:rPr>
          <w:rStyle w:val="InternetLink"/>
        </w:rPr>
        <w:fldChar w:fldCharType="end"/>
      </w:r>
    </w:p>
  </w:footnote>
  <w:footnote w:id="39">
    <w:p>
      <w:pPr>
        <w:pStyle w:val="Footnote"/>
        <w:rPr/>
      </w:pPr>
      <w:r>
        <w:rPr>
          <w:rStyle w:val="FootnoteCharacters"/>
        </w:rPr>
        <w:footnoteRef/>
      </w:r>
      <w:r>
        <w:rPr/>
        <w:tab/>
        <w:t xml:space="preserve">Emphasis added in </w:t>
      </w:r>
      <w:r>
        <w:rPr>
          <w:i/>
          <w:iCs/>
        </w:rPr>
        <w:t>italics</w:t>
      </w:r>
      <w:r>
        <w:rPr/>
        <w:t>.</w:t>
      </w:r>
    </w:p>
  </w:footnote>
  <w:footnote w:id="40">
    <w:p>
      <w:pPr>
        <w:pStyle w:val="Footnote"/>
        <w:rPr/>
      </w:pPr>
      <w:r>
        <w:rPr>
          <w:rStyle w:val="FootnoteCharacters"/>
        </w:rPr>
        <w:footnoteRef/>
      </w:r>
      <w:r>
        <w:rPr>
          <w:rStyle w:val="InternetLink"/>
          <w:b w:val="false"/>
          <w:bCs w:val="false"/>
          <w:color w:val="000000"/>
          <w:u w:val="none"/>
        </w:rPr>
        <w:tab/>
        <w:t xml:space="preserve">Available at: </w:t>
      </w:r>
      <w:hyperlink r:id="rId30">
        <w:r>
          <w:rPr>
            <w:rStyle w:val="InternetLink"/>
            <w:b w:val="false"/>
            <w:bCs w:val="false"/>
            <w:color w:val="000000"/>
            <w:u w:val="none"/>
          </w:rPr>
          <w:t>https://www.basiclaw.gov.hk/en/basiclaw/chapter2.html</w:t>
        </w:r>
      </w:hyperlink>
      <w:r>
        <w:rPr>
          <w:rStyle w:val="InternetLink"/>
          <w:b w:val="false"/>
          <w:bCs w:val="false"/>
          <w:color w:val="000000"/>
          <w:u w:val="none"/>
        </w:rPr>
        <w:t xml:space="preserve"> </w:t>
      </w:r>
    </w:p>
  </w:footnote>
  <w:footnote w:id="41">
    <w:p>
      <w:pPr>
        <w:pStyle w:val="Footnote"/>
        <w:rPr/>
      </w:pPr>
      <w:r>
        <w:rPr>
          <w:rStyle w:val="FootnoteCharacters"/>
        </w:rPr>
        <w:footnoteRef/>
      </w:r>
      <w:r>
        <w:rPr/>
        <w:tab/>
        <w:t>Supra note, 28.</w:t>
      </w:r>
    </w:p>
  </w:footnote>
  <w:footnote w:id="42">
    <w:p>
      <w:pPr>
        <w:pStyle w:val="Footnote"/>
        <w:rPr/>
      </w:pPr>
      <w:r>
        <w:rPr>
          <w:rStyle w:val="FootnoteCharacters"/>
        </w:rPr>
        <w:footnoteRef/>
      </w:r>
      <w:r>
        <w:rPr>
          <w:rStyle w:val="InternetLink"/>
          <w:b w:val="false"/>
          <w:bCs w:val="false"/>
          <w:color w:val="000000"/>
          <w:u w:val="none"/>
        </w:rPr>
        <w:tab/>
        <w:t xml:space="preserve">Milliken, D., (2024).  “London mayor says Brexit has cost UK over $178 billion so far”, </w:t>
      </w:r>
      <w:r>
        <w:rPr>
          <w:rStyle w:val="InternetLink"/>
          <w:b w:val="false"/>
          <w:bCs w:val="false"/>
          <w:i/>
          <w:iCs/>
          <w:color w:val="000000"/>
          <w:u w:val="none"/>
        </w:rPr>
        <w:t>Reuters</w:t>
      </w:r>
      <w:r>
        <w:rPr>
          <w:rStyle w:val="InternetLink"/>
          <w:b w:val="false"/>
          <w:bCs w:val="false"/>
          <w:i w:val="false"/>
          <w:iCs w:val="false"/>
          <w:color w:val="000000"/>
          <w:u w:val="none"/>
        </w:rPr>
        <w:t>.  Accessed</w:t>
      </w:r>
      <w:r>
        <w:rPr>
          <w:rStyle w:val="InternetLink"/>
          <w:b w:val="false"/>
          <w:bCs w:val="false"/>
          <w:color w:val="000000"/>
          <w:u w:val="none"/>
        </w:rPr>
        <w:t xml:space="preserve"> 3 January, 2024. Available at: </w:t>
      </w:r>
      <w:hyperlink r:id="rId31">
        <w:r>
          <w:rPr>
            <w:rStyle w:val="InternetLink"/>
          </w:rPr>
          <w:t>https://www.reuters.com/world/uk/london-mayor-says-brexit-has-cost-uk-over-178-bln-so-far-2024-01-11/</w:t>
        </w:r>
      </w:hyperlink>
      <w:r>
        <w:rPr/>
        <w:t xml:space="preserve"> </w:t>
      </w:r>
    </w:p>
  </w:footnote>
  <w:footnote w:id="43">
    <w:p>
      <w:pPr>
        <w:pStyle w:val="Footnote"/>
        <w:rPr/>
      </w:pPr>
      <w:r>
        <w:rPr>
          <w:rStyle w:val="FootnoteCharacters"/>
        </w:rPr>
        <w:footnoteRef/>
      </w:r>
      <w:r>
        <w:rPr/>
        <w:tab/>
        <w:t>Primarily in transportation, retail, manufacturing, construction and administration.</w:t>
      </w:r>
    </w:p>
  </w:footnote>
  <w:footnote w:id="44">
    <w:p>
      <w:pPr>
        <w:pStyle w:val="Footnote"/>
        <w:rPr/>
      </w:pPr>
      <w:r>
        <w:rPr>
          <w:rStyle w:val="FootnoteCharacters"/>
        </w:rPr>
        <w:footnoteRef/>
      </w:r>
      <w:r>
        <w:rPr>
          <w:rStyle w:val="InternetLink"/>
          <w:b w:val="false"/>
          <w:bCs w:val="false"/>
          <w:color w:val="000000"/>
          <w:u w:val="none"/>
        </w:rPr>
        <w:tab/>
        <w:t>Springford, J., &amp; Portes, J., (2023). “Early impacts of the post-Brexit immigration system on the UK labour market”,</w:t>
      </w:r>
      <w:r>
        <w:rPr>
          <w:rStyle w:val="InternetLink"/>
          <w:b w:val="false"/>
          <w:bCs w:val="false"/>
          <w:i/>
          <w:iCs/>
          <w:color w:val="000000"/>
          <w:u w:val="none"/>
        </w:rPr>
        <w:t xml:space="preserve"> Centre for European Reform</w:t>
      </w:r>
      <w:r>
        <w:rPr>
          <w:rStyle w:val="InternetLink"/>
          <w:b w:val="false"/>
          <w:bCs w:val="false"/>
          <w:i w:val="false"/>
          <w:iCs w:val="false"/>
          <w:color w:val="000000"/>
          <w:u w:val="none"/>
        </w:rPr>
        <w:t>.</w:t>
      </w:r>
      <w:r>
        <w:rPr>
          <w:rStyle w:val="InternetLink"/>
          <w:b w:val="false"/>
          <w:bCs w:val="false"/>
          <w:i/>
          <w:iCs/>
          <w:color w:val="000000"/>
          <w:u w:val="none"/>
        </w:rPr>
        <w:t xml:space="preserve"> </w:t>
      </w:r>
      <w:r>
        <w:rPr>
          <w:rStyle w:val="InternetLink"/>
          <w:b w:val="false"/>
          <w:bCs w:val="false"/>
          <w:color w:val="000000"/>
          <w:u w:val="none"/>
        </w:rPr>
        <w:t xml:space="preserve">Accessed 3 January, 2024. Available at: </w:t>
      </w:r>
      <w:hyperlink r:id="rId32">
        <w:r>
          <w:rPr>
            <w:rStyle w:val="InternetLink"/>
          </w:rPr>
          <w:t>https://www.cer.eu/insights/post-brexit-immigration-uk-labour-market</w:t>
        </w:r>
      </w:hyperlink>
      <w:r>
        <w:rPr/>
        <w:t xml:space="preserve"> </w:t>
      </w:r>
    </w:p>
  </w:footnote>
  <w:footnote w:id="45">
    <w:p>
      <w:pPr>
        <w:pStyle w:val="Footnote"/>
        <w:rPr/>
      </w:pPr>
      <w:r>
        <w:rPr>
          <w:rStyle w:val="FootnoteCharacters"/>
        </w:rPr>
        <w:footnoteRef/>
      </w:r>
      <w:r>
        <w:rPr>
          <w:rStyle w:val="InternetLink"/>
          <w:b w:val="false"/>
          <w:bCs w:val="false"/>
          <w:color w:val="000000"/>
          <w:u w:val="none"/>
        </w:rPr>
        <w:tab/>
        <w:t>McGee, L., (2023). “The UK pushes a new migrant law slammed as racist, illegal and unworkable”,</w:t>
      </w:r>
      <w:r>
        <w:rPr>
          <w:rStyle w:val="InternetLink"/>
          <w:b w:val="false"/>
          <w:bCs w:val="false"/>
          <w:i/>
          <w:iCs/>
          <w:color w:val="000000"/>
          <w:u w:val="none"/>
        </w:rPr>
        <w:t xml:space="preserve"> Cable News Network</w:t>
      </w:r>
      <w:r>
        <w:rPr>
          <w:rStyle w:val="InternetLink"/>
          <w:b w:val="false"/>
          <w:bCs w:val="false"/>
          <w:i w:val="false"/>
          <w:iCs w:val="false"/>
          <w:color w:val="000000"/>
          <w:u w:val="none"/>
        </w:rPr>
        <w:t>.</w:t>
      </w:r>
      <w:r>
        <w:rPr>
          <w:rStyle w:val="InternetLink"/>
          <w:b w:val="false"/>
          <w:bCs w:val="false"/>
          <w:i/>
          <w:iCs/>
          <w:color w:val="000000"/>
          <w:u w:val="none"/>
        </w:rPr>
        <w:t xml:space="preserve"> </w:t>
      </w:r>
      <w:r>
        <w:rPr>
          <w:rStyle w:val="InternetLink"/>
          <w:b w:val="false"/>
          <w:bCs w:val="false"/>
          <w:color w:val="000000"/>
          <w:u w:val="none"/>
        </w:rPr>
        <w:t xml:space="preserve">Accessed 3 January, 2024. Available at: </w:t>
      </w:r>
      <w:hyperlink r:id="rId33">
        <w:r>
          <w:rPr>
            <w:rStyle w:val="InternetLink"/>
          </w:rPr>
          <w:t>https://edition.cnn.com/2023/03/09/uk/uk-immigration-refugees-echr-illegal-bill-gbr-cmd/index.html</w:t>
        </w:r>
      </w:hyperlink>
    </w:p>
  </w:footnote>
  <w:footnote w:id="46">
    <w:p>
      <w:pPr>
        <w:pStyle w:val="Footnote"/>
        <w:rPr/>
      </w:pPr>
      <w:r>
        <w:rPr>
          <w:rStyle w:val="FootnoteCharacters"/>
        </w:rPr>
        <w:footnoteRef/>
      </w:r>
      <w:r>
        <w:rPr/>
        <w:tab/>
        <w:t xml:space="preserve">Emphasis added in </w:t>
      </w:r>
      <w:r>
        <w:rPr>
          <w:i/>
          <w:iCs/>
        </w:rPr>
        <w:t>italics.</w:t>
      </w:r>
    </w:p>
  </w:footnote>
  <w:footnote w:id="47">
    <w:p>
      <w:pPr>
        <w:pStyle w:val="Footnote"/>
        <w:rPr/>
      </w:pPr>
      <w:r>
        <w:rPr>
          <w:rStyle w:val="FootnoteCharacters"/>
        </w:rPr>
        <w:footnoteRef/>
      </w:r>
      <w:r>
        <w:rPr/>
        <w:tab/>
        <w:t xml:space="preserve">House of Commons, (2019) “A cautious embrace: defending democracy in an age of autocracies – Second Report of Session 2019”, </w:t>
      </w:r>
      <w:r>
        <w:rPr>
          <w:i/>
          <w:iCs/>
        </w:rPr>
        <w:t>House of Commons Foreign Affairs Committee.</w:t>
      </w:r>
      <w:r>
        <w:rPr/>
        <w:t xml:space="preserve"> Page 15, Para. 39. </w:t>
      </w:r>
      <w:r>
        <w:rPr>
          <w:rStyle w:val="InternetLink"/>
          <w:b w:val="false"/>
          <w:bCs w:val="false"/>
          <w:color w:val="000000"/>
          <w:u w:val="none"/>
        </w:rPr>
        <w:t xml:space="preserve">Accessed 3 January, 2024. Available at: </w:t>
      </w:r>
      <w:r>
        <w:rPr/>
        <w:t xml:space="preserve"> </w:t>
      </w:r>
      <w:hyperlink r:id="rId34">
        <w:r>
          <w:rPr>
            <w:rStyle w:val="InternetLink"/>
          </w:rPr>
          <w:t>https://publications.parliament.uk/pa/cm201919/cmselect/cmfaff/109/109.pdf</w:t>
        </w:r>
      </w:hyperlink>
      <w:r>
        <w:rPr/>
        <w:t xml:space="preserve"> </w:t>
      </w:r>
    </w:p>
  </w:footnote>
  <w:footnote w:id="48">
    <w:p>
      <w:pPr>
        <w:pStyle w:val="Footnote"/>
        <w:rPr/>
      </w:pPr>
      <w:r>
        <w:rPr>
          <w:rStyle w:val="FootnoteCharacters"/>
        </w:rPr>
        <w:footnoteRef/>
      </w:r>
      <w:r>
        <w:rPr/>
        <w:tab/>
        <w:t>Ibid.</w:t>
      </w:r>
    </w:p>
  </w:footnote>
  <w:footnote w:id="49">
    <w:p>
      <w:pPr>
        <w:pStyle w:val="Footnote"/>
        <w:rPr/>
      </w:pPr>
      <w:r>
        <w:rPr>
          <w:rStyle w:val="FootnoteCharacters"/>
        </w:rPr>
        <w:footnoteRef/>
      </w:r>
      <w:r>
        <w:rPr>
          <w:rStyle w:val="InternetLink"/>
          <w:b w:val="false"/>
          <w:bCs w:val="false"/>
          <w:color w:val="000000"/>
          <w:u w:val="none"/>
        </w:rPr>
        <w:tab/>
        <w:t xml:space="preserve">UK Home Office, (2022). “Media factsheet: Hong Kong BN(O) Visa route” Accessed 3 January, 2024. Available at: </w:t>
      </w:r>
      <w:hyperlink r:id="rId35">
        <w:r>
          <w:rPr>
            <w:rStyle w:val="InternetLink"/>
          </w:rPr>
          <w:t>https://homeofficemedia.blog.gov.uk/2022/02/24/media-factsheet-hong-kong-bnos/</w:t>
        </w:r>
      </w:hyperlink>
      <w:r>
        <w:rPr/>
        <w:t xml:space="preserve"> </w:t>
      </w:r>
    </w:p>
  </w:footnote>
  <w:footnote w:id="50">
    <w:p>
      <w:pPr>
        <w:pStyle w:val="Footnote"/>
        <w:rPr/>
      </w:pPr>
      <w:r>
        <w:rPr>
          <w:rStyle w:val="FootnoteCharacters"/>
        </w:rPr>
        <w:footnoteRef/>
      </w:r>
      <w:r>
        <w:rPr>
          <w:rStyle w:val="InternetLink"/>
          <w:b w:val="false"/>
          <w:bCs w:val="false"/>
          <w:color w:val="000000"/>
          <w:u w:val="none"/>
        </w:rPr>
        <w:tab/>
        <w:t xml:space="preserve">UK Home Office, (2023). “National statistics – Summary of latest statistics” Accessed 3 January, 2024. Available at: </w:t>
      </w:r>
      <w:hyperlink r:id="rId36">
        <w:r>
          <w:rPr>
            <w:rStyle w:val="InternetLink"/>
          </w:rPr>
          <w:t>https://www.gov.uk/government/statistics/immigration-system-statistics-year-ending-september-2023/summary-of-latest-statistics</w:t>
        </w:r>
      </w:hyperlink>
      <w:r>
        <w:rPr/>
        <w:t xml:space="preserve"> </w:t>
      </w:r>
    </w:p>
  </w:footnote>
  <w:footnote w:id="51">
    <w:p>
      <w:pPr>
        <w:pStyle w:val="Footnote"/>
        <w:rPr/>
      </w:pPr>
      <w:r>
        <w:rPr>
          <w:rStyle w:val="FootnoteCharacters"/>
        </w:rPr>
        <w:footnoteRef/>
      </w:r>
      <w:r>
        <w:rPr>
          <w:rFonts w:eastAsia="Liberation Serif" w:cs="Times New Roman"/>
          <w:b w:val="false"/>
          <w:bCs w:val="false"/>
          <w:u w:val="none"/>
        </w:rPr>
        <w:tab/>
        <w:t>£554,100,000</w:t>
      </w:r>
      <w:r>
        <w:rPr/>
        <w:t xml:space="preserve"> = no. of successful applicants (191,000 – 6,300) * con. est. of application costs (</w:t>
      </w:r>
      <w:r>
        <w:rPr>
          <w:rFonts w:eastAsia="Liberation Serif" w:cs="Times New Roman"/>
          <w:b w:val="false"/>
          <w:bCs w:val="false"/>
          <w:u w:val="none"/>
        </w:rPr>
        <w:t>£</w:t>
      </w:r>
      <w:r>
        <w:rPr/>
        <w:t>3,000)</w:t>
      </w:r>
    </w:p>
  </w:footnote>
  <w:footnote w:id="52">
    <w:p>
      <w:pPr>
        <w:pStyle w:val="Footnote"/>
        <w:rPr/>
      </w:pPr>
      <w:r>
        <w:rPr>
          <w:rStyle w:val="FootnoteCharacters"/>
        </w:rPr>
        <w:footnoteRef/>
      </w:r>
      <w:r>
        <w:rPr>
          <w:rStyle w:val="InternetLink"/>
          <w:b w:val="false"/>
          <w:bCs w:val="false"/>
          <w:color w:val="000000"/>
          <w:u w:val="none"/>
        </w:rPr>
        <w:tab/>
        <w:t xml:space="preserve">UK Government, (2024).  “British National (Overseas) visa” Accessed 3 January, 2024. Available at: </w:t>
      </w:r>
      <w:hyperlink r:id="rId37">
        <w:r>
          <w:rPr>
            <w:rStyle w:val="InternetLink"/>
          </w:rPr>
          <w:t>https://www.gov.uk/british-national-overseas-bno-visa/how-much-it-costs</w:t>
        </w:r>
      </w:hyperlink>
      <w:r>
        <w:rPr/>
        <w:t xml:space="preserve"> </w:t>
      </w:r>
    </w:p>
  </w:footnote>
  <w:footnote w:id="53">
    <w:p>
      <w:pPr>
        <w:pStyle w:val="Footnote"/>
        <w:rPr/>
      </w:pPr>
      <w:r>
        <w:rPr>
          <w:rStyle w:val="FootnoteCharacters"/>
        </w:rPr>
        <w:footnoteRef/>
      </w:r>
      <w:r>
        <w:rPr>
          <w:rStyle w:val="InternetLink"/>
          <w:b w:val="false"/>
          <w:bCs w:val="false"/>
          <w:i w:val="false"/>
          <w:iCs w:val="false"/>
          <w:color w:val="000000"/>
          <w:u w:val="none"/>
        </w:rPr>
        <w:tab/>
        <w:t>Rolfe, H. &amp; Benson, T. (2023). From HK to UK: Hong Kongers’ new lives in Britain</w:t>
      </w:r>
      <w:r>
        <w:rPr>
          <w:rStyle w:val="InternetLink"/>
          <w:b w:val="false"/>
          <w:bCs w:val="false"/>
          <w:i/>
          <w:color w:val="000000"/>
          <w:u w:val="none"/>
        </w:rPr>
        <w:t>.</w:t>
      </w:r>
      <w:r>
        <w:rPr>
          <w:rStyle w:val="InternetLink"/>
          <w:b w:val="false"/>
          <w:bCs w:val="false"/>
          <w:color w:val="000000"/>
          <w:u w:val="none"/>
        </w:rPr>
        <w:t xml:space="preserve"> </w:t>
      </w:r>
      <w:r>
        <w:rPr>
          <w:rStyle w:val="InternetLink"/>
          <w:b w:val="false"/>
          <w:bCs w:val="false"/>
          <w:i/>
          <w:iCs/>
          <w:color w:val="000000"/>
          <w:u w:val="none"/>
        </w:rPr>
        <w:t>Welcoming Committee for Hong Kongers,</w:t>
      </w:r>
      <w:r>
        <w:rPr>
          <w:rStyle w:val="InternetLink"/>
          <w:b w:val="false"/>
          <w:bCs w:val="false"/>
          <w:i w:val="false"/>
          <w:iCs w:val="false"/>
          <w:color w:val="000000"/>
          <w:u w:val="none"/>
        </w:rPr>
        <w:t xml:space="preserve"> p. 35. </w:t>
      </w:r>
      <w:r>
        <w:rPr>
          <w:rStyle w:val="InternetLink"/>
          <w:b w:val="false"/>
          <w:bCs w:val="false"/>
          <w:color w:val="000000"/>
          <w:u w:val="none"/>
        </w:rPr>
        <w:t xml:space="preserve">Accessed 3 January, 2024. Available at: </w:t>
      </w:r>
      <w:hyperlink r:id="rId38">
        <w:r>
          <w:rPr>
            <w:rStyle w:val="InternetLink"/>
          </w:rPr>
          <w:t>https://www.britishfuture.org/publication/from-hk-to-uk-hong-kongers-new-lives-in-britain/</w:t>
        </w:r>
      </w:hyperlink>
    </w:p>
  </w:footnote>
  <w:footnote w:id="54">
    <w:p>
      <w:pPr>
        <w:pStyle w:val="Footnote"/>
        <w:rPr/>
      </w:pPr>
      <w:r>
        <w:rPr>
          <w:rStyle w:val="FootnoteCharacters"/>
        </w:rPr>
        <w:footnoteRef/>
      </w:r>
      <w:r>
        <w:rPr>
          <w:rStyle w:val="InternetLink"/>
          <w:b w:val="false"/>
          <w:bCs w:val="false"/>
          <w:color w:val="000000"/>
          <w:u w:val="none"/>
        </w:rPr>
        <w:tab/>
        <w:t xml:space="preserve">Varbes, (2024). “Compare average rents in England and Wales” Accessed 3 January, 2024. Available at:  </w:t>
      </w:r>
      <w:hyperlink r:id="rId39">
        <w:r>
          <w:rPr>
            <w:rStyle w:val="InternetLink"/>
          </w:rPr>
          <w:t>https://www.varbes.com/compare/compare-average-rent</w:t>
        </w:r>
      </w:hyperlink>
      <w:r>
        <w:rPr/>
        <w:t xml:space="preserve"> </w:t>
      </w:r>
    </w:p>
  </w:footnote>
  <w:footnote w:id="55">
    <w:p>
      <w:pPr>
        <w:pStyle w:val="Footnote"/>
        <w:rPr/>
      </w:pPr>
      <w:r>
        <w:rPr>
          <w:rStyle w:val="FootnoteCharacters"/>
        </w:rPr>
        <w:footnoteRef/>
      </w:r>
      <w:r>
        <w:rPr>
          <w:rFonts w:eastAsia="Liberation Serif" w:cs="Times New Roman"/>
          <w:b w:val="false"/>
          <w:bCs w:val="false"/>
          <w:u w:val="none"/>
        </w:rPr>
        <w:tab/>
        <w:t xml:space="preserve">£ 411,050,028    </w:t>
      </w:r>
      <w:r>
        <w:rPr/>
        <w:t>=</w:t>
        <w:tab/>
        <w:t xml:space="preserve">%HK pop. in London (135,400 * 0.18) * avg. monthly rent in London (6 * </w:t>
      </w:r>
      <w:r>
        <w:rPr>
          <w:rFonts w:eastAsia="Liberation Serif" w:cs="Times New Roman"/>
          <w:b w:val="false"/>
          <w:bCs w:val="false"/>
          <w:u w:val="none"/>
        </w:rPr>
        <w:t>£</w:t>
      </w:r>
      <w:r>
        <w:rPr/>
        <w:t>1,672) +</w:t>
      </w:r>
    </w:p>
    <w:p>
      <w:pPr>
        <w:pStyle w:val="Footnote"/>
        <w:rPr/>
      </w:pPr>
      <w:r>
        <w:rPr/>
        <w:tab/>
        <w:tab/>
        <w:tab/>
        <w:t xml:space="preserve">    </w:t>
        <w:tab/>
        <w:t xml:space="preserve">%HK pop. in S. East (135,400 * 0.19) * avg. monthly rent in S. East (6 * </w:t>
      </w:r>
      <w:r>
        <w:rPr>
          <w:rFonts w:eastAsia="Liberation Serif" w:cs="Times New Roman"/>
          <w:b w:val="false"/>
          <w:bCs w:val="false"/>
          <w:u w:val="none"/>
        </w:rPr>
        <w:t>£1,079</w:t>
      </w:r>
      <w:r>
        <w:rPr/>
        <w:t>)</w:t>
      </w:r>
    </w:p>
  </w:footnote>
  <w:footnote w:id="56">
    <w:p>
      <w:pPr>
        <w:pStyle w:val="Footnote"/>
        <w:rPr/>
      </w:pPr>
      <w:r>
        <w:rPr>
          <w:rStyle w:val="FootnoteCharacters"/>
        </w:rPr>
        <w:footnoteRef/>
      </w:r>
      <w:r>
        <w:rPr>
          <w:rFonts w:eastAsia="Liberation Serif" w:cs="Times New Roman"/>
          <w:b w:val="false"/>
          <w:bCs w:val="false"/>
          <w:u w:val="none"/>
        </w:rPr>
        <w:tab/>
        <w:t>£ 136,440,955</w:t>
      </w:r>
      <w:r>
        <w:rPr/>
        <w:t xml:space="preserve">    = </w:t>
        <w:tab/>
        <w:t xml:space="preserve">%HK pop. in Gtr Manc. (135,400 * 0.124) * avg. monthly rent in Gtr Manc. (6 * </w:t>
      </w:r>
      <w:r>
        <w:rPr>
          <w:rFonts w:eastAsia="Liberation Serif" w:cs="Times New Roman"/>
          <w:b w:val="false"/>
          <w:bCs w:val="false"/>
          <w:u w:val="none"/>
        </w:rPr>
        <w:t>£926</w:t>
      </w:r>
      <w:r>
        <w:rPr/>
        <w:t>) +</w:t>
      </w:r>
    </w:p>
    <w:p>
      <w:pPr>
        <w:pStyle w:val="Footnote"/>
        <w:rPr/>
      </w:pPr>
      <w:r>
        <w:rPr/>
        <w:tab/>
        <w:tab/>
        <w:tab/>
        <w:tab/>
        <w:t xml:space="preserve">%HK pop. in North West (135,400 * 0.076) * avg. monthly rent in North West (6 * </w:t>
      </w:r>
      <w:r>
        <w:rPr>
          <w:rFonts w:eastAsia="Liberation Serif" w:cs="Times New Roman"/>
          <w:b w:val="false"/>
          <w:bCs w:val="false"/>
          <w:u w:val="none"/>
        </w:rPr>
        <w:t>£699</w:t>
      </w:r>
      <w:r>
        <w:rPr/>
        <w:t>)</w:t>
      </w:r>
    </w:p>
  </w:footnote>
  <w:footnote w:id="57">
    <w:p>
      <w:pPr>
        <w:pStyle w:val="Footnote"/>
        <w:rPr/>
      </w:pPr>
      <w:r>
        <w:rPr>
          <w:rStyle w:val="FootnoteCharacters"/>
        </w:rPr>
        <w:footnoteRef/>
      </w:r>
      <w:r>
        <w:rPr>
          <w:rFonts w:eastAsia="Liberation Serif" w:cs="Times New Roman"/>
          <w:b w:val="false"/>
          <w:bCs w:val="false"/>
          <w:u w:val="none"/>
        </w:rPr>
        <w:tab/>
        <w:t>£ 116,725,632</w:t>
      </w:r>
      <w:r>
        <w:rPr/>
        <w:t xml:space="preserve">    = </w:t>
        <w:tab/>
        <w:t xml:space="preserve">%HK pop. in E. Midlands (135,400 * 0.08) * avg. monthly rent in E. Midlands. (6 * </w:t>
      </w:r>
      <w:r>
        <w:rPr>
          <w:rFonts w:eastAsia="Liberation Serif" w:cs="Times New Roman"/>
          <w:b w:val="false"/>
          <w:bCs w:val="false"/>
          <w:u w:val="none"/>
        </w:rPr>
        <w:t>£698</w:t>
      </w:r>
      <w:r>
        <w:rPr/>
        <w:t>) +</w:t>
      </w:r>
    </w:p>
    <w:p>
      <w:pPr>
        <w:pStyle w:val="Footnote"/>
        <w:rPr/>
      </w:pPr>
      <w:r>
        <w:rPr/>
        <w:tab/>
        <w:tab/>
        <w:tab/>
        <w:tab/>
        <w:t xml:space="preserve">%HK pop. in W. Midlands (135,400 * 0.12) * avg. monthly rent in W. Midlands (6 * </w:t>
      </w:r>
      <w:r>
        <w:rPr>
          <w:rFonts w:eastAsia="Liberation Serif" w:cs="Times New Roman"/>
          <w:b w:val="false"/>
          <w:bCs w:val="false"/>
          <w:u w:val="none"/>
        </w:rPr>
        <w:t>£732</w:t>
      </w:r>
      <w:r>
        <w:rPr/>
        <w:t>)</w:t>
      </w:r>
    </w:p>
  </w:footnote>
  <w:footnote w:id="58">
    <w:p>
      <w:pPr>
        <w:pStyle w:val="Footnote"/>
        <w:rPr/>
      </w:pPr>
      <w:r>
        <w:rPr>
          <w:rStyle w:val="FootnoteCharacters"/>
        </w:rPr>
        <w:footnoteRef/>
      </w:r>
      <w:r>
        <w:rPr>
          <w:rFonts w:eastAsia="Liberation Serif" w:cs="Times New Roman"/>
          <w:b w:val="false"/>
          <w:bCs w:val="false"/>
          <w:u w:val="none"/>
        </w:rPr>
        <w:tab/>
        <w:t>£ 46,891,728</w:t>
      </w:r>
      <w:r>
        <w:rPr/>
        <w:t xml:space="preserve">      = </w:t>
        <w:tab/>
        <w:t xml:space="preserve">%HK pop. in East (135,400 * 0.06) * avg. monthly rent in East (6 * </w:t>
      </w:r>
      <w:r>
        <w:rPr>
          <w:rFonts w:eastAsia="Liberation Serif" w:cs="Times New Roman"/>
          <w:b w:val="false"/>
          <w:bCs w:val="false"/>
          <w:u w:val="none"/>
        </w:rPr>
        <w:t>£962</w:t>
      </w:r>
      <w:r>
        <w:rPr/>
        <w:t>)</w:t>
      </w:r>
    </w:p>
  </w:footnote>
  <w:footnote w:id="59">
    <w:p>
      <w:pPr>
        <w:pStyle w:val="Footnote"/>
        <w:rPr/>
      </w:pPr>
      <w:r>
        <w:rPr>
          <w:rStyle w:val="FootnoteCharacters"/>
        </w:rPr>
        <w:footnoteRef/>
      </w:r>
      <w:r>
        <w:rPr>
          <w:rFonts w:eastAsia="Liberation Serif" w:cs="Times New Roman"/>
          <w:b w:val="false"/>
          <w:bCs w:val="false"/>
          <w:u w:val="none"/>
        </w:rPr>
        <w:tab/>
        <w:t xml:space="preserve">£ 27,621,600  </w:t>
      </w:r>
      <w:r>
        <w:rPr/>
        <w:t xml:space="preserve">    = </w:t>
        <w:tab/>
        <w:t xml:space="preserve">%HK pop. in </w:t>
      </w:r>
      <w:r>
        <w:rPr>
          <w:rFonts w:eastAsia="Liberation Serif" w:cs="Times New Roman"/>
          <w:b w:val="false"/>
          <w:bCs w:val="false"/>
          <w:u w:val="none"/>
          <w:shd w:fill="auto" w:val="clear"/>
        </w:rPr>
        <w:t>Yrk &amp; Hmbr</w:t>
      </w:r>
      <w:r>
        <w:rPr/>
        <w:t xml:space="preserve"> (135,400 * 0.05) * avg. monthly rent in </w:t>
      </w:r>
      <w:r>
        <w:rPr>
          <w:rFonts w:eastAsia="Liberation Serif" w:cs="Times New Roman"/>
          <w:b w:val="false"/>
          <w:bCs w:val="false"/>
          <w:u w:val="none"/>
          <w:shd w:fill="auto" w:val="clear"/>
        </w:rPr>
        <w:t>Yrk. &amp; Hmbr</w:t>
      </w:r>
      <w:r>
        <w:rPr/>
        <w:t xml:space="preserve"> (6 * </w:t>
      </w:r>
      <w:r>
        <w:rPr>
          <w:rFonts w:eastAsia="Liberation Serif" w:cs="Times New Roman"/>
          <w:b w:val="false"/>
          <w:bCs w:val="false"/>
          <w:u w:val="none"/>
        </w:rPr>
        <w:t>£680</w:t>
      </w:r>
      <w:r>
        <w:rPr/>
        <w:t>)</w:t>
      </w:r>
    </w:p>
  </w:footnote>
  <w:footnote w:id="60">
    <w:p>
      <w:pPr>
        <w:pStyle w:val="Footnote"/>
        <w:rPr/>
      </w:pPr>
      <w:r>
        <w:rPr>
          <w:rStyle w:val="FootnoteCharacters"/>
        </w:rPr>
        <w:footnoteRef/>
      </w:r>
      <w:r>
        <w:rPr>
          <w:rFonts w:eastAsia="Liberation Serif" w:cs="Times New Roman"/>
          <w:b w:val="false"/>
          <w:bCs w:val="false"/>
          <w:u w:val="none"/>
        </w:rPr>
        <w:tab/>
        <w:t>£ 25,346,880</w:t>
      </w:r>
      <w:r>
        <w:rPr/>
        <w:t xml:space="preserve">      = </w:t>
        <w:tab/>
        <w:t xml:space="preserve">%HK pop. in Scotland (135,400 * 0.04) * avg. monthly rent in Scotland (6 * </w:t>
      </w:r>
      <w:r>
        <w:rPr>
          <w:rFonts w:eastAsia="Liberation Serif" w:cs="Times New Roman"/>
          <w:b w:val="false"/>
          <w:bCs w:val="false"/>
          <w:u w:val="none"/>
        </w:rPr>
        <w:t>£780</w:t>
      </w:r>
      <w:r>
        <w:rPr/>
        <w:t>)</w:t>
      </w:r>
    </w:p>
  </w:footnote>
  <w:footnote w:id="61">
    <w:p>
      <w:pPr>
        <w:pStyle w:val="Footnote"/>
        <w:rPr/>
      </w:pPr>
      <w:r>
        <w:rPr>
          <w:rStyle w:val="FootnoteCharacters"/>
        </w:rPr>
        <w:footnoteRef/>
      </w:r>
      <w:r>
        <w:rPr>
          <w:rFonts w:eastAsia="Liberation Serif" w:cs="Times New Roman"/>
          <w:b w:val="false"/>
          <w:bCs w:val="false"/>
          <w:u w:val="none"/>
        </w:rPr>
        <w:tab/>
        <w:t>£ 4,565,688</w:t>
      </w:r>
      <w:r>
        <w:rPr/>
        <w:t xml:space="preserve">        = </w:t>
        <w:tab/>
        <w:t xml:space="preserve">%HK pop. in Wales (135,400 * 0.01) * avg. monthly rent in Wales (6 * </w:t>
      </w:r>
      <w:r>
        <w:rPr>
          <w:rFonts w:eastAsia="Liberation Serif" w:cs="Times New Roman"/>
          <w:b w:val="false"/>
          <w:bCs w:val="false"/>
          <w:u w:val="none"/>
        </w:rPr>
        <w:t>£562</w:t>
      </w:r>
      <w:r>
        <w:rPr/>
        <w:t>)</w:t>
      </w:r>
    </w:p>
  </w:footnote>
  <w:footnote w:id="62">
    <w:p>
      <w:pPr>
        <w:pStyle w:val="Footnote"/>
        <w:rPr/>
      </w:pPr>
      <w:r>
        <w:rPr>
          <w:rStyle w:val="FootnoteCharacters"/>
        </w:rPr>
        <w:footnoteRef/>
      </w:r>
      <w:r>
        <w:rPr>
          <w:rFonts w:eastAsia="Liberation Serif" w:cs="Times New Roman"/>
          <w:b w:val="false"/>
          <w:bCs w:val="false"/>
          <w:u w:val="none"/>
        </w:rPr>
        <w:tab/>
        <w:t>£ 6,190,488</w:t>
      </w:r>
      <w:r>
        <w:rPr/>
        <w:t xml:space="preserve">        = </w:t>
        <w:tab/>
        <w:t xml:space="preserve">%HK pop. in N. Ireland (135,400 * 0.01) * avg. monthly rent in N. Ireland (6 * </w:t>
      </w:r>
      <w:r>
        <w:rPr>
          <w:rFonts w:eastAsia="Liberation Serif" w:cs="Times New Roman"/>
          <w:b w:val="false"/>
          <w:bCs w:val="false"/>
          <w:u w:val="none"/>
        </w:rPr>
        <w:t>£762</w:t>
      </w:r>
      <w:r>
        <w:rPr/>
        <w:t>)</w:t>
      </w:r>
    </w:p>
  </w:footnote>
  <w:footnote w:id="63">
    <w:p>
      <w:pPr>
        <w:pStyle w:val="Footnote"/>
        <w:rPr/>
      </w:pPr>
      <w:r>
        <w:rPr>
          <w:rStyle w:val="FootnoteCharacters"/>
        </w:rPr>
        <w:footnoteRef/>
      </w:r>
      <w:r>
        <w:rPr>
          <w:rFonts w:eastAsia="Liberation Serif" w:cs="Times New Roman"/>
          <w:b w:val="false"/>
          <w:bCs w:val="false"/>
          <w:u w:val="none"/>
        </w:rPr>
        <w:tab/>
        <w:t>£ 43,674,624</w:t>
      </w:r>
      <w:r>
        <w:rPr/>
        <w:t xml:space="preserve">      = </w:t>
        <w:tab/>
        <w:t xml:space="preserve">%HK pop. in rest of UK (135,400 * 0.06) * avg. monthly rent in Engld and Wls (6 * </w:t>
      </w:r>
      <w:r>
        <w:rPr>
          <w:rFonts w:eastAsia="Liberation Serif" w:cs="Times New Roman"/>
          <w:b w:val="false"/>
          <w:bCs w:val="false"/>
          <w:u w:val="none"/>
        </w:rPr>
        <w:t>£896</w:t>
      </w:r>
      <w:r>
        <w:rPr/>
        <w:t>)</w:t>
      </w:r>
    </w:p>
  </w:footnote>
  <w:footnote w:id="64">
    <w:p>
      <w:pPr>
        <w:pStyle w:val="Footnote"/>
        <w:rPr/>
      </w:pPr>
      <w:r>
        <w:rPr>
          <w:rStyle w:val="FootnoteCharacters"/>
        </w:rPr>
        <w:footnoteRef/>
      </w:r>
      <w:r>
        <w:rPr>
          <w:rStyle w:val="InternetLink"/>
          <w:b w:val="false"/>
          <w:bCs w:val="false"/>
          <w:color w:val="000000"/>
          <w:u w:val="none"/>
        </w:rPr>
        <w:tab/>
        <w:t>Westbrook, L. &amp; Mok, D., (2022). “Britain plans extension of BN(O) visa scheme to allow Hongkongers aged 18 to 24 to apply independently of parents”,</w:t>
      </w:r>
      <w:r>
        <w:rPr>
          <w:rStyle w:val="InternetLink"/>
          <w:b w:val="false"/>
          <w:bCs w:val="false"/>
          <w:i/>
          <w:iCs/>
          <w:color w:val="000000"/>
          <w:u w:val="none"/>
        </w:rPr>
        <w:t xml:space="preserve"> South China Morning Post. </w:t>
      </w:r>
      <w:r>
        <w:rPr>
          <w:rStyle w:val="InternetLink"/>
          <w:b w:val="false"/>
          <w:bCs w:val="false"/>
          <w:color w:val="000000"/>
          <w:u w:val="none"/>
        </w:rPr>
        <w:t xml:space="preserve">Accessed 3 January, 2024. Available at: </w:t>
      </w:r>
      <w:hyperlink r:id="rId40">
        <w:r>
          <w:rPr>
            <w:rStyle w:val="InternetLink"/>
          </w:rPr>
          <w:t>https://www.scmp.com/news/hong-kong/society/article/3168295/emigration-wave-continues-about-100000-hongkongers-apply-bno</w:t>
        </w:r>
      </w:hyperlink>
      <w:r>
        <w:rPr/>
        <w:t xml:space="preserve"> </w:t>
      </w:r>
    </w:p>
  </w:footnote>
  <w:footnote w:id="65">
    <w:p>
      <w:pPr>
        <w:pStyle w:val="Footnote"/>
        <w:rPr/>
      </w:pPr>
      <w:r>
        <w:rPr>
          <w:rStyle w:val="FootnoteCharacters"/>
        </w:rPr>
        <w:footnoteRef/>
      </w:r>
      <w:r>
        <w:rPr/>
        <w:tab/>
        <w:t>Supra note, 48.</w:t>
      </w:r>
    </w:p>
  </w:footnote>
  <w:footnote w:id="66">
    <w:p>
      <w:pPr>
        <w:pStyle w:val="Footnote"/>
        <w:rPr/>
      </w:pPr>
      <w:r>
        <w:rPr>
          <w:rStyle w:val="FootnoteCharacters"/>
        </w:rPr>
        <w:footnoteRef/>
      </w:r>
      <w:r>
        <w:rPr/>
        <w:tab/>
        <w:t>Supra note, 43.</w:t>
      </w:r>
    </w:p>
  </w:footnote>
  <w:footnote w:id="67">
    <w:p>
      <w:pPr>
        <w:pStyle w:val="Footnote"/>
        <w:rPr/>
      </w:pPr>
      <w:r>
        <w:rPr>
          <w:rStyle w:val="FootnoteCharacters"/>
        </w:rPr>
        <w:footnoteRef/>
      </w:r>
      <w:r>
        <w:rPr>
          <w:rStyle w:val="InternetLink"/>
          <w:b w:val="false"/>
          <w:bCs w:val="false"/>
          <w:i w:val="false"/>
          <w:iCs w:val="false"/>
          <w:color w:val="000000"/>
          <w:u w:val="none"/>
        </w:rPr>
        <w:tab/>
        <w:t>Supra note, 52.</w:t>
      </w:r>
    </w:p>
  </w:footnote>
  <w:footnote w:id="68">
    <w:p>
      <w:pPr>
        <w:pStyle w:val="Footnote"/>
        <w:rPr/>
      </w:pPr>
      <w:r>
        <w:rPr>
          <w:rStyle w:val="FootnoteCharacters"/>
        </w:rPr>
        <w:footnoteRef/>
      </w:r>
      <w:r>
        <w:rPr>
          <w:rStyle w:val="InternetLink"/>
          <w:b w:val="false"/>
          <w:bCs w:val="false"/>
          <w:i w:val="false"/>
          <w:iCs w:val="false"/>
          <w:color w:val="000000"/>
          <w:u w:val="none"/>
        </w:rPr>
        <w:tab/>
        <w:t xml:space="preserve">Rolfe, H. &amp; Benson, T., op. cit., </w:t>
      </w:r>
      <w:r>
        <w:rPr/>
        <w:t>p. 75.</w:t>
      </w:r>
    </w:p>
  </w:footnote>
  <w:footnote w:id="69">
    <w:p>
      <w:pPr>
        <w:pStyle w:val="Footnote"/>
        <w:rPr/>
      </w:pPr>
      <w:r>
        <w:rPr>
          <w:rStyle w:val="FootnoteCharacters"/>
        </w:rPr>
        <w:footnoteRef/>
      </w:r>
      <w:r>
        <w:rPr>
          <w:rStyle w:val="InternetLink"/>
          <w:b w:val="false"/>
          <w:bCs w:val="false"/>
          <w:i w:val="false"/>
          <w:iCs w:val="false"/>
          <w:color w:val="000000"/>
          <w:u w:val="none"/>
        </w:rPr>
        <w:tab/>
        <w:t xml:space="preserve">Rolfe, H. &amp; Benson, T., op. cit., </w:t>
      </w:r>
      <w:r>
        <w:rPr>
          <w:rStyle w:val="InternetLink"/>
          <w:color w:val="000000"/>
          <w:u w:val="none"/>
        </w:rPr>
        <w:t>p. 8</w:t>
      </w:r>
    </w:p>
  </w:footnote>
  <w:footnote w:id="70">
    <w:p>
      <w:pPr>
        <w:pStyle w:val="Footnote"/>
        <w:rPr/>
      </w:pPr>
      <w:r>
        <w:rPr>
          <w:rStyle w:val="FootnoteCharacters"/>
        </w:rPr>
        <w:footnoteRef/>
      </w:r>
      <w:r>
        <w:rPr/>
        <w:tab/>
        <w:t>Ibid, p. 72.</w:t>
      </w:r>
    </w:p>
  </w:footnote>
  <w:footnote w:id="71">
    <w:p>
      <w:pPr>
        <w:pStyle w:val="Footnote"/>
        <w:rPr/>
      </w:pPr>
      <w:r>
        <w:rPr>
          <w:rStyle w:val="FootnoteCharacters"/>
        </w:rPr>
        <w:footnoteRef/>
      </w:r>
      <w:r>
        <w:rPr/>
        <w:tab/>
        <w:t>Ibid, p. 30.</w:t>
      </w:r>
    </w:p>
  </w:footnote>
  <w:footnote w:id="72">
    <w:p>
      <w:pPr>
        <w:pStyle w:val="Footnote"/>
        <w:rPr/>
      </w:pPr>
      <w:r>
        <w:rPr>
          <w:rStyle w:val="FootnoteCharacters"/>
        </w:rPr>
        <w:footnoteRef/>
      </w:r>
      <w:r>
        <w:rPr>
          <w:rStyle w:val="InternetLink"/>
          <w:b w:val="false"/>
          <w:bCs w:val="false"/>
          <w:color w:val="000000"/>
          <w:u w:val="none"/>
        </w:rPr>
        <w:tab/>
        <w:t>See, for example, supra note 48.</w:t>
      </w:r>
    </w:p>
  </w:footnote>
  <w:footnote w:id="73">
    <w:p>
      <w:pPr>
        <w:pStyle w:val="Footnote"/>
        <w:rPr/>
      </w:pPr>
      <w:r>
        <w:rPr>
          <w:rStyle w:val="FootnoteCharacters"/>
        </w:rPr>
        <w:footnoteRef/>
      </w:r>
      <w:r>
        <w:rPr/>
        <w:tab/>
        <w:t xml:space="preserve">See also the explanatory memorandum to the Bill for the Statute Law Revision Act 1867 at page 4 of the Bill, printed in Bills, Public: 1867, Session 5 February - 21 August 1867, volume 6, online and available at: </w:t>
      </w:r>
      <w:hyperlink r:id="rId41">
        <w:r>
          <w:rPr>
            <w:rStyle w:val="InternetLink"/>
          </w:rPr>
          <w:t>https://books.google.com.hk/books/content?id=QSpcAAAAQAAJ&amp;hl=zh-TW&amp;pg=RA5-PA4&amp;img=1&amp;zoom=3&amp;sig=ACfU3U2m3zm_71UkXnBjTupVqazBKn02Iw&amp;ci=169%2C123%2C765%2C256&amp;edge=0</w:t>
        </w:r>
      </w:hyperlink>
      <w:r>
        <w:rPr/>
        <w:t xml:space="preserve"> </w:t>
      </w:r>
    </w:p>
  </w:footnote>
  <w:footnote w:id="74">
    <w:p>
      <w:pPr>
        <w:pStyle w:val="Footnote"/>
        <w:rPr/>
      </w:pPr>
      <w:r>
        <w:rPr>
          <w:rStyle w:val="FootnoteCharacters"/>
        </w:rPr>
        <w:footnoteRef/>
      </w:r>
      <w:r>
        <w:rPr>
          <w:rStyle w:val="InternetLink"/>
          <w:b w:val="false"/>
          <w:bCs w:val="false"/>
          <w:color w:val="000000"/>
          <w:u w:val="none"/>
        </w:rPr>
        <w:tab/>
        <w:t>Cheng, K., (2016). “BN(O) holders excluded from fast track UK border channels while non-Brits are eligible”,</w:t>
      </w:r>
      <w:r>
        <w:rPr>
          <w:rStyle w:val="InternetLink"/>
          <w:b w:val="false"/>
          <w:bCs w:val="false"/>
          <w:i/>
          <w:iCs/>
          <w:color w:val="000000"/>
          <w:u w:val="none"/>
        </w:rPr>
        <w:t xml:space="preserve"> Hong Kong Free Press</w:t>
      </w:r>
      <w:r>
        <w:rPr>
          <w:rStyle w:val="InternetLink"/>
          <w:b w:val="false"/>
          <w:bCs w:val="false"/>
          <w:i w:val="false"/>
          <w:iCs w:val="false"/>
          <w:color w:val="000000"/>
          <w:u w:val="none"/>
        </w:rPr>
        <w:t>.</w:t>
      </w:r>
      <w:r>
        <w:rPr>
          <w:rStyle w:val="InternetLink"/>
          <w:b w:val="false"/>
          <w:bCs w:val="false"/>
          <w:i/>
          <w:iCs/>
          <w:color w:val="000000"/>
          <w:u w:val="none"/>
        </w:rPr>
        <w:t xml:space="preserve"> </w:t>
      </w:r>
      <w:r>
        <w:rPr>
          <w:rStyle w:val="InternetLink"/>
          <w:b w:val="false"/>
          <w:bCs w:val="false"/>
          <w:color w:val="000000"/>
          <w:u w:val="none"/>
        </w:rPr>
        <w:t xml:space="preserve">Accessed 3 January, 2024. Available at: </w:t>
      </w:r>
      <w:hyperlink r:id="rId42">
        <w:r>
          <w:rPr>
            <w:rStyle w:val="InternetLink"/>
          </w:rPr>
          <w:t>https://hongkongfp.com/2016/01/19/bno-holders-excluded-from-fast-track-uk-border-channels-while-non-brits-are-eligible/</w:t>
        </w:r>
      </w:hyperlink>
      <w:r>
        <w:rPr/>
        <w:t xml:space="preserve"> </w:t>
      </w:r>
    </w:p>
  </w:footnote>
  <w:footnote w:id="75">
    <w:p>
      <w:pPr>
        <w:pStyle w:val="Footnote"/>
        <w:rPr/>
      </w:pPr>
      <w:r>
        <w:rPr>
          <w:rStyle w:val="FootnoteCharacters"/>
        </w:rPr>
        <w:footnoteRef/>
      </w:r>
      <w:r>
        <w:rPr>
          <w:rStyle w:val="InternetLink"/>
          <w:b w:val="false"/>
          <w:bCs w:val="false"/>
          <w:color w:val="000000"/>
          <w:u w:val="none"/>
        </w:rPr>
        <w:tab/>
        <w:t xml:space="preserve">Raab, D., Patel, P., &amp; Jenrick, R., (2021). “National welcome for Hong Kong arrivals” Accessed 3 January, 2024. Available at: </w:t>
      </w:r>
      <w:hyperlink r:id="rId43">
        <w:r>
          <w:rPr>
            <w:rStyle w:val="InternetLink"/>
          </w:rPr>
          <w:t>https://www.gov.uk/government/news/national-welcome-for-hong-kong-arrivals</w:t>
        </w:r>
      </w:hyperlink>
      <w:r>
        <w:rPr/>
        <w:t xml:space="preserve"> </w:t>
      </w:r>
    </w:p>
  </w:footnote>
  <w:footnote w:id="76">
    <w:p>
      <w:pPr>
        <w:pStyle w:val="Footnote"/>
        <w:rPr/>
      </w:pPr>
      <w:r>
        <w:rPr>
          <w:rStyle w:val="FootnoteCharacters"/>
        </w:rPr>
        <w:footnoteRef/>
      </w:r>
      <w:r>
        <w:rPr>
          <w:rStyle w:val="InternetLink"/>
          <w:b w:val="false"/>
          <w:bCs w:val="false"/>
          <w:color w:val="000000"/>
          <w:sz w:val="20"/>
          <w:szCs w:val="20"/>
          <w:u w:val="none"/>
        </w:rPr>
        <w:tab/>
        <w:t xml:space="preserve">Clark, G., (2022). “Support continues for Hong Kongers building new lives in the UK” Accessed 3 January, 2024. Available at: </w:t>
      </w:r>
      <w:hyperlink r:id="rId44">
        <w:r>
          <w:rPr>
            <w:rStyle w:val="InternetLink"/>
            <w:sz w:val="20"/>
            <w:szCs w:val="20"/>
          </w:rPr>
          <w:t>https://www.gov.uk/government/news/support-continues-for-hong-kongers-building-new-lives-in-the-uk</w:t>
        </w:r>
      </w:hyperlink>
      <w:r>
        <w:rPr>
          <w:sz w:val="20"/>
          <w:szCs w:val="20"/>
        </w:rPr>
        <w:t xml:space="preserve"> </w:t>
      </w:r>
    </w:p>
  </w:footnote>
  <w:footnote w:id="77">
    <w:p>
      <w:pPr>
        <w:pStyle w:val="Footnote"/>
        <w:rPr/>
      </w:pPr>
      <w:r>
        <w:rPr>
          <w:rStyle w:val="FootnoteCharacters"/>
        </w:rPr>
        <w:footnoteRef/>
      </w:r>
      <w:r>
        <w:rPr>
          <w:rStyle w:val="InternetLink"/>
          <w:b w:val="false"/>
          <w:bCs w:val="false"/>
          <w:color w:val="000000"/>
          <w:sz w:val="20"/>
          <w:szCs w:val="20"/>
          <w:u w:val="none"/>
        </w:rPr>
        <w:tab/>
        <w:t xml:space="preserve">Buchan, F., (2023). “Government announces a third year of support to help Hong Kongers settle into life in the UK” </w:t>
      </w:r>
      <w:r>
        <w:rPr>
          <w:rStyle w:val="InternetLink"/>
          <w:b w:val="false"/>
          <w:bCs w:val="false"/>
          <w:color w:val="000000"/>
          <w:u w:val="none"/>
        </w:rPr>
        <w:t xml:space="preserve">Accessed 3 January, 2024. Available at: </w:t>
      </w:r>
      <w:hyperlink r:id="rId45">
        <w:r>
          <w:rPr>
            <w:rStyle w:val="InternetLink"/>
          </w:rPr>
          <w:t>https://www.gov.uk/government/news/government-announces-a-third-year-of-support-to-help-hong-kongers-settle-into-life-in-the-uk</w:t>
        </w:r>
      </w:hyperlink>
      <w:r>
        <w:rPr/>
        <w:t xml:space="preserve"> </w:t>
      </w:r>
    </w:p>
  </w:footnote>
  <w:footnote w:id="78">
    <w:p>
      <w:pPr>
        <w:pStyle w:val="Footnote"/>
        <w:rPr/>
      </w:pPr>
      <w:r>
        <w:rPr>
          <w:rStyle w:val="FootnoteCharacters"/>
        </w:rPr>
        <w:footnoteRef/>
      </w:r>
      <w:r>
        <w:rPr>
          <w:rFonts w:eastAsia="Liberation Serif" w:cs="Times New Roman"/>
          <w:b w:val="false"/>
          <w:bCs w:val="false"/>
          <w:u w:val="none"/>
        </w:rPr>
        <w:tab/>
        <w:t>£</w:t>
      </w:r>
      <w:r>
        <w:rPr/>
        <w:t>161.91 = (43,000,000 + 6,600,000 + 2,600,000 + 5,000,000 + 5,000,000) / 322,400</w:t>
      </w:r>
    </w:p>
  </w:footnote>
  <w:footnote w:id="79">
    <w:p>
      <w:pPr>
        <w:pStyle w:val="Footnote"/>
        <w:rPr>
          <w:rStyle w:val="InternetLink"/>
          <w:b w:val="false"/>
          <w:bCs w:val="false"/>
          <w:color w:val="000000"/>
          <w:u w:val="none"/>
        </w:rPr>
      </w:pPr>
      <w:r>
        <w:rPr>
          <w:rStyle w:val="FootnoteCharacters"/>
        </w:rPr>
        <w:footnoteRef/>
      </w:r>
      <w:r>
        <w:rPr/>
        <w:tab/>
        <w:t>Number is based on the sum of the theoretical fund allocated to Hong Kongers and then divided by the UK Home Office’s estimated number of arrivals (see, supra note 48).</w:t>
      </w:r>
    </w:p>
  </w:footnote>
  <w:footnote w:id="80">
    <w:p>
      <w:pPr>
        <w:pStyle w:val="Footnote"/>
        <w:jc w:val="both"/>
        <w:rPr/>
      </w:pPr>
      <w:r>
        <w:rPr>
          <w:rStyle w:val="FootnoteCharacters"/>
        </w:rPr>
        <w:footnoteRef/>
      </w:r>
      <w:r>
        <w:rPr/>
        <w:tab/>
        <w:t>Supra note, 51.</w:t>
      </w:r>
    </w:p>
  </w:footnote>
  <w:footnote w:id="81">
    <w:p>
      <w:pPr>
        <w:pStyle w:val="Footnote"/>
        <w:jc w:val="both"/>
        <w:rPr/>
      </w:pPr>
      <w:r>
        <w:rPr>
          <w:rStyle w:val="FootnoteCharacters"/>
        </w:rPr>
        <w:footnoteRef/>
      </w:r>
      <w:r>
        <w:rPr>
          <w:rStyle w:val="InternetLink"/>
          <w:b w:val="false"/>
          <w:bCs w:val="false"/>
          <w:color w:val="000000"/>
          <w:u w:val="none"/>
        </w:rPr>
        <w:tab/>
        <w:t xml:space="preserve">UK Visas and Immigration, (2020). “Prove your English language abilities with a secure English language test (SELT)” Accessed 3 January, 2024. Available at: </w:t>
      </w:r>
      <w:hyperlink r:id="rId46">
        <w:r>
          <w:rPr>
            <w:rStyle w:val="InternetLink"/>
          </w:rPr>
          <w:t>https://www.gov.uk/guidance/prove-your-english-language-abilities-with-a-secure-english-language-test-selt</w:t>
        </w:r>
      </w:hyperlink>
      <w:r>
        <w:rPr/>
        <w:t xml:space="preserve"> </w:t>
      </w:r>
    </w:p>
  </w:footnote>
  <w:footnote w:id="82">
    <w:p>
      <w:pPr>
        <w:pStyle w:val="Footnote"/>
        <w:jc w:val="both"/>
        <w:rPr/>
      </w:pPr>
      <w:r>
        <w:rPr>
          <w:rStyle w:val="FootnoteCharacters"/>
        </w:rPr>
        <w:footnoteRef/>
      </w:r>
      <w:r>
        <w:rPr>
          <w:rStyle w:val="InternetLink"/>
          <w:b w:val="false"/>
          <w:bCs w:val="false"/>
          <w:color w:val="000000"/>
          <w:u w:val="none"/>
        </w:rPr>
        <w:tab/>
        <w:t xml:space="preserve">UK Government, (2024). “Life in the UK Test” Accessed 3 January, 2024. </w:t>
      </w:r>
    </w:p>
    <w:p>
      <w:pPr>
        <w:pStyle w:val="Footnote"/>
        <w:jc w:val="both"/>
        <w:rPr/>
      </w:pPr>
      <w:r>
        <w:rPr>
          <w:rStyle w:val="InternetLink"/>
          <w:b w:val="false"/>
          <w:bCs w:val="false"/>
          <w:color w:val="000000"/>
          <w:u w:val="none"/>
        </w:rPr>
        <w:tab/>
        <w:t xml:space="preserve">Available at: </w:t>
      </w:r>
      <w:hyperlink r:id="rId47">
        <w:r>
          <w:rPr>
            <w:rStyle w:val="InternetLink"/>
          </w:rPr>
          <w:t>https://www.gov.uk/life-in-the-uk-test</w:t>
        </w:r>
      </w:hyperlink>
      <w:r>
        <w:rPr/>
        <w:t xml:space="preserve"> </w:t>
      </w:r>
    </w:p>
  </w:footnote>
  <w:footnote w:id="83">
    <w:p>
      <w:pPr>
        <w:pStyle w:val="Footnote"/>
        <w:jc w:val="both"/>
        <w:rPr/>
      </w:pPr>
      <w:r>
        <w:rPr>
          <w:rStyle w:val="FootnoteCharacters"/>
        </w:rPr>
        <w:footnoteRef/>
      </w:r>
      <w:r>
        <w:rPr/>
        <w:tab/>
        <w:t>Supra note, 52.</w:t>
      </w:r>
    </w:p>
  </w:footnote>
  <w:footnote w:id="84">
    <w:p>
      <w:pPr>
        <w:pStyle w:val="Footnote"/>
        <w:jc w:val="both"/>
        <w:rPr/>
      </w:pPr>
      <w:r>
        <w:rPr>
          <w:rStyle w:val="FootnoteCharacters"/>
        </w:rPr>
        <w:footnoteRef/>
      </w:r>
      <w:r>
        <w:rPr>
          <w:rStyle w:val="InternetLink"/>
          <w:b w:val="false"/>
          <w:bCs w:val="false"/>
          <w:i w:val="false"/>
          <w:iCs w:val="false"/>
          <w:color w:val="000000"/>
          <w:u w:val="none"/>
        </w:rPr>
        <w:tab/>
        <w:t xml:space="preserve">Rolfe, H. &amp; Benson, T., op. cit., </w:t>
      </w:r>
      <w:r>
        <w:rPr/>
        <w:t>p. 9.</w:t>
      </w:r>
    </w:p>
  </w:footnote>
  <w:footnote w:id="85">
    <w:p>
      <w:pPr>
        <w:pStyle w:val="Footnote"/>
        <w:jc w:val="both"/>
        <w:rPr/>
      </w:pPr>
      <w:r>
        <w:rPr>
          <w:rStyle w:val="FootnoteCharacters"/>
        </w:rPr>
        <w:footnoteRef/>
      </w:r>
      <w:r>
        <w:rPr>
          <w:rStyle w:val="InternetLink"/>
          <w:b w:val="false"/>
          <w:bCs w:val="false"/>
          <w:i w:val="false"/>
          <w:iCs w:val="false"/>
          <w:color w:val="000000"/>
          <w:u w:val="none"/>
        </w:rPr>
        <w:tab/>
        <w:t xml:space="preserve">Rolfe, H. &amp; Benson, T., op. cit., </w:t>
      </w:r>
      <w:r>
        <w:rPr/>
        <w:t>p. 59.</w:t>
      </w:r>
    </w:p>
  </w:footnote>
  <w:footnote w:id="86">
    <w:p>
      <w:pPr>
        <w:pStyle w:val="Footnote"/>
        <w:jc w:val="both"/>
        <w:rPr/>
      </w:pPr>
      <w:r>
        <w:rPr>
          <w:rStyle w:val="FootnoteCharacters"/>
        </w:rPr>
        <w:footnoteRef/>
      </w:r>
      <w:r>
        <w:rPr>
          <w:rStyle w:val="InternetLink"/>
          <w:b w:val="false"/>
          <w:bCs w:val="false"/>
          <w:i w:val="false"/>
          <w:iCs w:val="false"/>
          <w:color w:val="000000"/>
          <w:u w:val="none"/>
        </w:rPr>
        <w:tab/>
        <w:t xml:space="preserve">Rolfe, H. &amp; Benson, T., op. cit., </w:t>
      </w:r>
      <w:r>
        <w:rPr/>
        <w:t>p. 120.</w:t>
      </w:r>
    </w:p>
  </w:footnote>
  <w:footnote w:id="87">
    <w:p>
      <w:pPr>
        <w:pStyle w:val="Footnote"/>
        <w:jc w:val="both"/>
        <w:rPr/>
      </w:pPr>
      <w:r>
        <w:rPr>
          <w:rStyle w:val="FootnoteCharacters"/>
        </w:rPr>
        <w:footnoteRef/>
      </w:r>
      <w:r>
        <w:rPr>
          <w:rStyle w:val="InternetLink"/>
          <w:b w:val="false"/>
          <w:bCs w:val="false"/>
          <w:i w:val="false"/>
          <w:iCs w:val="false"/>
          <w:color w:val="000000"/>
          <w:u w:val="none"/>
        </w:rPr>
        <w:tab/>
        <w:t xml:space="preserve">Rolfe, H. &amp; Benson, T., op. cit., </w:t>
      </w:r>
      <w:r>
        <w:rPr/>
        <w:t>p. 98.</w:t>
      </w:r>
    </w:p>
  </w:footnote>
  <w:footnote w:id="88">
    <w:p>
      <w:pPr>
        <w:pStyle w:val="Footnote"/>
        <w:jc w:val="both"/>
        <w:rPr/>
      </w:pPr>
      <w:r>
        <w:rPr>
          <w:rStyle w:val="FootnoteCharacters"/>
        </w:rPr>
        <w:footnoteRef/>
      </w:r>
      <w:r>
        <w:rPr/>
        <w:tab/>
        <w:t xml:space="preserve">Home Office (2023), Asylum and Resettlement – Applications, Initial decisions and Resettlement </w:t>
      </w:r>
      <w:r>
        <w:rPr>
          <w:rStyle w:val="InternetLink"/>
          <w:b w:val="false"/>
          <w:bCs w:val="false"/>
          <w:color w:val="000000"/>
          <w:u w:val="none"/>
        </w:rPr>
        <w:t xml:space="preserve">Accessed 3 January, 2024. Available at: </w:t>
      </w:r>
      <w:r>
        <w:rPr/>
        <w:t xml:space="preserve"> </w:t>
      </w:r>
      <w:hyperlink r:id="rId48">
        <w:r>
          <w:rPr>
            <w:rStyle w:val="InternetLink"/>
          </w:rPr>
          <w:t>https://assets.publishing.service.gov.uk/media/657b1e460467eb000d55f861/asylum-applications-datasets-sep-2023.xlsx</w:t>
        </w:r>
      </w:hyperlink>
      <w:r>
        <w:rPr/>
        <w:t xml:space="preserve"> </w:t>
      </w:r>
    </w:p>
  </w:footnote>
  <w:footnote w:id="89">
    <w:p>
      <w:pPr>
        <w:pStyle w:val="Footnote"/>
        <w:rPr/>
      </w:pPr>
      <w:r>
        <w:rPr>
          <w:rStyle w:val="FootnoteCharacters"/>
        </w:rPr>
        <w:footnoteRef/>
      </w:r>
      <w:r>
        <w:rPr/>
        <w:tab/>
        <w:t>The statistic does not include applications from China, where the number of applicants from Hong Kong might have been mistakenly included in the statistics for Mainland Chinese asylum seekers.</w:t>
      </w:r>
    </w:p>
  </w:footnote>
  <w:footnote w:id="90">
    <w:p>
      <w:pPr>
        <w:pStyle w:val="Footnote"/>
        <w:rPr/>
      </w:pPr>
      <w:r>
        <w:rPr>
          <w:rStyle w:val="FootnoteCharacters"/>
        </w:rPr>
        <w:footnoteRef/>
      </w:r>
      <w:r>
        <w:rPr/>
        <w:tab/>
        <w:t>Supra note, 85.</w:t>
      </w:r>
    </w:p>
  </w:footnote>
  <w:footnote w:id="91">
    <w:p>
      <w:pPr>
        <w:pStyle w:val="Footnote"/>
        <w:jc w:val="both"/>
        <w:rPr/>
      </w:pPr>
      <w:r>
        <w:rPr>
          <w:rStyle w:val="FootnoteCharacters"/>
        </w:rPr>
        <w:footnoteRef/>
      </w:r>
      <w:r>
        <w:rPr/>
        <w:tab/>
        <w:t xml:space="preserve">See, for instance, </w:t>
      </w:r>
      <w:r>
        <w:rPr>
          <w:i/>
          <w:iCs/>
        </w:rPr>
        <w:t>Reuters</w:t>
      </w:r>
      <w:r>
        <w:rPr/>
        <w:t xml:space="preserve">, (2023). “HSBC blocking of Hong Konger pensions matter of 'deep concern', say US, UK lawmakers” </w:t>
      </w:r>
      <w:r>
        <w:rPr>
          <w:rStyle w:val="InternetLink"/>
          <w:b w:val="false"/>
          <w:bCs w:val="false"/>
          <w:color w:val="000000"/>
          <w:u w:val="none"/>
        </w:rPr>
        <w:t xml:space="preserve">Accessed 3 January, 2024. Available at: </w:t>
      </w:r>
      <w:r>
        <w:rPr/>
        <w:t xml:space="preserve"> </w:t>
      </w:r>
      <w:hyperlink r:id="rId49">
        <w:r>
          <w:rPr>
            <w:rStyle w:val="InternetLink"/>
          </w:rPr>
          <w:t>https://www.reuters.com/business/finance/hsbc-blocking-hong-konger-pensions-matter-deep-concern-say-us-uk-lawmakers-2023-06-30/</w:t>
        </w:r>
      </w:hyperlink>
      <w:r>
        <w:rPr/>
        <w:t xml:space="preserve"> </w:t>
      </w:r>
    </w:p>
  </w:footnote>
  <w:footnote w:id="92">
    <w:p>
      <w:pPr>
        <w:pStyle w:val="Footnote"/>
        <w:jc w:val="both"/>
        <w:rPr/>
      </w:pPr>
      <w:r>
        <w:rPr>
          <w:rStyle w:val="FootnoteCharacters"/>
        </w:rPr>
        <w:footnoteRef/>
      </w:r>
      <w:r>
        <w:rPr>
          <w:rStyle w:val="InternetLink"/>
          <w:b w:val="false"/>
          <w:bCs w:val="false"/>
          <w:color w:val="000000"/>
          <w:u w:val="none"/>
        </w:rPr>
        <w:tab/>
        <w:t xml:space="preserve">UK Visas and Immigration, (2023). “Permission to work and volunteering for asylum seekers (accessible)” Accessed 3 January, 2024. Available at: </w:t>
      </w:r>
      <w:hyperlink r:id="rId50">
        <w:r>
          <w:rPr>
            <w:rStyle w:val="InternetLink"/>
          </w:rPr>
          <w:t>https://www.gov.uk/government/publications/handling-applications-for-permission-to-take-employment-instruction/permission-to-work-and-volunteering-for-asylum-seekers-accessible</w:t>
        </w:r>
      </w:hyperlink>
      <w:r>
        <w:rPr/>
        <w:t xml:space="preserve"> </w:t>
      </w:r>
    </w:p>
  </w:footnote>
  <w:footnote w:id="93">
    <w:p>
      <w:pPr>
        <w:pStyle w:val="Footnote"/>
        <w:jc w:val="both"/>
        <w:rPr/>
      </w:pPr>
      <w:r>
        <w:rPr>
          <w:rStyle w:val="FootnoteCharacters"/>
        </w:rPr>
        <w:footnoteRef/>
      </w:r>
      <w:r>
        <w:rPr>
          <w:rStyle w:val="InternetLink"/>
          <w:b w:val="false"/>
          <w:bCs w:val="false"/>
          <w:color w:val="000000"/>
          <w:u w:val="none"/>
        </w:rPr>
        <w:tab/>
        <w:t>Hawkins, A., &amp; James, M., (2023). “‘My time in the UK has been a disaster’: Hongkongers fear deportation after years left in limbo”,</w:t>
      </w:r>
      <w:r>
        <w:rPr>
          <w:rStyle w:val="InternetLink"/>
          <w:b w:val="false"/>
          <w:bCs w:val="false"/>
          <w:i/>
          <w:iCs/>
          <w:color w:val="000000"/>
          <w:u w:val="none"/>
        </w:rPr>
        <w:t xml:space="preserve"> The Guardian. </w:t>
      </w:r>
      <w:r>
        <w:rPr>
          <w:rStyle w:val="InternetLink"/>
          <w:b w:val="false"/>
          <w:bCs w:val="false"/>
          <w:color w:val="000000"/>
          <w:u w:val="none"/>
        </w:rPr>
        <w:t xml:space="preserve">Accessed 3 January, 2024. Available at: </w:t>
      </w:r>
      <w:hyperlink r:id="rId51">
        <w:r>
          <w:rPr>
            <w:rStyle w:val="InternetLink"/>
          </w:rPr>
          <w:t>https://www.theguardian.com/global-development/2023/may/12/my-time-in-uk-has-been-disaster-hongkongers-fear-deportation-after-years-left-in-limbo</w:t>
        </w:r>
      </w:hyperlink>
      <w:r>
        <w:rPr/>
        <w:t xml:space="preserve"> </w:t>
      </w:r>
    </w:p>
  </w:footnote>
  <w:footnote w:id="94">
    <w:p>
      <w:pPr>
        <w:pStyle w:val="Footnote"/>
        <w:jc w:val="both"/>
        <w:rPr/>
      </w:pPr>
      <w:r>
        <w:rPr>
          <w:rStyle w:val="FootnoteCharacters"/>
        </w:rPr>
        <w:footnoteRef/>
      </w:r>
      <w:r>
        <w:rPr/>
        <w:tab/>
        <w:t>Ibid.</w:t>
      </w:r>
    </w:p>
  </w:footnote>
  <w:footnote w:id="95">
    <w:p>
      <w:pPr>
        <w:pStyle w:val="Footnote"/>
        <w:jc w:val="both"/>
        <w:rPr/>
      </w:pPr>
      <w:r>
        <w:rPr>
          <w:rStyle w:val="FootnoteCharacters"/>
        </w:rPr>
        <w:footnoteRef/>
      </w:r>
      <w:r>
        <w:rPr/>
        <w:tab/>
        <w:t xml:space="preserve">Ibid. </w:t>
      </w:r>
    </w:p>
  </w:footnote>
  <w:footnote w:id="96">
    <w:p>
      <w:pPr>
        <w:pStyle w:val="Footnote"/>
        <w:rPr/>
      </w:pPr>
      <w:r>
        <w:rPr>
          <w:rStyle w:val="FootnoteCharacters"/>
        </w:rPr>
        <w:footnoteRef/>
      </w:r>
      <w:r>
        <w:rPr/>
        <w:tab/>
        <w:t>Ibid.</w:t>
      </w:r>
    </w:p>
  </w:footnote>
  <w:footnote w:id="97">
    <w:p>
      <w:pPr>
        <w:pStyle w:val="Footnote"/>
        <w:jc w:val="both"/>
        <w:rPr/>
      </w:pPr>
      <w:r>
        <w:rPr>
          <w:rStyle w:val="FootnoteCharacters"/>
        </w:rPr>
        <w:footnoteRef/>
      </w:r>
      <w:r>
        <w:rPr/>
        <w:tab/>
        <w:t>Ibid.</w:t>
      </w:r>
    </w:p>
  </w:footnote>
  <w:footnote w:id="98">
    <w:p>
      <w:pPr>
        <w:pStyle w:val="Footnote"/>
        <w:jc w:val="both"/>
        <w:rPr/>
      </w:pPr>
      <w:r>
        <w:rPr>
          <w:rStyle w:val="FootnoteCharacters"/>
        </w:rPr>
        <w:footnoteRef/>
      </w:r>
      <w:r>
        <w:rPr>
          <w:rStyle w:val="InternetLink"/>
          <w:b w:val="false"/>
          <w:bCs w:val="false"/>
          <w:color w:val="000000"/>
          <w:u w:val="none"/>
        </w:rPr>
        <w:tab/>
        <w:t>Lin, Z., (2023). “</w:t>
      </w:r>
      <w:r>
        <w:rPr>
          <w:rStyle w:val="InternetLink"/>
          <w:b w:val="false"/>
          <w:bCs w:val="false"/>
          <w:color w:val="000000"/>
          <w:u w:val="none"/>
        </w:rPr>
        <w:t>香港寻求庇护者在英国面临的困境：噩梦，无助感与生活拮据”</w:t>
      </w:r>
      <w:r>
        <w:rPr>
          <w:rStyle w:val="InternetLink"/>
          <w:b w:val="false"/>
          <w:bCs w:val="false"/>
          <w:color w:val="000000"/>
          <w:u w:val="none"/>
        </w:rPr>
        <w:t>British Broadcasting Corporation. Accessed 3 January, 2024. Available at:</w:t>
      </w:r>
    </w:p>
    <w:p>
      <w:pPr>
        <w:pStyle w:val="Footnote"/>
        <w:jc w:val="both"/>
        <w:rPr/>
      </w:pPr>
      <w:r>
        <w:rPr>
          <w:rStyle w:val="InternetLink"/>
          <w:u w:val="none"/>
        </w:rPr>
        <w:tab/>
      </w:r>
      <w:hyperlink r:id="rId52">
        <w:r>
          <w:rPr>
            <w:rStyle w:val="InternetLink"/>
          </w:rPr>
          <w:t>https://www-bbc-com.translate.goog/zhongwen/simp/66590302?_x_tr_sl=auto&amp;_x_tr_tl=en&amp;_x_tr_hl=en-US&amp;_x_tr_pto=wapp</w:t>
        </w:r>
      </w:hyperlink>
      <w:r>
        <w:rPr/>
        <w:t xml:space="preserve"> </w:t>
      </w:r>
    </w:p>
  </w:footnote>
  <w:footnote w:id="99">
    <w:p>
      <w:pPr>
        <w:pStyle w:val="Footnote"/>
        <w:jc w:val="both"/>
        <w:rPr/>
      </w:pPr>
      <w:r>
        <w:rPr>
          <w:rStyle w:val="FootnoteCharacters"/>
        </w:rPr>
        <w:footnoteRef/>
      </w:r>
      <w:r>
        <w:rPr/>
        <w:tab/>
        <w:t>Ibid.</w:t>
      </w:r>
    </w:p>
  </w:footnote>
  <w:footnote w:id="100">
    <w:p>
      <w:pPr>
        <w:pStyle w:val="Footnote"/>
        <w:jc w:val="both"/>
        <w:rPr/>
      </w:pPr>
      <w:r>
        <w:rPr>
          <w:rStyle w:val="FootnoteCharacters"/>
        </w:rPr>
        <w:footnoteRef/>
      </w:r>
      <w:r>
        <w:rPr>
          <w:rStyle w:val="InternetLink"/>
          <w:b w:val="false"/>
          <w:bCs w:val="false"/>
          <w:color w:val="000000"/>
          <w:u w:val="none"/>
        </w:rPr>
        <w:tab/>
        <w:t>Zheng, L., (2023). “</w:t>
      </w:r>
      <w:r>
        <w:rPr>
          <w:rStyle w:val="InternetLink"/>
          <w:b w:val="false"/>
          <w:bCs w:val="false"/>
          <w:color w:val="000000"/>
          <w:u w:val="none"/>
        </w:rPr>
        <w:t>香港難民在英國系列（二）：漫長等待中保持精神健康”</w:t>
      </w:r>
      <w:r>
        <w:rPr>
          <w:rStyle w:val="InternetLink"/>
          <w:b w:val="false"/>
          <w:bCs w:val="false"/>
          <w:i/>
          <w:iCs/>
          <w:color w:val="000000"/>
          <w:u w:val="none"/>
        </w:rPr>
        <w:t>Voice of America</w:t>
      </w:r>
      <w:r>
        <w:rPr>
          <w:rStyle w:val="InternetLink"/>
          <w:b w:val="false"/>
          <w:bCs w:val="false"/>
          <w:i w:val="false"/>
          <w:iCs w:val="false"/>
          <w:color w:val="000000"/>
          <w:u w:val="none"/>
        </w:rPr>
        <w:t>.</w:t>
      </w:r>
      <w:r>
        <w:rPr>
          <w:rStyle w:val="InternetLink"/>
          <w:b w:val="false"/>
          <w:bCs w:val="false"/>
          <w:color w:val="000000"/>
          <w:u w:val="none"/>
        </w:rPr>
        <w:t xml:space="preserve"> Accessed 3 January, 2024. Available at: </w:t>
      </w:r>
      <w:hyperlink r:id="rId53">
        <w:r>
          <w:rPr>
            <w:rStyle w:val="InternetLink"/>
          </w:rPr>
          <w:t>https://www.voacantonese.com/a/kc-hong-kong-asylum-seekers-in-uk-part-1-keep-sanity-in-the-long-wait-20230620-ry/7145080.html</w:t>
        </w:r>
      </w:hyperlink>
      <w:r>
        <w:rPr/>
        <w:t xml:space="preserve"> </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32">
          <wp:simplePos x="0" y="0"/>
          <wp:positionH relativeFrom="column">
            <wp:posOffset>14605</wp:posOffset>
          </wp:positionH>
          <wp:positionV relativeFrom="paragraph">
            <wp:posOffset>-206375</wp:posOffset>
          </wp:positionV>
          <wp:extent cx="6087110" cy="1056005"/>
          <wp:effectExtent l="0" t="0" r="0" b="0"/>
          <wp:wrapTopAndBottom/>
          <wp:docPr id="1" name="image1.png Copy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Copy 1" descr=""/>
                  <pic:cNvPicPr>
                    <a:picLocks noChangeAspect="1" noChangeArrowheads="1"/>
                  </pic:cNvPicPr>
                </pic:nvPicPr>
                <pic:blipFill>
                  <a:blip r:embed="rId1"/>
                  <a:stretch>
                    <a:fillRect/>
                  </a:stretch>
                </pic:blipFill>
                <pic:spPr bwMode="auto">
                  <a:xfrm>
                    <a:off x="0" y="0"/>
                    <a:ext cx="6087110" cy="1056005"/>
                  </a:xfrm>
                  <a:prstGeom prst="rect">
                    <a:avLst/>
                  </a:prstGeom>
                </pic:spPr>
              </pic:pic>
            </a:graphicData>
          </a:graphic>
        </wp:anchor>
      </w:drawing>
    </w:r>
  </w:p>
  <w:p>
    <w:pPr>
      <w:pStyle w:val="Header"/>
      <w:rPr/>
    </w:pPr>
    <w:r>
      <w:rPr/>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i w:val="false"/>
        <w:b w:val="false"/>
        <w:iCs w:val="false"/>
        <w:bCs w:val="false"/>
      </w:rPr>
    </w:lvl>
    <w:lvl w:ilvl="1">
      <w:start w:val="1"/>
      <w:numFmt w:val="lowerLetter"/>
      <w:lvlText w:val="(%2)"/>
      <w:lvlJc w:val="left"/>
      <w:pPr>
        <w:tabs>
          <w:tab w:val="num" w:pos="1080"/>
        </w:tabs>
        <w:ind w:left="1080" w:hanging="360"/>
      </w:pPr>
      <w:rPr>
        <w:i w:val="false"/>
        <w:iCs w:val="false"/>
      </w:rPr>
    </w:lvl>
    <w:lvl w:ilvl="2">
      <w:start w:val="1"/>
      <w:numFmt w:val="decimal"/>
      <w:lvlText w:val="%3."/>
      <w:lvlJc w:val="left"/>
      <w:pPr>
        <w:tabs>
          <w:tab w:val="num" w:pos="1440"/>
        </w:tabs>
        <w:ind w:left="1440" w:hanging="360"/>
      </w:pPr>
      <w:rPr>
        <w:i w:val="false"/>
        <w:iCs w:val="false"/>
      </w:rPr>
    </w:lvl>
    <w:lvl w:ilvl="3">
      <w:start w:val="1"/>
      <w:numFmt w:val="decimal"/>
      <w:lvlText w:val="%4."/>
      <w:lvlJc w:val="left"/>
      <w:pPr>
        <w:tabs>
          <w:tab w:val="num" w:pos="1800"/>
        </w:tabs>
        <w:ind w:left="1800" w:hanging="360"/>
      </w:pPr>
      <w:rPr>
        <w:i w:val="false"/>
        <w:iCs w:val="false"/>
      </w:rPr>
    </w:lvl>
    <w:lvl w:ilvl="4">
      <w:start w:val="1"/>
      <w:numFmt w:val="decimal"/>
      <w:lvlText w:val="%5."/>
      <w:lvlJc w:val="left"/>
      <w:pPr>
        <w:tabs>
          <w:tab w:val="num" w:pos="2160"/>
        </w:tabs>
        <w:ind w:left="2160" w:hanging="360"/>
      </w:pPr>
      <w:rPr>
        <w:i w:val="false"/>
        <w:iCs w:val="false"/>
      </w:rPr>
    </w:lvl>
    <w:lvl w:ilvl="5">
      <w:start w:val="1"/>
      <w:numFmt w:val="decimal"/>
      <w:lvlText w:val="%6."/>
      <w:lvlJc w:val="left"/>
      <w:pPr>
        <w:tabs>
          <w:tab w:val="num" w:pos="2520"/>
        </w:tabs>
        <w:ind w:left="2520" w:hanging="360"/>
      </w:pPr>
      <w:rPr>
        <w:i w:val="false"/>
        <w:iCs w:val="false"/>
      </w:rPr>
    </w:lvl>
    <w:lvl w:ilvl="6">
      <w:start w:val="1"/>
      <w:numFmt w:val="decimal"/>
      <w:lvlText w:val="%7."/>
      <w:lvlJc w:val="left"/>
      <w:pPr>
        <w:tabs>
          <w:tab w:val="num" w:pos="2880"/>
        </w:tabs>
        <w:ind w:left="2880" w:hanging="360"/>
      </w:pPr>
      <w:rPr>
        <w:i w:val="false"/>
        <w:iCs w:val="false"/>
      </w:rPr>
    </w:lvl>
    <w:lvl w:ilvl="7">
      <w:start w:val="1"/>
      <w:numFmt w:val="decimal"/>
      <w:lvlText w:val="%8."/>
      <w:lvlJc w:val="left"/>
      <w:pPr>
        <w:tabs>
          <w:tab w:val="num" w:pos="3240"/>
        </w:tabs>
        <w:ind w:left="3240" w:hanging="360"/>
      </w:pPr>
      <w:rPr>
        <w:i w:val="false"/>
        <w:iCs w:val="false"/>
      </w:rPr>
    </w:lvl>
    <w:lvl w:ilvl="8">
      <w:start w:val="1"/>
      <w:numFmt w:val="decimal"/>
      <w:lvlText w:val="%9."/>
      <w:lvlJc w:val="left"/>
      <w:pPr>
        <w:tabs>
          <w:tab w:val="num" w:pos="3600"/>
        </w:tabs>
        <w:ind w:left="3600" w:hanging="360"/>
      </w:pPr>
      <w:rPr>
        <w:i w:val="false"/>
        <w:iCs w:val="false"/>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9"/>
  <w:autoHyphenation w:val="true"/>
  <w:footnotePr>
    <w:numFmt w:val="decimal"/>
    <w:footnote w:id="0"/>
    <w:footnote w:id="1"/>
  </w:footnotePr>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Cs w:val="24"/>
        <w:lang w:val="en-GB"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NSimSun" w:cs="Lucida Sans"/>
      <w:color w:val="auto"/>
      <w:kern w:val="2"/>
      <w:sz w:val="24"/>
      <w:szCs w:val="24"/>
      <w:lang w:val="en-GB" w:eastAsia="zh-CN" w:bidi="hi-IN"/>
    </w:rPr>
  </w:style>
  <w:style w:type="paragraph" w:styleId="Heading1">
    <w:name w:val="Heading 1"/>
    <w:basedOn w:val="Heading"/>
    <w:next w:val="TextBody"/>
    <w:qFormat/>
    <w:pPr>
      <w:numPr>
        <w:ilvl w:val="0"/>
        <w:numId w:val="0"/>
      </w:numPr>
      <w:outlineLvl w:val="0"/>
    </w:pPr>
    <w:rPr>
      <w:rFonts w:ascii="Liberation Serif" w:hAnsi="Liberation Serif" w:eastAsia="NSimSun"/>
      <w:b/>
      <w:bCs/>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NSimSun"/>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NSimSun"/>
      <w:b/>
      <w:bCs/>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NSimSun"/>
      <w:b/>
      <w:bCs/>
      <w:sz w:val="24"/>
      <w:szCs w:val="24"/>
    </w:rPr>
  </w:style>
  <w:style w:type="character" w:styleId="DefaultParagraphFont">
    <w:name w:val="Default Paragraph Font"/>
    <w:qFormat/>
    <w:rPr/>
  </w:style>
  <w:style w:type="character" w:styleId="NumberingSymbols">
    <w:name w:val="Numbering Symbols"/>
    <w:qFormat/>
    <w:rPr>
      <w:i w:val="false"/>
      <w:iCs w:val="false"/>
    </w:rPr>
  </w:style>
  <w:style w:type="character" w:styleId="Bullets">
    <w:name w:val="Bullets"/>
    <w:qFormat/>
    <w:rPr>
      <w:rFonts w:ascii="OpenSymbol" w:hAnsi="OpenSymbol" w:eastAsia="OpenSymbol" w:cs="OpenSymbol"/>
    </w:rPr>
  </w:style>
  <w:style w:type="character" w:styleId="FootnoteCharacters">
    <w:name w:val="Footnote Characters"/>
    <w:qFormat/>
    <w:rPr>
      <w:vertAlign w:val="superscript"/>
    </w:rPr>
  </w:style>
  <w:style w:type="character" w:styleId="FootnoteAnchor">
    <w:name w:val="Footnote Reference"/>
    <w:rPr>
      <w:vertAlign w:val="superscript"/>
    </w:rPr>
  </w:style>
  <w:style w:type="character" w:styleId="InternetLink">
    <w:name w:val="Hyperlink"/>
    <w:rPr>
      <w:color w:val="000080"/>
      <w:u w:val="single"/>
    </w:rPr>
  </w:style>
  <w:style w:type="character" w:styleId="VisitedInternetLink">
    <w:name w:val="FollowedHyperlink"/>
    <w:rPr>
      <w:color w:val="800000"/>
      <w:u w:val="single"/>
    </w:rPr>
  </w:style>
  <w:style w:type="character" w:styleId="Strong">
    <w:name w:val="Strong"/>
    <w:qFormat/>
    <w:rPr>
      <w:b/>
      <w:bCs/>
    </w:rPr>
  </w:style>
  <w:style w:type="character" w:styleId="EndnoteCharacters">
    <w:name w:val="Endnote Characters"/>
    <w:qFormat/>
    <w:rPr>
      <w:vertAlign w:val="superscript"/>
    </w:rPr>
  </w:style>
  <w:style w:type="character" w:styleId="EndnoteAnchor">
    <w:name w:val="Endnote Reference"/>
    <w:rPr>
      <w:vertAlign w:val="superscript"/>
    </w:rPr>
  </w:style>
  <w:style w:type="character" w:styleId="FootnoteTextChar">
    <w:name w:val="Footnote Text Char"/>
    <w:basedOn w:val="DefaultParagraphFont"/>
    <w:link w:val="Footnote"/>
    <w:qFormat/>
    <w:rPr>
      <w:sz w:val="20"/>
      <w:szCs w:val="20"/>
    </w:rPr>
  </w:style>
  <w:style w:type="character" w:styleId="UnresolvedMention">
    <w:name w:val="Unresolved Mention"/>
    <w:basedOn w:val="DefaultParagraphFont"/>
    <w:qFormat/>
    <w:rPr>
      <w:color w:val="605E5C"/>
      <w:shd w:fill="E1DFDD" w:val="clear"/>
    </w:rPr>
  </w:style>
  <w:style w:type="character" w:styleId="SourceText">
    <w:name w:val="Source Text"/>
    <w:qFormat/>
    <w:rPr>
      <w:rFonts w:ascii="Liberation Mono" w:hAnsi="Liberation Mono" w:eastAsia="NSimSun" w:cs="Liberation Mono"/>
    </w:rPr>
  </w:style>
  <w:style w:type="paragraph" w:styleId="Heading">
    <w:name w:val="Heading"/>
    <w:basedOn w:val="Normal"/>
    <w:next w:val="TextBody"/>
    <w:qFormat/>
    <w:pPr>
      <w:keepNext w:val="true"/>
      <w:spacing w:before="240" w:after="120"/>
    </w:pPr>
    <w:rPr>
      <w:rFonts w:ascii="Liberation Sans" w:hAnsi="Liberation Sans" w:eastAsia="Microsoft YaHei"/>
      <w:sz w:val="28"/>
      <w:szCs w:val="28"/>
    </w:rPr>
  </w:style>
  <w:style w:type="paragraph" w:styleId="TextBody">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style>
  <w:style w:type="paragraph" w:styleId="Caption1">
    <w:name w:val="caption"/>
    <w:basedOn w:val="Normal"/>
    <w:qFormat/>
    <w:pPr>
      <w:suppressLineNumbers/>
      <w:spacing w:before="120" w:after="120"/>
    </w:pPr>
    <w:rPr>
      <w:i/>
      <w:iCs/>
    </w:rPr>
  </w:style>
  <w:style w:type="paragraph" w:styleId="SingleTxt">
    <w:name w:val="__Single Txt"/>
    <w:basedOn w:val="Normal"/>
    <w:qFormat/>
    <w:pPr>
      <w:tabs>
        <w:tab w:val="clear" w:pos="709"/>
        <w:tab w:val="left" w:pos="1267" w:leader="none"/>
        <w:tab w:val="left" w:pos="1742" w:leader="none"/>
        <w:tab w:val="left" w:pos="2218" w:leader="none"/>
        <w:tab w:val="left" w:pos="2693" w:leader="none"/>
        <w:tab w:val="left" w:pos="3182" w:leader="none"/>
        <w:tab w:val="left" w:pos="3658" w:leader="none"/>
        <w:tab w:val="left" w:pos="4133" w:leader="none"/>
        <w:tab w:val="left" w:pos="4622" w:leader="none"/>
        <w:tab w:val="left" w:pos="5098" w:leader="none"/>
        <w:tab w:val="left" w:pos="5573" w:leader="none"/>
        <w:tab w:val="left" w:pos="6048" w:leader="none"/>
      </w:tabs>
      <w:spacing w:lineRule="auto" w:line="360" w:before="0" w:after="120"/>
      <w:ind w:left="1267" w:right="1267" w:hanging="0"/>
      <w:jc w:val="both"/>
    </w:pPr>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rPr/>
  </w:style>
  <w:style w:type="paragraph" w:styleId="Footer">
    <w:name w:val="Footer"/>
    <w:basedOn w:val="HeaderandFooter"/>
    <w:pPr/>
    <w:rPr/>
  </w:style>
  <w:style w:type="paragraph" w:styleId="TableContents">
    <w:name w:val="Table Contents"/>
    <w:basedOn w:val="Normal"/>
    <w:qFormat/>
    <w:pPr>
      <w:widowControl w:val="false"/>
      <w:suppressLineNumbers/>
    </w:pPr>
    <w:rPr/>
  </w:style>
  <w:style w:type="paragraph" w:styleId="LO-normal">
    <w:name w:val="LO-normal"/>
    <w:qFormat/>
    <w:pPr>
      <w:widowControl w:val="false"/>
      <w:suppressAutoHyphens w:val="true"/>
      <w:overflowPunct w:val="false"/>
      <w:bidi w:val="0"/>
      <w:spacing w:lineRule="auto" w:line="360" w:before="114" w:after="114"/>
      <w:jc w:val="both"/>
    </w:pPr>
    <w:rPr>
      <w:rFonts w:ascii="Liberation Serif" w:hAnsi="Liberation Serif" w:eastAsia="NSimSun" w:cs="Lucida Sans"/>
      <w:color w:val="auto"/>
      <w:kern w:val="2"/>
      <w:sz w:val="24"/>
      <w:szCs w:val="24"/>
      <w:lang w:val="en-GB" w:eastAsia="zh-CN" w:bidi="hi-IN"/>
    </w:rPr>
  </w:style>
  <w:style w:type="paragraph" w:styleId="Footnote">
    <w:name w:val="Footnote Text"/>
    <w:basedOn w:val="Normal"/>
    <w:link w:val="FootnoteTextChar"/>
    <w:pPr>
      <w:suppressLineNumbers/>
      <w:ind w:left="340" w:right="0" w:hanging="340"/>
    </w:pPr>
    <w:rPr>
      <w:sz w:val="20"/>
      <w:szCs w:val="20"/>
    </w:rPr>
  </w:style>
  <w:style w:type="paragraph" w:styleId="SingleTxtG">
    <w:name w:val="_ Single Txt_G"/>
    <w:basedOn w:val="Normal"/>
    <w:qFormat/>
    <w:pPr>
      <w:tabs>
        <w:tab w:val="clear" w:pos="709"/>
        <w:tab w:val="left" w:pos="1701" w:leader="none"/>
        <w:tab w:val="left" w:pos="2268" w:leader="none"/>
        <w:tab w:val="left" w:pos="2835" w:leader="none"/>
      </w:tabs>
      <w:snapToGrid w:val="false"/>
      <w:spacing w:before="0" w:after="120"/>
      <w:ind w:left="1134" w:right="1134" w:hanging="0"/>
      <w:jc w:val="both"/>
    </w:pPr>
    <w:rPr>
      <w:rFonts w:eastAsia="Calibri"/>
    </w:rPr>
  </w:style>
  <w:style w:type="paragraph" w:styleId="TableHeading">
    <w:name w:val="Table Heading"/>
    <w:basedOn w:val="TableContents"/>
    <w:qFormat/>
    <w:pPr>
      <w:jc w:val="center"/>
    </w:pPr>
    <w:rPr>
      <w:b/>
      <w:bCs/>
    </w:rPr>
  </w:style>
  <w:style w:type="paragraph" w:styleId="Default">
    <w:name w:val="Default"/>
    <w:qFormat/>
    <w:pPr>
      <w:widowControl/>
      <w:suppressAutoHyphens w:val="true"/>
      <w:overflowPunct w:val="false"/>
      <w:bidi w:val="0"/>
      <w:spacing w:before="0" w:after="0"/>
      <w:jc w:val="left"/>
    </w:pPr>
    <w:rPr>
      <w:rFonts w:ascii=".." w:hAnsi=".." w:eastAsia="NSimSun" w:cs="Lucida Sans"/>
      <w:color w:val="000000"/>
      <w:kern w:val="2"/>
      <w:sz w:val="24"/>
      <w:szCs w:val="24"/>
      <w:lang w:val="en-GB" w:eastAsia="zh-CN" w:bidi="hi-IN"/>
    </w:rPr>
  </w:style>
  <w:style w:type="paragraph" w:styleId="NormalWeb">
    <w:name w:val="Normal (Web)"/>
    <w:basedOn w:val="Normal"/>
    <w:qFormat/>
    <w:pPr/>
    <w:rPr>
      <w:rFonts w:ascii="Times New Roman" w:hAnsi="Times New Roman" w:cs="Mangal"/>
      <w:szCs w:val="21"/>
    </w:rPr>
  </w:style>
  <w:style w:type="paragraph" w:styleId="ListParagraph">
    <w:name w:val="List Paragraph"/>
    <w:basedOn w:val="Normal"/>
    <w:qFormat/>
    <w:pPr>
      <w:spacing w:before="0" w:after="0"/>
      <w:ind w:left="720" w:right="0" w:hanging="0"/>
      <w:contextualSpacing/>
    </w:pPr>
    <w:rPr>
      <w:rFonts w:cs="Mangal"/>
      <w:szCs w:val="21"/>
    </w:rPr>
  </w:style>
  <w:style w:type="paragraph" w:styleId="PreformattedText">
    <w:name w:val="Preformatted Text"/>
    <w:basedOn w:val="Normal"/>
    <w:qFormat/>
    <w:pPr>
      <w:spacing w:before="0" w:after="0"/>
    </w:pPr>
    <w:rPr>
      <w:rFonts w:ascii="Liberation Mono" w:hAnsi="Liberation Mono" w:eastAsia="NSimSun" w:cs="Liberation Mono"/>
      <w:sz w:val="20"/>
      <w:szCs w:val="20"/>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nfo@iplsa.net"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www.elegislation.gov.hk/hk/cap503" TargetMode="External"/><Relationship Id="rId2" Type="http://schemas.openxmlformats.org/officeDocument/2006/relationships/hyperlink" Target="https://www.elegislation.gov.hk/hk/cap525" TargetMode="External"/><Relationship Id="rId3" Type="http://schemas.openxmlformats.org/officeDocument/2006/relationships/hyperlink" Target="https://www.basiclaw.gov.hk/en/basiclaw/chapter3.html" TargetMode="External"/><Relationship Id="rId4" Type="http://schemas.openxmlformats.org/officeDocument/2006/relationships/hyperlink" Target="https://www.legco.gov.hk/yr18-19/english/bills/brief/b201903291_brf.pdf" TargetMode="External"/><Relationship Id="rId5" Type="http://schemas.openxmlformats.org/officeDocument/2006/relationships/hyperlink" Target="https://www.info.gov.hk/gia/general/201903/26/P2019032600708.htm" TargetMode="External"/><Relationship Id="rId6" Type="http://schemas.openxmlformats.org/officeDocument/2006/relationships/hyperlink" Target="https://www.youtube.com/watch?v=Bt4Kyh4Fuj0" TargetMode="External"/><Relationship Id="rId7" Type="http://schemas.openxmlformats.org/officeDocument/2006/relationships/hyperlink" Target="https://www.youtube.com/watch?v=mki_XrL3sJU" TargetMode="External"/><Relationship Id="rId8" Type="http://schemas.openxmlformats.org/officeDocument/2006/relationships/hyperlink" Target="https://www.youtube.com/watch?v=p6yIsQyvgTQ" TargetMode="External"/><Relationship Id="rId9" Type="http://schemas.openxmlformats.org/officeDocument/2006/relationships/hyperlink" Target="https://www.youtube.com/watch?v=SBdxW40G-88" TargetMode="External"/><Relationship Id="rId10" Type="http://schemas.openxmlformats.org/officeDocument/2006/relationships/hyperlink" Target="https://www.scmp.com/news/hong-kong/politics/article/3009821/lawmaker-injured-legislative-council-clash-battle-over" TargetMode="External"/><Relationship Id="rId11" Type="http://schemas.openxmlformats.org/officeDocument/2006/relationships/hyperlink" Target="https://www.gov.uk/government/news/uk-and-canada-joint-statement-on-hong-kong" TargetMode="External"/><Relationship Id="rId12" Type="http://schemas.openxmlformats.org/officeDocument/2006/relationships/hyperlink" Target="https://hansard.parliament.uk/Commons/2019-06-10/debates/06B2EDB4-6993-418C-9094-072BA088ABE9/UKForeignPolicyChinaAndHongKong" TargetMode="External"/><Relationship Id="rId13" Type="http://schemas.openxmlformats.org/officeDocument/2006/relationships/hyperlink" Target="https://hansard.parliament.uk/commons/2019-06-13/debates/AFB8711A-8CB2-4A56-89C3-DEA4EE0A10A0/HongKong" TargetMode="External"/><Relationship Id="rId14" Type="http://schemas.openxmlformats.org/officeDocument/2006/relationships/hyperlink" Target="https://commonslibrary.parliament.uk/the-uks-reaction-to-protests-in-hong-kong/" TargetMode="External"/><Relationship Id="rId15" Type="http://schemas.openxmlformats.org/officeDocument/2006/relationships/hyperlink" Target="https://www.gov.uk/government/news/foreign-secretary-statement-on-the-anniversary-of-the-handover-of-hong-kong" TargetMode="External"/><Relationship Id="rId16" Type="http://schemas.openxmlformats.org/officeDocument/2006/relationships/hyperlink" Target="https://twitter.com/Jeremy_Hunt/status/1145697957058101248" TargetMode="External"/><Relationship Id="rId17" Type="http://schemas.openxmlformats.org/officeDocument/2006/relationships/hyperlink" Target="https://www.scmp.com/news/hong-kong/politics/article/3034263/hong-kong-government-officially-withdraws-extradition-bill" TargetMode="External"/><Relationship Id="rId18" Type="http://schemas.openxmlformats.org/officeDocument/2006/relationships/hyperlink" Target="https://www.scmp.com/comment/opinion/article/3087252/hongkongers-fearing-their-way-life-britain-will-provide-alternative" TargetMode="External"/><Relationship Id="rId19" Type="http://schemas.openxmlformats.org/officeDocument/2006/relationships/hyperlink" Target="https://www.basiclaw.gov.hk/en/basiclaw/chapter2.html" TargetMode="External"/><Relationship Id="rId20" Type="http://schemas.openxmlformats.org/officeDocument/2006/relationships/hyperlink" Target="https://www.gov.uk/government/speeches/foreign-secretary-statement-on-national-security-legislation-in-hong-kong" TargetMode="External"/><Relationship Id="rId21" Type="http://schemas.openxmlformats.org/officeDocument/2006/relationships/hyperlink" Target="https://www.theguardian.com/world/2023/may/29/hong-kong-13-go-on-trial-over-2019-storming-of-legislature-by-pro-democracy-protesters" TargetMode="External"/><Relationship Id="rId22" Type="http://schemas.openxmlformats.org/officeDocument/2006/relationships/hyperlink" Target="https://www.scmp.com/news/hong-kong/politics/article/3016839/protesters-storm-and-vandalise-legislative-council-anarchy" TargetMode="External"/><Relationship Id="rId23" Type="http://schemas.openxmlformats.org/officeDocument/2006/relationships/hyperlink" Target="https://edition.cnn.com/asia/live-news/hong-kong-july-1-protests-intl-hnk/h_ef01ddc561fb18a5d33932051d80efa1" TargetMode="External"/><Relationship Id="rId24" Type="http://schemas.openxmlformats.org/officeDocument/2006/relationships/hyperlink" Target="https://www.france24.com/en/20190915-hong-kong-protesters-sing-god-save-queen-call-uk-support" TargetMode="External"/><Relationship Id="rId25" Type="http://schemas.openxmlformats.org/officeDocument/2006/relationships/hyperlink" Target="https://news.yahoo.com/latest-hong-kong-government-withdraws-071000702.html" TargetMode="External"/><Relationship Id="rId26" Type="http://schemas.openxmlformats.org/officeDocument/2006/relationships/hyperlink" Target="https://www.margaretthatcher.org/document/139919" TargetMode="External"/><Relationship Id="rId27" Type="http://schemas.openxmlformats.org/officeDocument/2006/relationships/hyperlink" Target="https://www.legislation.gov.uk/ukpga/1985/15/data.htm" TargetMode="External"/><Relationship Id="rId28" Type="http://schemas.openxmlformats.org/officeDocument/2006/relationships/hyperlink" Target="https://www.margaretthatcher.org/document/237203" TargetMode="External"/><Relationship Id="rId29" Type="http://schemas.openxmlformats.org/officeDocument/2006/relationships/hyperlink" Target="https://hansard.parliament.uk/Lords/2019-06-11/debates/0F5F4B78-17FE-4189-8D51-A8785DC6E7FE/" TargetMode="External"/><Relationship Id="rId30" Type="http://schemas.openxmlformats.org/officeDocument/2006/relationships/hyperlink" Target="https://www.basiclaw.gov.hk/en/basiclaw/chapter2.html" TargetMode="External"/><Relationship Id="rId31" Type="http://schemas.openxmlformats.org/officeDocument/2006/relationships/hyperlink" Target="https://www.reuters.com/world/uk/london-mayor-says-brexit-has-cost-uk-over-178-bln-so-far-2024-01-11/" TargetMode="External"/><Relationship Id="rId32" Type="http://schemas.openxmlformats.org/officeDocument/2006/relationships/hyperlink" Target="https://www.cer.eu/insights/post-brexit-immigration-uk-labour-market" TargetMode="External"/><Relationship Id="rId33" Type="http://schemas.openxmlformats.org/officeDocument/2006/relationships/hyperlink" Target="https://edition.cnn.com/2023/03/09/uk/uk-immigration-refugees-echr-illegal-bill-gbr-cmd/index.html" TargetMode="External"/><Relationship Id="rId34" Type="http://schemas.openxmlformats.org/officeDocument/2006/relationships/hyperlink" Target="https://publications.parliament.uk/pa/cm201919/cmselect/cmfaff/109/109.pdf" TargetMode="External"/><Relationship Id="rId35" Type="http://schemas.openxmlformats.org/officeDocument/2006/relationships/hyperlink" Target="https://homeofficemedia.blog.gov.uk/2022/02/24/media-factsheet-hong-kong-bnos/" TargetMode="External"/><Relationship Id="rId36" Type="http://schemas.openxmlformats.org/officeDocument/2006/relationships/hyperlink" Target="https://www.gov.uk/government/statistics/immigration-system-statistics-year-ending-september-2023/summary-of-latest-statistics" TargetMode="External"/><Relationship Id="rId37" Type="http://schemas.openxmlformats.org/officeDocument/2006/relationships/hyperlink" Target="https://www.gov.uk/british-national-overseas-bno-visa/how-much-it-costs" TargetMode="External"/><Relationship Id="rId38" Type="http://schemas.openxmlformats.org/officeDocument/2006/relationships/hyperlink" Target="https://www.britishfuture.org/publication/from-hk-to-uk-hong-kongers-new-lives-in-britain/" TargetMode="External"/><Relationship Id="rId39" Type="http://schemas.openxmlformats.org/officeDocument/2006/relationships/hyperlink" Target="https://www.varbes.com/compare/compare-average-rent" TargetMode="External"/><Relationship Id="rId40" Type="http://schemas.openxmlformats.org/officeDocument/2006/relationships/hyperlink" Target="https://www.scmp.com/news/hong-kong/society/article/3168295/emigration-wave-continues-about-100000-hongkongers-apply-bno" TargetMode="External"/><Relationship Id="rId41" Type="http://schemas.openxmlformats.org/officeDocument/2006/relationships/hyperlink" Target="https://books.google.com.hk/books/content?id=QSpcAAAAQAAJ&amp;hl=zh-TW&amp;pg=RA5-PA4&amp;img=1&amp;zoom=3&amp;sig=ACfU3U2m3zm_71UkXnBjTupVqazBKn02Iw&amp;ci=169%2C123%2C765%2C256&amp;edge=0" TargetMode="External"/><Relationship Id="rId42" Type="http://schemas.openxmlformats.org/officeDocument/2006/relationships/hyperlink" Target="https://hongkongfp.com/2016/01/19/bno-holders-excluded-from-fast-track-uk-border-channels-while-non-brits-are-eligible/" TargetMode="External"/><Relationship Id="rId43" Type="http://schemas.openxmlformats.org/officeDocument/2006/relationships/hyperlink" Target="https://www.gov.uk/government/news/national-welcome-for-hong-kong-arrivals" TargetMode="External"/><Relationship Id="rId44" Type="http://schemas.openxmlformats.org/officeDocument/2006/relationships/hyperlink" Target="https://www.gov.uk/government/news/support-continues-for-hong-kongers-building-new-lives-in-the-uk" TargetMode="External"/><Relationship Id="rId45" Type="http://schemas.openxmlformats.org/officeDocument/2006/relationships/hyperlink" Target="https://www.gov.uk/government/news/government-announces-a-third-year-of-support-to-help-hong-kongers-settle-into-life-in-the-uk" TargetMode="External"/><Relationship Id="rId46" Type="http://schemas.openxmlformats.org/officeDocument/2006/relationships/hyperlink" Target="https://www.gov.uk/guidance/prove-your-english-language-abilities-with-a-secure-english-language-test-selt" TargetMode="External"/><Relationship Id="rId47" Type="http://schemas.openxmlformats.org/officeDocument/2006/relationships/hyperlink" Target="https://www.gov.uk/life-in-the-uk-test" TargetMode="External"/><Relationship Id="rId48" Type="http://schemas.openxmlformats.org/officeDocument/2006/relationships/hyperlink" Target="https://assets.publishing.service.gov.uk/media/657b1e460467eb000d55f861/asylum-applications-datasets-sep-2023.xlsx" TargetMode="External"/><Relationship Id="rId49" Type="http://schemas.openxmlformats.org/officeDocument/2006/relationships/hyperlink" Target="https://www.reuters.com/business/finance/hsbc-blocking-hong-konger-pensions-matter-deep-concern-say-us-uk-lawmakers-2023-06-30/" TargetMode="External"/><Relationship Id="rId50" Type="http://schemas.openxmlformats.org/officeDocument/2006/relationships/hyperlink" Target="https://www.gov.uk/government/publications/handling-applications-for-permission-to-take-employment-instruction/permission-to-work-and-volunteering-for-asylum-seekers-accessible" TargetMode="External"/><Relationship Id="rId51" Type="http://schemas.openxmlformats.org/officeDocument/2006/relationships/hyperlink" Target="https://www.theguardian.com/global-development/2023/may/12/my-time-in-uk-has-been-disaster-hongkongers-fear-deportation-after-years-left-in-limbo" TargetMode="External"/><Relationship Id="rId52" Type="http://schemas.openxmlformats.org/officeDocument/2006/relationships/hyperlink" Target="https://www-bbc-com.translate.goog/zhongwen/simp/66590302?_x_tr_sl=auto&amp;_x_tr_tl=en&amp;_x_tr_hl=en-US&amp;_x_tr_pto=wapp" TargetMode="External"/><Relationship Id="rId53" Type="http://schemas.openxmlformats.org/officeDocument/2006/relationships/hyperlink" Target="https://www.voacantonese.com/a/kc-hong-kong-asylum-seekers-in-uk-part-1-keep-sanity-in-the-long-wait-20230620-ry/7145080.html"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142776</TotalTime>
  <Application>LibreOffice/7.5.6.2$Windows_x86 LibreOffice_project/f654817fb68d6d4600d7d2f6b647e47729f55f15</Application>
  <AppVersion>15.0000</AppVersion>
  <Pages>31</Pages>
  <Words>9764</Words>
  <Characters>55585</Characters>
  <CharactersWithSpaces>65306</CharactersWithSpaces>
  <Paragraphs>212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2020-01-19T11:51:00Z</dcterms:created>
  <dc:creator>季利</dc:creator>
  <dc:description/>
  <dc:language>en-GB</dc:language>
  <cp:lastModifiedBy/>
  <cp:lastPrinted>2024-01-16T22:28:30Z</cp:lastPrinted>
  <dcterms:modified xsi:type="dcterms:W3CDTF">2024-02-01T16:32:09Z</dcterms:modified>
  <cp:revision>2324</cp:revision>
  <dc:subject/>
  <dc:title/>
</cp:coreProperties>
</file>

<file path=docProps/custom.xml><?xml version="1.0" encoding="utf-8"?>
<Properties xmlns="http://schemas.openxmlformats.org/officeDocument/2006/custom-properties" xmlns:vt="http://schemas.openxmlformats.org/officeDocument/2006/docPropsVTypes"/>
</file>