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2402A" w14:textId="77777777" w:rsidR="00A76068" w:rsidRDefault="00791A16">
      <w:pPr>
        <w:pStyle w:val="Heading1"/>
      </w:pPr>
      <w:bookmarkStart w:id="0" w:name="X9c403bb9c99676f898b8f10c77f82894607f241"/>
      <w:r>
        <w:t>Submission by Shivi Development Society (SDS) to the Committee on the Elimination of Racial Discrimination (CERD) for its 118th Session</w:t>
      </w:r>
    </w:p>
    <w:p w14:paraId="78145D00" w14:textId="77777777" w:rsidR="00A76068" w:rsidRDefault="00791A16">
      <w:pPr>
        <w:pStyle w:val="Heading2"/>
      </w:pPr>
      <w:bookmarkStart w:id="1" w:name="conceptual-position-the-casterace-debate"/>
      <w:r>
        <w:t>1. Conceptual Position: The Caste–Race Debate</w:t>
      </w:r>
    </w:p>
    <w:p w14:paraId="4040CFB9" w14:textId="77777777" w:rsidR="00A76068" w:rsidRDefault="00791A16">
      <w:pPr>
        <w:pStyle w:val="FirstParagraph"/>
      </w:pPr>
      <w:r>
        <w:t xml:space="preserve">Shivi Development Society (SDS), together with a number of civil society organizations, reiterates the position advanced during the 2001 World Conference Against Racism (WCAR) that caste should not be equated with race or interpreted as falling within the term “descent” </w:t>
      </w:r>
      <w:r>
        <w:t>under Article 1 of the International Convention on the Elimination of All Forms of Racial Discrimination (ICERD). Members of the Scheduled Castes (SCs) and Scheduled Tribes (STs), in the Indian context, share the same racial and ethnic origins as other citizens.</w:t>
      </w:r>
    </w:p>
    <w:p w14:paraId="116DB677" w14:textId="77777777" w:rsidR="00A76068" w:rsidRDefault="00791A16">
      <w:pPr>
        <w:pStyle w:val="BodyText"/>
      </w:pPr>
      <w:r>
        <w:t>At the same time, SDS recognizes that discrimination based on caste, ethnicity, and other forms of social hierarchy remains a significant human rights concern in India, as in many societies across Asia, Africa and Europe. The Constitution of India distinguishes race, caste and descent as separate grounds within its framework on equality and non-discrimination under Parts III (Fundamental Rights) and IV (Directive Principles of State Policy).</w:t>
      </w:r>
    </w:p>
    <w:p w14:paraId="38FDA6EF" w14:textId="77777777" w:rsidR="00A76068" w:rsidRDefault="00791A16">
      <w:pPr>
        <w:pStyle w:val="BodyText"/>
      </w:pPr>
      <w:r>
        <w:t>The absence of comprehensive disaggregated data based on caste, ethnicity and language has constrained evidence-based policymaking and effective monitoring of measures intended to advance equality. The Government of India has recently announced that caste enumeration will be included in the ongoing national Census. The Committee may wish to seek an update from the State party on the implementation, methodology and expected use of such data for advancing equality and non-discrimination.</w:t>
      </w:r>
    </w:p>
    <w:p w14:paraId="75F9DF09" w14:textId="77777777" w:rsidR="00A76068" w:rsidRDefault="00791A16">
      <w:pPr>
        <w:pStyle w:val="Heading2"/>
      </w:pPr>
      <w:bookmarkStart w:id="2" w:name="constitutional-and-legislative-framework"/>
      <w:bookmarkEnd w:id="1"/>
      <w:r>
        <w:t>2. Constitutional and Legislative Framework</w:t>
      </w:r>
    </w:p>
    <w:p w14:paraId="0DEE4FAA" w14:textId="77777777" w:rsidR="00A76068" w:rsidRDefault="00791A16">
      <w:pPr>
        <w:pStyle w:val="FirstParagraph"/>
      </w:pPr>
      <w:r>
        <w:t>The Constitution of India provides a robust legal framework for equality and non-discrimination. Articles 14 to 30 guarantee equality before the law, prohibit discrimination, and safeguard the cultural and educational rights of minorities. Individuals may directly approach the High Courts under Article 226 or the Supreme Court under Article 32 for enforcement of their fundamental rights.</w:t>
      </w:r>
    </w:p>
    <w:p w14:paraId="0A72D5BF" w14:textId="77777777" w:rsidR="00A76068" w:rsidRDefault="00791A16">
      <w:pPr>
        <w:pStyle w:val="BodyText"/>
      </w:pPr>
      <w:r>
        <w:t>The Constitution also provides temporary special measures, including reservations in education, public employment and political representation for Scheduled Castes and Scheduled Tribes. While these measures have significantly contributed to social inclusion, concerns continue to be expressed regarding the unequal distribution of benefits among communities within the SC and ST categories. The Committee may wish to ask the State party whether it has undertaken any assessment of the intra-category distribution</w:t>
      </w:r>
      <w:r>
        <w:t xml:space="preserve"> of </w:t>
      </w:r>
      <w:r>
        <w:lastRenderedPageBreak/>
        <w:t>affirmative action benefits and whether measures are under consideration to ensure their more equitable distribution.</w:t>
      </w:r>
    </w:p>
    <w:p w14:paraId="727EC192" w14:textId="77777777" w:rsidR="00A76068" w:rsidRDefault="00791A16">
      <w:pPr>
        <w:pStyle w:val="Heading3"/>
      </w:pPr>
      <w:bookmarkStart w:id="3" w:name="eradication-of-manual-scavenging"/>
      <w:r>
        <w:t>Eradication of Manual Scavenging</w:t>
      </w:r>
    </w:p>
    <w:p w14:paraId="03D4FF4B" w14:textId="77777777" w:rsidR="00A76068" w:rsidRDefault="00791A16">
      <w:pPr>
        <w:pStyle w:val="FirstParagraph"/>
      </w:pPr>
      <w:r>
        <w:t>The Prohibition of Employment as Manual Scavengers and their Rehabilitation Act, 2013 prohibits hazardous manual cleaning of sewers and septic tanks and provides for rehabilitation of affected persons. Pursuant to directions of the Supreme Court of India, compensation is payable to the families of persons who die while undertaking hazardous sewer and septic tank cleaning. The Self Employment Scheme for Rehabilitation of Manual Scavengers (SRMS) provides financial assistance, concessional credit, skill devel</w:t>
      </w:r>
      <w:r>
        <w:t>opment, training stipends and health insurance to identified beneficiaries. According to government data, more than 58,000 persons have received one-time cash assistance under the rehabilitation programme.</w:t>
      </w:r>
    </w:p>
    <w:p w14:paraId="1D52A076" w14:textId="77777777" w:rsidR="00A76068" w:rsidRDefault="00791A16">
      <w:pPr>
        <w:pStyle w:val="Heading3"/>
      </w:pPr>
      <w:bookmarkStart w:id="4" w:name="statutory-protection"/>
      <w:bookmarkEnd w:id="3"/>
      <w:r>
        <w:t>Statutory Protection</w:t>
      </w:r>
    </w:p>
    <w:p w14:paraId="05E29BE6" w14:textId="77777777" w:rsidR="00A76068" w:rsidRDefault="00791A16">
      <w:pPr>
        <w:pStyle w:val="FirstParagraph"/>
      </w:pPr>
      <w:r>
        <w:t>The Protection of Civil Rights Act, 1955 criminalizes the practice of untouchability, while the Scheduled Castes and the Scheduled Tribes (Prevention of Atrocities) Act, 1989 provides the principal criminal law framework for preventing and punishing caste-based atrocities and discrimination.</w:t>
      </w:r>
    </w:p>
    <w:p w14:paraId="61836F8A" w14:textId="77777777" w:rsidR="00A76068" w:rsidRDefault="00791A16">
      <w:pPr>
        <w:pStyle w:val="Heading3"/>
      </w:pPr>
      <w:bookmarkStart w:id="5" w:name="X24b585385cb51d9e66fc9812619f3c5d44d5940"/>
      <w:bookmarkEnd w:id="4"/>
      <w:r>
        <w:t>Domestic Application of International Human Rights Standards</w:t>
      </w:r>
    </w:p>
    <w:p w14:paraId="0A5AE8B0" w14:textId="77777777" w:rsidR="00A76068" w:rsidRDefault="00791A16">
      <w:pPr>
        <w:pStyle w:val="FirstParagraph"/>
      </w:pPr>
      <w:r>
        <w:t xml:space="preserve">Although international treaties are not automatically self-executing under Indian law, the Supreme Court, in </w:t>
      </w:r>
      <w:r>
        <w:rPr>
          <w:i/>
          <w:iCs/>
        </w:rPr>
        <w:t>Vishaka v. State of Rajasthan</w:t>
      </w:r>
      <w:r>
        <w:t xml:space="preserve"> (1997), held that international human rights norms consistent with constitutional guarantees may be relied upon to interpret and expand the scope of fundamental rights in the absence of conflicting domestic legislation.</w:t>
      </w:r>
    </w:p>
    <w:p w14:paraId="5C9D5C76" w14:textId="77777777" w:rsidR="00A76068" w:rsidRDefault="00791A16">
      <w:pPr>
        <w:pStyle w:val="Heading2"/>
      </w:pPr>
      <w:bookmarkStart w:id="6" w:name="X993e2d1a386285ef3671b9b4e012b669d364ead"/>
      <w:bookmarkEnd w:id="2"/>
      <w:bookmarkEnd w:id="5"/>
      <w:r>
        <w:t>3. Human Rights Implementation and Refugee Protection</w:t>
      </w:r>
    </w:p>
    <w:p w14:paraId="1BF1015F" w14:textId="77777777" w:rsidR="00A76068" w:rsidRDefault="00791A16">
      <w:pPr>
        <w:pStyle w:val="Heading3"/>
      </w:pPr>
      <w:bookmarkStart w:id="7" w:name="human-rights-defenders"/>
      <w:r>
        <w:t>Human Rights Defenders</w:t>
      </w:r>
    </w:p>
    <w:p w14:paraId="07CE5F93" w14:textId="77777777" w:rsidR="00A76068" w:rsidRDefault="00791A16">
      <w:pPr>
        <w:pStyle w:val="FirstParagraph"/>
      </w:pPr>
      <w:r>
        <w:t>Human rights defenders continue to play an important role in promoting constitutional rights and supporting marginalized communities despite significant operational and institutional challenges. Civil society organizations have repeatedly called for a comprehensive national policy on the protection of human rights defenders. At the same time, the State party has referred to mechanisms such as the Whistle Blowers Protection Act, 2014 and dedicated focal points within the National Human Rights Commission to f</w:t>
      </w:r>
      <w:r>
        <w:t>acilitate reporting and protection.</w:t>
      </w:r>
    </w:p>
    <w:p w14:paraId="13353783" w14:textId="77777777" w:rsidR="00A76068" w:rsidRDefault="00791A16">
      <w:pPr>
        <w:pStyle w:val="Heading3"/>
      </w:pPr>
      <w:bookmarkStart w:id="8" w:name="jammu-and-kashmir"/>
      <w:bookmarkEnd w:id="7"/>
      <w:r>
        <w:t>Jammu and Kashmir</w:t>
      </w:r>
    </w:p>
    <w:p w14:paraId="7B9F5D66" w14:textId="77777777" w:rsidR="00A76068" w:rsidRDefault="00791A16">
      <w:pPr>
        <w:pStyle w:val="FirstParagraph"/>
      </w:pPr>
      <w:r>
        <w:t xml:space="preserve">Following the abrogation of the temporary provisions of Article 370 in August 2019, numerous central laws became applicable in Jammu and Kashmir, including legislation relating to women’s rights, the Right to Education and affirmative action for disadvantaged groups. The Committee may wish to seek updated information from the State party </w:t>
      </w:r>
      <w:r>
        <w:lastRenderedPageBreak/>
        <w:t>regarding the implementation and practical impact of these legal changes on vulnerable and minority communities.</w:t>
      </w:r>
    </w:p>
    <w:p w14:paraId="2BCF16D4" w14:textId="77777777" w:rsidR="00A76068" w:rsidRDefault="00791A16">
      <w:pPr>
        <w:pStyle w:val="Heading3"/>
      </w:pPr>
      <w:bookmarkStart w:id="9" w:name="refugee-protection"/>
      <w:bookmarkEnd w:id="8"/>
      <w:r>
        <w:t>Refugee Protection</w:t>
      </w:r>
    </w:p>
    <w:p w14:paraId="42AB97C2" w14:textId="77777777" w:rsidR="00A76068" w:rsidRDefault="00791A16">
      <w:pPr>
        <w:pStyle w:val="FirstParagraph"/>
      </w:pPr>
      <w:r>
        <w:t>India is not a State Party to the 1951 Refugee Convention or its 1967 Protocol. Refugees and other foreign nationals are therefore governed primarily under domestic legislation, including the Foreigners Act, 1946. Nevertheless, constitutional protections under Article 21 of the Constitution, particularly the right to life and personal liberty, have been extended by Indian courts to non-citizens, providing important procedural and substantive safeguards against arbitrary action.</w:t>
      </w:r>
    </w:p>
    <w:p w14:paraId="4BE9D806" w14:textId="77777777" w:rsidR="00A76068" w:rsidRDefault="00791A16">
      <w:pPr>
        <w:pStyle w:val="Heading2"/>
      </w:pPr>
      <w:bookmarkStart w:id="10" w:name="Xfd62a176c73dcec56466affcc8b20896ad96ddf"/>
      <w:bookmarkEnd w:id="6"/>
      <w:bookmarkEnd w:id="9"/>
      <w:r>
        <w:t>4. Obligation to Condemn Racist Propaganda and Hate Speech</w:t>
      </w:r>
    </w:p>
    <w:p w14:paraId="65114342" w14:textId="7390FC0A" w:rsidR="00A76068" w:rsidRDefault="00791A16">
      <w:pPr>
        <w:pStyle w:val="FirstParagraph"/>
      </w:pPr>
      <w:r>
        <w:t xml:space="preserve">Caste-based hate speech and discriminatory narratives continue to be disseminated through public discourse and digital platforms. Reports by civil society organizations have documented the prevalence of online caste-based hatred and stigmatization. At the same time, public discourse has also witnessed instances of inflammatory or derogatory remarks directed at members of </w:t>
      </w:r>
      <w:r w:rsidR="00051D04">
        <w:t>non-SC and non-ST communities.</w:t>
      </w:r>
    </w:p>
    <w:p w14:paraId="7452D467" w14:textId="6CDDDFB2" w:rsidR="00051D04" w:rsidRPr="00051D04" w:rsidRDefault="00051D04" w:rsidP="00051D04">
      <w:pPr>
        <w:pStyle w:val="BodyText"/>
      </w:pPr>
      <w:r w:rsidRPr="00051D04">
        <w:t>There have been increasing reports of hate speech and derogatory narratives directed against members of the Brahmin community in India. In some instances, they have been portrayed as "outsiders" or alleged migrants who should "go back," reinforcing divisive stereotypes and social hostility. In a widely reported incident, a senior Indian Administrative Service (IAS) officer in Madhya Pradesh made controversial remarks concerning the Brahmin community and Brahmin women. While addressing a public gathering, the officer linked the continuation of reservation policies to marriages between Scheduled Castes and Brahmin women, prompting widespread criticism for making offensive and inappropriate comments. Such incidents underscore the need for public officials and all stakeholders to refrain from rhetoric that stigmatizes or demeans any community and to uphold the principles of equality and non-discrimination.</w:t>
      </w:r>
    </w:p>
    <w:p w14:paraId="624E1616" w14:textId="5F5577B2" w:rsidR="00A76068" w:rsidRDefault="00791A16">
      <w:pPr>
        <w:pStyle w:val="BodyText"/>
      </w:pPr>
      <w:r>
        <w:t xml:space="preserve">In March 2026, the Supreme Court of India emphasized that efforts to combat hate speech must protect every community equally and that opposition to hate speech should be universal rather than </w:t>
      </w:r>
      <w:r w:rsidR="00051D04">
        <w:t>community specific</w:t>
      </w:r>
      <w:r>
        <w:t>.</w:t>
      </w:r>
    </w:p>
    <w:p w14:paraId="68B24566" w14:textId="77777777" w:rsidR="00A76068" w:rsidRDefault="00791A16">
      <w:pPr>
        <w:pStyle w:val="BodyText"/>
      </w:pPr>
      <w:r>
        <w:t>The increasing use of social media to spread misinformation, stereotypes and caste-based prejudice presents an ongoing challenge. The Committee may wish to ask the State party what legislative, educational and awareness measures have been adopted or are planned to prevent caste-based hate speech, combat stereotypes and ensure equal protection against hate speech affecting all communities.</w:t>
      </w:r>
    </w:p>
    <w:p w14:paraId="1A1D3A1E" w14:textId="77777777" w:rsidR="00A76068" w:rsidRDefault="00791A16">
      <w:pPr>
        <w:pStyle w:val="Heading2"/>
      </w:pPr>
      <w:bookmarkStart w:id="11" w:name="continuing-challenges"/>
      <w:bookmarkEnd w:id="10"/>
      <w:r>
        <w:lastRenderedPageBreak/>
        <w:t>5. Continuing Challenges</w:t>
      </w:r>
    </w:p>
    <w:p w14:paraId="6E4B3F20" w14:textId="77777777" w:rsidR="00A76068" w:rsidRDefault="00791A16">
      <w:pPr>
        <w:pStyle w:val="Heading3"/>
      </w:pPr>
      <w:bookmarkStart w:id="12" w:name="judicial-delays"/>
      <w:r>
        <w:t>Judicial Delays</w:t>
      </w:r>
    </w:p>
    <w:p w14:paraId="57C1B199" w14:textId="77777777" w:rsidR="00A76068" w:rsidRDefault="00791A16">
      <w:pPr>
        <w:pStyle w:val="FirstParagraph"/>
      </w:pPr>
      <w:r>
        <w:t>The large backlog of cases under the Scheduled Castes and Scheduled Tribes (Prevention of Atrocities) Act continues to impede timely access to justice. Available government statistics indicate substantial numbers of pending cases involving offences against Scheduled Castes and Scheduled Tribes, underscoring the need to strengthen judicial capacity, improve investigation and prosecution, and expedite case disposal.</w:t>
      </w:r>
    </w:p>
    <w:p w14:paraId="3CC727E7" w14:textId="77777777" w:rsidR="00A76068" w:rsidRDefault="00791A16">
      <w:pPr>
        <w:pStyle w:val="Heading3"/>
      </w:pPr>
      <w:bookmarkStart w:id="13" w:name="access-to-justice-in-remote-areas"/>
      <w:bookmarkEnd w:id="12"/>
      <w:r>
        <w:t>Access to Justice in Remote Areas</w:t>
      </w:r>
    </w:p>
    <w:p w14:paraId="3F52A348" w14:textId="77777777" w:rsidR="00A76068" w:rsidRDefault="00791A16">
      <w:pPr>
        <w:pStyle w:val="FirstParagraph"/>
      </w:pPr>
      <w:r>
        <w:t>Many Scheduled Tribe communities continue to reside in geographically remote areas with limited access to infrastructure, legal services and public institutions. Although the Panchayats (Extension to Scheduled Areas) Act (PESA) recognizes the authority of Gram Sabhas over matters relating to land, natural resources and local governance, effective implementation remains uneven. Existing disparities in local power structures may continue to affect equal access to justice and the effective realization of legal</w:t>
      </w:r>
      <w:r>
        <w:t xml:space="preserve"> protections.</w:t>
      </w:r>
    </w:p>
    <w:p w14:paraId="604EDD3E" w14:textId="77777777" w:rsidR="00A76068" w:rsidRDefault="00791A16">
      <w:pPr>
        <w:pStyle w:val="Heading2"/>
      </w:pPr>
      <w:bookmarkStart w:id="14" w:name="suggested-question-for-the-state-party"/>
      <w:bookmarkEnd w:id="11"/>
      <w:bookmarkEnd w:id="13"/>
      <w:r>
        <w:t>Suggested Question for the State Party</w:t>
      </w:r>
    </w:p>
    <w:p w14:paraId="4C8A766E" w14:textId="77777777" w:rsidR="00A76068" w:rsidRDefault="00791A16">
      <w:pPr>
        <w:pStyle w:val="FirstParagraph"/>
      </w:pPr>
      <w:r>
        <w:t>The Committee may wish to ask the State party:</w:t>
      </w:r>
    </w:p>
    <w:p w14:paraId="76EE2ACE" w14:textId="77777777" w:rsidR="00A76068" w:rsidRDefault="00791A16">
      <w:pPr>
        <w:pStyle w:val="BodyText"/>
      </w:pPr>
      <w:r>
        <w:rPr>
          <w:b/>
          <w:bCs/>
        </w:rPr>
        <w:t>Since the Committee’s previous review in 2007, what legislative, policy or institutional measures have been undertaken to implement the recommendations contained in the Committee’s concluding observations, and what measurable progress has been achieved in addressing discrimination based on race, caste, ethnicity and related grounds?</w:t>
      </w:r>
      <w:bookmarkEnd w:id="0"/>
      <w:bookmarkEnd w:id="14"/>
    </w:p>
    <w:sectPr w:rsidR="00A76068">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0B2AA5A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12662264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068"/>
    <w:rsid w:val="00051D04"/>
    <w:rsid w:val="00791A16"/>
    <w:rsid w:val="0094685B"/>
    <w:rsid w:val="00A76068"/>
    <w:rsid w:val="00F249D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BF390"/>
  <w15:docId w15:val="{05862D2E-6449-495B-AB32-CA2ADC704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1377</Words>
  <Characters>7852</Characters>
  <Application>Microsoft Office Word</Application>
  <DocSecurity>0</DocSecurity>
  <Lines>65</Lines>
  <Paragraphs>18</Paragraphs>
  <ScaleCrop>false</ScaleCrop>
  <Company/>
  <LinksUpToDate>false</LinksUpToDate>
  <CharactersWithSpaces>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Narender Kumar</dc:creator>
  <cp:keywords/>
  <cp:lastModifiedBy>Narender Kumar</cp:lastModifiedBy>
  <cp:revision>2</cp:revision>
  <cp:lastPrinted>2026-07-20T11:30:00Z</cp:lastPrinted>
  <dcterms:created xsi:type="dcterms:W3CDTF">2026-07-20T11:35:00Z</dcterms:created>
  <dcterms:modified xsi:type="dcterms:W3CDTF">2026-07-20T11:35:00Z</dcterms:modified>
</cp:coreProperties>
</file>